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61C" w:rsidRPr="008F49E1" w:rsidRDefault="009D061C" w:rsidP="009D061C">
      <w:pPr>
        <w:rPr>
          <w:sz w:val="24"/>
          <w:szCs w:val="24"/>
        </w:rPr>
      </w:pPr>
      <w:r w:rsidRPr="009260DE">
        <w:rPr>
          <w:noProof/>
          <w:sz w:val="24"/>
          <w:szCs w:val="24"/>
          <w:lang w:eastAsia="da-DK"/>
        </w:rPr>
        <w:drawing>
          <wp:anchor distT="0" distB="0" distL="114300" distR="114300" simplePos="0" relativeHeight="251659264" behindDoc="0" locked="0" layoutInCell="1" allowOverlap="1" wp14:anchorId="2F67D1EB" wp14:editId="3CECF43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D061C" w:rsidRPr="00C84483" w:rsidRDefault="009D061C" w:rsidP="009D061C">
      <w:pPr>
        <w:pStyle w:val="Titel"/>
        <w:tabs>
          <w:tab w:val="right" w:pos="9356"/>
        </w:tabs>
        <w:jc w:val="left"/>
        <w:rPr>
          <w:b w:val="0"/>
          <w:szCs w:val="24"/>
          <w:lang w:eastAsia="en-US"/>
        </w:rPr>
      </w:pPr>
      <w:r w:rsidRPr="00C84483">
        <w:rPr>
          <w:b w:val="0"/>
          <w:szCs w:val="24"/>
          <w:lang w:eastAsia="en-US"/>
        </w:rPr>
        <w:tab/>
      </w:r>
      <w:r w:rsidR="001F5E7E">
        <w:rPr>
          <w:szCs w:val="24"/>
          <w:lang w:eastAsia="en-US"/>
        </w:rPr>
        <w:t>16</w:t>
      </w:r>
      <w:r w:rsidR="00F32575">
        <w:rPr>
          <w:szCs w:val="24"/>
          <w:lang w:eastAsia="en-US"/>
        </w:rPr>
        <w:t xml:space="preserve">. </w:t>
      </w:r>
      <w:r w:rsidR="001F5E7E">
        <w:rPr>
          <w:szCs w:val="24"/>
          <w:lang w:eastAsia="en-US"/>
        </w:rPr>
        <w:t>oktober</w:t>
      </w:r>
      <w:r w:rsidR="00F32575">
        <w:rPr>
          <w:szCs w:val="24"/>
          <w:lang w:eastAsia="en-US"/>
        </w:rPr>
        <w:t xml:space="preserve"> 2024</w:t>
      </w:r>
    </w:p>
    <w:p w:rsidR="009D061C" w:rsidRPr="00C84483" w:rsidRDefault="009D061C" w:rsidP="009D061C">
      <w:pPr>
        <w:pStyle w:val="Titel"/>
        <w:jc w:val="left"/>
        <w:rPr>
          <w:b w:val="0"/>
          <w:szCs w:val="24"/>
        </w:rPr>
      </w:pPr>
    </w:p>
    <w:p w:rsidR="009D061C" w:rsidRPr="00C84483" w:rsidRDefault="009D061C" w:rsidP="009D061C">
      <w:pPr>
        <w:pStyle w:val="Titel"/>
        <w:jc w:val="left"/>
        <w:rPr>
          <w:b w:val="0"/>
          <w:szCs w:val="24"/>
        </w:rPr>
      </w:pPr>
    </w:p>
    <w:p w:rsidR="009D061C" w:rsidRPr="00C84483" w:rsidRDefault="009D061C" w:rsidP="009D061C">
      <w:pPr>
        <w:jc w:val="center"/>
        <w:rPr>
          <w:b/>
          <w:sz w:val="24"/>
          <w:szCs w:val="24"/>
        </w:rPr>
      </w:pPr>
      <w:r w:rsidRPr="00C84483">
        <w:rPr>
          <w:b/>
          <w:sz w:val="24"/>
          <w:szCs w:val="24"/>
        </w:rPr>
        <w:t>PRODUKTRESUMÉ</w:t>
      </w:r>
    </w:p>
    <w:p w:rsidR="009D061C" w:rsidRPr="00C84483" w:rsidRDefault="009D061C" w:rsidP="009D061C">
      <w:pPr>
        <w:jc w:val="center"/>
        <w:rPr>
          <w:b/>
          <w:sz w:val="24"/>
          <w:szCs w:val="24"/>
        </w:rPr>
      </w:pPr>
    </w:p>
    <w:p w:rsidR="009D061C" w:rsidRDefault="009D061C" w:rsidP="009D061C">
      <w:pPr>
        <w:jc w:val="center"/>
        <w:rPr>
          <w:b/>
          <w:sz w:val="24"/>
          <w:szCs w:val="24"/>
        </w:rPr>
      </w:pPr>
      <w:r w:rsidRPr="00C84483">
        <w:rPr>
          <w:b/>
          <w:sz w:val="24"/>
          <w:szCs w:val="24"/>
        </w:rPr>
        <w:t>for</w:t>
      </w:r>
    </w:p>
    <w:p w:rsidR="009D061C" w:rsidRPr="00C84483" w:rsidRDefault="009D061C" w:rsidP="009D061C">
      <w:pPr>
        <w:jc w:val="center"/>
        <w:rPr>
          <w:b/>
          <w:sz w:val="24"/>
          <w:szCs w:val="24"/>
        </w:rPr>
      </w:pPr>
    </w:p>
    <w:p w:rsidR="009D061C" w:rsidRPr="00C84483" w:rsidRDefault="009D061C" w:rsidP="009D061C">
      <w:pPr>
        <w:jc w:val="center"/>
        <w:rPr>
          <w:b/>
          <w:sz w:val="24"/>
          <w:szCs w:val="24"/>
        </w:rPr>
      </w:pPr>
      <w:proofErr w:type="spellStart"/>
      <w:r>
        <w:rPr>
          <w:b/>
          <w:sz w:val="24"/>
          <w:szCs w:val="24"/>
        </w:rPr>
        <w:t>Hydroxyzine</w:t>
      </w:r>
      <w:proofErr w:type="spellEnd"/>
      <w:r>
        <w:rPr>
          <w:b/>
          <w:sz w:val="24"/>
          <w:szCs w:val="24"/>
        </w:rPr>
        <w:t xml:space="preserve"> "</w:t>
      </w:r>
      <w:proofErr w:type="spellStart"/>
      <w:r>
        <w:rPr>
          <w:b/>
          <w:sz w:val="24"/>
          <w:szCs w:val="24"/>
        </w:rPr>
        <w:t>Bluefish</w:t>
      </w:r>
      <w:proofErr w:type="spellEnd"/>
      <w:r>
        <w:rPr>
          <w:b/>
          <w:sz w:val="24"/>
          <w:szCs w:val="24"/>
        </w:rPr>
        <w:t>", filmovertrukne tabletter</w:t>
      </w:r>
    </w:p>
    <w:p w:rsidR="009D061C" w:rsidRPr="00C84483" w:rsidRDefault="009D061C" w:rsidP="009D061C">
      <w:pPr>
        <w:jc w:val="both"/>
        <w:rPr>
          <w:sz w:val="24"/>
          <w:szCs w:val="24"/>
        </w:rPr>
      </w:pPr>
    </w:p>
    <w:p w:rsidR="009D061C" w:rsidRPr="00A10831" w:rsidRDefault="009D061C" w:rsidP="009D061C">
      <w:pPr>
        <w:ind w:left="851" w:hanging="851"/>
        <w:jc w:val="both"/>
        <w:rPr>
          <w:sz w:val="24"/>
          <w:szCs w:val="24"/>
        </w:rPr>
      </w:pPr>
    </w:p>
    <w:p w:rsidR="009D061C" w:rsidRPr="00A10831" w:rsidRDefault="009D061C" w:rsidP="009D061C">
      <w:pPr>
        <w:ind w:left="851" w:hanging="851"/>
        <w:rPr>
          <w:b/>
          <w:sz w:val="24"/>
          <w:szCs w:val="24"/>
        </w:rPr>
      </w:pPr>
      <w:r w:rsidRPr="00A10831">
        <w:rPr>
          <w:b/>
          <w:sz w:val="24"/>
          <w:szCs w:val="24"/>
        </w:rPr>
        <w:t>0.</w:t>
      </w:r>
      <w:r w:rsidRPr="00A10831">
        <w:rPr>
          <w:b/>
          <w:sz w:val="24"/>
          <w:szCs w:val="24"/>
        </w:rPr>
        <w:tab/>
        <w:t>D.SP.NR.</w:t>
      </w:r>
    </w:p>
    <w:p w:rsidR="009D061C" w:rsidRPr="00A10831" w:rsidRDefault="009D061C" w:rsidP="009D061C">
      <w:pPr>
        <w:ind w:left="851"/>
        <w:rPr>
          <w:sz w:val="24"/>
          <w:szCs w:val="24"/>
        </w:rPr>
      </w:pPr>
      <w:r w:rsidRPr="00A10831">
        <w:rPr>
          <w:sz w:val="24"/>
          <w:szCs w:val="24"/>
        </w:rPr>
        <w:t>29750</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1.</w:t>
      </w:r>
      <w:r w:rsidRPr="00A10831">
        <w:rPr>
          <w:b/>
          <w:sz w:val="24"/>
          <w:szCs w:val="24"/>
        </w:rPr>
        <w:tab/>
        <w:t>LÆGEMIDLETS NAVN</w:t>
      </w:r>
    </w:p>
    <w:p w:rsidR="009D061C" w:rsidRPr="00A10831" w:rsidRDefault="009D061C" w:rsidP="009D061C">
      <w:pPr>
        <w:ind w:left="851"/>
        <w:rPr>
          <w:sz w:val="24"/>
          <w:szCs w:val="24"/>
        </w:rPr>
      </w:pPr>
      <w:proofErr w:type="spellStart"/>
      <w:r w:rsidRPr="00A10831">
        <w:rPr>
          <w:sz w:val="24"/>
          <w:szCs w:val="24"/>
        </w:rPr>
        <w:t>Hydroxyzine</w:t>
      </w:r>
      <w:proofErr w:type="spellEnd"/>
      <w:r w:rsidRPr="00A10831">
        <w:rPr>
          <w:sz w:val="24"/>
          <w:szCs w:val="24"/>
        </w:rPr>
        <w:t xml:space="preserve"> "</w:t>
      </w:r>
      <w:proofErr w:type="spellStart"/>
      <w:r w:rsidRPr="00A10831">
        <w:rPr>
          <w:sz w:val="24"/>
          <w:szCs w:val="24"/>
        </w:rPr>
        <w:t>Bluefish</w:t>
      </w:r>
      <w:proofErr w:type="spellEnd"/>
      <w:r w:rsidRPr="00A10831">
        <w:rPr>
          <w:sz w:val="24"/>
          <w:szCs w:val="24"/>
        </w:rPr>
        <w:t>"</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2.</w:t>
      </w:r>
      <w:r w:rsidRPr="00A10831">
        <w:rPr>
          <w:b/>
          <w:sz w:val="24"/>
          <w:szCs w:val="24"/>
        </w:rPr>
        <w:tab/>
        <w:t>KVALITATIV OG KVANTITATIV SAMMENSÆTNING</w:t>
      </w:r>
    </w:p>
    <w:p w:rsidR="009D061C" w:rsidRPr="00A10831" w:rsidRDefault="009D061C" w:rsidP="009D061C">
      <w:pPr>
        <w:ind w:left="851" w:right="-171"/>
        <w:jc w:val="both"/>
        <w:rPr>
          <w:sz w:val="24"/>
          <w:szCs w:val="24"/>
        </w:rPr>
      </w:pPr>
      <w:r w:rsidRPr="00A10831">
        <w:rPr>
          <w:sz w:val="24"/>
          <w:szCs w:val="24"/>
        </w:rPr>
        <w:t xml:space="preserve">Hver tablet indeholder 25 mg </w:t>
      </w:r>
      <w:proofErr w:type="spellStart"/>
      <w:r w:rsidRPr="00A10831">
        <w:rPr>
          <w:sz w:val="24"/>
          <w:szCs w:val="24"/>
        </w:rPr>
        <w:t>hydroxyzinhydrochlorid</w:t>
      </w:r>
      <w:proofErr w:type="spellEnd"/>
      <w:r w:rsidRPr="00A10831">
        <w:rPr>
          <w:sz w:val="24"/>
          <w:szCs w:val="24"/>
        </w:rPr>
        <w:t>.</w:t>
      </w:r>
    </w:p>
    <w:p w:rsidR="009D061C" w:rsidRPr="00E97DB6" w:rsidRDefault="009D061C" w:rsidP="009D061C">
      <w:pPr>
        <w:rPr>
          <w:sz w:val="24"/>
          <w:szCs w:val="24"/>
        </w:rPr>
      </w:pPr>
    </w:p>
    <w:p w:rsidR="00F32575" w:rsidRDefault="00F32575" w:rsidP="00F32575">
      <w:pPr>
        <w:ind w:left="851"/>
        <w:rPr>
          <w:sz w:val="24"/>
          <w:szCs w:val="24"/>
          <w:u w:val="single"/>
        </w:rPr>
      </w:pPr>
      <w:r>
        <w:rPr>
          <w:sz w:val="24"/>
          <w:szCs w:val="24"/>
          <w:u w:val="single"/>
        </w:rPr>
        <w:t>Hjælpestof, som behandleren skal være opmærksom på:</w:t>
      </w:r>
    </w:p>
    <w:p w:rsidR="00F32575" w:rsidRDefault="00F32575" w:rsidP="00F32575">
      <w:pPr>
        <w:ind w:left="851"/>
        <w:rPr>
          <w:sz w:val="24"/>
          <w:szCs w:val="24"/>
        </w:rPr>
      </w:pPr>
      <w:r>
        <w:rPr>
          <w:sz w:val="24"/>
          <w:szCs w:val="24"/>
        </w:rPr>
        <w:t xml:space="preserve">55 mg </w:t>
      </w:r>
      <w:proofErr w:type="spellStart"/>
      <w:r>
        <w:rPr>
          <w:sz w:val="24"/>
          <w:szCs w:val="24"/>
        </w:rPr>
        <w:t>lactose</w:t>
      </w:r>
      <w:proofErr w:type="spellEnd"/>
      <w:r>
        <w:rPr>
          <w:sz w:val="24"/>
          <w:szCs w:val="24"/>
        </w:rPr>
        <w:t xml:space="preserve"> (som </w:t>
      </w:r>
      <w:proofErr w:type="spellStart"/>
      <w:r>
        <w:rPr>
          <w:sz w:val="24"/>
          <w:szCs w:val="24"/>
        </w:rPr>
        <w:t>lactosemonohydrat</w:t>
      </w:r>
      <w:proofErr w:type="spellEnd"/>
      <w:r>
        <w:rPr>
          <w:sz w:val="24"/>
          <w:szCs w:val="24"/>
        </w:rPr>
        <w:t>).</w:t>
      </w:r>
    </w:p>
    <w:p w:rsidR="00F32575" w:rsidRDefault="00F32575" w:rsidP="00F32575">
      <w:pPr>
        <w:spacing w:line="260" w:lineRule="exact"/>
        <w:ind w:left="851" w:hanging="851"/>
        <w:rPr>
          <w:sz w:val="24"/>
          <w:szCs w:val="24"/>
        </w:rPr>
      </w:pPr>
    </w:p>
    <w:p w:rsidR="00F32575" w:rsidRDefault="00F32575" w:rsidP="00F32575">
      <w:pPr>
        <w:spacing w:line="260" w:lineRule="exact"/>
        <w:ind w:left="851"/>
        <w:rPr>
          <w:sz w:val="24"/>
          <w:szCs w:val="24"/>
        </w:rPr>
      </w:pPr>
      <w:r>
        <w:rPr>
          <w:sz w:val="24"/>
          <w:szCs w:val="24"/>
        </w:rPr>
        <w:t>Alle hjælpestoffer er anført under pkt. 6.1.</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3.</w:t>
      </w:r>
      <w:r w:rsidRPr="00A10831">
        <w:rPr>
          <w:b/>
          <w:sz w:val="24"/>
          <w:szCs w:val="24"/>
        </w:rPr>
        <w:tab/>
        <w:t>LÆGEMIDDELFORM</w:t>
      </w:r>
    </w:p>
    <w:p w:rsidR="009D061C" w:rsidRPr="00A10831" w:rsidRDefault="009D061C" w:rsidP="009D061C">
      <w:pPr>
        <w:suppressAutoHyphens/>
        <w:ind w:left="851"/>
        <w:rPr>
          <w:sz w:val="24"/>
          <w:szCs w:val="24"/>
        </w:rPr>
      </w:pPr>
      <w:r w:rsidRPr="00A10831">
        <w:rPr>
          <w:spacing w:val="-3"/>
          <w:sz w:val="24"/>
          <w:szCs w:val="24"/>
        </w:rPr>
        <w:t>Filmovertrukne tabletter.</w:t>
      </w:r>
    </w:p>
    <w:p w:rsidR="009D061C" w:rsidRPr="00A10831" w:rsidRDefault="009D061C" w:rsidP="009D061C">
      <w:pPr>
        <w:suppressAutoHyphens/>
        <w:ind w:left="851" w:hanging="851"/>
        <w:rPr>
          <w:sz w:val="24"/>
          <w:szCs w:val="24"/>
        </w:rPr>
      </w:pPr>
    </w:p>
    <w:p w:rsidR="009D061C" w:rsidRPr="00A10831" w:rsidRDefault="009D061C" w:rsidP="009D061C">
      <w:pPr>
        <w:ind w:left="851" w:right="-171"/>
        <w:rPr>
          <w:sz w:val="24"/>
          <w:szCs w:val="24"/>
        </w:rPr>
      </w:pPr>
      <w:r w:rsidRPr="00A10831">
        <w:rPr>
          <w:sz w:val="24"/>
          <w:szCs w:val="24"/>
        </w:rPr>
        <w:t>Hvide til råhvide,</w:t>
      </w:r>
      <w:r w:rsidRPr="00A10831">
        <w:rPr>
          <w:bCs/>
          <w:sz w:val="24"/>
          <w:szCs w:val="24"/>
        </w:rPr>
        <w:t xml:space="preserve"> 10,0 mm x 4.0 mm kapselformede, </w:t>
      </w:r>
      <w:proofErr w:type="spellStart"/>
      <w:r w:rsidRPr="00A10831">
        <w:rPr>
          <w:bCs/>
          <w:sz w:val="24"/>
          <w:szCs w:val="24"/>
        </w:rPr>
        <w:t>bikonvekse</w:t>
      </w:r>
      <w:proofErr w:type="spellEnd"/>
      <w:r w:rsidRPr="00A10831">
        <w:rPr>
          <w:bCs/>
          <w:sz w:val="24"/>
          <w:szCs w:val="24"/>
        </w:rPr>
        <w:t>, filmovertrukne tabletter med delekærv på begge sider.</w:t>
      </w:r>
    </w:p>
    <w:p w:rsidR="009D061C" w:rsidRPr="00A10831" w:rsidRDefault="009D061C" w:rsidP="009D061C">
      <w:pPr>
        <w:ind w:left="851" w:hanging="851"/>
        <w:rPr>
          <w:sz w:val="24"/>
          <w:szCs w:val="24"/>
        </w:rPr>
      </w:pPr>
    </w:p>
    <w:p w:rsidR="009D061C" w:rsidRPr="00A10831" w:rsidRDefault="009D061C" w:rsidP="009D061C">
      <w:pPr>
        <w:ind w:left="851" w:right="-171"/>
        <w:rPr>
          <w:bCs/>
          <w:sz w:val="24"/>
          <w:szCs w:val="24"/>
        </w:rPr>
      </w:pPr>
      <w:r w:rsidRPr="00A10831">
        <w:rPr>
          <w:bCs/>
          <w:sz w:val="24"/>
          <w:szCs w:val="24"/>
        </w:rPr>
        <w:t xml:space="preserve">Tabletten </w:t>
      </w:r>
      <w:r w:rsidR="001F5E7E">
        <w:rPr>
          <w:bCs/>
          <w:sz w:val="24"/>
          <w:szCs w:val="24"/>
        </w:rPr>
        <w:t>kan</w:t>
      </w:r>
      <w:r w:rsidRPr="00A10831">
        <w:rPr>
          <w:bCs/>
          <w:sz w:val="24"/>
          <w:szCs w:val="24"/>
        </w:rPr>
        <w:t xml:space="preserve"> dele</w:t>
      </w:r>
      <w:r w:rsidR="001F5E7E">
        <w:rPr>
          <w:bCs/>
          <w:sz w:val="24"/>
          <w:szCs w:val="24"/>
        </w:rPr>
        <w:t>s</w:t>
      </w:r>
      <w:r w:rsidRPr="00A10831">
        <w:rPr>
          <w:bCs/>
          <w:sz w:val="24"/>
          <w:szCs w:val="24"/>
        </w:rPr>
        <w:t xml:space="preserve"> i to lige store doser.</w:t>
      </w:r>
    </w:p>
    <w:p w:rsidR="009D061C" w:rsidRPr="00A10831" w:rsidRDefault="009D061C" w:rsidP="009D061C">
      <w:pPr>
        <w:ind w:left="851" w:hanging="851"/>
        <w:rPr>
          <w:sz w:val="24"/>
          <w:szCs w:val="24"/>
        </w:rPr>
      </w:pP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4.</w:t>
      </w:r>
      <w:r w:rsidRPr="00A10831">
        <w:rPr>
          <w:b/>
          <w:sz w:val="24"/>
          <w:szCs w:val="24"/>
        </w:rPr>
        <w:tab/>
        <w:t>KLINISKE OPLYSNINGER</w:t>
      </w:r>
    </w:p>
    <w:p w:rsidR="009D061C" w:rsidRPr="00A10831" w:rsidRDefault="009D061C" w:rsidP="009D061C">
      <w:pPr>
        <w:ind w:left="851" w:hanging="851"/>
        <w:rPr>
          <w:b/>
          <w:sz w:val="24"/>
          <w:szCs w:val="24"/>
        </w:rPr>
      </w:pPr>
    </w:p>
    <w:p w:rsidR="009D061C" w:rsidRPr="00A10831" w:rsidRDefault="009D061C" w:rsidP="009D061C">
      <w:pPr>
        <w:ind w:left="851" w:hanging="851"/>
        <w:rPr>
          <w:b/>
          <w:sz w:val="24"/>
          <w:szCs w:val="24"/>
          <w:u w:val="single"/>
        </w:rPr>
      </w:pPr>
      <w:r w:rsidRPr="00A10831">
        <w:rPr>
          <w:b/>
          <w:sz w:val="24"/>
          <w:szCs w:val="24"/>
        </w:rPr>
        <w:t>4.1</w:t>
      </w:r>
      <w:r w:rsidRPr="00A10831">
        <w:rPr>
          <w:b/>
          <w:sz w:val="24"/>
          <w:szCs w:val="24"/>
        </w:rPr>
        <w:tab/>
        <w:t>Terapeutiske indikationer</w:t>
      </w:r>
    </w:p>
    <w:p w:rsidR="00F32575" w:rsidRDefault="00F32575" w:rsidP="00F32575">
      <w:pPr>
        <w:ind w:left="851"/>
        <w:rPr>
          <w:spacing w:val="-3"/>
          <w:sz w:val="24"/>
          <w:szCs w:val="24"/>
        </w:rPr>
      </w:pPr>
      <w:r>
        <w:rPr>
          <w:spacing w:val="-3"/>
          <w:sz w:val="24"/>
          <w:szCs w:val="24"/>
        </w:rPr>
        <w:t>Symptomatisk behandling af angst hos voksne.</w:t>
      </w:r>
    </w:p>
    <w:p w:rsidR="00F32575" w:rsidRDefault="00F32575" w:rsidP="00F32575">
      <w:pPr>
        <w:ind w:left="851"/>
        <w:rPr>
          <w:sz w:val="24"/>
          <w:szCs w:val="24"/>
        </w:rPr>
      </w:pPr>
      <w:r>
        <w:rPr>
          <w:spacing w:val="-3"/>
          <w:sz w:val="24"/>
          <w:szCs w:val="24"/>
        </w:rPr>
        <w:t xml:space="preserve">Symptomatisk behandling af </w:t>
      </w:r>
      <w:proofErr w:type="spellStart"/>
      <w:r>
        <w:rPr>
          <w:spacing w:val="-3"/>
          <w:sz w:val="24"/>
          <w:szCs w:val="24"/>
        </w:rPr>
        <w:t>pruritus</w:t>
      </w:r>
      <w:proofErr w:type="spellEnd"/>
      <w:r>
        <w:rPr>
          <w:spacing w:val="-3"/>
          <w:sz w:val="24"/>
          <w:szCs w:val="24"/>
        </w:rPr>
        <w:t xml:space="preserve"> hos voksne og børn </w:t>
      </w:r>
      <w:r>
        <w:rPr>
          <w:sz w:val="24"/>
          <w:szCs w:val="24"/>
        </w:rPr>
        <w:t>≥6 år.</w:t>
      </w:r>
    </w:p>
    <w:p w:rsidR="00F32575" w:rsidRDefault="00F32575" w:rsidP="00F32575">
      <w:pPr>
        <w:ind w:left="851" w:hanging="851"/>
        <w:rPr>
          <w:sz w:val="24"/>
          <w:szCs w:val="24"/>
        </w:rPr>
      </w:pPr>
    </w:p>
    <w:p w:rsidR="00F32575" w:rsidRDefault="00F32575" w:rsidP="00F32575">
      <w:pPr>
        <w:keepNext/>
        <w:ind w:left="851" w:hanging="851"/>
        <w:rPr>
          <w:b/>
          <w:sz w:val="24"/>
          <w:szCs w:val="24"/>
        </w:rPr>
      </w:pPr>
      <w:r>
        <w:rPr>
          <w:b/>
          <w:sz w:val="24"/>
          <w:szCs w:val="24"/>
        </w:rPr>
        <w:t>4.2</w:t>
      </w:r>
      <w:r>
        <w:rPr>
          <w:b/>
          <w:sz w:val="24"/>
          <w:szCs w:val="24"/>
        </w:rPr>
        <w:tab/>
        <w:t>Dosering og administration</w:t>
      </w:r>
    </w:p>
    <w:p w:rsidR="00F32575" w:rsidRDefault="00F32575" w:rsidP="00F32575">
      <w:pPr>
        <w:keepNext/>
        <w:ind w:left="851"/>
        <w:rPr>
          <w:sz w:val="24"/>
          <w:szCs w:val="24"/>
          <w:u w:val="single"/>
        </w:rPr>
      </w:pPr>
      <w:r>
        <w:rPr>
          <w:sz w:val="24"/>
          <w:szCs w:val="24"/>
          <w:u w:val="single"/>
        </w:rPr>
        <w:t>Dosering</w:t>
      </w:r>
    </w:p>
    <w:p w:rsidR="009D061C" w:rsidRPr="00A10831" w:rsidRDefault="009D061C" w:rsidP="001358B7">
      <w:pPr>
        <w:keepNext/>
        <w:ind w:left="851" w:hanging="851"/>
        <w:rPr>
          <w:sz w:val="24"/>
          <w:szCs w:val="24"/>
        </w:rPr>
      </w:pPr>
    </w:p>
    <w:p w:rsidR="00F32575" w:rsidRDefault="00F32575" w:rsidP="00F32575">
      <w:pPr>
        <w:ind w:left="851"/>
        <w:rPr>
          <w:sz w:val="24"/>
          <w:szCs w:val="24"/>
        </w:rPr>
      </w:pPr>
      <w:proofErr w:type="spellStart"/>
      <w:r>
        <w:rPr>
          <w:sz w:val="24"/>
          <w:szCs w:val="24"/>
        </w:rPr>
        <w:t>Hydroxyzine</w:t>
      </w:r>
      <w:proofErr w:type="spellEnd"/>
      <w:r>
        <w:rPr>
          <w:sz w:val="24"/>
          <w:szCs w:val="24"/>
        </w:rPr>
        <w:t xml:space="preserve"> "</w:t>
      </w:r>
      <w:proofErr w:type="spellStart"/>
      <w:r>
        <w:rPr>
          <w:sz w:val="24"/>
          <w:szCs w:val="24"/>
        </w:rPr>
        <w:t>Bluefish</w:t>
      </w:r>
      <w:proofErr w:type="spellEnd"/>
      <w:r>
        <w:rPr>
          <w:sz w:val="24"/>
          <w:szCs w:val="24"/>
        </w:rPr>
        <w:t>" bør anvendes ved den laveste effektive dosis og i en så kort periode som muligt.</w:t>
      </w:r>
    </w:p>
    <w:p w:rsidR="00F32575" w:rsidRDefault="00F32575" w:rsidP="00F32575">
      <w:pPr>
        <w:ind w:left="851" w:hanging="851"/>
        <w:rPr>
          <w:sz w:val="24"/>
          <w:szCs w:val="24"/>
        </w:rPr>
      </w:pPr>
    </w:p>
    <w:p w:rsidR="00F32575" w:rsidRDefault="00F32575" w:rsidP="00F32575">
      <w:pPr>
        <w:ind w:left="851" w:right="-171"/>
        <w:rPr>
          <w:bCs/>
          <w:i/>
          <w:iCs/>
          <w:sz w:val="24"/>
          <w:szCs w:val="24"/>
        </w:rPr>
      </w:pPr>
      <w:r>
        <w:rPr>
          <w:bCs/>
          <w:i/>
          <w:iCs/>
          <w:sz w:val="24"/>
          <w:szCs w:val="24"/>
          <w:u w:val="single"/>
        </w:rPr>
        <w:t>Voksne</w:t>
      </w:r>
      <w:r>
        <w:rPr>
          <w:bCs/>
          <w:i/>
          <w:iCs/>
          <w:sz w:val="24"/>
          <w:szCs w:val="24"/>
        </w:rPr>
        <w:t>:</w:t>
      </w:r>
    </w:p>
    <w:p w:rsidR="00F32575" w:rsidRDefault="00F32575" w:rsidP="00F32575">
      <w:pPr>
        <w:ind w:left="851" w:hanging="851"/>
        <w:rPr>
          <w:b/>
          <w:sz w:val="24"/>
          <w:szCs w:val="24"/>
        </w:rPr>
      </w:pPr>
    </w:p>
    <w:p w:rsidR="00F32575" w:rsidRDefault="00F32575" w:rsidP="00F32575">
      <w:pPr>
        <w:ind w:left="851"/>
        <w:rPr>
          <w:bCs/>
          <w:i/>
          <w:iCs/>
          <w:sz w:val="24"/>
          <w:szCs w:val="24"/>
        </w:rPr>
      </w:pPr>
      <w:r>
        <w:rPr>
          <w:bCs/>
          <w:i/>
          <w:iCs/>
          <w:sz w:val="24"/>
          <w:szCs w:val="24"/>
        </w:rPr>
        <w:t>Symptomatisk behandling af angst:</w:t>
      </w:r>
    </w:p>
    <w:p w:rsidR="00F32575" w:rsidRDefault="00F32575" w:rsidP="00F32575">
      <w:pPr>
        <w:ind w:left="851"/>
        <w:rPr>
          <w:b/>
          <w:sz w:val="24"/>
          <w:szCs w:val="24"/>
        </w:rPr>
      </w:pPr>
    </w:p>
    <w:p w:rsidR="00F32575" w:rsidRDefault="00F32575" w:rsidP="00F32575">
      <w:pPr>
        <w:ind w:left="851"/>
        <w:rPr>
          <w:sz w:val="24"/>
          <w:szCs w:val="24"/>
        </w:rPr>
      </w:pPr>
      <w:r>
        <w:rPr>
          <w:sz w:val="24"/>
          <w:szCs w:val="24"/>
        </w:rPr>
        <w:t>50 mg dagligt, fordelt på 3 doser dagligt</w:t>
      </w:r>
      <w:r w:rsidR="001F5E7E">
        <w:rPr>
          <w:sz w:val="24"/>
          <w:szCs w:val="24"/>
        </w:rPr>
        <w:t xml:space="preserve"> med 12,5 mg, 12,5 mg, 25 mg</w:t>
      </w:r>
      <w:r>
        <w:rPr>
          <w:sz w:val="24"/>
          <w:szCs w:val="24"/>
        </w:rPr>
        <w:t xml:space="preserve">, hvoraf den største dosis </w:t>
      </w:r>
      <w:r w:rsidR="001F5E7E">
        <w:rPr>
          <w:sz w:val="24"/>
          <w:szCs w:val="24"/>
        </w:rPr>
        <w:t>kan</w:t>
      </w:r>
      <w:r>
        <w:rPr>
          <w:sz w:val="24"/>
          <w:szCs w:val="24"/>
        </w:rPr>
        <w:t xml:space="preserve"> tages om aftenen. I sværere tilfælde kan der anvendes doser op til 100 mg/dag. Den maksimale dosis er 100 mg dagligt.</w:t>
      </w:r>
    </w:p>
    <w:p w:rsidR="00F32575" w:rsidRDefault="00F32575" w:rsidP="00F32575">
      <w:pPr>
        <w:ind w:left="851" w:hanging="851"/>
        <w:rPr>
          <w:sz w:val="24"/>
          <w:szCs w:val="24"/>
        </w:rPr>
      </w:pPr>
    </w:p>
    <w:p w:rsidR="00F32575" w:rsidRDefault="00F32575" w:rsidP="00F32575">
      <w:pPr>
        <w:ind w:left="851"/>
        <w:rPr>
          <w:sz w:val="24"/>
          <w:szCs w:val="24"/>
        </w:rPr>
      </w:pPr>
      <w:r>
        <w:rPr>
          <w:sz w:val="24"/>
          <w:szCs w:val="24"/>
        </w:rPr>
        <w:t xml:space="preserve">Medicinsk behandling af angst bør altid anvendes som </w:t>
      </w:r>
      <w:proofErr w:type="spellStart"/>
      <w:r>
        <w:rPr>
          <w:sz w:val="24"/>
          <w:szCs w:val="24"/>
        </w:rPr>
        <w:t>adjuverende</w:t>
      </w:r>
      <w:proofErr w:type="spellEnd"/>
      <w:r>
        <w:rPr>
          <w:sz w:val="24"/>
          <w:szCs w:val="24"/>
        </w:rPr>
        <w:t xml:space="preserve"> behandling. Behandlingen bør så vidt muligt initieres, monitoreres og seponeres af den samme læge.</w:t>
      </w:r>
    </w:p>
    <w:p w:rsidR="00F32575" w:rsidRDefault="00F32575" w:rsidP="00F32575">
      <w:pPr>
        <w:ind w:left="851" w:hanging="851"/>
        <w:rPr>
          <w:sz w:val="24"/>
          <w:szCs w:val="24"/>
        </w:rPr>
      </w:pPr>
    </w:p>
    <w:p w:rsidR="00F32575" w:rsidRDefault="00F32575" w:rsidP="00F32575">
      <w:pPr>
        <w:ind w:left="851"/>
        <w:jc w:val="both"/>
        <w:rPr>
          <w:bCs/>
          <w:i/>
          <w:iCs/>
          <w:sz w:val="24"/>
          <w:szCs w:val="24"/>
        </w:rPr>
      </w:pPr>
      <w:r>
        <w:rPr>
          <w:bCs/>
          <w:i/>
          <w:iCs/>
          <w:sz w:val="24"/>
          <w:szCs w:val="24"/>
        </w:rPr>
        <w:t xml:space="preserve">Symptomatisk behandling af </w:t>
      </w:r>
      <w:proofErr w:type="spellStart"/>
      <w:r>
        <w:rPr>
          <w:bCs/>
          <w:i/>
          <w:iCs/>
          <w:sz w:val="24"/>
          <w:szCs w:val="24"/>
        </w:rPr>
        <w:t>pruritus</w:t>
      </w:r>
      <w:proofErr w:type="spellEnd"/>
      <w:r>
        <w:rPr>
          <w:bCs/>
          <w:i/>
          <w:iCs/>
          <w:sz w:val="24"/>
          <w:szCs w:val="24"/>
        </w:rPr>
        <w:t>:</w:t>
      </w:r>
    </w:p>
    <w:p w:rsidR="00F32575" w:rsidRDefault="00F32575" w:rsidP="00F32575">
      <w:pPr>
        <w:ind w:left="851"/>
        <w:rPr>
          <w:b/>
          <w:sz w:val="24"/>
          <w:szCs w:val="24"/>
        </w:rPr>
      </w:pPr>
    </w:p>
    <w:p w:rsidR="00F32575" w:rsidRDefault="00F32575" w:rsidP="00F32575">
      <w:pPr>
        <w:ind w:left="851"/>
        <w:rPr>
          <w:sz w:val="24"/>
          <w:szCs w:val="24"/>
        </w:rPr>
      </w:pPr>
      <w:r>
        <w:rPr>
          <w:sz w:val="24"/>
          <w:szCs w:val="24"/>
        </w:rPr>
        <w:t>Startdosen er 25 mg om aftenen (cirka en time inden sengetid). Dosen kan efterfølgende øges op til 25 mg i alt 3-4 gange om dagen. Den maksimale daglige dosis er 100 mg dagligt.</w:t>
      </w:r>
    </w:p>
    <w:p w:rsidR="00F32575" w:rsidRDefault="00F32575" w:rsidP="00F32575">
      <w:pPr>
        <w:ind w:left="851"/>
        <w:rPr>
          <w:sz w:val="24"/>
          <w:szCs w:val="24"/>
        </w:rPr>
      </w:pPr>
    </w:p>
    <w:p w:rsidR="00F32575" w:rsidRDefault="00F32575" w:rsidP="00F32575">
      <w:pPr>
        <w:ind w:left="851"/>
        <w:rPr>
          <w:i/>
          <w:iCs/>
          <w:sz w:val="24"/>
          <w:szCs w:val="24"/>
        </w:rPr>
      </w:pPr>
      <w:r>
        <w:rPr>
          <w:i/>
          <w:iCs/>
          <w:sz w:val="24"/>
          <w:szCs w:val="24"/>
          <w:u w:val="single"/>
        </w:rPr>
        <w:t>Børn ≥6–17 år</w:t>
      </w:r>
      <w:r>
        <w:rPr>
          <w:i/>
          <w:iCs/>
          <w:sz w:val="24"/>
          <w:szCs w:val="24"/>
        </w:rPr>
        <w:t xml:space="preserve">: </w:t>
      </w:r>
    </w:p>
    <w:p w:rsidR="00F32575" w:rsidRDefault="00F32575" w:rsidP="00F32575">
      <w:pPr>
        <w:ind w:left="851"/>
        <w:rPr>
          <w:sz w:val="24"/>
          <w:szCs w:val="24"/>
        </w:rPr>
      </w:pPr>
    </w:p>
    <w:p w:rsidR="00F32575" w:rsidRDefault="00F32575" w:rsidP="00F32575">
      <w:pPr>
        <w:ind w:left="851"/>
        <w:jc w:val="both"/>
        <w:rPr>
          <w:i/>
          <w:iCs/>
          <w:sz w:val="24"/>
          <w:szCs w:val="24"/>
        </w:rPr>
      </w:pPr>
      <w:r>
        <w:rPr>
          <w:i/>
          <w:iCs/>
          <w:sz w:val="24"/>
          <w:szCs w:val="24"/>
        </w:rPr>
        <w:t xml:space="preserve">Symptomatisk behandling af </w:t>
      </w:r>
      <w:proofErr w:type="spellStart"/>
      <w:r>
        <w:rPr>
          <w:i/>
          <w:iCs/>
          <w:sz w:val="24"/>
          <w:szCs w:val="24"/>
        </w:rPr>
        <w:t>pruritus</w:t>
      </w:r>
      <w:proofErr w:type="spellEnd"/>
      <w:r>
        <w:rPr>
          <w:i/>
          <w:iCs/>
          <w:sz w:val="24"/>
          <w:szCs w:val="24"/>
        </w:rPr>
        <w:t>:</w:t>
      </w:r>
    </w:p>
    <w:p w:rsidR="00F32575" w:rsidRDefault="00F32575" w:rsidP="00F32575">
      <w:pPr>
        <w:ind w:left="851"/>
        <w:rPr>
          <w:sz w:val="24"/>
          <w:szCs w:val="24"/>
        </w:rPr>
      </w:pPr>
    </w:p>
    <w:p w:rsidR="00F32575" w:rsidRDefault="00F32575" w:rsidP="00F32575">
      <w:pPr>
        <w:ind w:left="851"/>
        <w:rPr>
          <w:sz w:val="24"/>
          <w:szCs w:val="24"/>
        </w:rPr>
      </w:pPr>
      <w:r>
        <w:rPr>
          <w:sz w:val="24"/>
          <w:szCs w:val="24"/>
        </w:rPr>
        <w:t>1 mg/kg/dag op til 2 mg/kg/dag, fordelt på flere doser (se pkt. 5.2).</w:t>
      </w:r>
    </w:p>
    <w:p w:rsidR="00F32575" w:rsidRDefault="00F32575" w:rsidP="00F32575">
      <w:pPr>
        <w:ind w:left="851"/>
        <w:rPr>
          <w:sz w:val="24"/>
          <w:szCs w:val="24"/>
        </w:rPr>
      </w:pPr>
      <w:r>
        <w:rPr>
          <w:sz w:val="24"/>
          <w:szCs w:val="24"/>
        </w:rPr>
        <w:t>Hos børn &lt;40 kg er den maksimale daglige dosis 2 mg/kg/dag.</w:t>
      </w:r>
    </w:p>
    <w:p w:rsidR="00F32575" w:rsidRDefault="00F32575" w:rsidP="00F32575">
      <w:pPr>
        <w:ind w:left="851"/>
        <w:rPr>
          <w:sz w:val="24"/>
          <w:szCs w:val="24"/>
        </w:rPr>
      </w:pPr>
      <w:r>
        <w:rPr>
          <w:sz w:val="24"/>
          <w:szCs w:val="24"/>
        </w:rPr>
        <w:t>Hos børn ≥40 kg er den maksimale daglige dosis 100 mg pr. dag.</w:t>
      </w:r>
    </w:p>
    <w:p w:rsidR="00F32575" w:rsidRDefault="00F32575" w:rsidP="00F32575">
      <w:pPr>
        <w:ind w:left="851" w:hanging="851"/>
        <w:rPr>
          <w:sz w:val="24"/>
          <w:szCs w:val="24"/>
        </w:rPr>
      </w:pPr>
    </w:p>
    <w:p w:rsidR="00F32575" w:rsidRDefault="00F32575" w:rsidP="00F32575">
      <w:pPr>
        <w:ind w:left="851"/>
        <w:rPr>
          <w:b/>
          <w:sz w:val="24"/>
          <w:szCs w:val="24"/>
        </w:rPr>
      </w:pPr>
      <w:r>
        <w:rPr>
          <w:b/>
          <w:sz w:val="24"/>
          <w:szCs w:val="24"/>
        </w:rPr>
        <w:t>Dosisjustering</w:t>
      </w:r>
    </w:p>
    <w:p w:rsidR="00F32575" w:rsidRDefault="00F32575" w:rsidP="00F32575">
      <w:pPr>
        <w:suppressAutoHyphens/>
        <w:ind w:left="851"/>
        <w:rPr>
          <w:spacing w:val="-3"/>
          <w:sz w:val="24"/>
          <w:szCs w:val="24"/>
        </w:rPr>
      </w:pPr>
      <w:r>
        <w:rPr>
          <w:spacing w:val="-3"/>
          <w:sz w:val="24"/>
          <w:szCs w:val="24"/>
        </w:rPr>
        <w:t>Dosis bør tilpasses inden for det anbefalede dosisområde og i forhold til patientens respons på behandlingen.</w:t>
      </w:r>
    </w:p>
    <w:p w:rsidR="00F32575" w:rsidRDefault="00F32575" w:rsidP="00F32575">
      <w:pPr>
        <w:suppressAutoHyphens/>
        <w:ind w:left="851" w:hanging="851"/>
        <w:rPr>
          <w:spacing w:val="-3"/>
          <w:sz w:val="24"/>
          <w:szCs w:val="24"/>
        </w:rPr>
      </w:pPr>
    </w:p>
    <w:p w:rsidR="00F32575" w:rsidRDefault="00F32575" w:rsidP="00F32575">
      <w:pPr>
        <w:suppressAutoHyphens/>
        <w:ind w:left="851"/>
        <w:rPr>
          <w:i/>
          <w:spacing w:val="-3"/>
          <w:sz w:val="24"/>
          <w:szCs w:val="24"/>
          <w:u w:val="single"/>
        </w:rPr>
      </w:pPr>
      <w:r>
        <w:rPr>
          <w:i/>
          <w:spacing w:val="-3"/>
          <w:sz w:val="24"/>
          <w:szCs w:val="24"/>
          <w:u w:val="single"/>
        </w:rPr>
        <w:t>Særlige populationer</w:t>
      </w:r>
    </w:p>
    <w:p w:rsidR="00F32575" w:rsidRDefault="00F32575" w:rsidP="00F32575">
      <w:pPr>
        <w:ind w:left="851" w:hanging="851"/>
        <w:rPr>
          <w:sz w:val="24"/>
          <w:szCs w:val="24"/>
        </w:rPr>
      </w:pPr>
    </w:p>
    <w:p w:rsidR="00F32575" w:rsidRDefault="00F32575" w:rsidP="00F32575">
      <w:pPr>
        <w:ind w:left="851"/>
        <w:rPr>
          <w:i/>
          <w:sz w:val="24"/>
          <w:szCs w:val="24"/>
        </w:rPr>
      </w:pPr>
      <w:r>
        <w:rPr>
          <w:i/>
          <w:sz w:val="24"/>
          <w:szCs w:val="24"/>
        </w:rPr>
        <w:t>Ældre:</w:t>
      </w:r>
    </w:p>
    <w:p w:rsidR="00F32575" w:rsidRDefault="00F32575" w:rsidP="00F32575">
      <w:pPr>
        <w:ind w:left="851"/>
        <w:rPr>
          <w:sz w:val="24"/>
          <w:szCs w:val="24"/>
        </w:rPr>
      </w:pPr>
      <w:r>
        <w:rPr>
          <w:sz w:val="24"/>
          <w:szCs w:val="24"/>
        </w:rPr>
        <w:t>På grund af den forlængede virkning hos ældre, anbefales det at begynde med halvdelen af den anbefalede dosis. Den lavest mulige dosis bør anvendes til behandling af ældre patienter. Den maksimale daglige dosis til ældre er 50 mg/dag (se pkt. 4.4). Resultaterne og behovet for behandling bør vurderes løbende.</w:t>
      </w:r>
    </w:p>
    <w:p w:rsidR="00F32575" w:rsidRDefault="00F32575" w:rsidP="00F32575">
      <w:pPr>
        <w:ind w:left="851" w:hanging="851"/>
        <w:rPr>
          <w:sz w:val="24"/>
          <w:szCs w:val="24"/>
        </w:rPr>
      </w:pPr>
    </w:p>
    <w:p w:rsidR="00F32575" w:rsidRDefault="00F32575" w:rsidP="00F32575">
      <w:pPr>
        <w:ind w:left="851"/>
        <w:rPr>
          <w:i/>
          <w:sz w:val="24"/>
          <w:szCs w:val="24"/>
        </w:rPr>
      </w:pPr>
      <w:r>
        <w:rPr>
          <w:i/>
          <w:sz w:val="24"/>
          <w:szCs w:val="24"/>
        </w:rPr>
        <w:t>Patienter med nedsat nyrefunktion:</w:t>
      </w:r>
    </w:p>
    <w:p w:rsidR="00F32575" w:rsidRDefault="00F32575" w:rsidP="00F32575">
      <w:pPr>
        <w:ind w:left="851"/>
        <w:rPr>
          <w:spacing w:val="-3"/>
          <w:sz w:val="24"/>
          <w:szCs w:val="24"/>
        </w:rPr>
      </w:pPr>
      <w:r>
        <w:rPr>
          <w:spacing w:val="-3"/>
          <w:sz w:val="24"/>
          <w:szCs w:val="24"/>
        </w:rPr>
        <w:t xml:space="preserve">Der bør udvises forsigtighed hos patienter med nedsat nyrefunktion. Dosis bør reduceres hos patienter med moderat til svært nedsat nyrefunktion på grund af nedsat udskillelse af metabolitten </w:t>
      </w:r>
      <w:proofErr w:type="spellStart"/>
      <w:r>
        <w:rPr>
          <w:spacing w:val="-3"/>
          <w:sz w:val="24"/>
          <w:szCs w:val="24"/>
        </w:rPr>
        <w:t>cetirizin</w:t>
      </w:r>
      <w:proofErr w:type="spellEnd"/>
      <w:r>
        <w:rPr>
          <w:spacing w:val="-3"/>
          <w:sz w:val="24"/>
          <w:szCs w:val="24"/>
        </w:rPr>
        <w:t xml:space="preserve">. Se tabellen nedenfor, og juster dosis som anvist. Dosisreduktion kan have indvirkning på </w:t>
      </w:r>
      <w:proofErr w:type="spellStart"/>
      <w:r>
        <w:rPr>
          <w:spacing w:val="-3"/>
          <w:sz w:val="24"/>
          <w:szCs w:val="24"/>
        </w:rPr>
        <w:t>hydroxyzins</w:t>
      </w:r>
      <w:proofErr w:type="spellEnd"/>
      <w:r>
        <w:rPr>
          <w:spacing w:val="-3"/>
          <w:sz w:val="24"/>
          <w:szCs w:val="24"/>
        </w:rPr>
        <w:t xml:space="preserve"> </w:t>
      </w:r>
      <w:proofErr w:type="spellStart"/>
      <w:r>
        <w:rPr>
          <w:spacing w:val="-3"/>
          <w:sz w:val="24"/>
          <w:szCs w:val="24"/>
        </w:rPr>
        <w:t>anxiolytiske</w:t>
      </w:r>
      <w:proofErr w:type="spellEnd"/>
      <w:r>
        <w:rPr>
          <w:spacing w:val="-3"/>
          <w:sz w:val="24"/>
          <w:szCs w:val="24"/>
        </w:rPr>
        <w:t xml:space="preserve"> virkning. Dette bør vurderes i hvert enkelt tilfælde.</w:t>
      </w:r>
    </w:p>
    <w:p w:rsidR="00F32575" w:rsidRDefault="00F32575" w:rsidP="00F32575">
      <w:pPr>
        <w:ind w:left="851"/>
        <w:rPr>
          <w:spacing w:val="-3"/>
          <w:sz w:val="24"/>
          <w:szCs w:val="24"/>
        </w:rPr>
      </w:pPr>
    </w:p>
    <w:p w:rsidR="00F32575" w:rsidRDefault="00F32575" w:rsidP="00F32575">
      <w:pPr>
        <w:ind w:left="851"/>
        <w:rPr>
          <w:spacing w:val="-3"/>
          <w:sz w:val="24"/>
          <w:szCs w:val="24"/>
        </w:rPr>
      </w:pPr>
      <w:r>
        <w:rPr>
          <w:spacing w:val="-3"/>
          <w:sz w:val="24"/>
          <w:szCs w:val="24"/>
        </w:rPr>
        <w:t>Dosisjustering hos voksne patienter med nedsat nyrefunktion.</w:t>
      </w:r>
    </w:p>
    <w:p w:rsidR="00F32575" w:rsidRDefault="00F32575" w:rsidP="00F32575">
      <w:pPr>
        <w:ind w:left="851"/>
        <w:rPr>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00"/>
        <w:gridCol w:w="2185"/>
      </w:tblGrid>
      <w:tr w:rsidR="00F32575" w:rsidTr="00F32575">
        <w:trPr>
          <w:jc w:val="center"/>
        </w:trPr>
        <w:tc>
          <w:tcPr>
            <w:tcW w:w="3261" w:type="dxa"/>
            <w:tcBorders>
              <w:top w:val="single" w:sz="4" w:space="0" w:color="auto"/>
              <w:left w:val="single" w:sz="4" w:space="0" w:color="auto"/>
              <w:bottom w:val="single" w:sz="4" w:space="0" w:color="auto"/>
              <w:right w:val="single" w:sz="4" w:space="0" w:color="auto"/>
            </w:tcBorders>
            <w:hideMark/>
          </w:tcPr>
          <w:p w:rsidR="00F32575" w:rsidRDefault="00F32575">
            <w:pPr>
              <w:ind w:right="-171"/>
              <w:jc w:val="center"/>
              <w:rPr>
                <w:szCs w:val="22"/>
              </w:rPr>
            </w:pPr>
            <w:r>
              <w:rPr>
                <w:rStyle w:val="Strk"/>
                <w:rFonts w:ascii="Helvetica" w:hAnsi="Helvetica" w:cs="Helvetica"/>
                <w:color w:val="222222"/>
                <w:sz w:val="20"/>
              </w:rPr>
              <w:t>Gruppe</w:t>
            </w:r>
          </w:p>
        </w:tc>
        <w:tc>
          <w:tcPr>
            <w:tcW w:w="1500" w:type="dxa"/>
            <w:tcBorders>
              <w:top w:val="single" w:sz="4" w:space="0" w:color="auto"/>
              <w:left w:val="single" w:sz="4" w:space="0" w:color="auto"/>
              <w:bottom w:val="single" w:sz="4" w:space="0" w:color="auto"/>
              <w:right w:val="single" w:sz="4" w:space="0" w:color="auto"/>
            </w:tcBorders>
            <w:hideMark/>
          </w:tcPr>
          <w:p w:rsidR="00F32575" w:rsidRDefault="00F32575">
            <w:pPr>
              <w:pStyle w:val="NormalWeb"/>
              <w:spacing w:before="0" w:beforeAutospacing="0" w:after="0" w:afterAutospacing="0"/>
              <w:jc w:val="center"/>
              <w:rPr>
                <w:rStyle w:val="Strk"/>
                <w:rFonts w:ascii="Helvetica" w:hAnsi="Helvetica" w:cs="Helvetica"/>
                <w:color w:val="222222"/>
                <w:sz w:val="20"/>
                <w:szCs w:val="20"/>
              </w:rPr>
            </w:pPr>
            <w:r>
              <w:rPr>
                <w:rStyle w:val="Strk"/>
                <w:rFonts w:ascii="Helvetica" w:hAnsi="Helvetica" w:cs="Helvetica"/>
                <w:color w:val="222222"/>
                <w:sz w:val="20"/>
                <w:szCs w:val="20"/>
              </w:rPr>
              <w:t>eGFR</w:t>
            </w:r>
          </w:p>
          <w:p w:rsidR="00F32575" w:rsidRDefault="00F32575">
            <w:pPr>
              <w:pStyle w:val="NormalWeb"/>
              <w:spacing w:before="0" w:beforeAutospacing="0" w:after="0" w:afterAutospacing="0"/>
              <w:jc w:val="center"/>
            </w:pPr>
            <w:r>
              <w:rPr>
                <w:rStyle w:val="Strk"/>
                <w:rFonts w:ascii="Helvetica" w:hAnsi="Helvetica" w:cs="Helvetica"/>
                <w:color w:val="222222"/>
                <w:sz w:val="20"/>
                <w:szCs w:val="20"/>
              </w:rPr>
              <w:t>(ml/min)</w:t>
            </w:r>
          </w:p>
        </w:tc>
        <w:tc>
          <w:tcPr>
            <w:tcW w:w="2185" w:type="dxa"/>
            <w:tcBorders>
              <w:top w:val="single" w:sz="4" w:space="0" w:color="auto"/>
              <w:left w:val="single" w:sz="4" w:space="0" w:color="auto"/>
              <w:bottom w:val="single" w:sz="4" w:space="0" w:color="auto"/>
              <w:right w:val="single" w:sz="4" w:space="0" w:color="auto"/>
            </w:tcBorders>
            <w:hideMark/>
          </w:tcPr>
          <w:p w:rsidR="00F32575" w:rsidRDefault="00F32575">
            <w:pPr>
              <w:ind w:right="-171"/>
              <w:jc w:val="center"/>
              <w:rPr>
                <w:szCs w:val="22"/>
              </w:rPr>
            </w:pPr>
            <w:r>
              <w:rPr>
                <w:rStyle w:val="Strk"/>
                <w:rFonts w:ascii="Helvetica" w:hAnsi="Helvetica" w:cs="Helvetica"/>
                <w:color w:val="222222"/>
                <w:sz w:val="20"/>
              </w:rPr>
              <w:t>Procentdel af anbefalet </w:t>
            </w:r>
            <w:r>
              <w:rPr>
                <w:rStyle w:val="word-explaination"/>
                <w:rFonts w:ascii="Helvetica" w:hAnsi="Helvetica" w:cs="Helvetica"/>
                <w:b/>
                <w:bCs/>
                <w:color w:val="222222"/>
                <w:sz w:val="20"/>
              </w:rPr>
              <w:t>dosi</w:t>
            </w:r>
            <w:r>
              <w:rPr>
                <w:rStyle w:val="word-explaination"/>
                <w:rFonts w:ascii="Helvetica" w:hAnsi="Helvetica" w:cs="Helvetica"/>
                <w:b/>
                <w:sz w:val="20"/>
              </w:rPr>
              <w:t>s</w:t>
            </w:r>
          </w:p>
        </w:tc>
      </w:tr>
      <w:tr w:rsidR="00F32575" w:rsidTr="00F32575">
        <w:trPr>
          <w:jc w:val="center"/>
        </w:trPr>
        <w:tc>
          <w:tcPr>
            <w:tcW w:w="3261" w:type="dxa"/>
            <w:tcBorders>
              <w:top w:val="single" w:sz="4" w:space="0" w:color="auto"/>
              <w:left w:val="single" w:sz="4" w:space="0" w:color="auto"/>
              <w:bottom w:val="single" w:sz="4" w:space="0" w:color="auto"/>
              <w:right w:val="single" w:sz="4" w:space="0" w:color="auto"/>
            </w:tcBorders>
            <w:hideMark/>
          </w:tcPr>
          <w:p w:rsidR="00F32575" w:rsidRDefault="00F32575">
            <w:pPr>
              <w:ind w:right="-171"/>
              <w:rPr>
                <w:rFonts w:ascii="Helvetica" w:hAnsi="Helvetica" w:cs="Helvetica"/>
                <w:sz w:val="20"/>
              </w:rPr>
            </w:pPr>
            <w:r>
              <w:rPr>
                <w:rFonts w:ascii="Helvetica" w:hAnsi="Helvetica" w:cs="Helvetica"/>
                <w:color w:val="222222"/>
                <w:sz w:val="20"/>
              </w:rPr>
              <w:t>L</w:t>
            </w:r>
            <w:r>
              <w:rPr>
                <w:rFonts w:ascii="Helvetica" w:hAnsi="Helvetica" w:cs="Helvetica"/>
                <w:sz w:val="20"/>
              </w:rPr>
              <w:t>et nedsat nyrefunktion</w:t>
            </w:r>
          </w:p>
        </w:tc>
        <w:tc>
          <w:tcPr>
            <w:tcW w:w="1500" w:type="dxa"/>
            <w:tcBorders>
              <w:top w:val="single" w:sz="4" w:space="0" w:color="auto"/>
              <w:left w:val="single" w:sz="4" w:space="0" w:color="auto"/>
              <w:bottom w:val="single" w:sz="4" w:space="0" w:color="auto"/>
              <w:right w:val="single" w:sz="4" w:space="0" w:color="auto"/>
            </w:tcBorders>
            <w:hideMark/>
          </w:tcPr>
          <w:p w:rsidR="00F32575" w:rsidRDefault="00F32575">
            <w:pPr>
              <w:ind w:right="-171"/>
              <w:jc w:val="center"/>
              <w:rPr>
                <w:szCs w:val="22"/>
              </w:rPr>
            </w:pPr>
            <w:r>
              <w:rPr>
                <w:rFonts w:ascii="Helvetica" w:hAnsi="Helvetica" w:cs="Helvetica"/>
                <w:color w:val="222222"/>
                <w:sz w:val="20"/>
              </w:rPr>
              <w:t>60 - &lt; 90</w:t>
            </w:r>
          </w:p>
        </w:tc>
        <w:tc>
          <w:tcPr>
            <w:tcW w:w="2185" w:type="dxa"/>
            <w:tcBorders>
              <w:top w:val="single" w:sz="4" w:space="0" w:color="auto"/>
              <w:left w:val="single" w:sz="4" w:space="0" w:color="auto"/>
              <w:bottom w:val="single" w:sz="4" w:space="0" w:color="auto"/>
              <w:right w:val="single" w:sz="4" w:space="0" w:color="auto"/>
            </w:tcBorders>
            <w:hideMark/>
          </w:tcPr>
          <w:p w:rsidR="00F32575" w:rsidRDefault="00F32575">
            <w:pPr>
              <w:ind w:right="-171"/>
              <w:jc w:val="center"/>
              <w:rPr>
                <w:szCs w:val="22"/>
              </w:rPr>
            </w:pPr>
            <w:r>
              <w:rPr>
                <w:rFonts w:ascii="Helvetica" w:hAnsi="Helvetica" w:cs="Helvetica"/>
                <w:color w:val="222222"/>
                <w:sz w:val="20"/>
              </w:rPr>
              <w:t>100 %</w:t>
            </w:r>
          </w:p>
        </w:tc>
      </w:tr>
      <w:tr w:rsidR="00F32575" w:rsidTr="00F32575">
        <w:trPr>
          <w:jc w:val="center"/>
        </w:trPr>
        <w:tc>
          <w:tcPr>
            <w:tcW w:w="3261" w:type="dxa"/>
            <w:tcBorders>
              <w:top w:val="single" w:sz="4" w:space="0" w:color="auto"/>
              <w:left w:val="single" w:sz="4" w:space="0" w:color="auto"/>
              <w:bottom w:val="single" w:sz="4" w:space="0" w:color="auto"/>
              <w:right w:val="single" w:sz="4" w:space="0" w:color="auto"/>
            </w:tcBorders>
            <w:hideMark/>
          </w:tcPr>
          <w:p w:rsidR="00F32575" w:rsidRDefault="00F32575">
            <w:pPr>
              <w:ind w:right="-171"/>
              <w:rPr>
                <w:szCs w:val="22"/>
              </w:rPr>
            </w:pPr>
            <w:r>
              <w:rPr>
                <w:rFonts w:ascii="Helvetica" w:hAnsi="Helvetica" w:cs="Helvetica"/>
                <w:color w:val="222222"/>
                <w:sz w:val="20"/>
              </w:rPr>
              <w:t>Moderat nedsat nyrefunktion</w:t>
            </w:r>
          </w:p>
        </w:tc>
        <w:tc>
          <w:tcPr>
            <w:tcW w:w="1500" w:type="dxa"/>
            <w:tcBorders>
              <w:top w:val="single" w:sz="4" w:space="0" w:color="auto"/>
              <w:left w:val="single" w:sz="4" w:space="0" w:color="auto"/>
              <w:bottom w:val="single" w:sz="4" w:space="0" w:color="auto"/>
              <w:right w:val="single" w:sz="4" w:space="0" w:color="auto"/>
            </w:tcBorders>
            <w:hideMark/>
          </w:tcPr>
          <w:p w:rsidR="00F32575" w:rsidRDefault="00F32575">
            <w:pPr>
              <w:ind w:right="-171"/>
              <w:jc w:val="center"/>
              <w:rPr>
                <w:szCs w:val="22"/>
              </w:rPr>
            </w:pPr>
            <w:r>
              <w:rPr>
                <w:rFonts w:ascii="Helvetica" w:hAnsi="Helvetica" w:cs="Helvetica"/>
                <w:color w:val="222222"/>
                <w:sz w:val="20"/>
              </w:rPr>
              <w:t>30 - &lt; 60</w:t>
            </w:r>
          </w:p>
        </w:tc>
        <w:tc>
          <w:tcPr>
            <w:tcW w:w="2185" w:type="dxa"/>
            <w:tcBorders>
              <w:top w:val="single" w:sz="4" w:space="0" w:color="auto"/>
              <w:left w:val="single" w:sz="4" w:space="0" w:color="auto"/>
              <w:bottom w:val="single" w:sz="4" w:space="0" w:color="auto"/>
              <w:right w:val="single" w:sz="4" w:space="0" w:color="auto"/>
            </w:tcBorders>
            <w:hideMark/>
          </w:tcPr>
          <w:p w:rsidR="00F32575" w:rsidRDefault="00F32575">
            <w:pPr>
              <w:ind w:right="-171"/>
              <w:jc w:val="center"/>
              <w:rPr>
                <w:szCs w:val="22"/>
              </w:rPr>
            </w:pPr>
            <w:r>
              <w:rPr>
                <w:rFonts w:ascii="Helvetica" w:hAnsi="Helvetica" w:cs="Helvetica"/>
                <w:color w:val="222222"/>
                <w:sz w:val="20"/>
              </w:rPr>
              <w:t>50 %</w:t>
            </w:r>
          </w:p>
        </w:tc>
      </w:tr>
      <w:tr w:rsidR="00F32575" w:rsidTr="00F32575">
        <w:trPr>
          <w:jc w:val="center"/>
        </w:trPr>
        <w:tc>
          <w:tcPr>
            <w:tcW w:w="3261" w:type="dxa"/>
            <w:tcBorders>
              <w:top w:val="single" w:sz="4" w:space="0" w:color="auto"/>
              <w:left w:val="single" w:sz="4" w:space="0" w:color="auto"/>
              <w:bottom w:val="single" w:sz="4" w:space="0" w:color="auto"/>
              <w:right w:val="single" w:sz="4" w:space="0" w:color="auto"/>
            </w:tcBorders>
            <w:hideMark/>
          </w:tcPr>
          <w:p w:rsidR="00F32575" w:rsidRDefault="00F32575">
            <w:pPr>
              <w:ind w:right="-171"/>
              <w:rPr>
                <w:szCs w:val="22"/>
              </w:rPr>
            </w:pPr>
            <w:r>
              <w:rPr>
                <w:rFonts w:ascii="Helvetica" w:hAnsi="Helvetica" w:cs="Helvetica"/>
                <w:color w:val="222222"/>
                <w:sz w:val="20"/>
              </w:rPr>
              <w:t>Svært nedsat nyrefunktion</w:t>
            </w:r>
          </w:p>
        </w:tc>
        <w:tc>
          <w:tcPr>
            <w:tcW w:w="1500" w:type="dxa"/>
            <w:tcBorders>
              <w:top w:val="single" w:sz="4" w:space="0" w:color="auto"/>
              <w:left w:val="single" w:sz="4" w:space="0" w:color="auto"/>
              <w:bottom w:val="single" w:sz="4" w:space="0" w:color="auto"/>
              <w:right w:val="single" w:sz="4" w:space="0" w:color="auto"/>
            </w:tcBorders>
            <w:hideMark/>
          </w:tcPr>
          <w:p w:rsidR="00F32575" w:rsidRDefault="00F32575">
            <w:pPr>
              <w:ind w:right="-171"/>
              <w:jc w:val="center"/>
              <w:rPr>
                <w:szCs w:val="22"/>
              </w:rPr>
            </w:pPr>
            <w:r>
              <w:rPr>
                <w:rFonts w:ascii="Helvetica" w:hAnsi="Helvetica" w:cs="Helvetica"/>
                <w:color w:val="222222"/>
                <w:sz w:val="20"/>
              </w:rPr>
              <w:t>15 - &lt; 30</w:t>
            </w:r>
          </w:p>
        </w:tc>
        <w:tc>
          <w:tcPr>
            <w:tcW w:w="2185" w:type="dxa"/>
            <w:tcBorders>
              <w:top w:val="single" w:sz="4" w:space="0" w:color="auto"/>
              <w:left w:val="single" w:sz="4" w:space="0" w:color="auto"/>
              <w:bottom w:val="single" w:sz="4" w:space="0" w:color="auto"/>
              <w:right w:val="single" w:sz="4" w:space="0" w:color="auto"/>
            </w:tcBorders>
            <w:hideMark/>
          </w:tcPr>
          <w:p w:rsidR="00F32575" w:rsidRDefault="00F32575">
            <w:pPr>
              <w:ind w:right="-171"/>
              <w:jc w:val="center"/>
              <w:rPr>
                <w:szCs w:val="22"/>
              </w:rPr>
            </w:pPr>
            <w:r>
              <w:rPr>
                <w:rFonts w:ascii="Helvetica" w:hAnsi="Helvetica" w:cs="Helvetica"/>
                <w:color w:val="222222"/>
                <w:sz w:val="20"/>
              </w:rPr>
              <w:t>25 %</w:t>
            </w:r>
          </w:p>
        </w:tc>
      </w:tr>
      <w:tr w:rsidR="00F32575" w:rsidTr="00F32575">
        <w:trPr>
          <w:jc w:val="center"/>
        </w:trPr>
        <w:tc>
          <w:tcPr>
            <w:tcW w:w="3261" w:type="dxa"/>
            <w:tcBorders>
              <w:top w:val="single" w:sz="4" w:space="0" w:color="auto"/>
              <w:left w:val="single" w:sz="4" w:space="0" w:color="auto"/>
              <w:bottom w:val="single" w:sz="4" w:space="0" w:color="auto"/>
              <w:right w:val="single" w:sz="4" w:space="0" w:color="auto"/>
            </w:tcBorders>
            <w:hideMark/>
          </w:tcPr>
          <w:p w:rsidR="00F32575" w:rsidRDefault="00F32575">
            <w:pPr>
              <w:ind w:right="-171"/>
              <w:rPr>
                <w:szCs w:val="22"/>
              </w:rPr>
            </w:pPr>
            <w:r>
              <w:rPr>
                <w:rFonts w:ascii="Helvetica" w:hAnsi="Helvetica" w:cs="Helvetica"/>
                <w:color w:val="222222"/>
                <w:sz w:val="20"/>
              </w:rPr>
              <w:t>Nyresvigt i slutstadiet (ESRD)</w:t>
            </w:r>
          </w:p>
        </w:tc>
        <w:tc>
          <w:tcPr>
            <w:tcW w:w="1500" w:type="dxa"/>
            <w:tcBorders>
              <w:top w:val="single" w:sz="4" w:space="0" w:color="auto"/>
              <w:left w:val="single" w:sz="4" w:space="0" w:color="auto"/>
              <w:bottom w:val="single" w:sz="4" w:space="0" w:color="auto"/>
              <w:right w:val="single" w:sz="4" w:space="0" w:color="auto"/>
            </w:tcBorders>
            <w:hideMark/>
          </w:tcPr>
          <w:p w:rsidR="00F32575" w:rsidRDefault="00F32575">
            <w:pPr>
              <w:ind w:right="-171"/>
              <w:jc w:val="center"/>
              <w:rPr>
                <w:szCs w:val="22"/>
              </w:rPr>
            </w:pPr>
            <w:r>
              <w:rPr>
                <w:rFonts w:ascii="Helvetica" w:hAnsi="Helvetica" w:cs="Helvetica"/>
                <w:color w:val="222222"/>
                <w:sz w:val="20"/>
              </w:rPr>
              <w:t>&lt; 15</w:t>
            </w:r>
          </w:p>
        </w:tc>
        <w:tc>
          <w:tcPr>
            <w:tcW w:w="2185" w:type="dxa"/>
            <w:tcBorders>
              <w:top w:val="single" w:sz="4" w:space="0" w:color="auto"/>
              <w:left w:val="single" w:sz="4" w:space="0" w:color="auto"/>
              <w:bottom w:val="single" w:sz="4" w:space="0" w:color="auto"/>
              <w:right w:val="single" w:sz="4" w:space="0" w:color="auto"/>
            </w:tcBorders>
            <w:hideMark/>
          </w:tcPr>
          <w:p w:rsidR="00F32575" w:rsidRDefault="00F32575">
            <w:pPr>
              <w:pStyle w:val="NormalWeb"/>
              <w:spacing w:before="0" w:beforeAutospacing="0" w:after="0" w:afterAutospacing="0"/>
              <w:jc w:val="center"/>
              <w:rPr>
                <w:rFonts w:ascii="Helvetica" w:hAnsi="Helvetica" w:cs="Helvetica"/>
                <w:color w:val="222222"/>
                <w:sz w:val="20"/>
                <w:szCs w:val="20"/>
              </w:rPr>
            </w:pPr>
            <w:r>
              <w:rPr>
                <w:rFonts w:ascii="Helvetica" w:hAnsi="Helvetica" w:cs="Helvetica"/>
                <w:color w:val="222222"/>
                <w:sz w:val="20"/>
                <w:szCs w:val="20"/>
              </w:rPr>
              <w:t>25 %</w:t>
            </w:r>
          </w:p>
          <w:p w:rsidR="00F32575" w:rsidRDefault="00F32575">
            <w:pPr>
              <w:ind w:right="-171"/>
              <w:jc w:val="center"/>
              <w:rPr>
                <w:szCs w:val="22"/>
              </w:rPr>
            </w:pPr>
            <w:r>
              <w:rPr>
                <w:rFonts w:ascii="Helvetica" w:hAnsi="Helvetica" w:cs="Helvetica"/>
                <w:color w:val="222222"/>
                <w:sz w:val="20"/>
              </w:rPr>
              <w:t>3 gange om ugen</w:t>
            </w:r>
          </w:p>
        </w:tc>
      </w:tr>
    </w:tbl>
    <w:p w:rsidR="00F32575" w:rsidRDefault="00F32575" w:rsidP="00F32575">
      <w:pPr>
        <w:ind w:left="851"/>
        <w:rPr>
          <w:spacing w:val="-3"/>
          <w:sz w:val="24"/>
          <w:szCs w:val="24"/>
        </w:rPr>
      </w:pPr>
    </w:p>
    <w:p w:rsidR="00F32575" w:rsidRDefault="00F32575" w:rsidP="00F32575">
      <w:pPr>
        <w:ind w:left="851"/>
        <w:rPr>
          <w:spacing w:val="-3"/>
          <w:sz w:val="24"/>
          <w:szCs w:val="24"/>
        </w:rPr>
      </w:pPr>
    </w:p>
    <w:p w:rsidR="00F32575" w:rsidRDefault="00F32575" w:rsidP="00F32575">
      <w:pPr>
        <w:ind w:left="851"/>
        <w:rPr>
          <w:i/>
          <w:spacing w:val="-3"/>
          <w:sz w:val="24"/>
          <w:szCs w:val="24"/>
        </w:rPr>
      </w:pPr>
      <w:r>
        <w:rPr>
          <w:i/>
          <w:spacing w:val="-3"/>
          <w:sz w:val="24"/>
          <w:szCs w:val="24"/>
        </w:rPr>
        <w:t>Patienter med nedsat leverfunktion:</w:t>
      </w:r>
    </w:p>
    <w:p w:rsidR="00F32575" w:rsidRDefault="00F32575" w:rsidP="00F32575">
      <w:pPr>
        <w:ind w:left="851"/>
        <w:rPr>
          <w:sz w:val="24"/>
          <w:szCs w:val="24"/>
        </w:rPr>
      </w:pPr>
      <w:r>
        <w:rPr>
          <w:sz w:val="24"/>
          <w:szCs w:val="24"/>
        </w:rPr>
        <w:t>Der bør udvises forsigtighed hos patienter med nedsat leverfunktion, og reduktion af dosis bør overvejes.</w:t>
      </w:r>
    </w:p>
    <w:p w:rsidR="00F32575" w:rsidRDefault="00F32575" w:rsidP="00F32575">
      <w:pPr>
        <w:ind w:left="851" w:hanging="851"/>
        <w:rPr>
          <w:sz w:val="24"/>
          <w:szCs w:val="24"/>
        </w:rPr>
      </w:pPr>
    </w:p>
    <w:p w:rsidR="00F32575" w:rsidRDefault="00F32575" w:rsidP="00F32575">
      <w:pPr>
        <w:ind w:left="851"/>
        <w:rPr>
          <w:i/>
          <w:sz w:val="24"/>
          <w:szCs w:val="24"/>
        </w:rPr>
      </w:pPr>
      <w:r>
        <w:rPr>
          <w:i/>
          <w:sz w:val="24"/>
          <w:szCs w:val="24"/>
        </w:rPr>
        <w:t>Pædiatrisk population:</w:t>
      </w:r>
    </w:p>
    <w:p w:rsidR="00F32575" w:rsidRDefault="00F32575" w:rsidP="00F32575">
      <w:pPr>
        <w:ind w:left="851"/>
        <w:rPr>
          <w:sz w:val="24"/>
          <w:szCs w:val="24"/>
        </w:rPr>
      </w:pPr>
      <w:proofErr w:type="spellStart"/>
      <w:r>
        <w:rPr>
          <w:sz w:val="24"/>
          <w:szCs w:val="24"/>
        </w:rPr>
        <w:t>Hydroxyzine</w:t>
      </w:r>
      <w:proofErr w:type="spellEnd"/>
      <w:r>
        <w:rPr>
          <w:sz w:val="24"/>
          <w:szCs w:val="24"/>
        </w:rPr>
        <w:t xml:space="preserve"> "</w:t>
      </w:r>
      <w:proofErr w:type="spellStart"/>
      <w:r>
        <w:rPr>
          <w:sz w:val="24"/>
          <w:szCs w:val="24"/>
        </w:rPr>
        <w:t>Bluefish</w:t>
      </w:r>
      <w:proofErr w:type="spellEnd"/>
      <w:r>
        <w:rPr>
          <w:sz w:val="24"/>
          <w:szCs w:val="24"/>
        </w:rPr>
        <w:t>" filmovertrukne tabletter frarådes til pædiatriske patienter under 6 år, da de kan have svært ved at synke tabletter.</w:t>
      </w:r>
    </w:p>
    <w:p w:rsidR="00F32575" w:rsidRDefault="00F32575" w:rsidP="00F32575">
      <w:pPr>
        <w:ind w:left="851"/>
        <w:rPr>
          <w:sz w:val="24"/>
          <w:szCs w:val="24"/>
        </w:rPr>
      </w:pPr>
      <w:proofErr w:type="spellStart"/>
      <w:r>
        <w:rPr>
          <w:sz w:val="24"/>
          <w:szCs w:val="24"/>
        </w:rPr>
        <w:t>Hydroxyzins</w:t>
      </w:r>
      <w:proofErr w:type="spellEnd"/>
      <w:r>
        <w:rPr>
          <w:sz w:val="24"/>
          <w:szCs w:val="24"/>
        </w:rPr>
        <w:t xml:space="preserve"> sikkerhed og virkning hos børn under 12 måneder er endnu ikke klarlagt. Der foreligger ingen data.</w:t>
      </w:r>
    </w:p>
    <w:p w:rsidR="00F32575" w:rsidRDefault="00F32575" w:rsidP="00F32575">
      <w:pPr>
        <w:ind w:left="851" w:hanging="851"/>
        <w:rPr>
          <w:sz w:val="24"/>
          <w:szCs w:val="24"/>
        </w:rPr>
      </w:pPr>
    </w:p>
    <w:p w:rsidR="00F32575" w:rsidRDefault="00F32575" w:rsidP="00F32575">
      <w:pPr>
        <w:ind w:left="851"/>
        <w:rPr>
          <w:sz w:val="24"/>
          <w:szCs w:val="24"/>
          <w:u w:val="single"/>
        </w:rPr>
      </w:pPr>
      <w:r>
        <w:rPr>
          <w:sz w:val="24"/>
          <w:szCs w:val="24"/>
          <w:u w:val="single"/>
        </w:rPr>
        <w:t>Administration</w:t>
      </w:r>
    </w:p>
    <w:p w:rsidR="00F32575" w:rsidRDefault="00F32575" w:rsidP="00F32575">
      <w:pPr>
        <w:ind w:left="851"/>
        <w:rPr>
          <w:sz w:val="24"/>
          <w:szCs w:val="24"/>
        </w:rPr>
      </w:pPr>
      <w:r>
        <w:rPr>
          <w:sz w:val="24"/>
          <w:szCs w:val="24"/>
        </w:rPr>
        <w:t>Tabletterne sluges med rigeligt vand. Tabletterne kan tages med eller uden mad.</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4.3</w:t>
      </w:r>
      <w:r w:rsidRPr="00A10831">
        <w:rPr>
          <w:b/>
          <w:sz w:val="24"/>
          <w:szCs w:val="24"/>
        </w:rPr>
        <w:tab/>
        <w:t>Kontraindikationer</w:t>
      </w:r>
    </w:p>
    <w:p w:rsidR="009D061C" w:rsidRPr="00A10831" w:rsidRDefault="009D061C" w:rsidP="009D061C">
      <w:pPr>
        <w:ind w:left="851"/>
        <w:rPr>
          <w:sz w:val="24"/>
          <w:szCs w:val="24"/>
        </w:rPr>
      </w:pPr>
      <w:r w:rsidRPr="00A10831">
        <w:rPr>
          <w:sz w:val="24"/>
          <w:szCs w:val="24"/>
        </w:rPr>
        <w:t xml:space="preserve">Overfølsomhed over for det aktive stof, </w:t>
      </w:r>
      <w:proofErr w:type="spellStart"/>
      <w:r w:rsidRPr="00A10831">
        <w:rPr>
          <w:sz w:val="24"/>
          <w:szCs w:val="24"/>
        </w:rPr>
        <w:t>cetirizin</w:t>
      </w:r>
      <w:proofErr w:type="spellEnd"/>
      <w:r w:rsidRPr="00A10831">
        <w:rPr>
          <w:sz w:val="24"/>
          <w:szCs w:val="24"/>
        </w:rPr>
        <w:t xml:space="preserve">, andre </w:t>
      </w:r>
      <w:proofErr w:type="spellStart"/>
      <w:r w:rsidRPr="00A10831">
        <w:rPr>
          <w:sz w:val="24"/>
          <w:szCs w:val="24"/>
        </w:rPr>
        <w:t>piperazin</w:t>
      </w:r>
      <w:proofErr w:type="spellEnd"/>
      <w:r w:rsidRPr="00A10831">
        <w:rPr>
          <w:sz w:val="24"/>
          <w:szCs w:val="24"/>
        </w:rPr>
        <w:t xml:space="preserve">-derivater, </w:t>
      </w:r>
      <w:proofErr w:type="spellStart"/>
      <w:r w:rsidRPr="00A10831">
        <w:rPr>
          <w:sz w:val="24"/>
          <w:szCs w:val="24"/>
        </w:rPr>
        <w:t>aminophyllin</w:t>
      </w:r>
      <w:proofErr w:type="spellEnd"/>
      <w:r w:rsidRPr="00A10831">
        <w:rPr>
          <w:sz w:val="24"/>
          <w:szCs w:val="24"/>
        </w:rPr>
        <w:t xml:space="preserve">, </w:t>
      </w:r>
      <w:proofErr w:type="spellStart"/>
      <w:r w:rsidRPr="00A10831">
        <w:rPr>
          <w:sz w:val="24"/>
          <w:szCs w:val="24"/>
        </w:rPr>
        <w:t>ethylendiamin</w:t>
      </w:r>
      <w:proofErr w:type="spellEnd"/>
      <w:r w:rsidRPr="00A10831">
        <w:rPr>
          <w:sz w:val="24"/>
          <w:szCs w:val="24"/>
        </w:rPr>
        <w:t xml:space="preserve"> eller over for et eller flere af hjælpestofferne anført i pkt. 6.1.</w:t>
      </w:r>
    </w:p>
    <w:p w:rsidR="009D061C" w:rsidRPr="00A10831" w:rsidRDefault="009D061C" w:rsidP="009D061C">
      <w:pPr>
        <w:pStyle w:val="Listeafsnit"/>
        <w:numPr>
          <w:ilvl w:val="0"/>
          <w:numId w:val="7"/>
        </w:numPr>
        <w:ind w:left="1276" w:hanging="425"/>
        <w:rPr>
          <w:sz w:val="24"/>
          <w:szCs w:val="24"/>
        </w:rPr>
      </w:pPr>
      <w:r w:rsidRPr="00A10831">
        <w:rPr>
          <w:sz w:val="24"/>
          <w:szCs w:val="24"/>
        </w:rPr>
        <w:t xml:space="preserve">Patienter med </w:t>
      </w:r>
      <w:proofErr w:type="spellStart"/>
      <w:r w:rsidRPr="00A10831">
        <w:rPr>
          <w:sz w:val="24"/>
          <w:szCs w:val="24"/>
        </w:rPr>
        <w:t>porfyri</w:t>
      </w:r>
      <w:proofErr w:type="spellEnd"/>
      <w:r w:rsidRPr="00A10831">
        <w:rPr>
          <w:sz w:val="24"/>
          <w:szCs w:val="24"/>
        </w:rPr>
        <w:t>.</w:t>
      </w:r>
    </w:p>
    <w:p w:rsidR="009D061C" w:rsidRPr="00A10831" w:rsidRDefault="009D061C" w:rsidP="009D061C">
      <w:pPr>
        <w:pStyle w:val="Listeafsnit"/>
        <w:numPr>
          <w:ilvl w:val="0"/>
          <w:numId w:val="7"/>
        </w:numPr>
        <w:ind w:left="1276" w:hanging="425"/>
        <w:rPr>
          <w:sz w:val="24"/>
          <w:szCs w:val="24"/>
        </w:rPr>
      </w:pPr>
      <w:r w:rsidRPr="00A10831">
        <w:rPr>
          <w:sz w:val="24"/>
          <w:szCs w:val="24"/>
        </w:rPr>
        <w:t>Graviditet og amning (se pkt. 4.6).</w:t>
      </w:r>
    </w:p>
    <w:p w:rsidR="009D061C" w:rsidRPr="00A10831" w:rsidRDefault="009D061C" w:rsidP="009D061C">
      <w:pPr>
        <w:pStyle w:val="Listeafsnit"/>
        <w:numPr>
          <w:ilvl w:val="0"/>
          <w:numId w:val="7"/>
        </w:numPr>
        <w:ind w:left="1276" w:hanging="425"/>
        <w:rPr>
          <w:sz w:val="24"/>
          <w:szCs w:val="24"/>
        </w:rPr>
      </w:pPr>
      <w:r w:rsidRPr="00A10831">
        <w:rPr>
          <w:sz w:val="24"/>
          <w:szCs w:val="24"/>
        </w:rPr>
        <w:t>Patienter med erhvervet eller arvelig forlængelse af QT-intervallet.</w:t>
      </w:r>
    </w:p>
    <w:p w:rsidR="009D061C" w:rsidRPr="00A10831" w:rsidRDefault="009D061C" w:rsidP="009D061C">
      <w:pPr>
        <w:pStyle w:val="Listeafsnit"/>
        <w:numPr>
          <w:ilvl w:val="0"/>
          <w:numId w:val="7"/>
        </w:numPr>
        <w:ind w:left="1276" w:hanging="425"/>
        <w:rPr>
          <w:sz w:val="24"/>
          <w:szCs w:val="24"/>
        </w:rPr>
      </w:pPr>
      <w:r w:rsidRPr="00A10831">
        <w:rPr>
          <w:sz w:val="24"/>
          <w:szCs w:val="24"/>
        </w:rPr>
        <w:t xml:space="preserve">Patienter med en kendt risikofaktor for forlængelse af QT-intervallet, inklusive kendt </w:t>
      </w:r>
      <w:proofErr w:type="spellStart"/>
      <w:r w:rsidRPr="00A10831">
        <w:rPr>
          <w:sz w:val="24"/>
          <w:szCs w:val="24"/>
        </w:rPr>
        <w:t>kardiovaskulær</w:t>
      </w:r>
      <w:proofErr w:type="spellEnd"/>
      <w:r w:rsidRPr="00A10831">
        <w:rPr>
          <w:sz w:val="24"/>
          <w:szCs w:val="24"/>
        </w:rPr>
        <w:t xml:space="preserve"> sygdom, signifikant elektrolytforstyrrelse (</w:t>
      </w:r>
      <w:proofErr w:type="spellStart"/>
      <w:r w:rsidRPr="00A10831">
        <w:rPr>
          <w:sz w:val="24"/>
          <w:szCs w:val="24"/>
        </w:rPr>
        <w:t>hypokaliæmi</w:t>
      </w:r>
      <w:proofErr w:type="spellEnd"/>
      <w:r w:rsidRPr="00A10831">
        <w:rPr>
          <w:sz w:val="24"/>
          <w:szCs w:val="24"/>
        </w:rPr>
        <w:t xml:space="preserve">, </w:t>
      </w:r>
      <w:proofErr w:type="spellStart"/>
      <w:r w:rsidRPr="00A10831">
        <w:rPr>
          <w:sz w:val="24"/>
          <w:szCs w:val="24"/>
        </w:rPr>
        <w:t>hypomagnesæmi</w:t>
      </w:r>
      <w:proofErr w:type="spellEnd"/>
      <w:r w:rsidRPr="00A10831">
        <w:rPr>
          <w:sz w:val="24"/>
          <w:szCs w:val="24"/>
        </w:rPr>
        <w:t xml:space="preserve">), familiær disposition for pludselig hjertedød, signifikant bradykardi, samtidig anvendelse af lægemidler, der forlænger QT-intervallet og/eller inducerer </w:t>
      </w:r>
      <w:proofErr w:type="spellStart"/>
      <w:r w:rsidRPr="00A10831">
        <w:rPr>
          <w:sz w:val="24"/>
          <w:szCs w:val="24"/>
        </w:rPr>
        <w:t>torsades</w:t>
      </w:r>
      <w:proofErr w:type="spellEnd"/>
      <w:r w:rsidRPr="00A10831">
        <w:rPr>
          <w:sz w:val="24"/>
          <w:szCs w:val="24"/>
        </w:rPr>
        <w:t xml:space="preserve"> de pointes (se pkt. 4.4 og 4.5).</w:t>
      </w:r>
    </w:p>
    <w:p w:rsidR="009D061C" w:rsidRPr="00A10831" w:rsidRDefault="009D061C" w:rsidP="009D061C">
      <w:pPr>
        <w:ind w:left="851" w:hanging="851"/>
        <w:rPr>
          <w:sz w:val="24"/>
          <w:szCs w:val="24"/>
        </w:rPr>
      </w:pPr>
    </w:p>
    <w:p w:rsidR="009D061C" w:rsidRPr="001358B7" w:rsidRDefault="009D061C" w:rsidP="001358B7">
      <w:pPr>
        <w:ind w:left="851" w:hanging="851"/>
        <w:rPr>
          <w:b/>
          <w:sz w:val="24"/>
          <w:szCs w:val="24"/>
        </w:rPr>
      </w:pPr>
      <w:r w:rsidRPr="00A10831">
        <w:rPr>
          <w:b/>
          <w:sz w:val="24"/>
          <w:szCs w:val="24"/>
        </w:rPr>
        <w:t>4.4</w:t>
      </w:r>
      <w:r w:rsidRPr="00A10831">
        <w:rPr>
          <w:b/>
          <w:sz w:val="24"/>
          <w:szCs w:val="24"/>
        </w:rPr>
        <w:tab/>
        <w:t>Særlige advarsler og forsigtighedsregler vedrørende brugen</w:t>
      </w:r>
    </w:p>
    <w:p w:rsidR="00F32575" w:rsidRDefault="00F32575" w:rsidP="00F32575">
      <w:pPr>
        <w:suppressAutoHyphens/>
        <w:ind w:left="851"/>
        <w:rPr>
          <w:sz w:val="24"/>
          <w:szCs w:val="24"/>
          <w:u w:val="single"/>
        </w:rPr>
      </w:pPr>
      <w:proofErr w:type="spellStart"/>
      <w:r>
        <w:rPr>
          <w:sz w:val="24"/>
          <w:szCs w:val="24"/>
          <w:u w:val="single"/>
        </w:rPr>
        <w:t>Kardiovaskulære</w:t>
      </w:r>
      <w:proofErr w:type="spellEnd"/>
      <w:r>
        <w:rPr>
          <w:sz w:val="24"/>
          <w:szCs w:val="24"/>
          <w:u w:val="single"/>
        </w:rPr>
        <w:t xml:space="preserve"> virkninger </w:t>
      </w:r>
    </w:p>
    <w:p w:rsidR="00F32575" w:rsidRDefault="00F32575" w:rsidP="00F32575">
      <w:pPr>
        <w:ind w:left="851"/>
        <w:rPr>
          <w:sz w:val="24"/>
          <w:szCs w:val="24"/>
        </w:rPr>
      </w:pPr>
      <w:proofErr w:type="spellStart"/>
      <w:r>
        <w:rPr>
          <w:sz w:val="24"/>
          <w:szCs w:val="24"/>
        </w:rPr>
        <w:t>Hydroxyzin</w:t>
      </w:r>
      <w:proofErr w:type="spellEnd"/>
      <w:r>
        <w:rPr>
          <w:sz w:val="24"/>
          <w:szCs w:val="24"/>
        </w:rPr>
        <w:t xml:space="preserve"> er associeret med forlænget QT-interval på elektrokardiogram. Under postmarketing overvågning er der set tilfælde af forlænget QT-interval og </w:t>
      </w:r>
      <w:proofErr w:type="spellStart"/>
      <w:r>
        <w:rPr>
          <w:sz w:val="24"/>
          <w:szCs w:val="24"/>
        </w:rPr>
        <w:t>torsades</w:t>
      </w:r>
      <w:proofErr w:type="spellEnd"/>
      <w:r>
        <w:rPr>
          <w:sz w:val="24"/>
          <w:szCs w:val="24"/>
        </w:rPr>
        <w:t xml:space="preserve"> de pointes hos patienter, der tager </w:t>
      </w:r>
      <w:proofErr w:type="spellStart"/>
      <w:r>
        <w:rPr>
          <w:sz w:val="24"/>
          <w:szCs w:val="24"/>
        </w:rPr>
        <w:t>hydroxyzin</w:t>
      </w:r>
      <w:proofErr w:type="spellEnd"/>
      <w:r>
        <w:rPr>
          <w:sz w:val="24"/>
          <w:szCs w:val="24"/>
        </w:rPr>
        <w:t xml:space="preserve">. De fleste af disse patienter havde andre risikofaktorer, elektrolytforstyrrelser og samtidig behandling, som kan have været medvirkende faktorer (se pkt. 4.8). </w:t>
      </w:r>
    </w:p>
    <w:p w:rsidR="00F32575" w:rsidRDefault="00F32575" w:rsidP="00F32575">
      <w:pPr>
        <w:ind w:left="851"/>
        <w:rPr>
          <w:sz w:val="24"/>
          <w:szCs w:val="24"/>
        </w:rPr>
      </w:pPr>
      <w:proofErr w:type="spellStart"/>
      <w:r>
        <w:rPr>
          <w:sz w:val="24"/>
          <w:szCs w:val="24"/>
        </w:rPr>
        <w:t>Hydroxyzin</w:t>
      </w:r>
      <w:proofErr w:type="spellEnd"/>
      <w:r>
        <w:rPr>
          <w:sz w:val="24"/>
          <w:szCs w:val="24"/>
        </w:rPr>
        <w:t xml:space="preserve"> bør anvendes ved den lavest mulige dosis og i den kortest mulige periode.</w:t>
      </w:r>
    </w:p>
    <w:p w:rsidR="00F32575" w:rsidRDefault="00F32575" w:rsidP="00F32575">
      <w:pPr>
        <w:ind w:left="851" w:hanging="851"/>
        <w:rPr>
          <w:sz w:val="24"/>
          <w:szCs w:val="24"/>
        </w:rPr>
      </w:pPr>
    </w:p>
    <w:p w:rsidR="00F32575" w:rsidRDefault="00F32575" w:rsidP="00F32575">
      <w:pPr>
        <w:ind w:left="851"/>
        <w:rPr>
          <w:sz w:val="24"/>
          <w:szCs w:val="24"/>
        </w:rPr>
      </w:pPr>
      <w:r>
        <w:rPr>
          <w:sz w:val="24"/>
          <w:szCs w:val="24"/>
        </w:rPr>
        <w:t xml:space="preserve">Behandlingen med </w:t>
      </w:r>
      <w:proofErr w:type="spellStart"/>
      <w:r>
        <w:rPr>
          <w:sz w:val="24"/>
          <w:szCs w:val="24"/>
        </w:rPr>
        <w:t>hydroxyzin</w:t>
      </w:r>
      <w:proofErr w:type="spellEnd"/>
      <w:r>
        <w:rPr>
          <w:sz w:val="24"/>
          <w:szCs w:val="24"/>
        </w:rPr>
        <w:t xml:space="preserve"> bør seponeres, hvis der opstår tegn eller symptomer, som er associeret med </w:t>
      </w:r>
      <w:proofErr w:type="spellStart"/>
      <w:r>
        <w:rPr>
          <w:sz w:val="24"/>
          <w:szCs w:val="24"/>
        </w:rPr>
        <w:t>hjertearytmi</w:t>
      </w:r>
      <w:proofErr w:type="spellEnd"/>
      <w:r>
        <w:rPr>
          <w:sz w:val="24"/>
          <w:szCs w:val="24"/>
        </w:rPr>
        <w:t>, og patienten bør søge øjeblikkelig lægehjælp.</w:t>
      </w:r>
    </w:p>
    <w:p w:rsidR="00F32575" w:rsidRDefault="00F32575" w:rsidP="00F32575">
      <w:pPr>
        <w:ind w:left="851" w:hanging="851"/>
        <w:rPr>
          <w:sz w:val="24"/>
          <w:szCs w:val="24"/>
        </w:rPr>
      </w:pPr>
    </w:p>
    <w:p w:rsidR="00F32575" w:rsidRDefault="00F32575" w:rsidP="00F32575">
      <w:pPr>
        <w:ind w:left="851"/>
        <w:rPr>
          <w:sz w:val="24"/>
          <w:szCs w:val="24"/>
        </w:rPr>
      </w:pPr>
      <w:r>
        <w:rPr>
          <w:sz w:val="24"/>
          <w:szCs w:val="24"/>
        </w:rPr>
        <w:t>Patienten bør tilrådes straks at fortælle det til lægen, hvis der opstår hjertesymptomer.</w:t>
      </w:r>
    </w:p>
    <w:p w:rsidR="00F32575" w:rsidRDefault="00F32575" w:rsidP="00F32575">
      <w:pPr>
        <w:ind w:left="851" w:hanging="851"/>
        <w:rPr>
          <w:sz w:val="24"/>
          <w:szCs w:val="24"/>
        </w:rPr>
      </w:pPr>
    </w:p>
    <w:p w:rsidR="00F32575" w:rsidRDefault="00F32575" w:rsidP="00F32575">
      <w:pPr>
        <w:ind w:left="851"/>
        <w:rPr>
          <w:sz w:val="24"/>
          <w:szCs w:val="24"/>
          <w:u w:val="single"/>
        </w:rPr>
      </w:pPr>
      <w:r>
        <w:rPr>
          <w:sz w:val="24"/>
          <w:szCs w:val="24"/>
          <w:u w:val="single"/>
        </w:rPr>
        <w:t>Patienter med nedsat leverfunktion</w:t>
      </w:r>
    </w:p>
    <w:p w:rsidR="00F32575" w:rsidRDefault="00F32575" w:rsidP="00F32575">
      <w:pPr>
        <w:ind w:left="851"/>
        <w:rPr>
          <w:sz w:val="24"/>
          <w:szCs w:val="24"/>
        </w:rPr>
      </w:pPr>
      <w:r>
        <w:rPr>
          <w:sz w:val="24"/>
          <w:szCs w:val="24"/>
        </w:rPr>
        <w:t xml:space="preserve">Dosis bør reduceres hos patienter med nedsat leverfunktion (se pkt. 4.2). Hos patienter med nedsat leverfunktion, der regelmæssigt får </w:t>
      </w:r>
      <w:proofErr w:type="spellStart"/>
      <w:r>
        <w:rPr>
          <w:sz w:val="24"/>
          <w:szCs w:val="24"/>
        </w:rPr>
        <w:t>hydroxyzin</w:t>
      </w:r>
      <w:proofErr w:type="spellEnd"/>
      <w:r>
        <w:rPr>
          <w:sz w:val="24"/>
          <w:szCs w:val="24"/>
        </w:rPr>
        <w:t>, bør leverfunktionen kontrolleres regelmæssigt.</w:t>
      </w:r>
    </w:p>
    <w:p w:rsidR="00F32575" w:rsidRDefault="00F32575" w:rsidP="00F32575">
      <w:pPr>
        <w:ind w:left="851" w:hanging="851"/>
        <w:rPr>
          <w:sz w:val="24"/>
          <w:szCs w:val="24"/>
        </w:rPr>
      </w:pPr>
    </w:p>
    <w:p w:rsidR="00F32575" w:rsidRDefault="00F32575" w:rsidP="00F32575">
      <w:pPr>
        <w:ind w:left="851"/>
        <w:rPr>
          <w:sz w:val="24"/>
          <w:szCs w:val="24"/>
          <w:u w:val="single"/>
        </w:rPr>
      </w:pPr>
      <w:r>
        <w:rPr>
          <w:sz w:val="24"/>
          <w:szCs w:val="24"/>
          <w:u w:val="single"/>
        </w:rPr>
        <w:t>Patienter med nedsat nyrefunktion</w:t>
      </w:r>
    </w:p>
    <w:p w:rsidR="00F32575" w:rsidRDefault="00F32575" w:rsidP="00F32575">
      <w:pPr>
        <w:suppressAutoHyphens/>
        <w:ind w:left="851"/>
        <w:rPr>
          <w:sz w:val="24"/>
          <w:szCs w:val="24"/>
        </w:rPr>
      </w:pPr>
      <w:proofErr w:type="spellStart"/>
      <w:r>
        <w:rPr>
          <w:sz w:val="24"/>
          <w:szCs w:val="24"/>
        </w:rPr>
        <w:t>Hydroxyzin</w:t>
      </w:r>
      <w:proofErr w:type="spellEnd"/>
      <w:r>
        <w:rPr>
          <w:sz w:val="24"/>
          <w:szCs w:val="24"/>
        </w:rPr>
        <w:t xml:space="preserve"> bør anvendes med forsigtighed hos patienter med moderat og svært nedsat nyrefunktion, og dosis bør reduceres (se pkt. 4.2).</w:t>
      </w:r>
    </w:p>
    <w:p w:rsidR="00F32575" w:rsidRDefault="00F32575" w:rsidP="00F32575">
      <w:pPr>
        <w:suppressAutoHyphens/>
        <w:ind w:left="851" w:hanging="851"/>
        <w:rPr>
          <w:sz w:val="24"/>
          <w:szCs w:val="24"/>
        </w:rPr>
      </w:pPr>
    </w:p>
    <w:p w:rsidR="00F32575" w:rsidRDefault="00F32575" w:rsidP="00F32575">
      <w:pPr>
        <w:suppressAutoHyphens/>
        <w:ind w:left="851"/>
        <w:rPr>
          <w:sz w:val="24"/>
          <w:szCs w:val="24"/>
        </w:rPr>
      </w:pPr>
      <w:r>
        <w:rPr>
          <w:sz w:val="24"/>
          <w:szCs w:val="24"/>
          <w:u w:val="single"/>
        </w:rPr>
        <w:t xml:space="preserve">Ældre </w:t>
      </w:r>
    </w:p>
    <w:p w:rsidR="00F32575" w:rsidRDefault="00F32575" w:rsidP="00F32575">
      <w:pPr>
        <w:suppressAutoHyphens/>
        <w:ind w:left="851"/>
        <w:rPr>
          <w:color w:val="000000"/>
          <w:sz w:val="24"/>
          <w:szCs w:val="24"/>
        </w:rPr>
      </w:pPr>
      <w:proofErr w:type="spellStart"/>
      <w:r>
        <w:rPr>
          <w:sz w:val="24"/>
          <w:szCs w:val="24"/>
        </w:rPr>
        <w:lastRenderedPageBreak/>
        <w:t>Hydroxyzin</w:t>
      </w:r>
      <w:proofErr w:type="spellEnd"/>
      <w:r>
        <w:rPr>
          <w:sz w:val="24"/>
          <w:szCs w:val="24"/>
        </w:rPr>
        <w:t xml:space="preserve"> kan ikke anbefales til ældre patienter på grund af den nedsatte udskillelse af </w:t>
      </w:r>
      <w:proofErr w:type="spellStart"/>
      <w:r>
        <w:rPr>
          <w:sz w:val="24"/>
          <w:szCs w:val="24"/>
        </w:rPr>
        <w:t>hydroxyzin</w:t>
      </w:r>
      <w:proofErr w:type="spellEnd"/>
      <w:r>
        <w:rPr>
          <w:sz w:val="24"/>
          <w:szCs w:val="24"/>
        </w:rPr>
        <w:t xml:space="preserve"> i denne population, sammenlignet med voksne og på grund af den øgede risiko for bivirkninger (f.eks. </w:t>
      </w:r>
      <w:proofErr w:type="spellStart"/>
      <w:r>
        <w:rPr>
          <w:sz w:val="24"/>
          <w:szCs w:val="24"/>
        </w:rPr>
        <w:t>antikolinerge</w:t>
      </w:r>
      <w:proofErr w:type="spellEnd"/>
      <w:r>
        <w:rPr>
          <w:sz w:val="24"/>
          <w:szCs w:val="24"/>
        </w:rPr>
        <w:t xml:space="preserve"> virkninger</w:t>
      </w:r>
      <w:r>
        <w:rPr>
          <w:color w:val="000000"/>
          <w:sz w:val="24"/>
          <w:szCs w:val="24"/>
        </w:rPr>
        <w:t>) (se pkt. 4.2 og 4.8).</w:t>
      </w:r>
    </w:p>
    <w:p w:rsidR="00F32575" w:rsidRDefault="00F32575" w:rsidP="00F32575">
      <w:pPr>
        <w:suppressAutoHyphens/>
        <w:ind w:left="851"/>
        <w:rPr>
          <w:color w:val="000000"/>
          <w:sz w:val="24"/>
          <w:szCs w:val="24"/>
        </w:rPr>
      </w:pPr>
      <w:r>
        <w:rPr>
          <w:color w:val="000000"/>
          <w:sz w:val="24"/>
          <w:szCs w:val="24"/>
        </w:rPr>
        <w:t>Hos ældre patienter anbefales det at starte behandlingen med halvdelen af den anbefalede dosis som følge af den længerevarende virkning (se pkt. 4.2).</w:t>
      </w:r>
    </w:p>
    <w:p w:rsidR="00F32575" w:rsidRDefault="00F32575" w:rsidP="00F32575">
      <w:pPr>
        <w:suppressAutoHyphens/>
        <w:ind w:left="851" w:hanging="851"/>
        <w:rPr>
          <w:color w:val="000000"/>
          <w:sz w:val="24"/>
          <w:szCs w:val="24"/>
        </w:rPr>
      </w:pPr>
    </w:p>
    <w:p w:rsidR="00F32575" w:rsidRDefault="00F32575" w:rsidP="00F32575">
      <w:pPr>
        <w:suppressAutoHyphens/>
        <w:ind w:left="851"/>
        <w:rPr>
          <w:sz w:val="24"/>
          <w:szCs w:val="24"/>
          <w:u w:val="single"/>
        </w:rPr>
      </w:pPr>
      <w:r>
        <w:rPr>
          <w:sz w:val="24"/>
          <w:szCs w:val="24"/>
          <w:u w:val="single"/>
        </w:rPr>
        <w:t>Andre advarsler og forsigtighedsregler vedrørende brugen</w:t>
      </w:r>
    </w:p>
    <w:p w:rsidR="00F32575" w:rsidRDefault="00F32575" w:rsidP="00F32575">
      <w:pPr>
        <w:suppressAutoHyphens/>
        <w:ind w:left="851"/>
        <w:rPr>
          <w:sz w:val="24"/>
          <w:szCs w:val="24"/>
        </w:rPr>
      </w:pPr>
    </w:p>
    <w:p w:rsidR="00F32575" w:rsidRDefault="00F32575" w:rsidP="00F32575">
      <w:pPr>
        <w:suppressAutoHyphens/>
        <w:ind w:left="851"/>
        <w:rPr>
          <w:sz w:val="24"/>
          <w:szCs w:val="24"/>
        </w:rPr>
      </w:pPr>
      <w:r>
        <w:rPr>
          <w:sz w:val="24"/>
          <w:szCs w:val="24"/>
        </w:rPr>
        <w:t xml:space="preserve">På grund af dets potentielle </w:t>
      </w:r>
      <w:proofErr w:type="spellStart"/>
      <w:r>
        <w:rPr>
          <w:sz w:val="24"/>
          <w:szCs w:val="24"/>
        </w:rPr>
        <w:t>antikolinerge</w:t>
      </w:r>
      <w:proofErr w:type="spellEnd"/>
      <w:r>
        <w:rPr>
          <w:sz w:val="24"/>
          <w:szCs w:val="24"/>
        </w:rPr>
        <w:t xml:space="preserve"> virkning bør </w:t>
      </w:r>
      <w:proofErr w:type="spellStart"/>
      <w:r>
        <w:rPr>
          <w:sz w:val="24"/>
          <w:szCs w:val="24"/>
        </w:rPr>
        <w:t>hydroxyzin</w:t>
      </w:r>
      <w:proofErr w:type="spellEnd"/>
      <w:r>
        <w:rPr>
          <w:sz w:val="24"/>
          <w:szCs w:val="24"/>
        </w:rPr>
        <w:t xml:space="preserve"> anvendes med forsigtighed hos patienter med </w:t>
      </w:r>
      <w:proofErr w:type="spellStart"/>
      <w:r>
        <w:rPr>
          <w:sz w:val="24"/>
          <w:szCs w:val="24"/>
        </w:rPr>
        <w:t>glaucom</w:t>
      </w:r>
      <w:proofErr w:type="spellEnd"/>
      <w:r>
        <w:rPr>
          <w:sz w:val="24"/>
          <w:szCs w:val="24"/>
        </w:rPr>
        <w:t xml:space="preserve">, urinvejsobstruktion, nedsat </w:t>
      </w:r>
      <w:proofErr w:type="spellStart"/>
      <w:r>
        <w:rPr>
          <w:sz w:val="24"/>
          <w:szCs w:val="24"/>
        </w:rPr>
        <w:t>gastrointestinal</w:t>
      </w:r>
      <w:proofErr w:type="spellEnd"/>
      <w:r>
        <w:rPr>
          <w:sz w:val="24"/>
          <w:szCs w:val="24"/>
        </w:rPr>
        <w:t xml:space="preserve"> </w:t>
      </w:r>
      <w:proofErr w:type="spellStart"/>
      <w:r>
        <w:rPr>
          <w:sz w:val="24"/>
          <w:szCs w:val="24"/>
        </w:rPr>
        <w:t>motilitet</w:t>
      </w:r>
      <w:proofErr w:type="spellEnd"/>
      <w:r>
        <w:rPr>
          <w:sz w:val="24"/>
          <w:szCs w:val="24"/>
        </w:rPr>
        <w:t xml:space="preserve">,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eller demens.</w:t>
      </w:r>
    </w:p>
    <w:p w:rsidR="00F32575" w:rsidRDefault="00F32575" w:rsidP="00F32575">
      <w:pPr>
        <w:suppressAutoHyphens/>
        <w:ind w:left="851" w:hanging="851"/>
        <w:rPr>
          <w:sz w:val="24"/>
          <w:szCs w:val="24"/>
        </w:rPr>
      </w:pPr>
    </w:p>
    <w:p w:rsidR="00F32575" w:rsidRDefault="00F32575" w:rsidP="00F32575">
      <w:pPr>
        <w:suppressAutoHyphens/>
        <w:ind w:left="851"/>
        <w:rPr>
          <w:sz w:val="24"/>
          <w:szCs w:val="24"/>
        </w:rPr>
      </w:pPr>
      <w:proofErr w:type="spellStart"/>
      <w:r>
        <w:rPr>
          <w:sz w:val="24"/>
          <w:szCs w:val="24"/>
        </w:rPr>
        <w:t>Hydroxyzin</w:t>
      </w:r>
      <w:proofErr w:type="spellEnd"/>
      <w:r>
        <w:rPr>
          <w:sz w:val="24"/>
          <w:szCs w:val="24"/>
        </w:rPr>
        <w:t xml:space="preserve"> bør administreres med forsigtighed hos patienter med øget risiko for kramper.</w:t>
      </w:r>
    </w:p>
    <w:p w:rsidR="00F32575" w:rsidRDefault="00F32575" w:rsidP="00F32575">
      <w:pPr>
        <w:suppressAutoHyphens/>
        <w:ind w:left="851" w:hanging="851"/>
        <w:rPr>
          <w:sz w:val="24"/>
          <w:szCs w:val="24"/>
        </w:rPr>
      </w:pPr>
    </w:p>
    <w:p w:rsidR="00F32575" w:rsidRDefault="00F32575" w:rsidP="00F32575">
      <w:pPr>
        <w:suppressAutoHyphens/>
        <w:ind w:left="851"/>
        <w:rPr>
          <w:sz w:val="24"/>
          <w:szCs w:val="24"/>
        </w:rPr>
      </w:pPr>
      <w:r>
        <w:rPr>
          <w:sz w:val="24"/>
          <w:szCs w:val="24"/>
        </w:rPr>
        <w:t>Små børn har større tendens til at få bivirkninger, der er relateret til centralnervesystemet (se pkt. 4.8).</w:t>
      </w:r>
    </w:p>
    <w:p w:rsidR="00F32575" w:rsidRDefault="00F32575" w:rsidP="00F32575">
      <w:pPr>
        <w:suppressAutoHyphens/>
        <w:ind w:left="851"/>
        <w:rPr>
          <w:sz w:val="24"/>
          <w:szCs w:val="24"/>
        </w:rPr>
      </w:pPr>
      <w:r>
        <w:rPr>
          <w:sz w:val="24"/>
          <w:szCs w:val="24"/>
        </w:rPr>
        <w:t>Hos børn er der oftere end hos voksne rapporteret om kramper.</w:t>
      </w:r>
    </w:p>
    <w:p w:rsidR="00F32575" w:rsidRDefault="00F32575" w:rsidP="00F32575">
      <w:pPr>
        <w:suppressAutoHyphens/>
        <w:ind w:left="851" w:hanging="851"/>
        <w:rPr>
          <w:sz w:val="24"/>
          <w:szCs w:val="24"/>
        </w:rPr>
      </w:pPr>
    </w:p>
    <w:p w:rsidR="00F32575" w:rsidRDefault="00F32575" w:rsidP="00F32575">
      <w:pPr>
        <w:suppressAutoHyphens/>
        <w:ind w:left="851"/>
        <w:rPr>
          <w:sz w:val="24"/>
          <w:szCs w:val="24"/>
        </w:rPr>
      </w:pPr>
      <w:r>
        <w:rPr>
          <w:sz w:val="24"/>
          <w:szCs w:val="24"/>
        </w:rPr>
        <w:t xml:space="preserve">Dosisjustering kan være nødvendig, hvis </w:t>
      </w:r>
      <w:proofErr w:type="spellStart"/>
      <w:r>
        <w:rPr>
          <w:sz w:val="24"/>
          <w:szCs w:val="24"/>
        </w:rPr>
        <w:t>hydroxyzin</w:t>
      </w:r>
      <w:proofErr w:type="spellEnd"/>
      <w:r>
        <w:rPr>
          <w:sz w:val="24"/>
          <w:szCs w:val="24"/>
        </w:rPr>
        <w:t xml:space="preserve"> anvendes samtidig med andre CNS-hæmmende lægemidler eller lægemidler med </w:t>
      </w:r>
      <w:proofErr w:type="spellStart"/>
      <w:r>
        <w:rPr>
          <w:sz w:val="24"/>
          <w:szCs w:val="24"/>
        </w:rPr>
        <w:t>antikolinerge</w:t>
      </w:r>
      <w:proofErr w:type="spellEnd"/>
      <w:r>
        <w:rPr>
          <w:sz w:val="24"/>
          <w:szCs w:val="24"/>
        </w:rPr>
        <w:t xml:space="preserve"> egenskaber (se pkt. 4.5).</w:t>
      </w:r>
    </w:p>
    <w:p w:rsidR="00F32575" w:rsidRDefault="00F32575" w:rsidP="00F32575">
      <w:pPr>
        <w:suppressAutoHyphens/>
        <w:ind w:left="851" w:hanging="851"/>
        <w:rPr>
          <w:sz w:val="24"/>
          <w:szCs w:val="24"/>
        </w:rPr>
      </w:pPr>
    </w:p>
    <w:p w:rsidR="00F32575" w:rsidRDefault="00F32575" w:rsidP="00F32575">
      <w:pPr>
        <w:suppressAutoHyphens/>
        <w:ind w:left="851"/>
        <w:rPr>
          <w:sz w:val="24"/>
          <w:szCs w:val="24"/>
        </w:rPr>
      </w:pPr>
      <w:r>
        <w:rPr>
          <w:sz w:val="24"/>
          <w:szCs w:val="24"/>
        </w:rPr>
        <w:t xml:space="preserve">Samtidig anvendelse af alkohol og </w:t>
      </w:r>
      <w:proofErr w:type="spellStart"/>
      <w:r>
        <w:rPr>
          <w:sz w:val="24"/>
          <w:szCs w:val="24"/>
        </w:rPr>
        <w:t>hydroxyzin</w:t>
      </w:r>
      <w:proofErr w:type="spellEnd"/>
      <w:r>
        <w:rPr>
          <w:sz w:val="24"/>
          <w:szCs w:val="24"/>
        </w:rPr>
        <w:t xml:space="preserve"> bør undgås (se pkt. 4.5).</w:t>
      </w:r>
    </w:p>
    <w:p w:rsidR="00F32575" w:rsidRDefault="00F32575" w:rsidP="00F32575">
      <w:pPr>
        <w:suppressAutoHyphens/>
        <w:ind w:left="851" w:hanging="851"/>
        <w:rPr>
          <w:sz w:val="24"/>
          <w:szCs w:val="24"/>
        </w:rPr>
      </w:pPr>
    </w:p>
    <w:p w:rsidR="00F32575" w:rsidRDefault="00F32575" w:rsidP="00F32575">
      <w:pPr>
        <w:suppressAutoHyphens/>
        <w:ind w:left="851"/>
        <w:rPr>
          <w:sz w:val="24"/>
          <w:szCs w:val="24"/>
        </w:rPr>
      </w:pPr>
      <w:r>
        <w:rPr>
          <w:sz w:val="24"/>
          <w:szCs w:val="24"/>
        </w:rPr>
        <w:t xml:space="preserve">Behandlingen bør seponeres mindst 5 dage før allergitest eller </w:t>
      </w:r>
      <w:proofErr w:type="spellStart"/>
      <w:r>
        <w:rPr>
          <w:sz w:val="24"/>
          <w:szCs w:val="24"/>
        </w:rPr>
        <w:t>metakolin</w:t>
      </w:r>
      <w:proofErr w:type="spellEnd"/>
      <w:r>
        <w:rPr>
          <w:sz w:val="24"/>
          <w:szCs w:val="24"/>
        </w:rPr>
        <w:t xml:space="preserve"> bronkietest for at undgå, at testresultaterne påvirkes (se pkt. 4.5).</w:t>
      </w:r>
    </w:p>
    <w:p w:rsidR="00F32575" w:rsidRDefault="00F32575" w:rsidP="00F32575">
      <w:pPr>
        <w:suppressAutoHyphens/>
        <w:ind w:left="851" w:hanging="851"/>
        <w:rPr>
          <w:sz w:val="24"/>
          <w:szCs w:val="24"/>
        </w:rPr>
      </w:pPr>
    </w:p>
    <w:p w:rsidR="00F32575" w:rsidRDefault="00F32575" w:rsidP="00F32575">
      <w:pPr>
        <w:suppressAutoHyphens/>
        <w:ind w:left="851"/>
        <w:rPr>
          <w:sz w:val="24"/>
          <w:szCs w:val="24"/>
        </w:rPr>
      </w:pPr>
      <w:r>
        <w:rPr>
          <w:sz w:val="24"/>
          <w:szCs w:val="24"/>
        </w:rPr>
        <w:t>Mundtørhed kan forekomme ved høje doser, og patienten bør derfor oplyses om denne risiko og sørge for god mund- og tandhygiejne.</w:t>
      </w:r>
    </w:p>
    <w:p w:rsidR="00F32575" w:rsidRDefault="00F32575" w:rsidP="00F32575">
      <w:pPr>
        <w:suppressAutoHyphens/>
        <w:ind w:left="851"/>
        <w:rPr>
          <w:sz w:val="24"/>
          <w:szCs w:val="24"/>
        </w:rPr>
      </w:pPr>
    </w:p>
    <w:p w:rsidR="00F32575" w:rsidRDefault="00F32575" w:rsidP="00F32575">
      <w:pPr>
        <w:suppressAutoHyphens/>
        <w:ind w:left="851"/>
        <w:rPr>
          <w:sz w:val="24"/>
          <w:szCs w:val="24"/>
        </w:rPr>
      </w:pPr>
      <w:r>
        <w:rPr>
          <w:sz w:val="24"/>
          <w:szCs w:val="24"/>
        </w:rPr>
        <w:t>Den ordinerende læge bør drøfte den forventede behandlingsvarighed med patienten og informere om de indledende bivirkninger.</w:t>
      </w:r>
    </w:p>
    <w:p w:rsidR="00F32575" w:rsidRDefault="00F32575" w:rsidP="00F32575">
      <w:pPr>
        <w:suppressAutoHyphens/>
        <w:ind w:left="851" w:hanging="851"/>
        <w:rPr>
          <w:sz w:val="24"/>
          <w:szCs w:val="24"/>
        </w:rPr>
      </w:pPr>
    </w:p>
    <w:p w:rsidR="00F32575" w:rsidRDefault="00F32575" w:rsidP="00F32575">
      <w:pPr>
        <w:ind w:left="851"/>
        <w:rPr>
          <w:sz w:val="24"/>
          <w:szCs w:val="24"/>
          <w:u w:val="single"/>
        </w:rPr>
      </w:pPr>
      <w:proofErr w:type="spellStart"/>
      <w:r>
        <w:rPr>
          <w:sz w:val="24"/>
          <w:szCs w:val="24"/>
          <w:u w:val="single"/>
        </w:rPr>
        <w:t>Cerebrovaskulære</w:t>
      </w:r>
      <w:proofErr w:type="spellEnd"/>
      <w:r>
        <w:rPr>
          <w:sz w:val="24"/>
          <w:szCs w:val="24"/>
          <w:u w:val="single"/>
        </w:rPr>
        <w:t xml:space="preserve"> virkninger</w:t>
      </w:r>
    </w:p>
    <w:p w:rsidR="00F32575" w:rsidRDefault="00F32575" w:rsidP="00F32575">
      <w:pPr>
        <w:ind w:left="851"/>
        <w:rPr>
          <w:sz w:val="24"/>
          <w:szCs w:val="24"/>
        </w:rPr>
      </w:pPr>
      <w:r>
        <w:rPr>
          <w:sz w:val="24"/>
          <w:szCs w:val="24"/>
        </w:rPr>
        <w:t xml:space="preserve">En ca. 3 gange forøget risiko for </w:t>
      </w:r>
      <w:proofErr w:type="spellStart"/>
      <w:r>
        <w:rPr>
          <w:sz w:val="24"/>
          <w:szCs w:val="24"/>
        </w:rPr>
        <w:t>cerebrovaskulære</w:t>
      </w:r>
      <w:proofErr w:type="spellEnd"/>
      <w:r>
        <w:rPr>
          <w:sz w:val="24"/>
          <w:szCs w:val="24"/>
        </w:rPr>
        <w:t xml:space="preserve"> hændelser er observeret i randomiserede, placebokontrollerede kliniske studier med visse atypiske </w:t>
      </w:r>
      <w:proofErr w:type="spellStart"/>
      <w:r>
        <w:rPr>
          <w:sz w:val="24"/>
          <w:szCs w:val="24"/>
        </w:rPr>
        <w:t>neuroleptika</w:t>
      </w:r>
      <w:proofErr w:type="spellEnd"/>
      <w:r>
        <w:rPr>
          <w:sz w:val="24"/>
          <w:szCs w:val="24"/>
        </w:rPr>
        <w:t xml:space="preserve"> hos patienter med demens. Mekanismen bag denne øgede risiko er ikke kendt. En øget risiko med andre </w:t>
      </w:r>
      <w:proofErr w:type="spellStart"/>
      <w:r>
        <w:rPr>
          <w:sz w:val="24"/>
          <w:szCs w:val="24"/>
        </w:rPr>
        <w:t>neuroleptika</w:t>
      </w:r>
      <w:proofErr w:type="spellEnd"/>
      <w:r>
        <w:rPr>
          <w:sz w:val="24"/>
          <w:szCs w:val="24"/>
        </w:rPr>
        <w:t xml:space="preserve"> og hos andre patientpopulationer kan ikke udelukkes. Derfor bør </w:t>
      </w:r>
      <w:proofErr w:type="spellStart"/>
      <w:r>
        <w:rPr>
          <w:sz w:val="24"/>
          <w:szCs w:val="24"/>
        </w:rPr>
        <w:t>hydroxyzin</w:t>
      </w:r>
      <w:proofErr w:type="spellEnd"/>
      <w:r>
        <w:rPr>
          <w:sz w:val="24"/>
          <w:szCs w:val="24"/>
        </w:rPr>
        <w:t xml:space="preserve"> anvendes med forsigtighed hos patienter, som har risikofaktorer for slagtilfælde.</w:t>
      </w:r>
    </w:p>
    <w:p w:rsidR="00F32575" w:rsidRDefault="00F32575" w:rsidP="00F32575">
      <w:pPr>
        <w:ind w:left="851" w:hanging="851"/>
        <w:rPr>
          <w:sz w:val="24"/>
          <w:szCs w:val="24"/>
        </w:rPr>
      </w:pPr>
    </w:p>
    <w:p w:rsidR="00F32575" w:rsidRDefault="00F32575" w:rsidP="00F32575">
      <w:pPr>
        <w:ind w:left="851"/>
        <w:rPr>
          <w:sz w:val="24"/>
          <w:szCs w:val="24"/>
          <w:u w:val="single"/>
        </w:rPr>
      </w:pPr>
      <w:r>
        <w:rPr>
          <w:sz w:val="24"/>
          <w:szCs w:val="24"/>
          <w:u w:val="single"/>
        </w:rPr>
        <w:t>Hjælpestoffer</w:t>
      </w:r>
    </w:p>
    <w:p w:rsidR="00F32575" w:rsidRDefault="00F32575" w:rsidP="00F32575">
      <w:pPr>
        <w:ind w:left="851"/>
        <w:rPr>
          <w:sz w:val="24"/>
          <w:szCs w:val="24"/>
        </w:rPr>
      </w:pPr>
      <w:proofErr w:type="spellStart"/>
      <w:r>
        <w:rPr>
          <w:sz w:val="24"/>
          <w:szCs w:val="24"/>
        </w:rPr>
        <w:t>Hydroxyzin</w:t>
      </w:r>
      <w:proofErr w:type="spellEnd"/>
      <w:r>
        <w:rPr>
          <w:sz w:val="24"/>
          <w:szCs w:val="24"/>
        </w:rPr>
        <w:t xml:space="preserve"> "</w:t>
      </w:r>
      <w:proofErr w:type="spellStart"/>
      <w:r>
        <w:rPr>
          <w:sz w:val="24"/>
          <w:szCs w:val="24"/>
        </w:rPr>
        <w:t>Bluefish</w:t>
      </w:r>
      <w:proofErr w:type="spellEnd"/>
      <w:r>
        <w:rPr>
          <w:sz w:val="24"/>
          <w:szCs w:val="24"/>
        </w:rPr>
        <w:t xml:space="preserve">" indeholder </w:t>
      </w:r>
      <w:proofErr w:type="spellStart"/>
      <w:r>
        <w:rPr>
          <w:sz w:val="24"/>
          <w:szCs w:val="24"/>
        </w:rPr>
        <w:t>lactose</w:t>
      </w:r>
      <w:proofErr w:type="spellEnd"/>
      <w:r>
        <w:rPr>
          <w:sz w:val="24"/>
          <w:szCs w:val="24"/>
        </w:rPr>
        <w:t xml:space="preserve"> (se pkt. 6.1). </w:t>
      </w:r>
    </w:p>
    <w:p w:rsidR="00F32575" w:rsidRDefault="00F32575" w:rsidP="00F32575">
      <w:pPr>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F32575" w:rsidRDefault="00F32575" w:rsidP="00F32575">
      <w:pPr>
        <w:ind w:left="851"/>
        <w:rPr>
          <w:sz w:val="24"/>
          <w:szCs w:val="24"/>
        </w:rPr>
      </w:pPr>
    </w:p>
    <w:p w:rsidR="00F32575" w:rsidRDefault="00F32575" w:rsidP="00F32575">
      <w:pPr>
        <w:ind w:left="851"/>
        <w:rPr>
          <w:sz w:val="24"/>
          <w:szCs w:val="24"/>
        </w:rPr>
      </w:pPr>
      <w:proofErr w:type="spellStart"/>
      <w:r>
        <w:rPr>
          <w:sz w:val="24"/>
          <w:szCs w:val="24"/>
        </w:rPr>
        <w:t>Hydroxyzin</w:t>
      </w:r>
      <w:proofErr w:type="spellEnd"/>
      <w:r>
        <w:rPr>
          <w:sz w:val="24"/>
          <w:szCs w:val="24"/>
        </w:rPr>
        <w:t xml:space="preserve"> "</w:t>
      </w:r>
      <w:proofErr w:type="spellStart"/>
      <w:r>
        <w:rPr>
          <w:sz w:val="24"/>
          <w:szCs w:val="24"/>
        </w:rPr>
        <w:t>Bluefish</w:t>
      </w:r>
      <w:proofErr w:type="spellEnd"/>
      <w:r>
        <w:rPr>
          <w:sz w:val="24"/>
          <w:szCs w:val="24"/>
        </w:rPr>
        <w:t>" indeholder natrium</w:t>
      </w:r>
    </w:p>
    <w:p w:rsidR="00F32575" w:rsidRDefault="00F32575" w:rsidP="00F32575">
      <w:pPr>
        <w:ind w:left="851"/>
        <w:rPr>
          <w:sz w:val="24"/>
          <w:szCs w:val="24"/>
        </w:rPr>
      </w:pPr>
      <w:r>
        <w:rPr>
          <w:sz w:val="24"/>
          <w:szCs w:val="24"/>
        </w:rPr>
        <w:t>Dette lægemiddel indeholder mindre end 1 mmol (23 mg) natrium pr. tablet, dvs. det er i det væsentlige natriumfrit.</w:t>
      </w:r>
    </w:p>
    <w:p w:rsidR="009D061C" w:rsidRPr="00A10831" w:rsidRDefault="009D061C" w:rsidP="009D061C">
      <w:pPr>
        <w:ind w:left="851" w:hanging="851"/>
        <w:rPr>
          <w:sz w:val="24"/>
          <w:szCs w:val="24"/>
        </w:rPr>
      </w:pPr>
    </w:p>
    <w:p w:rsidR="009D061C" w:rsidRPr="001358B7" w:rsidRDefault="009D061C" w:rsidP="001358B7">
      <w:pPr>
        <w:ind w:left="851" w:hanging="851"/>
        <w:rPr>
          <w:b/>
          <w:sz w:val="24"/>
          <w:szCs w:val="24"/>
        </w:rPr>
      </w:pPr>
      <w:r w:rsidRPr="00A10831">
        <w:rPr>
          <w:b/>
          <w:sz w:val="24"/>
          <w:szCs w:val="24"/>
        </w:rPr>
        <w:t>4.5</w:t>
      </w:r>
      <w:r w:rsidRPr="00A10831">
        <w:rPr>
          <w:b/>
          <w:sz w:val="24"/>
          <w:szCs w:val="24"/>
        </w:rPr>
        <w:tab/>
        <w:t>Interaktion med andre lægemidler og andre former for interaktion</w:t>
      </w:r>
    </w:p>
    <w:p w:rsidR="009D061C" w:rsidRPr="00A10831" w:rsidRDefault="009D061C" w:rsidP="009D061C">
      <w:pPr>
        <w:ind w:left="851"/>
        <w:rPr>
          <w:sz w:val="24"/>
          <w:szCs w:val="24"/>
          <w:u w:val="single"/>
        </w:rPr>
      </w:pPr>
      <w:r w:rsidRPr="00A10831">
        <w:rPr>
          <w:sz w:val="24"/>
          <w:szCs w:val="24"/>
          <w:u w:val="single"/>
        </w:rPr>
        <w:t>Kontraindicerede kombinationer</w:t>
      </w:r>
    </w:p>
    <w:p w:rsidR="009D061C" w:rsidRPr="00A10831" w:rsidRDefault="009D061C" w:rsidP="009D061C">
      <w:pPr>
        <w:ind w:left="851"/>
        <w:rPr>
          <w:color w:val="000000"/>
          <w:sz w:val="24"/>
          <w:szCs w:val="24"/>
        </w:rPr>
      </w:pPr>
      <w:r w:rsidRPr="00A10831">
        <w:rPr>
          <w:sz w:val="24"/>
          <w:szCs w:val="24"/>
        </w:rPr>
        <w:lastRenderedPageBreak/>
        <w:t xml:space="preserve">Samtidig administration af </w:t>
      </w:r>
      <w:proofErr w:type="spellStart"/>
      <w:r w:rsidRPr="00A10831">
        <w:rPr>
          <w:sz w:val="24"/>
          <w:szCs w:val="24"/>
        </w:rPr>
        <w:t>hydroxyzin</w:t>
      </w:r>
      <w:proofErr w:type="spellEnd"/>
      <w:r w:rsidRPr="00A10831">
        <w:rPr>
          <w:sz w:val="24"/>
          <w:szCs w:val="24"/>
        </w:rPr>
        <w:t xml:space="preserve"> og lægemidler, der forlænger QT-intervallet og/eller inducerer </w:t>
      </w:r>
      <w:proofErr w:type="spellStart"/>
      <w:r w:rsidRPr="00A10831">
        <w:rPr>
          <w:sz w:val="24"/>
          <w:szCs w:val="24"/>
        </w:rPr>
        <w:t>torsades</w:t>
      </w:r>
      <w:proofErr w:type="spellEnd"/>
      <w:r w:rsidRPr="00A10831">
        <w:rPr>
          <w:sz w:val="24"/>
          <w:szCs w:val="24"/>
        </w:rPr>
        <w:t xml:space="preserve"> de pointes, f.eks. klasse IA (f.eks. </w:t>
      </w:r>
      <w:proofErr w:type="spellStart"/>
      <w:r w:rsidRPr="00A10831">
        <w:rPr>
          <w:sz w:val="24"/>
          <w:szCs w:val="24"/>
        </w:rPr>
        <w:t>quinidin</w:t>
      </w:r>
      <w:proofErr w:type="spellEnd"/>
      <w:r w:rsidRPr="00A10831">
        <w:rPr>
          <w:sz w:val="24"/>
          <w:szCs w:val="24"/>
        </w:rPr>
        <w:t xml:space="preserve">, </w:t>
      </w:r>
      <w:proofErr w:type="spellStart"/>
      <w:r w:rsidRPr="00A10831">
        <w:rPr>
          <w:sz w:val="24"/>
          <w:szCs w:val="24"/>
        </w:rPr>
        <w:t>disopyramid</w:t>
      </w:r>
      <w:proofErr w:type="spellEnd"/>
      <w:r w:rsidRPr="00A10831">
        <w:rPr>
          <w:sz w:val="24"/>
          <w:szCs w:val="24"/>
        </w:rPr>
        <w:t xml:space="preserve">) og klasse III </w:t>
      </w:r>
      <w:proofErr w:type="spellStart"/>
      <w:r w:rsidRPr="00A10831">
        <w:rPr>
          <w:sz w:val="24"/>
          <w:szCs w:val="24"/>
        </w:rPr>
        <w:t>antiarytmika</w:t>
      </w:r>
      <w:proofErr w:type="spellEnd"/>
      <w:r w:rsidRPr="00A10831">
        <w:rPr>
          <w:sz w:val="24"/>
          <w:szCs w:val="24"/>
        </w:rPr>
        <w:t xml:space="preserve"> (f.eks. </w:t>
      </w:r>
      <w:proofErr w:type="spellStart"/>
      <w:r w:rsidRPr="00A10831">
        <w:rPr>
          <w:sz w:val="24"/>
          <w:szCs w:val="24"/>
        </w:rPr>
        <w:t>amiodaron</w:t>
      </w:r>
      <w:proofErr w:type="spellEnd"/>
      <w:r w:rsidRPr="00A10831">
        <w:rPr>
          <w:sz w:val="24"/>
          <w:szCs w:val="24"/>
        </w:rPr>
        <w:t xml:space="preserve">, </w:t>
      </w:r>
      <w:proofErr w:type="spellStart"/>
      <w:r w:rsidRPr="00A10831">
        <w:rPr>
          <w:sz w:val="24"/>
          <w:szCs w:val="24"/>
        </w:rPr>
        <w:t>sotalol</w:t>
      </w:r>
      <w:proofErr w:type="spellEnd"/>
      <w:r w:rsidRPr="00A10831">
        <w:rPr>
          <w:sz w:val="24"/>
          <w:szCs w:val="24"/>
        </w:rPr>
        <w:t xml:space="preserve">), visse antihistaminer, visse antipsykotika (f.eks. </w:t>
      </w:r>
      <w:proofErr w:type="spellStart"/>
      <w:r w:rsidRPr="00A10831">
        <w:rPr>
          <w:sz w:val="24"/>
          <w:szCs w:val="24"/>
        </w:rPr>
        <w:t>haloperidol</w:t>
      </w:r>
      <w:proofErr w:type="spellEnd"/>
      <w:r w:rsidRPr="00A10831">
        <w:rPr>
          <w:sz w:val="24"/>
          <w:szCs w:val="24"/>
        </w:rPr>
        <w:t xml:space="preserve">), visse </w:t>
      </w:r>
      <w:proofErr w:type="spellStart"/>
      <w:r w:rsidRPr="00A10831">
        <w:rPr>
          <w:sz w:val="24"/>
          <w:szCs w:val="24"/>
        </w:rPr>
        <w:t>antidepressiva</w:t>
      </w:r>
      <w:proofErr w:type="spellEnd"/>
      <w:r w:rsidRPr="00A10831">
        <w:rPr>
          <w:sz w:val="24"/>
          <w:szCs w:val="24"/>
        </w:rPr>
        <w:t xml:space="preserve"> (f.eks. </w:t>
      </w:r>
      <w:proofErr w:type="spellStart"/>
      <w:r w:rsidRPr="00A10831">
        <w:rPr>
          <w:sz w:val="24"/>
          <w:szCs w:val="24"/>
        </w:rPr>
        <w:t>citalopram</w:t>
      </w:r>
      <w:proofErr w:type="spellEnd"/>
      <w:r w:rsidRPr="00A10831">
        <w:rPr>
          <w:sz w:val="24"/>
          <w:szCs w:val="24"/>
        </w:rPr>
        <w:t xml:space="preserve">, escitalopram), visse lægemidler mod malaria (f.eks. </w:t>
      </w:r>
      <w:proofErr w:type="spellStart"/>
      <w:r w:rsidRPr="00A10831">
        <w:rPr>
          <w:sz w:val="24"/>
          <w:szCs w:val="24"/>
        </w:rPr>
        <w:t>mefloquin</w:t>
      </w:r>
      <w:proofErr w:type="spellEnd"/>
      <w:r w:rsidRPr="00A10831">
        <w:rPr>
          <w:sz w:val="24"/>
          <w:szCs w:val="24"/>
        </w:rPr>
        <w:t xml:space="preserve">), visse typer antibiotika (f.eks. </w:t>
      </w:r>
      <w:proofErr w:type="spellStart"/>
      <w:r w:rsidRPr="00A10831">
        <w:rPr>
          <w:color w:val="000000"/>
          <w:sz w:val="24"/>
          <w:szCs w:val="24"/>
        </w:rPr>
        <w:t>erythromycin</w:t>
      </w:r>
      <w:proofErr w:type="spellEnd"/>
      <w:r w:rsidRPr="00A10831">
        <w:rPr>
          <w:color w:val="000000"/>
          <w:sz w:val="24"/>
          <w:szCs w:val="24"/>
        </w:rPr>
        <w:t xml:space="preserve">, </w:t>
      </w:r>
      <w:proofErr w:type="spellStart"/>
      <w:r w:rsidRPr="00A10831">
        <w:rPr>
          <w:color w:val="000000"/>
          <w:sz w:val="24"/>
          <w:szCs w:val="24"/>
        </w:rPr>
        <w:t>levofloxacin</w:t>
      </w:r>
      <w:proofErr w:type="spellEnd"/>
      <w:r w:rsidRPr="00A10831">
        <w:rPr>
          <w:color w:val="000000"/>
          <w:sz w:val="24"/>
          <w:szCs w:val="24"/>
        </w:rPr>
        <w:t xml:space="preserve">, </w:t>
      </w:r>
      <w:proofErr w:type="spellStart"/>
      <w:r w:rsidRPr="00A10831">
        <w:rPr>
          <w:color w:val="000000"/>
          <w:sz w:val="24"/>
          <w:szCs w:val="24"/>
        </w:rPr>
        <w:t>moxifloxacin</w:t>
      </w:r>
      <w:proofErr w:type="spellEnd"/>
      <w:r w:rsidRPr="00A10831">
        <w:rPr>
          <w:color w:val="000000"/>
          <w:sz w:val="24"/>
          <w:szCs w:val="24"/>
        </w:rPr>
        <w:t xml:space="preserve">) visse </w:t>
      </w:r>
      <w:proofErr w:type="spellStart"/>
      <w:r w:rsidRPr="00A10831">
        <w:rPr>
          <w:color w:val="000000"/>
          <w:sz w:val="24"/>
          <w:szCs w:val="24"/>
        </w:rPr>
        <w:t>antimykotika</w:t>
      </w:r>
      <w:proofErr w:type="spellEnd"/>
      <w:r w:rsidRPr="00A10831">
        <w:rPr>
          <w:color w:val="000000"/>
          <w:sz w:val="24"/>
          <w:szCs w:val="24"/>
        </w:rPr>
        <w:t xml:space="preserve"> (f.eks. </w:t>
      </w:r>
      <w:proofErr w:type="spellStart"/>
      <w:r w:rsidRPr="00A10831">
        <w:rPr>
          <w:color w:val="000000"/>
          <w:sz w:val="24"/>
          <w:szCs w:val="24"/>
        </w:rPr>
        <w:t>pentamidin</w:t>
      </w:r>
      <w:proofErr w:type="spellEnd"/>
      <w:r w:rsidRPr="00A10831">
        <w:rPr>
          <w:color w:val="000000"/>
          <w:sz w:val="24"/>
          <w:szCs w:val="24"/>
        </w:rPr>
        <w:t xml:space="preserve">), visse typer </w:t>
      </w:r>
      <w:proofErr w:type="spellStart"/>
      <w:r w:rsidRPr="00A10831">
        <w:rPr>
          <w:color w:val="000000"/>
          <w:sz w:val="24"/>
          <w:szCs w:val="24"/>
        </w:rPr>
        <w:t>gastrointestinal</w:t>
      </w:r>
      <w:proofErr w:type="spellEnd"/>
      <w:r w:rsidRPr="00A10831">
        <w:rPr>
          <w:color w:val="000000"/>
          <w:sz w:val="24"/>
          <w:szCs w:val="24"/>
        </w:rPr>
        <w:t xml:space="preserve"> medicin (f.eks. </w:t>
      </w:r>
      <w:proofErr w:type="spellStart"/>
      <w:r w:rsidRPr="00A10831">
        <w:rPr>
          <w:color w:val="000000"/>
          <w:sz w:val="24"/>
          <w:szCs w:val="24"/>
        </w:rPr>
        <w:t>prucaloprid</w:t>
      </w:r>
      <w:proofErr w:type="spellEnd"/>
      <w:r w:rsidRPr="00A10831">
        <w:rPr>
          <w:color w:val="000000"/>
          <w:sz w:val="24"/>
          <w:szCs w:val="24"/>
        </w:rPr>
        <w:t xml:space="preserve">), visse cancerlægemidler (f.eks. </w:t>
      </w:r>
      <w:proofErr w:type="spellStart"/>
      <w:r w:rsidRPr="00A10831">
        <w:rPr>
          <w:color w:val="000000"/>
          <w:sz w:val="24"/>
          <w:szCs w:val="24"/>
        </w:rPr>
        <w:t>toremifen</w:t>
      </w:r>
      <w:proofErr w:type="spellEnd"/>
      <w:r w:rsidRPr="00A10831">
        <w:rPr>
          <w:color w:val="000000"/>
          <w:sz w:val="24"/>
          <w:szCs w:val="24"/>
        </w:rPr>
        <w:t xml:space="preserve">, </w:t>
      </w:r>
      <w:proofErr w:type="spellStart"/>
      <w:r w:rsidRPr="00A10831">
        <w:rPr>
          <w:color w:val="000000"/>
          <w:sz w:val="24"/>
          <w:szCs w:val="24"/>
        </w:rPr>
        <w:t>vandetanib</w:t>
      </w:r>
      <w:proofErr w:type="spellEnd"/>
      <w:r w:rsidRPr="00A10831">
        <w:rPr>
          <w:color w:val="000000"/>
          <w:sz w:val="24"/>
          <w:szCs w:val="24"/>
        </w:rPr>
        <w:t xml:space="preserve">), </w:t>
      </w:r>
      <w:proofErr w:type="spellStart"/>
      <w:r w:rsidRPr="00A10831">
        <w:rPr>
          <w:color w:val="000000"/>
          <w:sz w:val="24"/>
          <w:szCs w:val="24"/>
        </w:rPr>
        <w:t>methadon</w:t>
      </w:r>
      <w:proofErr w:type="spellEnd"/>
      <w:r w:rsidRPr="00A10831">
        <w:rPr>
          <w:color w:val="000000"/>
          <w:sz w:val="24"/>
          <w:szCs w:val="24"/>
        </w:rPr>
        <w:t xml:space="preserve"> øger alle risikoen for </w:t>
      </w:r>
      <w:proofErr w:type="spellStart"/>
      <w:r w:rsidRPr="00A10831">
        <w:rPr>
          <w:color w:val="000000"/>
          <w:sz w:val="24"/>
          <w:szCs w:val="24"/>
        </w:rPr>
        <w:t>hjertearytmi</w:t>
      </w:r>
      <w:proofErr w:type="spellEnd"/>
      <w:r w:rsidRPr="00A10831">
        <w:rPr>
          <w:color w:val="000000"/>
          <w:sz w:val="24"/>
          <w:szCs w:val="24"/>
        </w:rPr>
        <w:t>. Derfor er disse kombinationer kontraindicerede (se pkt. 4.3).</w:t>
      </w:r>
    </w:p>
    <w:p w:rsidR="009D061C" w:rsidRPr="00A10831" w:rsidRDefault="009D061C" w:rsidP="009D061C">
      <w:pPr>
        <w:ind w:left="851" w:hanging="851"/>
        <w:rPr>
          <w:color w:val="000000"/>
          <w:sz w:val="24"/>
          <w:szCs w:val="24"/>
        </w:rPr>
      </w:pPr>
    </w:p>
    <w:p w:rsidR="009D061C" w:rsidRPr="00A10831" w:rsidRDefault="009D061C" w:rsidP="009D061C">
      <w:pPr>
        <w:ind w:left="851"/>
        <w:rPr>
          <w:sz w:val="24"/>
          <w:szCs w:val="24"/>
          <w:u w:val="single"/>
        </w:rPr>
      </w:pPr>
      <w:r w:rsidRPr="00A10831">
        <w:rPr>
          <w:sz w:val="24"/>
          <w:szCs w:val="24"/>
          <w:u w:val="single"/>
        </w:rPr>
        <w:t>Kombinationer der frarådes</w:t>
      </w:r>
    </w:p>
    <w:p w:rsidR="009D061C" w:rsidRPr="00A10831" w:rsidRDefault="009D061C" w:rsidP="009D061C">
      <w:pPr>
        <w:ind w:left="851" w:hanging="851"/>
        <w:rPr>
          <w:sz w:val="24"/>
          <w:szCs w:val="24"/>
        </w:rPr>
      </w:pPr>
    </w:p>
    <w:p w:rsidR="009D061C" w:rsidRPr="00A10831" w:rsidRDefault="009D061C" w:rsidP="009D061C">
      <w:pPr>
        <w:ind w:left="851"/>
        <w:rPr>
          <w:i/>
          <w:sz w:val="24"/>
          <w:szCs w:val="24"/>
        </w:rPr>
      </w:pPr>
      <w:proofErr w:type="spellStart"/>
      <w:r w:rsidRPr="00A10831">
        <w:rPr>
          <w:i/>
          <w:sz w:val="24"/>
          <w:szCs w:val="24"/>
        </w:rPr>
        <w:t>Betahistin</w:t>
      </w:r>
      <w:proofErr w:type="spellEnd"/>
      <w:r w:rsidRPr="00A10831">
        <w:rPr>
          <w:i/>
          <w:sz w:val="24"/>
          <w:szCs w:val="24"/>
        </w:rPr>
        <w:t xml:space="preserve"> og </w:t>
      </w:r>
      <w:proofErr w:type="spellStart"/>
      <w:r w:rsidRPr="00A10831">
        <w:rPr>
          <w:i/>
          <w:sz w:val="24"/>
          <w:szCs w:val="24"/>
        </w:rPr>
        <w:t>kolinesterasehæmmere</w:t>
      </w:r>
      <w:proofErr w:type="spellEnd"/>
    </w:p>
    <w:p w:rsidR="009D061C" w:rsidRPr="00A10831" w:rsidRDefault="009D061C" w:rsidP="009D061C">
      <w:pPr>
        <w:ind w:left="851"/>
        <w:rPr>
          <w:sz w:val="24"/>
          <w:szCs w:val="24"/>
        </w:rPr>
      </w:pPr>
      <w:proofErr w:type="spellStart"/>
      <w:r w:rsidRPr="00A10831">
        <w:rPr>
          <w:sz w:val="24"/>
          <w:szCs w:val="24"/>
        </w:rPr>
        <w:t>Hydroxyzin</w:t>
      </w:r>
      <w:proofErr w:type="spellEnd"/>
      <w:r w:rsidRPr="00A10831">
        <w:rPr>
          <w:sz w:val="24"/>
          <w:szCs w:val="24"/>
        </w:rPr>
        <w:t xml:space="preserve"> </w:t>
      </w:r>
      <w:proofErr w:type="spellStart"/>
      <w:r w:rsidRPr="00A10831">
        <w:rPr>
          <w:sz w:val="24"/>
          <w:szCs w:val="24"/>
        </w:rPr>
        <w:t>antagoniserer</w:t>
      </w:r>
      <w:proofErr w:type="spellEnd"/>
      <w:r w:rsidRPr="00A10831">
        <w:rPr>
          <w:sz w:val="24"/>
          <w:szCs w:val="24"/>
        </w:rPr>
        <w:t xml:space="preserve"> virkningen af </w:t>
      </w:r>
      <w:proofErr w:type="spellStart"/>
      <w:r w:rsidRPr="00A10831">
        <w:rPr>
          <w:sz w:val="24"/>
          <w:szCs w:val="24"/>
        </w:rPr>
        <w:t>betahistin</w:t>
      </w:r>
      <w:proofErr w:type="spellEnd"/>
      <w:r w:rsidRPr="00A10831">
        <w:rPr>
          <w:sz w:val="24"/>
          <w:szCs w:val="24"/>
        </w:rPr>
        <w:t xml:space="preserve"> og </w:t>
      </w:r>
      <w:proofErr w:type="spellStart"/>
      <w:r w:rsidRPr="00A10831">
        <w:rPr>
          <w:sz w:val="24"/>
          <w:szCs w:val="24"/>
        </w:rPr>
        <w:t>kolinesterasehæmmere</w:t>
      </w:r>
      <w:proofErr w:type="spellEnd"/>
      <w:r w:rsidRPr="00A10831">
        <w:rPr>
          <w:sz w:val="24"/>
          <w:szCs w:val="24"/>
        </w:rPr>
        <w:t>.</w:t>
      </w:r>
    </w:p>
    <w:p w:rsidR="009D061C" w:rsidRPr="00A10831" w:rsidRDefault="009D061C" w:rsidP="001358B7">
      <w:pPr>
        <w:rPr>
          <w:i/>
          <w:sz w:val="24"/>
          <w:szCs w:val="24"/>
        </w:rPr>
      </w:pPr>
    </w:p>
    <w:p w:rsidR="009D061C" w:rsidRPr="00A10831" w:rsidRDefault="009D061C" w:rsidP="009D061C">
      <w:pPr>
        <w:ind w:left="851"/>
        <w:rPr>
          <w:i/>
          <w:sz w:val="24"/>
          <w:szCs w:val="24"/>
        </w:rPr>
      </w:pPr>
      <w:r w:rsidRPr="00A10831">
        <w:rPr>
          <w:i/>
          <w:sz w:val="24"/>
          <w:szCs w:val="24"/>
        </w:rPr>
        <w:t>Allergitest</w:t>
      </w:r>
    </w:p>
    <w:p w:rsidR="009D061C" w:rsidRPr="00A10831" w:rsidRDefault="009D061C" w:rsidP="009D061C">
      <w:pPr>
        <w:suppressAutoHyphens/>
        <w:ind w:left="851"/>
        <w:rPr>
          <w:sz w:val="24"/>
          <w:szCs w:val="24"/>
        </w:rPr>
      </w:pPr>
      <w:r w:rsidRPr="00A10831">
        <w:rPr>
          <w:sz w:val="24"/>
          <w:szCs w:val="24"/>
        </w:rPr>
        <w:t xml:space="preserve">Behandlingen bør seponeres mindst 5 dage før allergitest eller </w:t>
      </w:r>
      <w:proofErr w:type="spellStart"/>
      <w:r w:rsidRPr="00A10831">
        <w:rPr>
          <w:sz w:val="24"/>
          <w:szCs w:val="24"/>
        </w:rPr>
        <w:t>metakolin</w:t>
      </w:r>
      <w:proofErr w:type="spellEnd"/>
      <w:r w:rsidRPr="00A10831">
        <w:rPr>
          <w:sz w:val="24"/>
          <w:szCs w:val="24"/>
        </w:rPr>
        <w:t xml:space="preserve"> bronkietest for at undgå, at</w:t>
      </w:r>
      <w:r>
        <w:rPr>
          <w:sz w:val="24"/>
          <w:szCs w:val="24"/>
        </w:rPr>
        <w:t xml:space="preserve"> </w:t>
      </w:r>
      <w:r w:rsidRPr="00A10831">
        <w:rPr>
          <w:sz w:val="24"/>
          <w:szCs w:val="24"/>
        </w:rPr>
        <w:t>testresultaterne påvirkes.</w:t>
      </w:r>
    </w:p>
    <w:p w:rsidR="009D061C" w:rsidRPr="00A10831" w:rsidRDefault="009D061C" w:rsidP="009D061C">
      <w:pPr>
        <w:ind w:left="851" w:hanging="851"/>
        <w:rPr>
          <w:sz w:val="24"/>
          <w:szCs w:val="24"/>
        </w:rPr>
      </w:pPr>
    </w:p>
    <w:p w:rsidR="009D061C" w:rsidRPr="00A10831" w:rsidRDefault="009D061C" w:rsidP="001358B7">
      <w:pPr>
        <w:keepNext/>
        <w:ind w:left="851"/>
        <w:rPr>
          <w:i/>
          <w:sz w:val="24"/>
          <w:szCs w:val="24"/>
        </w:rPr>
      </w:pPr>
      <w:r w:rsidRPr="00A10831">
        <w:rPr>
          <w:i/>
          <w:sz w:val="24"/>
          <w:szCs w:val="24"/>
        </w:rPr>
        <w:t>MAO-</w:t>
      </w:r>
      <w:proofErr w:type="spellStart"/>
      <w:r w:rsidRPr="00A10831">
        <w:rPr>
          <w:i/>
          <w:sz w:val="24"/>
          <w:szCs w:val="24"/>
        </w:rPr>
        <w:t>hæmmere</w:t>
      </w:r>
      <w:proofErr w:type="spellEnd"/>
    </w:p>
    <w:p w:rsidR="009D061C" w:rsidRPr="00A10831" w:rsidRDefault="009D061C" w:rsidP="009D061C">
      <w:pPr>
        <w:ind w:left="851"/>
        <w:rPr>
          <w:sz w:val="24"/>
          <w:szCs w:val="24"/>
        </w:rPr>
      </w:pPr>
      <w:r w:rsidRPr="00A10831">
        <w:rPr>
          <w:sz w:val="24"/>
          <w:szCs w:val="24"/>
        </w:rPr>
        <w:t xml:space="preserve">Samtidig administration af </w:t>
      </w:r>
      <w:proofErr w:type="spellStart"/>
      <w:r w:rsidRPr="00A10831">
        <w:rPr>
          <w:sz w:val="24"/>
          <w:szCs w:val="24"/>
        </w:rPr>
        <w:t>hydroxyzin</w:t>
      </w:r>
      <w:proofErr w:type="spellEnd"/>
      <w:r w:rsidRPr="00A10831">
        <w:rPr>
          <w:sz w:val="24"/>
          <w:szCs w:val="24"/>
        </w:rPr>
        <w:t xml:space="preserve"> og </w:t>
      </w:r>
      <w:proofErr w:type="spellStart"/>
      <w:r w:rsidRPr="00A10831">
        <w:rPr>
          <w:sz w:val="24"/>
          <w:szCs w:val="24"/>
        </w:rPr>
        <w:t>monoaminoxidasehæmmere</w:t>
      </w:r>
      <w:proofErr w:type="spellEnd"/>
      <w:r w:rsidRPr="00A10831">
        <w:rPr>
          <w:sz w:val="24"/>
          <w:szCs w:val="24"/>
        </w:rPr>
        <w:t xml:space="preserve"> bør undgås.</w:t>
      </w:r>
    </w:p>
    <w:p w:rsidR="009D061C" w:rsidRPr="00A10831" w:rsidRDefault="009D061C" w:rsidP="009D061C">
      <w:pPr>
        <w:ind w:left="851" w:hanging="851"/>
        <w:rPr>
          <w:sz w:val="24"/>
          <w:szCs w:val="24"/>
        </w:rPr>
      </w:pPr>
    </w:p>
    <w:p w:rsidR="009D061C" w:rsidRPr="00A10831" w:rsidRDefault="009D061C" w:rsidP="009D061C">
      <w:pPr>
        <w:ind w:left="851"/>
        <w:rPr>
          <w:sz w:val="24"/>
          <w:szCs w:val="24"/>
          <w:u w:val="single"/>
        </w:rPr>
      </w:pPr>
      <w:r w:rsidRPr="00A10831">
        <w:rPr>
          <w:sz w:val="24"/>
          <w:szCs w:val="24"/>
          <w:u w:val="single"/>
        </w:rPr>
        <w:t>Kombinationer, der kræver forholdsregler ved anvendelse</w:t>
      </w:r>
    </w:p>
    <w:p w:rsidR="009D061C" w:rsidRPr="00A10831" w:rsidRDefault="009D061C" w:rsidP="009D061C">
      <w:pPr>
        <w:ind w:left="851" w:hanging="851"/>
        <w:rPr>
          <w:sz w:val="24"/>
          <w:szCs w:val="24"/>
        </w:rPr>
      </w:pPr>
    </w:p>
    <w:p w:rsidR="009D061C" w:rsidRPr="00A10831" w:rsidRDefault="009D061C" w:rsidP="009D061C">
      <w:pPr>
        <w:ind w:left="851"/>
        <w:rPr>
          <w:i/>
          <w:sz w:val="24"/>
          <w:szCs w:val="24"/>
        </w:rPr>
      </w:pPr>
      <w:r w:rsidRPr="00A10831">
        <w:rPr>
          <w:i/>
          <w:sz w:val="24"/>
          <w:szCs w:val="24"/>
        </w:rPr>
        <w:t xml:space="preserve">Bradykardi- og </w:t>
      </w:r>
      <w:proofErr w:type="spellStart"/>
      <w:r w:rsidRPr="00A10831">
        <w:rPr>
          <w:i/>
          <w:sz w:val="24"/>
          <w:szCs w:val="24"/>
        </w:rPr>
        <w:t>hypokaliæmi</w:t>
      </w:r>
      <w:proofErr w:type="spellEnd"/>
      <w:r w:rsidRPr="00A10831">
        <w:rPr>
          <w:i/>
          <w:sz w:val="24"/>
          <w:szCs w:val="24"/>
        </w:rPr>
        <w:t>-inducerende lægemidler</w:t>
      </w:r>
    </w:p>
    <w:p w:rsidR="009D061C" w:rsidRPr="00A10831" w:rsidRDefault="009D061C" w:rsidP="009D061C">
      <w:pPr>
        <w:ind w:left="851"/>
        <w:rPr>
          <w:sz w:val="24"/>
          <w:szCs w:val="24"/>
        </w:rPr>
      </w:pPr>
      <w:r w:rsidRPr="00A10831">
        <w:rPr>
          <w:sz w:val="24"/>
          <w:szCs w:val="24"/>
        </w:rPr>
        <w:t xml:space="preserve">Der bør udvises forsigtighed ved anvendelse af bradykardi- og </w:t>
      </w:r>
      <w:proofErr w:type="spellStart"/>
      <w:r w:rsidRPr="00A10831">
        <w:rPr>
          <w:sz w:val="24"/>
          <w:szCs w:val="24"/>
        </w:rPr>
        <w:t>hypokaliæmi</w:t>
      </w:r>
      <w:proofErr w:type="spellEnd"/>
      <w:r w:rsidRPr="00A10831">
        <w:rPr>
          <w:sz w:val="24"/>
          <w:szCs w:val="24"/>
        </w:rPr>
        <w:t>-inducerende lægemidler.</w:t>
      </w:r>
    </w:p>
    <w:p w:rsidR="009D061C" w:rsidRPr="00A10831" w:rsidRDefault="009D061C" w:rsidP="009D061C">
      <w:pPr>
        <w:ind w:left="851" w:hanging="851"/>
        <w:rPr>
          <w:sz w:val="24"/>
          <w:szCs w:val="24"/>
        </w:rPr>
      </w:pPr>
    </w:p>
    <w:p w:rsidR="009D061C" w:rsidRPr="00A10831" w:rsidRDefault="009D061C" w:rsidP="009D061C">
      <w:pPr>
        <w:ind w:left="851"/>
        <w:rPr>
          <w:i/>
          <w:sz w:val="24"/>
          <w:szCs w:val="24"/>
        </w:rPr>
      </w:pPr>
      <w:r w:rsidRPr="00A10831">
        <w:rPr>
          <w:i/>
          <w:sz w:val="24"/>
          <w:szCs w:val="24"/>
        </w:rPr>
        <w:t>CNS-</w:t>
      </w:r>
      <w:proofErr w:type="spellStart"/>
      <w:r w:rsidRPr="00A10831">
        <w:rPr>
          <w:i/>
          <w:sz w:val="24"/>
          <w:szCs w:val="24"/>
        </w:rPr>
        <w:t>depressiva</w:t>
      </w:r>
      <w:proofErr w:type="spellEnd"/>
    </w:p>
    <w:p w:rsidR="009D061C" w:rsidRPr="00A10831" w:rsidRDefault="009D061C" w:rsidP="009D061C">
      <w:pPr>
        <w:ind w:left="851"/>
        <w:rPr>
          <w:sz w:val="24"/>
          <w:szCs w:val="24"/>
        </w:rPr>
      </w:pPr>
      <w:r w:rsidRPr="00A10831">
        <w:rPr>
          <w:sz w:val="24"/>
          <w:szCs w:val="24"/>
        </w:rPr>
        <w:t xml:space="preserve">Patienten bør oplyses om, at </w:t>
      </w:r>
      <w:proofErr w:type="spellStart"/>
      <w:r w:rsidRPr="00A10831">
        <w:rPr>
          <w:sz w:val="24"/>
          <w:szCs w:val="24"/>
        </w:rPr>
        <w:t>hydroxyzin</w:t>
      </w:r>
      <w:proofErr w:type="spellEnd"/>
      <w:r w:rsidRPr="00A10831">
        <w:rPr>
          <w:sz w:val="24"/>
          <w:szCs w:val="24"/>
        </w:rPr>
        <w:t xml:space="preserve"> kan potensere effekten af CNS-</w:t>
      </w:r>
      <w:proofErr w:type="spellStart"/>
      <w:r w:rsidRPr="00A10831">
        <w:rPr>
          <w:sz w:val="24"/>
          <w:szCs w:val="24"/>
        </w:rPr>
        <w:t>depressiva</w:t>
      </w:r>
      <w:proofErr w:type="spellEnd"/>
      <w:r w:rsidRPr="00A10831">
        <w:rPr>
          <w:sz w:val="24"/>
          <w:szCs w:val="24"/>
        </w:rPr>
        <w:t xml:space="preserve"> eller aktive stoffer med </w:t>
      </w:r>
      <w:proofErr w:type="spellStart"/>
      <w:r w:rsidRPr="00A10831">
        <w:rPr>
          <w:sz w:val="24"/>
          <w:szCs w:val="24"/>
        </w:rPr>
        <w:t>antikolinerge</w:t>
      </w:r>
      <w:proofErr w:type="spellEnd"/>
      <w:r w:rsidRPr="00A10831">
        <w:rPr>
          <w:sz w:val="24"/>
          <w:szCs w:val="24"/>
        </w:rPr>
        <w:t xml:space="preserve"> egenskaber. Dosis skal tilpasses den enkelte patient.</w:t>
      </w:r>
    </w:p>
    <w:p w:rsidR="009D061C" w:rsidRPr="00A10831" w:rsidRDefault="009D061C" w:rsidP="009D061C">
      <w:pPr>
        <w:ind w:left="851" w:hanging="851"/>
        <w:rPr>
          <w:sz w:val="24"/>
          <w:szCs w:val="24"/>
        </w:rPr>
      </w:pPr>
    </w:p>
    <w:p w:rsidR="009D061C" w:rsidRPr="00A10831" w:rsidRDefault="009D061C" w:rsidP="009D061C">
      <w:pPr>
        <w:ind w:left="851"/>
        <w:rPr>
          <w:i/>
          <w:sz w:val="24"/>
          <w:szCs w:val="24"/>
        </w:rPr>
      </w:pPr>
      <w:r w:rsidRPr="00A10831">
        <w:rPr>
          <w:i/>
          <w:sz w:val="24"/>
          <w:szCs w:val="24"/>
        </w:rPr>
        <w:t>Alkohol</w:t>
      </w:r>
    </w:p>
    <w:p w:rsidR="009D061C" w:rsidRPr="00A10831" w:rsidRDefault="009D061C" w:rsidP="009D061C">
      <w:pPr>
        <w:ind w:left="851"/>
        <w:rPr>
          <w:sz w:val="24"/>
          <w:szCs w:val="24"/>
        </w:rPr>
      </w:pPr>
      <w:r w:rsidRPr="00A10831">
        <w:rPr>
          <w:sz w:val="24"/>
          <w:szCs w:val="24"/>
        </w:rPr>
        <w:t xml:space="preserve">Alkohol potenserer </w:t>
      </w:r>
      <w:proofErr w:type="spellStart"/>
      <w:r w:rsidRPr="00A10831">
        <w:rPr>
          <w:sz w:val="24"/>
          <w:szCs w:val="24"/>
        </w:rPr>
        <w:t>hydroxyzins</w:t>
      </w:r>
      <w:proofErr w:type="spellEnd"/>
      <w:r w:rsidRPr="00A10831">
        <w:rPr>
          <w:sz w:val="24"/>
          <w:szCs w:val="24"/>
        </w:rPr>
        <w:t xml:space="preserve"> effekt.</w:t>
      </w:r>
    </w:p>
    <w:p w:rsidR="009D061C" w:rsidRPr="00A10831" w:rsidRDefault="009D061C" w:rsidP="009D061C">
      <w:pPr>
        <w:ind w:left="851" w:hanging="851"/>
        <w:rPr>
          <w:sz w:val="24"/>
          <w:szCs w:val="24"/>
        </w:rPr>
      </w:pPr>
    </w:p>
    <w:p w:rsidR="009D061C" w:rsidRPr="00A10831" w:rsidRDefault="009D061C" w:rsidP="009D061C">
      <w:pPr>
        <w:ind w:left="851"/>
        <w:rPr>
          <w:i/>
          <w:sz w:val="24"/>
          <w:szCs w:val="24"/>
        </w:rPr>
      </w:pPr>
      <w:r w:rsidRPr="00A10831">
        <w:rPr>
          <w:i/>
          <w:sz w:val="24"/>
          <w:szCs w:val="24"/>
        </w:rPr>
        <w:t>Adrenalin</w:t>
      </w:r>
    </w:p>
    <w:p w:rsidR="009D061C" w:rsidRPr="00A10831" w:rsidRDefault="009D061C" w:rsidP="009D061C">
      <w:pPr>
        <w:ind w:left="851"/>
        <w:rPr>
          <w:sz w:val="24"/>
          <w:szCs w:val="24"/>
        </w:rPr>
      </w:pPr>
      <w:proofErr w:type="spellStart"/>
      <w:r w:rsidRPr="00A10831">
        <w:rPr>
          <w:sz w:val="24"/>
          <w:szCs w:val="24"/>
        </w:rPr>
        <w:t>Hydroxyzin</w:t>
      </w:r>
      <w:proofErr w:type="spellEnd"/>
      <w:r w:rsidRPr="00A10831">
        <w:rPr>
          <w:sz w:val="24"/>
          <w:szCs w:val="24"/>
        </w:rPr>
        <w:t xml:space="preserve"> modvirker adrenalins blodtrykssænkende virkning (se pkt. 4.9).</w:t>
      </w:r>
    </w:p>
    <w:p w:rsidR="009D061C" w:rsidRPr="00A10831" w:rsidRDefault="009D061C" w:rsidP="009D061C">
      <w:pPr>
        <w:ind w:left="851" w:hanging="851"/>
        <w:rPr>
          <w:sz w:val="24"/>
          <w:szCs w:val="24"/>
        </w:rPr>
      </w:pPr>
    </w:p>
    <w:p w:rsidR="009D061C" w:rsidRPr="00A10831" w:rsidRDefault="009D061C" w:rsidP="009D061C">
      <w:pPr>
        <w:ind w:left="851"/>
        <w:rPr>
          <w:i/>
          <w:sz w:val="24"/>
          <w:szCs w:val="24"/>
        </w:rPr>
      </w:pPr>
      <w:proofErr w:type="spellStart"/>
      <w:r w:rsidRPr="00A10831">
        <w:rPr>
          <w:i/>
          <w:sz w:val="24"/>
          <w:szCs w:val="24"/>
        </w:rPr>
        <w:t>Phenytoin</w:t>
      </w:r>
      <w:proofErr w:type="spellEnd"/>
    </w:p>
    <w:p w:rsidR="009D061C" w:rsidRPr="00A10831" w:rsidRDefault="009D061C" w:rsidP="009D061C">
      <w:pPr>
        <w:ind w:left="851"/>
        <w:rPr>
          <w:sz w:val="24"/>
          <w:szCs w:val="24"/>
        </w:rPr>
      </w:pPr>
      <w:proofErr w:type="spellStart"/>
      <w:r w:rsidRPr="00A10831">
        <w:rPr>
          <w:sz w:val="24"/>
          <w:szCs w:val="24"/>
        </w:rPr>
        <w:t>Hydroxyzin</w:t>
      </w:r>
      <w:proofErr w:type="spellEnd"/>
      <w:r w:rsidRPr="00A10831">
        <w:rPr>
          <w:sz w:val="24"/>
          <w:szCs w:val="24"/>
        </w:rPr>
        <w:t xml:space="preserve"> </w:t>
      </w:r>
      <w:proofErr w:type="spellStart"/>
      <w:r w:rsidRPr="00A10831">
        <w:rPr>
          <w:sz w:val="24"/>
          <w:szCs w:val="24"/>
        </w:rPr>
        <w:t>antagoniserede</w:t>
      </w:r>
      <w:proofErr w:type="spellEnd"/>
      <w:r w:rsidRPr="00A10831">
        <w:rPr>
          <w:sz w:val="24"/>
          <w:szCs w:val="24"/>
        </w:rPr>
        <w:t xml:space="preserve"> </w:t>
      </w:r>
      <w:proofErr w:type="spellStart"/>
      <w:r w:rsidRPr="00A10831">
        <w:rPr>
          <w:sz w:val="24"/>
          <w:szCs w:val="24"/>
        </w:rPr>
        <w:t>phenytoins</w:t>
      </w:r>
      <w:proofErr w:type="spellEnd"/>
      <w:r w:rsidRPr="00A10831">
        <w:rPr>
          <w:sz w:val="24"/>
          <w:szCs w:val="24"/>
        </w:rPr>
        <w:t xml:space="preserve"> krampestillende effekt i rotter.</w:t>
      </w:r>
    </w:p>
    <w:p w:rsidR="009D061C" w:rsidRPr="00A10831" w:rsidRDefault="009D061C" w:rsidP="009D061C">
      <w:pPr>
        <w:ind w:left="851" w:hanging="851"/>
        <w:rPr>
          <w:sz w:val="24"/>
          <w:szCs w:val="24"/>
        </w:rPr>
      </w:pPr>
    </w:p>
    <w:p w:rsidR="009D061C" w:rsidRPr="00A10831" w:rsidRDefault="009D061C" w:rsidP="009D061C">
      <w:pPr>
        <w:ind w:left="851"/>
        <w:rPr>
          <w:i/>
          <w:sz w:val="24"/>
          <w:szCs w:val="24"/>
        </w:rPr>
      </w:pPr>
      <w:proofErr w:type="spellStart"/>
      <w:r w:rsidRPr="00A10831">
        <w:rPr>
          <w:i/>
          <w:sz w:val="24"/>
          <w:szCs w:val="24"/>
        </w:rPr>
        <w:t>Cimetidin</w:t>
      </w:r>
      <w:proofErr w:type="spellEnd"/>
    </w:p>
    <w:p w:rsidR="009D061C" w:rsidRPr="00A10831" w:rsidRDefault="009D061C" w:rsidP="009D061C">
      <w:pPr>
        <w:ind w:left="851"/>
        <w:rPr>
          <w:sz w:val="24"/>
          <w:szCs w:val="24"/>
        </w:rPr>
      </w:pPr>
      <w:proofErr w:type="spellStart"/>
      <w:r w:rsidRPr="00A10831">
        <w:rPr>
          <w:sz w:val="24"/>
          <w:szCs w:val="24"/>
        </w:rPr>
        <w:t>Cimetidin</w:t>
      </w:r>
      <w:proofErr w:type="spellEnd"/>
      <w:r w:rsidRPr="00A10831">
        <w:rPr>
          <w:sz w:val="24"/>
          <w:szCs w:val="24"/>
        </w:rPr>
        <w:t xml:space="preserve"> 600 mg to gange dagligt har vist at øge serumkoncentrationen af </w:t>
      </w:r>
      <w:proofErr w:type="spellStart"/>
      <w:r w:rsidRPr="00A10831">
        <w:rPr>
          <w:sz w:val="24"/>
          <w:szCs w:val="24"/>
        </w:rPr>
        <w:t>hydroxyzin</w:t>
      </w:r>
      <w:proofErr w:type="spellEnd"/>
      <w:r w:rsidRPr="00A10831">
        <w:rPr>
          <w:sz w:val="24"/>
          <w:szCs w:val="24"/>
        </w:rPr>
        <w:t xml:space="preserve"> med 36% og mindske den maksimale plasmakoncentration af metabolitten </w:t>
      </w:r>
      <w:proofErr w:type="spellStart"/>
      <w:r w:rsidRPr="00A10831">
        <w:rPr>
          <w:sz w:val="24"/>
          <w:szCs w:val="24"/>
        </w:rPr>
        <w:t>cetirizin</w:t>
      </w:r>
      <w:proofErr w:type="spellEnd"/>
      <w:r w:rsidRPr="00A10831">
        <w:rPr>
          <w:sz w:val="24"/>
          <w:szCs w:val="24"/>
        </w:rPr>
        <w:t xml:space="preserve"> med 20%.</w:t>
      </w:r>
    </w:p>
    <w:p w:rsidR="009D061C" w:rsidRPr="00A10831" w:rsidRDefault="009D061C" w:rsidP="009D061C">
      <w:pPr>
        <w:ind w:left="851" w:hanging="851"/>
        <w:rPr>
          <w:sz w:val="24"/>
          <w:szCs w:val="24"/>
        </w:rPr>
      </w:pPr>
    </w:p>
    <w:p w:rsidR="009D061C" w:rsidRPr="00A10831" w:rsidRDefault="009D061C" w:rsidP="009D061C">
      <w:pPr>
        <w:ind w:left="851" w:right="-171"/>
        <w:rPr>
          <w:i/>
          <w:sz w:val="24"/>
          <w:szCs w:val="24"/>
        </w:rPr>
      </w:pPr>
      <w:r w:rsidRPr="00A10831">
        <w:rPr>
          <w:i/>
          <w:sz w:val="24"/>
          <w:szCs w:val="24"/>
        </w:rPr>
        <w:t>CYP2D6-substrater</w:t>
      </w:r>
    </w:p>
    <w:p w:rsidR="009D061C" w:rsidRPr="00A10831" w:rsidRDefault="009D061C" w:rsidP="009D061C">
      <w:pPr>
        <w:ind w:left="851" w:right="-171"/>
        <w:rPr>
          <w:spacing w:val="-3"/>
          <w:sz w:val="24"/>
          <w:szCs w:val="24"/>
        </w:rPr>
      </w:pPr>
      <w:proofErr w:type="spellStart"/>
      <w:r w:rsidRPr="00A10831">
        <w:rPr>
          <w:spacing w:val="-3"/>
          <w:sz w:val="24"/>
          <w:szCs w:val="24"/>
        </w:rPr>
        <w:t>Hydroxyzin</w:t>
      </w:r>
      <w:proofErr w:type="spellEnd"/>
      <w:r w:rsidRPr="00A10831">
        <w:rPr>
          <w:spacing w:val="-3"/>
          <w:sz w:val="24"/>
          <w:szCs w:val="24"/>
        </w:rPr>
        <w:t xml:space="preserve"> hæmmer CYP2D6 (Ki: 3,9 µM; 1,7 µg/ml) og kan i høje doser forårsage interaktioner med CYP2D6-substrater:</w:t>
      </w:r>
    </w:p>
    <w:p w:rsidR="009D061C" w:rsidRPr="00A10831" w:rsidRDefault="009D061C" w:rsidP="009D061C">
      <w:pPr>
        <w:numPr>
          <w:ilvl w:val="0"/>
          <w:numId w:val="6"/>
        </w:numPr>
        <w:spacing w:line="260" w:lineRule="exact"/>
        <w:ind w:left="1276" w:right="-171" w:hanging="425"/>
        <w:rPr>
          <w:sz w:val="24"/>
          <w:szCs w:val="24"/>
        </w:rPr>
      </w:pPr>
      <w:r w:rsidRPr="00A10831">
        <w:rPr>
          <w:sz w:val="24"/>
          <w:szCs w:val="24"/>
        </w:rPr>
        <w:t>betablokkere (</w:t>
      </w:r>
      <w:proofErr w:type="spellStart"/>
      <w:r w:rsidRPr="00A10831">
        <w:rPr>
          <w:sz w:val="24"/>
          <w:szCs w:val="24"/>
        </w:rPr>
        <w:t>metoprolol</w:t>
      </w:r>
      <w:proofErr w:type="spellEnd"/>
      <w:r w:rsidRPr="00A10831">
        <w:rPr>
          <w:sz w:val="24"/>
          <w:szCs w:val="24"/>
        </w:rPr>
        <w:t xml:space="preserve">, </w:t>
      </w:r>
      <w:proofErr w:type="spellStart"/>
      <w:r w:rsidRPr="00A10831">
        <w:rPr>
          <w:sz w:val="24"/>
          <w:szCs w:val="24"/>
        </w:rPr>
        <w:t>propafenon</w:t>
      </w:r>
      <w:proofErr w:type="spellEnd"/>
      <w:r w:rsidRPr="00A10831">
        <w:rPr>
          <w:sz w:val="24"/>
          <w:szCs w:val="24"/>
        </w:rPr>
        <w:t xml:space="preserve">, </w:t>
      </w:r>
      <w:proofErr w:type="spellStart"/>
      <w:r w:rsidRPr="00A10831">
        <w:rPr>
          <w:sz w:val="24"/>
          <w:szCs w:val="24"/>
        </w:rPr>
        <w:t>timolol</w:t>
      </w:r>
      <w:proofErr w:type="spellEnd"/>
      <w:r w:rsidRPr="00A10831">
        <w:rPr>
          <w:sz w:val="24"/>
          <w:szCs w:val="24"/>
        </w:rPr>
        <w:t>)</w:t>
      </w:r>
    </w:p>
    <w:p w:rsidR="009D061C" w:rsidRPr="00A10831" w:rsidRDefault="009D061C" w:rsidP="009D061C">
      <w:pPr>
        <w:numPr>
          <w:ilvl w:val="0"/>
          <w:numId w:val="6"/>
        </w:numPr>
        <w:spacing w:line="260" w:lineRule="exact"/>
        <w:ind w:left="1276" w:right="-171" w:hanging="425"/>
        <w:rPr>
          <w:sz w:val="24"/>
          <w:szCs w:val="24"/>
        </w:rPr>
      </w:pPr>
      <w:r w:rsidRPr="00A10831">
        <w:rPr>
          <w:sz w:val="24"/>
          <w:szCs w:val="24"/>
        </w:rPr>
        <w:t>SSRI (</w:t>
      </w:r>
      <w:proofErr w:type="spellStart"/>
      <w:r w:rsidRPr="00A10831">
        <w:rPr>
          <w:sz w:val="24"/>
          <w:szCs w:val="24"/>
        </w:rPr>
        <w:t>fluoxetin</w:t>
      </w:r>
      <w:proofErr w:type="spellEnd"/>
      <w:r w:rsidRPr="00A10831">
        <w:rPr>
          <w:sz w:val="24"/>
          <w:szCs w:val="24"/>
        </w:rPr>
        <w:t xml:space="preserve">, </w:t>
      </w:r>
      <w:proofErr w:type="spellStart"/>
      <w:r w:rsidRPr="00A10831">
        <w:rPr>
          <w:sz w:val="24"/>
          <w:szCs w:val="24"/>
        </w:rPr>
        <w:t>fluvoxamin</w:t>
      </w:r>
      <w:proofErr w:type="spellEnd"/>
      <w:r w:rsidRPr="00A10831">
        <w:rPr>
          <w:sz w:val="24"/>
          <w:szCs w:val="24"/>
        </w:rPr>
        <w:t xml:space="preserve">) </w:t>
      </w:r>
    </w:p>
    <w:p w:rsidR="009D061C" w:rsidRPr="00D45578" w:rsidRDefault="009D061C" w:rsidP="009D061C">
      <w:pPr>
        <w:numPr>
          <w:ilvl w:val="0"/>
          <w:numId w:val="6"/>
        </w:numPr>
        <w:spacing w:line="260" w:lineRule="exact"/>
        <w:ind w:left="1276" w:right="-171" w:hanging="425"/>
        <w:rPr>
          <w:sz w:val="24"/>
          <w:szCs w:val="24"/>
          <w:lang w:val="sv-SE"/>
        </w:rPr>
      </w:pPr>
      <w:r w:rsidRPr="00D45578">
        <w:rPr>
          <w:sz w:val="24"/>
          <w:szCs w:val="24"/>
          <w:lang w:val="sv-SE"/>
        </w:rPr>
        <w:lastRenderedPageBreak/>
        <w:t>antidepressiva (</w:t>
      </w:r>
      <w:proofErr w:type="spellStart"/>
      <w:r w:rsidRPr="00D45578">
        <w:rPr>
          <w:sz w:val="24"/>
          <w:szCs w:val="24"/>
          <w:lang w:val="sv-SE"/>
        </w:rPr>
        <w:t>amitriptylin</w:t>
      </w:r>
      <w:proofErr w:type="spellEnd"/>
      <w:r w:rsidRPr="00D45578">
        <w:rPr>
          <w:sz w:val="24"/>
          <w:szCs w:val="24"/>
          <w:lang w:val="sv-SE"/>
        </w:rPr>
        <w:t xml:space="preserve">, </w:t>
      </w:r>
      <w:proofErr w:type="spellStart"/>
      <w:r w:rsidRPr="00D45578">
        <w:rPr>
          <w:sz w:val="24"/>
          <w:szCs w:val="24"/>
          <w:lang w:val="sv-SE"/>
        </w:rPr>
        <w:t>clomipramin</w:t>
      </w:r>
      <w:proofErr w:type="spellEnd"/>
      <w:r w:rsidRPr="00D45578">
        <w:rPr>
          <w:sz w:val="24"/>
          <w:szCs w:val="24"/>
          <w:lang w:val="sv-SE"/>
        </w:rPr>
        <w:t xml:space="preserve">, </w:t>
      </w:r>
      <w:proofErr w:type="spellStart"/>
      <w:r w:rsidRPr="00D45578">
        <w:rPr>
          <w:sz w:val="24"/>
          <w:szCs w:val="24"/>
          <w:lang w:val="sv-SE"/>
        </w:rPr>
        <w:t>desipramin</w:t>
      </w:r>
      <w:proofErr w:type="spellEnd"/>
      <w:r w:rsidRPr="00D45578">
        <w:rPr>
          <w:sz w:val="24"/>
          <w:szCs w:val="24"/>
          <w:lang w:val="sv-SE"/>
        </w:rPr>
        <w:t xml:space="preserve">, </w:t>
      </w:r>
      <w:proofErr w:type="spellStart"/>
      <w:r w:rsidRPr="00D45578">
        <w:rPr>
          <w:sz w:val="24"/>
          <w:szCs w:val="24"/>
          <w:lang w:val="sv-SE"/>
        </w:rPr>
        <w:t>duloxetin</w:t>
      </w:r>
      <w:proofErr w:type="spellEnd"/>
      <w:r w:rsidRPr="00D45578">
        <w:rPr>
          <w:sz w:val="24"/>
          <w:szCs w:val="24"/>
          <w:lang w:val="sv-SE"/>
        </w:rPr>
        <w:t xml:space="preserve">, </w:t>
      </w:r>
      <w:proofErr w:type="spellStart"/>
      <w:r w:rsidRPr="00D45578">
        <w:rPr>
          <w:sz w:val="24"/>
          <w:szCs w:val="24"/>
          <w:lang w:val="sv-SE"/>
        </w:rPr>
        <w:t>imipramin</w:t>
      </w:r>
      <w:proofErr w:type="spellEnd"/>
      <w:r w:rsidRPr="00D45578">
        <w:rPr>
          <w:sz w:val="24"/>
          <w:szCs w:val="24"/>
          <w:lang w:val="sv-SE"/>
        </w:rPr>
        <w:t xml:space="preserve">, </w:t>
      </w:r>
      <w:proofErr w:type="spellStart"/>
      <w:r w:rsidRPr="00D45578">
        <w:rPr>
          <w:sz w:val="24"/>
          <w:szCs w:val="24"/>
          <w:lang w:val="sv-SE"/>
        </w:rPr>
        <w:t>paroxetin</w:t>
      </w:r>
      <w:proofErr w:type="spellEnd"/>
      <w:r w:rsidRPr="00D45578">
        <w:rPr>
          <w:sz w:val="24"/>
          <w:szCs w:val="24"/>
          <w:lang w:val="sv-SE"/>
        </w:rPr>
        <w:t xml:space="preserve">, </w:t>
      </w:r>
      <w:proofErr w:type="spellStart"/>
      <w:r w:rsidRPr="00D45578">
        <w:rPr>
          <w:sz w:val="24"/>
          <w:szCs w:val="24"/>
          <w:lang w:val="sv-SE"/>
        </w:rPr>
        <w:t>venlafaxin</w:t>
      </w:r>
      <w:proofErr w:type="spellEnd"/>
      <w:r w:rsidRPr="00D45578">
        <w:rPr>
          <w:sz w:val="24"/>
          <w:szCs w:val="24"/>
          <w:lang w:val="sv-SE"/>
        </w:rPr>
        <w:t xml:space="preserve">) </w:t>
      </w:r>
    </w:p>
    <w:p w:rsidR="009D061C" w:rsidRPr="00110256" w:rsidRDefault="009D061C" w:rsidP="009D061C">
      <w:pPr>
        <w:numPr>
          <w:ilvl w:val="0"/>
          <w:numId w:val="6"/>
        </w:numPr>
        <w:spacing w:line="260" w:lineRule="exact"/>
        <w:ind w:left="1276" w:right="-171" w:hanging="425"/>
        <w:rPr>
          <w:sz w:val="24"/>
          <w:szCs w:val="24"/>
          <w:lang w:val="en-US"/>
        </w:rPr>
      </w:pPr>
      <w:proofErr w:type="spellStart"/>
      <w:r w:rsidRPr="00110256">
        <w:rPr>
          <w:sz w:val="24"/>
          <w:szCs w:val="24"/>
          <w:lang w:val="en-US"/>
        </w:rPr>
        <w:t>antipsykotika</w:t>
      </w:r>
      <w:proofErr w:type="spellEnd"/>
      <w:r w:rsidRPr="00110256">
        <w:rPr>
          <w:sz w:val="24"/>
          <w:szCs w:val="24"/>
          <w:lang w:val="en-US"/>
        </w:rPr>
        <w:t xml:space="preserve"> (</w:t>
      </w:r>
      <w:proofErr w:type="spellStart"/>
      <w:r w:rsidRPr="00110256">
        <w:rPr>
          <w:sz w:val="24"/>
          <w:szCs w:val="24"/>
          <w:lang w:val="en-US"/>
        </w:rPr>
        <w:t>aripiprazol</w:t>
      </w:r>
      <w:proofErr w:type="spellEnd"/>
      <w:r w:rsidRPr="00110256">
        <w:rPr>
          <w:sz w:val="24"/>
          <w:szCs w:val="24"/>
          <w:lang w:val="en-US"/>
        </w:rPr>
        <w:t xml:space="preserve">, haloperidol, </w:t>
      </w:r>
      <w:proofErr w:type="spellStart"/>
      <w:r w:rsidRPr="00110256">
        <w:rPr>
          <w:sz w:val="24"/>
          <w:szCs w:val="24"/>
          <w:lang w:val="en-US"/>
        </w:rPr>
        <w:t>risperidon</w:t>
      </w:r>
      <w:proofErr w:type="spellEnd"/>
      <w:r w:rsidRPr="00110256">
        <w:rPr>
          <w:sz w:val="24"/>
          <w:szCs w:val="24"/>
          <w:lang w:val="en-US"/>
        </w:rPr>
        <w:t xml:space="preserve">, </w:t>
      </w:r>
      <w:proofErr w:type="spellStart"/>
      <w:r w:rsidRPr="00110256">
        <w:rPr>
          <w:sz w:val="24"/>
          <w:szCs w:val="24"/>
          <w:lang w:val="en-US"/>
        </w:rPr>
        <w:t>thioridazin</w:t>
      </w:r>
      <w:proofErr w:type="spellEnd"/>
      <w:r w:rsidRPr="00110256">
        <w:rPr>
          <w:sz w:val="24"/>
          <w:szCs w:val="24"/>
          <w:lang w:val="en-US"/>
        </w:rPr>
        <w:t>),</w:t>
      </w:r>
    </w:p>
    <w:p w:rsidR="009D061C" w:rsidRPr="00110256" w:rsidRDefault="009D061C" w:rsidP="009D061C">
      <w:pPr>
        <w:numPr>
          <w:ilvl w:val="0"/>
          <w:numId w:val="6"/>
        </w:numPr>
        <w:spacing w:line="260" w:lineRule="exact"/>
        <w:ind w:left="1276" w:right="-171" w:hanging="425"/>
        <w:rPr>
          <w:sz w:val="24"/>
          <w:szCs w:val="24"/>
          <w:lang w:val="en-US"/>
        </w:rPr>
      </w:pPr>
      <w:proofErr w:type="spellStart"/>
      <w:r w:rsidRPr="00110256">
        <w:rPr>
          <w:sz w:val="24"/>
          <w:szCs w:val="24"/>
          <w:lang w:val="en-US"/>
        </w:rPr>
        <w:t>codein</w:t>
      </w:r>
      <w:proofErr w:type="spellEnd"/>
      <w:r w:rsidRPr="00110256">
        <w:rPr>
          <w:sz w:val="24"/>
          <w:szCs w:val="24"/>
          <w:lang w:val="en-US"/>
        </w:rPr>
        <w:t xml:space="preserve">, dextromethorphan, </w:t>
      </w:r>
      <w:proofErr w:type="spellStart"/>
      <w:r w:rsidRPr="00110256">
        <w:rPr>
          <w:sz w:val="24"/>
          <w:szCs w:val="24"/>
          <w:lang w:val="en-US"/>
        </w:rPr>
        <w:t>flecainid</w:t>
      </w:r>
      <w:proofErr w:type="spellEnd"/>
      <w:r w:rsidRPr="00110256">
        <w:rPr>
          <w:sz w:val="24"/>
          <w:szCs w:val="24"/>
          <w:lang w:val="en-US"/>
        </w:rPr>
        <w:t xml:space="preserve">, </w:t>
      </w:r>
      <w:proofErr w:type="spellStart"/>
      <w:r w:rsidRPr="00110256">
        <w:rPr>
          <w:sz w:val="24"/>
          <w:szCs w:val="24"/>
          <w:lang w:val="en-US"/>
        </w:rPr>
        <w:t>mexiletin</w:t>
      </w:r>
      <w:proofErr w:type="spellEnd"/>
      <w:r w:rsidRPr="00110256">
        <w:rPr>
          <w:sz w:val="24"/>
          <w:szCs w:val="24"/>
          <w:lang w:val="en-US"/>
        </w:rPr>
        <w:t>, ondansetron, tamoxifen, tramadol.</w:t>
      </w:r>
    </w:p>
    <w:p w:rsidR="009D061C" w:rsidRPr="00A10831" w:rsidRDefault="009D061C" w:rsidP="009D061C">
      <w:pPr>
        <w:spacing w:line="260" w:lineRule="exact"/>
        <w:ind w:left="851" w:right="-171" w:hanging="851"/>
        <w:jc w:val="both"/>
        <w:rPr>
          <w:sz w:val="24"/>
          <w:szCs w:val="24"/>
          <w:lang w:val="en-US"/>
        </w:rPr>
      </w:pPr>
    </w:p>
    <w:p w:rsidR="009D061C" w:rsidRPr="00A10831" w:rsidRDefault="009D061C" w:rsidP="009D061C">
      <w:pPr>
        <w:ind w:left="851"/>
        <w:rPr>
          <w:i/>
          <w:sz w:val="24"/>
          <w:szCs w:val="24"/>
        </w:rPr>
      </w:pPr>
      <w:r w:rsidRPr="00A10831">
        <w:rPr>
          <w:i/>
          <w:sz w:val="24"/>
          <w:szCs w:val="24"/>
        </w:rPr>
        <w:t>UDP-</w:t>
      </w:r>
      <w:proofErr w:type="spellStart"/>
      <w:r w:rsidRPr="00A10831">
        <w:rPr>
          <w:i/>
          <w:sz w:val="24"/>
          <w:szCs w:val="24"/>
        </w:rPr>
        <w:t>glucuronyltransferase</w:t>
      </w:r>
      <w:proofErr w:type="spellEnd"/>
      <w:r w:rsidRPr="00A10831">
        <w:rPr>
          <w:i/>
          <w:sz w:val="24"/>
          <w:szCs w:val="24"/>
        </w:rPr>
        <w:t xml:space="preserve"> og </w:t>
      </w:r>
      <w:proofErr w:type="spellStart"/>
      <w:r w:rsidRPr="00A10831">
        <w:rPr>
          <w:i/>
          <w:sz w:val="24"/>
          <w:szCs w:val="24"/>
        </w:rPr>
        <w:t>cytokrom</w:t>
      </w:r>
      <w:proofErr w:type="spellEnd"/>
      <w:r w:rsidRPr="00A10831">
        <w:rPr>
          <w:i/>
          <w:sz w:val="24"/>
          <w:szCs w:val="24"/>
        </w:rPr>
        <w:t xml:space="preserve"> P450</w:t>
      </w:r>
    </w:p>
    <w:p w:rsidR="009D061C" w:rsidRPr="00A10831" w:rsidRDefault="009D061C" w:rsidP="009D061C">
      <w:pPr>
        <w:ind w:left="851"/>
        <w:rPr>
          <w:sz w:val="24"/>
          <w:szCs w:val="24"/>
        </w:rPr>
      </w:pPr>
      <w:r w:rsidRPr="00A10831">
        <w:rPr>
          <w:sz w:val="24"/>
          <w:szCs w:val="24"/>
        </w:rPr>
        <w:t xml:space="preserve">Det er ikke sandsynligt, at </w:t>
      </w:r>
      <w:proofErr w:type="spellStart"/>
      <w:r w:rsidRPr="00A10831">
        <w:rPr>
          <w:sz w:val="24"/>
          <w:szCs w:val="24"/>
        </w:rPr>
        <w:t>hydroxyzin</w:t>
      </w:r>
      <w:proofErr w:type="spellEnd"/>
      <w:r w:rsidRPr="00A10831">
        <w:rPr>
          <w:sz w:val="24"/>
          <w:szCs w:val="24"/>
        </w:rPr>
        <w:t xml:space="preserve"> hæmmer metabolismen af lægemidler, der er substrater for P450 2C9, 2C19 og 3A4 og UDP-</w:t>
      </w:r>
      <w:proofErr w:type="spellStart"/>
      <w:r w:rsidRPr="00A10831">
        <w:rPr>
          <w:sz w:val="24"/>
          <w:szCs w:val="24"/>
        </w:rPr>
        <w:t>glucuronyltransferase</w:t>
      </w:r>
      <w:proofErr w:type="spellEnd"/>
      <w:r w:rsidRPr="00A10831">
        <w:rPr>
          <w:sz w:val="24"/>
          <w:szCs w:val="24"/>
        </w:rPr>
        <w:t xml:space="preserve">. </w:t>
      </w:r>
    </w:p>
    <w:p w:rsidR="009D061C" w:rsidRPr="00A10831" w:rsidRDefault="009D061C" w:rsidP="009D061C">
      <w:pPr>
        <w:ind w:left="851" w:hanging="851"/>
        <w:rPr>
          <w:sz w:val="24"/>
          <w:szCs w:val="24"/>
        </w:rPr>
      </w:pPr>
    </w:p>
    <w:p w:rsidR="009D061C" w:rsidRPr="00A10831" w:rsidRDefault="009D061C" w:rsidP="009D061C">
      <w:pPr>
        <w:ind w:left="851" w:right="-171"/>
        <w:jc w:val="both"/>
        <w:rPr>
          <w:i/>
          <w:sz w:val="24"/>
          <w:szCs w:val="24"/>
        </w:rPr>
      </w:pPr>
      <w:r w:rsidRPr="00A10831">
        <w:rPr>
          <w:i/>
          <w:sz w:val="24"/>
          <w:szCs w:val="24"/>
        </w:rPr>
        <w:t>CYP3A4/5-hæmmere</w:t>
      </w:r>
    </w:p>
    <w:p w:rsidR="009D061C" w:rsidRPr="00A10831" w:rsidRDefault="009D061C" w:rsidP="009D061C">
      <w:pPr>
        <w:ind w:left="851"/>
        <w:rPr>
          <w:sz w:val="24"/>
          <w:szCs w:val="24"/>
        </w:rPr>
      </w:pPr>
      <w:r w:rsidRPr="00A10831">
        <w:rPr>
          <w:sz w:val="24"/>
          <w:szCs w:val="24"/>
        </w:rPr>
        <w:t xml:space="preserve">Da </w:t>
      </w:r>
      <w:proofErr w:type="spellStart"/>
      <w:r w:rsidRPr="00A10831">
        <w:rPr>
          <w:sz w:val="24"/>
          <w:szCs w:val="24"/>
        </w:rPr>
        <w:t>hydroxyzin</w:t>
      </w:r>
      <w:proofErr w:type="spellEnd"/>
      <w:r w:rsidRPr="00A10831">
        <w:rPr>
          <w:sz w:val="24"/>
          <w:szCs w:val="24"/>
        </w:rPr>
        <w:t xml:space="preserve"> </w:t>
      </w:r>
      <w:proofErr w:type="spellStart"/>
      <w:r w:rsidRPr="00A10831">
        <w:rPr>
          <w:sz w:val="24"/>
          <w:szCs w:val="24"/>
        </w:rPr>
        <w:t>metaboliseres</w:t>
      </w:r>
      <w:proofErr w:type="spellEnd"/>
      <w:r w:rsidRPr="00A10831">
        <w:rPr>
          <w:sz w:val="24"/>
          <w:szCs w:val="24"/>
        </w:rPr>
        <w:t xml:space="preserve"> via </w:t>
      </w:r>
      <w:proofErr w:type="spellStart"/>
      <w:r w:rsidRPr="00A10831">
        <w:rPr>
          <w:sz w:val="24"/>
          <w:szCs w:val="24"/>
        </w:rPr>
        <w:t>alkoholdehydrogenase</w:t>
      </w:r>
      <w:proofErr w:type="spellEnd"/>
      <w:r w:rsidRPr="00A10831">
        <w:rPr>
          <w:sz w:val="24"/>
          <w:szCs w:val="24"/>
        </w:rPr>
        <w:t xml:space="preserve"> og CYP3A4/5, må en stigning i plasmakoncentrationen af </w:t>
      </w:r>
      <w:proofErr w:type="spellStart"/>
      <w:r w:rsidRPr="00A10831">
        <w:rPr>
          <w:sz w:val="24"/>
          <w:szCs w:val="24"/>
        </w:rPr>
        <w:t>hydroxyzin</w:t>
      </w:r>
      <w:proofErr w:type="spellEnd"/>
      <w:r w:rsidRPr="00A10831">
        <w:rPr>
          <w:sz w:val="24"/>
          <w:szCs w:val="24"/>
        </w:rPr>
        <w:t xml:space="preserve"> forventes, hvis det administreres samtidig med lægemidler, der er potente </w:t>
      </w:r>
      <w:proofErr w:type="spellStart"/>
      <w:r w:rsidRPr="00A10831">
        <w:rPr>
          <w:sz w:val="24"/>
          <w:szCs w:val="24"/>
        </w:rPr>
        <w:t>hæmmere</w:t>
      </w:r>
      <w:proofErr w:type="spellEnd"/>
      <w:r w:rsidRPr="00A10831">
        <w:rPr>
          <w:sz w:val="24"/>
          <w:szCs w:val="24"/>
        </w:rPr>
        <w:t xml:space="preserve"> af disse enzymer. Eksempler på potente CYP3A4/5-hæmmere er </w:t>
      </w:r>
      <w:proofErr w:type="spellStart"/>
      <w:r w:rsidRPr="00A10831">
        <w:rPr>
          <w:sz w:val="24"/>
          <w:szCs w:val="24"/>
        </w:rPr>
        <w:t>telithromycin</w:t>
      </w:r>
      <w:proofErr w:type="spellEnd"/>
      <w:r w:rsidRPr="00A10831">
        <w:rPr>
          <w:sz w:val="24"/>
          <w:szCs w:val="24"/>
        </w:rPr>
        <w:t xml:space="preserve">, </w:t>
      </w:r>
      <w:proofErr w:type="spellStart"/>
      <w:r w:rsidRPr="00A10831">
        <w:rPr>
          <w:sz w:val="24"/>
          <w:szCs w:val="24"/>
        </w:rPr>
        <w:t>clarithromycin</w:t>
      </w:r>
      <w:proofErr w:type="spellEnd"/>
      <w:r w:rsidRPr="00A10831">
        <w:rPr>
          <w:sz w:val="24"/>
          <w:szCs w:val="24"/>
        </w:rPr>
        <w:t xml:space="preserve">, </w:t>
      </w:r>
      <w:proofErr w:type="spellStart"/>
      <w:r w:rsidRPr="00A10831">
        <w:rPr>
          <w:sz w:val="24"/>
          <w:szCs w:val="24"/>
        </w:rPr>
        <w:t>delavirdin</w:t>
      </w:r>
      <w:proofErr w:type="spellEnd"/>
      <w:r w:rsidRPr="00A10831">
        <w:rPr>
          <w:sz w:val="24"/>
          <w:szCs w:val="24"/>
        </w:rPr>
        <w:t xml:space="preserve">, </w:t>
      </w:r>
      <w:proofErr w:type="spellStart"/>
      <w:r w:rsidRPr="00A10831">
        <w:rPr>
          <w:sz w:val="24"/>
          <w:szCs w:val="24"/>
        </w:rPr>
        <w:t>stiripentol</w:t>
      </w:r>
      <w:proofErr w:type="spellEnd"/>
      <w:r w:rsidRPr="00A10831">
        <w:rPr>
          <w:sz w:val="24"/>
          <w:szCs w:val="24"/>
        </w:rPr>
        <w:t xml:space="preserve">, </w:t>
      </w:r>
      <w:proofErr w:type="spellStart"/>
      <w:r w:rsidRPr="00A10831">
        <w:rPr>
          <w:sz w:val="24"/>
          <w:szCs w:val="24"/>
        </w:rPr>
        <w:t>ketoconazol</w:t>
      </w:r>
      <w:proofErr w:type="spellEnd"/>
      <w:r w:rsidRPr="00A10831">
        <w:rPr>
          <w:sz w:val="24"/>
          <w:szCs w:val="24"/>
        </w:rPr>
        <w:t xml:space="preserve">, </w:t>
      </w:r>
      <w:proofErr w:type="spellStart"/>
      <w:r w:rsidRPr="00A10831">
        <w:rPr>
          <w:sz w:val="24"/>
          <w:szCs w:val="24"/>
        </w:rPr>
        <w:t>voriconazol</w:t>
      </w:r>
      <w:proofErr w:type="spellEnd"/>
      <w:r w:rsidRPr="00A10831">
        <w:rPr>
          <w:sz w:val="24"/>
          <w:szCs w:val="24"/>
        </w:rPr>
        <w:t xml:space="preserve">, </w:t>
      </w:r>
      <w:proofErr w:type="spellStart"/>
      <w:r w:rsidRPr="00A10831">
        <w:rPr>
          <w:sz w:val="24"/>
          <w:szCs w:val="24"/>
        </w:rPr>
        <w:t>itraconazol</w:t>
      </w:r>
      <w:proofErr w:type="spellEnd"/>
      <w:r w:rsidRPr="00A10831">
        <w:rPr>
          <w:sz w:val="24"/>
          <w:szCs w:val="24"/>
        </w:rPr>
        <w:t xml:space="preserve">, </w:t>
      </w:r>
      <w:proofErr w:type="spellStart"/>
      <w:r w:rsidRPr="00A10831">
        <w:rPr>
          <w:sz w:val="24"/>
          <w:szCs w:val="24"/>
        </w:rPr>
        <w:t>posaconazol</w:t>
      </w:r>
      <w:proofErr w:type="spellEnd"/>
      <w:r w:rsidRPr="00A10831">
        <w:rPr>
          <w:sz w:val="24"/>
          <w:szCs w:val="24"/>
        </w:rPr>
        <w:t xml:space="preserve"> og vise hiv- </w:t>
      </w:r>
      <w:proofErr w:type="spellStart"/>
      <w:r w:rsidRPr="00A10831">
        <w:rPr>
          <w:sz w:val="24"/>
          <w:szCs w:val="24"/>
        </w:rPr>
        <w:t>proteasehæmmere</w:t>
      </w:r>
      <w:proofErr w:type="spellEnd"/>
      <w:r w:rsidRPr="00A10831">
        <w:rPr>
          <w:sz w:val="24"/>
          <w:szCs w:val="24"/>
        </w:rPr>
        <w:t xml:space="preserve">, inklusive </w:t>
      </w:r>
      <w:proofErr w:type="spellStart"/>
      <w:r w:rsidRPr="00A10831">
        <w:rPr>
          <w:sz w:val="24"/>
          <w:szCs w:val="24"/>
        </w:rPr>
        <w:t>atazanavir</w:t>
      </w:r>
      <w:proofErr w:type="spellEnd"/>
      <w:r w:rsidRPr="00A10831">
        <w:rPr>
          <w:sz w:val="24"/>
          <w:szCs w:val="24"/>
        </w:rPr>
        <w:t xml:space="preserve">, </w:t>
      </w:r>
      <w:proofErr w:type="spellStart"/>
      <w:r w:rsidRPr="00A10831">
        <w:rPr>
          <w:sz w:val="24"/>
          <w:szCs w:val="24"/>
        </w:rPr>
        <w:t>indinavir</w:t>
      </w:r>
      <w:proofErr w:type="spellEnd"/>
      <w:r w:rsidRPr="00A10831">
        <w:rPr>
          <w:sz w:val="24"/>
          <w:szCs w:val="24"/>
        </w:rPr>
        <w:t xml:space="preserve">, </w:t>
      </w:r>
      <w:proofErr w:type="spellStart"/>
      <w:r w:rsidRPr="00A10831">
        <w:rPr>
          <w:sz w:val="24"/>
          <w:szCs w:val="24"/>
        </w:rPr>
        <w:t>nelfinavir</w:t>
      </w:r>
      <w:proofErr w:type="spellEnd"/>
      <w:r w:rsidRPr="00A10831">
        <w:rPr>
          <w:sz w:val="24"/>
          <w:szCs w:val="24"/>
        </w:rPr>
        <w:t xml:space="preserve">, </w:t>
      </w:r>
      <w:proofErr w:type="spellStart"/>
      <w:r w:rsidRPr="00A10831">
        <w:rPr>
          <w:sz w:val="24"/>
          <w:szCs w:val="24"/>
        </w:rPr>
        <w:t>ritonavir</w:t>
      </w:r>
      <w:proofErr w:type="spellEnd"/>
      <w:r w:rsidRPr="00A10831">
        <w:rPr>
          <w:sz w:val="24"/>
          <w:szCs w:val="24"/>
        </w:rPr>
        <w:t xml:space="preserve">, </w:t>
      </w:r>
      <w:proofErr w:type="spellStart"/>
      <w:r w:rsidRPr="00A10831">
        <w:rPr>
          <w:sz w:val="24"/>
          <w:szCs w:val="24"/>
        </w:rPr>
        <w:t>saquinavir</w:t>
      </w:r>
      <w:proofErr w:type="spellEnd"/>
      <w:r w:rsidRPr="00A10831">
        <w:rPr>
          <w:sz w:val="24"/>
          <w:szCs w:val="24"/>
        </w:rPr>
        <w:t xml:space="preserve">, </w:t>
      </w:r>
      <w:proofErr w:type="spellStart"/>
      <w:r w:rsidRPr="00A10831">
        <w:rPr>
          <w:sz w:val="24"/>
          <w:szCs w:val="24"/>
        </w:rPr>
        <w:t>lopinavir</w:t>
      </w:r>
      <w:proofErr w:type="spellEnd"/>
      <w:r w:rsidRPr="00A10831">
        <w:rPr>
          <w:sz w:val="24"/>
          <w:szCs w:val="24"/>
        </w:rPr>
        <w:t>/</w:t>
      </w:r>
      <w:proofErr w:type="spellStart"/>
      <w:r w:rsidRPr="00A10831">
        <w:rPr>
          <w:sz w:val="24"/>
          <w:szCs w:val="24"/>
        </w:rPr>
        <w:t>ritonavir</w:t>
      </w:r>
      <w:proofErr w:type="spellEnd"/>
      <w:r w:rsidRPr="00A10831">
        <w:rPr>
          <w:sz w:val="24"/>
          <w:szCs w:val="24"/>
        </w:rPr>
        <w:t xml:space="preserve">, </w:t>
      </w:r>
      <w:proofErr w:type="spellStart"/>
      <w:r w:rsidRPr="00A10831">
        <w:rPr>
          <w:sz w:val="24"/>
          <w:szCs w:val="24"/>
        </w:rPr>
        <w:t>saquinavir</w:t>
      </w:r>
      <w:proofErr w:type="spellEnd"/>
      <w:r w:rsidRPr="00A10831">
        <w:rPr>
          <w:sz w:val="24"/>
          <w:szCs w:val="24"/>
        </w:rPr>
        <w:t>/</w:t>
      </w:r>
      <w:proofErr w:type="spellStart"/>
      <w:r w:rsidRPr="00A10831">
        <w:rPr>
          <w:sz w:val="24"/>
          <w:szCs w:val="24"/>
        </w:rPr>
        <w:t>ritonavir</w:t>
      </w:r>
      <w:proofErr w:type="spellEnd"/>
      <w:r w:rsidRPr="00A10831">
        <w:rPr>
          <w:sz w:val="24"/>
          <w:szCs w:val="24"/>
        </w:rPr>
        <w:t xml:space="preserve"> og </w:t>
      </w:r>
      <w:proofErr w:type="spellStart"/>
      <w:r w:rsidRPr="00A10831">
        <w:rPr>
          <w:sz w:val="24"/>
          <w:szCs w:val="24"/>
        </w:rPr>
        <w:t>tipranavir</w:t>
      </w:r>
      <w:proofErr w:type="spellEnd"/>
      <w:r w:rsidRPr="00A10831">
        <w:rPr>
          <w:sz w:val="24"/>
          <w:szCs w:val="24"/>
        </w:rPr>
        <w:t>/</w:t>
      </w:r>
      <w:proofErr w:type="spellStart"/>
      <w:r w:rsidRPr="00A10831">
        <w:rPr>
          <w:sz w:val="24"/>
          <w:szCs w:val="24"/>
        </w:rPr>
        <w:t>ritonavir</w:t>
      </w:r>
      <w:proofErr w:type="spellEnd"/>
      <w:r w:rsidRPr="00A10831">
        <w:rPr>
          <w:sz w:val="24"/>
          <w:szCs w:val="24"/>
        </w:rPr>
        <w:t xml:space="preserve">. Eksempler på potente </w:t>
      </w:r>
      <w:proofErr w:type="spellStart"/>
      <w:r w:rsidRPr="00A10831">
        <w:rPr>
          <w:sz w:val="24"/>
          <w:szCs w:val="24"/>
        </w:rPr>
        <w:t>alkoholdehydrogenase-hæmmere</w:t>
      </w:r>
      <w:proofErr w:type="spellEnd"/>
      <w:r w:rsidRPr="00A10831">
        <w:rPr>
          <w:sz w:val="24"/>
          <w:szCs w:val="24"/>
        </w:rPr>
        <w:t xml:space="preserve"> er </w:t>
      </w:r>
      <w:proofErr w:type="spellStart"/>
      <w:r w:rsidRPr="00A10831">
        <w:rPr>
          <w:sz w:val="24"/>
          <w:szCs w:val="24"/>
        </w:rPr>
        <w:t>disulfiram</w:t>
      </w:r>
      <w:proofErr w:type="spellEnd"/>
      <w:r w:rsidRPr="00A10831">
        <w:rPr>
          <w:sz w:val="24"/>
          <w:szCs w:val="24"/>
        </w:rPr>
        <w:t xml:space="preserve"> og </w:t>
      </w:r>
      <w:proofErr w:type="spellStart"/>
      <w:r w:rsidRPr="00A10831">
        <w:rPr>
          <w:sz w:val="24"/>
          <w:szCs w:val="24"/>
        </w:rPr>
        <w:t>metronidazol</w:t>
      </w:r>
      <w:proofErr w:type="spellEnd"/>
      <w:r w:rsidRPr="00A10831">
        <w:rPr>
          <w:sz w:val="24"/>
          <w:szCs w:val="24"/>
        </w:rPr>
        <w:t xml:space="preserve">. Der forventes ingen interaktion mellem CYP3A4/5-substrat og </w:t>
      </w:r>
      <w:proofErr w:type="spellStart"/>
      <w:r w:rsidRPr="00A10831">
        <w:rPr>
          <w:sz w:val="24"/>
          <w:szCs w:val="24"/>
        </w:rPr>
        <w:t>hydroxyzin</w:t>
      </w:r>
      <w:proofErr w:type="spellEnd"/>
      <w:r w:rsidRPr="00A10831">
        <w:rPr>
          <w:sz w:val="24"/>
          <w:szCs w:val="24"/>
        </w:rPr>
        <w:t>.</w:t>
      </w:r>
    </w:p>
    <w:p w:rsidR="009D061C" w:rsidRPr="00A10831" w:rsidRDefault="009D061C" w:rsidP="009D061C">
      <w:pPr>
        <w:ind w:left="851" w:hanging="851"/>
        <w:rPr>
          <w:sz w:val="24"/>
          <w:szCs w:val="24"/>
        </w:rPr>
      </w:pPr>
    </w:p>
    <w:p w:rsidR="009D061C" w:rsidRPr="00A10831" w:rsidRDefault="009D061C" w:rsidP="009D061C">
      <w:pPr>
        <w:ind w:left="851"/>
        <w:rPr>
          <w:i/>
          <w:sz w:val="24"/>
          <w:szCs w:val="24"/>
        </w:rPr>
      </w:pPr>
      <w:proofErr w:type="spellStart"/>
      <w:r w:rsidRPr="00A10831">
        <w:rPr>
          <w:i/>
          <w:sz w:val="24"/>
          <w:szCs w:val="24"/>
        </w:rPr>
        <w:t>Thiaziddiuretika</w:t>
      </w:r>
      <w:proofErr w:type="spellEnd"/>
      <w:r w:rsidRPr="00A10831">
        <w:rPr>
          <w:i/>
          <w:sz w:val="24"/>
          <w:szCs w:val="24"/>
        </w:rPr>
        <w:t xml:space="preserve"> </w:t>
      </w:r>
    </w:p>
    <w:p w:rsidR="009D061C" w:rsidRPr="00A10831" w:rsidRDefault="009D061C" w:rsidP="009D061C">
      <w:pPr>
        <w:ind w:left="851"/>
        <w:rPr>
          <w:sz w:val="24"/>
          <w:szCs w:val="24"/>
        </w:rPr>
      </w:pPr>
      <w:r w:rsidRPr="00A10831">
        <w:rPr>
          <w:sz w:val="24"/>
          <w:szCs w:val="24"/>
        </w:rPr>
        <w:t xml:space="preserve">Samtidig anvendelse af aktive stoffer, som f.eks. </w:t>
      </w:r>
      <w:proofErr w:type="spellStart"/>
      <w:r w:rsidRPr="00A10831">
        <w:rPr>
          <w:sz w:val="24"/>
          <w:szCs w:val="24"/>
        </w:rPr>
        <w:t>thiaziddiuretika</w:t>
      </w:r>
      <w:proofErr w:type="spellEnd"/>
      <w:r w:rsidRPr="00A10831">
        <w:rPr>
          <w:sz w:val="24"/>
          <w:szCs w:val="24"/>
        </w:rPr>
        <w:t xml:space="preserve"> (</w:t>
      </w:r>
      <w:proofErr w:type="spellStart"/>
      <w:r w:rsidRPr="00A10831">
        <w:rPr>
          <w:sz w:val="24"/>
          <w:szCs w:val="24"/>
        </w:rPr>
        <w:t>hypokaliæmi</w:t>
      </w:r>
      <w:proofErr w:type="spellEnd"/>
      <w:r w:rsidRPr="00A10831">
        <w:rPr>
          <w:sz w:val="24"/>
          <w:szCs w:val="24"/>
        </w:rPr>
        <w:t xml:space="preserve">), der kan forårsage elektrolytforstyrrelser, bør undgås, da de øger risikoen for malign </w:t>
      </w:r>
      <w:proofErr w:type="spellStart"/>
      <w:r w:rsidRPr="00A10831">
        <w:rPr>
          <w:sz w:val="24"/>
          <w:szCs w:val="24"/>
        </w:rPr>
        <w:t>arytmi</w:t>
      </w:r>
      <w:proofErr w:type="spellEnd"/>
      <w:r w:rsidRPr="00A10831">
        <w:rPr>
          <w:sz w:val="24"/>
          <w:szCs w:val="24"/>
        </w:rPr>
        <w:t xml:space="preserve"> (se pkt. 4.4).</w:t>
      </w:r>
    </w:p>
    <w:p w:rsidR="009D061C" w:rsidRPr="00A10831" w:rsidRDefault="009D061C" w:rsidP="009D061C">
      <w:pPr>
        <w:ind w:left="851" w:hanging="851"/>
        <w:rPr>
          <w:sz w:val="24"/>
          <w:szCs w:val="24"/>
        </w:rPr>
      </w:pPr>
    </w:p>
    <w:p w:rsidR="00F32575" w:rsidRDefault="009D061C" w:rsidP="00F32575">
      <w:pPr>
        <w:ind w:left="851" w:hanging="851"/>
        <w:rPr>
          <w:b/>
          <w:sz w:val="24"/>
          <w:szCs w:val="24"/>
        </w:rPr>
      </w:pPr>
      <w:r w:rsidRPr="00A10831">
        <w:rPr>
          <w:b/>
          <w:sz w:val="24"/>
          <w:szCs w:val="24"/>
        </w:rPr>
        <w:t>4.6</w:t>
      </w:r>
      <w:r w:rsidRPr="00A10831">
        <w:rPr>
          <w:b/>
          <w:sz w:val="24"/>
          <w:szCs w:val="24"/>
        </w:rPr>
        <w:tab/>
      </w:r>
      <w:r w:rsidR="00F32575">
        <w:rPr>
          <w:b/>
          <w:sz w:val="24"/>
          <w:szCs w:val="24"/>
        </w:rPr>
        <w:t>Fertilitet, graviditet og amning</w:t>
      </w:r>
    </w:p>
    <w:p w:rsidR="009D061C" w:rsidRPr="001358B7" w:rsidRDefault="009D061C" w:rsidP="001358B7">
      <w:pPr>
        <w:ind w:left="851" w:hanging="851"/>
        <w:rPr>
          <w:b/>
          <w:sz w:val="24"/>
          <w:szCs w:val="24"/>
        </w:rPr>
      </w:pPr>
    </w:p>
    <w:p w:rsidR="00F32575" w:rsidRDefault="00F32575" w:rsidP="00F32575">
      <w:pPr>
        <w:ind w:left="851"/>
        <w:rPr>
          <w:iCs/>
          <w:sz w:val="24"/>
          <w:szCs w:val="24"/>
          <w:u w:val="single"/>
        </w:rPr>
      </w:pPr>
      <w:r>
        <w:rPr>
          <w:iCs/>
          <w:sz w:val="24"/>
          <w:szCs w:val="24"/>
          <w:u w:val="single"/>
        </w:rPr>
        <w:t>Graviditet</w:t>
      </w:r>
    </w:p>
    <w:p w:rsidR="00F32575" w:rsidRDefault="00F32575" w:rsidP="00F32575">
      <w:pPr>
        <w:ind w:left="851"/>
        <w:rPr>
          <w:sz w:val="24"/>
          <w:szCs w:val="24"/>
        </w:rPr>
      </w:pPr>
      <w:r>
        <w:rPr>
          <w:sz w:val="24"/>
          <w:szCs w:val="24"/>
        </w:rPr>
        <w:t xml:space="preserve">Der foreligger ingen eller begrænsede relevante data vedrørende anvendelse af </w:t>
      </w:r>
      <w:proofErr w:type="spellStart"/>
      <w:r>
        <w:rPr>
          <w:sz w:val="24"/>
          <w:szCs w:val="24"/>
        </w:rPr>
        <w:t>hydroxyzin</w:t>
      </w:r>
      <w:proofErr w:type="spellEnd"/>
      <w:r>
        <w:rPr>
          <w:sz w:val="24"/>
          <w:szCs w:val="24"/>
        </w:rPr>
        <w:t xml:space="preserve"> under graviditet. </w:t>
      </w:r>
      <w:proofErr w:type="spellStart"/>
      <w:r>
        <w:rPr>
          <w:sz w:val="24"/>
          <w:szCs w:val="24"/>
        </w:rPr>
        <w:t>Hydroxyzin</w:t>
      </w:r>
      <w:proofErr w:type="spellEnd"/>
      <w:r>
        <w:rPr>
          <w:sz w:val="24"/>
          <w:szCs w:val="24"/>
        </w:rPr>
        <w:t xml:space="preserve"> krydser placentabarrieren og resulterer i højere koncentrationer hos fosteret end hos moderen. Dyrestudier har vist reproduktionstoksicitet (se pkt. 5.3). Derfor er </w:t>
      </w:r>
      <w:proofErr w:type="spellStart"/>
      <w:r>
        <w:rPr>
          <w:sz w:val="24"/>
          <w:szCs w:val="24"/>
        </w:rPr>
        <w:t>Hydroxyzine</w:t>
      </w:r>
      <w:proofErr w:type="spellEnd"/>
      <w:r>
        <w:rPr>
          <w:sz w:val="24"/>
          <w:szCs w:val="24"/>
        </w:rPr>
        <w:t xml:space="preserve"> "</w:t>
      </w:r>
      <w:proofErr w:type="spellStart"/>
      <w:r>
        <w:rPr>
          <w:sz w:val="24"/>
          <w:szCs w:val="24"/>
        </w:rPr>
        <w:t>Bluefish</w:t>
      </w:r>
      <w:proofErr w:type="spellEnd"/>
      <w:r>
        <w:rPr>
          <w:sz w:val="24"/>
          <w:szCs w:val="24"/>
        </w:rPr>
        <w:t>" kontraindiceret under graviditet.</w:t>
      </w:r>
    </w:p>
    <w:p w:rsidR="00F32575" w:rsidRDefault="00F32575" w:rsidP="00F32575">
      <w:pPr>
        <w:ind w:left="851" w:hanging="851"/>
        <w:rPr>
          <w:sz w:val="24"/>
          <w:szCs w:val="24"/>
        </w:rPr>
      </w:pPr>
    </w:p>
    <w:p w:rsidR="00F32575" w:rsidRDefault="00F32575" w:rsidP="00F32575">
      <w:pPr>
        <w:ind w:left="851"/>
        <w:rPr>
          <w:sz w:val="24"/>
          <w:szCs w:val="24"/>
        </w:rPr>
      </w:pPr>
      <w:r>
        <w:rPr>
          <w:sz w:val="24"/>
          <w:szCs w:val="24"/>
        </w:rPr>
        <w:t xml:space="preserve">Hos nyfødte, hvis mødre i sidste del af graviditeten og/eller under fødslen fik </w:t>
      </w:r>
      <w:proofErr w:type="spellStart"/>
      <w:r>
        <w:rPr>
          <w:sz w:val="24"/>
          <w:szCs w:val="24"/>
        </w:rPr>
        <w:t>hydroxyzin</w:t>
      </w:r>
      <w:proofErr w:type="spellEnd"/>
      <w:r>
        <w:rPr>
          <w:sz w:val="24"/>
          <w:szCs w:val="24"/>
        </w:rPr>
        <w:t xml:space="preserve">, blev følgende bivirkninger observeret straks eller kun få timer efter fødslen: </w:t>
      </w:r>
      <w:proofErr w:type="spellStart"/>
      <w:r>
        <w:rPr>
          <w:sz w:val="24"/>
          <w:szCs w:val="24"/>
        </w:rPr>
        <w:t>hypotoni</w:t>
      </w:r>
      <w:proofErr w:type="spellEnd"/>
      <w:r>
        <w:rPr>
          <w:sz w:val="24"/>
          <w:szCs w:val="24"/>
        </w:rPr>
        <w:t xml:space="preserve">, forstyrrelser i bevægeapparatet inklusive ekstrapyramidale forstyrrelser, kloniske bevægelser, CNS-depression, neonatal </w:t>
      </w:r>
      <w:proofErr w:type="spellStart"/>
      <w:r>
        <w:rPr>
          <w:sz w:val="24"/>
          <w:szCs w:val="24"/>
        </w:rPr>
        <w:t>hypoksi</w:t>
      </w:r>
      <w:proofErr w:type="spellEnd"/>
      <w:r>
        <w:rPr>
          <w:sz w:val="24"/>
          <w:szCs w:val="24"/>
        </w:rPr>
        <w:t xml:space="preserve"> eller urinretention.</w:t>
      </w:r>
    </w:p>
    <w:p w:rsidR="00F32575" w:rsidRDefault="00F32575" w:rsidP="00F32575">
      <w:pPr>
        <w:ind w:left="851" w:hanging="851"/>
        <w:rPr>
          <w:sz w:val="24"/>
          <w:szCs w:val="24"/>
        </w:rPr>
      </w:pPr>
    </w:p>
    <w:p w:rsidR="00F32575" w:rsidRDefault="00F32575" w:rsidP="00F32575">
      <w:pPr>
        <w:ind w:left="851"/>
        <w:rPr>
          <w:iCs/>
          <w:sz w:val="24"/>
          <w:szCs w:val="24"/>
          <w:u w:val="single"/>
        </w:rPr>
      </w:pPr>
      <w:r>
        <w:rPr>
          <w:iCs/>
          <w:sz w:val="24"/>
          <w:szCs w:val="24"/>
          <w:u w:val="single"/>
        </w:rPr>
        <w:t>Amning</w:t>
      </w:r>
    </w:p>
    <w:p w:rsidR="00F32575" w:rsidRDefault="00F32575" w:rsidP="00F32575">
      <w:pPr>
        <w:ind w:left="851"/>
        <w:rPr>
          <w:sz w:val="24"/>
          <w:szCs w:val="24"/>
        </w:rPr>
      </w:pPr>
      <w:proofErr w:type="spellStart"/>
      <w:r>
        <w:rPr>
          <w:sz w:val="24"/>
          <w:szCs w:val="24"/>
        </w:rPr>
        <w:t>Cetirizin</w:t>
      </w:r>
      <w:proofErr w:type="spellEnd"/>
      <w:r>
        <w:rPr>
          <w:sz w:val="24"/>
          <w:szCs w:val="24"/>
        </w:rPr>
        <w:t xml:space="preserve">, hovedmetabolitten af </w:t>
      </w:r>
      <w:proofErr w:type="spellStart"/>
      <w:r>
        <w:rPr>
          <w:sz w:val="24"/>
          <w:szCs w:val="24"/>
        </w:rPr>
        <w:t>hydroxyzin</w:t>
      </w:r>
      <w:proofErr w:type="spellEnd"/>
      <w:r>
        <w:rPr>
          <w:sz w:val="24"/>
          <w:szCs w:val="24"/>
        </w:rPr>
        <w:t xml:space="preserve">, udskilles i human mælk. Selvom der ikke er udført nogen formelle studier vedrørende udskillelse af </w:t>
      </w:r>
      <w:proofErr w:type="spellStart"/>
      <w:r>
        <w:rPr>
          <w:sz w:val="24"/>
          <w:szCs w:val="24"/>
        </w:rPr>
        <w:t>hydroxyzin</w:t>
      </w:r>
      <w:proofErr w:type="spellEnd"/>
      <w:r>
        <w:rPr>
          <w:sz w:val="24"/>
          <w:szCs w:val="24"/>
        </w:rPr>
        <w:t xml:space="preserve"> i human mælk hos mennesker, er der påvist alvorlige bivirkninger hos nyfødte/spædbørn, som blev ammet af mødre behandlet med </w:t>
      </w:r>
      <w:proofErr w:type="spellStart"/>
      <w:r>
        <w:rPr>
          <w:sz w:val="24"/>
          <w:szCs w:val="24"/>
        </w:rPr>
        <w:t>hydroxyzin</w:t>
      </w:r>
      <w:proofErr w:type="spellEnd"/>
      <w:r>
        <w:rPr>
          <w:sz w:val="24"/>
          <w:szCs w:val="24"/>
        </w:rPr>
        <w:t xml:space="preserve">. </w:t>
      </w:r>
      <w:proofErr w:type="spellStart"/>
      <w:r>
        <w:rPr>
          <w:sz w:val="24"/>
          <w:szCs w:val="24"/>
        </w:rPr>
        <w:t>Hydroxyzine</w:t>
      </w:r>
      <w:proofErr w:type="spellEnd"/>
      <w:r>
        <w:rPr>
          <w:sz w:val="24"/>
          <w:szCs w:val="24"/>
        </w:rPr>
        <w:t xml:space="preserve"> "</w:t>
      </w:r>
      <w:proofErr w:type="spellStart"/>
      <w:r>
        <w:rPr>
          <w:sz w:val="24"/>
          <w:szCs w:val="24"/>
        </w:rPr>
        <w:t>Bluefish</w:t>
      </w:r>
      <w:proofErr w:type="spellEnd"/>
      <w:r>
        <w:rPr>
          <w:sz w:val="24"/>
          <w:szCs w:val="24"/>
        </w:rPr>
        <w:t xml:space="preserve">" er derfor kontraindiceret ved amning. Amning bør ophøre, hvis behandling med </w:t>
      </w:r>
      <w:proofErr w:type="spellStart"/>
      <w:r>
        <w:rPr>
          <w:sz w:val="24"/>
          <w:szCs w:val="24"/>
        </w:rPr>
        <w:t>Hydroxyzine</w:t>
      </w:r>
      <w:proofErr w:type="spellEnd"/>
      <w:r>
        <w:rPr>
          <w:sz w:val="24"/>
          <w:szCs w:val="24"/>
        </w:rPr>
        <w:t xml:space="preserve"> "</w:t>
      </w:r>
      <w:proofErr w:type="spellStart"/>
      <w:r>
        <w:rPr>
          <w:sz w:val="24"/>
          <w:szCs w:val="24"/>
        </w:rPr>
        <w:t>Bluefish</w:t>
      </w:r>
      <w:proofErr w:type="spellEnd"/>
      <w:r>
        <w:rPr>
          <w:sz w:val="24"/>
          <w:szCs w:val="24"/>
        </w:rPr>
        <w:t>" er nødvendig.</w:t>
      </w:r>
    </w:p>
    <w:p w:rsidR="00F32575" w:rsidRDefault="00F32575" w:rsidP="00F32575">
      <w:pPr>
        <w:ind w:left="851" w:hanging="851"/>
        <w:rPr>
          <w:sz w:val="24"/>
          <w:szCs w:val="24"/>
        </w:rPr>
      </w:pPr>
    </w:p>
    <w:p w:rsidR="00F32575" w:rsidRDefault="00F32575" w:rsidP="00F32575">
      <w:pPr>
        <w:ind w:left="851" w:hanging="851"/>
        <w:rPr>
          <w:b/>
          <w:sz w:val="24"/>
          <w:szCs w:val="24"/>
        </w:rPr>
      </w:pPr>
      <w:r>
        <w:rPr>
          <w:b/>
          <w:sz w:val="24"/>
          <w:szCs w:val="24"/>
        </w:rPr>
        <w:t>4.7</w:t>
      </w:r>
      <w:r>
        <w:rPr>
          <w:b/>
          <w:sz w:val="24"/>
          <w:szCs w:val="24"/>
        </w:rPr>
        <w:tab/>
        <w:t>Virkning på evnen til at føre motorkøretøj og betjene maskiner</w:t>
      </w:r>
    </w:p>
    <w:p w:rsidR="00F32575" w:rsidRDefault="00F32575" w:rsidP="00F32575">
      <w:pPr>
        <w:ind w:left="851"/>
        <w:rPr>
          <w:sz w:val="24"/>
          <w:szCs w:val="24"/>
        </w:rPr>
      </w:pPr>
      <w:r>
        <w:rPr>
          <w:sz w:val="24"/>
          <w:szCs w:val="24"/>
        </w:rPr>
        <w:t>Mærkning.</w:t>
      </w:r>
    </w:p>
    <w:p w:rsidR="00F32575" w:rsidRDefault="00F32575" w:rsidP="00F32575">
      <w:pPr>
        <w:ind w:left="851"/>
        <w:rPr>
          <w:sz w:val="24"/>
          <w:szCs w:val="24"/>
        </w:rPr>
      </w:pPr>
      <w:proofErr w:type="spellStart"/>
      <w:r>
        <w:rPr>
          <w:sz w:val="24"/>
          <w:szCs w:val="24"/>
        </w:rPr>
        <w:t>Hydroxyzine</w:t>
      </w:r>
      <w:proofErr w:type="spellEnd"/>
      <w:r>
        <w:rPr>
          <w:sz w:val="24"/>
          <w:szCs w:val="24"/>
        </w:rPr>
        <w:t xml:space="preserve"> ”</w:t>
      </w:r>
      <w:proofErr w:type="spellStart"/>
      <w:r>
        <w:rPr>
          <w:sz w:val="24"/>
          <w:szCs w:val="24"/>
        </w:rPr>
        <w:t>Bluefish</w:t>
      </w:r>
      <w:proofErr w:type="spellEnd"/>
      <w:r>
        <w:rPr>
          <w:sz w:val="24"/>
          <w:szCs w:val="24"/>
        </w:rPr>
        <w:t xml:space="preserve">” påvirker evnen til at føre motorkøretøj og betjene maskiner. Patienterne bør advares om denne mulighed og tilrådes at være forsigtige, når de fører motorkøretøj eller betjener maskiner. Samtidig brug af </w:t>
      </w:r>
      <w:proofErr w:type="spellStart"/>
      <w:r>
        <w:rPr>
          <w:sz w:val="24"/>
          <w:szCs w:val="24"/>
        </w:rPr>
        <w:t>hydroxyzin</w:t>
      </w:r>
      <w:proofErr w:type="spellEnd"/>
      <w:r>
        <w:rPr>
          <w:sz w:val="24"/>
          <w:szCs w:val="24"/>
        </w:rPr>
        <w:t xml:space="preserve"> og alkohol eller andre sedative lægemidler bør undgås, da dette forværrer disse virkninger.</w:t>
      </w:r>
    </w:p>
    <w:p w:rsidR="00F32575" w:rsidRDefault="00F32575" w:rsidP="00F32575">
      <w:pPr>
        <w:ind w:left="851" w:hanging="851"/>
        <w:rPr>
          <w:sz w:val="24"/>
          <w:szCs w:val="24"/>
        </w:rPr>
      </w:pPr>
    </w:p>
    <w:p w:rsidR="00F32575" w:rsidRDefault="00F32575" w:rsidP="00F32575">
      <w:pPr>
        <w:ind w:left="851" w:hanging="851"/>
        <w:rPr>
          <w:b/>
          <w:sz w:val="24"/>
          <w:szCs w:val="24"/>
        </w:rPr>
      </w:pPr>
      <w:r>
        <w:rPr>
          <w:b/>
          <w:sz w:val="24"/>
          <w:szCs w:val="24"/>
        </w:rPr>
        <w:lastRenderedPageBreak/>
        <w:t>4.8</w:t>
      </w:r>
      <w:r>
        <w:rPr>
          <w:b/>
          <w:sz w:val="24"/>
          <w:szCs w:val="24"/>
        </w:rPr>
        <w:tab/>
        <w:t>Bivirkninger</w:t>
      </w:r>
    </w:p>
    <w:p w:rsidR="00F32575" w:rsidRDefault="00F32575" w:rsidP="00F32575">
      <w:pPr>
        <w:ind w:left="851"/>
        <w:rPr>
          <w:sz w:val="24"/>
          <w:szCs w:val="24"/>
        </w:rPr>
      </w:pPr>
      <w:r>
        <w:rPr>
          <w:sz w:val="24"/>
          <w:szCs w:val="24"/>
        </w:rPr>
        <w:t xml:space="preserve">Bivirkningerne er primært forbundet med CNS-depression og paradoks CNS-stimulering, med </w:t>
      </w:r>
      <w:proofErr w:type="spellStart"/>
      <w:r>
        <w:rPr>
          <w:sz w:val="24"/>
          <w:szCs w:val="24"/>
        </w:rPr>
        <w:t>antikolinerg</w:t>
      </w:r>
      <w:proofErr w:type="spellEnd"/>
      <w:r>
        <w:rPr>
          <w:sz w:val="24"/>
          <w:szCs w:val="24"/>
        </w:rPr>
        <w:t xml:space="preserve"> aktivitet eller overfølsomhedsreaktioner.</w:t>
      </w:r>
    </w:p>
    <w:p w:rsidR="00F32575" w:rsidRDefault="00F32575" w:rsidP="00F32575">
      <w:pPr>
        <w:ind w:left="851" w:hanging="851"/>
        <w:rPr>
          <w:sz w:val="24"/>
          <w:szCs w:val="24"/>
        </w:rPr>
      </w:pPr>
    </w:p>
    <w:p w:rsidR="00F32575" w:rsidRDefault="00F32575" w:rsidP="00F32575">
      <w:pPr>
        <w:ind w:left="851"/>
        <w:rPr>
          <w:sz w:val="24"/>
          <w:szCs w:val="24"/>
          <w:u w:val="single"/>
        </w:rPr>
      </w:pPr>
      <w:r>
        <w:rPr>
          <w:sz w:val="24"/>
          <w:szCs w:val="24"/>
          <w:u w:val="single"/>
        </w:rPr>
        <w:t>A. Kliniske forsøg</w:t>
      </w:r>
    </w:p>
    <w:p w:rsidR="00F32575" w:rsidRDefault="00F32575" w:rsidP="00F32575">
      <w:pPr>
        <w:ind w:left="851"/>
        <w:rPr>
          <w:sz w:val="24"/>
          <w:szCs w:val="24"/>
        </w:rPr>
      </w:pPr>
      <w:r>
        <w:rPr>
          <w:sz w:val="24"/>
          <w:szCs w:val="24"/>
        </w:rPr>
        <w:t xml:space="preserve">Oral administration af </w:t>
      </w:r>
      <w:proofErr w:type="spellStart"/>
      <w:r>
        <w:rPr>
          <w:sz w:val="24"/>
          <w:szCs w:val="24"/>
        </w:rPr>
        <w:t>hydroxyzin</w:t>
      </w:r>
      <w:proofErr w:type="spellEnd"/>
      <w:r>
        <w:rPr>
          <w:sz w:val="24"/>
          <w:szCs w:val="24"/>
        </w:rPr>
        <w:t>:</w:t>
      </w:r>
    </w:p>
    <w:p w:rsidR="00F32575" w:rsidRDefault="00F32575" w:rsidP="00F32575">
      <w:pPr>
        <w:ind w:left="851"/>
        <w:rPr>
          <w:sz w:val="24"/>
          <w:szCs w:val="24"/>
        </w:rPr>
      </w:pPr>
      <w:r>
        <w:rPr>
          <w:sz w:val="24"/>
          <w:szCs w:val="24"/>
        </w:rPr>
        <w:t xml:space="preserve">Følgende tabel viser bivirkninger, som blev rapporteret i placebokontrollerede kliniske forsøg med en hyppighed på mindst 1% for </w:t>
      </w:r>
      <w:proofErr w:type="spellStart"/>
      <w:r>
        <w:rPr>
          <w:sz w:val="24"/>
          <w:szCs w:val="24"/>
        </w:rPr>
        <w:t>hydroxyzin</w:t>
      </w:r>
      <w:proofErr w:type="spellEnd"/>
      <w:r>
        <w:rPr>
          <w:sz w:val="24"/>
          <w:szCs w:val="24"/>
        </w:rPr>
        <w:t xml:space="preserve">. Forsøget omfattede 735 patienter, som fik op til 50 mg </w:t>
      </w:r>
      <w:proofErr w:type="spellStart"/>
      <w:r>
        <w:rPr>
          <w:sz w:val="24"/>
          <w:szCs w:val="24"/>
        </w:rPr>
        <w:t>hydroxyzin</w:t>
      </w:r>
      <w:proofErr w:type="spellEnd"/>
      <w:r>
        <w:rPr>
          <w:sz w:val="24"/>
          <w:szCs w:val="24"/>
        </w:rPr>
        <w:t xml:space="preserve"> dagligt og 630 patienter, som fik placebo.</w:t>
      </w:r>
    </w:p>
    <w:p w:rsidR="00F32575" w:rsidRDefault="00F32575" w:rsidP="00F32575">
      <w:pPr>
        <w:ind w:left="851" w:hanging="851"/>
        <w:rPr>
          <w:sz w:val="24"/>
          <w:szCs w:val="24"/>
        </w:rPr>
      </w:pPr>
    </w:p>
    <w:tbl>
      <w:tblPr>
        <w:tblW w:w="921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3518"/>
        <w:gridCol w:w="3070"/>
      </w:tblGrid>
      <w:tr w:rsidR="00F32575" w:rsidTr="00F32575">
        <w:tc>
          <w:tcPr>
            <w:tcW w:w="2622"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Bivirkning (PT)</w:t>
            </w:r>
          </w:p>
        </w:tc>
        <w:tc>
          <w:tcPr>
            <w:tcW w:w="3518"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center"/>
              <w:rPr>
                <w:sz w:val="24"/>
                <w:szCs w:val="24"/>
              </w:rPr>
            </w:pPr>
            <w:r>
              <w:rPr>
                <w:sz w:val="24"/>
                <w:szCs w:val="24"/>
              </w:rPr>
              <w:t xml:space="preserve">Bivirkning ved </w:t>
            </w:r>
            <w:proofErr w:type="spellStart"/>
            <w:r>
              <w:rPr>
                <w:sz w:val="24"/>
                <w:szCs w:val="24"/>
              </w:rPr>
              <w:t>hydroxyzin</w:t>
            </w:r>
            <w:proofErr w:type="spellEnd"/>
            <w:r>
              <w:rPr>
                <w:sz w:val="24"/>
                <w:szCs w:val="24"/>
              </w:rPr>
              <w:t>, %</w:t>
            </w:r>
          </w:p>
        </w:tc>
        <w:tc>
          <w:tcPr>
            <w:tcW w:w="3070"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rPr>
                <w:sz w:val="24"/>
                <w:szCs w:val="24"/>
              </w:rPr>
            </w:pPr>
            <w:r>
              <w:rPr>
                <w:sz w:val="24"/>
                <w:szCs w:val="24"/>
              </w:rPr>
              <w:t>Bivirkning ved placebo, %</w:t>
            </w:r>
          </w:p>
        </w:tc>
      </w:tr>
      <w:tr w:rsidR="00F32575" w:rsidTr="00F32575">
        <w:tc>
          <w:tcPr>
            <w:tcW w:w="2622"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Døsighed</w:t>
            </w:r>
          </w:p>
        </w:tc>
        <w:tc>
          <w:tcPr>
            <w:tcW w:w="3518"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13,74</w:t>
            </w:r>
          </w:p>
        </w:tc>
        <w:tc>
          <w:tcPr>
            <w:tcW w:w="3070"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2,70</w:t>
            </w:r>
          </w:p>
        </w:tc>
      </w:tr>
      <w:tr w:rsidR="00F32575" w:rsidTr="00F32575">
        <w:tc>
          <w:tcPr>
            <w:tcW w:w="2622"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Hovedpine</w:t>
            </w:r>
          </w:p>
        </w:tc>
        <w:tc>
          <w:tcPr>
            <w:tcW w:w="3518"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1,63</w:t>
            </w:r>
          </w:p>
        </w:tc>
        <w:tc>
          <w:tcPr>
            <w:tcW w:w="3070"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1,90</w:t>
            </w:r>
          </w:p>
        </w:tc>
      </w:tr>
      <w:tr w:rsidR="00F32575" w:rsidTr="00F32575">
        <w:tc>
          <w:tcPr>
            <w:tcW w:w="2622"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Træthed</w:t>
            </w:r>
          </w:p>
        </w:tc>
        <w:tc>
          <w:tcPr>
            <w:tcW w:w="3518"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1,36</w:t>
            </w:r>
          </w:p>
        </w:tc>
        <w:tc>
          <w:tcPr>
            <w:tcW w:w="3070"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0,63</w:t>
            </w:r>
          </w:p>
        </w:tc>
      </w:tr>
      <w:tr w:rsidR="00F32575" w:rsidTr="00F32575">
        <w:tc>
          <w:tcPr>
            <w:tcW w:w="2622"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i/>
                <w:sz w:val="24"/>
                <w:szCs w:val="24"/>
              </w:rPr>
            </w:pPr>
            <w:r>
              <w:rPr>
                <w:sz w:val="24"/>
                <w:szCs w:val="24"/>
              </w:rPr>
              <w:t>Mundtørhed</w:t>
            </w:r>
          </w:p>
        </w:tc>
        <w:tc>
          <w:tcPr>
            <w:tcW w:w="3518"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1,22</w:t>
            </w:r>
          </w:p>
        </w:tc>
        <w:tc>
          <w:tcPr>
            <w:tcW w:w="3070" w:type="dxa"/>
            <w:tcBorders>
              <w:top w:val="single" w:sz="4" w:space="0" w:color="auto"/>
              <w:left w:val="single" w:sz="4" w:space="0" w:color="auto"/>
              <w:bottom w:val="single" w:sz="4" w:space="0" w:color="auto"/>
              <w:right w:val="single" w:sz="4" w:space="0" w:color="auto"/>
            </w:tcBorders>
            <w:hideMark/>
          </w:tcPr>
          <w:p w:rsidR="00F32575" w:rsidRDefault="00F32575">
            <w:pPr>
              <w:suppressAutoHyphens/>
              <w:ind w:right="-171"/>
              <w:jc w:val="both"/>
              <w:rPr>
                <w:sz w:val="24"/>
                <w:szCs w:val="24"/>
              </w:rPr>
            </w:pPr>
            <w:r>
              <w:rPr>
                <w:sz w:val="24"/>
                <w:szCs w:val="24"/>
              </w:rPr>
              <w:t>0,63</w:t>
            </w:r>
          </w:p>
        </w:tc>
      </w:tr>
    </w:tbl>
    <w:p w:rsidR="00F32575" w:rsidRDefault="00F32575" w:rsidP="00F32575">
      <w:pPr>
        <w:ind w:left="851" w:hanging="851"/>
        <w:rPr>
          <w:sz w:val="24"/>
          <w:szCs w:val="24"/>
        </w:rPr>
      </w:pPr>
    </w:p>
    <w:p w:rsidR="00F32575" w:rsidRDefault="00F32575" w:rsidP="00F32575">
      <w:pPr>
        <w:ind w:left="851" w:right="-171"/>
        <w:rPr>
          <w:sz w:val="24"/>
          <w:szCs w:val="24"/>
          <w:u w:val="single"/>
        </w:rPr>
      </w:pPr>
      <w:r>
        <w:rPr>
          <w:sz w:val="24"/>
          <w:szCs w:val="24"/>
          <w:u w:val="single"/>
        </w:rPr>
        <w:t>B. Post-marketing erfaring</w:t>
      </w:r>
    </w:p>
    <w:p w:rsidR="00F32575" w:rsidRDefault="00F32575" w:rsidP="00F32575">
      <w:pPr>
        <w:ind w:left="851" w:right="-171"/>
        <w:rPr>
          <w:sz w:val="24"/>
          <w:szCs w:val="24"/>
        </w:rPr>
      </w:pPr>
      <w:r>
        <w:rPr>
          <w:sz w:val="24"/>
          <w:szCs w:val="24"/>
        </w:rPr>
        <w:t>Nedenstående tabel viser bivirkninger rapporteret efter markedsføring af lægemidlet. Bivirkningerne er opført efter organklasse og hyppighed.</w:t>
      </w:r>
    </w:p>
    <w:p w:rsidR="00F32575" w:rsidRDefault="00F32575" w:rsidP="00F32575">
      <w:pPr>
        <w:ind w:left="851" w:right="-171" w:hanging="851"/>
        <w:rPr>
          <w:sz w:val="24"/>
          <w:szCs w:val="24"/>
        </w:rPr>
      </w:pPr>
    </w:p>
    <w:p w:rsidR="00F32575" w:rsidRDefault="00F32575" w:rsidP="00F32575">
      <w:pPr>
        <w:ind w:left="851" w:right="-171"/>
        <w:rPr>
          <w:sz w:val="24"/>
          <w:szCs w:val="24"/>
        </w:rPr>
      </w:pPr>
      <w:r>
        <w:rPr>
          <w:sz w:val="24"/>
          <w:szCs w:val="24"/>
        </w:rPr>
        <w:t>Hyppigheden er estimeret ved hjælp af følgende definitioner:</w:t>
      </w:r>
    </w:p>
    <w:p w:rsidR="00F32575" w:rsidRDefault="00F32575" w:rsidP="00F32575">
      <w:pPr>
        <w:ind w:left="851"/>
        <w:rPr>
          <w:sz w:val="24"/>
          <w:szCs w:val="24"/>
        </w:rPr>
      </w:pPr>
      <w:bookmarkStart w:id="0" w:name="OLE_LINK2"/>
      <w:r>
        <w:rPr>
          <w:sz w:val="24"/>
          <w:szCs w:val="24"/>
        </w:rPr>
        <w:t>Meget almindelig (≥ 1/10)</w:t>
      </w:r>
    </w:p>
    <w:p w:rsidR="00F32575" w:rsidRDefault="00F32575" w:rsidP="00F32575">
      <w:pPr>
        <w:ind w:left="851"/>
        <w:rPr>
          <w:sz w:val="24"/>
          <w:szCs w:val="24"/>
        </w:rPr>
      </w:pPr>
      <w:r>
        <w:rPr>
          <w:sz w:val="24"/>
          <w:szCs w:val="24"/>
        </w:rPr>
        <w:t>Almindelig (≥ 1/100 til &lt; 1/10)</w:t>
      </w:r>
    </w:p>
    <w:p w:rsidR="00F32575" w:rsidRDefault="00F32575" w:rsidP="00F32575">
      <w:pPr>
        <w:ind w:left="851"/>
        <w:rPr>
          <w:sz w:val="24"/>
          <w:szCs w:val="24"/>
        </w:rPr>
      </w:pPr>
      <w:r>
        <w:rPr>
          <w:sz w:val="24"/>
          <w:szCs w:val="24"/>
        </w:rPr>
        <w:t>Ikke almindelig (≥ 1/1.000 til &lt; 1/100)</w:t>
      </w:r>
    </w:p>
    <w:p w:rsidR="00F32575" w:rsidRDefault="00F32575" w:rsidP="00F32575">
      <w:pPr>
        <w:ind w:left="851"/>
        <w:rPr>
          <w:sz w:val="24"/>
          <w:szCs w:val="24"/>
        </w:rPr>
      </w:pPr>
      <w:bookmarkStart w:id="1" w:name="OLE_LINK1"/>
      <w:r>
        <w:rPr>
          <w:sz w:val="24"/>
          <w:szCs w:val="24"/>
        </w:rPr>
        <w:t>Sjælden (≥ 1/10.000 til &lt; 1/1.000)</w:t>
      </w:r>
    </w:p>
    <w:bookmarkEnd w:id="1"/>
    <w:p w:rsidR="00F32575" w:rsidRDefault="00F32575" w:rsidP="00F32575">
      <w:pPr>
        <w:ind w:left="851"/>
        <w:rPr>
          <w:sz w:val="24"/>
          <w:szCs w:val="24"/>
        </w:rPr>
      </w:pPr>
      <w:r>
        <w:rPr>
          <w:sz w:val="24"/>
          <w:szCs w:val="24"/>
        </w:rPr>
        <w:t>Meget sjælden (&lt; 1/10.000), ikke kendt (kan ikke estimeres ud fra forhåndenværende data)</w:t>
      </w:r>
    </w:p>
    <w:bookmarkEnd w:id="0"/>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Blod- og lymfesystem:</w:t>
      </w:r>
    </w:p>
    <w:p w:rsidR="00F32575" w:rsidRDefault="00F32575" w:rsidP="00F32575">
      <w:pPr>
        <w:ind w:left="851" w:right="-171"/>
        <w:jc w:val="both"/>
        <w:rPr>
          <w:sz w:val="24"/>
          <w:szCs w:val="24"/>
        </w:rPr>
      </w:pPr>
      <w:r>
        <w:rPr>
          <w:sz w:val="24"/>
          <w:szCs w:val="24"/>
        </w:rPr>
        <w:tab/>
      </w:r>
      <w:r>
        <w:rPr>
          <w:sz w:val="24"/>
          <w:szCs w:val="24"/>
        </w:rPr>
        <w:tab/>
        <w:t xml:space="preserve">Ikke kendt: </w:t>
      </w:r>
      <w:proofErr w:type="spellStart"/>
      <w:r>
        <w:rPr>
          <w:sz w:val="24"/>
          <w:szCs w:val="24"/>
        </w:rPr>
        <w:t>trombocytopeni</w:t>
      </w:r>
      <w:proofErr w:type="spellEnd"/>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Immunsystemet:</w:t>
      </w:r>
    </w:p>
    <w:p w:rsidR="00F32575" w:rsidRDefault="00F32575" w:rsidP="00F32575">
      <w:pPr>
        <w:ind w:left="851" w:right="-171"/>
        <w:jc w:val="both"/>
        <w:rPr>
          <w:sz w:val="24"/>
          <w:szCs w:val="24"/>
        </w:rPr>
      </w:pPr>
      <w:r>
        <w:rPr>
          <w:sz w:val="24"/>
          <w:szCs w:val="24"/>
        </w:rPr>
        <w:tab/>
      </w:r>
      <w:r>
        <w:rPr>
          <w:sz w:val="24"/>
          <w:szCs w:val="24"/>
        </w:rPr>
        <w:tab/>
        <w:t>Sjælden: overfølsomhedsreaktioner</w:t>
      </w:r>
    </w:p>
    <w:p w:rsidR="00F32575" w:rsidRDefault="00F32575" w:rsidP="00F32575">
      <w:pPr>
        <w:ind w:left="851" w:right="-171"/>
        <w:jc w:val="both"/>
        <w:rPr>
          <w:sz w:val="24"/>
          <w:szCs w:val="24"/>
        </w:rPr>
      </w:pPr>
      <w:r>
        <w:rPr>
          <w:sz w:val="24"/>
          <w:szCs w:val="24"/>
        </w:rPr>
        <w:tab/>
      </w:r>
      <w:r>
        <w:rPr>
          <w:sz w:val="24"/>
          <w:szCs w:val="24"/>
        </w:rPr>
        <w:tab/>
        <w:t xml:space="preserve">Meget sjælden: </w:t>
      </w:r>
      <w:proofErr w:type="spellStart"/>
      <w:r>
        <w:rPr>
          <w:sz w:val="24"/>
          <w:szCs w:val="24"/>
        </w:rPr>
        <w:t>anafylaktisk</w:t>
      </w:r>
      <w:proofErr w:type="spellEnd"/>
      <w:r>
        <w:rPr>
          <w:sz w:val="24"/>
          <w:szCs w:val="24"/>
        </w:rPr>
        <w:t xml:space="preserve"> </w:t>
      </w:r>
      <w:proofErr w:type="spellStart"/>
      <w:r>
        <w:rPr>
          <w:sz w:val="24"/>
          <w:szCs w:val="24"/>
        </w:rPr>
        <w:t>shock</w:t>
      </w:r>
      <w:proofErr w:type="spellEnd"/>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Psykiske forstyrrelser:</w:t>
      </w:r>
    </w:p>
    <w:p w:rsidR="00F32575" w:rsidRDefault="00F32575" w:rsidP="00F32575">
      <w:pPr>
        <w:ind w:left="851" w:right="-171"/>
        <w:jc w:val="both"/>
        <w:rPr>
          <w:sz w:val="24"/>
          <w:szCs w:val="24"/>
        </w:rPr>
      </w:pPr>
      <w:r>
        <w:rPr>
          <w:sz w:val="24"/>
          <w:szCs w:val="24"/>
        </w:rPr>
        <w:tab/>
      </w:r>
      <w:r>
        <w:rPr>
          <w:sz w:val="24"/>
          <w:szCs w:val="24"/>
        </w:rPr>
        <w:tab/>
        <w:t>Ikke almindelig: agitation, konfusion</w:t>
      </w:r>
    </w:p>
    <w:p w:rsidR="00F32575" w:rsidRDefault="00F32575" w:rsidP="00F32575">
      <w:pPr>
        <w:ind w:left="851" w:right="-171"/>
        <w:jc w:val="both"/>
        <w:rPr>
          <w:sz w:val="24"/>
          <w:szCs w:val="24"/>
        </w:rPr>
      </w:pPr>
      <w:r>
        <w:rPr>
          <w:sz w:val="24"/>
          <w:szCs w:val="24"/>
        </w:rPr>
        <w:tab/>
      </w:r>
      <w:r>
        <w:rPr>
          <w:sz w:val="24"/>
          <w:szCs w:val="24"/>
        </w:rPr>
        <w:tab/>
        <w:t>Sjælden: desorientering, hallucinationer</w:t>
      </w:r>
    </w:p>
    <w:p w:rsidR="00F32575" w:rsidRDefault="00F32575" w:rsidP="00F32575">
      <w:pPr>
        <w:ind w:left="851" w:right="-171"/>
        <w:jc w:val="both"/>
        <w:rPr>
          <w:sz w:val="24"/>
          <w:szCs w:val="24"/>
        </w:rPr>
      </w:pPr>
      <w:r>
        <w:rPr>
          <w:sz w:val="24"/>
          <w:szCs w:val="24"/>
        </w:rPr>
        <w:tab/>
      </w:r>
      <w:r>
        <w:rPr>
          <w:sz w:val="24"/>
          <w:szCs w:val="24"/>
        </w:rPr>
        <w:tab/>
        <w:t xml:space="preserve">Ikke kendt: aggression, depression, tics </w:t>
      </w:r>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Nervesystemet:</w:t>
      </w:r>
    </w:p>
    <w:p w:rsidR="00F32575" w:rsidRDefault="00F32575" w:rsidP="00F32575">
      <w:pPr>
        <w:ind w:left="851" w:right="-171"/>
        <w:jc w:val="both"/>
        <w:rPr>
          <w:sz w:val="24"/>
          <w:szCs w:val="24"/>
        </w:rPr>
      </w:pPr>
      <w:r>
        <w:rPr>
          <w:sz w:val="24"/>
          <w:szCs w:val="24"/>
        </w:rPr>
        <w:tab/>
      </w:r>
      <w:r>
        <w:rPr>
          <w:sz w:val="24"/>
          <w:szCs w:val="24"/>
        </w:rPr>
        <w:tab/>
        <w:t>Almindelig: sedation</w:t>
      </w:r>
    </w:p>
    <w:p w:rsidR="00F32575" w:rsidRDefault="00F32575" w:rsidP="00F32575">
      <w:pPr>
        <w:ind w:left="851" w:right="-171"/>
        <w:jc w:val="both"/>
        <w:rPr>
          <w:sz w:val="24"/>
          <w:szCs w:val="24"/>
        </w:rPr>
      </w:pPr>
      <w:r>
        <w:rPr>
          <w:sz w:val="24"/>
          <w:szCs w:val="24"/>
        </w:rPr>
        <w:tab/>
      </w:r>
      <w:r>
        <w:rPr>
          <w:sz w:val="24"/>
          <w:szCs w:val="24"/>
        </w:rPr>
        <w:tab/>
        <w:t xml:space="preserve">Ikke almindelig: svimmelhed, </w:t>
      </w:r>
      <w:proofErr w:type="spellStart"/>
      <w:r>
        <w:rPr>
          <w:sz w:val="24"/>
          <w:szCs w:val="24"/>
        </w:rPr>
        <w:t>insomni</w:t>
      </w:r>
      <w:proofErr w:type="spellEnd"/>
      <w:r>
        <w:rPr>
          <w:sz w:val="24"/>
          <w:szCs w:val="24"/>
        </w:rPr>
        <w:t xml:space="preserve">, </w:t>
      </w:r>
      <w:proofErr w:type="spellStart"/>
      <w:r>
        <w:rPr>
          <w:sz w:val="24"/>
          <w:szCs w:val="24"/>
        </w:rPr>
        <w:t>tremor</w:t>
      </w:r>
      <w:proofErr w:type="spellEnd"/>
    </w:p>
    <w:p w:rsidR="00F32575" w:rsidRDefault="00F32575" w:rsidP="00F32575">
      <w:pPr>
        <w:ind w:left="851" w:right="-171"/>
        <w:jc w:val="both"/>
        <w:rPr>
          <w:sz w:val="24"/>
          <w:szCs w:val="24"/>
        </w:rPr>
      </w:pPr>
      <w:r>
        <w:rPr>
          <w:sz w:val="24"/>
          <w:szCs w:val="24"/>
        </w:rPr>
        <w:tab/>
      </w:r>
      <w:r>
        <w:rPr>
          <w:sz w:val="24"/>
          <w:szCs w:val="24"/>
        </w:rPr>
        <w:tab/>
        <w:t xml:space="preserve">Sjælden: Krampeanfald, </w:t>
      </w:r>
      <w:proofErr w:type="spellStart"/>
      <w:r>
        <w:rPr>
          <w:sz w:val="24"/>
          <w:szCs w:val="24"/>
        </w:rPr>
        <w:t>dyskinesi</w:t>
      </w:r>
      <w:proofErr w:type="spellEnd"/>
      <w:r>
        <w:rPr>
          <w:sz w:val="24"/>
          <w:szCs w:val="24"/>
        </w:rPr>
        <w:t xml:space="preserve"> </w:t>
      </w:r>
    </w:p>
    <w:p w:rsidR="00F32575" w:rsidRDefault="00F32575" w:rsidP="00F32575">
      <w:pPr>
        <w:ind w:left="851" w:right="-171"/>
        <w:jc w:val="both"/>
        <w:rPr>
          <w:sz w:val="24"/>
          <w:szCs w:val="24"/>
        </w:rPr>
      </w:pPr>
      <w:r>
        <w:rPr>
          <w:sz w:val="24"/>
          <w:szCs w:val="24"/>
        </w:rPr>
        <w:tab/>
      </w:r>
      <w:r>
        <w:rPr>
          <w:sz w:val="24"/>
          <w:szCs w:val="24"/>
        </w:rPr>
        <w:tab/>
        <w:t xml:space="preserve">Ikke kendt: </w:t>
      </w:r>
      <w:proofErr w:type="spellStart"/>
      <w:r>
        <w:rPr>
          <w:sz w:val="24"/>
          <w:szCs w:val="24"/>
        </w:rPr>
        <w:t>dystoni</w:t>
      </w:r>
      <w:proofErr w:type="spellEnd"/>
      <w:r>
        <w:rPr>
          <w:sz w:val="24"/>
          <w:szCs w:val="24"/>
        </w:rPr>
        <w:t xml:space="preserve">, </w:t>
      </w:r>
      <w:proofErr w:type="spellStart"/>
      <w:r>
        <w:rPr>
          <w:sz w:val="24"/>
          <w:szCs w:val="24"/>
        </w:rPr>
        <w:t>paræstesi</w:t>
      </w:r>
      <w:proofErr w:type="spellEnd"/>
      <w:r>
        <w:rPr>
          <w:sz w:val="24"/>
          <w:szCs w:val="24"/>
        </w:rPr>
        <w:t>, synkope</w:t>
      </w:r>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Øjne:</w:t>
      </w:r>
    </w:p>
    <w:p w:rsidR="00F32575" w:rsidRDefault="00F32575" w:rsidP="00F32575">
      <w:pPr>
        <w:ind w:left="851" w:right="-171"/>
        <w:jc w:val="both"/>
        <w:rPr>
          <w:sz w:val="24"/>
          <w:szCs w:val="24"/>
        </w:rPr>
      </w:pPr>
      <w:r>
        <w:rPr>
          <w:sz w:val="24"/>
          <w:szCs w:val="24"/>
        </w:rPr>
        <w:tab/>
      </w:r>
      <w:r>
        <w:rPr>
          <w:sz w:val="24"/>
          <w:szCs w:val="24"/>
        </w:rPr>
        <w:tab/>
        <w:t>Sjælden: akkommodationsforstyrrelse, sløret syn</w:t>
      </w:r>
    </w:p>
    <w:p w:rsidR="00F32575" w:rsidRDefault="00F32575" w:rsidP="00F32575">
      <w:pPr>
        <w:ind w:left="851" w:right="-171"/>
        <w:jc w:val="both"/>
        <w:rPr>
          <w:sz w:val="24"/>
          <w:szCs w:val="24"/>
        </w:rPr>
      </w:pPr>
      <w:r>
        <w:rPr>
          <w:sz w:val="24"/>
          <w:szCs w:val="24"/>
        </w:rPr>
        <w:tab/>
      </w:r>
      <w:r>
        <w:rPr>
          <w:sz w:val="24"/>
          <w:szCs w:val="24"/>
        </w:rPr>
        <w:tab/>
        <w:t xml:space="preserve">Ikke kendt: </w:t>
      </w:r>
      <w:proofErr w:type="spellStart"/>
      <w:r>
        <w:rPr>
          <w:sz w:val="24"/>
          <w:szCs w:val="24"/>
        </w:rPr>
        <w:t>okulogyre</w:t>
      </w:r>
      <w:proofErr w:type="spellEnd"/>
      <w:r>
        <w:rPr>
          <w:sz w:val="24"/>
          <w:szCs w:val="24"/>
        </w:rPr>
        <w:t xml:space="preserve"> kriser</w:t>
      </w:r>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Hjerte:</w:t>
      </w:r>
    </w:p>
    <w:p w:rsidR="00F32575" w:rsidRDefault="00F32575" w:rsidP="00F32575">
      <w:pPr>
        <w:ind w:left="851" w:right="-171"/>
        <w:jc w:val="both"/>
        <w:rPr>
          <w:sz w:val="24"/>
          <w:szCs w:val="24"/>
        </w:rPr>
      </w:pPr>
      <w:r>
        <w:rPr>
          <w:sz w:val="24"/>
          <w:szCs w:val="24"/>
        </w:rPr>
        <w:tab/>
      </w:r>
      <w:r>
        <w:rPr>
          <w:sz w:val="24"/>
          <w:szCs w:val="24"/>
        </w:rPr>
        <w:tab/>
        <w:t xml:space="preserve">Sjælden: hjertestop, ventrikelflimren,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p>
    <w:p w:rsidR="00F32575" w:rsidRDefault="00F32575" w:rsidP="00F32575">
      <w:pPr>
        <w:ind w:left="2608" w:right="-171"/>
        <w:jc w:val="both"/>
        <w:rPr>
          <w:sz w:val="24"/>
          <w:szCs w:val="24"/>
        </w:rPr>
      </w:pPr>
      <w:r>
        <w:rPr>
          <w:sz w:val="24"/>
          <w:szCs w:val="24"/>
        </w:rPr>
        <w:lastRenderedPageBreak/>
        <w:t xml:space="preserve">Ikke kendt: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(f.eks. </w:t>
      </w:r>
      <w:proofErr w:type="spellStart"/>
      <w:r>
        <w:rPr>
          <w:sz w:val="24"/>
          <w:szCs w:val="24"/>
        </w:rPr>
        <w:t>torsade</w:t>
      </w:r>
      <w:proofErr w:type="spellEnd"/>
      <w:r>
        <w:rPr>
          <w:sz w:val="24"/>
          <w:szCs w:val="24"/>
        </w:rPr>
        <w:t xml:space="preserve"> de pointes), forlænget QT-interval (se pkt. 4.4).</w:t>
      </w:r>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proofErr w:type="spellStart"/>
      <w:r>
        <w:rPr>
          <w:i/>
          <w:sz w:val="24"/>
          <w:szCs w:val="24"/>
        </w:rPr>
        <w:t>Vaskulære</w:t>
      </w:r>
      <w:proofErr w:type="spellEnd"/>
      <w:r>
        <w:rPr>
          <w:i/>
          <w:sz w:val="24"/>
          <w:szCs w:val="24"/>
        </w:rPr>
        <w:t xml:space="preserve"> sygdomme:</w:t>
      </w:r>
    </w:p>
    <w:p w:rsidR="00F32575" w:rsidRDefault="00F32575" w:rsidP="00F32575">
      <w:pPr>
        <w:ind w:left="851" w:right="-171"/>
        <w:jc w:val="both"/>
        <w:rPr>
          <w:sz w:val="24"/>
          <w:szCs w:val="24"/>
        </w:rPr>
      </w:pPr>
      <w:r>
        <w:rPr>
          <w:sz w:val="24"/>
          <w:szCs w:val="24"/>
        </w:rPr>
        <w:tab/>
      </w:r>
      <w:r>
        <w:rPr>
          <w:sz w:val="24"/>
          <w:szCs w:val="24"/>
        </w:rPr>
        <w:tab/>
        <w:t>Sjælden: hypotension</w:t>
      </w:r>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 xml:space="preserve">Luftveje, thorax og </w:t>
      </w:r>
      <w:proofErr w:type="spellStart"/>
      <w:r>
        <w:rPr>
          <w:i/>
          <w:sz w:val="24"/>
          <w:szCs w:val="24"/>
        </w:rPr>
        <w:t>mediastinum</w:t>
      </w:r>
      <w:proofErr w:type="spellEnd"/>
    </w:p>
    <w:p w:rsidR="00F32575" w:rsidRDefault="00F32575" w:rsidP="00F32575">
      <w:pPr>
        <w:ind w:left="851" w:right="-171"/>
        <w:jc w:val="both"/>
        <w:rPr>
          <w:sz w:val="24"/>
          <w:szCs w:val="24"/>
        </w:rPr>
      </w:pPr>
      <w:r>
        <w:rPr>
          <w:sz w:val="24"/>
          <w:szCs w:val="24"/>
        </w:rPr>
        <w:tab/>
      </w:r>
      <w:r>
        <w:rPr>
          <w:sz w:val="24"/>
          <w:szCs w:val="24"/>
        </w:rPr>
        <w:tab/>
        <w:t xml:space="preserve">Meget sjælden: </w:t>
      </w:r>
      <w:proofErr w:type="spellStart"/>
      <w:r>
        <w:rPr>
          <w:sz w:val="24"/>
          <w:szCs w:val="24"/>
        </w:rPr>
        <w:t>bronkospasme</w:t>
      </w:r>
      <w:proofErr w:type="spellEnd"/>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Mave-tarm-kanalen:</w:t>
      </w:r>
    </w:p>
    <w:p w:rsidR="00F32575" w:rsidRDefault="00F32575" w:rsidP="00F32575">
      <w:pPr>
        <w:ind w:left="851" w:right="-171"/>
        <w:jc w:val="both"/>
        <w:rPr>
          <w:sz w:val="24"/>
          <w:szCs w:val="24"/>
        </w:rPr>
      </w:pPr>
      <w:r>
        <w:rPr>
          <w:sz w:val="24"/>
          <w:szCs w:val="24"/>
        </w:rPr>
        <w:tab/>
      </w:r>
      <w:r>
        <w:rPr>
          <w:sz w:val="24"/>
          <w:szCs w:val="24"/>
        </w:rPr>
        <w:tab/>
        <w:t>Ikke almindelig: kvalme</w:t>
      </w:r>
    </w:p>
    <w:p w:rsidR="00F32575" w:rsidRDefault="00F32575" w:rsidP="00F32575">
      <w:pPr>
        <w:ind w:left="851" w:right="-171"/>
        <w:jc w:val="both"/>
        <w:rPr>
          <w:sz w:val="24"/>
          <w:szCs w:val="24"/>
        </w:rPr>
      </w:pPr>
      <w:r>
        <w:rPr>
          <w:sz w:val="24"/>
          <w:szCs w:val="24"/>
        </w:rPr>
        <w:tab/>
      </w:r>
      <w:r>
        <w:rPr>
          <w:sz w:val="24"/>
          <w:szCs w:val="24"/>
        </w:rPr>
        <w:tab/>
        <w:t>Sjælden: obstipation, opkastning</w:t>
      </w:r>
    </w:p>
    <w:p w:rsidR="00F32575" w:rsidRDefault="00F32575" w:rsidP="00F32575">
      <w:pPr>
        <w:ind w:left="851" w:right="-171"/>
        <w:jc w:val="both"/>
        <w:rPr>
          <w:sz w:val="24"/>
          <w:szCs w:val="24"/>
        </w:rPr>
      </w:pPr>
      <w:r>
        <w:rPr>
          <w:sz w:val="24"/>
          <w:szCs w:val="24"/>
        </w:rPr>
        <w:tab/>
      </w:r>
      <w:r>
        <w:rPr>
          <w:sz w:val="24"/>
          <w:szCs w:val="24"/>
        </w:rPr>
        <w:tab/>
        <w:t>Ikke kendt: diarre</w:t>
      </w:r>
    </w:p>
    <w:p w:rsidR="00F32575" w:rsidRDefault="00F32575" w:rsidP="00F32575">
      <w:pPr>
        <w:ind w:left="851" w:right="-171"/>
        <w:jc w:val="both"/>
        <w:rPr>
          <w:sz w:val="24"/>
          <w:szCs w:val="24"/>
        </w:rPr>
      </w:pPr>
    </w:p>
    <w:p w:rsidR="00F32575" w:rsidRDefault="00F32575" w:rsidP="00F32575">
      <w:pPr>
        <w:keepNext/>
        <w:ind w:left="851" w:right="-170"/>
        <w:jc w:val="both"/>
        <w:rPr>
          <w:i/>
          <w:sz w:val="24"/>
          <w:szCs w:val="24"/>
        </w:rPr>
      </w:pPr>
      <w:r>
        <w:rPr>
          <w:i/>
          <w:sz w:val="24"/>
          <w:szCs w:val="24"/>
        </w:rPr>
        <w:t>Lever og galdeveje:</w:t>
      </w:r>
    </w:p>
    <w:p w:rsidR="00F32575" w:rsidRDefault="00F32575" w:rsidP="00F32575">
      <w:pPr>
        <w:ind w:left="851" w:right="-171"/>
        <w:jc w:val="both"/>
        <w:rPr>
          <w:sz w:val="24"/>
          <w:szCs w:val="24"/>
        </w:rPr>
      </w:pPr>
      <w:r>
        <w:rPr>
          <w:sz w:val="24"/>
          <w:szCs w:val="24"/>
        </w:rPr>
        <w:tab/>
      </w:r>
      <w:r>
        <w:rPr>
          <w:sz w:val="24"/>
          <w:szCs w:val="24"/>
        </w:rPr>
        <w:tab/>
        <w:t>Sjælden: abnorme leverfunktionsprøver</w:t>
      </w:r>
    </w:p>
    <w:p w:rsidR="00F32575" w:rsidRDefault="00F32575" w:rsidP="00F32575">
      <w:pPr>
        <w:ind w:left="851" w:right="-171"/>
        <w:jc w:val="both"/>
        <w:rPr>
          <w:sz w:val="24"/>
          <w:szCs w:val="24"/>
        </w:rPr>
      </w:pPr>
      <w:r>
        <w:rPr>
          <w:sz w:val="24"/>
          <w:szCs w:val="24"/>
        </w:rPr>
        <w:tab/>
      </w:r>
      <w:r>
        <w:rPr>
          <w:sz w:val="24"/>
          <w:szCs w:val="24"/>
        </w:rPr>
        <w:tab/>
        <w:t>Ikke kendt: hepatitis</w:t>
      </w:r>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Hud og subkutane væv:</w:t>
      </w:r>
    </w:p>
    <w:p w:rsidR="00F32575" w:rsidRDefault="00F32575" w:rsidP="00F32575">
      <w:pPr>
        <w:ind w:left="851" w:right="-171"/>
        <w:jc w:val="both"/>
        <w:rPr>
          <w:sz w:val="24"/>
          <w:szCs w:val="24"/>
        </w:rPr>
      </w:pPr>
      <w:r>
        <w:rPr>
          <w:sz w:val="24"/>
          <w:szCs w:val="24"/>
        </w:rPr>
        <w:tab/>
      </w:r>
      <w:r>
        <w:rPr>
          <w:sz w:val="24"/>
          <w:szCs w:val="24"/>
        </w:rPr>
        <w:tab/>
        <w:t xml:space="preserve">Sjælden: </w:t>
      </w:r>
      <w:proofErr w:type="spellStart"/>
      <w:r>
        <w:rPr>
          <w:sz w:val="24"/>
          <w:szCs w:val="24"/>
        </w:rPr>
        <w:t>pruritus</w:t>
      </w:r>
      <w:proofErr w:type="spellEnd"/>
      <w:r>
        <w:rPr>
          <w:sz w:val="24"/>
          <w:szCs w:val="24"/>
        </w:rPr>
        <w:t xml:space="preserve">, </w:t>
      </w:r>
      <w:proofErr w:type="spellStart"/>
      <w:r>
        <w:rPr>
          <w:sz w:val="24"/>
          <w:szCs w:val="24"/>
        </w:rPr>
        <w:t>erythem</w:t>
      </w:r>
      <w:proofErr w:type="spellEnd"/>
      <w:r>
        <w:rPr>
          <w:sz w:val="24"/>
          <w:szCs w:val="24"/>
        </w:rPr>
        <w:t xml:space="preserve">, papuløst udslæt, </w:t>
      </w:r>
      <w:proofErr w:type="spellStart"/>
      <w:r>
        <w:rPr>
          <w:sz w:val="24"/>
          <w:szCs w:val="24"/>
        </w:rPr>
        <w:t>urticaria</w:t>
      </w:r>
      <w:proofErr w:type="spellEnd"/>
      <w:r>
        <w:rPr>
          <w:sz w:val="24"/>
          <w:szCs w:val="24"/>
        </w:rPr>
        <w:t xml:space="preserve">, </w:t>
      </w:r>
      <w:proofErr w:type="spellStart"/>
      <w:r>
        <w:rPr>
          <w:sz w:val="24"/>
          <w:szCs w:val="24"/>
        </w:rPr>
        <w:t>dermatitis</w:t>
      </w:r>
      <w:proofErr w:type="spellEnd"/>
    </w:p>
    <w:p w:rsidR="00F32575" w:rsidRDefault="00F32575" w:rsidP="00F32575">
      <w:pPr>
        <w:ind w:left="2694" w:right="-171"/>
        <w:rPr>
          <w:sz w:val="24"/>
          <w:szCs w:val="24"/>
        </w:rPr>
      </w:pPr>
      <w:r>
        <w:rPr>
          <w:sz w:val="24"/>
          <w:szCs w:val="24"/>
        </w:rPr>
        <w:t xml:space="preserve">Meget sjælden: </w:t>
      </w:r>
      <w:proofErr w:type="spellStart"/>
      <w:r>
        <w:rPr>
          <w:sz w:val="24"/>
          <w:szCs w:val="24"/>
        </w:rPr>
        <w:t>angioødem</w:t>
      </w:r>
      <w:proofErr w:type="spellEnd"/>
      <w:r>
        <w:rPr>
          <w:sz w:val="24"/>
          <w:szCs w:val="24"/>
        </w:rPr>
        <w:t xml:space="preserve">, øget svedproduktion, fikseret lægemiddeludslæt,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w:t>
      </w:r>
      <w:proofErr w:type="spellStart"/>
      <w:r>
        <w:rPr>
          <w:sz w:val="24"/>
          <w:szCs w:val="24"/>
        </w:rPr>
        <w:t>erythema</w:t>
      </w:r>
      <w:proofErr w:type="spellEnd"/>
      <w:r>
        <w:rPr>
          <w:sz w:val="24"/>
          <w:szCs w:val="24"/>
        </w:rPr>
        <w:t xml:space="preserve"> multiforme, Stevens-Johnsons syndrom</w:t>
      </w:r>
    </w:p>
    <w:p w:rsidR="00F32575" w:rsidRDefault="00F32575" w:rsidP="00F32575">
      <w:pPr>
        <w:ind w:left="2694" w:right="-171"/>
        <w:rPr>
          <w:sz w:val="24"/>
          <w:szCs w:val="24"/>
        </w:rPr>
      </w:pPr>
      <w:r>
        <w:rPr>
          <w:sz w:val="24"/>
          <w:szCs w:val="24"/>
        </w:rPr>
        <w:t xml:space="preserve">Ikke kendt: </w:t>
      </w:r>
      <w:proofErr w:type="spellStart"/>
      <w:r>
        <w:rPr>
          <w:sz w:val="24"/>
          <w:szCs w:val="24"/>
        </w:rPr>
        <w:t>Bulløs</w:t>
      </w:r>
      <w:proofErr w:type="spellEnd"/>
      <w:r>
        <w:rPr>
          <w:sz w:val="24"/>
          <w:szCs w:val="24"/>
        </w:rPr>
        <w:t xml:space="preserve"> sygdom, f.eks.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proofErr w:type="spellStart"/>
      <w:r>
        <w:rPr>
          <w:sz w:val="24"/>
          <w:szCs w:val="24"/>
        </w:rPr>
        <w:t>pemfigoid</w:t>
      </w:r>
      <w:proofErr w:type="spellEnd"/>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Nyrer og urinveje:</w:t>
      </w:r>
    </w:p>
    <w:p w:rsidR="00F32575" w:rsidRDefault="00F32575" w:rsidP="00F32575">
      <w:pPr>
        <w:ind w:left="851" w:right="-171"/>
        <w:jc w:val="both"/>
        <w:rPr>
          <w:sz w:val="24"/>
          <w:szCs w:val="24"/>
        </w:rPr>
      </w:pPr>
      <w:r>
        <w:rPr>
          <w:sz w:val="24"/>
          <w:szCs w:val="24"/>
        </w:rPr>
        <w:tab/>
      </w:r>
      <w:r>
        <w:rPr>
          <w:sz w:val="24"/>
          <w:szCs w:val="24"/>
        </w:rPr>
        <w:tab/>
        <w:t>Sjælden: urinretention</w:t>
      </w:r>
    </w:p>
    <w:p w:rsidR="00F32575" w:rsidRDefault="00F32575" w:rsidP="00F32575">
      <w:pPr>
        <w:ind w:left="851" w:right="-171"/>
        <w:jc w:val="both"/>
        <w:rPr>
          <w:sz w:val="24"/>
          <w:szCs w:val="24"/>
        </w:rPr>
      </w:pPr>
      <w:r>
        <w:rPr>
          <w:sz w:val="24"/>
          <w:szCs w:val="24"/>
        </w:rPr>
        <w:tab/>
      </w:r>
      <w:r>
        <w:rPr>
          <w:sz w:val="24"/>
          <w:szCs w:val="24"/>
        </w:rPr>
        <w:tab/>
        <w:t xml:space="preserve">Ikke kendt: </w:t>
      </w:r>
      <w:proofErr w:type="spellStart"/>
      <w:r>
        <w:rPr>
          <w:sz w:val="24"/>
          <w:szCs w:val="24"/>
        </w:rPr>
        <w:t>dysuri</w:t>
      </w:r>
      <w:proofErr w:type="spellEnd"/>
      <w:r>
        <w:rPr>
          <w:sz w:val="24"/>
          <w:szCs w:val="24"/>
        </w:rPr>
        <w:t xml:space="preserve">, </w:t>
      </w:r>
      <w:proofErr w:type="spellStart"/>
      <w:r>
        <w:rPr>
          <w:sz w:val="24"/>
          <w:szCs w:val="24"/>
        </w:rPr>
        <w:t>enuresis</w:t>
      </w:r>
      <w:proofErr w:type="spellEnd"/>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Almene symptomer og reaktioner på administrationsstedet</w:t>
      </w:r>
    </w:p>
    <w:p w:rsidR="00F32575" w:rsidRDefault="00F32575" w:rsidP="00F32575">
      <w:pPr>
        <w:ind w:left="851" w:right="-171"/>
        <w:jc w:val="both"/>
        <w:rPr>
          <w:sz w:val="24"/>
          <w:szCs w:val="24"/>
        </w:rPr>
      </w:pPr>
      <w:r>
        <w:rPr>
          <w:sz w:val="24"/>
          <w:szCs w:val="24"/>
        </w:rPr>
        <w:tab/>
      </w:r>
      <w:r>
        <w:rPr>
          <w:sz w:val="24"/>
          <w:szCs w:val="24"/>
        </w:rPr>
        <w:tab/>
        <w:t xml:space="preserve">Ikke almindelig: utilpashed, </w:t>
      </w:r>
      <w:proofErr w:type="spellStart"/>
      <w:r>
        <w:rPr>
          <w:sz w:val="24"/>
          <w:szCs w:val="24"/>
        </w:rPr>
        <w:t>pyreksi</w:t>
      </w:r>
      <w:proofErr w:type="spellEnd"/>
      <w:r>
        <w:rPr>
          <w:sz w:val="24"/>
          <w:szCs w:val="24"/>
        </w:rPr>
        <w:t xml:space="preserve"> </w:t>
      </w:r>
    </w:p>
    <w:p w:rsidR="00F32575" w:rsidRDefault="00F32575" w:rsidP="00F32575">
      <w:pPr>
        <w:ind w:left="851" w:right="-171"/>
        <w:jc w:val="both"/>
        <w:rPr>
          <w:sz w:val="24"/>
          <w:szCs w:val="24"/>
        </w:rPr>
      </w:pPr>
      <w:r>
        <w:rPr>
          <w:sz w:val="24"/>
          <w:szCs w:val="24"/>
        </w:rPr>
        <w:tab/>
      </w:r>
      <w:r>
        <w:rPr>
          <w:sz w:val="24"/>
          <w:szCs w:val="24"/>
        </w:rPr>
        <w:tab/>
        <w:t>Ikke kendt: asteni, ødem</w:t>
      </w:r>
    </w:p>
    <w:p w:rsidR="00F32575" w:rsidRDefault="00F32575" w:rsidP="00F32575">
      <w:pPr>
        <w:ind w:left="851" w:right="-171"/>
        <w:jc w:val="both"/>
        <w:rPr>
          <w:sz w:val="24"/>
          <w:szCs w:val="24"/>
        </w:rPr>
      </w:pPr>
    </w:p>
    <w:p w:rsidR="00F32575" w:rsidRDefault="00F32575" w:rsidP="00F32575">
      <w:pPr>
        <w:ind w:left="851" w:right="-171"/>
        <w:jc w:val="both"/>
        <w:rPr>
          <w:i/>
          <w:sz w:val="24"/>
          <w:szCs w:val="24"/>
        </w:rPr>
      </w:pPr>
      <w:r>
        <w:rPr>
          <w:i/>
          <w:sz w:val="24"/>
          <w:szCs w:val="24"/>
        </w:rPr>
        <w:t>Undersøgelser:</w:t>
      </w:r>
    </w:p>
    <w:p w:rsidR="00F32575" w:rsidRDefault="00F32575" w:rsidP="00F32575">
      <w:pPr>
        <w:ind w:left="851" w:right="-171"/>
        <w:jc w:val="both"/>
        <w:rPr>
          <w:sz w:val="24"/>
          <w:szCs w:val="24"/>
        </w:rPr>
      </w:pPr>
      <w:r>
        <w:rPr>
          <w:sz w:val="24"/>
          <w:szCs w:val="24"/>
        </w:rPr>
        <w:tab/>
      </w:r>
      <w:r>
        <w:rPr>
          <w:sz w:val="24"/>
          <w:szCs w:val="24"/>
        </w:rPr>
        <w:tab/>
        <w:t xml:space="preserve">Ikke kendt: </w:t>
      </w:r>
      <w:r>
        <w:rPr>
          <w:sz w:val="24"/>
          <w:szCs w:val="24"/>
          <w:lang w:eastAsia="fr-BE"/>
        </w:rPr>
        <w:t>vægtøgning</w:t>
      </w:r>
    </w:p>
    <w:p w:rsidR="00F32575" w:rsidRDefault="00F32575" w:rsidP="00F32575">
      <w:pPr>
        <w:suppressAutoHyphens/>
        <w:ind w:left="851" w:right="-171"/>
        <w:rPr>
          <w:sz w:val="24"/>
          <w:szCs w:val="24"/>
        </w:rPr>
      </w:pPr>
    </w:p>
    <w:p w:rsidR="00F32575" w:rsidRDefault="00F32575" w:rsidP="00F32575">
      <w:pPr>
        <w:suppressAutoHyphens/>
        <w:ind w:left="851" w:right="-171"/>
        <w:rPr>
          <w:sz w:val="24"/>
          <w:szCs w:val="24"/>
        </w:rPr>
      </w:pPr>
      <w:r>
        <w:rPr>
          <w:sz w:val="24"/>
          <w:szCs w:val="24"/>
        </w:rPr>
        <w:t xml:space="preserve">Behandling med </w:t>
      </w:r>
      <w:proofErr w:type="spellStart"/>
      <w:r>
        <w:rPr>
          <w:sz w:val="24"/>
          <w:szCs w:val="24"/>
        </w:rPr>
        <w:t>neuroleptika</w:t>
      </w:r>
      <w:proofErr w:type="spellEnd"/>
      <w:r>
        <w:rPr>
          <w:sz w:val="24"/>
          <w:szCs w:val="24"/>
        </w:rPr>
        <w:t xml:space="preserve"> kan forårsage forlænget QT-interval og </w:t>
      </w:r>
      <w:proofErr w:type="spellStart"/>
      <w:r>
        <w:rPr>
          <w:sz w:val="24"/>
          <w:szCs w:val="24"/>
        </w:rPr>
        <w:t>hjertearytmi</w:t>
      </w:r>
      <w:proofErr w:type="spellEnd"/>
      <w:r>
        <w:rPr>
          <w:sz w:val="24"/>
          <w:szCs w:val="24"/>
        </w:rPr>
        <w:t>. Tilfælde af pludselig død, som kan skyldes hjerteproblemer (se pkt. 4.4), er rapporteret under behandlingen med denne gruppe lægemidler.</w:t>
      </w:r>
    </w:p>
    <w:p w:rsidR="00F32575" w:rsidRDefault="00F32575" w:rsidP="00F32575">
      <w:pPr>
        <w:suppressAutoHyphens/>
        <w:ind w:left="851" w:right="-171"/>
        <w:rPr>
          <w:sz w:val="24"/>
          <w:szCs w:val="24"/>
        </w:rPr>
      </w:pPr>
    </w:p>
    <w:p w:rsidR="00F32575" w:rsidRDefault="00F32575" w:rsidP="00F32575">
      <w:pPr>
        <w:autoSpaceDE w:val="0"/>
        <w:autoSpaceDN w:val="0"/>
        <w:ind w:left="851"/>
        <w:rPr>
          <w:sz w:val="24"/>
          <w:szCs w:val="24"/>
          <w:u w:val="single"/>
        </w:rPr>
      </w:pPr>
      <w:r>
        <w:rPr>
          <w:sz w:val="24"/>
          <w:szCs w:val="24"/>
          <w:u w:val="single"/>
        </w:rPr>
        <w:t>Indberetning af formodede bivirkninger</w:t>
      </w:r>
    </w:p>
    <w:p w:rsidR="00F32575" w:rsidRDefault="00F32575" w:rsidP="00F3257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F32575" w:rsidRDefault="00F32575" w:rsidP="00F32575">
      <w:pPr>
        <w:tabs>
          <w:tab w:val="left" w:pos="2440"/>
        </w:tabs>
        <w:ind w:left="851"/>
        <w:rPr>
          <w:sz w:val="24"/>
          <w:szCs w:val="24"/>
        </w:rPr>
      </w:pPr>
    </w:p>
    <w:p w:rsidR="00F32575" w:rsidRDefault="00F32575" w:rsidP="00F32575">
      <w:pPr>
        <w:ind w:left="851"/>
        <w:rPr>
          <w:sz w:val="24"/>
          <w:szCs w:val="24"/>
        </w:rPr>
      </w:pPr>
      <w:r>
        <w:rPr>
          <w:sz w:val="24"/>
          <w:szCs w:val="24"/>
        </w:rPr>
        <w:t>Lægemiddelstyrelsen</w:t>
      </w:r>
    </w:p>
    <w:p w:rsidR="00F32575" w:rsidRDefault="00F32575" w:rsidP="00F32575">
      <w:pPr>
        <w:ind w:left="851"/>
        <w:rPr>
          <w:sz w:val="24"/>
          <w:szCs w:val="24"/>
        </w:rPr>
      </w:pPr>
      <w:r>
        <w:rPr>
          <w:sz w:val="24"/>
          <w:szCs w:val="24"/>
        </w:rPr>
        <w:t>Axel Heides Gade 1</w:t>
      </w:r>
    </w:p>
    <w:p w:rsidR="00F32575" w:rsidRDefault="00F32575" w:rsidP="00F32575">
      <w:pPr>
        <w:ind w:left="851"/>
        <w:rPr>
          <w:sz w:val="24"/>
          <w:szCs w:val="24"/>
        </w:rPr>
      </w:pPr>
      <w:r>
        <w:rPr>
          <w:sz w:val="24"/>
          <w:szCs w:val="24"/>
        </w:rPr>
        <w:t>DK-2300 København S</w:t>
      </w:r>
    </w:p>
    <w:p w:rsidR="00F32575" w:rsidRDefault="00F32575" w:rsidP="00F32575">
      <w:pPr>
        <w:ind w:left="851"/>
        <w:rPr>
          <w:sz w:val="24"/>
          <w:szCs w:val="24"/>
        </w:rPr>
      </w:pPr>
      <w:r>
        <w:rPr>
          <w:sz w:val="24"/>
          <w:szCs w:val="24"/>
        </w:rPr>
        <w:t xml:space="preserve">Websted: </w:t>
      </w:r>
      <w:hyperlink r:id="rId8" w:history="1">
        <w:r>
          <w:rPr>
            <w:rStyle w:val="Hyperlink"/>
            <w:sz w:val="24"/>
            <w:szCs w:val="24"/>
          </w:rPr>
          <w:t>www.meldenbivirkning.dk</w:t>
        </w:r>
      </w:hyperlink>
    </w:p>
    <w:p w:rsidR="00F32575" w:rsidRDefault="00F32575" w:rsidP="00F32575">
      <w:pPr>
        <w:pStyle w:val="Sidehoved"/>
        <w:tabs>
          <w:tab w:val="left" w:pos="1304"/>
        </w:tabs>
        <w:ind w:left="851" w:hanging="851"/>
        <w:rPr>
          <w:szCs w:val="24"/>
        </w:rPr>
      </w:pPr>
    </w:p>
    <w:p w:rsidR="00F32575" w:rsidRDefault="00F32575" w:rsidP="00F32575">
      <w:pPr>
        <w:ind w:left="851" w:hanging="851"/>
        <w:rPr>
          <w:b/>
          <w:sz w:val="24"/>
          <w:szCs w:val="24"/>
        </w:rPr>
      </w:pPr>
      <w:r>
        <w:rPr>
          <w:b/>
          <w:sz w:val="24"/>
          <w:szCs w:val="24"/>
        </w:rPr>
        <w:t>4.9</w:t>
      </w:r>
      <w:r>
        <w:rPr>
          <w:b/>
          <w:sz w:val="24"/>
          <w:szCs w:val="24"/>
        </w:rPr>
        <w:tab/>
        <w:t>Overdosering</w:t>
      </w:r>
    </w:p>
    <w:p w:rsidR="00F32575" w:rsidRDefault="00F32575" w:rsidP="00F32575">
      <w:pPr>
        <w:ind w:left="851"/>
        <w:rPr>
          <w:i/>
          <w:iCs/>
          <w:sz w:val="24"/>
          <w:szCs w:val="24"/>
        </w:rPr>
      </w:pPr>
      <w:r>
        <w:rPr>
          <w:i/>
          <w:iCs/>
          <w:sz w:val="24"/>
          <w:szCs w:val="24"/>
        </w:rPr>
        <w:lastRenderedPageBreak/>
        <w:t>Toksicitet:</w:t>
      </w:r>
    </w:p>
    <w:p w:rsidR="00F32575" w:rsidRDefault="00F32575" w:rsidP="00F32575">
      <w:pPr>
        <w:ind w:left="851"/>
        <w:rPr>
          <w:sz w:val="24"/>
          <w:szCs w:val="24"/>
        </w:rPr>
      </w:pPr>
      <w:r>
        <w:rPr>
          <w:sz w:val="24"/>
          <w:szCs w:val="24"/>
        </w:rPr>
        <w:t xml:space="preserve">60-100 mg </w:t>
      </w:r>
      <w:proofErr w:type="spellStart"/>
      <w:r>
        <w:rPr>
          <w:sz w:val="24"/>
          <w:szCs w:val="24"/>
        </w:rPr>
        <w:t>hydroxyzin</w:t>
      </w:r>
      <w:proofErr w:type="spellEnd"/>
      <w:r>
        <w:rPr>
          <w:sz w:val="24"/>
          <w:szCs w:val="24"/>
        </w:rPr>
        <w:t xml:space="preserve"> givet til et 2-årigt barn resulterede i ingen eller en mild forgiftning, 300 mg </w:t>
      </w:r>
      <w:proofErr w:type="spellStart"/>
      <w:r>
        <w:rPr>
          <w:sz w:val="24"/>
          <w:szCs w:val="24"/>
        </w:rPr>
        <w:t>hydroxyzin</w:t>
      </w:r>
      <w:proofErr w:type="spellEnd"/>
      <w:r>
        <w:rPr>
          <w:sz w:val="24"/>
          <w:szCs w:val="24"/>
        </w:rPr>
        <w:t xml:space="preserve"> givet til et 2-årigt barn resulterede i en alvorlig forgiftning. 1-1,5 g </w:t>
      </w:r>
      <w:proofErr w:type="spellStart"/>
      <w:r>
        <w:rPr>
          <w:sz w:val="24"/>
          <w:szCs w:val="24"/>
        </w:rPr>
        <w:t>hydroxyzin</w:t>
      </w:r>
      <w:proofErr w:type="spellEnd"/>
      <w:r>
        <w:rPr>
          <w:sz w:val="24"/>
          <w:szCs w:val="24"/>
        </w:rPr>
        <w:t xml:space="preserve"> givet til voksne resulterede i en mild forgiftning. 1,5-2,5 g </w:t>
      </w:r>
      <w:proofErr w:type="spellStart"/>
      <w:r>
        <w:rPr>
          <w:sz w:val="24"/>
          <w:szCs w:val="24"/>
        </w:rPr>
        <w:t>hydroxyzin</w:t>
      </w:r>
      <w:proofErr w:type="spellEnd"/>
      <w:r>
        <w:rPr>
          <w:sz w:val="24"/>
          <w:szCs w:val="24"/>
        </w:rPr>
        <w:t xml:space="preserve"> givet til voksne resulterede i en moderat forgiftning.</w:t>
      </w:r>
    </w:p>
    <w:p w:rsidR="00F32575" w:rsidRDefault="00F32575" w:rsidP="00F32575">
      <w:pPr>
        <w:autoSpaceDE w:val="0"/>
        <w:autoSpaceDN w:val="0"/>
        <w:adjustRightInd w:val="0"/>
        <w:ind w:left="851" w:hanging="851"/>
        <w:rPr>
          <w:sz w:val="24"/>
          <w:szCs w:val="24"/>
        </w:rPr>
      </w:pPr>
    </w:p>
    <w:p w:rsidR="00F32575" w:rsidRDefault="00F32575" w:rsidP="00F32575">
      <w:pPr>
        <w:autoSpaceDE w:val="0"/>
        <w:autoSpaceDN w:val="0"/>
        <w:adjustRightInd w:val="0"/>
        <w:ind w:left="851"/>
        <w:rPr>
          <w:i/>
          <w:sz w:val="24"/>
          <w:szCs w:val="24"/>
        </w:rPr>
      </w:pPr>
      <w:r>
        <w:rPr>
          <w:i/>
          <w:sz w:val="24"/>
          <w:szCs w:val="24"/>
        </w:rPr>
        <w:t>Symptomer:</w:t>
      </w:r>
    </w:p>
    <w:p w:rsidR="00F32575" w:rsidRDefault="00F32575" w:rsidP="00F32575">
      <w:pPr>
        <w:autoSpaceDE w:val="0"/>
        <w:autoSpaceDN w:val="0"/>
        <w:adjustRightInd w:val="0"/>
        <w:ind w:left="851"/>
        <w:rPr>
          <w:sz w:val="24"/>
          <w:szCs w:val="24"/>
        </w:rPr>
      </w:pPr>
      <w:r>
        <w:rPr>
          <w:sz w:val="24"/>
          <w:szCs w:val="24"/>
        </w:rPr>
        <w:t xml:space="preserve">Symptomer observeret efter svær overdosering er ofte forbundet med kraftig </w:t>
      </w:r>
      <w:proofErr w:type="spellStart"/>
      <w:r>
        <w:rPr>
          <w:sz w:val="24"/>
          <w:szCs w:val="24"/>
        </w:rPr>
        <w:t>antikolinerg</w:t>
      </w:r>
      <w:proofErr w:type="spellEnd"/>
      <w:r>
        <w:rPr>
          <w:sz w:val="24"/>
          <w:szCs w:val="24"/>
        </w:rPr>
        <w:t xml:space="preserve"> belastning, CNS-depression eller CNS-paradoks stimulation. Symptomerne omfatter kvalme, opkastning, </w:t>
      </w:r>
      <w:proofErr w:type="spellStart"/>
      <w:r>
        <w:rPr>
          <w:sz w:val="24"/>
          <w:szCs w:val="24"/>
        </w:rPr>
        <w:t>takykardi</w:t>
      </w:r>
      <w:proofErr w:type="spellEnd"/>
      <w:r>
        <w:rPr>
          <w:sz w:val="24"/>
          <w:szCs w:val="24"/>
        </w:rPr>
        <w:t xml:space="preserve">, </w:t>
      </w:r>
      <w:proofErr w:type="spellStart"/>
      <w:r>
        <w:rPr>
          <w:sz w:val="24"/>
          <w:szCs w:val="24"/>
        </w:rPr>
        <w:t>pyreksi</w:t>
      </w:r>
      <w:proofErr w:type="spellEnd"/>
      <w:r>
        <w:rPr>
          <w:sz w:val="24"/>
          <w:szCs w:val="24"/>
        </w:rPr>
        <w:t xml:space="preserve">, døsighed, forstyrret pupilrefleks, </w:t>
      </w:r>
      <w:proofErr w:type="spellStart"/>
      <w:r>
        <w:rPr>
          <w:sz w:val="24"/>
          <w:szCs w:val="24"/>
        </w:rPr>
        <w:t>tremor</w:t>
      </w:r>
      <w:proofErr w:type="spellEnd"/>
      <w:r>
        <w:rPr>
          <w:sz w:val="24"/>
          <w:szCs w:val="24"/>
        </w:rPr>
        <w:t>, forvirring eller hallucinationer. Disse tilstande kan efterfølges af nedsat bevidsthed, respirations</w:t>
      </w:r>
      <w:r>
        <w:rPr>
          <w:sz w:val="24"/>
          <w:szCs w:val="24"/>
        </w:rPr>
        <w:softHyphen/>
        <w:t xml:space="preserve">depression, krampeanfald eller hypotension og kan i sidste ende resultere i dyb koma og </w:t>
      </w:r>
      <w:proofErr w:type="spellStart"/>
      <w:r>
        <w:rPr>
          <w:sz w:val="24"/>
          <w:szCs w:val="24"/>
        </w:rPr>
        <w:t>kardiorespiratorisk</w:t>
      </w:r>
      <w:proofErr w:type="spellEnd"/>
      <w:r>
        <w:rPr>
          <w:sz w:val="24"/>
          <w:szCs w:val="24"/>
        </w:rPr>
        <w:t xml:space="preserve"> kollaps. Forlænget QT-interval og alvorlig </w:t>
      </w:r>
      <w:proofErr w:type="spellStart"/>
      <w:r>
        <w:rPr>
          <w:sz w:val="24"/>
          <w:szCs w:val="24"/>
        </w:rPr>
        <w:t>arytmi</w:t>
      </w:r>
      <w:proofErr w:type="spellEnd"/>
      <w:r>
        <w:rPr>
          <w:sz w:val="24"/>
          <w:szCs w:val="24"/>
        </w:rPr>
        <w:t xml:space="preserve"> med dødelig udgang er beskrevet i forbindelse med overdosering af </w:t>
      </w:r>
      <w:proofErr w:type="spellStart"/>
      <w:r>
        <w:rPr>
          <w:sz w:val="24"/>
          <w:szCs w:val="24"/>
        </w:rPr>
        <w:t>neuroleptika</w:t>
      </w:r>
      <w:proofErr w:type="spellEnd"/>
      <w:r>
        <w:rPr>
          <w:sz w:val="24"/>
          <w:szCs w:val="24"/>
        </w:rPr>
        <w:t>.</w:t>
      </w:r>
    </w:p>
    <w:p w:rsidR="00F32575" w:rsidRDefault="00F32575" w:rsidP="00F32575">
      <w:pPr>
        <w:autoSpaceDE w:val="0"/>
        <w:autoSpaceDN w:val="0"/>
        <w:adjustRightInd w:val="0"/>
        <w:ind w:left="851" w:hanging="851"/>
        <w:rPr>
          <w:sz w:val="24"/>
          <w:szCs w:val="24"/>
        </w:rPr>
      </w:pPr>
    </w:p>
    <w:p w:rsidR="00F32575" w:rsidRDefault="00F32575" w:rsidP="00F32575">
      <w:pPr>
        <w:autoSpaceDE w:val="0"/>
        <w:autoSpaceDN w:val="0"/>
        <w:adjustRightInd w:val="0"/>
        <w:ind w:left="851"/>
        <w:rPr>
          <w:i/>
          <w:sz w:val="24"/>
          <w:szCs w:val="24"/>
        </w:rPr>
      </w:pPr>
      <w:r>
        <w:rPr>
          <w:i/>
          <w:sz w:val="24"/>
          <w:szCs w:val="24"/>
        </w:rPr>
        <w:t>Behandling:</w:t>
      </w:r>
    </w:p>
    <w:p w:rsidR="00F32575" w:rsidRDefault="00F32575" w:rsidP="00F32575">
      <w:pPr>
        <w:autoSpaceDE w:val="0"/>
        <w:autoSpaceDN w:val="0"/>
        <w:adjustRightInd w:val="0"/>
        <w:ind w:left="851"/>
        <w:rPr>
          <w:sz w:val="24"/>
          <w:szCs w:val="24"/>
        </w:rPr>
      </w:pPr>
      <w:r>
        <w:rPr>
          <w:sz w:val="24"/>
          <w:szCs w:val="24"/>
        </w:rPr>
        <w:t xml:space="preserve">Understøttende og symptomatisk behandling er indiceret. </w:t>
      </w:r>
      <w:proofErr w:type="spellStart"/>
      <w:r>
        <w:rPr>
          <w:sz w:val="24"/>
          <w:szCs w:val="24"/>
        </w:rPr>
        <w:t>Endotrakeal</w:t>
      </w:r>
      <w:proofErr w:type="spellEnd"/>
      <w:r>
        <w:rPr>
          <w:sz w:val="24"/>
          <w:szCs w:val="24"/>
        </w:rPr>
        <w:t xml:space="preserve"> </w:t>
      </w:r>
      <w:proofErr w:type="spellStart"/>
      <w:r>
        <w:rPr>
          <w:sz w:val="24"/>
          <w:szCs w:val="24"/>
        </w:rPr>
        <w:t>intubation</w:t>
      </w:r>
      <w:proofErr w:type="spellEnd"/>
      <w:r>
        <w:rPr>
          <w:sz w:val="24"/>
          <w:szCs w:val="24"/>
        </w:rPr>
        <w:t xml:space="preserve"> efterfulgt af ventrikelskylning kan udføres, hvis der er tale om indtagelse af en klinisk signifikant overdosis. Aktivt kul kan indgives, men der er få data til at understøtte dets effekt. Der findes ingen specifik </w:t>
      </w:r>
      <w:proofErr w:type="spellStart"/>
      <w:r>
        <w:rPr>
          <w:sz w:val="24"/>
          <w:szCs w:val="24"/>
        </w:rPr>
        <w:t>antidot</w:t>
      </w:r>
      <w:proofErr w:type="spellEnd"/>
      <w:r>
        <w:rPr>
          <w:sz w:val="24"/>
          <w:szCs w:val="24"/>
        </w:rPr>
        <w:t xml:space="preserve">. Luftveje, vejrtrækning og kredsløbsfunktion skal overvåges nøje og omfatte kontinuert ekg-monitorering. Tilstrækkelig iltforsyning skal være tilgængelig. Hjerte- og blodtryksmonitorering bør opretholdes, indtil patienten har været symptomfri i 24 timer. Det er tvivlsomt, om hæmodialyse eller </w:t>
      </w:r>
      <w:proofErr w:type="spellStart"/>
      <w:r>
        <w:rPr>
          <w:sz w:val="24"/>
          <w:szCs w:val="24"/>
        </w:rPr>
        <w:t>peritonealdialyse</w:t>
      </w:r>
      <w:proofErr w:type="spellEnd"/>
      <w:r>
        <w:rPr>
          <w:sz w:val="24"/>
          <w:szCs w:val="24"/>
        </w:rPr>
        <w:t xml:space="preserve"> vil have værdi.</w:t>
      </w:r>
    </w:p>
    <w:p w:rsidR="00F32575" w:rsidRDefault="00F32575" w:rsidP="00F32575">
      <w:pPr>
        <w:autoSpaceDE w:val="0"/>
        <w:autoSpaceDN w:val="0"/>
        <w:adjustRightInd w:val="0"/>
        <w:ind w:left="851" w:hanging="851"/>
        <w:rPr>
          <w:sz w:val="24"/>
          <w:szCs w:val="24"/>
        </w:rPr>
      </w:pPr>
    </w:p>
    <w:p w:rsidR="00F32575" w:rsidRDefault="00F32575" w:rsidP="00F32575">
      <w:pPr>
        <w:autoSpaceDE w:val="0"/>
        <w:autoSpaceDN w:val="0"/>
        <w:adjustRightInd w:val="0"/>
        <w:ind w:left="851"/>
        <w:rPr>
          <w:sz w:val="24"/>
          <w:szCs w:val="24"/>
        </w:rPr>
      </w:pPr>
      <w:r>
        <w:rPr>
          <w:sz w:val="24"/>
          <w:szCs w:val="24"/>
        </w:rPr>
        <w:t xml:space="preserve">Patienter med ændret mental tilstand bør undersøges for samtidig indtagelse af andre lægemidler eller alkohol. Hvis det skønnes nødvendigt, skal der gives ilt, </w:t>
      </w:r>
      <w:proofErr w:type="spellStart"/>
      <w:r>
        <w:rPr>
          <w:sz w:val="24"/>
          <w:szCs w:val="24"/>
        </w:rPr>
        <w:t>naloxon</w:t>
      </w:r>
      <w:proofErr w:type="spellEnd"/>
      <w:r>
        <w:rPr>
          <w:sz w:val="24"/>
          <w:szCs w:val="24"/>
        </w:rPr>
        <w:t xml:space="preserve">, </w:t>
      </w:r>
      <w:proofErr w:type="spellStart"/>
      <w:r>
        <w:rPr>
          <w:sz w:val="24"/>
          <w:szCs w:val="24"/>
        </w:rPr>
        <w:t>glucose</w:t>
      </w:r>
      <w:proofErr w:type="spellEnd"/>
      <w:r>
        <w:rPr>
          <w:sz w:val="24"/>
          <w:szCs w:val="24"/>
        </w:rPr>
        <w:t xml:space="preserve"> eller </w:t>
      </w:r>
      <w:proofErr w:type="spellStart"/>
      <w:r>
        <w:rPr>
          <w:sz w:val="24"/>
          <w:szCs w:val="24"/>
        </w:rPr>
        <w:t>thiamin</w:t>
      </w:r>
      <w:proofErr w:type="spellEnd"/>
      <w:r>
        <w:rPr>
          <w:sz w:val="24"/>
          <w:szCs w:val="24"/>
        </w:rPr>
        <w:t>.</w:t>
      </w:r>
    </w:p>
    <w:p w:rsidR="00F32575" w:rsidRDefault="00F32575" w:rsidP="00F32575">
      <w:pPr>
        <w:autoSpaceDE w:val="0"/>
        <w:autoSpaceDN w:val="0"/>
        <w:adjustRightInd w:val="0"/>
        <w:ind w:left="851" w:hanging="851"/>
        <w:rPr>
          <w:sz w:val="24"/>
          <w:szCs w:val="24"/>
        </w:rPr>
      </w:pPr>
    </w:p>
    <w:p w:rsidR="00F32575" w:rsidRDefault="00F32575" w:rsidP="00F32575">
      <w:pPr>
        <w:autoSpaceDE w:val="0"/>
        <w:autoSpaceDN w:val="0"/>
        <w:adjustRightInd w:val="0"/>
        <w:ind w:left="851"/>
        <w:rPr>
          <w:sz w:val="24"/>
          <w:szCs w:val="24"/>
        </w:rPr>
      </w:pPr>
      <w:r>
        <w:rPr>
          <w:sz w:val="24"/>
          <w:szCs w:val="24"/>
        </w:rPr>
        <w:t xml:space="preserve">Noradrenalin eller </w:t>
      </w:r>
      <w:proofErr w:type="spellStart"/>
      <w:r>
        <w:rPr>
          <w:sz w:val="24"/>
          <w:szCs w:val="24"/>
        </w:rPr>
        <w:t>metaraminol</w:t>
      </w:r>
      <w:proofErr w:type="spellEnd"/>
      <w:r>
        <w:rPr>
          <w:sz w:val="24"/>
          <w:szCs w:val="24"/>
        </w:rPr>
        <w:t xml:space="preserve"> bør anvendes, hvis en </w:t>
      </w:r>
      <w:proofErr w:type="spellStart"/>
      <w:r>
        <w:rPr>
          <w:sz w:val="24"/>
          <w:szCs w:val="24"/>
        </w:rPr>
        <w:t>vasopressor</w:t>
      </w:r>
      <w:proofErr w:type="spellEnd"/>
      <w:r>
        <w:rPr>
          <w:sz w:val="24"/>
          <w:szCs w:val="24"/>
        </w:rPr>
        <w:t xml:space="preserve"> er nødvendig. </w:t>
      </w:r>
    </w:p>
    <w:p w:rsidR="00F32575" w:rsidRDefault="00F32575" w:rsidP="00F32575">
      <w:pPr>
        <w:autoSpaceDE w:val="0"/>
        <w:autoSpaceDN w:val="0"/>
        <w:adjustRightInd w:val="0"/>
        <w:ind w:left="851" w:hanging="851"/>
        <w:rPr>
          <w:sz w:val="24"/>
          <w:szCs w:val="24"/>
        </w:rPr>
      </w:pPr>
    </w:p>
    <w:p w:rsidR="00F32575" w:rsidRDefault="00F32575" w:rsidP="00F32575">
      <w:pPr>
        <w:autoSpaceDE w:val="0"/>
        <w:autoSpaceDN w:val="0"/>
        <w:adjustRightInd w:val="0"/>
        <w:ind w:left="851"/>
        <w:rPr>
          <w:sz w:val="24"/>
          <w:szCs w:val="24"/>
        </w:rPr>
      </w:pPr>
      <w:r>
        <w:rPr>
          <w:sz w:val="24"/>
          <w:szCs w:val="24"/>
        </w:rPr>
        <w:t>Adrenalin bør ikke anvendes til behandling af forgiftninger, da det kan sænke blodtrykket yderligere.</w:t>
      </w:r>
    </w:p>
    <w:p w:rsidR="00F32575" w:rsidRDefault="00F32575" w:rsidP="00F32575">
      <w:pPr>
        <w:ind w:left="851" w:hanging="851"/>
        <w:rPr>
          <w:sz w:val="24"/>
          <w:szCs w:val="24"/>
        </w:rPr>
      </w:pPr>
    </w:p>
    <w:p w:rsidR="00F32575" w:rsidRDefault="00F32575" w:rsidP="00F32575">
      <w:pPr>
        <w:ind w:left="851" w:hanging="851"/>
        <w:rPr>
          <w:b/>
          <w:sz w:val="24"/>
          <w:szCs w:val="24"/>
        </w:rPr>
      </w:pPr>
      <w:r>
        <w:rPr>
          <w:b/>
          <w:sz w:val="24"/>
          <w:szCs w:val="24"/>
        </w:rPr>
        <w:t>4.10</w:t>
      </w:r>
      <w:r>
        <w:rPr>
          <w:b/>
          <w:sz w:val="24"/>
          <w:szCs w:val="24"/>
        </w:rPr>
        <w:tab/>
        <w:t>Udlevering</w:t>
      </w:r>
    </w:p>
    <w:p w:rsidR="00F32575" w:rsidRDefault="00F32575" w:rsidP="00F32575">
      <w:pPr>
        <w:ind w:left="851"/>
        <w:rPr>
          <w:sz w:val="24"/>
          <w:szCs w:val="24"/>
        </w:rPr>
      </w:pPr>
      <w:r>
        <w:rPr>
          <w:sz w:val="24"/>
          <w:szCs w:val="24"/>
        </w:rPr>
        <w:t>A</w:t>
      </w:r>
    </w:p>
    <w:p w:rsidR="009D061C" w:rsidRPr="00A10831" w:rsidRDefault="009D061C" w:rsidP="009D061C">
      <w:pPr>
        <w:ind w:left="851" w:hanging="851"/>
        <w:rPr>
          <w:sz w:val="24"/>
          <w:szCs w:val="24"/>
        </w:rPr>
      </w:pP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5.</w:t>
      </w:r>
      <w:r w:rsidRPr="00A10831">
        <w:rPr>
          <w:b/>
          <w:sz w:val="24"/>
          <w:szCs w:val="24"/>
        </w:rPr>
        <w:tab/>
        <w:t>FARMAKOLOGISKE EGENSKABER</w:t>
      </w:r>
    </w:p>
    <w:p w:rsidR="009D061C" w:rsidRPr="00A10831" w:rsidRDefault="009D061C" w:rsidP="009D061C">
      <w:pPr>
        <w:ind w:left="851" w:hanging="851"/>
        <w:rPr>
          <w:sz w:val="24"/>
          <w:szCs w:val="24"/>
        </w:rPr>
      </w:pPr>
    </w:p>
    <w:p w:rsidR="00F32575" w:rsidRDefault="009D061C" w:rsidP="009D061C">
      <w:pPr>
        <w:ind w:left="851" w:hanging="851"/>
        <w:rPr>
          <w:b/>
          <w:sz w:val="24"/>
          <w:szCs w:val="24"/>
        </w:rPr>
      </w:pPr>
      <w:r w:rsidRPr="00A10831">
        <w:rPr>
          <w:b/>
          <w:sz w:val="24"/>
          <w:szCs w:val="24"/>
        </w:rPr>
        <w:t>5.1</w:t>
      </w:r>
      <w:r w:rsidRPr="00A10831">
        <w:rPr>
          <w:b/>
          <w:sz w:val="24"/>
          <w:szCs w:val="24"/>
        </w:rPr>
        <w:tab/>
      </w:r>
      <w:proofErr w:type="spellStart"/>
      <w:r w:rsidRPr="00A10831">
        <w:rPr>
          <w:b/>
          <w:sz w:val="24"/>
          <w:szCs w:val="24"/>
        </w:rPr>
        <w:t>Farmakodynamiske</w:t>
      </w:r>
      <w:proofErr w:type="spellEnd"/>
      <w:r w:rsidRPr="00A10831">
        <w:rPr>
          <w:b/>
          <w:sz w:val="24"/>
          <w:szCs w:val="24"/>
        </w:rPr>
        <w:t xml:space="preserve"> egenskaber</w:t>
      </w:r>
    </w:p>
    <w:p w:rsidR="00F32575" w:rsidRPr="00F32575" w:rsidRDefault="00F32575" w:rsidP="009D061C">
      <w:pPr>
        <w:ind w:left="851" w:hanging="851"/>
        <w:rPr>
          <w:b/>
          <w:sz w:val="24"/>
          <w:szCs w:val="24"/>
          <w:lang w:val="sv-SE"/>
        </w:rPr>
      </w:pPr>
      <w:r w:rsidRPr="00110256">
        <w:rPr>
          <w:b/>
          <w:sz w:val="24"/>
          <w:szCs w:val="24"/>
        </w:rPr>
        <w:t xml:space="preserve">              </w:t>
      </w:r>
      <w:r w:rsidRPr="00F32575">
        <w:rPr>
          <w:sz w:val="24"/>
          <w:szCs w:val="24"/>
          <w:lang w:val="sv-SE"/>
        </w:rPr>
        <w:t>"</w:t>
      </w:r>
      <w:bookmarkStart w:id="2" w:name="_Hlk143256010"/>
      <w:r w:rsidRPr="00F32575">
        <w:rPr>
          <w:sz w:val="24"/>
          <w:szCs w:val="24"/>
          <w:lang w:val="sv-SE"/>
        </w:rPr>
        <w:t>Farmakoterapeutisk klassifikation</w:t>
      </w:r>
      <w:bookmarkEnd w:id="2"/>
      <w:r w:rsidRPr="00F32575">
        <w:rPr>
          <w:sz w:val="24"/>
          <w:szCs w:val="24"/>
          <w:lang w:val="sv-SE"/>
        </w:rPr>
        <w:t xml:space="preserve">": </w:t>
      </w:r>
      <w:proofErr w:type="spellStart"/>
      <w:r w:rsidRPr="00F32575">
        <w:rPr>
          <w:sz w:val="24"/>
          <w:szCs w:val="24"/>
          <w:lang w:val="sv-SE"/>
        </w:rPr>
        <w:t>Psykoleptika</w:t>
      </w:r>
      <w:proofErr w:type="spellEnd"/>
      <w:r w:rsidRPr="00F32575">
        <w:rPr>
          <w:sz w:val="24"/>
          <w:szCs w:val="24"/>
          <w:lang w:val="sv-SE"/>
        </w:rPr>
        <w:t>,</w:t>
      </w:r>
      <w:r w:rsidRPr="00F32575">
        <w:rPr>
          <w:spacing w:val="-3"/>
          <w:sz w:val="24"/>
          <w:szCs w:val="24"/>
          <w:lang w:val="sv-SE"/>
        </w:rPr>
        <w:t xml:space="preserve"> </w:t>
      </w:r>
      <w:proofErr w:type="spellStart"/>
      <w:r w:rsidRPr="00F32575">
        <w:rPr>
          <w:spacing w:val="-3"/>
          <w:sz w:val="24"/>
          <w:szCs w:val="24"/>
          <w:lang w:val="sv-SE"/>
        </w:rPr>
        <w:t>anxiolytika</w:t>
      </w:r>
      <w:proofErr w:type="spellEnd"/>
      <w:r w:rsidRPr="00F32575">
        <w:rPr>
          <w:spacing w:val="-3"/>
          <w:sz w:val="24"/>
          <w:szCs w:val="24"/>
          <w:lang w:val="sv-SE"/>
        </w:rPr>
        <w:t xml:space="preserve">, </w:t>
      </w:r>
      <w:proofErr w:type="spellStart"/>
      <w:r w:rsidRPr="00F32575">
        <w:rPr>
          <w:spacing w:val="-3"/>
          <w:sz w:val="24"/>
          <w:szCs w:val="24"/>
          <w:lang w:val="sv-SE"/>
        </w:rPr>
        <w:t>diphenylmethanderivat</w:t>
      </w:r>
      <w:proofErr w:type="spellEnd"/>
      <w:r>
        <w:rPr>
          <w:sz w:val="24"/>
          <w:szCs w:val="24"/>
          <w:lang w:val="sv-SE"/>
        </w:rPr>
        <w:t xml:space="preserve">, </w:t>
      </w:r>
      <w:r w:rsidRPr="00F32575">
        <w:rPr>
          <w:sz w:val="24"/>
          <w:szCs w:val="24"/>
          <w:lang w:val="sv-SE"/>
        </w:rPr>
        <w:t>ATC-</w:t>
      </w:r>
      <w:proofErr w:type="spellStart"/>
      <w:r w:rsidRPr="00F32575">
        <w:rPr>
          <w:sz w:val="24"/>
          <w:szCs w:val="24"/>
          <w:lang w:val="sv-SE"/>
        </w:rPr>
        <w:t>kode</w:t>
      </w:r>
      <w:proofErr w:type="spellEnd"/>
      <w:r w:rsidRPr="00F32575">
        <w:rPr>
          <w:sz w:val="24"/>
          <w:szCs w:val="24"/>
          <w:lang w:val="sv-SE"/>
        </w:rPr>
        <w:t xml:space="preserve">: </w:t>
      </w:r>
      <w:r w:rsidRPr="00F32575">
        <w:rPr>
          <w:color w:val="000000"/>
          <w:sz w:val="24"/>
          <w:szCs w:val="24"/>
          <w:lang w:val="sv-SE"/>
        </w:rPr>
        <w:t>N 05 BB 01.</w:t>
      </w:r>
    </w:p>
    <w:p w:rsidR="00F32575" w:rsidRDefault="00F32575" w:rsidP="00F32575">
      <w:pPr>
        <w:autoSpaceDE w:val="0"/>
        <w:autoSpaceDN w:val="0"/>
        <w:adjustRightInd w:val="0"/>
        <w:ind w:left="851"/>
        <w:rPr>
          <w:color w:val="000000"/>
          <w:sz w:val="24"/>
          <w:szCs w:val="24"/>
        </w:rPr>
      </w:pPr>
      <w:r>
        <w:rPr>
          <w:color w:val="000000"/>
          <w:sz w:val="24"/>
          <w:szCs w:val="24"/>
        </w:rPr>
        <w:t xml:space="preserve">Det aktive stof, </w:t>
      </w:r>
      <w:proofErr w:type="spellStart"/>
      <w:r>
        <w:rPr>
          <w:color w:val="000000"/>
          <w:sz w:val="24"/>
          <w:szCs w:val="24"/>
        </w:rPr>
        <w:t>hydroxyzinhydrochlorid</w:t>
      </w:r>
      <w:proofErr w:type="spellEnd"/>
      <w:r>
        <w:rPr>
          <w:color w:val="000000"/>
          <w:sz w:val="24"/>
          <w:szCs w:val="24"/>
        </w:rPr>
        <w:t xml:space="preserve">, er et </w:t>
      </w:r>
      <w:proofErr w:type="spellStart"/>
      <w:r>
        <w:rPr>
          <w:spacing w:val="-3"/>
          <w:sz w:val="24"/>
          <w:szCs w:val="24"/>
        </w:rPr>
        <w:t>diphenylmethanderivat</w:t>
      </w:r>
      <w:proofErr w:type="spellEnd"/>
      <w:r>
        <w:rPr>
          <w:color w:val="000000"/>
          <w:sz w:val="24"/>
          <w:szCs w:val="24"/>
        </w:rPr>
        <w:t xml:space="preserve">, som tilhører den samme kemiske gruppe som </w:t>
      </w:r>
      <w:proofErr w:type="spellStart"/>
      <w:r>
        <w:rPr>
          <w:color w:val="000000"/>
          <w:sz w:val="24"/>
          <w:szCs w:val="24"/>
        </w:rPr>
        <w:t>phenothiaziner</w:t>
      </w:r>
      <w:proofErr w:type="spellEnd"/>
      <w:r>
        <w:rPr>
          <w:color w:val="000000"/>
          <w:sz w:val="24"/>
          <w:szCs w:val="24"/>
        </w:rPr>
        <w:t xml:space="preserve">, </w:t>
      </w:r>
      <w:proofErr w:type="spellStart"/>
      <w:r>
        <w:rPr>
          <w:color w:val="000000"/>
          <w:sz w:val="24"/>
          <w:szCs w:val="24"/>
        </w:rPr>
        <w:t>reserpin</w:t>
      </w:r>
      <w:proofErr w:type="spellEnd"/>
      <w:r>
        <w:rPr>
          <w:color w:val="000000"/>
          <w:sz w:val="24"/>
          <w:szCs w:val="24"/>
        </w:rPr>
        <w:t xml:space="preserve">, </w:t>
      </w:r>
      <w:proofErr w:type="spellStart"/>
      <w:r>
        <w:rPr>
          <w:color w:val="000000"/>
          <w:sz w:val="24"/>
          <w:szCs w:val="24"/>
        </w:rPr>
        <w:t>meprobamat</w:t>
      </w:r>
      <w:proofErr w:type="spellEnd"/>
      <w:r>
        <w:rPr>
          <w:color w:val="000000"/>
          <w:sz w:val="24"/>
          <w:szCs w:val="24"/>
        </w:rPr>
        <w:t xml:space="preserve"> og benzodiazepiner. </w:t>
      </w:r>
    </w:p>
    <w:p w:rsidR="00F32575" w:rsidRDefault="00F32575" w:rsidP="00F32575">
      <w:pPr>
        <w:autoSpaceDE w:val="0"/>
        <w:autoSpaceDN w:val="0"/>
        <w:adjustRightInd w:val="0"/>
        <w:ind w:left="851"/>
        <w:rPr>
          <w:color w:val="000000"/>
          <w:sz w:val="24"/>
          <w:szCs w:val="24"/>
        </w:rPr>
      </w:pPr>
    </w:p>
    <w:p w:rsidR="00F32575" w:rsidRDefault="00F32575" w:rsidP="00F32575">
      <w:pPr>
        <w:suppressAutoHyphens/>
        <w:ind w:left="851"/>
        <w:rPr>
          <w:bCs/>
          <w:iCs/>
          <w:sz w:val="24"/>
          <w:szCs w:val="24"/>
          <w:u w:val="single"/>
        </w:rPr>
      </w:pPr>
      <w:r>
        <w:rPr>
          <w:bCs/>
          <w:iCs/>
          <w:sz w:val="24"/>
          <w:szCs w:val="24"/>
          <w:u w:val="single"/>
        </w:rPr>
        <w:t>Virkningsmekanisme</w:t>
      </w:r>
    </w:p>
    <w:p w:rsidR="00F32575" w:rsidRDefault="00F32575" w:rsidP="00F32575">
      <w:pPr>
        <w:autoSpaceDE w:val="0"/>
        <w:autoSpaceDN w:val="0"/>
        <w:adjustRightInd w:val="0"/>
        <w:ind w:left="851"/>
        <w:rPr>
          <w:color w:val="000000"/>
          <w:sz w:val="24"/>
          <w:szCs w:val="24"/>
        </w:rPr>
      </w:pPr>
      <w:proofErr w:type="spellStart"/>
      <w:r>
        <w:rPr>
          <w:color w:val="000000"/>
          <w:sz w:val="24"/>
          <w:szCs w:val="24"/>
        </w:rPr>
        <w:t>Hydroxyzinhydrochlorid</w:t>
      </w:r>
      <w:proofErr w:type="spellEnd"/>
      <w:r>
        <w:rPr>
          <w:color w:val="000000"/>
          <w:sz w:val="24"/>
          <w:szCs w:val="24"/>
        </w:rPr>
        <w:t xml:space="preserve"> har ikke </w:t>
      </w:r>
      <w:proofErr w:type="spellStart"/>
      <w:r>
        <w:rPr>
          <w:color w:val="000000"/>
          <w:sz w:val="24"/>
          <w:szCs w:val="24"/>
        </w:rPr>
        <w:t>kortikal</w:t>
      </w:r>
      <w:proofErr w:type="spellEnd"/>
      <w:r>
        <w:rPr>
          <w:color w:val="000000"/>
          <w:sz w:val="24"/>
          <w:szCs w:val="24"/>
        </w:rPr>
        <w:t xml:space="preserve">-hæmmende egenskaber, men dets virkning kan skyldes CNS-depression af aktiviteten i visse væsentlige </w:t>
      </w:r>
      <w:proofErr w:type="spellStart"/>
      <w:r>
        <w:rPr>
          <w:color w:val="000000"/>
          <w:sz w:val="24"/>
          <w:szCs w:val="24"/>
        </w:rPr>
        <w:t>subkortikale</w:t>
      </w:r>
      <w:proofErr w:type="spellEnd"/>
      <w:r>
        <w:rPr>
          <w:color w:val="000000"/>
          <w:sz w:val="24"/>
          <w:szCs w:val="24"/>
        </w:rPr>
        <w:t xml:space="preserve"> områder. </w:t>
      </w:r>
    </w:p>
    <w:p w:rsidR="00F32575" w:rsidRDefault="00F32575" w:rsidP="00F32575">
      <w:pPr>
        <w:autoSpaceDE w:val="0"/>
        <w:autoSpaceDN w:val="0"/>
        <w:adjustRightInd w:val="0"/>
        <w:ind w:left="851"/>
        <w:rPr>
          <w:color w:val="000000"/>
          <w:sz w:val="24"/>
          <w:szCs w:val="24"/>
        </w:rPr>
      </w:pPr>
    </w:p>
    <w:p w:rsidR="00F32575" w:rsidRDefault="00F32575" w:rsidP="00F32575">
      <w:pPr>
        <w:autoSpaceDE w:val="0"/>
        <w:autoSpaceDN w:val="0"/>
        <w:adjustRightInd w:val="0"/>
        <w:ind w:left="851"/>
        <w:rPr>
          <w:iCs/>
          <w:color w:val="000000"/>
          <w:sz w:val="24"/>
          <w:szCs w:val="24"/>
          <w:u w:val="single"/>
        </w:rPr>
      </w:pPr>
      <w:proofErr w:type="spellStart"/>
      <w:r>
        <w:rPr>
          <w:iCs/>
          <w:color w:val="000000"/>
          <w:sz w:val="24"/>
          <w:szCs w:val="24"/>
          <w:u w:val="single"/>
        </w:rPr>
        <w:t>Farmakodynamisk</w:t>
      </w:r>
      <w:proofErr w:type="spellEnd"/>
      <w:r>
        <w:rPr>
          <w:iCs/>
          <w:color w:val="000000"/>
          <w:sz w:val="24"/>
          <w:szCs w:val="24"/>
          <w:u w:val="single"/>
        </w:rPr>
        <w:t xml:space="preserve"> virkning, klinisk virkning og sikkerhed</w:t>
      </w:r>
    </w:p>
    <w:p w:rsidR="00F32575" w:rsidRDefault="00F32575" w:rsidP="00F32575">
      <w:pPr>
        <w:autoSpaceDE w:val="0"/>
        <w:autoSpaceDN w:val="0"/>
        <w:adjustRightInd w:val="0"/>
        <w:ind w:left="851"/>
        <w:rPr>
          <w:color w:val="000000"/>
          <w:sz w:val="24"/>
          <w:szCs w:val="24"/>
        </w:rPr>
      </w:pPr>
      <w:proofErr w:type="spellStart"/>
      <w:r>
        <w:rPr>
          <w:color w:val="000000"/>
          <w:sz w:val="24"/>
          <w:szCs w:val="24"/>
        </w:rPr>
        <w:lastRenderedPageBreak/>
        <w:t>Hydroxyzinhydrochlorid</w:t>
      </w:r>
      <w:proofErr w:type="spellEnd"/>
      <w:r>
        <w:rPr>
          <w:color w:val="000000"/>
          <w:sz w:val="24"/>
          <w:szCs w:val="24"/>
        </w:rPr>
        <w:t xml:space="preserve"> er eksperimentelt fundet at have </w:t>
      </w:r>
      <w:proofErr w:type="spellStart"/>
      <w:r>
        <w:rPr>
          <w:color w:val="000000"/>
          <w:sz w:val="24"/>
          <w:szCs w:val="24"/>
        </w:rPr>
        <w:t>antihistaminerg</w:t>
      </w:r>
      <w:proofErr w:type="spellEnd"/>
      <w:r>
        <w:rPr>
          <w:color w:val="000000"/>
          <w:sz w:val="24"/>
          <w:szCs w:val="24"/>
        </w:rPr>
        <w:t xml:space="preserve"> og </w:t>
      </w:r>
      <w:proofErr w:type="spellStart"/>
      <w:r>
        <w:rPr>
          <w:color w:val="000000"/>
          <w:sz w:val="24"/>
          <w:szCs w:val="24"/>
        </w:rPr>
        <w:t>bronkodilaterende</w:t>
      </w:r>
      <w:proofErr w:type="spellEnd"/>
      <w:r>
        <w:rPr>
          <w:color w:val="000000"/>
          <w:sz w:val="24"/>
          <w:szCs w:val="24"/>
        </w:rPr>
        <w:t xml:space="preserve"> effekt, og denne effekt er klinisk dokumenteret. Derudover er der vist </w:t>
      </w:r>
      <w:proofErr w:type="spellStart"/>
      <w:r>
        <w:rPr>
          <w:color w:val="000000"/>
          <w:sz w:val="24"/>
          <w:szCs w:val="24"/>
        </w:rPr>
        <w:t>antiemetisk</w:t>
      </w:r>
      <w:proofErr w:type="spellEnd"/>
      <w:r>
        <w:rPr>
          <w:color w:val="000000"/>
          <w:sz w:val="24"/>
          <w:szCs w:val="24"/>
        </w:rPr>
        <w:t xml:space="preserve"> effekt i både </w:t>
      </w:r>
      <w:proofErr w:type="spellStart"/>
      <w:r>
        <w:rPr>
          <w:color w:val="000000"/>
          <w:sz w:val="24"/>
          <w:szCs w:val="24"/>
        </w:rPr>
        <w:t>apomorphin</w:t>
      </w:r>
      <w:proofErr w:type="spellEnd"/>
      <w:r>
        <w:rPr>
          <w:color w:val="000000"/>
          <w:sz w:val="24"/>
          <w:szCs w:val="24"/>
        </w:rPr>
        <w:t xml:space="preserve">-test og </w:t>
      </w:r>
      <w:proofErr w:type="spellStart"/>
      <w:r>
        <w:rPr>
          <w:color w:val="000000"/>
          <w:sz w:val="24"/>
          <w:szCs w:val="24"/>
        </w:rPr>
        <w:t>veriloid</w:t>
      </w:r>
      <w:proofErr w:type="spellEnd"/>
      <w:r>
        <w:rPr>
          <w:color w:val="000000"/>
          <w:sz w:val="24"/>
          <w:szCs w:val="24"/>
        </w:rPr>
        <w:t xml:space="preserve">-test. Farmakologiske og kliniske studier viser, at </w:t>
      </w:r>
      <w:proofErr w:type="spellStart"/>
      <w:r>
        <w:rPr>
          <w:color w:val="000000"/>
          <w:sz w:val="24"/>
          <w:szCs w:val="24"/>
        </w:rPr>
        <w:t>hydroxyzinhydrochlorid</w:t>
      </w:r>
      <w:proofErr w:type="spellEnd"/>
      <w:r>
        <w:rPr>
          <w:color w:val="000000"/>
          <w:sz w:val="24"/>
          <w:szCs w:val="24"/>
        </w:rPr>
        <w:t xml:space="preserve"> ved terapeutiske doser ikke øger gastrisk sekretion eller surhedsgrad, men at det i de fleste tilfælde har en mild syresekretionshæmmende effekt. Nældefeber og rødme hos raske frivillige voksne og børn er vist at mindskes, når </w:t>
      </w:r>
      <w:proofErr w:type="spellStart"/>
      <w:r>
        <w:rPr>
          <w:color w:val="000000"/>
          <w:sz w:val="24"/>
          <w:szCs w:val="24"/>
        </w:rPr>
        <w:t>histaminer</w:t>
      </w:r>
      <w:proofErr w:type="spellEnd"/>
      <w:r>
        <w:rPr>
          <w:color w:val="000000"/>
          <w:sz w:val="24"/>
          <w:szCs w:val="24"/>
        </w:rPr>
        <w:t xml:space="preserve"> eller antigener injiceres i huden første gang. </w:t>
      </w:r>
      <w:proofErr w:type="spellStart"/>
      <w:r>
        <w:rPr>
          <w:color w:val="000000"/>
          <w:sz w:val="24"/>
          <w:szCs w:val="24"/>
        </w:rPr>
        <w:t>Hydroxyzinhydrochlorid</w:t>
      </w:r>
      <w:proofErr w:type="spellEnd"/>
      <w:r>
        <w:rPr>
          <w:color w:val="000000"/>
          <w:sz w:val="24"/>
          <w:szCs w:val="24"/>
        </w:rPr>
        <w:t xml:space="preserve"> har ligeledes vist sig at være effektiv til at reducere kløe ved flere typer </w:t>
      </w:r>
      <w:proofErr w:type="spellStart"/>
      <w:r>
        <w:rPr>
          <w:color w:val="000000"/>
          <w:sz w:val="24"/>
          <w:szCs w:val="24"/>
        </w:rPr>
        <w:t>urticaria</w:t>
      </w:r>
      <w:proofErr w:type="spellEnd"/>
      <w:r>
        <w:rPr>
          <w:color w:val="000000"/>
          <w:sz w:val="24"/>
          <w:szCs w:val="24"/>
        </w:rPr>
        <w:t xml:space="preserve">, eksem og </w:t>
      </w:r>
      <w:proofErr w:type="spellStart"/>
      <w:r>
        <w:rPr>
          <w:color w:val="000000"/>
          <w:sz w:val="24"/>
          <w:szCs w:val="24"/>
        </w:rPr>
        <w:t>dermatitis</w:t>
      </w:r>
      <w:proofErr w:type="spellEnd"/>
      <w:r>
        <w:rPr>
          <w:color w:val="000000"/>
          <w:sz w:val="24"/>
          <w:szCs w:val="24"/>
        </w:rPr>
        <w:t xml:space="preserve">. </w:t>
      </w:r>
    </w:p>
    <w:p w:rsidR="00F32575" w:rsidRDefault="00F32575" w:rsidP="00F32575">
      <w:pPr>
        <w:autoSpaceDE w:val="0"/>
        <w:autoSpaceDN w:val="0"/>
        <w:adjustRightInd w:val="0"/>
        <w:ind w:left="851"/>
        <w:rPr>
          <w:color w:val="000000"/>
          <w:sz w:val="24"/>
          <w:szCs w:val="24"/>
        </w:rPr>
      </w:pPr>
    </w:p>
    <w:p w:rsidR="00F32575" w:rsidRDefault="00F32575" w:rsidP="00F32575">
      <w:pPr>
        <w:autoSpaceDE w:val="0"/>
        <w:autoSpaceDN w:val="0"/>
        <w:adjustRightInd w:val="0"/>
        <w:ind w:left="851"/>
        <w:rPr>
          <w:color w:val="000000"/>
          <w:sz w:val="24"/>
          <w:szCs w:val="24"/>
        </w:rPr>
      </w:pPr>
      <w:r>
        <w:rPr>
          <w:color w:val="000000"/>
          <w:sz w:val="24"/>
          <w:szCs w:val="24"/>
        </w:rPr>
        <w:t xml:space="preserve">I tilfælde af leversvigt, kan effekten af en dosis antihistamin vare op til 96 timer efter administration. </w:t>
      </w:r>
    </w:p>
    <w:p w:rsidR="00F32575" w:rsidRDefault="00F32575" w:rsidP="00F32575">
      <w:pPr>
        <w:autoSpaceDE w:val="0"/>
        <w:autoSpaceDN w:val="0"/>
        <w:adjustRightInd w:val="0"/>
        <w:ind w:left="851"/>
        <w:rPr>
          <w:color w:val="000000"/>
          <w:sz w:val="24"/>
          <w:szCs w:val="24"/>
        </w:rPr>
      </w:pPr>
    </w:p>
    <w:p w:rsidR="00F32575" w:rsidRDefault="00F32575" w:rsidP="00F32575">
      <w:pPr>
        <w:ind w:left="851" w:right="-171"/>
        <w:rPr>
          <w:color w:val="000000"/>
          <w:sz w:val="24"/>
          <w:szCs w:val="24"/>
        </w:rPr>
      </w:pPr>
      <w:r>
        <w:rPr>
          <w:color w:val="000000"/>
          <w:sz w:val="24"/>
          <w:szCs w:val="24"/>
        </w:rPr>
        <w:t xml:space="preserve">EEG-studier udført med raske frivillige viste, at lægemidlet har an </w:t>
      </w:r>
      <w:proofErr w:type="spellStart"/>
      <w:r>
        <w:rPr>
          <w:color w:val="000000"/>
          <w:sz w:val="24"/>
          <w:szCs w:val="24"/>
        </w:rPr>
        <w:t>anxiolytisk</w:t>
      </w:r>
      <w:proofErr w:type="spellEnd"/>
      <w:r>
        <w:rPr>
          <w:color w:val="000000"/>
          <w:sz w:val="24"/>
          <w:szCs w:val="24"/>
        </w:rPr>
        <w:t xml:space="preserve">-sedativ profil. Den </w:t>
      </w:r>
      <w:proofErr w:type="spellStart"/>
      <w:r>
        <w:rPr>
          <w:color w:val="000000"/>
          <w:sz w:val="24"/>
          <w:szCs w:val="24"/>
        </w:rPr>
        <w:t>anxiolytiske</w:t>
      </w:r>
      <w:proofErr w:type="spellEnd"/>
      <w:r>
        <w:rPr>
          <w:color w:val="000000"/>
          <w:sz w:val="24"/>
          <w:szCs w:val="24"/>
        </w:rPr>
        <w:t xml:space="preserve"> effekt blev bekræftet ved flere klassiske </w:t>
      </w:r>
      <w:proofErr w:type="spellStart"/>
      <w:r>
        <w:rPr>
          <w:color w:val="000000"/>
          <w:sz w:val="24"/>
          <w:szCs w:val="24"/>
        </w:rPr>
        <w:t>psykometriske</w:t>
      </w:r>
      <w:proofErr w:type="spellEnd"/>
      <w:r>
        <w:rPr>
          <w:color w:val="000000"/>
          <w:sz w:val="24"/>
          <w:szCs w:val="24"/>
        </w:rPr>
        <w:t xml:space="preserve"> tests. I polygrafiske søvnstudier med patienter med angst og </w:t>
      </w:r>
      <w:proofErr w:type="spellStart"/>
      <w:r>
        <w:rPr>
          <w:color w:val="000000"/>
          <w:sz w:val="24"/>
          <w:szCs w:val="24"/>
        </w:rPr>
        <w:t>insomni</w:t>
      </w:r>
      <w:proofErr w:type="spellEnd"/>
      <w:r>
        <w:rPr>
          <w:color w:val="000000"/>
          <w:sz w:val="24"/>
          <w:szCs w:val="24"/>
        </w:rPr>
        <w:t xml:space="preserve"> blev det observeret, at den totale søvnperiode blev øget, den totale tid for natlige opvågninger blev reduceret og tiden til indslumring blev reduceret efter både en enkeltdosis på 50 mg og ved gentagen dosering. Muskelspændinger mindskedes hos angste patienter ved en daglig dosis på 3 x 50 mg.</w:t>
      </w:r>
    </w:p>
    <w:p w:rsidR="00F32575" w:rsidRDefault="00F32575" w:rsidP="00F32575">
      <w:pPr>
        <w:autoSpaceDE w:val="0"/>
        <w:autoSpaceDN w:val="0"/>
        <w:adjustRightInd w:val="0"/>
        <w:ind w:left="851"/>
        <w:rPr>
          <w:color w:val="000000"/>
          <w:sz w:val="24"/>
          <w:szCs w:val="24"/>
        </w:rPr>
      </w:pPr>
      <w:r>
        <w:rPr>
          <w:color w:val="000000"/>
          <w:sz w:val="24"/>
          <w:szCs w:val="24"/>
        </w:rPr>
        <w:t xml:space="preserve">Der blev ikke observeret hukommelsesforstyrrelser. Efter 4 ugers behandling viste patienter med angst ingen </w:t>
      </w:r>
      <w:proofErr w:type="spellStart"/>
      <w:r>
        <w:rPr>
          <w:color w:val="000000"/>
          <w:sz w:val="24"/>
          <w:szCs w:val="24"/>
        </w:rPr>
        <w:t>seponeringssymptomer</w:t>
      </w:r>
      <w:proofErr w:type="spellEnd"/>
      <w:r>
        <w:rPr>
          <w:color w:val="000000"/>
          <w:sz w:val="24"/>
          <w:szCs w:val="24"/>
        </w:rPr>
        <w:t xml:space="preserve">. </w:t>
      </w:r>
    </w:p>
    <w:p w:rsidR="00F32575" w:rsidRDefault="00F32575" w:rsidP="00F32575">
      <w:pPr>
        <w:suppressAutoHyphens/>
        <w:ind w:left="851"/>
        <w:rPr>
          <w:bCs/>
          <w:i/>
          <w:sz w:val="24"/>
          <w:szCs w:val="24"/>
        </w:rPr>
      </w:pPr>
    </w:p>
    <w:p w:rsidR="00F32575" w:rsidRDefault="00F32575" w:rsidP="00F32575">
      <w:pPr>
        <w:suppressAutoHyphens/>
        <w:ind w:left="851"/>
        <w:rPr>
          <w:bCs/>
          <w:iCs/>
          <w:sz w:val="24"/>
          <w:szCs w:val="24"/>
          <w:u w:val="single"/>
        </w:rPr>
      </w:pPr>
      <w:r>
        <w:rPr>
          <w:bCs/>
          <w:iCs/>
          <w:sz w:val="24"/>
          <w:szCs w:val="24"/>
          <w:u w:val="single"/>
        </w:rPr>
        <w:t>Indtræden af virkning</w:t>
      </w:r>
    </w:p>
    <w:p w:rsidR="00F32575" w:rsidRDefault="00F32575" w:rsidP="00F32575">
      <w:pPr>
        <w:autoSpaceDE w:val="0"/>
        <w:autoSpaceDN w:val="0"/>
        <w:adjustRightInd w:val="0"/>
        <w:ind w:left="851"/>
        <w:rPr>
          <w:color w:val="000000"/>
          <w:sz w:val="24"/>
          <w:szCs w:val="24"/>
        </w:rPr>
      </w:pPr>
      <w:r>
        <w:rPr>
          <w:color w:val="000000"/>
          <w:sz w:val="24"/>
          <w:szCs w:val="24"/>
        </w:rPr>
        <w:t xml:space="preserve">Den </w:t>
      </w:r>
      <w:proofErr w:type="spellStart"/>
      <w:r>
        <w:rPr>
          <w:color w:val="000000"/>
          <w:sz w:val="24"/>
          <w:szCs w:val="24"/>
        </w:rPr>
        <w:t>antihistaminerge</w:t>
      </w:r>
      <w:proofErr w:type="spellEnd"/>
      <w:r>
        <w:rPr>
          <w:color w:val="000000"/>
          <w:sz w:val="24"/>
          <w:szCs w:val="24"/>
        </w:rPr>
        <w:t xml:space="preserve"> virkning indtræder ca. 1 time efter en oral dosis. Den sedative virkning indtræder 30-45 minutter efter tabletten er indtaget. </w:t>
      </w:r>
      <w:proofErr w:type="spellStart"/>
      <w:r>
        <w:rPr>
          <w:color w:val="000000"/>
          <w:sz w:val="24"/>
          <w:szCs w:val="24"/>
        </w:rPr>
        <w:t>Hydroxyzinhydrochlorid</w:t>
      </w:r>
      <w:proofErr w:type="spellEnd"/>
      <w:r>
        <w:rPr>
          <w:color w:val="000000"/>
          <w:sz w:val="24"/>
          <w:szCs w:val="24"/>
        </w:rPr>
        <w:t xml:space="preserve"> udviser også </w:t>
      </w:r>
      <w:proofErr w:type="spellStart"/>
      <w:r>
        <w:rPr>
          <w:color w:val="000000"/>
          <w:sz w:val="24"/>
          <w:szCs w:val="24"/>
        </w:rPr>
        <w:t>sympatolytisk</w:t>
      </w:r>
      <w:proofErr w:type="spellEnd"/>
      <w:r>
        <w:rPr>
          <w:color w:val="000000"/>
          <w:sz w:val="24"/>
          <w:szCs w:val="24"/>
        </w:rPr>
        <w:t xml:space="preserve"> og </w:t>
      </w:r>
      <w:proofErr w:type="spellStart"/>
      <w:r>
        <w:rPr>
          <w:color w:val="000000"/>
          <w:sz w:val="24"/>
          <w:szCs w:val="24"/>
        </w:rPr>
        <w:t>spasmolytisk</w:t>
      </w:r>
      <w:proofErr w:type="spellEnd"/>
      <w:r>
        <w:rPr>
          <w:color w:val="000000"/>
          <w:sz w:val="24"/>
          <w:szCs w:val="24"/>
        </w:rPr>
        <w:t xml:space="preserve"> virkning. Dets </w:t>
      </w:r>
      <w:r>
        <w:rPr>
          <w:sz w:val="24"/>
          <w:szCs w:val="24"/>
        </w:rPr>
        <w:t xml:space="preserve">affinitet for </w:t>
      </w:r>
      <w:proofErr w:type="spellStart"/>
      <w:r>
        <w:rPr>
          <w:sz w:val="24"/>
          <w:szCs w:val="24"/>
        </w:rPr>
        <w:t>muscarine</w:t>
      </w:r>
      <w:proofErr w:type="spellEnd"/>
      <w:r>
        <w:rPr>
          <w:sz w:val="24"/>
          <w:szCs w:val="24"/>
        </w:rPr>
        <w:t xml:space="preserve"> receptorer er lav.</w:t>
      </w:r>
      <w:r>
        <w:rPr>
          <w:color w:val="000000"/>
          <w:sz w:val="24"/>
          <w:szCs w:val="24"/>
        </w:rPr>
        <w:t xml:space="preserve"> </w:t>
      </w:r>
      <w:proofErr w:type="spellStart"/>
      <w:r>
        <w:rPr>
          <w:color w:val="000000"/>
          <w:sz w:val="24"/>
          <w:szCs w:val="24"/>
        </w:rPr>
        <w:t>Hydroxyzinhydrochlorid</w:t>
      </w:r>
      <w:proofErr w:type="spellEnd"/>
      <w:r>
        <w:rPr>
          <w:color w:val="000000"/>
          <w:sz w:val="24"/>
          <w:szCs w:val="24"/>
        </w:rPr>
        <w:t xml:space="preserve"> har lav </w:t>
      </w:r>
      <w:r>
        <w:rPr>
          <w:sz w:val="24"/>
          <w:szCs w:val="24"/>
        </w:rPr>
        <w:t>analgetisk virkning</w:t>
      </w:r>
      <w:r>
        <w:rPr>
          <w:color w:val="000000"/>
          <w:sz w:val="24"/>
          <w:szCs w:val="24"/>
        </w:rPr>
        <w:t xml:space="preserve">. </w:t>
      </w:r>
    </w:p>
    <w:p w:rsidR="00F32575" w:rsidRDefault="00F32575" w:rsidP="00F32575">
      <w:pPr>
        <w:suppressAutoHyphens/>
        <w:ind w:left="851"/>
        <w:rPr>
          <w:bCs/>
          <w:i/>
          <w:sz w:val="24"/>
          <w:szCs w:val="24"/>
        </w:rPr>
      </w:pPr>
    </w:p>
    <w:p w:rsidR="00F32575" w:rsidRDefault="00F32575" w:rsidP="00F32575">
      <w:pPr>
        <w:suppressAutoHyphens/>
        <w:ind w:left="851"/>
        <w:rPr>
          <w:bCs/>
          <w:iCs/>
          <w:sz w:val="24"/>
          <w:szCs w:val="24"/>
          <w:u w:val="single"/>
        </w:rPr>
      </w:pPr>
      <w:r>
        <w:rPr>
          <w:bCs/>
          <w:iCs/>
          <w:sz w:val="24"/>
          <w:szCs w:val="24"/>
          <w:u w:val="single"/>
        </w:rPr>
        <w:t>Pædiatrisk population</w:t>
      </w:r>
    </w:p>
    <w:p w:rsidR="00F32575" w:rsidRDefault="00F32575" w:rsidP="00F32575">
      <w:pPr>
        <w:ind w:left="851" w:right="-171"/>
        <w:rPr>
          <w:sz w:val="24"/>
          <w:szCs w:val="24"/>
        </w:rPr>
      </w:pPr>
      <w:proofErr w:type="spellStart"/>
      <w:r>
        <w:rPr>
          <w:color w:val="000000"/>
          <w:sz w:val="24"/>
          <w:szCs w:val="24"/>
        </w:rPr>
        <w:t>Hydroxyzinhydrochlorids</w:t>
      </w:r>
      <w:proofErr w:type="spellEnd"/>
      <w:r>
        <w:rPr>
          <w:color w:val="000000"/>
          <w:sz w:val="24"/>
          <w:szCs w:val="24"/>
        </w:rPr>
        <w:t xml:space="preserve"> farmakokinetik og antikløende effekt blev undersøgt hos 12 børn (gennemsnitsalder 6,1 ± 4,6 år) med svær </w:t>
      </w:r>
      <w:proofErr w:type="spellStart"/>
      <w:r>
        <w:rPr>
          <w:color w:val="000000"/>
          <w:sz w:val="24"/>
          <w:szCs w:val="24"/>
        </w:rPr>
        <w:t>atopisk</w:t>
      </w:r>
      <w:proofErr w:type="spellEnd"/>
      <w:r>
        <w:rPr>
          <w:color w:val="000000"/>
          <w:sz w:val="24"/>
          <w:szCs w:val="24"/>
        </w:rPr>
        <w:t xml:space="preserve"> </w:t>
      </w:r>
      <w:proofErr w:type="spellStart"/>
      <w:r>
        <w:rPr>
          <w:color w:val="000000"/>
          <w:sz w:val="24"/>
          <w:szCs w:val="24"/>
        </w:rPr>
        <w:t>dermatitis</w:t>
      </w:r>
      <w:proofErr w:type="spellEnd"/>
      <w:r>
        <w:rPr>
          <w:color w:val="000000"/>
          <w:sz w:val="24"/>
          <w:szCs w:val="24"/>
        </w:rPr>
        <w:t>, som hver fik en enkelt oral dosis på 0,7 mg/kg. Resultatet var s</w:t>
      </w:r>
      <w:r>
        <w:rPr>
          <w:sz w:val="24"/>
          <w:szCs w:val="24"/>
        </w:rPr>
        <w:t>ignifikant suppression</w:t>
      </w:r>
      <w:r>
        <w:rPr>
          <w:color w:val="000000"/>
          <w:sz w:val="24"/>
          <w:szCs w:val="24"/>
        </w:rPr>
        <w:t xml:space="preserve"> af </w:t>
      </w:r>
      <w:proofErr w:type="spellStart"/>
      <w:r>
        <w:rPr>
          <w:color w:val="000000"/>
          <w:sz w:val="24"/>
          <w:szCs w:val="24"/>
        </w:rPr>
        <w:t>pruritus</w:t>
      </w:r>
      <w:proofErr w:type="spellEnd"/>
      <w:r>
        <w:rPr>
          <w:color w:val="000000"/>
          <w:sz w:val="24"/>
          <w:szCs w:val="24"/>
        </w:rPr>
        <w:t xml:space="preserve"> i 1-24 timer efter dosisadministration med mere end 85 % suppression i 2-12 timer. Den potente antikløende virkning vedvarer selv ved lave serumkoncentrationer af det aktive stof (kun 10% af det opnåede maksimale niveau). Hos børn synes </w:t>
      </w:r>
      <w:proofErr w:type="spellStart"/>
      <w:r>
        <w:rPr>
          <w:color w:val="000000"/>
          <w:sz w:val="24"/>
          <w:szCs w:val="24"/>
        </w:rPr>
        <w:t>hydroxyzinhydrochlorids</w:t>
      </w:r>
      <w:proofErr w:type="spellEnd"/>
      <w:r>
        <w:rPr>
          <w:color w:val="000000"/>
          <w:sz w:val="24"/>
          <w:szCs w:val="24"/>
        </w:rPr>
        <w:t xml:space="preserve"> biologiske effekt at være meget mere længerevarende i forhold til, hvad der kunne forventes ud fra halveringstiden.</w:t>
      </w:r>
    </w:p>
    <w:p w:rsidR="00F32575" w:rsidRDefault="00F32575" w:rsidP="00F32575">
      <w:pPr>
        <w:ind w:left="851" w:hanging="851"/>
        <w:rPr>
          <w:sz w:val="24"/>
          <w:szCs w:val="24"/>
        </w:rPr>
      </w:pPr>
    </w:p>
    <w:p w:rsidR="00F32575" w:rsidRDefault="00F32575" w:rsidP="00F32575">
      <w:pPr>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F32575" w:rsidRDefault="00F32575" w:rsidP="00F32575">
      <w:pPr>
        <w:ind w:left="851"/>
        <w:rPr>
          <w:sz w:val="24"/>
          <w:szCs w:val="24"/>
          <w:u w:val="single"/>
        </w:rPr>
      </w:pPr>
      <w:r>
        <w:rPr>
          <w:sz w:val="24"/>
          <w:szCs w:val="24"/>
          <w:u w:val="single"/>
        </w:rPr>
        <w:t>Absorption</w:t>
      </w:r>
    </w:p>
    <w:p w:rsidR="00F32575" w:rsidRDefault="00F32575" w:rsidP="00F32575">
      <w:pPr>
        <w:numPr>
          <w:ilvl w:val="12"/>
          <w:numId w:val="0"/>
        </w:numPr>
        <w:ind w:left="851" w:right="-171"/>
        <w:rPr>
          <w:sz w:val="24"/>
          <w:szCs w:val="24"/>
        </w:rPr>
      </w:pPr>
      <w:proofErr w:type="spellStart"/>
      <w:r>
        <w:rPr>
          <w:sz w:val="24"/>
          <w:szCs w:val="24"/>
        </w:rPr>
        <w:t>Hydroxyzinhydrochlorid</w:t>
      </w:r>
      <w:proofErr w:type="spellEnd"/>
      <w:r>
        <w:rPr>
          <w:sz w:val="24"/>
          <w:szCs w:val="24"/>
        </w:rPr>
        <w:t xml:space="preserve"> absorberes hurtigt fra mave-tarm-kanalen. Maksimal plasmakoncentration (</w:t>
      </w:r>
      <w:proofErr w:type="spellStart"/>
      <w:r>
        <w:rPr>
          <w:sz w:val="24"/>
          <w:szCs w:val="24"/>
        </w:rPr>
        <w:t>C</w:t>
      </w:r>
      <w:r>
        <w:rPr>
          <w:sz w:val="24"/>
          <w:szCs w:val="24"/>
          <w:vertAlign w:val="subscript"/>
        </w:rPr>
        <w:t>max</w:t>
      </w:r>
      <w:proofErr w:type="spellEnd"/>
      <w:r>
        <w:rPr>
          <w:sz w:val="24"/>
          <w:szCs w:val="24"/>
        </w:rPr>
        <w:t>) opnås efter ca. 2 timer (</w:t>
      </w:r>
      <w:proofErr w:type="spellStart"/>
      <w:r>
        <w:rPr>
          <w:sz w:val="24"/>
          <w:szCs w:val="24"/>
        </w:rPr>
        <w:t>t</w:t>
      </w:r>
      <w:r>
        <w:rPr>
          <w:sz w:val="24"/>
          <w:szCs w:val="24"/>
          <w:vertAlign w:val="subscript"/>
        </w:rPr>
        <w:t>max</w:t>
      </w:r>
      <w:proofErr w:type="spellEnd"/>
      <w:r>
        <w:rPr>
          <w:sz w:val="24"/>
          <w:szCs w:val="24"/>
        </w:rPr>
        <w:t xml:space="preserve">) efter oral administration. Efter enkeltdoser på 25 mg og 50 mg til voksne er </w:t>
      </w:r>
      <w:proofErr w:type="spellStart"/>
      <w:r>
        <w:rPr>
          <w:sz w:val="24"/>
          <w:szCs w:val="24"/>
        </w:rPr>
        <w:t>C</w:t>
      </w:r>
      <w:r>
        <w:rPr>
          <w:sz w:val="24"/>
          <w:szCs w:val="24"/>
          <w:vertAlign w:val="subscript"/>
        </w:rPr>
        <w:t>max</w:t>
      </w:r>
      <w:proofErr w:type="spellEnd"/>
      <w:r>
        <w:rPr>
          <w:sz w:val="24"/>
          <w:szCs w:val="24"/>
        </w:rPr>
        <w:t xml:space="preserve"> sædvanligvis 30 henholdsvis 70 </w:t>
      </w:r>
      <w:proofErr w:type="spellStart"/>
      <w:r>
        <w:rPr>
          <w:sz w:val="24"/>
          <w:szCs w:val="24"/>
        </w:rPr>
        <w:t>ng</w:t>
      </w:r>
      <w:proofErr w:type="spellEnd"/>
      <w:r>
        <w:rPr>
          <w:sz w:val="24"/>
          <w:szCs w:val="24"/>
        </w:rPr>
        <w:t xml:space="preserve">/ml. Eksponeringsraten og -omfanget for </w:t>
      </w:r>
      <w:proofErr w:type="spellStart"/>
      <w:r>
        <w:rPr>
          <w:sz w:val="24"/>
          <w:szCs w:val="24"/>
        </w:rPr>
        <w:t>hydroxyzinhydrochlorid</w:t>
      </w:r>
      <w:proofErr w:type="spellEnd"/>
      <w:r>
        <w:rPr>
          <w:sz w:val="24"/>
          <w:szCs w:val="24"/>
        </w:rPr>
        <w:t xml:space="preserve"> er ca. det samme uanset om det gives som tablet eller sirup. Efter gentagen daglig dosering øges koncentrationen med ca. 30%. </w:t>
      </w:r>
      <w:proofErr w:type="spellStart"/>
      <w:r>
        <w:rPr>
          <w:sz w:val="24"/>
          <w:szCs w:val="24"/>
        </w:rPr>
        <w:t>Hydroxyzinhydrochlorids</w:t>
      </w:r>
      <w:proofErr w:type="spellEnd"/>
      <w:r>
        <w:rPr>
          <w:sz w:val="24"/>
          <w:szCs w:val="24"/>
        </w:rPr>
        <w:t xml:space="preserve"> orale biotilgængelighed er ca. 80% sammenlignet med intramuskulær (IM) administration.</w:t>
      </w:r>
    </w:p>
    <w:p w:rsidR="00F32575" w:rsidRDefault="00F32575" w:rsidP="00F32575">
      <w:pPr>
        <w:rPr>
          <w:sz w:val="24"/>
          <w:szCs w:val="24"/>
        </w:rPr>
      </w:pPr>
    </w:p>
    <w:p w:rsidR="00F32575" w:rsidRDefault="00F32575" w:rsidP="00F32575">
      <w:pPr>
        <w:ind w:left="851"/>
        <w:rPr>
          <w:sz w:val="24"/>
          <w:szCs w:val="24"/>
          <w:u w:val="single"/>
        </w:rPr>
      </w:pPr>
      <w:r>
        <w:rPr>
          <w:sz w:val="24"/>
          <w:szCs w:val="24"/>
          <w:u w:val="single"/>
        </w:rPr>
        <w:t>Fordeling</w:t>
      </w:r>
    </w:p>
    <w:p w:rsidR="00F32575" w:rsidRDefault="00F32575" w:rsidP="00F32575">
      <w:pPr>
        <w:ind w:left="851" w:right="-171"/>
        <w:rPr>
          <w:sz w:val="24"/>
          <w:szCs w:val="24"/>
        </w:rPr>
      </w:pPr>
      <w:proofErr w:type="spellStart"/>
      <w:r>
        <w:rPr>
          <w:sz w:val="24"/>
          <w:szCs w:val="24"/>
        </w:rPr>
        <w:t>Hydroxyzinhydrochlorid</w:t>
      </w:r>
      <w:proofErr w:type="spellEnd"/>
      <w:r>
        <w:rPr>
          <w:sz w:val="24"/>
          <w:szCs w:val="24"/>
        </w:rPr>
        <w:t xml:space="preserve"> fordeles i vid udstrækning i kroppen og findes generelt i større koncentrationer i væv end i plasma. Det tilsyneladende fordelingsvolumen er 7-16 l/kg hos </w:t>
      </w:r>
      <w:r>
        <w:rPr>
          <w:sz w:val="24"/>
          <w:szCs w:val="24"/>
        </w:rPr>
        <w:lastRenderedPageBreak/>
        <w:t xml:space="preserve">voksne. </w:t>
      </w:r>
      <w:proofErr w:type="spellStart"/>
      <w:r>
        <w:rPr>
          <w:sz w:val="24"/>
          <w:szCs w:val="24"/>
        </w:rPr>
        <w:t>Hydroxyzinhydrochlorid</w:t>
      </w:r>
      <w:proofErr w:type="spellEnd"/>
      <w:r>
        <w:rPr>
          <w:sz w:val="24"/>
          <w:szCs w:val="24"/>
        </w:rPr>
        <w:t xml:space="preserve"> optages i huden efter oral administration. </w:t>
      </w:r>
      <w:proofErr w:type="spellStart"/>
      <w:r>
        <w:rPr>
          <w:sz w:val="24"/>
          <w:szCs w:val="24"/>
        </w:rPr>
        <w:t>Hydroxyzin</w:t>
      </w:r>
      <w:proofErr w:type="spellEnd"/>
      <w:r>
        <w:rPr>
          <w:sz w:val="24"/>
          <w:szCs w:val="24"/>
        </w:rPr>
        <w:t>-koncentrationer i huden er højere end i serumkoncentrationer efter både enkelt og gentagen administration.</w:t>
      </w:r>
    </w:p>
    <w:p w:rsidR="00F32575" w:rsidRDefault="00F32575" w:rsidP="00F32575">
      <w:pPr>
        <w:ind w:left="851" w:right="-171"/>
        <w:rPr>
          <w:sz w:val="24"/>
          <w:szCs w:val="24"/>
        </w:rPr>
      </w:pPr>
    </w:p>
    <w:p w:rsidR="00F32575" w:rsidRDefault="00F32575" w:rsidP="00F32575">
      <w:pPr>
        <w:ind w:left="851" w:right="-171"/>
        <w:rPr>
          <w:sz w:val="24"/>
          <w:szCs w:val="24"/>
        </w:rPr>
      </w:pPr>
      <w:proofErr w:type="spellStart"/>
      <w:r>
        <w:rPr>
          <w:sz w:val="24"/>
          <w:szCs w:val="24"/>
        </w:rPr>
        <w:t>Hydroxyzinhydrochlorid</w:t>
      </w:r>
      <w:proofErr w:type="spellEnd"/>
      <w:r>
        <w:rPr>
          <w:sz w:val="24"/>
          <w:szCs w:val="24"/>
        </w:rPr>
        <w:t xml:space="preserve"> krydser blod-hjerne- og placentabarrieren og resulterer i højere koncentrationer hos fosteret end hos moderen.</w:t>
      </w:r>
    </w:p>
    <w:p w:rsidR="00F32575" w:rsidRDefault="00F32575" w:rsidP="00F32575">
      <w:pPr>
        <w:ind w:left="851"/>
        <w:rPr>
          <w:sz w:val="24"/>
          <w:szCs w:val="24"/>
        </w:rPr>
      </w:pPr>
    </w:p>
    <w:p w:rsidR="00F32575" w:rsidRDefault="00F32575" w:rsidP="00F32575">
      <w:pPr>
        <w:ind w:left="851"/>
        <w:rPr>
          <w:sz w:val="24"/>
          <w:szCs w:val="24"/>
          <w:u w:val="single"/>
        </w:rPr>
      </w:pPr>
      <w:r>
        <w:rPr>
          <w:sz w:val="24"/>
          <w:szCs w:val="24"/>
          <w:u w:val="single"/>
        </w:rPr>
        <w:t>Biotransformation</w:t>
      </w:r>
    </w:p>
    <w:p w:rsidR="00F32575" w:rsidRDefault="00F32575" w:rsidP="00F32575">
      <w:pPr>
        <w:ind w:left="851" w:right="-171"/>
        <w:rPr>
          <w:sz w:val="24"/>
          <w:szCs w:val="24"/>
        </w:rPr>
      </w:pPr>
      <w:proofErr w:type="spellStart"/>
      <w:r>
        <w:rPr>
          <w:sz w:val="24"/>
          <w:szCs w:val="24"/>
        </w:rPr>
        <w:t>Hydroxyzinhydrochlorid</w:t>
      </w:r>
      <w:proofErr w:type="spellEnd"/>
      <w:r>
        <w:rPr>
          <w:sz w:val="24"/>
          <w:szCs w:val="24"/>
        </w:rPr>
        <w:t xml:space="preserve"> </w:t>
      </w:r>
      <w:proofErr w:type="spellStart"/>
      <w:r>
        <w:rPr>
          <w:sz w:val="24"/>
          <w:szCs w:val="24"/>
        </w:rPr>
        <w:t>metaboliseres</w:t>
      </w:r>
      <w:proofErr w:type="spellEnd"/>
      <w:r>
        <w:rPr>
          <w:sz w:val="24"/>
          <w:szCs w:val="24"/>
        </w:rPr>
        <w:t xml:space="preserve"> i vid udstrækning. Dannelsen af hovedmetabolitten </w:t>
      </w:r>
      <w:proofErr w:type="spellStart"/>
      <w:r>
        <w:rPr>
          <w:sz w:val="24"/>
          <w:szCs w:val="24"/>
        </w:rPr>
        <w:t>cetirizin</w:t>
      </w:r>
      <w:proofErr w:type="spellEnd"/>
      <w:r>
        <w:rPr>
          <w:sz w:val="24"/>
          <w:szCs w:val="24"/>
        </w:rPr>
        <w:t xml:space="preserve">, en carboxylsyremetabolit (ca. 45% af den orale dosis), medieres af </w:t>
      </w:r>
      <w:proofErr w:type="spellStart"/>
      <w:r>
        <w:rPr>
          <w:sz w:val="24"/>
          <w:szCs w:val="24"/>
        </w:rPr>
        <w:t>alkoholdehydrogenase</w:t>
      </w:r>
      <w:proofErr w:type="spellEnd"/>
      <w:r>
        <w:rPr>
          <w:sz w:val="24"/>
          <w:szCs w:val="24"/>
        </w:rPr>
        <w:t>. Denne metabolit har signifikante perifere H</w:t>
      </w:r>
      <w:r>
        <w:rPr>
          <w:sz w:val="24"/>
          <w:szCs w:val="24"/>
          <w:vertAlign w:val="subscript"/>
        </w:rPr>
        <w:t>1</w:t>
      </w:r>
      <w:r>
        <w:rPr>
          <w:sz w:val="24"/>
          <w:szCs w:val="24"/>
        </w:rPr>
        <w:noBreakHyphen/>
        <w:t xml:space="preserve">antagonistiske egenskaber. Andre identificerede metabolitter omfatter en N-dealkyleret metabolit og en O-dealkyleret metabolit med en plasmahalveringstid på 59 timer. Disse </w:t>
      </w:r>
      <w:proofErr w:type="spellStart"/>
      <w:r>
        <w:rPr>
          <w:sz w:val="24"/>
          <w:szCs w:val="24"/>
        </w:rPr>
        <w:t>metaboliseringsveje</w:t>
      </w:r>
      <w:proofErr w:type="spellEnd"/>
      <w:r>
        <w:rPr>
          <w:sz w:val="24"/>
          <w:szCs w:val="24"/>
        </w:rPr>
        <w:t xml:space="preserve"> medieres hovedsageligt af CYP3A4/5.</w:t>
      </w:r>
    </w:p>
    <w:p w:rsidR="00F32575" w:rsidRDefault="00F32575" w:rsidP="00F32575">
      <w:pPr>
        <w:ind w:left="851"/>
        <w:rPr>
          <w:sz w:val="24"/>
          <w:szCs w:val="24"/>
        </w:rPr>
      </w:pPr>
    </w:p>
    <w:p w:rsidR="00F32575" w:rsidRDefault="00F32575" w:rsidP="00F32575">
      <w:pPr>
        <w:ind w:left="851"/>
        <w:rPr>
          <w:sz w:val="24"/>
          <w:szCs w:val="24"/>
          <w:u w:val="single"/>
        </w:rPr>
      </w:pPr>
      <w:r>
        <w:rPr>
          <w:sz w:val="24"/>
          <w:szCs w:val="24"/>
          <w:u w:val="single"/>
        </w:rPr>
        <w:t>Elimination</w:t>
      </w:r>
    </w:p>
    <w:p w:rsidR="00F32575" w:rsidRDefault="00F32575" w:rsidP="00F32575">
      <w:pPr>
        <w:ind w:left="851" w:right="-171"/>
        <w:rPr>
          <w:sz w:val="24"/>
          <w:szCs w:val="24"/>
        </w:rPr>
      </w:pPr>
      <w:proofErr w:type="spellStart"/>
      <w:r>
        <w:rPr>
          <w:sz w:val="24"/>
          <w:szCs w:val="24"/>
        </w:rPr>
        <w:t>Hydroxyzins</w:t>
      </w:r>
      <w:proofErr w:type="spellEnd"/>
      <w:r>
        <w:rPr>
          <w:sz w:val="24"/>
          <w:szCs w:val="24"/>
        </w:rPr>
        <w:t xml:space="preserve"> halveringstid hos voksne er ca. 14 timer (7-20 t). Halveringstiden af hovedmetabolitten </w:t>
      </w:r>
      <w:proofErr w:type="spellStart"/>
      <w:r>
        <w:rPr>
          <w:sz w:val="24"/>
          <w:szCs w:val="24"/>
        </w:rPr>
        <w:t>cetirizin</w:t>
      </w:r>
      <w:proofErr w:type="spellEnd"/>
      <w:r>
        <w:rPr>
          <w:sz w:val="24"/>
          <w:szCs w:val="24"/>
        </w:rPr>
        <w:t xml:space="preserve"> hos voksne er ca. 10 timer. </w:t>
      </w:r>
      <w:proofErr w:type="spellStart"/>
      <w:r>
        <w:rPr>
          <w:sz w:val="24"/>
          <w:szCs w:val="24"/>
        </w:rPr>
        <w:t>Plasmaclearance</w:t>
      </w:r>
      <w:proofErr w:type="spellEnd"/>
      <w:r>
        <w:rPr>
          <w:sz w:val="24"/>
          <w:szCs w:val="24"/>
        </w:rPr>
        <w:t xml:space="preserve"> (CL/F) beregnet i studier efter en oral dosis er 13 ml/min/kg. Kun 0,8 % af dosis udskilles i uændret form i urin efter en oral dosis. </w:t>
      </w:r>
      <w:proofErr w:type="spellStart"/>
      <w:r>
        <w:rPr>
          <w:sz w:val="24"/>
          <w:szCs w:val="24"/>
        </w:rPr>
        <w:t>Cetirizin</w:t>
      </w:r>
      <w:proofErr w:type="spellEnd"/>
      <w:r>
        <w:rPr>
          <w:sz w:val="24"/>
          <w:szCs w:val="24"/>
        </w:rPr>
        <w:t xml:space="preserve"> udskilles hovedsageligt i uændret form i urin (25 % af oral </w:t>
      </w:r>
      <w:proofErr w:type="spellStart"/>
      <w:r>
        <w:rPr>
          <w:sz w:val="24"/>
          <w:szCs w:val="24"/>
        </w:rPr>
        <w:t>hydroxyzinhydrochlorid</w:t>
      </w:r>
      <w:proofErr w:type="spellEnd"/>
      <w:r>
        <w:rPr>
          <w:sz w:val="24"/>
          <w:szCs w:val="24"/>
        </w:rPr>
        <w:t>-dosis).</w:t>
      </w:r>
    </w:p>
    <w:p w:rsidR="00F32575" w:rsidRDefault="00F32575" w:rsidP="00F32575">
      <w:pPr>
        <w:ind w:left="851" w:right="-171"/>
        <w:rPr>
          <w:sz w:val="24"/>
          <w:szCs w:val="24"/>
        </w:rPr>
      </w:pPr>
    </w:p>
    <w:p w:rsidR="00F32575" w:rsidRDefault="00F32575" w:rsidP="00F32575">
      <w:pPr>
        <w:ind w:left="851" w:right="-171"/>
        <w:rPr>
          <w:i/>
          <w:sz w:val="24"/>
          <w:szCs w:val="24"/>
        </w:rPr>
      </w:pPr>
      <w:r>
        <w:rPr>
          <w:i/>
          <w:sz w:val="24"/>
          <w:szCs w:val="24"/>
        </w:rPr>
        <w:t>Særlige populationer</w:t>
      </w:r>
    </w:p>
    <w:p w:rsidR="00F32575" w:rsidRDefault="00F32575" w:rsidP="00F32575">
      <w:pPr>
        <w:ind w:left="851" w:right="-171"/>
        <w:rPr>
          <w:i/>
          <w:sz w:val="24"/>
          <w:szCs w:val="24"/>
        </w:rPr>
      </w:pPr>
    </w:p>
    <w:p w:rsidR="00F32575" w:rsidRDefault="00F32575" w:rsidP="00F32575">
      <w:pPr>
        <w:ind w:left="851" w:right="-171"/>
        <w:rPr>
          <w:sz w:val="24"/>
          <w:szCs w:val="24"/>
          <w:u w:val="single"/>
        </w:rPr>
      </w:pPr>
      <w:r>
        <w:rPr>
          <w:sz w:val="24"/>
          <w:szCs w:val="24"/>
          <w:u w:val="single"/>
        </w:rPr>
        <w:t>Ældre</w:t>
      </w:r>
    </w:p>
    <w:p w:rsidR="00F32575" w:rsidRDefault="00F32575" w:rsidP="00F32575">
      <w:pPr>
        <w:ind w:left="851" w:right="-171"/>
        <w:rPr>
          <w:sz w:val="24"/>
          <w:szCs w:val="24"/>
        </w:rPr>
      </w:pPr>
      <w:proofErr w:type="spellStart"/>
      <w:r>
        <w:rPr>
          <w:sz w:val="24"/>
          <w:szCs w:val="24"/>
        </w:rPr>
        <w:t>Hydroxyzins</w:t>
      </w:r>
      <w:proofErr w:type="spellEnd"/>
      <w:r>
        <w:rPr>
          <w:sz w:val="24"/>
          <w:szCs w:val="24"/>
        </w:rPr>
        <w:t xml:space="preserve"> farmakokinetik hos ældre blev undersøgt hos 9 raske, ældre forsøgspersoner (69,5 ± 3,7 år) efter en enkeltdosis på 0,7 mg/kg. </w:t>
      </w:r>
      <w:proofErr w:type="spellStart"/>
      <w:r>
        <w:rPr>
          <w:sz w:val="24"/>
          <w:szCs w:val="24"/>
        </w:rPr>
        <w:t>Hydroxyzins</w:t>
      </w:r>
      <w:proofErr w:type="spellEnd"/>
      <w:r>
        <w:rPr>
          <w:sz w:val="24"/>
          <w:szCs w:val="24"/>
        </w:rPr>
        <w:t xml:space="preserve"> halveringstid steg til 29 timer, og det tilsyneladende fordelingsvolumen steg til 22,5 l/kg. Se pkt. 4.2 for reduktion af den daglige dosis til ældre.</w:t>
      </w:r>
    </w:p>
    <w:p w:rsidR="00F32575" w:rsidRDefault="00F32575" w:rsidP="00F32575">
      <w:pPr>
        <w:ind w:left="851" w:right="-171"/>
        <w:rPr>
          <w:sz w:val="24"/>
          <w:szCs w:val="24"/>
        </w:rPr>
      </w:pPr>
    </w:p>
    <w:p w:rsidR="00F32575" w:rsidRDefault="00F32575" w:rsidP="00F32575">
      <w:pPr>
        <w:ind w:left="851" w:right="-171"/>
        <w:rPr>
          <w:sz w:val="24"/>
          <w:szCs w:val="24"/>
          <w:u w:val="single"/>
        </w:rPr>
      </w:pPr>
      <w:r>
        <w:rPr>
          <w:sz w:val="24"/>
          <w:szCs w:val="24"/>
          <w:u w:val="single"/>
        </w:rPr>
        <w:t>Pædiatrisk population</w:t>
      </w:r>
    </w:p>
    <w:p w:rsidR="00F32575" w:rsidRDefault="00F32575" w:rsidP="00F32575">
      <w:pPr>
        <w:ind w:left="851" w:right="-171"/>
        <w:rPr>
          <w:sz w:val="24"/>
          <w:szCs w:val="24"/>
        </w:rPr>
      </w:pPr>
      <w:proofErr w:type="spellStart"/>
      <w:r>
        <w:rPr>
          <w:sz w:val="24"/>
          <w:szCs w:val="24"/>
        </w:rPr>
        <w:t>Hydroxyzins</w:t>
      </w:r>
      <w:proofErr w:type="spellEnd"/>
      <w:r>
        <w:rPr>
          <w:sz w:val="24"/>
          <w:szCs w:val="24"/>
        </w:rPr>
        <w:t xml:space="preserve"> farmakokinetik blev undersøgt hos 12 børn (6,1 ± 4,6 år; 22,0 ± 12,0 kg) efter en oral dosis på 0,7 mg/kg. Oral </w:t>
      </w:r>
      <w:proofErr w:type="spellStart"/>
      <w:r>
        <w:rPr>
          <w:sz w:val="24"/>
          <w:szCs w:val="24"/>
        </w:rPr>
        <w:t>plasmaclearance</w:t>
      </w:r>
      <w:proofErr w:type="spellEnd"/>
      <w:r>
        <w:rPr>
          <w:sz w:val="24"/>
          <w:szCs w:val="24"/>
        </w:rPr>
        <w:t xml:space="preserve"> pr. kg var ca. 2,5 gange højere end hos voksne. Halveringstiden var kortere end hos voksne. Den var ca. 4 timer hos 1-årige spædbørn og 11 timer hos 14-årige unge og stiger i takt med alderen. Dosis til børn bør justeres (se pkt. 4.2).</w:t>
      </w:r>
    </w:p>
    <w:p w:rsidR="00F32575" w:rsidRDefault="00F32575" w:rsidP="00F32575">
      <w:pPr>
        <w:ind w:left="851" w:right="-171"/>
        <w:rPr>
          <w:sz w:val="24"/>
          <w:szCs w:val="24"/>
        </w:rPr>
      </w:pPr>
    </w:p>
    <w:p w:rsidR="00F32575" w:rsidRDefault="00F32575" w:rsidP="00F32575">
      <w:pPr>
        <w:ind w:left="851" w:right="-171"/>
        <w:rPr>
          <w:sz w:val="24"/>
          <w:szCs w:val="24"/>
          <w:u w:val="single"/>
        </w:rPr>
      </w:pPr>
      <w:r>
        <w:rPr>
          <w:sz w:val="24"/>
          <w:szCs w:val="24"/>
          <w:u w:val="single"/>
        </w:rPr>
        <w:t>Nedsat leverfunktion</w:t>
      </w:r>
    </w:p>
    <w:p w:rsidR="00F32575" w:rsidRDefault="00F32575" w:rsidP="00F32575">
      <w:pPr>
        <w:ind w:left="851" w:right="-171"/>
        <w:rPr>
          <w:sz w:val="24"/>
          <w:szCs w:val="24"/>
        </w:rPr>
      </w:pPr>
      <w:r>
        <w:rPr>
          <w:sz w:val="24"/>
          <w:szCs w:val="24"/>
        </w:rPr>
        <w:t xml:space="preserve">Hos forsøgspersoner med nedsat leverfunktion, som følge af primær biliær </w:t>
      </w:r>
      <w:proofErr w:type="spellStart"/>
      <w:r>
        <w:rPr>
          <w:sz w:val="24"/>
          <w:szCs w:val="24"/>
        </w:rPr>
        <w:t>cirrhose</w:t>
      </w:r>
      <w:proofErr w:type="spellEnd"/>
      <w:r>
        <w:rPr>
          <w:sz w:val="24"/>
          <w:szCs w:val="24"/>
        </w:rPr>
        <w:t xml:space="preserve">, var </w:t>
      </w:r>
      <w:proofErr w:type="spellStart"/>
      <w:r>
        <w:rPr>
          <w:sz w:val="24"/>
          <w:szCs w:val="24"/>
        </w:rPr>
        <w:t>plasmaclearance</w:t>
      </w:r>
      <w:proofErr w:type="spellEnd"/>
      <w:r>
        <w:rPr>
          <w:sz w:val="24"/>
          <w:szCs w:val="24"/>
        </w:rPr>
        <w:t xml:space="preserve"> (CL/F) ca. 66% af hvad den er hos raske forsøgspersoner. Halveringstiden øgedes til 37 timer, og serumkoncentrationerne af carboxylsyremetabolitten </w:t>
      </w:r>
      <w:proofErr w:type="spellStart"/>
      <w:r>
        <w:rPr>
          <w:sz w:val="24"/>
          <w:szCs w:val="24"/>
        </w:rPr>
        <w:t>cetirizin</w:t>
      </w:r>
      <w:proofErr w:type="spellEnd"/>
      <w:r>
        <w:rPr>
          <w:sz w:val="24"/>
          <w:szCs w:val="24"/>
        </w:rPr>
        <w:t xml:space="preserve"> var højere end hos unge forsøgspersoner med normal leverfunktion. </w:t>
      </w:r>
    </w:p>
    <w:p w:rsidR="00F32575" w:rsidRDefault="00F32575" w:rsidP="00F32575">
      <w:pPr>
        <w:ind w:left="851" w:right="-171"/>
        <w:rPr>
          <w:sz w:val="24"/>
          <w:szCs w:val="24"/>
        </w:rPr>
      </w:pPr>
    </w:p>
    <w:p w:rsidR="00F32575" w:rsidRDefault="00F32575" w:rsidP="00F32575">
      <w:pPr>
        <w:ind w:left="851" w:right="-171"/>
        <w:rPr>
          <w:sz w:val="24"/>
          <w:szCs w:val="24"/>
          <w:u w:val="single"/>
        </w:rPr>
      </w:pPr>
      <w:r>
        <w:rPr>
          <w:sz w:val="24"/>
          <w:szCs w:val="24"/>
          <w:u w:val="single"/>
        </w:rPr>
        <w:t>Nedsat nyrefunktion</w:t>
      </w:r>
    </w:p>
    <w:p w:rsidR="00F32575" w:rsidRDefault="00F32575" w:rsidP="00F32575">
      <w:pPr>
        <w:ind w:left="851" w:right="-171"/>
        <w:rPr>
          <w:sz w:val="24"/>
          <w:szCs w:val="24"/>
        </w:rPr>
      </w:pPr>
      <w:proofErr w:type="spellStart"/>
      <w:r>
        <w:rPr>
          <w:sz w:val="24"/>
          <w:szCs w:val="24"/>
        </w:rPr>
        <w:t>Hydroxyzins</w:t>
      </w:r>
      <w:proofErr w:type="spellEnd"/>
      <w:r>
        <w:rPr>
          <w:sz w:val="24"/>
          <w:szCs w:val="24"/>
        </w:rPr>
        <w:t xml:space="preserve"> farmakokinetik blev undersøgt hos 8 forsøgspersoner med svært nedsat nyrefunktion (</w:t>
      </w:r>
      <w:proofErr w:type="spellStart"/>
      <w:r>
        <w:rPr>
          <w:sz w:val="24"/>
          <w:szCs w:val="24"/>
        </w:rPr>
        <w:t>kreatininclearance</w:t>
      </w:r>
      <w:proofErr w:type="spellEnd"/>
      <w:r>
        <w:rPr>
          <w:sz w:val="24"/>
          <w:szCs w:val="24"/>
        </w:rPr>
        <w:t xml:space="preserve"> 24 ± 7 ml/min). </w:t>
      </w:r>
      <w:proofErr w:type="spellStart"/>
      <w:r>
        <w:rPr>
          <w:sz w:val="24"/>
          <w:szCs w:val="24"/>
        </w:rPr>
        <w:t>Hydroxyzinhydrochlorids</w:t>
      </w:r>
      <w:proofErr w:type="spellEnd"/>
      <w:r>
        <w:rPr>
          <w:sz w:val="24"/>
          <w:szCs w:val="24"/>
        </w:rPr>
        <w:t xml:space="preserve"> eksponering (AUC) ændredes ikke i signifikant grad, hvorimod den ca. femdobledes for carboxylsyremetabolitten </w:t>
      </w:r>
      <w:proofErr w:type="spellStart"/>
      <w:r>
        <w:rPr>
          <w:sz w:val="24"/>
          <w:szCs w:val="24"/>
        </w:rPr>
        <w:t>cetirizin</w:t>
      </w:r>
      <w:proofErr w:type="spellEnd"/>
      <w:r>
        <w:rPr>
          <w:sz w:val="24"/>
          <w:szCs w:val="24"/>
        </w:rPr>
        <w:t xml:space="preserve">. Denne metabolit blev ikke fjernet tilstrækkeligt ved dialyse. For at undgå udbredt ophobning af </w:t>
      </w:r>
      <w:proofErr w:type="spellStart"/>
      <w:r>
        <w:rPr>
          <w:sz w:val="24"/>
          <w:szCs w:val="24"/>
        </w:rPr>
        <w:t>cetirizin</w:t>
      </w:r>
      <w:proofErr w:type="spellEnd"/>
      <w:r>
        <w:rPr>
          <w:sz w:val="24"/>
          <w:szCs w:val="24"/>
        </w:rPr>
        <w:t xml:space="preserve"> efter gentagen dosering af </w:t>
      </w:r>
      <w:proofErr w:type="spellStart"/>
      <w:r>
        <w:rPr>
          <w:sz w:val="24"/>
          <w:szCs w:val="24"/>
        </w:rPr>
        <w:t>hydroxyzinhydrochlorid</w:t>
      </w:r>
      <w:proofErr w:type="spellEnd"/>
      <w:r>
        <w:rPr>
          <w:sz w:val="24"/>
          <w:szCs w:val="24"/>
        </w:rPr>
        <w:t xml:space="preserve"> bør den daglige dosis </w:t>
      </w:r>
      <w:proofErr w:type="spellStart"/>
      <w:r>
        <w:rPr>
          <w:sz w:val="24"/>
          <w:szCs w:val="24"/>
        </w:rPr>
        <w:t>hydroxyzinhydrochlorid</w:t>
      </w:r>
      <w:proofErr w:type="spellEnd"/>
      <w:r>
        <w:rPr>
          <w:sz w:val="24"/>
          <w:szCs w:val="24"/>
        </w:rPr>
        <w:t xml:space="preserve"> reduceres hos patienter med nedsat nyrefunktion (se pkt. 4.2).</w:t>
      </w:r>
    </w:p>
    <w:p w:rsidR="00F32575" w:rsidRDefault="00F32575" w:rsidP="00F32575">
      <w:pPr>
        <w:ind w:left="851" w:hanging="851"/>
        <w:rPr>
          <w:sz w:val="24"/>
          <w:szCs w:val="24"/>
        </w:rPr>
      </w:pPr>
    </w:p>
    <w:p w:rsidR="00F32575" w:rsidRDefault="00F32575" w:rsidP="00F32575">
      <w:pPr>
        <w:ind w:left="851" w:hanging="851"/>
        <w:rPr>
          <w:b/>
          <w:sz w:val="24"/>
          <w:szCs w:val="24"/>
        </w:rPr>
      </w:pPr>
      <w:r>
        <w:rPr>
          <w:b/>
          <w:sz w:val="24"/>
          <w:szCs w:val="24"/>
        </w:rPr>
        <w:t>5.3</w:t>
      </w:r>
      <w:r>
        <w:rPr>
          <w:b/>
          <w:sz w:val="24"/>
          <w:szCs w:val="24"/>
        </w:rPr>
        <w:tab/>
        <w:t>Non-kliniske sikkerhedsdata</w:t>
      </w:r>
    </w:p>
    <w:p w:rsidR="00F32575" w:rsidRDefault="00F32575" w:rsidP="00F32575">
      <w:pPr>
        <w:ind w:left="851" w:right="-171"/>
        <w:rPr>
          <w:sz w:val="24"/>
          <w:szCs w:val="24"/>
        </w:rPr>
      </w:pPr>
      <w:r>
        <w:rPr>
          <w:sz w:val="24"/>
          <w:szCs w:val="24"/>
        </w:rPr>
        <w:t xml:space="preserve">Non-kliniske data viser ingen speciel risiko for mennesker vurderet ud fra konventionelle studier af toksicitet efter gentagne doser og genotoksicitet. Der er ikke udført </w:t>
      </w:r>
      <w:proofErr w:type="spellStart"/>
      <w:r>
        <w:rPr>
          <w:sz w:val="24"/>
          <w:szCs w:val="24"/>
        </w:rPr>
        <w:t>karcinogenicitetsstudier</w:t>
      </w:r>
      <w:proofErr w:type="spellEnd"/>
      <w:r>
        <w:rPr>
          <w:sz w:val="24"/>
          <w:szCs w:val="24"/>
        </w:rPr>
        <w:t xml:space="preserve"> med </w:t>
      </w:r>
      <w:proofErr w:type="spellStart"/>
      <w:r>
        <w:rPr>
          <w:sz w:val="24"/>
          <w:szCs w:val="24"/>
        </w:rPr>
        <w:t>hydroxyzin</w:t>
      </w:r>
      <w:proofErr w:type="spellEnd"/>
      <w:r>
        <w:rPr>
          <w:sz w:val="24"/>
          <w:szCs w:val="24"/>
        </w:rPr>
        <w:t>.</w:t>
      </w:r>
    </w:p>
    <w:p w:rsidR="00F32575" w:rsidRDefault="00F32575" w:rsidP="00F32575">
      <w:pPr>
        <w:ind w:left="851" w:right="-171" w:hanging="851"/>
        <w:rPr>
          <w:sz w:val="24"/>
          <w:szCs w:val="24"/>
        </w:rPr>
      </w:pPr>
    </w:p>
    <w:p w:rsidR="00F32575" w:rsidRDefault="00F32575" w:rsidP="00F32575">
      <w:pPr>
        <w:ind w:left="851" w:right="-171"/>
        <w:rPr>
          <w:sz w:val="24"/>
          <w:szCs w:val="24"/>
        </w:rPr>
      </w:pPr>
      <w:r>
        <w:rPr>
          <w:sz w:val="24"/>
          <w:szCs w:val="24"/>
        </w:rPr>
        <w:t xml:space="preserve">Hos rotter og kaniner blev der observeret fostermisdannelser med </w:t>
      </w:r>
      <w:proofErr w:type="spellStart"/>
      <w:r>
        <w:rPr>
          <w:sz w:val="24"/>
          <w:szCs w:val="24"/>
        </w:rPr>
        <w:t>hydroxyzin</w:t>
      </w:r>
      <w:proofErr w:type="spellEnd"/>
      <w:r>
        <w:rPr>
          <w:sz w:val="24"/>
          <w:szCs w:val="24"/>
        </w:rPr>
        <w:t xml:space="preserve"> doser på 50 mg/kg. </w:t>
      </w:r>
    </w:p>
    <w:p w:rsidR="00F32575" w:rsidRDefault="00F32575" w:rsidP="00F32575">
      <w:pPr>
        <w:ind w:left="851" w:right="-171" w:hanging="851"/>
        <w:rPr>
          <w:sz w:val="24"/>
          <w:szCs w:val="24"/>
        </w:rPr>
      </w:pPr>
    </w:p>
    <w:p w:rsidR="00F32575" w:rsidRDefault="00F32575" w:rsidP="00F32575">
      <w:pPr>
        <w:ind w:left="851" w:right="-171"/>
        <w:rPr>
          <w:sz w:val="24"/>
          <w:szCs w:val="24"/>
        </w:rPr>
      </w:pPr>
      <w:r>
        <w:rPr>
          <w:sz w:val="24"/>
          <w:szCs w:val="24"/>
        </w:rPr>
        <w:t xml:space="preserve">I isolerede </w:t>
      </w:r>
      <w:proofErr w:type="spellStart"/>
      <w:r>
        <w:rPr>
          <w:sz w:val="24"/>
          <w:szCs w:val="24"/>
        </w:rPr>
        <w:t>Purkinjefibre</w:t>
      </w:r>
      <w:proofErr w:type="spellEnd"/>
      <w:r>
        <w:rPr>
          <w:sz w:val="24"/>
          <w:szCs w:val="24"/>
        </w:rPr>
        <w:t xml:space="preserve"> fra hunde øgede 3 µM </w:t>
      </w:r>
      <w:proofErr w:type="spellStart"/>
      <w:r>
        <w:rPr>
          <w:sz w:val="24"/>
          <w:szCs w:val="24"/>
        </w:rPr>
        <w:t>hydroxyzin</w:t>
      </w:r>
      <w:proofErr w:type="spellEnd"/>
      <w:r>
        <w:rPr>
          <w:sz w:val="24"/>
          <w:szCs w:val="24"/>
        </w:rPr>
        <w:t xml:space="preserve"> varigheden af aktionspotentialet, hvilket kunne tyde på, at der skete en interaktion med kaliumkanaler, involveret i </w:t>
      </w:r>
      <w:proofErr w:type="spellStart"/>
      <w:r>
        <w:rPr>
          <w:sz w:val="24"/>
          <w:szCs w:val="24"/>
        </w:rPr>
        <w:t>repolariseringsfasen</w:t>
      </w:r>
      <w:proofErr w:type="spellEnd"/>
      <w:r>
        <w:rPr>
          <w:sz w:val="24"/>
          <w:szCs w:val="24"/>
        </w:rPr>
        <w:t xml:space="preserve">. Ved en højere koncentration, 30 µM, var der et markant fald i varigheden af aktionspotentialet, hvilket kunne tyde på en mulig interaktion med calcium- og/eller natriumstrømmen. </w:t>
      </w:r>
      <w:proofErr w:type="spellStart"/>
      <w:r>
        <w:rPr>
          <w:sz w:val="24"/>
          <w:szCs w:val="24"/>
        </w:rPr>
        <w:t>Hydroxyzin</w:t>
      </w:r>
      <w:proofErr w:type="spellEnd"/>
      <w:r>
        <w:rPr>
          <w:sz w:val="24"/>
          <w:szCs w:val="24"/>
        </w:rPr>
        <w:t xml:space="preserve"> bevirkede en hæmning af kalium (</w:t>
      </w:r>
      <w:proofErr w:type="spellStart"/>
      <w:r>
        <w:rPr>
          <w:sz w:val="24"/>
          <w:szCs w:val="24"/>
        </w:rPr>
        <w:t>IKr</w:t>
      </w:r>
      <w:proofErr w:type="spellEnd"/>
      <w:r>
        <w:rPr>
          <w:sz w:val="24"/>
          <w:szCs w:val="24"/>
        </w:rPr>
        <w:t xml:space="preserve">)-strømmen i humane </w:t>
      </w:r>
      <w:proofErr w:type="spellStart"/>
      <w:r>
        <w:rPr>
          <w:sz w:val="24"/>
          <w:szCs w:val="24"/>
        </w:rPr>
        <w:t>ether</w:t>
      </w:r>
      <w:proofErr w:type="spellEnd"/>
      <w:r>
        <w:rPr>
          <w:sz w:val="24"/>
          <w:szCs w:val="24"/>
        </w:rPr>
        <w:t>-a-go-go-relaterede gen (</w:t>
      </w:r>
      <w:proofErr w:type="spellStart"/>
      <w:r>
        <w:rPr>
          <w:sz w:val="24"/>
          <w:szCs w:val="24"/>
        </w:rPr>
        <w:t>hERG</w:t>
      </w:r>
      <w:proofErr w:type="spellEnd"/>
      <w:r>
        <w:rPr>
          <w:sz w:val="24"/>
          <w:szCs w:val="24"/>
        </w:rPr>
        <w:t xml:space="preserve">)-kanaler udtrykt i pattedyrsceller, med en IC50 på 0,62 µM, hvilket er mellem 10-60 gange højere end terapeutiske koncentrationer. Udover dette er </w:t>
      </w:r>
      <w:proofErr w:type="spellStart"/>
      <w:r>
        <w:rPr>
          <w:sz w:val="24"/>
          <w:szCs w:val="24"/>
        </w:rPr>
        <w:t>hydroxyzinkoncentrationerne</w:t>
      </w:r>
      <w:proofErr w:type="spellEnd"/>
      <w:r>
        <w:rPr>
          <w:sz w:val="24"/>
          <w:szCs w:val="24"/>
        </w:rPr>
        <w:t xml:space="preserve">, som kræves for at påvirke </w:t>
      </w:r>
      <w:proofErr w:type="spellStart"/>
      <w:r>
        <w:rPr>
          <w:sz w:val="24"/>
          <w:szCs w:val="24"/>
        </w:rPr>
        <w:t>kardiel</w:t>
      </w:r>
      <w:proofErr w:type="spellEnd"/>
      <w:r>
        <w:rPr>
          <w:sz w:val="24"/>
          <w:szCs w:val="24"/>
        </w:rPr>
        <w:t xml:space="preserve"> elektrofysiologi, 10-100 gange højere end dem, der kræves for at blokere H1- og 5</w:t>
      </w:r>
      <w:r>
        <w:rPr>
          <w:sz w:val="24"/>
          <w:szCs w:val="24"/>
        </w:rPr>
        <w:softHyphen/>
        <w:t xml:space="preserve">HT2-receptorer. </w:t>
      </w:r>
    </w:p>
    <w:p w:rsidR="00F32575" w:rsidRDefault="00F32575" w:rsidP="00F32575">
      <w:pPr>
        <w:ind w:left="851" w:right="-171"/>
        <w:rPr>
          <w:sz w:val="24"/>
          <w:szCs w:val="24"/>
        </w:rPr>
      </w:pPr>
      <w:r>
        <w:rPr>
          <w:sz w:val="24"/>
          <w:szCs w:val="24"/>
        </w:rPr>
        <w:t xml:space="preserve">Hos hunde, som blev monitoreret med telemetri, idet de ikke blev holdt fast og var ved bevidsthed, viste </w:t>
      </w:r>
      <w:proofErr w:type="spellStart"/>
      <w:r>
        <w:rPr>
          <w:sz w:val="24"/>
          <w:szCs w:val="24"/>
        </w:rPr>
        <w:t>hydroxyzin</w:t>
      </w:r>
      <w:proofErr w:type="spellEnd"/>
      <w:r>
        <w:rPr>
          <w:sz w:val="24"/>
          <w:szCs w:val="24"/>
        </w:rPr>
        <w:t xml:space="preserve"> og dets </w:t>
      </w:r>
      <w:proofErr w:type="spellStart"/>
      <w:r>
        <w:rPr>
          <w:sz w:val="24"/>
          <w:szCs w:val="24"/>
        </w:rPr>
        <w:t>enantiomerer</w:t>
      </w:r>
      <w:proofErr w:type="spellEnd"/>
      <w:r>
        <w:rPr>
          <w:sz w:val="24"/>
          <w:szCs w:val="24"/>
        </w:rPr>
        <w:t xml:space="preserve"> lignende </w:t>
      </w:r>
      <w:proofErr w:type="spellStart"/>
      <w:r>
        <w:rPr>
          <w:sz w:val="24"/>
          <w:szCs w:val="24"/>
        </w:rPr>
        <w:t>kardiovaskulære</w:t>
      </w:r>
      <w:proofErr w:type="spellEnd"/>
      <w:r>
        <w:rPr>
          <w:sz w:val="24"/>
          <w:szCs w:val="24"/>
        </w:rPr>
        <w:t xml:space="preserve"> profiler, dog med nogle mindre forskelle. I det første telemetristudie med hunde forøgede </w:t>
      </w:r>
      <w:proofErr w:type="spellStart"/>
      <w:r>
        <w:rPr>
          <w:sz w:val="24"/>
          <w:szCs w:val="24"/>
        </w:rPr>
        <w:t>hydroxyzin</w:t>
      </w:r>
      <w:proofErr w:type="spellEnd"/>
      <w:r>
        <w:rPr>
          <w:sz w:val="24"/>
          <w:szCs w:val="24"/>
        </w:rPr>
        <w:t xml:space="preserve"> (21 mg/kg oralt) hjerterytmen en smule og forkortede PR- og QT-intervaller. Der var ingen indvirkning på QRS- og </w:t>
      </w:r>
      <w:proofErr w:type="spellStart"/>
      <w:r>
        <w:rPr>
          <w:sz w:val="24"/>
          <w:szCs w:val="24"/>
        </w:rPr>
        <w:t>QTc</w:t>
      </w:r>
      <w:proofErr w:type="spellEnd"/>
      <w:r>
        <w:rPr>
          <w:sz w:val="24"/>
          <w:szCs w:val="24"/>
        </w:rPr>
        <w:t xml:space="preserve">-intervaller, og det er derfor ikke sandsynligt, at disse mindre ændringer har klinisk betydning ved normale terapeutiske doser. </w:t>
      </w:r>
    </w:p>
    <w:p w:rsidR="00F32575" w:rsidRDefault="00F32575" w:rsidP="00F32575">
      <w:pPr>
        <w:ind w:left="851" w:hanging="851"/>
        <w:rPr>
          <w:sz w:val="24"/>
          <w:szCs w:val="24"/>
        </w:rPr>
      </w:pPr>
    </w:p>
    <w:p w:rsidR="00F32575" w:rsidRDefault="00F32575" w:rsidP="00F32575">
      <w:pPr>
        <w:ind w:left="851" w:right="-171"/>
        <w:rPr>
          <w:sz w:val="24"/>
          <w:szCs w:val="24"/>
        </w:rPr>
      </w:pPr>
      <w:r>
        <w:rPr>
          <w:sz w:val="24"/>
          <w:szCs w:val="24"/>
        </w:rPr>
        <w:t xml:space="preserve">Lignende indvirkning på hjerterytmen og PR-interval blev observeret i et andet telemetristudie hos hunde, hvor det blev bekræftet, at </w:t>
      </w:r>
      <w:proofErr w:type="spellStart"/>
      <w:r>
        <w:rPr>
          <w:sz w:val="24"/>
          <w:szCs w:val="24"/>
        </w:rPr>
        <w:t>hydroxyzin</w:t>
      </w:r>
      <w:proofErr w:type="spellEnd"/>
      <w:r>
        <w:rPr>
          <w:sz w:val="24"/>
          <w:szCs w:val="24"/>
        </w:rPr>
        <w:t xml:space="preserve"> i en enkelt dosis på op til 36 mg/kg ikke havde nogen indvirkning på </w:t>
      </w:r>
      <w:proofErr w:type="spellStart"/>
      <w:r>
        <w:rPr>
          <w:sz w:val="24"/>
          <w:szCs w:val="24"/>
        </w:rPr>
        <w:t>QTc</w:t>
      </w:r>
      <w:proofErr w:type="spellEnd"/>
      <w:r>
        <w:rPr>
          <w:sz w:val="24"/>
          <w:szCs w:val="24"/>
        </w:rPr>
        <w:t>-intervallet.</w:t>
      </w:r>
    </w:p>
    <w:p w:rsidR="009D061C" w:rsidRPr="00A10831" w:rsidRDefault="009D061C" w:rsidP="009D061C">
      <w:pPr>
        <w:ind w:left="851" w:hanging="851"/>
        <w:rPr>
          <w:sz w:val="24"/>
          <w:szCs w:val="24"/>
        </w:rPr>
      </w:pP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6.</w:t>
      </w:r>
      <w:r w:rsidRPr="00A10831">
        <w:rPr>
          <w:b/>
          <w:sz w:val="24"/>
          <w:szCs w:val="24"/>
        </w:rPr>
        <w:tab/>
        <w:t>FARMACEUTISKE OPLYSNINGER</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6.1</w:t>
      </w:r>
      <w:r w:rsidRPr="00A10831">
        <w:rPr>
          <w:b/>
          <w:sz w:val="24"/>
          <w:szCs w:val="24"/>
        </w:rPr>
        <w:tab/>
        <w:t>Hjælpestoffer</w:t>
      </w:r>
    </w:p>
    <w:p w:rsidR="009D061C" w:rsidRPr="00A10831" w:rsidRDefault="009D061C" w:rsidP="009D061C">
      <w:pPr>
        <w:autoSpaceDE w:val="0"/>
        <w:autoSpaceDN w:val="0"/>
        <w:adjustRightInd w:val="0"/>
        <w:ind w:left="851" w:right="-171"/>
        <w:jc w:val="both"/>
        <w:rPr>
          <w:i/>
          <w:sz w:val="24"/>
          <w:szCs w:val="24"/>
        </w:rPr>
      </w:pPr>
      <w:r w:rsidRPr="00A10831">
        <w:rPr>
          <w:i/>
          <w:sz w:val="24"/>
          <w:szCs w:val="24"/>
        </w:rPr>
        <w:t>Tabletkerne:</w:t>
      </w:r>
    </w:p>
    <w:p w:rsidR="009D061C" w:rsidRPr="00BD5776" w:rsidRDefault="009D061C" w:rsidP="009D061C">
      <w:pPr>
        <w:autoSpaceDE w:val="0"/>
        <w:autoSpaceDN w:val="0"/>
        <w:adjustRightInd w:val="0"/>
        <w:ind w:left="851" w:right="-171"/>
        <w:jc w:val="both"/>
        <w:rPr>
          <w:sz w:val="24"/>
          <w:szCs w:val="24"/>
        </w:rPr>
      </w:pPr>
      <w:r w:rsidRPr="00BD5776">
        <w:rPr>
          <w:sz w:val="24"/>
          <w:szCs w:val="24"/>
        </w:rPr>
        <w:t>Cellulose, mikrokrystallinsk</w:t>
      </w:r>
    </w:p>
    <w:p w:rsidR="009D061C" w:rsidRPr="004741A5" w:rsidRDefault="009D061C" w:rsidP="009D061C">
      <w:pPr>
        <w:autoSpaceDE w:val="0"/>
        <w:autoSpaceDN w:val="0"/>
        <w:adjustRightInd w:val="0"/>
        <w:ind w:left="851" w:right="-171"/>
        <w:jc w:val="both"/>
        <w:rPr>
          <w:sz w:val="24"/>
          <w:szCs w:val="24"/>
          <w:lang w:val="en-US"/>
        </w:rPr>
      </w:pPr>
      <w:proofErr w:type="spellStart"/>
      <w:r w:rsidRPr="004741A5">
        <w:rPr>
          <w:sz w:val="24"/>
          <w:szCs w:val="24"/>
          <w:lang w:val="en-US"/>
        </w:rPr>
        <w:t>Lactosemonohydrat</w:t>
      </w:r>
      <w:proofErr w:type="spellEnd"/>
    </w:p>
    <w:p w:rsidR="009D061C" w:rsidRPr="004741A5" w:rsidRDefault="009D061C" w:rsidP="009D061C">
      <w:pPr>
        <w:autoSpaceDE w:val="0"/>
        <w:autoSpaceDN w:val="0"/>
        <w:adjustRightInd w:val="0"/>
        <w:ind w:left="851" w:right="-171"/>
        <w:jc w:val="both"/>
        <w:rPr>
          <w:sz w:val="24"/>
          <w:szCs w:val="24"/>
          <w:lang w:val="en-US"/>
        </w:rPr>
      </w:pPr>
      <w:proofErr w:type="spellStart"/>
      <w:r w:rsidRPr="004741A5">
        <w:rPr>
          <w:sz w:val="24"/>
          <w:szCs w:val="24"/>
          <w:lang w:val="en-US"/>
        </w:rPr>
        <w:t>Croscarmellosenatrium</w:t>
      </w:r>
      <w:proofErr w:type="spellEnd"/>
    </w:p>
    <w:p w:rsidR="009D061C" w:rsidRPr="004741A5" w:rsidRDefault="009D061C" w:rsidP="009D061C">
      <w:pPr>
        <w:autoSpaceDE w:val="0"/>
        <w:autoSpaceDN w:val="0"/>
        <w:adjustRightInd w:val="0"/>
        <w:ind w:left="851" w:right="-171"/>
        <w:jc w:val="both"/>
        <w:rPr>
          <w:sz w:val="24"/>
          <w:szCs w:val="24"/>
          <w:lang w:val="en-US"/>
        </w:rPr>
      </w:pPr>
      <w:r w:rsidRPr="004741A5">
        <w:rPr>
          <w:sz w:val="24"/>
          <w:szCs w:val="24"/>
          <w:lang w:val="en-US"/>
        </w:rPr>
        <w:t xml:space="preserve">Silica, </w:t>
      </w:r>
      <w:proofErr w:type="spellStart"/>
      <w:r w:rsidRPr="004741A5">
        <w:rPr>
          <w:sz w:val="24"/>
          <w:szCs w:val="24"/>
          <w:lang w:val="en-US"/>
        </w:rPr>
        <w:t>kolloid</w:t>
      </w:r>
      <w:proofErr w:type="spellEnd"/>
      <w:r w:rsidRPr="004741A5">
        <w:rPr>
          <w:sz w:val="24"/>
          <w:szCs w:val="24"/>
          <w:lang w:val="en-US"/>
        </w:rPr>
        <w:t xml:space="preserve"> </w:t>
      </w:r>
      <w:proofErr w:type="spellStart"/>
      <w:r w:rsidRPr="004741A5">
        <w:rPr>
          <w:sz w:val="24"/>
          <w:szCs w:val="24"/>
          <w:lang w:val="en-US"/>
        </w:rPr>
        <w:t>vandfri</w:t>
      </w:r>
      <w:proofErr w:type="spellEnd"/>
    </w:p>
    <w:p w:rsidR="009D061C" w:rsidRPr="004741A5" w:rsidRDefault="009D061C" w:rsidP="009D061C">
      <w:pPr>
        <w:autoSpaceDE w:val="0"/>
        <w:autoSpaceDN w:val="0"/>
        <w:adjustRightInd w:val="0"/>
        <w:ind w:left="851" w:right="-171"/>
        <w:jc w:val="both"/>
        <w:rPr>
          <w:sz w:val="24"/>
          <w:szCs w:val="24"/>
          <w:lang w:val="en-US"/>
        </w:rPr>
      </w:pPr>
      <w:r w:rsidRPr="004741A5">
        <w:rPr>
          <w:sz w:val="24"/>
          <w:szCs w:val="24"/>
          <w:lang w:val="en-US"/>
        </w:rPr>
        <w:t>Talcum</w:t>
      </w:r>
    </w:p>
    <w:p w:rsidR="009D061C" w:rsidRPr="00BD5776" w:rsidRDefault="009D061C" w:rsidP="009D061C">
      <w:pPr>
        <w:autoSpaceDE w:val="0"/>
        <w:autoSpaceDN w:val="0"/>
        <w:adjustRightInd w:val="0"/>
        <w:ind w:left="851" w:right="-171"/>
        <w:jc w:val="both"/>
        <w:rPr>
          <w:sz w:val="24"/>
          <w:szCs w:val="24"/>
        </w:rPr>
      </w:pPr>
      <w:proofErr w:type="spellStart"/>
      <w:r w:rsidRPr="00BD5776">
        <w:rPr>
          <w:sz w:val="24"/>
          <w:szCs w:val="24"/>
        </w:rPr>
        <w:t>Magnesiumstearat</w:t>
      </w:r>
      <w:proofErr w:type="spellEnd"/>
    </w:p>
    <w:p w:rsidR="009D061C" w:rsidRPr="00A10831" w:rsidRDefault="009D061C" w:rsidP="009D061C">
      <w:pPr>
        <w:autoSpaceDE w:val="0"/>
        <w:autoSpaceDN w:val="0"/>
        <w:adjustRightInd w:val="0"/>
        <w:ind w:left="851" w:right="-171" w:hanging="851"/>
        <w:jc w:val="both"/>
        <w:rPr>
          <w:sz w:val="24"/>
          <w:szCs w:val="24"/>
        </w:rPr>
      </w:pPr>
    </w:p>
    <w:p w:rsidR="009D061C" w:rsidRPr="00A10831" w:rsidRDefault="009D061C" w:rsidP="009D061C">
      <w:pPr>
        <w:autoSpaceDE w:val="0"/>
        <w:autoSpaceDN w:val="0"/>
        <w:adjustRightInd w:val="0"/>
        <w:ind w:left="851" w:right="-171"/>
        <w:jc w:val="both"/>
        <w:rPr>
          <w:i/>
          <w:sz w:val="24"/>
          <w:szCs w:val="24"/>
        </w:rPr>
      </w:pPr>
      <w:r w:rsidRPr="00A10831">
        <w:rPr>
          <w:i/>
          <w:sz w:val="24"/>
          <w:szCs w:val="24"/>
        </w:rPr>
        <w:t>Overtræk:</w:t>
      </w:r>
    </w:p>
    <w:p w:rsidR="001358B7" w:rsidRPr="004741A5" w:rsidRDefault="001358B7" w:rsidP="001358B7">
      <w:pPr>
        <w:autoSpaceDE w:val="0"/>
        <w:autoSpaceDN w:val="0"/>
        <w:adjustRightInd w:val="0"/>
        <w:ind w:left="851" w:right="-171"/>
        <w:jc w:val="both"/>
        <w:rPr>
          <w:sz w:val="24"/>
          <w:szCs w:val="24"/>
        </w:rPr>
      </w:pPr>
      <w:proofErr w:type="spellStart"/>
      <w:r w:rsidRPr="004741A5">
        <w:rPr>
          <w:sz w:val="24"/>
          <w:szCs w:val="24"/>
        </w:rPr>
        <w:t>Hypromellose</w:t>
      </w:r>
      <w:proofErr w:type="spellEnd"/>
      <w:r w:rsidRPr="004741A5">
        <w:rPr>
          <w:sz w:val="24"/>
          <w:szCs w:val="24"/>
        </w:rPr>
        <w:t xml:space="preserve"> 5cPs</w:t>
      </w:r>
    </w:p>
    <w:p w:rsidR="001358B7" w:rsidRPr="004741A5" w:rsidRDefault="001358B7" w:rsidP="001358B7">
      <w:pPr>
        <w:autoSpaceDE w:val="0"/>
        <w:autoSpaceDN w:val="0"/>
        <w:adjustRightInd w:val="0"/>
        <w:ind w:left="851" w:right="-171"/>
        <w:jc w:val="both"/>
        <w:rPr>
          <w:sz w:val="24"/>
          <w:szCs w:val="24"/>
        </w:rPr>
      </w:pPr>
      <w:proofErr w:type="spellStart"/>
      <w:r w:rsidRPr="004741A5">
        <w:rPr>
          <w:sz w:val="24"/>
          <w:szCs w:val="24"/>
        </w:rPr>
        <w:t>Macrogol</w:t>
      </w:r>
      <w:proofErr w:type="spellEnd"/>
      <w:r w:rsidRPr="004741A5">
        <w:rPr>
          <w:sz w:val="24"/>
          <w:szCs w:val="24"/>
        </w:rPr>
        <w:t xml:space="preserve"> 400</w:t>
      </w:r>
    </w:p>
    <w:p w:rsidR="001358B7" w:rsidRPr="004741A5" w:rsidRDefault="001358B7" w:rsidP="001358B7">
      <w:pPr>
        <w:autoSpaceDE w:val="0"/>
        <w:autoSpaceDN w:val="0"/>
        <w:adjustRightInd w:val="0"/>
        <w:ind w:left="851" w:right="-171"/>
        <w:jc w:val="both"/>
        <w:rPr>
          <w:sz w:val="24"/>
          <w:szCs w:val="24"/>
        </w:rPr>
      </w:pPr>
      <w:r w:rsidRPr="004741A5">
        <w:rPr>
          <w:sz w:val="24"/>
          <w:szCs w:val="24"/>
        </w:rPr>
        <w:t>Titandioxid (E171)</w:t>
      </w:r>
    </w:p>
    <w:p w:rsidR="009D061C" w:rsidRPr="004741A5" w:rsidRDefault="009D061C" w:rsidP="001358B7">
      <w:pPr>
        <w:rPr>
          <w:sz w:val="24"/>
          <w:szCs w:val="24"/>
        </w:rPr>
      </w:pPr>
    </w:p>
    <w:p w:rsidR="009D061C" w:rsidRPr="00A10831" w:rsidRDefault="009D061C" w:rsidP="009D061C">
      <w:pPr>
        <w:ind w:left="851" w:hanging="851"/>
        <w:rPr>
          <w:b/>
          <w:sz w:val="24"/>
          <w:szCs w:val="24"/>
        </w:rPr>
      </w:pPr>
      <w:r w:rsidRPr="00A10831">
        <w:rPr>
          <w:b/>
          <w:sz w:val="24"/>
          <w:szCs w:val="24"/>
        </w:rPr>
        <w:t>6.2</w:t>
      </w:r>
      <w:r w:rsidRPr="00A10831">
        <w:rPr>
          <w:b/>
          <w:sz w:val="24"/>
          <w:szCs w:val="24"/>
        </w:rPr>
        <w:tab/>
        <w:t>Uforligeligheder</w:t>
      </w:r>
    </w:p>
    <w:p w:rsidR="009D061C" w:rsidRPr="00A10831" w:rsidRDefault="009D061C" w:rsidP="009D061C">
      <w:pPr>
        <w:ind w:left="851"/>
        <w:rPr>
          <w:sz w:val="24"/>
          <w:szCs w:val="24"/>
        </w:rPr>
      </w:pPr>
      <w:r w:rsidRPr="00A10831">
        <w:rPr>
          <w:sz w:val="24"/>
          <w:szCs w:val="24"/>
        </w:rPr>
        <w:t>Ikke relevant.</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6.3</w:t>
      </w:r>
      <w:r w:rsidRPr="00A10831">
        <w:rPr>
          <w:b/>
          <w:sz w:val="24"/>
          <w:szCs w:val="24"/>
        </w:rPr>
        <w:tab/>
        <w:t>Opbevaringstid</w:t>
      </w:r>
    </w:p>
    <w:p w:rsidR="009D061C" w:rsidRPr="00A10831" w:rsidRDefault="009D061C" w:rsidP="009D061C">
      <w:pPr>
        <w:ind w:left="851" w:hanging="851"/>
        <w:rPr>
          <w:spacing w:val="-3"/>
          <w:sz w:val="24"/>
          <w:szCs w:val="24"/>
        </w:rPr>
      </w:pPr>
      <w:r w:rsidRPr="00A10831">
        <w:rPr>
          <w:sz w:val="24"/>
          <w:szCs w:val="24"/>
        </w:rPr>
        <w:tab/>
      </w:r>
      <w:r w:rsidR="00FA45B2">
        <w:rPr>
          <w:sz w:val="24"/>
          <w:szCs w:val="24"/>
        </w:rPr>
        <w:t>5</w:t>
      </w:r>
      <w:r w:rsidRPr="00A10831">
        <w:rPr>
          <w:sz w:val="24"/>
          <w:szCs w:val="24"/>
        </w:rPr>
        <w:t xml:space="preserve"> år.</w:t>
      </w:r>
    </w:p>
    <w:p w:rsidR="009D061C" w:rsidRPr="00A10831" w:rsidRDefault="009D061C" w:rsidP="009D061C">
      <w:pPr>
        <w:ind w:left="851" w:hanging="851"/>
        <w:rPr>
          <w:sz w:val="24"/>
          <w:szCs w:val="24"/>
        </w:rPr>
      </w:pPr>
    </w:p>
    <w:p w:rsidR="009D061C" w:rsidRPr="001358B7" w:rsidRDefault="009D061C" w:rsidP="001358B7">
      <w:pPr>
        <w:ind w:left="851" w:hanging="851"/>
        <w:rPr>
          <w:b/>
          <w:sz w:val="24"/>
          <w:szCs w:val="24"/>
        </w:rPr>
      </w:pPr>
      <w:r w:rsidRPr="00A10831">
        <w:rPr>
          <w:b/>
          <w:sz w:val="24"/>
          <w:szCs w:val="24"/>
        </w:rPr>
        <w:t>6.4</w:t>
      </w:r>
      <w:r w:rsidRPr="00A10831">
        <w:rPr>
          <w:b/>
          <w:sz w:val="24"/>
          <w:szCs w:val="24"/>
        </w:rPr>
        <w:tab/>
        <w:t>Særlige opbevaringsforhold</w:t>
      </w:r>
    </w:p>
    <w:p w:rsidR="009D061C" w:rsidRPr="00A10831" w:rsidRDefault="009D061C" w:rsidP="009D061C">
      <w:pPr>
        <w:ind w:left="851" w:right="-171"/>
        <w:rPr>
          <w:sz w:val="24"/>
          <w:szCs w:val="24"/>
          <w:u w:val="single"/>
        </w:rPr>
      </w:pPr>
      <w:r w:rsidRPr="00A10831">
        <w:rPr>
          <w:sz w:val="24"/>
          <w:szCs w:val="24"/>
          <w:u w:val="single"/>
        </w:rPr>
        <w:t>PVC/</w:t>
      </w:r>
      <w:proofErr w:type="spellStart"/>
      <w:r w:rsidRPr="00A10831">
        <w:rPr>
          <w:sz w:val="24"/>
          <w:szCs w:val="24"/>
          <w:u w:val="single"/>
        </w:rPr>
        <w:t>PVdC</w:t>
      </w:r>
      <w:proofErr w:type="spellEnd"/>
      <w:r w:rsidRPr="00A10831">
        <w:rPr>
          <w:sz w:val="24"/>
          <w:szCs w:val="24"/>
          <w:u w:val="single"/>
        </w:rPr>
        <w:t xml:space="preserve">- </w:t>
      </w:r>
      <w:proofErr w:type="spellStart"/>
      <w:r w:rsidRPr="00A10831">
        <w:rPr>
          <w:sz w:val="24"/>
          <w:szCs w:val="24"/>
          <w:u w:val="single"/>
        </w:rPr>
        <w:t>Alu</w:t>
      </w:r>
      <w:proofErr w:type="spellEnd"/>
      <w:r w:rsidRPr="00A10831">
        <w:rPr>
          <w:sz w:val="24"/>
          <w:szCs w:val="24"/>
          <w:u w:val="single"/>
        </w:rPr>
        <w:t xml:space="preserve"> blister:</w:t>
      </w:r>
    </w:p>
    <w:p w:rsidR="009D061C" w:rsidRPr="00A10831" w:rsidRDefault="009D061C" w:rsidP="009D061C">
      <w:pPr>
        <w:ind w:left="851"/>
        <w:rPr>
          <w:color w:val="000000"/>
          <w:sz w:val="24"/>
          <w:szCs w:val="24"/>
        </w:rPr>
      </w:pPr>
      <w:r>
        <w:rPr>
          <w:sz w:val="24"/>
          <w:szCs w:val="24"/>
        </w:rPr>
        <w:t xml:space="preserve">Der er </w:t>
      </w:r>
      <w:r w:rsidRPr="00A10831">
        <w:rPr>
          <w:sz w:val="24"/>
          <w:szCs w:val="24"/>
        </w:rPr>
        <w:t>ingen særlige</w:t>
      </w:r>
      <w:r>
        <w:rPr>
          <w:sz w:val="24"/>
          <w:szCs w:val="24"/>
        </w:rPr>
        <w:t xml:space="preserve"> krav vedrørende</w:t>
      </w:r>
      <w:r w:rsidRPr="00A10831">
        <w:rPr>
          <w:sz w:val="24"/>
          <w:szCs w:val="24"/>
        </w:rPr>
        <w:t xml:space="preserve"> opbevaringstemperaturer</w:t>
      </w:r>
      <w:r>
        <w:rPr>
          <w:sz w:val="24"/>
          <w:szCs w:val="24"/>
        </w:rPr>
        <w:t xml:space="preserve"> for dette lægemiddel</w:t>
      </w:r>
      <w:r w:rsidRPr="00A10831">
        <w:rPr>
          <w:sz w:val="24"/>
          <w:szCs w:val="24"/>
        </w:rPr>
        <w:t>.</w:t>
      </w:r>
    </w:p>
    <w:p w:rsidR="009D061C" w:rsidRPr="00A10831" w:rsidRDefault="009D061C" w:rsidP="009D061C">
      <w:pPr>
        <w:numPr>
          <w:ilvl w:val="12"/>
          <w:numId w:val="0"/>
        </w:numPr>
        <w:ind w:left="851" w:right="-2"/>
        <w:rPr>
          <w:color w:val="000000"/>
          <w:sz w:val="24"/>
          <w:szCs w:val="24"/>
        </w:rPr>
      </w:pPr>
    </w:p>
    <w:p w:rsidR="009D061C" w:rsidRPr="00A10831" w:rsidRDefault="009D061C" w:rsidP="001358B7">
      <w:pPr>
        <w:keepNext/>
        <w:ind w:left="851" w:right="-170"/>
        <w:rPr>
          <w:sz w:val="24"/>
          <w:szCs w:val="24"/>
        </w:rPr>
      </w:pPr>
      <w:r w:rsidRPr="00A10831">
        <w:rPr>
          <w:sz w:val="24"/>
          <w:szCs w:val="24"/>
          <w:u w:val="single"/>
        </w:rPr>
        <w:t>HDPE-beholder</w:t>
      </w:r>
      <w:r w:rsidRPr="00A10831">
        <w:rPr>
          <w:sz w:val="24"/>
          <w:szCs w:val="24"/>
        </w:rPr>
        <w:t xml:space="preserve">: </w:t>
      </w:r>
    </w:p>
    <w:p w:rsidR="009D061C" w:rsidRPr="00A10831" w:rsidRDefault="009D061C" w:rsidP="009D061C">
      <w:pPr>
        <w:ind w:left="851"/>
        <w:rPr>
          <w:color w:val="000000"/>
          <w:sz w:val="24"/>
          <w:szCs w:val="24"/>
        </w:rPr>
      </w:pPr>
      <w:r>
        <w:rPr>
          <w:sz w:val="24"/>
          <w:szCs w:val="24"/>
        </w:rPr>
        <w:t xml:space="preserve">Der er </w:t>
      </w:r>
      <w:r w:rsidRPr="00A10831">
        <w:rPr>
          <w:sz w:val="24"/>
          <w:szCs w:val="24"/>
        </w:rPr>
        <w:t>ingen særlige</w:t>
      </w:r>
      <w:r>
        <w:rPr>
          <w:sz w:val="24"/>
          <w:szCs w:val="24"/>
        </w:rPr>
        <w:t xml:space="preserve"> krav vedrørende</w:t>
      </w:r>
      <w:r w:rsidRPr="00A10831">
        <w:rPr>
          <w:sz w:val="24"/>
          <w:szCs w:val="24"/>
        </w:rPr>
        <w:t xml:space="preserve"> opbevaringstemperaturer</w:t>
      </w:r>
      <w:r>
        <w:rPr>
          <w:sz w:val="24"/>
          <w:szCs w:val="24"/>
        </w:rPr>
        <w:t xml:space="preserve"> for dette lægemiddel</w:t>
      </w:r>
      <w:r w:rsidRPr="00A10831">
        <w:rPr>
          <w:sz w:val="24"/>
          <w:szCs w:val="24"/>
        </w:rPr>
        <w:t>.</w:t>
      </w:r>
    </w:p>
    <w:p w:rsidR="009D061C" w:rsidRPr="00A10831" w:rsidRDefault="009D061C" w:rsidP="009D061C">
      <w:pPr>
        <w:numPr>
          <w:ilvl w:val="12"/>
          <w:numId w:val="0"/>
        </w:numPr>
        <w:ind w:left="851" w:right="-2"/>
        <w:rPr>
          <w:color w:val="000000"/>
          <w:sz w:val="24"/>
          <w:szCs w:val="24"/>
        </w:rPr>
      </w:pPr>
      <w:r w:rsidRPr="00A10831">
        <w:rPr>
          <w:color w:val="000000"/>
          <w:sz w:val="24"/>
          <w:szCs w:val="24"/>
        </w:rPr>
        <w:t>Hold beholderen tæt tillukket for at beskytte mod fugt.</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6.5</w:t>
      </w:r>
      <w:r w:rsidRPr="00A10831">
        <w:rPr>
          <w:b/>
          <w:sz w:val="24"/>
          <w:szCs w:val="24"/>
        </w:rPr>
        <w:tab/>
        <w:t>Emballagetype og pakningsstørrelser</w:t>
      </w:r>
    </w:p>
    <w:p w:rsidR="001358B7" w:rsidRDefault="001358B7" w:rsidP="001358B7">
      <w:pPr>
        <w:ind w:left="851" w:right="-171"/>
        <w:rPr>
          <w:sz w:val="24"/>
          <w:szCs w:val="24"/>
        </w:rPr>
      </w:pPr>
      <w:r>
        <w:rPr>
          <w:sz w:val="24"/>
          <w:szCs w:val="24"/>
        </w:rPr>
        <w:t>PVC/</w:t>
      </w:r>
      <w:proofErr w:type="spellStart"/>
      <w:r>
        <w:rPr>
          <w:sz w:val="24"/>
          <w:szCs w:val="24"/>
        </w:rPr>
        <w:t>PVdC</w:t>
      </w:r>
      <w:proofErr w:type="spellEnd"/>
      <w:r>
        <w:rPr>
          <w:sz w:val="24"/>
          <w:szCs w:val="24"/>
        </w:rPr>
        <w:t xml:space="preserve"> - </w:t>
      </w:r>
      <w:proofErr w:type="spellStart"/>
      <w:r>
        <w:rPr>
          <w:sz w:val="24"/>
          <w:szCs w:val="24"/>
        </w:rPr>
        <w:t>Alu</w:t>
      </w:r>
      <w:proofErr w:type="spellEnd"/>
      <w:r>
        <w:rPr>
          <w:sz w:val="24"/>
          <w:szCs w:val="24"/>
        </w:rPr>
        <w:t xml:space="preserve"> blisterpakninger og HDPE-beholdere.</w:t>
      </w:r>
    </w:p>
    <w:p w:rsidR="001358B7" w:rsidRDefault="001358B7" w:rsidP="001358B7">
      <w:pPr>
        <w:ind w:left="851" w:right="-171"/>
        <w:rPr>
          <w:sz w:val="24"/>
          <w:szCs w:val="24"/>
        </w:rPr>
      </w:pPr>
    </w:p>
    <w:p w:rsidR="001358B7" w:rsidRDefault="001358B7" w:rsidP="001358B7">
      <w:pPr>
        <w:ind w:left="851" w:right="-171"/>
        <w:rPr>
          <w:sz w:val="24"/>
          <w:szCs w:val="24"/>
          <w:u w:val="single"/>
        </w:rPr>
      </w:pPr>
      <w:r>
        <w:rPr>
          <w:sz w:val="24"/>
          <w:szCs w:val="24"/>
          <w:u w:val="single"/>
        </w:rPr>
        <w:t>PVC/</w:t>
      </w:r>
      <w:proofErr w:type="spellStart"/>
      <w:r>
        <w:rPr>
          <w:sz w:val="24"/>
          <w:szCs w:val="24"/>
          <w:u w:val="single"/>
        </w:rPr>
        <w:t>PVdC</w:t>
      </w:r>
      <w:proofErr w:type="spellEnd"/>
      <w:r>
        <w:rPr>
          <w:sz w:val="24"/>
          <w:szCs w:val="24"/>
          <w:u w:val="single"/>
        </w:rPr>
        <w:t xml:space="preserve">- </w:t>
      </w:r>
      <w:proofErr w:type="spellStart"/>
      <w:r>
        <w:rPr>
          <w:sz w:val="24"/>
          <w:szCs w:val="24"/>
          <w:u w:val="single"/>
        </w:rPr>
        <w:t>Alu</w:t>
      </w:r>
      <w:proofErr w:type="spellEnd"/>
      <w:r>
        <w:rPr>
          <w:sz w:val="24"/>
          <w:szCs w:val="24"/>
          <w:u w:val="single"/>
        </w:rPr>
        <w:t xml:space="preserve"> blister:</w:t>
      </w:r>
    </w:p>
    <w:p w:rsidR="001358B7" w:rsidRDefault="001358B7" w:rsidP="001358B7">
      <w:pPr>
        <w:ind w:left="851" w:right="-171"/>
        <w:rPr>
          <w:sz w:val="24"/>
          <w:szCs w:val="24"/>
        </w:rPr>
      </w:pPr>
      <w:r>
        <w:rPr>
          <w:sz w:val="24"/>
          <w:szCs w:val="24"/>
        </w:rPr>
        <w:t>20, 25, 28, 30, 50, 60, 100 og 250 tabletter.</w:t>
      </w:r>
    </w:p>
    <w:p w:rsidR="001358B7" w:rsidRDefault="001358B7" w:rsidP="001358B7">
      <w:pPr>
        <w:ind w:left="851" w:right="-171"/>
        <w:rPr>
          <w:sz w:val="24"/>
          <w:szCs w:val="24"/>
          <w:u w:val="single"/>
        </w:rPr>
      </w:pPr>
    </w:p>
    <w:p w:rsidR="001358B7" w:rsidRDefault="001358B7" w:rsidP="001358B7">
      <w:pPr>
        <w:ind w:left="851" w:right="-171"/>
        <w:rPr>
          <w:sz w:val="24"/>
          <w:szCs w:val="24"/>
          <w:u w:val="single"/>
        </w:rPr>
      </w:pPr>
      <w:r>
        <w:rPr>
          <w:sz w:val="24"/>
          <w:szCs w:val="24"/>
          <w:u w:val="single"/>
        </w:rPr>
        <w:t xml:space="preserve">HDPE-beholder med </w:t>
      </w:r>
      <w:r>
        <w:rPr>
          <w:u w:val="single"/>
        </w:rPr>
        <w:t>børnesikret</w:t>
      </w:r>
      <w:r>
        <w:rPr>
          <w:sz w:val="24"/>
          <w:szCs w:val="24"/>
          <w:u w:val="single"/>
        </w:rPr>
        <w:t xml:space="preserve"> polypropylenlåg og med indlæg og tørremiddel af </w:t>
      </w:r>
      <w:proofErr w:type="spellStart"/>
      <w:r>
        <w:rPr>
          <w:sz w:val="24"/>
          <w:szCs w:val="24"/>
          <w:u w:val="single"/>
        </w:rPr>
        <w:t>silicagel</w:t>
      </w:r>
      <w:proofErr w:type="spellEnd"/>
      <w:r>
        <w:rPr>
          <w:sz w:val="24"/>
          <w:szCs w:val="24"/>
          <w:u w:val="single"/>
        </w:rPr>
        <w:t xml:space="preserve">: </w:t>
      </w:r>
    </w:p>
    <w:p w:rsidR="001358B7" w:rsidRDefault="001358B7" w:rsidP="001358B7">
      <w:pPr>
        <w:ind w:left="851" w:right="-171"/>
        <w:rPr>
          <w:sz w:val="24"/>
          <w:szCs w:val="24"/>
        </w:rPr>
      </w:pPr>
      <w:r>
        <w:rPr>
          <w:sz w:val="24"/>
          <w:szCs w:val="24"/>
        </w:rPr>
        <w:t>20, 25, 28, 30, 50, 60 og 100 tabletter.</w:t>
      </w:r>
    </w:p>
    <w:p w:rsidR="001358B7" w:rsidRDefault="001358B7" w:rsidP="001358B7">
      <w:pPr>
        <w:ind w:left="851" w:right="-171"/>
        <w:rPr>
          <w:sz w:val="24"/>
          <w:szCs w:val="24"/>
          <w:highlight w:val="lightGray"/>
        </w:rPr>
      </w:pPr>
    </w:p>
    <w:p w:rsidR="001358B7" w:rsidRDefault="001358B7" w:rsidP="001358B7">
      <w:pPr>
        <w:ind w:left="851" w:right="-171"/>
        <w:rPr>
          <w:sz w:val="24"/>
          <w:szCs w:val="24"/>
          <w:highlight w:val="lightGray"/>
        </w:rPr>
      </w:pPr>
      <w:r>
        <w:rPr>
          <w:sz w:val="24"/>
          <w:szCs w:val="24"/>
          <w:u w:val="single"/>
        </w:rPr>
        <w:t xml:space="preserve">HDPE-beholder med låg af polypropylen og med indlæg og tørremiddel af </w:t>
      </w:r>
      <w:proofErr w:type="spellStart"/>
      <w:r>
        <w:rPr>
          <w:sz w:val="24"/>
          <w:szCs w:val="24"/>
          <w:u w:val="single"/>
        </w:rPr>
        <w:t>silicagel</w:t>
      </w:r>
      <w:proofErr w:type="spellEnd"/>
      <w:r>
        <w:rPr>
          <w:sz w:val="24"/>
          <w:szCs w:val="24"/>
          <w:u w:val="single"/>
        </w:rPr>
        <w:t>:</w:t>
      </w:r>
    </w:p>
    <w:p w:rsidR="001358B7" w:rsidRDefault="001358B7" w:rsidP="001358B7">
      <w:pPr>
        <w:suppressAutoHyphens/>
        <w:ind w:left="851"/>
        <w:rPr>
          <w:sz w:val="24"/>
          <w:szCs w:val="24"/>
        </w:rPr>
      </w:pPr>
      <w:r>
        <w:rPr>
          <w:sz w:val="24"/>
          <w:szCs w:val="24"/>
        </w:rPr>
        <w:t>250 tabletter. Denne pakning er til dosisdispensering.</w:t>
      </w:r>
    </w:p>
    <w:p w:rsidR="001358B7" w:rsidRDefault="001358B7" w:rsidP="001358B7">
      <w:pPr>
        <w:suppressAutoHyphens/>
        <w:ind w:left="851"/>
        <w:rPr>
          <w:sz w:val="24"/>
          <w:szCs w:val="24"/>
        </w:rPr>
      </w:pPr>
    </w:p>
    <w:p w:rsidR="001358B7" w:rsidRDefault="001358B7" w:rsidP="001358B7">
      <w:pPr>
        <w:suppressAutoHyphens/>
        <w:ind w:left="851"/>
        <w:rPr>
          <w:sz w:val="24"/>
          <w:szCs w:val="24"/>
        </w:rPr>
      </w:pPr>
      <w:r>
        <w:rPr>
          <w:sz w:val="24"/>
          <w:szCs w:val="24"/>
        </w:rPr>
        <w:t>Ikke alle pakningsstørrelser er nødvendigvis markedsført.</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6.6</w:t>
      </w:r>
      <w:r w:rsidRPr="00A10831">
        <w:rPr>
          <w:b/>
          <w:sz w:val="24"/>
          <w:szCs w:val="24"/>
        </w:rPr>
        <w:tab/>
      </w:r>
      <w:r w:rsidR="00F32575">
        <w:rPr>
          <w:b/>
          <w:sz w:val="24"/>
          <w:szCs w:val="24"/>
        </w:rPr>
        <w:t>Regler for bortskaffelse og anden håndtering</w:t>
      </w:r>
    </w:p>
    <w:p w:rsidR="009D061C" w:rsidRPr="00A10831" w:rsidRDefault="009D061C" w:rsidP="009D061C">
      <w:pPr>
        <w:ind w:left="851"/>
        <w:rPr>
          <w:sz w:val="24"/>
          <w:szCs w:val="24"/>
        </w:rPr>
      </w:pPr>
      <w:r w:rsidRPr="00A10831">
        <w:rPr>
          <w:sz w:val="24"/>
          <w:szCs w:val="24"/>
        </w:rPr>
        <w:t>Ikke anvendt lægemiddel samt affald heraf skal bortskaffes i henhold til lokale retningslinjer.</w:t>
      </w:r>
    </w:p>
    <w:p w:rsidR="009D061C" w:rsidRPr="00A10831" w:rsidRDefault="009D061C" w:rsidP="009D061C">
      <w:pPr>
        <w:ind w:left="851" w:hanging="851"/>
        <w:jc w:val="both"/>
        <w:rPr>
          <w:sz w:val="24"/>
          <w:szCs w:val="24"/>
        </w:rPr>
      </w:pPr>
    </w:p>
    <w:p w:rsidR="009D061C" w:rsidRPr="00A10831" w:rsidRDefault="009D061C" w:rsidP="009D061C">
      <w:pPr>
        <w:ind w:left="851" w:hanging="851"/>
        <w:rPr>
          <w:b/>
          <w:sz w:val="24"/>
          <w:szCs w:val="24"/>
        </w:rPr>
      </w:pPr>
      <w:r w:rsidRPr="00A10831">
        <w:rPr>
          <w:b/>
          <w:sz w:val="24"/>
          <w:szCs w:val="24"/>
        </w:rPr>
        <w:t>7.</w:t>
      </w:r>
      <w:r w:rsidRPr="00A10831">
        <w:rPr>
          <w:b/>
          <w:sz w:val="24"/>
          <w:szCs w:val="24"/>
        </w:rPr>
        <w:tab/>
        <w:t>INDEHAVER AF MARKEDSFØRINGSTILLADELSEN</w:t>
      </w:r>
    </w:p>
    <w:p w:rsidR="009D061C" w:rsidRPr="00A10831" w:rsidRDefault="009D061C" w:rsidP="009D061C">
      <w:pPr>
        <w:ind w:left="851"/>
        <w:rPr>
          <w:sz w:val="24"/>
          <w:szCs w:val="24"/>
        </w:rPr>
      </w:pPr>
      <w:proofErr w:type="spellStart"/>
      <w:r w:rsidRPr="00A10831">
        <w:rPr>
          <w:sz w:val="24"/>
          <w:szCs w:val="24"/>
        </w:rPr>
        <w:t>Bluefish</w:t>
      </w:r>
      <w:proofErr w:type="spellEnd"/>
      <w:r w:rsidRPr="00A10831">
        <w:rPr>
          <w:sz w:val="24"/>
          <w:szCs w:val="24"/>
        </w:rPr>
        <w:t xml:space="preserve"> Pharmaceuticals AB</w:t>
      </w:r>
    </w:p>
    <w:p w:rsidR="009D061C" w:rsidRPr="006071EB" w:rsidRDefault="009D061C" w:rsidP="009D061C">
      <w:pPr>
        <w:tabs>
          <w:tab w:val="left" w:pos="851"/>
        </w:tabs>
        <w:ind w:left="1702" w:hanging="851"/>
        <w:rPr>
          <w:sz w:val="24"/>
          <w:szCs w:val="24"/>
        </w:rPr>
      </w:pPr>
      <w:proofErr w:type="spellStart"/>
      <w:r>
        <w:rPr>
          <w:sz w:val="24"/>
          <w:szCs w:val="24"/>
        </w:rPr>
        <w:t>Gävlegatan</w:t>
      </w:r>
      <w:proofErr w:type="spellEnd"/>
      <w:r>
        <w:rPr>
          <w:sz w:val="24"/>
          <w:szCs w:val="24"/>
        </w:rPr>
        <w:t xml:space="preserve"> 22</w:t>
      </w:r>
    </w:p>
    <w:p w:rsidR="009D061C" w:rsidRPr="006071EB" w:rsidRDefault="009D061C" w:rsidP="009D061C">
      <w:pPr>
        <w:tabs>
          <w:tab w:val="left" w:pos="851"/>
        </w:tabs>
        <w:ind w:left="1702" w:hanging="851"/>
        <w:rPr>
          <w:sz w:val="24"/>
          <w:szCs w:val="24"/>
        </w:rPr>
      </w:pPr>
      <w:r>
        <w:rPr>
          <w:sz w:val="24"/>
          <w:szCs w:val="24"/>
        </w:rPr>
        <w:t>113 30 Stockholm</w:t>
      </w:r>
    </w:p>
    <w:p w:rsidR="009D061C" w:rsidRDefault="009D061C" w:rsidP="009D061C">
      <w:pPr>
        <w:ind w:left="851" w:hanging="851"/>
        <w:rPr>
          <w:sz w:val="24"/>
          <w:szCs w:val="24"/>
        </w:rPr>
      </w:pPr>
      <w:r>
        <w:rPr>
          <w:sz w:val="24"/>
          <w:szCs w:val="24"/>
        </w:rPr>
        <w:tab/>
      </w:r>
      <w:r w:rsidRPr="006071EB">
        <w:rPr>
          <w:sz w:val="24"/>
          <w:szCs w:val="24"/>
        </w:rPr>
        <w:t>Sverige</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8.</w:t>
      </w:r>
      <w:r w:rsidRPr="00A10831">
        <w:rPr>
          <w:b/>
          <w:sz w:val="24"/>
          <w:szCs w:val="24"/>
        </w:rPr>
        <w:tab/>
        <w:t>MARKEDSFØRINGSTILLADELSESNUMMER (</w:t>
      </w:r>
      <w:r w:rsidR="00F32575">
        <w:rPr>
          <w:b/>
          <w:sz w:val="24"/>
          <w:szCs w:val="24"/>
        </w:rPr>
        <w:t>-</w:t>
      </w:r>
      <w:r w:rsidRPr="00A10831">
        <w:rPr>
          <w:b/>
          <w:sz w:val="24"/>
          <w:szCs w:val="24"/>
        </w:rPr>
        <w:t>NUMRE)</w:t>
      </w:r>
    </w:p>
    <w:p w:rsidR="009D061C" w:rsidRPr="00A10831" w:rsidRDefault="009D061C" w:rsidP="009D061C">
      <w:pPr>
        <w:ind w:left="851"/>
        <w:rPr>
          <w:sz w:val="24"/>
          <w:szCs w:val="24"/>
        </w:rPr>
      </w:pPr>
      <w:r w:rsidRPr="00A10831">
        <w:rPr>
          <w:sz w:val="24"/>
          <w:szCs w:val="24"/>
        </w:rPr>
        <w:t>55833</w:t>
      </w:r>
    </w:p>
    <w:p w:rsidR="009D061C" w:rsidRPr="00A10831" w:rsidRDefault="009D061C" w:rsidP="009D061C">
      <w:pPr>
        <w:ind w:left="851" w:hanging="851"/>
        <w:jc w:val="both"/>
        <w:rPr>
          <w:sz w:val="24"/>
          <w:szCs w:val="24"/>
        </w:rPr>
      </w:pPr>
    </w:p>
    <w:p w:rsidR="009D061C" w:rsidRPr="00A10831" w:rsidRDefault="009D061C" w:rsidP="009D061C">
      <w:pPr>
        <w:ind w:left="851" w:hanging="851"/>
        <w:rPr>
          <w:b/>
          <w:sz w:val="24"/>
          <w:szCs w:val="24"/>
        </w:rPr>
      </w:pPr>
      <w:r w:rsidRPr="00A10831">
        <w:rPr>
          <w:b/>
          <w:sz w:val="24"/>
          <w:szCs w:val="24"/>
        </w:rPr>
        <w:t>9.</w:t>
      </w:r>
      <w:r w:rsidRPr="00A10831">
        <w:rPr>
          <w:b/>
          <w:sz w:val="24"/>
          <w:szCs w:val="24"/>
        </w:rPr>
        <w:tab/>
        <w:t>DATO FOR FØRSTE MARKEDSFØRINGSTILLADELSE</w:t>
      </w:r>
    </w:p>
    <w:p w:rsidR="009D061C" w:rsidRPr="00A10831" w:rsidRDefault="009D061C" w:rsidP="009D061C">
      <w:pPr>
        <w:ind w:left="851"/>
        <w:rPr>
          <w:sz w:val="24"/>
          <w:szCs w:val="24"/>
        </w:rPr>
      </w:pPr>
      <w:r>
        <w:rPr>
          <w:sz w:val="24"/>
          <w:szCs w:val="24"/>
        </w:rPr>
        <w:t>30</w:t>
      </w:r>
      <w:r w:rsidRPr="00A10831">
        <w:rPr>
          <w:sz w:val="24"/>
          <w:szCs w:val="24"/>
        </w:rPr>
        <w:t>. marts 2016</w:t>
      </w:r>
    </w:p>
    <w:p w:rsidR="009D061C" w:rsidRPr="00A10831" w:rsidRDefault="009D061C" w:rsidP="009D061C">
      <w:pPr>
        <w:ind w:left="851" w:hanging="851"/>
        <w:rPr>
          <w:sz w:val="24"/>
          <w:szCs w:val="24"/>
        </w:rPr>
      </w:pPr>
    </w:p>
    <w:p w:rsidR="009D061C" w:rsidRPr="00A10831" w:rsidRDefault="009D061C" w:rsidP="009D061C">
      <w:pPr>
        <w:ind w:left="851" w:hanging="851"/>
        <w:rPr>
          <w:b/>
          <w:sz w:val="24"/>
          <w:szCs w:val="24"/>
        </w:rPr>
      </w:pPr>
      <w:r w:rsidRPr="00A10831">
        <w:rPr>
          <w:b/>
          <w:sz w:val="24"/>
          <w:szCs w:val="24"/>
        </w:rPr>
        <w:t>10.</w:t>
      </w:r>
      <w:r w:rsidRPr="00A10831">
        <w:rPr>
          <w:b/>
          <w:sz w:val="24"/>
          <w:szCs w:val="24"/>
        </w:rPr>
        <w:tab/>
        <w:t>DATO FOR ÆNDRING AF TEKSTEN</w:t>
      </w:r>
    </w:p>
    <w:p w:rsidR="009D061C" w:rsidRPr="00A10831" w:rsidRDefault="001F5E7E" w:rsidP="009D061C">
      <w:pPr>
        <w:ind w:left="851"/>
        <w:rPr>
          <w:sz w:val="24"/>
          <w:szCs w:val="24"/>
        </w:rPr>
      </w:pPr>
      <w:r>
        <w:rPr>
          <w:sz w:val="24"/>
          <w:szCs w:val="24"/>
        </w:rPr>
        <w:t>1</w:t>
      </w:r>
      <w:bookmarkStart w:id="3" w:name="_GoBack"/>
      <w:bookmarkEnd w:id="3"/>
      <w:r w:rsidR="00110256">
        <w:rPr>
          <w:sz w:val="24"/>
          <w:szCs w:val="24"/>
        </w:rPr>
        <w:t>6</w:t>
      </w:r>
      <w:r w:rsidR="00F32575">
        <w:rPr>
          <w:sz w:val="24"/>
          <w:szCs w:val="24"/>
        </w:rPr>
        <w:t xml:space="preserve">. </w:t>
      </w:r>
      <w:r>
        <w:rPr>
          <w:sz w:val="24"/>
          <w:szCs w:val="24"/>
        </w:rPr>
        <w:t>oktober</w:t>
      </w:r>
      <w:r w:rsidR="00F32575">
        <w:rPr>
          <w:sz w:val="24"/>
          <w:szCs w:val="24"/>
        </w:rPr>
        <w:t xml:space="preserve"> 2024</w:t>
      </w:r>
    </w:p>
    <w:p w:rsidR="009D061C" w:rsidRPr="00D66BA9" w:rsidRDefault="009D061C" w:rsidP="009D061C"/>
    <w:p w:rsidR="009D061C" w:rsidRPr="00A23779" w:rsidRDefault="009D061C" w:rsidP="009D061C"/>
    <w:p w:rsidR="009260DE" w:rsidRPr="009D061C" w:rsidRDefault="009260DE" w:rsidP="009D061C"/>
    <w:sectPr w:rsidR="009260DE" w:rsidRPr="009D061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8E0" w:rsidRDefault="003508E0">
      <w:r>
        <w:separator/>
      </w:r>
    </w:p>
  </w:endnote>
  <w:endnote w:type="continuationSeparator" w:id="0">
    <w:p w:rsidR="003508E0" w:rsidRDefault="0035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358B7">
      <w:rPr>
        <w:i/>
        <w:noProof/>
        <w:sz w:val="18"/>
        <w:szCs w:val="18"/>
      </w:rPr>
      <w:t>Hydroxyzine Bluefish,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8E0" w:rsidRDefault="003508E0">
      <w:r>
        <w:separator/>
      </w:r>
    </w:p>
  </w:footnote>
  <w:footnote w:type="continuationSeparator" w:id="0">
    <w:p w:rsidR="003508E0" w:rsidRDefault="00350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0F57D1"/>
    <w:multiLevelType w:val="hybridMultilevel"/>
    <w:tmpl w:val="69CAFF90"/>
    <w:lvl w:ilvl="0" w:tplc="5E0C6EA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ACD682B"/>
    <w:multiLevelType w:val="hybridMultilevel"/>
    <w:tmpl w:val="2DEE5A2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61C"/>
    <w:rsid w:val="000259B9"/>
    <w:rsid w:val="00041491"/>
    <w:rsid w:val="00050D16"/>
    <w:rsid w:val="00063EBB"/>
    <w:rsid w:val="00074F2A"/>
    <w:rsid w:val="000A1CA8"/>
    <w:rsid w:val="000A466B"/>
    <w:rsid w:val="000B058C"/>
    <w:rsid w:val="000E4EE6"/>
    <w:rsid w:val="00110256"/>
    <w:rsid w:val="001358B7"/>
    <w:rsid w:val="001454E2"/>
    <w:rsid w:val="0017636C"/>
    <w:rsid w:val="001A17F4"/>
    <w:rsid w:val="001F5E7E"/>
    <w:rsid w:val="00206CE8"/>
    <w:rsid w:val="0021526C"/>
    <w:rsid w:val="00224A42"/>
    <w:rsid w:val="00283A2B"/>
    <w:rsid w:val="002A34ED"/>
    <w:rsid w:val="002A61BF"/>
    <w:rsid w:val="002B30AD"/>
    <w:rsid w:val="002C2C01"/>
    <w:rsid w:val="002E6152"/>
    <w:rsid w:val="003508E0"/>
    <w:rsid w:val="003A29AE"/>
    <w:rsid w:val="003A32D7"/>
    <w:rsid w:val="003B4074"/>
    <w:rsid w:val="003C769A"/>
    <w:rsid w:val="003F1838"/>
    <w:rsid w:val="0045746C"/>
    <w:rsid w:val="004741A5"/>
    <w:rsid w:val="0049104B"/>
    <w:rsid w:val="004E3B12"/>
    <w:rsid w:val="00532310"/>
    <w:rsid w:val="00560ECC"/>
    <w:rsid w:val="00565F0F"/>
    <w:rsid w:val="00594A86"/>
    <w:rsid w:val="00596D86"/>
    <w:rsid w:val="00637F5A"/>
    <w:rsid w:val="006560B1"/>
    <w:rsid w:val="00667922"/>
    <w:rsid w:val="006756DD"/>
    <w:rsid w:val="00690DA7"/>
    <w:rsid w:val="00737275"/>
    <w:rsid w:val="00740EEC"/>
    <w:rsid w:val="0078011A"/>
    <w:rsid w:val="00782AF4"/>
    <w:rsid w:val="00790EE7"/>
    <w:rsid w:val="007B6649"/>
    <w:rsid w:val="0081546F"/>
    <w:rsid w:val="0082576E"/>
    <w:rsid w:val="00861535"/>
    <w:rsid w:val="00907F75"/>
    <w:rsid w:val="009260DE"/>
    <w:rsid w:val="0093258A"/>
    <w:rsid w:val="009C7BA3"/>
    <w:rsid w:val="009D061C"/>
    <w:rsid w:val="009D1F5A"/>
    <w:rsid w:val="00B003BF"/>
    <w:rsid w:val="00B373D7"/>
    <w:rsid w:val="00B7015F"/>
    <w:rsid w:val="00BD24F9"/>
    <w:rsid w:val="00BD5776"/>
    <w:rsid w:val="00C15B43"/>
    <w:rsid w:val="00C36276"/>
    <w:rsid w:val="00C42586"/>
    <w:rsid w:val="00C60CCD"/>
    <w:rsid w:val="00C84483"/>
    <w:rsid w:val="00C95551"/>
    <w:rsid w:val="00CB20D7"/>
    <w:rsid w:val="00D020B0"/>
    <w:rsid w:val="00D11748"/>
    <w:rsid w:val="00D366CF"/>
    <w:rsid w:val="00D45578"/>
    <w:rsid w:val="00E108AA"/>
    <w:rsid w:val="00E31812"/>
    <w:rsid w:val="00E3749A"/>
    <w:rsid w:val="00E62A40"/>
    <w:rsid w:val="00E7437F"/>
    <w:rsid w:val="00E865B8"/>
    <w:rsid w:val="00EC0B9B"/>
    <w:rsid w:val="00ED5E9F"/>
    <w:rsid w:val="00F27611"/>
    <w:rsid w:val="00F32575"/>
    <w:rsid w:val="00F66D4F"/>
    <w:rsid w:val="00FA45B2"/>
    <w:rsid w:val="00FB6D01"/>
    <w:rsid w:val="00FF128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3EBE3"/>
  <w15:chartTrackingRefBased/>
  <w15:docId w15:val="{C7773A49-E221-4D36-8E30-F96FCA92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9D061C"/>
    <w:rPr>
      <w:color w:val="0000FF"/>
      <w:u w:val="single"/>
    </w:rPr>
  </w:style>
  <w:style w:type="paragraph" w:styleId="Listeafsnit">
    <w:name w:val="List Paragraph"/>
    <w:basedOn w:val="Normal"/>
    <w:uiPriority w:val="34"/>
    <w:qFormat/>
    <w:rsid w:val="009D061C"/>
    <w:pPr>
      <w:ind w:left="720"/>
      <w:contextualSpacing/>
    </w:pPr>
  </w:style>
  <w:style w:type="paragraph" w:styleId="NormalWeb">
    <w:name w:val="Normal (Web)"/>
    <w:basedOn w:val="Normal"/>
    <w:uiPriority w:val="99"/>
    <w:semiHidden/>
    <w:unhideWhenUsed/>
    <w:rsid w:val="00F32575"/>
    <w:pPr>
      <w:spacing w:before="100" w:beforeAutospacing="1" w:after="100" w:afterAutospacing="1"/>
    </w:pPr>
    <w:rPr>
      <w:sz w:val="24"/>
      <w:szCs w:val="24"/>
      <w:lang w:val="en-IN" w:eastAsia="en-IN"/>
    </w:rPr>
  </w:style>
  <w:style w:type="character" w:customStyle="1" w:styleId="word-explaination">
    <w:name w:val="word-explaination"/>
    <w:basedOn w:val="Standardskrifttypeiafsnit"/>
    <w:rsid w:val="00F32575"/>
  </w:style>
  <w:style w:type="character" w:styleId="Strk">
    <w:name w:val="Strong"/>
    <w:basedOn w:val="Standardskrifttypeiafsnit"/>
    <w:uiPriority w:val="22"/>
    <w:qFormat/>
    <w:rsid w:val="00F32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39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9511607">
      <w:bodyDiv w:val="1"/>
      <w:marLeft w:val="0"/>
      <w:marRight w:val="0"/>
      <w:marTop w:val="0"/>
      <w:marBottom w:val="0"/>
      <w:divBdr>
        <w:top w:val="none" w:sz="0" w:space="0" w:color="auto"/>
        <w:left w:val="none" w:sz="0" w:space="0" w:color="auto"/>
        <w:bottom w:val="none" w:sz="0" w:space="0" w:color="auto"/>
        <w:right w:val="none" w:sz="0" w:space="0" w:color="auto"/>
      </w:divBdr>
    </w:div>
    <w:div w:id="730036066">
      <w:bodyDiv w:val="1"/>
      <w:marLeft w:val="0"/>
      <w:marRight w:val="0"/>
      <w:marTop w:val="0"/>
      <w:marBottom w:val="0"/>
      <w:divBdr>
        <w:top w:val="none" w:sz="0" w:space="0" w:color="auto"/>
        <w:left w:val="none" w:sz="0" w:space="0" w:color="auto"/>
        <w:bottom w:val="none" w:sz="0" w:space="0" w:color="auto"/>
        <w:right w:val="none" w:sz="0" w:space="0" w:color="auto"/>
      </w:divBdr>
    </w:div>
    <w:div w:id="821779639">
      <w:bodyDiv w:val="1"/>
      <w:marLeft w:val="0"/>
      <w:marRight w:val="0"/>
      <w:marTop w:val="0"/>
      <w:marBottom w:val="0"/>
      <w:divBdr>
        <w:top w:val="none" w:sz="0" w:space="0" w:color="auto"/>
        <w:left w:val="none" w:sz="0" w:space="0" w:color="auto"/>
        <w:bottom w:val="none" w:sz="0" w:space="0" w:color="auto"/>
        <w:right w:val="none" w:sz="0" w:space="0" w:color="auto"/>
      </w:divBdr>
    </w:div>
    <w:div w:id="1047678125">
      <w:bodyDiv w:val="1"/>
      <w:marLeft w:val="0"/>
      <w:marRight w:val="0"/>
      <w:marTop w:val="0"/>
      <w:marBottom w:val="0"/>
      <w:divBdr>
        <w:top w:val="none" w:sz="0" w:space="0" w:color="auto"/>
        <w:left w:val="none" w:sz="0" w:space="0" w:color="auto"/>
        <w:bottom w:val="none" w:sz="0" w:space="0" w:color="auto"/>
        <w:right w:val="none" w:sz="0" w:space="0" w:color="auto"/>
      </w:divBdr>
    </w:div>
    <w:div w:id="1315717717">
      <w:bodyDiv w:val="1"/>
      <w:marLeft w:val="0"/>
      <w:marRight w:val="0"/>
      <w:marTop w:val="0"/>
      <w:marBottom w:val="0"/>
      <w:divBdr>
        <w:top w:val="none" w:sz="0" w:space="0" w:color="auto"/>
        <w:left w:val="none" w:sz="0" w:space="0" w:color="auto"/>
        <w:bottom w:val="none" w:sz="0" w:space="0" w:color="auto"/>
        <w:right w:val="none" w:sz="0" w:space="0" w:color="auto"/>
      </w:divBdr>
    </w:div>
    <w:div w:id="1326519972">
      <w:bodyDiv w:val="1"/>
      <w:marLeft w:val="0"/>
      <w:marRight w:val="0"/>
      <w:marTop w:val="0"/>
      <w:marBottom w:val="0"/>
      <w:divBdr>
        <w:top w:val="none" w:sz="0" w:space="0" w:color="auto"/>
        <w:left w:val="none" w:sz="0" w:space="0" w:color="auto"/>
        <w:bottom w:val="none" w:sz="0" w:space="0" w:color="auto"/>
        <w:right w:val="none" w:sz="0" w:space="0" w:color="auto"/>
      </w:divBdr>
    </w:div>
    <w:div w:id="1348873041">
      <w:bodyDiv w:val="1"/>
      <w:marLeft w:val="0"/>
      <w:marRight w:val="0"/>
      <w:marTop w:val="0"/>
      <w:marBottom w:val="0"/>
      <w:divBdr>
        <w:top w:val="none" w:sz="0" w:space="0" w:color="auto"/>
        <w:left w:val="none" w:sz="0" w:space="0" w:color="auto"/>
        <w:bottom w:val="none" w:sz="0" w:space="0" w:color="auto"/>
        <w:right w:val="none" w:sz="0" w:space="0" w:color="auto"/>
      </w:divBdr>
    </w:div>
    <w:div w:id="1451313125">
      <w:bodyDiv w:val="1"/>
      <w:marLeft w:val="0"/>
      <w:marRight w:val="0"/>
      <w:marTop w:val="0"/>
      <w:marBottom w:val="0"/>
      <w:divBdr>
        <w:top w:val="none" w:sz="0" w:space="0" w:color="auto"/>
        <w:left w:val="none" w:sz="0" w:space="0" w:color="auto"/>
        <w:bottom w:val="none" w:sz="0" w:space="0" w:color="auto"/>
        <w:right w:val="none" w:sz="0" w:space="0" w:color="auto"/>
      </w:divBdr>
    </w:div>
    <w:div w:id="1891644159">
      <w:bodyDiv w:val="1"/>
      <w:marLeft w:val="0"/>
      <w:marRight w:val="0"/>
      <w:marTop w:val="0"/>
      <w:marBottom w:val="0"/>
      <w:divBdr>
        <w:top w:val="none" w:sz="0" w:space="0" w:color="auto"/>
        <w:left w:val="none" w:sz="0" w:space="0" w:color="auto"/>
        <w:bottom w:val="none" w:sz="0" w:space="0" w:color="auto"/>
        <w:right w:val="none" w:sz="0" w:space="0" w:color="auto"/>
      </w:divBdr>
    </w:div>
    <w:div w:id="194729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3647</Words>
  <Characters>24627</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2024082743 pkt. 3 og 4.2.</dc:description>
  <cp:lastModifiedBy>Helle Søndersted</cp:lastModifiedBy>
  <cp:revision>2</cp:revision>
  <cp:lastPrinted>2012-08-22T08:53:00Z</cp:lastPrinted>
  <dcterms:created xsi:type="dcterms:W3CDTF">2024-10-16T11:38:00Z</dcterms:created>
  <dcterms:modified xsi:type="dcterms:W3CDTF">2024-10-16T11:38:00Z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