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CA27" w14:textId="77777777" w:rsidR="009260DE" w:rsidRPr="00E37D12" w:rsidRDefault="0021526C" w:rsidP="009260DE">
      <w:pPr>
        <w:rPr>
          <w:sz w:val="24"/>
          <w:szCs w:val="24"/>
        </w:rPr>
      </w:pPr>
      <w:bookmarkStart w:id="0" w:name="_GoBack"/>
      <w:bookmarkEnd w:id="0"/>
      <w:r w:rsidRPr="00E37D12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8240" behindDoc="0" locked="0" layoutInCell="1" allowOverlap="1" wp14:anchorId="6D823913" wp14:editId="37D48184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60CCD" w:rsidRPr="00E37D12">
        <w:rPr>
          <w:sz w:val="24"/>
          <w:szCs w:val="24"/>
        </w:rPr>
        <w:br w:type="textWrapping" w:clear="all"/>
      </w:r>
    </w:p>
    <w:p w14:paraId="73AC4BB1" w14:textId="37716189" w:rsidR="009260DE" w:rsidRPr="00E37D12" w:rsidRDefault="009260DE" w:rsidP="009260D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E37D12">
        <w:rPr>
          <w:b w:val="0"/>
          <w:szCs w:val="24"/>
          <w:lang w:eastAsia="en-US"/>
        </w:rPr>
        <w:tab/>
      </w:r>
      <w:r w:rsidR="00643CD5">
        <w:rPr>
          <w:szCs w:val="24"/>
        </w:rPr>
        <w:t>28. maj 2024</w:t>
      </w:r>
    </w:p>
    <w:p w14:paraId="33E0B432" w14:textId="77777777" w:rsidR="009260DE" w:rsidRPr="00E37D12" w:rsidRDefault="009260DE" w:rsidP="009260DE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14:paraId="4E6DB569" w14:textId="77777777" w:rsidR="009260DE" w:rsidRPr="00E37D12" w:rsidRDefault="009260DE" w:rsidP="009260DE">
      <w:pPr>
        <w:pStyle w:val="Titel"/>
        <w:jc w:val="left"/>
        <w:rPr>
          <w:b w:val="0"/>
          <w:szCs w:val="24"/>
        </w:rPr>
      </w:pPr>
    </w:p>
    <w:p w14:paraId="61D54F6A" w14:textId="77777777" w:rsidR="009260DE" w:rsidRPr="00E37D12" w:rsidRDefault="009260DE" w:rsidP="009260DE">
      <w:pPr>
        <w:pStyle w:val="Titel"/>
        <w:jc w:val="left"/>
        <w:rPr>
          <w:b w:val="0"/>
          <w:szCs w:val="24"/>
        </w:rPr>
      </w:pPr>
    </w:p>
    <w:p w14:paraId="4F548048" w14:textId="77777777" w:rsidR="009260DE" w:rsidRPr="00E37D12" w:rsidRDefault="009260DE" w:rsidP="009260DE">
      <w:pPr>
        <w:jc w:val="center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PRODUKTRESUMÉ</w:t>
      </w:r>
    </w:p>
    <w:p w14:paraId="77CA1DC6" w14:textId="77777777" w:rsidR="009260DE" w:rsidRPr="00E37D12" w:rsidRDefault="009260DE" w:rsidP="009260DE">
      <w:pPr>
        <w:jc w:val="center"/>
        <w:rPr>
          <w:b/>
          <w:sz w:val="24"/>
          <w:szCs w:val="24"/>
        </w:rPr>
      </w:pPr>
    </w:p>
    <w:p w14:paraId="1FE52A0B" w14:textId="77777777" w:rsidR="009260DE" w:rsidRPr="00E37D12" w:rsidRDefault="009260DE" w:rsidP="009260DE">
      <w:pPr>
        <w:jc w:val="center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for</w:t>
      </w:r>
    </w:p>
    <w:p w14:paraId="358ABE3D" w14:textId="77777777" w:rsidR="000B058C" w:rsidRPr="00E37D12" w:rsidRDefault="000B058C" w:rsidP="009260DE">
      <w:pPr>
        <w:jc w:val="center"/>
        <w:rPr>
          <w:b/>
          <w:sz w:val="24"/>
          <w:szCs w:val="24"/>
        </w:rPr>
      </w:pPr>
    </w:p>
    <w:p w14:paraId="26B106A0" w14:textId="24EEF6BB" w:rsidR="009260DE" w:rsidRPr="00E37D12" w:rsidRDefault="000916A2" w:rsidP="009260DE">
      <w:pPr>
        <w:jc w:val="center"/>
        <w:rPr>
          <w:b/>
          <w:sz w:val="24"/>
          <w:szCs w:val="24"/>
        </w:rPr>
      </w:pPr>
      <w:proofErr w:type="spellStart"/>
      <w:r w:rsidRPr="00E37D12">
        <w:rPr>
          <w:b/>
          <w:sz w:val="24"/>
          <w:szCs w:val="24"/>
        </w:rPr>
        <w:t>Hylvastam</w:t>
      </w:r>
      <w:proofErr w:type="spellEnd"/>
      <w:r w:rsidRPr="00E37D12">
        <w:rPr>
          <w:b/>
          <w:sz w:val="24"/>
          <w:szCs w:val="24"/>
        </w:rPr>
        <w:t>, infusionsvæske, opløsning</w:t>
      </w:r>
    </w:p>
    <w:p w14:paraId="7057E125" w14:textId="77777777" w:rsidR="009260DE" w:rsidRPr="00E37D12" w:rsidRDefault="009260DE" w:rsidP="009260DE">
      <w:pPr>
        <w:jc w:val="both"/>
        <w:rPr>
          <w:sz w:val="24"/>
          <w:szCs w:val="24"/>
        </w:rPr>
      </w:pPr>
    </w:p>
    <w:p w14:paraId="76652B0B" w14:textId="77777777" w:rsidR="009260DE" w:rsidRPr="00E37D12" w:rsidRDefault="009260DE" w:rsidP="009260DE">
      <w:pPr>
        <w:jc w:val="both"/>
        <w:rPr>
          <w:sz w:val="24"/>
          <w:szCs w:val="24"/>
        </w:rPr>
      </w:pPr>
    </w:p>
    <w:p w14:paraId="223146B3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0.</w:t>
      </w:r>
      <w:r w:rsidRPr="00E37D12">
        <w:rPr>
          <w:b/>
          <w:sz w:val="24"/>
          <w:szCs w:val="24"/>
        </w:rPr>
        <w:tab/>
        <w:t>D.SP.NR.</w:t>
      </w:r>
    </w:p>
    <w:p w14:paraId="577204B0" w14:textId="4CC2F849" w:rsidR="009260DE" w:rsidRPr="00E37D12" w:rsidRDefault="000916A2" w:rsidP="009260DE">
      <w:pPr>
        <w:tabs>
          <w:tab w:val="left" w:pos="851"/>
        </w:tabs>
        <w:ind w:left="851"/>
        <w:rPr>
          <w:sz w:val="24"/>
          <w:szCs w:val="24"/>
        </w:rPr>
      </w:pPr>
      <w:r w:rsidRPr="00E37D12">
        <w:rPr>
          <w:sz w:val="24"/>
          <w:szCs w:val="24"/>
        </w:rPr>
        <w:t>33248</w:t>
      </w:r>
    </w:p>
    <w:p w14:paraId="4C2AAE9A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C791B8B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1.</w:t>
      </w:r>
      <w:r w:rsidRPr="00E37D12">
        <w:rPr>
          <w:b/>
          <w:sz w:val="24"/>
          <w:szCs w:val="24"/>
        </w:rPr>
        <w:tab/>
        <w:t>LÆGEMIDLETS NAVN</w:t>
      </w:r>
    </w:p>
    <w:p w14:paraId="6D2275EA" w14:textId="562E4F18" w:rsidR="009260DE" w:rsidRPr="00E37D12" w:rsidRDefault="000916A2" w:rsidP="009260D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E37D12">
        <w:rPr>
          <w:sz w:val="24"/>
          <w:szCs w:val="24"/>
        </w:rPr>
        <w:t>Hylvastam</w:t>
      </w:r>
      <w:proofErr w:type="spellEnd"/>
    </w:p>
    <w:p w14:paraId="5E128AB7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860804D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2.</w:t>
      </w:r>
      <w:r w:rsidRPr="00E37D12">
        <w:rPr>
          <w:b/>
          <w:sz w:val="24"/>
          <w:szCs w:val="24"/>
        </w:rPr>
        <w:tab/>
        <w:t>KVALITATIV OG KVANTITATIV SAMMENSÆTNING</w:t>
      </w:r>
    </w:p>
    <w:p w14:paraId="15C6417A" w14:textId="77777777" w:rsidR="000916A2" w:rsidRPr="00E37D12" w:rsidRDefault="000916A2" w:rsidP="00876B0E">
      <w:pPr>
        <w:ind w:left="851"/>
        <w:rPr>
          <w:sz w:val="24"/>
          <w:szCs w:val="24"/>
        </w:rPr>
      </w:pP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>: 1,4 g/100 ml</w:t>
      </w:r>
    </w:p>
    <w:p w14:paraId="71CA97AB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04297DBA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 xml:space="preserve">1 ml opløsning indeholder 14 mg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>.</w:t>
      </w:r>
    </w:p>
    <w:p w14:paraId="46C8ECC3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1 ml opløsning indeholder 3,83 mg natrium.</w:t>
      </w:r>
    </w:p>
    <w:p w14:paraId="252FC46A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348EEC9A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 xml:space="preserve">Hver 250 ml flaske indeholder 3,5 g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>.</w:t>
      </w:r>
    </w:p>
    <w:p w14:paraId="6A179E78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 xml:space="preserve">Hver 500 ml flaske indeholder 7 g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>.</w:t>
      </w:r>
    </w:p>
    <w:p w14:paraId="27274939" w14:textId="77777777" w:rsidR="000916A2" w:rsidRPr="00E37D12" w:rsidRDefault="000916A2" w:rsidP="000916A2">
      <w:pPr>
        <w:tabs>
          <w:tab w:val="left" w:pos="1304"/>
        </w:tabs>
        <w:rPr>
          <w:sz w:val="24"/>
          <w:szCs w:val="24"/>
        </w:rPr>
      </w:pPr>
    </w:p>
    <w:tbl>
      <w:tblPr>
        <w:tblStyle w:val="Tabel-Gitter"/>
        <w:tblW w:w="7518" w:type="dxa"/>
        <w:tblInd w:w="84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1"/>
        <w:gridCol w:w="992"/>
        <w:gridCol w:w="5255"/>
      </w:tblGrid>
      <w:tr w:rsidR="000916A2" w:rsidRPr="00E37D12" w14:paraId="31404937" w14:textId="77777777" w:rsidTr="00876B0E">
        <w:tc>
          <w:tcPr>
            <w:tcW w:w="1271" w:type="dxa"/>
          </w:tcPr>
          <w:p w14:paraId="2930CB34" w14:textId="77777777" w:rsidR="000916A2" w:rsidRPr="00E37D12" w:rsidRDefault="000916A2" w:rsidP="00876B0E">
            <w:pPr>
              <w:tabs>
                <w:tab w:val="left" w:pos="1304"/>
              </w:tabs>
              <w:ind w:left="32"/>
              <w:rPr>
                <w:sz w:val="24"/>
                <w:szCs w:val="24"/>
              </w:rPr>
            </w:pPr>
          </w:p>
        </w:tc>
        <w:tc>
          <w:tcPr>
            <w:tcW w:w="992" w:type="dxa"/>
            <w:hideMark/>
          </w:tcPr>
          <w:p w14:paraId="4FF045E8" w14:textId="77777777" w:rsidR="000916A2" w:rsidRPr="00E37D12" w:rsidRDefault="000916A2" w:rsidP="00876B0E">
            <w:pPr>
              <w:tabs>
                <w:tab w:val="left" w:pos="1304"/>
              </w:tabs>
              <w:ind w:left="32"/>
              <w:rPr>
                <w:sz w:val="24"/>
                <w:szCs w:val="24"/>
              </w:rPr>
            </w:pPr>
            <w:r w:rsidRPr="00E37D12">
              <w:rPr>
                <w:sz w:val="24"/>
                <w:szCs w:val="24"/>
              </w:rPr>
              <w:t>Na</w:t>
            </w:r>
            <w:r w:rsidRPr="00E37D12">
              <w:rPr>
                <w:sz w:val="24"/>
                <w:szCs w:val="24"/>
                <w:vertAlign w:val="superscript"/>
              </w:rPr>
              <w:t>+</w:t>
            </w:r>
          </w:p>
        </w:tc>
        <w:tc>
          <w:tcPr>
            <w:tcW w:w="5255" w:type="dxa"/>
            <w:hideMark/>
          </w:tcPr>
          <w:p w14:paraId="4FB6C214" w14:textId="77777777" w:rsidR="000916A2" w:rsidRPr="00E37D12" w:rsidRDefault="000916A2" w:rsidP="00876B0E">
            <w:pPr>
              <w:tabs>
                <w:tab w:val="left" w:pos="1304"/>
              </w:tabs>
              <w:ind w:left="32"/>
              <w:rPr>
                <w:sz w:val="24"/>
                <w:szCs w:val="24"/>
              </w:rPr>
            </w:pPr>
            <w:r w:rsidRPr="00E37D12">
              <w:rPr>
                <w:sz w:val="24"/>
                <w:szCs w:val="24"/>
              </w:rPr>
              <w:t>HCO</w:t>
            </w:r>
            <w:r w:rsidRPr="00E37D12">
              <w:rPr>
                <w:sz w:val="24"/>
                <w:szCs w:val="24"/>
                <w:vertAlign w:val="subscript"/>
              </w:rPr>
              <w:t>3</w:t>
            </w:r>
            <w:r w:rsidRPr="00E37D12">
              <w:rPr>
                <w:sz w:val="24"/>
                <w:szCs w:val="24"/>
                <w:vertAlign w:val="superscript"/>
              </w:rPr>
              <w:t>-</w:t>
            </w:r>
          </w:p>
        </w:tc>
      </w:tr>
      <w:tr w:rsidR="000916A2" w:rsidRPr="00E37D12" w14:paraId="4538F809" w14:textId="77777777" w:rsidTr="00876B0E">
        <w:tc>
          <w:tcPr>
            <w:tcW w:w="1271" w:type="dxa"/>
            <w:hideMark/>
          </w:tcPr>
          <w:p w14:paraId="0A45958E" w14:textId="77777777" w:rsidR="000916A2" w:rsidRPr="00E37D12" w:rsidRDefault="000916A2" w:rsidP="00876B0E">
            <w:pPr>
              <w:tabs>
                <w:tab w:val="left" w:pos="1304"/>
              </w:tabs>
              <w:ind w:left="32"/>
              <w:rPr>
                <w:sz w:val="24"/>
                <w:szCs w:val="24"/>
              </w:rPr>
            </w:pPr>
            <w:r w:rsidRPr="00E37D12">
              <w:rPr>
                <w:sz w:val="24"/>
                <w:szCs w:val="24"/>
              </w:rPr>
              <w:t>mmol/l</w:t>
            </w:r>
          </w:p>
        </w:tc>
        <w:tc>
          <w:tcPr>
            <w:tcW w:w="992" w:type="dxa"/>
            <w:hideMark/>
          </w:tcPr>
          <w:p w14:paraId="2A872282" w14:textId="77777777" w:rsidR="000916A2" w:rsidRPr="00E37D12" w:rsidRDefault="000916A2" w:rsidP="00876B0E">
            <w:pPr>
              <w:tabs>
                <w:tab w:val="left" w:pos="1304"/>
              </w:tabs>
              <w:ind w:left="32"/>
              <w:rPr>
                <w:sz w:val="24"/>
                <w:szCs w:val="24"/>
              </w:rPr>
            </w:pPr>
            <w:r w:rsidRPr="00E37D12">
              <w:rPr>
                <w:sz w:val="24"/>
                <w:szCs w:val="24"/>
              </w:rPr>
              <w:t>166,6</w:t>
            </w:r>
          </w:p>
        </w:tc>
        <w:tc>
          <w:tcPr>
            <w:tcW w:w="5255" w:type="dxa"/>
            <w:hideMark/>
          </w:tcPr>
          <w:p w14:paraId="1D43985D" w14:textId="77777777" w:rsidR="000916A2" w:rsidRPr="00E37D12" w:rsidRDefault="000916A2" w:rsidP="00876B0E">
            <w:pPr>
              <w:tabs>
                <w:tab w:val="left" w:pos="1304"/>
              </w:tabs>
              <w:ind w:left="32"/>
              <w:rPr>
                <w:sz w:val="24"/>
                <w:szCs w:val="24"/>
              </w:rPr>
            </w:pPr>
            <w:r w:rsidRPr="00E37D12">
              <w:rPr>
                <w:sz w:val="24"/>
                <w:szCs w:val="24"/>
              </w:rPr>
              <w:t>166,6</w:t>
            </w:r>
          </w:p>
        </w:tc>
      </w:tr>
    </w:tbl>
    <w:p w14:paraId="3590395A" w14:textId="77777777" w:rsidR="000916A2" w:rsidRPr="00E37D12" w:rsidRDefault="000916A2" w:rsidP="000916A2">
      <w:pPr>
        <w:tabs>
          <w:tab w:val="left" w:pos="1304"/>
        </w:tabs>
        <w:outlineLvl w:val="0"/>
        <w:rPr>
          <w:noProof/>
          <w:sz w:val="24"/>
          <w:szCs w:val="24"/>
        </w:rPr>
      </w:pPr>
    </w:p>
    <w:p w14:paraId="78F5017E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Alle hjælpestoffer er anført under pkt. 6.1.</w:t>
      </w:r>
    </w:p>
    <w:p w14:paraId="5DBD5C44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4899629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3.</w:t>
      </w:r>
      <w:r w:rsidRPr="00E37D12">
        <w:rPr>
          <w:b/>
          <w:sz w:val="24"/>
          <w:szCs w:val="24"/>
        </w:rPr>
        <w:tab/>
        <w:t>LÆGEMIDDELFORM</w:t>
      </w:r>
    </w:p>
    <w:p w14:paraId="2F073091" w14:textId="7F861491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Infusionsvæske, opløsning</w:t>
      </w:r>
    </w:p>
    <w:p w14:paraId="41DF05B7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23EB0B8F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Opløsningen er klar, fri for synlige partikler, farveløs eller let gullig, steril og </w:t>
      </w:r>
      <w:proofErr w:type="spellStart"/>
      <w:r w:rsidRPr="00E37D12">
        <w:rPr>
          <w:sz w:val="24"/>
          <w:szCs w:val="24"/>
        </w:rPr>
        <w:t>pyrogenfri</w:t>
      </w:r>
      <w:proofErr w:type="spellEnd"/>
      <w:r w:rsidRPr="00E37D12">
        <w:rPr>
          <w:sz w:val="24"/>
          <w:szCs w:val="24"/>
        </w:rPr>
        <w:t>.</w:t>
      </w:r>
    </w:p>
    <w:p w14:paraId="0B272AC5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78A0756B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pH: 7,0 til 8,5</w:t>
      </w:r>
    </w:p>
    <w:p w14:paraId="3EC5905E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3C4041C9" w14:textId="77777777" w:rsidR="000916A2" w:rsidRPr="00E37D12" w:rsidRDefault="000916A2" w:rsidP="00876B0E">
      <w:pPr>
        <w:ind w:left="851"/>
        <w:rPr>
          <w:sz w:val="24"/>
          <w:szCs w:val="24"/>
        </w:rPr>
      </w:pPr>
      <w:proofErr w:type="spellStart"/>
      <w:r w:rsidRPr="00E37D12">
        <w:rPr>
          <w:sz w:val="24"/>
          <w:szCs w:val="24"/>
        </w:rPr>
        <w:t>Osmolaritet</w:t>
      </w:r>
      <w:proofErr w:type="spellEnd"/>
      <w:r w:rsidRPr="00E37D12">
        <w:rPr>
          <w:sz w:val="24"/>
          <w:szCs w:val="24"/>
        </w:rPr>
        <w:t>: 333 </w:t>
      </w:r>
      <w:proofErr w:type="spellStart"/>
      <w:r w:rsidRPr="00E37D12">
        <w:rPr>
          <w:sz w:val="24"/>
          <w:szCs w:val="24"/>
        </w:rPr>
        <w:t>mOsm</w:t>
      </w:r>
      <w:proofErr w:type="spellEnd"/>
      <w:r w:rsidRPr="00E37D12">
        <w:rPr>
          <w:sz w:val="24"/>
          <w:szCs w:val="24"/>
        </w:rPr>
        <w:t>/l.</w:t>
      </w:r>
    </w:p>
    <w:p w14:paraId="130ECCE0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9D659F5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F45E8C3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</w:t>
      </w:r>
      <w:r w:rsidRPr="00E37D12">
        <w:rPr>
          <w:b/>
          <w:sz w:val="24"/>
          <w:szCs w:val="24"/>
        </w:rPr>
        <w:tab/>
        <w:t>KLINISKE OPLYSNINGER</w:t>
      </w:r>
    </w:p>
    <w:p w14:paraId="67FF7C18" w14:textId="77777777" w:rsidR="009260DE" w:rsidRPr="00E37D12" w:rsidRDefault="009260DE" w:rsidP="009260DE">
      <w:pPr>
        <w:tabs>
          <w:tab w:val="left" w:pos="851"/>
        </w:tabs>
        <w:ind w:left="851"/>
        <w:rPr>
          <w:b/>
          <w:sz w:val="24"/>
          <w:szCs w:val="24"/>
        </w:rPr>
      </w:pPr>
    </w:p>
    <w:p w14:paraId="4F489D47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E37D12">
        <w:rPr>
          <w:b/>
          <w:sz w:val="24"/>
          <w:szCs w:val="24"/>
        </w:rPr>
        <w:t>4.1</w:t>
      </w:r>
      <w:r w:rsidRPr="00E37D12">
        <w:rPr>
          <w:b/>
          <w:sz w:val="24"/>
          <w:szCs w:val="24"/>
        </w:rPr>
        <w:tab/>
        <w:t>Terapeutiske indikationer</w:t>
      </w:r>
    </w:p>
    <w:p w14:paraId="2BF2760F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Metabolisk </w:t>
      </w:r>
      <w:proofErr w:type="spellStart"/>
      <w:r w:rsidRPr="00E37D12">
        <w:rPr>
          <w:sz w:val="24"/>
          <w:szCs w:val="24"/>
        </w:rPr>
        <w:t>acidose</w:t>
      </w:r>
      <w:proofErr w:type="spellEnd"/>
      <w:r w:rsidRPr="00E37D12">
        <w:rPr>
          <w:sz w:val="24"/>
          <w:szCs w:val="24"/>
        </w:rPr>
        <w:t>.</w:t>
      </w:r>
    </w:p>
    <w:p w14:paraId="6FA61552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18CDF87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lastRenderedPageBreak/>
        <w:t>4.2</w:t>
      </w:r>
      <w:r w:rsidRPr="00E37D12">
        <w:rPr>
          <w:b/>
          <w:sz w:val="24"/>
          <w:szCs w:val="24"/>
        </w:rPr>
        <w:tab/>
        <w:t xml:space="preserve">Dosering og </w:t>
      </w:r>
      <w:r w:rsidR="002C1EC0" w:rsidRPr="00E37D12">
        <w:rPr>
          <w:b/>
          <w:sz w:val="24"/>
          <w:szCs w:val="24"/>
        </w:rPr>
        <w:t>administration</w:t>
      </w:r>
    </w:p>
    <w:p w14:paraId="2840C62D" w14:textId="77777777" w:rsidR="005B6BBA" w:rsidRDefault="005B6BBA" w:rsidP="00876B0E">
      <w:pPr>
        <w:ind w:left="851"/>
        <w:rPr>
          <w:sz w:val="24"/>
          <w:szCs w:val="24"/>
        </w:rPr>
      </w:pPr>
    </w:p>
    <w:p w14:paraId="3034D9EA" w14:textId="55D00446" w:rsidR="000916A2" w:rsidRPr="005B6BBA" w:rsidRDefault="000916A2" w:rsidP="00876B0E">
      <w:pPr>
        <w:ind w:left="851"/>
        <w:rPr>
          <w:sz w:val="24"/>
          <w:szCs w:val="24"/>
          <w:u w:val="single"/>
        </w:rPr>
      </w:pPr>
      <w:r w:rsidRPr="005B6BBA">
        <w:rPr>
          <w:sz w:val="24"/>
          <w:szCs w:val="24"/>
          <w:u w:val="single"/>
        </w:rPr>
        <w:t>Dosering</w:t>
      </w:r>
    </w:p>
    <w:p w14:paraId="7698A34C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58BD8AC7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Langsom intravenøs infusion.</w:t>
      </w:r>
    </w:p>
    <w:p w14:paraId="7A81CAFB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 xml:space="preserve">Behandling af metabolisk </w:t>
      </w:r>
      <w:proofErr w:type="spellStart"/>
      <w:r w:rsidRPr="00E37D12">
        <w:rPr>
          <w:sz w:val="24"/>
          <w:szCs w:val="24"/>
        </w:rPr>
        <w:t>acidose</w:t>
      </w:r>
      <w:proofErr w:type="spellEnd"/>
      <w:r w:rsidRPr="00E37D12">
        <w:rPr>
          <w:sz w:val="24"/>
          <w:szCs w:val="24"/>
        </w:rPr>
        <w:t xml:space="preserve"> med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bør udføres i henhold til gældende retningslinjer for behandling af den underliggende tilstand.</w:t>
      </w:r>
    </w:p>
    <w:p w14:paraId="60550574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Dosis er variabel, og mængden skal justeres efter ætiologi, patientens tilstand og graden af forstyrrelser i syre-base-balancen. Elektrolytterne i blodet, inklusive kalium, og syre-base-balancen i blodet, bør måles hyppigt og doseringen justeres herefter.</w:t>
      </w:r>
    </w:p>
    <w:p w14:paraId="38BF2029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Den maksimale daglige dosis kan variere afhængig af den underliggende medicinske tilstand og behandlingsresponset, men bør normalt ikke overstige 8 mmol/kg hos børn, 16 g hos voksne og 8 g hos ældre.</w:t>
      </w:r>
    </w:p>
    <w:p w14:paraId="1741A9C0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4D19F0F5" w14:textId="77777777" w:rsidR="000916A2" w:rsidRPr="005B6BBA" w:rsidRDefault="000916A2" w:rsidP="00876B0E">
      <w:pPr>
        <w:ind w:left="851"/>
        <w:rPr>
          <w:sz w:val="24"/>
          <w:szCs w:val="24"/>
          <w:u w:val="single"/>
        </w:rPr>
      </w:pPr>
      <w:r w:rsidRPr="005B6BBA">
        <w:rPr>
          <w:sz w:val="24"/>
          <w:szCs w:val="24"/>
          <w:u w:val="single"/>
        </w:rPr>
        <w:t>Administration</w:t>
      </w:r>
    </w:p>
    <w:p w14:paraId="773DC868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183E4315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  <w:r w:rsidRPr="00E37D12">
        <w:rPr>
          <w:sz w:val="24"/>
          <w:szCs w:val="24"/>
        </w:rPr>
        <w:t>Opløsningen skal kontrolleres visuelt før brug.</w:t>
      </w:r>
    </w:p>
    <w:p w14:paraId="27A03580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  <w:r w:rsidRPr="00E37D12">
        <w:rPr>
          <w:sz w:val="24"/>
          <w:szCs w:val="24"/>
        </w:rPr>
        <w:t xml:space="preserve">Må kun anvendes, hvis opløsningen er klar, fri for synlige partikler, farveløs eller let gullig, og hvis flasken og hætten er intakte. </w:t>
      </w:r>
    </w:p>
    <w:p w14:paraId="4831442B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  <w:r w:rsidRPr="00E37D12">
        <w:rPr>
          <w:sz w:val="24"/>
          <w:szCs w:val="24"/>
        </w:rPr>
        <w:t>Anvendes straks efter tilslutning af infusionssættet.</w:t>
      </w:r>
    </w:p>
    <w:p w14:paraId="25110934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</w:p>
    <w:p w14:paraId="199AD2BB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  <w:r w:rsidRPr="00E37D12">
        <w:rPr>
          <w:sz w:val="24"/>
          <w:szCs w:val="24"/>
        </w:rPr>
        <w:t>Nærmere oplysninger om uforligeligheder og klargøring af produktet og additiver kan ses i pkt. 6.2 og 6.6.</w:t>
      </w:r>
    </w:p>
    <w:p w14:paraId="48690AC6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0CF2753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4.3</w:t>
      </w:r>
      <w:r w:rsidRPr="00E37D12">
        <w:rPr>
          <w:b/>
          <w:sz w:val="24"/>
          <w:szCs w:val="24"/>
        </w:rPr>
        <w:tab/>
        <w:t>Kontraindikationer</w:t>
      </w:r>
    </w:p>
    <w:p w14:paraId="1578BA49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Dette lægemiddel må ikke anvendes i følgende tilfælde:</w:t>
      </w:r>
    </w:p>
    <w:p w14:paraId="538F3F5C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397E9925" w14:textId="77777777" w:rsidR="000916A2" w:rsidRPr="005B6BBA" w:rsidRDefault="000916A2" w:rsidP="005B6BBA">
      <w:pPr>
        <w:pStyle w:val="Listeafsnit"/>
        <w:numPr>
          <w:ilvl w:val="0"/>
          <w:numId w:val="10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r w:rsidRPr="005B6BBA">
        <w:rPr>
          <w:sz w:val="24"/>
          <w:szCs w:val="24"/>
        </w:rPr>
        <w:t>overfølsomhed over for det aktive stof eller over for et eller flere af hjælpestofferne anført i pkt. 6.1</w:t>
      </w:r>
    </w:p>
    <w:p w14:paraId="48C5E96C" w14:textId="77777777" w:rsidR="000916A2" w:rsidRPr="005B6BBA" w:rsidRDefault="000916A2" w:rsidP="005B6BBA">
      <w:pPr>
        <w:pStyle w:val="Listeafsnit"/>
        <w:numPr>
          <w:ilvl w:val="0"/>
          <w:numId w:val="10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proofErr w:type="spellStart"/>
      <w:r w:rsidRPr="005B6BBA">
        <w:rPr>
          <w:sz w:val="24"/>
          <w:szCs w:val="24"/>
        </w:rPr>
        <w:t>hypocalcæmi</w:t>
      </w:r>
      <w:proofErr w:type="spellEnd"/>
    </w:p>
    <w:p w14:paraId="6B98AAED" w14:textId="77777777" w:rsidR="000916A2" w:rsidRPr="005B6BBA" w:rsidRDefault="000916A2" w:rsidP="005B6BBA">
      <w:pPr>
        <w:pStyle w:val="Listeafsnit"/>
        <w:numPr>
          <w:ilvl w:val="0"/>
          <w:numId w:val="10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proofErr w:type="spellStart"/>
      <w:r w:rsidRPr="005B6BBA">
        <w:rPr>
          <w:sz w:val="24"/>
          <w:szCs w:val="24"/>
        </w:rPr>
        <w:t>hypochloræmi</w:t>
      </w:r>
      <w:proofErr w:type="spellEnd"/>
    </w:p>
    <w:p w14:paraId="582BBC35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0E014BC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4.4</w:t>
      </w:r>
      <w:r w:rsidRPr="00E37D12">
        <w:rPr>
          <w:b/>
          <w:sz w:val="24"/>
          <w:szCs w:val="24"/>
        </w:rPr>
        <w:tab/>
        <w:t>Særlige advarsler og forsigtighedsregler vedrørende brugen</w:t>
      </w:r>
    </w:p>
    <w:p w14:paraId="0B33516F" w14:textId="77777777" w:rsidR="005B6BBA" w:rsidRDefault="005B6BBA" w:rsidP="00876B0E">
      <w:pPr>
        <w:ind w:left="851"/>
        <w:rPr>
          <w:sz w:val="24"/>
          <w:szCs w:val="24"/>
        </w:rPr>
      </w:pPr>
    </w:p>
    <w:p w14:paraId="7BC24569" w14:textId="6C1F6359" w:rsidR="000916A2" w:rsidRPr="005B6BBA" w:rsidRDefault="000916A2" w:rsidP="00876B0E">
      <w:pPr>
        <w:ind w:left="851"/>
        <w:rPr>
          <w:noProof/>
          <w:sz w:val="24"/>
          <w:szCs w:val="24"/>
          <w:u w:val="single"/>
        </w:rPr>
      </w:pPr>
      <w:r w:rsidRPr="005B6BBA">
        <w:rPr>
          <w:sz w:val="24"/>
          <w:szCs w:val="24"/>
          <w:u w:val="single"/>
        </w:rPr>
        <w:t>Særlige advarsler</w:t>
      </w:r>
    </w:p>
    <w:p w14:paraId="66EDC507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Det er ikke gavnligt at korrigere metabolisk </w:t>
      </w:r>
      <w:proofErr w:type="spellStart"/>
      <w:r w:rsidRPr="00E37D12">
        <w:rPr>
          <w:sz w:val="24"/>
          <w:szCs w:val="24"/>
        </w:rPr>
        <w:t>acidose</w:t>
      </w:r>
      <w:proofErr w:type="spellEnd"/>
      <w:r w:rsidRPr="00E37D12">
        <w:rPr>
          <w:sz w:val="24"/>
          <w:szCs w:val="24"/>
        </w:rPr>
        <w:t xml:space="preserve"> med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>, hvis årsagen ikke korrigeres.</w:t>
      </w:r>
    </w:p>
    <w:p w14:paraId="4AAC8F5C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Det er ikke hensigten, at den administrerede dosis kan korrigere den metaboliske </w:t>
      </w:r>
      <w:proofErr w:type="spellStart"/>
      <w:r w:rsidRPr="00E37D12">
        <w:rPr>
          <w:sz w:val="24"/>
          <w:szCs w:val="24"/>
        </w:rPr>
        <w:t>acidose</w:t>
      </w:r>
      <w:proofErr w:type="spellEnd"/>
      <w:r w:rsidRPr="00E37D12">
        <w:rPr>
          <w:sz w:val="24"/>
          <w:szCs w:val="24"/>
        </w:rPr>
        <w:t xml:space="preserve"> fuldstændigt.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bør administreres, indtil pH-værdien er inden for et sikkert interval, og kroppens fysiske kompensationssystemer selv kan færdiggøre denne korrektion. Administration af for meget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over pH-værdierne kan føre til overdosering.</w:t>
      </w:r>
    </w:p>
    <w:p w14:paraId="590492E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1F83FFD5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Administration af denne opløsning kan forværre eller afsløre </w:t>
      </w:r>
      <w:proofErr w:type="spellStart"/>
      <w:r w:rsidRPr="00E37D12">
        <w:rPr>
          <w:sz w:val="24"/>
          <w:szCs w:val="24"/>
        </w:rPr>
        <w:t>hypokaliæmi</w:t>
      </w:r>
      <w:proofErr w:type="spellEnd"/>
      <w:r w:rsidRPr="00E37D12">
        <w:rPr>
          <w:sz w:val="24"/>
          <w:szCs w:val="24"/>
        </w:rPr>
        <w:t>.</w:t>
      </w:r>
    </w:p>
    <w:p w14:paraId="25FA6167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117769CA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På grund af opløsningens </w:t>
      </w:r>
      <w:proofErr w:type="spellStart"/>
      <w:r w:rsidRPr="00E37D12">
        <w:rPr>
          <w:sz w:val="24"/>
          <w:szCs w:val="24"/>
        </w:rPr>
        <w:t>alkalinitet</w:t>
      </w:r>
      <w:proofErr w:type="spellEnd"/>
      <w:r w:rsidRPr="00E37D12">
        <w:rPr>
          <w:sz w:val="24"/>
          <w:szCs w:val="24"/>
        </w:rPr>
        <w:t xml:space="preserve"> skal forligeligheden kontrolleres, før den blandes med andre lægemidler til samtidig administration i infusionen, og opløsningens klarhed og farve skal kontrolleres før infusionen (se pkt. 4.5).</w:t>
      </w:r>
    </w:p>
    <w:p w14:paraId="2D2214CB" w14:textId="09A33306" w:rsidR="00B13A15" w:rsidRDefault="00B13A15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14:paraId="54E92D9E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0F84823F" w14:textId="77777777" w:rsidR="000916A2" w:rsidRPr="005B6BBA" w:rsidRDefault="000916A2" w:rsidP="00876B0E">
      <w:pPr>
        <w:ind w:left="851"/>
        <w:rPr>
          <w:noProof/>
          <w:sz w:val="24"/>
          <w:szCs w:val="24"/>
          <w:u w:val="single"/>
        </w:rPr>
      </w:pPr>
      <w:r w:rsidRPr="005B6BBA">
        <w:rPr>
          <w:sz w:val="24"/>
          <w:szCs w:val="24"/>
          <w:u w:val="single"/>
        </w:rPr>
        <w:t>Forsigtighedsregler vedrørende brugen</w:t>
      </w:r>
    </w:p>
    <w:p w14:paraId="69855DD6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Anvendes med forsigtighed i tilfælde af vand- og saltretention, hjertesvigt, nyresvigt i anamnesen eller ødem og </w:t>
      </w:r>
      <w:proofErr w:type="spellStart"/>
      <w:r w:rsidRPr="00E37D12">
        <w:rPr>
          <w:sz w:val="24"/>
          <w:szCs w:val="24"/>
        </w:rPr>
        <w:t>ascites</w:t>
      </w:r>
      <w:proofErr w:type="spellEnd"/>
      <w:r w:rsidRPr="00E37D12">
        <w:rPr>
          <w:sz w:val="24"/>
          <w:szCs w:val="24"/>
        </w:rPr>
        <w:t xml:space="preserve"> i forbindelse med </w:t>
      </w:r>
      <w:proofErr w:type="spellStart"/>
      <w:r w:rsidRPr="00E37D12">
        <w:rPr>
          <w:sz w:val="24"/>
          <w:szCs w:val="24"/>
        </w:rPr>
        <w:t>cirrhose</w:t>
      </w:r>
      <w:proofErr w:type="spellEnd"/>
      <w:r w:rsidRPr="00E37D12">
        <w:rPr>
          <w:sz w:val="24"/>
          <w:szCs w:val="24"/>
        </w:rPr>
        <w:t>.</w:t>
      </w:r>
    </w:p>
    <w:p w14:paraId="3C6DC85D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Anvendes med forsigtighed hos ældre patienter (risiko for respiratorisk, </w:t>
      </w:r>
      <w:proofErr w:type="spellStart"/>
      <w:r w:rsidRPr="00E37D12">
        <w:rPr>
          <w:sz w:val="24"/>
          <w:szCs w:val="24"/>
        </w:rPr>
        <w:t>kardiel</w:t>
      </w:r>
      <w:proofErr w:type="spellEnd"/>
      <w:r w:rsidRPr="00E37D12">
        <w:rPr>
          <w:sz w:val="24"/>
          <w:szCs w:val="24"/>
        </w:rPr>
        <w:t xml:space="preserve"> eller </w:t>
      </w:r>
      <w:proofErr w:type="spellStart"/>
      <w:r w:rsidRPr="00E37D12">
        <w:rPr>
          <w:sz w:val="24"/>
          <w:szCs w:val="24"/>
        </w:rPr>
        <w:t>renal</w:t>
      </w:r>
      <w:proofErr w:type="spellEnd"/>
      <w:r w:rsidRPr="00E37D12">
        <w:rPr>
          <w:sz w:val="24"/>
          <w:szCs w:val="24"/>
        </w:rPr>
        <w:t xml:space="preserve"> skade). </w:t>
      </w:r>
    </w:p>
    <w:p w14:paraId="5AAC67A8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Anvendes med forsigtighed ved samtidig behandling med </w:t>
      </w:r>
      <w:proofErr w:type="spellStart"/>
      <w:r w:rsidRPr="00E37D12">
        <w:rPr>
          <w:sz w:val="24"/>
          <w:szCs w:val="24"/>
        </w:rPr>
        <w:t>kortikosteroider</w:t>
      </w:r>
      <w:proofErr w:type="spellEnd"/>
      <w:r w:rsidRPr="00E37D12">
        <w:rPr>
          <w:sz w:val="24"/>
          <w:szCs w:val="24"/>
        </w:rPr>
        <w:t xml:space="preserve"> (se pkt. 4.5).</w:t>
      </w:r>
    </w:p>
    <w:p w14:paraId="23118A00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Anvendes med forsigtighed hos patienter med respiratorisk </w:t>
      </w:r>
      <w:proofErr w:type="spellStart"/>
      <w:r w:rsidRPr="00E37D12">
        <w:rPr>
          <w:sz w:val="24"/>
          <w:szCs w:val="24"/>
        </w:rPr>
        <w:t>acidose</w:t>
      </w:r>
      <w:proofErr w:type="spellEnd"/>
      <w:r w:rsidRPr="00E37D12">
        <w:rPr>
          <w:sz w:val="24"/>
          <w:szCs w:val="24"/>
        </w:rPr>
        <w:t xml:space="preserve"> (</w:t>
      </w:r>
      <w:proofErr w:type="spellStart"/>
      <w:r w:rsidRPr="00E37D12">
        <w:rPr>
          <w:sz w:val="24"/>
          <w:szCs w:val="24"/>
        </w:rPr>
        <w:t>hyperkapni</w:t>
      </w:r>
      <w:proofErr w:type="spellEnd"/>
      <w:r w:rsidRPr="00E37D12">
        <w:rPr>
          <w:sz w:val="24"/>
          <w:szCs w:val="24"/>
        </w:rPr>
        <w:t xml:space="preserve">). </w:t>
      </w:r>
    </w:p>
    <w:p w14:paraId="72E7E00A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Elektrolytter og syre-base-balancen i blodet skal måles hyppigt. I tilfælde af </w:t>
      </w:r>
      <w:proofErr w:type="spellStart"/>
      <w:r w:rsidRPr="00E37D12">
        <w:rPr>
          <w:sz w:val="24"/>
          <w:szCs w:val="24"/>
        </w:rPr>
        <w:t>hypokaliæmi</w:t>
      </w:r>
      <w:proofErr w:type="spellEnd"/>
      <w:r w:rsidRPr="00E37D12">
        <w:rPr>
          <w:sz w:val="24"/>
          <w:szCs w:val="24"/>
        </w:rPr>
        <w:t xml:space="preserve"> kombineres der med kaliumsalt.</w:t>
      </w:r>
    </w:p>
    <w:p w14:paraId="448AC8C2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1B448E53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Dette lægemiddel indeholder 0,96 g natrium pr. 250 ml flaske, svarende til 48 % af den WHO-anbefalede maksimale daglige indtagelse af 2 g natrium for en voksen.</w:t>
      </w:r>
    </w:p>
    <w:p w14:paraId="3014C372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Dette lægemiddel indeholder 1,92 g natrium pr. 500 ml flaske, svarende til 96 % af den WHO-anbefalede maksimale daglige indtagelse af 2 g natrium for en voksen.</w:t>
      </w:r>
    </w:p>
    <w:p w14:paraId="380FEF3A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6595BBC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4.5</w:t>
      </w:r>
      <w:r w:rsidRPr="00E37D12">
        <w:rPr>
          <w:b/>
          <w:sz w:val="24"/>
          <w:szCs w:val="24"/>
        </w:rPr>
        <w:tab/>
        <w:t>Interaktion med andre lægemidler og andre former for interaktion</w:t>
      </w:r>
    </w:p>
    <w:p w14:paraId="6DE1F49F" w14:textId="77777777" w:rsidR="005B6BBA" w:rsidRDefault="005B6BBA" w:rsidP="00876B0E">
      <w:pPr>
        <w:ind w:left="851"/>
        <w:rPr>
          <w:sz w:val="24"/>
          <w:szCs w:val="24"/>
        </w:rPr>
      </w:pPr>
    </w:p>
    <w:p w14:paraId="5600DD10" w14:textId="4AC7CBCB" w:rsidR="000916A2" w:rsidRPr="005B6BBA" w:rsidRDefault="000916A2" w:rsidP="00876B0E">
      <w:pPr>
        <w:ind w:left="851"/>
        <w:rPr>
          <w:noProof/>
          <w:sz w:val="24"/>
          <w:szCs w:val="24"/>
          <w:u w:val="single"/>
        </w:rPr>
      </w:pPr>
      <w:r w:rsidRPr="005B6BBA">
        <w:rPr>
          <w:sz w:val="24"/>
          <w:szCs w:val="24"/>
          <w:u w:val="single"/>
        </w:rPr>
        <w:t>Kombinationer, hvor forsigtighedsregler vedrørende brugen skal overholdes</w:t>
      </w:r>
    </w:p>
    <w:p w14:paraId="7A2D877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proofErr w:type="spellStart"/>
      <w:r w:rsidRPr="00E37D12">
        <w:rPr>
          <w:sz w:val="24"/>
          <w:szCs w:val="24"/>
        </w:rPr>
        <w:t>Quinidin</w:t>
      </w:r>
      <w:proofErr w:type="spellEnd"/>
      <w:r w:rsidRPr="00E37D12">
        <w:rPr>
          <w:sz w:val="24"/>
          <w:szCs w:val="24"/>
        </w:rPr>
        <w:t xml:space="preserve">: Forhøjede plasmakoncentrationer af </w:t>
      </w:r>
      <w:proofErr w:type="spellStart"/>
      <w:r w:rsidRPr="00E37D12">
        <w:rPr>
          <w:sz w:val="24"/>
          <w:szCs w:val="24"/>
        </w:rPr>
        <w:t>quinidin</w:t>
      </w:r>
      <w:proofErr w:type="spellEnd"/>
      <w:r w:rsidRPr="00E37D12">
        <w:rPr>
          <w:sz w:val="24"/>
          <w:szCs w:val="24"/>
        </w:rPr>
        <w:t xml:space="preserve"> og risiko for overdosering (fald i den </w:t>
      </w:r>
      <w:proofErr w:type="spellStart"/>
      <w:r w:rsidRPr="00E37D12">
        <w:rPr>
          <w:sz w:val="24"/>
          <w:szCs w:val="24"/>
        </w:rPr>
        <w:t>renale</w:t>
      </w:r>
      <w:proofErr w:type="spellEnd"/>
      <w:r w:rsidRPr="00E37D12">
        <w:rPr>
          <w:sz w:val="24"/>
          <w:szCs w:val="24"/>
        </w:rPr>
        <w:t xml:space="preserve"> </w:t>
      </w:r>
      <w:proofErr w:type="spellStart"/>
      <w:r w:rsidRPr="00E37D12">
        <w:rPr>
          <w:sz w:val="24"/>
          <w:szCs w:val="24"/>
        </w:rPr>
        <w:t>ekskretion</w:t>
      </w:r>
      <w:proofErr w:type="spellEnd"/>
      <w:r w:rsidRPr="00E37D12">
        <w:rPr>
          <w:sz w:val="24"/>
          <w:szCs w:val="24"/>
        </w:rPr>
        <w:t xml:space="preserve"> af </w:t>
      </w:r>
      <w:proofErr w:type="spellStart"/>
      <w:r w:rsidRPr="00E37D12">
        <w:rPr>
          <w:sz w:val="24"/>
          <w:szCs w:val="24"/>
        </w:rPr>
        <w:t>quinidin</w:t>
      </w:r>
      <w:proofErr w:type="spellEnd"/>
      <w:r w:rsidRPr="00E37D12">
        <w:rPr>
          <w:sz w:val="24"/>
          <w:szCs w:val="24"/>
        </w:rPr>
        <w:t xml:space="preserve"> på grund af </w:t>
      </w:r>
      <w:proofErr w:type="spellStart"/>
      <w:r w:rsidRPr="00E37D12">
        <w:rPr>
          <w:sz w:val="24"/>
          <w:szCs w:val="24"/>
        </w:rPr>
        <w:t>alkalinisering</w:t>
      </w:r>
      <w:proofErr w:type="spellEnd"/>
      <w:r w:rsidRPr="00E37D12">
        <w:rPr>
          <w:sz w:val="24"/>
          <w:szCs w:val="24"/>
        </w:rPr>
        <w:t xml:space="preserve"> af urinen).</w:t>
      </w:r>
    </w:p>
    <w:p w14:paraId="3FB24269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Klinisk monitorering, EKG og mulig monitorering af </w:t>
      </w:r>
      <w:proofErr w:type="spellStart"/>
      <w:r w:rsidRPr="00E37D12">
        <w:rPr>
          <w:sz w:val="24"/>
          <w:szCs w:val="24"/>
        </w:rPr>
        <w:t>quinidinniveauerne</w:t>
      </w:r>
      <w:proofErr w:type="spellEnd"/>
      <w:r w:rsidRPr="00E37D12">
        <w:rPr>
          <w:sz w:val="24"/>
          <w:szCs w:val="24"/>
        </w:rPr>
        <w:t xml:space="preserve">: Dosis justeres om nødvendigt under og efter </w:t>
      </w:r>
      <w:proofErr w:type="spellStart"/>
      <w:r w:rsidRPr="00E37D12">
        <w:rPr>
          <w:sz w:val="24"/>
          <w:szCs w:val="24"/>
        </w:rPr>
        <w:t>alkaliniseringsbehandling</w:t>
      </w:r>
      <w:proofErr w:type="spellEnd"/>
      <w:r w:rsidRPr="00E37D12">
        <w:rPr>
          <w:sz w:val="24"/>
          <w:szCs w:val="24"/>
        </w:rPr>
        <w:t>.</w:t>
      </w:r>
    </w:p>
    <w:p w14:paraId="34AA84E5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0CB91B5D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kan hæmme absorptionen af </w:t>
      </w:r>
      <w:proofErr w:type="spellStart"/>
      <w:r w:rsidRPr="00E37D12">
        <w:rPr>
          <w:sz w:val="24"/>
          <w:szCs w:val="24"/>
        </w:rPr>
        <w:t>dexamethason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prednisolon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prednison</w:t>
      </w:r>
      <w:proofErr w:type="spellEnd"/>
      <w:r w:rsidRPr="00E37D12">
        <w:rPr>
          <w:sz w:val="24"/>
          <w:szCs w:val="24"/>
        </w:rPr>
        <w:t xml:space="preserve"> og andre </w:t>
      </w:r>
      <w:proofErr w:type="spellStart"/>
      <w:r w:rsidRPr="00E37D12">
        <w:rPr>
          <w:sz w:val="24"/>
          <w:szCs w:val="24"/>
        </w:rPr>
        <w:t>kortikosteroider</w:t>
      </w:r>
      <w:proofErr w:type="spellEnd"/>
      <w:r w:rsidRPr="00E37D12">
        <w:rPr>
          <w:sz w:val="24"/>
          <w:szCs w:val="24"/>
        </w:rPr>
        <w:t xml:space="preserve"> (se pkt. 4.4.).</w:t>
      </w:r>
    </w:p>
    <w:p w14:paraId="345B6DEB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32948D84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(f.eks. mere end 2 gram pr. dag) kan </w:t>
      </w:r>
      <w:proofErr w:type="spellStart"/>
      <w:r w:rsidRPr="00E37D12">
        <w:rPr>
          <w:sz w:val="24"/>
          <w:szCs w:val="24"/>
        </w:rPr>
        <w:t>alkalinisere</w:t>
      </w:r>
      <w:proofErr w:type="spellEnd"/>
      <w:r w:rsidRPr="00E37D12">
        <w:rPr>
          <w:sz w:val="24"/>
          <w:szCs w:val="24"/>
        </w:rPr>
        <w:t xml:space="preserve"> urinen, hvorved koncentrationen af den non-ioniserede form af svagt sure lægemidler øges i urinen, hvilket resulterer i øget </w:t>
      </w:r>
      <w:proofErr w:type="spellStart"/>
      <w:r w:rsidRPr="00E37D12">
        <w:rPr>
          <w:sz w:val="24"/>
          <w:szCs w:val="24"/>
        </w:rPr>
        <w:t>renal</w:t>
      </w:r>
      <w:proofErr w:type="spellEnd"/>
      <w:r w:rsidRPr="00E37D12">
        <w:rPr>
          <w:sz w:val="24"/>
          <w:szCs w:val="24"/>
        </w:rPr>
        <w:t xml:space="preserve"> </w:t>
      </w:r>
      <w:proofErr w:type="spellStart"/>
      <w:r w:rsidRPr="00E37D12">
        <w:rPr>
          <w:sz w:val="24"/>
          <w:szCs w:val="24"/>
        </w:rPr>
        <w:t>tubulær</w:t>
      </w:r>
      <w:proofErr w:type="spellEnd"/>
      <w:r w:rsidRPr="00E37D12">
        <w:rPr>
          <w:sz w:val="24"/>
          <w:szCs w:val="24"/>
        </w:rPr>
        <w:t xml:space="preserve"> </w:t>
      </w:r>
      <w:proofErr w:type="spellStart"/>
      <w:r w:rsidRPr="00E37D12">
        <w:rPr>
          <w:sz w:val="24"/>
          <w:szCs w:val="24"/>
        </w:rPr>
        <w:t>reabsorption</w:t>
      </w:r>
      <w:proofErr w:type="spellEnd"/>
      <w:r w:rsidRPr="00E37D12">
        <w:rPr>
          <w:sz w:val="24"/>
          <w:szCs w:val="24"/>
        </w:rPr>
        <w:t xml:space="preserve">. Der kan forekomme en stigning i effekterne af svagt sure lægemidler, f.eks. med amfetaminer, </w:t>
      </w:r>
      <w:proofErr w:type="spellStart"/>
      <w:r w:rsidRPr="00E37D12">
        <w:rPr>
          <w:sz w:val="24"/>
          <w:szCs w:val="24"/>
        </w:rPr>
        <w:t>dextroamphetamin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efedrin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pseudoefedrin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flecainid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memantin</w:t>
      </w:r>
      <w:proofErr w:type="spellEnd"/>
      <w:r w:rsidRPr="00E37D12">
        <w:rPr>
          <w:sz w:val="24"/>
          <w:szCs w:val="24"/>
        </w:rPr>
        <w:t>.</w:t>
      </w:r>
    </w:p>
    <w:p w14:paraId="0805BCD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5F29A326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kan forhøje urinens pH så meget, at det kan øge den </w:t>
      </w:r>
      <w:proofErr w:type="spellStart"/>
      <w:r w:rsidRPr="00E37D12">
        <w:rPr>
          <w:sz w:val="24"/>
          <w:szCs w:val="24"/>
        </w:rPr>
        <w:t>renale</w:t>
      </w:r>
      <w:proofErr w:type="spellEnd"/>
      <w:r w:rsidRPr="00E37D12">
        <w:rPr>
          <w:sz w:val="24"/>
          <w:szCs w:val="24"/>
        </w:rPr>
        <w:t xml:space="preserve"> elimination af svagt basiske lægemidler og derved reducere koncentrationen af dem, f.eks. </w:t>
      </w:r>
      <w:proofErr w:type="spellStart"/>
      <w:r w:rsidRPr="00E37D12">
        <w:rPr>
          <w:sz w:val="24"/>
          <w:szCs w:val="24"/>
        </w:rPr>
        <w:t>salicylater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phenobarbital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lithium</w:t>
      </w:r>
      <w:proofErr w:type="spellEnd"/>
      <w:r w:rsidRPr="00E37D12">
        <w:rPr>
          <w:sz w:val="24"/>
          <w:szCs w:val="24"/>
        </w:rPr>
        <w:t>.</w:t>
      </w:r>
    </w:p>
    <w:p w14:paraId="5B64C0FE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434CC875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Når blandinger af intravenøse lægemidler klargøres, skal der tages højde for opløsningens basiske pH-værdi og tilstedeværelse af natrium- og </w:t>
      </w:r>
      <w:proofErr w:type="spellStart"/>
      <w:r w:rsidRPr="00E37D12">
        <w:rPr>
          <w:sz w:val="24"/>
          <w:szCs w:val="24"/>
        </w:rPr>
        <w:t>hydrogencarbonationer</w:t>
      </w:r>
      <w:proofErr w:type="spellEnd"/>
      <w:r w:rsidRPr="00E37D12">
        <w:rPr>
          <w:sz w:val="24"/>
          <w:szCs w:val="24"/>
        </w:rPr>
        <w:t xml:space="preserve">. </w:t>
      </w:r>
    </w:p>
    <w:p w14:paraId="73B317D4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38A60C5D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De hyppigste uforligeligheder skyldes:</w:t>
      </w:r>
    </w:p>
    <w:p w14:paraId="55351870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70F7538E" w14:textId="77777777" w:rsidR="000916A2" w:rsidRPr="00521DE5" w:rsidRDefault="000916A2" w:rsidP="00521DE5">
      <w:pPr>
        <w:pStyle w:val="Listeafsnit"/>
        <w:numPr>
          <w:ilvl w:val="0"/>
          <w:numId w:val="11"/>
        </w:numPr>
        <w:tabs>
          <w:tab w:val="clear" w:pos="567"/>
        </w:tabs>
        <w:ind w:left="1276" w:hanging="425"/>
        <w:rPr>
          <w:sz w:val="24"/>
          <w:szCs w:val="24"/>
        </w:rPr>
      </w:pPr>
      <w:r w:rsidRPr="00521DE5">
        <w:rPr>
          <w:sz w:val="24"/>
          <w:szCs w:val="24"/>
        </w:rPr>
        <w:t>lægemidler med en sur reaktion i opløsning (</w:t>
      </w:r>
      <w:proofErr w:type="spellStart"/>
      <w:r w:rsidRPr="00521DE5">
        <w:rPr>
          <w:sz w:val="24"/>
          <w:szCs w:val="24"/>
        </w:rPr>
        <w:t>hydrochlorider</w:t>
      </w:r>
      <w:proofErr w:type="spellEnd"/>
      <w:r w:rsidRPr="00521DE5">
        <w:rPr>
          <w:sz w:val="24"/>
          <w:szCs w:val="24"/>
        </w:rPr>
        <w:t>, insulin osv.)</w:t>
      </w:r>
    </w:p>
    <w:p w14:paraId="5B4D6ABE" w14:textId="77777777" w:rsidR="000916A2" w:rsidRPr="00521DE5" w:rsidRDefault="000916A2" w:rsidP="00521DE5">
      <w:pPr>
        <w:pStyle w:val="Listeafsnit"/>
        <w:numPr>
          <w:ilvl w:val="0"/>
          <w:numId w:val="11"/>
        </w:numPr>
        <w:tabs>
          <w:tab w:val="clear" w:pos="567"/>
        </w:tabs>
        <w:ind w:left="1276" w:hanging="425"/>
        <w:rPr>
          <w:sz w:val="24"/>
          <w:szCs w:val="24"/>
        </w:rPr>
      </w:pPr>
      <w:r w:rsidRPr="00521DE5">
        <w:rPr>
          <w:sz w:val="24"/>
          <w:szCs w:val="24"/>
        </w:rPr>
        <w:t>lægemidler, hvis basiske form er uopløselig (alkaloider, antibiotika osv.)</w:t>
      </w:r>
    </w:p>
    <w:p w14:paraId="3C314EFD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AB00345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4.6</w:t>
      </w:r>
      <w:r w:rsidRPr="00E37D12">
        <w:rPr>
          <w:b/>
          <w:sz w:val="24"/>
          <w:szCs w:val="24"/>
        </w:rPr>
        <w:tab/>
      </w:r>
      <w:r w:rsidR="0071241E" w:rsidRPr="00E37D12">
        <w:rPr>
          <w:b/>
          <w:sz w:val="24"/>
          <w:szCs w:val="24"/>
        </w:rPr>
        <w:t>Fertilitet, g</w:t>
      </w:r>
      <w:r w:rsidRPr="00E37D12">
        <w:rPr>
          <w:b/>
          <w:sz w:val="24"/>
          <w:szCs w:val="24"/>
        </w:rPr>
        <w:t>raviditet og amning</w:t>
      </w:r>
    </w:p>
    <w:p w14:paraId="582BC952" w14:textId="77777777" w:rsidR="00521DE5" w:rsidRDefault="00521DE5" w:rsidP="00876B0E">
      <w:pPr>
        <w:ind w:left="851"/>
        <w:rPr>
          <w:sz w:val="24"/>
          <w:szCs w:val="24"/>
        </w:rPr>
      </w:pPr>
    </w:p>
    <w:p w14:paraId="2E9C4B78" w14:textId="609F3E74" w:rsidR="000916A2" w:rsidRPr="00521DE5" w:rsidRDefault="000916A2" w:rsidP="00876B0E">
      <w:pPr>
        <w:ind w:left="851"/>
        <w:rPr>
          <w:noProof/>
          <w:sz w:val="24"/>
          <w:szCs w:val="24"/>
          <w:u w:val="single"/>
        </w:rPr>
      </w:pPr>
      <w:r w:rsidRPr="00521DE5">
        <w:rPr>
          <w:sz w:val="24"/>
          <w:szCs w:val="24"/>
          <w:u w:val="single"/>
        </w:rPr>
        <w:t>Graviditet</w:t>
      </w:r>
    </w:p>
    <w:p w14:paraId="3D07FFD4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76EE3B8F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Klinisk er der ikke observeret nogen virkninger, som forårsager misdannelser eller fostertoksiske effekter hos mennesker. Monitoreringen af graviditeter, som har været udsat </w:t>
      </w:r>
      <w:r w:rsidRPr="00E37D12">
        <w:rPr>
          <w:sz w:val="24"/>
          <w:szCs w:val="24"/>
        </w:rPr>
        <w:lastRenderedPageBreak/>
        <w:t xml:space="preserve">for intravenøs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>, har dog ikke været tilstrækkelig til at udelukke en risiko. Denne opløsning bør derfor kun anvendes under graviditet, hvis det er nødvendigt.</w:t>
      </w:r>
    </w:p>
    <w:p w14:paraId="2C6FCB18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57CF3228" w14:textId="77777777" w:rsidR="000916A2" w:rsidRPr="00521DE5" w:rsidRDefault="000916A2" w:rsidP="00876B0E">
      <w:pPr>
        <w:ind w:left="851"/>
        <w:rPr>
          <w:noProof/>
          <w:sz w:val="24"/>
          <w:szCs w:val="24"/>
          <w:u w:val="single"/>
        </w:rPr>
      </w:pPr>
      <w:r w:rsidRPr="00521DE5">
        <w:rPr>
          <w:sz w:val="24"/>
          <w:szCs w:val="24"/>
          <w:u w:val="single"/>
        </w:rPr>
        <w:t>Amning</w:t>
      </w:r>
    </w:p>
    <w:p w14:paraId="42C40B96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75FD5846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Da der ikke foreligger data vedrørende potentiel overførsel til modermælk, skal amning helst undgås under behandling.</w:t>
      </w:r>
    </w:p>
    <w:p w14:paraId="38D76D6D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B8DBF85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4.7</w:t>
      </w:r>
      <w:r w:rsidRPr="00E37D12">
        <w:rPr>
          <w:b/>
          <w:sz w:val="24"/>
          <w:szCs w:val="24"/>
        </w:rPr>
        <w:tab/>
        <w:t xml:space="preserve">Virkning på evnen til at føre motorkøretøj </w:t>
      </w:r>
      <w:r w:rsidR="0071241E" w:rsidRPr="00E37D12">
        <w:rPr>
          <w:b/>
          <w:sz w:val="24"/>
          <w:szCs w:val="24"/>
        </w:rPr>
        <w:t>og</w:t>
      </w:r>
      <w:r w:rsidRPr="00E37D12">
        <w:rPr>
          <w:b/>
          <w:sz w:val="24"/>
          <w:szCs w:val="24"/>
        </w:rPr>
        <w:t xml:space="preserve"> betjene maskiner</w:t>
      </w:r>
    </w:p>
    <w:p w14:paraId="6C2C2389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noProof/>
          <w:sz w:val="24"/>
          <w:szCs w:val="24"/>
        </w:rPr>
        <w:t>Ikke mærkning.</w:t>
      </w:r>
    </w:p>
    <w:p w14:paraId="745C348E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Ikke relevant.</w:t>
      </w:r>
    </w:p>
    <w:p w14:paraId="3DF663D3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0605DA9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4.8</w:t>
      </w:r>
      <w:r w:rsidRPr="00E37D12">
        <w:rPr>
          <w:b/>
          <w:sz w:val="24"/>
          <w:szCs w:val="24"/>
        </w:rPr>
        <w:tab/>
        <w:t>Bivirkninger</w:t>
      </w:r>
    </w:p>
    <w:p w14:paraId="369FB33C" w14:textId="77777777" w:rsidR="00521DE5" w:rsidRDefault="00521DE5" w:rsidP="00876B0E">
      <w:pPr>
        <w:ind w:left="851"/>
        <w:rPr>
          <w:sz w:val="24"/>
          <w:szCs w:val="24"/>
        </w:rPr>
      </w:pPr>
    </w:p>
    <w:p w14:paraId="29339EBD" w14:textId="22D73F2F" w:rsidR="000916A2" w:rsidRPr="00521DE5" w:rsidRDefault="000916A2" w:rsidP="00876B0E">
      <w:pPr>
        <w:ind w:left="851"/>
        <w:rPr>
          <w:b/>
          <w:iCs/>
          <w:sz w:val="24"/>
          <w:szCs w:val="24"/>
        </w:rPr>
      </w:pPr>
      <w:r w:rsidRPr="00521DE5">
        <w:rPr>
          <w:b/>
          <w:sz w:val="24"/>
          <w:szCs w:val="24"/>
        </w:rPr>
        <w:t>Tabel over bivirkninger</w:t>
      </w:r>
    </w:p>
    <w:p w14:paraId="3C5D8C81" w14:textId="77777777" w:rsidR="000916A2" w:rsidRPr="00E37D12" w:rsidRDefault="000916A2" w:rsidP="00876B0E">
      <w:pPr>
        <w:ind w:left="851"/>
        <w:rPr>
          <w:bCs/>
          <w:iCs/>
          <w:sz w:val="24"/>
          <w:szCs w:val="24"/>
        </w:rPr>
      </w:pPr>
      <w:r w:rsidRPr="00E37D12">
        <w:rPr>
          <w:sz w:val="24"/>
          <w:szCs w:val="24"/>
        </w:rPr>
        <w:t>Hyppigheder: meget almindelig (≥1/10), almindelig (≥1/100 til &lt;1/10), ikke almindelig (≥1/1 000 til &lt;1/100), sjælden (≥1/10 000 til &lt;1/1 000), meget sjælden (&lt;1/10 000), ikke kendt (kan ikke estimeres ud fra forhåndenværende data).</w:t>
      </w:r>
    </w:p>
    <w:p w14:paraId="6BE41484" w14:textId="77777777" w:rsidR="000916A2" w:rsidRPr="00E37D12" w:rsidRDefault="000916A2" w:rsidP="00876B0E">
      <w:pPr>
        <w:ind w:left="851"/>
        <w:rPr>
          <w:sz w:val="24"/>
          <w:szCs w:val="24"/>
          <w:u w:val="single"/>
        </w:rPr>
      </w:pPr>
    </w:p>
    <w:tbl>
      <w:tblPr>
        <w:tblStyle w:val="TableNormal1"/>
        <w:tblW w:w="5000" w:type="pct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3208"/>
        <w:gridCol w:w="4372"/>
        <w:gridCol w:w="2042"/>
      </w:tblGrid>
      <w:tr w:rsidR="000916A2" w:rsidRPr="00E37D12" w14:paraId="58E416E1" w14:textId="77777777" w:rsidTr="00876B0E">
        <w:trPr>
          <w:trHeight w:hRule="exact" w:val="570"/>
        </w:trPr>
        <w:tc>
          <w:tcPr>
            <w:tcW w:w="16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7F3FC1F" w14:textId="77777777" w:rsidR="000916A2" w:rsidRPr="00E37D12" w:rsidRDefault="000916A2" w:rsidP="00876B0E">
            <w:pPr>
              <w:pStyle w:val="TableParagraph"/>
              <w:spacing w:before="38" w:line="226" w:lineRule="exact"/>
              <w:ind w:left="132" w:right="88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b/>
                <w:sz w:val="24"/>
                <w:szCs w:val="24"/>
              </w:rPr>
              <w:t>Systemorganklasse</w:t>
            </w:r>
          </w:p>
        </w:tc>
        <w:tc>
          <w:tcPr>
            <w:tcW w:w="2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61C07F4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b/>
                <w:sz w:val="24"/>
                <w:szCs w:val="24"/>
              </w:rPr>
              <w:t>Bivirkninger</w:t>
            </w:r>
          </w:p>
        </w:tc>
        <w:tc>
          <w:tcPr>
            <w:tcW w:w="10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C69FB8D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b/>
                <w:sz w:val="24"/>
                <w:szCs w:val="24"/>
              </w:rPr>
              <w:t>Hyppighed</w:t>
            </w:r>
          </w:p>
        </w:tc>
      </w:tr>
      <w:tr w:rsidR="000916A2" w:rsidRPr="00E37D12" w14:paraId="00918FF0" w14:textId="77777777" w:rsidTr="00876B0E">
        <w:trPr>
          <w:trHeight w:val="1283"/>
        </w:trPr>
        <w:tc>
          <w:tcPr>
            <w:tcW w:w="16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14E9A98" w14:textId="77777777" w:rsidR="000916A2" w:rsidRPr="00E37D12" w:rsidRDefault="000916A2" w:rsidP="00876B0E">
            <w:pPr>
              <w:pStyle w:val="TableParagraph"/>
              <w:spacing w:before="38"/>
              <w:ind w:left="132" w:righ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Metabolisme og ernæring</w:t>
            </w:r>
          </w:p>
        </w:tc>
        <w:tc>
          <w:tcPr>
            <w:tcW w:w="2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D7F6C" w14:textId="77777777" w:rsidR="000916A2" w:rsidRPr="00E37D12" w:rsidRDefault="000916A2" w:rsidP="00876B0E">
            <w:pPr>
              <w:pStyle w:val="TableParagraph"/>
              <w:ind w:left="132" w:right="2135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 xml:space="preserve">Metabolisk </w:t>
            </w:r>
            <w:proofErr w:type="spellStart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alkalose</w:t>
            </w:r>
            <w:proofErr w:type="spellEnd"/>
          </w:p>
          <w:p w14:paraId="725E5A00" w14:textId="77777777" w:rsidR="000916A2" w:rsidRPr="00E37D12" w:rsidRDefault="000916A2" w:rsidP="00876B0E">
            <w:pPr>
              <w:pStyle w:val="TableParagraph"/>
              <w:ind w:left="132" w:right="2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Hypokaliæmi</w:t>
            </w:r>
            <w:proofErr w:type="spellEnd"/>
          </w:p>
          <w:p w14:paraId="28AFB74D" w14:textId="77777777" w:rsidR="000916A2" w:rsidRPr="00E37D12" w:rsidRDefault="000916A2" w:rsidP="00876B0E">
            <w:pPr>
              <w:pStyle w:val="TableParagraph"/>
              <w:ind w:left="132" w:right="2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Hypernatriæmi</w:t>
            </w:r>
            <w:proofErr w:type="spellEnd"/>
          </w:p>
          <w:p w14:paraId="7817BDD7" w14:textId="77777777" w:rsidR="000916A2" w:rsidRPr="00E37D12" w:rsidRDefault="000916A2" w:rsidP="00876B0E">
            <w:pPr>
              <w:pStyle w:val="TableParagraph"/>
              <w:ind w:left="132" w:right="2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Hypocalcæmi</w:t>
            </w:r>
            <w:proofErr w:type="spellEnd"/>
          </w:p>
          <w:p w14:paraId="043C0E73" w14:textId="27ABD160" w:rsidR="000916A2" w:rsidRPr="00E37D12" w:rsidRDefault="000916A2" w:rsidP="00521DE5">
            <w:pPr>
              <w:pStyle w:val="TableParagraph"/>
              <w:ind w:left="132" w:right="2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Hypochloræmi</w:t>
            </w:r>
            <w:proofErr w:type="spellEnd"/>
          </w:p>
        </w:tc>
        <w:tc>
          <w:tcPr>
            <w:tcW w:w="106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02FC31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Ikke kendt</w:t>
            </w:r>
          </w:p>
        </w:tc>
      </w:tr>
      <w:tr w:rsidR="000916A2" w:rsidRPr="00E37D12" w14:paraId="121A7E79" w14:textId="77777777" w:rsidTr="00876B0E">
        <w:trPr>
          <w:trHeight w:hRule="exact" w:val="862"/>
        </w:trPr>
        <w:tc>
          <w:tcPr>
            <w:tcW w:w="16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4B9D23" w14:textId="77777777" w:rsidR="000916A2" w:rsidRPr="00E37D12" w:rsidRDefault="000916A2" w:rsidP="00876B0E">
            <w:pPr>
              <w:pStyle w:val="TableParagraph"/>
              <w:ind w:left="132" w:right="884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Almene symptomer og reaktioner på administrationsstedet</w:t>
            </w:r>
          </w:p>
        </w:tc>
        <w:tc>
          <w:tcPr>
            <w:tcW w:w="2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ED83556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Ødem (herunder lungeødem)</w:t>
            </w:r>
          </w:p>
          <w:p w14:paraId="5782FFBB" w14:textId="77777777" w:rsidR="000916A2" w:rsidRPr="00E37D12" w:rsidRDefault="000916A2" w:rsidP="00876B0E">
            <w:pPr>
              <w:pStyle w:val="TableParagraph"/>
              <w:ind w:left="132" w:right="80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Nekrose på injektionssted</w:t>
            </w:r>
          </w:p>
          <w:p w14:paraId="57997A74" w14:textId="77777777" w:rsidR="000916A2" w:rsidRPr="00E37D12" w:rsidRDefault="000916A2" w:rsidP="00876B0E">
            <w:pPr>
              <w:pStyle w:val="TableParagraph"/>
              <w:ind w:left="132" w:right="80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Motorisk deficit på injektionssted</w:t>
            </w:r>
          </w:p>
        </w:tc>
        <w:tc>
          <w:tcPr>
            <w:tcW w:w="106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FBA5F5" w14:textId="77777777" w:rsidR="000916A2" w:rsidRPr="00E37D12" w:rsidRDefault="000916A2" w:rsidP="00876B0E">
            <w:pPr>
              <w:ind w:lef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6A2" w:rsidRPr="00E37D12" w14:paraId="76170755" w14:textId="77777777" w:rsidTr="00876B0E">
        <w:trPr>
          <w:trHeight w:hRule="exact" w:val="570"/>
        </w:trPr>
        <w:tc>
          <w:tcPr>
            <w:tcW w:w="16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D72B2F6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Psykiske forstyrrelser</w:t>
            </w:r>
          </w:p>
        </w:tc>
        <w:tc>
          <w:tcPr>
            <w:tcW w:w="2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4485A63" w14:textId="77777777" w:rsidR="000916A2" w:rsidRPr="00E37D12" w:rsidRDefault="000916A2" w:rsidP="00876B0E">
            <w:pPr>
              <w:pStyle w:val="TableParagraph"/>
              <w:ind w:left="132" w:right="190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Humørsvingninger</w:t>
            </w:r>
          </w:p>
          <w:p w14:paraId="76C06BB1" w14:textId="77777777" w:rsidR="000916A2" w:rsidRPr="00E37D12" w:rsidRDefault="000916A2" w:rsidP="00876B0E">
            <w:pPr>
              <w:pStyle w:val="TableParagraph"/>
              <w:ind w:left="132" w:right="190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Irritabilitet</w:t>
            </w:r>
          </w:p>
        </w:tc>
        <w:tc>
          <w:tcPr>
            <w:tcW w:w="106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EF05C70" w14:textId="77777777" w:rsidR="000916A2" w:rsidRPr="00E37D12" w:rsidRDefault="000916A2" w:rsidP="00876B0E">
            <w:pPr>
              <w:ind w:lef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6A2" w:rsidRPr="00E37D12" w14:paraId="14A77F44" w14:textId="77777777" w:rsidTr="00876B0E">
        <w:trPr>
          <w:trHeight w:hRule="exact" w:val="298"/>
        </w:trPr>
        <w:tc>
          <w:tcPr>
            <w:tcW w:w="16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812F21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Nervesystemet</w:t>
            </w:r>
          </w:p>
          <w:p w14:paraId="32F9EA84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8A6A897" w14:textId="77777777" w:rsidR="000916A2" w:rsidRPr="00E37D12" w:rsidRDefault="000916A2" w:rsidP="00876B0E">
            <w:pPr>
              <w:pStyle w:val="TableParagraph"/>
              <w:ind w:left="132" w:right="190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Kramper</w:t>
            </w:r>
          </w:p>
        </w:tc>
        <w:tc>
          <w:tcPr>
            <w:tcW w:w="106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C9E6C24" w14:textId="77777777" w:rsidR="000916A2" w:rsidRPr="00E37D12" w:rsidRDefault="000916A2" w:rsidP="00876B0E">
            <w:pPr>
              <w:ind w:lef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916A2" w:rsidRPr="00E37D12" w14:paraId="3E21513C" w14:textId="77777777" w:rsidTr="00876B0E">
        <w:trPr>
          <w:trHeight w:hRule="exact" w:val="285"/>
        </w:trPr>
        <w:tc>
          <w:tcPr>
            <w:tcW w:w="166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8CA139D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Vaskulære</w:t>
            </w:r>
            <w:proofErr w:type="spellEnd"/>
            <w:r w:rsidRPr="00E37D12">
              <w:rPr>
                <w:rFonts w:ascii="Times New Roman" w:hAnsi="Times New Roman" w:cs="Times New Roman"/>
                <w:sz w:val="24"/>
                <w:szCs w:val="24"/>
              </w:rPr>
              <w:t xml:space="preserve"> sygdomme</w:t>
            </w:r>
          </w:p>
        </w:tc>
        <w:tc>
          <w:tcPr>
            <w:tcW w:w="22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5F6BE9" w14:textId="77777777" w:rsidR="000916A2" w:rsidRPr="00E37D12" w:rsidRDefault="000916A2" w:rsidP="00876B0E">
            <w:pPr>
              <w:pStyle w:val="TableParagraph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E37D12">
              <w:rPr>
                <w:rFonts w:ascii="Times New Roman" w:hAnsi="Times New Roman" w:cs="Times New Roman"/>
                <w:sz w:val="24"/>
                <w:szCs w:val="24"/>
              </w:rPr>
              <w:t>Hypotension</w:t>
            </w:r>
          </w:p>
        </w:tc>
        <w:tc>
          <w:tcPr>
            <w:tcW w:w="106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6BBCFD8" w14:textId="77777777" w:rsidR="000916A2" w:rsidRPr="00E37D12" w:rsidRDefault="000916A2" w:rsidP="00876B0E">
            <w:pPr>
              <w:ind w:lef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F363461" w14:textId="77777777" w:rsidR="000916A2" w:rsidRPr="00E37D12" w:rsidRDefault="000916A2" w:rsidP="000916A2">
      <w:pPr>
        <w:tabs>
          <w:tab w:val="left" w:pos="1304"/>
        </w:tabs>
        <w:autoSpaceDE w:val="0"/>
        <w:autoSpaceDN w:val="0"/>
        <w:adjustRightInd w:val="0"/>
        <w:rPr>
          <w:sz w:val="24"/>
          <w:szCs w:val="24"/>
          <w:u w:val="single"/>
        </w:rPr>
      </w:pPr>
    </w:p>
    <w:p w14:paraId="7D842EF2" w14:textId="77777777" w:rsidR="000916A2" w:rsidRPr="00521DE5" w:rsidRDefault="000916A2" w:rsidP="00876B0E">
      <w:pPr>
        <w:ind w:left="851"/>
        <w:rPr>
          <w:sz w:val="24"/>
          <w:szCs w:val="24"/>
          <w:u w:val="single"/>
        </w:rPr>
      </w:pPr>
      <w:r w:rsidRPr="00521DE5">
        <w:rPr>
          <w:sz w:val="24"/>
          <w:szCs w:val="24"/>
          <w:u w:val="single"/>
        </w:rPr>
        <w:t>Indberetning af formodede bivirkninger</w:t>
      </w:r>
    </w:p>
    <w:p w14:paraId="530A0594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 w:rsidRPr="00E37D12">
        <w:rPr>
          <w:sz w:val="24"/>
          <w:szCs w:val="24"/>
        </w:rPr>
        <w:t>risk</w:t>
      </w:r>
      <w:proofErr w:type="spellEnd"/>
      <w:r w:rsidRPr="00E37D12">
        <w:rPr>
          <w:sz w:val="24"/>
          <w:szCs w:val="24"/>
        </w:rPr>
        <w:t>-forholdet for lægemidlet. Sundhedspersoner anmodes om at indberette alle formodede bivirkninger via</w:t>
      </w:r>
    </w:p>
    <w:p w14:paraId="4284EEC9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00C95DB4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Lægemiddelstyrelsen</w:t>
      </w:r>
    </w:p>
    <w:p w14:paraId="481C7D36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Axel Heides Gade 1</w:t>
      </w:r>
    </w:p>
    <w:p w14:paraId="07FC4AA7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DK-2300 København S</w:t>
      </w:r>
    </w:p>
    <w:p w14:paraId="74C892ED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Websted: www.meldenbivirkning.dk.</w:t>
      </w:r>
    </w:p>
    <w:p w14:paraId="2367AAD4" w14:textId="77777777" w:rsidR="009260DE" w:rsidRPr="00E37D12" w:rsidRDefault="009260DE" w:rsidP="00A10294">
      <w:pPr>
        <w:tabs>
          <w:tab w:val="left" w:pos="851"/>
        </w:tabs>
        <w:ind w:left="851"/>
        <w:rPr>
          <w:sz w:val="24"/>
          <w:szCs w:val="24"/>
        </w:rPr>
      </w:pPr>
    </w:p>
    <w:p w14:paraId="5B1148E0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4.9</w:t>
      </w:r>
      <w:r w:rsidRPr="00E37D12">
        <w:rPr>
          <w:b/>
          <w:sz w:val="24"/>
          <w:szCs w:val="24"/>
        </w:rPr>
        <w:tab/>
        <w:t>Overdosering</w:t>
      </w:r>
    </w:p>
    <w:p w14:paraId="0DF294CF" w14:textId="77777777" w:rsidR="000916A2" w:rsidRPr="00E37D12" w:rsidRDefault="000916A2" w:rsidP="00876B0E">
      <w:pPr>
        <w:ind w:left="851"/>
        <w:rPr>
          <w:i/>
          <w:noProof/>
          <w:sz w:val="24"/>
          <w:szCs w:val="24"/>
        </w:rPr>
      </w:pPr>
      <w:r w:rsidRPr="00E37D12">
        <w:rPr>
          <w:sz w:val="24"/>
          <w:szCs w:val="24"/>
        </w:rPr>
        <w:t xml:space="preserve">Metabolisk </w:t>
      </w:r>
      <w:proofErr w:type="spellStart"/>
      <w:r w:rsidRPr="00E37D12">
        <w:rPr>
          <w:sz w:val="24"/>
          <w:szCs w:val="24"/>
        </w:rPr>
        <w:t>alkalose</w:t>
      </w:r>
      <w:proofErr w:type="spellEnd"/>
      <w:r w:rsidRPr="00E37D12">
        <w:rPr>
          <w:sz w:val="24"/>
          <w:szCs w:val="24"/>
        </w:rPr>
        <w:t xml:space="preserve">, respiratorisk </w:t>
      </w:r>
      <w:proofErr w:type="spellStart"/>
      <w:r w:rsidRPr="00E37D12">
        <w:rPr>
          <w:sz w:val="24"/>
          <w:szCs w:val="24"/>
        </w:rPr>
        <w:t>acidose</w:t>
      </w:r>
      <w:proofErr w:type="spellEnd"/>
      <w:r w:rsidRPr="00E37D12">
        <w:rPr>
          <w:sz w:val="24"/>
          <w:szCs w:val="24"/>
        </w:rPr>
        <w:t xml:space="preserve"> (alvorlig </w:t>
      </w:r>
      <w:proofErr w:type="spellStart"/>
      <w:r w:rsidRPr="00E37D12">
        <w:rPr>
          <w:sz w:val="24"/>
          <w:szCs w:val="24"/>
        </w:rPr>
        <w:t>hyperkapni</w:t>
      </w:r>
      <w:proofErr w:type="spellEnd"/>
      <w:r w:rsidRPr="00E37D12">
        <w:rPr>
          <w:sz w:val="24"/>
          <w:szCs w:val="24"/>
        </w:rPr>
        <w:t xml:space="preserve">), </w:t>
      </w:r>
      <w:proofErr w:type="spellStart"/>
      <w:r w:rsidRPr="00E37D12">
        <w:rPr>
          <w:sz w:val="24"/>
          <w:szCs w:val="24"/>
        </w:rPr>
        <w:t>hypokaliæmi</w:t>
      </w:r>
      <w:proofErr w:type="spellEnd"/>
      <w:r w:rsidRPr="00E37D12">
        <w:rPr>
          <w:sz w:val="24"/>
          <w:szCs w:val="24"/>
        </w:rPr>
        <w:t xml:space="preserve">, hjertesvigt og </w:t>
      </w:r>
      <w:proofErr w:type="spellStart"/>
      <w:r w:rsidRPr="00E37D12">
        <w:rPr>
          <w:sz w:val="24"/>
          <w:szCs w:val="24"/>
        </w:rPr>
        <w:t>hjertearytmi</w:t>
      </w:r>
      <w:proofErr w:type="spellEnd"/>
      <w:r w:rsidRPr="00E37D12">
        <w:rPr>
          <w:sz w:val="24"/>
          <w:szCs w:val="24"/>
        </w:rPr>
        <w:t xml:space="preserve">, akut lungeødem, tetani, </w:t>
      </w:r>
      <w:proofErr w:type="spellStart"/>
      <w:r w:rsidRPr="00E37D12">
        <w:rPr>
          <w:sz w:val="24"/>
          <w:szCs w:val="24"/>
        </w:rPr>
        <w:t>intrakraniel</w:t>
      </w:r>
      <w:proofErr w:type="spellEnd"/>
      <w:r w:rsidRPr="00E37D12">
        <w:rPr>
          <w:sz w:val="24"/>
          <w:szCs w:val="24"/>
        </w:rPr>
        <w:t xml:space="preserve"> blødning i forbindelse med </w:t>
      </w:r>
      <w:proofErr w:type="spellStart"/>
      <w:r w:rsidRPr="00E37D12">
        <w:rPr>
          <w:sz w:val="24"/>
          <w:szCs w:val="24"/>
        </w:rPr>
        <w:t>hyperkapni</w:t>
      </w:r>
      <w:proofErr w:type="spellEnd"/>
      <w:r w:rsidRPr="00E37D12">
        <w:rPr>
          <w:sz w:val="24"/>
          <w:szCs w:val="24"/>
        </w:rPr>
        <w:t>, især hos fuldbårne og for tidligt fødte nyfødte</w:t>
      </w:r>
      <w:r w:rsidRPr="00E37D12">
        <w:rPr>
          <w:i/>
          <w:sz w:val="24"/>
          <w:szCs w:val="24"/>
        </w:rPr>
        <w:t>.</w:t>
      </w:r>
    </w:p>
    <w:p w14:paraId="5D5BEACF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A4BF6FE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4.10</w:t>
      </w:r>
      <w:r w:rsidRPr="00E37D12">
        <w:rPr>
          <w:b/>
          <w:sz w:val="24"/>
          <w:szCs w:val="24"/>
        </w:rPr>
        <w:tab/>
        <w:t>Udlevering</w:t>
      </w:r>
    </w:p>
    <w:p w14:paraId="3F4F486A" w14:textId="3FD938E1" w:rsidR="009260DE" w:rsidRPr="00E37D12" w:rsidRDefault="00876B0E" w:rsidP="009260DE">
      <w:pPr>
        <w:tabs>
          <w:tab w:val="left" w:pos="851"/>
        </w:tabs>
        <w:ind w:left="851"/>
        <w:rPr>
          <w:sz w:val="24"/>
          <w:szCs w:val="24"/>
        </w:rPr>
      </w:pPr>
      <w:r w:rsidRPr="00E37D12">
        <w:rPr>
          <w:sz w:val="24"/>
          <w:szCs w:val="24"/>
        </w:rPr>
        <w:t>B</w:t>
      </w:r>
    </w:p>
    <w:p w14:paraId="5F99D1B0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B0E3C35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C288CFA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5.</w:t>
      </w:r>
      <w:r w:rsidRPr="00E37D12">
        <w:rPr>
          <w:b/>
          <w:sz w:val="24"/>
          <w:szCs w:val="24"/>
        </w:rPr>
        <w:tab/>
        <w:t>FARMAKOLOGISKE EGENSKABER</w:t>
      </w:r>
    </w:p>
    <w:p w14:paraId="1AB536DA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5060F7B" w14:textId="77777777" w:rsidR="009260DE" w:rsidRPr="00E37D12" w:rsidRDefault="009260DE" w:rsidP="009260DE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5.1</w:t>
      </w:r>
      <w:r w:rsidRPr="00E37D12">
        <w:rPr>
          <w:b/>
          <w:sz w:val="24"/>
          <w:szCs w:val="24"/>
        </w:rPr>
        <w:tab/>
      </w:r>
      <w:proofErr w:type="spellStart"/>
      <w:r w:rsidRPr="00E37D12">
        <w:rPr>
          <w:b/>
          <w:sz w:val="24"/>
          <w:szCs w:val="24"/>
        </w:rPr>
        <w:t>Farmakodynamiske</w:t>
      </w:r>
      <w:proofErr w:type="spellEnd"/>
      <w:r w:rsidRPr="00E37D12">
        <w:rPr>
          <w:b/>
          <w:sz w:val="24"/>
          <w:szCs w:val="24"/>
        </w:rPr>
        <w:t xml:space="preserve"> egenskaber</w:t>
      </w:r>
    </w:p>
    <w:p w14:paraId="4BD9B10A" w14:textId="77777777" w:rsidR="000916A2" w:rsidRPr="00E37D12" w:rsidRDefault="000916A2" w:rsidP="00876B0E">
      <w:pPr>
        <w:ind w:left="851"/>
        <w:rPr>
          <w:sz w:val="24"/>
          <w:szCs w:val="24"/>
        </w:rPr>
      </w:pPr>
      <w:proofErr w:type="spellStart"/>
      <w:r w:rsidRPr="00E37D12">
        <w:rPr>
          <w:sz w:val="24"/>
          <w:szCs w:val="24"/>
        </w:rPr>
        <w:t>Farmakoterapeutisk</w:t>
      </w:r>
      <w:proofErr w:type="spellEnd"/>
      <w:r w:rsidRPr="00E37D12">
        <w:rPr>
          <w:sz w:val="24"/>
          <w:szCs w:val="24"/>
        </w:rPr>
        <w:t xml:space="preserve"> klassifikation: </w:t>
      </w:r>
      <w:r w:rsidRPr="00E37D12">
        <w:rPr>
          <w:color w:val="000000"/>
          <w:sz w:val="24"/>
          <w:szCs w:val="24"/>
        </w:rPr>
        <w:t>Opløsninger med virkning på elektrolytbalancen,</w:t>
      </w:r>
      <w:r w:rsidRPr="00E37D12">
        <w:rPr>
          <w:sz w:val="24"/>
          <w:szCs w:val="24"/>
        </w:rPr>
        <w:t xml:space="preserve"> elektrolytter, ATC-kode: B05BB01 (B: blod og bloddannende organer).</w:t>
      </w:r>
    </w:p>
    <w:p w14:paraId="7969B501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6751E88A" w14:textId="77777777" w:rsidR="000916A2" w:rsidRPr="00E37D12" w:rsidRDefault="000916A2" w:rsidP="00876B0E">
      <w:pPr>
        <w:ind w:left="851"/>
        <w:rPr>
          <w:sz w:val="24"/>
          <w:szCs w:val="24"/>
        </w:rPr>
      </w:pPr>
      <w:proofErr w:type="spellStart"/>
      <w:r w:rsidRPr="00E37D12">
        <w:rPr>
          <w:sz w:val="24"/>
          <w:szCs w:val="24"/>
        </w:rPr>
        <w:t>Hylvastam</w:t>
      </w:r>
      <w:proofErr w:type="spellEnd"/>
      <w:r w:rsidRPr="00E37D12">
        <w:rPr>
          <w:sz w:val="24"/>
          <w:szCs w:val="24"/>
        </w:rPr>
        <w:t xml:space="preserve"> er en isotonisk opløsning med en </w:t>
      </w:r>
      <w:proofErr w:type="spellStart"/>
      <w:r w:rsidRPr="00E37D12">
        <w:rPr>
          <w:sz w:val="24"/>
          <w:szCs w:val="24"/>
        </w:rPr>
        <w:t>osmolaritet</w:t>
      </w:r>
      <w:proofErr w:type="spellEnd"/>
      <w:r w:rsidRPr="00E37D12">
        <w:rPr>
          <w:sz w:val="24"/>
          <w:szCs w:val="24"/>
        </w:rPr>
        <w:t xml:space="preserve"> på ca. 333 </w:t>
      </w:r>
      <w:proofErr w:type="spellStart"/>
      <w:r w:rsidRPr="00E37D12">
        <w:rPr>
          <w:sz w:val="24"/>
          <w:szCs w:val="24"/>
        </w:rPr>
        <w:t>mOsm</w:t>
      </w:r>
      <w:proofErr w:type="spellEnd"/>
      <w:r w:rsidRPr="00E37D12">
        <w:rPr>
          <w:sz w:val="24"/>
          <w:szCs w:val="24"/>
        </w:rPr>
        <w:t xml:space="preserve">/l. Opløsningens </w:t>
      </w:r>
      <w:proofErr w:type="spellStart"/>
      <w:r w:rsidRPr="00E37D12">
        <w:rPr>
          <w:sz w:val="24"/>
          <w:szCs w:val="24"/>
        </w:rPr>
        <w:t>farmakodynamiske</w:t>
      </w:r>
      <w:proofErr w:type="spellEnd"/>
      <w:r w:rsidRPr="00E37D12">
        <w:rPr>
          <w:sz w:val="24"/>
          <w:szCs w:val="24"/>
        </w:rPr>
        <w:t xml:space="preserve"> egenskaber er de samme som for </w:t>
      </w:r>
      <w:proofErr w:type="spellStart"/>
      <w:r w:rsidRPr="00E37D12">
        <w:rPr>
          <w:sz w:val="24"/>
          <w:szCs w:val="24"/>
        </w:rPr>
        <w:t>hydrogencarbonat</w:t>
      </w:r>
      <w:proofErr w:type="spellEnd"/>
      <w:r w:rsidRPr="00E37D12">
        <w:rPr>
          <w:sz w:val="24"/>
          <w:szCs w:val="24"/>
        </w:rPr>
        <w:t xml:space="preserve">- og </w:t>
      </w:r>
      <w:proofErr w:type="spellStart"/>
      <w:r w:rsidRPr="00E37D12">
        <w:rPr>
          <w:sz w:val="24"/>
          <w:szCs w:val="24"/>
        </w:rPr>
        <w:t>natriumioner</w:t>
      </w:r>
      <w:proofErr w:type="spellEnd"/>
      <w:r w:rsidRPr="00E37D12">
        <w:rPr>
          <w:sz w:val="24"/>
          <w:szCs w:val="24"/>
        </w:rPr>
        <w:t>.</w:t>
      </w:r>
    </w:p>
    <w:p w14:paraId="6270BE7A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A482DDB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5.2</w:t>
      </w:r>
      <w:r w:rsidRPr="00E37D12">
        <w:rPr>
          <w:b/>
          <w:sz w:val="24"/>
          <w:szCs w:val="24"/>
        </w:rPr>
        <w:tab/>
      </w:r>
      <w:proofErr w:type="spellStart"/>
      <w:r w:rsidRPr="00E37D12">
        <w:rPr>
          <w:b/>
          <w:sz w:val="24"/>
          <w:szCs w:val="24"/>
        </w:rPr>
        <w:t>Farmakokinetiske</w:t>
      </w:r>
      <w:proofErr w:type="spellEnd"/>
      <w:r w:rsidRPr="00E37D12">
        <w:rPr>
          <w:b/>
          <w:sz w:val="24"/>
          <w:szCs w:val="24"/>
        </w:rPr>
        <w:t xml:space="preserve"> egenskaber</w:t>
      </w:r>
    </w:p>
    <w:p w14:paraId="6B69B34C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 xml:space="preserve">Natrium og </w:t>
      </w:r>
      <w:proofErr w:type="spellStart"/>
      <w:r w:rsidRPr="00E37D12">
        <w:rPr>
          <w:sz w:val="24"/>
          <w:szCs w:val="24"/>
        </w:rPr>
        <w:t>hydrogencarbonat</w:t>
      </w:r>
      <w:proofErr w:type="spellEnd"/>
      <w:r w:rsidRPr="00E37D12">
        <w:rPr>
          <w:sz w:val="24"/>
          <w:szCs w:val="24"/>
        </w:rPr>
        <w:t xml:space="preserve"> fordeles hovedsageligt i blodet og de ekstracellulære rum. Ved normal </w:t>
      </w:r>
      <w:proofErr w:type="spellStart"/>
      <w:r w:rsidRPr="00E37D12">
        <w:rPr>
          <w:sz w:val="24"/>
          <w:szCs w:val="24"/>
        </w:rPr>
        <w:t>hydrogenionkoncentration</w:t>
      </w:r>
      <w:proofErr w:type="spellEnd"/>
      <w:r w:rsidRPr="00E37D12">
        <w:rPr>
          <w:sz w:val="24"/>
          <w:szCs w:val="24"/>
        </w:rPr>
        <w:t xml:space="preserve"> bliver </w:t>
      </w:r>
      <w:proofErr w:type="spellStart"/>
      <w:r w:rsidRPr="00E37D12">
        <w:rPr>
          <w:sz w:val="24"/>
          <w:szCs w:val="24"/>
        </w:rPr>
        <w:t>hydrogencarbonationerne</w:t>
      </w:r>
      <w:proofErr w:type="spellEnd"/>
      <w:r w:rsidRPr="00E37D12">
        <w:rPr>
          <w:sz w:val="24"/>
          <w:szCs w:val="24"/>
        </w:rPr>
        <w:t xml:space="preserve"> til kulsyre og derefter til kuldioxid, som udskilles via lungerne. Under 1 % udskilles i urinen. Overskydende </w:t>
      </w:r>
      <w:proofErr w:type="spellStart"/>
      <w:r w:rsidRPr="00E37D12">
        <w:rPr>
          <w:sz w:val="24"/>
          <w:szCs w:val="24"/>
        </w:rPr>
        <w:t>hydrogencarbonat</w:t>
      </w:r>
      <w:proofErr w:type="spellEnd"/>
      <w:r w:rsidRPr="00E37D12">
        <w:rPr>
          <w:sz w:val="24"/>
          <w:szCs w:val="24"/>
        </w:rPr>
        <w:t xml:space="preserve">, der udskilles i urinen med </w:t>
      </w:r>
      <w:proofErr w:type="spellStart"/>
      <w:r w:rsidRPr="00E37D12">
        <w:rPr>
          <w:sz w:val="24"/>
          <w:szCs w:val="24"/>
        </w:rPr>
        <w:t>natriumioner</w:t>
      </w:r>
      <w:proofErr w:type="spellEnd"/>
      <w:r w:rsidRPr="00E37D12">
        <w:rPr>
          <w:sz w:val="24"/>
          <w:szCs w:val="24"/>
        </w:rPr>
        <w:t xml:space="preserve">, </w:t>
      </w:r>
      <w:proofErr w:type="spellStart"/>
      <w:r w:rsidRPr="00E37D12">
        <w:rPr>
          <w:sz w:val="24"/>
          <w:szCs w:val="24"/>
        </w:rPr>
        <w:t>alkaliniserer</w:t>
      </w:r>
      <w:proofErr w:type="spellEnd"/>
      <w:r w:rsidRPr="00E37D12">
        <w:rPr>
          <w:sz w:val="24"/>
          <w:szCs w:val="24"/>
        </w:rPr>
        <w:t xml:space="preserve"> urinen og har en diuretisk virkning.</w:t>
      </w:r>
    </w:p>
    <w:p w14:paraId="3EA0C9C2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968DBD0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5.3</w:t>
      </w:r>
      <w:r w:rsidRPr="00E37D12">
        <w:rPr>
          <w:b/>
          <w:sz w:val="24"/>
          <w:szCs w:val="24"/>
        </w:rPr>
        <w:tab/>
      </w:r>
      <w:r w:rsidR="00BD7931" w:rsidRPr="00E37D12">
        <w:rPr>
          <w:b/>
          <w:sz w:val="24"/>
          <w:szCs w:val="24"/>
        </w:rPr>
        <w:t>Non-</w:t>
      </w:r>
      <w:r w:rsidRPr="00E37D12">
        <w:rPr>
          <w:b/>
          <w:sz w:val="24"/>
          <w:szCs w:val="24"/>
        </w:rPr>
        <w:t>kliniske sikkerhedsdata</w:t>
      </w:r>
    </w:p>
    <w:p w14:paraId="1A9C1747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De non-kliniske sikkerhedsdata for </w:t>
      </w:r>
      <w:proofErr w:type="spellStart"/>
      <w:r w:rsidRPr="00E37D12">
        <w:rPr>
          <w:sz w:val="24"/>
          <w:szCs w:val="24"/>
        </w:rPr>
        <w:t>natriumhydrogencarbonat</w:t>
      </w:r>
      <w:proofErr w:type="spellEnd"/>
      <w:r w:rsidRPr="00E37D12">
        <w:rPr>
          <w:sz w:val="24"/>
          <w:szCs w:val="24"/>
        </w:rPr>
        <w:t xml:space="preserve"> i dyr er ikke relevante, da </w:t>
      </w:r>
      <w:proofErr w:type="spellStart"/>
      <w:r w:rsidRPr="00E37D12">
        <w:rPr>
          <w:sz w:val="24"/>
          <w:szCs w:val="24"/>
        </w:rPr>
        <w:t>hydrogencarbonat</w:t>
      </w:r>
      <w:proofErr w:type="spellEnd"/>
      <w:r w:rsidRPr="00E37D12">
        <w:rPr>
          <w:sz w:val="24"/>
          <w:szCs w:val="24"/>
        </w:rPr>
        <w:t xml:space="preserve"> og natrium er fysiologiske bestanddele i kroppen.</w:t>
      </w:r>
    </w:p>
    <w:p w14:paraId="7135B351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Der forventes ingen toksiske effekter under normale kliniske forhold.</w:t>
      </w:r>
    </w:p>
    <w:p w14:paraId="62E11BD9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0F64FFC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46775ED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</w:t>
      </w:r>
      <w:r w:rsidRPr="00E37D12">
        <w:rPr>
          <w:b/>
          <w:sz w:val="24"/>
          <w:szCs w:val="24"/>
        </w:rPr>
        <w:tab/>
        <w:t>FARMACEUTISKE OPLYSNINGER</w:t>
      </w:r>
    </w:p>
    <w:p w14:paraId="0023D6D9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9F5FCD3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6.1</w:t>
      </w:r>
      <w:r w:rsidRPr="00E37D12">
        <w:rPr>
          <w:b/>
          <w:sz w:val="24"/>
          <w:szCs w:val="24"/>
        </w:rPr>
        <w:tab/>
        <w:t>Hjælpestoffer</w:t>
      </w:r>
    </w:p>
    <w:p w14:paraId="194BAAFE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Vand til injektionsvæske</w:t>
      </w:r>
    </w:p>
    <w:p w14:paraId="78AA4ED9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89FCBE6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6.2</w:t>
      </w:r>
      <w:r w:rsidRPr="00E37D12">
        <w:rPr>
          <w:b/>
          <w:sz w:val="24"/>
          <w:szCs w:val="24"/>
        </w:rPr>
        <w:tab/>
        <w:t>Uforligeligheder</w:t>
      </w:r>
    </w:p>
    <w:p w14:paraId="1C83BBA8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Forligeligheden af lægemidler, der skal tilsættes opløsningen, skal kontrolleres på forhånd.</w:t>
      </w:r>
    </w:p>
    <w:p w14:paraId="04C2EE28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Hvis der ikke foreligger studier af eventuelle uforligeligheder, må dette lægemiddel ikke blandes med andre lægemidler. Det er vigtigt at læse anvisningerne for de lægemidler, der skal tilsættes.</w:t>
      </w:r>
    </w:p>
    <w:p w14:paraId="45372B01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Før et lægemiddel tilsættes, skal det kontrolleres, at det er opløseligt og stabilt i vand ved </w:t>
      </w:r>
      <w:proofErr w:type="spellStart"/>
      <w:r w:rsidRPr="00E37D12">
        <w:rPr>
          <w:sz w:val="24"/>
          <w:szCs w:val="24"/>
        </w:rPr>
        <w:t>Hylvastams</w:t>
      </w:r>
      <w:proofErr w:type="spellEnd"/>
      <w:r w:rsidRPr="00E37D12">
        <w:rPr>
          <w:sz w:val="24"/>
          <w:szCs w:val="24"/>
        </w:rPr>
        <w:t xml:space="preserve"> pH-værdi (pH 7,0 til 8,5).</w:t>
      </w:r>
    </w:p>
    <w:p w14:paraId="7079A139" w14:textId="77777777" w:rsidR="000916A2" w:rsidRPr="00E37D12" w:rsidRDefault="000916A2" w:rsidP="00876B0E">
      <w:pPr>
        <w:ind w:left="851"/>
        <w:rPr>
          <w:noProof/>
          <w:sz w:val="24"/>
          <w:szCs w:val="24"/>
          <w:highlight w:val="yellow"/>
        </w:rPr>
      </w:pPr>
    </w:p>
    <w:p w14:paraId="052AFC1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Til information er følgende lægemidler uforligelige med </w:t>
      </w:r>
      <w:proofErr w:type="spellStart"/>
      <w:r w:rsidRPr="00E37D12">
        <w:rPr>
          <w:sz w:val="24"/>
          <w:szCs w:val="24"/>
        </w:rPr>
        <w:t>Hylvastam</w:t>
      </w:r>
      <w:proofErr w:type="spellEnd"/>
      <w:r w:rsidRPr="00E37D12">
        <w:rPr>
          <w:sz w:val="24"/>
          <w:szCs w:val="24"/>
        </w:rPr>
        <w:t xml:space="preserve"> (listen er ikke udtømmende):</w:t>
      </w:r>
    </w:p>
    <w:p w14:paraId="5D151BD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0DD94CF7" w14:textId="77777777" w:rsidR="000916A2" w:rsidRPr="00521DE5" w:rsidRDefault="000916A2" w:rsidP="00521DE5">
      <w:pPr>
        <w:pStyle w:val="Listeafsnit"/>
        <w:numPr>
          <w:ilvl w:val="0"/>
          <w:numId w:val="12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r w:rsidRPr="00521DE5">
        <w:rPr>
          <w:sz w:val="24"/>
          <w:szCs w:val="24"/>
        </w:rPr>
        <w:t>Ringer- og Ringer-laktatopløsninger.</w:t>
      </w:r>
    </w:p>
    <w:p w14:paraId="646A5501" w14:textId="77777777" w:rsidR="000916A2" w:rsidRPr="00521DE5" w:rsidRDefault="000916A2" w:rsidP="00521DE5">
      <w:pPr>
        <w:pStyle w:val="Listeafsnit"/>
        <w:numPr>
          <w:ilvl w:val="0"/>
          <w:numId w:val="12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r w:rsidRPr="00521DE5">
        <w:rPr>
          <w:sz w:val="24"/>
          <w:szCs w:val="24"/>
        </w:rPr>
        <w:t>Lægemidler, hvis basiske form er uopløselig (alkaloider, antibiotika osv.).</w:t>
      </w:r>
    </w:p>
    <w:p w14:paraId="5E4BE6D2" w14:textId="77777777" w:rsidR="000916A2" w:rsidRPr="00521DE5" w:rsidRDefault="000916A2" w:rsidP="00521DE5">
      <w:pPr>
        <w:pStyle w:val="Listeafsnit"/>
        <w:numPr>
          <w:ilvl w:val="0"/>
          <w:numId w:val="12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r w:rsidRPr="00521DE5">
        <w:rPr>
          <w:sz w:val="24"/>
          <w:szCs w:val="24"/>
        </w:rPr>
        <w:t>Lægemidler, der fører til en sur reaktion i opløsning (</w:t>
      </w:r>
      <w:proofErr w:type="spellStart"/>
      <w:r w:rsidRPr="00521DE5">
        <w:rPr>
          <w:sz w:val="24"/>
          <w:szCs w:val="24"/>
        </w:rPr>
        <w:t>hydrochlorider</w:t>
      </w:r>
      <w:proofErr w:type="spellEnd"/>
      <w:r w:rsidRPr="00521DE5">
        <w:rPr>
          <w:sz w:val="24"/>
          <w:szCs w:val="24"/>
        </w:rPr>
        <w:t>, insulin osv.).</w:t>
      </w:r>
    </w:p>
    <w:p w14:paraId="20E2EFDE" w14:textId="77777777" w:rsidR="000916A2" w:rsidRPr="00521DE5" w:rsidRDefault="000916A2" w:rsidP="00521DE5">
      <w:pPr>
        <w:pStyle w:val="Listeafsnit"/>
        <w:numPr>
          <w:ilvl w:val="0"/>
          <w:numId w:val="12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proofErr w:type="spellStart"/>
      <w:r w:rsidRPr="00521DE5">
        <w:rPr>
          <w:sz w:val="24"/>
          <w:szCs w:val="24"/>
        </w:rPr>
        <w:t>Fructoseopløsninger</w:t>
      </w:r>
      <w:proofErr w:type="spellEnd"/>
      <w:r w:rsidRPr="00521DE5">
        <w:rPr>
          <w:sz w:val="24"/>
          <w:szCs w:val="24"/>
        </w:rPr>
        <w:t>.</w:t>
      </w:r>
    </w:p>
    <w:p w14:paraId="3D18C881" w14:textId="77777777" w:rsidR="000916A2" w:rsidRPr="00521DE5" w:rsidRDefault="000916A2" w:rsidP="00521DE5">
      <w:pPr>
        <w:pStyle w:val="Listeafsnit"/>
        <w:numPr>
          <w:ilvl w:val="0"/>
          <w:numId w:val="12"/>
        </w:numPr>
        <w:tabs>
          <w:tab w:val="clear" w:pos="567"/>
        </w:tabs>
        <w:ind w:left="1276" w:hanging="425"/>
        <w:rPr>
          <w:noProof/>
          <w:sz w:val="24"/>
          <w:szCs w:val="24"/>
        </w:rPr>
      </w:pPr>
      <w:r w:rsidRPr="00521DE5">
        <w:rPr>
          <w:sz w:val="24"/>
          <w:szCs w:val="24"/>
        </w:rPr>
        <w:t>Alle salte, undtagen alkalimetalsalte.</w:t>
      </w:r>
    </w:p>
    <w:p w14:paraId="65377DE5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CE5ABB6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6.3</w:t>
      </w:r>
      <w:r w:rsidRPr="00E37D12">
        <w:rPr>
          <w:b/>
          <w:sz w:val="24"/>
          <w:szCs w:val="24"/>
        </w:rPr>
        <w:tab/>
        <w:t>Opbevaringstid</w:t>
      </w:r>
    </w:p>
    <w:p w14:paraId="45D7F12D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3 år. </w:t>
      </w:r>
    </w:p>
    <w:p w14:paraId="084C354D" w14:textId="1087E855" w:rsidR="00B13A15" w:rsidRDefault="00B13A15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</w:p>
    <w:p w14:paraId="48E8C7DD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6EA5784D" w14:textId="77777777" w:rsidR="000916A2" w:rsidRPr="00E37D12" w:rsidRDefault="000916A2" w:rsidP="00876B0E">
      <w:pPr>
        <w:ind w:left="851"/>
        <w:rPr>
          <w:noProof/>
          <w:sz w:val="24"/>
          <w:szCs w:val="24"/>
          <w:u w:val="single"/>
        </w:rPr>
      </w:pPr>
      <w:r w:rsidRPr="00E37D12">
        <w:rPr>
          <w:sz w:val="24"/>
          <w:szCs w:val="24"/>
          <w:u w:val="single"/>
        </w:rPr>
        <w:t>Efter åbning:</w:t>
      </w:r>
    </w:p>
    <w:p w14:paraId="5D051E0D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Ud fra et mikrobiologisk synspunkt skal produktet anvendes med det samme. Hvis det ikke anvendes med det samme, er opbevaringstiden og opbevaringsforholdene før anvendelse brugerens ansvar.</w:t>
      </w:r>
    </w:p>
    <w:p w14:paraId="3D42649B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71A5FD5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6.4</w:t>
      </w:r>
      <w:r w:rsidRPr="00E37D12">
        <w:rPr>
          <w:b/>
          <w:sz w:val="24"/>
          <w:szCs w:val="24"/>
        </w:rPr>
        <w:tab/>
        <w:t>Særlige opbevaringsforhold</w:t>
      </w:r>
    </w:p>
    <w:p w14:paraId="3E4F1268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Ingen særlige forholdsregler for opbevaring.</w:t>
      </w:r>
    </w:p>
    <w:p w14:paraId="7A81EBAE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653B727C" w14:textId="77777777" w:rsidR="000916A2" w:rsidRPr="00E37D12" w:rsidRDefault="000916A2" w:rsidP="00876B0E">
      <w:pPr>
        <w:ind w:left="851"/>
        <w:rPr>
          <w:i/>
          <w:noProof/>
          <w:sz w:val="24"/>
          <w:szCs w:val="24"/>
        </w:rPr>
      </w:pPr>
      <w:r w:rsidRPr="00E37D12">
        <w:rPr>
          <w:sz w:val="24"/>
          <w:szCs w:val="24"/>
        </w:rPr>
        <w:t>Opbevaringsforhold efter anbrud af lægemidlet, se pkt. 6.3.</w:t>
      </w:r>
    </w:p>
    <w:p w14:paraId="3A4676D9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C4A2DD6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6.5</w:t>
      </w:r>
      <w:r w:rsidRPr="00E37D12">
        <w:rPr>
          <w:b/>
          <w:sz w:val="24"/>
          <w:szCs w:val="24"/>
        </w:rPr>
        <w:tab/>
        <w:t>Emballagetype og pakningsstørrelser</w:t>
      </w:r>
    </w:p>
    <w:p w14:paraId="1F21B7B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250 ml eller 500 ml farveløs type II-glasflaske med </w:t>
      </w:r>
      <w:proofErr w:type="spellStart"/>
      <w:r w:rsidRPr="00E37D12">
        <w:rPr>
          <w:sz w:val="24"/>
          <w:szCs w:val="24"/>
        </w:rPr>
        <w:t>bromobutylgummiprop</w:t>
      </w:r>
      <w:proofErr w:type="spellEnd"/>
      <w:r w:rsidRPr="00E37D12">
        <w:rPr>
          <w:sz w:val="24"/>
          <w:szCs w:val="24"/>
        </w:rPr>
        <w:t xml:space="preserve"> og aluminiumshætte.</w:t>
      </w:r>
    </w:p>
    <w:p w14:paraId="6B911C53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38F8953D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Pakningsstørrelser:</w:t>
      </w:r>
    </w:p>
    <w:p w14:paraId="33820D04" w14:textId="1A879270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12 </w:t>
      </w:r>
      <w:r w:rsidR="00521DE5">
        <w:rPr>
          <w:sz w:val="24"/>
          <w:szCs w:val="24"/>
        </w:rPr>
        <w:t>×</w:t>
      </w:r>
      <w:r w:rsidRPr="00E37D12">
        <w:rPr>
          <w:sz w:val="24"/>
          <w:szCs w:val="24"/>
        </w:rPr>
        <w:t xml:space="preserve"> 250 ml</w:t>
      </w:r>
    </w:p>
    <w:p w14:paraId="1F3A33B6" w14:textId="0B116BAE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12 </w:t>
      </w:r>
      <w:r w:rsidR="00521DE5">
        <w:rPr>
          <w:sz w:val="24"/>
          <w:szCs w:val="24"/>
        </w:rPr>
        <w:t>×</w:t>
      </w:r>
      <w:r w:rsidRPr="00E37D12">
        <w:rPr>
          <w:sz w:val="24"/>
          <w:szCs w:val="24"/>
        </w:rPr>
        <w:t xml:space="preserve"> 500 ml</w:t>
      </w:r>
    </w:p>
    <w:p w14:paraId="16DE9E1E" w14:textId="1D584B13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12 </w:t>
      </w:r>
      <w:r w:rsidR="00521DE5">
        <w:rPr>
          <w:sz w:val="24"/>
          <w:szCs w:val="24"/>
        </w:rPr>
        <w:t>×</w:t>
      </w:r>
      <w:r w:rsidRPr="00E37D12">
        <w:rPr>
          <w:sz w:val="24"/>
          <w:szCs w:val="24"/>
        </w:rPr>
        <w:t xml:space="preserve"> 250 ml, inklusive flaskeophæng</w:t>
      </w:r>
    </w:p>
    <w:p w14:paraId="7564A5EF" w14:textId="6FBEFCF0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 xml:space="preserve">12 </w:t>
      </w:r>
      <w:r w:rsidR="00521DE5">
        <w:rPr>
          <w:sz w:val="24"/>
          <w:szCs w:val="24"/>
        </w:rPr>
        <w:t>×</w:t>
      </w:r>
      <w:r w:rsidRPr="00E37D12">
        <w:rPr>
          <w:sz w:val="24"/>
          <w:szCs w:val="24"/>
        </w:rPr>
        <w:t xml:space="preserve"> 500 ml, inklusive flaskeophæng</w:t>
      </w:r>
    </w:p>
    <w:p w14:paraId="313EB524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</w:p>
    <w:p w14:paraId="4DB7EE89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Ikke alle pakningsstørrelser er nødvendigvis markedsført.</w:t>
      </w:r>
    </w:p>
    <w:p w14:paraId="50C74592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7C4C2D1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6.6</w:t>
      </w:r>
      <w:r w:rsidRPr="00E37D12">
        <w:rPr>
          <w:b/>
          <w:sz w:val="24"/>
          <w:szCs w:val="24"/>
        </w:rPr>
        <w:tab/>
        <w:t xml:space="preserve">Regler for </w:t>
      </w:r>
      <w:r w:rsidR="00BD7931" w:rsidRPr="00E37D12">
        <w:rPr>
          <w:b/>
          <w:sz w:val="24"/>
          <w:szCs w:val="24"/>
        </w:rPr>
        <w:t>bortskaffelse</w:t>
      </w:r>
      <w:r w:rsidRPr="00E37D12">
        <w:rPr>
          <w:b/>
          <w:sz w:val="24"/>
          <w:szCs w:val="24"/>
        </w:rPr>
        <w:t xml:space="preserve"> og anden håndtering</w:t>
      </w:r>
    </w:p>
    <w:p w14:paraId="579A0748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  <w:r w:rsidRPr="00E37D12">
        <w:rPr>
          <w:sz w:val="24"/>
          <w:szCs w:val="24"/>
        </w:rPr>
        <w:t xml:space="preserve">Opløsningen skal kontrolleres visuelt før brug. Må kun anvendes, hvis opløsningen er klar, fri for synlige partikler, farveløs eller let gullig, og hvis flasken og hætten er intakte. </w:t>
      </w:r>
    </w:p>
    <w:p w14:paraId="4B162CBF" w14:textId="77777777" w:rsidR="000916A2" w:rsidRPr="00E37D12" w:rsidRDefault="000916A2" w:rsidP="00876B0E">
      <w:pPr>
        <w:ind w:left="851"/>
        <w:rPr>
          <w:iCs/>
          <w:sz w:val="24"/>
          <w:szCs w:val="24"/>
        </w:rPr>
      </w:pPr>
      <w:r w:rsidRPr="00E37D12">
        <w:rPr>
          <w:sz w:val="24"/>
          <w:szCs w:val="24"/>
        </w:rPr>
        <w:t>Anvendes straks efter tilslutning af infusionssættet.</w:t>
      </w:r>
    </w:p>
    <w:p w14:paraId="2CBF8231" w14:textId="77777777" w:rsidR="000916A2" w:rsidRPr="00E37D12" w:rsidRDefault="000916A2" w:rsidP="00876B0E">
      <w:pPr>
        <w:ind w:left="851"/>
        <w:rPr>
          <w:sz w:val="24"/>
          <w:szCs w:val="24"/>
        </w:rPr>
      </w:pPr>
    </w:p>
    <w:p w14:paraId="49F24D5E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Ikke anvendt lægemiddel samt affald heraf skal bortskaffes i henhold til lokale retningslinjer.</w:t>
      </w:r>
    </w:p>
    <w:p w14:paraId="1C74B0C4" w14:textId="77777777" w:rsidR="009260DE" w:rsidRPr="00E37D12" w:rsidRDefault="009260DE" w:rsidP="000730CA">
      <w:pPr>
        <w:tabs>
          <w:tab w:val="left" w:pos="851"/>
        </w:tabs>
        <w:ind w:left="851"/>
        <w:rPr>
          <w:sz w:val="24"/>
          <w:szCs w:val="24"/>
        </w:rPr>
      </w:pPr>
    </w:p>
    <w:p w14:paraId="43AE1676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7.</w:t>
      </w:r>
      <w:r w:rsidRPr="00E37D12">
        <w:rPr>
          <w:b/>
          <w:sz w:val="24"/>
          <w:szCs w:val="24"/>
        </w:rPr>
        <w:tab/>
        <w:t>INDEHAVER AF MARKEDSFØRINGSTILLADELSEN</w:t>
      </w:r>
    </w:p>
    <w:p w14:paraId="60A5538B" w14:textId="77777777" w:rsidR="000916A2" w:rsidRPr="00E37D12" w:rsidRDefault="000916A2" w:rsidP="00876B0E">
      <w:pPr>
        <w:ind w:left="851"/>
        <w:rPr>
          <w:sz w:val="24"/>
          <w:szCs w:val="24"/>
        </w:rPr>
      </w:pPr>
      <w:proofErr w:type="spellStart"/>
      <w:r w:rsidRPr="00E37D12">
        <w:rPr>
          <w:sz w:val="24"/>
          <w:szCs w:val="24"/>
        </w:rPr>
        <w:t>Macure</w:t>
      </w:r>
      <w:proofErr w:type="spellEnd"/>
      <w:r w:rsidRPr="00E37D12">
        <w:rPr>
          <w:sz w:val="24"/>
          <w:szCs w:val="24"/>
        </w:rPr>
        <w:t xml:space="preserve"> Pharma ApS</w:t>
      </w:r>
    </w:p>
    <w:p w14:paraId="4182DFD3" w14:textId="77777777" w:rsidR="000916A2" w:rsidRPr="00E37D12" w:rsidRDefault="000916A2" w:rsidP="00876B0E">
      <w:pPr>
        <w:ind w:left="851"/>
        <w:rPr>
          <w:sz w:val="24"/>
          <w:szCs w:val="24"/>
        </w:rPr>
      </w:pPr>
      <w:r w:rsidRPr="00E37D12">
        <w:rPr>
          <w:sz w:val="24"/>
          <w:szCs w:val="24"/>
        </w:rPr>
        <w:t>Hejrevej 39</w:t>
      </w:r>
    </w:p>
    <w:p w14:paraId="54D183CF" w14:textId="77777777" w:rsidR="000916A2" w:rsidRPr="00E37D12" w:rsidRDefault="000916A2" w:rsidP="00876B0E">
      <w:pPr>
        <w:ind w:left="851"/>
        <w:rPr>
          <w:noProof/>
          <w:sz w:val="24"/>
          <w:szCs w:val="24"/>
        </w:rPr>
      </w:pPr>
      <w:r w:rsidRPr="00E37D12">
        <w:rPr>
          <w:sz w:val="24"/>
          <w:szCs w:val="24"/>
        </w:rPr>
        <w:t>2400 København NV</w:t>
      </w:r>
    </w:p>
    <w:p w14:paraId="79253763" w14:textId="77777777" w:rsidR="00641C65" w:rsidRPr="00E37D12" w:rsidRDefault="00641C65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3CAD404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8.</w:t>
      </w:r>
      <w:r w:rsidRPr="00E37D12">
        <w:rPr>
          <w:b/>
          <w:sz w:val="24"/>
          <w:szCs w:val="24"/>
        </w:rPr>
        <w:tab/>
        <w:t>MARKEDSFØRINGSTILLADELSESNUMMER (</w:t>
      </w:r>
      <w:r w:rsidR="00BF6243" w:rsidRPr="00E37D12">
        <w:rPr>
          <w:b/>
          <w:sz w:val="24"/>
          <w:szCs w:val="24"/>
        </w:rPr>
        <w:t>-</w:t>
      </w:r>
      <w:r w:rsidRPr="00E37D12">
        <w:rPr>
          <w:b/>
          <w:sz w:val="24"/>
          <w:szCs w:val="24"/>
        </w:rPr>
        <w:t>NUMRE)</w:t>
      </w:r>
    </w:p>
    <w:p w14:paraId="37346B74" w14:textId="192790C6" w:rsidR="009260DE" w:rsidRPr="00E37D12" w:rsidRDefault="000916A2" w:rsidP="009260DE">
      <w:pPr>
        <w:tabs>
          <w:tab w:val="left" w:pos="851"/>
        </w:tabs>
        <w:ind w:left="851"/>
        <w:rPr>
          <w:sz w:val="24"/>
          <w:szCs w:val="24"/>
        </w:rPr>
      </w:pPr>
      <w:r w:rsidRPr="00E37D12">
        <w:rPr>
          <w:sz w:val="24"/>
          <w:szCs w:val="24"/>
        </w:rPr>
        <w:t>68793</w:t>
      </w:r>
    </w:p>
    <w:p w14:paraId="710B1E59" w14:textId="77777777" w:rsidR="009260DE" w:rsidRPr="00E37D12" w:rsidRDefault="009260DE" w:rsidP="009260D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14:paraId="52983B09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9.</w:t>
      </w:r>
      <w:r w:rsidRPr="00E37D12">
        <w:rPr>
          <w:b/>
          <w:sz w:val="24"/>
          <w:szCs w:val="24"/>
        </w:rPr>
        <w:tab/>
        <w:t>DATO FOR FØRSTE MARKEDSFØRINGSTILLADELSE</w:t>
      </w:r>
    </w:p>
    <w:p w14:paraId="351DA81B" w14:textId="5D810219" w:rsidR="009260DE" w:rsidRPr="00E37D12" w:rsidRDefault="00643CD5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28. maj 2024</w:t>
      </w:r>
    </w:p>
    <w:p w14:paraId="4DC6D37F" w14:textId="77777777" w:rsidR="009260DE" w:rsidRPr="00E37D12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FAC981C" w14:textId="77777777" w:rsidR="009260DE" w:rsidRPr="00E37D12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E37D12">
        <w:rPr>
          <w:b/>
          <w:sz w:val="24"/>
          <w:szCs w:val="24"/>
        </w:rPr>
        <w:t>10.</w:t>
      </w:r>
      <w:r w:rsidRPr="00E37D12">
        <w:rPr>
          <w:b/>
          <w:sz w:val="24"/>
          <w:szCs w:val="24"/>
        </w:rPr>
        <w:tab/>
        <w:t>DATO FOR ÆNDRING AF TEKSTEN</w:t>
      </w:r>
    </w:p>
    <w:p w14:paraId="7B54565D" w14:textId="7DE10559" w:rsidR="009260DE" w:rsidRPr="00E37D12" w:rsidRDefault="000916A2" w:rsidP="009260DE">
      <w:pPr>
        <w:tabs>
          <w:tab w:val="left" w:pos="851"/>
        </w:tabs>
        <w:ind w:left="851"/>
        <w:rPr>
          <w:sz w:val="24"/>
          <w:szCs w:val="24"/>
        </w:rPr>
      </w:pPr>
      <w:r w:rsidRPr="00E37D12">
        <w:rPr>
          <w:sz w:val="24"/>
          <w:szCs w:val="24"/>
        </w:rPr>
        <w:t>-</w:t>
      </w:r>
    </w:p>
    <w:sectPr w:rsidR="009260DE" w:rsidRPr="00E37D12" w:rsidSect="000259B9">
      <w:footerReference w:type="default" r:id="rId8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D602F2" w14:textId="77777777" w:rsidR="00674ADE" w:rsidRDefault="00674ADE">
      <w:r>
        <w:separator/>
      </w:r>
    </w:p>
  </w:endnote>
  <w:endnote w:type="continuationSeparator" w:id="0">
    <w:p w14:paraId="0717B0A5" w14:textId="77777777" w:rsidR="00674ADE" w:rsidRDefault="00674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A2F7F" w14:textId="77777777" w:rsidR="000259B9" w:rsidRDefault="000259B9">
    <w:pPr>
      <w:pStyle w:val="Sidefod"/>
      <w:pBdr>
        <w:bottom w:val="single" w:sz="6" w:space="1" w:color="auto"/>
      </w:pBdr>
    </w:pPr>
  </w:p>
  <w:p w14:paraId="7B6D01EF" w14:textId="77777777"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14:paraId="1FF0361F" w14:textId="41E16A6F"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4B745A">
      <w:rPr>
        <w:i/>
        <w:noProof/>
        <w:sz w:val="18"/>
        <w:szCs w:val="18"/>
      </w:rPr>
      <w:t>Hylvastam, infusionsvæske, opløsning 14 mg-ml.docx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E7501A" w14:textId="77777777" w:rsidR="00674ADE" w:rsidRDefault="00674ADE">
      <w:r>
        <w:separator/>
      </w:r>
    </w:p>
  </w:footnote>
  <w:footnote w:type="continuationSeparator" w:id="0">
    <w:p w14:paraId="3305F247" w14:textId="77777777" w:rsidR="00674ADE" w:rsidRDefault="00674A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C6B11"/>
    <w:multiLevelType w:val="hybridMultilevel"/>
    <w:tmpl w:val="7E1805C6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0D2212EA"/>
    <w:multiLevelType w:val="hybridMultilevel"/>
    <w:tmpl w:val="847E69FA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5" w15:restartNumberingAfterBreak="0">
    <w:nsid w:val="3F317C15"/>
    <w:multiLevelType w:val="hybridMultilevel"/>
    <w:tmpl w:val="1BDAF25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7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8" w15:restartNumberingAfterBreak="0">
    <w:nsid w:val="63877081"/>
    <w:multiLevelType w:val="hybridMultilevel"/>
    <w:tmpl w:val="B7DE2DB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DA6749"/>
    <w:multiLevelType w:val="hybridMultilevel"/>
    <w:tmpl w:val="3570923E"/>
    <w:lvl w:ilvl="0" w:tplc="040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7AC1091F"/>
    <w:multiLevelType w:val="hybridMultilevel"/>
    <w:tmpl w:val="10E45B5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5"/>
  </w:num>
  <w:num w:numId="8">
    <w:abstractNumId w:val="10"/>
  </w:num>
  <w:num w:numId="9">
    <w:abstractNumId w:val="5"/>
  </w:num>
  <w:num w:numId="10">
    <w:abstractNumId w:val="9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ADE"/>
    <w:rsid w:val="000259B9"/>
    <w:rsid w:val="00041491"/>
    <w:rsid w:val="00050D16"/>
    <w:rsid w:val="000730CA"/>
    <w:rsid w:val="00074F2A"/>
    <w:rsid w:val="000916A2"/>
    <w:rsid w:val="000A1CA8"/>
    <w:rsid w:val="000A466B"/>
    <w:rsid w:val="000B058C"/>
    <w:rsid w:val="000D68B0"/>
    <w:rsid w:val="000E4EE6"/>
    <w:rsid w:val="001454E2"/>
    <w:rsid w:val="00206CE8"/>
    <w:rsid w:val="0021526C"/>
    <w:rsid w:val="00283A2B"/>
    <w:rsid w:val="002B30AD"/>
    <w:rsid w:val="002C1EC0"/>
    <w:rsid w:val="002C2C01"/>
    <w:rsid w:val="003A29AE"/>
    <w:rsid w:val="003A32D7"/>
    <w:rsid w:val="003B4074"/>
    <w:rsid w:val="003C769A"/>
    <w:rsid w:val="003D3A90"/>
    <w:rsid w:val="003F1838"/>
    <w:rsid w:val="004251C1"/>
    <w:rsid w:val="0045746C"/>
    <w:rsid w:val="0049104B"/>
    <w:rsid w:val="004B745A"/>
    <w:rsid w:val="004E3B12"/>
    <w:rsid w:val="00521DE5"/>
    <w:rsid w:val="00532310"/>
    <w:rsid w:val="00565F0F"/>
    <w:rsid w:val="00594A86"/>
    <w:rsid w:val="00596D86"/>
    <w:rsid w:val="005B6BBA"/>
    <w:rsid w:val="00637F5A"/>
    <w:rsid w:val="00641C65"/>
    <w:rsid w:val="00643CD5"/>
    <w:rsid w:val="006560B1"/>
    <w:rsid w:val="00674ADE"/>
    <w:rsid w:val="006756DD"/>
    <w:rsid w:val="006C37BB"/>
    <w:rsid w:val="0071241E"/>
    <w:rsid w:val="00737275"/>
    <w:rsid w:val="00740EEC"/>
    <w:rsid w:val="0078011A"/>
    <w:rsid w:val="00782AF4"/>
    <w:rsid w:val="00790EE7"/>
    <w:rsid w:val="007B6649"/>
    <w:rsid w:val="0082576E"/>
    <w:rsid w:val="00876B0E"/>
    <w:rsid w:val="0089346F"/>
    <w:rsid w:val="00907F75"/>
    <w:rsid w:val="009260DE"/>
    <w:rsid w:val="0093258A"/>
    <w:rsid w:val="009C7BA3"/>
    <w:rsid w:val="009D1F5A"/>
    <w:rsid w:val="00A10294"/>
    <w:rsid w:val="00B003BF"/>
    <w:rsid w:val="00B13A15"/>
    <w:rsid w:val="00B373D7"/>
    <w:rsid w:val="00B55271"/>
    <w:rsid w:val="00BD7931"/>
    <w:rsid w:val="00BF6243"/>
    <w:rsid w:val="00C36276"/>
    <w:rsid w:val="00C42586"/>
    <w:rsid w:val="00C45F6B"/>
    <w:rsid w:val="00C60CCD"/>
    <w:rsid w:val="00C84483"/>
    <w:rsid w:val="00C95551"/>
    <w:rsid w:val="00CB20D7"/>
    <w:rsid w:val="00D020B0"/>
    <w:rsid w:val="00D11748"/>
    <w:rsid w:val="00D237F6"/>
    <w:rsid w:val="00D34D98"/>
    <w:rsid w:val="00D366CF"/>
    <w:rsid w:val="00D93992"/>
    <w:rsid w:val="00DD2BF0"/>
    <w:rsid w:val="00E108AA"/>
    <w:rsid w:val="00E3749A"/>
    <w:rsid w:val="00E37D12"/>
    <w:rsid w:val="00E7437F"/>
    <w:rsid w:val="00E865B8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175DF78"/>
  <w15:chartTrackingRefBased/>
  <w15:docId w15:val="{2E5D4AB5-3426-4493-A9B0-AD2905954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table" w:styleId="Tabel-Gitter">
    <w:name w:val="Table Grid"/>
    <w:basedOn w:val="Tabel-Normal"/>
    <w:rsid w:val="000916A2"/>
    <w:rPr>
      <w:rFonts w:eastAsia="SimSun"/>
      <w:lang w:eastAsia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0916A2"/>
    <w:pPr>
      <w:tabs>
        <w:tab w:val="left" w:pos="567"/>
      </w:tabs>
      <w:spacing w:line="260" w:lineRule="exact"/>
      <w:ind w:left="720"/>
      <w:contextualSpacing/>
    </w:pPr>
    <w:rPr>
      <w:sz w:val="22"/>
    </w:rPr>
  </w:style>
  <w:style w:type="paragraph" w:customStyle="1" w:styleId="TableParagraph">
    <w:name w:val="Table Paragraph"/>
    <w:basedOn w:val="Normal"/>
    <w:uiPriority w:val="1"/>
    <w:qFormat/>
    <w:rsid w:val="000916A2"/>
    <w:pPr>
      <w:widowControl w:val="0"/>
      <w:autoSpaceDE w:val="0"/>
      <w:autoSpaceDN w:val="0"/>
    </w:pPr>
    <w:rPr>
      <w:sz w:val="22"/>
      <w:szCs w:val="22"/>
    </w:rPr>
  </w:style>
  <w:style w:type="table" w:customStyle="1" w:styleId="TableNormal1">
    <w:name w:val="Table Normal1"/>
    <w:uiPriority w:val="2"/>
    <w:semiHidden/>
    <w:qFormat/>
    <w:rsid w:val="000916A2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5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0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QW_Docs\GOD\docs\National\LGO-RKE-REG%20008-01-SKB%20SPC%20Hum%20skabelon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LGO-RKE-REG 008-01-SKB SPC Hum skabelon.dotx</Template>
  <TotalTime>17</TotalTime>
  <Pages>6</Pages>
  <Words>1346</Words>
  <Characters>9172</Characters>
  <Application>Microsoft Office Word</Application>
  <DocSecurity>0</DocSecurity>
  <Lines>76</Lines>
  <Paragraphs>20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Gitte Jørgensen</dc:creator>
  <cp:keywords/>
  <dc:description>2022120283, MT</dc:description>
  <cp:lastModifiedBy>Gitte Jørgensen</cp:lastModifiedBy>
  <cp:revision>10</cp:revision>
  <cp:lastPrinted>2012-08-22T08:53:00Z</cp:lastPrinted>
  <dcterms:created xsi:type="dcterms:W3CDTF">2024-05-28T06:22:00Z</dcterms:created>
  <dcterms:modified xsi:type="dcterms:W3CDTF">2024-05-28T07:24:00Z</dcterms:modified>
</cp:coreProperties>
</file>