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AAF" w:rsidRPr="008F49E1" w:rsidRDefault="005F0AAF" w:rsidP="005F0AAF">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8303C8" wp14:editId="4A34F38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06FB1" w:rsidRPr="00512A82" w:rsidRDefault="000E32D2" w:rsidP="00512A82">
      <w:pPr>
        <w:pStyle w:val="Titel"/>
        <w:tabs>
          <w:tab w:val="right" w:pos="9356"/>
        </w:tabs>
        <w:jc w:val="right"/>
        <w:rPr>
          <w:szCs w:val="24"/>
        </w:rPr>
      </w:pPr>
      <w:r>
        <w:rPr>
          <w:szCs w:val="24"/>
          <w:lang w:eastAsia="en-US"/>
        </w:rPr>
        <w:t>11</w:t>
      </w:r>
      <w:r w:rsidR="00CA0FF6">
        <w:rPr>
          <w:szCs w:val="24"/>
          <w:lang w:eastAsia="en-US"/>
        </w:rPr>
        <w:t xml:space="preserve">. </w:t>
      </w:r>
      <w:r>
        <w:rPr>
          <w:szCs w:val="24"/>
          <w:lang w:eastAsia="en-US"/>
        </w:rPr>
        <w:t>marts</w:t>
      </w:r>
      <w:r w:rsidR="00FF6293">
        <w:rPr>
          <w:szCs w:val="24"/>
          <w:lang w:eastAsia="en-US"/>
        </w:rPr>
        <w:t xml:space="preserve"> 202</w:t>
      </w:r>
      <w:r>
        <w:rPr>
          <w:szCs w:val="24"/>
          <w:lang w:eastAsia="en-US"/>
        </w:rPr>
        <w:t>5</w:t>
      </w:r>
    </w:p>
    <w:p w:rsidR="005F0AAF" w:rsidRDefault="005F0AAF" w:rsidP="005F0AAF">
      <w:pPr>
        <w:pStyle w:val="Titel"/>
        <w:jc w:val="left"/>
        <w:rPr>
          <w:b w:val="0"/>
          <w:szCs w:val="24"/>
        </w:rPr>
      </w:pPr>
    </w:p>
    <w:p w:rsidR="005F0AAF" w:rsidRPr="00C84483" w:rsidRDefault="005F0AAF" w:rsidP="005F0AAF">
      <w:pPr>
        <w:pStyle w:val="Titel"/>
        <w:jc w:val="left"/>
        <w:rPr>
          <w:b w:val="0"/>
          <w:szCs w:val="24"/>
        </w:rPr>
      </w:pPr>
    </w:p>
    <w:p w:rsidR="005F0AAF" w:rsidRPr="00C84483" w:rsidRDefault="005F0AAF" w:rsidP="005F0AAF">
      <w:pPr>
        <w:jc w:val="center"/>
        <w:rPr>
          <w:b/>
          <w:sz w:val="24"/>
          <w:szCs w:val="24"/>
        </w:rPr>
      </w:pPr>
      <w:r w:rsidRPr="00C84483">
        <w:rPr>
          <w:b/>
          <w:sz w:val="24"/>
          <w:szCs w:val="24"/>
        </w:rPr>
        <w:t>PRODUKTRESUMÉ</w:t>
      </w:r>
    </w:p>
    <w:p w:rsidR="005F0AAF" w:rsidRPr="00C84483" w:rsidRDefault="005F0AAF" w:rsidP="005F0AAF">
      <w:pPr>
        <w:jc w:val="center"/>
        <w:rPr>
          <w:b/>
          <w:sz w:val="24"/>
          <w:szCs w:val="24"/>
        </w:rPr>
      </w:pPr>
    </w:p>
    <w:p w:rsidR="005F0AAF" w:rsidRDefault="005F0AAF" w:rsidP="005F0AAF">
      <w:pPr>
        <w:jc w:val="center"/>
        <w:rPr>
          <w:b/>
          <w:sz w:val="24"/>
          <w:szCs w:val="24"/>
        </w:rPr>
      </w:pPr>
      <w:r w:rsidRPr="00C84483">
        <w:rPr>
          <w:b/>
          <w:sz w:val="24"/>
          <w:szCs w:val="24"/>
        </w:rPr>
        <w:t>for</w:t>
      </w:r>
    </w:p>
    <w:p w:rsidR="005F0AAF" w:rsidRPr="00C84483" w:rsidRDefault="005F0AAF" w:rsidP="005F0AAF">
      <w:pPr>
        <w:jc w:val="center"/>
        <w:rPr>
          <w:b/>
          <w:sz w:val="24"/>
          <w:szCs w:val="24"/>
        </w:rPr>
      </w:pPr>
    </w:p>
    <w:p w:rsidR="005F0AAF" w:rsidRDefault="005F0AAF" w:rsidP="005F0AAF">
      <w:pPr>
        <w:jc w:val="center"/>
        <w:rPr>
          <w:b/>
          <w:sz w:val="24"/>
          <w:szCs w:val="24"/>
        </w:rPr>
      </w:pPr>
      <w:r w:rsidRPr="00681C8C">
        <w:rPr>
          <w:b/>
          <w:sz w:val="24"/>
          <w:szCs w:val="24"/>
        </w:rPr>
        <w:t xml:space="preserve">Ibuprofen </w:t>
      </w:r>
      <w:r>
        <w:rPr>
          <w:b/>
          <w:sz w:val="24"/>
          <w:szCs w:val="24"/>
        </w:rPr>
        <w:t>"</w:t>
      </w:r>
      <w:r w:rsidRPr="00681C8C">
        <w:rPr>
          <w:b/>
          <w:sz w:val="24"/>
          <w:szCs w:val="24"/>
        </w:rPr>
        <w:t>B. Braun</w:t>
      </w:r>
      <w:r>
        <w:rPr>
          <w:b/>
          <w:sz w:val="24"/>
          <w:szCs w:val="24"/>
        </w:rPr>
        <w:t>"</w:t>
      </w:r>
      <w:r w:rsidRPr="00681C8C">
        <w:rPr>
          <w:b/>
          <w:sz w:val="24"/>
          <w:szCs w:val="24"/>
        </w:rPr>
        <w:t xml:space="preserve">, </w:t>
      </w:r>
      <w:r>
        <w:rPr>
          <w:b/>
          <w:sz w:val="24"/>
          <w:szCs w:val="24"/>
        </w:rPr>
        <w:t>infusionsvæske, opløsning</w:t>
      </w:r>
    </w:p>
    <w:p w:rsidR="005F0AAF" w:rsidRPr="00C84483" w:rsidRDefault="005F0AAF" w:rsidP="005F0AAF">
      <w:pPr>
        <w:jc w:val="center"/>
        <w:rPr>
          <w:sz w:val="24"/>
          <w:szCs w:val="24"/>
        </w:rPr>
      </w:pPr>
    </w:p>
    <w:p w:rsidR="005F0AAF" w:rsidRPr="00C84483" w:rsidRDefault="005F0AAF" w:rsidP="005F0AAF">
      <w:pPr>
        <w:jc w:val="both"/>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0.</w:t>
      </w:r>
      <w:r w:rsidRPr="00C84483">
        <w:rPr>
          <w:b/>
          <w:sz w:val="24"/>
          <w:szCs w:val="24"/>
        </w:rPr>
        <w:tab/>
        <w:t>D.SP.NR.</w:t>
      </w:r>
    </w:p>
    <w:p w:rsidR="005F0AAF" w:rsidRPr="00C84483" w:rsidRDefault="005F0AAF" w:rsidP="005F0AAF">
      <w:pPr>
        <w:tabs>
          <w:tab w:val="left" w:pos="851"/>
        </w:tabs>
        <w:ind w:left="851"/>
        <w:rPr>
          <w:sz w:val="24"/>
          <w:szCs w:val="24"/>
        </w:rPr>
      </w:pPr>
      <w:r>
        <w:rPr>
          <w:sz w:val="24"/>
          <w:szCs w:val="24"/>
        </w:rPr>
        <w:t>30124</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1.</w:t>
      </w:r>
      <w:r w:rsidRPr="00C84483">
        <w:rPr>
          <w:b/>
          <w:sz w:val="24"/>
          <w:szCs w:val="24"/>
        </w:rPr>
        <w:tab/>
        <w:t>LÆGEMIDLETS NAVN</w:t>
      </w:r>
    </w:p>
    <w:p w:rsidR="005F0AAF" w:rsidRPr="00C84483" w:rsidRDefault="005F0AAF" w:rsidP="005F0AAF">
      <w:pPr>
        <w:tabs>
          <w:tab w:val="left" w:pos="851"/>
        </w:tabs>
        <w:ind w:left="851"/>
        <w:rPr>
          <w:sz w:val="24"/>
          <w:szCs w:val="24"/>
        </w:rPr>
      </w:pPr>
      <w:r>
        <w:rPr>
          <w:sz w:val="24"/>
          <w:szCs w:val="24"/>
        </w:rPr>
        <w:t>Ibuprofen "B. Braun"</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F0AAF" w:rsidRPr="009E541E" w:rsidRDefault="005F0AAF" w:rsidP="005F0AAF">
      <w:pPr>
        <w:tabs>
          <w:tab w:val="left" w:pos="851"/>
        </w:tabs>
        <w:autoSpaceDE w:val="0"/>
        <w:autoSpaceDN w:val="0"/>
        <w:adjustRightInd w:val="0"/>
        <w:ind w:left="851"/>
        <w:rPr>
          <w:sz w:val="24"/>
          <w:szCs w:val="24"/>
          <w:lang w:eastAsia="da-DK"/>
        </w:rPr>
      </w:pPr>
      <w:r w:rsidRPr="009E541E">
        <w:rPr>
          <w:sz w:val="24"/>
          <w:szCs w:val="24"/>
          <w:lang w:eastAsia="da-DK"/>
        </w:rPr>
        <w:t>Hver ml opløsning indeholder 4 mg ibuprofen.</w:t>
      </w:r>
    </w:p>
    <w:p w:rsidR="005F0AAF" w:rsidRPr="009E541E" w:rsidRDefault="005F0AAF" w:rsidP="005F0AAF">
      <w:pPr>
        <w:tabs>
          <w:tab w:val="left" w:pos="851"/>
        </w:tabs>
        <w:autoSpaceDE w:val="0"/>
        <w:autoSpaceDN w:val="0"/>
        <w:adjustRightInd w:val="0"/>
        <w:ind w:left="851"/>
        <w:rPr>
          <w:sz w:val="24"/>
          <w:szCs w:val="24"/>
          <w:lang w:eastAsia="da-DK"/>
        </w:rPr>
      </w:pPr>
      <w:r w:rsidRPr="009E541E">
        <w:rPr>
          <w:sz w:val="24"/>
          <w:szCs w:val="24"/>
          <w:lang w:eastAsia="da-DK"/>
        </w:rPr>
        <w:t>Hver flaske med 100 ml indeholder 400 mg ibuprofen.</w:t>
      </w:r>
    </w:p>
    <w:p w:rsidR="005F0AAF" w:rsidRPr="009E541E" w:rsidRDefault="005F0AAF" w:rsidP="005F0AAF">
      <w:pPr>
        <w:tabs>
          <w:tab w:val="left" w:pos="851"/>
        </w:tabs>
        <w:autoSpaceDE w:val="0"/>
        <w:autoSpaceDN w:val="0"/>
        <w:adjustRightInd w:val="0"/>
        <w:ind w:left="851"/>
        <w:rPr>
          <w:sz w:val="24"/>
          <w:szCs w:val="24"/>
          <w:u w:val="single"/>
          <w:lang w:eastAsia="da-DK"/>
        </w:rPr>
      </w:pPr>
    </w:p>
    <w:p w:rsidR="005F0AAF" w:rsidRPr="009E541E" w:rsidRDefault="005F0AAF" w:rsidP="005F0AAF">
      <w:pPr>
        <w:tabs>
          <w:tab w:val="left" w:pos="851"/>
        </w:tabs>
        <w:autoSpaceDE w:val="0"/>
        <w:autoSpaceDN w:val="0"/>
        <w:adjustRightInd w:val="0"/>
        <w:ind w:left="851"/>
        <w:rPr>
          <w:sz w:val="24"/>
          <w:szCs w:val="24"/>
          <w:u w:val="single"/>
          <w:lang w:eastAsia="da-DK"/>
        </w:rPr>
      </w:pPr>
      <w:r w:rsidRPr="009E541E">
        <w:rPr>
          <w:sz w:val="24"/>
          <w:szCs w:val="24"/>
          <w:u w:val="single"/>
          <w:lang w:eastAsia="da-DK"/>
        </w:rPr>
        <w:t>Hjælpestof, som beh</w:t>
      </w:r>
      <w:r>
        <w:rPr>
          <w:sz w:val="24"/>
          <w:szCs w:val="24"/>
          <w:u w:val="single"/>
          <w:lang w:eastAsia="da-DK"/>
        </w:rPr>
        <w:t>andleren skal være opmærksom på</w:t>
      </w:r>
    </w:p>
    <w:p w:rsidR="005F0AAF" w:rsidRPr="009E541E" w:rsidRDefault="005F0AAF" w:rsidP="005F0AAF">
      <w:pPr>
        <w:tabs>
          <w:tab w:val="left" w:pos="851"/>
        </w:tabs>
        <w:autoSpaceDE w:val="0"/>
        <w:autoSpaceDN w:val="0"/>
        <w:adjustRightInd w:val="0"/>
        <w:ind w:left="851"/>
        <w:rPr>
          <w:sz w:val="24"/>
          <w:szCs w:val="24"/>
          <w:lang w:eastAsia="da-DK"/>
        </w:rPr>
      </w:pPr>
      <w:r w:rsidRPr="009E541E">
        <w:rPr>
          <w:sz w:val="24"/>
          <w:szCs w:val="24"/>
          <w:lang w:eastAsia="da-DK"/>
        </w:rPr>
        <w:t xml:space="preserve">Hver ml opløsning indeholder 9,10 mg </w:t>
      </w:r>
      <w:proofErr w:type="spellStart"/>
      <w:r w:rsidRPr="009E541E">
        <w:rPr>
          <w:sz w:val="24"/>
          <w:szCs w:val="24"/>
          <w:lang w:eastAsia="da-DK"/>
        </w:rPr>
        <w:t>natriumchlorid</w:t>
      </w:r>
      <w:proofErr w:type="spellEnd"/>
      <w:r w:rsidRPr="009E541E">
        <w:rPr>
          <w:sz w:val="24"/>
          <w:szCs w:val="24"/>
          <w:lang w:eastAsia="da-DK"/>
        </w:rPr>
        <w:t xml:space="preserve"> (3,58 mg natrium).</w:t>
      </w:r>
    </w:p>
    <w:p w:rsidR="005F0AAF" w:rsidRPr="009E541E" w:rsidRDefault="005F0AAF" w:rsidP="005F0AAF">
      <w:pPr>
        <w:tabs>
          <w:tab w:val="left" w:pos="851"/>
        </w:tabs>
        <w:autoSpaceDE w:val="0"/>
        <w:autoSpaceDN w:val="0"/>
        <w:adjustRightInd w:val="0"/>
        <w:ind w:left="851"/>
        <w:rPr>
          <w:sz w:val="24"/>
          <w:szCs w:val="24"/>
          <w:lang w:eastAsia="da-DK"/>
        </w:rPr>
      </w:pPr>
      <w:r w:rsidRPr="009E541E">
        <w:rPr>
          <w:sz w:val="24"/>
          <w:szCs w:val="24"/>
          <w:lang w:eastAsia="da-DK"/>
        </w:rPr>
        <w:t xml:space="preserve">Hver flaske med 100 ml indeholder 910 mg </w:t>
      </w:r>
      <w:proofErr w:type="spellStart"/>
      <w:r w:rsidRPr="009E541E">
        <w:rPr>
          <w:sz w:val="24"/>
          <w:szCs w:val="24"/>
          <w:lang w:eastAsia="da-DK"/>
        </w:rPr>
        <w:t>natriumchlorid</w:t>
      </w:r>
      <w:proofErr w:type="spellEnd"/>
      <w:r w:rsidRPr="009E541E">
        <w:rPr>
          <w:sz w:val="24"/>
          <w:szCs w:val="24"/>
          <w:lang w:eastAsia="da-DK"/>
        </w:rPr>
        <w:t xml:space="preserve"> (358 mg natrium).</w:t>
      </w:r>
    </w:p>
    <w:p w:rsidR="005F0AAF" w:rsidRPr="009E541E" w:rsidRDefault="005F0AAF" w:rsidP="005F0AAF">
      <w:pPr>
        <w:tabs>
          <w:tab w:val="left" w:pos="851"/>
        </w:tabs>
        <w:autoSpaceDE w:val="0"/>
        <w:autoSpaceDN w:val="0"/>
        <w:adjustRightInd w:val="0"/>
        <w:ind w:left="851"/>
        <w:rPr>
          <w:sz w:val="24"/>
          <w:szCs w:val="24"/>
          <w:lang w:eastAsia="da-DK"/>
        </w:rPr>
      </w:pPr>
    </w:p>
    <w:p w:rsidR="005F0AAF" w:rsidRPr="00C84483" w:rsidRDefault="005F0AAF" w:rsidP="005F0AAF">
      <w:pPr>
        <w:tabs>
          <w:tab w:val="left" w:pos="851"/>
        </w:tabs>
        <w:autoSpaceDE w:val="0"/>
        <w:autoSpaceDN w:val="0"/>
        <w:adjustRightInd w:val="0"/>
        <w:ind w:left="851"/>
        <w:rPr>
          <w:sz w:val="24"/>
          <w:szCs w:val="24"/>
          <w:lang w:eastAsia="da-DK"/>
        </w:rPr>
      </w:pPr>
      <w:r w:rsidRPr="009E541E">
        <w:rPr>
          <w:sz w:val="24"/>
          <w:szCs w:val="24"/>
          <w:lang w:eastAsia="da-DK"/>
        </w:rPr>
        <w:t>Alle hjælpestoffer er anført under pkt. 6.1.</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3.</w:t>
      </w:r>
      <w:r w:rsidRPr="00C84483">
        <w:rPr>
          <w:b/>
          <w:sz w:val="24"/>
          <w:szCs w:val="24"/>
        </w:rPr>
        <w:tab/>
        <w:t>LÆGEMIDDELFORM</w:t>
      </w:r>
    </w:p>
    <w:p w:rsidR="005F0AAF" w:rsidRPr="009E541E" w:rsidRDefault="005F0AAF" w:rsidP="005F0AAF">
      <w:pPr>
        <w:tabs>
          <w:tab w:val="left" w:pos="851"/>
        </w:tabs>
        <w:autoSpaceDE w:val="0"/>
        <w:autoSpaceDN w:val="0"/>
        <w:adjustRightInd w:val="0"/>
        <w:ind w:left="851"/>
        <w:rPr>
          <w:sz w:val="24"/>
          <w:szCs w:val="24"/>
          <w:lang w:eastAsia="da-DK"/>
        </w:rPr>
      </w:pPr>
      <w:r w:rsidRPr="009E541E">
        <w:rPr>
          <w:sz w:val="24"/>
          <w:szCs w:val="24"/>
          <w:lang w:eastAsia="da-DK"/>
        </w:rPr>
        <w:t>Infusionsvæske, opløsning.</w:t>
      </w:r>
    </w:p>
    <w:p w:rsidR="005F0AAF" w:rsidRPr="009E541E" w:rsidRDefault="005F0AAF" w:rsidP="005F0AAF">
      <w:pPr>
        <w:tabs>
          <w:tab w:val="left" w:pos="851"/>
        </w:tabs>
        <w:autoSpaceDE w:val="0"/>
        <w:autoSpaceDN w:val="0"/>
        <w:adjustRightInd w:val="0"/>
        <w:ind w:left="851"/>
        <w:rPr>
          <w:sz w:val="24"/>
          <w:szCs w:val="24"/>
          <w:lang w:eastAsia="da-DK"/>
        </w:rPr>
      </w:pPr>
    </w:p>
    <w:p w:rsidR="005F0AAF" w:rsidRPr="009E541E" w:rsidRDefault="005F0AAF" w:rsidP="005F0AAF">
      <w:pPr>
        <w:tabs>
          <w:tab w:val="left" w:pos="851"/>
        </w:tabs>
        <w:autoSpaceDE w:val="0"/>
        <w:autoSpaceDN w:val="0"/>
        <w:adjustRightInd w:val="0"/>
        <w:ind w:left="851"/>
        <w:rPr>
          <w:sz w:val="24"/>
          <w:szCs w:val="24"/>
          <w:lang w:eastAsia="da-DK"/>
        </w:rPr>
      </w:pPr>
      <w:r w:rsidRPr="009E541E">
        <w:rPr>
          <w:sz w:val="24"/>
          <w:szCs w:val="24"/>
          <w:lang w:eastAsia="da-DK"/>
        </w:rPr>
        <w:t>Klar og farveløs til lysegul infusionsvæske, opløsning uden partikler.</w:t>
      </w:r>
    </w:p>
    <w:p w:rsidR="005F0AAF" w:rsidRPr="009E541E" w:rsidRDefault="005F0AAF" w:rsidP="005F0AAF">
      <w:pPr>
        <w:tabs>
          <w:tab w:val="left" w:pos="851"/>
        </w:tabs>
        <w:autoSpaceDE w:val="0"/>
        <w:autoSpaceDN w:val="0"/>
        <w:adjustRightInd w:val="0"/>
        <w:ind w:left="851"/>
        <w:rPr>
          <w:sz w:val="24"/>
          <w:szCs w:val="24"/>
          <w:highlight w:val="yellow"/>
          <w:lang w:eastAsia="da-DK"/>
        </w:rPr>
      </w:pPr>
      <w:r w:rsidRPr="009E541E">
        <w:rPr>
          <w:sz w:val="24"/>
          <w:szCs w:val="24"/>
          <w:lang w:eastAsia="da-DK"/>
        </w:rPr>
        <w:t>pH: 6,</w:t>
      </w:r>
      <w:r>
        <w:rPr>
          <w:sz w:val="24"/>
          <w:szCs w:val="24"/>
          <w:lang w:eastAsia="da-DK"/>
        </w:rPr>
        <w:t>8</w:t>
      </w:r>
      <w:r w:rsidRPr="009E541E">
        <w:rPr>
          <w:sz w:val="24"/>
          <w:szCs w:val="24"/>
          <w:lang w:eastAsia="da-DK"/>
        </w:rPr>
        <w:t>-7,8</w:t>
      </w:r>
      <w:r>
        <w:rPr>
          <w:sz w:val="24"/>
          <w:szCs w:val="24"/>
          <w:lang w:eastAsia="da-DK"/>
        </w:rPr>
        <w:t>.</w:t>
      </w:r>
    </w:p>
    <w:p w:rsidR="005F0AAF" w:rsidRPr="00C84483" w:rsidRDefault="005F0AAF" w:rsidP="005F0AAF">
      <w:pPr>
        <w:tabs>
          <w:tab w:val="left" w:pos="851"/>
        </w:tabs>
        <w:autoSpaceDE w:val="0"/>
        <w:autoSpaceDN w:val="0"/>
        <w:adjustRightInd w:val="0"/>
        <w:ind w:left="851"/>
        <w:rPr>
          <w:sz w:val="24"/>
          <w:szCs w:val="24"/>
          <w:lang w:eastAsia="da-DK"/>
        </w:rPr>
      </w:pPr>
      <w:proofErr w:type="spellStart"/>
      <w:r w:rsidRPr="009E541E">
        <w:rPr>
          <w:sz w:val="24"/>
          <w:szCs w:val="24"/>
          <w:lang w:eastAsia="da-DK"/>
        </w:rPr>
        <w:t>Osmolaritet</w:t>
      </w:r>
      <w:proofErr w:type="spellEnd"/>
      <w:r w:rsidRPr="009E541E">
        <w:rPr>
          <w:sz w:val="24"/>
          <w:szCs w:val="24"/>
          <w:lang w:eastAsia="da-DK"/>
        </w:rPr>
        <w:t xml:space="preserve">: 310-360 </w:t>
      </w:r>
      <w:proofErr w:type="spellStart"/>
      <w:r w:rsidRPr="009E541E">
        <w:rPr>
          <w:sz w:val="24"/>
          <w:szCs w:val="24"/>
          <w:lang w:eastAsia="da-DK"/>
        </w:rPr>
        <w:t>mOsm</w:t>
      </w:r>
      <w:proofErr w:type="spellEnd"/>
      <w:r w:rsidRPr="009E541E">
        <w:rPr>
          <w:sz w:val="24"/>
          <w:szCs w:val="24"/>
          <w:lang w:eastAsia="da-DK"/>
        </w:rPr>
        <w:t>/l</w:t>
      </w:r>
      <w:r>
        <w:rPr>
          <w:sz w:val="24"/>
          <w:szCs w:val="24"/>
          <w:lang w:eastAsia="da-DK"/>
        </w:rPr>
        <w:t>.</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4.</w:t>
      </w:r>
      <w:r w:rsidRPr="00C84483">
        <w:rPr>
          <w:b/>
          <w:sz w:val="24"/>
          <w:szCs w:val="24"/>
        </w:rPr>
        <w:tab/>
        <w:t>KLINISKE OPLYSNINGER</w:t>
      </w:r>
    </w:p>
    <w:p w:rsidR="005F0AAF" w:rsidRPr="00C84483" w:rsidRDefault="005F0AAF" w:rsidP="005F0AAF">
      <w:pPr>
        <w:tabs>
          <w:tab w:val="left" w:pos="851"/>
        </w:tabs>
        <w:ind w:left="851"/>
        <w:rPr>
          <w:b/>
          <w:sz w:val="24"/>
          <w:szCs w:val="24"/>
        </w:rPr>
      </w:pPr>
    </w:p>
    <w:p w:rsidR="005F0AAF" w:rsidRPr="00C84483" w:rsidRDefault="005F0AAF" w:rsidP="005F0AA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F0AAF" w:rsidRPr="00C84483" w:rsidRDefault="005F0AAF" w:rsidP="005F0AAF">
      <w:pPr>
        <w:tabs>
          <w:tab w:val="left" w:pos="851"/>
        </w:tabs>
        <w:ind w:left="851"/>
        <w:rPr>
          <w:sz w:val="24"/>
          <w:szCs w:val="24"/>
          <w:lang w:eastAsia="da-DK"/>
        </w:rPr>
      </w:pPr>
      <w:r>
        <w:rPr>
          <w:sz w:val="24"/>
          <w:szCs w:val="24"/>
          <w:lang w:eastAsia="da-DK"/>
        </w:rPr>
        <w:t>Ibuprofen "B. Braun"</w:t>
      </w:r>
      <w:r w:rsidRPr="00E41942">
        <w:rPr>
          <w:sz w:val="24"/>
          <w:szCs w:val="24"/>
          <w:lang w:eastAsia="da-DK"/>
        </w:rPr>
        <w:t xml:space="preserve"> er indiceret til voksne til kortvarig symptomatisk behandling af akutte moderate smerter og til kortvarig symptomatisk behandling af feber, når administration ad intravenøs vej er klinisk berettiget, og andre administrationsveje ikke er mulige.</w:t>
      </w:r>
    </w:p>
    <w:p w:rsidR="005F0AAF" w:rsidRDefault="005F0AAF" w:rsidP="005F0AAF">
      <w:pPr>
        <w:rPr>
          <w:sz w:val="24"/>
          <w:szCs w:val="24"/>
        </w:rPr>
      </w:pPr>
      <w:r>
        <w:rPr>
          <w:sz w:val="24"/>
          <w:szCs w:val="24"/>
        </w:rPr>
        <w:br w:type="page"/>
      </w:r>
    </w:p>
    <w:p w:rsidR="005F0AAF" w:rsidRPr="00C84483" w:rsidRDefault="005F0AAF" w:rsidP="005F0AAF">
      <w:pPr>
        <w:tabs>
          <w:tab w:val="left" w:pos="851"/>
        </w:tabs>
        <w:ind w:left="851"/>
        <w:rPr>
          <w:sz w:val="24"/>
          <w:szCs w:val="24"/>
        </w:rPr>
      </w:pPr>
    </w:p>
    <w:p w:rsidR="005F0AAF" w:rsidRPr="00CD1EB6" w:rsidRDefault="005F0AAF" w:rsidP="005F0AA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A4E69">
        <w:rPr>
          <w:b/>
          <w:sz w:val="24"/>
          <w:szCs w:val="24"/>
        </w:rPr>
        <w:t>administration</w:t>
      </w:r>
    </w:p>
    <w:p w:rsidR="005F0AAF" w:rsidRPr="00E41942" w:rsidRDefault="005F0AAF" w:rsidP="005F0AAF">
      <w:pPr>
        <w:tabs>
          <w:tab w:val="left" w:pos="851"/>
        </w:tabs>
        <w:autoSpaceDE w:val="0"/>
        <w:autoSpaceDN w:val="0"/>
        <w:adjustRightInd w:val="0"/>
        <w:ind w:left="851"/>
        <w:rPr>
          <w:b/>
          <w:sz w:val="24"/>
          <w:szCs w:val="24"/>
        </w:rPr>
      </w:pPr>
      <w:r w:rsidRPr="00E41942">
        <w:rPr>
          <w:b/>
          <w:sz w:val="24"/>
          <w:szCs w:val="24"/>
        </w:rPr>
        <w:t>Dosering</w:t>
      </w:r>
    </w:p>
    <w:p w:rsidR="00CA0FF6" w:rsidRDefault="00CA0FF6" w:rsidP="00CA0FF6">
      <w:pPr>
        <w:tabs>
          <w:tab w:val="left" w:pos="851"/>
        </w:tabs>
        <w:autoSpaceDE w:val="0"/>
        <w:autoSpaceDN w:val="0"/>
        <w:adjustRightInd w:val="0"/>
        <w:ind w:left="851"/>
        <w:rPr>
          <w:sz w:val="24"/>
          <w:szCs w:val="24"/>
        </w:rPr>
      </w:pPr>
      <w:r>
        <w:rPr>
          <w:sz w:val="24"/>
          <w:szCs w:val="24"/>
        </w:rPr>
        <w:t>Bivirkninger kan minimeres ved at anvende den laveste effektive dosis, der er nødvendig til at kontrollere symptomerne, i så kort tid som muligt (se pkt. 4.4).</w:t>
      </w:r>
    </w:p>
    <w:p w:rsidR="00CA0FF6" w:rsidRDefault="00CA0FF6" w:rsidP="00CA0FF6">
      <w:pPr>
        <w:tabs>
          <w:tab w:val="left" w:pos="851"/>
        </w:tabs>
        <w:autoSpaceDE w:val="0"/>
        <w:autoSpaceDN w:val="0"/>
        <w:adjustRightInd w:val="0"/>
        <w:ind w:left="851"/>
        <w:rPr>
          <w:sz w:val="24"/>
          <w:szCs w:val="24"/>
        </w:rPr>
      </w:pPr>
      <w:r>
        <w:rPr>
          <w:sz w:val="24"/>
          <w:szCs w:val="24"/>
        </w:rPr>
        <w:t>Brugen bør begrænses til situationer, hvor oral administration ikke er hensigtsmæssig. Patienterne skal overgå til oral behandling, så snart det er muligt.</w:t>
      </w:r>
    </w:p>
    <w:p w:rsidR="00CA0FF6" w:rsidRDefault="00CA0FF6" w:rsidP="00CA0FF6">
      <w:pPr>
        <w:tabs>
          <w:tab w:val="left" w:pos="851"/>
        </w:tabs>
        <w:autoSpaceDE w:val="0"/>
        <w:autoSpaceDN w:val="0"/>
        <w:adjustRightInd w:val="0"/>
        <w:ind w:left="851"/>
        <w:rPr>
          <w:sz w:val="24"/>
          <w:szCs w:val="24"/>
        </w:rPr>
      </w:pPr>
    </w:p>
    <w:p w:rsidR="00D06BDC" w:rsidRPr="0090757A" w:rsidRDefault="00CA0FF6" w:rsidP="00CA0FF6">
      <w:pPr>
        <w:tabs>
          <w:tab w:val="left" w:pos="851"/>
        </w:tabs>
        <w:autoSpaceDE w:val="0"/>
        <w:autoSpaceDN w:val="0"/>
        <w:adjustRightInd w:val="0"/>
        <w:ind w:left="851"/>
        <w:rPr>
          <w:sz w:val="24"/>
          <w:szCs w:val="24"/>
        </w:rPr>
      </w:pPr>
      <w:r>
        <w:rPr>
          <w:sz w:val="24"/>
          <w:szCs w:val="24"/>
        </w:rPr>
        <w:t>Dette lægemiddel er kun indiceret til kortvarig akut behandling og bør ikke anvendes i mere end 3 dage.</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b/>
          <w:sz w:val="24"/>
          <w:szCs w:val="24"/>
        </w:rPr>
      </w:pPr>
      <w:r w:rsidRPr="0090757A">
        <w:rPr>
          <w:sz w:val="24"/>
          <w:szCs w:val="24"/>
        </w:rPr>
        <w:t xml:space="preserve">Patienten skal holdes tilstrækkeligt hydreret for at minimere risikoen for mulige </w:t>
      </w:r>
      <w:proofErr w:type="spellStart"/>
      <w:r w:rsidRPr="0090757A">
        <w:rPr>
          <w:sz w:val="24"/>
          <w:szCs w:val="24"/>
        </w:rPr>
        <w:t>renale</w:t>
      </w:r>
      <w:proofErr w:type="spellEnd"/>
      <w:r w:rsidRPr="0090757A">
        <w:rPr>
          <w:sz w:val="24"/>
          <w:szCs w:val="24"/>
        </w:rPr>
        <w:t xml:space="preserve"> bivirkninger.</w:t>
      </w:r>
    </w:p>
    <w:p w:rsidR="005F0AAF" w:rsidRPr="00E41942" w:rsidRDefault="005F0AAF" w:rsidP="005F0AAF">
      <w:pPr>
        <w:tabs>
          <w:tab w:val="left" w:pos="851"/>
        </w:tabs>
        <w:autoSpaceDE w:val="0"/>
        <w:autoSpaceDN w:val="0"/>
        <w:adjustRightInd w:val="0"/>
        <w:ind w:left="851"/>
        <w:rPr>
          <w:sz w:val="24"/>
          <w:szCs w:val="24"/>
        </w:rPr>
      </w:pPr>
    </w:p>
    <w:p w:rsidR="005F0AAF" w:rsidRPr="00E41942" w:rsidRDefault="005F0AAF" w:rsidP="005F0AAF">
      <w:pPr>
        <w:tabs>
          <w:tab w:val="left" w:pos="851"/>
        </w:tabs>
        <w:autoSpaceDE w:val="0"/>
        <w:autoSpaceDN w:val="0"/>
        <w:adjustRightInd w:val="0"/>
        <w:ind w:left="851"/>
        <w:rPr>
          <w:sz w:val="24"/>
          <w:szCs w:val="24"/>
          <w:u w:val="single"/>
        </w:rPr>
      </w:pPr>
      <w:r w:rsidRPr="00D06BDC">
        <w:rPr>
          <w:i/>
          <w:sz w:val="24"/>
          <w:szCs w:val="24"/>
        </w:rPr>
        <w:t>Voksne</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Den anbefalede dosis er 400 mg ibuprofen hver 6. til 8. time efter behov. Den anbefalede maksimale daglige dosis er 1.200 mg, og den bør ikke overskrides. </w:t>
      </w:r>
    </w:p>
    <w:p w:rsidR="005F0AAF" w:rsidRPr="0090757A" w:rsidRDefault="005F0AAF" w:rsidP="005F0AAF">
      <w:pPr>
        <w:tabs>
          <w:tab w:val="left" w:pos="851"/>
        </w:tabs>
        <w:autoSpaceDE w:val="0"/>
        <w:autoSpaceDN w:val="0"/>
        <w:adjustRightInd w:val="0"/>
        <w:ind w:left="851"/>
        <w:rPr>
          <w:sz w:val="24"/>
          <w:szCs w:val="24"/>
        </w:rPr>
      </w:pPr>
    </w:p>
    <w:p w:rsidR="005F0AAF" w:rsidRPr="00D06BDC" w:rsidRDefault="005F0AAF" w:rsidP="005F0AAF">
      <w:pPr>
        <w:tabs>
          <w:tab w:val="left" w:pos="851"/>
        </w:tabs>
        <w:autoSpaceDE w:val="0"/>
        <w:autoSpaceDN w:val="0"/>
        <w:adjustRightInd w:val="0"/>
        <w:ind w:left="851"/>
        <w:rPr>
          <w:i/>
          <w:sz w:val="24"/>
          <w:szCs w:val="24"/>
        </w:rPr>
      </w:pPr>
      <w:r w:rsidRPr="00D06BDC">
        <w:rPr>
          <w:i/>
          <w:sz w:val="24"/>
          <w:szCs w:val="24"/>
        </w:rPr>
        <w:t>Ældre patienter</w:t>
      </w:r>
    </w:p>
    <w:p w:rsidR="005F0AAF" w:rsidRPr="0090757A" w:rsidRDefault="005F0AAF" w:rsidP="005F0AAF">
      <w:pPr>
        <w:tabs>
          <w:tab w:val="left" w:pos="851"/>
        </w:tabs>
        <w:autoSpaceDE w:val="0"/>
        <w:autoSpaceDN w:val="0"/>
        <w:adjustRightInd w:val="0"/>
        <w:ind w:left="851"/>
        <w:rPr>
          <w:b/>
          <w:sz w:val="24"/>
          <w:szCs w:val="24"/>
          <w:u w:val="single"/>
        </w:rPr>
      </w:pPr>
      <w:r w:rsidRPr="0090757A">
        <w:rPr>
          <w:sz w:val="24"/>
          <w:szCs w:val="24"/>
        </w:rPr>
        <w:t>Som med alle non-</w:t>
      </w:r>
      <w:proofErr w:type="spellStart"/>
      <w:r w:rsidRPr="0090757A">
        <w:rPr>
          <w:sz w:val="24"/>
          <w:szCs w:val="24"/>
        </w:rPr>
        <w:t>steroide</w:t>
      </w:r>
      <w:proofErr w:type="spellEnd"/>
      <w:r w:rsidRPr="0090757A">
        <w:rPr>
          <w:sz w:val="24"/>
          <w:szCs w:val="24"/>
        </w:rPr>
        <w:t xml:space="preserve"> antiinflammatoriske lægemidler (</w:t>
      </w:r>
      <w:proofErr w:type="spellStart"/>
      <w:r w:rsidRPr="0090757A">
        <w:rPr>
          <w:sz w:val="24"/>
          <w:szCs w:val="24"/>
        </w:rPr>
        <w:t>NSAID’er</w:t>
      </w:r>
      <w:proofErr w:type="spellEnd"/>
      <w:r w:rsidRPr="0090757A">
        <w:rPr>
          <w:sz w:val="24"/>
          <w:szCs w:val="24"/>
        </w:rPr>
        <w:t xml:space="preserve">) bør der tages forsigtighedsregler i forbindelse med behandling af ældre patienter, da de generelt er mere tilbøjelige til at få bivirkninger (se pkt. 4.4 og 4.8), og da der er større sandsynlighed for, at de har </w:t>
      </w:r>
      <w:proofErr w:type="spellStart"/>
      <w:r w:rsidRPr="0090757A">
        <w:rPr>
          <w:sz w:val="24"/>
          <w:szCs w:val="24"/>
        </w:rPr>
        <w:t>renal</w:t>
      </w:r>
      <w:proofErr w:type="spellEnd"/>
      <w:r w:rsidRPr="0090757A">
        <w:rPr>
          <w:sz w:val="24"/>
          <w:szCs w:val="24"/>
        </w:rPr>
        <w:t xml:space="preserve">, </w:t>
      </w:r>
      <w:proofErr w:type="spellStart"/>
      <w:r w:rsidRPr="0090757A">
        <w:rPr>
          <w:sz w:val="24"/>
          <w:szCs w:val="24"/>
        </w:rPr>
        <w:t>hepatisk</w:t>
      </w:r>
      <w:proofErr w:type="spellEnd"/>
      <w:r w:rsidRPr="0090757A">
        <w:rPr>
          <w:sz w:val="24"/>
          <w:szCs w:val="24"/>
        </w:rPr>
        <w:t xml:space="preserve"> og </w:t>
      </w:r>
      <w:proofErr w:type="spellStart"/>
      <w:r w:rsidRPr="0090757A">
        <w:rPr>
          <w:sz w:val="24"/>
          <w:szCs w:val="24"/>
        </w:rPr>
        <w:t>kardiovaskulær</w:t>
      </w:r>
      <w:proofErr w:type="spellEnd"/>
      <w:r w:rsidRPr="0090757A">
        <w:rPr>
          <w:sz w:val="24"/>
          <w:szCs w:val="24"/>
        </w:rPr>
        <w:t xml:space="preserve"> dysfunktion og samtidig bruger andre lægemidler. Specifikt anbefales det at administrere den laveste effektive dosis, der er nødvendig til at kontrollere symptomerne, i så kort tid som muligt til denne population. Behandlingen bør revurderes med regelmæssige mellemrum og seponeres, hvis der ikke ses nogen virkning, eller hvis der opstår </w:t>
      </w:r>
      <w:proofErr w:type="spellStart"/>
      <w:r w:rsidRPr="0090757A">
        <w:rPr>
          <w:sz w:val="24"/>
          <w:szCs w:val="24"/>
        </w:rPr>
        <w:t>intolerans</w:t>
      </w:r>
      <w:proofErr w:type="spellEnd"/>
      <w:r w:rsidRPr="0090757A">
        <w:rPr>
          <w:sz w:val="24"/>
          <w:szCs w:val="24"/>
        </w:rPr>
        <w:t>.</w:t>
      </w:r>
    </w:p>
    <w:p w:rsidR="005F0AAF" w:rsidRPr="0090757A" w:rsidRDefault="005F0AAF" w:rsidP="005F0AAF">
      <w:pPr>
        <w:tabs>
          <w:tab w:val="left" w:pos="851"/>
        </w:tabs>
        <w:autoSpaceDE w:val="0"/>
        <w:autoSpaceDN w:val="0"/>
        <w:adjustRightInd w:val="0"/>
        <w:ind w:left="851"/>
        <w:rPr>
          <w:b/>
          <w:sz w:val="24"/>
          <w:szCs w:val="24"/>
          <w:u w:val="single"/>
        </w:rPr>
      </w:pPr>
    </w:p>
    <w:p w:rsidR="007311C1" w:rsidRPr="00D06BDC" w:rsidRDefault="007311C1" w:rsidP="007311C1">
      <w:pPr>
        <w:tabs>
          <w:tab w:val="left" w:pos="851"/>
        </w:tabs>
        <w:autoSpaceDE w:val="0"/>
        <w:autoSpaceDN w:val="0"/>
        <w:adjustRightInd w:val="0"/>
        <w:ind w:left="851"/>
        <w:rPr>
          <w:i/>
          <w:sz w:val="24"/>
          <w:szCs w:val="24"/>
        </w:rPr>
      </w:pPr>
      <w:r w:rsidRPr="00D06BDC">
        <w:rPr>
          <w:i/>
          <w:sz w:val="24"/>
          <w:szCs w:val="24"/>
        </w:rPr>
        <w:t xml:space="preserve">Nyreinsufficiens </w:t>
      </w:r>
    </w:p>
    <w:p w:rsidR="007311C1" w:rsidRDefault="007311C1" w:rsidP="007311C1">
      <w:pPr>
        <w:tabs>
          <w:tab w:val="left" w:pos="851"/>
        </w:tabs>
        <w:autoSpaceDE w:val="0"/>
        <w:autoSpaceDN w:val="0"/>
        <w:adjustRightInd w:val="0"/>
        <w:ind w:left="851"/>
        <w:rPr>
          <w:sz w:val="24"/>
          <w:szCs w:val="24"/>
        </w:rPr>
      </w:pPr>
      <w:r>
        <w:rPr>
          <w:sz w:val="24"/>
          <w:szCs w:val="24"/>
        </w:rPr>
        <w:t xml:space="preserve">Der bør tages forsigtighedsregler i forbindelse med brug af </w:t>
      </w:r>
      <w:proofErr w:type="spellStart"/>
      <w:r>
        <w:rPr>
          <w:sz w:val="24"/>
          <w:szCs w:val="24"/>
        </w:rPr>
        <w:t>NSAID’er</w:t>
      </w:r>
      <w:proofErr w:type="spellEnd"/>
      <w:r>
        <w:rPr>
          <w:sz w:val="24"/>
          <w:szCs w:val="24"/>
        </w:rPr>
        <w:t xml:space="preserve"> til patienter med nyreinsufficiens. Hos patienter med let eller moderat nedsat nyrefunktion bør startdosen reduceres og holdes så lav som muligt i så kort tid, som det e</w:t>
      </w:r>
      <w:r w:rsidRPr="007311C1">
        <w:rPr>
          <w:sz w:val="24"/>
          <w:szCs w:val="24"/>
        </w:rPr>
        <w:t>r nødvendigt</w:t>
      </w:r>
      <w:r>
        <w:rPr>
          <w:sz w:val="24"/>
          <w:szCs w:val="24"/>
        </w:rPr>
        <w:t xml:space="preserve"> for at kontrollere symptomerne, og nyrefunktionen bør monitoreres. Dette lægemiddel er kontraindiceret hos patienter med svær nyreinsufficiens (se pkt. 4.3). </w:t>
      </w:r>
    </w:p>
    <w:p w:rsidR="007311C1" w:rsidRDefault="007311C1" w:rsidP="007311C1">
      <w:pPr>
        <w:tabs>
          <w:tab w:val="left" w:pos="851"/>
        </w:tabs>
        <w:autoSpaceDE w:val="0"/>
        <w:autoSpaceDN w:val="0"/>
        <w:adjustRightInd w:val="0"/>
        <w:ind w:left="851"/>
        <w:rPr>
          <w:b/>
          <w:sz w:val="24"/>
          <w:szCs w:val="24"/>
          <w:u w:val="single"/>
        </w:rPr>
      </w:pPr>
    </w:p>
    <w:p w:rsidR="007311C1" w:rsidRDefault="007311C1" w:rsidP="007311C1">
      <w:pPr>
        <w:tabs>
          <w:tab w:val="left" w:pos="851"/>
        </w:tabs>
        <w:autoSpaceDE w:val="0"/>
        <w:autoSpaceDN w:val="0"/>
        <w:adjustRightInd w:val="0"/>
        <w:ind w:left="851"/>
        <w:rPr>
          <w:sz w:val="24"/>
          <w:szCs w:val="24"/>
          <w:u w:val="single"/>
        </w:rPr>
      </w:pPr>
      <w:r w:rsidRPr="00D06BDC">
        <w:rPr>
          <w:i/>
          <w:sz w:val="24"/>
          <w:szCs w:val="24"/>
        </w:rPr>
        <w:t>Leverinsufficiens</w:t>
      </w:r>
    </w:p>
    <w:p w:rsidR="007311C1" w:rsidRDefault="007311C1" w:rsidP="007311C1">
      <w:pPr>
        <w:tabs>
          <w:tab w:val="left" w:pos="851"/>
        </w:tabs>
        <w:autoSpaceDE w:val="0"/>
        <w:autoSpaceDN w:val="0"/>
        <w:adjustRightInd w:val="0"/>
        <w:ind w:left="851"/>
        <w:rPr>
          <w:sz w:val="24"/>
          <w:szCs w:val="24"/>
        </w:rPr>
      </w:pPr>
      <w:r>
        <w:rPr>
          <w:sz w:val="24"/>
          <w:szCs w:val="24"/>
        </w:rPr>
        <w:t xml:space="preserve">Der bør tages forsigtighedsregler i forbindelse med brug af </w:t>
      </w:r>
      <w:proofErr w:type="spellStart"/>
      <w:r>
        <w:rPr>
          <w:sz w:val="24"/>
          <w:szCs w:val="24"/>
        </w:rPr>
        <w:t>NSAID’er</w:t>
      </w:r>
      <w:proofErr w:type="spellEnd"/>
      <w:r>
        <w:rPr>
          <w:sz w:val="24"/>
          <w:szCs w:val="24"/>
        </w:rPr>
        <w:t xml:space="preserve"> til denne population, selvom der ikke er set forskelle i den </w:t>
      </w:r>
      <w:proofErr w:type="spellStart"/>
      <w:r>
        <w:rPr>
          <w:sz w:val="24"/>
          <w:szCs w:val="24"/>
        </w:rPr>
        <w:t>farmakokinetiske</w:t>
      </w:r>
      <w:proofErr w:type="spellEnd"/>
      <w:r>
        <w:rPr>
          <w:sz w:val="24"/>
          <w:szCs w:val="24"/>
        </w:rPr>
        <w:t xml:space="preserve"> profil. Patienter med let eller moderat leverinsufficiens bør starte behandlingen med reducerede doser, og dosen bør holdes så lav som muligt i så kort tid som nødvendigt, og de bør overvåges nøje. Dette lægemiddel er kontraindiceret hos patienter med svær leverinsufficiens (se pkt. 4.3). </w:t>
      </w:r>
    </w:p>
    <w:p w:rsidR="007311C1" w:rsidRDefault="007311C1" w:rsidP="007311C1">
      <w:pPr>
        <w:tabs>
          <w:tab w:val="left" w:pos="851"/>
        </w:tabs>
        <w:autoSpaceDE w:val="0"/>
        <w:autoSpaceDN w:val="0"/>
        <w:adjustRightInd w:val="0"/>
        <w:ind w:left="851"/>
        <w:rPr>
          <w:b/>
          <w:sz w:val="24"/>
          <w:szCs w:val="24"/>
          <w:u w:val="single"/>
        </w:rPr>
      </w:pPr>
    </w:p>
    <w:p w:rsidR="007311C1" w:rsidRPr="00D06BDC" w:rsidRDefault="007311C1" w:rsidP="007311C1">
      <w:pPr>
        <w:tabs>
          <w:tab w:val="left" w:pos="851"/>
        </w:tabs>
        <w:autoSpaceDE w:val="0"/>
        <w:autoSpaceDN w:val="0"/>
        <w:adjustRightInd w:val="0"/>
        <w:ind w:left="851"/>
        <w:rPr>
          <w:i/>
          <w:sz w:val="24"/>
          <w:szCs w:val="24"/>
        </w:rPr>
      </w:pPr>
      <w:r w:rsidRPr="00D06BDC">
        <w:rPr>
          <w:i/>
          <w:sz w:val="24"/>
          <w:szCs w:val="24"/>
        </w:rPr>
        <w:t>Pædiatrisk population</w:t>
      </w:r>
    </w:p>
    <w:p w:rsidR="007311C1" w:rsidRDefault="007311C1" w:rsidP="007311C1">
      <w:pPr>
        <w:tabs>
          <w:tab w:val="left" w:pos="851"/>
        </w:tabs>
        <w:autoSpaceDE w:val="0"/>
        <w:autoSpaceDN w:val="0"/>
        <w:adjustRightInd w:val="0"/>
        <w:ind w:left="851"/>
        <w:rPr>
          <w:sz w:val="24"/>
          <w:szCs w:val="24"/>
        </w:rPr>
      </w:pPr>
      <w:r>
        <w:rPr>
          <w:sz w:val="24"/>
          <w:szCs w:val="24"/>
        </w:rPr>
        <w:t>Dette lægemiddel bør ikke anvendes til børn og unge. Brug af Ibuprofen "B. Braun" er ikke blevet undersøgt hos børn og unge. Derfor er sikkerheden og virkningen ikke klarlagt.</w:t>
      </w:r>
    </w:p>
    <w:p w:rsidR="007311C1" w:rsidRDefault="007311C1" w:rsidP="007311C1">
      <w:pPr>
        <w:tabs>
          <w:tab w:val="left" w:pos="851"/>
        </w:tabs>
        <w:autoSpaceDE w:val="0"/>
        <w:autoSpaceDN w:val="0"/>
        <w:adjustRightInd w:val="0"/>
        <w:ind w:left="851"/>
        <w:rPr>
          <w:b/>
          <w:sz w:val="24"/>
          <w:szCs w:val="24"/>
        </w:rPr>
      </w:pPr>
    </w:p>
    <w:p w:rsidR="007311C1" w:rsidRDefault="007311C1" w:rsidP="007311C1">
      <w:pPr>
        <w:tabs>
          <w:tab w:val="left" w:pos="851"/>
        </w:tabs>
        <w:autoSpaceDE w:val="0"/>
        <w:autoSpaceDN w:val="0"/>
        <w:adjustRightInd w:val="0"/>
        <w:ind w:left="851"/>
        <w:rPr>
          <w:b/>
          <w:sz w:val="24"/>
          <w:szCs w:val="24"/>
        </w:rPr>
      </w:pPr>
      <w:r w:rsidRPr="00D06BDC">
        <w:rPr>
          <w:sz w:val="24"/>
          <w:szCs w:val="24"/>
          <w:u w:val="single"/>
        </w:rPr>
        <w:t>Administration</w:t>
      </w:r>
    </w:p>
    <w:p w:rsidR="007311C1" w:rsidRDefault="007311C1" w:rsidP="007311C1">
      <w:pPr>
        <w:tabs>
          <w:tab w:val="left" w:pos="851"/>
        </w:tabs>
        <w:autoSpaceDE w:val="0"/>
        <w:autoSpaceDN w:val="0"/>
        <w:adjustRightInd w:val="0"/>
        <w:ind w:left="851"/>
        <w:rPr>
          <w:sz w:val="24"/>
          <w:szCs w:val="24"/>
        </w:rPr>
      </w:pPr>
      <w:r>
        <w:rPr>
          <w:sz w:val="24"/>
          <w:szCs w:val="24"/>
        </w:rPr>
        <w:t xml:space="preserve">Til intravenøs anvendelse. Ibuprofen ”B. Braun” </w:t>
      </w:r>
      <w:r w:rsidR="00CA0FF6">
        <w:rPr>
          <w:sz w:val="24"/>
          <w:szCs w:val="24"/>
        </w:rPr>
        <w:t xml:space="preserve">bør </w:t>
      </w:r>
      <w:r w:rsidR="00373410">
        <w:rPr>
          <w:sz w:val="24"/>
          <w:szCs w:val="24"/>
        </w:rPr>
        <w:t>kun</w:t>
      </w:r>
      <w:r>
        <w:rPr>
          <w:sz w:val="24"/>
          <w:szCs w:val="24"/>
        </w:rPr>
        <w:t xml:space="preserve"> administreres af kvalificeret sundhedspersonale i omgivelser hvor passende udstyr er tilgængeligt (under behandling).</w:t>
      </w:r>
    </w:p>
    <w:p w:rsidR="007311C1" w:rsidRDefault="007311C1" w:rsidP="007311C1">
      <w:pPr>
        <w:tabs>
          <w:tab w:val="left" w:pos="851"/>
        </w:tabs>
        <w:autoSpaceDE w:val="0"/>
        <w:autoSpaceDN w:val="0"/>
        <w:adjustRightInd w:val="0"/>
        <w:ind w:left="851"/>
        <w:rPr>
          <w:sz w:val="24"/>
          <w:szCs w:val="24"/>
        </w:rPr>
      </w:pPr>
      <w:r>
        <w:rPr>
          <w:sz w:val="24"/>
          <w:szCs w:val="24"/>
        </w:rPr>
        <w:t>Opløsningen bør administreres som en intravenøs infusion over 30 minutter.</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r w:rsidRPr="0090757A">
        <w:rPr>
          <w:sz w:val="24"/>
          <w:szCs w:val="24"/>
        </w:rPr>
        <w:t xml:space="preserve">Overfølsomhed over for det aktive stof, over for andre </w:t>
      </w:r>
      <w:proofErr w:type="spellStart"/>
      <w:r w:rsidRPr="0090757A">
        <w:rPr>
          <w:sz w:val="24"/>
          <w:szCs w:val="24"/>
        </w:rPr>
        <w:t>NSAID’er</w:t>
      </w:r>
      <w:proofErr w:type="spellEnd"/>
      <w:r w:rsidRPr="0090757A">
        <w:rPr>
          <w:sz w:val="24"/>
          <w:szCs w:val="24"/>
        </w:rPr>
        <w:t xml:space="preserve"> eller over for et eller flere af hjælpestofferne anført i pkt. 6.1.</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r w:rsidRPr="0090757A">
        <w:rPr>
          <w:sz w:val="24"/>
          <w:szCs w:val="24"/>
        </w:rPr>
        <w:t xml:space="preserve">Anamnese med </w:t>
      </w:r>
      <w:proofErr w:type="spellStart"/>
      <w:r w:rsidRPr="0090757A">
        <w:rPr>
          <w:sz w:val="24"/>
          <w:szCs w:val="24"/>
        </w:rPr>
        <w:t>bronkospasme</w:t>
      </w:r>
      <w:proofErr w:type="spellEnd"/>
      <w:r w:rsidRPr="0090757A">
        <w:rPr>
          <w:sz w:val="24"/>
          <w:szCs w:val="24"/>
        </w:rPr>
        <w:t xml:space="preserve">, astma, </w:t>
      </w:r>
      <w:proofErr w:type="spellStart"/>
      <w:r w:rsidRPr="0090757A">
        <w:rPr>
          <w:sz w:val="24"/>
          <w:szCs w:val="24"/>
        </w:rPr>
        <w:t>rhinitis</w:t>
      </w:r>
      <w:proofErr w:type="spellEnd"/>
      <w:r w:rsidRPr="0090757A">
        <w:rPr>
          <w:sz w:val="24"/>
          <w:szCs w:val="24"/>
        </w:rPr>
        <w:t xml:space="preserve">, </w:t>
      </w:r>
      <w:proofErr w:type="spellStart"/>
      <w:r w:rsidRPr="0090757A">
        <w:rPr>
          <w:sz w:val="24"/>
          <w:szCs w:val="24"/>
        </w:rPr>
        <w:t>angioødem</w:t>
      </w:r>
      <w:proofErr w:type="spellEnd"/>
      <w:r w:rsidRPr="0090757A">
        <w:rPr>
          <w:sz w:val="24"/>
          <w:szCs w:val="24"/>
        </w:rPr>
        <w:t xml:space="preserve"> eller </w:t>
      </w:r>
      <w:proofErr w:type="spellStart"/>
      <w:r w:rsidRPr="0090757A">
        <w:rPr>
          <w:sz w:val="24"/>
          <w:szCs w:val="24"/>
        </w:rPr>
        <w:t>urticaria</w:t>
      </w:r>
      <w:proofErr w:type="spellEnd"/>
      <w:r w:rsidRPr="0090757A">
        <w:rPr>
          <w:sz w:val="24"/>
          <w:szCs w:val="24"/>
        </w:rPr>
        <w:t xml:space="preserve"> i forbindelse med brug af acetylsalicylsyre (ASA)</w:t>
      </w:r>
      <w:r w:rsidRPr="0090757A">
        <w:rPr>
          <w:color w:val="7030A0"/>
          <w:sz w:val="24"/>
          <w:szCs w:val="24"/>
        </w:rPr>
        <w:t xml:space="preserve"> </w:t>
      </w:r>
      <w:r w:rsidRPr="0090757A">
        <w:rPr>
          <w:sz w:val="24"/>
          <w:szCs w:val="24"/>
        </w:rPr>
        <w:t>eller andre non-</w:t>
      </w:r>
      <w:proofErr w:type="spellStart"/>
      <w:r w:rsidRPr="0090757A">
        <w:rPr>
          <w:sz w:val="24"/>
          <w:szCs w:val="24"/>
        </w:rPr>
        <w:t>steroide</w:t>
      </w:r>
      <w:proofErr w:type="spellEnd"/>
      <w:r w:rsidRPr="0090757A">
        <w:rPr>
          <w:sz w:val="24"/>
          <w:szCs w:val="24"/>
        </w:rPr>
        <w:t xml:space="preserve"> antiinflammatoriske lægemidler (</w:t>
      </w:r>
      <w:proofErr w:type="spellStart"/>
      <w:r w:rsidRPr="0090757A">
        <w:rPr>
          <w:sz w:val="24"/>
          <w:szCs w:val="24"/>
        </w:rPr>
        <w:t>NSAID’er</w:t>
      </w:r>
      <w:proofErr w:type="spellEnd"/>
      <w:r w:rsidRPr="0090757A">
        <w:rPr>
          <w:sz w:val="24"/>
          <w:szCs w:val="24"/>
        </w:rPr>
        <w:t>).</w:t>
      </w:r>
    </w:p>
    <w:p w:rsidR="005F0AAF" w:rsidRPr="009139A2" w:rsidRDefault="00CA0FF6" w:rsidP="00CA0FF6">
      <w:pPr>
        <w:numPr>
          <w:ilvl w:val="0"/>
          <w:numId w:val="6"/>
        </w:numPr>
        <w:tabs>
          <w:tab w:val="left" w:pos="1134"/>
        </w:tabs>
        <w:autoSpaceDE w:val="0"/>
        <w:autoSpaceDN w:val="0"/>
        <w:adjustRightInd w:val="0"/>
        <w:ind w:left="1134" w:hanging="283"/>
        <w:rPr>
          <w:sz w:val="24"/>
          <w:szCs w:val="24"/>
          <w:lang w:val="nb-NO"/>
        </w:rPr>
      </w:pPr>
      <w:r w:rsidRPr="009139A2">
        <w:rPr>
          <w:sz w:val="24"/>
          <w:szCs w:val="24"/>
          <w:lang w:val="nb-NO"/>
        </w:rPr>
        <w:t xml:space="preserve">Sygdomme, der indebærer øget blødningstendens eller aktiv blødning, såsom trombocytopeni. </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r w:rsidRPr="0090757A">
        <w:rPr>
          <w:sz w:val="24"/>
          <w:szCs w:val="24"/>
        </w:rPr>
        <w:t>Aktiv(t) eller tidligere tilbagevendende mavesår/-blødning (minimum to episoder med dokumenteret sårdannelse eller blødning).</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proofErr w:type="spellStart"/>
      <w:r w:rsidRPr="0090757A">
        <w:rPr>
          <w:sz w:val="24"/>
          <w:szCs w:val="24"/>
        </w:rPr>
        <w:t>Gastrointestinal</w:t>
      </w:r>
      <w:proofErr w:type="spellEnd"/>
      <w:r w:rsidRPr="0090757A">
        <w:rPr>
          <w:sz w:val="24"/>
          <w:szCs w:val="24"/>
        </w:rPr>
        <w:t xml:space="preserve"> blødning eller perforation relateret til tidligere NSAID-behandling i anamnesen. </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proofErr w:type="spellStart"/>
      <w:r w:rsidRPr="0090757A">
        <w:rPr>
          <w:sz w:val="24"/>
          <w:szCs w:val="24"/>
        </w:rPr>
        <w:t>Cerebrovaskulær</w:t>
      </w:r>
      <w:proofErr w:type="spellEnd"/>
      <w:r w:rsidRPr="0090757A">
        <w:rPr>
          <w:sz w:val="24"/>
          <w:szCs w:val="24"/>
        </w:rPr>
        <w:t xml:space="preserve"> eller anden aktiv blødning.</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r w:rsidRPr="0090757A">
        <w:rPr>
          <w:sz w:val="24"/>
          <w:szCs w:val="24"/>
        </w:rPr>
        <w:t>Svær lever- eller nyreinsufficiens.</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r w:rsidRPr="0090757A">
        <w:rPr>
          <w:sz w:val="24"/>
          <w:szCs w:val="24"/>
        </w:rPr>
        <w:t xml:space="preserve">Alvorlig hjerteinsufficiens (NYHA-klasse IV). </w:t>
      </w:r>
    </w:p>
    <w:p w:rsidR="005F0AAF" w:rsidRPr="0090757A" w:rsidRDefault="005F0AAF" w:rsidP="005F0AAF">
      <w:pPr>
        <w:numPr>
          <w:ilvl w:val="0"/>
          <w:numId w:val="6"/>
        </w:numPr>
        <w:tabs>
          <w:tab w:val="left" w:pos="1134"/>
        </w:tabs>
        <w:autoSpaceDE w:val="0"/>
        <w:autoSpaceDN w:val="0"/>
        <w:adjustRightInd w:val="0"/>
        <w:ind w:left="1134" w:hanging="283"/>
        <w:rPr>
          <w:sz w:val="24"/>
          <w:szCs w:val="24"/>
        </w:rPr>
      </w:pPr>
      <w:r w:rsidRPr="0090757A">
        <w:rPr>
          <w:sz w:val="24"/>
          <w:szCs w:val="24"/>
        </w:rPr>
        <w:t>Svær dehydrering (forårsaget af opkastning, diarré eller utilstrækkeligt væskeindtag).</w:t>
      </w:r>
    </w:p>
    <w:p w:rsidR="005F0AAF" w:rsidRPr="00872CA7" w:rsidRDefault="005F0AAF" w:rsidP="005F0AAF">
      <w:pPr>
        <w:numPr>
          <w:ilvl w:val="0"/>
          <w:numId w:val="6"/>
        </w:numPr>
        <w:tabs>
          <w:tab w:val="left" w:pos="1134"/>
        </w:tabs>
        <w:autoSpaceDE w:val="0"/>
        <w:autoSpaceDN w:val="0"/>
        <w:adjustRightInd w:val="0"/>
        <w:ind w:left="1134" w:hanging="283"/>
        <w:rPr>
          <w:sz w:val="24"/>
          <w:szCs w:val="24"/>
        </w:rPr>
      </w:pPr>
      <w:r w:rsidRPr="0090757A">
        <w:rPr>
          <w:sz w:val="24"/>
          <w:szCs w:val="24"/>
        </w:rPr>
        <w:t>Graviditet i sidste trimester (se pkt. 4.6).</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Bivirkninger kan minimeres ved at anvende den laveste effektive dosis, der er nødvendig til at kontrollere symptomerne, i så kort tid som nødvendigt (se pkt. 4.8).</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Samtidig brug af </w:t>
      </w:r>
      <w:r>
        <w:rPr>
          <w:sz w:val="24"/>
          <w:szCs w:val="24"/>
        </w:rPr>
        <w:t>Ibuprofen "B. Braun"</w:t>
      </w:r>
      <w:r w:rsidRPr="0090757A">
        <w:rPr>
          <w:sz w:val="24"/>
          <w:szCs w:val="24"/>
        </w:rPr>
        <w:t xml:space="preserve"> og </w:t>
      </w:r>
      <w:proofErr w:type="spellStart"/>
      <w:r w:rsidRPr="0090757A">
        <w:rPr>
          <w:sz w:val="24"/>
          <w:szCs w:val="24"/>
        </w:rPr>
        <w:t>NSAID’er</w:t>
      </w:r>
      <w:proofErr w:type="spellEnd"/>
      <w:r w:rsidRPr="0090757A">
        <w:rPr>
          <w:sz w:val="24"/>
          <w:szCs w:val="24"/>
        </w:rPr>
        <w:t>, herunder selektive cyclooxygenase-2-hæmmere (COX-2-hæmmere), bør undgås</w:t>
      </w:r>
      <w:r w:rsidR="00CA0FF6">
        <w:rPr>
          <w:sz w:val="24"/>
          <w:szCs w:val="24"/>
        </w:rPr>
        <w:t>.</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Hyppigheden af bivirkninger af </w:t>
      </w:r>
      <w:proofErr w:type="spellStart"/>
      <w:r w:rsidRPr="0090757A">
        <w:rPr>
          <w:sz w:val="24"/>
          <w:szCs w:val="24"/>
        </w:rPr>
        <w:t>NSAID’er</w:t>
      </w:r>
      <w:proofErr w:type="spellEnd"/>
      <w:r w:rsidRPr="0090757A">
        <w:rPr>
          <w:sz w:val="24"/>
          <w:szCs w:val="24"/>
        </w:rPr>
        <w:t xml:space="preserve"> er højere hos ældre patienter, især </w:t>
      </w:r>
      <w:proofErr w:type="spellStart"/>
      <w:r w:rsidRPr="0090757A">
        <w:rPr>
          <w:sz w:val="24"/>
          <w:szCs w:val="24"/>
        </w:rPr>
        <w:t>gastrointestinale</w:t>
      </w:r>
      <w:proofErr w:type="spellEnd"/>
      <w:r w:rsidRPr="0090757A">
        <w:rPr>
          <w:sz w:val="24"/>
          <w:szCs w:val="24"/>
        </w:rPr>
        <w:t xml:space="preserve"> blødninger og perforationer, som kan være fatale (se pkt. 4.8).</w:t>
      </w:r>
    </w:p>
    <w:p w:rsidR="005F0AAF" w:rsidRPr="0090757A" w:rsidRDefault="005F0AAF" w:rsidP="005F0AAF">
      <w:pPr>
        <w:tabs>
          <w:tab w:val="left" w:pos="851"/>
        </w:tabs>
        <w:autoSpaceDE w:val="0"/>
        <w:autoSpaceDN w:val="0"/>
        <w:adjustRightInd w:val="0"/>
        <w:ind w:left="851"/>
        <w:rPr>
          <w:sz w:val="24"/>
          <w:szCs w:val="24"/>
        </w:rPr>
      </w:pPr>
    </w:p>
    <w:p w:rsidR="005F0AAF" w:rsidRPr="00E54BBE" w:rsidRDefault="005F0AAF" w:rsidP="005F0AAF">
      <w:pPr>
        <w:tabs>
          <w:tab w:val="left" w:pos="851"/>
        </w:tabs>
        <w:autoSpaceDE w:val="0"/>
        <w:autoSpaceDN w:val="0"/>
        <w:adjustRightInd w:val="0"/>
        <w:ind w:left="851"/>
        <w:rPr>
          <w:sz w:val="24"/>
          <w:szCs w:val="24"/>
          <w:u w:val="single"/>
        </w:rPr>
      </w:pPr>
      <w:proofErr w:type="spellStart"/>
      <w:r w:rsidRPr="00E54BBE">
        <w:rPr>
          <w:sz w:val="24"/>
          <w:szCs w:val="24"/>
          <w:u w:val="single"/>
        </w:rPr>
        <w:t>Gastrointestinale</w:t>
      </w:r>
      <w:proofErr w:type="spellEnd"/>
      <w:r w:rsidRPr="00E54BBE">
        <w:rPr>
          <w:sz w:val="24"/>
          <w:szCs w:val="24"/>
          <w:u w:val="single"/>
        </w:rPr>
        <w:t xml:space="preserve"> risici</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Der er rapporteret om </w:t>
      </w:r>
      <w:proofErr w:type="spellStart"/>
      <w:r w:rsidRPr="0090757A">
        <w:rPr>
          <w:sz w:val="24"/>
          <w:szCs w:val="24"/>
        </w:rPr>
        <w:t>gastrointestinal</w:t>
      </w:r>
      <w:proofErr w:type="spellEnd"/>
      <w:r w:rsidRPr="0090757A">
        <w:rPr>
          <w:sz w:val="24"/>
          <w:szCs w:val="24"/>
        </w:rPr>
        <w:t xml:space="preserve"> blødning, sårdannelse eller perforation i forbindelse med behandling med alle </w:t>
      </w:r>
      <w:proofErr w:type="spellStart"/>
      <w:r w:rsidRPr="0090757A">
        <w:rPr>
          <w:sz w:val="24"/>
          <w:szCs w:val="24"/>
        </w:rPr>
        <w:t>NSAID’er</w:t>
      </w:r>
      <w:proofErr w:type="spellEnd"/>
      <w:r w:rsidRPr="0090757A">
        <w:rPr>
          <w:sz w:val="24"/>
          <w:szCs w:val="24"/>
        </w:rPr>
        <w:t xml:space="preserve">. Disse bivirkninger kan være fatale og er indtrådt med eller uden advarselssymptomer eller tidligere tilfælde af alvorlige </w:t>
      </w:r>
      <w:proofErr w:type="spellStart"/>
      <w:r w:rsidRPr="0090757A">
        <w:rPr>
          <w:sz w:val="24"/>
          <w:szCs w:val="24"/>
        </w:rPr>
        <w:t>gastrointestinale</w:t>
      </w:r>
      <w:proofErr w:type="spellEnd"/>
      <w:r w:rsidRPr="0090757A">
        <w:rPr>
          <w:sz w:val="24"/>
          <w:szCs w:val="24"/>
        </w:rPr>
        <w:t xml:space="preserve"> hændelser i anamnesen.</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Risikoen for </w:t>
      </w:r>
      <w:proofErr w:type="spellStart"/>
      <w:r w:rsidRPr="0090757A">
        <w:rPr>
          <w:sz w:val="24"/>
          <w:szCs w:val="24"/>
        </w:rPr>
        <w:t>gastrointestinal</w:t>
      </w:r>
      <w:proofErr w:type="spellEnd"/>
      <w:r w:rsidRPr="0090757A">
        <w:rPr>
          <w:sz w:val="24"/>
          <w:szCs w:val="24"/>
        </w:rPr>
        <w:t xml:space="preserve"> blødning, sårdannelse eller perforation er øget ved højere doser af NSAID, hos patienter med ulcus i anamnesen, især hvis det var kompliceret af blødning eller perforation (se pkt. 4.3), og hos ældre. Disse patienter bør indlede behandlingen med den laveste mulige dosis. Kombinationsbehandling med forebyggende midler (f.eks. </w:t>
      </w:r>
      <w:proofErr w:type="spellStart"/>
      <w:r w:rsidRPr="0090757A">
        <w:rPr>
          <w:sz w:val="24"/>
          <w:szCs w:val="24"/>
        </w:rPr>
        <w:t>misoprostol</w:t>
      </w:r>
      <w:proofErr w:type="spellEnd"/>
      <w:r w:rsidRPr="0090757A">
        <w:rPr>
          <w:sz w:val="24"/>
          <w:szCs w:val="24"/>
        </w:rPr>
        <w:t xml:space="preserve"> eller </w:t>
      </w:r>
      <w:proofErr w:type="spellStart"/>
      <w:r w:rsidRPr="0090757A">
        <w:rPr>
          <w:sz w:val="24"/>
          <w:szCs w:val="24"/>
        </w:rPr>
        <w:t>protonpumpehæmmere</w:t>
      </w:r>
      <w:proofErr w:type="spellEnd"/>
      <w:r w:rsidRPr="0090757A">
        <w:rPr>
          <w:sz w:val="24"/>
          <w:szCs w:val="24"/>
        </w:rPr>
        <w:t xml:space="preserve">) bør overvejes hos disse patienter og hos patienter, der har brug for samtidig behandling med lave doser acetylsalicylsyre eller andre lægemidler, der kan øge den </w:t>
      </w:r>
      <w:proofErr w:type="spellStart"/>
      <w:r w:rsidRPr="0090757A">
        <w:rPr>
          <w:sz w:val="24"/>
          <w:szCs w:val="24"/>
        </w:rPr>
        <w:t>gastrointestinale</w:t>
      </w:r>
      <w:proofErr w:type="spellEnd"/>
      <w:r w:rsidRPr="0090757A">
        <w:rPr>
          <w:sz w:val="24"/>
          <w:szCs w:val="24"/>
        </w:rPr>
        <w:t xml:space="preserve"> risiko (se nedenfor og pkt. 4.5).</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Patienter med </w:t>
      </w:r>
      <w:proofErr w:type="spellStart"/>
      <w:r w:rsidRPr="0090757A">
        <w:rPr>
          <w:sz w:val="24"/>
          <w:szCs w:val="24"/>
        </w:rPr>
        <w:t>gastrointestinal</w:t>
      </w:r>
      <w:proofErr w:type="spellEnd"/>
      <w:r w:rsidRPr="0090757A">
        <w:rPr>
          <w:sz w:val="24"/>
          <w:szCs w:val="24"/>
        </w:rPr>
        <w:t xml:space="preserve"> toksicitet i anamnesen, især ældre, bør rapportere alle usædvanlige </w:t>
      </w:r>
      <w:proofErr w:type="spellStart"/>
      <w:r w:rsidRPr="0090757A">
        <w:rPr>
          <w:sz w:val="24"/>
          <w:szCs w:val="24"/>
        </w:rPr>
        <w:t>abdominale</w:t>
      </w:r>
      <w:proofErr w:type="spellEnd"/>
      <w:r w:rsidRPr="0090757A">
        <w:rPr>
          <w:sz w:val="24"/>
          <w:szCs w:val="24"/>
        </w:rPr>
        <w:t xml:space="preserve"> symptomer (især </w:t>
      </w:r>
      <w:proofErr w:type="spellStart"/>
      <w:r w:rsidRPr="0090757A">
        <w:rPr>
          <w:sz w:val="24"/>
          <w:szCs w:val="24"/>
        </w:rPr>
        <w:t>gastrointestinal</w:t>
      </w:r>
      <w:proofErr w:type="spellEnd"/>
      <w:r w:rsidRPr="0090757A">
        <w:rPr>
          <w:sz w:val="24"/>
          <w:szCs w:val="24"/>
        </w:rPr>
        <w:t xml:space="preserve"> blødning), især i starten af behandlingen.</w:t>
      </w:r>
    </w:p>
    <w:p w:rsidR="005F0AAF" w:rsidRPr="0090757A" w:rsidRDefault="005F0AAF" w:rsidP="005F0AAF">
      <w:pPr>
        <w:tabs>
          <w:tab w:val="left" w:pos="851"/>
        </w:tabs>
        <w:autoSpaceDE w:val="0"/>
        <w:autoSpaceDN w:val="0"/>
        <w:adjustRightInd w:val="0"/>
        <w:ind w:left="851"/>
        <w:rPr>
          <w:sz w:val="24"/>
          <w:szCs w:val="24"/>
        </w:rPr>
      </w:pPr>
    </w:p>
    <w:p w:rsidR="00D06BDC" w:rsidRPr="0090757A" w:rsidRDefault="00CA0FF6" w:rsidP="00D06BDC">
      <w:pPr>
        <w:tabs>
          <w:tab w:val="left" w:pos="851"/>
        </w:tabs>
        <w:autoSpaceDE w:val="0"/>
        <w:autoSpaceDN w:val="0"/>
        <w:adjustRightInd w:val="0"/>
        <w:ind w:left="851"/>
        <w:rPr>
          <w:sz w:val="24"/>
          <w:szCs w:val="24"/>
        </w:rPr>
      </w:pPr>
      <w:r>
        <w:rPr>
          <w:sz w:val="24"/>
          <w:szCs w:val="24"/>
        </w:rPr>
        <w:t xml:space="preserve">Der bør udvises forsigtighed hos patienter, der får samtidig behandling med lægemidler, der kan øge risikoen for sårdannelse eller blødning, såsom orale </w:t>
      </w:r>
      <w:proofErr w:type="spellStart"/>
      <w:r>
        <w:rPr>
          <w:sz w:val="24"/>
          <w:szCs w:val="24"/>
        </w:rPr>
        <w:t>kortikosteroider</w:t>
      </w:r>
      <w:proofErr w:type="spellEnd"/>
      <w:r>
        <w:rPr>
          <w:sz w:val="24"/>
          <w:szCs w:val="24"/>
        </w:rPr>
        <w:t xml:space="preserve">, </w:t>
      </w:r>
      <w:proofErr w:type="spellStart"/>
      <w:r>
        <w:rPr>
          <w:sz w:val="24"/>
          <w:szCs w:val="24"/>
        </w:rPr>
        <w:t>antikoagulantia</w:t>
      </w:r>
      <w:proofErr w:type="spellEnd"/>
      <w:r>
        <w:rPr>
          <w:sz w:val="24"/>
          <w:szCs w:val="24"/>
        </w:rPr>
        <w:t xml:space="preserve"> såsom </w:t>
      </w:r>
      <w:proofErr w:type="spellStart"/>
      <w:r>
        <w:rPr>
          <w:sz w:val="24"/>
          <w:szCs w:val="24"/>
        </w:rPr>
        <w:t>warfarin</w:t>
      </w:r>
      <w:proofErr w:type="spellEnd"/>
      <w:r>
        <w:rPr>
          <w:sz w:val="24"/>
          <w:szCs w:val="24"/>
        </w:rPr>
        <w:t xml:space="preserve">, selektive </w:t>
      </w:r>
      <w:proofErr w:type="spellStart"/>
      <w:r>
        <w:rPr>
          <w:sz w:val="24"/>
          <w:szCs w:val="24"/>
        </w:rPr>
        <w:t>serotoningenoptagshæmmere</w:t>
      </w:r>
      <w:proofErr w:type="spellEnd"/>
      <w:r>
        <w:rPr>
          <w:sz w:val="24"/>
          <w:szCs w:val="24"/>
        </w:rPr>
        <w:t xml:space="preserve"> eller </w:t>
      </w:r>
      <w:proofErr w:type="spellStart"/>
      <w:r>
        <w:rPr>
          <w:sz w:val="24"/>
          <w:szCs w:val="24"/>
        </w:rPr>
        <w:t>trombocythæmmende</w:t>
      </w:r>
      <w:proofErr w:type="spellEnd"/>
      <w:r>
        <w:rPr>
          <w:sz w:val="24"/>
          <w:szCs w:val="24"/>
        </w:rPr>
        <w:t xml:space="preserve"> midler såsom acetylsalicylsyre (se pkt. 4.5)</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Hvis der opstår </w:t>
      </w:r>
      <w:proofErr w:type="spellStart"/>
      <w:r w:rsidRPr="0090757A">
        <w:rPr>
          <w:sz w:val="24"/>
          <w:szCs w:val="24"/>
        </w:rPr>
        <w:t>gastrointestinal</w:t>
      </w:r>
      <w:proofErr w:type="spellEnd"/>
      <w:r w:rsidRPr="0090757A">
        <w:rPr>
          <w:sz w:val="24"/>
          <w:szCs w:val="24"/>
        </w:rPr>
        <w:t xml:space="preserve"> blødning eller sårdannelse hos en patient, der får </w:t>
      </w:r>
      <w:r>
        <w:rPr>
          <w:sz w:val="24"/>
          <w:szCs w:val="24"/>
        </w:rPr>
        <w:t>Ibuprofen "B. Braun"</w:t>
      </w:r>
      <w:r w:rsidRPr="0090757A">
        <w:rPr>
          <w:sz w:val="24"/>
          <w:szCs w:val="24"/>
        </w:rPr>
        <w:t>, skal behandlingen seponeres (se pkt. 4.3).</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proofErr w:type="spellStart"/>
      <w:r w:rsidRPr="0090757A">
        <w:rPr>
          <w:sz w:val="24"/>
          <w:szCs w:val="24"/>
        </w:rPr>
        <w:t>NSAID’er</w:t>
      </w:r>
      <w:proofErr w:type="spellEnd"/>
      <w:r w:rsidRPr="0090757A">
        <w:rPr>
          <w:sz w:val="24"/>
          <w:szCs w:val="24"/>
        </w:rPr>
        <w:t xml:space="preserve"> bør gives med forsigtighed til patienter med </w:t>
      </w:r>
      <w:proofErr w:type="spellStart"/>
      <w:r w:rsidRPr="0090757A">
        <w:rPr>
          <w:sz w:val="24"/>
          <w:szCs w:val="24"/>
        </w:rPr>
        <w:t>gastrointestinal</w:t>
      </w:r>
      <w:proofErr w:type="spellEnd"/>
      <w:r w:rsidRPr="0090757A">
        <w:rPr>
          <w:sz w:val="24"/>
          <w:szCs w:val="24"/>
        </w:rPr>
        <w:t xml:space="preserve"> sygdom (</w:t>
      </w:r>
      <w:proofErr w:type="gramStart"/>
      <w:r w:rsidRPr="0090757A">
        <w:rPr>
          <w:sz w:val="24"/>
          <w:szCs w:val="24"/>
        </w:rPr>
        <w:t>ulcerøs colitis</w:t>
      </w:r>
      <w:proofErr w:type="gramEnd"/>
      <w:r w:rsidRPr="0090757A">
        <w:rPr>
          <w:sz w:val="24"/>
          <w:szCs w:val="24"/>
        </w:rPr>
        <w:t xml:space="preserve">, </w:t>
      </w:r>
      <w:proofErr w:type="spellStart"/>
      <w:r w:rsidRPr="0090757A">
        <w:rPr>
          <w:sz w:val="24"/>
          <w:szCs w:val="24"/>
        </w:rPr>
        <w:t>Crohns</w:t>
      </w:r>
      <w:proofErr w:type="spellEnd"/>
      <w:r w:rsidRPr="0090757A">
        <w:rPr>
          <w:sz w:val="24"/>
          <w:szCs w:val="24"/>
        </w:rPr>
        <w:t xml:space="preserve"> sygdom) i anamnesen, da disse sygdomme kan forværres (se pkt. 4.8).</w:t>
      </w:r>
    </w:p>
    <w:p w:rsidR="005F0AAF" w:rsidRPr="0090757A" w:rsidRDefault="005F0AAF" w:rsidP="005F0AAF">
      <w:pPr>
        <w:tabs>
          <w:tab w:val="left" w:pos="851"/>
        </w:tabs>
        <w:autoSpaceDE w:val="0"/>
        <w:autoSpaceDN w:val="0"/>
        <w:adjustRightInd w:val="0"/>
        <w:ind w:left="851"/>
        <w:rPr>
          <w:sz w:val="24"/>
          <w:szCs w:val="24"/>
        </w:rPr>
      </w:pPr>
    </w:p>
    <w:p w:rsidR="005F0AAF" w:rsidRPr="00E54BBE" w:rsidRDefault="005F0AAF" w:rsidP="005F0AAF">
      <w:pPr>
        <w:tabs>
          <w:tab w:val="left" w:pos="851"/>
        </w:tabs>
        <w:autoSpaceDE w:val="0"/>
        <w:autoSpaceDN w:val="0"/>
        <w:adjustRightInd w:val="0"/>
        <w:ind w:left="851"/>
        <w:rPr>
          <w:sz w:val="24"/>
          <w:szCs w:val="24"/>
          <w:u w:val="single"/>
        </w:rPr>
      </w:pPr>
      <w:proofErr w:type="spellStart"/>
      <w:r w:rsidRPr="00E54BBE">
        <w:rPr>
          <w:sz w:val="24"/>
          <w:szCs w:val="24"/>
          <w:u w:val="single"/>
        </w:rPr>
        <w:t>Kardiovaskulære</w:t>
      </w:r>
      <w:proofErr w:type="spellEnd"/>
      <w:r w:rsidRPr="00E54BBE">
        <w:rPr>
          <w:sz w:val="24"/>
          <w:szCs w:val="24"/>
          <w:u w:val="single"/>
        </w:rPr>
        <w:t xml:space="preserve"> og </w:t>
      </w:r>
      <w:proofErr w:type="spellStart"/>
      <w:r w:rsidRPr="00E54BBE">
        <w:rPr>
          <w:sz w:val="24"/>
          <w:szCs w:val="24"/>
          <w:u w:val="single"/>
        </w:rPr>
        <w:t>cerebrovaskulære</w:t>
      </w:r>
      <w:proofErr w:type="spellEnd"/>
      <w:r w:rsidRPr="00E54BBE">
        <w:rPr>
          <w:sz w:val="24"/>
          <w:szCs w:val="24"/>
          <w:u w:val="single"/>
        </w:rPr>
        <w:t xml:space="preserve"> virkninger</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Kliniske studier tyder på, at brug af ibuprofen, særligt ved høje doser (2.400 mg/dag), kan være forbundet med en let øget risiko for arterielle </w:t>
      </w:r>
      <w:proofErr w:type="spellStart"/>
      <w:r w:rsidRPr="0090757A">
        <w:rPr>
          <w:sz w:val="24"/>
          <w:szCs w:val="24"/>
        </w:rPr>
        <w:t>trombotiske</w:t>
      </w:r>
      <w:proofErr w:type="spellEnd"/>
      <w:r w:rsidRPr="0090757A">
        <w:rPr>
          <w:sz w:val="24"/>
          <w:szCs w:val="24"/>
        </w:rPr>
        <w:t xml:space="preserve"> hændelser (f.eks. myokardieinfarkt eller apopleksi). Samlet set tyder de epidemiologiske studier ikke på, at lave doser af ibuprofen (f.eks. ≤ 1.200 mg/dag) er forbundet med en øget risiko for arterielle </w:t>
      </w:r>
      <w:proofErr w:type="spellStart"/>
      <w:r w:rsidRPr="0090757A">
        <w:rPr>
          <w:sz w:val="24"/>
          <w:szCs w:val="24"/>
        </w:rPr>
        <w:t>trombotiske</w:t>
      </w:r>
      <w:proofErr w:type="spellEnd"/>
      <w:r w:rsidRPr="0090757A">
        <w:rPr>
          <w:sz w:val="24"/>
          <w:szCs w:val="24"/>
        </w:rPr>
        <w:t xml:space="preserve"> hændelser.</w:t>
      </w:r>
    </w:p>
    <w:p w:rsidR="005F0AAF" w:rsidRPr="0090757A" w:rsidRDefault="005F0AAF" w:rsidP="005F0AAF">
      <w:pPr>
        <w:tabs>
          <w:tab w:val="left" w:pos="851"/>
        </w:tabs>
        <w:autoSpaceDE w:val="0"/>
        <w:autoSpaceDN w:val="0"/>
        <w:adjustRightInd w:val="0"/>
        <w:ind w:left="851"/>
        <w:rPr>
          <w:sz w:val="24"/>
          <w:szCs w:val="24"/>
        </w:rPr>
      </w:pPr>
    </w:p>
    <w:p w:rsidR="005F0AAF" w:rsidRPr="002A4E69" w:rsidRDefault="005F0AAF" w:rsidP="005F0AAF">
      <w:pPr>
        <w:tabs>
          <w:tab w:val="left" w:pos="851"/>
        </w:tabs>
        <w:autoSpaceDE w:val="0"/>
        <w:autoSpaceDN w:val="0"/>
        <w:adjustRightInd w:val="0"/>
        <w:ind w:left="851"/>
        <w:rPr>
          <w:sz w:val="24"/>
          <w:szCs w:val="24"/>
        </w:rPr>
      </w:pPr>
      <w:r w:rsidRPr="0090757A">
        <w:rPr>
          <w:sz w:val="24"/>
          <w:szCs w:val="24"/>
        </w:rPr>
        <w:t xml:space="preserve">Patienter med ukontrolleret hypertension, kongestiv </w:t>
      </w:r>
      <w:proofErr w:type="spellStart"/>
      <w:r w:rsidRPr="0090757A">
        <w:rPr>
          <w:sz w:val="24"/>
          <w:szCs w:val="24"/>
        </w:rPr>
        <w:t>venstresidig</w:t>
      </w:r>
      <w:proofErr w:type="spellEnd"/>
      <w:r w:rsidRPr="0090757A">
        <w:rPr>
          <w:sz w:val="24"/>
          <w:szCs w:val="24"/>
        </w:rPr>
        <w:t xml:space="preserve"> hjerteinsufficiens (NYHA II-III), bekræftet iskæmisk hjertesygdom, perifer arteriesygdom og/eller </w:t>
      </w:r>
      <w:proofErr w:type="spellStart"/>
      <w:r w:rsidRPr="0090757A">
        <w:rPr>
          <w:sz w:val="24"/>
          <w:szCs w:val="24"/>
        </w:rPr>
        <w:t>cerebrovaskulær</w:t>
      </w:r>
      <w:proofErr w:type="spellEnd"/>
      <w:r w:rsidRPr="0090757A">
        <w:rPr>
          <w:sz w:val="24"/>
          <w:szCs w:val="24"/>
        </w:rPr>
        <w:t xml:space="preserve"> sygdom bør kun behandles med ibuprofen efter nøje overvejelser, og høje doser (2.400 mg/dag) bør undgås.</w:t>
      </w:r>
    </w:p>
    <w:p w:rsidR="002A4E69" w:rsidRPr="002A4E69" w:rsidRDefault="002A4E69" w:rsidP="005F0AAF">
      <w:pPr>
        <w:tabs>
          <w:tab w:val="left" w:pos="851"/>
        </w:tabs>
        <w:autoSpaceDE w:val="0"/>
        <w:autoSpaceDN w:val="0"/>
        <w:adjustRightInd w:val="0"/>
        <w:ind w:left="851"/>
        <w:rPr>
          <w:sz w:val="24"/>
          <w:szCs w:val="24"/>
        </w:rPr>
      </w:pPr>
    </w:p>
    <w:p w:rsidR="002A4E69" w:rsidRPr="002A4E69" w:rsidRDefault="002A4E69" w:rsidP="002A4E69">
      <w:pPr>
        <w:tabs>
          <w:tab w:val="left" w:pos="851"/>
        </w:tabs>
        <w:autoSpaceDE w:val="0"/>
        <w:autoSpaceDN w:val="0"/>
        <w:adjustRightInd w:val="0"/>
        <w:ind w:left="851"/>
        <w:rPr>
          <w:sz w:val="24"/>
          <w:szCs w:val="24"/>
        </w:rPr>
      </w:pPr>
      <w:r w:rsidRPr="002A4E69">
        <w:rPr>
          <w:sz w:val="24"/>
          <w:szCs w:val="24"/>
        </w:rPr>
        <w:t xml:space="preserve">Der er rapporteret om tilfælde af </w:t>
      </w:r>
      <w:proofErr w:type="spellStart"/>
      <w:r w:rsidRPr="002A4E69">
        <w:rPr>
          <w:sz w:val="24"/>
          <w:szCs w:val="24"/>
        </w:rPr>
        <w:t>Kounis</w:t>
      </w:r>
      <w:proofErr w:type="spellEnd"/>
      <w:r w:rsidRPr="002A4E69">
        <w:rPr>
          <w:sz w:val="24"/>
          <w:szCs w:val="24"/>
        </w:rPr>
        <w:t xml:space="preserve"> syndrom hos patienter behandlet med Ibuprofen B. Braun. </w:t>
      </w:r>
      <w:proofErr w:type="spellStart"/>
      <w:r w:rsidRPr="002A4E69">
        <w:rPr>
          <w:sz w:val="24"/>
          <w:szCs w:val="24"/>
        </w:rPr>
        <w:t>Kounis</w:t>
      </w:r>
      <w:proofErr w:type="spellEnd"/>
      <w:r w:rsidRPr="002A4E69">
        <w:rPr>
          <w:sz w:val="24"/>
          <w:szCs w:val="24"/>
        </w:rPr>
        <w:t xml:space="preserve"> syndrom er blevet defineret som </w:t>
      </w:r>
      <w:proofErr w:type="spellStart"/>
      <w:r w:rsidRPr="002A4E69">
        <w:rPr>
          <w:sz w:val="24"/>
          <w:szCs w:val="24"/>
        </w:rPr>
        <w:t>kardiovaskulære</w:t>
      </w:r>
      <w:proofErr w:type="spellEnd"/>
      <w:r w:rsidRPr="002A4E69">
        <w:rPr>
          <w:sz w:val="24"/>
          <w:szCs w:val="24"/>
        </w:rPr>
        <w:t xml:space="preserve"> symptomer, der er sekundære til en allergisk reaktion eller overfølsomhedsreaktion forbundet med en forsnævring af kranspulsårerne, og som potentielt kan føre til myokardieinfarkt.</w:t>
      </w:r>
    </w:p>
    <w:p w:rsidR="00CA0FF6" w:rsidRDefault="00CA0FF6" w:rsidP="005F0AAF">
      <w:pPr>
        <w:tabs>
          <w:tab w:val="left" w:pos="851"/>
        </w:tabs>
        <w:autoSpaceDE w:val="0"/>
        <w:autoSpaceDN w:val="0"/>
        <w:adjustRightInd w:val="0"/>
        <w:ind w:left="851"/>
        <w:rPr>
          <w:sz w:val="24"/>
          <w:szCs w:val="24"/>
        </w:rPr>
      </w:pPr>
    </w:p>
    <w:p w:rsidR="00CA0FF6" w:rsidRPr="0090757A" w:rsidRDefault="00CA0FF6" w:rsidP="005F0AAF">
      <w:pPr>
        <w:tabs>
          <w:tab w:val="left" w:pos="851"/>
        </w:tabs>
        <w:autoSpaceDE w:val="0"/>
        <w:autoSpaceDN w:val="0"/>
        <w:adjustRightInd w:val="0"/>
        <w:ind w:left="851"/>
        <w:rPr>
          <w:sz w:val="24"/>
          <w:szCs w:val="24"/>
        </w:rPr>
      </w:pPr>
      <w:r>
        <w:rPr>
          <w:sz w:val="24"/>
          <w:szCs w:val="24"/>
        </w:rPr>
        <w:t xml:space="preserve">Initiering af langvarig behandling hos patienter med risikofaktorer for </w:t>
      </w:r>
      <w:proofErr w:type="spellStart"/>
      <w:r>
        <w:rPr>
          <w:sz w:val="24"/>
          <w:szCs w:val="24"/>
        </w:rPr>
        <w:t>kardiovaskulære</w:t>
      </w:r>
      <w:proofErr w:type="spellEnd"/>
      <w:r>
        <w:rPr>
          <w:sz w:val="24"/>
          <w:szCs w:val="24"/>
        </w:rPr>
        <w:t xml:space="preserve"> hændelser (f.eks. hypertension, </w:t>
      </w:r>
      <w:proofErr w:type="spellStart"/>
      <w:r>
        <w:rPr>
          <w:sz w:val="24"/>
          <w:szCs w:val="24"/>
        </w:rPr>
        <w:t>hyperlipidæmi</w:t>
      </w:r>
      <w:proofErr w:type="spellEnd"/>
      <w:r>
        <w:rPr>
          <w:sz w:val="24"/>
          <w:szCs w:val="24"/>
        </w:rPr>
        <w:t>, diabetes mellitus, rygning) kræver også nøje overvejelse, særligt hvis høje ibuprofendoser (2.400 mg/dag) er nødvendige.</w:t>
      </w:r>
    </w:p>
    <w:p w:rsidR="005F0AAF" w:rsidRPr="0090757A" w:rsidRDefault="005F0AAF" w:rsidP="005F0AAF">
      <w:pPr>
        <w:tabs>
          <w:tab w:val="left" w:pos="851"/>
        </w:tabs>
        <w:autoSpaceDE w:val="0"/>
        <w:autoSpaceDN w:val="0"/>
        <w:adjustRightInd w:val="0"/>
        <w:ind w:left="851"/>
        <w:rPr>
          <w:sz w:val="24"/>
          <w:szCs w:val="24"/>
        </w:rPr>
      </w:pPr>
    </w:p>
    <w:p w:rsidR="002A4E69" w:rsidRPr="002F2599" w:rsidRDefault="002A4E69" w:rsidP="002A4E69">
      <w:pPr>
        <w:tabs>
          <w:tab w:val="left" w:pos="851"/>
        </w:tabs>
        <w:autoSpaceDE w:val="0"/>
        <w:autoSpaceDN w:val="0"/>
        <w:adjustRightInd w:val="0"/>
        <w:ind w:left="851"/>
        <w:rPr>
          <w:sz w:val="22"/>
          <w:szCs w:val="22"/>
          <w:u w:val="single"/>
        </w:rPr>
      </w:pPr>
      <w:r w:rsidRPr="002F2599">
        <w:rPr>
          <w:sz w:val="22"/>
          <w:szCs w:val="22"/>
          <w:u w:val="single"/>
        </w:rPr>
        <w:t xml:space="preserve">Alvorlige </w:t>
      </w:r>
      <w:proofErr w:type="spellStart"/>
      <w:r w:rsidRPr="002A4E69">
        <w:rPr>
          <w:sz w:val="22"/>
          <w:szCs w:val="22"/>
          <w:u w:val="single"/>
        </w:rPr>
        <w:t>kutane</w:t>
      </w:r>
      <w:proofErr w:type="spellEnd"/>
      <w:r w:rsidRPr="002A4E69">
        <w:rPr>
          <w:sz w:val="22"/>
          <w:szCs w:val="22"/>
          <w:u w:val="single"/>
        </w:rPr>
        <w:t xml:space="preserve"> bivirkninger (</w:t>
      </w:r>
      <w:proofErr w:type="spellStart"/>
      <w:r w:rsidRPr="002A4E69">
        <w:rPr>
          <w:sz w:val="22"/>
          <w:szCs w:val="22"/>
          <w:u w:val="single"/>
        </w:rPr>
        <w:t>SCAR'er</w:t>
      </w:r>
      <w:proofErr w:type="spellEnd"/>
      <w:r w:rsidRPr="002A4E69">
        <w:rPr>
          <w:sz w:val="22"/>
          <w:szCs w:val="22"/>
          <w:u w:val="single"/>
        </w:rPr>
        <w:t>)</w:t>
      </w:r>
    </w:p>
    <w:p w:rsidR="002A4E69" w:rsidRPr="002F2599" w:rsidRDefault="002A4E69" w:rsidP="002A4E69">
      <w:pPr>
        <w:tabs>
          <w:tab w:val="left" w:pos="851"/>
        </w:tabs>
        <w:autoSpaceDE w:val="0"/>
        <w:autoSpaceDN w:val="0"/>
        <w:adjustRightInd w:val="0"/>
        <w:ind w:left="851"/>
        <w:rPr>
          <w:sz w:val="22"/>
          <w:szCs w:val="22"/>
        </w:rPr>
      </w:pPr>
      <w:r w:rsidRPr="002F2599">
        <w:rPr>
          <w:sz w:val="22"/>
          <w:szCs w:val="22"/>
        </w:rPr>
        <w:t xml:space="preserve">Der er rapporteret om alvorlige </w:t>
      </w:r>
      <w:proofErr w:type="spellStart"/>
      <w:r w:rsidRPr="002F2599">
        <w:rPr>
          <w:sz w:val="22"/>
          <w:szCs w:val="22"/>
        </w:rPr>
        <w:t>kutane</w:t>
      </w:r>
      <w:proofErr w:type="spellEnd"/>
      <w:r w:rsidRPr="002F2599">
        <w:rPr>
          <w:sz w:val="22"/>
          <w:szCs w:val="22"/>
        </w:rPr>
        <w:t xml:space="preserve"> bivirkninger (</w:t>
      </w:r>
      <w:proofErr w:type="spellStart"/>
      <w:r w:rsidRPr="002F2599">
        <w:rPr>
          <w:sz w:val="22"/>
          <w:szCs w:val="22"/>
        </w:rPr>
        <w:t>SCAR'er</w:t>
      </w:r>
      <w:proofErr w:type="spellEnd"/>
      <w:r w:rsidRPr="002F2599">
        <w:rPr>
          <w:sz w:val="22"/>
          <w:szCs w:val="22"/>
        </w:rPr>
        <w:t xml:space="preserve">), herunder </w:t>
      </w:r>
      <w:proofErr w:type="spellStart"/>
      <w:r w:rsidRPr="002F2599">
        <w:rPr>
          <w:sz w:val="22"/>
          <w:szCs w:val="22"/>
        </w:rPr>
        <w:t>eksfoliativ</w:t>
      </w:r>
      <w:proofErr w:type="spellEnd"/>
      <w:r w:rsidRPr="002F2599">
        <w:rPr>
          <w:sz w:val="22"/>
          <w:szCs w:val="22"/>
        </w:rPr>
        <w:t xml:space="preserve"> </w:t>
      </w:r>
      <w:proofErr w:type="spellStart"/>
      <w:r w:rsidRPr="002F2599">
        <w:rPr>
          <w:sz w:val="22"/>
          <w:szCs w:val="22"/>
        </w:rPr>
        <w:t>dermatitis</w:t>
      </w:r>
      <w:proofErr w:type="spellEnd"/>
      <w:r w:rsidRPr="002F2599">
        <w:rPr>
          <w:sz w:val="22"/>
          <w:szCs w:val="22"/>
        </w:rPr>
        <w:t xml:space="preserve">, </w:t>
      </w:r>
      <w:proofErr w:type="spellStart"/>
      <w:r w:rsidRPr="002F2599">
        <w:rPr>
          <w:sz w:val="22"/>
          <w:szCs w:val="22"/>
        </w:rPr>
        <w:t>erythema</w:t>
      </w:r>
      <w:proofErr w:type="spellEnd"/>
      <w:r w:rsidRPr="002F2599">
        <w:rPr>
          <w:sz w:val="22"/>
          <w:szCs w:val="22"/>
        </w:rPr>
        <w:t xml:space="preserve"> multiforme, Stevens-Johnsons syndrom (SJS), toksisk </w:t>
      </w:r>
      <w:proofErr w:type="spellStart"/>
      <w:r w:rsidRPr="002F2599">
        <w:rPr>
          <w:sz w:val="22"/>
          <w:szCs w:val="22"/>
        </w:rPr>
        <w:t>epidermal</w:t>
      </w:r>
      <w:proofErr w:type="spellEnd"/>
      <w:r w:rsidRPr="002F2599">
        <w:rPr>
          <w:sz w:val="22"/>
          <w:szCs w:val="22"/>
        </w:rPr>
        <w:t xml:space="preserve"> </w:t>
      </w:r>
      <w:proofErr w:type="spellStart"/>
      <w:r w:rsidRPr="002F2599">
        <w:rPr>
          <w:sz w:val="22"/>
          <w:szCs w:val="22"/>
        </w:rPr>
        <w:t>nekrolyse</w:t>
      </w:r>
      <w:proofErr w:type="spellEnd"/>
      <w:r w:rsidRPr="002F2599">
        <w:rPr>
          <w:sz w:val="22"/>
          <w:szCs w:val="22"/>
        </w:rPr>
        <w:t xml:space="preserve"> (TEN), lægemiddelreaktion med </w:t>
      </w:r>
      <w:proofErr w:type="spellStart"/>
      <w:r w:rsidRPr="002F2599">
        <w:rPr>
          <w:sz w:val="22"/>
          <w:szCs w:val="22"/>
        </w:rPr>
        <w:t>eosinofili</w:t>
      </w:r>
      <w:proofErr w:type="spellEnd"/>
      <w:r w:rsidRPr="002F2599">
        <w:rPr>
          <w:sz w:val="22"/>
          <w:szCs w:val="22"/>
        </w:rPr>
        <w:t xml:space="preserve"> og systemiske symptomer (DRESS-syndrom) og akut generaliseret </w:t>
      </w:r>
      <w:proofErr w:type="spellStart"/>
      <w:r w:rsidRPr="002F2599">
        <w:rPr>
          <w:sz w:val="22"/>
          <w:szCs w:val="22"/>
        </w:rPr>
        <w:t>eksantematøs</w:t>
      </w:r>
      <w:proofErr w:type="spellEnd"/>
      <w:r w:rsidRPr="002F2599">
        <w:rPr>
          <w:sz w:val="22"/>
          <w:szCs w:val="22"/>
        </w:rPr>
        <w:t xml:space="preserve"> </w:t>
      </w:r>
      <w:proofErr w:type="spellStart"/>
      <w:r w:rsidRPr="002F2599">
        <w:rPr>
          <w:sz w:val="22"/>
          <w:szCs w:val="22"/>
        </w:rPr>
        <w:t>pustulose</w:t>
      </w:r>
      <w:proofErr w:type="spellEnd"/>
      <w:r w:rsidRPr="002F2599">
        <w:rPr>
          <w:sz w:val="22"/>
          <w:szCs w:val="22"/>
        </w:rPr>
        <w:t xml:space="preserve"> (AGEP), som kan være livstruende eller dødelige, er blevet rapporteret i forbindelse med brugen af ibuprofen (se pkt. 4.8). </w:t>
      </w:r>
    </w:p>
    <w:p w:rsidR="002A4E69" w:rsidRPr="002F2599" w:rsidRDefault="002A4E69" w:rsidP="002A4E69">
      <w:pPr>
        <w:tabs>
          <w:tab w:val="left" w:pos="851"/>
        </w:tabs>
        <w:autoSpaceDE w:val="0"/>
        <w:autoSpaceDN w:val="0"/>
        <w:adjustRightInd w:val="0"/>
        <w:ind w:left="851"/>
        <w:rPr>
          <w:sz w:val="22"/>
          <w:szCs w:val="22"/>
          <w:u w:val="single"/>
        </w:rPr>
      </w:pPr>
      <w:r w:rsidRPr="002F2599">
        <w:rPr>
          <w:sz w:val="22"/>
          <w:szCs w:val="22"/>
        </w:rPr>
        <w:t>De fleste af disse reaktioner indtraf inden for den første måned af behandlingen. Hvis der optræder tegn og symptomer, der tyder på disse reaktioner, skal ibuprofen straks afbrydes, og en alternativ behandling overvejes (efter behov).</w:t>
      </w:r>
    </w:p>
    <w:p w:rsidR="007311C1" w:rsidRDefault="007311C1" w:rsidP="007311C1">
      <w:pPr>
        <w:tabs>
          <w:tab w:val="left" w:pos="851"/>
        </w:tabs>
        <w:autoSpaceDE w:val="0"/>
        <w:autoSpaceDN w:val="0"/>
        <w:adjustRightInd w:val="0"/>
        <w:ind w:left="851"/>
        <w:rPr>
          <w:sz w:val="24"/>
          <w:szCs w:val="24"/>
        </w:rPr>
      </w:pPr>
    </w:p>
    <w:p w:rsidR="00373410" w:rsidRDefault="00373410" w:rsidP="00373410">
      <w:pPr>
        <w:tabs>
          <w:tab w:val="left" w:pos="851"/>
        </w:tabs>
        <w:autoSpaceDE w:val="0"/>
        <w:autoSpaceDN w:val="0"/>
        <w:adjustRightInd w:val="0"/>
        <w:ind w:left="851"/>
        <w:rPr>
          <w:sz w:val="24"/>
          <w:szCs w:val="24"/>
          <w:u w:val="single"/>
        </w:rPr>
      </w:pPr>
      <w:r>
        <w:rPr>
          <w:sz w:val="24"/>
          <w:szCs w:val="24"/>
          <w:u w:val="single"/>
        </w:rPr>
        <w:t>Lever- eller nyreinsufficiens</w:t>
      </w:r>
    </w:p>
    <w:p w:rsidR="007311C1" w:rsidRDefault="007311C1" w:rsidP="007311C1">
      <w:pPr>
        <w:tabs>
          <w:tab w:val="left" w:pos="851"/>
        </w:tabs>
        <w:autoSpaceDE w:val="0"/>
        <w:autoSpaceDN w:val="0"/>
        <w:adjustRightInd w:val="0"/>
        <w:ind w:left="851"/>
        <w:rPr>
          <w:sz w:val="24"/>
          <w:szCs w:val="24"/>
        </w:rPr>
      </w:pPr>
      <w:r>
        <w:rPr>
          <w:sz w:val="24"/>
          <w:szCs w:val="24"/>
        </w:rPr>
        <w:t xml:space="preserve">Ibuprofen bør anvendes med forsigtighed hos patienter med lever- eller nyresygdom i anamnesen, og især under samtidig behandling med </w:t>
      </w:r>
      <w:proofErr w:type="spellStart"/>
      <w:r>
        <w:rPr>
          <w:sz w:val="24"/>
          <w:szCs w:val="24"/>
        </w:rPr>
        <w:t>diuretika</w:t>
      </w:r>
      <w:proofErr w:type="spellEnd"/>
      <w:r>
        <w:rPr>
          <w:sz w:val="24"/>
          <w:szCs w:val="24"/>
        </w:rPr>
        <w:t xml:space="preserve">, idet hæmningen af </w:t>
      </w:r>
      <w:proofErr w:type="spellStart"/>
      <w:r>
        <w:rPr>
          <w:sz w:val="24"/>
          <w:szCs w:val="24"/>
        </w:rPr>
        <w:t>prostaglandiner</w:t>
      </w:r>
      <w:proofErr w:type="spellEnd"/>
      <w:r>
        <w:rPr>
          <w:sz w:val="24"/>
          <w:szCs w:val="24"/>
        </w:rPr>
        <w:t xml:space="preserve"> kan forårsage væskeretention og nedsat nyrefunktion. Hos sådanne patienter bør ibuprofen administreres i den laveste mulige dosis, og patientens nyrefunktion bør monitoreres regelmæssigt. </w:t>
      </w:r>
    </w:p>
    <w:p w:rsidR="007311C1" w:rsidRDefault="007311C1" w:rsidP="007311C1">
      <w:pPr>
        <w:tabs>
          <w:tab w:val="left" w:pos="851"/>
        </w:tabs>
        <w:autoSpaceDE w:val="0"/>
        <w:autoSpaceDN w:val="0"/>
        <w:adjustRightInd w:val="0"/>
        <w:ind w:left="851"/>
        <w:rPr>
          <w:sz w:val="24"/>
          <w:szCs w:val="24"/>
        </w:rPr>
      </w:pPr>
    </w:p>
    <w:p w:rsidR="007311C1" w:rsidRDefault="007311C1" w:rsidP="007311C1">
      <w:pPr>
        <w:tabs>
          <w:tab w:val="left" w:pos="851"/>
        </w:tabs>
        <w:autoSpaceDE w:val="0"/>
        <w:autoSpaceDN w:val="0"/>
        <w:adjustRightInd w:val="0"/>
        <w:ind w:left="851"/>
        <w:rPr>
          <w:sz w:val="24"/>
          <w:szCs w:val="24"/>
        </w:rPr>
      </w:pPr>
      <w:r>
        <w:rPr>
          <w:sz w:val="24"/>
          <w:szCs w:val="24"/>
        </w:rPr>
        <w:t xml:space="preserve">I tilfælde af dehydrering skal det sikres, at patienten får tilstrækkelig væske. Der skal udvises særlig forsigtighed hos patienter, der er dehydrerede, for eksempel på grund af diarré, idet dehydrering kan være en udløsende faktor for udvikling af nyresvigt. </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Regelmæssig brug af </w:t>
      </w:r>
      <w:proofErr w:type="spellStart"/>
      <w:r w:rsidRPr="0090757A">
        <w:rPr>
          <w:sz w:val="24"/>
          <w:szCs w:val="24"/>
        </w:rPr>
        <w:t>analgetika</w:t>
      </w:r>
      <w:proofErr w:type="spellEnd"/>
      <w:r w:rsidRPr="0090757A">
        <w:rPr>
          <w:sz w:val="24"/>
          <w:szCs w:val="24"/>
        </w:rPr>
        <w:t>, især ved kombination af forskellige analgetiske stoffer, kan føre til nyreskade med risiko for nyreinsufficiens (</w:t>
      </w:r>
      <w:proofErr w:type="spellStart"/>
      <w:r w:rsidRPr="0090757A">
        <w:rPr>
          <w:sz w:val="24"/>
          <w:szCs w:val="24"/>
        </w:rPr>
        <w:t>nefropati</w:t>
      </w:r>
      <w:proofErr w:type="spellEnd"/>
      <w:r w:rsidRPr="0090757A">
        <w:rPr>
          <w:sz w:val="24"/>
          <w:szCs w:val="24"/>
        </w:rPr>
        <w:t xml:space="preserve"> forårsaget af </w:t>
      </w:r>
      <w:proofErr w:type="spellStart"/>
      <w:r w:rsidRPr="0090757A">
        <w:rPr>
          <w:sz w:val="24"/>
          <w:szCs w:val="24"/>
        </w:rPr>
        <w:t>analgetika</w:t>
      </w:r>
      <w:proofErr w:type="spellEnd"/>
      <w:r w:rsidRPr="0090757A">
        <w:rPr>
          <w:sz w:val="24"/>
          <w:szCs w:val="24"/>
        </w:rPr>
        <w:t xml:space="preserve">). Denne risiko er højere hos ældre og hos patienter med nyreinsufficiens, hjertesvigt eller </w:t>
      </w:r>
      <w:proofErr w:type="spellStart"/>
      <w:r w:rsidRPr="0090757A">
        <w:rPr>
          <w:sz w:val="24"/>
          <w:szCs w:val="24"/>
        </w:rPr>
        <w:lastRenderedPageBreak/>
        <w:t>hepatisk</w:t>
      </w:r>
      <w:proofErr w:type="spellEnd"/>
      <w:r w:rsidRPr="0090757A">
        <w:rPr>
          <w:sz w:val="24"/>
          <w:szCs w:val="24"/>
        </w:rPr>
        <w:t xml:space="preserve"> dysfunktion og hos patienter, der tager </w:t>
      </w:r>
      <w:proofErr w:type="spellStart"/>
      <w:r w:rsidRPr="0090757A">
        <w:rPr>
          <w:sz w:val="24"/>
          <w:szCs w:val="24"/>
        </w:rPr>
        <w:t>diuretika</w:t>
      </w:r>
      <w:proofErr w:type="spellEnd"/>
      <w:r w:rsidRPr="0090757A">
        <w:rPr>
          <w:sz w:val="24"/>
          <w:szCs w:val="24"/>
        </w:rPr>
        <w:t xml:space="preserve"> eller ACE-</w:t>
      </w:r>
      <w:proofErr w:type="spellStart"/>
      <w:r w:rsidRPr="0090757A">
        <w:rPr>
          <w:sz w:val="24"/>
          <w:szCs w:val="24"/>
        </w:rPr>
        <w:t>hæmmere</w:t>
      </w:r>
      <w:proofErr w:type="spellEnd"/>
      <w:r w:rsidRPr="0090757A">
        <w:rPr>
          <w:sz w:val="24"/>
          <w:szCs w:val="24"/>
        </w:rPr>
        <w:t xml:space="preserve">. Efter </w:t>
      </w:r>
      <w:proofErr w:type="spellStart"/>
      <w:r w:rsidRPr="0090757A">
        <w:rPr>
          <w:sz w:val="24"/>
          <w:szCs w:val="24"/>
        </w:rPr>
        <w:t>seponering</w:t>
      </w:r>
      <w:proofErr w:type="spellEnd"/>
      <w:r w:rsidRPr="0090757A">
        <w:rPr>
          <w:sz w:val="24"/>
          <w:szCs w:val="24"/>
        </w:rPr>
        <w:t xml:space="preserve"> af NSAID-behandlingen vender patientens nyrefunktion som regel tilbage til samme niveau, som inden behandlingen.</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Ligesom andre </w:t>
      </w:r>
      <w:proofErr w:type="spellStart"/>
      <w:r w:rsidRPr="0090757A">
        <w:rPr>
          <w:sz w:val="24"/>
          <w:szCs w:val="24"/>
        </w:rPr>
        <w:t>NSAID’er</w:t>
      </w:r>
      <w:proofErr w:type="spellEnd"/>
      <w:r w:rsidRPr="0090757A">
        <w:rPr>
          <w:sz w:val="24"/>
          <w:szCs w:val="24"/>
        </w:rPr>
        <w:t xml:space="preserve"> kan ibuprofen forårsage lette, forbigående stigninger i visse leverfunktionsparametre og betydelige stigninger i </w:t>
      </w:r>
      <w:proofErr w:type="spellStart"/>
      <w:r w:rsidRPr="0090757A">
        <w:rPr>
          <w:sz w:val="24"/>
          <w:szCs w:val="24"/>
        </w:rPr>
        <w:t>aminotransaminaser</w:t>
      </w:r>
      <w:proofErr w:type="spellEnd"/>
      <w:r w:rsidRPr="0090757A">
        <w:rPr>
          <w:sz w:val="24"/>
          <w:szCs w:val="24"/>
        </w:rPr>
        <w:t>. Hvis der er betydelig stigning i disse parametre, skal behandlingen seponeres (se pkt. 4.3).</w:t>
      </w:r>
    </w:p>
    <w:p w:rsidR="005F0AAF" w:rsidRPr="0090757A" w:rsidRDefault="005F0AAF" w:rsidP="005F0AAF">
      <w:pPr>
        <w:tabs>
          <w:tab w:val="left" w:pos="851"/>
        </w:tabs>
        <w:autoSpaceDE w:val="0"/>
        <w:autoSpaceDN w:val="0"/>
        <w:adjustRightInd w:val="0"/>
        <w:ind w:left="851"/>
        <w:rPr>
          <w:sz w:val="24"/>
          <w:szCs w:val="24"/>
        </w:rPr>
      </w:pPr>
    </w:p>
    <w:p w:rsidR="005F0AAF" w:rsidRPr="00E54BBE" w:rsidRDefault="005F0AAF" w:rsidP="005F0AAF">
      <w:pPr>
        <w:tabs>
          <w:tab w:val="left" w:pos="851"/>
        </w:tabs>
        <w:autoSpaceDE w:val="0"/>
        <w:autoSpaceDN w:val="0"/>
        <w:adjustRightInd w:val="0"/>
        <w:ind w:left="851"/>
        <w:rPr>
          <w:sz w:val="24"/>
          <w:szCs w:val="24"/>
          <w:u w:val="single"/>
        </w:rPr>
      </w:pPr>
      <w:proofErr w:type="spellStart"/>
      <w:r w:rsidRPr="00E54BBE">
        <w:rPr>
          <w:sz w:val="24"/>
          <w:szCs w:val="24"/>
          <w:u w:val="single"/>
        </w:rPr>
        <w:t>Anafylaktoide</w:t>
      </w:r>
      <w:proofErr w:type="spellEnd"/>
      <w:r w:rsidRPr="00E54BBE">
        <w:rPr>
          <w:sz w:val="24"/>
          <w:szCs w:val="24"/>
          <w:u w:val="single"/>
        </w:rPr>
        <w:t xml:space="preserve"> reaktioner</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I forbindelse med intravenøs infusion anbefales det som standardpraksis at overvåge patienten nøje, især i begyndelsen af infusionen, med henblik på detektion af en eventuel </w:t>
      </w:r>
      <w:proofErr w:type="spellStart"/>
      <w:r w:rsidRPr="0090757A">
        <w:rPr>
          <w:sz w:val="24"/>
          <w:szCs w:val="24"/>
        </w:rPr>
        <w:t>anafylaktisk</w:t>
      </w:r>
      <w:proofErr w:type="spellEnd"/>
      <w:r w:rsidRPr="0090757A">
        <w:rPr>
          <w:sz w:val="24"/>
          <w:szCs w:val="24"/>
        </w:rPr>
        <w:t xml:space="preserve"> reaktion over for det aktive stof eller et af hjælpestofferne.</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Alvorlige akutte overfølsomhedsreaktioner (f.eks. </w:t>
      </w:r>
      <w:proofErr w:type="spellStart"/>
      <w:r w:rsidRPr="0090757A">
        <w:rPr>
          <w:sz w:val="24"/>
          <w:szCs w:val="24"/>
        </w:rPr>
        <w:t>anafylaktisk</w:t>
      </w:r>
      <w:proofErr w:type="spellEnd"/>
      <w:r w:rsidRPr="0090757A">
        <w:rPr>
          <w:sz w:val="24"/>
          <w:szCs w:val="24"/>
        </w:rPr>
        <w:t xml:space="preserve"> </w:t>
      </w:r>
      <w:proofErr w:type="spellStart"/>
      <w:r w:rsidRPr="0090757A">
        <w:rPr>
          <w:sz w:val="24"/>
          <w:szCs w:val="24"/>
        </w:rPr>
        <w:t>shock</w:t>
      </w:r>
      <w:proofErr w:type="spellEnd"/>
      <w:r w:rsidRPr="0090757A">
        <w:rPr>
          <w:sz w:val="24"/>
          <w:szCs w:val="24"/>
        </w:rPr>
        <w:t xml:space="preserve">) ses meget sjældent. Ved det første tegn på en overfølsomhedsreaktion efter administration af </w:t>
      </w:r>
      <w:r>
        <w:rPr>
          <w:sz w:val="24"/>
          <w:szCs w:val="24"/>
        </w:rPr>
        <w:t>Ibuprofen "B. Braun"</w:t>
      </w:r>
      <w:r w:rsidRPr="0090757A">
        <w:rPr>
          <w:sz w:val="24"/>
          <w:szCs w:val="24"/>
        </w:rPr>
        <w:t xml:space="preserve"> skal behandlingen stoppes, og der skal iværksættes symptomatisk behandling. Specialuddannet personale skal iværksætte de nødvendige medicinske tiltag med udgangspunkt i symptomerne.</w:t>
      </w:r>
    </w:p>
    <w:p w:rsidR="005F0AAF" w:rsidRPr="0090757A" w:rsidRDefault="005F0AAF" w:rsidP="005F0AAF">
      <w:pPr>
        <w:tabs>
          <w:tab w:val="left" w:pos="851"/>
        </w:tabs>
        <w:autoSpaceDE w:val="0"/>
        <w:autoSpaceDN w:val="0"/>
        <w:adjustRightInd w:val="0"/>
        <w:ind w:left="851"/>
        <w:rPr>
          <w:i/>
          <w:sz w:val="24"/>
          <w:szCs w:val="24"/>
          <w:u w:val="single"/>
        </w:rPr>
      </w:pPr>
    </w:p>
    <w:p w:rsidR="005F0AAF" w:rsidRPr="00E54BBE" w:rsidRDefault="005F0AAF" w:rsidP="005F0AAF">
      <w:pPr>
        <w:tabs>
          <w:tab w:val="left" w:pos="851"/>
        </w:tabs>
        <w:autoSpaceDE w:val="0"/>
        <w:autoSpaceDN w:val="0"/>
        <w:adjustRightInd w:val="0"/>
        <w:ind w:left="851"/>
        <w:rPr>
          <w:sz w:val="24"/>
          <w:szCs w:val="24"/>
          <w:u w:val="single"/>
        </w:rPr>
      </w:pPr>
      <w:r w:rsidRPr="00E54BBE">
        <w:rPr>
          <w:sz w:val="24"/>
          <w:szCs w:val="24"/>
          <w:u w:val="single"/>
        </w:rPr>
        <w:t xml:space="preserve">Luftvejssygdomme </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Der skal udvises forsigtighed, hvis dette lægemiddel administreres til patienter med nuværende eller tidligere bronkial astma, kronisk </w:t>
      </w:r>
      <w:proofErr w:type="spellStart"/>
      <w:r w:rsidRPr="0090757A">
        <w:rPr>
          <w:sz w:val="24"/>
          <w:szCs w:val="24"/>
        </w:rPr>
        <w:t>rhinitis</w:t>
      </w:r>
      <w:proofErr w:type="spellEnd"/>
      <w:r w:rsidRPr="0090757A">
        <w:rPr>
          <w:sz w:val="24"/>
          <w:szCs w:val="24"/>
        </w:rPr>
        <w:t xml:space="preserve"> eller allergiske sygdomme, idet der er indberetninger om, at </w:t>
      </w:r>
      <w:proofErr w:type="spellStart"/>
      <w:r w:rsidRPr="0090757A">
        <w:rPr>
          <w:sz w:val="24"/>
          <w:szCs w:val="24"/>
        </w:rPr>
        <w:t>NSAID’er</w:t>
      </w:r>
      <w:proofErr w:type="spellEnd"/>
      <w:r w:rsidRPr="0090757A">
        <w:rPr>
          <w:sz w:val="24"/>
          <w:szCs w:val="24"/>
        </w:rPr>
        <w:t xml:space="preserve"> har forårsaget </w:t>
      </w:r>
      <w:proofErr w:type="spellStart"/>
      <w:r w:rsidRPr="0090757A">
        <w:rPr>
          <w:sz w:val="24"/>
          <w:szCs w:val="24"/>
        </w:rPr>
        <w:t>bronkospasmer</w:t>
      </w:r>
      <w:proofErr w:type="spellEnd"/>
      <w:r w:rsidRPr="0090757A">
        <w:rPr>
          <w:sz w:val="24"/>
          <w:szCs w:val="24"/>
        </w:rPr>
        <w:t xml:space="preserve">, </w:t>
      </w:r>
      <w:proofErr w:type="spellStart"/>
      <w:r w:rsidRPr="0090757A">
        <w:rPr>
          <w:sz w:val="24"/>
          <w:szCs w:val="24"/>
        </w:rPr>
        <w:t>urticaria</w:t>
      </w:r>
      <w:proofErr w:type="spellEnd"/>
      <w:r w:rsidRPr="0090757A">
        <w:rPr>
          <w:sz w:val="24"/>
          <w:szCs w:val="24"/>
        </w:rPr>
        <w:t xml:space="preserve"> eller </w:t>
      </w:r>
      <w:proofErr w:type="spellStart"/>
      <w:r w:rsidRPr="0090757A">
        <w:rPr>
          <w:sz w:val="24"/>
          <w:szCs w:val="24"/>
        </w:rPr>
        <w:t>angioødem</w:t>
      </w:r>
      <w:proofErr w:type="spellEnd"/>
      <w:r w:rsidRPr="0090757A">
        <w:rPr>
          <w:sz w:val="24"/>
          <w:szCs w:val="24"/>
        </w:rPr>
        <w:t xml:space="preserve"> hos sådanne </w:t>
      </w:r>
      <w:r w:rsidR="00CA0FF6">
        <w:rPr>
          <w:sz w:val="24"/>
          <w:szCs w:val="24"/>
        </w:rPr>
        <w:t>patienter</w:t>
      </w:r>
      <w:r w:rsidR="00D06BDC">
        <w:rPr>
          <w:sz w:val="24"/>
          <w:szCs w:val="24"/>
        </w:rPr>
        <w:t>.</w:t>
      </w:r>
    </w:p>
    <w:p w:rsidR="005F0AAF" w:rsidRPr="0090757A" w:rsidRDefault="005F0AAF" w:rsidP="005F0AAF">
      <w:pPr>
        <w:tabs>
          <w:tab w:val="left" w:pos="851"/>
        </w:tabs>
        <w:autoSpaceDE w:val="0"/>
        <w:autoSpaceDN w:val="0"/>
        <w:adjustRightInd w:val="0"/>
        <w:ind w:left="851"/>
        <w:rPr>
          <w:i/>
          <w:sz w:val="24"/>
          <w:szCs w:val="24"/>
          <w:u w:val="single"/>
        </w:rPr>
      </w:pPr>
    </w:p>
    <w:p w:rsidR="005F0AAF" w:rsidRPr="00E54BBE" w:rsidRDefault="005F0AAF" w:rsidP="005F0AAF">
      <w:pPr>
        <w:tabs>
          <w:tab w:val="left" w:pos="851"/>
        </w:tabs>
        <w:autoSpaceDE w:val="0"/>
        <w:autoSpaceDN w:val="0"/>
        <w:adjustRightInd w:val="0"/>
        <w:ind w:left="851"/>
        <w:rPr>
          <w:sz w:val="24"/>
          <w:szCs w:val="24"/>
          <w:u w:val="single"/>
        </w:rPr>
      </w:pPr>
      <w:r w:rsidRPr="00E54BBE">
        <w:rPr>
          <w:sz w:val="24"/>
          <w:szCs w:val="24"/>
          <w:u w:val="single"/>
        </w:rPr>
        <w:t>Hæmatologiske virkninger</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Ibuprofen kan forårsage midlertidig hæmning af blodpladefunktionen (</w:t>
      </w:r>
      <w:proofErr w:type="spellStart"/>
      <w:r w:rsidRPr="0090757A">
        <w:rPr>
          <w:sz w:val="24"/>
          <w:szCs w:val="24"/>
        </w:rPr>
        <w:t>trombocytaggregation</w:t>
      </w:r>
      <w:proofErr w:type="spellEnd"/>
      <w:r w:rsidRPr="0090757A">
        <w:rPr>
          <w:sz w:val="24"/>
          <w:szCs w:val="24"/>
        </w:rPr>
        <w:t xml:space="preserve">), hvilket forlænger blødningstiden og øger risikoen for blødning. </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Ibuprofen bør kun anvendes med særlig forsigtighed hos patienter, der får acetylsalicylsyre for at hæmme </w:t>
      </w:r>
      <w:proofErr w:type="spellStart"/>
      <w:r w:rsidRPr="0090757A">
        <w:rPr>
          <w:sz w:val="24"/>
          <w:szCs w:val="24"/>
        </w:rPr>
        <w:t>trombocytaggregationen</w:t>
      </w:r>
      <w:proofErr w:type="spellEnd"/>
      <w:r w:rsidRPr="0090757A">
        <w:rPr>
          <w:sz w:val="24"/>
          <w:szCs w:val="24"/>
        </w:rPr>
        <w:t xml:space="preserve"> (se pkt. 4.5 og 5.1).</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CA0FF6" w:rsidP="005F0AAF">
      <w:pPr>
        <w:tabs>
          <w:tab w:val="left" w:pos="851"/>
        </w:tabs>
        <w:autoSpaceDE w:val="0"/>
        <w:autoSpaceDN w:val="0"/>
        <w:adjustRightInd w:val="0"/>
        <w:ind w:left="851"/>
        <w:rPr>
          <w:sz w:val="24"/>
          <w:szCs w:val="24"/>
        </w:rPr>
      </w:pPr>
      <w:r>
        <w:rPr>
          <w:sz w:val="24"/>
          <w:szCs w:val="24"/>
        </w:rPr>
        <w:t>Patienter med koagulationsforstyrrelser eller patienter, der gennemgår kirurgi, skal derfor monitoreres. Der skal udvises særlig forsigtighed i forbindelse med brug umiddelbart efter større kirurgiske indgreb</w:t>
      </w:r>
    </w:p>
    <w:p w:rsidR="005F0AAF" w:rsidRPr="0090757A" w:rsidRDefault="005F0AAF" w:rsidP="005F0AAF">
      <w:pPr>
        <w:tabs>
          <w:tab w:val="left" w:pos="851"/>
        </w:tabs>
        <w:autoSpaceDE w:val="0"/>
        <w:autoSpaceDN w:val="0"/>
        <w:adjustRightInd w:val="0"/>
        <w:ind w:left="851" w:right="-1"/>
        <w:rPr>
          <w:sz w:val="24"/>
          <w:szCs w:val="24"/>
        </w:rPr>
      </w:pPr>
    </w:p>
    <w:p w:rsidR="005F0AAF" w:rsidRPr="0090757A" w:rsidRDefault="005F0AAF" w:rsidP="005F0AAF">
      <w:pPr>
        <w:tabs>
          <w:tab w:val="left" w:pos="851"/>
        </w:tabs>
        <w:autoSpaceDE w:val="0"/>
        <w:autoSpaceDN w:val="0"/>
        <w:adjustRightInd w:val="0"/>
        <w:ind w:left="851" w:right="-1"/>
        <w:rPr>
          <w:sz w:val="24"/>
          <w:szCs w:val="24"/>
        </w:rPr>
      </w:pPr>
      <w:r w:rsidRPr="0090757A">
        <w:rPr>
          <w:sz w:val="24"/>
          <w:szCs w:val="24"/>
        </w:rPr>
        <w:t>Under længerevarende administration af ibuprofen skal der udføres regelmæssig kontrol af leverværdier, nyrefunktion og blodtællinger.</w:t>
      </w:r>
    </w:p>
    <w:p w:rsidR="005F0AAF" w:rsidRPr="0090757A" w:rsidRDefault="005F0AAF" w:rsidP="005F0AAF">
      <w:pPr>
        <w:tabs>
          <w:tab w:val="left" w:pos="851"/>
        </w:tabs>
        <w:autoSpaceDE w:val="0"/>
        <w:autoSpaceDN w:val="0"/>
        <w:adjustRightInd w:val="0"/>
        <w:ind w:left="851" w:right="-1"/>
        <w:rPr>
          <w:sz w:val="24"/>
          <w:szCs w:val="24"/>
        </w:rPr>
      </w:pPr>
    </w:p>
    <w:p w:rsidR="005F0AAF" w:rsidRPr="0090757A" w:rsidRDefault="005F0AAF" w:rsidP="005F0AAF">
      <w:pPr>
        <w:tabs>
          <w:tab w:val="left" w:pos="851"/>
        </w:tabs>
        <w:autoSpaceDE w:val="0"/>
        <w:autoSpaceDN w:val="0"/>
        <w:adjustRightInd w:val="0"/>
        <w:ind w:left="851" w:right="-1"/>
        <w:rPr>
          <w:sz w:val="24"/>
          <w:szCs w:val="24"/>
        </w:rPr>
      </w:pPr>
      <w:r w:rsidRPr="0090757A">
        <w:rPr>
          <w:sz w:val="24"/>
          <w:szCs w:val="24"/>
        </w:rPr>
        <w:t xml:space="preserve">Ibuprofen bør kun anvendes efter nøje vurdering af fordele/risici hos patienter med arvelige forstyrrelser i </w:t>
      </w:r>
      <w:proofErr w:type="spellStart"/>
      <w:r w:rsidRPr="0090757A">
        <w:rPr>
          <w:sz w:val="24"/>
          <w:szCs w:val="24"/>
        </w:rPr>
        <w:t>porfyrinmetabolismen</w:t>
      </w:r>
      <w:proofErr w:type="spellEnd"/>
      <w:r w:rsidRPr="0090757A">
        <w:rPr>
          <w:sz w:val="24"/>
          <w:szCs w:val="24"/>
        </w:rPr>
        <w:t xml:space="preserve"> (f.eks. akut intermitterende </w:t>
      </w:r>
      <w:proofErr w:type="spellStart"/>
      <w:r w:rsidRPr="0090757A">
        <w:rPr>
          <w:sz w:val="24"/>
          <w:szCs w:val="24"/>
        </w:rPr>
        <w:t>porfyri</w:t>
      </w:r>
      <w:proofErr w:type="spellEnd"/>
      <w:r w:rsidRPr="0090757A">
        <w:rPr>
          <w:sz w:val="24"/>
          <w:szCs w:val="24"/>
        </w:rPr>
        <w:t>).</w:t>
      </w:r>
    </w:p>
    <w:p w:rsidR="005F0AAF" w:rsidRPr="0090757A" w:rsidRDefault="005F0AAF" w:rsidP="005F0AAF">
      <w:pPr>
        <w:tabs>
          <w:tab w:val="left" w:pos="851"/>
        </w:tabs>
        <w:autoSpaceDE w:val="0"/>
        <w:autoSpaceDN w:val="0"/>
        <w:adjustRightInd w:val="0"/>
        <w:ind w:left="851" w:right="-1"/>
        <w:rPr>
          <w:sz w:val="24"/>
          <w:szCs w:val="24"/>
        </w:rPr>
      </w:pPr>
    </w:p>
    <w:p w:rsidR="005F0AAF" w:rsidRPr="0090757A" w:rsidRDefault="005F0AAF" w:rsidP="005F0AAF">
      <w:pPr>
        <w:tabs>
          <w:tab w:val="left" w:pos="851"/>
        </w:tabs>
        <w:autoSpaceDE w:val="0"/>
        <w:autoSpaceDN w:val="0"/>
        <w:adjustRightInd w:val="0"/>
        <w:ind w:left="851" w:right="-1"/>
        <w:rPr>
          <w:sz w:val="24"/>
          <w:szCs w:val="24"/>
        </w:rPr>
      </w:pPr>
      <w:r w:rsidRPr="0090757A">
        <w:rPr>
          <w:sz w:val="24"/>
          <w:szCs w:val="24"/>
        </w:rPr>
        <w:t xml:space="preserve">Ved samtidig indtag af alkohol og </w:t>
      </w:r>
      <w:proofErr w:type="spellStart"/>
      <w:r w:rsidRPr="0090757A">
        <w:rPr>
          <w:sz w:val="24"/>
          <w:szCs w:val="24"/>
        </w:rPr>
        <w:t>NSAID’er</w:t>
      </w:r>
      <w:proofErr w:type="spellEnd"/>
      <w:r w:rsidRPr="0090757A">
        <w:rPr>
          <w:sz w:val="24"/>
          <w:szCs w:val="24"/>
        </w:rPr>
        <w:t xml:space="preserve"> kan bivirkninger relateret til det aktive stof øges, især bivirkninger, der berører mave-tarm-kanalen eller centralnervesystemet.</w:t>
      </w:r>
    </w:p>
    <w:p w:rsidR="005F0AAF" w:rsidRPr="0090757A" w:rsidRDefault="005F0AAF" w:rsidP="005F0AAF">
      <w:pPr>
        <w:tabs>
          <w:tab w:val="left" w:pos="851"/>
        </w:tabs>
        <w:autoSpaceDE w:val="0"/>
        <w:autoSpaceDN w:val="0"/>
        <w:adjustRightInd w:val="0"/>
        <w:ind w:left="851" w:right="-1"/>
        <w:rPr>
          <w:sz w:val="24"/>
          <w:szCs w:val="24"/>
        </w:rPr>
      </w:pPr>
    </w:p>
    <w:p w:rsidR="005F0AAF" w:rsidRPr="0090757A" w:rsidRDefault="005F0AAF" w:rsidP="005F0AAF">
      <w:pPr>
        <w:tabs>
          <w:tab w:val="left" w:pos="851"/>
        </w:tabs>
        <w:autoSpaceDE w:val="0"/>
        <w:autoSpaceDN w:val="0"/>
        <w:adjustRightInd w:val="0"/>
        <w:ind w:left="851" w:right="-1"/>
        <w:rPr>
          <w:sz w:val="24"/>
          <w:szCs w:val="24"/>
        </w:rPr>
      </w:pPr>
      <w:r w:rsidRPr="0090757A">
        <w:rPr>
          <w:sz w:val="24"/>
          <w:szCs w:val="24"/>
        </w:rPr>
        <w:t>Der skal udvises forsigtighed hos patienter med visse tilstande, som kan forværres:</w:t>
      </w:r>
    </w:p>
    <w:p w:rsidR="005F0AAF" w:rsidRPr="0090757A" w:rsidRDefault="005F0AAF" w:rsidP="005F0AAF">
      <w:pPr>
        <w:numPr>
          <w:ilvl w:val="0"/>
          <w:numId w:val="8"/>
        </w:numPr>
        <w:tabs>
          <w:tab w:val="left" w:pos="1134"/>
        </w:tabs>
        <w:autoSpaceDE w:val="0"/>
        <w:autoSpaceDN w:val="0"/>
        <w:adjustRightInd w:val="0"/>
        <w:ind w:left="1134" w:right="-1" w:hanging="283"/>
        <w:rPr>
          <w:sz w:val="24"/>
          <w:szCs w:val="24"/>
        </w:rPr>
      </w:pPr>
      <w:r w:rsidRPr="0090757A">
        <w:rPr>
          <w:sz w:val="24"/>
          <w:szCs w:val="24"/>
        </w:rPr>
        <w:t>Hos patienter, der reagerer allergisk på andre stoffer, da de også har en øget risiko for at få overfølsomhedsreaktioner ved brug af dette lægemiddel.</w:t>
      </w:r>
    </w:p>
    <w:p w:rsidR="005F0AAF" w:rsidRDefault="005F0AAF" w:rsidP="005F0AAF">
      <w:pPr>
        <w:numPr>
          <w:ilvl w:val="0"/>
          <w:numId w:val="8"/>
        </w:numPr>
        <w:tabs>
          <w:tab w:val="left" w:pos="1134"/>
        </w:tabs>
        <w:autoSpaceDE w:val="0"/>
        <w:autoSpaceDN w:val="0"/>
        <w:adjustRightInd w:val="0"/>
        <w:ind w:left="1134" w:right="-1" w:hanging="283"/>
        <w:rPr>
          <w:sz w:val="24"/>
          <w:szCs w:val="24"/>
        </w:rPr>
      </w:pPr>
      <w:r w:rsidRPr="0090757A">
        <w:rPr>
          <w:sz w:val="24"/>
          <w:szCs w:val="24"/>
        </w:rPr>
        <w:t xml:space="preserve">Hos patienter, der lider af høfeber, næsepolypper eller kronisk obstruktive luftvejssygdomme, da de har en øget risiko for at få en allergisk reaktion. Disse </w:t>
      </w:r>
      <w:r w:rsidRPr="0090757A">
        <w:rPr>
          <w:sz w:val="24"/>
          <w:szCs w:val="24"/>
        </w:rPr>
        <w:lastRenderedPageBreak/>
        <w:t xml:space="preserve">reaktioner kan vise sig som astmaanfald (astma forårsaget af </w:t>
      </w:r>
      <w:proofErr w:type="spellStart"/>
      <w:r w:rsidRPr="0090757A">
        <w:rPr>
          <w:sz w:val="24"/>
          <w:szCs w:val="24"/>
        </w:rPr>
        <w:t>analgetika</w:t>
      </w:r>
      <w:proofErr w:type="spellEnd"/>
      <w:r w:rsidRPr="0090757A">
        <w:rPr>
          <w:sz w:val="24"/>
          <w:szCs w:val="24"/>
        </w:rPr>
        <w:t xml:space="preserve">), </w:t>
      </w:r>
      <w:proofErr w:type="spellStart"/>
      <w:r w:rsidRPr="0090757A">
        <w:rPr>
          <w:sz w:val="24"/>
          <w:szCs w:val="24"/>
        </w:rPr>
        <w:t>Quinckes</w:t>
      </w:r>
      <w:proofErr w:type="spellEnd"/>
      <w:r w:rsidRPr="0090757A">
        <w:rPr>
          <w:sz w:val="24"/>
          <w:szCs w:val="24"/>
        </w:rPr>
        <w:t xml:space="preserve"> ødem eller </w:t>
      </w:r>
      <w:proofErr w:type="spellStart"/>
      <w:r w:rsidRPr="0090757A">
        <w:rPr>
          <w:sz w:val="24"/>
          <w:szCs w:val="24"/>
        </w:rPr>
        <w:t>urticaria</w:t>
      </w:r>
      <w:proofErr w:type="spellEnd"/>
      <w:r w:rsidRPr="0090757A">
        <w:rPr>
          <w:sz w:val="24"/>
          <w:szCs w:val="24"/>
        </w:rPr>
        <w:t>.</w:t>
      </w:r>
    </w:p>
    <w:p w:rsidR="000B7C24" w:rsidRDefault="000B7C24">
      <w:pPr>
        <w:rPr>
          <w:sz w:val="24"/>
          <w:szCs w:val="24"/>
          <w:u w:val="single"/>
        </w:rPr>
      </w:pPr>
    </w:p>
    <w:p w:rsidR="005F0AAF" w:rsidRPr="00E54BBE" w:rsidRDefault="005F0AAF" w:rsidP="005F0AAF">
      <w:pPr>
        <w:tabs>
          <w:tab w:val="left" w:pos="851"/>
        </w:tabs>
        <w:autoSpaceDE w:val="0"/>
        <w:autoSpaceDN w:val="0"/>
        <w:adjustRightInd w:val="0"/>
        <w:ind w:left="851" w:right="-1"/>
        <w:rPr>
          <w:sz w:val="24"/>
          <w:szCs w:val="24"/>
          <w:u w:val="single"/>
        </w:rPr>
      </w:pPr>
      <w:r w:rsidRPr="00E54BBE">
        <w:rPr>
          <w:sz w:val="24"/>
          <w:szCs w:val="24"/>
          <w:u w:val="single"/>
        </w:rPr>
        <w:t>Aseptisk meningitis</w:t>
      </w:r>
    </w:p>
    <w:p w:rsidR="005F0AAF" w:rsidRPr="0090757A" w:rsidRDefault="005F0AAF" w:rsidP="005F0AAF">
      <w:pPr>
        <w:tabs>
          <w:tab w:val="left" w:pos="851"/>
        </w:tabs>
        <w:autoSpaceDE w:val="0"/>
        <w:autoSpaceDN w:val="0"/>
        <w:adjustRightInd w:val="0"/>
        <w:ind w:left="851" w:right="-1"/>
        <w:rPr>
          <w:sz w:val="24"/>
          <w:szCs w:val="24"/>
        </w:rPr>
      </w:pPr>
      <w:r w:rsidRPr="0090757A">
        <w:rPr>
          <w:sz w:val="24"/>
          <w:szCs w:val="24"/>
        </w:rPr>
        <w:t xml:space="preserve">Der er rapporteret om tilfælde af aseptisk meningitis i forbindelse med brug af ibuprofen hos patienter med systemisk lupus </w:t>
      </w:r>
      <w:proofErr w:type="spellStart"/>
      <w:r w:rsidRPr="0090757A">
        <w:rPr>
          <w:sz w:val="24"/>
          <w:szCs w:val="24"/>
        </w:rPr>
        <w:t>erythematosus</w:t>
      </w:r>
      <w:proofErr w:type="spellEnd"/>
      <w:r w:rsidRPr="0090757A">
        <w:rPr>
          <w:sz w:val="24"/>
          <w:szCs w:val="24"/>
        </w:rPr>
        <w:t xml:space="preserve"> (SLE). Selvom der er større sandsynlighed for, at dette indtræder hos patienter med SLE og relaterede bindevævssygdomme, er der også rapporteret om tilfælde hos patienter, som ikke havde nogen underliggende kronisk sygdom. Dette skal derfor tages i betragtning ved administration af denne behandling (se pkt. 4.8).</w:t>
      </w:r>
    </w:p>
    <w:p w:rsidR="005F0AAF" w:rsidRPr="0090757A" w:rsidRDefault="005F0AAF" w:rsidP="005F0AAF">
      <w:pPr>
        <w:tabs>
          <w:tab w:val="left" w:pos="851"/>
        </w:tabs>
        <w:autoSpaceDE w:val="0"/>
        <w:autoSpaceDN w:val="0"/>
        <w:adjustRightInd w:val="0"/>
        <w:ind w:left="851" w:right="-1"/>
        <w:rPr>
          <w:sz w:val="24"/>
          <w:szCs w:val="24"/>
        </w:rPr>
      </w:pPr>
    </w:p>
    <w:p w:rsidR="005C1DF6" w:rsidRDefault="005C1DF6" w:rsidP="005C1DF6">
      <w:pPr>
        <w:tabs>
          <w:tab w:val="left" w:pos="851"/>
        </w:tabs>
        <w:autoSpaceDE w:val="0"/>
        <w:autoSpaceDN w:val="0"/>
        <w:adjustRightInd w:val="0"/>
        <w:ind w:left="851" w:right="-1"/>
        <w:rPr>
          <w:sz w:val="24"/>
          <w:szCs w:val="24"/>
          <w:u w:val="single"/>
        </w:rPr>
      </w:pPr>
      <w:r>
        <w:rPr>
          <w:sz w:val="24"/>
          <w:szCs w:val="24"/>
          <w:u w:val="single"/>
        </w:rPr>
        <w:t>Oftalmologiske virkninger</w:t>
      </w:r>
    </w:p>
    <w:p w:rsidR="005C1DF6" w:rsidRDefault="005C1DF6" w:rsidP="005C1DF6">
      <w:pPr>
        <w:tabs>
          <w:tab w:val="left" w:pos="851"/>
        </w:tabs>
        <w:autoSpaceDE w:val="0"/>
        <w:autoSpaceDN w:val="0"/>
        <w:adjustRightInd w:val="0"/>
        <w:ind w:left="851" w:right="-1"/>
        <w:rPr>
          <w:sz w:val="24"/>
          <w:szCs w:val="24"/>
        </w:rPr>
      </w:pPr>
      <w:r>
        <w:rPr>
          <w:sz w:val="24"/>
          <w:szCs w:val="24"/>
        </w:rPr>
        <w:t xml:space="preserve">Der er rapporteret om sløret eller nedsat syn, </w:t>
      </w:r>
      <w:proofErr w:type="spellStart"/>
      <w:r>
        <w:rPr>
          <w:sz w:val="24"/>
          <w:szCs w:val="24"/>
        </w:rPr>
        <w:t>skotom</w:t>
      </w:r>
      <w:proofErr w:type="spellEnd"/>
      <w:r>
        <w:rPr>
          <w:sz w:val="24"/>
          <w:szCs w:val="24"/>
        </w:rPr>
        <w:t xml:space="preserve"> og ændringer i farvesynet i forbindelse med oral ibuprofen. Ibuprofen skal seponeres, hvis patienten får sådanne gener, og patienten skal henvises til en oftalmologisk undersøgelse, herunder test af centralt synsfelt og farvesyn.</w:t>
      </w:r>
    </w:p>
    <w:p w:rsidR="005C1DF6" w:rsidRDefault="005C1DF6" w:rsidP="005C1DF6">
      <w:pPr>
        <w:tabs>
          <w:tab w:val="left" w:pos="851"/>
        </w:tabs>
        <w:autoSpaceDE w:val="0"/>
        <w:autoSpaceDN w:val="0"/>
        <w:adjustRightInd w:val="0"/>
        <w:ind w:left="851" w:right="-1"/>
        <w:rPr>
          <w:sz w:val="24"/>
          <w:szCs w:val="24"/>
        </w:rPr>
      </w:pPr>
    </w:p>
    <w:p w:rsidR="005C1DF6" w:rsidRDefault="005C1DF6" w:rsidP="005C1DF6">
      <w:pPr>
        <w:tabs>
          <w:tab w:val="left" w:pos="851"/>
        </w:tabs>
        <w:autoSpaceDE w:val="0"/>
        <w:autoSpaceDN w:val="0"/>
        <w:adjustRightInd w:val="0"/>
        <w:ind w:left="851" w:right="-1"/>
        <w:rPr>
          <w:sz w:val="24"/>
          <w:szCs w:val="24"/>
          <w:u w:val="single"/>
        </w:rPr>
      </w:pPr>
      <w:r>
        <w:rPr>
          <w:sz w:val="24"/>
          <w:szCs w:val="24"/>
          <w:u w:val="single"/>
        </w:rPr>
        <w:t>Andre virkninger</w:t>
      </w:r>
    </w:p>
    <w:p w:rsidR="005C1DF6" w:rsidRDefault="005C1DF6" w:rsidP="005C1DF6">
      <w:pPr>
        <w:tabs>
          <w:tab w:val="left" w:pos="851"/>
        </w:tabs>
        <w:autoSpaceDE w:val="0"/>
        <w:autoSpaceDN w:val="0"/>
        <w:adjustRightInd w:val="0"/>
        <w:ind w:left="851" w:right="-1"/>
        <w:rPr>
          <w:sz w:val="24"/>
          <w:szCs w:val="24"/>
        </w:rPr>
      </w:pPr>
      <w:r>
        <w:rPr>
          <w:sz w:val="24"/>
          <w:szCs w:val="24"/>
        </w:rPr>
        <w:t>Længerevarende brug af smertestillende midler kan forårsage hovedpine, som ikke må behandles med øgede doser af lægemidlet.</w:t>
      </w:r>
    </w:p>
    <w:p w:rsidR="005C1DF6" w:rsidRDefault="005C1DF6" w:rsidP="005C1DF6">
      <w:pPr>
        <w:tabs>
          <w:tab w:val="left" w:pos="851"/>
        </w:tabs>
        <w:autoSpaceDE w:val="0"/>
        <w:autoSpaceDN w:val="0"/>
        <w:adjustRightInd w:val="0"/>
        <w:ind w:left="851" w:right="-1"/>
        <w:rPr>
          <w:sz w:val="24"/>
          <w:szCs w:val="24"/>
        </w:rPr>
      </w:pPr>
    </w:p>
    <w:p w:rsidR="005C1DF6" w:rsidRDefault="005C1DF6" w:rsidP="005C1DF6">
      <w:pPr>
        <w:tabs>
          <w:tab w:val="left" w:pos="851"/>
        </w:tabs>
        <w:autoSpaceDE w:val="0"/>
        <w:autoSpaceDN w:val="0"/>
        <w:adjustRightInd w:val="0"/>
        <w:ind w:left="851"/>
        <w:rPr>
          <w:sz w:val="24"/>
          <w:szCs w:val="24"/>
        </w:rPr>
      </w:pPr>
      <w:r>
        <w:rPr>
          <w:sz w:val="24"/>
          <w:szCs w:val="24"/>
        </w:rPr>
        <w:t xml:space="preserve">I enkeltstående tilfælde kan </w:t>
      </w:r>
      <w:proofErr w:type="spellStart"/>
      <w:r>
        <w:rPr>
          <w:sz w:val="24"/>
          <w:szCs w:val="24"/>
        </w:rPr>
        <w:t>varicella</w:t>
      </w:r>
      <w:proofErr w:type="spellEnd"/>
      <w:r>
        <w:rPr>
          <w:sz w:val="24"/>
          <w:szCs w:val="24"/>
        </w:rPr>
        <w:t xml:space="preserve"> forårsage alvorlige infektiøse komplikationer i hud og bløddele. Det kan til dato ikke udelukkes, at </w:t>
      </w:r>
      <w:proofErr w:type="spellStart"/>
      <w:r>
        <w:rPr>
          <w:sz w:val="24"/>
          <w:szCs w:val="24"/>
        </w:rPr>
        <w:t>NSAID’er</w:t>
      </w:r>
      <w:proofErr w:type="spellEnd"/>
      <w:r>
        <w:rPr>
          <w:sz w:val="24"/>
          <w:szCs w:val="24"/>
        </w:rPr>
        <w:t xml:space="preserve"> bidrager til forværring af sådanne infektioner. Det tilrådes derfor at undgå brug af Ibuprofen "B. Braun" i tilfælde af </w:t>
      </w:r>
      <w:proofErr w:type="spellStart"/>
      <w:r>
        <w:rPr>
          <w:sz w:val="24"/>
          <w:szCs w:val="24"/>
        </w:rPr>
        <w:t>varicella</w:t>
      </w:r>
      <w:proofErr w:type="spellEnd"/>
      <w:r>
        <w:rPr>
          <w:sz w:val="24"/>
          <w:szCs w:val="24"/>
        </w:rPr>
        <w:t>.</w:t>
      </w:r>
    </w:p>
    <w:p w:rsidR="005C1DF6" w:rsidRDefault="005C1DF6" w:rsidP="005C1DF6">
      <w:pPr>
        <w:tabs>
          <w:tab w:val="left" w:pos="851"/>
        </w:tabs>
        <w:autoSpaceDE w:val="0"/>
        <w:autoSpaceDN w:val="0"/>
        <w:adjustRightInd w:val="0"/>
        <w:ind w:left="851"/>
        <w:rPr>
          <w:sz w:val="24"/>
          <w:szCs w:val="24"/>
        </w:rPr>
      </w:pPr>
    </w:p>
    <w:p w:rsidR="005C1DF6" w:rsidRDefault="005C1DF6" w:rsidP="005C1DF6">
      <w:pPr>
        <w:tabs>
          <w:tab w:val="left" w:pos="851"/>
        </w:tabs>
        <w:autoSpaceDE w:val="0"/>
        <w:autoSpaceDN w:val="0"/>
        <w:adjustRightInd w:val="0"/>
        <w:ind w:left="851"/>
        <w:rPr>
          <w:sz w:val="24"/>
          <w:szCs w:val="24"/>
          <w:u w:val="single"/>
        </w:rPr>
      </w:pPr>
      <w:r>
        <w:rPr>
          <w:sz w:val="24"/>
          <w:szCs w:val="24"/>
          <w:u w:val="single"/>
        </w:rPr>
        <w:t>Maskering af symptomer på underliggende infektioner</w:t>
      </w:r>
    </w:p>
    <w:p w:rsidR="005C1DF6" w:rsidRDefault="005C1DF6" w:rsidP="005C1DF6">
      <w:pPr>
        <w:tabs>
          <w:tab w:val="left" w:pos="851"/>
        </w:tabs>
        <w:autoSpaceDE w:val="0"/>
        <w:autoSpaceDN w:val="0"/>
        <w:adjustRightInd w:val="0"/>
        <w:ind w:left="851"/>
        <w:rPr>
          <w:sz w:val="24"/>
          <w:szCs w:val="24"/>
        </w:rPr>
      </w:pPr>
      <w:r>
        <w:rPr>
          <w:sz w:val="24"/>
          <w:szCs w:val="24"/>
        </w:rPr>
        <w:t xml:space="preserve">Ibuprofen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Pr>
          <w:sz w:val="24"/>
          <w:szCs w:val="24"/>
        </w:rPr>
        <w:t>varicella</w:t>
      </w:r>
      <w:proofErr w:type="spellEnd"/>
      <w:r>
        <w:rPr>
          <w:sz w:val="24"/>
          <w:szCs w:val="24"/>
        </w:rPr>
        <w:t>. Når ibuprofen gives som feber- eller smertestillende middel i forbindelse med infektion, bør infektionen overvåges. Hvis patienten ikke er indlagt på hospital, bør vedkommende kontakte sin læge, hvis symptomerne varer ved eller forværres.</w:t>
      </w:r>
    </w:p>
    <w:p w:rsidR="005C1DF6" w:rsidRDefault="005C1DF6" w:rsidP="005C1DF6">
      <w:pPr>
        <w:tabs>
          <w:tab w:val="left" w:pos="851"/>
        </w:tabs>
        <w:autoSpaceDE w:val="0"/>
        <w:autoSpaceDN w:val="0"/>
        <w:adjustRightInd w:val="0"/>
        <w:ind w:left="851"/>
        <w:rPr>
          <w:sz w:val="24"/>
          <w:szCs w:val="24"/>
        </w:rPr>
      </w:pPr>
    </w:p>
    <w:p w:rsidR="00CA0FF6" w:rsidRDefault="00CA0FF6" w:rsidP="00CA0FF6">
      <w:pPr>
        <w:tabs>
          <w:tab w:val="left" w:pos="851"/>
        </w:tabs>
        <w:autoSpaceDE w:val="0"/>
        <w:autoSpaceDN w:val="0"/>
        <w:adjustRightInd w:val="0"/>
        <w:ind w:left="851"/>
        <w:rPr>
          <w:sz w:val="24"/>
          <w:szCs w:val="24"/>
        </w:rPr>
      </w:pPr>
      <w:r>
        <w:rPr>
          <w:sz w:val="24"/>
          <w:szCs w:val="24"/>
          <w:u w:val="single"/>
        </w:rPr>
        <w:t>Interferens med analytiske tests</w:t>
      </w:r>
    </w:p>
    <w:p w:rsidR="00CA0FF6" w:rsidRDefault="00CA0FF6" w:rsidP="00CA0FF6">
      <w:pPr>
        <w:pStyle w:val="Listeafsnit"/>
        <w:numPr>
          <w:ilvl w:val="0"/>
          <w:numId w:val="11"/>
        </w:numPr>
        <w:tabs>
          <w:tab w:val="left" w:pos="1134"/>
        </w:tabs>
        <w:autoSpaceDE w:val="0"/>
        <w:autoSpaceDN w:val="0"/>
        <w:adjustRightInd w:val="0"/>
        <w:spacing w:line="240" w:lineRule="auto"/>
        <w:jc w:val="left"/>
        <w:rPr>
          <w:rFonts w:ascii="Times New Roman" w:hAnsi="Times New Roman"/>
          <w:sz w:val="24"/>
          <w:szCs w:val="24"/>
        </w:rPr>
      </w:pPr>
      <w:r>
        <w:rPr>
          <w:rFonts w:ascii="Times New Roman" w:hAnsi="Times New Roman"/>
          <w:sz w:val="24"/>
          <w:szCs w:val="24"/>
        </w:rPr>
        <w:t xml:space="preserve">blødningstid (kan være forlænget en dag efter </w:t>
      </w:r>
      <w:proofErr w:type="spellStart"/>
      <w:r>
        <w:rPr>
          <w:rFonts w:ascii="Times New Roman" w:hAnsi="Times New Roman"/>
          <w:sz w:val="24"/>
          <w:szCs w:val="24"/>
        </w:rPr>
        <w:t>seponering</w:t>
      </w:r>
      <w:proofErr w:type="spellEnd"/>
      <w:r>
        <w:rPr>
          <w:rFonts w:ascii="Times New Roman" w:hAnsi="Times New Roman"/>
          <w:sz w:val="24"/>
          <w:szCs w:val="24"/>
        </w:rPr>
        <w:t xml:space="preserve"> af behandlingen)</w:t>
      </w:r>
    </w:p>
    <w:p w:rsidR="00CA0FF6" w:rsidRDefault="00CA0FF6" w:rsidP="00CA0FF6">
      <w:pPr>
        <w:pStyle w:val="Listeafsnit"/>
        <w:numPr>
          <w:ilvl w:val="0"/>
          <w:numId w:val="11"/>
        </w:numPr>
        <w:tabs>
          <w:tab w:val="left" w:pos="1134"/>
        </w:tabs>
        <w:autoSpaceDE w:val="0"/>
        <w:autoSpaceDN w:val="0"/>
        <w:adjustRightInd w:val="0"/>
        <w:spacing w:line="240" w:lineRule="auto"/>
        <w:jc w:val="left"/>
        <w:rPr>
          <w:rFonts w:ascii="Times New Roman" w:hAnsi="Times New Roman"/>
          <w:sz w:val="24"/>
          <w:szCs w:val="24"/>
        </w:rPr>
      </w:pPr>
      <w:proofErr w:type="spellStart"/>
      <w:r>
        <w:rPr>
          <w:rFonts w:ascii="Times New Roman" w:hAnsi="Times New Roman"/>
          <w:sz w:val="24"/>
          <w:szCs w:val="24"/>
        </w:rPr>
        <w:t>blodglucosekoncentration</w:t>
      </w:r>
      <w:proofErr w:type="spellEnd"/>
      <w:r>
        <w:rPr>
          <w:rFonts w:ascii="Times New Roman" w:hAnsi="Times New Roman"/>
          <w:sz w:val="24"/>
          <w:szCs w:val="24"/>
        </w:rPr>
        <w:t xml:space="preserve"> (kan falde)</w:t>
      </w:r>
    </w:p>
    <w:p w:rsidR="00CA0FF6" w:rsidRDefault="00CA0FF6" w:rsidP="00CA0FF6">
      <w:pPr>
        <w:pStyle w:val="Listeafsnit"/>
        <w:numPr>
          <w:ilvl w:val="0"/>
          <w:numId w:val="11"/>
        </w:numPr>
        <w:tabs>
          <w:tab w:val="left" w:pos="1134"/>
        </w:tabs>
        <w:autoSpaceDE w:val="0"/>
        <w:autoSpaceDN w:val="0"/>
        <w:adjustRightInd w:val="0"/>
        <w:spacing w:line="240" w:lineRule="auto"/>
        <w:jc w:val="left"/>
        <w:rPr>
          <w:rFonts w:ascii="Times New Roman" w:hAnsi="Times New Roman"/>
          <w:sz w:val="24"/>
          <w:szCs w:val="24"/>
        </w:rPr>
      </w:pPr>
      <w:proofErr w:type="spellStart"/>
      <w:r>
        <w:rPr>
          <w:rFonts w:ascii="Times New Roman" w:hAnsi="Times New Roman"/>
          <w:sz w:val="24"/>
          <w:szCs w:val="24"/>
        </w:rPr>
        <w:t>kreatininclearance</w:t>
      </w:r>
      <w:proofErr w:type="spellEnd"/>
      <w:r>
        <w:rPr>
          <w:rFonts w:ascii="Times New Roman" w:hAnsi="Times New Roman"/>
          <w:sz w:val="24"/>
          <w:szCs w:val="24"/>
        </w:rPr>
        <w:t xml:space="preserve"> (kan falde)</w:t>
      </w:r>
    </w:p>
    <w:p w:rsidR="00CA0FF6" w:rsidRDefault="00CA0FF6" w:rsidP="00CA0FF6">
      <w:pPr>
        <w:pStyle w:val="Listeafsnit"/>
        <w:numPr>
          <w:ilvl w:val="0"/>
          <w:numId w:val="11"/>
        </w:numPr>
        <w:tabs>
          <w:tab w:val="left" w:pos="1134"/>
        </w:tabs>
        <w:autoSpaceDE w:val="0"/>
        <w:autoSpaceDN w:val="0"/>
        <w:adjustRightInd w:val="0"/>
        <w:spacing w:line="240" w:lineRule="auto"/>
        <w:jc w:val="left"/>
        <w:rPr>
          <w:rFonts w:ascii="Times New Roman" w:hAnsi="Times New Roman"/>
          <w:sz w:val="24"/>
          <w:szCs w:val="24"/>
        </w:rPr>
      </w:pPr>
      <w:r>
        <w:rPr>
          <w:rFonts w:ascii="Times New Roman" w:hAnsi="Times New Roman"/>
          <w:sz w:val="24"/>
          <w:szCs w:val="24"/>
        </w:rPr>
        <w:t>hæmatokrit eller hæmoglobin (kan falde)</w:t>
      </w:r>
    </w:p>
    <w:p w:rsidR="00CA0FF6" w:rsidRDefault="00CA0FF6" w:rsidP="00CA0FF6">
      <w:pPr>
        <w:pStyle w:val="Listeafsnit"/>
        <w:numPr>
          <w:ilvl w:val="0"/>
          <w:numId w:val="11"/>
        </w:numPr>
        <w:tabs>
          <w:tab w:val="left" w:pos="1134"/>
        </w:tabs>
        <w:autoSpaceDE w:val="0"/>
        <w:autoSpaceDN w:val="0"/>
        <w:adjustRightInd w:val="0"/>
        <w:spacing w:line="240" w:lineRule="auto"/>
        <w:jc w:val="left"/>
        <w:rPr>
          <w:rFonts w:ascii="Times New Roman" w:hAnsi="Times New Roman"/>
          <w:sz w:val="24"/>
          <w:szCs w:val="24"/>
        </w:rPr>
      </w:pPr>
      <w:r>
        <w:rPr>
          <w:rFonts w:ascii="Times New Roman" w:hAnsi="Times New Roman"/>
          <w:sz w:val="24"/>
          <w:szCs w:val="24"/>
        </w:rPr>
        <w:t xml:space="preserve">BUN og </w:t>
      </w:r>
      <w:proofErr w:type="spellStart"/>
      <w:r>
        <w:rPr>
          <w:rFonts w:ascii="Times New Roman" w:hAnsi="Times New Roman"/>
          <w:sz w:val="24"/>
          <w:szCs w:val="24"/>
        </w:rPr>
        <w:t>serumkreatinin</w:t>
      </w:r>
      <w:proofErr w:type="spellEnd"/>
      <w:r>
        <w:rPr>
          <w:rFonts w:ascii="Times New Roman" w:hAnsi="Times New Roman"/>
          <w:sz w:val="24"/>
          <w:szCs w:val="24"/>
        </w:rPr>
        <w:t xml:space="preserve"> og -kalium (kan stige)</w:t>
      </w:r>
    </w:p>
    <w:p w:rsidR="005C1DF6" w:rsidRPr="00CA0FF6" w:rsidRDefault="00CA0FF6" w:rsidP="00CA0FF6">
      <w:pPr>
        <w:pStyle w:val="Listeafsnit"/>
        <w:numPr>
          <w:ilvl w:val="0"/>
          <w:numId w:val="11"/>
        </w:numPr>
        <w:tabs>
          <w:tab w:val="left" w:pos="1134"/>
        </w:tabs>
        <w:autoSpaceDE w:val="0"/>
        <w:autoSpaceDN w:val="0"/>
        <w:adjustRightInd w:val="0"/>
        <w:spacing w:line="240" w:lineRule="auto"/>
        <w:jc w:val="left"/>
        <w:rPr>
          <w:rFonts w:ascii="Times New Roman" w:hAnsi="Times New Roman"/>
          <w:sz w:val="24"/>
          <w:szCs w:val="24"/>
        </w:rPr>
      </w:pPr>
      <w:r>
        <w:rPr>
          <w:rFonts w:ascii="Times New Roman" w:hAnsi="Times New Roman"/>
          <w:sz w:val="24"/>
          <w:szCs w:val="24"/>
        </w:rPr>
        <w:t xml:space="preserve">leverfunktionstest: øgede </w:t>
      </w:r>
      <w:proofErr w:type="spellStart"/>
      <w:r>
        <w:rPr>
          <w:rFonts w:ascii="Times New Roman" w:hAnsi="Times New Roman"/>
          <w:sz w:val="24"/>
          <w:szCs w:val="24"/>
        </w:rPr>
        <w:t>aminotransaminaseværdier</w:t>
      </w:r>
      <w:proofErr w:type="spellEnd"/>
    </w:p>
    <w:p w:rsidR="005C1DF6" w:rsidRDefault="005C1DF6" w:rsidP="005C1DF6">
      <w:pPr>
        <w:tabs>
          <w:tab w:val="left" w:pos="851"/>
        </w:tabs>
        <w:autoSpaceDE w:val="0"/>
        <w:autoSpaceDN w:val="0"/>
        <w:adjustRightInd w:val="0"/>
        <w:ind w:left="851"/>
        <w:rPr>
          <w:b/>
          <w:sz w:val="24"/>
          <w:szCs w:val="24"/>
        </w:rPr>
      </w:pPr>
    </w:p>
    <w:p w:rsidR="005C1DF6" w:rsidRDefault="005C1DF6" w:rsidP="005C1DF6">
      <w:pPr>
        <w:tabs>
          <w:tab w:val="left" w:pos="851"/>
        </w:tabs>
        <w:autoSpaceDE w:val="0"/>
        <w:autoSpaceDN w:val="0"/>
        <w:adjustRightInd w:val="0"/>
        <w:ind w:left="851"/>
        <w:rPr>
          <w:sz w:val="24"/>
          <w:szCs w:val="24"/>
          <w:u w:val="single"/>
        </w:rPr>
      </w:pPr>
      <w:r>
        <w:rPr>
          <w:sz w:val="24"/>
          <w:szCs w:val="24"/>
          <w:u w:val="single"/>
        </w:rPr>
        <w:t>Forsigtighedsregler vedrørende hjælpestoffer</w:t>
      </w:r>
    </w:p>
    <w:p w:rsidR="005C1DF6" w:rsidRDefault="005C1DF6" w:rsidP="005C1DF6">
      <w:pPr>
        <w:tabs>
          <w:tab w:val="left" w:pos="851"/>
        </w:tabs>
        <w:autoSpaceDE w:val="0"/>
        <w:autoSpaceDN w:val="0"/>
        <w:adjustRightInd w:val="0"/>
        <w:ind w:left="851"/>
        <w:rPr>
          <w:sz w:val="24"/>
          <w:szCs w:val="24"/>
        </w:rPr>
      </w:pPr>
      <w:r>
        <w:rPr>
          <w:sz w:val="24"/>
          <w:szCs w:val="24"/>
        </w:rPr>
        <w:t>Dette lægemiddel indeholder 358 mg natrium pr. flaske, svarende til 17,9 % af det WHO anbefalede maksimale daglige indtag på 2 g natrium for en voksen.</w:t>
      </w:r>
    </w:p>
    <w:p w:rsidR="005F0AAF" w:rsidRPr="00C84483" w:rsidRDefault="005F0AAF" w:rsidP="005F0AAF">
      <w:pPr>
        <w:tabs>
          <w:tab w:val="left" w:pos="851"/>
        </w:tabs>
        <w:ind w:left="851"/>
        <w:rPr>
          <w:sz w:val="24"/>
          <w:szCs w:val="24"/>
        </w:rPr>
      </w:pPr>
    </w:p>
    <w:p w:rsidR="005F0AAF" w:rsidRPr="00CD1EB6" w:rsidRDefault="005F0AAF" w:rsidP="005F0AA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311C1" w:rsidRDefault="007311C1" w:rsidP="007311C1">
      <w:pPr>
        <w:tabs>
          <w:tab w:val="left" w:pos="851"/>
        </w:tabs>
        <w:autoSpaceDE w:val="0"/>
        <w:autoSpaceDN w:val="0"/>
        <w:adjustRightInd w:val="0"/>
        <w:ind w:left="851"/>
        <w:rPr>
          <w:sz w:val="24"/>
          <w:szCs w:val="24"/>
          <w:u w:val="single"/>
        </w:rPr>
      </w:pPr>
      <w:r>
        <w:rPr>
          <w:sz w:val="24"/>
          <w:szCs w:val="24"/>
          <w:u w:val="single"/>
        </w:rPr>
        <w:t xml:space="preserve">Andre </w:t>
      </w:r>
      <w:proofErr w:type="spellStart"/>
      <w:r>
        <w:rPr>
          <w:sz w:val="24"/>
          <w:szCs w:val="24"/>
          <w:u w:val="single"/>
        </w:rPr>
        <w:t>NSAID’er</w:t>
      </w:r>
      <w:proofErr w:type="spellEnd"/>
      <w:r>
        <w:rPr>
          <w:sz w:val="24"/>
          <w:szCs w:val="24"/>
          <w:u w:val="single"/>
        </w:rPr>
        <w:t xml:space="preserve">, herunder COX-2-hæmmere og </w:t>
      </w:r>
      <w:proofErr w:type="spellStart"/>
      <w:r>
        <w:rPr>
          <w:sz w:val="24"/>
          <w:szCs w:val="24"/>
          <w:u w:val="single"/>
        </w:rPr>
        <w:t>salicylater</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Som følge af </w:t>
      </w:r>
      <w:proofErr w:type="spellStart"/>
      <w:r>
        <w:rPr>
          <w:sz w:val="24"/>
          <w:szCs w:val="24"/>
        </w:rPr>
        <w:t>synergistiske</w:t>
      </w:r>
      <w:proofErr w:type="spellEnd"/>
      <w:r>
        <w:rPr>
          <w:sz w:val="24"/>
          <w:szCs w:val="24"/>
        </w:rPr>
        <w:t xml:space="preserve"> virkninger kan samtidig administration af to eller flere </w:t>
      </w:r>
      <w:proofErr w:type="spellStart"/>
      <w:r>
        <w:rPr>
          <w:sz w:val="24"/>
          <w:szCs w:val="24"/>
        </w:rPr>
        <w:t>NSAID’er</w:t>
      </w:r>
      <w:proofErr w:type="spellEnd"/>
      <w:r>
        <w:rPr>
          <w:sz w:val="24"/>
          <w:szCs w:val="24"/>
        </w:rPr>
        <w:t xml:space="preserve"> øge risikoen for </w:t>
      </w:r>
      <w:proofErr w:type="spellStart"/>
      <w:r>
        <w:rPr>
          <w:sz w:val="24"/>
          <w:szCs w:val="24"/>
        </w:rPr>
        <w:t>gastrointestinale</w:t>
      </w:r>
      <w:proofErr w:type="spellEnd"/>
      <w:r>
        <w:rPr>
          <w:sz w:val="24"/>
          <w:szCs w:val="24"/>
        </w:rPr>
        <w:t xml:space="preserve"> sår og blødninger. Samtidig administration af ibuprofen og andre </w:t>
      </w:r>
      <w:proofErr w:type="spellStart"/>
      <w:r>
        <w:rPr>
          <w:sz w:val="24"/>
          <w:szCs w:val="24"/>
        </w:rPr>
        <w:t>NSAID’er</w:t>
      </w:r>
      <w:proofErr w:type="spellEnd"/>
      <w:r>
        <w:rPr>
          <w:sz w:val="24"/>
          <w:szCs w:val="24"/>
        </w:rPr>
        <w:t xml:space="preserve"> bør derfor undgås (se pkt. 4.4).</w:t>
      </w:r>
    </w:p>
    <w:p w:rsidR="007311C1" w:rsidRDefault="007311C1" w:rsidP="007311C1">
      <w:pPr>
        <w:tabs>
          <w:tab w:val="left" w:pos="851"/>
        </w:tabs>
        <w:autoSpaceDE w:val="0"/>
        <w:autoSpaceDN w:val="0"/>
        <w:adjustRightInd w:val="0"/>
        <w:ind w:left="851"/>
        <w:rPr>
          <w:sz w:val="24"/>
          <w:szCs w:val="24"/>
        </w:rPr>
      </w:pPr>
    </w:p>
    <w:p w:rsidR="007311C1" w:rsidRDefault="007311C1" w:rsidP="007311C1">
      <w:pPr>
        <w:tabs>
          <w:tab w:val="left" w:pos="851"/>
        </w:tabs>
        <w:autoSpaceDE w:val="0"/>
        <w:autoSpaceDN w:val="0"/>
        <w:adjustRightInd w:val="0"/>
        <w:ind w:left="851"/>
        <w:rPr>
          <w:sz w:val="24"/>
          <w:szCs w:val="24"/>
        </w:rPr>
      </w:pPr>
      <w:r>
        <w:rPr>
          <w:sz w:val="24"/>
          <w:szCs w:val="24"/>
        </w:rPr>
        <w:t>Samtidig administration af ibuprofen og acetylsalicylsyre anbefales generelt ikke på grund af en potentielt øget bivirkningsfrekvens.</w:t>
      </w:r>
    </w:p>
    <w:p w:rsidR="007311C1" w:rsidRDefault="007311C1" w:rsidP="007311C1">
      <w:pPr>
        <w:tabs>
          <w:tab w:val="left" w:pos="851"/>
        </w:tabs>
        <w:autoSpaceDE w:val="0"/>
        <w:autoSpaceDN w:val="0"/>
        <w:adjustRightInd w:val="0"/>
        <w:ind w:left="851"/>
        <w:rPr>
          <w:sz w:val="24"/>
          <w:szCs w:val="24"/>
        </w:rPr>
      </w:pPr>
    </w:p>
    <w:p w:rsidR="007311C1" w:rsidRDefault="007311C1" w:rsidP="007311C1">
      <w:pPr>
        <w:tabs>
          <w:tab w:val="left" w:pos="851"/>
        </w:tabs>
        <w:autoSpaceDE w:val="0"/>
        <w:autoSpaceDN w:val="0"/>
        <w:adjustRightInd w:val="0"/>
        <w:ind w:left="851"/>
        <w:rPr>
          <w:sz w:val="24"/>
          <w:szCs w:val="24"/>
        </w:rPr>
      </w:pPr>
      <w:r>
        <w:rPr>
          <w:sz w:val="24"/>
          <w:szCs w:val="24"/>
        </w:rPr>
        <w:t xml:space="preserve">Eksperimentelle data tyder på, at ibuprofen muligvis </w:t>
      </w:r>
      <w:proofErr w:type="spellStart"/>
      <w:r>
        <w:rPr>
          <w:sz w:val="24"/>
          <w:szCs w:val="24"/>
        </w:rPr>
        <w:t>kompetitivt</w:t>
      </w:r>
      <w:proofErr w:type="spellEnd"/>
      <w:r>
        <w:rPr>
          <w:sz w:val="24"/>
          <w:szCs w:val="24"/>
        </w:rPr>
        <w:t xml:space="preserve"> hæmmer virkningen af lave doser acetylsalicylsyre på </w:t>
      </w:r>
      <w:proofErr w:type="spellStart"/>
      <w:r>
        <w:rPr>
          <w:sz w:val="24"/>
          <w:szCs w:val="24"/>
        </w:rPr>
        <w:t>trombocytaggregation</w:t>
      </w:r>
      <w:proofErr w:type="spellEnd"/>
      <w:r>
        <w:rPr>
          <w:sz w:val="24"/>
          <w:szCs w:val="24"/>
        </w:rPr>
        <w:t xml:space="preserve"> ved samtidig administration. Der er usikkerhed vedrørende ekstrapolation af disse data til den kliniske situation, men muligheden for, at regelmæssig langvarig behandling med ibuprofen kan nedsætte den </w:t>
      </w:r>
      <w:proofErr w:type="spellStart"/>
      <w:r>
        <w:rPr>
          <w:sz w:val="24"/>
          <w:szCs w:val="24"/>
        </w:rPr>
        <w:t>kardioprotektive</w:t>
      </w:r>
      <w:proofErr w:type="spellEnd"/>
      <w:r>
        <w:rPr>
          <w:sz w:val="24"/>
          <w:szCs w:val="24"/>
        </w:rPr>
        <w:t xml:space="preserve"> virkning af lavdosis acetylsalicylsyre, kan ikke udelukkes. En klinisk relevant virkning ved lejlighedsvis brug af ibuprofen anses ikke for at være sandsynlig (se pkt. 5.1).</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Lithium</w:t>
      </w:r>
      <w:proofErr w:type="spellEnd"/>
    </w:p>
    <w:p w:rsidR="007311C1" w:rsidRDefault="00D06BDC" w:rsidP="007311C1">
      <w:pPr>
        <w:tabs>
          <w:tab w:val="left" w:pos="851"/>
        </w:tabs>
        <w:autoSpaceDE w:val="0"/>
        <w:autoSpaceDN w:val="0"/>
        <w:adjustRightInd w:val="0"/>
        <w:ind w:left="851"/>
        <w:rPr>
          <w:sz w:val="24"/>
          <w:szCs w:val="24"/>
        </w:rPr>
      </w:pPr>
      <w:r>
        <w:rPr>
          <w:sz w:val="24"/>
          <w:szCs w:val="24"/>
        </w:rPr>
        <w:t xml:space="preserve">Samtidig administration af ibuprofen og </w:t>
      </w:r>
      <w:proofErr w:type="spellStart"/>
      <w:r>
        <w:rPr>
          <w:sz w:val="24"/>
          <w:szCs w:val="24"/>
        </w:rPr>
        <w:t>lithium-holdige</w:t>
      </w:r>
      <w:proofErr w:type="spellEnd"/>
      <w:r>
        <w:rPr>
          <w:sz w:val="24"/>
          <w:szCs w:val="24"/>
        </w:rPr>
        <w:t xml:space="preserve"> lægemidler kan øge serumniveauet af </w:t>
      </w:r>
      <w:proofErr w:type="spellStart"/>
      <w:r>
        <w:rPr>
          <w:sz w:val="24"/>
          <w:szCs w:val="24"/>
        </w:rPr>
        <w:t>lithium</w:t>
      </w:r>
      <w:proofErr w:type="spellEnd"/>
      <w:r>
        <w:rPr>
          <w:sz w:val="24"/>
          <w:szCs w:val="24"/>
        </w:rPr>
        <w:t>.</w:t>
      </w:r>
    </w:p>
    <w:p w:rsidR="00D06BDC" w:rsidRDefault="00D06BDC" w:rsidP="00D06BDC">
      <w:pPr>
        <w:tabs>
          <w:tab w:val="left" w:pos="851"/>
        </w:tabs>
        <w:autoSpaceDE w:val="0"/>
        <w:autoSpaceDN w:val="0"/>
        <w:adjustRightInd w:val="0"/>
        <w:ind w:left="851"/>
        <w:rPr>
          <w:sz w:val="24"/>
          <w:szCs w:val="24"/>
        </w:rPr>
      </w:pPr>
      <w:proofErr w:type="spellStart"/>
      <w:r>
        <w:rPr>
          <w:sz w:val="24"/>
          <w:szCs w:val="24"/>
        </w:rPr>
        <w:t>Serumlithiumniveauet</w:t>
      </w:r>
      <w:proofErr w:type="spellEnd"/>
      <w:r>
        <w:rPr>
          <w:sz w:val="24"/>
          <w:szCs w:val="24"/>
        </w:rPr>
        <w:t xml:space="preserve"> skal kontrolleres.</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r>
        <w:rPr>
          <w:sz w:val="24"/>
          <w:szCs w:val="24"/>
          <w:u w:val="single"/>
        </w:rPr>
        <w:t>Hjerteglykosider (</w:t>
      </w:r>
      <w:proofErr w:type="spellStart"/>
      <w:r>
        <w:rPr>
          <w:sz w:val="24"/>
          <w:szCs w:val="24"/>
          <w:u w:val="single"/>
        </w:rPr>
        <w:t>digoxin</w:t>
      </w:r>
      <w:proofErr w:type="spellEnd"/>
      <w:r>
        <w:rPr>
          <w:sz w:val="24"/>
          <w:szCs w:val="24"/>
          <w:u w:val="single"/>
        </w:rPr>
        <w:t>)</w:t>
      </w:r>
    </w:p>
    <w:p w:rsidR="007311C1" w:rsidRDefault="007311C1" w:rsidP="007311C1">
      <w:pPr>
        <w:tabs>
          <w:tab w:val="left" w:pos="851"/>
        </w:tabs>
        <w:autoSpaceDE w:val="0"/>
        <w:autoSpaceDN w:val="0"/>
        <w:adjustRightInd w:val="0"/>
        <w:ind w:left="851"/>
        <w:rPr>
          <w:i/>
          <w:sz w:val="24"/>
          <w:szCs w:val="24"/>
          <w:u w:val="single"/>
        </w:rPr>
      </w:pPr>
      <w:proofErr w:type="spellStart"/>
      <w:r>
        <w:rPr>
          <w:sz w:val="24"/>
          <w:szCs w:val="24"/>
        </w:rPr>
        <w:t>NSAID’er</w:t>
      </w:r>
      <w:proofErr w:type="spellEnd"/>
      <w:r>
        <w:rPr>
          <w:sz w:val="24"/>
          <w:szCs w:val="24"/>
        </w:rPr>
        <w:t xml:space="preserve"> kan forværre hjertesvigt, reducere den </w:t>
      </w:r>
      <w:proofErr w:type="spellStart"/>
      <w:r>
        <w:rPr>
          <w:sz w:val="24"/>
          <w:szCs w:val="24"/>
        </w:rPr>
        <w:t>glomerulære</w:t>
      </w:r>
      <w:proofErr w:type="spellEnd"/>
      <w:r>
        <w:rPr>
          <w:sz w:val="24"/>
          <w:szCs w:val="24"/>
        </w:rPr>
        <w:t xml:space="preserve"> filtrationshastighed og øge plasmaniveauet af hjerteglykosider. Det anbefales at monitorere </w:t>
      </w:r>
      <w:proofErr w:type="spellStart"/>
      <w:r>
        <w:rPr>
          <w:sz w:val="24"/>
          <w:szCs w:val="24"/>
        </w:rPr>
        <w:t>serumdigoxin</w:t>
      </w:r>
      <w:proofErr w:type="spellEnd"/>
      <w:r>
        <w:rPr>
          <w:sz w:val="24"/>
          <w:szCs w:val="24"/>
        </w:rPr>
        <w:t>.</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Phenytoin</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Samtidig behandling med ibuprofen kan øge plasmaniveauet af </w:t>
      </w:r>
      <w:proofErr w:type="spellStart"/>
      <w:r>
        <w:rPr>
          <w:sz w:val="24"/>
          <w:szCs w:val="24"/>
        </w:rPr>
        <w:t>phenytoin</w:t>
      </w:r>
      <w:proofErr w:type="spellEnd"/>
      <w:r>
        <w:rPr>
          <w:sz w:val="24"/>
          <w:szCs w:val="24"/>
        </w:rPr>
        <w:t xml:space="preserve"> og dermed øge risikoen for toksicitet.</w:t>
      </w:r>
    </w:p>
    <w:p w:rsidR="007311C1" w:rsidRDefault="007311C1" w:rsidP="007311C1">
      <w:pPr>
        <w:tabs>
          <w:tab w:val="left" w:pos="851"/>
        </w:tabs>
        <w:autoSpaceDE w:val="0"/>
        <w:autoSpaceDN w:val="0"/>
        <w:adjustRightInd w:val="0"/>
        <w:ind w:left="851"/>
        <w:rPr>
          <w:i/>
          <w:sz w:val="24"/>
          <w:szCs w:val="24"/>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Antihypertensiva</w:t>
      </w:r>
      <w:proofErr w:type="spellEnd"/>
      <w:r>
        <w:rPr>
          <w:sz w:val="24"/>
          <w:szCs w:val="24"/>
          <w:u w:val="single"/>
        </w:rPr>
        <w:t xml:space="preserve"> (</w:t>
      </w:r>
      <w:proofErr w:type="spellStart"/>
      <w:r>
        <w:rPr>
          <w:sz w:val="24"/>
          <w:szCs w:val="24"/>
          <w:u w:val="single"/>
        </w:rPr>
        <w:t>diuretika</w:t>
      </w:r>
      <w:proofErr w:type="spellEnd"/>
      <w:r>
        <w:rPr>
          <w:sz w:val="24"/>
          <w:szCs w:val="24"/>
          <w:u w:val="single"/>
        </w:rPr>
        <w:t>, ACE-</w:t>
      </w:r>
      <w:proofErr w:type="spellStart"/>
      <w:r>
        <w:rPr>
          <w:sz w:val="24"/>
          <w:szCs w:val="24"/>
          <w:u w:val="single"/>
        </w:rPr>
        <w:t>hæmmere</w:t>
      </w:r>
      <w:proofErr w:type="spellEnd"/>
      <w:r>
        <w:rPr>
          <w:sz w:val="24"/>
          <w:szCs w:val="24"/>
          <w:u w:val="single"/>
        </w:rPr>
        <w:t xml:space="preserve">, betablokkere og </w:t>
      </w:r>
      <w:proofErr w:type="spellStart"/>
      <w:r>
        <w:rPr>
          <w:sz w:val="24"/>
          <w:szCs w:val="24"/>
          <w:u w:val="single"/>
        </w:rPr>
        <w:t>angiotensin</w:t>
      </w:r>
      <w:proofErr w:type="spellEnd"/>
      <w:r>
        <w:rPr>
          <w:sz w:val="24"/>
          <w:szCs w:val="24"/>
          <w:u w:val="single"/>
        </w:rPr>
        <w:t>-II-antagonister)</w:t>
      </w:r>
    </w:p>
    <w:p w:rsidR="007311C1" w:rsidRDefault="007311C1" w:rsidP="007311C1">
      <w:pPr>
        <w:tabs>
          <w:tab w:val="left" w:pos="851"/>
        </w:tabs>
        <w:autoSpaceDE w:val="0"/>
        <w:autoSpaceDN w:val="0"/>
        <w:adjustRightInd w:val="0"/>
        <w:ind w:left="851"/>
        <w:rPr>
          <w:sz w:val="24"/>
          <w:szCs w:val="24"/>
        </w:rPr>
      </w:pPr>
      <w:proofErr w:type="spellStart"/>
      <w:r>
        <w:rPr>
          <w:sz w:val="24"/>
          <w:szCs w:val="24"/>
        </w:rPr>
        <w:t>Diuretika</w:t>
      </w:r>
      <w:proofErr w:type="spellEnd"/>
      <w:r>
        <w:rPr>
          <w:sz w:val="24"/>
          <w:szCs w:val="24"/>
        </w:rPr>
        <w:t xml:space="preserve"> og ACE-</w:t>
      </w:r>
      <w:proofErr w:type="spellStart"/>
      <w:r>
        <w:rPr>
          <w:sz w:val="24"/>
          <w:szCs w:val="24"/>
        </w:rPr>
        <w:t>hæmmere</w:t>
      </w:r>
      <w:proofErr w:type="spellEnd"/>
      <w:r>
        <w:rPr>
          <w:sz w:val="24"/>
          <w:szCs w:val="24"/>
        </w:rPr>
        <w:t xml:space="preserve"> kan øge </w:t>
      </w:r>
      <w:proofErr w:type="spellStart"/>
      <w:r>
        <w:rPr>
          <w:sz w:val="24"/>
          <w:szCs w:val="24"/>
        </w:rPr>
        <w:t>nefrotoksiciteten</w:t>
      </w:r>
      <w:proofErr w:type="spellEnd"/>
      <w:r>
        <w:rPr>
          <w:sz w:val="24"/>
          <w:szCs w:val="24"/>
        </w:rPr>
        <w:t xml:space="preserve"> af </w:t>
      </w:r>
      <w:proofErr w:type="spellStart"/>
      <w:r>
        <w:rPr>
          <w:sz w:val="24"/>
          <w:szCs w:val="24"/>
        </w:rPr>
        <w:t>NSAID’er</w:t>
      </w:r>
      <w:proofErr w:type="spellEnd"/>
      <w:r>
        <w:rPr>
          <w:sz w:val="24"/>
          <w:szCs w:val="24"/>
        </w:rPr>
        <w:t xml:space="preserve">. </w:t>
      </w:r>
      <w:proofErr w:type="spellStart"/>
      <w:r>
        <w:rPr>
          <w:sz w:val="24"/>
          <w:szCs w:val="24"/>
        </w:rPr>
        <w:t>NSAID’er</w:t>
      </w:r>
      <w:proofErr w:type="spellEnd"/>
      <w:r>
        <w:rPr>
          <w:sz w:val="24"/>
          <w:szCs w:val="24"/>
        </w:rPr>
        <w:t xml:space="preserve"> kan reducere virkningen af </w:t>
      </w:r>
      <w:proofErr w:type="spellStart"/>
      <w:r>
        <w:rPr>
          <w:sz w:val="24"/>
          <w:szCs w:val="24"/>
        </w:rPr>
        <w:t>diuretika</w:t>
      </w:r>
      <w:proofErr w:type="spellEnd"/>
      <w:r>
        <w:rPr>
          <w:sz w:val="24"/>
          <w:szCs w:val="24"/>
        </w:rPr>
        <w:t xml:space="preserve"> og andre </w:t>
      </w:r>
      <w:proofErr w:type="spellStart"/>
      <w:r>
        <w:rPr>
          <w:sz w:val="24"/>
          <w:szCs w:val="24"/>
        </w:rPr>
        <w:t>antihypertensive</w:t>
      </w:r>
      <w:proofErr w:type="spellEnd"/>
      <w:r>
        <w:rPr>
          <w:sz w:val="24"/>
          <w:szCs w:val="24"/>
        </w:rPr>
        <w:t xml:space="preserve"> lægemidler, herunder ACE-</w:t>
      </w:r>
      <w:proofErr w:type="spellStart"/>
      <w:r>
        <w:rPr>
          <w:sz w:val="24"/>
          <w:szCs w:val="24"/>
        </w:rPr>
        <w:t>hæmmere</w:t>
      </w:r>
      <w:proofErr w:type="spellEnd"/>
      <w:r>
        <w:rPr>
          <w:sz w:val="24"/>
          <w:szCs w:val="24"/>
        </w:rPr>
        <w:t xml:space="preserve"> og betablokkere. Hos patienter med nedsat nyrefunktion (f.eks. dehydrerede patienter eller ældre patienter med nedsat nyrefunktion) kan samtidig brug af en ACE-hæmmer og </w:t>
      </w:r>
      <w:proofErr w:type="spellStart"/>
      <w:r>
        <w:rPr>
          <w:sz w:val="24"/>
          <w:szCs w:val="24"/>
        </w:rPr>
        <w:t>angiotensin</w:t>
      </w:r>
      <w:proofErr w:type="spellEnd"/>
      <w:r>
        <w:rPr>
          <w:sz w:val="24"/>
          <w:szCs w:val="24"/>
        </w:rPr>
        <w:t xml:space="preserve">-II-antagonister sammen med et </w:t>
      </w:r>
      <w:proofErr w:type="spellStart"/>
      <w:r>
        <w:rPr>
          <w:sz w:val="24"/>
          <w:szCs w:val="24"/>
        </w:rPr>
        <w:t>cyclooxygenasehæmmende</w:t>
      </w:r>
      <w:proofErr w:type="spellEnd"/>
      <w:r>
        <w:rPr>
          <w:sz w:val="24"/>
          <w:szCs w:val="24"/>
        </w:rPr>
        <w:t xml:space="preserve"> lægemiddel medføre yderligere nedsættelse af nyrefunktionen og endog akut nyresvigt. Dette er som regel reversibelt. Sådanne kombinationer bør derfor kun anvendes med forsigtighed, især hos ældre patienter. Patienterne skal instrueres i at drikke tilstrækkelig væske. Nyrefunktion skal måles efter opstart af samtidig behandling, og med jævne mellemrum derefter.</w:t>
      </w:r>
    </w:p>
    <w:p w:rsidR="007311C1" w:rsidRDefault="007311C1" w:rsidP="007311C1">
      <w:pPr>
        <w:tabs>
          <w:tab w:val="left" w:pos="851"/>
        </w:tabs>
        <w:autoSpaceDE w:val="0"/>
        <w:autoSpaceDN w:val="0"/>
        <w:adjustRightInd w:val="0"/>
        <w:ind w:left="851"/>
        <w:rPr>
          <w:sz w:val="24"/>
          <w:szCs w:val="24"/>
        </w:rPr>
      </w:pPr>
    </w:p>
    <w:p w:rsidR="007311C1" w:rsidRDefault="007311C1" w:rsidP="007311C1">
      <w:pPr>
        <w:tabs>
          <w:tab w:val="left" w:pos="851"/>
        </w:tabs>
        <w:autoSpaceDE w:val="0"/>
        <w:autoSpaceDN w:val="0"/>
        <w:adjustRightInd w:val="0"/>
        <w:ind w:left="851"/>
        <w:rPr>
          <w:sz w:val="24"/>
          <w:szCs w:val="24"/>
        </w:rPr>
      </w:pPr>
      <w:r>
        <w:rPr>
          <w:sz w:val="24"/>
          <w:szCs w:val="24"/>
        </w:rPr>
        <w:t>Samtidig administration af ibuprofen og ACE-</w:t>
      </w:r>
      <w:proofErr w:type="spellStart"/>
      <w:r>
        <w:rPr>
          <w:sz w:val="24"/>
          <w:szCs w:val="24"/>
        </w:rPr>
        <w:t>hæmmere</w:t>
      </w:r>
      <w:proofErr w:type="spellEnd"/>
      <w:r>
        <w:rPr>
          <w:sz w:val="24"/>
          <w:szCs w:val="24"/>
        </w:rPr>
        <w:t xml:space="preserve"> kan medføre </w:t>
      </w:r>
      <w:proofErr w:type="spellStart"/>
      <w:r>
        <w:rPr>
          <w:sz w:val="24"/>
          <w:szCs w:val="24"/>
        </w:rPr>
        <w:t>hyperkaliæmi</w:t>
      </w:r>
      <w:proofErr w:type="spellEnd"/>
      <w:r>
        <w:rPr>
          <w:sz w:val="24"/>
          <w:szCs w:val="24"/>
        </w:rPr>
        <w:t>.</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r>
        <w:rPr>
          <w:sz w:val="24"/>
          <w:szCs w:val="24"/>
          <w:u w:val="single"/>
        </w:rPr>
        <w:t xml:space="preserve">Kaliumbesparende </w:t>
      </w:r>
      <w:proofErr w:type="spellStart"/>
      <w:r>
        <w:rPr>
          <w:sz w:val="24"/>
          <w:szCs w:val="24"/>
          <w:u w:val="single"/>
        </w:rPr>
        <w:t>diuretika</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Samtidig brug kan forårsage </w:t>
      </w:r>
      <w:proofErr w:type="spellStart"/>
      <w:r>
        <w:rPr>
          <w:sz w:val="24"/>
          <w:szCs w:val="24"/>
        </w:rPr>
        <w:t>hyperkaliæmi</w:t>
      </w:r>
      <w:proofErr w:type="spellEnd"/>
      <w:r>
        <w:rPr>
          <w:sz w:val="24"/>
          <w:szCs w:val="24"/>
        </w:rPr>
        <w:t xml:space="preserve"> (det anbefales at kontrollere serumkalium).</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Captopril</w:t>
      </w:r>
      <w:proofErr w:type="spellEnd"/>
    </w:p>
    <w:p w:rsidR="007311C1" w:rsidRDefault="007311C1" w:rsidP="007311C1">
      <w:pPr>
        <w:tabs>
          <w:tab w:val="left" w:pos="851"/>
        </w:tabs>
        <w:autoSpaceDE w:val="0"/>
        <w:autoSpaceDN w:val="0"/>
        <w:adjustRightInd w:val="0"/>
        <w:ind w:left="851"/>
        <w:rPr>
          <w:sz w:val="24"/>
          <w:szCs w:val="24"/>
        </w:rPr>
      </w:pPr>
      <w:r w:rsidRPr="007311C1">
        <w:rPr>
          <w:sz w:val="24"/>
          <w:szCs w:val="24"/>
        </w:rPr>
        <w:t xml:space="preserve">Eksperimentelle studier tyder på, at ibuprofen modvirker </w:t>
      </w:r>
      <w:proofErr w:type="spellStart"/>
      <w:r w:rsidRPr="007311C1">
        <w:rPr>
          <w:sz w:val="24"/>
          <w:szCs w:val="24"/>
        </w:rPr>
        <w:t>captoprils</w:t>
      </w:r>
      <w:proofErr w:type="spellEnd"/>
      <w:r w:rsidRPr="007311C1">
        <w:rPr>
          <w:sz w:val="24"/>
          <w:szCs w:val="24"/>
        </w:rPr>
        <w:t xml:space="preserve"> virkning på øget natriumudskillelse.</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Kortikosteroider</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Øget risiko for </w:t>
      </w:r>
      <w:proofErr w:type="spellStart"/>
      <w:r>
        <w:rPr>
          <w:sz w:val="24"/>
          <w:szCs w:val="24"/>
        </w:rPr>
        <w:t>gastrointestinal</w:t>
      </w:r>
      <w:proofErr w:type="spellEnd"/>
      <w:r>
        <w:rPr>
          <w:sz w:val="24"/>
          <w:szCs w:val="24"/>
        </w:rPr>
        <w:t xml:space="preserve"> sårdannelse eller blødning (se pkt. 4.4).</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Trombocythæmmende</w:t>
      </w:r>
      <w:proofErr w:type="spellEnd"/>
      <w:r>
        <w:rPr>
          <w:sz w:val="24"/>
          <w:szCs w:val="24"/>
          <w:u w:val="single"/>
        </w:rPr>
        <w:t xml:space="preserve"> midler (f.eks. </w:t>
      </w:r>
      <w:proofErr w:type="spellStart"/>
      <w:r>
        <w:rPr>
          <w:sz w:val="24"/>
          <w:szCs w:val="24"/>
          <w:u w:val="single"/>
        </w:rPr>
        <w:t>clopidogrel</w:t>
      </w:r>
      <w:proofErr w:type="spellEnd"/>
      <w:r>
        <w:rPr>
          <w:sz w:val="24"/>
          <w:szCs w:val="24"/>
          <w:u w:val="single"/>
        </w:rPr>
        <w:t xml:space="preserve"> og </w:t>
      </w:r>
      <w:proofErr w:type="spellStart"/>
      <w:r>
        <w:rPr>
          <w:sz w:val="24"/>
          <w:szCs w:val="24"/>
          <w:u w:val="single"/>
        </w:rPr>
        <w:t>ticlopidin</w:t>
      </w:r>
      <w:proofErr w:type="spellEnd"/>
      <w:r>
        <w:rPr>
          <w:sz w:val="24"/>
          <w:szCs w:val="24"/>
          <w:u w:val="single"/>
        </w:rPr>
        <w:t xml:space="preserve">) og selektive </w:t>
      </w:r>
      <w:proofErr w:type="spellStart"/>
      <w:r>
        <w:rPr>
          <w:sz w:val="24"/>
          <w:szCs w:val="24"/>
          <w:u w:val="single"/>
        </w:rPr>
        <w:t>serotoningenoptagshæmmere</w:t>
      </w:r>
      <w:proofErr w:type="spellEnd"/>
      <w:r>
        <w:rPr>
          <w:sz w:val="24"/>
          <w:szCs w:val="24"/>
          <w:u w:val="single"/>
        </w:rPr>
        <w:t xml:space="preserve"> (</w:t>
      </w:r>
      <w:proofErr w:type="spellStart"/>
      <w:r>
        <w:rPr>
          <w:sz w:val="24"/>
          <w:szCs w:val="24"/>
          <w:u w:val="single"/>
        </w:rPr>
        <w:t>SSRI’er</w:t>
      </w:r>
      <w:proofErr w:type="spellEnd"/>
      <w:r>
        <w:rPr>
          <w:sz w:val="24"/>
          <w:szCs w:val="24"/>
          <w:u w:val="single"/>
        </w:rPr>
        <w:t>)</w:t>
      </w:r>
    </w:p>
    <w:p w:rsidR="007311C1" w:rsidRDefault="007311C1" w:rsidP="007311C1">
      <w:pPr>
        <w:tabs>
          <w:tab w:val="left" w:pos="851"/>
        </w:tabs>
        <w:autoSpaceDE w:val="0"/>
        <w:autoSpaceDN w:val="0"/>
        <w:adjustRightInd w:val="0"/>
        <w:ind w:left="851"/>
        <w:rPr>
          <w:sz w:val="24"/>
          <w:szCs w:val="24"/>
        </w:rPr>
      </w:pPr>
      <w:r>
        <w:rPr>
          <w:sz w:val="24"/>
          <w:szCs w:val="24"/>
        </w:rPr>
        <w:lastRenderedPageBreak/>
        <w:t xml:space="preserve">Øget risiko for </w:t>
      </w:r>
      <w:proofErr w:type="spellStart"/>
      <w:r>
        <w:rPr>
          <w:sz w:val="24"/>
          <w:szCs w:val="24"/>
        </w:rPr>
        <w:t>gastrointestinal</w:t>
      </w:r>
      <w:proofErr w:type="spellEnd"/>
      <w:r>
        <w:rPr>
          <w:sz w:val="24"/>
          <w:szCs w:val="24"/>
        </w:rPr>
        <w:t xml:space="preserve"> blødning (se pkt. 4.4). </w:t>
      </w:r>
      <w:proofErr w:type="spellStart"/>
      <w:r>
        <w:rPr>
          <w:sz w:val="24"/>
          <w:szCs w:val="24"/>
        </w:rPr>
        <w:t>NSAID’er</w:t>
      </w:r>
      <w:proofErr w:type="spellEnd"/>
      <w:r>
        <w:rPr>
          <w:sz w:val="24"/>
          <w:szCs w:val="24"/>
        </w:rPr>
        <w:t xml:space="preserve"> bør ikke kombineres med </w:t>
      </w:r>
      <w:proofErr w:type="spellStart"/>
      <w:r>
        <w:rPr>
          <w:sz w:val="24"/>
          <w:szCs w:val="24"/>
        </w:rPr>
        <w:t>ticlopidin</w:t>
      </w:r>
      <w:proofErr w:type="spellEnd"/>
      <w:r>
        <w:rPr>
          <w:sz w:val="24"/>
          <w:szCs w:val="24"/>
        </w:rPr>
        <w:t xml:space="preserve"> på grund af risikoen for en </w:t>
      </w:r>
      <w:proofErr w:type="gramStart"/>
      <w:r>
        <w:rPr>
          <w:sz w:val="24"/>
          <w:szCs w:val="24"/>
        </w:rPr>
        <w:t>additiv virkning</w:t>
      </w:r>
      <w:proofErr w:type="gramEnd"/>
      <w:r>
        <w:rPr>
          <w:sz w:val="24"/>
          <w:szCs w:val="24"/>
        </w:rPr>
        <w:t xml:space="preserve"> på hæmningen af </w:t>
      </w:r>
      <w:proofErr w:type="spellStart"/>
      <w:r>
        <w:rPr>
          <w:sz w:val="24"/>
          <w:szCs w:val="24"/>
        </w:rPr>
        <w:t>trombocytfunktionen</w:t>
      </w:r>
      <w:proofErr w:type="spellEnd"/>
      <w:r>
        <w:rPr>
          <w:sz w:val="24"/>
          <w:szCs w:val="24"/>
        </w:rPr>
        <w:t>.</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keepNext/>
        <w:tabs>
          <w:tab w:val="left" w:pos="851"/>
        </w:tabs>
        <w:autoSpaceDE w:val="0"/>
        <w:autoSpaceDN w:val="0"/>
        <w:adjustRightInd w:val="0"/>
        <w:ind w:left="850"/>
        <w:rPr>
          <w:sz w:val="24"/>
          <w:szCs w:val="24"/>
          <w:u w:val="single"/>
        </w:rPr>
      </w:pPr>
      <w:proofErr w:type="spellStart"/>
      <w:r>
        <w:rPr>
          <w:sz w:val="24"/>
          <w:szCs w:val="24"/>
          <w:u w:val="single"/>
        </w:rPr>
        <w:t>Methotrexat</w:t>
      </w:r>
      <w:proofErr w:type="spellEnd"/>
    </w:p>
    <w:p w:rsidR="007311C1" w:rsidRDefault="007311C1" w:rsidP="007311C1">
      <w:pPr>
        <w:tabs>
          <w:tab w:val="left" w:pos="851"/>
        </w:tabs>
        <w:autoSpaceDE w:val="0"/>
        <w:autoSpaceDN w:val="0"/>
        <w:adjustRightInd w:val="0"/>
        <w:ind w:left="851"/>
        <w:rPr>
          <w:sz w:val="24"/>
          <w:szCs w:val="24"/>
        </w:rPr>
      </w:pPr>
      <w:proofErr w:type="spellStart"/>
      <w:r>
        <w:rPr>
          <w:sz w:val="24"/>
          <w:szCs w:val="24"/>
        </w:rPr>
        <w:t>NSAID’er</w:t>
      </w:r>
      <w:proofErr w:type="spellEnd"/>
      <w:r>
        <w:rPr>
          <w:sz w:val="24"/>
          <w:szCs w:val="24"/>
        </w:rPr>
        <w:t xml:space="preserve"> hæmmer den </w:t>
      </w:r>
      <w:proofErr w:type="spellStart"/>
      <w:r>
        <w:rPr>
          <w:sz w:val="24"/>
          <w:szCs w:val="24"/>
        </w:rPr>
        <w:t>tubulære</w:t>
      </w:r>
      <w:proofErr w:type="spellEnd"/>
      <w:r>
        <w:rPr>
          <w:sz w:val="24"/>
          <w:szCs w:val="24"/>
        </w:rPr>
        <w:t xml:space="preserve"> udskillelse af </w:t>
      </w:r>
      <w:proofErr w:type="spellStart"/>
      <w:r>
        <w:rPr>
          <w:sz w:val="24"/>
          <w:szCs w:val="24"/>
        </w:rPr>
        <w:t>methotrexat</w:t>
      </w:r>
      <w:proofErr w:type="spellEnd"/>
      <w:r>
        <w:rPr>
          <w:sz w:val="24"/>
          <w:szCs w:val="24"/>
        </w:rPr>
        <w:t xml:space="preserve">, og der kan opstå visse metaboliske interaktioner, der medfører nedsat </w:t>
      </w:r>
      <w:proofErr w:type="spellStart"/>
      <w:r>
        <w:rPr>
          <w:sz w:val="24"/>
          <w:szCs w:val="24"/>
        </w:rPr>
        <w:t>clearance</w:t>
      </w:r>
      <w:proofErr w:type="spellEnd"/>
      <w:r>
        <w:rPr>
          <w:sz w:val="24"/>
          <w:szCs w:val="24"/>
        </w:rPr>
        <w:t xml:space="preserve"> af </w:t>
      </w:r>
      <w:proofErr w:type="spellStart"/>
      <w:r>
        <w:rPr>
          <w:sz w:val="24"/>
          <w:szCs w:val="24"/>
        </w:rPr>
        <w:t>methotrexat</w:t>
      </w:r>
      <w:proofErr w:type="spellEnd"/>
      <w:r>
        <w:rPr>
          <w:sz w:val="24"/>
          <w:szCs w:val="24"/>
        </w:rPr>
        <w:t xml:space="preserve">. Administration af ibuprofen inden for 24 timer før eller efter administration af </w:t>
      </w:r>
      <w:proofErr w:type="spellStart"/>
      <w:r>
        <w:rPr>
          <w:sz w:val="24"/>
          <w:szCs w:val="24"/>
        </w:rPr>
        <w:t>methotrexat</w:t>
      </w:r>
      <w:proofErr w:type="spellEnd"/>
      <w:r>
        <w:rPr>
          <w:sz w:val="24"/>
          <w:szCs w:val="24"/>
        </w:rPr>
        <w:t xml:space="preserve"> kan føre til øget koncentration af </w:t>
      </w:r>
      <w:proofErr w:type="spellStart"/>
      <w:r>
        <w:rPr>
          <w:sz w:val="24"/>
          <w:szCs w:val="24"/>
        </w:rPr>
        <w:t>methotrexat</w:t>
      </w:r>
      <w:proofErr w:type="spellEnd"/>
      <w:r>
        <w:rPr>
          <w:sz w:val="24"/>
          <w:szCs w:val="24"/>
        </w:rPr>
        <w:t xml:space="preserve"> og øge dets toksiske virkning. Samtidig brug af </w:t>
      </w:r>
      <w:proofErr w:type="spellStart"/>
      <w:r>
        <w:rPr>
          <w:sz w:val="24"/>
          <w:szCs w:val="24"/>
        </w:rPr>
        <w:t>NSAID’er</w:t>
      </w:r>
      <w:proofErr w:type="spellEnd"/>
      <w:r>
        <w:rPr>
          <w:sz w:val="24"/>
          <w:szCs w:val="24"/>
        </w:rPr>
        <w:t xml:space="preserve"> og høje doser af </w:t>
      </w:r>
      <w:proofErr w:type="spellStart"/>
      <w:r>
        <w:rPr>
          <w:sz w:val="24"/>
          <w:szCs w:val="24"/>
        </w:rPr>
        <w:t>methotrexat</w:t>
      </w:r>
      <w:proofErr w:type="spellEnd"/>
      <w:r>
        <w:rPr>
          <w:sz w:val="24"/>
          <w:szCs w:val="24"/>
        </w:rPr>
        <w:t xml:space="preserve"> bør derfor undgås. Den potentielle risiko for interaktioner ved behandling med lave doser af </w:t>
      </w:r>
      <w:proofErr w:type="spellStart"/>
      <w:r>
        <w:rPr>
          <w:sz w:val="24"/>
          <w:szCs w:val="24"/>
        </w:rPr>
        <w:t>methotrexat</w:t>
      </w:r>
      <w:proofErr w:type="spellEnd"/>
      <w:r>
        <w:rPr>
          <w:sz w:val="24"/>
          <w:szCs w:val="24"/>
        </w:rPr>
        <w:t xml:space="preserve"> bør også tages i betragtning, især hos patienter med nedsat nyrefunktion. Ved samtidig behandling bør nyrefunktionen monitoreres.</w:t>
      </w: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Ciclosporin</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Risikoen for nyreskade forårsaget af </w:t>
      </w:r>
      <w:proofErr w:type="spellStart"/>
      <w:r>
        <w:rPr>
          <w:sz w:val="24"/>
          <w:szCs w:val="24"/>
        </w:rPr>
        <w:t>ciclosporin</w:t>
      </w:r>
      <w:proofErr w:type="spellEnd"/>
      <w:r>
        <w:rPr>
          <w:sz w:val="24"/>
          <w:szCs w:val="24"/>
        </w:rPr>
        <w:t xml:space="preserve"> stiger ved samtidig administration af visse non-</w:t>
      </w:r>
      <w:proofErr w:type="spellStart"/>
      <w:r>
        <w:rPr>
          <w:sz w:val="24"/>
          <w:szCs w:val="24"/>
        </w:rPr>
        <w:t>steroide</w:t>
      </w:r>
      <w:proofErr w:type="spellEnd"/>
      <w:r>
        <w:rPr>
          <w:sz w:val="24"/>
          <w:szCs w:val="24"/>
        </w:rPr>
        <w:t xml:space="preserve"> antiinflammatoriske lægemidler. Det kan ikke udelukkes, at samtidig brug af </w:t>
      </w:r>
      <w:proofErr w:type="spellStart"/>
      <w:r>
        <w:rPr>
          <w:sz w:val="24"/>
          <w:szCs w:val="24"/>
        </w:rPr>
        <w:t>ciclosporin</w:t>
      </w:r>
      <w:proofErr w:type="spellEnd"/>
      <w:r>
        <w:rPr>
          <w:sz w:val="24"/>
          <w:szCs w:val="24"/>
        </w:rPr>
        <w:t xml:space="preserve"> og ibuprofen har samme virkning.</w:t>
      </w:r>
    </w:p>
    <w:p w:rsidR="007311C1" w:rsidRDefault="007311C1" w:rsidP="007311C1">
      <w:pPr>
        <w:tabs>
          <w:tab w:val="left" w:pos="851"/>
        </w:tabs>
        <w:autoSpaceDE w:val="0"/>
        <w:autoSpaceDN w:val="0"/>
        <w:adjustRightInd w:val="0"/>
        <w:ind w:left="851"/>
        <w:rPr>
          <w:i/>
          <w:sz w:val="24"/>
          <w:szCs w:val="24"/>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Antikoagulantia</w:t>
      </w:r>
      <w:proofErr w:type="spellEnd"/>
    </w:p>
    <w:p w:rsidR="007311C1" w:rsidRDefault="007311C1" w:rsidP="007311C1">
      <w:pPr>
        <w:tabs>
          <w:tab w:val="left" w:pos="851"/>
        </w:tabs>
        <w:autoSpaceDE w:val="0"/>
        <w:autoSpaceDN w:val="0"/>
        <w:adjustRightInd w:val="0"/>
        <w:ind w:left="851"/>
        <w:rPr>
          <w:sz w:val="24"/>
          <w:szCs w:val="24"/>
        </w:rPr>
      </w:pPr>
      <w:proofErr w:type="spellStart"/>
      <w:r>
        <w:rPr>
          <w:sz w:val="24"/>
          <w:szCs w:val="24"/>
        </w:rPr>
        <w:t>NSAID’er</w:t>
      </w:r>
      <w:proofErr w:type="spellEnd"/>
      <w:r>
        <w:rPr>
          <w:sz w:val="24"/>
          <w:szCs w:val="24"/>
        </w:rPr>
        <w:t xml:space="preserve"> kan forstærke virkningen af </w:t>
      </w:r>
      <w:proofErr w:type="spellStart"/>
      <w:r>
        <w:rPr>
          <w:sz w:val="24"/>
          <w:szCs w:val="24"/>
        </w:rPr>
        <w:t>antikoagulantia</w:t>
      </w:r>
      <w:proofErr w:type="spellEnd"/>
      <w:r>
        <w:rPr>
          <w:sz w:val="24"/>
          <w:szCs w:val="24"/>
        </w:rPr>
        <w:t xml:space="preserve">, såsom </w:t>
      </w:r>
      <w:proofErr w:type="spellStart"/>
      <w:r>
        <w:rPr>
          <w:sz w:val="24"/>
          <w:szCs w:val="24"/>
        </w:rPr>
        <w:t>warfarin</w:t>
      </w:r>
      <w:proofErr w:type="spellEnd"/>
      <w:r>
        <w:rPr>
          <w:sz w:val="24"/>
          <w:szCs w:val="24"/>
        </w:rPr>
        <w:t xml:space="preserve"> (se pkt. 4.4). I tilfælde af samtidig behandling anbefales monitorering af koagulationsstatus.</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Sulfonylurinstoffer</w:t>
      </w:r>
      <w:proofErr w:type="spellEnd"/>
      <w:r>
        <w:rPr>
          <w:sz w:val="24"/>
          <w:szCs w:val="24"/>
          <w:u w:val="single"/>
        </w:rPr>
        <w:t xml:space="preserve"> </w:t>
      </w:r>
    </w:p>
    <w:p w:rsidR="007311C1" w:rsidRDefault="007311C1" w:rsidP="007311C1">
      <w:pPr>
        <w:tabs>
          <w:tab w:val="left" w:pos="851"/>
        </w:tabs>
        <w:autoSpaceDE w:val="0"/>
        <w:autoSpaceDN w:val="0"/>
        <w:adjustRightInd w:val="0"/>
        <w:ind w:left="851"/>
        <w:rPr>
          <w:sz w:val="24"/>
          <w:szCs w:val="24"/>
        </w:rPr>
      </w:pPr>
      <w:proofErr w:type="spellStart"/>
      <w:r>
        <w:rPr>
          <w:sz w:val="24"/>
          <w:szCs w:val="24"/>
        </w:rPr>
        <w:t>NSAID’er</w:t>
      </w:r>
      <w:proofErr w:type="spellEnd"/>
      <w:r>
        <w:rPr>
          <w:sz w:val="24"/>
          <w:szCs w:val="24"/>
        </w:rPr>
        <w:t xml:space="preserve"> kan øge den hypoglykæmiske virkning af </w:t>
      </w:r>
      <w:proofErr w:type="spellStart"/>
      <w:r>
        <w:rPr>
          <w:sz w:val="24"/>
          <w:szCs w:val="24"/>
        </w:rPr>
        <w:t>sulfonylurinstoffer</w:t>
      </w:r>
      <w:proofErr w:type="spellEnd"/>
      <w:r>
        <w:rPr>
          <w:sz w:val="24"/>
          <w:szCs w:val="24"/>
        </w:rPr>
        <w:t xml:space="preserve">. I tilfælde af samtidig behandling anbefales det at monitorere </w:t>
      </w:r>
      <w:proofErr w:type="spellStart"/>
      <w:r>
        <w:rPr>
          <w:sz w:val="24"/>
          <w:szCs w:val="24"/>
        </w:rPr>
        <w:t>blodglucoseniveauet</w:t>
      </w:r>
      <w:proofErr w:type="spellEnd"/>
      <w:r>
        <w:rPr>
          <w:sz w:val="24"/>
          <w:szCs w:val="24"/>
        </w:rPr>
        <w:t xml:space="preserve">. </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Tacrolimus</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Øget risiko for </w:t>
      </w:r>
      <w:proofErr w:type="spellStart"/>
      <w:r>
        <w:rPr>
          <w:sz w:val="24"/>
          <w:szCs w:val="24"/>
        </w:rPr>
        <w:t>nefrotoksicitet</w:t>
      </w:r>
      <w:proofErr w:type="spellEnd"/>
      <w:r>
        <w:rPr>
          <w:sz w:val="24"/>
          <w:szCs w:val="24"/>
        </w:rPr>
        <w:t>.</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Zidovudin</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Der er evidens for en øget risiko for </w:t>
      </w:r>
      <w:proofErr w:type="spellStart"/>
      <w:r>
        <w:rPr>
          <w:sz w:val="24"/>
          <w:szCs w:val="24"/>
        </w:rPr>
        <w:t>hæmartrose</w:t>
      </w:r>
      <w:proofErr w:type="spellEnd"/>
      <w:r>
        <w:rPr>
          <w:sz w:val="24"/>
          <w:szCs w:val="24"/>
        </w:rPr>
        <w:t xml:space="preserve"> og </w:t>
      </w:r>
      <w:proofErr w:type="spellStart"/>
      <w:r>
        <w:rPr>
          <w:sz w:val="24"/>
          <w:szCs w:val="24"/>
        </w:rPr>
        <w:t>hæmatomer</w:t>
      </w:r>
      <w:proofErr w:type="spellEnd"/>
      <w:r>
        <w:rPr>
          <w:sz w:val="24"/>
          <w:szCs w:val="24"/>
        </w:rPr>
        <w:t xml:space="preserve"> hos hiv-positive hæmofilipatienter, der får samtidig behandling med </w:t>
      </w:r>
      <w:proofErr w:type="spellStart"/>
      <w:r>
        <w:rPr>
          <w:sz w:val="24"/>
          <w:szCs w:val="24"/>
        </w:rPr>
        <w:t>zidovudin</w:t>
      </w:r>
      <w:proofErr w:type="spellEnd"/>
      <w:r>
        <w:rPr>
          <w:sz w:val="24"/>
          <w:szCs w:val="24"/>
        </w:rPr>
        <w:t xml:space="preserve"> og ibuprofen. Der kan være en øget risiko for </w:t>
      </w:r>
      <w:proofErr w:type="spellStart"/>
      <w:r>
        <w:rPr>
          <w:sz w:val="24"/>
          <w:szCs w:val="24"/>
        </w:rPr>
        <w:t>hæmatotoksicitet</w:t>
      </w:r>
      <w:proofErr w:type="spellEnd"/>
      <w:r>
        <w:rPr>
          <w:sz w:val="24"/>
          <w:szCs w:val="24"/>
        </w:rPr>
        <w:t xml:space="preserve"> ved samtidig brug af </w:t>
      </w:r>
      <w:proofErr w:type="spellStart"/>
      <w:r>
        <w:rPr>
          <w:sz w:val="24"/>
          <w:szCs w:val="24"/>
        </w:rPr>
        <w:t>zidovudin</w:t>
      </w:r>
      <w:proofErr w:type="spellEnd"/>
      <w:r>
        <w:rPr>
          <w:sz w:val="24"/>
          <w:szCs w:val="24"/>
        </w:rPr>
        <w:t xml:space="preserve"> og </w:t>
      </w:r>
      <w:proofErr w:type="spellStart"/>
      <w:r>
        <w:rPr>
          <w:sz w:val="24"/>
          <w:szCs w:val="24"/>
        </w:rPr>
        <w:t>NSAID’er</w:t>
      </w:r>
      <w:proofErr w:type="spellEnd"/>
      <w:r>
        <w:rPr>
          <w:sz w:val="24"/>
          <w:szCs w:val="24"/>
        </w:rPr>
        <w:t xml:space="preserve">. </w:t>
      </w:r>
    </w:p>
    <w:p w:rsidR="00D06BDC" w:rsidRDefault="00D06BDC" w:rsidP="007311C1">
      <w:pPr>
        <w:tabs>
          <w:tab w:val="left" w:pos="851"/>
        </w:tabs>
        <w:autoSpaceDE w:val="0"/>
        <w:autoSpaceDN w:val="0"/>
        <w:adjustRightInd w:val="0"/>
        <w:ind w:left="851"/>
        <w:rPr>
          <w:i/>
          <w:sz w:val="24"/>
          <w:szCs w:val="24"/>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Probenecid</w:t>
      </w:r>
      <w:proofErr w:type="spellEnd"/>
      <w:r>
        <w:rPr>
          <w:sz w:val="24"/>
          <w:szCs w:val="24"/>
          <w:u w:val="single"/>
        </w:rPr>
        <w:t xml:space="preserve"> og </w:t>
      </w:r>
      <w:proofErr w:type="spellStart"/>
      <w:r>
        <w:rPr>
          <w:sz w:val="24"/>
          <w:szCs w:val="24"/>
          <w:u w:val="single"/>
        </w:rPr>
        <w:t>sulfinpyrazon</w:t>
      </w:r>
      <w:proofErr w:type="spellEnd"/>
    </w:p>
    <w:p w:rsidR="007311C1" w:rsidRDefault="007311C1" w:rsidP="007311C1">
      <w:pPr>
        <w:tabs>
          <w:tab w:val="left" w:pos="851"/>
        </w:tabs>
        <w:autoSpaceDE w:val="0"/>
        <w:autoSpaceDN w:val="0"/>
        <w:adjustRightInd w:val="0"/>
        <w:ind w:left="851"/>
        <w:rPr>
          <w:sz w:val="24"/>
          <w:szCs w:val="24"/>
        </w:rPr>
      </w:pPr>
      <w:r>
        <w:rPr>
          <w:sz w:val="24"/>
          <w:szCs w:val="24"/>
        </w:rPr>
        <w:t xml:space="preserve">Lægemidler, der indeholder </w:t>
      </w:r>
      <w:proofErr w:type="spellStart"/>
      <w:r>
        <w:rPr>
          <w:sz w:val="24"/>
          <w:szCs w:val="24"/>
        </w:rPr>
        <w:t>probenecid</w:t>
      </w:r>
      <w:proofErr w:type="spellEnd"/>
      <w:r>
        <w:rPr>
          <w:sz w:val="24"/>
          <w:szCs w:val="24"/>
        </w:rPr>
        <w:t xml:space="preserve"> eller </w:t>
      </w:r>
      <w:proofErr w:type="spellStart"/>
      <w:r>
        <w:rPr>
          <w:sz w:val="24"/>
          <w:szCs w:val="24"/>
        </w:rPr>
        <w:t>sulfinpyrazon</w:t>
      </w:r>
      <w:proofErr w:type="spellEnd"/>
      <w:r>
        <w:rPr>
          <w:sz w:val="24"/>
          <w:szCs w:val="24"/>
        </w:rPr>
        <w:t>, kan forsinke udskillelsen af ibuprofen.</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t>Quinolon</w:t>
      </w:r>
      <w:proofErr w:type="spellEnd"/>
      <w:r>
        <w:rPr>
          <w:sz w:val="24"/>
          <w:szCs w:val="24"/>
          <w:u w:val="single"/>
        </w:rPr>
        <w:t>-antibiotika</w:t>
      </w:r>
    </w:p>
    <w:p w:rsidR="007311C1" w:rsidRDefault="007311C1" w:rsidP="007311C1">
      <w:pPr>
        <w:tabs>
          <w:tab w:val="left" w:pos="851"/>
        </w:tabs>
        <w:autoSpaceDE w:val="0"/>
        <w:autoSpaceDN w:val="0"/>
        <w:adjustRightInd w:val="0"/>
        <w:ind w:left="851"/>
        <w:rPr>
          <w:sz w:val="24"/>
          <w:szCs w:val="24"/>
        </w:rPr>
      </w:pPr>
      <w:r>
        <w:rPr>
          <w:sz w:val="24"/>
          <w:szCs w:val="24"/>
        </w:rPr>
        <w:t xml:space="preserve">Data fra dyr tyder på, at </w:t>
      </w:r>
      <w:proofErr w:type="spellStart"/>
      <w:r>
        <w:rPr>
          <w:sz w:val="24"/>
          <w:szCs w:val="24"/>
        </w:rPr>
        <w:t>NSAID’er</w:t>
      </w:r>
      <w:proofErr w:type="spellEnd"/>
      <w:r>
        <w:rPr>
          <w:sz w:val="24"/>
          <w:szCs w:val="24"/>
        </w:rPr>
        <w:t xml:space="preserve"> kan øge risikoen for kramper i forbindelse med </w:t>
      </w:r>
      <w:proofErr w:type="spellStart"/>
      <w:r>
        <w:rPr>
          <w:sz w:val="24"/>
          <w:szCs w:val="24"/>
        </w:rPr>
        <w:t>quinolon</w:t>
      </w:r>
      <w:proofErr w:type="spellEnd"/>
      <w:r>
        <w:rPr>
          <w:sz w:val="24"/>
          <w:szCs w:val="24"/>
        </w:rPr>
        <w:t xml:space="preserve">-antibiotika. Patienter, der tager </w:t>
      </w:r>
      <w:proofErr w:type="spellStart"/>
      <w:r>
        <w:rPr>
          <w:sz w:val="24"/>
          <w:szCs w:val="24"/>
        </w:rPr>
        <w:t>NSAID’er</w:t>
      </w:r>
      <w:proofErr w:type="spellEnd"/>
      <w:r>
        <w:rPr>
          <w:sz w:val="24"/>
          <w:szCs w:val="24"/>
        </w:rPr>
        <w:t xml:space="preserve"> og </w:t>
      </w:r>
      <w:proofErr w:type="spellStart"/>
      <w:r>
        <w:rPr>
          <w:sz w:val="24"/>
          <w:szCs w:val="24"/>
        </w:rPr>
        <w:t>quinoloner</w:t>
      </w:r>
      <w:proofErr w:type="spellEnd"/>
      <w:r>
        <w:rPr>
          <w:sz w:val="24"/>
          <w:szCs w:val="24"/>
        </w:rPr>
        <w:t>, kan have en øget risiko for at udvikle kramper.</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r>
        <w:rPr>
          <w:sz w:val="24"/>
          <w:szCs w:val="24"/>
          <w:u w:val="single"/>
        </w:rPr>
        <w:t xml:space="preserve">CYP2C9-hæmmere </w:t>
      </w:r>
    </w:p>
    <w:p w:rsidR="007311C1" w:rsidRDefault="007311C1" w:rsidP="007311C1">
      <w:pPr>
        <w:tabs>
          <w:tab w:val="left" w:pos="851"/>
        </w:tabs>
        <w:autoSpaceDE w:val="0"/>
        <w:autoSpaceDN w:val="0"/>
        <w:adjustRightInd w:val="0"/>
        <w:ind w:left="851"/>
        <w:rPr>
          <w:sz w:val="24"/>
          <w:szCs w:val="24"/>
        </w:rPr>
      </w:pPr>
      <w:r>
        <w:rPr>
          <w:sz w:val="24"/>
          <w:szCs w:val="24"/>
        </w:rPr>
        <w:t xml:space="preserve">Samtidig administration af ibuprofen og CYP2C9-hæmmere kan øge eksponeringen for ibuprofen (CYP2C9-substrat). I et studie med </w:t>
      </w:r>
      <w:proofErr w:type="spellStart"/>
      <w:r>
        <w:rPr>
          <w:sz w:val="24"/>
          <w:szCs w:val="24"/>
        </w:rPr>
        <w:t>voriconazol</w:t>
      </w:r>
      <w:proofErr w:type="spellEnd"/>
      <w:r>
        <w:rPr>
          <w:sz w:val="24"/>
          <w:szCs w:val="24"/>
        </w:rPr>
        <w:t xml:space="preserve"> og </w:t>
      </w:r>
      <w:proofErr w:type="spellStart"/>
      <w:r>
        <w:rPr>
          <w:sz w:val="24"/>
          <w:szCs w:val="24"/>
        </w:rPr>
        <w:t>fluconazol</w:t>
      </w:r>
      <w:proofErr w:type="spellEnd"/>
      <w:r>
        <w:rPr>
          <w:sz w:val="24"/>
          <w:szCs w:val="24"/>
        </w:rPr>
        <w:t xml:space="preserve"> (CYP2C9-hæmmere) steg eksponeringen for </w:t>
      </w:r>
      <w:proofErr w:type="gramStart"/>
      <w:r>
        <w:rPr>
          <w:sz w:val="24"/>
          <w:szCs w:val="24"/>
        </w:rPr>
        <w:t>S(</w:t>
      </w:r>
      <w:proofErr w:type="gramEnd"/>
      <w:r>
        <w:rPr>
          <w:sz w:val="24"/>
          <w:szCs w:val="24"/>
        </w:rPr>
        <w:t xml:space="preserve">+)-ibuprofen med cirka 80 til 100 %. Det bør overvejes at reducere ibuprofendosen ved samtidig administration af potente CYP2C9-hæmmere, særligt ved administration af høje doser ibuprofen sammen med enten </w:t>
      </w:r>
      <w:proofErr w:type="spellStart"/>
      <w:r>
        <w:rPr>
          <w:sz w:val="24"/>
          <w:szCs w:val="24"/>
        </w:rPr>
        <w:t>voriconazol</w:t>
      </w:r>
      <w:proofErr w:type="spellEnd"/>
      <w:r>
        <w:rPr>
          <w:sz w:val="24"/>
          <w:szCs w:val="24"/>
        </w:rPr>
        <w:t xml:space="preserve"> eller </w:t>
      </w:r>
      <w:proofErr w:type="spellStart"/>
      <w:r>
        <w:rPr>
          <w:sz w:val="24"/>
          <w:szCs w:val="24"/>
        </w:rPr>
        <w:t>fluconazol</w:t>
      </w:r>
      <w:proofErr w:type="spellEnd"/>
      <w:r>
        <w:rPr>
          <w:sz w:val="24"/>
          <w:szCs w:val="24"/>
        </w:rPr>
        <w:t>.</w:t>
      </w:r>
    </w:p>
    <w:p w:rsidR="007311C1" w:rsidRDefault="007311C1" w:rsidP="007311C1">
      <w:pPr>
        <w:tabs>
          <w:tab w:val="left" w:pos="851"/>
        </w:tabs>
        <w:autoSpaceDE w:val="0"/>
        <w:autoSpaceDN w:val="0"/>
        <w:adjustRightInd w:val="0"/>
        <w:ind w:left="851"/>
        <w:rPr>
          <w:i/>
          <w:sz w:val="24"/>
          <w:szCs w:val="24"/>
          <w:u w:val="single"/>
        </w:rPr>
      </w:pPr>
    </w:p>
    <w:p w:rsidR="000B7C24" w:rsidRDefault="000B7C24">
      <w:pPr>
        <w:rPr>
          <w:sz w:val="24"/>
          <w:szCs w:val="24"/>
          <w:u w:val="single"/>
        </w:rPr>
      </w:pPr>
      <w:r>
        <w:rPr>
          <w:sz w:val="24"/>
          <w:szCs w:val="24"/>
          <w:u w:val="single"/>
        </w:rPr>
        <w:br w:type="page"/>
      </w:r>
    </w:p>
    <w:p w:rsidR="007311C1" w:rsidRDefault="007311C1" w:rsidP="007311C1">
      <w:pPr>
        <w:tabs>
          <w:tab w:val="left" w:pos="851"/>
        </w:tabs>
        <w:autoSpaceDE w:val="0"/>
        <w:autoSpaceDN w:val="0"/>
        <w:adjustRightInd w:val="0"/>
        <w:ind w:left="851"/>
        <w:rPr>
          <w:sz w:val="24"/>
          <w:szCs w:val="24"/>
          <w:u w:val="single"/>
        </w:rPr>
      </w:pPr>
      <w:proofErr w:type="spellStart"/>
      <w:r>
        <w:rPr>
          <w:sz w:val="24"/>
          <w:szCs w:val="24"/>
          <w:u w:val="single"/>
        </w:rPr>
        <w:lastRenderedPageBreak/>
        <w:t>Mifepriston</w:t>
      </w:r>
      <w:proofErr w:type="spellEnd"/>
    </w:p>
    <w:p w:rsidR="007311C1" w:rsidRDefault="007311C1" w:rsidP="007311C1">
      <w:pPr>
        <w:tabs>
          <w:tab w:val="left" w:pos="851"/>
        </w:tabs>
        <w:autoSpaceDE w:val="0"/>
        <w:autoSpaceDN w:val="0"/>
        <w:adjustRightInd w:val="0"/>
        <w:ind w:left="851"/>
        <w:rPr>
          <w:i/>
          <w:sz w:val="24"/>
          <w:szCs w:val="24"/>
          <w:u w:val="single"/>
        </w:rPr>
      </w:pPr>
      <w:r>
        <w:rPr>
          <w:sz w:val="24"/>
          <w:szCs w:val="24"/>
        </w:rPr>
        <w:t xml:space="preserve">Hvis </w:t>
      </w:r>
      <w:proofErr w:type="spellStart"/>
      <w:r>
        <w:rPr>
          <w:sz w:val="24"/>
          <w:szCs w:val="24"/>
        </w:rPr>
        <w:t>NSAID’er</w:t>
      </w:r>
      <w:proofErr w:type="spellEnd"/>
      <w:r>
        <w:rPr>
          <w:sz w:val="24"/>
          <w:szCs w:val="24"/>
        </w:rPr>
        <w:t xml:space="preserve"> anvendes inden for 8-12 dage efter administration af </w:t>
      </w:r>
      <w:proofErr w:type="spellStart"/>
      <w:r>
        <w:rPr>
          <w:sz w:val="24"/>
          <w:szCs w:val="24"/>
        </w:rPr>
        <w:t>mifepriston</w:t>
      </w:r>
      <w:proofErr w:type="spellEnd"/>
      <w:r>
        <w:rPr>
          <w:sz w:val="24"/>
          <w:szCs w:val="24"/>
        </w:rPr>
        <w:t xml:space="preserve">, kan de nedsætte virkningen af </w:t>
      </w:r>
      <w:proofErr w:type="spellStart"/>
      <w:r>
        <w:rPr>
          <w:sz w:val="24"/>
          <w:szCs w:val="24"/>
        </w:rPr>
        <w:t>mifepriston</w:t>
      </w:r>
      <w:proofErr w:type="spellEnd"/>
      <w:r>
        <w:rPr>
          <w:sz w:val="24"/>
          <w:szCs w:val="24"/>
        </w:rPr>
        <w:t>.</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keepNext/>
        <w:tabs>
          <w:tab w:val="left" w:pos="851"/>
        </w:tabs>
        <w:autoSpaceDE w:val="0"/>
        <w:autoSpaceDN w:val="0"/>
        <w:adjustRightInd w:val="0"/>
        <w:ind w:left="851"/>
        <w:rPr>
          <w:sz w:val="24"/>
          <w:szCs w:val="24"/>
          <w:u w:val="single"/>
        </w:rPr>
      </w:pPr>
      <w:r>
        <w:rPr>
          <w:sz w:val="24"/>
          <w:szCs w:val="24"/>
          <w:u w:val="single"/>
        </w:rPr>
        <w:t>Alkohol</w:t>
      </w:r>
    </w:p>
    <w:p w:rsidR="007311C1" w:rsidRDefault="007311C1" w:rsidP="007311C1">
      <w:pPr>
        <w:tabs>
          <w:tab w:val="left" w:pos="851"/>
        </w:tabs>
        <w:autoSpaceDE w:val="0"/>
        <w:autoSpaceDN w:val="0"/>
        <w:adjustRightInd w:val="0"/>
        <w:ind w:left="851"/>
        <w:rPr>
          <w:sz w:val="24"/>
          <w:szCs w:val="24"/>
        </w:rPr>
      </w:pPr>
      <w:r>
        <w:rPr>
          <w:sz w:val="24"/>
          <w:szCs w:val="24"/>
        </w:rPr>
        <w:t>Brug af ibuprofen bør undgås hos personer med kronisk alkoholindtag (14</w:t>
      </w:r>
      <w:r>
        <w:rPr>
          <w:sz w:val="24"/>
          <w:szCs w:val="24"/>
        </w:rPr>
        <w:noBreakHyphen/>
        <w:t xml:space="preserve">20 genstande/uge eller mere) på grund af en øget risiko for betydelige </w:t>
      </w:r>
      <w:proofErr w:type="spellStart"/>
      <w:r>
        <w:rPr>
          <w:sz w:val="24"/>
          <w:szCs w:val="24"/>
        </w:rPr>
        <w:t>gastrointestinale</w:t>
      </w:r>
      <w:proofErr w:type="spellEnd"/>
      <w:r>
        <w:rPr>
          <w:sz w:val="24"/>
          <w:szCs w:val="24"/>
        </w:rPr>
        <w:t xml:space="preserve"> bivirkninger, herunder blødning.</w:t>
      </w:r>
    </w:p>
    <w:p w:rsidR="007311C1" w:rsidRDefault="007311C1" w:rsidP="007311C1">
      <w:pPr>
        <w:tabs>
          <w:tab w:val="left" w:pos="851"/>
        </w:tabs>
        <w:autoSpaceDE w:val="0"/>
        <w:autoSpaceDN w:val="0"/>
        <w:adjustRightInd w:val="0"/>
        <w:ind w:left="851"/>
        <w:rPr>
          <w:i/>
          <w:sz w:val="24"/>
          <w:szCs w:val="24"/>
          <w:u w:val="single"/>
        </w:rPr>
      </w:pPr>
    </w:p>
    <w:p w:rsidR="007311C1" w:rsidRDefault="007311C1" w:rsidP="007311C1">
      <w:pPr>
        <w:tabs>
          <w:tab w:val="left" w:pos="851"/>
        </w:tabs>
        <w:autoSpaceDE w:val="0"/>
        <w:autoSpaceDN w:val="0"/>
        <w:adjustRightInd w:val="0"/>
        <w:ind w:left="851"/>
        <w:rPr>
          <w:sz w:val="24"/>
          <w:szCs w:val="24"/>
          <w:u w:val="single"/>
        </w:rPr>
      </w:pPr>
      <w:r>
        <w:rPr>
          <w:sz w:val="24"/>
          <w:szCs w:val="24"/>
          <w:u w:val="single"/>
        </w:rPr>
        <w:t>Aminoglykosider</w:t>
      </w:r>
    </w:p>
    <w:p w:rsidR="00EF5645" w:rsidRDefault="00EF5645" w:rsidP="00EF5645">
      <w:pPr>
        <w:tabs>
          <w:tab w:val="left" w:pos="851"/>
        </w:tabs>
        <w:autoSpaceDE w:val="0"/>
        <w:autoSpaceDN w:val="0"/>
        <w:adjustRightInd w:val="0"/>
        <w:ind w:left="851"/>
        <w:rPr>
          <w:sz w:val="24"/>
          <w:szCs w:val="24"/>
        </w:rPr>
      </w:pPr>
      <w:proofErr w:type="spellStart"/>
      <w:r>
        <w:rPr>
          <w:sz w:val="24"/>
          <w:szCs w:val="24"/>
        </w:rPr>
        <w:t>NSAID’er</w:t>
      </w:r>
      <w:proofErr w:type="spellEnd"/>
      <w:r>
        <w:rPr>
          <w:sz w:val="24"/>
          <w:szCs w:val="24"/>
        </w:rPr>
        <w:t xml:space="preserve"> kan reducere udskillelsen og dermed øge toksiciteten af aminoglykosider. </w:t>
      </w:r>
      <w:bookmarkStart w:id="0" w:name="_Hlk52352020"/>
    </w:p>
    <w:bookmarkEnd w:id="0"/>
    <w:p w:rsidR="007311C1" w:rsidRDefault="007311C1" w:rsidP="007311C1">
      <w:pPr>
        <w:tabs>
          <w:tab w:val="left" w:pos="851"/>
        </w:tabs>
        <w:autoSpaceDE w:val="0"/>
        <w:autoSpaceDN w:val="0"/>
        <w:adjustRightInd w:val="0"/>
        <w:ind w:left="851"/>
        <w:rPr>
          <w:sz w:val="24"/>
          <w:szCs w:val="24"/>
        </w:rPr>
      </w:pPr>
    </w:p>
    <w:p w:rsidR="007311C1" w:rsidRDefault="007311C1" w:rsidP="007311C1">
      <w:pPr>
        <w:tabs>
          <w:tab w:val="left" w:pos="851"/>
        </w:tabs>
        <w:autoSpaceDE w:val="0"/>
        <w:autoSpaceDN w:val="0"/>
        <w:adjustRightInd w:val="0"/>
        <w:ind w:left="851"/>
        <w:rPr>
          <w:sz w:val="24"/>
          <w:szCs w:val="24"/>
          <w:u w:val="single"/>
        </w:rPr>
      </w:pPr>
      <w:r>
        <w:rPr>
          <w:sz w:val="24"/>
          <w:szCs w:val="24"/>
          <w:u w:val="single"/>
        </w:rPr>
        <w:t>Urteekstrakter</w:t>
      </w:r>
    </w:p>
    <w:p w:rsidR="007311C1" w:rsidRDefault="007311C1" w:rsidP="007311C1">
      <w:pPr>
        <w:tabs>
          <w:tab w:val="left" w:pos="851"/>
        </w:tabs>
        <w:autoSpaceDE w:val="0"/>
        <w:autoSpaceDN w:val="0"/>
        <w:adjustRightInd w:val="0"/>
        <w:ind w:left="851"/>
        <w:rPr>
          <w:sz w:val="24"/>
          <w:szCs w:val="24"/>
        </w:rPr>
      </w:pPr>
      <w:proofErr w:type="spellStart"/>
      <w:r>
        <w:rPr>
          <w:sz w:val="24"/>
          <w:szCs w:val="24"/>
        </w:rPr>
        <w:t>Ginkgo</w:t>
      </w:r>
      <w:proofErr w:type="spellEnd"/>
      <w:r>
        <w:rPr>
          <w:sz w:val="24"/>
          <w:szCs w:val="24"/>
        </w:rPr>
        <w:t xml:space="preserve"> </w:t>
      </w:r>
      <w:proofErr w:type="spellStart"/>
      <w:r>
        <w:rPr>
          <w:sz w:val="24"/>
          <w:szCs w:val="24"/>
        </w:rPr>
        <w:t>biloba</w:t>
      </w:r>
      <w:proofErr w:type="spellEnd"/>
      <w:r>
        <w:rPr>
          <w:sz w:val="24"/>
          <w:szCs w:val="24"/>
        </w:rPr>
        <w:t xml:space="preserve"> kan øge risikoen for blødning ved </w:t>
      </w:r>
      <w:proofErr w:type="spellStart"/>
      <w:r>
        <w:rPr>
          <w:sz w:val="24"/>
          <w:szCs w:val="24"/>
        </w:rPr>
        <w:t>NSAID’er</w:t>
      </w:r>
      <w:proofErr w:type="spellEnd"/>
      <w:r>
        <w:rPr>
          <w:sz w:val="24"/>
          <w:szCs w:val="24"/>
        </w:rPr>
        <w:t>.</w:t>
      </w:r>
    </w:p>
    <w:p w:rsidR="005F0AAF" w:rsidRPr="00C84483" w:rsidRDefault="005F0AAF" w:rsidP="005F0AAF">
      <w:pPr>
        <w:tabs>
          <w:tab w:val="left" w:pos="851"/>
        </w:tabs>
        <w:ind w:left="851"/>
        <w:rPr>
          <w:sz w:val="24"/>
          <w:szCs w:val="24"/>
        </w:rPr>
      </w:pPr>
    </w:p>
    <w:p w:rsidR="005F0AAF" w:rsidRPr="00CD1EB6" w:rsidRDefault="005F0AAF" w:rsidP="005F0AAF">
      <w:pPr>
        <w:tabs>
          <w:tab w:val="left" w:pos="851"/>
        </w:tabs>
        <w:ind w:left="851" w:hanging="851"/>
        <w:rPr>
          <w:b/>
          <w:sz w:val="24"/>
          <w:szCs w:val="24"/>
        </w:rPr>
      </w:pPr>
      <w:r w:rsidRPr="00C84483">
        <w:rPr>
          <w:b/>
          <w:sz w:val="24"/>
          <w:szCs w:val="24"/>
        </w:rPr>
        <w:t>4.6</w:t>
      </w:r>
      <w:r w:rsidRPr="00C84483">
        <w:rPr>
          <w:b/>
          <w:sz w:val="24"/>
          <w:szCs w:val="24"/>
        </w:rPr>
        <w:tab/>
      </w:r>
      <w:r w:rsidR="002A4E69">
        <w:rPr>
          <w:b/>
          <w:sz w:val="24"/>
          <w:szCs w:val="24"/>
        </w:rPr>
        <w:t>Fertilitet, g</w:t>
      </w:r>
      <w:r w:rsidRPr="00C84483">
        <w:rPr>
          <w:b/>
          <w:sz w:val="24"/>
          <w:szCs w:val="24"/>
        </w:rPr>
        <w:t>raviditet og amning</w:t>
      </w:r>
    </w:p>
    <w:p w:rsidR="005F0AAF" w:rsidRPr="00DF332F" w:rsidRDefault="005F0AAF" w:rsidP="005F0AAF">
      <w:pPr>
        <w:tabs>
          <w:tab w:val="left" w:pos="851"/>
        </w:tabs>
        <w:autoSpaceDE w:val="0"/>
        <w:autoSpaceDN w:val="0"/>
        <w:adjustRightInd w:val="0"/>
        <w:ind w:left="851"/>
        <w:rPr>
          <w:sz w:val="24"/>
          <w:szCs w:val="24"/>
          <w:u w:val="single"/>
        </w:rPr>
      </w:pPr>
      <w:r>
        <w:rPr>
          <w:sz w:val="24"/>
          <w:szCs w:val="24"/>
          <w:u w:val="single"/>
        </w:rPr>
        <w:t>Graviditet</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Hæmning af </w:t>
      </w:r>
      <w:proofErr w:type="spellStart"/>
      <w:r w:rsidRPr="0090757A">
        <w:rPr>
          <w:sz w:val="24"/>
          <w:szCs w:val="24"/>
        </w:rPr>
        <w:t>prostaglandinsyntesen</w:t>
      </w:r>
      <w:proofErr w:type="spellEnd"/>
      <w:r w:rsidRPr="0090757A">
        <w:rPr>
          <w:sz w:val="24"/>
          <w:szCs w:val="24"/>
        </w:rPr>
        <w:t xml:space="preserve"> kan have en skadelig virkning på graviditeten og/eller embryo-/fosterudviklingen. Data fra epidemiologiske studier tyder på en øget risiko for spontan abort samt hjertemisdannelser og </w:t>
      </w:r>
      <w:proofErr w:type="spellStart"/>
      <w:r w:rsidRPr="0090757A">
        <w:rPr>
          <w:sz w:val="24"/>
          <w:szCs w:val="24"/>
        </w:rPr>
        <w:t>gastroskise</w:t>
      </w:r>
      <w:proofErr w:type="spellEnd"/>
      <w:r w:rsidRPr="0090757A">
        <w:rPr>
          <w:sz w:val="24"/>
          <w:szCs w:val="24"/>
        </w:rPr>
        <w:t xml:space="preserve"> efter brug af </w:t>
      </w:r>
      <w:proofErr w:type="spellStart"/>
      <w:r w:rsidRPr="0090757A">
        <w:rPr>
          <w:sz w:val="24"/>
          <w:szCs w:val="24"/>
        </w:rPr>
        <w:t>prostaglandinsyntesehæmmere</w:t>
      </w:r>
      <w:proofErr w:type="spellEnd"/>
      <w:r w:rsidRPr="0090757A">
        <w:rPr>
          <w:sz w:val="24"/>
          <w:szCs w:val="24"/>
        </w:rPr>
        <w:t xml:space="preserve"> i den tidlige graviditet. Den absolutte risiko for </w:t>
      </w:r>
      <w:proofErr w:type="spellStart"/>
      <w:r w:rsidRPr="0090757A">
        <w:rPr>
          <w:sz w:val="24"/>
          <w:szCs w:val="24"/>
        </w:rPr>
        <w:t>kardiovaskulære</w:t>
      </w:r>
      <w:proofErr w:type="spellEnd"/>
      <w:r w:rsidRPr="0090757A">
        <w:rPr>
          <w:sz w:val="24"/>
          <w:szCs w:val="24"/>
        </w:rPr>
        <w:t xml:space="preserve"> misdannelser blev øget fra under 1 % til ca. 1,5 %. Risikoen menes at stige i takt med dosis og behandlingsvarighed.</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Hos dyr er det påvist, at administration af en </w:t>
      </w:r>
      <w:proofErr w:type="spellStart"/>
      <w:r w:rsidRPr="0090757A">
        <w:rPr>
          <w:sz w:val="24"/>
          <w:szCs w:val="24"/>
        </w:rPr>
        <w:t>prostaglandinsyntesehæmmer</w:t>
      </w:r>
      <w:proofErr w:type="spellEnd"/>
      <w:r w:rsidRPr="0090757A">
        <w:rPr>
          <w:sz w:val="24"/>
          <w:szCs w:val="24"/>
        </w:rPr>
        <w:t xml:space="preserve"> resulterer i øget præ- og postimplantationstab og </w:t>
      </w:r>
      <w:proofErr w:type="spellStart"/>
      <w:r w:rsidRPr="0090757A">
        <w:rPr>
          <w:sz w:val="24"/>
          <w:szCs w:val="24"/>
        </w:rPr>
        <w:t>embryoføtal</w:t>
      </w:r>
      <w:proofErr w:type="spellEnd"/>
      <w:r w:rsidRPr="0090757A">
        <w:rPr>
          <w:sz w:val="24"/>
          <w:szCs w:val="24"/>
        </w:rPr>
        <w:t xml:space="preserve"> mortalitet. Derudover er der rapporteret om øgede forekomster af diverse misdannelser, herunder </w:t>
      </w:r>
      <w:proofErr w:type="spellStart"/>
      <w:r w:rsidRPr="0090757A">
        <w:rPr>
          <w:sz w:val="24"/>
          <w:szCs w:val="24"/>
        </w:rPr>
        <w:t>kardiovaskulære</w:t>
      </w:r>
      <w:proofErr w:type="spellEnd"/>
      <w:r w:rsidRPr="0090757A">
        <w:rPr>
          <w:sz w:val="24"/>
          <w:szCs w:val="24"/>
        </w:rPr>
        <w:t xml:space="preserve">, hos dyr, der fik en </w:t>
      </w:r>
      <w:proofErr w:type="spellStart"/>
      <w:r w:rsidRPr="0090757A">
        <w:rPr>
          <w:sz w:val="24"/>
          <w:szCs w:val="24"/>
        </w:rPr>
        <w:t>prostaglandinsyntesehæmmer</w:t>
      </w:r>
      <w:proofErr w:type="spellEnd"/>
      <w:r w:rsidRPr="0090757A">
        <w:rPr>
          <w:sz w:val="24"/>
          <w:szCs w:val="24"/>
        </w:rPr>
        <w:t xml:space="preserve"> i den </w:t>
      </w:r>
      <w:proofErr w:type="spellStart"/>
      <w:r w:rsidRPr="0090757A">
        <w:rPr>
          <w:sz w:val="24"/>
          <w:szCs w:val="24"/>
        </w:rPr>
        <w:t>organogenetiske</w:t>
      </w:r>
      <w:proofErr w:type="spellEnd"/>
      <w:r w:rsidRPr="0090757A">
        <w:rPr>
          <w:sz w:val="24"/>
          <w:szCs w:val="24"/>
        </w:rPr>
        <w:t xml:space="preserve"> periode (se pkt. 5.3).</w:t>
      </w:r>
    </w:p>
    <w:p w:rsidR="005F0AAF" w:rsidRPr="0090757A" w:rsidRDefault="005F0AAF" w:rsidP="005F0AAF">
      <w:pPr>
        <w:tabs>
          <w:tab w:val="left" w:pos="851"/>
        </w:tabs>
        <w:autoSpaceDE w:val="0"/>
        <w:autoSpaceDN w:val="0"/>
        <w:adjustRightInd w:val="0"/>
        <w:ind w:left="851"/>
        <w:rPr>
          <w:sz w:val="24"/>
          <w:szCs w:val="24"/>
        </w:rPr>
      </w:pPr>
    </w:p>
    <w:p w:rsidR="002A4E69" w:rsidRPr="002A4E69" w:rsidRDefault="002A4E69" w:rsidP="002A4E69">
      <w:pPr>
        <w:tabs>
          <w:tab w:val="left" w:pos="851"/>
        </w:tabs>
        <w:autoSpaceDE w:val="0"/>
        <w:autoSpaceDN w:val="0"/>
        <w:adjustRightInd w:val="0"/>
        <w:ind w:left="851"/>
        <w:rPr>
          <w:sz w:val="24"/>
          <w:szCs w:val="24"/>
        </w:rPr>
      </w:pPr>
      <w:r w:rsidRPr="002A4E69">
        <w:rPr>
          <w:sz w:val="24"/>
          <w:szCs w:val="24"/>
        </w:rPr>
        <w:t xml:space="preserve">Fra og med 20. graviditetsuge kan brug af ibuprofen forårsage </w:t>
      </w:r>
      <w:proofErr w:type="spellStart"/>
      <w:r w:rsidRPr="002A4E69">
        <w:rPr>
          <w:sz w:val="24"/>
          <w:szCs w:val="24"/>
        </w:rPr>
        <w:t>oligohydramnion</w:t>
      </w:r>
      <w:proofErr w:type="spellEnd"/>
      <w:r w:rsidRPr="002A4E69">
        <w:rPr>
          <w:sz w:val="24"/>
          <w:szCs w:val="24"/>
        </w:rPr>
        <w:t xml:space="preserve"> som følge af nedsat nyrefunktion hos fosteret. Dette kan forekomme kort efter behandlingsstart og er normalt reversibelt ved </w:t>
      </w:r>
      <w:proofErr w:type="spellStart"/>
      <w:r w:rsidRPr="002A4E69">
        <w:rPr>
          <w:sz w:val="24"/>
          <w:szCs w:val="24"/>
        </w:rPr>
        <w:t>seponering</w:t>
      </w:r>
      <w:proofErr w:type="spellEnd"/>
      <w:r w:rsidRPr="002A4E69">
        <w:rPr>
          <w:sz w:val="24"/>
          <w:szCs w:val="24"/>
        </w:rPr>
        <w:t xml:space="preserve">. Derudover har der været rapporteret tilfælde af konstriktion af </w:t>
      </w:r>
      <w:proofErr w:type="spellStart"/>
      <w:r w:rsidRPr="002A4E69">
        <w:rPr>
          <w:sz w:val="24"/>
          <w:szCs w:val="24"/>
        </w:rPr>
        <w:t>ductus</w:t>
      </w:r>
      <w:proofErr w:type="spellEnd"/>
      <w:r w:rsidRPr="002A4E69">
        <w:rPr>
          <w:sz w:val="24"/>
          <w:szCs w:val="24"/>
        </w:rPr>
        <w:t xml:space="preserve"> </w:t>
      </w:r>
      <w:proofErr w:type="spellStart"/>
      <w:r w:rsidRPr="002A4E69">
        <w:rPr>
          <w:sz w:val="24"/>
          <w:szCs w:val="24"/>
        </w:rPr>
        <w:t>arteriosus</w:t>
      </w:r>
      <w:proofErr w:type="spellEnd"/>
      <w:r w:rsidRPr="002A4E69">
        <w:rPr>
          <w:sz w:val="24"/>
          <w:szCs w:val="24"/>
        </w:rPr>
        <w:t xml:space="preserve"> efter behandling i andet trimester, hvoraf de fleste tilfælde forsvandt efter ophør af behandling. Derfor, bør ibuprofen ikke gives i første og andet trimester af graviditeten, medmindre det er strengt nødvendigt. Hvis ibuprofen bruges </w:t>
      </w:r>
      <w:proofErr w:type="gramStart"/>
      <w:r w:rsidRPr="002A4E69">
        <w:rPr>
          <w:sz w:val="24"/>
          <w:szCs w:val="24"/>
        </w:rPr>
        <w:t>af  kvinder</w:t>
      </w:r>
      <w:proofErr w:type="gramEnd"/>
      <w:r w:rsidRPr="002A4E69">
        <w:rPr>
          <w:sz w:val="24"/>
          <w:szCs w:val="24"/>
        </w:rPr>
        <w:t xml:space="preserve">, der forsøger at blive gravid, eller bruges  i første og andet trimester af graviditeten, bør dosis holdes så lav og behandlingsvarigheden så kort som mulig. Selvom brug af </w:t>
      </w:r>
      <w:proofErr w:type="spellStart"/>
      <w:r w:rsidRPr="002A4E69">
        <w:rPr>
          <w:sz w:val="24"/>
          <w:szCs w:val="24"/>
        </w:rPr>
        <w:t>i.v</w:t>
      </w:r>
      <w:proofErr w:type="spellEnd"/>
      <w:r w:rsidRPr="002A4E69">
        <w:rPr>
          <w:sz w:val="24"/>
          <w:szCs w:val="24"/>
        </w:rPr>
        <w:t xml:space="preserve">. ibuprofen kun er indiceret til op til 3 dages behandling, bør det overvejes at foretage </w:t>
      </w:r>
      <w:proofErr w:type="spellStart"/>
      <w:r w:rsidRPr="002A4E69">
        <w:rPr>
          <w:sz w:val="24"/>
          <w:szCs w:val="24"/>
        </w:rPr>
        <w:t>antenatal</w:t>
      </w:r>
      <w:proofErr w:type="spellEnd"/>
      <w:r w:rsidRPr="002A4E69">
        <w:rPr>
          <w:sz w:val="24"/>
          <w:szCs w:val="24"/>
        </w:rPr>
        <w:t xml:space="preserve"> overvågning for </w:t>
      </w:r>
      <w:proofErr w:type="spellStart"/>
      <w:r w:rsidRPr="002A4E69">
        <w:rPr>
          <w:sz w:val="24"/>
          <w:szCs w:val="24"/>
        </w:rPr>
        <w:t>oligohydramnion</w:t>
      </w:r>
      <w:proofErr w:type="spellEnd"/>
      <w:r w:rsidRPr="002A4E69">
        <w:rPr>
          <w:sz w:val="24"/>
          <w:szCs w:val="24"/>
        </w:rPr>
        <w:t xml:space="preserve"> og konstriktion af </w:t>
      </w:r>
      <w:proofErr w:type="spellStart"/>
      <w:r w:rsidRPr="002A4E69">
        <w:rPr>
          <w:sz w:val="24"/>
          <w:szCs w:val="24"/>
        </w:rPr>
        <w:t>ductus</w:t>
      </w:r>
      <w:proofErr w:type="spellEnd"/>
      <w:r w:rsidRPr="002A4E69">
        <w:rPr>
          <w:sz w:val="24"/>
          <w:szCs w:val="24"/>
        </w:rPr>
        <w:t xml:space="preserve"> </w:t>
      </w:r>
      <w:proofErr w:type="spellStart"/>
      <w:r w:rsidRPr="002A4E69">
        <w:rPr>
          <w:sz w:val="24"/>
          <w:szCs w:val="24"/>
        </w:rPr>
        <w:t>arteriosus</w:t>
      </w:r>
      <w:proofErr w:type="spellEnd"/>
      <w:r w:rsidRPr="002A4E69">
        <w:rPr>
          <w:sz w:val="24"/>
          <w:szCs w:val="24"/>
        </w:rPr>
        <w:t xml:space="preserve"> efter eksponering for ibuprofen i flere dage fra 20. </w:t>
      </w:r>
      <w:proofErr w:type="spellStart"/>
      <w:r w:rsidRPr="002A4E69">
        <w:rPr>
          <w:sz w:val="24"/>
          <w:szCs w:val="24"/>
        </w:rPr>
        <w:t>gestationsuge</w:t>
      </w:r>
      <w:proofErr w:type="spellEnd"/>
      <w:r w:rsidRPr="002A4E69">
        <w:rPr>
          <w:sz w:val="24"/>
          <w:szCs w:val="24"/>
        </w:rPr>
        <w:t xml:space="preserve"> og frem. Ibuprofen bør seponeres, hvis der konstateres </w:t>
      </w:r>
      <w:proofErr w:type="spellStart"/>
      <w:r w:rsidRPr="002A4E69">
        <w:rPr>
          <w:sz w:val="24"/>
          <w:szCs w:val="24"/>
        </w:rPr>
        <w:t>oligohydramnion</w:t>
      </w:r>
      <w:proofErr w:type="spellEnd"/>
      <w:r w:rsidRPr="002A4E69">
        <w:rPr>
          <w:sz w:val="24"/>
          <w:szCs w:val="24"/>
        </w:rPr>
        <w:t xml:space="preserve"> eller konstriktion af </w:t>
      </w:r>
      <w:proofErr w:type="spellStart"/>
      <w:r w:rsidRPr="002A4E69">
        <w:rPr>
          <w:sz w:val="24"/>
          <w:szCs w:val="24"/>
        </w:rPr>
        <w:t>ductus</w:t>
      </w:r>
      <w:proofErr w:type="spellEnd"/>
      <w:r w:rsidRPr="002A4E69">
        <w:rPr>
          <w:sz w:val="24"/>
          <w:szCs w:val="24"/>
        </w:rPr>
        <w:t xml:space="preserve"> </w:t>
      </w:r>
      <w:proofErr w:type="spellStart"/>
      <w:r w:rsidRPr="002A4E69">
        <w:rPr>
          <w:sz w:val="24"/>
          <w:szCs w:val="24"/>
        </w:rPr>
        <w:t>ateriosus</w:t>
      </w:r>
      <w:proofErr w:type="spellEnd"/>
      <w:r w:rsidRPr="002A4E69">
        <w:rPr>
          <w:sz w:val="24"/>
          <w:szCs w:val="24"/>
        </w:rPr>
        <w:t>.</w:t>
      </w:r>
    </w:p>
    <w:p w:rsidR="002A4E69" w:rsidRPr="002A4E69" w:rsidRDefault="002A4E69" w:rsidP="002A4E69">
      <w:pPr>
        <w:tabs>
          <w:tab w:val="left" w:pos="851"/>
        </w:tabs>
        <w:autoSpaceDE w:val="0"/>
        <w:autoSpaceDN w:val="0"/>
        <w:adjustRightInd w:val="0"/>
        <w:ind w:left="851"/>
        <w:rPr>
          <w:sz w:val="24"/>
          <w:szCs w:val="24"/>
        </w:rPr>
      </w:pPr>
    </w:p>
    <w:p w:rsidR="002A4E69" w:rsidRPr="002A4E69" w:rsidRDefault="002A4E69" w:rsidP="002A4E69">
      <w:pPr>
        <w:tabs>
          <w:tab w:val="left" w:pos="851"/>
        </w:tabs>
        <w:autoSpaceDE w:val="0"/>
        <w:autoSpaceDN w:val="0"/>
        <w:adjustRightInd w:val="0"/>
        <w:ind w:left="851"/>
        <w:rPr>
          <w:sz w:val="24"/>
          <w:szCs w:val="24"/>
        </w:rPr>
      </w:pPr>
      <w:r w:rsidRPr="002A4E69">
        <w:rPr>
          <w:sz w:val="24"/>
          <w:szCs w:val="24"/>
        </w:rPr>
        <w:t xml:space="preserve">I tredje trimester af graviditeten kan alle </w:t>
      </w:r>
      <w:proofErr w:type="spellStart"/>
      <w:r w:rsidRPr="002A4E69">
        <w:rPr>
          <w:sz w:val="24"/>
          <w:szCs w:val="24"/>
        </w:rPr>
        <w:t>prostaglandinsyntesehæmmere</w:t>
      </w:r>
      <w:proofErr w:type="spellEnd"/>
      <w:r w:rsidRPr="002A4E69">
        <w:rPr>
          <w:sz w:val="24"/>
          <w:szCs w:val="24"/>
        </w:rPr>
        <w:t>:</w:t>
      </w:r>
    </w:p>
    <w:p w:rsidR="002A4E69" w:rsidRPr="002A4E69" w:rsidRDefault="002A4E69" w:rsidP="002A4E69">
      <w:pPr>
        <w:tabs>
          <w:tab w:val="left" w:pos="1134"/>
        </w:tabs>
        <w:autoSpaceDE w:val="0"/>
        <w:autoSpaceDN w:val="0"/>
        <w:adjustRightInd w:val="0"/>
        <w:ind w:left="851"/>
        <w:rPr>
          <w:sz w:val="24"/>
          <w:szCs w:val="24"/>
        </w:rPr>
      </w:pPr>
      <w:r w:rsidRPr="002A4E69">
        <w:rPr>
          <w:sz w:val="24"/>
          <w:szCs w:val="24"/>
        </w:rPr>
        <w:t>-</w:t>
      </w:r>
      <w:r w:rsidRPr="002A4E69">
        <w:rPr>
          <w:sz w:val="24"/>
          <w:szCs w:val="24"/>
        </w:rPr>
        <w:tab/>
        <w:t>eksponere fosteret for:</w:t>
      </w:r>
    </w:p>
    <w:p w:rsidR="002A4E69" w:rsidRPr="002A4E69" w:rsidRDefault="002A4E69" w:rsidP="002A4E69">
      <w:pPr>
        <w:numPr>
          <w:ilvl w:val="0"/>
          <w:numId w:val="9"/>
        </w:numPr>
        <w:tabs>
          <w:tab w:val="left" w:pos="1418"/>
        </w:tabs>
        <w:autoSpaceDE w:val="0"/>
        <w:autoSpaceDN w:val="0"/>
        <w:adjustRightInd w:val="0"/>
        <w:ind w:left="1418" w:hanging="284"/>
        <w:rPr>
          <w:sz w:val="24"/>
          <w:szCs w:val="24"/>
        </w:rPr>
      </w:pPr>
      <w:proofErr w:type="spellStart"/>
      <w:r w:rsidRPr="002A4E69">
        <w:rPr>
          <w:sz w:val="24"/>
          <w:szCs w:val="24"/>
        </w:rPr>
        <w:t>kardiopulmonal</w:t>
      </w:r>
      <w:proofErr w:type="spellEnd"/>
      <w:r w:rsidRPr="002A4E69">
        <w:rPr>
          <w:sz w:val="24"/>
          <w:szCs w:val="24"/>
        </w:rPr>
        <w:t xml:space="preserve"> toksicitet (præmatur konstriktion/lukning af </w:t>
      </w:r>
      <w:proofErr w:type="spellStart"/>
      <w:r w:rsidRPr="002A4E69">
        <w:rPr>
          <w:sz w:val="24"/>
          <w:szCs w:val="24"/>
        </w:rPr>
        <w:t>ductus</w:t>
      </w:r>
      <w:proofErr w:type="spellEnd"/>
      <w:r w:rsidRPr="002A4E69">
        <w:rPr>
          <w:sz w:val="24"/>
          <w:szCs w:val="24"/>
        </w:rPr>
        <w:t xml:space="preserve"> </w:t>
      </w:r>
      <w:proofErr w:type="spellStart"/>
      <w:r w:rsidRPr="002A4E69">
        <w:rPr>
          <w:sz w:val="24"/>
          <w:szCs w:val="24"/>
        </w:rPr>
        <w:t>arteriosus</w:t>
      </w:r>
      <w:proofErr w:type="spellEnd"/>
      <w:r w:rsidRPr="002A4E69">
        <w:rPr>
          <w:sz w:val="24"/>
          <w:szCs w:val="24"/>
        </w:rPr>
        <w:t xml:space="preserve"> og </w:t>
      </w:r>
      <w:proofErr w:type="spellStart"/>
      <w:r w:rsidRPr="002A4E69">
        <w:rPr>
          <w:sz w:val="24"/>
          <w:szCs w:val="24"/>
        </w:rPr>
        <w:t>pulmonal</w:t>
      </w:r>
      <w:proofErr w:type="spellEnd"/>
      <w:r w:rsidRPr="002A4E69">
        <w:rPr>
          <w:sz w:val="24"/>
          <w:szCs w:val="24"/>
        </w:rPr>
        <w:t xml:space="preserve"> hypertension).</w:t>
      </w:r>
    </w:p>
    <w:p w:rsidR="002A4E69" w:rsidRPr="002A4E69" w:rsidRDefault="002A4E69" w:rsidP="002A4E69">
      <w:pPr>
        <w:numPr>
          <w:ilvl w:val="0"/>
          <w:numId w:val="9"/>
        </w:numPr>
        <w:tabs>
          <w:tab w:val="left" w:pos="1418"/>
        </w:tabs>
        <w:autoSpaceDE w:val="0"/>
        <w:autoSpaceDN w:val="0"/>
        <w:adjustRightInd w:val="0"/>
        <w:ind w:left="1418" w:hanging="284"/>
        <w:rPr>
          <w:sz w:val="24"/>
          <w:szCs w:val="24"/>
        </w:rPr>
      </w:pPr>
      <w:r w:rsidRPr="002A4E69">
        <w:rPr>
          <w:sz w:val="24"/>
          <w:szCs w:val="24"/>
        </w:rPr>
        <w:t>nedsat nyrefunktion (se ovenfor);</w:t>
      </w:r>
    </w:p>
    <w:p w:rsidR="002A4E69" w:rsidRPr="002A4E69" w:rsidRDefault="002A4E69" w:rsidP="002A4E69">
      <w:pPr>
        <w:tabs>
          <w:tab w:val="left" w:pos="851"/>
        </w:tabs>
        <w:autoSpaceDE w:val="0"/>
        <w:autoSpaceDN w:val="0"/>
        <w:adjustRightInd w:val="0"/>
        <w:ind w:left="851"/>
        <w:rPr>
          <w:sz w:val="24"/>
          <w:szCs w:val="24"/>
        </w:rPr>
      </w:pPr>
    </w:p>
    <w:p w:rsidR="002A4E69" w:rsidRPr="002A4E69" w:rsidRDefault="002A4E69" w:rsidP="002A4E69">
      <w:pPr>
        <w:tabs>
          <w:tab w:val="left" w:pos="1134"/>
        </w:tabs>
        <w:autoSpaceDE w:val="0"/>
        <w:autoSpaceDN w:val="0"/>
        <w:adjustRightInd w:val="0"/>
        <w:ind w:left="851"/>
        <w:rPr>
          <w:sz w:val="24"/>
          <w:szCs w:val="24"/>
        </w:rPr>
      </w:pPr>
      <w:r w:rsidRPr="002A4E69">
        <w:rPr>
          <w:sz w:val="24"/>
          <w:szCs w:val="24"/>
        </w:rPr>
        <w:t>ved afslutningen af graviditeten, kan moderen og det nyfødte barn eksponeres for:</w:t>
      </w:r>
    </w:p>
    <w:p w:rsidR="002A4E69" w:rsidRPr="002A4E69" w:rsidRDefault="002A4E69" w:rsidP="002A4E69">
      <w:pPr>
        <w:numPr>
          <w:ilvl w:val="0"/>
          <w:numId w:val="10"/>
        </w:numPr>
        <w:tabs>
          <w:tab w:val="left" w:pos="1418"/>
        </w:tabs>
        <w:autoSpaceDE w:val="0"/>
        <w:autoSpaceDN w:val="0"/>
        <w:adjustRightInd w:val="0"/>
        <w:ind w:left="1418" w:hanging="284"/>
        <w:rPr>
          <w:sz w:val="24"/>
          <w:szCs w:val="24"/>
        </w:rPr>
      </w:pPr>
      <w:r w:rsidRPr="002A4E69">
        <w:rPr>
          <w:sz w:val="24"/>
          <w:szCs w:val="24"/>
        </w:rPr>
        <w:t>mulig forlængelse af blødningstid, en antiaggregerende virkning, som kan indtræde selv ved meget lave doser.</w:t>
      </w:r>
    </w:p>
    <w:p w:rsidR="002A4E69" w:rsidRPr="002A4E69" w:rsidRDefault="002A4E69" w:rsidP="002A4E69">
      <w:pPr>
        <w:numPr>
          <w:ilvl w:val="0"/>
          <w:numId w:val="10"/>
        </w:numPr>
        <w:tabs>
          <w:tab w:val="left" w:pos="1418"/>
        </w:tabs>
        <w:autoSpaceDE w:val="0"/>
        <w:autoSpaceDN w:val="0"/>
        <w:adjustRightInd w:val="0"/>
        <w:ind w:left="1418" w:hanging="284"/>
        <w:rPr>
          <w:sz w:val="24"/>
          <w:szCs w:val="24"/>
        </w:rPr>
      </w:pPr>
      <w:r w:rsidRPr="002A4E69">
        <w:rPr>
          <w:sz w:val="24"/>
          <w:szCs w:val="24"/>
        </w:rPr>
        <w:lastRenderedPageBreak/>
        <w:t>hæmning af livmodersammentrækninger med forsinket eller forlænget fødsel til følge.</w:t>
      </w:r>
    </w:p>
    <w:p w:rsidR="005F0AAF" w:rsidRPr="0090757A" w:rsidRDefault="005F0AAF" w:rsidP="005F0AAF">
      <w:pPr>
        <w:tabs>
          <w:tab w:val="left" w:pos="851"/>
        </w:tabs>
        <w:autoSpaceDE w:val="0"/>
        <w:autoSpaceDN w:val="0"/>
        <w:adjustRightInd w:val="0"/>
        <w:ind w:left="851"/>
        <w:rPr>
          <w:sz w:val="24"/>
          <w:szCs w:val="24"/>
        </w:rPr>
      </w:pPr>
    </w:p>
    <w:p w:rsidR="007311C1" w:rsidRDefault="007311C1" w:rsidP="007311C1">
      <w:pPr>
        <w:tabs>
          <w:tab w:val="left" w:pos="851"/>
        </w:tabs>
        <w:autoSpaceDE w:val="0"/>
        <w:autoSpaceDN w:val="0"/>
        <w:adjustRightInd w:val="0"/>
        <w:ind w:left="851"/>
        <w:rPr>
          <w:sz w:val="24"/>
          <w:szCs w:val="24"/>
        </w:rPr>
      </w:pPr>
      <w:r>
        <w:rPr>
          <w:sz w:val="24"/>
          <w:szCs w:val="24"/>
        </w:rPr>
        <w:t>Som følge heraf er brug af ibuprofen kontraindiceret i tredje trimester af graviditeten (se pkt. 4.3).</w:t>
      </w:r>
    </w:p>
    <w:p w:rsidR="007311C1" w:rsidRDefault="007311C1" w:rsidP="007311C1">
      <w:pPr>
        <w:tabs>
          <w:tab w:val="left" w:pos="851"/>
        </w:tabs>
        <w:autoSpaceDE w:val="0"/>
        <w:autoSpaceDN w:val="0"/>
        <w:adjustRightInd w:val="0"/>
        <w:ind w:left="851"/>
        <w:rPr>
          <w:sz w:val="24"/>
          <w:szCs w:val="24"/>
        </w:rPr>
      </w:pPr>
    </w:p>
    <w:p w:rsidR="007311C1" w:rsidRDefault="007311C1" w:rsidP="007311C1">
      <w:pPr>
        <w:keepNext/>
        <w:tabs>
          <w:tab w:val="left" w:pos="851"/>
        </w:tabs>
        <w:autoSpaceDE w:val="0"/>
        <w:autoSpaceDN w:val="0"/>
        <w:adjustRightInd w:val="0"/>
        <w:ind w:left="851"/>
        <w:rPr>
          <w:sz w:val="24"/>
          <w:szCs w:val="24"/>
          <w:u w:val="single"/>
        </w:rPr>
      </w:pPr>
      <w:r>
        <w:rPr>
          <w:sz w:val="24"/>
          <w:szCs w:val="24"/>
          <w:u w:val="single"/>
        </w:rPr>
        <w:t>Amning</w:t>
      </w:r>
    </w:p>
    <w:p w:rsidR="00EF5645" w:rsidRDefault="00CA0FF6" w:rsidP="00EF5645">
      <w:pPr>
        <w:tabs>
          <w:tab w:val="left" w:pos="851"/>
        </w:tabs>
        <w:autoSpaceDE w:val="0"/>
        <w:autoSpaceDN w:val="0"/>
        <w:adjustRightInd w:val="0"/>
        <w:ind w:left="851"/>
        <w:rPr>
          <w:sz w:val="24"/>
          <w:szCs w:val="24"/>
        </w:rPr>
      </w:pPr>
      <w:r>
        <w:rPr>
          <w:sz w:val="24"/>
          <w:szCs w:val="24"/>
        </w:rPr>
        <w:t xml:space="preserve">Ibuprofen og dets metabolitter kan udskilles i meget lave koncentrationer i modermælken. Der er til dato intet kendskab til skadelige virkninger på spædbarnet, så ved kortvarig behandling med lave doser er det generelt ikke nødvendigt at afbryde amningen. Det anbefales imidlertid at afbryde amningen i tilfælde af brug af doser over 1.200 mg dagligt eller over længere perioder på grund af muligheden for hæmning af </w:t>
      </w:r>
      <w:proofErr w:type="spellStart"/>
      <w:r>
        <w:rPr>
          <w:sz w:val="24"/>
          <w:szCs w:val="24"/>
        </w:rPr>
        <w:t>prostaglandinsyntesen</w:t>
      </w:r>
      <w:proofErr w:type="spellEnd"/>
      <w:r>
        <w:rPr>
          <w:sz w:val="24"/>
          <w:szCs w:val="24"/>
        </w:rPr>
        <w:t xml:space="preserve"> hos det nyfødte barn.</w:t>
      </w:r>
    </w:p>
    <w:p w:rsidR="00EF5645" w:rsidRDefault="00EF5645" w:rsidP="00EF5645">
      <w:pPr>
        <w:tabs>
          <w:tab w:val="left" w:pos="851"/>
        </w:tabs>
        <w:autoSpaceDE w:val="0"/>
        <w:autoSpaceDN w:val="0"/>
        <w:adjustRightInd w:val="0"/>
        <w:ind w:left="851"/>
        <w:rPr>
          <w:sz w:val="24"/>
          <w:szCs w:val="24"/>
        </w:rPr>
      </w:pPr>
    </w:p>
    <w:p w:rsidR="00EF5645" w:rsidRPr="00DF332F" w:rsidRDefault="00EF5645" w:rsidP="00EF5645">
      <w:pPr>
        <w:tabs>
          <w:tab w:val="left" w:pos="851"/>
        </w:tabs>
        <w:autoSpaceDE w:val="0"/>
        <w:autoSpaceDN w:val="0"/>
        <w:adjustRightInd w:val="0"/>
        <w:ind w:left="851"/>
        <w:rPr>
          <w:sz w:val="24"/>
          <w:szCs w:val="24"/>
          <w:u w:val="single"/>
        </w:rPr>
      </w:pPr>
      <w:r w:rsidRPr="00DF332F">
        <w:rPr>
          <w:sz w:val="24"/>
          <w:szCs w:val="24"/>
          <w:u w:val="single"/>
        </w:rPr>
        <w:t>Fertilitet</w:t>
      </w:r>
    </w:p>
    <w:p w:rsidR="007311C1" w:rsidRDefault="00EF5645" w:rsidP="00EF5645">
      <w:pPr>
        <w:tabs>
          <w:tab w:val="left" w:pos="851"/>
        </w:tabs>
        <w:autoSpaceDE w:val="0"/>
        <w:autoSpaceDN w:val="0"/>
        <w:adjustRightInd w:val="0"/>
        <w:ind w:left="851"/>
        <w:rPr>
          <w:sz w:val="24"/>
          <w:szCs w:val="24"/>
        </w:rPr>
      </w:pPr>
      <w:r w:rsidRPr="0090757A">
        <w:rPr>
          <w:sz w:val="24"/>
          <w:szCs w:val="24"/>
        </w:rPr>
        <w:t xml:space="preserve">Der er nogen evidens for, at lægemidler, der hæmmer </w:t>
      </w:r>
      <w:proofErr w:type="spellStart"/>
      <w:r w:rsidRPr="0090757A">
        <w:rPr>
          <w:sz w:val="24"/>
          <w:szCs w:val="24"/>
        </w:rPr>
        <w:t>cyclooxygenase</w:t>
      </w:r>
      <w:proofErr w:type="spellEnd"/>
      <w:r w:rsidRPr="0090757A">
        <w:rPr>
          <w:sz w:val="24"/>
          <w:szCs w:val="24"/>
        </w:rPr>
        <w:t>/</w:t>
      </w:r>
      <w:proofErr w:type="spellStart"/>
      <w:r w:rsidRPr="0090757A">
        <w:rPr>
          <w:sz w:val="24"/>
          <w:szCs w:val="24"/>
        </w:rPr>
        <w:t>prostaglandinsyntesen</w:t>
      </w:r>
      <w:proofErr w:type="spellEnd"/>
      <w:r w:rsidRPr="0090757A">
        <w:rPr>
          <w:sz w:val="24"/>
          <w:szCs w:val="24"/>
        </w:rPr>
        <w:t xml:space="preserve">, kan forårsage nedsat fertilitet hos kvinder som følge af en virkning på ovulationen. Dette er reversibelt ved </w:t>
      </w:r>
      <w:proofErr w:type="spellStart"/>
      <w:r w:rsidRPr="0090757A">
        <w:rPr>
          <w:sz w:val="24"/>
          <w:szCs w:val="24"/>
        </w:rPr>
        <w:t>seponering</w:t>
      </w:r>
      <w:proofErr w:type="spellEnd"/>
      <w:r w:rsidRPr="0090757A">
        <w:rPr>
          <w:sz w:val="24"/>
          <w:szCs w:val="24"/>
        </w:rPr>
        <w:t xml:space="preserve"> af behandlingen.</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2A4E69">
        <w:rPr>
          <w:b/>
          <w:sz w:val="24"/>
          <w:szCs w:val="24"/>
        </w:rPr>
        <w:t>og</w:t>
      </w:r>
      <w:r w:rsidRPr="00C84483">
        <w:rPr>
          <w:b/>
          <w:sz w:val="24"/>
          <w:szCs w:val="24"/>
        </w:rPr>
        <w:t xml:space="preserve"> betjene maskiner</w:t>
      </w:r>
    </w:p>
    <w:p w:rsidR="005F0AAF" w:rsidRDefault="005F0AAF" w:rsidP="005F0AAF">
      <w:pPr>
        <w:tabs>
          <w:tab w:val="left" w:pos="851"/>
        </w:tabs>
        <w:autoSpaceDE w:val="0"/>
        <w:autoSpaceDN w:val="0"/>
        <w:adjustRightInd w:val="0"/>
        <w:ind w:left="851"/>
        <w:rPr>
          <w:sz w:val="24"/>
          <w:szCs w:val="24"/>
        </w:rPr>
      </w:pPr>
      <w:r>
        <w:rPr>
          <w:sz w:val="24"/>
          <w:szCs w:val="24"/>
        </w:rPr>
        <w:t>Ikke mærkning.</w:t>
      </w:r>
    </w:p>
    <w:p w:rsidR="005F0AAF" w:rsidRPr="00C84483" w:rsidRDefault="00CA0FF6" w:rsidP="005F0AAF">
      <w:pPr>
        <w:tabs>
          <w:tab w:val="left" w:pos="851"/>
        </w:tabs>
        <w:autoSpaceDE w:val="0"/>
        <w:autoSpaceDN w:val="0"/>
        <w:adjustRightInd w:val="0"/>
        <w:ind w:left="851"/>
        <w:rPr>
          <w:sz w:val="24"/>
          <w:szCs w:val="24"/>
        </w:rPr>
      </w:pPr>
      <w:r>
        <w:rPr>
          <w:sz w:val="24"/>
          <w:szCs w:val="24"/>
        </w:rPr>
        <w:t xml:space="preserve">Ibuprofen ved </w:t>
      </w:r>
      <w:r w:rsidR="00EF5645" w:rsidRPr="0090757A">
        <w:rPr>
          <w:sz w:val="24"/>
          <w:szCs w:val="24"/>
        </w:rPr>
        <w:t>enkelt eller kortvarig administration</w:t>
      </w:r>
      <w:r w:rsidR="00EF5645">
        <w:rPr>
          <w:sz w:val="24"/>
          <w:szCs w:val="24"/>
        </w:rPr>
        <w:t xml:space="preserve">, </w:t>
      </w:r>
      <w:bookmarkStart w:id="1" w:name="_Hlk82601898"/>
      <w:r w:rsidR="00EF5645">
        <w:rPr>
          <w:sz w:val="24"/>
          <w:szCs w:val="24"/>
        </w:rPr>
        <w:t>påvirker ikke eller kun i ubetydelig grad evnen til at føre motorkøretøj og betjene maskiner</w:t>
      </w:r>
      <w:bookmarkEnd w:id="1"/>
      <w:r w:rsidR="00EF5645" w:rsidRPr="0090757A">
        <w:rPr>
          <w:sz w:val="24"/>
          <w:szCs w:val="24"/>
        </w:rPr>
        <w:t xml:space="preserve">. Dog kan forekomst af relevante bivirkninger, såsom træthed og </w:t>
      </w:r>
      <w:proofErr w:type="spellStart"/>
      <w:r w:rsidR="00EF5645" w:rsidRPr="0090757A">
        <w:rPr>
          <w:sz w:val="24"/>
          <w:szCs w:val="24"/>
        </w:rPr>
        <w:t>vertigo</w:t>
      </w:r>
      <w:proofErr w:type="spellEnd"/>
      <w:r w:rsidR="00EF5645" w:rsidRPr="0090757A">
        <w:rPr>
          <w:sz w:val="24"/>
          <w:szCs w:val="24"/>
        </w:rPr>
        <w:t>, nedsætte reaktionsevnen, så evnen til at føre motorkøretøj og/eller betjene maskiner kan være nedsat. Dette gælder især ved samtidig indtagelse af alkohol.</w:t>
      </w:r>
    </w:p>
    <w:p w:rsidR="005F0AAF" w:rsidRPr="00C84483" w:rsidRDefault="005F0AAF" w:rsidP="005F0AAF">
      <w:pPr>
        <w:tabs>
          <w:tab w:val="left" w:pos="851"/>
        </w:tabs>
        <w:ind w:left="851"/>
        <w:rPr>
          <w:sz w:val="24"/>
          <w:szCs w:val="24"/>
        </w:rPr>
      </w:pPr>
    </w:p>
    <w:p w:rsidR="005F0AAF" w:rsidRPr="00CD1EB6" w:rsidRDefault="005F0AAF" w:rsidP="005F0AAF">
      <w:pPr>
        <w:tabs>
          <w:tab w:val="left" w:pos="851"/>
        </w:tabs>
        <w:ind w:left="851" w:hanging="851"/>
        <w:rPr>
          <w:b/>
          <w:sz w:val="24"/>
          <w:szCs w:val="24"/>
        </w:rPr>
      </w:pPr>
      <w:r w:rsidRPr="00C84483">
        <w:rPr>
          <w:b/>
          <w:sz w:val="24"/>
          <w:szCs w:val="24"/>
        </w:rPr>
        <w:t>4.8</w:t>
      </w:r>
      <w:r w:rsidRPr="00C84483">
        <w:rPr>
          <w:b/>
          <w:sz w:val="24"/>
          <w:szCs w:val="24"/>
        </w:rPr>
        <w:tab/>
        <w:t>Bivirkninger</w:t>
      </w:r>
    </w:p>
    <w:p w:rsidR="005F0AAF" w:rsidRPr="00EF5645" w:rsidRDefault="005F0AAF" w:rsidP="005F0AAF">
      <w:pPr>
        <w:tabs>
          <w:tab w:val="left" w:pos="851"/>
        </w:tabs>
        <w:autoSpaceDE w:val="0"/>
        <w:autoSpaceDN w:val="0"/>
        <w:adjustRightInd w:val="0"/>
        <w:ind w:left="851"/>
        <w:rPr>
          <w:sz w:val="24"/>
          <w:szCs w:val="24"/>
        </w:rPr>
      </w:pPr>
      <w:r w:rsidRPr="00EF5645">
        <w:rPr>
          <w:sz w:val="24"/>
          <w:szCs w:val="24"/>
        </w:rPr>
        <w:t>Evalueringen af bivirkninger er baseret på følgende hyppigheder</w:t>
      </w:r>
      <w:r w:rsidR="00EF5645">
        <w:rPr>
          <w:sz w:val="24"/>
          <w:szCs w:val="24"/>
        </w:rPr>
        <w:t>:</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Meget almindelig: ≥1/10 </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Almindelig: ≥1/100 til &lt;1/10</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Ikke almindelig ≥1/1.000 til &lt;1/100 </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Sjælden: ≥1/10.000 til &lt;1/1.000</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Meget sjælden: &lt;1/10.000 </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Ikke kendt: kan ikke estimeres ud fra forhåndenværende data</w:t>
      </w:r>
    </w:p>
    <w:p w:rsidR="005F0AAF" w:rsidRPr="0090757A" w:rsidRDefault="005F0AAF" w:rsidP="005F0AAF">
      <w:pPr>
        <w:tabs>
          <w:tab w:val="left" w:pos="851"/>
        </w:tabs>
        <w:autoSpaceDE w:val="0"/>
        <w:autoSpaceDN w:val="0"/>
        <w:adjustRightInd w:val="0"/>
        <w:ind w:left="851"/>
        <w:rPr>
          <w:sz w:val="24"/>
          <w:szCs w:val="24"/>
        </w:rPr>
      </w:pPr>
    </w:p>
    <w:p w:rsidR="00EF5645" w:rsidRPr="0090757A" w:rsidRDefault="00EF5645" w:rsidP="00EF5645">
      <w:pPr>
        <w:tabs>
          <w:tab w:val="left" w:pos="851"/>
        </w:tabs>
        <w:autoSpaceDE w:val="0"/>
        <w:autoSpaceDN w:val="0"/>
        <w:adjustRightInd w:val="0"/>
        <w:ind w:left="851"/>
        <w:rPr>
          <w:sz w:val="24"/>
          <w:szCs w:val="24"/>
        </w:rPr>
      </w:pPr>
      <w:r w:rsidRPr="0090757A">
        <w:rPr>
          <w:sz w:val="24"/>
          <w:szCs w:val="24"/>
        </w:rPr>
        <w:t xml:space="preserve">De hyppigst observerede bivirkninger er af </w:t>
      </w:r>
      <w:proofErr w:type="spellStart"/>
      <w:r w:rsidRPr="0090757A">
        <w:rPr>
          <w:sz w:val="24"/>
          <w:szCs w:val="24"/>
        </w:rPr>
        <w:t>gastrointestinal</w:t>
      </w:r>
      <w:proofErr w:type="spellEnd"/>
      <w:r w:rsidRPr="0090757A">
        <w:rPr>
          <w:sz w:val="24"/>
          <w:szCs w:val="24"/>
        </w:rPr>
        <w:t xml:space="preserve"> art. Ulcus </w:t>
      </w:r>
      <w:proofErr w:type="spellStart"/>
      <w:r w:rsidRPr="0090757A">
        <w:rPr>
          <w:sz w:val="24"/>
          <w:szCs w:val="24"/>
        </w:rPr>
        <w:t>pepticum</w:t>
      </w:r>
      <w:proofErr w:type="spellEnd"/>
      <w:r w:rsidRPr="0090757A">
        <w:rPr>
          <w:sz w:val="24"/>
          <w:szCs w:val="24"/>
        </w:rPr>
        <w:t xml:space="preserve">, </w:t>
      </w:r>
      <w:proofErr w:type="spellStart"/>
      <w:r w:rsidRPr="0090757A">
        <w:rPr>
          <w:sz w:val="24"/>
          <w:szCs w:val="24"/>
        </w:rPr>
        <w:t>gastrointestinal</w:t>
      </w:r>
      <w:proofErr w:type="spellEnd"/>
      <w:r w:rsidRPr="0090757A">
        <w:rPr>
          <w:sz w:val="24"/>
          <w:szCs w:val="24"/>
        </w:rPr>
        <w:t xml:space="preserve"> perforation eller </w:t>
      </w:r>
      <w:r>
        <w:rPr>
          <w:sz w:val="24"/>
          <w:szCs w:val="24"/>
        </w:rPr>
        <w:t>-</w:t>
      </w:r>
      <w:r w:rsidRPr="0090757A">
        <w:rPr>
          <w:sz w:val="24"/>
          <w:szCs w:val="24"/>
        </w:rPr>
        <w:t xml:space="preserve">blødning, undertiden med fatal udgang, specielt hos ældre, kan forekomme (se pkt. 4.4). Der er rapporteret om kvalme, opkastning, diarré, </w:t>
      </w:r>
      <w:proofErr w:type="spellStart"/>
      <w:r w:rsidRPr="0090757A">
        <w:rPr>
          <w:sz w:val="24"/>
          <w:szCs w:val="24"/>
        </w:rPr>
        <w:t>flatulens</w:t>
      </w:r>
      <w:proofErr w:type="spellEnd"/>
      <w:r w:rsidRPr="0090757A">
        <w:rPr>
          <w:sz w:val="24"/>
          <w:szCs w:val="24"/>
        </w:rPr>
        <w:t xml:space="preserve">, obstipation, dyspepsi, mavesmerter, </w:t>
      </w:r>
      <w:proofErr w:type="spellStart"/>
      <w:r w:rsidRPr="0090757A">
        <w:rPr>
          <w:sz w:val="24"/>
          <w:szCs w:val="24"/>
        </w:rPr>
        <w:t>melæna</w:t>
      </w:r>
      <w:proofErr w:type="spellEnd"/>
      <w:r w:rsidRPr="0090757A">
        <w:rPr>
          <w:sz w:val="24"/>
          <w:szCs w:val="24"/>
        </w:rPr>
        <w:t xml:space="preserve">, </w:t>
      </w:r>
      <w:proofErr w:type="spellStart"/>
      <w:r w:rsidRPr="0090757A">
        <w:rPr>
          <w:sz w:val="24"/>
          <w:szCs w:val="24"/>
        </w:rPr>
        <w:t>hæmatemese</w:t>
      </w:r>
      <w:proofErr w:type="spellEnd"/>
      <w:r w:rsidRPr="0090757A">
        <w:rPr>
          <w:sz w:val="24"/>
          <w:szCs w:val="24"/>
        </w:rPr>
        <w:t xml:space="preserve">, ulcerøs </w:t>
      </w:r>
      <w:proofErr w:type="spellStart"/>
      <w:r w:rsidRPr="0090757A">
        <w:rPr>
          <w:sz w:val="24"/>
          <w:szCs w:val="24"/>
        </w:rPr>
        <w:t>stomatitis</w:t>
      </w:r>
      <w:proofErr w:type="spellEnd"/>
      <w:r w:rsidRPr="0090757A">
        <w:rPr>
          <w:sz w:val="24"/>
          <w:szCs w:val="24"/>
        </w:rPr>
        <w:t xml:space="preserve"> samt forværring af colitis og </w:t>
      </w:r>
      <w:proofErr w:type="spellStart"/>
      <w:r w:rsidRPr="0090757A">
        <w:rPr>
          <w:sz w:val="24"/>
          <w:szCs w:val="24"/>
        </w:rPr>
        <w:t>Crohns</w:t>
      </w:r>
      <w:proofErr w:type="spellEnd"/>
      <w:r w:rsidRPr="0090757A">
        <w:rPr>
          <w:sz w:val="24"/>
          <w:szCs w:val="24"/>
        </w:rPr>
        <w:t xml:space="preserve"> sygdom (se pkt. 4.4) efter administration. I mindre hyppige tilfælde er der set gastritis. Især risikoen for </w:t>
      </w:r>
      <w:proofErr w:type="spellStart"/>
      <w:r w:rsidRPr="0090757A">
        <w:rPr>
          <w:sz w:val="24"/>
          <w:szCs w:val="24"/>
        </w:rPr>
        <w:t>gastrointestinal</w:t>
      </w:r>
      <w:proofErr w:type="spellEnd"/>
      <w:r w:rsidRPr="0090757A">
        <w:rPr>
          <w:sz w:val="24"/>
          <w:szCs w:val="24"/>
        </w:rPr>
        <w:t xml:space="preserve"> blødning afhænger af dosisintervallet og behandlingsvarigheden.</w:t>
      </w:r>
    </w:p>
    <w:p w:rsidR="005F0AAF" w:rsidRPr="0090757A" w:rsidRDefault="005F0AAF" w:rsidP="005F0AAF">
      <w:pPr>
        <w:tabs>
          <w:tab w:val="left" w:pos="851"/>
        </w:tabs>
        <w:autoSpaceDE w:val="0"/>
        <w:autoSpaceDN w:val="0"/>
        <w:adjustRightInd w:val="0"/>
        <w:ind w:left="851"/>
        <w:rPr>
          <w:sz w:val="24"/>
          <w:szCs w:val="24"/>
        </w:rPr>
      </w:pPr>
    </w:p>
    <w:p w:rsidR="007311C1" w:rsidRDefault="007311C1" w:rsidP="007311C1">
      <w:pPr>
        <w:tabs>
          <w:tab w:val="left" w:pos="851"/>
        </w:tabs>
        <w:autoSpaceDE w:val="0"/>
        <w:autoSpaceDN w:val="0"/>
        <w:adjustRightInd w:val="0"/>
        <w:ind w:left="851"/>
        <w:rPr>
          <w:iCs/>
          <w:sz w:val="24"/>
          <w:szCs w:val="24"/>
        </w:rPr>
      </w:pPr>
      <w:r>
        <w:rPr>
          <w:sz w:val="24"/>
          <w:szCs w:val="24"/>
        </w:rPr>
        <w:t xml:space="preserve">Der er indberettet meget sjældne tilfælde af svære overfølsomhedsreaktioner (inklusive reaktioner på infusionsstedet og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og alvorlige </w:t>
      </w:r>
      <w:proofErr w:type="spellStart"/>
      <w:r>
        <w:rPr>
          <w:sz w:val="24"/>
          <w:szCs w:val="24"/>
        </w:rPr>
        <w:t>kutane</w:t>
      </w:r>
      <w:proofErr w:type="spellEnd"/>
      <w:r>
        <w:rPr>
          <w:sz w:val="24"/>
          <w:szCs w:val="24"/>
        </w:rPr>
        <w:t xml:space="preserve"> bivirkninger såsom </w:t>
      </w:r>
      <w:proofErr w:type="spellStart"/>
      <w:r>
        <w:rPr>
          <w:sz w:val="24"/>
          <w:szCs w:val="24"/>
        </w:rPr>
        <w:t>bulløse</w:t>
      </w:r>
      <w:proofErr w:type="spellEnd"/>
      <w:r>
        <w:rPr>
          <w:sz w:val="24"/>
          <w:szCs w:val="24"/>
        </w:rPr>
        <w:t xml:space="preserve"> reaktioner, inklusive Stevens-Johnsons syndrom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Lyells</w:t>
      </w:r>
      <w:proofErr w:type="spellEnd"/>
      <w:r>
        <w:rPr>
          <w:sz w:val="24"/>
          <w:szCs w:val="24"/>
        </w:rPr>
        <w:t xml:space="preserve"> syndrom), </w:t>
      </w:r>
      <w:proofErr w:type="spellStart"/>
      <w:r>
        <w:rPr>
          <w:sz w:val="24"/>
          <w:szCs w:val="24"/>
        </w:rPr>
        <w:t>erythema</w:t>
      </w:r>
      <w:proofErr w:type="spellEnd"/>
      <w:r>
        <w:rPr>
          <w:sz w:val="24"/>
          <w:szCs w:val="24"/>
        </w:rPr>
        <w:t xml:space="preserve"> multiforme og </w:t>
      </w:r>
      <w:proofErr w:type="spellStart"/>
      <w:r>
        <w:rPr>
          <w:sz w:val="24"/>
          <w:szCs w:val="24"/>
        </w:rPr>
        <w:t>alopeci</w:t>
      </w:r>
      <w:proofErr w:type="spellEnd"/>
      <w:r>
        <w:rPr>
          <w:sz w:val="24"/>
          <w:szCs w:val="24"/>
        </w:rPr>
        <w:t xml:space="preserve">. </w:t>
      </w:r>
    </w:p>
    <w:p w:rsidR="005F0AAF" w:rsidRPr="0090757A" w:rsidRDefault="005F0AAF" w:rsidP="005F0AAF">
      <w:pPr>
        <w:tabs>
          <w:tab w:val="left" w:pos="851"/>
        </w:tabs>
        <w:autoSpaceDE w:val="0"/>
        <w:autoSpaceDN w:val="0"/>
        <w:adjustRightInd w:val="0"/>
        <w:ind w:left="851"/>
        <w:rPr>
          <w:iCs/>
          <w:sz w:val="24"/>
          <w:szCs w:val="24"/>
        </w:rPr>
      </w:pPr>
    </w:p>
    <w:p w:rsidR="005F0AAF" w:rsidRPr="0090757A" w:rsidRDefault="005F0AAF" w:rsidP="005F0AAF">
      <w:pPr>
        <w:tabs>
          <w:tab w:val="left" w:pos="851"/>
        </w:tabs>
        <w:autoSpaceDE w:val="0"/>
        <w:autoSpaceDN w:val="0"/>
        <w:adjustRightInd w:val="0"/>
        <w:ind w:left="851"/>
        <w:rPr>
          <w:iCs/>
          <w:sz w:val="24"/>
          <w:szCs w:val="24"/>
        </w:rPr>
      </w:pPr>
      <w:r w:rsidRPr="0090757A">
        <w:rPr>
          <w:sz w:val="24"/>
          <w:szCs w:val="24"/>
        </w:rPr>
        <w:t xml:space="preserve">Der er rapporteret om forværring af infektionsrelaterede betændelsestilstande (f.eks. udvikling af </w:t>
      </w:r>
      <w:proofErr w:type="spellStart"/>
      <w:r w:rsidRPr="0090757A">
        <w:rPr>
          <w:sz w:val="24"/>
          <w:szCs w:val="24"/>
        </w:rPr>
        <w:t>nekrotiserende</w:t>
      </w:r>
      <w:proofErr w:type="spellEnd"/>
      <w:r w:rsidRPr="0090757A">
        <w:rPr>
          <w:sz w:val="24"/>
          <w:szCs w:val="24"/>
        </w:rPr>
        <w:t xml:space="preserve"> </w:t>
      </w:r>
      <w:proofErr w:type="spellStart"/>
      <w:r w:rsidRPr="0090757A">
        <w:rPr>
          <w:sz w:val="24"/>
          <w:szCs w:val="24"/>
        </w:rPr>
        <w:t>fasciitis</w:t>
      </w:r>
      <w:proofErr w:type="spellEnd"/>
      <w:r w:rsidRPr="0090757A">
        <w:rPr>
          <w:sz w:val="24"/>
          <w:szCs w:val="24"/>
        </w:rPr>
        <w:t>), der var sammenfaldende med brug af non-</w:t>
      </w:r>
      <w:proofErr w:type="spellStart"/>
      <w:r w:rsidRPr="0090757A">
        <w:rPr>
          <w:sz w:val="24"/>
          <w:szCs w:val="24"/>
        </w:rPr>
        <w:t>steroide</w:t>
      </w:r>
      <w:proofErr w:type="spellEnd"/>
      <w:r w:rsidRPr="0090757A">
        <w:rPr>
          <w:sz w:val="24"/>
          <w:szCs w:val="24"/>
        </w:rPr>
        <w:t xml:space="preserve"> </w:t>
      </w:r>
      <w:r w:rsidRPr="0090757A">
        <w:rPr>
          <w:sz w:val="24"/>
          <w:szCs w:val="24"/>
        </w:rPr>
        <w:lastRenderedPageBreak/>
        <w:t>antiinflammatoriske lægemidler. Dette kan være forbundet med virkningsmekanismen af non-</w:t>
      </w:r>
      <w:proofErr w:type="spellStart"/>
      <w:r w:rsidRPr="0090757A">
        <w:rPr>
          <w:sz w:val="24"/>
          <w:szCs w:val="24"/>
        </w:rPr>
        <w:t>steroide</w:t>
      </w:r>
      <w:proofErr w:type="spellEnd"/>
      <w:r w:rsidRPr="0090757A">
        <w:rPr>
          <w:sz w:val="24"/>
          <w:szCs w:val="24"/>
        </w:rPr>
        <w:t xml:space="preserve"> antiinflammatoriske lægemidler.</w:t>
      </w:r>
    </w:p>
    <w:p w:rsidR="005F0AAF" w:rsidRPr="0090757A" w:rsidRDefault="005F0AAF" w:rsidP="005F0AAF">
      <w:pPr>
        <w:tabs>
          <w:tab w:val="left" w:pos="851"/>
        </w:tabs>
        <w:autoSpaceDE w:val="0"/>
        <w:autoSpaceDN w:val="0"/>
        <w:adjustRightInd w:val="0"/>
        <w:ind w:left="851"/>
        <w:rPr>
          <w:iCs/>
          <w:sz w:val="24"/>
          <w:szCs w:val="24"/>
        </w:rPr>
      </w:pPr>
    </w:p>
    <w:p w:rsidR="005F0AAF" w:rsidRPr="0090757A" w:rsidRDefault="005F0AAF" w:rsidP="005F0AAF">
      <w:pPr>
        <w:tabs>
          <w:tab w:val="left" w:pos="851"/>
        </w:tabs>
        <w:autoSpaceDE w:val="0"/>
        <w:autoSpaceDN w:val="0"/>
        <w:adjustRightInd w:val="0"/>
        <w:ind w:left="851"/>
        <w:rPr>
          <w:iCs/>
          <w:sz w:val="24"/>
          <w:szCs w:val="24"/>
        </w:rPr>
      </w:pPr>
      <w:r w:rsidRPr="0090757A">
        <w:rPr>
          <w:sz w:val="24"/>
          <w:szCs w:val="24"/>
        </w:rPr>
        <w:t xml:space="preserve">I forbindelse med en </w:t>
      </w:r>
      <w:proofErr w:type="spellStart"/>
      <w:r w:rsidRPr="0090757A">
        <w:rPr>
          <w:sz w:val="24"/>
          <w:szCs w:val="24"/>
        </w:rPr>
        <w:t>varicellainfektion</w:t>
      </w:r>
      <w:proofErr w:type="spellEnd"/>
      <w:r w:rsidRPr="0090757A">
        <w:rPr>
          <w:sz w:val="24"/>
          <w:szCs w:val="24"/>
        </w:rPr>
        <w:t xml:space="preserve"> kan der opstå fotosensibilitet, allergisk </w:t>
      </w:r>
      <w:proofErr w:type="spellStart"/>
      <w:r w:rsidRPr="0090757A">
        <w:rPr>
          <w:sz w:val="24"/>
          <w:szCs w:val="24"/>
        </w:rPr>
        <w:t>vaskulitis</w:t>
      </w:r>
      <w:proofErr w:type="spellEnd"/>
      <w:r w:rsidRPr="0090757A">
        <w:rPr>
          <w:sz w:val="24"/>
          <w:szCs w:val="24"/>
        </w:rPr>
        <w:t xml:space="preserve"> og i enkeltstående tilfælde alvorlige hudinfektioner og bløddelskomplikationer (se pkt. 4.4).</w:t>
      </w:r>
    </w:p>
    <w:p w:rsidR="005F0AAF" w:rsidRPr="0090757A" w:rsidRDefault="005F0AAF" w:rsidP="005F0AAF">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Der er rapporteret om ødem, hypertension og hjerteinsufficiens i forbindelse med NSAID-behandling.</w:t>
      </w:r>
    </w:p>
    <w:p w:rsidR="005F0AAF" w:rsidRPr="0090757A" w:rsidRDefault="005F0AAF" w:rsidP="005F0AAF">
      <w:pPr>
        <w:tabs>
          <w:tab w:val="left" w:pos="851"/>
        </w:tabs>
        <w:autoSpaceDE w:val="0"/>
        <w:autoSpaceDN w:val="0"/>
        <w:adjustRightInd w:val="0"/>
        <w:ind w:left="851"/>
        <w:rPr>
          <w:sz w:val="24"/>
          <w:szCs w:val="24"/>
        </w:rPr>
      </w:pPr>
    </w:p>
    <w:p w:rsidR="002A4E69" w:rsidRPr="002F2599" w:rsidRDefault="00EF5645" w:rsidP="002A4E69">
      <w:pPr>
        <w:tabs>
          <w:tab w:val="left" w:pos="851"/>
        </w:tabs>
        <w:autoSpaceDE w:val="0"/>
        <w:autoSpaceDN w:val="0"/>
        <w:adjustRightInd w:val="0"/>
        <w:ind w:left="851"/>
        <w:rPr>
          <w:sz w:val="22"/>
          <w:szCs w:val="22"/>
        </w:rPr>
      </w:pPr>
      <w:r w:rsidRPr="0090757A">
        <w:rPr>
          <w:sz w:val="24"/>
          <w:szCs w:val="24"/>
        </w:rPr>
        <w:t xml:space="preserve">Kliniske studier tyder på, at ibuprofen, særligt ved høje doser (2.400 mg/dag), kan være forbundet med en let øget risiko for arterielle </w:t>
      </w:r>
      <w:proofErr w:type="spellStart"/>
      <w:r w:rsidRPr="0090757A">
        <w:rPr>
          <w:sz w:val="24"/>
          <w:szCs w:val="24"/>
        </w:rPr>
        <w:t>trombotiske</w:t>
      </w:r>
      <w:proofErr w:type="spellEnd"/>
      <w:r w:rsidRPr="0090757A">
        <w:rPr>
          <w:sz w:val="24"/>
          <w:szCs w:val="24"/>
        </w:rPr>
        <w:t xml:space="preserve"> hændelser (f</w:t>
      </w:r>
      <w:r>
        <w:rPr>
          <w:sz w:val="24"/>
          <w:szCs w:val="24"/>
        </w:rPr>
        <w:t>.</w:t>
      </w:r>
      <w:r w:rsidRPr="0090757A">
        <w:rPr>
          <w:sz w:val="24"/>
          <w:szCs w:val="24"/>
        </w:rPr>
        <w:t>eks</w:t>
      </w:r>
      <w:r>
        <w:rPr>
          <w:sz w:val="24"/>
          <w:szCs w:val="24"/>
        </w:rPr>
        <w:t>.</w:t>
      </w:r>
      <w:r w:rsidRPr="0090757A">
        <w:rPr>
          <w:sz w:val="24"/>
          <w:szCs w:val="24"/>
        </w:rPr>
        <w:t xml:space="preserve"> myokardieinfarkt eller apopleksi) </w:t>
      </w:r>
      <w:r w:rsidR="002A4E69" w:rsidRPr="002F2599">
        <w:rPr>
          <w:sz w:val="22"/>
          <w:szCs w:val="22"/>
        </w:rPr>
        <w:t>(se pkt. 4.4).</w:t>
      </w:r>
    </w:p>
    <w:p w:rsidR="002A4E69" w:rsidRPr="002F2599" w:rsidRDefault="002A4E69" w:rsidP="002A4E69">
      <w:pPr>
        <w:tabs>
          <w:tab w:val="left" w:pos="851"/>
        </w:tabs>
        <w:autoSpaceDE w:val="0"/>
        <w:autoSpaceDN w:val="0"/>
        <w:adjustRightInd w:val="0"/>
        <w:ind w:left="851"/>
        <w:rPr>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275"/>
        <w:gridCol w:w="5622"/>
      </w:tblGrid>
      <w:tr w:rsidR="002A4E69" w:rsidRPr="002F2599" w:rsidTr="002A4E69">
        <w:tc>
          <w:tcPr>
            <w:tcW w:w="2114" w:type="dxa"/>
          </w:tcPr>
          <w:p w:rsidR="002A4E69" w:rsidRPr="002F2599" w:rsidRDefault="002A4E69" w:rsidP="002A4E69">
            <w:pPr>
              <w:autoSpaceDE w:val="0"/>
              <w:autoSpaceDN w:val="0"/>
              <w:adjustRightInd w:val="0"/>
              <w:ind w:left="28"/>
              <w:rPr>
                <w:sz w:val="22"/>
                <w:szCs w:val="22"/>
              </w:rPr>
            </w:pPr>
            <w:r w:rsidRPr="002F2599">
              <w:rPr>
                <w:sz w:val="22"/>
                <w:szCs w:val="22"/>
              </w:rPr>
              <w:t>Infektioner og parasitære sygdomme</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sz w:val="22"/>
                <w:szCs w:val="22"/>
              </w:rPr>
            </w:pPr>
            <w:r w:rsidRPr="002F2599">
              <w:rPr>
                <w:sz w:val="22"/>
                <w:szCs w:val="22"/>
              </w:rPr>
              <w:t xml:space="preserve">Der er rapporteret om forværring af infektionsrelaterede betændelsestilstande (f.eks. udvikling af </w:t>
            </w:r>
            <w:proofErr w:type="spellStart"/>
            <w:r w:rsidRPr="002F2599">
              <w:rPr>
                <w:sz w:val="22"/>
                <w:szCs w:val="22"/>
              </w:rPr>
              <w:t>nekrotiserende</w:t>
            </w:r>
            <w:proofErr w:type="spellEnd"/>
            <w:r w:rsidRPr="002F2599">
              <w:rPr>
                <w:sz w:val="22"/>
                <w:szCs w:val="22"/>
              </w:rPr>
              <w:t xml:space="preserve"> </w:t>
            </w:r>
            <w:proofErr w:type="spellStart"/>
            <w:r w:rsidRPr="002F2599">
              <w:rPr>
                <w:sz w:val="22"/>
                <w:szCs w:val="22"/>
              </w:rPr>
              <w:t>fasciitis</w:t>
            </w:r>
            <w:proofErr w:type="spellEnd"/>
            <w:r w:rsidRPr="002F2599">
              <w:rPr>
                <w:sz w:val="22"/>
                <w:szCs w:val="22"/>
              </w:rPr>
              <w:t>), der var sammenfaldende med brug af non-</w:t>
            </w:r>
            <w:proofErr w:type="spellStart"/>
            <w:r w:rsidRPr="002F2599">
              <w:rPr>
                <w:sz w:val="22"/>
                <w:szCs w:val="22"/>
              </w:rPr>
              <w:t>steroide</w:t>
            </w:r>
            <w:proofErr w:type="spellEnd"/>
            <w:r w:rsidRPr="002F2599">
              <w:rPr>
                <w:sz w:val="22"/>
                <w:szCs w:val="22"/>
              </w:rPr>
              <w:t xml:space="preserve"> antiinflammatoriske lægemidler. Dette kan være forbundet med virkningsmekanismen af non-</w:t>
            </w:r>
            <w:proofErr w:type="spellStart"/>
            <w:r w:rsidRPr="002F2599">
              <w:rPr>
                <w:sz w:val="22"/>
                <w:szCs w:val="22"/>
              </w:rPr>
              <w:t>steroide</w:t>
            </w:r>
            <w:proofErr w:type="spellEnd"/>
            <w:r w:rsidRPr="002F2599">
              <w:rPr>
                <w:sz w:val="22"/>
                <w:szCs w:val="22"/>
              </w:rPr>
              <w:t xml:space="preserve"> antiinflammatoriske lægemidler.</w:t>
            </w:r>
          </w:p>
        </w:tc>
      </w:tr>
      <w:tr w:rsidR="002A4E69" w:rsidRPr="002F2599" w:rsidTr="002A4E69">
        <w:tc>
          <w:tcPr>
            <w:tcW w:w="2114" w:type="dxa"/>
          </w:tcPr>
          <w:p w:rsidR="002A4E69" w:rsidRPr="002F2599" w:rsidRDefault="002A4E69" w:rsidP="002A4E69">
            <w:pPr>
              <w:autoSpaceDE w:val="0"/>
              <w:autoSpaceDN w:val="0"/>
              <w:adjustRightInd w:val="0"/>
              <w:ind w:left="28"/>
              <w:rPr>
                <w:sz w:val="22"/>
                <w:szCs w:val="22"/>
              </w:rPr>
            </w:pPr>
            <w:r w:rsidRPr="002F2599">
              <w:rPr>
                <w:sz w:val="22"/>
                <w:szCs w:val="22"/>
              </w:rPr>
              <w:t>Blod og lymfesystem</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sz w:val="22"/>
                <w:szCs w:val="22"/>
              </w:rPr>
            </w:pPr>
            <w:r w:rsidRPr="002F2599">
              <w:rPr>
                <w:sz w:val="22"/>
                <w:szCs w:val="22"/>
              </w:rPr>
              <w:t xml:space="preserve">Bloddannelsesforstyrrelser (anæmi, </w:t>
            </w:r>
            <w:proofErr w:type="spellStart"/>
            <w:r w:rsidRPr="002F2599">
              <w:rPr>
                <w:sz w:val="22"/>
                <w:szCs w:val="22"/>
              </w:rPr>
              <w:t>agranulocytose</w:t>
            </w:r>
            <w:proofErr w:type="spellEnd"/>
            <w:r w:rsidRPr="002F2599">
              <w:rPr>
                <w:sz w:val="22"/>
                <w:szCs w:val="22"/>
              </w:rPr>
              <w:t xml:space="preserve">, </w:t>
            </w:r>
            <w:proofErr w:type="spellStart"/>
            <w:r w:rsidRPr="002F2599">
              <w:rPr>
                <w:sz w:val="22"/>
                <w:szCs w:val="22"/>
              </w:rPr>
              <w:t>leukopeni</w:t>
            </w:r>
            <w:proofErr w:type="spellEnd"/>
            <w:r w:rsidRPr="002F2599">
              <w:rPr>
                <w:sz w:val="22"/>
                <w:szCs w:val="22"/>
              </w:rPr>
              <w:t xml:space="preserve">, </w:t>
            </w:r>
            <w:proofErr w:type="spellStart"/>
            <w:r w:rsidRPr="002F2599">
              <w:rPr>
                <w:sz w:val="22"/>
                <w:szCs w:val="22"/>
              </w:rPr>
              <w:t>trombocytopeni</w:t>
            </w:r>
            <w:proofErr w:type="spellEnd"/>
            <w:r w:rsidRPr="002F2599">
              <w:rPr>
                <w:sz w:val="22"/>
                <w:szCs w:val="22"/>
              </w:rPr>
              <w:t xml:space="preserve"> og </w:t>
            </w:r>
            <w:proofErr w:type="spellStart"/>
            <w:r w:rsidRPr="002F2599">
              <w:rPr>
                <w:sz w:val="22"/>
                <w:szCs w:val="22"/>
              </w:rPr>
              <w:t>pancytopeni</w:t>
            </w:r>
            <w:proofErr w:type="spellEnd"/>
            <w:r w:rsidRPr="002F2599">
              <w:rPr>
                <w:sz w:val="22"/>
                <w:szCs w:val="22"/>
              </w:rPr>
              <w:t>). De første symptomer er: feber, ondt i halsen, overfladiske sår i munden, influenzalignende symptomer, kraftig udmattelse, næseblødning og hudblødning.</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Immunsystemet</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Overfølsomhedsreaktioner med hududslæt og kløe samt astmaanfald (muligvis med blodtryksfald)</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Systemisk lupus </w:t>
            </w:r>
            <w:proofErr w:type="spellStart"/>
            <w:r w:rsidRPr="002F2599">
              <w:rPr>
                <w:sz w:val="22"/>
                <w:szCs w:val="22"/>
              </w:rPr>
              <w:t>erythematosus</w:t>
            </w:r>
            <w:proofErr w:type="spellEnd"/>
            <w:r w:rsidRPr="002F2599">
              <w:rPr>
                <w:sz w:val="22"/>
                <w:szCs w:val="22"/>
              </w:rPr>
              <w:t xml:space="preserve">, svære overfølsomhedsreaktioner, ansigtsødem, hævelse af tungen, hævelse i struben med forsnævring af luftvejene, vejrtrækningsbesvær, </w:t>
            </w:r>
            <w:proofErr w:type="spellStart"/>
            <w:r w:rsidRPr="002F2599">
              <w:rPr>
                <w:sz w:val="22"/>
                <w:szCs w:val="22"/>
              </w:rPr>
              <w:t>palpitationer</w:t>
            </w:r>
            <w:proofErr w:type="spellEnd"/>
            <w:r w:rsidRPr="002F2599">
              <w:rPr>
                <w:sz w:val="22"/>
                <w:szCs w:val="22"/>
              </w:rPr>
              <w:t xml:space="preserve">, hypotension og livstruende </w:t>
            </w:r>
            <w:proofErr w:type="spellStart"/>
            <w:r w:rsidRPr="002F2599">
              <w:rPr>
                <w:sz w:val="22"/>
                <w:szCs w:val="22"/>
              </w:rPr>
              <w:t>shock</w:t>
            </w:r>
            <w:proofErr w:type="spellEnd"/>
            <w:r w:rsidRPr="002F2599">
              <w:rPr>
                <w:sz w:val="22"/>
                <w:szCs w:val="22"/>
              </w:rPr>
              <w:t>.</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Psykiske forstyrrelser</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Angst, rastløshed</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Psykotiske reaktioner, nervøsitet, irritabilitet, forvirring eller desorientering og depression</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Nervesystemet</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Træthed eller søvnløshed, hovedpine, svimmelhed</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proofErr w:type="spellStart"/>
            <w:r w:rsidRPr="002F2599">
              <w:rPr>
                <w:sz w:val="22"/>
                <w:szCs w:val="22"/>
              </w:rPr>
              <w:t>Insomni</w:t>
            </w:r>
            <w:proofErr w:type="spellEnd"/>
            <w:r w:rsidRPr="002F2599">
              <w:rPr>
                <w:sz w:val="22"/>
                <w:szCs w:val="22"/>
              </w:rPr>
              <w:t xml:space="preserve"> (søvnproblemer), agitation, irritabilitet eller træthed</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Aseptisk meningitis (nakkestivhed, hovedpine, kvalme, opkastning, feber eller forvirring). </w:t>
            </w:r>
          </w:p>
          <w:p w:rsidR="002A4E69" w:rsidRPr="002F2599" w:rsidRDefault="002A4E69" w:rsidP="002A4E69">
            <w:pPr>
              <w:autoSpaceDE w:val="0"/>
              <w:autoSpaceDN w:val="0"/>
              <w:adjustRightInd w:val="0"/>
              <w:ind w:left="41"/>
              <w:rPr>
                <w:iCs/>
                <w:sz w:val="22"/>
                <w:szCs w:val="22"/>
              </w:rPr>
            </w:pPr>
            <w:r w:rsidRPr="002F2599">
              <w:rPr>
                <w:sz w:val="22"/>
                <w:szCs w:val="22"/>
              </w:rPr>
              <w:t>Patienter med autoimmune sygdomme (SLE, blandet bindevævssygdom) synes at være særligt udsatte.</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Øjne</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Synsforstyrrelser</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Reversibel toksisk </w:t>
            </w:r>
            <w:proofErr w:type="spellStart"/>
            <w:r w:rsidRPr="002F2599">
              <w:rPr>
                <w:sz w:val="22"/>
                <w:szCs w:val="22"/>
              </w:rPr>
              <w:t>amblyopi</w:t>
            </w:r>
            <w:proofErr w:type="spellEnd"/>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Øre og labyrint</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Almindelig</w:t>
            </w:r>
          </w:p>
        </w:tc>
        <w:tc>
          <w:tcPr>
            <w:tcW w:w="5622" w:type="dxa"/>
          </w:tcPr>
          <w:p w:rsidR="002A4E69" w:rsidRPr="002F2599" w:rsidRDefault="002A4E69" w:rsidP="002A4E69">
            <w:pPr>
              <w:autoSpaceDE w:val="0"/>
              <w:autoSpaceDN w:val="0"/>
              <w:adjustRightInd w:val="0"/>
              <w:ind w:left="41"/>
              <w:rPr>
                <w:iCs/>
                <w:sz w:val="22"/>
                <w:szCs w:val="22"/>
              </w:rPr>
            </w:pPr>
            <w:proofErr w:type="spellStart"/>
            <w:r w:rsidRPr="002F2599">
              <w:rPr>
                <w:sz w:val="22"/>
                <w:szCs w:val="22"/>
              </w:rPr>
              <w:t>Vertigo</w:t>
            </w:r>
            <w:proofErr w:type="spellEnd"/>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Tinnitus</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Høreforstyrrelser</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sz w:val="22"/>
                <w:szCs w:val="22"/>
              </w:rPr>
            </w:pPr>
            <w:r w:rsidRPr="002F2599">
              <w:rPr>
                <w:sz w:val="22"/>
                <w:szCs w:val="22"/>
              </w:rPr>
              <w:t>Hjerte</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sz w:val="22"/>
                <w:szCs w:val="22"/>
              </w:rPr>
            </w:pPr>
            <w:proofErr w:type="spellStart"/>
            <w:r w:rsidRPr="002F2599">
              <w:rPr>
                <w:sz w:val="22"/>
                <w:szCs w:val="22"/>
              </w:rPr>
              <w:t>Palpitationer</w:t>
            </w:r>
            <w:proofErr w:type="spellEnd"/>
            <w:r w:rsidRPr="002F2599">
              <w:rPr>
                <w:sz w:val="22"/>
                <w:szCs w:val="22"/>
              </w:rPr>
              <w:t>, hjertesvigt, myokardieinfarkt</w:t>
            </w:r>
          </w:p>
        </w:tc>
      </w:tr>
      <w:tr w:rsidR="002A4E69" w:rsidRPr="002F2599" w:rsidTr="002A4E69">
        <w:tc>
          <w:tcPr>
            <w:tcW w:w="2114" w:type="dxa"/>
            <w:vMerge/>
          </w:tcPr>
          <w:p w:rsidR="002A4E69" w:rsidRPr="002F2599" w:rsidRDefault="002A4E69" w:rsidP="002A4E69">
            <w:pPr>
              <w:autoSpaceDE w:val="0"/>
              <w:autoSpaceDN w:val="0"/>
              <w:adjustRightInd w:val="0"/>
              <w:ind w:left="28"/>
              <w:rPr>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kendt</w:t>
            </w:r>
          </w:p>
        </w:tc>
        <w:tc>
          <w:tcPr>
            <w:tcW w:w="5622" w:type="dxa"/>
          </w:tcPr>
          <w:p w:rsidR="002A4E69" w:rsidRPr="002F2599" w:rsidRDefault="002A4E69" w:rsidP="002A4E69">
            <w:pPr>
              <w:autoSpaceDE w:val="0"/>
              <w:autoSpaceDN w:val="0"/>
              <w:adjustRightInd w:val="0"/>
              <w:ind w:left="41"/>
              <w:rPr>
                <w:sz w:val="22"/>
                <w:szCs w:val="22"/>
              </w:rPr>
            </w:pPr>
            <w:proofErr w:type="spellStart"/>
            <w:r w:rsidRPr="002F2599">
              <w:rPr>
                <w:sz w:val="22"/>
                <w:szCs w:val="22"/>
              </w:rPr>
              <w:t>Kounis</w:t>
            </w:r>
            <w:proofErr w:type="spellEnd"/>
            <w:r w:rsidRPr="002F2599">
              <w:rPr>
                <w:sz w:val="22"/>
                <w:szCs w:val="22"/>
              </w:rPr>
              <w:t xml:space="preserve"> syndrom</w:t>
            </w:r>
          </w:p>
        </w:tc>
      </w:tr>
      <w:tr w:rsidR="002A4E69" w:rsidRPr="002F2599" w:rsidTr="002A4E69">
        <w:tc>
          <w:tcPr>
            <w:tcW w:w="2114" w:type="dxa"/>
          </w:tcPr>
          <w:p w:rsidR="002A4E69" w:rsidRPr="002F2599" w:rsidRDefault="002A4E69" w:rsidP="002A4E69">
            <w:pPr>
              <w:autoSpaceDE w:val="0"/>
              <w:autoSpaceDN w:val="0"/>
              <w:adjustRightInd w:val="0"/>
              <w:ind w:left="28"/>
              <w:rPr>
                <w:sz w:val="22"/>
                <w:szCs w:val="22"/>
              </w:rPr>
            </w:pPr>
            <w:proofErr w:type="spellStart"/>
            <w:r w:rsidRPr="002F2599">
              <w:rPr>
                <w:sz w:val="22"/>
                <w:szCs w:val="22"/>
              </w:rPr>
              <w:lastRenderedPageBreak/>
              <w:t>Vaskulære</w:t>
            </w:r>
            <w:proofErr w:type="spellEnd"/>
            <w:r w:rsidRPr="002F2599">
              <w:rPr>
                <w:sz w:val="22"/>
                <w:szCs w:val="22"/>
              </w:rPr>
              <w:t xml:space="preserve"> sygdomme</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sz w:val="22"/>
                <w:szCs w:val="22"/>
              </w:rPr>
            </w:pPr>
            <w:r w:rsidRPr="002F2599">
              <w:rPr>
                <w:sz w:val="22"/>
                <w:szCs w:val="22"/>
              </w:rPr>
              <w:t>Arteriel hypertension</w:t>
            </w:r>
          </w:p>
        </w:tc>
      </w:tr>
      <w:tr w:rsidR="002A4E69" w:rsidRPr="002F2599" w:rsidTr="002A4E69">
        <w:tc>
          <w:tcPr>
            <w:tcW w:w="2114" w:type="dxa"/>
          </w:tcPr>
          <w:p w:rsidR="002A4E69" w:rsidRPr="002F2599" w:rsidRDefault="002A4E69" w:rsidP="002A4E69">
            <w:pPr>
              <w:autoSpaceDE w:val="0"/>
              <w:autoSpaceDN w:val="0"/>
              <w:adjustRightInd w:val="0"/>
              <w:ind w:left="28"/>
              <w:rPr>
                <w:iCs/>
                <w:sz w:val="22"/>
                <w:szCs w:val="22"/>
              </w:rPr>
            </w:pPr>
            <w:r w:rsidRPr="002F2599">
              <w:rPr>
                <w:sz w:val="22"/>
                <w:szCs w:val="22"/>
              </w:rPr>
              <w:t xml:space="preserve">Luftveje, thorax og </w:t>
            </w:r>
            <w:proofErr w:type="spellStart"/>
            <w:r w:rsidRPr="002F2599">
              <w:rPr>
                <w:sz w:val="22"/>
                <w:szCs w:val="22"/>
              </w:rPr>
              <w:t>mediastinum</w:t>
            </w:r>
            <w:proofErr w:type="spellEnd"/>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Astma, </w:t>
            </w:r>
            <w:proofErr w:type="spellStart"/>
            <w:r w:rsidRPr="002F2599">
              <w:rPr>
                <w:sz w:val="22"/>
                <w:szCs w:val="22"/>
              </w:rPr>
              <w:t>bronkospasmer</w:t>
            </w:r>
            <w:proofErr w:type="spellEnd"/>
            <w:r w:rsidRPr="002F2599">
              <w:rPr>
                <w:sz w:val="22"/>
                <w:szCs w:val="22"/>
              </w:rPr>
              <w:t>, dyspnø og hvæsende vejrtrækning</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Mave-tarm-kanalen</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almindelig</w:t>
            </w:r>
          </w:p>
        </w:tc>
        <w:tc>
          <w:tcPr>
            <w:tcW w:w="5622" w:type="dxa"/>
          </w:tcPr>
          <w:p w:rsidR="002A4E69" w:rsidRPr="002F2599" w:rsidRDefault="002A4E69" w:rsidP="002A4E69">
            <w:pPr>
              <w:autoSpaceDE w:val="0"/>
              <w:autoSpaceDN w:val="0"/>
              <w:adjustRightInd w:val="0"/>
              <w:ind w:left="41"/>
              <w:rPr>
                <w:iCs/>
                <w:sz w:val="22"/>
                <w:szCs w:val="22"/>
              </w:rPr>
            </w:pPr>
            <w:proofErr w:type="spellStart"/>
            <w:r w:rsidRPr="002F2599">
              <w:rPr>
                <w:sz w:val="22"/>
                <w:szCs w:val="22"/>
              </w:rPr>
              <w:t>Pyrosis</w:t>
            </w:r>
            <w:proofErr w:type="spellEnd"/>
            <w:r w:rsidRPr="002F2599">
              <w:rPr>
                <w:sz w:val="22"/>
                <w:szCs w:val="22"/>
              </w:rPr>
              <w:t xml:space="preserve">, mavesmerter, kvalme, opkastning, </w:t>
            </w:r>
            <w:proofErr w:type="spellStart"/>
            <w:r w:rsidRPr="002F2599">
              <w:rPr>
                <w:sz w:val="22"/>
                <w:szCs w:val="22"/>
              </w:rPr>
              <w:t>flatulens</w:t>
            </w:r>
            <w:proofErr w:type="spellEnd"/>
            <w:r w:rsidRPr="002F2599">
              <w:rPr>
                <w:sz w:val="22"/>
                <w:szCs w:val="22"/>
              </w:rPr>
              <w:t xml:space="preserve">, diarré, obstipation og lette </w:t>
            </w:r>
            <w:proofErr w:type="spellStart"/>
            <w:r w:rsidRPr="002F2599">
              <w:rPr>
                <w:sz w:val="22"/>
                <w:szCs w:val="22"/>
              </w:rPr>
              <w:t>gastrointestinale</w:t>
            </w:r>
            <w:proofErr w:type="spellEnd"/>
            <w:r w:rsidRPr="002F2599">
              <w:rPr>
                <w:sz w:val="22"/>
                <w:szCs w:val="22"/>
              </w:rPr>
              <w:t xml:space="preserve"> blodtab, som i enkeltstående tilfælde kan medføre anæmi.</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Mavesår, potentielt med blødning og perforation. Ulcerøs </w:t>
            </w:r>
            <w:proofErr w:type="spellStart"/>
            <w:r w:rsidRPr="002F2599">
              <w:rPr>
                <w:sz w:val="22"/>
                <w:szCs w:val="22"/>
              </w:rPr>
              <w:t>stomatitis</w:t>
            </w:r>
            <w:proofErr w:type="spellEnd"/>
            <w:r w:rsidRPr="002F2599">
              <w:rPr>
                <w:sz w:val="22"/>
                <w:szCs w:val="22"/>
              </w:rPr>
              <w:t xml:space="preserve">, forværring af colitis og </w:t>
            </w:r>
            <w:proofErr w:type="spellStart"/>
            <w:r w:rsidRPr="002F2599">
              <w:rPr>
                <w:sz w:val="22"/>
                <w:szCs w:val="22"/>
              </w:rPr>
              <w:t>Crohns</w:t>
            </w:r>
            <w:proofErr w:type="spellEnd"/>
            <w:r w:rsidRPr="002F2599">
              <w:rPr>
                <w:sz w:val="22"/>
                <w:szCs w:val="22"/>
              </w:rPr>
              <w:t xml:space="preserve"> sygdom</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Gastritis</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Sjælden</w:t>
            </w:r>
          </w:p>
        </w:tc>
        <w:tc>
          <w:tcPr>
            <w:tcW w:w="5622" w:type="dxa"/>
          </w:tcPr>
          <w:p w:rsidR="002A4E69" w:rsidRPr="002F2599" w:rsidRDefault="002A4E69" w:rsidP="002A4E69">
            <w:pPr>
              <w:autoSpaceDE w:val="0"/>
              <w:autoSpaceDN w:val="0"/>
              <w:adjustRightInd w:val="0"/>
              <w:ind w:left="41"/>
              <w:rPr>
                <w:sz w:val="22"/>
                <w:szCs w:val="22"/>
              </w:rPr>
            </w:pPr>
            <w:proofErr w:type="spellStart"/>
            <w:r w:rsidRPr="002F2599">
              <w:rPr>
                <w:sz w:val="22"/>
                <w:szCs w:val="22"/>
              </w:rPr>
              <w:t>Øsofageal</w:t>
            </w:r>
            <w:proofErr w:type="spellEnd"/>
            <w:r w:rsidRPr="002F2599">
              <w:rPr>
                <w:sz w:val="22"/>
                <w:szCs w:val="22"/>
              </w:rPr>
              <w:t xml:space="preserve"> stenose, forværring af </w:t>
            </w:r>
            <w:proofErr w:type="spellStart"/>
            <w:r w:rsidRPr="002F2599">
              <w:rPr>
                <w:sz w:val="22"/>
                <w:szCs w:val="22"/>
              </w:rPr>
              <w:t>divertikulær</w:t>
            </w:r>
            <w:proofErr w:type="spellEnd"/>
            <w:r w:rsidRPr="002F2599">
              <w:rPr>
                <w:sz w:val="22"/>
                <w:szCs w:val="22"/>
              </w:rPr>
              <w:t xml:space="preserve"> sygdom, uspecifik </w:t>
            </w:r>
            <w:proofErr w:type="spellStart"/>
            <w:r w:rsidRPr="002F2599">
              <w:rPr>
                <w:sz w:val="22"/>
                <w:szCs w:val="22"/>
              </w:rPr>
              <w:t>hæmoragisk</w:t>
            </w:r>
            <w:proofErr w:type="spellEnd"/>
            <w:r w:rsidRPr="002F2599">
              <w:rPr>
                <w:sz w:val="22"/>
                <w:szCs w:val="22"/>
              </w:rPr>
              <w:t xml:space="preserve"> colitis. </w:t>
            </w:r>
          </w:p>
          <w:p w:rsidR="002A4E69" w:rsidRPr="002F2599" w:rsidRDefault="002A4E69" w:rsidP="002A4E69">
            <w:pPr>
              <w:autoSpaceDE w:val="0"/>
              <w:autoSpaceDN w:val="0"/>
              <w:adjustRightInd w:val="0"/>
              <w:ind w:left="41"/>
              <w:rPr>
                <w:iCs/>
                <w:sz w:val="22"/>
                <w:szCs w:val="22"/>
              </w:rPr>
            </w:pPr>
            <w:proofErr w:type="spellStart"/>
            <w:r w:rsidRPr="002F2599">
              <w:rPr>
                <w:sz w:val="22"/>
                <w:szCs w:val="22"/>
              </w:rPr>
              <w:t>Gastrointestinal</w:t>
            </w:r>
            <w:proofErr w:type="spellEnd"/>
            <w:r w:rsidRPr="002F2599">
              <w:rPr>
                <w:sz w:val="22"/>
                <w:szCs w:val="22"/>
              </w:rPr>
              <w:t xml:space="preserve"> blødning kan forårsage anæmi og </w:t>
            </w:r>
            <w:proofErr w:type="spellStart"/>
            <w:r w:rsidRPr="002F2599">
              <w:rPr>
                <w:sz w:val="22"/>
                <w:szCs w:val="22"/>
              </w:rPr>
              <w:t>hæmatemese</w:t>
            </w:r>
            <w:proofErr w:type="spellEnd"/>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iCs/>
                <w:sz w:val="22"/>
                <w:szCs w:val="22"/>
              </w:rPr>
            </w:pPr>
            <w:proofErr w:type="spellStart"/>
            <w:r w:rsidRPr="002F2599">
              <w:rPr>
                <w:sz w:val="22"/>
                <w:szCs w:val="22"/>
              </w:rPr>
              <w:t>Øsofagitis</w:t>
            </w:r>
            <w:proofErr w:type="spellEnd"/>
            <w:r w:rsidRPr="002F2599">
              <w:rPr>
                <w:sz w:val="22"/>
                <w:szCs w:val="22"/>
              </w:rPr>
              <w:t xml:space="preserve">, </w:t>
            </w:r>
            <w:proofErr w:type="spellStart"/>
            <w:r w:rsidRPr="002F2599">
              <w:rPr>
                <w:sz w:val="22"/>
                <w:szCs w:val="22"/>
              </w:rPr>
              <w:t>pankreatitis</w:t>
            </w:r>
            <w:proofErr w:type="spellEnd"/>
            <w:r w:rsidRPr="002F2599">
              <w:rPr>
                <w:sz w:val="22"/>
                <w:szCs w:val="22"/>
              </w:rPr>
              <w:t xml:space="preserve">, dannelse af </w:t>
            </w:r>
            <w:proofErr w:type="spellStart"/>
            <w:r w:rsidRPr="002F2599">
              <w:rPr>
                <w:sz w:val="22"/>
                <w:szCs w:val="22"/>
              </w:rPr>
              <w:t>intestinale</w:t>
            </w:r>
            <w:proofErr w:type="spellEnd"/>
            <w:r w:rsidRPr="002F2599">
              <w:rPr>
                <w:sz w:val="22"/>
                <w:szCs w:val="22"/>
              </w:rPr>
              <w:t>, diafragmalignende strikturer</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Lever og galdeveje</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Sjælden</w:t>
            </w:r>
          </w:p>
        </w:tc>
        <w:tc>
          <w:tcPr>
            <w:tcW w:w="5622" w:type="dxa"/>
          </w:tcPr>
          <w:p w:rsidR="002A4E69" w:rsidRPr="002F2599" w:rsidRDefault="002A4E69" w:rsidP="002A4E69">
            <w:pPr>
              <w:autoSpaceDE w:val="0"/>
              <w:autoSpaceDN w:val="0"/>
              <w:adjustRightInd w:val="0"/>
              <w:ind w:left="41"/>
              <w:rPr>
                <w:iCs/>
                <w:sz w:val="22"/>
                <w:szCs w:val="22"/>
              </w:rPr>
            </w:pPr>
            <w:proofErr w:type="spellStart"/>
            <w:r w:rsidRPr="002F2599">
              <w:rPr>
                <w:sz w:val="22"/>
                <w:szCs w:val="22"/>
              </w:rPr>
              <w:t>Ikterus</w:t>
            </w:r>
            <w:proofErr w:type="spellEnd"/>
            <w:r w:rsidRPr="002F2599">
              <w:rPr>
                <w:sz w:val="22"/>
                <w:szCs w:val="22"/>
              </w:rPr>
              <w:t xml:space="preserve">, </w:t>
            </w:r>
            <w:proofErr w:type="spellStart"/>
            <w:r w:rsidRPr="002F2599">
              <w:rPr>
                <w:sz w:val="22"/>
                <w:szCs w:val="22"/>
              </w:rPr>
              <w:t>hepatisk</w:t>
            </w:r>
            <w:proofErr w:type="spellEnd"/>
            <w:r w:rsidRPr="002F2599">
              <w:rPr>
                <w:sz w:val="22"/>
                <w:szCs w:val="22"/>
              </w:rPr>
              <w:t xml:space="preserve"> dysfunktion, leverskade, særligt ved langvarig behandling, akut hepatitis</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kendt</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Leverinsufficiens</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Hud og subkutane væv</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Hudreaktion</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proofErr w:type="spellStart"/>
            <w:r w:rsidRPr="002F2599">
              <w:rPr>
                <w:sz w:val="22"/>
                <w:szCs w:val="22"/>
              </w:rPr>
              <w:t>Urticaria</w:t>
            </w:r>
            <w:proofErr w:type="spellEnd"/>
            <w:r w:rsidRPr="002F2599">
              <w:rPr>
                <w:sz w:val="22"/>
                <w:szCs w:val="22"/>
              </w:rPr>
              <w:t xml:space="preserve">, </w:t>
            </w:r>
            <w:proofErr w:type="spellStart"/>
            <w:r w:rsidRPr="002F2599">
              <w:rPr>
                <w:sz w:val="22"/>
                <w:szCs w:val="22"/>
              </w:rPr>
              <w:t>pruritus</w:t>
            </w:r>
            <w:proofErr w:type="spellEnd"/>
            <w:r w:rsidRPr="002F2599">
              <w:rPr>
                <w:sz w:val="22"/>
                <w:szCs w:val="22"/>
              </w:rPr>
              <w:t xml:space="preserve">, </w:t>
            </w:r>
            <w:proofErr w:type="spellStart"/>
            <w:r w:rsidRPr="002F2599">
              <w:rPr>
                <w:sz w:val="22"/>
                <w:szCs w:val="22"/>
              </w:rPr>
              <w:t>purpura</w:t>
            </w:r>
            <w:proofErr w:type="spellEnd"/>
            <w:r w:rsidRPr="002F2599">
              <w:rPr>
                <w:sz w:val="22"/>
                <w:szCs w:val="22"/>
              </w:rPr>
              <w:t xml:space="preserve"> (inklusive allergisk </w:t>
            </w:r>
            <w:proofErr w:type="spellStart"/>
            <w:r w:rsidRPr="002F2599">
              <w:rPr>
                <w:sz w:val="22"/>
                <w:szCs w:val="22"/>
              </w:rPr>
              <w:t>purpura</w:t>
            </w:r>
            <w:proofErr w:type="spellEnd"/>
            <w:r w:rsidRPr="002F2599">
              <w:rPr>
                <w:sz w:val="22"/>
                <w:szCs w:val="22"/>
              </w:rPr>
              <w:t>), hududslæt</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Meget 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Alvorlige </w:t>
            </w:r>
            <w:proofErr w:type="spellStart"/>
            <w:r w:rsidRPr="002F2599">
              <w:rPr>
                <w:sz w:val="22"/>
                <w:szCs w:val="22"/>
              </w:rPr>
              <w:t>kutane</w:t>
            </w:r>
            <w:proofErr w:type="spellEnd"/>
            <w:r w:rsidRPr="002F2599">
              <w:rPr>
                <w:sz w:val="22"/>
                <w:szCs w:val="22"/>
              </w:rPr>
              <w:t xml:space="preserve"> bivirkninger (</w:t>
            </w:r>
            <w:proofErr w:type="spellStart"/>
            <w:r w:rsidRPr="002F2599">
              <w:rPr>
                <w:sz w:val="22"/>
                <w:szCs w:val="22"/>
              </w:rPr>
              <w:t>SCAR'er</w:t>
            </w:r>
            <w:proofErr w:type="spellEnd"/>
            <w:r w:rsidRPr="002F2599">
              <w:rPr>
                <w:sz w:val="22"/>
                <w:szCs w:val="22"/>
              </w:rPr>
              <w:t xml:space="preserve">) (herunder </w:t>
            </w:r>
            <w:proofErr w:type="spellStart"/>
            <w:r w:rsidRPr="002F2599">
              <w:rPr>
                <w:sz w:val="22"/>
                <w:szCs w:val="22"/>
              </w:rPr>
              <w:t>erythema</w:t>
            </w:r>
            <w:proofErr w:type="spellEnd"/>
            <w:r w:rsidRPr="002F2599">
              <w:rPr>
                <w:sz w:val="22"/>
                <w:szCs w:val="22"/>
              </w:rPr>
              <w:t xml:space="preserve"> multiforme, </w:t>
            </w:r>
            <w:proofErr w:type="spellStart"/>
            <w:r w:rsidRPr="002F2599">
              <w:rPr>
                <w:sz w:val="22"/>
                <w:szCs w:val="22"/>
              </w:rPr>
              <w:t>eksfoliativ</w:t>
            </w:r>
            <w:proofErr w:type="spellEnd"/>
            <w:r w:rsidRPr="002F2599">
              <w:rPr>
                <w:sz w:val="22"/>
                <w:szCs w:val="22"/>
              </w:rPr>
              <w:t xml:space="preserve"> </w:t>
            </w:r>
            <w:proofErr w:type="spellStart"/>
            <w:r w:rsidRPr="002F2599">
              <w:rPr>
                <w:sz w:val="22"/>
                <w:szCs w:val="22"/>
              </w:rPr>
              <w:t>dermatitis</w:t>
            </w:r>
            <w:proofErr w:type="spellEnd"/>
            <w:r w:rsidRPr="002F2599">
              <w:rPr>
                <w:sz w:val="22"/>
                <w:szCs w:val="22"/>
              </w:rPr>
              <w:t xml:space="preserve">, Stevens-Johnsons syndrom og toksisk </w:t>
            </w:r>
            <w:proofErr w:type="spellStart"/>
            <w:r w:rsidRPr="002F2599">
              <w:rPr>
                <w:sz w:val="22"/>
                <w:szCs w:val="22"/>
              </w:rPr>
              <w:t>epidermal</w:t>
            </w:r>
            <w:proofErr w:type="spellEnd"/>
            <w:r w:rsidRPr="002F2599">
              <w:rPr>
                <w:sz w:val="22"/>
                <w:szCs w:val="22"/>
              </w:rPr>
              <w:t xml:space="preserve"> </w:t>
            </w:r>
            <w:proofErr w:type="spellStart"/>
            <w:r w:rsidRPr="002F2599">
              <w:rPr>
                <w:sz w:val="22"/>
                <w:szCs w:val="22"/>
              </w:rPr>
              <w:t>nekrolyse</w:t>
            </w:r>
            <w:proofErr w:type="spellEnd"/>
            <w:r w:rsidRPr="002F2599">
              <w:rPr>
                <w:sz w:val="22"/>
                <w:szCs w:val="22"/>
              </w:rPr>
              <w:t xml:space="preserve">), </w:t>
            </w:r>
            <w:proofErr w:type="spellStart"/>
            <w:r w:rsidRPr="002F2599">
              <w:rPr>
                <w:sz w:val="22"/>
                <w:szCs w:val="22"/>
              </w:rPr>
              <w:t>alopeci</w:t>
            </w:r>
            <w:proofErr w:type="spellEnd"/>
            <w:r w:rsidRPr="002F2599">
              <w:rPr>
                <w:sz w:val="22"/>
                <w:szCs w:val="22"/>
              </w:rPr>
              <w:t xml:space="preserve">. </w:t>
            </w:r>
          </w:p>
          <w:p w:rsidR="002A4E69" w:rsidRPr="002F2599" w:rsidRDefault="002A4E69" w:rsidP="002A4E69">
            <w:pPr>
              <w:autoSpaceDE w:val="0"/>
              <w:autoSpaceDN w:val="0"/>
              <w:adjustRightInd w:val="0"/>
              <w:ind w:left="41"/>
              <w:rPr>
                <w:iCs/>
                <w:sz w:val="22"/>
                <w:szCs w:val="22"/>
              </w:rPr>
            </w:pPr>
            <w:r w:rsidRPr="002F2599">
              <w:rPr>
                <w:sz w:val="22"/>
                <w:szCs w:val="22"/>
              </w:rPr>
              <w:t xml:space="preserve">Fotosensitivitetsreaktioner og allergisk </w:t>
            </w:r>
            <w:proofErr w:type="spellStart"/>
            <w:r w:rsidRPr="002F2599">
              <w:rPr>
                <w:sz w:val="22"/>
                <w:szCs w:val="22"/>
              </w:rPr>
              <w:t>vaskulitis</w:t>
            </w:r>
            <w:proofErr w:type="spellEnd"/>
            <w:r w:rsidRPr="002F2599">
              <w:rPr>
                <w:sz w:val="22"/>
                <w:szCs w:val="22"/>
              </w:rPr>
              <w:t xml:space="preserve">. I enkeltstående tilfælde svære hudinfektioner og bløddelskomplikationer i forbindelse med </w:t>
            </w:r>
            <w:proofErr w:type="spellStart"/>
            <w:r w:rsidRPr="002F2599">
              <w:rPr>
                <w:sz w:val="22"/>
                <w:szCs w:val="22"/>
              </w:rPr>
              <w:t>varicella</w:t>
            </w:r>
            <w:proofErr w:type="spellEnd"/>
            <w:r w:rsidRPr="002F2599">
              <w:rPr>
                <w:sz w:val="22"/>
                <w:szCs w:val="22"/>
              </w:rPr>
              <w:t>-infektion (se også ”Infektioner og parasitære sygdomme”).</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kendt</w:t>
            </w:r>
          </w:p>
        </w:tc>
        <w:tc>
          <w:tcPr>
            <w:tcW w:w="5622" w:type="dxa"/>
          </w:tcPr>
          <w:p w:rsidR="002A4E69" w:rsidRPr="002F2599" w:rsidRDefault="002A4E69" w:rsidP="002A4E69">
            <w:pPr>
              <w:autoSpaceDE w:val="0"/>
              <w:autoSpaceDN w:val="0"/>
              <w:adjustRightInd w:val="0"/>
              <w:ind w:left="41"/>
              <w:rPr>
                <w:sz w:val="22"/>
                <w:szCs w:val="22"/>
              </w:rPr>
            </w:pPr>
            <w:r w:rsidRPr="002F2599">
              <w:rPr>
                <w:sz w:val="22"/>
                <w:szCs w:val="22"/>
              </w:rPr>
              <w:t xml:space="preserve">Lægemiddelreaktion med </w:t>
            </w:r>
            <w:proofErr w:type="spellStart"/>
            <w:r w:rsidRPr="002F2599">
              <w:rPr>
                <w:sz w:val="22"/>
                <w:szCs w:val="22"/>
              </w:rPr>
              <w:t>eosinofili</w:t>
            </w:r>
            <w:proofErr w:type="spellEnd"/>
            <w:r w:rsidRPr="002F2599">
              <w:rPr>
                <w:sz w:val="22"/>
                <w:szCs w:val="22"/>
              </w:rPr>
              <w:t xml:space="preserve"> og systemiske symptomer (DRESS), akut generaliseret </w:t>
            </w:r>
            <w:proofErr w:type="spellStart"/>
            <w:r w:rsidRPr="002F2599">
              <w:rPr>
                <w:sz w:val="22"/>
                <w:szCs w:val="22"/>
              </w:rPr>
              <w:t>eksantematøs</w:t>
            </w:r>
            <w:proofErr w:type="spellEnd"/>
            <w:r w:rsidRPr="002F2599">
              <w:rPr>
                <w:sz w:val="22"/>
                <w:szCs w:val="22"/>
              </w:rPr>
              <w:t xml:space="preserve"> </w:t>
            </w:r>
            <w:proofErr w:type="spellStart"/>
            <w:r w:rsidRPr="002F2599">
              <w:rPr>
                <w:sz w:val="22"/>
                <w:szCs w:val="22"/>
              </w:rPr>
              <w:t>pustulose</w:t>
            </w:r>
            <w:proofErr w:type="spellEnd"/>
            <w:r w:rsidRPr="002F2599">
              <w:rPr>
                <w:sz w:val="22"/>
                <w:szCs w:val="22"/>
              </w:rPr>
              <w:t xml:space="preserve"> (AGEP)</w:t>
            </w:r>
          </w:p>
        </w:tc>
      </w:tr>
      <w:tr w:rsidR="002A4E69" w:rsidRPr="002F2599" w:rsidTr="002A4E69">
        <w:tc>
          <w:tcPr>
            <w:tcW w:w="2114" w:type="dxa"/>
          </w:tcPr>
          <w:p w:rsidR="002A4E69" w:rsidRPr="002F2599" w:rsidRDefault="002A4E69" w:rsidP="002A4E69">
            <w:pPr>
              <w:autoSpaceDE w:val="0"/>
              <w:autoSpaceDN w:val="0"/>
              <w:adjustRightInd w:val="0"/>
              <w:ind w:left="28"/>
              <w:rPr>
                <w:iCs/>
                <w:sz w:val="22"/>
                <w:szCs w:val="22"/>
              </w:rPr>
            </w:pPr>
            <w:r w:rsidRPr="002F2599">
              <w:rPr>
                <w:sz w:val="22"/>
                <w:szCs w:val="22"/>
              </w:rPr>
              <w:t>Knogler, led, muskler og bindevæv</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Nakkestivhed</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Nyrer og urinveje</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Nedsat urinudskillelse og ødemdannelse, særligt hos patienter med arteriel hypertension eller nyreinsufficiens, </w:t>
            </w:r>
            <w:proofErr w:type="spellStart"/>
            <w:r w:rsidRPr="002F2599">
              <w:rPr>
                <w:sz w:val="22"/>
                <w:szCs w:val="22"/>
              </w:rPr>
              <w:t>nefrotisk</w:t>
            </w:r>
            <w:proofErr w:type="spellEnd"/>
            <w:r w:rsidRPr="002F2599">
              <w:rPr>
                <w:sz w:val="22"/>
                <w:szCs w:val="22"/>
              </w:rPr>
              <w:t xml:space="preserve"> syndrom, </w:t>
            </w:r>
            <w:proofErr w:type="spellStart"/>
            <w:r w:rsidRPr="002F2599">
              <w:rPr>
                <w:sz w:val="22"/>
                <w:szCs w:val="22"/>
              </w:rPr>
              <w:t>interstitiel</w:t>
            </w:r>
            <w:proofErr w:type="spellEnd"/>
            <w:r w:rsidRPr="002F2599">
              <w:rPr>
                <w:sz w:val="22"/>
                <w:szCs w:val="22"/>
              </w:rPr>
              <w:t xml:space="preserve"> </w:t>
            </w:r>
            <w:proofErr w:type="spellStart"/>
            <w:r w:rsidRPr="002F2599">
              <w:rPr>
                <w:sz w:val="22"/>
                <w:szCs w:val="22"/>
              </w:rPr>
              <w:t>nefritis</w:t>
            </w:r>
            <w:proofErr w:type="spellEnd"/>
            <w:r w:rsidRPr="002F2599">
              <w:rPr>
                <w:sz w:val="22"/>
                <w:szCs w:val="22"/>
              </w:rPr>
              <w:t xml:space="preserve">, der kan være ledsaget af akut nyreinsufficiens. </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Sjælden</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Beskadigelse af nyrevæv (papillær nekrose), særligt ved langvarig behandling, øget serumurinsyrekoncentration i blodet.</w:t>
            </w:r>
          </w:p>
        </w:tc>
      </w:tr>
      <w:tr w:rsidR="002A4E69" w:rsidRPr="002F2599" w:rsidTr="002A4E69">
        <w:tc>
          <w:tcPr>
            <w:tcW w:w="2114" w:type="dxa"/>
            <w:vMerge w:val="restart"/>
          </w:tcPr>
          <w:p w:rsidR="002A4E69" w:rsidRPr="002F2599" w:rsidRDefault="002A4E69" w:rsidP="002A4E69">
            <w:pPr>
              <w:autoSpaceDE w:val="0"/>
              <w:autoSpaceDN w:val="0"/>
              <w:adjustRightInd w:val="0"/>
              <w:ind w:left="28"/>
              <w:rPr>
                <w:iCs/>
                <w:sz w:val="22"/>
                <w:szCs w:val="22"/>
              </w:rPr>
            </w:pPr>
            <w:r w:rsidRPr="002F2599">
              <w:rPr>
                <w:sz w:val="22"/>
                <w:szCs w:val="22"/>
              </w:rPr>
              <w:t>Almene symptomer og reaktioner på administrationsstedet</w:t>
            </w:r>
          </w:p>
        </w:tc>
        <w:tc>
          <w:tcPr>
            <w:tcW w:w="1275" w:type="dxa"/>
          </w:tcPr>
          <w:p w:rsidR="002A4E69" w:rsidRPr="002F2599" w:rsidRDefault="002A4E69" w:rsidP="002A4E69">
            <w:pPr>
              <w:autoSpaceDE w:val="0"/>
              <w:autoSpaceDN w:val="0"/>
              <w:adjustRightInd w:val="0"/>
              <w:rPr>
                <w:sz w:val="22"/>
                <w:szCs w:val="22"/>
              </w:rPr>
            </w:pPr>
            <w:r w:rsidRPr="002F2599">
              <w:rPr>
                <w:sz w:val="22"/>
                <w:szCs w:val="22"/>
              </w:rPr>
              <w:t>Almindelig</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Smerte og svie på administrationsstedet</w:t>
            </w:r>
          </w:p>
        </w:tc>
      </w:tr>
      <w:tr w:rsidR="002A4E69" w:rsidRPr="002F2599" w:rsidTr="002A4E69">
        <w:tc>
          <w:tcPr>
            <w:tcW w:w="2114" w:type="dxa"/>
            <w:vMerge/>
          </w:tcPr>
          <w:p w:rsidR="002A4E69" w:rsidRPr="002F2599" w:rsidRDefault="002A4E69" w:rsidP="002A4E69">
            <w:pPr>
              <w:autoSpaceDE w:val="0"/>
              <w:autoSpaceDN w:val="0"/>
              <w:adjustRightInd w:val="0"/>
              <w:ind w:left="28"/>
              <w:rPr>
                <w:iCs/>
                <w:sz w:val="22"/>
                <w:szCs w:val="22"/>
              </w:rPr>
            </w:pPr>
          </w:p>
        </w:tc>
        <w:tc>
          <w:tcPr>
            <w:tcW w:w="1275" w:type="dxa"/>
          </w:tcPr>
          <w:p w:rsidR="002A4E69" w:rsidRPr="002F2599" w:rsidRDefault="002A4E69" w:rsidP="002A4E69">
            <w:pPr>
              <w:autoSpaceDE w:val="0"/>
              <w:autoSpaceDN w:val="0"/>
              <w:adjustRightInd w:val="0"/>
              <w:rPr>
                <w:sz w:val="22"/>
                <w:szCs w:val="22"/>
              </w:rPr>
            </w:pPr>
            <w:r w:rsidRPr="002F2599">
              <w:rPr>
                <w:sz w:val="22"/>
                <w:szCs w:val="22"/>
              </w:rPr>
              <w:t>Ikke kendt</w:t>
            </w:r>
          </w:p>
        </w:tc>
        <w:tc>
          <w:tcPr>
            <w:tcW w:w="5622" w:type="dxa"/>
          </w:tcPr>
          <w:p w:rsidR="002A4E69" w:rsidRPr="002F2599" w:rsidRDefault="002A4E69" w:rsidP="002A4E69">
            <w:pPr>
              <w:autoSpaceDE w:val="0"/>
              <w:autoSpaceDN w:val="0"/>
              <w:adjustRightInd w:val="0"/>
              <w:ind w:left="41"/>
              <w:rPr>
                <w:iCs/>
                <w:sz w:val="22"/>
                <w:szCs w:val="22"/>
              </w:rPr>
            </w:pPr>
            <w:r w:rsidRPr="002F2599">
              <w:rPr>
                <w:sz w:val="22"/>
                <w:szCs w:val="22"/>
              </w:rPr>
              <w:t xml:space="preserve">Reaktioner på injektionsstedet såsom hævelse, </w:t>
            </w:r>
            <w:proofErr w:type="spellStart"/>
            <w:r w:rsidRPr="002F2599">
              <w:rPr>
                <w:sz w:val="22"/>
                <w:szCs w:val="22"/>
              </w:rPr>
              <w:t>hæmatom</w:t>
            </w:r>
            <w:proofErr w:type="spellEnd"/>
            <w:r w:rsidRPr="002F2599">
              <w:rPr>
                <w:sz w:val="22"/>
                <w:szCs w:val="22"/>
              </w:rPr>
              <w:t xml:space="preserve"> eller blødning.</w:t>
            </w:r>
          </w:p>
        </w:tc>
      </w:tr>
    </w:tbl>
    <w:p w:rsidR="002A4E69" w:rsidRPr="002F2599" w:rsidRDefault="002A4E69" w:rsidP="002A4E69">
      <w:pPr>
        <w:tabs>
          <w:tab w:val="left" w:pos="851"/>
        </w:tabs>
        <w:autoSpaceDE w:val="0"/>
        <w:autoSpaceDN w:val="0"/>
        <w:adjustRightInd w:val="0"/>
        <w:ind w:left="851"/>
        <w:rPr>
          <w:sz w:val="22"/>
          <w:szCs w:val="22"/>
          <w:u w:val="single"/>
        </w:rPr>
      </w:pPr>
    </w:p>
    <w:p w:rsidR="002A4E69" w:rsidRPr="002F2599" w:rsidRDefault="002A4E69" w:rsidP="002A4E69">
      <w:pPr>
        <w:tabs>
          <w:tab w:val="left" w:pos="851"/>
        </w:tabs>
        <w:autoSpaceDE w:val="0"/>
        <w:autoSpaceDN w:val="0"/>
        <w:adjustRightInd w:val="0"/>
        <w:ind w:left="851"/>
        <w:rPr>
          <w:sz w:val="22"/>
          <w:szCs w:val="22"/>
          <w:u w:val="single"/>
        </w:rPr>
      </w:pPr>
    </w:p>
    <w:p w:rsidR="002A4E69" w:rsidRPr="002F2599" w:rsidRDefault="002A4E69" w:rsidP="002A4E69">
      <w:pPr>
        <w:tabs>
          <w:tab w:val="left" w:pos="851"/>
        </w:tabs>
        <w:autoSpaceDE w:val="0"/>
        <w:autoSpaceDN w:val="0"/>
        <w:adjustRightInd w:val="0"/>
        <w:ind w:left="851"/>
        <w:rPr>
          <w:sz w:val="22"/>
          <w:szCs w:val="22"/>
          <w:u w:val="single"/>
        </w:rPr>
      </w:pPr>
    </w:p>
    <w:p w:rsidR="002A4E69" w:rsidRPr="002F2599" w:rsidRDefault="002A4E69" w:rsidP="002A4E69">
      <w:pPr>
        <w:tabs>
          <w:tab w:val="left" w:pos="851"/>
        </w:tabs>
        <w:autoSpaceDE w:val="0"/>
        <w:autoSpaceDN w:val="0"/>
        <w:adjustRightInd w:val="0"/>
        <w:ind w:left="851"/>
        <w:rPr>
          <w:sz w:val="22"/>
          <w:szCs w:val="22"/>
          <w:u w:val="single"/>
        </w:rPr>
      </w:pPr>
      <w:r w:rsidRPr="002F2599">
        <w:rPr>
          <w:sz w:val="22"/>
          <w:szCs w:val="22"/>
          <w:u w:val="single"/>
        </w:rPr>
        <w:t>Indberetning af formodede bivirkninger</w:t>
      </w:r>
    </w:p>
    <w:p w:rsidR="005F0AAF" w:rsidRDefault="005F0AAF" w:rsidP="002A4E69">
      <w:pPr>
        <w:tabs>
          <w:tab w:val="left" w:pos="851"/>
        </w:tabs>
        <w:autoSpaceDE w:val="0"/>
        <w:autoSpaceDN w:val="0"/>
        <w:adjustRightInd w:val="0"/>
        <w:ind w:left="851"/>
        <w:rPr>
          <w:sz w:val="24"/>
          <w:szCs w:val="24"/>
        </w:rPr>
      </w:pPr>
      <w:r w:rsidRPr="0090757A">
        <w:rPr>
          <w:sz w:val="24"/>
          <w:szCs w:val="24"/>
        </w:rPr>
        <w:t>Når lægemidlet er godkendt, er indberetning af formodede bivirkninger vigtig. Det muliggør løbende overvågning af benefit/</w:t>
      </w:r>
      <w:proofErr w:type="spellStart"/>
      <w:r w:rsidRPr="0090757A">
        <w:rPr>
          <w:sz w:val="24"/>
          <w:szCs w:val="24"/>
        </w:rPr>
        <w:t>risk</w:t>
      </w:r>
      <w:proofErr w:type="spellEnd"/>
      <w:r w:rsidRPr="0090757A">
        <w:rPr>
          <w:sz w:val="24"/>
          <w:szCs w:val="24"/>
        </w:rPr>
        <w:t xml:space="preserve">-forholdet for lægemidlet. </w:t>
      </w:r>
      <w:r w:rsidR="007311C1">
        <w:rPr>
          <w:sz w:val="24"/>
          <w:szCs w:val="24"/>
        </w:rPr>
        <w:t>S</w:t>
      </w:r>
      <w:r w:rsidRPr="0090757A">
        <w:rPr>
          <w:sz w:val="24"/>
          <w:szCs w:val="24"/>
        </w:rPr>
        <w:t>undhedsperson</w:t>
      </w:r>
      <w:r w:rsidR="007311C1">
        <w:rPr>
          <w:sz w:val="24"/>
          <w:szCs w:val="24"/>
        </w:rPr>
        <w:t xml:space="preserve">er </w:t>
      </w:r>
      <w:r w:rsidRPr="0090757A">
        <w:rPr>
          <w:sz w:val="24"/>
          <w:szCs w:val="24"/>
        </w:rPr>
        <w:t>anmodes om at indberette alle formodede bivirkninger via</w:t>
      </w:r>
      <w:r>
        <w:rPr>
          <w:sz w:val="24"/>
          <w:szCs w:val="24"/>
        </w:rPr>
        <w:t>:</w:t>
      </w:r>
    </w:p>
    <w:p w:rsidR="005F0AAF" w:rsidRPr="0090757A" w:rsidRDefault="005F0AAF" w:rsidP="005F0AAF">
      <w:pPr>
        <w:tabs>
          <w:tab w:val="left" w:pos="851"/>
        </w:tabs>
        <w:autoSpaceDE w:val="0"/>
        <w:autoSpaceDN w:val="0"/>
        <w:adjustRightInd w:val="0"/>
        <w:ind w:left="851"/>
        <w:rPr>
          <w:sz w:val="24"/>
          <w:szCs w:val="24"/>
        </w:rPr>
      </w:pPr>
    </w:p>
    <w:p w:rsidR="002A4E69" w:rsidRDefault="002A4E69" w:rsidP="005F0AAF">
      <w:pPr>
        <w:tabs>
          <w:tab w:val="left" w:pos="851"/>
        </w:tabs>
        <w:ind w:left="851"/>
        <w:rPr>
          <w:rFonts w:eastAsia="SimSun"/>
          <w:sz w:val="24"/>
          <w:szCs w:val="24"/>
          <w:lang w:eastAsia="en-GB"/>
        </w:rPr>
      </w:pPr>
    </w:p>
    <w:p w:rsidR="005F0AAF" w:rsidRPr="0090757A" w:rsidRDefault="005F0AAF" w:rsidP="005F0AAF">
      <w:pPr>
        <w:tabs>
          <w:tab w:val="left" w:pos="851"/>
        </w:tabs>
        <w:ind w:left="851"/>
        <w:rPr>
          <w:color w:val="000000"/>
          <w:sz w:val="24"/>
          <w:szCs w:val="24"/>
          <w:lang w:eastAsia="zh-CN"/>
        </w:rPr>
      </w:pPr>
      <w:r w:rsidRPr="0090757A">
        <w:rPr>
          <w:rFonts w:eastAsia="SimSun"/>
          <w:sz w:val="24"/>
          <w:szCs w:val="24"/>
          <w:lang w:eastAsia="en-GB"/>
        </w:rPr>
        <w:lastRenderedPageBreak/>
        <w:t>Lægemiddelstyrelsen</w:t>
      </w:r>
    </w:p>
    <w:p w:rsidR="005F0AAF" w:rsidRPr="0090757A" w:rsidRDefault="005F0AAF" w:rsidP="005F0AAF">
      <w:pPr>
        <w:tabs>
          <w:tab w:val="left" w:pos="851"/>
        </w:tabs>
        <w:ind w:left="851"/>
        <w:rPr>
          <w:noProof/>
          <w:sz w:val="24"/>
          <w:szCs w:val="24"/>
          <w:lang w:eastAsia="zh-CN"/>
        </w:rPr>
      </w:pPr>
      <w:r w:rsidRPr="0090757A">
        <w:rPr>
          <w:sz w:val="24"/>
          <w:szCs w:val="24"/>
          <w:lang w:eastAsia="zh-CN"/>
        </w:rPr>
        <w:t>Axel Heides Gade 1</w:t>
      </w:r>
    </w:p>
    <w:p w:rsidR="005F0AAF" w:rsidRPr="00152E3F" w:rsidRDefault="005F0AAF" w:rsidP="005F0AAF">
      <w:pPr>
        <w:tabs>
          <w:tab w:val="left" w:pos="851"/>
        </w:tabs>
        <w:ind w:left="851"/>
        <w:rPr>
          <w:noProof/>
          <w:sz w:val="24"/>
          <w:szCs w:val="24"/>
          <w:lang w:eastAsia="zh-CN"/>
        </w:rPr>
      </w:pPr>
      <w:r w:rsidRPr="00152E3F">
        <w:rPr>
          <w:noProof/>
          <w:sz w:val="24"/>
          <w:szCs w:val="24"/>
          <w:lang w:eastAsia="zh-CN"/>
        </w:rPr>
        <w:t xml:space="preserve">DK-2300 </w:t>
      </w:r>
      <w:r w:rsidRPr="00152E3F">
        <w:rPr>
          <w:sz w:val="24"/>
          <w:szCs w:val="24"/>
          <w:lang w:eastAsia="zh-CN"/>
        </w:rPr>
        <w:t>København S</w:t>
      </w:r>
    </w:p>
    <w:p w:rsidR="005F0AAF" w:rsidRPr="00E06FB1" w:rsidRDefault="005F0AAF" w:rsidP="005F0AAF">
      <w:pPr>
        <w:tabs>
          <w:tab w:val="left" w:pos="-720"/>
          <w:tab w:val="left" w:pos="851"/>
        </w:tabs>
        <w:suppressAutoHyphens/>
        <w:ind w:left="851"/>
        <w:rPr>
          <w:noProof/>
          <w:sz w:val="24"/>
          <w:szCs w:val="24"/>
          <w:lang w:eastAsia="zh-CN"/>
        </w:rPr>
      </w:pPr>
      <w:r w:rsidRPr="00E06FB1">
        <w:rPr>
          <w:sz w:val="24"/>
          <w:szCs w:val="24"/>
          <w:lang w:eastAsia="zh-CN"/>
        </w:rPr>
        <w:t>Websted</w:t>
      </w:r>
      <w:r w:rsidRPr="00E06FB1">
        <w:rPr>
          <w:noProof/>
          <w:sz w:val="24"/>
          <w:szCs w:val="24"/>
          <w:lang w:eastAsia="zh-CN"/>
        </w:rPr>
        <w:t xml:space="preserve">: </w:t>
      </w:r>
      <w:hyperlink r:id="rId8" w:history="1">
        <w:r w:rsidRPr="00E06FB1">
          <w:rPr>
            <w:noProof/>
            <w:sz w:val="24"/>
            <w:szCs w:val="24"/>
            <w:lang w:eastAsia="zh-CN"/>
          </w:rPr>
          <w:t>www.meldenbivirkning.dk</w:t>
        </w:r>
      </w:hyperlink>
    </w:p>
    <w:p w:rsidR="005F0AAF" w:rsidRPr="00E06FB1" w:rsidRDefault="005F0AAF" w:rsidP="005F0AAF">
      <w:pPr>
        <w:pStyle w:val="Sidehoved"/>
        <w:tabs>
          <w:tab w:val="left" w:pos="851"/>
        </w:tabs>
        <w:ind w:left="851"/>
        <w:rPr>
          <w:szCs w:val="24"/>
        </w:rPr>
      </w:pPr>
    </w:p>
    <w:p w:rsidR="005F0AAF" w:rsidRPr="00991865" w:rsidRDefault="005F0AAF" w:rsidP="005F0AAF">
      <w:pPr>
        <w:tabs>
          <w:tab w:val="left" w:pos="851"/>
        </w:tabs>
        <w:ind w:left="851" w:hanging="851"/>
        <w:rPr>
          <w:b/>
          <w:sz w:val="24"/>
          <w:szCs w:val="24"/>
        </w:rPr>
      </w:pPr>
      <w:r w:rsidRPr="00C517E4">
        <w:rPr>
          <w:b/>
          <w:sz w:val="24"/>
          <w:szCs w:val="24"/>
        </w:rPr>
        <w:t>4.9</w:t>
      </w:r>
      <w:r w:rsidRPr="00C517E4">
        <w:rPr>
          <w:b/>
          <w:sz w:val="24"/>
          <w:szCs w:val="24"/>
        </w:rPr>
        <w:tab/>
        <w:t>Overdosering</w:t>
      </w:r>
    </w:p>
    <w:p w:rsidR="005F0AAF" w:rsidRPr="00C517E4" w:rsidRDefault="005F0AAF" w:rsidP="005F0AAF">
      <w:pPr>
        <w:tabs>
          <w:tab w:val="left" w:pos="851"/>
        </w:tabs>
        <w:autoSpaceDE w:val="0"/>
        <w:autoSpaceDN w:val="0"/>
        <w:adjustRightInd w:val="0"/>
        <w:ind w:left="851"/>
        <w:rPr>
          <w:sz w:val="24"/>
          <w:szCs w:val="24"/>
          <w:u w:val="single"/>
        </w:rPr>
      </w:pPr>
      <w:r w:rsidRPr="00C517E4">
        <w:rPr>
          <w:sz w:val="24"/>
          <w:szCs w:val="24"/>
          <w:u w:val="single"/>
        </w:rPr>
        <w:t xml:space="preserve">Symptomer </w:t>
      </w:r>
    </w:p>
    <w:p w:rsidR="00EF5645" w:rsidRDefault="00EF5645" w:rsidP="00EF5645">
      <w:pPr>
        <w:tabs>
          <w:tab w:val="left" w:pos="851"/>
        </w:tabs>
        <w:autoSpaceDE w:val="0"/>
        <w:autoSpaceDN w:val="0"/>
        <w:adjustRightInd w:val="0"/>
        <w:ind w:left="851"/>
        <w:rPr>
          <w:sz w:val="24"/>
          <w:szCs w:val="24"/>
        </w:rPr>
      </w:pPr>
      <w:r w:rsidRPr="0090757A">
        <w:rPr>
          <w:sz w:val="24"/>
          <w:szCs w:val="24"/>
        </w:rPr>
        <w:t>Forstyrrelser i centralnervesystemet, herunder hovedpine,</w:t>
      </w:r>
      <w:r>
        <w:rPr>
          <w:sz w:val="24"/>
          <w:szCs w:val="24"/>
        </w:rPr>
        <w:t xml:space="preserve"> </w:t>
      </w:r>
      <w:bookmarkStart w:id="2" w:name="_Hlk82602242"/>
      <w:r>
        <w:rPr>
          <w:sz w:val="24"/>
          <w:szCs w:val="24"/>
        </w:rPr>
        <w:t>forvirring, nystagmus</w:t>
      </w:r>
      <w:bookmarkEnd w:id="2"/>
      <w:r>
        <w:rPr>
          <w:sz w:val="24"/>
          <w:szCs w:val="24"/>
        </w:rPr>
        <w:t>,</w:t>
      </w:r>
      <w:r w:rsidRPr="0090757A">
        <w:rPr>
          <w:sz w:val="24"/>
          <w:szCs w:val="24"/>
        </w:rPr>
        <w:t xml:space="preserve"> tinnitus, svimmelhed, </w:t>
      </w:r>
      <w:proofErr w:type="spellStart"/>
      <w:r w:rsidRPr="0090757A">
        <w:rPr>
          <w:sz w:val="24"/>
          <w:szCs w:val="24"/>
        </w:rPr>
        <w:t>ørhed</w:t>
      </w:r>
      <w:proofErr w:type="spellEnd"/>
      <w:r w:rsidRPr="0090757A">
        <w:rPr>
          <w:sz w:val="24"/>
          <w:szCs w:val="24"/>
        </w:rPr>
        <w:t>, bevidstløshed</w:t>
      </w:r>
      <w:r>
        <w:rPr>
          <w:sz w:val="24"/>
          <w:szCs w:val="24"/>
        </w:rPr>
        <w:t xml:space="preserve">, </w:t>
      </w:r>
      <w:bookmarkStart w:id="3" w:name="_Hlk82602272"/>
      <w:r w:rsidRPr="00E26F1B">
        <w:rPr>
          <w:sz w:val="24"/>
          <w:szCs w:val="24"/>
        </w:rPr>
        <w:t>kramper (hovedsageligt hos børn</w:t>
      </w:r>
      <w:r>
        <w:rPr>
          <w:sz w:val="24"/>
          <w:szCs w:val="24"/>
        </w:rPr>
        <w:t>)</w:t>
      </w:r>
      <w:r w:rsidRPr="0090757A">
        <w:rPr>
          <w:sz w:val="24"/>
          <w:szCs w:val="24"/>
        </w:rPr>
        <w:t xml:space="preserve"> </w:t>
      </w:r>
      <w:bookmarkEnd w:id="3"/>
      <w:r w:rsidRPr="0090757A">
        <w:rPr>
          <w:sz w:val="24"/>
          <w:szCs w:val="24"/>
        </w:rPr>
        <w:t xml:space="preserve">og </w:t>
      </w:r>
      <w:proofErr w:type="spellStart"/>
      <w:r w:rsidRPr="0090757A">
        <w:rPr>
          <w:sz w:val="24"/>
          <w:szCs w:val="24"/>
        </w:rPr>
        <w:t>ataksi</w:t>
      </w:r>
      <w:proofErr w:type="spellEnd"/>
      <w:r w:rsidRPr="0090757A">
        <w:rPr>
          <w:sz w:val="24"/>
          <w:szCs w:val="24"/>
        </w:rPr>
        <w:t>, samt mavesmerter, kvalme og opkastning er symptomer, der kan forekomme ved overdosering.</w:t>
      </w:r>
      <w:bookmarkStart w:id="4" w:name="_Hlk52352179"/>
      <w:r w:rsidRPr="0090757A">
        <w:rPr>
          <w:sz w:val="24"/>
          <w:szCs w:val="24"/>
        </w:rPr>
        <w:t xml:space="preserve"> </w:t>
      </w:r>
      <w:bookmarkEnd w:id="4"/>
      <w:r w:rsidRPr="0090757A">
        <w:rPr>
          <w:sz w:val="24"/>
          <w:szCs w:val="24"/>
        </w:rPr>
        <w:t xml:space="preserve">Der er desuden mulighed for </w:t>
      </w:r>
      <w:proofErr w:type="spellStart"/>
      <w:r w:rsidRPr="0090757A">
        <w:rPr>
          <w:sz w:val="24"/>
          <w:szCs w:val="24"/>
        </w:rPr>
        <w:t>gastrointestinal</w:t>
      </w:r>
      <w:proofErr w:type="spellEnd"/>
      <w:r w:rsidRPr="0090757A">
        <w:rPr>
          <w:sz w:val="24"/>
          <w:szCs w:val="24"/>
        </w:rPr>
        <w:t xml:space="preserve"> blødning og lever- og nyrefunktionsforstyrrelser. Der kan desuden ses hypotension,</w:t>
      </w:r>
      <w:r w:rsidRPr="00E26F1B">
        <w:t xml:space="preserve"> </w:t>
      </w:r>
      <w:bookmarkStart w:id="5" w:name="_Hlk82602297"/>
      <w:proofErr w:type="spellStart"/>
      <w:r>
        <w:t>h</w:t>
      </w:r>
      <w:r w:rsidRPr="00E26F1B">
        <w:rPr>
          <w:sz w:val="24"/>
          <w:szCs w:val="24"/>
        </w:rPr>
        <w:t>yperkaliæmi</w:t>
      </w:r>
      <w:proofErr w:type="spellEnd"/>
      <w:r>
        <w:rPr>
          <w:sz w:val="24"/>
          <w:szCs w:val="24"/>
        </w:rPr>
        <w:t xml:space="preserve">, </w:t>
      </w:r>
      <w:proofErr w:type="spellStart"/>
      <w:r>
        <w:rPr>
          <w:sz w:val="24"/>
          <w:szCs w:val="24"/>
        </w:rPr>
        <w:t>hypotermi</w:t>
      </w:r>
      <w:proofErr w:type="spellEnd"/>
      <w:r>
        <w:rPr>
          <w:sz w:val="24"/>
          <w:szCs w:val="24"/>
        </w:rPr>
        <w:t>,</w:t>
      </w:r>
      <w:r w:rsidRPr="0090757A">
        <w:rPr>
          <w:sz w:val="24"/>
          <w:szCs w:val="24"/>
        </w:rPr>
        <w:t xml:space="preserve"> </w:t>
      </w:r>
      <w:bookmarkEnd w:id="5"/>
      <w:r w:rsidRPr="0090757A">
        <w:rPr>
          <w:sz w:val="24"/>
          <w:szCs w:val="24"/>
        </w:rPr>
        <w:t>respirationsdepression og cyanose.</w:t>
      </w:r>
    </w:p>
    <w:p w:rsidR="00EF5645" w:rsidRDefault="00EF5645" w:rsidP="00EF5645">
      <w:pPr>
        <w:tabs>
          <w:tab w:val="left" w:pos="851"/>
        </w:tabs>
        <w:autoSpaceDE w:val="0"/>
        <w:autoSpaceDN w:val="0"/>
        <w:adjustRightInd w:val="0"/>
        <w:ind w:left="851"/>
        <w:rPr>
          <w:sz w:val="24"/>
          <w:szCs w:val="24"/>
        </w:rPr>
      </w:pPr>
    </w:p>
    <w:p w:rsidR="000E32D2" w:rsidRPr="000E32D2" w:rsidRDefault="000E32D2" w:rsidP="000E32D2">
      <w:pPr>
        <w:tabs>
          <w:tab w:val="left" w:pos="851"/>
        </w:tabs>
        <w:autoSpaceDE w:val="0"/>
        <w:autoSpaceDN w:val="0"/>
        <w:adjustRightInd w:val="0"/>
        <w:ind w:left="851"/>
        <w:rPr>
          <w:sz w:val="24"/>
          <w:szCs w:val="24"/>
        </w:rPr>
      </w:pPr>
      <w:r w:rsidRPr="000E32D2">
        <w:rPr>
          <w:sz w:val="24"/>
          <w:szCs w:val="24"/>
        </w:rPr>
        <w:t xml:space="preserve">Langvarig brug ved højere end anbefalede doser eller overdosering kan medføre </w:t>
      </w:r>
      <w:proofErr w:type="spellStart"/>
      <w:r w:rsidRPr="000E32D2">
        <w:rPr>
          <w:sz w:val="24"/>
          <w:szCs w:val="24"/>
        </w:rPr>
        <w:t>renal</w:t>
      </w:r>
      <w:proofErr w:type="spellEnd"/>
      <w:r w:rsidRPr="000E32D2">
        <w:rPr>
          <w:sz w:val="24"/>
          <w:szCs w:val="24"/>
        </w:rPr>
        <w:t xml:space="preserve"> </w:t>
      </w:r>
      <w:proofErr w:type="spellStart"/>
      <w:r w:rsidRPr="000E32D2">
        <w:rPr>
          <w:sz w:val="24"/>
          <w:szCs w:val="24"/>
        </w:rPr>
        <w:t>tubulær</w:t>
      </w:r>
      <w:proofErr w:type="spellEnd"/>
      <w:r w:rsidRPr="000E32D2">
        <w:rPr>
          <w:sz w:val="24"/>
          <w:szCs w:val="24"/>
        </w:rPr>
        <w:t xml:space="preserve"> </w:t>
      </w:r>
      <w:proofErr w:type="spellStart"/>
      <w:r w:rsidRPr="000E32D2">
        <w:rPr>
          <w:sz w:val="24"/>
          <w:szCs w:val="24"/>
        </w:rPr>
        <w:t>acidose</w:t>
      </w:r>
      <w:proofErr w:type="spellEnd"/>
      <w:r w:rsidRPr="000E32D2">
        <w:rPr>
          <w:sz w:val="24"/>
          <w:szCs w:val="24"/>
        </w:rPr>
        <w:t xml:space="preserve"> og </w:t>
      </w:r>
      <w:proofErr w:type="spellStart"/>
      <w:r w:rsidRPr="000E32D2">
        <w:rPr>
          <w:sz w:val="24"/>
          <w:szCs w:val="24"/>
        </w:rPr>
        <w:t>hypokaliæmi</w:t>
      </w:r>
      <w:proofErr w:type="spellEnd"/>
      <w:r w:rsidRPr="000E32D2">
        <w:rPr>
          <w:sz w:val="24"/>
          <w:szCs w:val="24"/>
        </w:rPr>
        <w:t>.</w:t>
      </w:r>
    </w:p>
    <w:p w:rsidR="000E32D2" w:rsidRDefault="000E32D2" w:rsidP="00EF5645">
      <w:pPr>
        <w:tabs>
          <w:tab w:val="left" w:pos="851"/>
        </w:tabs>
        <w:autoSpaceDE w:val="0"/>
        <w:autoSpaceDN w:val="0"/>
        <w:adjustRightInd w:val="0"/>
        <w:ind w:left="851"/>
        <w:rPr>
          <w:sz w:val="24"/>
          <w:szCs w:val="24"/>
        </w:rPr>
      </w:pPr>
    </w:p>
    <w:p w:rsidR="005F0AAF" w:rsidRPr="0090757A" w:rsidRDefault="005F0AAF" w:rsidP="005F0AAF">
      <w:pPr>
        <w:tabs>
          <w:tab w:val="left" w:pos="851"/>
        </w:tabs>
        <w:autoSpaceDE w:val="0"/>
        <w:autoSpaceDN w:val="0"/>
        <w:adjustRightInd w:val="0"/>
        <w:ind w:left="851"/>
        <w:rPr>
          <w:sz w:val="24"/>
          <w:szCs w:val="24"/>
        </w:rPr>
      </w:pPr>
      <w:r w:rsidRPr="00BF0B1A">
        <w:rPr>
          <w:sz w:val="24"/>
          <w:szCs w:val="24"/>
        </w:rPr>
        <w:t xml:space="preserve">Ved alvorlig forgiftning kan metabolisk </w:t>
      </w:r>
      <w:proofErr w:type="spellStart"/>
      <w:r w:rsidRPr="00BF0B1A">
        <w:rPr>
          <w:sz w:val="24"/>
          <w:szCs w:val="24"/>
        </w:rPr>
        <w:t>acidose</w:t>
      </w:r>
      <w:proofErr w:type="spellEnd"/>
      <w:r w:rsidRPr="00BF0B1A">
        <w:rPr>
          <w:sz w:val="24"/>
          <w:szCs w:val="24"/>
        </w:rPr>
        <w:t xml:space="preserve"> forekomme.</w:t>
      </w:r>
    </w:p>
    <w:p w:rsidR="005F0AAF" w:rsidRPr="0090757A" w:rsidRDefault="005F0AAF" w:rsidP="005F0AAF">
      <w:pPr>
        <w:tabs>
          <w:tab w:val="left" w:pos="851"/>
        </w:tabs>
        <w:autoSpaceDE w:val="0"/>
        <w:autoSpaceDN w:val="0"/>
        <w:adjustRightInd w:val="0"/>
        <w:ind w:left="851"/>
        <w:rPr>
          <w:i/>
          <w:sz w:val="24"/>
          <w:szCs w:val="24"/>
          <w:u w:val="single"/>
        </w:rPr>
      </w:pPr>
    </w:p>
    <w:p w:rsidR="005F0AAF" w:rsidRPr="00A81A19" w:rsidRDefault="005F0AAF" w:rsidP="005F0AAF">
      <w:pPr>
        <w:tabs>
          <w:tab w:val="left" w:pos="851"/>
        </w:tabs>
        <w:autoSpaceDE w:val="0"/>
        <w:autoSpaceDN w:val="0"/>
        <w:adjustRightInd w:val="0"/>
        <w:ind w:left="851"/>
        <w:rPr>
          <w:sz w:val="24"/>
          <w:szCs w:val="24"/>
          <w:u w:val="single"/>
        </w:rPr>
      </w:pPr>
      <w:r w:rsidRPr="00A81A19">
        <w:rPr>
          <w:sz w:val="24"/>
          <w:szCs w:val="24"/>
          <w:u w:val="single"/>
        </w:rPr>
        <w:t>Behandling</w:t>
      </w:r>
    </w:p>
    <w:p w:rsidR="005F0AAF" w:rsidRPr="0090757A" w:rsidRDefault="005F0AAF" w:rsidP="005F0AAF">
      <w:pPr>
        <w:tabs>
          <w:tab w:val="left" w:pos="851"/>
        </w:tabs>
        <w:autoSpaceDE w:val="0"/>
        <w:autoSpaceDN w:val="0"/>
        <w:adjustRightInd w:val="0"/>
        <w:ind w:left="851"/>
        <w:rPr>
          <w:sz w:val="24"/>
          <w:szCs w:val="24"/>
        </w:rPr>
      </w:pPr>
      <w:r w:rsidRPr="0090757A">
        <w:rPr>
          <w:sz w:val="24"/>
          <w:szCs w:val="24"/>
        </w:rPr>
        <w:t xml:space="preserve">Behandlingen er symptomatisk, og der er ingen specifik </w:t>
      </w:r>
      <w:proofErr w:type="spellStart"/>
      <w:r w:rsidRPr="0090757A">
        <w:rPr>
          <w:sz w:val="24"/>
          <w:szCs w:val="24"/>
        </w:rPr>
        <w:t>antidot</w:t>
      </w:r>
      <w:proofErr w:type="spellEnd"/>
      <w:r w:rsidRPr="0090757A">
        <w:rPr>
          <w:sz w:val="24"/>
          <w:szCs w:val="24"/>
        </w:rPr>
        <w:t>.</w:t>
      </w:r>
    </w:p>
    <w:p w:rsidR="005F0AAF" w:rsidRPr="0090757A" w:rsidRDefault="005F0AAF" w:rsidP="005F0AAF">
      <w:pPr>
        <w:tabs>
          <w:tab w:val="left" w:pos="851"/>
        </w:tabs>
        <w:autoSpaceDE w:val="0"/>
        <w:autoSpaceDN w:val="0"/>
        <w:adjustRightInd w:val="0"/>
        <w:ind w:left="851"/>
        <w:rPr>
          <w:sz w:val="24"/>
          <w:szCs w:val="24"/>
        </w:rPr>
      </w:pPr>
    </w:p>
    <w:p w:rsidR="005F0AAF" w:rsidRPr="00C84483" w:rsidRDefault="005F0AAF" w:rsidP="005F0AAF">
      <w:pPr>
        <w:tabs>
          <w:tab w:val="left" w:pos="851"/>
        </w:tabs>
        <w:autoSpaceDE w:val="0"/>
        <w:autoSpaceDN w:val="0"/>
        <w:adjustRightInd w:val="0"/>
        <w:ind w:left="851"/>
        <w:rPr>
          <w:sz w:val="24"/>
          <w:szCs w:val="24"/>
        </w:rPr>
      </w:pPr>
      <w:r w:rsidRPr="0090757A">
        <w:rPr>
          <w:sz w:val="24"/>
          <w:szCs w:val="24"/>
        </w:rPr>
        <w:t>De terapeutiske muligheder for behandling af forgiftning afhænger af omfanget, sværhedsgraden og kliniske symptomer i henhold til almen praksis for intensiv behandling.</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4.10</w:t>
      </w:r>
      <w:r w:rsidRPr="00C84483">
        <w:rPr>
          <w:b/>
          <w:sz w:val="24"/>
          <w:szCs w:val="24"/>
        </w:rPr>
        <w:tab/>
        <w:t>Udlevering</w:t>
      </w:r>
    </w:p>
    <w:p w:rsidR="005F0AAF" w:rsidRPr="00C84483" w:rsidRDefault="005F0AAF" w:rsidP="005F0AAF">
      <w:pPr>
        <w:tabs>
          <w:tab w:val="left" w:pos="851"/>
        </w:tabs>
        <w:ind w:left="851"/>
        <w:rPr>
          <w:sz w:val="24"/>
          <w:szCs w:val="24"/>
        </w:rPr>
      </w:pPr>
      <w:r>
        <w:rPr>
          <w:sz w:val="24"/>
          <w:szCs w:val="24"/>
        </w:rPr>
        <w:t>B</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F0AAF" w:rsidRPr="00C84483" w:rsidRDefault="005F0AAF" w:rsidP="005F0AAF">
      <w:pPr>
        <w:tabs>
          <w:tab w:val="left" w:pos="851"/>
        </w:tabs>
        <w:ind w:left="851"/>
        <w:rPr>
          <w:sz w:val="24"/>
          <w:szCs w:val="24"/>
        </w:rPr>
      </w:pPr>
    </w:p>
    <w:p w:rsidR="005F0AAF" w:rsidRDefault="005F0AAF" w:rsidP="005F0AA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435CE" w:rsidRPr="00C84483" w:rsidRDefault="006435CE" w:rsidP="006435CE">
      <w:pPr>
        <w:tabs>
          <w:tab w:val="left" w:pos="426"/>
          <w:tab w:val="left" w:pos="851"/>
        </w:tabs>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EE5ECA">
        <w:rPr>
          <w:sz w:val="24"/>
          <w:szCs w:val="24"/>
        </w:rPr>
        <w:t xml:space="preserve">Antiinflammatoriske og </w:t>
      </w:r>
      <w:proofErr w:type="spellStart"/>
      <w:r w:rsidRPr="00EE5ECA">
        <w:rPr>
          <w:sz w:val="24"/>
          <w:szCs w:val="24"/>
        </w:rPr>
        <w:t>antirheumatiske</w:t>
      </w:r>
      <w:proofErr w:type="spellEnd"/>
      <w:r w:rsidRPr="00EE5ECA">
        <w:rPr>
          <w:sz w:val="24"/>
          <w:szCs w:val="24"/>
        </w:rPr>
        <w:t xml:space="preserve"> midler, non-</w:t>
      </w:r>
      <w:proofErr w:type="spellStart"/>
      <w:r w:rsidRPr="00EE5ECA">
        <w:rPr>
          <w:sz w:val="24"/>
          <w:szCs w:val="24"/>
        </w:rPr>
        <w:t>steroide</w:t>
      </w:r>
      <w:proofErr w:type="spellEnd"/>
      <w:r w:rsidRPr="00EE5ECA">
        <w:rPr>
          <w:sz w:val="24"/>
          <w:szCs w:val="24"/>
        </w:rPr>
        <w:t xml:space="preserve">. </w:t>
      </w:r>
      <w:proofErr w:type="spellStart"/>
      <w:r>
        <w:rPr>
          <w:sz w:val="24"/>
          <w:szCs w:val="24"/>
        </w:rPr>
        <w:t>Propionsyre</w:t>
      </w:r>
      <w:proofErr w:type="spellEnd"/>
      <w:r>
        <w:rPr>
          <w:sz w:val="24"/>
          <w:szCs w:val="24"/>
        </w:rPr>
        <w:t xml:space="preserve">-derivater. Ibuprofen, </w:t>
      </w:r>
      <w:r w:rsidRPr="0090757A">
        <w:rPr>
          <w:sz w:val="24"/>
          <w:szCs w:val="24"/>
        </w:rPr>
        <w:t>ATC-kode: M</w:t>
      </w:r>
      <w:r>
        <w:rPr>
          <w:sz w:val="24"/>
          <w:szCs w:val="24"/>
        </w:rPr>
        <w:t xml:space="preserve"> </w:t>
      </w:r>
      <w:r w:rsidRPr="0090757A">
        <w:rPr>
          <w:sz w:val="24"/>
          <w:szCs w:val="24"/>
        </w:rPr>
        <w:t>01</w:t>
      </w:r>
      <w:r>
        <w:rPr>
          <w:sz w:val="24"/>
          <w:szCs w:val="24"/>
        </w:rPr>
        <w:t xml:space="preserve"> </w:t>
      </w:r>
      <w:r w:rsidRPr="0090757A">
        <w:rPr>
          <w:sz w:val="24"/>
          <w:szCs w:val="24"/>
        </w:rPr>
        <w:t>AE</w:t>
      </w:r>
      <w:r>
        <w:rPr>
          <w:sz w:val="24"/>
          <w:szCs w:val="24"/>
        </w:rPr>
        <w:t xml:space="preserve"> </w:t>
      </w:r>
      <w:r w:rsidRPr="0090757A">
        <w:rPr>
          <w:sz w:val="24"/>
          <w:szCs w:val="24"/>
        </w:rPr>
        <w:t>01</w:t>
      </w:r>
      <w:r>
        <w:rPr>
          <w:sz w:val="24"/>
          <w:szCs w:val="24"/>
        </w:rPr>
        <w:t>.</w:t>
      </w:r>
    </w:p>
    <w:p w:rsidR="006435CE" w:rsidRPr="00C84483" w:rsidRDefault="006435CE" w:rsidP="005F0AAF">
      <w:pPr>
        <w:tabs>
          <w:tab w:val="num" w:pos="851"/>
        </w:tabs>
        <w:ind w:left="851" w:hanging="851"/>
        <w:rPr>
          <w:b/>
          <w:sz w:val="24"/>
          <w:szCs w:val="24"/>
        </w:rPr>
      </w:pPr>
    </w:p>
    <w:p w:rsidR="005F0AAF" w:rsidRPr="00EE5ECA" w:rsidRDefault="005F0AAF" w:rsidP="005F0AAF">
      <w:pPr>
        <w:tabs>
          <w:tab w:val="left" w:pos="426"/>
          <w:tab w:val="left" w:pos="851"/>
        </w:tabs>
        <w:autoSpaceDE w:val="0"/>
        <w:autoSpaceDN w:val="0"/>
        <w:adjustRightInd w:val="0"/>
        <w:ind w:left="851"/>
        <w:rPr>
          <w:sz w:val="24"/>
          <w:szCs w:val="24"/>
          <w:lang w:eastAsia="da-DK"/>
        </w:rPr>
      </w:pPr>
      <w:r w:rsidRPr="00EE5ECA">
        <w:rPr>
          <w:sz w:val="24"/>
          <w:szCs w:val="24"/>
          <w:lang w:eastAsia="da-DK"/>
        </w:rPr>
        <w:t>Ibuprofen er et non-</w:t>
      </w:r>
      <w:proofErr w:type="spellStart"/>
      <w:r w:rsidRPr="00EE5ECA">
        <w:rPr>
          <w:sz w:val="24"/>
          <w:szCs w:val="24"/>
          <w:lang w:eastAsia="da-DK"/>
        </w:rPr>
        <w:t>steroidt</w:t>
      </w:r>
      <w:proofErr w:type="spellEnd"/>
      <w:r w:rsidRPr="00EE5ECA">
        <w:rPr>
          <w:sz w:val="24"/>
          <w:szCs w:val="24"/>
          <w:lang w:eastAsia="da-DK"/>
        </w:rPr>
        <w:t xml:space="preserve"> antiinflammatorisk middel, som i konventionelle inflammationsmodeller i dyrestudier har vist sig at være effektivt, sandsynligvis som følge af hæmning af </w:t>
      </w:r>
      <w:proofErr w:type="spellStart"/>
      <w:r w:rsidRPr="00EE5ECA">
        <w:rPr>
          <w:sz w:val="24"/>
          <w:szCs w:val="24"/>
          <w:lang w:eastAsia="da-DK"/>
        </w:rPr>
        <w:t>prostaglandinsyntesen</w:t>
      </w:r>
      <w:proofErr w:type="spellEnd"/>
      <w:r w:rsidRPr="00EE5ECA">
        <w:rPr>
          <w:sz w:val="24"/>
          <w:szCs w:val="24"/>
          <w:lang w:eastAsia="da-DK"/>
        </w:rPr>
        <w:t xml:space="preserve">. Hos mennesker har ibuprofen en </w:t>
      </w:r>
      <w:proofErr w:type="spellStart"/>
      <w:r w:rsidRPr="00EE5ECA">
        <w:rPr>
          <w:sz w:val="24"/>
          <w:szCs w:val="24"/>
          <w:lang w:eastAsia="da-DK"/>
        </w:rPr>
        <w:t>antipyretisk</w:t>
      </w:r>
      <w:proofErr w:type="spellEnd"/>
      <w:r w:rsidRPr="00EE5ECA">
        <w:rPr>
          <w:sz w:val="24"/>
          <w:szCs w:val="24"/>
          <w:lang w:eastAsia="da-DK"/>
        </w:rPr>
        <w:t xml:space="preserve"> virkning, og det reducerer inflammationsrelaterede smerter og hævelser. Desuden medfører ibuprofen reversibel hæmning af ADP- og collagen-induceret </w:t>
      </w:r>
      <w:proofErr w:type="spellStart"/>
      <w:r w:rsidRPr="00EE5ECA">
        <w:rPr>
          <w:sz w:val="24"/>
          <w:szCs w:val="24"/>
          <w:lang w:eastAsia="da-DK"/>
        </w:rPr>
        <w:t>trombocytaggregation</w:t>
      </w:r>
      <w:proofErr w:type="spellEnd"/>
      <w:r w:rsidRPr="00EE5ECA">
        <w:rPr>
          <w:sz w:val="24"/>
          <w:szCs w:val="24"/>
          <w:lang w:eastAsia="da-DK"/>
        </w:rPr>
        <w:t>.</w:t>
      </w:r>
    </w:p>
    <w:p w:rsidR="005F0AAF" w:rsidRPr="00EE5ECA" w:rsidRDefault="005F0AAF" w:rsidP="005F0AAF">
      <w:pPr>
        <w:tabs>
          <w:tab w:val="left" w:pos="426"/>
          <w:tab w:val="left" w:pos="851"/>
        </w:tabs>
        <w:autoSpaceDE w:val="0"/>
        <w:autoSpaceDN w:val="0"/>
        <w:adjustRightInd w:val="0"/>
        <w:ind w:left="851"/>
        <w:rPr>
          <w:sz w:val="24"/>
          <w:szCs w:val="24"/>
          <w:lang w:eastAsia="da-DK"/>
        </w:rPr>
      </w:pPr>
    </w:p>
    <w:p w:rsidR="005F0AAF" w:rsidRPr="00EE5ECA" w:rsidRDefault="005F0AAF" w:rsidP="005F0AAF">
      <w:pPr>
        <w:tabs>
          <w:tab w:val="left" w:pos="426"/>
          <w:tab w:val="left" w:pos="851"/>
        </w:tabs>
        <w:autoSpaceDE w:val="0"/>
        <w:autoSpaceDN w:val="0"/>
        <w:adjustRightInd w:val="0"/>
        <w:ind w:left="851"/>
        <w:rPr>
          <w:rFonts w:ascii="Arial" w:hAnsi="Arial"/>
          <w:sz w:val="24"/>
          <w:szCs w:val="24"/>
          <w:lang w:eastAsia="da-DK"/>
        </w:rPr>
      </w:pPr>
      <w:r w:rsidRPr="00EE5ECA">
        <w:rPr>
          <w:sz w:val="24"/>
          <w:szCs w:val="24"/>
          <w:lang w:eastAsia="da-DK"/>
        </w:rPr>
        <w:t xml:space="preserve">Eksperimentelle data tyder på, at ibuprofen muligvis </w:t>
      </w:r>
      <w:proofErr w:type="spellStart"/>
      <w:r w:rsidRPr="00EE5ECA">
        <w:rPr>
          <w:sz w:val="24"/>
          <w:szCs w:val="24"/>
          <w:lang w:eastAsia="da-DK"/>
        </w:rPr>
        <w:t>kompetitivt</w:t>
      </w:r>
      <w:proofErr w:type="spellEnd"/>
      <w:r w:rsidRPr="00EE5ECA">
        <w:rPr>
          <w:sz w:val="24"/>
          <w:szCs w:val="24"/>
          <w:lang w:eastAsia="da-DK"/>
        </w:rPr>
        <w:t xml:space="preserve"> hæmmer virkningen af lavdosis acetylsalicylsyre på </w:t>
      </w:r>
      <w:proofErr w:type="spellStart"/>
      <w:r w:rsidRPr="00EE5ECA">
        <w:rPr>
          <w:sz w:val="24"/>
          <w:szCs w:val="24"/>
          <w:lang w:eastAsia="da-DK"/>
        </w:rPr>
        <w:t>trombocytaggregationen</w:t>
      </w:r>
      <w:proofErr w:type="spellEnd"/>
      <w:r w:rsidRPr="00EE5ECA">
        <w:rPr>
          <w:sz w:val="24"/>
          <w:szCs w:val="24"/>
          <w:lang w:eastAsia="da-DK"/>
        </w:rPr>
        <w:t xml:space="preserve"> ved samtidig administration. Nogle </w:t>
      </w:r>
      <w:proofErr w:type="spellStart"/>
      <w:r w:rsidRPr="00EE5ECA">
        <w:rPr>
          <w:sz w:val="24"/>
          <w:szCs w:val="24"/>
          <w:lang w:eastAsia="da-DK"/>
        </w:rPr>
        <w:t>farmakodynamiske</w:t>
      </w:r>
      <w:proofErr w:type="spellEnd"/>
      <w:r w:rsidRPr="00EE5ECA">
        <w:rPr>
          <w:sz w:val="24"/>
          <w:szCs w:val="24"/>
          <w:lang w:eastAsia="da-DK"/>
        </w:rPr>
        <w:t xml:space="preserve"> studier viser,</w:t>
      </w:r>
      <w:r w:rsidRPr="00EE5ECA">
        <w:rPr>
          <w:rFonts w:ascii="Arial" w:hAnsi="Arial"/>
          <w:sz w:val="24"/>
          <w:szCs w:val="24"/>
          <w:lang w:eastAsia="da-DK"/>
        </w:rPr>
        <w:t xml:space="preserve"> </w:t>
      </w:r>
      <w:r w:rsidRPr="00EE5ECA">
        <w:rPr>
          <w:sz w:val="24"/>
          <w:szCs w:val="24"/>
          <w:lang w:eastAsia="da-DK"/>
        </w:rPr>
        <w:t xml:space="preserve">at acetylsalicylsyres virkning på dannelsen af </w:t>
      </w:r>
      <w:proofErr w:type="spellStart"/>
      <w:r w:rsidRPr="00EE5ECA">
        <w:rPr>
          <w:sz w:val="24"/>
          <w:szCs w:val="24"/>
          <w:lang w:eastAsia="da-DK"/>
        </w:rPr>
        <w:t>tromboxan</w:t>
      </w:r>
      <w:proofErr w:type="spellEnd"/>
      <w:r w:rsidRPr="00EE5ECA">
        <w:rPr>
          <w:sz w:val="24"/>
          <w:szCs w:val="24"/>
          <w:lang w:eastAsia="da-DK"/>
        </w:rPr>
        <w:t xml:space="preserve"> eller </w:t>
      </w:r>
      <w:proofErr w:type="spellStart"/>
      <w:r w:rsidRPr="00EE5ECA">
        <w:rPr>
          <w:sz w:val="24"/>
          <w:szCs w:val="24"/>
          <w:lang w:eastAsia="da-DK"/>
        </w:rPr>
        <w:t>trombocytaggregation</w:t>
      </w:r>
      <w:proofErr w:type="spellEnd"/>
      <w:r w:rsidRPr="00EE5ECA">
        <w:rPr>
          <w:sz w:val="24"/>
          <w:szCs w:val="24"/>
          <w:lang w:eastAsia="da-DK"/>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EE5ECA">
        <w:rPr>
          <w:sz w:val="24"/>
          <w:szCs w:val="24"/>
          <w:lang w:eastAsia="da-DK"/>
        </w:rPr>
        <w:t>kardioprotektive</w:t>
      </w:r>
      <w:proofErr w:type="spellEnd"/>
      <w:r w:rsidRPr="00EE5ECA">
        <w:rPr>
          <w:sz w:val="24"/>
          <w:szCs w:val="24"/>
          <w:lang w:eastAsia="da-DK"/>
        </w:rPr>
        <w:t xml:space="preserve"> virkning af lavdosis acetylsalicylsyre, kan ikke udelukkes. En klinisk relevant virkning ved lejlighedsvis brug af ibuprofen anses ikke for at være sandsynlig (se pkt. 4.5).</w:t>
      </w:r>
    </w:p>
    <w:p w:rsidR="005F0AAF" w:rsidRPr="00C84483" w:rsidRDefault="005F0AAF" w:rsidP="005F0AAF">
      <w:pPr>
        <w:tabs>
          <w:tab w:val="left" w:pos="851"/>
        </w:tabs>
        <w:ind w:left="851"/>
        <w:rPr>
          <w:sz w:val="24"/>
          <w:szCs w:val="24"/>
        </w:rPr>
      </w:pPr>
    </w:p>
    <w:p w:rsidR="005F0AAF" w:rsidRPr="00CD1EB6" w:rsidRDefault="005F0AAF" w:rsidP="005F0AA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F0AAF" w:rsidRPr="00B27E63" w:rsidRDefault="005F0AAF" w:rsidP="005F0AAF">
      <w:pPr>
        <w:tabs>
          <w:tab w:val="left" w:pos="851"/>
        </w:tabs>
        <w:autoSpaceDE w:val="0"/>
        <w:autoSpaceDN w:val="0"/>
        <w:adjustRightInd w:val="0"/>
        <w:ind w:left="851"/>
        <w:rPr>
          <w:sz w:val="24"/>
          <w:szCs w:val="24"/>
          <w:u w:val="single"/>
          <w:lang w:eastAsia="da-DK"/>
        </w:rPr>
      </w:pPr>
      <w:r w:rsidRPr="00B27E63">
        <w:rPr>
          <w:sz w:val="24"/>
          <w:szCs w:val="24"/>
          <w:u w:val="single"/>
          <w:lang w:eastAsia="da-DK"/>
        </w:rPr>
        <w:t>Absorption</w:t>
      </w: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 xml:space="preserve">Ibuprofen "B. Braun" administreres intravenøst. Derfor er der ingen absorptionsproces, og biotilgængeligheden af ibuprofen </w:t>
      </w:r>
      <w:r w:rsidR="00EF5645" w:rsidRPr="00B27E63">
        <w:rPr>
          <w:sz w:val="24"/>
          <w:szCs w:val="24"/>
          <w:lang w:eastAsia="da-DK"/>
        </w:rPr>
        <w:t xml:space="preserve">er </w:t>
      </w:r>
      <w:r w:rsidR="00EF5645">
        <w:rPr>
          <w:sz w:val="24"/>
          <w:szCs w:val="24"/>
          <w:lang w:eastAsia="da-DK"/>
        </w:rPr>
        <w:t>100 %.</w:t>
      </w:r>
    </w:p>
    <w:p w:rsidR="007311C1" w:rsidRDefault="007311C1" w:rsidP="007311C1">
      <w:pPr>
        <w:tabs>
          <w:tab w:val="left" w:pos="851"/>
        </w:tabs>
        <w:autoSpaceDE w:val="0"/>
        <w:autoSpaceDN w:val="0"/>
        <w:adjustRightInd w:val="0"/>
        <w:ind w:left="851"/>
        <w:rPr>
          <w:sz w:val="24"/>
          <w:szCs w:val="24"/>
          <w:lang w:eastAsia="da-DK"/>
        </w:rPr>
      </w:pPr>
      <w:r>
        <w:rPr>
          <w:sz w:val="24"/>
          <w:szCs w:val="24"/>
          <w:lang w:eastAsia="da-DK"/>
        </w:rPr>
        <w:t>Efter intravenøs administration af ibuprofen hos mennesker nås den maksimale koncentration (</w:t>
      </w:r>
      <w:proofErr w:type="spellStart"/>
      <w:r>
        <w:rPr>
          <w:sz w:val="24"/>
          <w:szCs w:val="24"/>
          <w:lang w:eastAsia="da-DK"/>
        </w:rPr>
        <w:t>C</w:t>
      </w:r>
      <w:r>
        <w:rPr>
          <w:sz w:val="24"/>
          <w:szCs w:val="24"/>
          <w:vertAlign w:val="subscript"/>
          <w:lang w:eastAsia="da-DK"/>
        </w:rPr>
        <w:t>max</w:t>
      </w:r>
      <w:proofErr w:type="spellEnd"/>
      <w:r>
        <w:rPr>
          <w:sz w:val="24"/>
          <w:szCs w:val="24"/>
          <w:lang w:eastAsia="da-DK"/>
        </w:rPr>
        <w:t>) af S-</w:t>
      </w:r>
      <w:proofErr w:type="spellStart"/>
      <w:r>
        <w:rPr>
          <w:sz w:val="24"/>
          <w:szCs w:val="24"/>
          <w:lang w:eastAsia="da-DK"/>
        </w:rPr>
        <w:t>enantiomer</w:t>
      </w:r>
      <w:proofErr w:type="spellEnd"/>
      <w:r>
        <w:rPr>
          <w:sz w:val="24"/>
          <w:szCs w:val="24"/>
          <w:lang w:eastAsia="da-DK"/>
        </w:rPr>
        <w:t xml:space="preserve"> (aktiv) og R-</w:t>
      </w:r>
      <w:proofErr w:type="spellStart"/>
      <w:r>
        <w:rPr>
          <w:sz w:val="24"/>
          <w:szCs w:val="24"/>
          <w:lang w:eastAsia="da-DK"/>
        </w:rPr>
        <w:t>enantiomer</w:t>
      </w:r>
      <w:proofErr w:type="spellEnd"/>
      <w:r>
        <w:rPr>
          <w:sz w:val="24"/>
          <w:szCs w:val="24"/>
          <w:lang w:eastAsia="da-DK"/>
        </w:rPr>
        <w:t xml:space="preserve"> efter cirka 40 minutter ved en infusionstid på 30 minutter.</w:t>
      </w:r>
    </w:p>
    <w:p w:rsidR="005F0AAF" w:rsidRPr="00B27E63" w:rsidRDefault="005F0AAF" w:rsidP="005F0AAF">
      <w:pPr>
        <w:tabs>
          <w:tab w:val="left" w:pos="851"/>
        </w:tabs>
        <w:autoSpaceDE w:val="0"/>
        <w:autoSpaceDN w:val="0"/>
        <w:adjustRightInd w:val="0"/>
        <w:ind w:left="851"/>
        <w:rPr>
          <w:sz w:val="24"/>
          <w:szCs w:val="24"/>
          <w:u w:val="single"/>
          <w:lang w:eastAsia="da-DK"/>
        </w:rPr>
      </w:pPr>
    </w:p>
    <w:p w:rsidR="005F0AAF" w:rsidRPr="00B27E63" w:rsidRDefault="005F0AAF" w:rsidP="005F0AAF">
      <w:pPr>
        <w:tabs>
          <w:tab w:val="left" w:pos="851"/>
        </w:tabs>
        <w:autoSpaceDE w:val="0"/>
        <w:autoSpaceDN w:val="0"/>
        <w:adjustRightInd w:val="0"/>
        <w:ind w:left="851"/>
        <w:rPr>
          <w:sz w:val="24"/>
          <w:szCs w:val="24"/>
          <w:u w:val="single"/>
          <w:lang w:eastAsia="da-DK"/>
        </w:rPr>
      </w:pPr>
      <w:r w:rsidRPr="00B27E63">
        <w:rPr>
          <w:sz w:val="24"/>
          <w:szCs w:val="24"/>
          <w:u w:val="single"/>
          <w:lang w:eastAsia="da-DK"/>
        </w:rPr>
        <w:t>Fordeling</w:t>
      </w: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Det estimerede fordelingsvolumen er 0,11 til 0,21 l/kg.</w:t>
      </w:r>
    </w:p>
    <w:p w:rsidR="005F0AAF" w:rsidRPr="00B27E63" w:rsidRDefault="005F0AAF" w:rsidP="005F0AAF">
      <w:pPr>
        <w:tabs>
          <w:tab w:val="left" w:pos="851"/>
        </w:tabs>
        <w:autoSpaceDE w:val="0"/>
        <w:autoSpaceDN w:val="0"/>
        <w:adjustRightInd w:val="0"/>
        <w:ind w:left="851"/>
        <w:rPr>
          <w:sz w:val="24"/>
          <w:szCs w:val="24"/>
          <w:lang w:eastAsia="da-DK"/>
        </w:rPr>
      </w:pP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Ibuprofen bindes i høj grad til plasmaproteiner, hovedsageligt albumin.</w:t>
      </w:r>
    </w:p>
    <w:p w:rsidR="005F0AAF" w:rsidRPr="00B27E63" w:rsidRDefault="005F0AAF" w:rsidP="005F0AAF">
      <w:pPr>
        <w:tabs>
          <w:tab w:val="left" w:pos="851"/>
        </w:tabs>
        <w:autoSpaceDE w:val="0"/>
        <w:autoSpaceDN w:val="0"/>
        <w:adjustRightInd w:val="0"/>
        <w:ind w:left="851"/>
        <w:rPr>
          <w:sz w:val="24"/>
          <w:szCs w:val="24"/>
          <w:u w:val="single"/>
          <w:lang w:eastAsia="da-DK"/>
        </w:rPr>
      </w:pPr>
    </w:p>
    <w:p w:rsidR="005F0AAF" w:rsidRPr="00B27E63" w:rsidRDefault="005F0AAF" w:rsidP="005F0AAF">
      <w:pPr>
        <w:tabs>
          <w:tab w:val="left" w:pos="851"/>
        </w:tabs>
        <w:autoSpaceDE w:val="0"/>
        <w:autoSpaceDN w:val="0"/>
        <w:adjustRightInd w:val="0"/>
        <w:ind w:left="851"/>
        <w:rPr>
          <w:sz w:val="24"/>
          <w:szCs w:val="24"/>
          <w:u w:val="single"/>
          <w:lang w:eastAsia="da-DK"/>
        </w:rPr>
      </w:pPr>
      <w:r w:rsidRPr="00B27E63">
        <w:rPr>
          <w:sz w:val="24"/>
          <w:szCs w:val="24"/>
          <w:u w:val="single"/>
          <w:lang w:eastAsia="da-DK"/>
        </w:rPr>
        <w:t>Biotransformation</w:t>
      </w: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 xml:space="preserve">Ibuprofen </w:t>
      </w:r>
      <w:proofErr w:type="spellStart"/>
      <w:r w:rsidRPr="00B27E63">
        <w:rPr>
          <w:sz w:val="24"/>
          <w:szCs w:val="24"/>
          <w:lang w:eastAsia="da-DK"/>
        </w:rPr>
        <w:t>metaboliseres</w:t>
      </w:r>
      <w:proofErr w:type="spellEnd"/>
      <w:r w:rsidRPr="00B27E63">
        <w:rPr>
          <w:sz w:val="24"/>
          <w:szCs w:val="24"/>
          <w:lang w:eastAsia="da-DK"/>
        </w:rPr>
        <w:t xml:space="preserve"> i leveren til to inaktive metabolitter, og disse bliver udskilt sammen med </w:t>
      </w:r>
      <w:proofErr w:type="spellStart"/>
      <w:r w:rsidRPr="00B27E63">
        <w:rPr>
          <w:sz w:val="24"/>
          <w:szCs w:val="24"/>
          <w:lang w:eastAsia="da-DK"/>
        </w:rPr>
        <w:t>umetaboliseret</w:t>
      </w:r>
      <w:proofErr w:type="spellEnd"/>
      <w:r w:rsidRPr="00B27E63">
        <w:rPr>
          <w:sz w:val="24"/>
          <w:szCs w:val="24"/>
          <w:lang w:eastAsia="da-DK"/>
        </w:rPr>
        <w:t xml:space="preserve"> ibuprofen via nyrerne som sådan eller som </w:t>
      </w:r>
      <w:proofErr w:type="spellStart"/>
      <w:r w:rsidRPr="00B27E63">
        <w:rPr>
          <w:sz w:val="24"/>
          <w:szCs w:val="24"/>
          <w:lang w:eastAsia="da-DK"/>
        </w:rPr>
        <w:t>konjugater</w:t>
      </w:r>
      <w:proofErr w:type="spellEnd"/>
      <w:r w:rsidRPr="00B27E63">
        <w:rPr>
          <w:sz w:val="24"/>
          <w:szCs w:val="24"/>
          <w:lang w:eastAsia="da-DK"/>
        </w:rPr>
        <w:t>.</w:t>
      </w:r>
    </w:p>
    <w:p w:rsidR="005F0AAF" w:rsidRPr="00B27E63" w:rsidRDefault="005F0AAF" w:rsidP="005F0AAF">
      <w:pPr>
        <w:tabs>
          <w:tab w:val="left" w:pos="851"/>
        </w:tabs>
        <w:autoSpaceDE w:val="0"/>
        <w:autoSpaceDN w:val="0"/>
        <w:adjustRightInd w:val="0"/>
        <w:ind w:left="851"/>
        <w:rPr>
          <w:sz w:val="24"/>
          <w:szCs w:val="24"/>
          <w:lang w:eastAsia="da-DK"/>
        </w:rPr>
      </w:pPr>
    </w:p>
    <w:p w:rsidR="000D2B2C" w:rsidRDefault="000D2B2C" w:rsidP="000D2B2C">
      <w:pPr>
        <w:tabs>
          <w:tab w:val="left" w:pos="851"/>
        </w:tabs>
        <w:autoSpaceDE w:val="0"/>
        <w:autoSpaceDN w:val="0"/>
        <w:adjustRightInd w:val="0"/>
        <w:ind w:left="851"/>
        <w:rPr>
          <w:sz w:val="24"/>
          <w:szCs w:val="24"/>
          <w:lang w:eastAsia="da-DK"/>
        </w:rPr>
      </w:pPr>
      <w:r>
        <w:rPr>
          <w:sz w:val="24"/>
          <w:szCs w:val="24"/>
          <w:lang w:eastAsia="da-DK"/>
        </w:rPr>
        <w:t xml:space="preserve">Efter oral administration absorberes ibuprofen allerede delvist i maven og herefter fuldstændigt i tyndtarmen. Efter </w:t>
      </w:r>
      <w:proofErr w:type="spellStart"/>
      <w:r>
        <w:rPr>
          <w:sz w:val="24"/>
          <w:szCs w:val="24"/>
          <w:lang w:eastAsia="da-DK"/>
        </w:rPr>
        <w:t>hepatisk</w:t>
      </w:r>
      <w:proofErr w:type="spellEnd"/>
      <w:r>
        <w:rPr>
          <w:sz w:val="24"/>
          <w:szCs w:val="24"/>
          <w:lang w:eastAsia="da-DK"/>
        </w:rPr>
        <w:t xml:space="preserve"> </w:t>
      </w:r>
      <w:proofErr w:type="spellStart"/>
      <w:r>
        <w:rPr>
          <w:sz w:val="24"/>
          <w:szCs w:val="24"/>
          <w:lang w:eastAsia="da-DK"/>
        </w:rPr>
        <w:t>metabolisering</w:t>
      </w:r>
      <w:proofErr w:type="spellEnd"/>
      <w:r>
        <w:rPr>
          <w:sz w:val="24"/>
          <w:szCs w:val="24"/>
          <w:lang w:eastAsia="da-DK"/>
        </w:rPr>
        <w:t xml:space="preserve"> (</w:t>
      </w:r>
      <w:proofErr w:type="spellStart"/>
      <w:r>
        <w:rPr>
          <w:sz w:val="24"/>
          <w:szCs w:val="24"/>
          <w:lang w:eastAsia="da-DK"/>
        </w:rPr>
        <w:t>hydroxylering</w:t>
      </w:r>
      <w:proofErr w:type="spellEnd"/>
      <w:r>
        <w:rPr>
          <w:sz w:val="24"/>
          <w:szCs w:val="24"/>
          <w:lang w:eastAsia="da-DK"/>
        </w:rPr>
        <w:t xml:space="preserve">, </w:t>
      </w:r>
      <w:proofErr w:type="spellStart"/>
      <w:r>
        <w:rPr>
          <w:sz w:val="24"/>
          <w:szCs w:val="24"/>
          <w:lang w:eastAsia="da-DK"/>
        </w:rPr>
        <w:t>carboxylering</w:t>
      </w:r>
      <w:proofErr w:type="spellEnd"/>
      <w:r>
        <w:rPr>
          <w:sz w:val="24"/>
          <w:szCs w:val="24"/>
          <w:lang w:eastAsia="da-DK"/>
        </w:rPr>
        <w:t xml:space="preserve">) elimineres de farmakologisk inaktive metabolitter fuldstændigt, primært via nyrerne </w:t>
      </w:r>
      <w:r>
        <w:rPr>
          <w:sz w:val="24"/>
          <w:szCs w:val="24"/>
          <w:lang w:eastAsia="da-DK"/>
        </w:rPr>
        <w:br/>
        <w:t xml:space="preserve">(90 %) men også via galden. </w:t>
      </w:r>
    </w:p>
    <w:p w:rsidR="000D2B2C" w:rsidRDefault="000D2B2C" w:rsidP="000D2B2C">
      <w:pPr>
        <w:tabs>
          <w:tab w:val="left" w:pos="851"/>
        </w:tabs>
        <w:autoSpaceDE w:val="0"/>
        <w:autoSpaceDN w:val="0"/>
        <w:adjustRightInd w:val="0"/>
        <w:ind w:left="851"/>
        <w:rPr>
          <w:sz w:val="24"/>
          <w:szCs w:val="24"/>
          <w:u w:val="single"/>
          <w:lang w:eastAsia="da-DK"/>
        </w:rPr>
      </w:pPr>
    </w:p>
    <w:p w:rsidR="000D2B2C" w:rsidRDefault="000D2B2C" w:rsidP="000D2B2C">
      <w:pPr>
        <w:tabs>
          <w:tab w:val="left" w:pos="851"/>
        </w:tabs>
        <w:autoSpaceDE w:val="0"/>
        <w:autoSpaceDN w:val="0"/>
        <w:adjustRightInd w:val="0"/>
        <w:ind w:left="851"/>
        <w:rPr>
          <w:sz w:val="24"/>
          <w:szCs w:val="24"/>
          <w:u w:val="single"/>
          <w:lang w:eastAsia="da-DK"/>
        </w:rPr>
      </w:pPr>
      <w:r>
        <w:rPr>
          <w:sz w:val="24"/>
          <w:szCs w:val="24"/>
          <w:u w:val="single"/>
          <w:lang w:eastAsia="da-DK"/>
        </w:rPr>
        <w:t>Elimination</w:t>
      </w:r>
    </w:p>
    <w:p w:rsidR="000D2B2C" w:rsidRDefault="000D2B2C" w:rsidP="000D2B2C">
      <w:pPr>
        <w:tabs>
          <w:tab w:val="left" w:pos="851"/>
        </w:tabs>
        <w:autoSpaceDE w:val="0"/>
        <w:autoSpaceDN w:val="0"/>
        <w:adjustRightInd w:val="0"/>
        <w:ind w:left="851"/>
        <w:rPr>
          <w:sz w:val="24"/>
          <w:szCs w:val="24"/>
          <w:lang w:eastAsia="da-DK"/>
        </w:rPr>
      </w:pPr>
      <w:r>
        <w:rPr>
          <w:sz w:val="24"/>
          <w:szCs w:val="24"/>
          <w:lang w:eastAsia="da-DK"/>
        </w:rPr>
        <w:t>Udskillelsen via nyrerne er hurtig og fuldstændig. Eliminationshalveringstiden er ca. 2 timer.</w:t>
      </w:r>
    </w:p>
    <w:p w:rsidR="005F0AAF" w:rsidRPr="00B27E63" w:rsidRDefault="005F0AAF" w:rsidP="005F0AAF">
      <w:pPr>
        <w:tabs>
          <w:tab w:val="left" w:pos="851"/>
        </w:tabs>
        <w:autoSpaceDE w:val="0"/>
        <w:autoSpaceDN w:val="0"/>
        <w:adjustRightInd w:val="0"/>
        <w:ind w:left="851"/>
        <w:rPr>
          <w:sz w:val="24"/>
          <w:szCs w:val="24"/>
          <w:lang w:eastAsia="da-DK"/>
        </w:rPr>
      </w:pPr>
    </w:p>
    <w:p w:rsidR="005F0AAF" w:rsidRPr="00B27E63" w:rsidRDefault="005F0AAF" w:rsidP="005F0AAF">
      <w:pPr>
        <w:tabs>
          <w:tab w:val="left" w:pos="851"/>
        </w:tabs>
        <w:autoSpaceDE w:val="0"/>
        <w:autoSpaceDN w:val="0"/>
        <w:adjustRightInd w:val="0"/>
        <w:ind w:left="851"/>
        <w:rPr>
          <w:sz w:val="24"/>
          <w:szCs w:val="24"/>
          <w:u w:val="single"/>
          <w:lang w:eastAsia="da-DK"/>
        </w:rPr>
      </w:pPr>
    </w:p>
    <w:p w:rsidR="005F0AAF" w:rsidRPr="00B27E63" w:rsidRDefault="005F0AAF" w:rsidP="005F0AAF">
      <w:pPr>
        <w:tabs>
          <w:tab w:val="left" w:pos="851"/>
        </w:tabs>
        <w:autoSpaceDE w:val="0"/>
        <w:autoSpaceDN w:val="0"/>
        <w:adjustRightInd w:val="0"/>
        <w:ind w:left="851"/>
        <w:rPr>
          <w:sz w:val="24"/>
          <w:szCs w:val="24"/>
          <w:u w:val="single"/>
          <w:lang w:eastAsia="da-DK"/>
        </w:rPr>
      </w:pPr>
      <w:r w:rsidRPr="00B27E63">
        <w:rPr>
          <w:sz w:val="24"/>
          <w:szCs w:val="24"/>
          <w:u w:val="single"/>
          <w:lang w:eastAsia="da-DK"/>
        </w:rPr>
        <w:t>Linearitet/non-linearitet</w:t>
      </w: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Ibuprofen udviser linearitet i arealet under plasmakoncentrations-/tidskurven (AUC) efter en enkelt administration af ibuprofen (i intervallet 200 til 800 mg).</w:t>
      </w:r>
    </w:p>
    <w:p w:rsidR="005F0AAF" w:rsidRPr="00B27E63" w:rsidRDefault="005F0AAF" w:rsidP="005F0AAF">
      <w:pPr>
        <w:tabs>
          <w:tab w:val="left" w:pos="851"/>
        </w:tabs>
        <w:autoSpaceDE w:val="0"/>
        <w:autoSpaceDN w:val="0"/>
        <w:adjustRightInd w:val="0"/>
        <w:ind w:left="851"/>
        <w:rPr>
          <w:sz w:val="24"/>
          <w:szCs w:val="24"/>
          <w:lang w:eastAsia="da-DK"/>
        </w:rPr>
      </w:pPr>
    </w:p>
    <w:p w:rsidR="005F0AAF" w:rsidRPr="00B27E63" w:rsidRDefault="005F0AAF" w:rsidP="005F0AAF">
      <w:pPr>
        <w:tabs>
          <w:tab w:val="left" w:pos="851"/>
        </w:tabs>
        <w:autoSpaceDE w:val="0"/>
        <w:autoSpaceDN w:val="0"/>
        <w:adjustRightInd w:val="0"/>
        <w:ind w:left="851"/>
        <w:rPr>
          <w:sz w:val="24"/>
          <w:szCs w:val="24"/>
          <w:u w:val="single"/>
          <w:lang w:eastAsia="da-DK"/>
        </w:rPr>
      </w:pPr>
      <w:proofErr w:type="spellStart"/>
      <w:r w:rsidRPr="00B27E63">
        <w:rPr>
          <w:sz w:val="24"/>
          <w:szCs w:val="24"/>
          <w:u w:val="single"/>
          <w:lang w:eastAsia="da-DK"/>
        </w:rPr>
        <w:t>Farmakokinetiske</w:t>
      </w:r>
      <w:proofErr w:type="spellEnd"/>
      <w:r w:rsidRPr="00B27E63">
        <w:rPr>
          <w:sz w:val="24"/>
          <w:szCs w:val="24"/>
          <w:u w:val="single"/>
          <w:lang w:eastAsia="da-DK"/>
        </w:rPr>
        <w:t>/</w:t>
      </w:r>
      <w:proofErr w:type="spellStart"/>
      <w:r w:rsidRPr="00B27E63">
        <w:rPr>
          <w:sz w:val="24"/>
          <w:szCs w:val="24"/>
          <w:u w:val="single"/>
          <w:lang w:eastAsia="da-DK"/>
        </w:rPr>
        <w:t>farmakodynamiske</w:t>
      </w:r>
      <w:proofErr w:type="spellEnd"/>
      <w:r w:rsidRPr="00B27E63">
        <w:rPr>
          <w:sz w:val="24"/>
          <w:szCs w:val="24"/>
          <w:u w:val="single"/>
          <w:lang w:eastAsia="da-DK"/>
        </w:rPr>
        <w:t xml:space="preserve"> forhold</w:t>
      </w: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 xml:space="preserve">Der er korrelation mellem ibuprofens plasmaniveauer, </w:t>
      </w:r>
      <w:proofErr w:type="spellStart"/>
      <w:r w:rsidRPr="00B27E63">
        <w:rPr>
          <w:sz w:val="24"/>
          <w:szCs w:val="24"/>
          <w:lang w:eastAsia="da-DK"/>
        </w:rPr>
        <w:t>farmakodynamiske</w:t>
      </w:r>
      <w:proofErr w:type="spellEnd"/>
      <w:r w:rsidRPr="00B27E63">
        <w:rPr>
          <w:sz w:val="24"/>
          <w:szCs w:val="24"/>
          <w:lang w:eastAsia="da-DK"/>
        </w:rPr>
        <w:t xml:space="preserve"> egenskaber og overordnede sikkerhedsprofil. Ibuprofens farmakokinetik er stereoselektiv efter intravenøs og oral administration.</w:t>
      </w:r>
    </w:p>
    <w:p w:rsidR="005F0AAF" w:rsidRPr="00B27E63" w:rsidRDefault="005F0AAF" w:rsidP="005F0AAF">
      <w:pPr>
        <w:tabs>
          <w:tab w:val="left" w:pos="851"/>
        </w:tabs>
        <w:autoSpaceDE w:val="0"/>
        <w:autoSpaceDN w:val="0"/>
        <w:adjustRightInd w:val="0"/>
        <w:ind w:left="851"/>
        <w:rPr>
          <w:sz w:val="24"/>
          <w:szCs w:val="24"/>
          <w:lang w:eastAsia="da-DK"/>
        </w:rPr>
      </w:pP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Ibuprofens virkningsmekanisme og farmakologi efter intravenøs administration adskiller sig ikke fra det, der ses ved oral administration.</w:t>
      </w:r>
    </w:p>
    <w:p w:rsidR="005F0AAF" w:rsidRPr="00B27E63" w:rsidRDefault="005F0AAF" w:rsidP="005F0AAF">
      <w:pPr>
        <w:tabs>
          <w:tab w:val="left" w:pos="851"/>
        </w:tabs>
        <w:autoSpaceDE w:val="0"/>
        <w:autoSpaceDN w:val="0"/>
        <w:adjustRightInd w:val="0"/>
        <w:ind w:left="851"/>
        <w:rPr>
          <w:sz w:val="24"/>
          <w:szCs w:val="24"/>
          <w:lang w:eastAsia="da-DK"/>
        </w:rPr>
      </w:pPr>
    </w:p>
    <w:p w:rsidR="005F0AAF" w:rsidRPr="00B27E63" w:rsidRDefault="005F0AAF" w:rsidP="005F0AAF">
      <w:pPr>
        <w:tabs>
          <w:tab w:val="left" w:pos="851"/>
        </w:tabs>
        <w:autoSpaceDE w:val="0"/>
        <w:autoSpaceDN w:val="0"/>
        <w:adjustRightInd w:val="0"/>
        <w:ind w:left="851"/>
        <w:rPr>
          <w:sz w:val="24"/>
          <w:szCs w:val="24"/>
          <w:u w:val="single"/>
          <w:lang w:eastAsia="da-DK"/>
        </w:rPr>
      </w:pPr>
      <w:r w:rsidRPr="00B27E63">
        <w:rPr>
          <w:sz w:val="24"/>
          <w:szCs w:val="24"/>
          <w:u w:val="single"/>
          <w:lang w:eastAsia="da-DK"/>
        </w:rPr>
        <w:t>Nedsat nyrefunktion</w:t>
      </w: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 xml:space="preserve">Hos patienter med let nedsat nyrefunktion er der rapporteret om øget ubundet (S)-ibuprofen, højere AUC-værdier af (S)-ibuprofen og øgede </w:t>
      </w:r>
      <w:proofErr w:type="spellStart"/>
      <w:r w:rsidRPr="00B27E63">
        <w:rPr>
          <w:sz w:val="24"/>
          <w:szCs w:val="24"/>
          <w:lang w:eastAsia="da-DK"/>
        </w:rPr>
        <w:t>enantiomere</w:t>
      </w:r>
      <w:proofErr w:type="spellEnd"/>
      <w:r w:rsidRPr="00B27E63">
        <w:rPr>
          <w:sz w:val="24"/>
          <w:szCs w:val="24"/>
          <w:lang w:eastAsia="da-DK"/>
        </w:rPr>
        <w:t xml:space="preserve"> AUC-ratioer (S/R) i forhold til raske kontrolpersoner.</w:t>
      </w:r>
    </w:p>
    <w:p w:rsidR="005F0AAF" w:rsidRPr="00B27E63" w:rsidRDefault="005F0AAF" w:rsidP="005F0AAF">
      <w:pPr>
        <w:tabs>
          <w:tab w:val="left" w:pos="851"/>
        </w:tabs>
        <w:autoSpaceDE w:val="0"/>
        <w:autoSpaceDN w:val="0"/>
        <w:adjustRightInd w:val="0"/>
        <w:ind w:left="851"/>
        <w:rPr>
          <w:sz w:val="24"/>
          <w:szCs w:val="24"/>
          <w:lang w:eastAsia="da-DK"/>
        </w:rPr>
      </w:pPr>
    </w:p>
    <w:p w:rsidR="005F0AAF" w:rsidRPr="00B27E6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Hos patienter med nyresygdom i terminalfasen, som var i dialysebehandling, var den gennemsnitlige frie fraktion af ibuprofen cirka 3 % sammenlignet med cirka 1 % hos raske frivillige. Svært nedsat nyrefunktion kan resultere i akkumulation af ibuprofenmetabolitter. Signifikansen af denne virkning er ukendt. Metabolitterne kan fjernes ved hæmodialyse (se pkt. 4.3 og 4.4).</w:t>
      </w:r>
    </w:p>
    <w:p w:rsidR="005F0AAF" w:rsidRPr="00B27E63" w:rsidRDefault="005F0AAF" w:rsidP="005F0AAF">
      <w:pPr>
        <w:tabs>
          <w:tab w:val="left" w:pos="851"/>
        </w:tabs>
        <w:autoSpaceDE w:val="0"/>
        <w:autoSpaceDN w:val="0"/>
        <w:adjustRightInd w:val="0"/>
        <w:ind w:left="851"/>
        <w:rPr>
          <w:i/>
          <w:sz w:val="24"/>
          <w:szCs w:val="24"/>
          <w:u w:val="single"/>
          <w:lang w:eastAsia="da-DK"/>
        </w:rPr>
      </w:pPr>
    </w:p>
    <w:p w:rsidR="005F0AAF" w:rsidRPr="00B27E63" w:rsidRDefault="005F0AAF" w:rsidP="005F0AAF">
      <w:pPr>
        <w:tabs>
          <w:tab w:val="left" w:pos="851"/>
        </w:tabs>
        <w:autoSpaceDE w:val="0"/>
        <w:autoSpaceDN w:val="0"/>
        <w:adjustRightInd w:val="0"/>
        <w:ind w:left="851"/>
        <w:rPr>
          <w:sz w:val="24"/>
          <w:szCs w:val="24"/>
          <w:u w:val="single"/>
          <w:lang w:eastAsia="da-DK"/>
        </w:rPr>
      </w:pPr>
      <w:r w:rsidRPr="00B27E63">
        <w:rPr>
          <w:sz w:val="24"/>
          <w:szCs w:val="24"/>
          <w:u w:val="single"/>
          <w:lang w:eastAsia="da-DK"/>
        </w:rPr>
        <w:lastRenderedPageBreak/>
        <w:t>Nedsat leverfunktion</w:t>
      </w:r>
    </w:p>
    <w:p w:rsidR="005F0AAF" w:rsidRPr="00C84483" w:rsidRDefault="005F0AAF" w:rsidP="005F0AAF">
      <w:pPr>
        <w:tabs>
          <w:tab w:val="left" w:pos="851"/>
        </w:tabs>
        <w:autoSpaceDE w:val="0"/>
        <w:autoSpaceDN w:val="0"/>
        <w:adjustRightInd w:val="0"/>
        <w:ind w:left="851"/>
        <w:rPr>
          <w:sz w:val="24"/>
          <w:szCs w:val="24"/>
          <w:lang w:eastAsia="da-DK"/>
        </w:rPr>
      </w:pPr>
      <w:r w:rsidRPr="00B27E63">
        <w:rPr>
          <w:sz w:val="24"/>
          <w:szCs w:val="24"/>
          <w:lang w:eastAsia="da-DK"/>
        </w:rPr>
        <w:t xml:space="preserve">Hos cirrosepatienter med moderat nedsat leverfunktion (Child </w:t>
      </w:r>
      <w:proofErr w:type="spellStart"/>
      <w:r w:rsidRPr="00B27E63">
        <w:rPr>
          <w:sz w:val="24"/>
          <w:szCs w:val="24"/>
          <w:lang w:eastAsia="da-DK"/>
        </w:rPr>
        <w:t>Pugh</w:t>
      </w:r>
      <w:proofErr w:type="spellEnd"/>
      <w:r w:rsidRPr="00B27E63">
        <w:rPr>
          <w:sz w:val="24"/>
          <w:szCs w:val="24"/>
          <w:lang w:eastAsia="da-DK"/>
        </w:rPr>
        <w:t xml:space="preserve">-score 6-10), der blev behandlet med </w:t>
      </w:r>
      <w:proofErr w:type="spellStart"/>
      <w:r w:rsidRPr="00B27E63">
        <w:rPr>
          <w:sz w:val="24"/>
          <w:szCs w:val="24"/>
          <w:lang w:eastAsia="da-DK"/>
        </w:rPr>
        <w:t>racemisk</w:t>
      </w:r>
      <w:proofErr w:type="spellEnd"/>
      <w:r w:rsidRPr="00B27E63">
        <w:rPr>
          <w:sz w:val="24"/>
          <w:szCs w:val="24"/>
          <w:lang w:eastAsia="da-DK"/>
        </w:rPr>
        <w:t xml:space="preserve"> ibuprofen, steg halveringstiden cirka til det dobbelte, og den </w:t>
      </w:r>
      <w:proofErr w:type="spellStart"/>
      <w:r w:rsidRPr="00B27E63">
        <w:rPr>
          <w:sz w:val="24"/>
          <w:szCs w:val="24"/>
          <w:lang w:eastAsia="da-DK"/>
        </w:rPr>
        <w:t>enantiomere</w:t>
      </w:r>
      <w:proofErr w:type="spellEnd"/>
      <w:r w:rsidRPr="00B27E63">
        <w:rPr>
          <w:sz w:val="24"/>
          <w:szCs w:val="24"/>
          <w:lang w:eastAsia="da-DK"/>
        </w:rPr>
        <w:t xml:space="preserve"> AUC-ratio (S/R) var signifikant lavere sammenlignet med raske kontrolpersoner, hvilket tyder på nedsat metabolisk inversion af (R)-ibuprofen til den aktive (S)-</w:t>
      </w:r>
      <w:proofErr w:type="spellStart"/>
      <w:r w:rsidRPr="00B27E63">
        <w:rPr>
          <w:sz w:val="24"/>
          <w:szCs w:val="24"/>
          <w:lang w:eastAsia="da-DK"/>
        </w:rPr>
        <w:t>enantiomer</w:t>
      </w:r>
      <w:proofErr w:type="spellEnd"/>
      <w:r w:rsidRPr="00B27E63">
        <w:rPr>
          <w:sz w:val="24"/>
          <w:szCs w:val="24"/>
          <w:lang w:eastAsia="da-DK"/>
        </w:rPr>
        <w:t xml:space="preserve"> (se pkt. 4.3 og 4.4).</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5.3</w:t>
      </w:r>
      <w:r w:rsidRPr="00C84483">
        <w:rPr>
          <w:b/>
          <w:sz w:val="24"/>
          <w:szCs w:val="24"/>
        </w:rPr>
        <w:tab/>
      </w:r>
      <w:r w:rsidR="006435CE">
        <w:rPr>
          <w:b/>
          <w:sz w:val="24"/>
          <w:szCs w:val="24"/>
        </w:rPr>
        <w:t>Non-</w:t>
      </w:r>
      <w:r w:rsidRPr="00C84483">
        <w:rPr>
          <w:b/>
          <w:sz w:val="24"/>
          <w:szCs w:val="24"/>
        </w:rPr>
        <w:t>kliniske sikkerhedsdata</w:t>
      </w:r>
    </w:p>
    <w:p w:rsidR="005F0AAF" w:rsidRPr="007319BA" w:rsidRDefault="005F0AAF" w:rsidP="005F0AAF">
      <w:pPr>
        <w:tabs>
          <w:tab w:val="left" w:pos="851"/>
        </w:tabs>
        <w:autoSpaceDE w:val="0"/>
        <w:autoSpaceDN w:val="0"/>
        <w:adjustRightInd w:val="0"/>
        <w:ind w:left="851"/>
        <w:rPr>
          <w:sz w:val="24"/>
          <w:szCs w:val="24"/>
          <w:lang w:eastAsia="da-DK"/>
        </w:rPr>
      </w:pPr>
      <w:r w:rsidRPr="007319BA">
        <w:rPr>
          <w:sz w:val="24"/>
          <w:szCs w:val="24"/>
          <w:lang w:eastAsia="da-DK"/>
        </w:rPr>
        <w:t xml:space="preserve">Den subkroniske og kroniske toksicitet af ibuprofen i dyrestudier viste sig primært i form af læsioner og sår i mave-tarm-kanalen. </w:t>
      </w:r>
      <w:r w:rsidRPr="007319BA">
        <w:rPr>
          <w:i/>
          <w:sz w:val="24"/>
          <w:szCs w:val="24"/>
          <w:lang w:eastAsia="da-DK"/>
        </w:rPr>
        <w:t xml:space="preserve">In </w:t>
      </w:r>
      <w:proofErr w:type="spellStart"/>
      <w:r w:rsidRPr="007319BA">
        <w:rPr>
          <w:i/>
          <w:sz w:val="24"/>
          <w:szCs w:val="24"/>
          <w:lang w:eastAsia="da-DK"/>
        </w:rPr>
        <w:t>vitro</w:t>
      </w:r>
      <w:proofErr w:type="spellEnd"/>
      <w:r w:rsidRPr="007319BA">
        <w:rPr>
          <w:sz w:val="24"/>
          <w:szCs w:val="24"/>
          <w:lang w:eastAsia="da-DK"/>
        </w:rPr>
        <w:t xml:space="preserve">- og </w:t>
      </w:r>
      <w:r w:rsidRPr="007319BA">
        <w:rPr>
          <w:i/>
          <w:sz w:val="24"/>
          <w:szCs w:val="24"/>
          <w:lang w:eastAsia="da-DK"/>
        </w:rPr>
        <w:t xml:space="preserve">in </w:t>
      </w:r>
      <w:proofErr w:type="spellStart"/>
      <w:r w:rsidRPr="007319BA">
        <w:rPr>
          <w:i/>
          <w:sz w:val="24"/>
          <w:szCs w:val="24"/>
          <w:lang w:eastAsia="da-DK"/>
        </w:rPr>
        <w:t>vivo</w:t>
      </w:r>
      <w:proofErr w:type="spellEnd"/>
      <w:r w:rsidRPr="007319BA">
        <w:rPr>
          <w:sz w:val="24"/>
          <w:szCs w:val="24"/>
          <w:lang w:eastAsia="da-DK"/>
        </w:rPr>
        <w:t xml:space="preserve">-studier gav ingen klinisk relevant evidens for mutagent potentiale af ibuprofen. I studier med rotter og mus blev der ikke fundet evidens for </w:t>
      </w:r>
      <w:proofErr w:type="spellStart"/>
      <w:r w:rsidRPr="007319BA">
        <w:rPr>
          <w:sz w:val="24"/>
          <w:szCs w:val="24"/>
          <w:lang w:eastAsia="da-DK"/>
        </w:rPr>
        <w:t>karcinogene</w:t>
      </w:r>
      <w:proofErr w:type="spellEnd"/>
      <w:r w:rsidRPr="007319BA">
        <w:rPr>
          <w:sz w:val="24"/>
          <w:szCs w:val="24"/>
          <w:lang w:eastAsia="da-DK"/>
        </w:rPr>
        <w:t xml:space="preserve"> virkninger af ibuprofen.</w:t>
      </w:r>
    </w:p>
    <w:p w:rsidR="005F0AAF" w:rsidRPr="007319BA" w:rsidRDefault="005F0AAF" w:rsidP="005F0AAF">
      <w:pPr>
        <w:tabs>
          <w:tab w:val="left" w:pos="851"/>
        </w:tabs>
        <w:autoSpaceDE w:val="0"/>
        <w:autoSpaceDN w:val="0"/>
        <w:adjustRightInd w:val="0"/>
        <w:ind w:left="851"/>
        <w:rPr>
          <w:sz w:val="24"/>
          <w:szCs w:val="24"/>
          <w:lang w:eastAsia="da-DK"/>
        </w:rPr>
      </w:pPr>
    </w:p>
    <w:p w:rsidR="005F0AAF" w:rsidRDefault="005F0AAF" w:rsidP="005F0AAF">
      <w:pPr>
        <w:tabs>
          <w:tab w:val="left" w:pos="851"/>
        </w:tabs>
        <w:autoSpaceDE w:val="0"/>
        <w:autoSpaceDN w:val="0"/>
        <w:adjustRightInd w:val="0"/>
        <w:ind w:left="851"/>
        <w:rPr>
          <w:sz w:val="24"/>
          <w:szCs w:val="24"/>
          <w:lang w:eastAsia="da-DK"/>
        </w:rPr>
      </w:pPr>
      <w:r w:rsidRPr="007319BA">
        <w:rPr>
          <w:sz w:val="24"/>
          <w:szCs w:val="24"/>
          <w:lang w:eastAsia="da-DK"/>
        </w:rPr>
        <w:t xml:space="preserve">Ibuprofen resulterede i ovulationshæmning hos kaniner og nedsat implantation hos forskellige dyrearter (kaniner, rotter, mus). Studier med rotter og kaniner har vist, at ibuprofen krydser placenta. Efter administration af </w:t>
      </w:r>
      <w:proofErr w:type="spellStart"/>
      <w:r w:rsidRPr="007319BA">
        <w:rPr>
          <w:sz w:val="24"/>
          <w:szCs w:val="24"/>
          <w:lang w:eastAsia="da-DK"/>
        </w:rPr>
        <w:t>maternotoksiske</w:t>
      </w:r>
      <w:proofErr w:type="spellEnd"/>
      <w:r w:rsidRPr="007319BA">
        <w:rPr>
          <w:sz w:val="24"/>
          <w:szCs w:val="24"/>
          <w:lang w:eastAsia="da-DK"/>
        </w:rPr>
        <w:t xml:space="preserve"> doser var der en øget forekomst af misdannelser (ventrikelseptumdefekter) hos afkommet hos rotter.</w:t>
      </w:r>
    </w:p>
    <w:p w:rsidR="00EF5645" w:rsidRDefault="00EF5645" w:rsidP="005F0AAF">
      <w:pPr>
        <w:tabs>
          <w:tab w:val="left" w:pos="851"/>
        </w:tabs>
        <w:autoSpaceDE w:val="0"/>
        <w:autoSpaceDN w:val="0"/>
        <w:adjustRightInd w:val="0"/>
        <w:ind w:left="851"/>
        <w:rPr>
          <w:sz w:val="24"/>
          <w:szCs w:val="24"/>
          <w:lang w:eastAsia="da-DK"/>
        </w:rPr>
      </w:pPr>
    </w:p>
    <w:p w:rsidR="005C1DF6" w:rsidRDefault="005C1DF6">
      <w:pPr>
        <w:rPr>
          <w:b/>
          <w:sz w:val="24"/>
          <w:szCs w:val="24"/>
        </w:rPr>
      </w:pPr>
    </w:p>
    <w:p w:rsidR="005F0AAF" w:rsidRPr="00C84483" w:rsidRDefault="005F0AAF" w:rsidP="005F0AA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F0AAF" w:rsidRPr="00BA09F1"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6.1</w:t>
      </w:r>
      <w:r w:rsidRPr="00C84483">
        <w:rPr>
          <w:b/>
          <w:sz w:val="24"/>
          <w:szCs w:val="24"/>
        </w:rPr>
        <w:tab/>
        <w:t>Hjælpestoffer</w:t>
      </w:r>
    </w:p>
    <w:p w:rsidR="005F0AAF" w:rsidRPr="00C66C42" w:rsidRDefault="005F0AAF" w:rsidP="005F0AAF">
      <w:pPr>
        <w:tabs>
          <w:tab w:val="left" w:pos="851"/>
        </w:tabs>
        <w:autoSpaceDE w:val="0"/>
        <w:autoSpaceDN w:val="0"/>
        <w:adjustRightInd w:val="0"/>
        <w:ind w:left="851"/>
        <w:rPr>
          <w:sz w:val="24"/>
          <w:szCs w:val="24"/>
          <w:lang w:eastAsia="da-DK"/>
        </w:rPr>
      </w:pPr>
      <w:r w:rsidRPr="00C66C42">
        <w:rPr>
          <w:sz w:val="24"/>
          <w:szCs w:val="24"/>
          <w:lang w:eastAsia="da-DK"/>
        </w:rPr>
        <w:t>L-</w:t>
      </w:r>
      <w:proofErr w:type="spellStart"/>
      <w:r w:rsidRPr="00C66C42">
        <w:rPr>
          <w:sz w:val="24"/>
          <w:szCs w:val="24"/>
          <w:lang w:eastAsia="da-DK"/>
        </w:rPr>
        <w:t>arginin</w:t>
      </w:r>
      <w:proofErr w:type="spellEnd"/>
    </w:p>
    <w:p w:rsidR="005F0AAF" w:rsidRPr="00C66C42" w:rsidRDefault="005F0AAF" w:rsidP="005F0AAF">
      <w:pPr>
        <w:tabs>
          <w:tab w:val="left" w:pos="851"/>
        </w:tabs>
        <w:autoSpaceDE w:val="0"/>
        <w:autoSpaceDN w:val="0"/>
        <w:adjustRightInd w:val="0"/>
        <w:ind w:left="851"/>
        <w:rPr>
          <w:sz w:val="24"/>
          <w:szCs w:val="24"/>
          <w:lang w:eastAsia="da-DK"/>
        </w:rPr>
      </w:pPr>
      <w:proofErr w:type="spellStart"/>
      <w:r w:rsidRPr="00C66C42">
        <w:rPr>
          <w:sz w:val="24"/>
          <w:szCs w:val="24"/>
          <w:lang w:eastAsia="da-DK"/>
        </w:rPr>
        <w:t>Natriumchlorid</w:t>
      </w:r>
      <w:proofErr w:type="spellEnd"/>
    </w:p>
    <w:p w:rsidR="005F0AAF" w:rsidRPr="00C66C42" w:rsidRDefault="005F0AAF" w:rsidP="005F0AAF">
      <w:pPr>
        <w:tabs>
          <w:tab w:val="left" w:pos="851"/>
        </w:tabs>
        <w:autoSpaceDE w:val="0"/>
        <w:autoSpaceDN w:val="0"/>
        <w:adjustRightInd w:val="0"/>
        <w:ind w:left="851"/>
        <w:rPr>
          <w:sz w:val="24"/>
          <w:szCs w:val="24"/>
          <w:lang w:eastAsia="da-DK"/>
        </w:rPr>
      </w:pPr>
      <w:r w:rsidRPr="00C66C42">
        <w:rPr>
          <w:sz w:val="24"/>
          <w:szCs w:val="24"/>
          <w:lang w:eastAsia="da-DK"/>
        </w:rPr>
        <w:t>Saltsyre (til pH-justering)</w:t>
      </w:r>
    </w:p>
    <w:p w:rsidR="005F0AAF" w:rsidRPr="00C66C42" w:rsidRDefault="005F0AAF" w:rsidP="005F0AAF">
      <w:pPr>
        <w:tabs>
          <w:tab w:val="left" w:pos="851"/>
        </w:tabs>
        <w:autoSpaceDE w:val="0"/>
        <w:autoSpaceDN w:val="0"/>
        <w:adjustRightInd w:val="0"/>
        <w:ind w:left="851"/>
        <w:rPr>
          <w:sz w:val="24"/>
          <w:szCs w:val="24"/>
          <w:lang w:eastAsia="da-DK"/>
        </w:rPr>
      </w:pPr>
      <w:r w:rsidRPr="00C66C42">
        <w:rPr>
          <w:sz w:val="24"/>
          <w:szCs w:val="24"/>
          <w:lang w:eastAsia="da-DK"/>
        </w:rPr>
        <w:t>Natriumhydroxid (til pH-justering)</w:t>
      </w:r>
    </w:p>
    <w:p w:rsidR="005F0AAF" w:rsidRPr="00C84483" w:rsidRDefault="005F0AAF" w:rsidP="005F0AAF">
      <w:pPr>
        <w:tabs>
          <w:tab w:val="left" w:pos="851"/>
        </w:tabs>
        <w:autoSpaceDE w:val="0"/>
        <w:autoSpaceDN w:val="0"/>
        <w:adjustRightInd w:val="0"/>
        <w:ind w:left="851"/>
        <w:rPr>
          <w:sz w:val="24"/>
          <w:szCs w:val="24"/>
          <w:lang w:eastAsia="da-DK"/>
        </w:rPr>
      </w:pPr>
      <w:r w:rsidRPr="00C66C42">
        <w:rPr>
          <w:sz w:val="24"/>
          <w:szCs w:val="24"/>
          <w:lang w:eastAsia="da-DK"/>
        </w:rPr>
        <w:t>Vand til injektionsvæsker</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6.2</w:t>
      </w:r>
      <w:r w:rsidRPr="00C84483">
        <w:rPr>
          <w:b/>
          <w:sz w:val="24"/>
          <w:szCs w:val="24"/>
        </w:rPr>
        <w:tab/>
        <w:t>Uforligeligheder</w:t>
      </w:r>
    </w:p>
    <w:p w:rsidR="005F0AAF" w:rsidRPr="00C84483" w:rsidRDefault="005F0AAF" w:rsidP="005F0AAF">
      <w:pPr>
        <w:tabs>
          <w:tab w:val="left" w:pos="426"/>
          <w:tab w:val="left" w:pos="851"/>
        </w:tabs>
        <w:autoSpaceDE w:val="0"/>
        <w:autoSpaceDN w:val="0"/>
        <w:adjustRightInd w:val="0"/>
        <w:ind w:left="851"/>
        <w:rPr>
          <w:sz w:val="24"/>
          <w:szCs w:val="24"/>
          <w:lang w:eastAsia="da-DK"/>
        </w:rPr>
      </w:pPr>
      <w:r w:rsidRPr="00A17F7B">
        <w:rPr>
          <w:sz w:val="24"/>
          <w:szCs w:val="24"/>
          <w:lang w:eastAsia="da-DK"/>
        </w:rPr>
        <w:t>Da der ikke foreligger studier af eventuelle uforligeligheder, må dette lægemiddel ikke blandes med andre lægemidler.</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6.3</w:t>
      </w:r>
      <w:r w:rsidRPr="00C84483">
        <w:rPr>
          <w:b/>
          <w:sz w:val="24"/>
          <w:szCs w:val="24"/>
        </w:rPr>
        <w:tab/>
        <w:t>Opbevaringstid</w:t>
      </w:r>
    </w:p>
    <w:p w:rsidR="005F0AAF" w:rsidRPr="009F137F" w:rsidRDefault="005F0AAF" w:rsidP="005F0AAF">
      <w:pPr>
        <w:tabs>
          <w:tab w:val="left" w:pos="851"/>
        </w:tabs>
        <w:autoSpaceDE w:val="0"/>
        <w:autoSpaceDN w:val="0"/>
        <w:adjustRightInd w:val="0"/>
        <w:ind w:left="851"/>
        <w:rPr>
          <w:sz w:val="24"/>
          <w:szCs w:val="24"/>
          <w:lang w:eastAsia="da-DK"/>
        </w:rPr>
      </w:pPr>
      <w:r>
        <w:rPr>
          <w:sz w:val="24"/>
          <w:szCs w:val="24"/>
          <w:lang w:eastAsia="da-DK"/>
        </w:rPr>
        <w:t>3</w:t>
      </w:r>
      <w:r w:rsidR="000D2B2C">
        <w:rPr>
          <w:sz w:val="24"/>
          <w:szCs w:val="24"/>
          <w:lang w:eastAsia="da-DK"/>
        </w:rPr>
        <w:t xml:space="preserve"> år.</w:t>
      </w:r>
    </w:p>
    <w:p w:rsidR="005F0AAF" w:rsidRPr="009F137F" w:rsidRDefault="005F0AAF" w:rsidP="005F0AAF">
      <w:pPr>
        <w:tabs>
          <w:tab w:val="left" w:pos="851"/>
        </w:tabs>
        <w:autoSpaceDE w:val="0"/>
        <w:autoSpaceDN w:val="0"/>
        <w:adjustRightInd w:val="0"/>
        <w:ind w:left="851"/>
        <w:rPr>
          <w:sz w:val="24"/>
          <w:szCs w:val="24"/>
          <w:lang w:eastAsia="da-DK"/>
        </w:rPr>
      </w:pPr>
    </w:p>
    <w:p w:rsidR="005F0AAF" w:rsidRPr="00C84483" w:rsidRDefault="005F0AAF" w:rsidP="005F0AAF">
      <w:pPr>
        <w:tabs>
          <w:tab w:val="left" w:pos="851"/>
        </w:tabs>
        <w:autoSpaceDE w:val="0"/>
        <w:autoSpaceDN w:val="0"/>
        <w:adjustRightInd w:val="0"/>
        <w:ind w:left="851"/>
        <w:rPr>
          <w:sz w:val="24"/>
          <w:szCs w:val="24"/>
          <w:lang w:eastAsia="da-DK"/>
        </w:rPr>
      </w:pPr>
      <w:r w:rsidRPr="009F137F">
        <w:rPr>
          <w:sz w:val="24"/>
          <w:szCs w:val="24"/>
          <w:lang w:eastAsia="da-DK"/>
        </w:rPr>
        <w:t xml:space="preserve">Ud fra et mikrobiologisk synspunkt skal præparatet bruges med det samme. </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F0AAF" w:rsidRPr="001C17A4" w:rsidRDefault="005F0AAF" w:rsidP="005F0AAF">
      <w:pPr>
        <w:tabs>
          <w:tab w:val="left" w:pos="851"/>
        </w:tabs>
        <w:autoSpaceDE w:val="0"/>
        <w:autoSpaceDN w:val="0"/>
        <w:adjustRightInd w:val="0"/>
        <w:ind w:left="851"/>
        <w:rPr>
          <w:sz w:val="24"/>
          <w:szCs w:val="24"/>
          <w:lang w:eastAsia="da-DK"/>
        </w:rPr>
      </w:pPr>
      <w:r w:rsidRPr="001C17A4">
        <w:rPr>
          <w:sz w:val="24"/>
          <w:szCs w:val="24"/>
          <w:lang w:eastAsia="da-DK"/>
        </w:rPr>
        <w:t>Dette lægemiddel kræver ingen særlige forholdsregler vedrørende opbevaringen.</w:t>
      </w:r>
    </w:p>
    <w:p w:rsidR="005F0AAF" w:rsidRPr="001C17A4" w:rsidRDefault="005F0AAF" w:rsidP="005F0AAF">
      <w:pPr>
        <w:tabs>
          <w:tab w:val="left" w:pos="851"/>
        </w:tabs>
        <w:ind w:left="851"/>
        <w:rPr>
          <w:sz w:val="24"/>
          <w:szCs w:val="24"/>
          <w:lang w:eastAsia="da-DK"/>
        </w:rPr>
      </w:pPr>
    </w:p>
    <w:p w:rsidR="005F0AAF" w:rsidRPr="00C84483" w:rsidRDefault="005F0AAF" w:rsidP="005F0AAF">
      <w:pPr>
        <w:tabs>
          <w:tab w:val="left" w:pos="851"/>
        </w:tabs>
        <w:ind w:left="851"/>
        <w:rPr>
          <w:sz w:val="24"/>
          <w:szCs w:val="24"/>
          <w:lang w:eastAsia="da-DK"/>
        </w:rPr>
      </w:pPr>
      <w:r w:rsidRPr="001C17A4">
        <w:rPr>
          <w:sz w:val="24"/>
          <w:szCs w:val="24"/>
          <w:lang w:eastAsia="da-DK"/>
        </w:rPr>
        <w:t>Opbevaringsforhold efter anbrud af lægemidlet, se pkt. 6.3.</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F5645" w:rsidRDefault="00EF5645" w:rsidP="00EF5645">
      <w:pPr>
        <w:tabs>
          <w:tab w:val="left" w:pos="851"/>
        </w:tabs>
        <w:autoSpaceDE w:val="0"/>
        <w:autoSpaceDN w:val="0"/>
        <w:adjustRightInd w:val="0"/>
        <w:ind w:left="851"/>
        <w:rPr>
          <w:color w:val="000000"/>
          <w:sz w:val="24"/>
          <w:szCs w:val="24"/>
          <w:lang w:eastAsia="da-DK"/>
        </w:rPr>
      </w:pPr>
      <w:r w:rsidRPr="00B43DFD">
        <w:rPr>
          <w:color w:val="000000"/>
          <w:sz w:val="24"/>
          <w:szCs w:val="24"/>
          <w:lang w:eastAsia="da-DK"/>
        </w:rPr>
        <w:t xml:space="preserve">Den primære emballage </w:t>
      </w:r>
      <w:r>
        <w:rPr>
          <w:color w:val="000000"/>
          <w:sz w:val="24"/>
          <w:szCs w:val="24"/>
          <w:lang w:eastAsia="da-DK"/>
        </w:rPr>
        <w:t xml:space="preserve">er en </w:t>
      </w:r>
      <w:r w:rsidRPr="001C17A4">
        <w:rPr>
          <w:color w:val="000000"/>
          <w:sz w:val="24"/>
          <w:szCs w:val="24"/>
          <w:lang w:eastAsia="da-DK"/>
        </w:rPr>
        <w:t>100 ml LDPE-</w:t>
      </w:r>
      <w:r>
        <w:rPr>
          <w:color w:val="000000"/>
          <w:sz w:val="24"/>
          <w:szCs w:val="24"/>
          <w:lang w:eastAsia="da-DK"/>
        </w:rPr>
        <w:t>flaske</w:t>
      </w:r>
      <w:r w:rsidRPr="001C17A4">
        <w:rPr>
          <w:color w:val="000000"/>
          <w:sz w:val="24"/>
          <w:szCs w:val="24"/>
          <w:lang w:eastAsia="da-DK"/>
        </w:rPr>
        <w:t xml:space="preserve"> med låg (</w:t>
      </w:r>
      <w:proofErr w:type="spellStart"/>
      <w:r w:rsidRPr="001C17A4">
        <w:rPr>
          <w:color w:val="000000"/>
          <w:sz w:val="24"/>
          <w:szCs w:val="24"/>
          <w:lang w:eastAsia="da-DK"/>
        </w:rPr>
        <w:t>Twincap</w:t>
      </w:r>
      <w:proofErr w:type="spellEnd"/>
      <w:r w:rsidRPr="001C17A4">
        <w:rPr>
          <w:color w:val="000000"/>
          <w:sz w:val="24"/>
          <w:szCs w:val="24"/>
          <w:lang w:eastAsia="da-DK"/>
        </w:rPr>
        <w:t>)</w:t>
      </w:r>
      <w:r>
        <w:rPr>
          <w:color w:val="000000"/>
          <w:sz w:val="24"/>
          <w:szCs w:val="24"/>
          <w:lang w:eastAsia="da-DK"/>
        </w:rPr>
        <w:t xml:space="preserve"> </w:t>
      </w:r>
      <w:r w:rsidRPr="009660B4">
        <w:rPr>
          <w:rStyle w:val="hps"/>
          <w:color w:val="000000"/>
          <w:sz w:val="24"/>
          <w:szCs w:val="24"/>
        </w:rPr>
        <w:t xml:space="preserve">i pakninger med hhv. 10 flasker og 20 flasker </w:t>
      </w:r>
      <w:r>
        <w:rPr>
          <w:rStyle w:val="hps"/>
          <w:color w:val="000000"/>
          <w:sz w:val="24"/>
          <w:szCs w:val="24"/>
        </w:rPr>
        <w:t xml:space="preserve">med </w:t>
      </w:r>
      <w:r w:rsidRPr="009660B4">
        <w:rPr>
          <w:rStyle w:val="hps"/>
          <w:color w:val="000000"/>
          <w:sz w:val="24"/>
          <w:szCs w:val="24"/>
        </w:rPr>
        <w:t>100</w:t>
      </w:r>
      <w:r>
        <w:rPr>
          <w:rStyle w:val="hps"/>
          <w:color w:val="000000"/>
          <w:sz w:val="24"/>
          <w:szCs w:val="24"/>
        </w:rPr>
        <w:t> </w:t>
      </w:r>
      <w:r w:rsidRPr="009660B4">
        <w:rPr>
          <w:rStyle w:val="hps"/>
          <w:color w:val="000000"/>
          <w:sz w:val="24"/>
          <w:szCs w:val="24"/>
        </w:rPr>
        <w:t>ml</w:t>
      </w:r>
      <w:r>
        <w:rPr>
          <w:color w:val="000000"/>
          <w:sz w:val="24"/>
          <w:szCs w:val="24"/>
          <w:lang w:eastAsia="da-DK"/>
        </w:rPr>
        <w:t>.</w:t>
      </w:r>
    </w:p>
    <w:p w:rsidR="00EF5645" w:rsidRDefault="00EF5645" w:rsidP="00EF5645">
      <w:pPr>
        <w:tabs>
          <w:tab w:val="left" w:pos="851"/>
        </w:tabs>
        <w:autoSpaceDE w:val="0"/>
        <w:autoSpaceDN w:val="0"/>
        <w:adjustRightInd w:val="0"/>
        <w:ind w:left="851"/>
        <w:rPr>
          <w:color w:val="000000"/>
          <w:sz w:val="24"/>
          <w:szCs w:val="24"/>
          <w:lang w:eastAsia="da-DK"/>
        </w:rPr>
      </w:pPr>
    </w:p>
    <w:p w:rsidR="00EF5645" w:rsidRPr="00E84DBA" w:rsidRDefault="00EF5645" w:rsidP="00EF5645">
      <w:pPr>
        <w:tabs>
          <w:tab w:val="left" w:pos="851"/>
        </w:tabs>
        <w:autoSpaceDE w:val="0"/>
        <w:autoSpaceDN w:val="0"/>
        <w:adjustRightInd w:val="0"/>
        <w:ind w:left="851"/>
        <w:rPr>
          <w:color w:val="000000"/>
          <w:sz w:val="24"/>
          <w:szCs w:val="24"/>
          <w:lang w:eastAsia="da-DK"/>
        </w:rPr>
      </w:pPr>
      <w:r w:rsidRPr="001C17A4">
        <w:rPr>
          <w:color w:val="000000"/>
          <w:sz w:val="24"/>
          <w:szCs w:val="24"/>
          <w:lang w:eastAsia="da-DK"/>
        </w:rPr>
        <w:t>Ikke alle pakningsstørrelser er nødvendigvis markedsf</w:t>
      </w:r>
      <w:r>
        <w:rPr>
          <w:color w:val="000000"/>
          <w:sz w:val="24"/>
          <w:szCs w:val="24"/>
          <w:lang w:eastAsia="da-DK"/>
        </w:rPr>
        <w:t>ø</w:t>
      </w:r>
      <w:r w:rsidRPr="001C17A4">
        <w:rPr>
          <w:color w:val="000000"/>
          <w:sz w:val="24"/>
          <w:szCs w:val="24"/>
          <w:lang w:eastAsia="da-DK"/>
        </w:rPr>
        <w:t>rt.</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435CE">
        <w:rPr>
          <w:b/>
          <w:sz w:val="24"/>
          <w:szCs w:val="24"/>
        </w:rPr>
        <w:t>bortskaffelse</w:t>
      </w:r>
      <w:r w:rsidRPr="00C84483">
        <w:rPr>
          <w:b/>
          <w:sz w:val="24"/>
          <w:szCs w:val="24"/>
        </w:rPr>
        <w:t xml:space="preserve"> og anden håndtering</w:t>
      </w:r>
    </w:p>
    <w:p w:rsidR="000D2B2C" w:rsidRDefault="00EF5645" w:rsidP="00EF5645">
      <w:pPr>
        <w:tabs>
          <w:tab w:val="left" w:pos="851"/>
        </w:tabs>
        <w:autoSpaceDE w:val="0"/>
        <w:autoSpaceDN w:val="0"/>
        <w:adjustRightInd w:val="0"/>
        <w:ind w:left="851"/>
        <w:rPr>
          <w:sz w:val="24"/>
          <w:szCs w:val="24"/>
          <w:lang w:eastAsia="da-DK"/>
        </w:rPr>
      </w:pPr>
      <w:r>
        <w:rPr>
          <w:sz w:val="24"/>
          <w:szCs w:val="24"/>
          <w:lang w:eastAsia="da-DK"/>
        </w:rPr>
        <w:t>Dette lægemiddel</w:t>
      </w:r>
      <w:r w:rsidRPr="005F3E4D">
        <w:rPr>
          <w:sz w:val="24"/>
          <w:szCs w:val="24"/>
          <w:lang w:eastAsia="da-DK"/>
        </w:rPr>
        <w:t xml:space="preserve"> er indiceret til enkeltdosisbrug</w:t>
      </w:r>
      <w:r>
        <w:rPr>
          <w:sz w:val="24"/>
          <w:szCs w:val="24"/>
          <w:lang w:eastAsia="da-DK"/>
        </w:rPr>
        <w:t xml:space="preserve">. </w:t>
      </w:r>
    </w:p>
    <w:p w:rsidR="00EF5645" w:rsidRDefault="00EF5645" w:rsidP="00EF5645">
      <w:pPr>
        <w:tabs>
          <w:tab w:val="left" w:pos="851"/>
        </w:tabs>
        <w:autoSpaceDE w:val="0"/>
        <w:autoSpaceDN w:val="0"/>
        <w:adjustRightInd w:val="0"/>
        <w:ind w:left="851"/>
        <w:rPr>
          <w:sz w:val="24"/>
          <w:szCs w:val="24"/>
          <w:lang w:eastAsia="da-DK"/>
        </w:rPr>
      </w:pPr>
      <w:r>
        <w:rPr>
          <w:sz w:val="24"/>
          <w:szCs w:val="24"/>
          <w:lang w:eastAsia="da-DK"/>
        </w:rPr>
        <w:t>I</w:t>
      </w:r>
      <w:r w:rsidRPr="005F3E4D">
        <w:rPr>
          <w:sz w:val="24"/>
          <w:szCs w:val="24"/>
          <w:lang w:eastAsia="da-DK"/>
        </w:rPr>
        <w:t>kke a</w:t>
      </w:r>
      <w:r>
        <w:rPr>
          <w:sz w:val="24"/>
          <w:szCs w:val="24"/>
          <w:lang w:eastAsia="da-DK"/>
        </w:rPr>
        <w:t>nvendt opløsning skal kasseres.</w:t>
      </w:r>
    </w:p>
    <w:p w:rsidR="00EF5645" w:rsidRPr="005F3E4D" w:rsidRDefault="00EF5645" w:rsidP="00EF5645">
      <w:pPr>
        <w:tabs>
          <w:tab w:val="left" w:pos="851"/>
        </w:tabs>
        <w:autoSpaceDE w:val="0"/>
        <w:autoSpaceDN w:val="0"/>
        <w:adjustRightInd w:val="0"/>
        <w:ind w:left="851"/>
        <w:rPr>
          <w:sz w:val="24"/>
          <w:szCs w:val="24"/>
          <w:lang w:eastAsia="da-DK"/>
        </w:rPr>
      </w:pPr>
      <w:r w:rsidRPr="005F3E4D">
        <w:rPr>
          <w:sz w:val="24"/>
          <w:szCs w:val="24"/>
          <w:lang w:eastAsia="da-DK"/>
        </w:rPr>
        <w:lastRenderedPageBreak/>
        <w:t>Inden administration skal opløsningen efterses for at sikre, at den er klar og farveløs</w:t>
      </w:r>
      <w:r w:rsidRPr="00482796">
        <w:rPr>
          <w:sz w:val="24"/>
          <w:szCs w:val="24"/>
        </w:rPr>
        <w:t xml:space="preserve"> </w:t>
      </w:r>
      <w:r w:rsidRPr="005D73CA">
        <w:rPr>
          <w:sz w:val="24"/>
          <w:szCs w:val="24"/>
        </w:rPr>
        <w:t>til svagt gul</w:t>
      </w:r>
      <w:r w:rsidRPr="005F3E4D">
        <w:rPr>
          <w:sz w:val="24"/>
          <w:szCs w:val="24"/>
          <w:lang w:eastAsia="da-DK"/>
        </w:rPr>
        <w:t>. Den må ikke anvendes, hvis der ses partikler.</w:t>
      </w:r>
    </w:p>
    <w:p w:rsidR="005F0AAF" w:rsidRPr="005F3E4D" w:rsidRDefault="005F0AAF" w:rsidP="005F0AAF">
      <w:pPr>
        <w:tabs>
          <w:tab w:val="left" w:pos="426"/>
          <w:tab w:val="left" w:pos="851"/>
        </w:tabs>
        <w:autoSpaceDE w:val="0"/>
        <w:autoSpaceDN w:val="0"/>
        <w:adjustRightInd w:val="0"/>
        <w:ind w:left="851"/>
        <w:rPr>
          <w:sz w:val="24"/>
          <w:szCs w:val="24"/>
          <w:lang w:eastAsia="da-DK"/>
        </w:rPr>
      </w:pPr>
    </w:p>
    <w:p w:rsidR="005F0AAF" w:rsidRDefault="005F0AAF" w:rsidP="005F0AAF">
      <w:pPr>
        <w:tabs>
          <w:tab w:val="left" w:pos="426"/>
          <w:tab w:val="left" w:pos="851"/>
        </w:tabs>
        <w:autoSpaceDE w:val="0"/>
        <w:autoSpaceDN w:val="0"/>
        <w:adjustRightInd w:val="0"/>
        <w:ind w:left="851"/>
        <w:rPr>
          <w:sz w:val="24"/>
          <w:szCs w:val="24"/>
        </w:rPr>
      </w:pPr>
      <w:r w:rsidRPr="005F3E4D">
        <w:rPr>
          <w:sz w:val="24"/>
          <w:szCs w:val="24"/>
          <w:lang w:eastAsia="da-DK"/>
        </w:rPr>
        <w:t>Ikke anvendt lægemiddel samt affald heraf skal bortskaffes i henhold til lokale retningslinjer.</w:t>
      </w:r>
    </w:p>
    <w:p w:rsidR="005F0AAF" w:rsidRPr="00C84483" w:rsidRDefault="005F0AAF" w:rsidP="005F0AAF">
      <w:pPr>
        <w:tabs>
          <w:tab w:val="left" w:pos="426"/>
          <w:tab w:val="left" w:pos="851"/>
        </w:tabs>
        <w:autoSpaceDE w:val="0"/>
        <w:autoSpaceDN w:val="0"/>
        <w:adjustRightInd w:val="0"/>
        <w:ind w:left="851"/>
        <w:rPr>
          <w:sz w:val="24"/>
          <w:szCs w:val="24"/>
          <w:lang w:eastAsia="da-DK"/>
        </w:rPr>
      </w:pPr>
    </w:p>
    <w:p w:rsidR="005F0AAF" w:rsidRPr="00C84483" w:rsidRDefault="005F0AAF" w:rsidP="005F0AA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F0AAF" w:rsidRPr="00166849" w:rsidRDefault="005F0AAF" w:rsidP="005F0AAF">
      <w:pPr>
        <w:tabs>
          <w:tab w:val="left" w:pos="426"/>
          <w:tab w:val="left" w:pos="851"/>
        </w:tabs>
        <w:autoSpaceDE w:val="0"/>
        <w:autoSpaceDN w:val="0"/>
        <w:adjustRightInd w:val="0"/>
        <w:ind w:left="851"/>
        <w:rPr>
          <w:sz w:val="24"/>
          <w:szCs w:val="24"/>
          <w:lang w:eastAsia="da-DK"/>
        </w:rPr>
      </w:pPr>
      <w:r w:rsidRPr="00166849">
        <w:rPr>
          <w:sz w:val="24"/>
          <w:szCs w:val="24"/>
          <w:lang w:eastAsia="da-DK"/>
        </w:rPr>
        <w:t>B. Braun Melsungen AG</w:t>
      </w:r>
    </w:p>
    <w:p w:rsidR="005F0AAF" w:rsidRPr="00166849" w:rsidRDefault="005F0AAF" w:rsidP="005F0AAF">
      <w:pPr>
        <w:tabs>
          <w:tab w:val="left" w:pos="426"/>
          <w:tab w:val="left" w:pos="851"/>
        </w:tabs>
        <w:autoSpaceDE w:val="0"/>
        <w:autoSpaceDN w:val="0"/>
        <w:adjustRightInd w:val="0"/>
        <w:ind w:left="851"/>
        <w:rPr>
          <w:sz w:val="24"/>
          <w:szCs w:val="24"/>
          <w:lang w:eastAsia="da-DK"/>
        </w:rPr>
      </w:pPr>
      <w:r w:rsidRPr="00166849">
        <w:rPr>
          <w:sz w:val="24"/>
          <w:szCs w:val="24"/>
          <w:lang w:eastAsia="da-DK"/>
        </w:rPr>
        <w:t>Carl-Braun-</w:t>
      </w:r>
      <w:proofErr w:type="spellStart"/>
      <w:r w:rsidRPr="00166849">
        <w:rPr>
          <w:sz w:val="24"/>
          <w:szCs w:val="24"/>
          <w:lang w:eastAsia="da-DK"/>
        </w:rPr>
        <w:t>Straße</w:t>
      </w:r>
      <w:proofErr w:type="spellEnd"/>
      <w:r w:rsidRPr="00166849">
        <w:rPr>
          <w:sz w:val="24"/>
          <w:szCs w:val="24"/>
          <w:lang w:eastAsia="da-DK"/>
        </w:rPr>
        <w:t xml:space="preserve"> 1</w:t>
      </w:r>
    </w:p>
    <w:p w:rsidR="005F0AAF" w:rsidRPr="00166849" w:rsidRDefault="005F0AAF" w:rsidP="005F0AAF">
      <w:pPr>
        <w:tabs>
          <w:tab w:val="left" w:pos="426"/>
          <w:tab w:val="left" w:pos="851"/>
        </w:tabs>
        <w:autoSpaceDE w:val="0"/>
        <w:autoSpaceDN w:val="0"/>
        <w:adjustRightInd w:val="0"/>
        <w:ind w:left="851"/>
        <w:rPr>
          <w:sz w:val="24"/>
          <w:szCs w:val="24"/>
          <w:lang w:eastAsia="da-DK"/>
        </w:rPr>
      </w:pPr>
      <w:r w:rsidRPr="00166849">
        <w:rPr>
          <w:sz w:val="24"/>
          <w:szCs w:val="24"/>
          <w:lang w:eastAsia="da-DK"/>
        </w:rPr>
        <w:t>34212 Melsungen</w:t>
      </w:r>
    </w:p>
    <w:p w:rsidR="005F0AAF" w:rsidRPr="00166849" w:rsidRDefault="005F0AAF" w:rsidP="005F0AAF">
      <w:pPr>
        <w:tabs>
          <w:tab w:val="left" w:pos="426"/>
          <w:tab w:val="left" w:pos="851"/>
        </w:tabs>
        <w:autoSpaceDE w:val="0"/>
        <w:autoSpaceDN w:val="0"/>
        <w:adjustRightInd w:val="0"/>
        <w:ind w:left="851"/>
        <w:rPr>
          <w:sz w:val="24"/>
          <w:szCs w:val="24"/>
          <w:lang w:eastAsia="da-DK"/>
        </w:rPr>
      </w:pPr>
      <w:r w:rsidRPr="00166849">
        <w:rPr>
          <w:sz w:val="24"/>
          <w:szCs w:val="24"/>
          <w:lang w:eastAsia="da-DK"/>
        </w:rPr>
        <w:t>Tyskland</w:t>
      </w:r>
    </w:p>
    <w:p w:rsidR="005F0AAF" w:rsidRPr="00166849" w:rsidRDefault="005F0AAF" w:rsidP="005F0AAF">
      <w:pPr>
        <w:tabs>
          <w:tab w:val="left" w:pos="426"/>
          <w:tab w:val="left" w:pos="851"/>
        </w:tabs>
        <w:autoSpaceDE w:val="0"/>
        <w:autoSpaceDN w:val="0"/>
        <w:adjustRightInd w:val="0"/>
        <w:ind w:left="851"/>
        <w:rPr>
          <w:sz w:val="24"/>
          <w:szCs w:val="24"/>
          <w:lang w:eastAsia="da-DK"/>
        </w:rPr>
      </w:pPr>
    </w:p>
    <w:p w:rsidR="005F0AAF" w:rsidRPr="00166849" w:rsidRDefault="005F0AAF" w:rsidP="005F0AAF">
      <w:pPr>
        <w:tabs>
          <w:tab w:val="left" w:pos="851"/>
          <w:tab w:val="left" w:pos="2835"/>
          <w:tab w:val="left" w:pos="5103"/>
        </w:tabs>
        <w:ind w:left="851"/>
        <w:rPr>
          <w:b/>
          <w:sz w:val="24"/>
          <w:szCs w:val="24"/>
          <w:lang w:eastAsia="da-DK"/>
        </w:rPr>
      </w:pPr>
      <w:r w:rsidRPr="00166849">
        <w:rPr>
          <w:b/>
          <w:sz w:val="24"/>
          <w:szCs w:val="24"/>
          <w:lang w:eastAsia="da-DK"/>
        </w:rPr>
        <w:t>Repræsentant</w:t>
      </w:r>
    </w:p>
    <w:p w:rsidR="005F0AAF" w:rsidRPr="00976B3C" w:rsidRDefault="005F0AAF" w:rsidP="005F0AAF">
      <w:pPr>
        <w:tabs>
          <w:tab w:val="left" w:pos="851"/>
          <w:tab w:val="left" w:pos="2835"/>
          <w:tab w:val="left" w:pos="5103"/>
        </w:tabs>
        <w:ind w:left="851"/>
        <w:rPr>
          <w:sz w:val="24"/>
          <w:szCs w:val="24"/>
          <w:lang w:eastAsia="da-DK"/>
        </w:rPr>
      </w:pPr>
      <w:r w:rsidRPr="00976B3C">
        <w:rPr>
          <w:sz w:val="24"/>
          <w:szCs w:val="24"/>
          <w:lang w:eastAsia="da-DK"/>
        </w:rPr>
        <w:t>B. Braun Medical A/S</w:t>
      </w:r>
    </w:p>
    <w:p w:rsidR="005F0AAF" w:rsidRPr="00976B3C" w:rsidRDefault="005F0AAF" w:rsidP="005F0AAF">
      <w:pPr>
        <w:tabs>
          <w:tab w:val="left" w:pos="851"/>
        </w:tabs>
        <w:ind w:left="851"/>
        <w:rPr>
          <w:color w:val="000000"/>
          <w:sz w:val="24"/>
          <w:szCs w:val="24"/>
          <w:lang w:eastAsia="da-DK"/>
        </w:rPr>
      </w:pPr>
      <w:r w:rsidRPr="00976B3C">
        <w:rPr>
          <w:color w:val="000000"/>
          <w:sz w:val="24"/>
          <w:szCs w:val="24"/>
          <w:lang w:eastAsia="da-DK"/>
        </w:rPr>
        <w:t>Dirch Passers Allé 27, 3. sal</w:t>
      </w:r>
    </w:p>
    <w:p w:rsidR="005F0AAF" w:rsidRPr="00205CE1" w:rsidRDefault="005F0AAF" w:rsidP="005F0AAF">
      <w:pPr>
        <w:tabs>
          <w:tab w:val="left" w:pos="851"/>
        </w:tabs>
        <w:ind w:left="851"/>
        <w:rPr>
          <w:sz w:val="24"/>
          <w:szCs w:val="24"/>
          <w:lang w:eastAsia="da-DK"/>
        </w:rPr>
      </w:pPr>
      <w:r w:rsidRPr="00205CE1">
        <w:rPr>
          <w:sz w:val="24"/>
          <w:szCs w:val="24"/>
          <w:lang w:eastAsia="da-DK"/>
        </w:rPr>
        <w:t>2000 Frederiksberg</w:t>
      </w:r>
    </w:p>
    <w:p w:rsidR="005F0AAF" w:rsidRPr="00205CE1" w:rsidRDefault="005F0AAF" w:rsidP="005F0AAF">
      <w:pPr>
        <w:tabs>
          <w:tab w:val="left" w:pos="851"/>
        </w:tabs>
        <w:ind w:left="851"/>
        <w:rPr>
          <w:sz w:val="24"/>
          <w:szCs w:val="24"/>
        </w:rPr>
      </w:pPr>
    </w:p>
    <w:p w:rsidR="005F0AAF" w:rsidRPr="00C84483" w:rsidRDefault="005F0AAF" w:rsidP="007311C1">
      <w:pPr>
        <w:keepNext/>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435CE">
        <w:rPr>
          <w:b/>
          <w:sz w:val="24"/>
          <w:szCs w:val="24"/>
        </w:rPr>
        <w:t>-</w:t>
      </w:r>
      <w:r w:rsidRPr="00C84483">
        <w:rPr>
          <w:b/>
          <w:sz w:val="24"/>
          <w:szCs w:val="24"/>
        </w:rPr>
        <w:t>NUMRE)</w:t>
      </w:r>
    </w:p>
    <w:p w:rsidR="005F0AAF" w:rsidRPr="00C84483" w:rsidRDefault="005F0AAF" w:rsidP="005F0AAF">
      <w:pPr>
        <w:tabs>
          <w:tab w:val="left" w:pos="851"/>
        </w:tabs>
        <w:ind w:left="851"/>
        <w:rPr>
          <w:sz w:val="24"/>
          <w:szCs w:val="24"/>
        </w:rPr>
      </w:pPr>
      <w:r>
        <w:rPr>
          <w:sz w:val="24"/>
          <w:szCs w:val="24"/>
        </w:rPr>
        <w:t>57165</w:t>
      </w:r>
    </w:p>
    <w:p w:rsidR="005F0AAF" w:rsidRPr="00C84483" w:rsidRDefault="005F0AAF" w:rsidP="005F0AAF">
      <w:pPr>
        <w:tabs>
          <w:tab w:val="left" w:pos="851"/>
        </w:tabs>
        <w:ind w:left="851"/>
        <w:jc w:val="both"/>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F0AAF" w:rsidRPr="00C84483" w:rsidRDefault="005F0AAF" w:rsidP="005F0AAF">
      <w:pPr>
        <w:tabs>
          <w:tab w:val="left" w:pos="851"/>
        </w:tabs>
        <w:ind w:left="851"/>
        <w:rPr>
          <w:sz w:val="24"/>
          <w:szCs w:val="24"/>
        </w:rPr>
      </w:pPr>
      <w:r>
        <w:rPr>
          <w:sz w:val="24"/>
          <w:szCs w:val="24"/>
        </w:rPr>
        <w:t>7. juni 2017</w:t>
      </w:r>
    </w:p>
    <w:p w:rsidR="005F0AAF" w:rsidRPr="00C84483" w:rsidRDefault="005F0AAF" w:rsidP="005F0AAF">
      <w:pPr>
        <w:tabs>
          <w:tab w:val="left" w:pos="851"/>
        </w:tabs>
        <w:ind w:left="851"/>
        <w:rPr>
          <w:sz w:val="24"/>
          <w:szCs w:val="24"/>
        </w:rPr>
      </w:pPr>
    </w:p>
    <w:p w:rsidR="005F0AAF" w:rsidRPr="00C84483" w:rsidRDefault="005F0AAF" w:rsidP="005F0AA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F0AAF" w:rsidRPr="00C84483" w:rsidRDefault="000E32D2" w:rsidP="005F0AAF">
      <w:pPr>
        <w:tabs>
          <w:tab w:val="left" w:pos="851"/>
        </w:tabs>
        <w:ind w:left="851"/>
        <w:rPr>
          <w:sz w:val="24"/>
          <w:szCs w:val="24"/>
        </w:rPr>
      </w:pPr>
      <w:r>
        <w:rPr>
          <w:sz w:val="24"/>
          <w:szCs w:val="24"/>
        </w:rPr>
        <w:t>11</w:t>
      </w:r>
      <w:r w:rsidR="00FF6293">
        <w:rPr>
          <w:sz w:val="24"/>
          <w:szCs w:val="24"/>
        </w:rPr>
        <w:t xml:space="preserve">. </w:t>
      </w:r>
      <w:r>
        <w:rPr>
          <w:sz w:val="24"/>
          <w:szCs w:val="24"/>
        </w:rPr>
        <w:t>marts</w:t>
      </w:r>
      <w:r w:rsidR="00FF6293">
        <w:rPr>
          <w:sz w:val="24"/>
          <w:szCs w:val="24"/>
        </w:rPr>
        <w:t xml:space="preserve"> 202</w:t>
      </w:r>
      <w:r>
        <w:rPr>
          <w:sz w:val="24"/>
          <w:szCs w:val="24"/>
        </w:rPr>
        <w:t>5</w:t>
      </w:r>
      <w:bookmarkStart w:id="6" w:name="_GoBack"/>
      <w:bookmarkEnd w:id="6"/>
    </w:p>
    <w:p w:rsidR="005F0AAF" w:rsidRPr="00B3771F" w:rsidRDefault="005F0AAF" w:rsidP="005F0AAF"/>
    <w:p w:rsidR="005F0AAF" w:rsidRPr="00716EE7" w:rsidRDefault="005F0AAF" w:rsidP="005F0AAF"/>
    <w:p w:rsidR="009260DE" w:rsidRPr="005F0AAF" w:rsidRDefault="009260DE" w:rsidP="005F0AAF"/>
    <w:sectPr w:rsidR="009260DE" w:rsidRPr="005F0AA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E69" w:rsidRDefault="002A4E69">
      <w:r>
        <w:separator/>
      </w:r>
    </w:p>
  </w:endnote>
  <w:endnote w:type="continuationSeparator" w:id="0">
    <w:p w:rsidR="002A4E69" w:rsidRDefault="002A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E69" w:rsidRDefault="002A4E69">
    <w:pPr>
      <w:pStyle w:val="Sidefod"/>
      <w:pBdr>
        <w:bottom w:val="single" w:sz="6" w:space="1" w:color="auto"/>
      </w:pBdr>
    </w:pPr>
  </w:p>
  <w:p w:rsidR="002A4E69" w:rsidRDefault="002A4E69" w:rsidP="00C42586">
    <w:pPr>
      <w:pStyle w:val="Sidefod"/>
      <w:tabs>
        <w:tab w:val="clear" w:pos="4819"/>
        <w:tab w:val="left" w:pos="8505"/>
      </w:tabs>
      <w:rPr>
        <w:i/>
        <w:sz w:val="18"/>
        <w:szCs w:val="18"/>
      </w:rPr>
    </w:pPr>
  </w:p>
  <w:p w:rsidR="002A4E69" w:rsidRPr="00B373D7" w:rsidRDefault="002A4E6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B. Braun, infusionsvæske, opløsning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E69" w:rsidRDefault="002A4E69">
      <w:r>
        <w:separator/>
      </w:r>
    </w:p>
  </w:footnote>
  <w:footnote w:type="continuationSeparator" w:id="0">
    <w:p w:rsidR="002A4E69" w:rsidRDefault="002A4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A005A7"/>
    <w:multiLevelType w:val="hybridMultilevel"/>
    <w:tmpl w:val="1DD4B18C"/>
    <w:lvl w:ilvl="0" w:tplc="FFFFFFFF">
      <w:start w:val="1"/>
      <w:numFmt w:val="bullet"/>
      <w:lvlText w:val="­"/>
      <w:lvlJc w:val="left"/>
      <w:pPr>
        <w:ind w:left="1146" w:hanging="360"/>
      </w:pPr>
      <w:rPr>
        <w:rFonts w:ascii="Courier New" w:hAnsi="Courier New" w:hint="default"/>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68A02B3"/>
    <w:multiLevelType w:val="hybridMultilevel"/>
    <w:tmpl w:val="BE96FB08"/>
    <w:lvl w:ilvl="0" w:tplc="319ECF0E">
      <w:numFmt w:val="bullet"/>
      <w:lvlText w:val="-"/>
      <w:lvlJc w:val="left"/>
      <w:pPr>
        <w:ind w:left="3555" w:hanging="360"/>
      </w:pPr>
      <w:rPr>
        <w:rFonts w:ascii="Arial" w:eastAsia="Times New Roman" w:hAnsi="Arial" w:hint="default"/>
      </w:rPr>
    </w:lvl>
    <w:lvl w:ilvl="1" w:tplc="FFFFFFFF" w:tentative="1">
      <w:start w:val="1"/>
      <w:numFmt w:val="bullet"/>
      <w:lvlText w:val="o"/>
      <w:lvlJc w:val="left"/>
      <w:pPr>
        <w:ind w:left="4275" w:hanging="360"/>
      </w:pPr>
      <w:rPr>
        <w:rFonts w:ascii="Courier New" w:hAnsi="Courier New" w:hint="default"/>
      </w:rPr>
    </w:lvl>
    <w:lvl w:ilvl="2" w:tplc="FFFFFFFF" w:tentative="1">
      <w:start w:val="1"/>
      <w:numFmt w:val="bullet"/>
      <w:lvlText w:val=""/>
      <w:lvlJc w:val="left"/>
      <w:pPr>
        <w:ind w:left="4995" w:hanging="360"/>
      </w:pPr>
      <w:rPr>
        <w:rFonts w:ascii="Wingdings" w:hAnsi="Wingdings" w:hint="default"/>
      </w:rPr>
    </w:lvl>
    <w:lvl w:ilvl="3" w:tplc="FFFFFFFF" w:tentative="1">
      <w:start w:val="1"/>
      <w:numFmt w:val="bullet"/>
      <w:lvlText w:val=""/>
      <w:lvlJc w:val="left"/>
      <w:pPr>
        <w:ind w:left="5715" w:hanging="360"/>
      </w:pPr>
      <w:rPr>
        <w:rFonts w:ascii="Symbol" w:hAnsi="Symbol" w:hint="default"/>
      </w:rPr>
    </w:lvl>
    <w:lvl w:ilvl="4" w:tplc="FFFFFFFF" w:tentative="1">
      <w:start w:val="1"/>
      <w:numFmt w:val="bullet"/>
      <w:lvlText w:val="o"/>
      <w:lvlJc w:val="left"/>
      <w:pPr>
        <w:ind w:left="6435" w:hanging="360"/>
      </w:pPr>
      <w:rPr>
        <w:rFonts w:ascii="Courier New" w:hAnsi="Courier New" w:hint="default"/>
      </w:rPr>
    </w:lvl>
    <w:lvl w:ilvl="5" w:tplc="FFFFFFFF" w:tentative="1">
      <w:start w:val="1"/>
      <w:numFmt w:val="bullet"/>
      <w:lvlText w:val=""/>
      <w:lvlJc w:val="left"/>
      <w:pPr>
        <w:ind w:left="7155" w:hanging="360"/>
      </w:pPr>
      <w:rPr>
        <w:rFonts w:ascii="Wingdings" w:hAnsi="Wingdings" w:hint="default"/>
      </w:rPr>
    </w:lvl>
    <w:lvl w:ilvl="6" w:tplc="FFFFFFFF" w:tentative="1">
      <w:start w:val="1"/>
      <w:numFmt w:val="bullet"/>
      <w:lvlText w:val=""/>
      <w:lvlJc w:val="left"/>
      <w:pPr>
        <w:ind w:left="7875" w:hanging="360"/>
      </w:pPr>
      <w:rPr>
        <w:rFonts w:ascii="Symbol" w:hAnsi="Symbol" w:hint="default"/>
      </w:rPr>
    </w:lvl>
    <w:lvl w:ilvl="7" w:tplc="FFFFFFFF" w:tentative="1">
      <w:start w:val="1"/>
      <w:numFmt w:val="bullet"/>
      <w:lvlText w:val="o"/>
      <w:lvlJc w:val="left"/>
      <w:pPr>
        <w:ind w:left="8595" w:hanging="360"/>
      </w:pPr>
      <w:rPr>
        <w:rFonts w:ascii="Courier New" w:hAnsi="Courier New" w:hint="default"/>
      </w:rPr>
    </w:lvl>
    <w:lvl w:ilvl="8" w:tplc="FFFFFFFF" w:tentative="1">
      <w:start w:val="1"/>
      <w:numFmt w:val="bullet"/>
      <w:lvlText w:val=""/>
      <w:lvlJc w:val="left"/>
      <w:pPr>
        <w:ind w:left="931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AB2A57"/>
    <w:multiLevelType w:val="hybridMultilevel"/>
    <w:tmpl w:val="AD0C3F76"/>
    <w:lvl w:ilvl="0" w:tplc="FFD89D20">
      <w:start w:val="1"/>
      <w:numFmt w:val="bullet"/>
      <w:lvlText w:val="­"/>
      <w:lvlJc w:val="left"/>
      <w:pPr>
        <w:ind w:left="1146" w:hanging="360"/>
      </w:pPr>
      <w:rPr>
        <w:rFonts w:ascii="Courier New" w:hAnsi="Courier New" w:hint="default"/>
      </w:rPr>
    </w:lvl>
    <w:lvl w:ilvl="1" w:tplc="FFFFFFFF" w:tentative="1">
      <w:start w:val="1"/>
      <w:numFmt w:val="bullet"/>
      <w:lvlText w:val="o"/>
      <w:lvlJc w:val="left"/>
      <w:pPr>
        <w:ind w:left="1866" w:hanging="360"/>
      </w:pPr>
      <w:rPr>
        <w:rFonts w:ascii="Courier New" w:hAnsi="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 w15:restartNumberingAfterBreak="0">
    <w:nsid w:val="4D6841FA"/>
    <w:multiLevelType w:val="hybridMultilevel"/>
    <w:tmpl w:val="50B83378"/>
    <w:lvl w:ilvl="0" w:tplc="319ECF0E">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89572EE"/>
    <w:multiLevelType w:val="hybridMultilevel"/>
    <w:tmpl w:val="1974F724"/>
    <w:lvl w:ilvl="0" w:tplc="319ECF0E">
      <w:numFmt w:val="bullet"/>
      <w:lvlText w:val="-"/>
      <w:lvlJc w:val="left"/>
      <w:pPr>
        <w:ind w:left="1068" w:hanging="360"/>
      </w:pPr>
      <w:rPr>
        <w:rFonts w:ascii="Arial" w:eastAsia="Times New Roman" w:hAnsi="Arial" w:hint="default"/>
      </w:rPr>
    </w:lvl>
    <w:lvl w:ilvl="1" w:tplc="FFFFFFFF" w:tentative="1">
      <w:start w:val="1"/>
      <w:numFmt w:val="bullet"/>
      <w:lvlText w:val="o"/>
      <w:lvlJc w:val="left"/>
      <w:pPr>
        <w:ind w:left="1788" w:hanging="360"/>
      </w:pPr>
      <w:rPr>
        <w:rFonts w:ascii="Courier New" w:hAnsi="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6"/>
  </w:num>
  <w:num w:numId="9">
    <w:abstractNumId w:val="4"/>
  </w:num>
  <w:num w:numId="10">
    <w:abstractNumId w:val="7"/>
  </w:num>
  <w:num w:numId="11">
    <w:abstractNumId w:val="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AF"/>
    <w:rsid w:val="000259B9"/>
    <w:rsid w:val="00041491"/>
    <w:rsid w:val="00050D16"/>
    <w:rsid w:val="00067435"/>
    <w:rsid w:val="00074F2A"/>
    <w:rsid w:val="000A1CA8"/>
    <w:rsid w:val="000A466B"/>
    <w:rsid w:val="000B058C"/>
    <w:rsid w:val="000B7C24"/>
    <w:rsid w:val="000D2B2C"/>
    <w:rsid w:val="000E32D2"/>
    <w:rsid w:val="000E4EE6"/>
    <w:rsid w:val="001454E2"/>
    <w:rsid w:val="00147BCA"/>
    <w:rsid w:val="00206CE8"/>
    <w:rsid w:val="0021526C"/>
    <w:rsid w:val="002540A2"/>
    <w:rsid w:val="00283A2B"/>
    <w:rsid w:val="002A4E69"/>
    <w:rsid w:val="002B30AD"/>
    <w:rsid w:val="002C2C01"/>
    <w:rsid w:val="00373410"/>
    <w:rsid w:val="003A29AE"/>
    <w:rsid w:val="003A32D7"/>
    <w:rsid w:val="003B4074"/>
    <w:rsid w:val="003C3AFD"/>
    <w:rsid w:val="003C769A"/>
    <w:rsid w:val="003F1838"/>
    <w:rsid w:val="004126D6"/>
    <w:rsid w:val="00413888"/>
    <w:rsid w:val="00427F29"/>
    <w:rsid w:val="0045746C"/>
    <w:rsid w:val="0049104B"/>
    <w:rsid w:val="004E3B12"/>
    <w:rsid w:val="00512A82"/>
    <w:rsid w:val="00532310"/>
    <w:rsid w:val="00560ECC"/>
    <w:rsid w:val="00565F0F"/>
    <w:rsid w:val="00594A86"/>
    <w:rsid w:val="00596D86"/>
    <w:rsid w:val="005C1DF6"/>
    <w:rsid w:val="005F0AAF"/>
    <w:rsid w:val="00637F5A"/>
    <w:rsid w:val="006435CE"/>
    <w:rsid w:val="006560B1"/>
    <w:rsid w:val="006756DD"/>
    <w:rsid w:val="006B5957"/>
    <w:rsid w:val="006D6B98"/>
    <w:rsid w:val="007311C1"/>
    <w:rsid w:val="00737275"/>
    <w:rsid w:val="00740EEC"/>
    <w:rsid w:val="0078011A"/>
    <w:rsid w:val="00782AF4"/>
    <w:rsid w:val="00790EE7"/>
    <w:rsid w:val="007974E0"/>
    <w:rsid w:val="007B6649"/>
    <w:rsid w:val="0081546F"/>
    <w:rsid w:val="0082576E"/>
    <w:rsid w:val="008862EB"/>
    <w:rsid w:val="008952EF"/>
    <w:rsid w:val="00907F75"/>
    <w:rsid w:val="009139A2"/>
    <w:rsid w:val="009260DE"/>
    <w:rsid w:val="0093258A"/>
    <w:rsid w:val="00976B3C"/>
    <w:rsid w:val="009C7BA3"/>
    <w:rsid w:val="009D1F5A"/>
    <w:rsid w:val="009F4294"/>
    <w:rsid w:val="00AB4C61"/>
    <w:rsid w:val="00AD7772"/>
    <w:rsid w:val="00B003BF"/>
    <w:rsid w:val="00B373D7"/>
    <w:rsid w:val="00BB0602"/>
    <w:rsid w:val="00BE20E3"/>
    <w:rsid w:val="00C36276"/>
    <w:rsid w:val="00C42586"/>
    <w:rsid w:val="00C60CCD"/>
    <w:rsid w:val="00C84483"/>
    <w:rsid w:val="00C95551"/>
    <w:rsid w:val="00CA0FF6"/>
    <w:rsid w:val="00CB20D7"/>
    <w:rsid w:val="00D020B0"/>
    <w:rsid w:val="00D06BDC"/>
    <w:rsid w:val="00D11748"/>
    <w:rsid w:val="00D366CF"/>
    <w:rsid w:val="00E06FB1"/>
    <w:rsid w:val="00E108AA"/>
    <w:rsid w:val="00E31812"/>
    <w:rsid w:val="00E3749A"/>
    <w:rsid w:val="00E7437F"/>
    <w:rsid w:val="00E865B8"/>
    <w:rsid w:val="00E8778F"/>
    <w:rsid w:val="00EC0B9B"/>
    <w:rsid w:val="00ED5E9F"/>
    <w:rsid w:val="00EF5645"/>
    <w:rsid w:val="00EF7E02"/>
    <w:rsid w:val="00F3204C"/>
    <w:rsid w:val="00F66D4F"/>
    <w:rsid w:val="00FB6D01"/>
    <w:rsid w:val="00FF62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E1161"/>
  <w15:chartTrackingRefBased/>
  <w15:docId w15:val="{53FDB12A-3F11-48F0-91D1-67FDBBCC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35C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F0AAF"/>
    <w:pPr>
      <w:spacing w:line="360" w:lineRule="atLeast"/>
      <w:ind w:left="720"/>
      <w:contextualSpacing/>
      <w:jc w:val="both"/>
    </w:pPr>
    <w:rPr>
      <w:rFonts w:ascii="Arial" w:hAnsi="Arial"/>
      <w:sz w:val="22"/>
      <w:lang w:eastAsia="da-DK"/>
    </w:rPr>
  </w:style>
  <w:style w:type="character" w:customStyle="1" w:styleId="hps">
    <w:name w:val="hps"/>
    <w:basedOn w:val="Standardskrifttypeiafsnit"/>
    <w:rsid w:val="00EF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368763">
      <w:bodyDiv w:val="1"/>
      <w:marLeft w:val="0"/>
      <w:marRight w:val="0"/>
      <w:marTop w:val="0"/>
      <w:marBottom w:val="0"/>
      <w:divBdr>
        <w:top w:val="none" w:sz="0" w:space="0" w:color="auto"/>
        <w:left w:val="none" w:sz="0" w:space="0" w:color="auto"/>
        <w:bottom w:val="none" w:sz="0" w:space="0" w:color="auto"/>
        <w:right w:val="none" w:sz="0" w:space="0" w:color="auto"/>
      </w:divBdr>
    </w:div>
    <w:div w:id="602961727">
      <w:bodyDiv w:val="1"/>
      <w:marLeft w:val="0"/>
      <w:marRight w:val="0"/>
      <w:marTop w:val="0"/>
      <w:marBottom w:val="0"/>
      <w:divBdr>
        <w:top w:val="none" w:sz="0" w:space="0" w:color="auto"/>
        <w:left w:val="none" w:sz="0" w:space="0" w:color="auto"/>
        <w:bottom w:val="none" w:sz="0" w:space="0" w:color="auto"/>
        <w:right w:val="none" w:sz="0" w:space="0" w:color="auto"/>
      </w:divBdr>
    </w:div>
    <w:div w:id="738331472">
      <w:bodyDiv w:val="1"/>
      <w:marLeft w:val="0"/>
      <w:marRight w:val="0"/>
      <w:marTop w:val="0"/>
      <w:marBottom w:val="0"/>
      <w:divBdr>
        <w:top w:val="none" w:sz="0" w:space="0" w:color="auto"/>
        <w:left w:val="none" w:sz="0" w:space="0" w:color="auto"/>
        <w:bottom w:val="none" w:sz="0" w:space="0" w:color="auto"/>
        <w:right w:val="none" w:sz="0" w:space="0" w:color="auto"/>
      </w:divBdr>
    </w:div>
    <w:div w:id="788934000">
      <w:bodyDiv w:val="1"/>
      <w:marLeft w:val="0"/>
      <w:marRight w:val="0"/>
      <w:marTop w:val="0"/>
      <w:marBottom w:val="0"/>
      <w:divBdr>
        <w:top w:val="none" w:sz="0" w:space="0" w:color="auto"/>
        <w:left w:val="none" w:sz="0" w:space="0" w:color="auto"/>
        <w:bottom w:val="none" w:sz="0" w:space="0" w:color="auto"/>
        <w:right w:val="none" w:sz="0" w:space="0" w:color="auto"/>
      </w:divBdr>
    </w:div>
    <w:div w:id="1024674315">
      <w:bodyDiv w:val="1"/>
      <w:marLeft w:val="0"/>
      <w:marRight w:val="0"/>
      <w:marTop w:val="0"/>
      <w:marBottom w:val="0"/>
      <w:divBdr>
        <w:top w:val="none" w:sz="0" w:space="0" w:color="auto"/>
        <w:left w:val="none" w:sz="0" w:space="0" w:color="auto"/>
        <w:bottom w:val="none" w:sz="0" w:space="0" w:color="auto"/>
        <w:right w:val="none" w:sz="0" w:space="0" w:color="auto"/>
      </w:divBdr>
    </w:div>
    <w:div w:id="1146775384">
      <w:bodyDiv w:val="1"/>
      <w:marLeft w:val="0"/>
      <w:marRight w:val="0"/>
      <w:marTop w:val="0"/>
      <w:marBottom w:val="0"/>
      <w:divBdr>
        <w:top w:val="none" w:sz="0" w:space="0" w:color="auto"/>
        <w:left w:val="none" w:sz="0" w:space="0" w:color="auto"/>
        <w:bottom w:val="none" w:sz="0" w:space="0" w:color="auto"/>
        <w:right w:val="none" w:sz="0" w:space="0" w:color="auto"/>
      </w:divBdr>
    </w:div>
    <w:div w:id="1154953606">
      <w:bodyDiv w:val="1"/>
      <w:marLeft w:val="0"/>
      <w:marRight w:val="0"/>
      <w:marTop w:val="0"/>
      <w:marBottom w:val="0"/>
      <w:divBdr>
        <w:top w:val="none" w:sz="0" w:space="0" w:color="auto"/>
        <w:left w:val="none" w:sz="0" w:space="0" w:color="auto"/>
        <w:bottom w:val="none" w:sz="0" w:space="0" w:color="auto"/>
        <w:right w:val="none" w:sz="0" w:space="0" w:color="auto"/>
      </w:divBdr>
    </w:div>
    <w:div w:id="1298488952">
      <w:bodyDiv w:val="1"/>
      <w:marLeft w:val="0"/>
      <w:marRight w:val="0"/>
      <w:marTop w:val="0"/>
      <w:marBottom w:val="0"/>
      <w:divBdr>
        <w:top w:val="none" w:sz="0" w:space="0" w:color="auto"/>
        <w:left w:val="none" w:sz="0" w:space="0" w:color="auto"/>
        <w:bottom w:val="none" w:sz="0" w:space="0" w:color="auto"/>
        <w:right w:val="none" w:sz="0" w:space="0" w:color="auto"/>
      </w:divBdr>
    </w:div>
    <w:div w:id="1394348920">
      <w:bodyDiv w:val="1"/>
      <w:marLeft w:val="0"/>
      <w:marRight w:val="0"/>
      <w:marTop w:val="0"/>
      <w:marBottom w:val="0"/>
      <w:divBdr>
        <w:top w:val="none" w:sz="0" w:space="0" w:color="auto"/>
        <w:left w:val="none" w:sz="0" w:space="0" w:color="auto"/>
        <w:bottom w:val="none" w:sz="0" w:space="0" w:color="auto"/>
        <w:right w:val="none" w:sz="0" w:space="0" w:color="auto"/>
      </w:divBdr>
    </w:div>
    <w:div w:id="1635482239">
      <w:bodyDiv w:val="1"/>
      <w:marLeft w:val="0"/>
      <w:marRight w:val="0"/>
      <w:marTop w:val="0"/>
      <w:marBottom w:val="0"/>
      <w:divBdr>
        <w:top w:val="none" w:sz="0" w:space="0" w:color="auto"/>
        <w:left w:val="none" w:sz="0" w:space="0" w:color="auto"/>
        <w:bottom w:val="none" w:sz="0" w:space="0" w:color="auto"/>
        <w:right w:val="none" w:sz="0" w:space="0" w:color="auto"/>
      </w:divBdr>
    </w:div>
    <w:div w:id="1911499733">
      <w:bodyDiv w:val="1"/>
      <w:marLeft w:val="0"/>
      <w:marRight w:val="0"/>
      <w:marTop w:val="0"/>
      <w:marBottom w:val="0"/>
      <w:divBdr>
        <w:top w:val="none" w:sz="0" w:space="0" w:color="auto"/>
        <w:left w:val="none" w:sz="0" w:space="0" w:color="auto"/>
        <w:bottom w:val="none" w:sz="0" w:space="0" w:color="auto"/>
        <w:right w:val="none" w:sz="0" w:space="0" w:color="auto"/>
      </w:divBdr>
    </w:div>
    <w:div w:id="1948390516">
      <w:bodyDiv w:val="1"/>
      <w:marLeft w:val="0"/>
      <w:marRight w:val="0"/>
      <w:marTop w:val="0"/>
      <w:marBottom w:val="0"/>
      <w:divBdr>
        <w:top w:val="none" w:sz="0" w:space="0" w:color="auto"/>
        <w:left w:val="none" w:sz="0" w:space="0" w:color="auto"/>
        <w:bottom w:val="none" w:sz="0" w:space="0" w:color="auto"/>
        <w:right w:val="none" w:sz="0" w:space="0" w:color="auto"/>
      </w:divBdr>
    </w:div>
    <w:div w:id="20885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4904</Words>
  <Characters>33422</Characters>
  <Application>Microsoft Office Word</Application>
  <DocSecurity>0</DocSecurity>
  <Lines>278</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2024112063_x000d_
SPC pkt. 4.9</dc:description>
  <cp:lastModifiedBy>Victoria Alexsandra Ringgaard</cp:lastModifiedBy>
  <cp:revision>3</cp:revision>
  <cp:lastPrinted>2012-08-22T08:53:00Z</cp:lastPrinted>
  <dcterms:created xsi:type="dcterms:W3CDTF">2025-03-11T14:40:00Z</dcterms:created>
  <dcterms:modified xsi:type="dcterms:W3CDTF">2025-03-11T14:43:00Z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