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2C7C" w14:textId="77777777" w:rsidR="009260DE" w:rsidRPr="00D61C9C" w:rsidRDefault="0021526C" w:rsidP="009260DE">
      <w:pPr>
        <w:rPr>
          <w:sz w:val="24"/>
          <w:szCs w:val="24"/>
        </w:rPr>
      </w:pPr>
      <w:r w:rsidRPr="00D61C9C">
        <w:rPr>
          <w:noProof/>
          <w:sz w:val="24"/>
          <w:szCs w:val="24"/>
          <w:lang w:eastAsia="da-DK"/>
        </w:rPr>
        <w:drawing>
          <wp:anchor distT="0" distB="0" distL="114300" distR="114300" simplePos="0" relativeHeight="251658240" behindDoc="0" locked="0" layoutInCell="1" allowOverlap="1" wp14:anchorId="222A0AFF" wp14:editId="41F4932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61C9C">
        <w:rPr>
          <w:sz w:val="24"/>
          <w:szCs w:val="24"/>
        </w:rPr>
        <w:br w:type="textWrapping" w:clear="all"/>
      </w:r>
    </w:p>
    <w:p w14:paraId="015018EB" w14:textId="5D729425" w:rsidR="009260DE" w:rsidRPr="00D61C9C" w:rsidRDefault="009260DE" w:rsidP="009260DE">
      <w:pPr>
        <w:pStyle w:val="Titel"/>
        <w:tabs>
          <w:tab w:val="right" w:pos="9356"/>
        </w:tabs>
        <w:jc w:val="left"/>
        <w:rPr>
          <w:b w:val="0"/>
          <w:szCs w:val="24"/>
          <w:lang w:eastAsia="en-US"/>
        </w:rPr>
      </w:pPr>
      <w:r w:rsidRPr="00D61C9C">
        <w:rPr>
          <w:b w:val="0"/>
          <w:szCs w:val="24"/>
          <w:lang w:eastAsia="en-US"/>
        </w:rPr>
        <w:tab/>
      </w:r>
      <w:r w:rsidR="00173561">
        <w:rPr>
          <w:szCs w:val="24"/>
        </w:rPr>
        <w:t>10. marts 2026</w:t>
      </w:r>
    </w:p>
    <w:p w14:paraId="78D894C2" w14:textId="77777777" w:rsidR="009260DE" w:rsidRPr="00D61C9C" w:rsidRDefault="009260DE" w:rsidP="009260DE">
      <w:pPr>
        <w:pStyle w:val="Titel"/>
        <w:tabs>
          <w:tab w:val="left" w:pos="8222"/>
        </w:tabs>
        <w:jc w:val="left"/>
        <w:rPr>
          <w:b w:val="0"/>
          <w:szCs w:val="24"/>
        </w:rPr>
      </w:pPr>
    </w:p>
    <w:p w14:paraId="27CFC8D2" w14:textId="77777777" w:rsidR="009260DE" w:rsidRPr="00D61C9C" w:rsidRDefault="009260DE" w:rsidP="009260DE">
      <w:pPr>
        <w:pStyle w:val="Titel"/>
        <w:jc w:val="left"/>
        <w:rPr>
          <w:b w:val="0"/>
          <w:szCs w:val="24"/>
        </w:rPr>
      </w:pPr>
    </w:p>
    <w:p w14:paraId="6957E658" w14:textId="77777777" w:rsidR="009260DE" w:rsidRPr="00D61C9C" w:rsidRDefault="009260DE" w:rsidP="009260DE">
      <w:pPr>
        <w:pStyle w:val="Titel"/>
        <w:jc w:val="left"/>
        <w:rPr>
          <w:b w:val="0"/>
          <w:szCs w:val="24"/>
        </w:rPr>
      </w:pPr>
    </w:p>
    <w:p w14:paraId="6C2CB7CD" w14:textId="77777777" w:rsidR="009260DE" w:rsidRPr="00D61C9C" w:rsidRDefault="009260DE" w:rsidP="009260DE">
      <w:pPr>
        <w:jc w:val="center"/>
        <w:rPr>
          <w:b/>
          <w:sz w:val="24"/>
          <w:szCs w:val="24"/>
        </w:rPr>
      </w:pPr>
      <w:r w:rsidRPr="00D61C9C">
        <w:rPr>
          <w:b/>
          <w:sz w:val="24"/>
          <w:szCs w:val="24"/>
        </w:rPr>
        <w:t>PRODUKTRESUMÉ</w:t>
      </w:r>
    </w:p>
    <w:p w14:paraId="0A941AA7" w14:textId="77777777" w:rsidR="009260DE" w:rsidRPr="00D61C9C" w:rsidRDefault="009260DE" w:rsidP="009260DE">
      <w:pPr>
        <w:jc w:val="center"/>
        <w:rPr>
          <w:b/>
          <w:sz w:val="24"/>
          <w:szCs w:val="24"/>
        </w:rPr>
      </w:pPr>
    </w:p>
    <w:p w14:paraId="6ECF30C9" w14:textId="77777777" w:rsidR="009260DE" w:rsidRPr="00D61C9C" w:rsidRDefault="009260DE" w:rsidP="009260DE">
      <w:pPr>
        <w:jc w:val="center"/>
        <w:rPr>
          <w:b/>
          <w:sz w:val="24"/>
          <w:szCs w:val="24"/>
        </w:rPr>
      </w:pPr>
      <w:r w:rsidRPr="00D61C9C">
        <w:rPr>
          <w:b/>
          <w:sz w:val="24"/>
          <w:szCs w:val="24"/>
        </w:rPr>
        <w:t>for</w:t>
      </w:r>
    </w:p>
    <w:p w14:paraId="1D8F9119" w14:textId="77777777" w:rsidR="000B058C" w:rsidRPr="00D61C9C" w:rsidRDefault="000B058C" w:rsidP="009260DE">
      <w:pPr>
        <w:jc w:val="center"/>
        <w:rPr>
          <w:b/>
          <w:sz w:val="24"/>
          <w:szCs w:val="24"/>
        </w:rPr>
      </w:pPr>
    </w:p>
    <w:p w14:paraId="27BE2C26" w14:textId="1C204514" w:rsidR="009260DE" w:rsidRPr="00D61C9C" w:rsidRDefault="004754F6" w:rsidP="009260DE">
      <w:pPr>
        <w:jc w:val="center"/>
        <w:rPr>
          <w:b/>
          <w:sz w:val="24"/>
          <w:szCs w:val="24"/>
        </w:rPr>
      </w:pPr>
      <w:r w:rsidRPr="00D61C9C">
        <w:rPr>
          <w:b/>
          <w:sz w:val="24"/>
          <w:szCs w:val="24"/>
        </w:rPr>
        <w:t>Ibuprofen "Hualan Pharmaceuticals", filmovertrukne tabletter</w:t>
      </w:r>
    </w:p>
    <w:p w14:paraId="45B06CE5" w14:textId="77777777" w:rsidR="009260DE" w:rsidRPr="00D61C9C" w:rsidRDefault="009260DE" w:rsidP="009260DE">
      <w:pPr>
        <w:jc w:val="both"/>
        <w:rPr>
          <w:sz w:val="24"/>
          <w:szCs w:val="24"/>
        </w:rPr>
      </w:pPr>
    </w:p>
    <w:p w14:paraId="1C4E64C9" w14:textId="77777777" w:rsidR="009260DE" w:rsidRPr="00D61C9C" w:rsidRDefault="009260DE" w:rsidP="009260DE">
      <w:pPr>
        <w:jc w:val="both"/>
        <w:rPr>
          <w:sz w:val="24"/>
          <w:szCs w:val="24"/>
        </w:rPr>
      </w:pPr>
    </w:p>
    <w:p w14:paraId="067D3376" w14:textId="77777777" w:rsidR="009260DE" w:rsidRPr="00D61C9C" w:rsidRDefault="009260DE" w:rsidP="009260DE">
      <w:pPr>
        <w:tabs>
          <w:tab w:val="left" w:pos="851"/>
        </w:tabs>
        <w:ind w:left="851" w:hanging="851"/>
        <w:rPr>
          <w:b/>
          <w:sz w:val="24"/>
          <w:szCs w:val="24"/>
        </w:rPr>
      </w:pPr>
      <w:r w:rsidRPr="00D61C9C">
        <w:rPr>
          <w:b/>
          <w:sz w:val="24"/>
          <w:szCs w:val="24"/>
        </w:rPr>
        <w:t>0.</w:t>
      </w:r>
      <w:r w:rsidRPr="00D61C9C">
        <w:rPr>
          <w:b/>
          <w:sz w:val="24"/>
          <w:szCs w:val="24"/>
        </w:rPr>
        <w:tab/>
        <w:t>D.SP.NR.</w:t>
      </w:r>
    </w:p>
    <w:p w14:paraId="0C2BF170" w14:textId="79283348" w:rsidR="009260DE" w:rsidRPr="00D61C9C" w:rsidRDefault="004754F6" w:rsidP="009260DE">
      <w:pPr>
        <w:tabs>
          <w:tab w:val="left" w:pos="851"/>
        </w:tabs>
        <w:ind w:left="851"/>
        <w:rPr>
          <w:sz w:val="24"/>
          <w:szCs w:val="24"/>
        </w:rPr>
      </w:pPr>
      <w:r w:rsidRPr="00D61C9C">
        <w:rPr>
          <w:sz w:val="24"/>
          <w:szCs w:val="24"/>
        </w:rPr>
        <w:t>33659</w:t>
      </w:r>
    </w:p>
    <w:p w14:paraId="0CDA18AD" w14:textId="77777777" w:rsidR="009260DE" w:rsidRPr="00D61C9C" w:rsidRDefault="009260DE" w:rsidP="009260DE">
      <w:pPr>
        <w:tabs>
          <w:tab w:val="left" w:pos="851"/>
        </w:tabs>
        <w:ind w:left="851"/>
        <w:rPr>
          <w:sz w:val="24"/>
          <w:szCs w:val="24"/>
        </w:rPr>
      </w:pPr>
    </w:p>
    <w:p w14:paraId="25F16729" w14:textId="77777777" w:rsidR="009260DE" w:rsidRPr="00D61C9C" w:rsidRDefault="009260DE" w:rsidP="009260DE">
      <w:pPr>
        <w:tabs>
          <w:tab w:val="left" w:pos="851"/>
        </w:tabs>
        <w:ind w:left="851" w:hanging="851"/>
        <w:rPr>
          <w:b/>
          <w:sz w:val="24"/>
          <w:szCs w:val="24"/>
        </w:rPr>
      </w:pPr>
      <w:r w:rsidRPr="00D61C9C">
        <w:rPr>
          <w:b/>
          <w:sz w:val="24"/>
          <w:szCs w:val="24"/>
        </w:rPr>
        <w:t>1.</w:t>
      </w:r>
      <w:r w:rsidRPr="00D61C9C">
        <w:rPr>
          <w:b/>
          <w:sz w:val="24"/>
          <w:szCs w:val="24"/>
        </w:rPr>
        <w:tab/>
        <w:t>LÆGEMIDLETS NAVN</w:t>
      </w:r>
    </w:p>
    <w:p w14:paraId="1DEB1365" w14:textId="4302396D" w:rsidR="009260DE" w:rsidRPr="00D61C9C" w:rsidRDefault="004754F6" w:rsidP="009260DE">
      <w:pPr>
        <w:tabs>
          <w:tab w:val="left" w:pos="851"/>
        </w:tabs>
        <w:ind w:left="851"/>
        <w:rPr>
          <w:sz w:val="24"/>
          <w:szCs w:val="24"/>
        </w:rPr>
      </w:pPr>
      <w:r w:rsidRPr="00D61C9C">
        <w:rPr>
          <w:sz w:val="24"/>
          <w:szCs w:val="24"/>
        </w:rPr>
        <w:t>Ibuprofen "Hualan Pharmaceuticals"</w:t>
      </w:r>
    </w:p>
    <w:p w14:paraId="1203E8AC" w14:textId="77777777" w:rsidR="004754F6" w:rsidRPr="00D61C9C" w:rsidRDefault="004754F6" w:rsidP="009260DE">
      <w:pPr>
        <w:tabs>
          <w:tab w:val="left" w:pos="851"/>
        </w:tabs>
        <w:ind w:left="851"/>
        <w:rPr>
          <w:sz w:val="24"/>
          <w:szCs w:val="24"/>
        </w:rPr>
      </w:pPr>
    </w:p>
    <w:p w14:paraId="5E53D55E" w14:textId="77777777" w:rsidR="009260DE" w:rsidRPr="00D61C9C" w:rsidRDefault="009260DE" w:rsidP="009260DE">
      <w:pPr>
        <w:tabs>
          <w:tab w:val="left" w:pos="851"/>
        </w:tabs>
        <w:ind w:left="851" w:hanging="851"/>
        <w:rPr>
          <w:b/>
          <w:sz w:val="24"/>
          <w:szCs w:val="24"/>
        </w:rPr>
      </w:pPr>
      <w:r w:rsidRPr="00D61C9C">
        <w:rPr>
          <w:b/>
          <w:sz w:val="24"/>
          <w:szCs w:val="24"/>
        </w:rPr>
        <w:t>2.</w:t>
      </w:r>
      <w:r w:rsidRPr="00D61C9C">
        <w:rPr>
          <w:b/>
          <w:sz w:val="24"/>
          <w:szCs w:val="24"/>
        </w:rPr>
        <w:tab/>
        <w:t>KVALITATIV OG KVANTITATIV SAMMENSÆTNING</w:t>
      </w:r>
    </w:p>
    <w:p w14:paraId="6F4B51AC" w14:textId="77777777" w:rsidR="00D4295A" w:rsidRPr="00D61C9C" w:rsidRDefault="00D4295A" w:rsidP="00EA5014">
      <w:pPr>
        <w:ind w:left="851"/>
        <w:rPr>
          <w:sz w:val="24"/>
          <w:szCs w:val="24"/>
        </w:rPr>
      </w:pPr>
      <w:r w:rsidRPr="00D61C9C">
        <w:rPr>
          <w:sz w:val="24"/>
          <w:szCs w:val="24"/>
        </w:rPr>
        <w:t>Hver filmovertrukket tablet indeholder 200 mg ibuprofen.</w:t>
      </w:r>
    </w:p>
    <w:p w14:paraId="378927D9" w14:textId="77777777" w:rsidR="00D4295A" w:rsidRPr="00D61C9C" w:rsidRDefault="00D4295A" w:rsidP="00EA5014">
      <w:pPr>
        <w:ind w:left="851"/>
        <w:rPr>
          <w:sz w:val="24"/>
          <w:szCs w:val="24"/>
        </w:rPr>
      </w:pPr>
    </w:p>
    <w:p w14:paraId="23CA8D1F" w14:textId="77777777" w:rsidR="00D4295A" w:rsidRPr="00D61C9C" w:rsidRDefault="00D4295A" w:rsidP="00EA5014">
      <w:pPr>
        <w:ind w:left="851"/>
        <w:rPr>
          <w:sz w:val="24"/>
          <w:szCs w:val="24"/>
        </w:rPr>
      </w:pPr>
      <w:r w:rsidRPr="00D61C9C">
        <w:rPr>
          <w:sz w:val="24"/>
          <w:szCs w:val="24"/>
        </w:rPr>
        <w:t>Hjælpestof med kendt effekt: 13,33 mg lactose (som monohydrat).</w:t>
      </w:r>
    </w:p>
    <w:p w14:paraId="2C949735" w14:textId="77777777" w:rsidR="00D4295A" w:rsidRPr="00D61C9C" w:rsidRDefault="00D4295A" w:rsidP="00EA5014">
      <w:pPr>
        <w:ind w:left="851"/>
        <w:rPr>
          <w:sz w:val="24"/>
          <w:szCs w:val="24"/>
        </w:rPr>
      </w:pPr>
    </w:p>
    <w:p w14:paraId="5B79A7E4" w14:textId="77777777" w:rsidR="00D4295A" w:rsidRPr="00D61C9C" w:rsidRDefault="00D4295A" w:rsidP="00EA5014">
      <w:pPr>
        <w:ind w:left="851"/>
        <w:rPr>
          <w:sz w:val="24"/>
          <w:szCs w:val="24"/>
        </w:rPr>
      </w:pPr>
      <w:r w:rsidRPr="00D61C9C">
        <w:rPr>
          <w:sz w:val="24"/>
          <w:szCs w:val="24"/>
        </w:rPr>
        <w:t>Alle hjælpestoffer er anført under pkt. 6.1.</w:t>
      </w:r>
    </w:p>
    <w:p w14:paraId="55296D52" w14:textId="77777777" w:rsidR="009260DE" w:rsidRPr="00D61C9C" w:rsidRDefault="009260DE" w:rsidP="009260DE">
      <w:pPr>
        <w:tabs>
          <w:tab w:val="left" w:pos="851"/>
        </w:tabs>
        <w:ind w:left="851"/>
        <w:rPr>
          <w:sz w:val="24"/>
          <w:szCs w:val="24"/>
        </w:rPr>
      </w:pPr>
    </w:p>
    <w:p w14:paraId="3153B6EF" w14:textId="77777777" w:rsidR="009260DE" w:rsidRPr="00D61C9C" w:rsidRDefault="009260DE" w:rsidP="009260DE">
      <w:pPr>
        <w:tabs>
          <w:tab w:val="left" w:pos="851"/>
        </w:tabs>
        <w:ind w:left="851" w:hanging="851"/>
        <w:rPr>
          <w:b/>
          <w:sz w:val="24"/>
          <w:szCs w:val="24"/>
        </w:rPr>
      </w:pPr>
      <w:r w:rsidRPr="00D61C9C">
        <w:rPr>
          <w:b/>
          <w:sz w:val="24"/>
          <w:szCs w:val="24"/>
        </w:rPr>
        <w:t>3.</w:t>
      </w:r>
      <w:r w:rsidRPr="00D61C9C">
        <w:rPr>
          <w:b/>
          <w:sz w:val="24"/>
          <w:szCs w:val="24"/>
        </w:rPr>
        <w:tab/>
        <w:t>LÆGEMIDDELFORM</w:t>
      </w:r>
    </w:p>
    <w:p w14:paraId="7D3B7469" w14:textId="3F2C4A8E" w:rsidR="00D4295A" w:rsidRPr="00D61C9C" w:rsidRDefault="00D4295A" w:rsidP="00EA5014">
      <w:pPr>
        <w:ind w:left="851"/>
        <w:rPr>
          <w:sz w:val="24"/>
          <w:szCs w:val="24"/>
        </w:rPr>
      </w:pPr>
      <w:r w:rsidRPr="00D61C9C">
        <w:rPr>
          <w:sz w:val="24"/>
          <w:szCs w:val="24"/>
        </w:rPr>
        <w:t>Filmovertrukne tabletter</w:t>
      </w:r>
    </w:p>
    <w:p w14:paraId="6CEDE8D0" w14:textId="77777777" w:rsidR="00D4295A" w:rsidRPr="00D61C9C" w:rsidRDefault="00D4295A" w:rsidP="00EA5014">
      <w:pPr>
        <w:ind w:left="851"/>
        <w:rPr>
          <w:sz w:val="24"/>
          <w:szCs w:val="24"/>
        </w:rPr>
      </w:pPr>
    </w:p>
    <w:p w14:paraId="7E095963" w14:textId="77777777" w:rsidR="00D4295A" w:rsidRPr="00D61C9C" w:rsidRDefault="00D4295A" w:rsidP="00EA5014">
      <w:pPr>
        <w:ind w:left="851"/>
        <w:rPr>
          <w:sz w:val="24"/>
          <w:szCs w:val="24"/>
        </w:rPr>
      </w:pPr>
      <w:bookmarkStart w:id="0" w:name="_Hlk170119103"/>
      <w:bookmarkStart w:id="1" w:name="_Hlk170118914"/>
      <w:r w:rsidRPr="00D61C9C">
        <w:rPr>
          <w:sz w:val="24"/>
          <w:szCs w:val="24"/>
        </w:rPr>
        <w:t xml:space="preserve">Hvide eller råhvide, kapselformede filmovertrukne tabletter, mærket I2 på den ene side. </w:t>
      </w:r>
      <w:bookmarkEnd w:id="0"/>
      <w:r w:rsidRPr="00D61C9C">
        <w:rPr>
          <w:sz w:val="24"/>
          <w:szCs w:val="24"/>
        </w:rPr>
        <w:t>Tabletterne er cirka 13 mm lange og 6 mm bredde.</w:t>
      </w:r>
    </w:p>
    <w:bookmarkEnd w:id="1"/>
    <w:p w14:paraId="070E1499" w14:textId="77777777" w:rsidR="009260DE" w:rsidRPr="00D61C9C" w:rsidRDefault="009260DE" w:rsidP="009260DE">
      <w:pPr>
        <w:tabs>
          <w:tab w:val="left" w:pos="851"/>
        </w:tabs>
        <w:ind w:left="851"/>
        <w:rPr>
          <w:sz w:val="24"/>
          <w:szCs w:val="24"/>
        </w:rPr>
      </w:pPr>
    </w:p>
    <w:p w14:paraId="4238E369" w14:textId="77777777" w:rsidR="009260DE" w:rsidRPr="00D61C9C" w:rsidRDefault="009260DE" w:rsidP="009260DE">
      <w:pPr>
        <w:tabs>
          <w:tab w:val="left" w:pos="851"/>
        </w:tabs>
        <w:ind w:left="851"/>
        <w:rPr>
          <w:sz w:val="24"/>
          <w:szCs w:val="24"/>
        </w:rPr>
      </w:pPr>
    </w:p>
    <w:p w14:paraId="1B7904F8" w14:textId="77777777" w:rsidR="009260DE" w:rsidRPr="00D61C9C" w:rsidRDefault="009260DE" w:rsidP="009260DE">
      <w:pPr>
        <w:tabs>
          <w:tab w:val="left" w:pos="851"/>
        </w:tabs>
        <w:ind w:left="851" w:hanging="851"/>
        <w:rPr>
          <w:b/>
          <w:sz w:val="24"/>
          <w:szCs w:val="24"/>
        </w:rPr>
      </w:pPr>
      <w:r w:rsidRPr="00D61C9C">
        <w:rPr>
          <w:b/>
          <w:sz w:val="24"/>
          <w:szCs w:val="24"/>
        </w:rPr>
        <w:t>4.</w:t>
      </w:r>
      <w:r w:rsidRPr="00D61C9C">
        <w:rPr>
          <w:b/>
          <w:sz w:val="24"/>
          <w:szCs w:val="24"/>
        </w:rPr>
        <w:tab/>
        <w:t>KLINISKE OPLYSNINGER</w:t>
      </w:r>
    </w:p>
    <w:p w14:paraId="0CC05F0F" w14:textId="77777777" w:rsidR="009260DE" w:rsidRPr="00D61C9C" w:rsidRDefault="009260DE" w:rsidP="009260DE">
      <w:pPr>
        <w:tabs>
          <w:tab w:val="left" w:pos="851"/>
        </w:tabs>
        <w:ind w:left="851"/>
        <w:rPr>
          <w:b/>
          <w:sz w:val="24"/>
          <w:szCs w:val="24"/>
        </w:rPr>
      </w:pPr>
    </w:p>
    <w:p w14:paraId="4B0B886F" w14:textId="77777777" w:rsidR="009260DE" w:rsidRPr="00D61C9C" w:rsidRDefault="009260DE" w:rsidP="009260DE">
      <w:pPr>
        <w:tabs>
          <w:tab w:val="left" w:pos="851"/>
        </w:tabs>
        <w:ind w:left="851" w:hanging="851"/>
        <w:rPr>
          <w:b/>
          <w:sz w:val="24"/>
          <w:szCs w:val="24"/>
          <w:u w:val="single"/>
        </w:rPr>
      </w:pPr>
      <w:r w:rsidRPr="00D61C9C">
        <w:rPr>
          <w:b/>
          <w:sz w:val="24"/>
          <w:szCs w:val="24"/>
        </w:rPr>
        <w:t>4.1</w:t>
      </w:r>
      <w:r w:rsidRPr="00D61C9C">
        <w:rPr>
          <w:b/>
          <w:sz w:val="24"/>
          <w:szCs w:val="24"/>
        </w:rPr>
        <w:tab/>
        <w:t>Terapeutiske indikationer</w:t>
      </w:r>
    </w:p>
    <w:p w14:paraId="17E596DA" w14:textId="77777777" w:rsidR="00D4295A" w:rsidRPr="00D61C9C" w:rsidRDefault="00D4295A" w:rsidP="00EA5014">
      <w:pPr>
        <w:ind w:left="851"/>
        <w:rPr>
          <w:sz w:val="24"/>
          <w:szCs w:val="24"/>
        </w:rPr>
      </w:pPr>
      <w:r w:rsidRPr="00D61C9C">
        <w:rPr>
          <w:sz w:val="24"/>
          <w:szCs w:val="24"/>
        </w:rPr>
        <w:t>Voksne og unge over 12 år (≥40 kg kropsvægt):</w:t>
      </w:r>
    </w:p>
    <w:p w14:paraId="5DD8ECC7" w14:textId="77777777" w:rsidR="00D4295A" w:rsidRPr="00D61C9C" w:rsidRDefault="00D4295A" w:rsidP="00D61C9C">
      <w:pPr>
        <w:pStyle w:val="Listeafsnit"/>
        <w:numPr>
          <w:ilvl w:val="0"/>
          <w:numId w:val="11"/>
        </w:numPr>
        <w:ind w:left="1276" w:hanging="425"/>
        <w:rPr>
          <w:sz w:val="24"/>
          <w:szCs w:val="24"/>
        </w:rPr>
      </w:pPr>
      <w:r w:rsidRPr="00D61C9C">
        <w:rPr>
          <w:sz w:val="24"/>
          <w:szCs w:val="24"/>
        </w:rPr>
        <w:t>Kortvarig symptomatisk behandling af:</w:t>
      </w:r>
    </w:p>
    <w:p w14:paraId="66008859" w14:textId="77777777" w:rsidR="00D4295A" w:rsidRPr="00D61C9C" w:rsidRDefault="00D4295A" w:rsidP="00D61C9C">
      <w:pPr>
        <w:pStyle w:val="Listeafsnit"/>
        <w:numPr>
          <w:ilvl w:val="0"/>
          <w:numId w:val="12"/>
        </w:numPr>
        <w:ind w:hanging="295"/>
        <w:rPr>
          <w:sz w:val="24"/>
          <w:szCs w:val="24"/>
        </w:rPr>
      </w:pPr>
      <w:r w:rsidRPr="00D61C9C">
        <w:rPr>
          <w:sz w:val="24"/>
          <w:szCs w:val="24"/>
        </w:rPr>
        <w:t>lette til moderate smerter</w:t>
      </w:r>
    </w:p>
    <w:p w14:paraId="3D7BBA6A" w14:textId="41E0C891" w:rsidR="00D4295A" w:rsidRPr="00D61C9C" w:rsidRDefault="00D4295A" w:rsidP="00D61C9C">
      <w:pPr>
        <w:pStyle w:val="Listeafsnit"/>
        <w:numPr>
          <w:ilvl w:val="0"/>
          <w:numId w:val="12"/>
        </w:numPr>
        <w:ind w:hanging="295"/>
        <w:rPr>
          <w:sz w:val="24"/>
          <w:szCs w:val="24"/>
        </w:rPr>
      </w:pPr>
      <w:r w:rsidRPr="00D61C9C">
        <w:rPr>
          <w:sz w:val="24"/>
          <w:szCs w:val="24"/>
        </w:rPr>
        <w:t>feber</w:t>
      </w:r>
    </w:p>
    <w:p w14:paraId="3AA747F3" w14:textId="77777777" w:rsidR="009260DE" w:rsidRPr="00D61C9C" w:rsidRDefault="009260DE" w:rsidP="009260DE">
      <w:pPr>
        <w:tabs>
          <w:tab w:val="left" w:pos="851"/>
        </w:tabs>
        <w:ind w:left="851"/>
        <w:rPr>
          <w:sz w:val="24"/>
          <w:szCs w:val="24"/>
        </w:rPr>
      </w:pPr>
    </w:p>
    <w:p w14:paraId="3E801350" w14:textId="77777777" w:rsidR="009260DE" w:rsidRPr="00D61C9C" w:rsidRDefault="009260DE" w:rsidP="009260DE">
      <w:pPr>
        <w:tabs>
          <w:tab w:val="left" w:pos="851"/>
        </w:tabs>
        <w:ind w:left="851" w:hanging="851"/>
        <w:rPr>
          <w:b/>
          <w:sz w:val="24"/>
          <w:szCs w:val="24"/>
        </w:rPr>
      </w:pPr>
      <w:r w:rsidRPr="00D61C9C">
        <w:rPr>
          <w:b/>
          <w:sz w:val="24"/>
          <w:szCs w:val="24"/>
        </w:rPr>
        <w:t>4.2</w:t>
      </w:r>
      <w:r w:rsidRPr="00D61C9C">
        <w:rPr>
          <w:b/>
          <w:sz w:val="24"/>
          <w:szCs w:val="24"/>
        </w:rPr>
        <w:tab/>
        <w:t xml:space="preserve">Dosering og </w:t>
      </w:r>
      <w:r w:rsidR="002C1EC0" w:rsidRPr="00D61C9C">
        <w:rPr>
          <w:b/>
          <w:sz w:val="24"/>
          <w:szCs w:val="24"/>
        </w:rPr>
        <w:t>administration</w:t>
      </w:r>
    </w:p>
    <w:p w14:paraId="51384B09" w14:textId="77777777" w:rsidR="00D61C9C" w:rsidRDefault="00D61C9C" w:rsidP="00EA5014">
      <w:pPr>
        <w:ind w:left="851"/>
        <w:rPr>
          <w:sz w:val="24"/>
          <w:szCs w:val="24"/>
        </w:rPr>
      </w:pPr>
    </w:p>
    <w:p w14:paraId="098E5914" w14:textId="248D0652" w:rsidR="00D4295A" w:rsidRPr="00D61C9C" w:rsidRDefault="00D4295A" w:rsidP="00EA5014">
      <w:pPr>
        <w:ind w:left="851"/>
        <w:rPr>
          <w:sz w:val="24"/>
          <w:szCs w:val="24"/>
          <w:u w:val="single"/>
        </w:rPr>
      </w:pPr>
      <w:r w:rsidRPr="00D61C9C">
        <w:rPr>
          <w:sz w:val="24"/>
          <w:szCs w:val="24"/>
          <w:u w:val="single"/>
        </w:rPr>
        <w:t>Dosering</w:t>
      </w:r>
    </w:p>
    <w:p w14:paraId="34FBFB4E" w14:textId="7F96FEE3" w:rsidR="00D4295A" w:rsidRPr="00D61C9C" w:rsidRDefault="00D4295A" w:rsidP="00EA5014">
      <w:pPr>
        <w:ind w:left="851"/>
        <w:rPr>
          <w:sz w:val="24"/>
          <w:szCs w:val="24"/>
        </w:rPr>
      </w:pPr>
      <w:r w:rsidRPr="00D61C9C">
        <w:rPr>
          <w:sz w:val="24"/>
          <w:szCs w:val="24"/>
        </w:rPr>
        <w:t>Der bør anvendes den laveste effektive dosis i den kortest mulige tid, som er nødvendig for at lindre symptomerne (se pkt. 4.4).</w:t>
      </w:r>
    </w:p>
    <w:p w14:paraId="41E4B98A" w14:textId="724999A4" w:rsidR="000B6705" w:rsidRDefault="000B6705">
      <w:pPr>
        <w:rPr>
          <w:sz w:val="24"/>
          <w:szCs w:val="24"/>
        </w:rPr>
      </w:pPr>
      <w:r>
        <w:rPr>
          <w:sz w:val="24"/>
          <w:szCs w:val="24"/>
        </w:rPr>
        <w:br w:type="page"/>
      </w:r>
    </w:p>
    <w:p w14:paraId="0C981A19" w14:textId="77777777" w:rsidR="00D4295A" w:rsidRPr="00D61C9C" w:rsidRDefault="00D4295A" w:rsidP="00EA5014">
      <w:pPr>
        <w:ind w:left="851"/>
        <w:rPr>
          <w:sz w:val="24"/>
          <w:szCs w:val="24"/>
        </w:rPr>
      </w:pPr>
    </w:p>
    <w:p w14:paraId="7EAEC865" w14:textId="77777777" w:rsidR="00D4295A" w:rsidRPr="00D61C9C" w:rsidRDefault="00D4295A" w:rsidP="00EA5014">
      <w:pPr>
        <w:ind w:left="851"/>
        <w:rPr>
          <w:b/>
          <w:bCs/>
          <w:sz w:val="24"/>
          <w:szCs w:val="24"/>
          <w:u w:val="single"/>
        </w:rPr>
      </w:pPr>
      <w:r w:rsidRPr="00D61C9C">
        <w:rPr>
          <w:b/>
          <w:bCs/>
          <w:sz w:val="24"/>
          <w:szCs w:val="24"/>
          <w:u w:val="single"/>
        </w:rPr>
        <w:t>Symptomatisk behandling af lette til moderate smerter og feber</w:t>
      </w:r>
    </w:p>
    <w:p w14:paraId="124ACA5F" w14:textId="77777777" w:rsidR="00D4295A" w:rsidRPr="00D61C9C" w:rsidRDefault="00D4295A" w:rsidP="00EA5014">
      <w:pPr>
        <w:ind w:left="851"/>
        <w:rPr>
          <w:sz w:val="24"/>
          <w:szCs w:val="24"/>
        </w:rPr>
      </w:pPr>
      <w:r w:rsidRPr="00D61C9C">
        <w:rPr>
          <w:sz w:val="24"/>
          <w:szCs w:val="24"/>
        </w:rPr>
        <w:t xml:space="preserve">Startdosis 200 mg eller 400 mg ibuprofen 1-3 gange dagligt. Hvis nødvendigt kan yderligere doser på 200 mg til 400 mg ibuprofen tages. Intervallen mellem doserne bør vælges i henhold til symptomerne og den maksimale anbefalede daglige dosis. Der bør gå mindst 6 timer mellem to doser. </w:t>
      </w:r>
    </w:p>
    <w:p w14:paraId="5A4265C4" w14:textId="77777777" w:rsidR="00D4295A" w:rsidRPr="00D61C9C" w:rsidRDefault="00D4295A" w:rsidP="00EA5014">
      <w:pPr>
        <w:ind w:left="851"/>
        <w:rPr>
          <w:sz w:val="24"/>
          <w:szCs w:val="24"/>
        </w:rPr>
      </w:pPr>
    </w:p>
    <w:p w14:paraId="40470671" w14:textId="77777777" w:rsidR="00D4295A" w:rsidRPr="00D61C9C" w:rsidRDefault="00D4295A" w:rsidP="00EA5014">
      <w:pPr>
        <w:ind w:left="851"/>
        <w:rPr>
          <w:sz w:val="24"/>
          <w:szCs w:val="24"/>
        </w:rPr>
      </w:pPr>
      <w:r w:rsidRPr="00D61C9C">
        <w:rPr>
          <w:sz w:val="24"/>
          <w:szCs w:val="24"/>
        </w:rPr>
        <w:t>En samlet dosis på 1200 mg ibuprofen må ikke overskrides i en hvilken som helst 24-timers periode.</w:t>
      </w:r>
    </w:p>
    <w:p w14:paraId="7FCEE8A6" w14:textId="77777777" w:rsidR="00D4295A" w:rsidRPr="00D61C9C" w:rsidRDefault="00D4295A" w:rsidP="00EA5014">
      <w:pPr>
        <w:ind w:left="851"/>
        <w:rPr>
          <w:sz w:val="24"/>
          <w:szCs w:val="24"/>
        </w:rPr>
      </w:pPr>
    </w:p>
    <w:p w14:paraId="3FC03312" w14:textId="77777777" w:rsidR="00D4295A" w:rsidRPr="00D61C9C" w:rsidRDefault="00D4295A" w:rsidP="00EA5014">
      <w:pPr>
        <w:ind w:left="851"/>
        <w:rPr>
          <w:sz w:val="24"/>
          <w:szCs w:val="24"/>
        </w:rPr>
      </w:pPr>
      <w:r w:rsidRPr="00D61C9C">
        <w:rPr>
          <w:sz w:val="24"/>
          <w:szCs w:val="24"/>
        </w:rPr>
        <w:t>Hvis dette lægemiddel anvendes hos unge i mere end 3 dage, eller hvis symptomerne bliver værre, bør en læge kontaktes.</w:t>
      </w:r>
    </w:p>
    <w:p w14:paraId="4B7422AA" w14:textId="77777777" w:rsidR="00D4295A" w:rsidRPr="00D61C9C" w:rsidRDefault="00D4295A" w:rsidP="00EA5014">
      <w:pPr>
        <w:ind w:left="851"/>
        <w:rPr>
          <w:sz w:val="24"/>
          <w:szCs w:val="24"/>
        </w:rPr>
      </w:pPr>
      <w:r w:rsidRPr="00D61C9C">
        <w:rPr>
          <w:sz w:val="24"/>
          <w:szCs w:val="24"/>
        </w:rPr>
        <w:t>Hvis dette lægemiddel anvendes hos voksne i mere end 3 dage ved feber eller i mere end 4 dage til behandling af smerter, eller hvis symptomerne bliver værre, bør en læge kontaktes.</w:t>
      </w:r>
    </w:p>
    <w:p w14:paraId="4162A787" w14:textId="77777777" w:rsidR="00D4295A" w:rsidRPr="00D61C9C" w:rsidRDefault="00D4295A" w:rsidP="00EA5014">
      <w:pPr>
        <w:ind w:left="851"/>
        <w:rPr>
          <w:sz w:val="24"/>
          <w:szCs w:val="24"/>
        </w:rPr>
      </w:pPr>
    </w:p>
    <w:p w14:paraId="00C1C2BC" w14:textId="77777777" w:rsidR="00D4295A" w:rsidRPr="00D61C9C" w:rsidRDefault="00D4295A" w:rsidP="00EA5014">
      <w:pPr>
        <w:ind w:left="851"/>
        <w:rPr>
          <w:b/>
          <w:bCs/>
          <w:sz w:val="24"/>
          <w:szCs w:val="24"/>
        </w:rPr>
      </w:pPr>
      <w:r w:rsidRPr="00D61C9C">
        <w:rPr>
          <w:b/>
          <w:bCs/>
          <w:sz w:val="24"/>
          <w:szCs w:val="24"/>
        </w:rPr>
        <w:t>Pædiatrisk population</w:t>
      </w:r>
    </w:p>
    <w:p w14:paraId="24584DDC" w14:textId="598584EF" w:rsidR="00D4295A" w:rsidRPr="00D61C9C" w:rsidRDefault="00D4295A" w:rsidP="00EA5014">
      <w:pPr>
        <w:ind w:left="851"/>
        <w:rPr>
          <w:sz w:val="24"/>
          <w:szCs w:val="24"/>
        </w:rPr>
      </w:pPr>
      <w:r w:rsidRPr="00D61C9C">
        <w:rPr>
          <w:sz w:val="24"/>
          <w:szCs w:val="24"/>
        </w:rPr>
        <w:t xml:space="preserve">Ibuprofen </w:t>
      </w:r>
      <w:r w:rsidR="000B6705">
        <w:rPr>
          <w:sz w:val="24"/>
          <w:szCs w:val="24"/>
        </w:rPr>
        <w:t>"Hualan Pharmaceuticals"</w:t>
      </w:r>
      <w:r w:rsidRPr="00D61C9C">
        <w:rPr>
          <w:sz w:val="24"/>
          <w:szCs w:val="24"/>
        </w:rPr>
        <w:t xml:space="preserve"> 200 mg er ikke egnet til brug hos unge og børn under 12 år og er heller ikke egnet til unge med en kropsvægt under 40 kg.</w:t>
      </w:r>
    </w:p>
    <w:p w14:paraId="6AAFC72A" w14:textId="77777777" w:rsidR="00D4295A" w:rsidRPr="00D61C9C" w:rsidRDefault="00D4295A" w:rsidP="00EA5014">
      <w:pPr>
        <w:ind w:left="851"/>
        <w:rPr>
          <w:sz w:val="24"/>
          <w:szCs w:val="24"/>
        </w:rPr>
      </w:pPr>
    </w:p>
    <w:p w14:paraId="74787E38" w14:textId="0F4A5970" w:rsidR="00D4295A" w:rsidRPr="00D61C9C" w:rsidRDefault="00D4295A" w:rsidP="00EA5014">
      <w:pPr>
        <w:ind w:left="851"/>
        <w:rPr>
          <w:b/>
          <w:bCs/>
          <w:sz w:val="24"/>
          <w:szCs w:val="24"/>
        </w:rPr>
      </w:pPr>
      <w:r w:rsidRPr="00D61C9C">
        <w:rPr>
          <w:b/>
          <w:bCs/>
          <w:sz w:val="24"/>
          <w:szCs w:val="24"/>
        </w:rPr>
        <w:t xml:space="preserve">Ældre </w:t>
      </w:r>
    </w:p>
    <w:p w14:paraId="4D8F1857" w14:textId="77777777" w:rsidR="00D4295A" w:rsidRPr="00D61C9C" w:rsidRDefault="00D4295A" w:rsidP="00EA5014">
      <w:pPr>
        <w:ind w:left="851"/>
        <w:rPr>
          <w:sz w:val="24"/>
          <w:szCs w:val="24"/>
        </w:rPr>
      </w:pPr>
      <w:r w:rsidRPr="00D61C9C">
        <w:rPr>
          <w:sz w:val="24"/>
          <w:szCs w:val="24"/>
        </w:rPr>
        <w:t xml:space="preserve">NSAID-præparater bør anvendes med særlig forsigtighed hos ældre patienter, der er mere tilbøjelige til at opleve uønskede hændelser. Den laveste dosis, der er forenelig med tilstrækkelig sikker klinisk kontrol, bør anvendes (se pkt. 4.4). </w:t>
      </w:r>
    </w:p>
    <w:p w14:paraId="05A58DF6" w14:textId="77777777" w:rsidR="00D4295A" w:rsidRPr="00D61C9C" w:rsidRDefault="00D4295A" w:rsidP="00EA5014">
      <w:pPr>
        <w:ind w:left="851"/>
        <w:rPr>
          <w:sz w:val="24"/>
          <w:szCs w:val="24"/>
        </w:rPr>
      </w:pPr>
      <w:r w:rsidRPr="00D61C9C">
        <w:rPr>
          <w:sz w:val="24"/>
          <w:szCs w:val="24"/>
        </w:rPr>
        <w:t>Patienten skal regelmæssigt monitoreres for gastrointestinal blødning under NSAID-behandling. Dosis bør justeres individuelt hos patienter med nedsat nyre- eller leverfunktion.</w:t>
      </w:r>
    </w:p>
    <w:p w14:paraId="3B43CD5D" w14:textId="77777777" w:rsidR="00D4295A" w:rsidRPr="00D61C9C" w:rsidRDefault="00D4295A" w:rsidP="00EA5014">
      <w:pPr>
        <w:ind w:left="851"/>
        <w:rPr>
          <w:sz w:val="24"/>
          <w:szCs w:val="24"/>
        </w:rPr>
      </w:pPr>
    </w:p>
    <w:p w14:paraId="332A4F10" w14:textId="21E142F3" w:rsidR="00D4295A" w:rsidRPr="00D61C9C" w:rsidRDefault="00D4295A" w:rsidP="00EA5014">
      <w:pPr>
        <w:ind w:left="851"/>
        <w:rPr>
          <w:sz w:val="24"/>
          <w:szCs w:val="24"/>
        </w:rPr>
      </w:pPr>
      <w:r w:rsidRPr="00D61C9C">
        <w:rPr>
          <w:b/>
          <w:bCs/>
          <w:sz w:val="24"/>
          <w:szCs w:val="24"/>
        </w:rPr>
        <w:t>Nedsat nyrefunktion</w:t>
      </w:r>
    </w:p>
    <w:p w14:paraId="7927F053" w14:textId="77777777" w:rsidR="00D4295A" w:rsidRPr="00D61C9C" w:rsidRDefault="00D4295A" w:rsidP="00EA5014">
      <w:pPr>
        <w:ind w:left="851"/>
        <w:rPr>
          <w:sz w:val="24"/>
          <w:szCs w:val="24"/>
        </w:rPr>
      </w:pPr>
      <w:r w:rsidRPr="00D61C9C">
        <w:rPr>
          <w:sz w:val="24"/>
          <w:szCs w:val="24"/>
        </w:rPr>
        <w:t xml:space="preserve">Hos patienter med nedsat nyrefunktion tilrådes forsigtighed med hensyn til dosis af ibuprofen. Dosis bør justeres individuelt. Dosis bør holdes så lav som muligt og nyrefunktionen skal monitoreres. </w:t>
      </w:r>
    </w:p>
    <w:p w14:paraId="0C3BA65A" w14:textId="77777777" w:rsidR="00D4295A" w:rsidRPr="00D61C9C" w:rsidRDefault="00D4295A" w:rsidP="00EA5014">
      <w:pPr>
        <w:ind w:left="851"/>
        <w:rPr>
          <w:sz w:val="24"/>
          <w:szCs w:val="24"/>
        </w:rPr>
      </w:pPr>
      <w:r w:rsidRPr="00D61C9C">
        <w:rPr>
          <w:sz w:val="24"/>
          <w:szCs w:val="24"/>
        </w:rPr>
        <w:t>Ibuprofen er kontraindiceret til patienter med svært nedsat nyrefunktion (se pkt. 4.3).</w:t>
      </w:r>
    </w:p>
    <w:p w14:paraId="67698A75" w14:textId="77777777" w:rsidR="00D4295A" w:rsidRPr="00D61C9C" w:rsidRDefault="00D4295A" w:rsidP="00EA5014">
      <w:pPr>
        <w:ind w:left="851"/>
        <w:rPr>
          <w:sz w:val="24"/>
          <w:szCs w:val="24"/>
        </w:rPr>
      </w:pPr>
    </w:p>
    <w:p w14:paraId="56F19A72" w14:textId="6CFA0C5E" w:rsidR="00D4295A" w:rsidRPr="00D61C9C" w:rsidRDefault="00D4295A" w:rsidP="00EA5014">
      <w:pPr>
        <w:ind w:left="851"/>
        <w:rPr>
          <w:sz w:val="24"/>
          <w:szCs w:val="24"/>
        </w:rPr>
      </w:pPr>
      <w:r w:rsidRPr="00D61C9C">
        <w:rPr>
          <w:b/>
          <w:bCs/>
          <w:sz w:val="24"/>
          <w:szCs w:val="24"/>
        </w:rPr>
        <w:t>Nedsat leverfunktion</w:t>
      </w:r>
    </w:p>
    <w:p w14:paraId="0DBEEF7E" w14:textId="77777777" w:rsidR="00D4295A" w:rsidRPr="00D61C9C" w:rsidRDefault="00D4295A" w:rsidP="00EA5014">
      <w:pPr>
        <w:ind w:left="851"/>
        <w:rPr>
          <w:sz w:val="24"/>
          <w:szCs w:val="24"/>
        </w:rPr>
      </w:pPr>
      <w:r w:rsidRPr="00D61C9C">
        <w:rPr>
          <w:sz w:val="24"/>
          <w:szCs w:val="24"/>
        </w:rPr>
        <w:t>Hos patienter med nedsat leverfunktion tilrådes forsigtighed med hensyn til dosis af ibuprofen. Dosis bør justeres individuelt og holdes så lav som muligt. Ibuprofen er kontraindiceret til patienter med svært nedsat leverfunktion (se pkt. 4.3).</w:t>
      </w:r>
    </w:p>
    <w:p w14:paraId="70F673B6" w14:textId="77777777" w:rsidR="00D4295A" w:rsidRPr="00D61C9C" w:rsidRDefault="00D4295A" w:rsidP="00EA5014">
      <w:pPr>
        <w:ind w:left="851"/>
        <w:rPr>
          <w:sz w:val="24"/>
          <w:szCs w:val="24"/>
        </w:rPr>
      </w:pPr>
    </w:p>
    <w:p w14:paraId="39C1FD23" w14:textId="4FB965E9" w:rsidR="00D4295A" w:rsidRPr="00D61C9C" w:rsidRDefault="00D4295A" w:rsidP="00EA5014">
      <w:pPr>
        <w:ind w:left="851"/>
        <w:rPr>
          <w:b/>
          <w:sz w:val="24"/>
          <w:szCs w:val="24"/>
        </w:rPr>
      </w:pPr>
      <w:r w:rsidRPr="00D61C9C">
        <w:rPr>
          <w:b/>
          <w:sz w:val="24"/>
          <w:szCs w:val="24"/>
        </w:rPr>
        <w:t>Administration</w:t>
      </w:r>
    </w:p>
    <w:p w14:paraId="6218F078" w14:textId="77777777" w:rsidR="00D4295A" w:rsidRPr="00D61C9C" w:rsidRDefault="00D4295A" w:rsidP="00EA5014">
      <w:pPr>
        <w:ind w:left="851"/>
        <w:rPr>
          <w:sz w:val="24"/>
          <w:szCs w:val="24"/>
        </w:rPr>
      </w:pPr>
      <w:r w:rsidRPr="00D61C9C">
        <w:rPr>
          <w:sz w:val="24"/>
          <w:szCs w:val="24"/>
        </w:rPr>
        <w:t xml:space="preserve">Til oral anvendelse. Hos patienter med sart mave, anbefales det at tage ibuprofen sammen med mad. Tag ibuprofen-tabletter med rigeligt væske. </w:t>
      </w:r>
      <w:proofErr w:type="gramStart"/>
      <w:r w:rsidRPr="00D61C9C">
        <w:rPr>
          <w:sz w:val="24"/>
          <w:szCs w:val="24"/>
        </w:rPr>
        <w:t>Ibuprofen tabletterne</w:t>
      </w:r>
      <w:proofErr w:type="gramEnd"/>
      <w:r w:rsidRPr="00D61C9C">
        <w:rPr>
          <w:sz w:val="24"/>
          <w:szCs w:val="24"/>
        </w:rPr>
        <w:t xml:space="preserve"> skal synkes hele, tabletterne må ikke tykkes, brækkes over, knuses eller suttes på, for at undgå ubehag og irritationer i halsen.</w:t>
      </w:r>
    </w:p>
    <w:p w14:paraId="7052BB4E" w14:textId="77777777" w:rsidR="009260DE" w:rsidRPr="00D61C9C" w:rsidRDefault="009260DE" w:rsidP="009260DE">
      <w:pPr>
        <w:tabs>
          <w:tab w:val="left" w:pos="851"/>
        </w:tabs>
        <w:ind w:left="851"/>
        <w:rPr>
          <w:sz w:val="24"/>
          <w:szCs w:val="24"/>
        </w:rPr>
      </w:pPr>
    </w:p>
    <w:p w14:paraId="30E8828B" w14:textId="77777777" w:rsidR="009260DE" w:rsidRPr="00D61C9C" w:rsidRDefault="009260DE" w:rsidP="009260DE">
      <w:pPr>
        <w:tabs>
          <w:tab w:val="left" w:pos="851"/>
        </w:tabs>
        <w:ind w:left="851" w:hanging="851"/>
        <w:rPr>
          <w:b/>
          <w:sz w:val="24"/>
          <w:szCs w:val="24"/>
        </w:rPr>
      </w:pPr>
      <w:r w:rsidRPr="00D61C9C">
        <w:rPr>
          <w:b/>
          <w:sz w:val="24"/>
          <w:szCs w:val="24"/>
        </w:rPr>
        <w:t>4.3</w:t>
      </w:r>
      <w:r w:rsidRPr="00D61C9C">
        <w:rPr>
          <w:b/>
          <w:sz w:val="24"/>
          <w:szCs w:val="24"/>
        </w:rPr>
        <w:tab/>
        <w:t>Kontraindikationer</w:t>
      </w:r>
    </w:p>
    <w:p w14:paraId="496F4C6C" w14:textId="77777777" w:rsidR="00D4295A" w:rsidRPr="00D61C9C" w:rsidRDefault="00D4295A" w:rsidP="00EA5014">
      <w:pPr>
        <w:pStyle w:val="Listeafsnit"/>
        <w:numPr>
          <w:ilvl w:val="0"/>
          <w:numId w:val="10"/>
        </w:numPr>
        <w:ind w:left="1276" w:hanging="425"/>
        <w:rPr>
          <w:sz w:val="24"/>
          <w:szCs w:val="24"/>
        </w:rPr>
      </w:pPr>
      <w:r w:rsidRPr="00D61C9C">
        <w:rPr>
          <w:sz w:val="24"/>
          <w:szCs w:val="24"/>
        </w:rPr>
        <w:t>Overfølsomhed over for det aktive stof eller over for et eller flere af hjælpestofferne anført i pkt. 6.1.</w:t>
      </w:r>
    </w:p>
    <w:p w14:paraId="4DD3B675" w14:textId="77777777" w:rsidR="00D4295A" w:rsidRPr="00D61C9C" w:rsidRDefault="00D4295A" w:rsidP="00EA5014">
      <w:pPr>
        <w:pStyle w:val="Listeafsnit"/>
        <w:numPr>
          <w:ilvl w:val="0"/>
          <w:numId w:val="10"/>
        </w:numPr>
        <w:ind w:left="1276" w:hanging="425"/>
        <w:rPr>
          <w:sz w:val="24"/>
          <w:szCs w:val="24"/>
        </w:rPr>
      </w:pPr>
      <w:r w:rsidRPr="00D61C9C">
        <w:rPr>
          <w:sz w:val="24"/>
          <w:szCs w:val="24"/>
        </w:rPr>
        <w:t>Ibuprofen må ikke gives til patienter, der tidligere har haft astma, nældefeber eller allergilignende reaktioner efter indtagelse af acetylsalicylsyre/aspirin eller andre NSAID’er.</w:t>
      </w:r>
    </w:p>
    <w:p w14:paraId="4E0B7D92" w14:textId="77777777" w:rsidR="00D4295A" w:rsidRPr="00D61C9C" w:rsidRDefault="00D4295A" w:rsidP="00EA5014">
      <w:pPr>
        <w:pStyle w:val="Listeafsnit"/>
        <w:numPr>
          <w:ilvl w:val="0"/>
          <w:numId w:val="10"/>
        </w:numPr>
        <w:ind w:left="1276" w:hanging="425"/>
        <w:rPr>
          <w:sz w:val="24"/>
          <w:szCs w:val="24"/>
        </w:rPr>
      </w:pPr>
      <w:r w:rsidRPr="00D61C9C">
        <w:rPr>
          <w:sz w:val="24"/>
          <w:szCs w:val="24"/>
        </w:rPr>
        <w:t>Alvorligt hjerteinsufficiens (NYHA-klasse IV).</w:t>
      </w:r>
    </w:p>
    <w:p w14:paraId="29DD266D" w14:textId="695BFD8E" w:rsidR="00D4295A" w:rsidRPr="00D61C9C" w:rsidRDefault="00D61C9C" w:rsidP="00EA5014">
      <w:pPr>
        <w:pStyle w:val="Listeafsnit"/>
        <w:numPr>
          <w:ilvl w:val="0"/>
          <w:numId w:val="10"/>
        </w:numPr>
        <w:ind w:left="1276" w:hanging="425"/>
        <w:rPr>
          <w:sz w:val="24"/>
          <w:szCs w:val="24"/>
        </w:rPr>
      </w:pPr>
      <w:r>
        <w:rPr>
          <w:sz w:val="24"/>
          <w:szCs w:val="24"/>
        </w:rPr>
        <w:lastRenderedPageBreak/>
        <w:t>S</w:t>
      </w:r>
      <w:r w:rsidR="00D4295A" w:rsidRPr="00D61C9C">
        <w:rPr>
          <w:sz w:val="24"/>
          <w:szCs w:val="24"/>
        </w:rPr>
        <w:t>vær leverinsufficiens.</w:t>
      </w:r>
    </w:p>
    <w:p w14:paraId="2417FC04" w14:textId="72FD891F" w:rsidR="00D4295A" w:rsidRPr="00D61C9C" w:rsidRDefault="00D61C9C" w:rsidP="00EA5014">
      <w:pPr>
        <w:pStyle w:val="Listeafsnit"/>
        <w:numPr>
          <w:ilvl w:val="0"/>
          <w:numId w:val="10"/>
        </w:numPr>
        <w:ind w:left="1276" w:hanging="425"/>
        <w:rPr>
          <w:sz w:val="24"/>
          <w:szCs w:val="24"/>
        </w:rPr>
      </w:pPr>
      <w:r>
        <w:rPr>
          <w:sz w:val="24"/>
          <w:szCs w:val="24"/>
        </w:rPr>
        <w:t>S</w:t>
      </w:r>
      <w:r w:rsidR="00D4295A" w:rsidRPr="00D61C9C">
        <w:rPr>
          <w:sz w:val="24"/>
          <w:szCs w:val="24"/>
        </w:rPr>
        <w:t>vær nyreinsufficiens (glomerulusfiltration under 30 ml/minut).</w:t>
      </w:r>
    </w:p>
    <w:p w14:paraId="472BE5D1" w14:textId="77777777" w:rsidR="00D4295A" w:rsidRPr="00D61C9C" w:rsidRDefault="00D4295A" w:rsidP="00EA5014">
      <w:pPr>
        <w:pStyle w:val="Listeafsnit"/>
        <w:numPr>
          <w:ilvl w:val="0"/>
          <w:numId w:val="10"/>
        </w:numPr>
        <w:ind w:left="1276" w:hanging="425"/>
        <w:rPr>
          <w:sz w:val="24"/>
          <w:szCs w:val="24"/>
        </w:rPr>
      </w:pPr>
      <w:r w:rsidRPr="00D61C9C">
        <w:rPr>
          <w:sz w:val="24"/>
          <w:szCs w:val="24"/>
        </w:rPr>
        <w:t>Tilstande, der involverer øget tendens til blødning.</w:t>
      </w:r>
    </w:p>
    <w:p w14:paraId="7A1C5DE3" w14:textId="77777777" w:rsidR="00D4295A" w:rsidRPr="00D61C9C" w:rsidRDefault="00D4295A" w:rsidP="00EA5014">
      <w:pPr>
        <w:pStyle w:val="Listeafsnit"/>
        <w:numPr>
          <w:ilvl w:val="0"/>
          <w:numId w:val="10"/>
        </w:numPr>
        <w:ind w:left="1276" w:hanging="425"/>
        <w:rPr>
          <w:sz w:val="24"/>
          <w:szCs w:val="24"/>
        </w:rPr>
      </w:pPr>
      <w:bookmarkStart w:id="2" w:name="_Hlk210721218"/>
      <w:r w:rsidRPr="00D61C9C">
        <w:rPr>
          <w:sz w:val="24"/>
          <w:szCs w:val="24"/>
        </w:rPr>
        <w:t>Patienter med Cerebrovaskulær eller anden aktiv blødning.</w:t>
      </w:r>
    </w:p>
    <w:bookmarkEnd w:id="2"/>
    <w:p w14:paraId="2D4ABAF0" w14:textId="77777777" w:rsidR="00D4295A" w:rsidRPr="00D61C9C" w:rsidRDefault="00D4295A" w:rsidP="00EA5014">
      <w:pPr>
        <w:pStyle w:val="Listeafsnit"/>
        <w:numPr>
          <w:ilvl w:val="0"/>
          <w:numId w:val="10"/>
        </w:numPr>
        <w:ind w:left="1276" w:hanging="425"/>
        <w:rPr>
          <w:sz w:val="24"/>
          <w:szCs w:val="24"/>
        </w:rPr>
      </w:pPr>
      <w:r w:rsidRPr="00D61C9C">
        <w:rPr>
          <w:sz w:val="24"/>
          <w:szCs w:val="24"/>
        </w:rPr>
        <w:t>Gastrointestinal blødning eller perforation i anamnesen, som relateres til tidligere NSAID-behandling.</w:t>
      </w:r>
    </w:p>
    <w:p w14:paraId="26F24B34" w14:textId="77777777" w:rsidR="00D4295A" w:rsidRPr="00D61C9C" w:rsidRDefault="00D4295A" w:rsidP="00EA5014">
      <w:pPr>
        <w:pStyle w:val="Listeafsnit"/>
        <w:numPr>
          <w:ilvl w:val="0"/>
          <w:numId w:val="10"/>
        </w:numPr>
        <w:ind w:left="1276" w:hanging="425"/>
        <w:rPr>
          <w:sz w:val="24"/>
          <w:szCs w:val="24"/>
        </w:rPr>
      </w:pPr>
      <w:r w:rsidRPr="00D61C9C">
        <w:rPr>
          <w:sz w:val="24"/>
          <w:szCs w:val="24"/>
        </w:rPr>
        <w:t>Aktivt eller tidligere recidiverende mavesår eller blødning (mindst to klart afgrænsede tilfælde af påvist ulcus eller blødning).</w:t>
      </w:r>
    </w:p>
    <w:p w14:paraId="383BBE57" w14:textId="77777777" w:rsidR="00D4295A" w:rsidRPr="00D61C9C" w:rsidRDefault="00D4295A" w:rsidP="00EA5014">
      <w:pPr>
        <w:pStyle w:val="Listeafsnit"/>
        <w:numPr>
          <w:ilvl w:val="0"/>
          <w:numId w:val="10"/>
        </w:numPr>
        <w:ind w:left="1276" w:hanging="425"/>
        <w:rPr>
          <w:sz w:val="24"/>
          <w:szCs w:val="24"/>
        </w:rPr>
      </w:pPr>
      <w:r w:rsidRPr="00D61C9C">
        <w:rPr>
          <w:sz w:val="24"/>
          <w:szCs w:val="24"/>
        </w:rPr>
        <w:t>I graviditetens tredje trimester (se pkt. 4.6).</w:t>
      </w:r>
    </w:p>
    <w:p w14:paraId="6701EF23" w14:textId="77777777" w:rsidR="00D4295A" w:rsidRPr="00D61C9C" w:rsidRDefault="00D4295A" w:rsidP="00EA5014">
      <w:pPr>
        <w:pStyle w:val="Listeafsnit"/>
        <w:numPr>
          <w:ilvl w:val="0"/>
          <w:numId w:val="10"/>
        </w:numPr>
        <w:ind w:left="1276" w:hanging="425"/>
        <w:rPr>
          <w:sz w:val="24"/>
          <w:szCs w:val="24"/>
        </w:rPr>
      </w:pPr>
      <w:bookmarkStart w:id="3" w:name="_Hlk210721227"/>
      <w:r w:rsidRPr="00D61C9C">
        <w:rPr>
          <w:sz w:val="24"/>
          <w:szCs w:val="24"/>
        </w:rPr>
        <w:t>Patienter med uafklarede bloddannelsesforstyrrelser.</w:t>
      </w:r>
    </w:p>
    <w:bookmarkEnd w:id="3"/>
    <w:p w14:paraId="50400242" w14:textId="03825F3B" w:rsidR="00D4295A" w:rsidRPr="00D61C9C" w:rsidRDefault="00D4295A" w:rsidP="00EA5014">
      <w:pPr>
        <w:pStyle w:val="Listeafsnit"/>
        <w:numPr>
          <w:ilvl w:val="0"/>
          <w:numId w:val="10"/>
        </w:numPr>
        <w:ind w:left="1276" w:hanging="425"/>
        <w:rPr>
          <w:sz w:val="24"/>
          <w:szCs w:val="24"/>
        </w:rPr>
      </w:pPr>
      <w:r w:rsidRPr="00D61C9C">
        <w:rPr>
          <w:sz w:val="24"/>
          <w:szCs w:val="24"/>
        </w:rPr>
        <w:t>Patienter med alvorlig dehydrering (pga. opkastning, diarré eller utilstrækkelig</w:t>
      </w:r>
      <w:r w:rsidR="00D61C9C">
        <w:rPr>
          <w:sz w:val="24"/>
          <w:szCs w:val="24"/>
        </w:rPr>
        <w:t>t</w:t>
      </w:r>
      <w:r w:rsidRPr="00D61C9C">
        <w:rPr>
          <w:sz w:val="24"/>
          <w:szCs w:val="24"/>
        </w:rPr>
        <w:t xml:space="preserve"> væskeindtag).</w:t>
      </w:r>
    </w:p>
    <w:p w14:paraId="7FC69E89" w14:textId="77777777" w:rsidR="009260DE" w:rsidRPr="00D61C9C" w:rsidRDefault="009260DE" w:rsidP="009260DE">
      <w:pPr>
        <w:tabs>
          <w:tab w:val="left" w:pos="851"/>
        </w:tabs>
        <w:ind w:left="851"/>
        <w:rPr>
          <w:sz w:val="24"/>
          <w:szCs w:val="24"/>
        </w:rPr>
      </w:pPr>
    </w:p>
    <w:p w14:paraId="01BCEAD4" w14:textId="77777777" w:rsidR="009260DE" w:rsidRPr="00D61C9C" w:rsidRDefault="009260DE" w:rsidP="009260DE">
      <w:pPr>
        <w:tabs>
          <w:tab w:val="left" w:pos="851"/>
        </w:tabs>
        <w:ind w:left="851" w:hanging="851"/>
        <w:rPr>
          <w:b/>
          <w:sz w:val="24"/>
          <w:szCs w:val="24"/>
        </w:rPr>
      </w:pPr>
      <w:r w:rsidRPr="00D61C9C">
        <w:rPr>
          <w:b/>
          <w:sz w:val="24"/>
          <w:szCs w:val="24"/>
        </w:rPr>
        <w:t>4.4</w:t>
      </w:r>
      <w:r w:rsidRPr="00D61C9C">
        <w:rPr>
          <w:b/>
          <w:sz w:val="24"/>
          <w:szCs w:val="24"/>
        </w:rPr>
        <w:tab/>
        <w:t>Særlige advarsler og forsigtighedsregler vedrørende brugen</w:t>
      </w:r>
    </w:p>
    <w:p w14:paraId="045DD395" w14:textId="77777777" w:rsidR="00D61C9C" w:rsidRDefault="00D61C9C" w:rsidP="00EA5014">
      <w:pPr>
        <w:ind w:left="851"/>
        <w:rPr>
          <w:sz w:val="24"/>
          <w:szCs w:val="24"/>
        </w:rPr>
      </w:pPr>
    </w:p>
    <w:p w14:paraId="0123C09C" w14:textId="3B8BFC60" w:rsidR="00D4295A" w:rsidRPr="00D61C9C" w:rsidRDefault="00D4295A" w:rsidP="00EA5014">
      <w:pPr>
        <w:ind w:left="851"/>
        <w:rPr>
          <w:sz w:val="24"/>
          <w:szCs w:val="24"/>
          <w:u w:val="single"/>
        </w:rPr>
      </w:pPr>
      <w:r w:rsidRPr="00D61C9C">
        <w:rPr>
          <w:sz w:val="24"/>
          <w:szCs w:val="24"/>
          <w:u w:val="single"/>
        </w:rPr>
        <w:t xml:space="preserve">Generelle forholdsregler </w:t>
      </w:r>
    </w:p>
    <w:p w14:paraId="53A0C6A9" w14:textId="77777777" w:rsidR="00D4295A" w:rsidRPr="00D61C9C" w:rsidRDefault="00D4295A" w:rsidP="00EA5014">
      <w:pPr>
        <w:ind w:left="851"/>
        <w:rPr>
          <w:sz w:val="24"/>
          <w:szCs w:val="24"/>
        </w:rPr>
      </w:pPr>
      <w:r w:rsidRPr="00D61C9C">
        <w:rPr>
          <w:sz w:val="24"/>
          <w:szCs w:val="24"/>
        </w:rPr>
        <w:t>Bivirkninger kan minimeres ved at bruge den laveste effektive dosis i kortest mulig tid, der er nødvendig for at kontrollere symptomerne (se pkt. 4.2 og gastrointestinale og kardiovaskulære påvirkninger nedenfor).</w:t>
      </w:r>
    </w:p>
    <w:p w14:paraId="59F21EC1" w14:textId="77777777" w:rsidR="00D4295A" w:rsidRPr="00D61C9C" w:rsidRDefault="00D4295A" w:rsidP="00EA5014">
      <w:pPr>
        <w:ind w:left="851"/>
        <w:rPr>
          <w:sz w:val="24"/>
          <w:szCs w:val="24"/>
        </w:rPr>
      </w:pPr>
    </w:p>
    <w:p w14:paraId="3892C3DB" w14:textId="77777777" w:rsidR="00D4295A" w:rsidRPr="00D61C9C" w:rsidRDefault="00D4295A" w:rsidP="00EA5014">
      <w:pPr>
        <w:ind w:left="851"/>
        <w:rPr>
          <w:sz w:val="24"/>
          <w:szCs w:val="24"/>
        </w:rPr>
      </w:pPr>
      <w:r w:rsidRPr="00D61C9C">
        <w:rPr>
          <w:sz w:val="24"/>
          <w:szCs w:val="24"/>
        </w:rPr>
        <w:t>Ved længere tids brug af smertestillende lægemidler kan der opstå hovedpine, som ikke må behandles med øgede doser af lægemidlet.</w:t>
      </w:r>
    </w:p>
    <w:p w14:paraId="7170780E" w14:textId="77777777" w:rsidR="00D4295A" w:rsidRPr="00D61C9C" w:rsidRDefault="00D4295A" w:rsidP="00EA5014">
      <w:pPr>
        <w:ind w:left="851"/>
        <w:rPr>
          <w:sz w:val="24"/>
          <w:szCs w:val="24"/>
        </w:rPr>
      </w:pPr>
    </w:p>
    <w:p w14:paraId="02BAA694" w14:textId="422DEBC0" w:rsidR="00D4295A" w:rsidRPr="00D61C9C" w:rsidRDefault="00D4295A" w:rsidP="00EA5014">
      <w:pPr>
        <w:ind w:left="851"/>
        <w:rPr>
          <w:sz w:val="24"/>
          <w:szCs w:val="24"/>
        </w:rPr>
      </w:pPr>
      <w:r w:rsidRPr="00D61C9C">
        <w:rPr>
          <w:sz w:val="24"/>
          <w:szCs w:val="24"/>
        </w:rPr>
        <w:t>Ved et samtidigt alkoholforbrug kan bivirkningerne forbundet med det aktive stof, især bivirkninger relateret til mave-tarm</w:t>
      </w:r>
      <w:r w:rsidR="000B6705">
        <w:rPr>
          <w:sz w:val="24"/>
          <w:szCs w:val="24"/>
        </w:rPr>
        <w:t>-</w:t>
      </w:r>
      <w:r w:rsidRPr="00D61C9C">
        <w:rPr>
          <w:sz w:val="24"/>
          <w:szCs w:val="24"/>
        </w:rPr>
        <w:t>kanalen eller centralnervesystemet, blive forstærket efter brug af NSAID.</w:t>
      </w:r>
    </w:p>
    <w:p w14:paraId="4D95280C" w14:textId="77777777" w:rsidR="00D4295A" w:rsidRPr="00D61C9C" w:rsidRDefault="00D4295A" w:rsidP="00EA5014">
      <w:pPr>
        <w:ind w:left="851"/>
        <w:rPr>
          <w:sz w:val="24"/>
          <w:szCs w:val="24"/>
        </w:rPr>
      </w:pPr>
    </w:p>
    <w:p w14:paraId="6E2E3B9C" w14:textId="77777777" w:rsidR="00D4295A" w:rsidRPr="00D61C9C" w:rsidRDefault="00D4295A" w:rsidP="00EA5014">
      <w:pPr>
        <w:ind w:left="851"/>
        <w:rPr>
          <w:bCs/>
          <w:sz w:val="24"/>
          <w:szCs w:val="24"/>
        </w:rPr>
      </w:pPr>
      <w:r w:rsidRPr="00D61C9C">
        <w:rPr>
          <w:bCs/>
          <w:sz w:val="24"/>
          <w:szCs w:val="24"/>
        </w:rPr>
        <w:t>Der er tegn på, at lægemidler, der hæmmer cyclooxygenase/prostaglandinsyntesen, kan nedsætte fertiliteten hos kvinder gennem påvirkning af ovulationen. Dette er reversibelt ved seponering af behandlingen.</w:t>
      </w:r>
    </w:p>
    <w:p w14:paraId="05EDFCA5" w14:textId="77777777" w:rsidR="00D4295A" w:rsidRPr="00D61C9C" w:rsidRDefault="00D4295A" w:rsidP="00EA5014">
      <w:pPr>
        <w:ind w:left="851"/>
        <w:rPr>
          <w:sz w:val="24"/>
          <w:szCs w:val="24"/>
        </w:rPr>
      </w:pPr>
    </w:p>
    <w:p w14:paraId="16020B67" w14:textId="77777777" w:rsidR="00D4295A" w:rsidRPr="00D61C9C" w:rsidRDefault="00D4295A" w:rsidP="00EA5014">
      <w:pPr>
        <w:ind w:left="851"/>
        <w:rPr>
          <w:sz w:val="24"/>
          <w:szCs w:val="24"/>
          <w:u w:val="single"/>
        </w:rPr>
      </w:pPr>
      <w:r w:rsidRPr="00D61C9C">
        <w:rPr>
          <w:sz w:val="24"/>
          <w:szCs w:val="24"/>
          <w:u w:val="single"/>
        </w:rPr>
        <w:t>Kardiovaskulære virkninger</w:t>
      </w:r>
    </w:p>
    <w:p w14:paraId="677C3081" w14:textId="77777777" w:rsidR="00D4295A" w:rsidRPr="00D61C9C" w:rsidRDefault="00D4295A" w:rsidP="00EA5014">
      <w:pPr>
        <w:ind w:left="851"/>
        <w:rPr>
          <w:sz w:val="24"/>
          <w:szCs w:val="24"/>
        </w:rPr>
      </w:pPr>
      <w:r w:rsidRPr="00D61C9C">
        <w:rPr>
          <w:sz w:val="24"/>
          <w:szCs w:val="24"/>
        </w:rPr>
        <w:t>Passende monitorering og rådgivning er påkrævet hos patienter med hypertension og/eller let til moderat hjertesvigt i anamnesen, da væskeretention og ødem er blevet rapporteret i forbindelse med NSAID-behandling.</w:t>
      </w:r>
    </w:p>
    <w:p w14:paraId="225DA6A6" w14:textId="77777777" w:rsidR="00D4295A" w:rsidRPr="00D61C9C" w:rsidRDefault="00D4295A" w:rsidP="00EA5014">
      <w:pPr>
        <w:ind w:left="851"/>
        <w:rPr>
          <w:sz w:val="24"/>
          <w:szCs w:val="24"/>
        </w:rPr>
      </w:pPr>
    </w:p>
    <w:p w14:paraId="7DCEE35A" w14:textId="73BC46E8" w:rsidR="00D4295A" w:rsidRPr="00D61C9C" w:rsidRDefault="00D4295A" w:rsidP="00EA5014">
      <w:pPr>
        <w:ind w:left="851"/>
        <w:rPr>
          <w:sz w:val="24"/>
          <w:szCs w:val="24"/>
        </w:rPr>
      </w:pPr>
      <w:r w:rsidRPr="00D61C9C">
        <w:rPr>
          <w:sz w:val="24"/>
          <w:szCs w:val="24"/>
        </w:rPr>
        <w:t>Kliniske studier tyder på, at ibuprofen, specielt ved høje doser (2.400 mg/dag), kan være forbundet med en let øget risiko for arterielle trombotiske hændelser (</w:t>
      </w:r>
      <w:r w:rsidR="000B6705">
        <w:rPr>
          <w:sz w:val="24"/>
          <w:szCs w:val="24"/>
        </w:rPr>
        <w:t>f.eks.</w:t>
      </w:r>
      <w:r w:rsidRPr="00D61C9C">
        <w:rPr>
          <w:sz w:val="24"/>
          <w:szCs w:val="24"/>
        </w:rPr>
        <w:t xml:space="preserve"> myokardieinfarkt eller apopleksi). Samlet set tyder epidemiologiske studier ikke på, at lave doser ibuprofen (</w:t>
      </w:r>
      <w:r w:rsidR="000B6705">
        <w:rPr>
          <w:sz w:val="24"/>
          <w:szCs w:val="24"/>
        </w:rPr>
        <w:t>f.eks.</w:t>
      </w:r>
      <w:r w:rsidRPr="00D61C9C">
        <w:rPr>
          <w:sz w:val="24"/>
          <w:szCs w:val="24"/>
        </w:rPr>
        <w:t xml:space="preserve"> ≤ 1.200 mg/dag) er forbundet med en øget risiko for arterielle trombotiske hændelser.</w:t>
      </w:r>
    </w:p>
    <w:p w14:paraId="04F4E49E" w14:textId="77777777" w:rsidR="00D4295A" w:rsidRPr="00D61C9C" w:rsidRDefault="00D4295A" w:rsidP="00EA5014">
      <w:pPr>
        <w:ind w:left="851"/>
        <w:rPr>
          <w:sz w:val="24"/>
          <w:szCs w:val="24"/>
        </w:rPr>
      </w:pPr>
    </w:p>
    <w:p w14:paraId="41F32AAF" w14:textId="77777777" w:rsidR="00D4295A" w:rsidRPr="00D61C9C" w:rsidRDefault="00D4295A" w:rsidP="00EA5014">
      <w:pPr>
        <w:ind w:left="851"/>
        <w:rPr>
          <w:sz w:val="24"/>
          <w:szCs w:val="24"/>
        </w:rPr>
      </w:pPr>
      <w:r w:rsidRPr="00D61C9C">
        <w:rPr>
          <w:sz w:val="24"/>
          <w:szCs w:val="24"/>
        </w:rPr>
        <w:t xml:space="preserve">Patienter med ukontrolleret hypertension, kongestiv hjerteinsufficiens (NYHA II-III), bekræftet iskæmisk hjertesygdom, perifer arteriesygdom og/eller cerebrovaskulær sygdom bør kun behandles med ibuprofen efter nøje overvejelse, og høje doser (2400 mg/dag) bør undgås. </w:t>
      </w:r>
    </w:p>
    <w:p w14:paraId="28B958A3" w14:textId="77777777" w:rsidR="00D4295A" w:rsidRPr="00D61C9C" w:rsidRDefault="00D4295A" w:rsidP="00EA5014">
      <w:pPr>
        <w:ind w:left="851"/>
        <w:rPr>
          <w:sz w:val="24"/>
          <w:szCs w:val="24"/>
        </w:rPr>
      </w:pPr>
    </w:p>
    <w:p w14:paraId="698A2F9E" w14:textId="281BB2F0" w:rsidR="00D4295A" w:rsidRPr="00D61C9C" w:rsidRDefault="00D4295A" w:rsidP="00EA5014">
      <w:pPr>
        <w:ind w:left="851"/>
        <w:rPr>
          <w:sz w:val="24"/>
          <w:szCs w:val="24"/>
        </w:rPr>
      </w:pPr>
      <w:r w:rsidRPr="00D61C9C">
        <w:rPr>
          <w:sz w:val="24"/>
          <w:szCs w:val="24"/>
        </w:rPr>
        <w:t>Initiering af langvarig behandling hos patienter med risikofaktorer for kardiovaskulære hændelser (</w:t>
      </w:r>
      <w:r w:rsidR="000B6705">
        <w:rPr>
          <w:sz w:val="24"/>
          <w:szCs w:val="24"/>
        </w:rPr>
        <w:t>f.eks.</w:t>
      </w:r>
      <w:r w:rsidRPr="00D61C9C">
        <w:rPr>
          <w:sz w:val="24"/>
          <w:szCs w:val="24"/>
        </w:rPr>
        <w:t xml:space="preserve"> hypertension, hyperlipidæmi, diabetes mellitus, rygning) skal også nøje overvejes, særligt hvis høje ibuprofendoser (2.400 mg/dag) er nødvendige.</w:t>
      </w:r>
    </w:p>
    <w:p w14:paraId="7551A865" w14:textId="77777777" w:rsidR="00D4295A" w:rsidRPr="00D61C9C" w:rsidRDefault="00D4295A" w:rsidP="00EA5014">
      <w:pPr>
        <w:ind w:left="851"/>
        <w:rPr>
          <w:sz w:val="24"/>
          <w:szCs w:val="24"/>
        </w:rPr>
      </w:pPr>
    </w:p>
    <w:p w14:paraId="58B62F63" w14:textId="77777777" w:rsidR="00D4295A" w:rsidRPr="00D61C9C" w:rsidRDefault="00D4295A" w:rsidP="00EA5014">
      <w:pPr>
        <w:ind w:left="851"/>
        <w:rPr>
          <w:sz w:val="24"/>
          <w:szCs w:val="24"/>
        </w:rPr>
      </w:pPr>
      <w:r w:rsidRPr="00D61C9C">
        <w:rPr>
          <w:sz w:val="24"/>
          <w:szCs w:val="24"/>
        </w:rPr>
        <w:t>Forsigtighed er påkrævet ved behandling af patienter med hypertension og/eller hjertesvigt i anamnesen, da væskeretention og ødem er blevet rapporteret i forbindelse med NSAID-behandling.</w:t>
      </w:r>
    </w:p>
    <w:p w14:paraId="6044DD2D" w14:textId="77777777" w:rsidR="00D4295A" w:rsidRPr="00D61C9C" w:rsidRDefault="00D4295A" w:rsidP="00EA5014">
      <w:pPr>
        <w:ind w:left="851"/>
        <w:rPr>
          <w:sz w:val="24"/>
          <w:szCs w:val="24"/>
        </w:rPr>
      </w:pPr>
    </w:p>
    <w:p w14:paraId="4CE5FCFC" w14:textId="77777777" w:rsidR="00D4295A" w:rsidRPr="00D61C9C" w:rsidRDefault="00D4295A" w:rsidP="00EA5014">
      <w:pPr>
        <w:ind w:left="851"/>
        <w:rPr>
          <w:sz w:val="24"/>
          <w:szCs w:val="24"/>
        </w:rPr>
      </w:pPr>
      <w:r w:rsidRPr="00D61C9C">
        <w:rPr>
          <w:sz w:val="24"/>
          <w:szCs w:val="24"/>
        </w:rPr>
        <w:t xml:space="preserve">Der er rapporteret om tilfælde af Kounis syndrom hos patienter behandlet med ibuprofen. </w:t>
      </w:r>
    </w:p>
    <w:p w14:paraId="2E273021" w14:textId="77777777" w:rsidR="00D4295A" w:rsidRPr="00D61C9C" w:rsidRDefault="00D4295A" w:rsidP="00EA5014">
      <w:pPr>
        <w:ind w:left="851"/>
        <w:rPr>
          <w:sz w:val="24"/>
          <w:szCs w:val="24"/>
        </w:rPr>
      </w:pPr>
      <w:r w:rsidRPr="00D61C9C">
        <w:rPr>
          <w:sz w:val="24"/>
          <w:szCs w:val="24"/>
        </w:rPr>
        <w:t>Kounis syndrom er blevet defineret som kardiovaskulære symptomer, der er sekundære til en allergisk reaktion eller overfølsomhedsreaktion forbundet med en forsnævring af kranspulsårerne, og som potentielt kan føre til myokardieinfarkt.</w:t>
      </w:r>
    </w:p>
    <w:p w14:paraId="10C05CC4" w14:textId="77777777" w:rsidR="00D4295A" w:rsidRPr="00D61C9C" w:rsidRDefault="00D4295A" w:rsidP="00EA5014">
      <w:pPr>
        <w:ind w:left="851"/>
        <w:rPr>
          <w:sz w:val="24"/>
          <w:szCs w:val="24"/>
        </w:rPr>
      </w:pPr>
    </w:p>
    <w:p w14:paraId="3EB394C8" w14:textId="77777777" w:rsidR="00D4295A" w:rsidRPr="00D61C9C" w:rsidRDefault="00D4295A" w:rsidP="00EA5014">
      <w:pPr>
        <w:ind w:left="851"/>
        <w:rPr>
          <w:sz w:val="24"/>
          <w:szCs w:val="24"/>
          <w:u w:val="single"/>
        </w:rPr>
      </w:pPr>
      <w:r w:rsidRPr="00D61C9C">
        <w:rPr>
          <w:sz w:val="24"/>
          <w:szCs w:val="24"/>
          <w:u w:val="single"/>
        </w:rPr>
        <w:t>Gastrointestinal blødning, ulcus, perforation af tarmen:</w:t>
      </w:r>
    </w:p>
    <w:p w14:paraId="0A5FA4BC" w14:textId="77777777" w:rsidR="00D4295A" w:rsidRPr="00D61C9C" w:rsidRDefault="00D4295A" w:rsidP="00EA5014">
      <w:pPr>
        <w:ind w:left="851"/>
        <w:rPr>
          <w:sz w:val="24"/>
          <w:szCs w:val="24"/>
        </w:rPr>
      </w:pPr>
      <w:r w:rsidRPr="00D61C9C">
        <w:rPr>
          <w:sz w:val="24"/>
          <w:szCs w:val="24"/>
        </w:rPr>
        <w:t>Der er en klar sammenhæng mellem dosis og alvorlige gastrointestinale blødninger. Samtidig administration af ibuprofen og andre NSAID’er, herunder selektive cyclooxygenase-2 (COX-</w:t>
      </w:r>
      <w:proofErr w:type="gramStart"/>
      <w:r w:rsidRPr="00D61C9C">
        <w:rPr>
          <w:sz w:val="24"/>
          <w:szCs w:val="24"/>
        </w:rPr>
        <w:t>2)-</w:t>
      </w:r>
      <w:proofErr w:type="gramEnd"/>
      <w:r w:rsidRPr="00D61C9C">
        <w:rPr>
          <w:sz w:val="24"/>
          <w:szCs w:val="24"/>
        </w:rPr>
        <w:t>hæmmere, bør undgås.</w:t>
      </w:r>
    </w:p>
    <w:p w14:paraId="123F7F3D" w14:textId="77777777" w:rsidR="00D4295A" w:rsidRPr="00D61C9C" w:rsidRDefault="00D4295A" w:rsidP="00EA5014">
      <w:pPr>
        <w:ind w:left="851"/>
        <w:rPr>
          <w:sz w:val="24"/>
          <w:szCs w:val="24"/>
        </w:rPr>
      </w:pPr>
    </w:p>
    <w:p w14:paraId="290110D1" w14:textId="77777777" w:rsidR="00D4295A" w:rsidRPr="00D61C9C" w:rsidRDefault="00D4295A" w:rsidP="00EA5014">
      <w:pPr>
        <w:ind w:left="851"/>
        <w:rPr>
          <w:sz w:val="24"/>
          <w:szCs w:val="24"/>
        </w:rPr>
      </w:pPr>
      <w:r w:rsidRPr="00D61C9C">
        <w:rPr>
          <w:sz w:val="24"/>
          <w:szCs w:val="24"/>
        </w:rPr>
        <w:t>Ældre patienter har større risiko for at opleve uønskede virkninger, når de behandles med et NSAID, især gastrointestinal blødning og perforation, som kan være dødelig.</w:t>
      </w:r>
    </w:p>
    <w:p w14:paraId="28EEEA9C" w14:textId="77777777" w:rsidR="00D4295A" w:rsidRPr="00D61C9C" w:rsidRDefault="00D4295A" w:rsidP="00EA5014">
      <w:pPr>
        <w:ind w:left="851"/>
        <w:rPr>
          <w:sz w:val="24"/>
          <w:szCs w:val="24"/>
        </w:rPr>
      </w:pPr>
    </w:p>
    <w:p w14:paraId="70AB1D7D" w14:textId="77777777" w:rsidR="00D4295A" w:rsidRPr="00D61C9C" w:rsidRDefault="00D4295A" w:rsidP="00EA5014">
      <w:pPr>
        <w:ind w:left="851"/>
        <w:rPr>
          <w:sz w:val="24"/>
          <w:szCs w:val="24"/>
        </w:rPr>
      </w:pPr>
      <w:r w:rsidRPr="00D61C9C">
        <w:rPr>
          <w:sz w:val="24"/>
          <w:szCs w:val="24"/>
        </w:rPr>
        <w:t>Potentielt dødelig gastrointestinal blødning, ulceration og perforation er rapporteret i forbindelse med behandling med alle typer NSAID på ethvert tidspunkt under behandlingen, med eller uden advarselssymptomer eller tidligere episoder med alvorlige gastrointestinale hændelser.</w:t>
      </w:r>
    </w:p>
    <w:p w14:paraId="16D187FF" w14:textId="77777777" w:rsidR="00D4295A" w:rsidRPr="00D61C9C" w:rsidRDefault="00D4295A" w:rsidP="00EA5014">
      <w:pPr>
        <w:ind w:left="851"/>
        <w:rPr>
          <w:sz w:val="24"/>
          <w:szCs w:val="24"/>
        </w:rPr>
      </w:pPr>
    </w:p>
    <w:p w14:paraId="7F5B0E49" w14:textId="77777777" w:rsidR="00D4295A" w:rsidRPr="00D61C9C" w:rsidRDefault="00D4295A" w:rsidP="00EA5014">
      <w:pPr>
        <w:ind w:left="851"/>
        <w:rPr>
          <w:sz w:val="24"/>
          <w:szCs w:val="24"/>
        </w:rPr>
      </w:pPr>
      <w:r w:rsidRPr="00D61C9C">
        <w:rPr>
          <w:sz w:val="24"/>
          <w:szCs w:val="24"/>
        </w:rPr>
        <w:t>Risikoen for gastrointestinal blødning, ulceration eller perforation er øget ved højere doser af NSAID, hos patienter med ulcus i anamnesen, særligt med samtidig blødning eller perforation (se pkt. 4.3) og hos ældre. Patienter med ovennævnte risikofaktorer bør påbegynde behandling med den lavest mulige dosis.</w:t>
      </w:r>
    </w:p>
    <w:p w14:paraId="633FFFC0" w14:textId="77777777" w:rsidR="00D4295A" w:rsidRPr="00D61C9C" w:rsidRDefault="00D4295A" w:rsidP="00EA5014">
      <w:pPr>
        <w:ind w:left="851"/>
        <w:rPr>
          <w:sz w:val="24"/>
          <w:szCs w:val="24"/>
        </w:rPr>
      </w:pPr>
    </w:p>
    <w:p w14:paraId="2943650F" w14:textId="76BA0734" w:rsidR="00D4295A" w:rsidRPr="00D61C9C" w:rsidRDefault="00D4295A" w:rsidP="00EA5014">
      <w:pPr>
        <w:ind w:left="851"/>
        <w:rPr>
          <w:sz w:val="24"/>
          <w:szCs w:val="24"/>
        </w:rPr>
      </w:pPr>
      <w:r w:rsidRPr="00D61C9C">
        <w:rPr>
          <w:sz w:val="24"/>
          <w:szCs w:val="24"/>
        </w:rPr>
        <w:t>Behandling med slimhindebeskyttende midler (f.eks. misoprostol eller protonpumpe</w:t>
      </w:r>
      <w:r w:rsidR="000B6705">
        <w:rPr>
          <w:sz w:val="24"/>
          <w:szCs w:val="24"/>
        </w:rPr>
        <w:softHyphen/>
      </w:r>
      <w:r w:rsidRPr="00D61C9C">
        <w:rPr>
          <w:sz w:val="24"/>
          <w:szCs w:val="24"/>
        </w:rPr>
        <w:t>hæmmere) bør overvejes til disse patienter samt til patienter med behov for samtidig behandling med lave doser acetylsalicylsyre eller andre stoffer, som sandsynligt vil øge risikoen for gastrointestinale bivirkninger (se nedenstående og pkt. 4.5).</w:t>
      </w:r>
    </w:p>
    <w:p w14:paraId="1988B10A" w14:textId="77777777" w:rsidR="00D4295A" w:rsidRPr="00D61C9C" w:rsidRDefault="00D4295A" w:rsidP="00EA5014">
      <w:pPr>
        <w:ind w:left="851"/>
        <w:rPr>
          <w:sz w:val="24"/>
          <w:szCs w:val="24"/>
        </w:rPr>
      </w:pPr>
    </w:p>
    <w:p w14:paraId="2BFC9624" w14:textId="77777777" w:rsidR="00D4295A" w:rsidRPr="00D61C9C" w:rsidRDefault="00D4295A" w:rsidP="00EA5014">
      <w:pPr>
        <w:ind w:left="851"/>
        <w:rPr>
          <w:sz w:val="24"/>
          <w:szCs w:val="24"/>
        </w:rPr>
      </w:pPr>
      <w:r w:rsidRPr="00D61C9C">
        <w:rPr>
          <w:sz w:val="24"/>
          <w:szCs w:val="24"/>
        </w:rPr>
        <w:t>Patienter med en anamnese med gastrointestinal toksicitet, især ældre patienter, bør rapportere alle usædvanlige abdominale symptomer (især gastrointestinal blødning), særligt i de indledende stadier af behandlingen, og hvis sådanne symptomer opstår, skal de søge lægehjælp.</w:t>
      </w:r>
    </w:p>
    <w:p w14:paraId="14189DD3" w14:textId="77777777" w:rsidR="00D4295A" w:rsidRPr="00D61C9C" w:rsidRDefault="00D4295A" w:rsidP="00EA5014">
      <w:pPr>
        <w:ind w:left="851"/>
        <w:rPr>
          <w:sz w:val="24"/>
          <w:szCs w:val="24"/>
        </w:rPr>
      </w:pPr>
    </w:p>
    <w:p w14:paraId="0F6B6AB7" w14:textId="77777777" w:rsidR="00D4295A" w:rsidRPr="00D61C9C" w:rsidRDefault="00D4295A" w:rsidP="00EA5014">
      <w:pPr>
        <w:ind w:left="851"/>
        <w:rPr>
          <w:sz w:val="24"/>
          <w:szCs w:val="24"/>
        </w:rPr>
      </w:pPr>
      <w:r w:rsidRPr="00D61C9C">
        <w:rPr>
          <w:sz w:val="24"/>
          <w:szCs w:val="24"/>
        </w:rPr>
        <w:t>Forsigtighed tilrådes hos patienter, som samtidig får lægemidler, der måske kan øge risikoen for ulcus eller blødning, såsom orale kortikosteroider, antikoagulantia såsom warfarin, selektive serotoningenoptagshæmmere eller trombocythæmmende midler såsom acetylsalicylsyre (se pkt. 4.5).</w:t>
      </w:r>
    </w:p>
    <w:p w14:paraId="26E9B7C3" w14:textId="77777777" w:rsidR="00D4295A" w:rsidRPr="00D61C9C" w:rsidRDefault="00D4295A" w:rsidP="00EA5014">
      <w:pPr>
        <w:ind w:left="851"/>
        <w:rPr>
          <w:sz w:val="24"/>
          <w:szCs w:val="24"/>
        </w:rPr>
      </w:pPr>
    </w:p>
    <w:p w14:paraId="6F3B800A" w14:textId="77777777" w:rsidR="00D4295A" w:rsidRPr="00D61C9C" w:rsidRDefault="00D4295A" w:rsidP="00EA5014">
      <w:pPr>
        <w:ind w:left="851"/>
        <w:rPr>
          <w:sz w:val="24"/>
          <w:szCs w:val="24"/>
        </w:rPr>
      </w:pPr>
      <w:r w:rsidRPr="00D61C9C">
        <w:rPr>
          <w:sz w:val="24"/>
          <w:szCs w:val="24"/>
        </w:rPr>
        <w:t>Behandling med ibuprofen bør seponeres, hvis patienten lider af gastrointestinal blødning eller ulceration.</w:t>
      </w:r>
    </w:p>
    <w:p w14:paraId="58ABF56B" w14:textId="77777777" w:rsidR="00D4295A" w:rsidRPr="00D61C9C" w:rsidRDefault="00D4295A" w:rsidP="00EA5014">
      <w:pPr>
        <w:ind w:left="851"/>
        <w:rPr>
          <w:sz w:val="24"/>
          <w:szCs w:val="24"/>
        </w:rPr>
      </w:pPr>
    </w:p>
    <w:p w14:paraId="57F2F864" w14:textId="77777777" w:rsidR="00D4295A" w:rsidRPr="00D61C9C" w:rsidRDefault="00D4295A" w:rsidP="00EA5014">
      <w:pPr>
        <w:ind w:left="851"/>
        <w:rPr>
          <w:sz w:val="24"/>
          <w:szCs w:val="24"/>
        </w:rPr>
      </w:pPr>
      <w:r w:rsidRPr="00D61C9C">
        <w:rPr>
          <w:sz w:val="24"/>
          <w:szCs w:val="24"/>
        </w:rPr>
        <w:t>NSAID bør gives med forsigtighed til patienter, der har gastrointestinale lidelser i anamnesen f.eks. colitis ulcerosa og Crohns sygdom, da disse sygdomme kan blive forværret (se pkt. 4.8).</w:t>
      </w:r>
    </w:p>
    <w:p w14:paraId="1F2FEB19" w14:textId="59B349A7" w:rsidR="000B6705" w:rsidRDefault="000B6705">
      <w:pPr>
        <w:rPr>
          <w:bCs/>
          <w:sz w:val="24"/>
          <w:szCs w:val="24"/>
        </w:rPr>
      </w:pPr>
      <w:r>
        <w:rPr>
          <w:bCs/>
          <w:sz w:val="24"/>
          <w:szCs w:val="24"/>
        </w:rPr>
        <w:br w:type="page"/>
      </w:r>
    </w:p>
    <w:p w14:paraId="4E1D7DEF" w14:textId="77777777" w:rsidR="00D4295A" w:rsidRPr="00D61C9C" w:rsidRDefault="00D4295A" w:rsidP="00EA5014">
      <w:pPr>
        <w:ind w:left="851"/>
        <w:rPr>
          <w:bCs/>
          <w:sz w:val="24"/>
          <w:szCs w:val="24"/>
        </w:rPr>
      </w:pPr>
    </w:p>
    <w:p w14:paraId="0C5ADE99" w14:textId="77777777" w:rsidR="00D4295A" w:rsidRPr="00D61C9C" w:rsidRDefault="00D4295A" w:rsidP="00EA5014">
      <w:pPr>
        <w:ind w:left="851"/>
        <w:rPr>
          <w:bCs/>
          <w:sz w:val="24"/>
          <w:szCs w:val="24"/>
          <w:u w:val="single"/>
        </w:rPr>
      </w:pPr>
      <w:r w:rsidRPr="00D61C9C">
        <w:rPr>
          <w:bCs/>
          <w:sz w:val="24"/>
          <w:szCs w:val="24"/>
          <w:u w:val="single"/>
        </w:rPr>
        <w:t>Virkning på nyrefunktionen</w:t>
      </w:r>
    </w:p>
    <w:p w14:paraId="151A561F" w14:textId="77777777" w:rsidR="00D4295A" w:rsidRPr="00D61C9C" w:rsidRDefault="00D4295A" w:rsidP="00EA5014">
      <w:pPr>
        <w:ind w:left="851"/>
        <w:rPr>
          <w:sz w:val="24"/>
          <w:szCs w:val="24"/>
        </w:rPr>
      </w:pPr>
      <w:r w:rsidRPr="00D61C9C">
        <w:rPr>
          <w:sz w:val="24"/>
          <w:szCs w:val="24"/>
        </w:rPr>
        <w:t>Der bør udvises forsigtighed ved behandling af dehydrerede patienter. Der er risiko for nedsat nyrefunktion, især hos dehydrerede unge og ældre.</w:t>
      </w:r>
    </w:p>
    <w:p w14:paraId="32668EAD" w14:textId="77777777" w:rsidR="00D4295A" w:rsidRPr="00D61C9C" w:rsidRDefault="00D4295A" w:rsidP="00EA5014">
      <w:pPr>
        <w:ind w:left="851"/>
        <w:rPr>
          <w:sz w:val="24"/>
          <w:szCs w:val="24"/>
        </w:rPr>
      </w:pPr>
    </w:p>
    <w:p w14:paraId="237C4FA7" w14:textId="77777777" w:rsidR="00D4295A" w:rsidRPr="00D61C9C" w:rsidRDefault="00D4295A" w:rsidP="00EA5014">
      <w:pPr>
        <w:ind w:left="851"/>
        <w:rPr>
          <w:sz w:val="24"/>
          <w:szCs w:val="24"/>
        </w:rPr>
      </w:pPr>
      <w:r w:rsidRPr="00D61C9C">
        <w:rPr>
          <w:sz w:val="24"/>
          <w:szCs w:val="24"/>
        </w:rPr>
        <w:t>Som for andre NSAID’er kan langtidsbehandling med ibuprofen resultere i papillær nekrose og andre patologiske ændringer i nyrerne. Nyretoksicitet er også set hos patienter, hos hvem prostaglandiner fra nyren har en kompensatorisk rolle i vedligeholdelsen af nyrens blodgennemstrømning. Hos disse patienter kan administration af et NSAID forårsage en dosisafhængig reduktion i dannelsen af prostaglandiner og for det andet i nyrernes blodgennemstrømning, hvilket kan forårsage nyresvigt. De patienter, som har størst risiko for dette, er patienter med nedsat nyrefunktion, hjerteinsufficiens, leverdysfunktion, ældre og patienter i behandling med diuretika eller ACE-hæmmere. Symptomerne er sædvanligvis reversible efter seponering af NSAID.</w:t>
      </w:r>
    </w:p>
    <w:p w14:paraId="7308741C" w14:textId="77777777" w:rsidR="00D4295A" w:rsidRPr="00D61C9C" w:rsidRDefault="00D4295A" w:rsidP="00EA5014">
      <w:pPr>
        <w:ind w:left="851"/>
        <w:rPr>
          <w:sz w:val="24"/>
          <w:szCs w:val="24"/>
        </w:rPr>
      </w:pPr>
    </w:p>
    <w:p w14:paraId="265B4A16" w14:textId="77777777" w:rsidR="00D4295A" w:rsidRPr="00D61C9C" w:rsidRDefault="00D4295A" w:rsidP="00EA5014">
      <w:pPr>
        <w:ind w:left="851"/>
        <w:rPr>
          <w:sz w:val="24"/>
          <w:szCs w:val="24"/>
        </w:rPr>
      </w:pPr>
      <w:r w:rsidRPr="00D61C9C">
        <w:rPr>
          <w:sz w:val="24"/>
          <w:szCs w:val="24"/>
        </w:rPr>
        <w:t>Hos patienter med nedsat nyre-, lever- eller hjertefunktion skal den lavest mulige effektive dosis anvendes og i så kort tid som muligt, og nyrefunktionen bør monitoreres, især hos patienter i langvarig behandling (se også pkt. 4.3).</w:t>
      </w:r>
    </w:p>
    <w:p w14:paraId="173607D6" w14:textId="77777777" w:rsidR="00D4295A" w:rsidRPr="00D61C9C" w:rsidRDefault="00D4295A" w:rsidP="00EA5014">
      <w:pPr>
        <w:ind w:left="851"/>
        <w:rPr>
          <w:sz w:val="24"/>
          <w:szCs w:val="24"/>
        </w:rPr>
      </w:pPr>
    </w:p>
    <w:p w14:paraId="0ED7480E" w14:textId="77777777" w:rsidR="00D4295A" w:rsidRPr="00D61C9C" w:rsidRDefault="00D4295A" w:rsidP="00EA5014">
      <w:pPr>
        <w:ind w:left="851"/>
        <w:rPr>
          <w:sz w:val="24"/>
          <w:szCs w:val="24"/>
          <w:u w:val="single"/>
        </w:rPr>
      </w:pPr>
      <w:r w:rsidRPr="00D61C9C">
        <w:rPr>
          <w:sz w:val="24"/>
          <w:szCs w:val="24"/>
          <w:u w:val="single"/>
        </w:rPr>
        <w:t>Hæmatologiske påvirkninger</w:t>
      </w:r>
    </w:p>
    <w:p w14:paraId="73F3F41C" w14:textId="77777777" w:rsidR="00D4295A" w:rsidRPr="00D61C9C" w:rsidRDefault="00D4295A" w:rsidP="00EA5014">
      <w:pPr>
        <w:ind w:left="851"/>
        <w:rPr>
          <w:sz w:val="24"/>
          <w:szCs w:val="24"/>
        </w:rPr>
      </w:pPr>
      <w:r w:rsidRPr="00D61C9C">
        <w:rPr>
          <w:sz w:val="24"/>
          <w:szCs w:val="24"/>
        </w:rPr>
        <w:t>Ibuprofen kan hæmme trombocytaggregationen, hvilket resulterer i forlængelse af blødningstiden.</w:t>
      </w:r>
    </w:p>
    <w:p w14:paraId="70E8CAC2" w14:textId="77777777" w:rsidR="00D4295A" w:rsidRPr="00D61C9C" w:rsidRDefault="00D4295A" w:rsidP="00EA5014">
      <w:pPr>
        <w:ind w:left="851"/>
        <w:rPr>
          <w:sz w:val="24"/>
          <w:szCs w:val="24"/>
        </w:rPr>
      </w:pPr>
    </w:p>
    <w:p w14:paraId="2DB76698" w14:textId="77777777" w:rsidR="00D4295A" w:rsidRPr="00D61C9C" w:rsidRDefault="00D4295A" w:rsidP="00EA5014">
      <w:pPr>
        <w:ind w:left="851"/>
        <w:rPr>
          <w:sz w:val="24"/>
          <w:szCs w:val="24"/>
          <w:u w:val="single"/>
        </w:rPr>
      </w:pPr>
      <w:r w:rsidRPr="00D61C9C">
        <w:rPr>
          <w:sz w:val="24"/>
          <w:szCs w:val="24"/>
          <w:u w:val="single"/>
        </w:rPr>
        <w:t>Respiratoriske lidelser</w:t>
      </w:r>
    </w:p>
    <w:p w14:paraId="6FE7A145" w14:textId="77777777" w:rsidR="00D4295A" w:rsidRPr="00D61C9C" w:rsidRDefault="00D4295A" w:rsidP="00EA5014">
      <w:pPr>
        <w:ind w:left="851"/>
        <w:rPr>
          <w:sz w:val="24"/>
          <w:szCs w:val="24"/>
        </w:rPr>
      </w:pPr>
      <w:r w:rsidRPr="00D61C9C">
        <w:rPr>
          <w:sz w:val="24"/>
          <w:szCs w:val="24"/>
        </w:rPr>
        <w:t>Forsigtighed tilrådes, hvis ibuprofen administreres til patienter med bronkial astma, kronisk rhinitis eller allergiske sygdomme, da ibuprofen kan forårsage bronkospasme, urticaria eller angioødem hos sådanne patienter.</w:t>
      </w:r>
    </w:p>
    <w:p w14:paraId="2422BBEB" w14:textId="77777777" w:rsidR="00D4295A" w:rsidRPr="00D61C9C" w:rsidRDefault="00D4295A" w:rsidP="00EA5014">
      <w:pPr>
        <w:ind w:left="851"/>
        <w:rPr>
          <w:sz w:val="24"/>
          <w:szCs w:val="24"/>
        </w:rPr>
      </w:pPr>
    </w:p>
    <w:p w14:paraId="638FF6EB" w14:textId="77777777" w:rsidR="00D4295A" w:rsidRPr="00D61C9C" w:rsidRDefault="00D4295A" w:rsidP="00EA5014">
      <w:pPr>
        <w:ind w:left="851"/>
        <w:rPr>
          <w:sz w:val="24"/>
          <w:szCs w:val="24"/>
          <w:u w:val="single"/>
        </w:rPr>
      </w:pPr>
      <w:r w:rsidRPr="00D61C9C">
        <w:rPr>
          <w:sz w:val="24"/>
          <w:szCs w:val="24"/>
          <w:u w:val="single"/>
        </w:rPr>
        <w:t>Alvorlige kutane bivirkninger (SCAR’er)</w:t>
      </w:r>
    </w:p>
    <w:p w14:paraId="1E3B4AD5" w14:textId="1E8AB367" w:rsidR="00D4295A" w:rsidRPr="00D61C9C" w:rsidRDefault="00D4295A" w:rsidP="00EA5014">
      <w:pPr>
        <w:ind w:left="851"/>
        <w:rPr>
          <w:sz w:val="24"/>
          <w:szCs w:val="24"/>
        </w:rPr>
      </w:pPr>
      <w:r w:rsidRPr="00D61C9C">
        <w:rPr>
          <w:sz w:val="24"/>
          <w:szCs w:val="24"/>
        </w:rPr>
        <w:t>Der er rapporteret om alvorlige kutane bivirkninger (SCAR’er), herunder eksfoliativ dermatitis, erythema multiforme, Stevens-Johnsons syndrom (SJS), toksisk epidermal nekrolyse (TEN), lægemiddelreaktion med eosinofili og systemiske symptomer (DRESS-syndrom) og akut generaliseret eksantematøs pustulose (AGEP), som kan være livstruende eller dødelige i forbindelse med brugen af ibuprofen (se pkt. 4.8). De fleste af disse reaktioner indtraf inden for den første måned. Hvis der optræder tegn og symptomer, der tyder på disse reaktioner</w:t>
      </w:r>
      <w:r w:rsidR="00D61C9C">
        <w:rPr>
          <w:sz w:val="24"/>
          <w:szCs w:val="24"/>
        </w:rPr>
        <w:t>,</w:t>
      </w:r>
      <w:r w:rsidRPr="00D61C9C">
        <w:rPr>
          <w:sz w:val="24"/>
          <w:szCs w:val="24"/>
        </w:rPr>
        <w:t xml:space="preserve"> skal ibuprofen straks afbrydes, og en alternativ behandling overvejes (efter behov).</w:t>
      </w:r>
    </w:p>
    <w:p w14:paraId="63B29383" w14:textId="77777777" w:rsidR="00D4295A" w:rsidRPr="00D61C9C" w:rsidRDefault="00D4295A" w:rsidP="00EA5014">
      <w:pPr>
        <w:ind w:left="851"/>
        <w:rPr>
          <w:sz w:val="24"/>
          <w:szCs w:val="24"/>
        </w:rPr>
      </w:pPr>
    </w:p>
    <w:p w14:paraId="54D1E307" w14:textId="77777777" w:rsidR="00D4295A" w:rsidRPr="00D61C9C" w:rsidRDefault="00D4295A" w:rsidP="00EA5014">
      <w:pPr>
        <w:ind w:left="851"/>
        <w:rPr>
          <w:sz w:val="24"/>
          <w:szCs w:val="24"/>
          <w:u w:val="single"/>
        </w:rPr>
      </w:pPr>
      <w:r w:rsidRPr="00D61C9C">
        <w:rPr>
          <w:sz w:val="24"/>
          <w:szCs w:val="24"/>
          <w:u w:val="single"/>
        </w:rPr>
        <w:t>Infektioner og parasitære sygdomme</w:t>
      </w:r>
    </w:p>
    <w:p w14:paraId="12FF669A" w14:textId="77777777" w:rsidR="00D4295A" w:rsidRPr="00D61C9C" w:rsidRDefault="00D4295A" w:rsidP="00EA5014">
      <w:pPr>
        <w:ind w:left="851"/>
        <w:rPr>
          <w:sz w:val="24"/>
          <w:szCs w:val="24"/>
        </w:rPr>
      </w:pPr>
      <w:r w:rsidRPr="00D61C9C">
        <w:rPr>
          <w:sz w:val="24"/>
          <w:szCs w:val="24"/>
        </w:rPr>
        <w:t xml:space="preserve">I enkeltstående tilfælde kan infektion med varicella medvirke til komplikationer af alvorlige hud- og bløddelsinfektioner. Til dato kan NSAID’ers rolle i forværring af disse infektioner ikke udelukkes. Det anbefales derfor at undgå anvendelse af ibuprofen i tilfælde af varicella. </w:t>
      </w:r>
    </w:p>
    <w:p w14:paraId="6B0FDA5D" w14:textId="77777777" w:rsidR="00D4295A" w:rsidRPr="00D61C9C" w:rsidRDefault="00D4295A" w:rsidP="00EA5014">
      <w:pPr>
        <w:ind w:left="851"/>
        <w:rPr>
          <w:sz w:val="24"/>
          <w:szCs w:val="24"/>
        </w:rPr>
      </w:pPr>
    </w:p>
    <w:p w14:paraId="5A39195F" w14:textId="77777777" w:rsidR="00D4295A" w:rsidRPr="00D61C9C" w:rsidRDefault="00D4295A" w:rsidP="00EA5014">
      <w:pPr>
        <w:ind w:left="851"/>
        <w:rPr>
          <w:sz w:val="24"/>
          <w:szCs w:val="24"/>
          <w:u w:val="single"/>
        </w:rPr>
      </w:pPr>
      <w:r w:rsidRPr="00D61C9C">
        <w:rPr>
          <w:sz w:val="24"/>
          <w:szCs w:val="24"/>
          <w:u w:val="single"/>
        </w:rPr>
        <w:t xml:space="preserve">Maskering af symptomer på underliggende infektioner </w:t>
      </w:r>
    </w:p>
    <w:p w14:paraId="5B8F2774" w14:textId="77777777" w:rsidR="00D4295A" w:rsidRPr="00D61C9C" w:rsidRDefault="00D4295A" w:rsidP="00EA5014">
      <w:pPr>
        <w:ind w:left="851"/>
        <w:rPr>
          <w:sz w:val="24"/>
          <w:szCs w:val="24"/>
        </w:rPr>
      </w:pPr>
      <w:r w:rsidRPr="00D61C9C">
        <w:rPr>
          <w:sz w:val="24"/>
          <w:szCs w:val="24"/>
        </w:rPr>
        <w:t>Ibuprofen kan maskere symptomer på infektion, hvilket kan medføre forsinket påbegyndelse af relevant behandling og dermed en forværring af infektionens udfald. Dette er observeret ved bakteriel samfundserhvervet pneumoni og bakterielle komplikationer til varicella. Når ibuprofen gives som feber- eller smertestillende middel i forbindelse med infektion, bør infektionen overvåges. Hvis patienten ikke er indlagt på hospital, bør vedkommende kontakte sin læge, hvis symptomerne varer ved eller forværres.</w:t>
      </w:r>
    </w:p>
    <w:p w14:paraId="1DE97418" w14:textId="77777777" w:rsidR="00D4295A" w:rsidRPr="00D61C9C" w:rsidRDefault="00D4295A" w:rsidP="00EA5014">
      <w:pPr>
        <w:ind w:left="851"/>
        <w:rPr>
          <w:sz w:val="24"/>
          <w:szCs w:val="24"/>
        </w:rPr>
      </w:pPr>
    </w:p>
    <w:p w14:paraId="2017863A" w14:textId="77777777" w:rsidR="00D4295A" w:rsidRPr="00D61C9C" w:rsidRDefault="00D4295A" w:rsidP="00EA5014">
      <w:pPr>
        <w:ind w:left="851"/>
        <w:rPr>
          <w:sz w:val="24"/>
          <w:szCs w:val="24"/>
          <w:u w:val="single"/>
        </w:rPr>
      </w:pPr>
      <w:r w:rsidRPr="00D61C9C">
        <w:rPr>
          <w:sz w:val="24"/>
          <w:szCs w:val="24"/>
          <w:u w:val="single"/>
        </w:rPr>
        <w:t>Aseptisk meningitis</w:t>
      </w:r>
    </w:p>
    <w:p w14:paraId="2A3C29FD" w14:textId="77777777" w:rsidR="00D4295A" w:rsidRPr="00D61C9C" w:rsidRDefault="00D4295A" w:rsidP="00EA5014">
      <w:pPr>
        <w:ind w:left="851"/>
        <w:rPr>
          <w:sz w:val="24"/>
          <w:szCs w:val="24"/>
        </w:rPr>
      </w:pPr>
      <w:r w:rsidRPr="00D61C9C">
        <w:rPr>
          <w:sz w:val="24"/>
          <w:szCs w:val="24"/>
        </w:rPr>
        <w:t>Der er observeret sjældne tilfælde af aseptisk meningitis hos patienter i behandling med ibuprofen. Selv om dette sandsynligvis sker oftere hos patienter med systemisk lupus erythematosus og relaterede bindevævssygdomme, er det blevet rapporteret hos patienter, som ikke har en underliggende kronisk sygdom.</w:t>
      </w:r>
    </w:p>
    <w:p w14:paraId="61239830" w14:textId="77777777" w:rsidR="00D4295A" w:rsidRPr="00D61C9C" w:rsidRDefault="00D4295A" w:rsidP="00EA5014">
      <w:pPr>
        <w:ind w:left="851"/>
        <w:rPr>
          <w:sz w:val="24"/>
          <w:szCs w:val="24"/>
        </w:rPr>
      </w:pPr>
    </w:p>
    <w:p w14:paraId="2D925C01" w14:textId="77777777" w:rsidR="00D4295A" w:rsidRPr="00D61C9C" w:rsidRDefault="00D4295A" w:rsidP="00EA5014">
      <w:pPr>
        <w:ind w:left="851"/>
        <w:rPr>
          <w:sz w:val="24"/>
          <w:szCs w:val="24"/>
        </w:rPr>
      </w:pPr>
      <w:r w:rsidRPr="00D61C9C">
        <w:rPr>
          <w:sz w:val="24"/>
          <w:szCs w:val="24"/>
        </w:rPr>
        <w:t>Patienter med gastrointestinale problemer, SLE, hæmatologiske forstyrrelser eller koagulationsforstyrrelser og astma bør behandles med forsigtighed og bør monitoreres tæt under behandling med NSAID, eftersom deres tilstand kan forværres af NSAID.</w:t>
      </w:r>
    </w:p>
    <w:p w14:paraId="62E061C9" w14:textId="77777777" w:rsidR="00D4295A" w:rsidRPr="00D61C9C" w:rsidRDefault="00D4295A" w:rsidP="00EA5014">
      <w:pPr>
        <w:ind w:left="851"/>
        <w:rPr>
          <w:sz w:val="24"/>
          <w:szCs w:val="24"/>
        </w:rPr>
      </w:pPr>
    </w:p>
    <w:p w14:paraId="55144A8A" w14:textId="77777777" w:rsidR="00D4295A" w:rsidRPr="00D61C9C" w:rsidRDefault="00D4295A" w:rsidP="00EA5014">
      <w:pPr>
        <w:ind w:left="851"/>
        <w:rPr>
          <w:sz w:val="24"/>
          <w:szCs w:val="24"/>
          <w:u w:val="single"/>
        </w:rPr>
      </w:pPr>
      <w:r w:rsidRPr="00D61C9C">
        <w:rPr>
          <w:sz w:val="24"/>
          <w:szCs w:val="24"/>
          <w:u w:val="single"/>
        </w:rPr>
        <w:t>Hjælpestoffer</w:t>
      </w:r>
    </w:p>
    <w:p w14:paraId="067C66E7" w14:textId="4A1139B4" w:rsidR="00D4295A" w:rsidRPr="00D61C9C" w:rsidRDefault="00D4295A" w:rsidP="00EA5014">
      <w:pPr>
        <w:ind w:left="851"/>
        <w:rPr>
          <w:sz w:val="24"/>
          <w:szCs w:val="24"/>
        </w:rPr>
      </w:pPr>
      <w:r w:rsidRPr="00D61C9C">
        <w:rPr>
          <w:sz w:val="24"/>
          <w:szCs w:val="24"/>
        </w:rPr>
        <w:t>Ibuprofen-tabletter indeholder lactosemonohydrat. Patienter med sjældne arvelige problemer med galactoseintolerans, total laktasemangel eller glukose-galactose</w:t>
      </w:r>
      <w:r w:rsidR="00D61C9C">
        <w:rPr>
          <w:sz w:val="24"/>
          <w:szCs w:val="24"/>
        </w:rPr>
        <w:softHyphen/>
      </w:r>
      <w:r w:rsidRPr="00D61C9C">
        <w:rPr>
          <w:sz w:val="24"/>
          <w:szCs w:val="24"/>
        </w:rPr>
        <w:t>malabsorption bør ikke tage dette lægemiddel.</w:t>
      </w:r>
    </w:p>
    <w:p w14:paraId="6D846C6E" w14:textId="77777777" w:rsidR="00D4295A" w:rsidRPr="00D61C9C" w:rsidRDefault="00D4295A" w:rsidP="00EA5014">
      <w:pPr>
        <w:ind w:left="851"/>
        <w:rPr>
          <w:sz w:val="24"/>
          <w:szCs w:val="24"/>
        </w:rPr>
      </w:pPr>
    </w:p>
    <w:p w14:paraId="0C40A0DD" w14:textId="77777777" w:rsidR="00D4295A" w:rsidRPr="00D61C9C" w:rsidRDefault="00D4295A" w:rsidP="00EA5014">
      <w:pPr>
        <w:ind w:left="851"/>
        <w:rPr>
          <w:sz w:val="24"/>
          <w:szCs w:val="24"/>
        </w:rPr>
      </w:pPr>
      <w:r w:rsidRPr="00D61C9C">
        <w:rPr>
          <w:sz w:val="24"/>
          <w:szCs w:val="24"/>
        </w:rPr>
        <w:t>Dette lægemiddel indeholder mindre end 1 mmol (23 mg) natrium pr. tablet, dvs. det er i det væsentlige natriumfrit.</w:t>
      </w:r>
    </w:p>
    <w:p w14:paraId="0118BAD9" w14:textId="77777777" w:rsidR="009260DE" w:rsidRPr="00D61C9C" w:rsidRDefault="009260DE" w:rsidP="009260DE">
      <w:pPr>
        <w:tabs>
          <w:tab w:val="left" w:pos="851"/>
        </w:tabs>
        <w:ind w:left="851"/>
        <w:rPr>
          <w:sz w:val="24"/>
          <w:szCs w:val="24"/>
        </w:rPr>
      </w:pPr>
    </w:p>
    <w:p w14:paraId="2CC4C1D8" w14:textId="77777777" w:rsidR="009260DE" w:rsidRPr="00D61C9C" w:rsidRDefault="009260DE" w:rsidP="009260DE">
      <w:pPr>
        <w:tabs>
          <w:tab w:val="left" w:pos="851"/>
        </w:tabs>
        <w:ind w:left="851" w:hanging="851"/>
        <w:rPr>
          <w:b/>
          <w:sz w:val="24"/>
          <w:szCs w:val="24"/>
        </w:rPr>
      </w:pPr>
      <w:r w:rsidRPr="00D61C9C">
        <w:rPr>
          <w:b/>
          <w:sz w:val="24"/>
          <w:szCs w:val="24"/>
        </w:rPr>
        <w:t>4.5</w:t>
      </w:r>
      <w:r w:rsidRPr="00D61C9C">
        <w:rPr>
          <w:b/>
          <w:sz w:val="24"/>
          <w:szCs w:val="24"/>
        </w:rPr>
        <w:tab/>
        <w:t>Interaktion med andre lægemidler og andre former for interaktion</w:t>
      </w:r>
    </w:p>
    <w:p w14:paraId="4820C99B" w14:textId="77777777" w:rsidR="00D61C9C" w:rsidRDefault="00D61C9C" w:rsidP="00EA5014">
      <w:pPr>
        <w:ind w:left="851"/>
        <w:rPr>
          <w:sz w:val="24"/>
          <w:szCs w:val="24"/>
        </w:rPr>
      </w:pPr>
    </w:p>
    <w:p w14:paraId="6A1B8DC3" w14:textId="11DF8C94" w:rsidR="00D4295A" w:rsidRPr="00D61C9C" w:rsidRDefault="00D4295A" w:rsidP="00EA5014">
      <w:pPr>
        <w:ind w:left="851"/>
        <w:rPr>
          <w:sz w:val="24"/>
          <w:szCs w:val="24"/>
          <w:u w:val="single"/>
        </w:rPr>
      </w:pPr>
      <w:r w:rsidRPr="00D61C9C">
        <w:rPr>
          <w:sz w:val="24"/>
          <w:szCs w:val="24"/>
          <w:u w:val="single"/>
        </w:rPr>
        <w:t>Følgende kombinationer med ibuprofen bør undgås:</w:t>
      </w:r>
    </w:p>
    <w:p w14:paraId="3E1A5618" w14:textId="77777777" w:rsidR="00D4295A" w:rsidRPr="00D61C9C" w:rsidRDefault="00D4295A" w:rsidP="00EA5014">
      <w:pPr>
        <w:ind w:left="851"/>
        <w:rPr>
          <w:sz w:val="24"/>
          <w:szCs w:val="24"/>
        </w:rPr>
      </w:pPr>
    </w:p>
    <w:p w14:paraId="1365B1E9" w14:textId="77777777" w:rsidR="00D4295A" w:rsidRPr="00D61C9C" w:rsidRDefault="00D4295A" w:rsidP="00EA5014">
      <w:pPr>
        <w:ind w:left="851"/>
        <w:rPr>
          <w:sz w:val="24"/>
          <w:szCs w:val="24"/>
        </w:rPr>
      </w:pPr>
      <w:r w:rsidRPr="00D61C9C">
        <w:rPr>
          <w:i/>
          <w:iCs/>
          <w:sz w:val="24"/>
          <w:szCs w:val="24"/>
        </w:rPr>
        <w:t>Dicumarolgruppen:</w:t>
      </w:r>
      <w:r w:rsidRPr="00D61C9C">
        <w:rPr>
          <w:sz w:val="24"/>
          <w:szCs w:val="24"/>
        </w:rPr>
        <w:t xml:space="preserve"> NSAID’er kan øge virkningen af antikoagulantia såsom warfarin. Eksperimentelle studier viser, at ibuprofen forstærker warfarins effekt på blødningstiden. NSAID’er og dicumarolgruppen metaboliseres af det samme enzym, CYP2C9.</w:t>
      </w:r>
    </w:p>
    <w:p w14:paraId="3F66ED4B" w14:textId="77777777" w:rsidR="00D4295A" w:rsidRPr="00D61C9C" w:rsidRDefault="00D4295A" w:rsidP="00EA5014">
      <w:pPr>
        <w:ind w:left="851"/>
        <w:rPr>
          <w:sz w:val="24"/>
          <w:szCs w:val="24"/>
        </w:rPr>
      </w:pPr>
    </w:p>
    <w:p w14:paraId="6AAA322E" w14:textId="77777777" w:rsidR="00D4295A" w:rsidRPr="00D61C9C" w:rsidRDefault="00D4295A" w:rsidP="00EA5014">
      <w:pPr>
        <w:ind w:left="851"/>
        <w:rPr>
          <w:sz w:val="24"/>
          <w:szCs w:val="24"/>
        </w:rPr>
      </w:pPr>
      <w:r w:rsidRPr="00D61C9C">
        <w:rPr>
          <w:i/>
          <w:iCs/>
          <w:sz w:val="24"/>
          <w:szCs w:val="24"/>
        </w:rPr>
        <w:t>Trombocythæmmere</w:t>
      </w:r>
      <w:r w:rsidRPr="00D61C9C">
        <w:rPr>
          <w:sz w:val="24"/>
          <w:szCs w:val="24"/>
        </w:rPr>
        <w:t>: NSAID’er bør ikke kombineres med trombocythæmmende midler såsom ticlopidin på grund af den additive hæmning af trombocytfunktionen (se nedenfor).</w:t>
      </w:r>
    </w:p>
    <w:p w14:paraId="1E540A0C" w14:textId="77777777" w:rsidR="00D4295A" w:rsidRPr="00D61C9C" w:rsidRDefault="00D4295A" w:rsidP="00EA5014">
      <w:pPr>
        <w:ind w:left="851"/>
        <w:rPr>
          <w:sz w:val="24"/>
          <w:szCs w:val="24"/>
        </w:rPr>
      </w:pPr>
    </w:p>
    <w:p w14:paraId="19122117" w14:textId="77777777" w:rsidR="00D4295A" w:rsidRPr="00D61C9C" w:rsidRDefault="00D4295A" w:rsidP="00EA5014">
      <w:pPr>
        <w:ind w:left="851"/>
        <w:rPr>
          <w:sz w:val="24"/>
          <w:szCs w:val="24"/>
        </w:rPr>
      </w:pPr>
      <w:r w:rsidRPr="00D61C9C">
        <w:rPr>
          <w:i/>
          <w:iCs/>
          <w:sz w:val="24"/>
          <w:szCs w:val="24"/>
        </w:rPr>
        <w:t xml:space="preserve">Methotrexat: </w:t>
      </w:r>
      <w:r w:rsidRPr="00D61C9C">
        <w:rPr>
          <w:sz w:val="24"/>
          <w:szCs w:val="24"/>
        </w:rPr>
        <w:t>NSAID‘er hæmmer den tubulære sekretion af methotrexat, og der kan forekomme visse metaboliske interaktioner med det resultat, at methotrexats clearance nedsættes. Ved behandling med høje doser methotrexat bør man derfor altid undgå at ordinere NSAID’er (se nedenfor).</w:t>
      </w:r>
    </w:p>
    <w:p w14:paraId="678C21B5" w14:textId="77777777" w:rsidR="00D4295A" w:rsidRPr="00D61C9C" w:rsidRDefault="00D4295A" w:rsidP="00EA5014">
      <w:pPr>
        <w:ind w:left="851"/>
        <w:rPr>
          <w:sz w:val="24"/>
          <w:szCs w:val="24"/>
        </w:rPr>
      </w:pPr>
    </w:p>
    <w:p w14:paraId="05F5F8FF" w14:textId="77777777" w:rsidR="00D4295A" w:rsidRPr="00D61C9C" w:rsidRDefault="00D4295A" w:rsidP="00EA5014">
      <w:pPr>
        <w:ind w:left="851"/>
        <w:rPr>
          <w:sz w:val="24"/>
          <w:szCs w:val="24"/>
        </w:rPr>
      </w:pPr>
      <w:r w:rsidRPr="00D61C9C">
        <w:rPr>
          <w:i/>
          <w:iCs/>
          <w:sz w:val="24"/>
          <w:szCs w:val="24"/>
        </w:rPr>
        <w:t xml:space="preserve">Acetylsalicylsyre: </w:t>
      </w:r>
      <w:r w:rsidRPr="00D61C9C">
        <w:rPr>
          <w:sz w:val="24"/>
          <w:szCs w:val="24"/>
        </w:rPr>
        <w:t>Samtidig administration af ibuprofen og acetylsalicylsyre frarådes generelt på grund af den potentielle øgede risiko for bivirkninger.</w:t>
      </w:r>
    </w:p>
    <w:p w14:paraId="485DF2C1" w14:textId="77777777" w:rsidR="00D4295A" w:rsidRPr="00D61C9C" w:rsidRDefault="00D4295A" w:rsidP="00EA5014">
      <w:pPr>
        <w:ind w:left="851"/>
        <w:rPr>
          <w:sz w:val="24"/>
          <w:szCs w:val="24"/>
        </w:rPr>
      </w:pPr>
    </w:p>
    <w:p w14:paraId="57369EB8" w14:textId="77777777" w:rsidR="00D4295A" w:rsidRPr="00D61C9C" w:rsidRDefault="00D4295A" w:rsidP="00EA5014">
      <w:pPr>
        <w:ind w:left="851"/>
        <w:rPr>
          <w:sz w:val="24"/>
          <w:szCs w:val="24"/>
        </w:rPr>
      </w:pPr>
      <w:r w:rsidRPr="00D61C9C">
        <w:rPr>
          <w:sz w:val="24"/>
          <w:szCs w:val="24"/>
        </w:rPr>
        <w:t>Eksperimentelle data tyder på, at ibuprofen muligvis kompetitivt hæmmer virkningen af lave doser acetylsalicylsyre på trombocytaggregation ved samtidig administration. Selv om der er usikkerhed vedrørende ekstrapolation af disse data til den kliniske situation, kan det ikke udelukkes, at regelmæssig langvarig behandling med ibuprofen muligvis nedsætter den kardiobeskyttende virkning af lavdosis acetylsalicylsyre. Det anses ikke for sandsynligt, at der er en klinisk relevant effekt ved lejlighedsvis brug af ibuprofen (se pkt. 5.1).</w:t>
      </w:r>
    </w:p>
    <w:p w14:paraId="6573D30E" w14:textId="77777777" w:rsidR="00D4295A" w:rsidRPr="00D61C9C" w:rsidRDefault="00D4295A" w:rsidP="00EA5014">
      <w:pPr>
        <w:ind w:left="851"/>
        <w:rPr>
          <w:sz w:val="24"/>
          <w:szCs w:val="24"/>
        </w:rPr>
      </w:pPr>
    </w:p>
    <w:p w14:paraId="2774B49A" w14:textId="7643CC61" w:rsidR="00D4295A" w:rsidRPr="00D61C9C" w:rsidRDefault="00D4295A" w:rsidP="00EA5014">
      <w:pPr>
        <w:ind w:left="851"/>
        <w:rPr>
          <w:sz w:val="24"/>
          <w:szCs w:val="24"/>
        </w:rPr>
      </w:pPr>
      <w:r w:rsidRPr="00D61C9C">
        <w:rPr>
          <w:i/>
          <w:iCs/>
          <w:sz w:val="24"/>
          <w:szCs w:val="24"/>
        </w:rPr>
        <w:t>Hjerteglykosider:</w:t>
      </w:r>
      <w:r w:rsidRPr="00D61C9C">
        <w:rPr>
          <w:sz w:val="24"/>
          <w:szCs w:val="24"/>
        </w:rPr>
        <w:t xml:space="preserve"> NSAID’er kan forværre hjertesvigt, nedsætte glomerulær filtration og øge niveauet af hjerteglykosider (</w:t>
      </w:r>
      <w:r w:rsidR="000B6705">
        <w:rPr>
          <w:sz w:val="24"/>
          <w:szCs w:val="24"/>
        </w:rPr>
        <w:t>f.eks.</w:t>
      </w:r>
      <w:r w:rsidRPr="00D61C9C">
        <w:rPr>
          <w:sz w:val="24"/>
          <w:szCs w:val="24"/>
        </w:rPr>
        <w:t xml:space="preserve"> digoxin) i plasma.</w:t>
      </w:r>
    </w:p>
    <w:p w14:paraId="43413CBB" w14:textId="77777777" w:rsidR="00D4295A" w:rsidRPr="00D61C9C" w:rsidRDefault="00D4295A" w:rsidP="00EA5014">
      <w:pPr>
        <w:ind w:left="851"/>
        <w:rPr>
          <w:sz w:val="24"/>
          <w:szCs w:val="24"/>
        </w:rPr>
      </w:pPr>
    </w:p>
    <w:p w14:paraId="38C3A208" w14:textId="77777777" w:rsidR="00D4295A" w:rsidRPr="00D61C9C" w:rsidRDefault="00D4295A" w:rsidP="00EA5014">
      <w:pPr>
        <w:ind w:left="851"/>
        <w:rPr>
          <w:sz w:val="24"/>
          <w:szCs w:val="24"/>
        </w:rPr>
      </w:pPr>
      <w:r w:rsidRPr="00D61C9C">
        <w:rPr>
          <w:i/>
          <w:iCs/>
          <w:sz w:val="24"/>
          <w:szCs w:val="24"/>
        </w:rPr>
        <w:t>Mifepriston</w:t>
      </w:r>
      <w:r w:rsidRPr="00D61C9C">
        <w:rPr>
          <w:sz w:val="24"/>
          <w:szCs w:val="24"/>
        </w:rPr>
        <w:t>: I teorien kan der være nedsat virkning af lægemidlet forårsaget af de antiprostaglandine egenskaber ved ikke-steroide antiinflammatoriske lægemidler (NSAID'er), herunder acetylsalicylsyre. Begrænset data antyder, at administration af NSAID’er på samme dag som administration af prostaglandin ikke har negativ indvirkning på effekten af mifepriston eller effekten af prostaglandin på cervial udvidelse eller sammentrækning af livmoderen, og det nedsætter ikke den kliniske virkning af medicinsk abort.</w:t>
      </w:r>
    </w:p>
    <w:p w14:paraId="442BED6A" w14:textId="77777777" w:rsidR="00D4295A" w:rsidRPr="00D61C9C" w:rsidRDefault="00D4295A" w:rsidP="00EA5014">
      <w:pPr>
        <w:ind w:left="851"/>
        <w:rPr>
          <w:sz w:val="24"/>
          <w:szCs w:val="24"/>
        </w:rPr>
      </w:pPr>
    </w:p>
    <w:p w14:paraId="643FD38C" w14:textId="77777777" w:rsidR="00D4295A" w:rsidRPr="00D61C9C" w:rsidRDefault="00D4295A" w:rsidP="00EA5014">
      <w:pPr>
        <w:ind w:left="851"/>
        <w:rPr>
          <w:i/>
          <w:iCs/>
          <w:sz w:val="24"/>
          <w:szCs w:val="24"/>
        </w:rPr>
      </w:pPr>
      <w:r w:rsidRPr="00D61C9C">
        <w:rPr>
          <w:i/>
          <w:iCs/>
          <w:sz w:val="24"/>
          <w:szCs w:val="24"/>
        </w:rPr>
        <w:t xml:space="preserve">Sulfonylurinstoffer: </w:t>
      </w:r>
      <w:r w:rsidRPr="00D61C9C">
        <w:rPr>
          <w:sz w:val="24"/>
          <w:szCs w:val="24"/>
        </w:rPr>
        <w:t>Sjældne tilfælde af hypoglykæmi er set hos patienter, der bruger ibuprofen sammen med sulfonylurinstoffer.</w:t>
      </w:r>
    </w:p>
    <w:p w14:paraId="7FA38C1B" w14:textId="77777777" w:rsidR="00D4295A" w:rsidRPr="00D61C9C" w:rsidRDefault="00D4295A" w:rsidP="00EA5014">
      <w:pPr>
        <w:ind w:left="851"/>
        <w:rPr>
          <w:sz w:val="24"/>
          <w:szCs w:val="24"/>
        </w:rPr>
      </w:pPr>
    </w:p>
    <w:p w14:paraId="4042D761" w14:textId="77777777" w:rsidR="00D4295A" w:rsidRPr="00D61C9C" w:rsidRDefault="00D4295A" w:rsidP="00EA5014">
      <w:pPr>
        <w:ind w:left="851"/>
        <w:rPr>
          <w:sz w:val="24"/>
          <w:szCs w:val="24"/>
        </w:rPr>
      </w:pPr>
      <w:r w:rsidRPr="00D61C9C">
        <w:rPr>
          <w:i/>
          <w:iCs/>
          <w:sz w:val="24"/>
          <w:szCs w:val="24"/>
        </w:rPr>
        <w:t>Zidovudin:</w:t>
      </w:r>
      <w:r w:rsidRPr="00D61C9C">
        <w:rPr>
          <w:sz w:val="24"/>
          <w:szCs w:val="24"/>
        </w:rPr>
        <w:t xml:space="preserve"> Der er evidens for øget risiko for hæmartrose og hæmatomi hos hiv-positive hæmofilipatienter, der er i samtidig behandling med zidovudin og ibuprofen.</w:t>
      </w:r>
    </w:p>
    <w:p w14:paraId="5F4D698C" w14:textId="77777777" w:rsidR="00D4295A" w:rsidRPr="00D61C9C" w:rsidRDefault="00D4295A" w:rsidP="00EA5014">
      <w:pPr>
        <w:ind w:left="851"/>
        <w:rPr>
          <w:sz w:val="24"/>
          <w:szCs w:val="24"/>
        </w:rPr>
      </w:pPr>
    </w:p>
    <w:p w14:paraId="37D6FA60" w14:textId="77777777" w:rsidR="00D4295A" w:rsidRPr="00D61C9C" w:rsidRDefault="00D4295A" w:rsidP="00EA5014">
      <w:pPr>
        <w:ind w:left="851"/>
        <w:rPr>
          <w:sz w:val="24"/>
          <w:szCs w:val="24"/>
        </w:rPr>
      </w:pPr>
      <w:r w:rsidRPr="00D61C9C">
        <w:rPr>
          <w:i/>
          <w:iCs/>
          <w:sz w:val="24"/>
          <w:szCs w:val="24"/>
        </w:rPr>
        <w:t>Fenytoin:</w:t>
      </w:r>
      <w:r w:rsidRPr="00D61C9C">
        <w:rPr>
          <w:sz w:val="24"/>
          <w:szCs w:val="24"/>
        </w:rPr>
        <w:t xml:space="preserve"> Samtidig brug af ibuprofen og fenytoinpræparater kan øge niveauet af fenytoin i serum. Kontrol af serumfenytoinniveauer er som regel ikke nødvendig ved korrekt brug (maksimalt i 3–4 dage).</w:t>
      </w:r>
    </w:p>
    <w:p w14:paraId="4D4FF889" w14:textId="77777777" w:rsidR="00D4295A" w:rsidRPr="00D61C9C" w:rsidRDefault="00D4295A" w:rsidP="00EA5014">
      <w:pPr>
        <w:ind w:left="851"/>
        <w:rPr>
          <w:sz w:val="24"/>
          <w:szCs w:val="24"/>
        </w:rPr>
      </w:pPr>
    </w:p>
    <w:p w14:paraId="0FFE7A70" w14:textId="77777777" w:rsidR="00D4295A" w:rsidRPr="000B6705" w:rsidRDefault="00D4295A" w:rsidP="00EA5014">
      <w:pPr>
        <w:ind w:left="851"/>
        <w:rPr>
          <w:sz w:val="24"/>
          <w:szCs w:val="24"/>
          <w:u w:val="single"/>
        </w:rPr>
      </w:pPr>
      <w:r w:rsidRPr="000B6705">
        <w:rPr>
          <w:sz w:val="24"/>
          <w:szCs w:val="24"/>
          <w:u w:val="single"/>
        </w:rPr>
        <w:t>Følgende kombinationer med ibuprofen kan kræve justering af dosis:</w:t>
      </w:r>
    </w:p>
    <w:p w14:paraId="30ABC5EC" w14:textId="77777777" w:rsidR="00D4295A" w:rsidRPr="00D61C9C" w:rsidRDefault="00D4295A" w:rsidP="00EA5014">
      <w:pPr>
        <w:ind w:left="851"/>
        <w:rPr>
          <w:sz w:val="24"/>
          <w:szCs w:val="24"/>
        </w:rPr>
      </w:pPr>
    </w:p>
    <w:p w14:paraId="48D4C128" w14:textId="77777777" w:rsidR="00D4295A" w:rsidRPr="00D61C9C" w:rsidRDefault="00D4295A" w:rsidP="00EA5014">
      <w:pPr>
        <w:ind w:left="851"/>
        <w:rPr>
          <w:sz w:val="24"/>
          <w:szCs w:val="24"/>
        </w:rPr>
      </w:pPr>
      <w:r w:rsidRPr="00D61C9C">
        <w:rPr>
          <w:sz w:val="24"/>
          <w:szCs w:val="24"/>
        </w:rPr>
        <w:t>NSAID’er kan reducere virkningen af diuretika og andre antihypertensive midler. Diuretika kan desuden øge risikoen for NSAID-relateret nyretoksicitet.</w:t>
      </w:r>
    </w:p>
    <w:p w14:paraId="2502EDE1" w14:textId="77777777" w:rsidR="00D4295A" w:rsidRPr="00D61C9C" w:rsidRDefault="00D4295A" w:rsidP="00EA5014">
      <w:pPr>
        <w:ind w:left="851"/>
        <w:rPr>
          <w:sz w:val="24"/>
          <w:szCs w:val="24"/>
        </w:rPr>
      </w:pPr>
    </w:p>
    <w:p w14:paraId="7C6C9C1D" w14:textId="77777777" w:rsidR="00D4295A" w:rsidRPr="00D61C9C" w:rsidRDefault="00D4295A" w:rsidP="00EA5014">
      <w:pPr>
        <w:ind w:left="851"/>
        <w:rPr>
          <w:sz w:val="24"/>
          <w:szCs w:val="24"/>
        </w:rPr>
      </w:pPr>
      <w:r w:rsidRPr="00D61C9C">
        <w:rPr>
          <w:sz w:val="24"/>
          <w:szCs w:val="24"/>
        </w:rPr>
        <w:t>NSAID’er kan nedsætte eliminationen af aminoglykosider.</w:t>
      </w:r>
    </w:p>
    <w:p w14:paraId="6DADFA65" w14:textId="77777777" w:rsidR="00D4295A" w:rsidRPr="00D61C9C" w:rsidRDefault="00D4295A" w:rsidP="00EA5014">
      <w:pPr>
        <w:ind w:left="851"/>
        <w:rPr>
          <w:sz w:val="24"/>
          <w:szCs w:val="24"/>
        </w:rPr>
      </w:pPr>
    </w:p>
    <w:p w14:paraId="466BEA41" w14:textId="77777777" w:rsidR="00D4295A" w:rsidRPr="00D61C9C" w:rsidRDefault="00D4295A" w:rsidP="00EA5014">
      <w:pPr>
        <w:ind w:left="851"/>
        <w:rPr>
          <w:sz w:val="24"/>
          <w:szCs w:val="24"/>
        </w:rPr>
      </w:pPr>
      <w:r w:rsidRPr="00D61C9C">
        <w:rPr>
          <w:i/>
          <w:iCs/>
          <w:sz w:val="24"/>
          <w:szCs w:val="24"/>
        </w:rPr>
        <w:t>Aminoglykosider</w:t>
      </w:r>
      <w:r w:rsidRPr="00D61C9C">
        <w:rPr>
          <w:sz w:val="24"/>
          <w:szCs w:val="24"/>
        </w:rPr>
        <w:t>: NSAID’er kan nedsætte udskillelse af aminoglykosider.</w:t>
      </w:r>
    </w:p>
    <w:p w14:paraId="3506994E" w14:textId="77777777" w:rsidR="00D4295A" w:rsidRPr="00D61C9C" w:rsidRDefault="00D4295A" w:rsidP="00EA5014">
      <w:pPr>
        <w:ind w:left="851"/>
        <w:rPr>
          <w:sz w:val="24"/>
          <w:szCs w:val="24"/>
        </w:rPr>
      </w:pPr>
    </w:p>
    <w:p w14:paraId="59340912" w14:textId="77777777" w:rsidR="00D4295A" w:rsidRPr="00D61C9C" w:rsidRDefault="00D4295A" w:rsidP="00EA5014">
      <w:pPr>
        <w:ind w:left="851"/>
        <w:rPr>
          <w:sz w:val="24"/>
          <w:szCs w:val="24"/>
        </w:rPr>
      </w:pPr>
      <w:r w:rsidRPr="00D61C9C">
        <w:rPr>
          <w:i/>
          <w:iCs/>
          <w:sz w:val="24"/>
          <w:szCs w:val="24"/>
        </w:rPr>
        <w:t>Lithium:</w:t>
      </w:r>
      <w:r w:rsidRPr="00D61C9C">
        <w:rPr>
          <w:sz w:val="24"/>
          <w:szCs w:val="24"/>
        </w:rPr>
        <w:t xml:space="preserve"> Ibuprofen nedsætter renal clearance af lithium, hvilket kan forårsage en stigning af lithium i serum. Kombinationen skal undgås, medmindre hyppige tjeks af lithiumniveauet i serum kan foretages, og dosis af lithium eventuelt kan sænkes.</w:t>
      </w:r>
    </w:p>
    <w:p w14:paraId="3C4CD92C" w14:textId="77777777" w:rsidR="00D4295A" w:rsidRPr="00D61C9C" w:rsidRDefault="00D4295A" w:rsidP="00EA5014">
      <w:pPr>
        <w:ind w:left="851"/>
        <w:rPr>
          <w:sz w:val="24"/>
          <w:szCs w:val="24"/>
        </w:rPr>
      </w:pPr>
    </w:p>
    <w:p w14:paraId="6B343A75" w14:textId="77777777" w:rsidR="00D4295A" w:rsidRPr="00D61C9C" w:rsidRDefault="00D4295A" w:rsidP="00EA5014">
      <w:pPr>
        <w:ind w:left="851"/>
        <w:rPr>
          <w:i/>
          <w:iCs/>
          <w:sz w:val="24"/>
          <w:szCs w:val="24"/>
        </w:rPr>
      </w:pPr>
      <w:r w:rsidRPr="00D61C9C">
        <w:rPr>
          <w:i/>
          <w:iCs/>
          <w:sz w:val="24"/>
          <w:szCs w:val="24"/>
        </w:rPr>
        <w:t>ACE-hæmmere, angiotensin-II-antagonister og diuretika:</w:t>
      </w:r>
    </w:p>
    <w:p w14:paraId="4DB393AA" w14:textId="77777777" w:rsidR="00D4295A" w:rsidRPr="00D61C9C" w:rsidRDefault="00D4295A" w:rsidP="00EA5014">
      <w:pPr>
        <w:ind w:left="851"/>
        <w:rPr>
          <w:sz w:val="24"/>
          <w:szCs w:val="24"/>
        </w:rPr>
      </w:pPr>
      <w:bookmarkStart w:id="4" w:name="_Hlk205815773"/>
      <w:r w:rsidRPr="00D61C9C">
        <w:rPr>
          <w:sz w:val="24"/>
          <w:szCs w:val="24"/>
        </w:rPr>
        <w:t>Der er en øget risiko for akut nyresvigt (normalt reversibelt), hos patienter med nedsat nyrefunktion (f.eks. dehydrerede og/eller ældre patienter), når behandling med ACE-hæmmere eller angiotensin-II-antagonister gives samtidig med NSAID’er, herunder selektive cyclooxygenase-2-hæmmere. Kombinationen bør derfor anvendes med forsigtighed hos patienter med nedsat nyrefunktion, især ældre patienter. Patienterne bør være tilstrækkeligt hydrerede, og en kontrol af nyrefunktionen bør overvejes efter påbegyndelse af kombinationsbehandlingen samt med regelmæssige intervaller under behandlingen (se pkt. 4.4).</w:t>
      </w:r>
    </w:p>
    <w:p w14:paraId="7D34AFA7" w14:textId="77777777" w:rsidR="00D4295A" w:rsidRPr="00D61C9C" w:rsidRDefault="00D4295A" w:rsidP="00EA5014">
      <w:pPr>
        <w:ind w:left="851"/>
        <w:rPr>
          <w:sz w:val="24"/>
          <w:szCs w:val="24"/>
        </w:rPr>
      </w:pPr>
    </w:p>
    <w:p w14:paraId="6943A422" w14:textId="77777777" w:rsidR="00D4295A" w:rsidRPr="00D61C9C" w:rsidRDefault="00D4295A" w:rsidP="00EA5014">
      <w:pPr>
        <w:ind w:left="851"/>
        <w:rPr>
          <w:sz w:val="24"/>
          <w:szCs w:val="24"/>
        </w:rPr>
      </w:pPr>
      <w:r w:rsidRPr="00D61C9C">
        <w:rPr>
          <w:i/>
          <w:iCs/>
          <w:sz w:val="24"/>
          <w:szCs w:val="24"/>
        </w:rPr>
        <w:t xml:space="preserve">Betablokkere: </w:t>
      </w:r>
      <w:r w:rsidRPr="00D61C9C">
        <w:rPr>
          <w:sz w:val="24"/>
          <w:szCs w:val="24"/>
        </w:rPr>
        <w:t>NSAID’er modvirker den antihypertensive virkning af beta-adrenoceptor blokerende lægemidler.</w:t>
      </w:r>
    </w:p>
    <w:p w14:paraId="62FC9FF7" w14:textId="77777777" w:rsidR="00D4295A" w:rsidRPr="00D61C9C" w:rsidRDefault="00D4295A" w:rsidP="00EA5014">
      <w:pPr>
        <w:ind w:left="851"/>
        <w:rPr>
          <w:sz w:val="24"/>
          <w:szCs w:val="24"/>
        </w:rPr>
      </w:pPr>
    </w:p>
    <w:p w14:paraId="1091AAFD" w14:textId="77777777" w:rsidR="00D4295A" w:rsidRPr="00D61C9C" w:rsidRDefault="00D4295A" w:rsidP="00EA5014">
      <w:pPr>
        <w:ind w:left="851"/>
        <w:rPr>
          <w:i/>
          <w:iCs/>
          <w:sz w:val="24"/>
          <w:szCs w:val="24"/>
        </w:rPr>
      </w:pPr>
      <w:r w:rsidRPr="00D61C9C">
        <w:rPr>
          <w:i/>
          <w:iCs/>
          <w:sz w:val="24"/>
          <w:szCs w:val="24"/>
        </w:rPr>
        <w:t>Selektive serotonin-genoptagelseshæmmere (SSRI’er):</w:t>
      </w:r>
    </w:p>
    <w:p w14:paraId="3F5960BC" w14:textId="2515767B" w:rsidR="00D4295A" w:rsidRPr="00D61C9C" w:rsidRDefault="00D4295A" w:rsidP="00EA5014">
      <w:pPr>
        <w:ind w:left="851"/>
        <w:rPr>
          <w:sz w:val="24"/>
          <w:szCs w:val="24"/>
        </w:rPr>
      </w:pPr>
      <w:r w:rsidRPr="00D61C9C">
        <w:rPr>
          <w:sz w:val="24"/>
          <w:szCs w:val="24"/>
        </w:rPr>
        <w:t>SSRI’er og NSAID’er medfører hver især en øget risiko for blødning, f.eks. fra mave-tarm</w:t>
      </w:r>
      <w:r w:rsidR="00555C2E">
        <w:rPr>
          <w:sz w:val="24"/>
          <w:szCs w:val="24"/>
        </w:rPr>
        <w:t>-</w:t>
      </w:r>
      <w:r w:rsidRPr="00D61C9C">
        <w:rPr>
          <w:sz w:val="24"/>
          <w:szCs w:val="24"/>
        </w:rPr>
        <w:t>kanalen. Denne risiko øges ved kombinationsbehandling. Mekanismen er muligvis relateret til nedsat optagelse af serotonin i trombocytterne (se pkt. 4.4).</w:t>
      </w:r>
    </w:p>
    <w:p w14:paraId="62E0E84F" w14:textId="77777777" w:rsidR="00D4295A" w:rsidRPr="00D61C9C" w:rsidRDefault="00D4295A" w:rsidP="00EA5014">
      <w:pPr>
        <w:ind w:left="851"/>
        <w:rPr>
          <w:sz w:val="24"/>
          <w:szCs w:val="24"/>
        </w:rPr>
      </w:pPr>
    </w:p>
    <w:p w14:paraId="693CFAA2" w14:textId="77777777" w:rsidR="00D4295A" w:rsidRPr="00D61C9C" w:rsidRDefault="00D4295A" w:rsidP="00EA5014">
      <w:pPr>
        <w:ind w:left="851"/>
        <w:rPr>
          <w:sz w:val="24"/>
          <w:szCs w:val="24"/>
        </w:rPr>
      </w:pPr>
      <w:bookmarkStart w:id="5" w:name="_Hlk205815829"/>
      <w:bookmarkEnd w:id="4"/>
      <w:r w:rsidRPr="00D61C9C">
        <w:rPr>
          <w:i/>
          <w:iCs/>
          <w:sz w:val="24"/>
          <w:szCs w:val="24"/>
        </w:rPr>
        <w:t>Ciclosporin:</w:t>
      </w:r>
      <w:r w:rsidRPr="00D61C9C">
        <w:rPr>
          <w:sz w:val="24"/>
          <w:szCs w:val="24"/>
        </w:rPr>
        <w:t xml:space="preserve"> Samtidig administration af NSAID og ciclosporin menes at kunne øge risikoen for nefrotoksicitet pga. nedsat syntese af prostacykliner i nyrerne. I tilfælde af kombinationsbehandling skal nyrefunktionen derfor monitoreres tæt.</w:t>
      </w:r>
    </w:p>
    <w:p w14:paraId="6368142F" w14:textId="77777777" w:rsidR="00D4295A" w:rsidRPr="00D61C9C" w:rsidRDefault="00D4295A" w:rsidP="00EA5014">
      <w:pPr>
        <w:ind w:left="851"/>
        <w:rPr>
          <w:sz w:val="24"/>
          <w:szCs w:val="24"/>
        </w:rPr>
      </w:pPr>
    </w:p>
    <w:p w14:paraId="2ADB282A" w14:textId="77777777" w:rsidR="00D4295A" w:rsidRPr="00D61C9C" w:rsidRDefault="00D4295A" w:rsidP="00EA5014">
      <w:pPr>
        <w:ind w:left="851"/>
        <w:rPr>
          <w:sz w:val="24"/>
          <w:szCs w:val="24"/>
        </w:rPr>
      </w:pPr>
      <w:r w:rsidRPr="00D61C9C">
        <w:rPr>
          <w:i/>
          <w:iCs/>
          <w:sz w:val="24"/>
          <w:szCs w:val="24"/>
        </w:rPr>
        <w:t>Captopril</w:t>
      </w:r>
      <w:r w:rsidRPr="00D61C9C">
        <w:rPr>
          <w:sz w:val="24"/>
          <w:szCs w:val="24"/>
        </w:rPr>
        <w:t>: Eksperimentelle studier indikerer, at ibuprofen modvirker effekten af captopril på natriumudskillelse.</w:t>
      </w:r>
    </w:p>
    <w:p w14:paraId="34A0ABF9" w14:textId="77777777" w:rsidR="00D4295A" w:rsidRPr="00D61C9C" w:rsidRDefault="00D4295A" w:rsidP="00EA5014">
      <w:pPr>
        <w:ind w:left="851"/>
        <w:rPr>
          <w:sz w:val="24"/>
          <w:szCs w:val="24"/>
        </w:rPr>
      </w:pPr>
    </w:p>
    <w:p w14:paraId="12F24BB2" w14:textId="77777777" w:rsidR="00D4295A" w:rsidRPr="00D61C9C" w:rsidRDefault="00D4295A" w:rsidP="00EA5014">
      <w:pPr>
        <w:ind w:left="851"/>
        <w:rPr>
          <w:sz w:val="24"/>
          <w:szCs w:val="24"/>
        </w:rPr>
      </w:pPr>
      <w:r w:rsidRPr="00D61C9C">
        <w:rPr>
          <w:i/>
          <w:iCs/>
          <w:sz w:val="24"/>
          <w:szCs w:val="24"/>
        </w:rPr>
        <w:t>Colestyramin</w:t>
      </w:r>
      <w:r w:rsidRPr="00D61C9C">
        <w:rPr>
          <w:sz w:val="24"/>
          <w:szCs w:val="24"/>
        </w:rPr>
        <w:t>: Samtidig administration af ibuprofen og colestyramin forsinker og nedsætter absorptionen af ibuprofen (med 25 %). Disse lægemidler bør gives med et interval på mindst 2 timer.</w:t>
      </w:r>
    </w:p>
    <w:p w14:paraId="744EB624" w14:textId="77777777" w:rsidR="00D4295A" w:rsidRPr="00D61C9C" w:rsidRDefault="00D4295A" w:rsidP="00EA5014">
      <w:pPr>
        <w:ind w:left="851"/>
        <w:rPr>
          <w:sz w:val="24"/>
          <w:szCs w:val="24"/>
        </w:rPr>
      </w:pPr>
    </w:p>
    <w:p w14:paraId="0AAE720D" w14:textId="77777777" w:rsidR="00D4295A" w:rsidRPr="00D61C9C" w:rsidRDefault="00D4295A" w:rsidP="00EA5014">
      <w:pPr>
        <w:ind w:left="851"/>
        <w:rPr>
          <w:sz w:val="24"/>
          <w:szCs w:val="24"/>
        </w:rPr>
      </w:pPr>
      <w:r w:rsidRPr="00D61C9C">
        <w:rPr>
          <w:i/>
          <w:iCs/>
          <w:sz w:val="24"/>
          <w:szCs w:val="24"/>
        </w:rPr>
        <w:t xml:space="preserve">Thiazider, thiazidlignende præparater og loop-diuretika: </w:t>
      </w:r>
      <w:r w:rsidRPr="00D61C9C">
        <w:rPr>
          <w:sz w:val="24"/>
          <w:szCs w:val="24"/>
        </w:rPr>
        <w:t>NSAID’er kan nedsætte den diuretiske effekt af furosemid og bumetanid, muligvis gennem hæmning af prostaglandinsyntesen. De kan også nedsætte den antihypertensive effekt af thiazider.</w:t>
      </w:r>
    </w:p>
    <w:p w14:paraId="615A10A5" w14:textId="77777777" w:rsidR="00D4295A" w:rsidRPr="00D61C9C" w:rsidRDefault="00D4295A" w:rsidP="00EA5014">
      <w:pPr>
        <w:ind w:left="851"/>
        <w:rPr>
          <w:sz w:val="24"/>
          <w:szCs w:val="24"/>
        </w:rPr>
      </w:pPr>
    </w:p>
    <w:p w14:paraId="573D856C" w14:textId="77777777" w:rsidR="00D4295A" w:rsidRPr="00D61C9C" w:rsidRDefault="00D4295A" w:rsidP="00EA5014">
      <w:pPr>
        <w:ind w:left="851"/>
        <w:rPr>
          <w:sz w:val="24"/>
          <w:szCs w:val="24"/>
        </w:rPr>
      </w:pPr>
      <w:bookmarkStart w:id="6" w:name="_Hlk205815871"/>
      <w:bookmarkEnd w:id="5"/>
      <w:r w:rsidRPr="00D61C9C">
        <w:rPr>
          <w:i/>
          <w:iCs/>
          <w:sz w:val="24"/>
          <w:szCs w:val="24"/>
        </w:rPr>
        <w:t xml:space="preserve">Tacrolimus: </w:t>
      </w:r>
      <w:r w:rsidRPr="00D61C9C">
        <w:rPr>
          <w:sz w:val="24"/>
          <w:szCs w:val="24"/>
        </w:rPr>
        <w:t xml:space="preserve">Samtidig administration af NSAID’er og tacrolimus menes at kunne øge risikoen for nefrotoksititet pga. nedsat syntese af prostacyklin i nyrerne. </w:t>
      </w:r>
    </w:p>
    <w:p w14:paraId="6E346742" w14:textId="77777777" w:rsidR="00D4295A" w:rsidRPr="00D61C9C" w:rsidRDefault="00D4295A" w:rsidP="00EA5014">
      <w:pPr>
        <w:ind w:left="851"/>
        <w:rPr>
          <w:sz w:val="24"/>
          <w:szCs w:val="24"/>
        </w:rPr>
      </w:pPr>
      <w:r w:rsidRPr="00D61C9C">
        <w:rPr>
          <w:sz w:val="24"/>
          <w:szCs w:val="24"/>
        </w:rPr>
        <w:t>I tilfælde af kombinationsbehandling skal nyrefunktionen derfor monitoreres tæt.</w:t>
      </w:r>
    </w:p>
    <w:p w14:paraId="670519B2" w14:textId="77777777" w:rsidR="00D4295A" w:rsidRPr="00D61C9C" w:rsidRDefault="00D4295A" w:rsidP="00EA5014">
      <w:pPr>
        <w:ind w:left="851"/>
        <w:rPr>
          <w:sz w:val="24"/>
          <w:szCs w:val="24"/>
        </w:rPr>
      </w:pPr>
    </w:p>
    <w:p w14:paraId="49B7B979" w14:textId="77777777" w:rsidR="00D4295A" w:rsidRPr="00D61C9C" w:rsidRDefault="00D4295A" w:rsidP="00EA5014">
      <w:pPr>
        <w:ind w:left="851"/>
        <w:rPr>
          <w:sz w:val="24"/>
          <w:szCs w:val="24"/>
        </w:rPr>
      </w:pPr>
      <w:r w:rsidRPr="00D61C9C">
        <w:rPr>
          <w:i/>
          <w:iCs/>
          <w:sz w:val="24"/>
          <w:szCs w:val="24"/>
        </w:rPr>
        <w:t xml:space="preserve">Methotrexat: </w:t>
      </w:r>
      <w:r w:rsidRPr="00D61C9C">
        <w:rPr>
          <w:sz w:val="24"/>
          <w:szCs w:val="24"/>
        </w:rPr>
        <w:t>Risikoen for en potentiel interaktion mellem et NSAID og methotrexat bør også tages i betragtning i forbindelse med lavdosisbehandling med methotrexat, især hos patienter med nedsat nyrefunktion. Når kombinationsbehandling gives, bør nyrefunktionen overvåges. Der bør udvises forsigtighed, hvis både et NSAID og methotrexat gives inden for 24 timer, da plasmaniveauet af methotrexat kan stige, hvilket medfører øget toksicitet (se ovenfor).</w:t>
      </w:r>
    </w:p>
    <w:p w14:paraId="285341CE" w14:textId="77777777" w:rsidR="00D4295A" w:rsidRPr="00D61C9C" w:rsidRDefault="00D4295A" w:rsidP="00EA5014">
      <w:pPr>
        <w:ind w:left="851"/>
        <w:rPr>
          <w:sz w:val="24"/>
          <w:szCs w:val="24"/>
        </w:rPr>
      </w:pPr>
    </w:p>
    <w:p w14:paraId="1D10566D" w14:textId="77777777" w:rsidR="00D4295A" w:rsidRPr="00D61C9C" w:rsidRDefault="00D4295A" w:rsidP="00EA5014">
      <w:pPr>
        <w:ind w:left="851"/>
        <w:rPr>
          <w:sz w:val="24"/>
          <w:szCs w:val="24"/>
        </w:rPr>
      </w:pPr>
      <w:r w:rsidRPr="00D61C9C">
        <w:rPr>
          <w:i/>
          <w:iCs/>
          <w:sz w:val="24"/>
          <w:szCs w:val="24"/>
        </w:rPr>
        <w:t xml:space="preserve">Kortikosteroider: </w:t>
      </w:r>
      <w:r w:rsidRPr="00D61C9C">
        <w:rPr>
          <w:sz w:val="24"/>
          <w:szCs w:val="24"/>
        </w:rPr>
        <w:t>Samtidig behandling øger risikoen for gastrointestinalt ulcus eller blødning.</w:t>
      </w:r>
    </w:p>
    <w:p w14:paraId="16D05E3B" w14:textId="77777777" w:rsidR="00D4295A" w:rsidRPr="00D61C9C" w:rsidRDefault="00D4295A" w:rsidP="00EA5014">
      <w:pPr>
        <w:ind w:left="851"/>
        <w:rPr>
          <w:sz w:val="24"/>
          <w:szCs w:val="24"/>
        </w:rPr>
      </w:pPr>
    </w:p>
    <w:p w14:paraId="52BBAD9D" w14:textId="77777777" w:rsidR="00D4295A" w:rsidRPr="00D61C9C" w:rsidRDefault="00D4295A" w:rsidP="00EA5014">
      <w:pPr>
        <w:ind w:left="851"/>
        <w:rPr>
          <w:sz w:val="24"/>
          <w:szCs w:val="24"/>
        </w:rPr>
      </w:pPr>
      <w:r w:rsidRPr="00D61C9C">
        <w:rPr>
          <w:i/>
          <w:iCs/>
          <w:sz w:val="24"/>
          <w:szCs w:val="24"/>
        </w:rPr>
        <w:t>Trombocythæmmende midler:</w:t>
      </w:r>
      <w:r w:rsidRPr="00D61C9C">
        <w:rPr>
          <w:sz w:val="24"/>
          <w:szCs w:val="24"/>
        </w:rPr>
        <w:t xml:space="preserve"> Øget risiko for gastrointestinal blødning (se ovenfor).</w:t>
      </w:r>
    </w:p>
    <w:bookmarkEnd w:id="6"/>
    <w:p w14:paraId="05003203" w14:textId="77777777" w:rsidR="00D4295A" w:rsidRPr="00D61C9C" w:rsidRDefault="00D4295A" w:rsidP="00EA5014">
      <w:pPr>
        <w:ind w:left="851"/>
        <w:rPr>
          <w:sz w:val="24"/>
          <w:szCs w:val="24"/>
        </w:rPr>
      </w:pPr>
    </w:p>
    <w:p w14:paraId="738B45A0" w14:textId="16A1FCD5" w:rsidR="00D4295A" w:rsidRPr="00D61C9C" w:rsidRDefault="00D4295A" w:rsidP="00EA5014">
      <w:pPr>
        <w:ind w:left="851"/>
        <w:rPr>
          <w:sz w:val="24"/>
          <w:szCs w:val="24"/>
        </w:rPr>
      </w:pPr>
      <w:r w:rsidRPr="00D61C9C">
        <w:rPr>
          <w:i/>
          <w:iCs/>
          <w:sz w:val="24"/>
          <w:szCs w:val="24"/>
        </w:rPr>
        <w:t>CYP2C9-inhibitorer:</w:t>
      </w:r>
      <w:r w:rsidRPr="00D61C9C">
        <w:rPr>
          <w:sz w:val="24"/>
          <w:szCs w:val="24"/>
        </w:rPr>
        <w:t xml:space="preserve"> Samtidig administration af ibuprofen med CYP2C9-inhibitorer kan øge eksponeringen over for ibuprofen (CYP2C9-substrat). I et studie med voriconazol og fluconazol (CYP2C9-inhibitorer) sås en øget </w:t>
      </w:r>
      <w:proofErr w:type="gramStart"/>
      <w:r w:rsidRPr="00D61C9C">
        <w:rPr>
          <w:sz w:val="24"/>
          <w:szCs w:val="24"/>
        </w:rPr>
        <w:t>S(</w:t>
      </w:r>
      <w:proofErr w:type="gramEnd"/>
      <w:r w:rsidRPr="00D61C9C">
        <w:rPr>
          <w:sz w:val="24"/>
          <w:szCs w:val="24"/>
        </w:rPr>
        <w:t>+)-ibuprofen eksponering med ca. 80-100</w:t>
      </w:r>
      <w:r w:rsidR="00555C2E">
        <w:rPr>
          <w:sz w:val="24"/>
          <w:szCs w:val="24"/>
        </w:rPr>
        <w:t> </w:t>
      </w:r>
      <w:r w:rsidRPr="00D61C9C">
        <w:rPr>
          <w:sz w:val="24"/>
          <w:szCs w:val="24"/>
        </w:rPr>
        <w:t>%. Reduktion af ibuprofen-dosis bør overvejes, når potente CYP2C9-inhibitorer administreres samtidig, især når højdosis ibuprofen administreres samtidig med enten voriconazol eller fluconazol.</w:t>
      </w:r>
    </w:p>
    <w:p w14:paraId="40FAEF3B" w14:textId="77777777" w:rsidR="00D4295A" w:rsidRPr="00D61C9C" w:rsidRDefault="00D4295A" w:rsidP="00EA5014">
      <w:pPr>
        <w:ind w:left="851"/>
        <w:rPr>
          <w:sz w:val="24"/>
          <w:szCs w:val="24"/>
        </w:rPr>
      </w:pPr>
    </w:p>
    <w:p w14:paraId="75B877AF" w14:textId="77777777" w:rsidR="00D4295A" w:rsidRPr="00D61C9C" w:rsidRDefault="00D4295A" w:rsidP="00EA5014">
      <w:pPr>
        <w:ind w:left="851"/>
        <w:rPr>
          <w:sz w:val="24"/>
          <w:szCs w:val="24"/>
        </w:rPr>
      </w:pPr>
      <w:r w:rsidRPr="00D61C9C">
        <w:rPr>
          <w:i/>
          <w:iCs/>
          <w:sz w:val="24"/>
          <w:szCs w:val="24"/>
        </w:rPr>
        <w:t>Quinolon-antibiotika:</w:t>
      </w:r>
      <w:r w:rsidRPr="00D61C9C">
        <w:rPr>
          <w:sz w:val="24"/>
          <w:szCs w:val="24"/>
        </w:rPr>
        <w:t xml:space="preserve"> Dyrestudier indikerer, at NSAID’er kan øge risikoen for kramper associeret med quinolon-antibiotika. Patienter, der tager NSAID’er og quinoloner kan have en øget risiko for at udvikle kramper.</w:t>
      </w:r>
    </w:p>
    <w:p w14:paraId="40D458D4" w14:textId="77777777" w:rsidR="00D4295A" w:rsidRPr="00D61C9C" w:rsidRDefault="00D4295A" w:rsidP="00EA5014">
      <w:pPr>
        <w:ind w:left="851"/>
        <w:rPr>
          <w:sz w:val="24"/>
          <w:szCs w:val="24"/>
        </w:rPr>
      </w:pPr>
    </w:p>
    <w:p w14:paraId="2D60985B" w14:textId="77777777" w:rsidR="00D4295A" w:rsidRPr="00D61C9C" w:rsidRDefault="00D4295A" w:rsidP="00EA5014">
      <w:pPr>
        <w:ind w:left="851"/>
        <w:rPr>
          <w:sz w:val="24"/>
          <w:szCs w:val="24"/>
        </w:rPr>
      </w:pPr>
      <w:r w:rsidRPr="00D61C9C">
        <w:rPr>
          <w:sz w:val="24"/>
          <w:szCs w:val="24"/>
        </w:rPr>
        <w:t>Interaktionsstudier er kun blevet udført for voksne.</w:t>
      </w:r>
    </w:p>
    <w:p w14:paraId="149005C3" w14:textId="77777777" w:rsidR="009260DE" w:rsidRPr="00D61C9C" w:rsidRDefault="009260DE" w:rsidP="009260DE">
      <w:pPr>
        <w:tabs>
          <w:tab w:val="left" w:pos="851"/>
        </w:tabs>
        <w:ind w:left="851"/>
        <w:rPr>
          <w:sz w:val="24"/>
          <w:szCs w:val="24"/>
        </w:rPr>
      </w:pPr>
    </w:p>
    <w:p w14:paraId="7439BC60" w14:textId="77777777" w:rsidR="009260DE" w:rsidRPr="00D61C9C" w:rsidRDefault="009260DE" w:rsidP="009260DE">
      <w:pPr>
        <w:tabs>
          <w:tab w:val="left" w:pos="851"/>
        </w:tabs>
        <w:ind w:left="851" w:hanging="851"/>
        <w:rPr>
          <w:b/>
          <w:sz w:val="24"/>
          <w:szCs w:val="24"/>
        </w:rPr>
      </w:pPr>
      <w:r w:rsidRPr="00D61C9C">
        <w:rPr>
          <w:b/>
          <w:sz w:val="24"/>
          <w:szCs w:val="24"/>
        </w:rPr>
        <w:t>4.6</w:t>
      </w:r>
      <w:r w:rsidRPr="00D61C9C">
        <w:rPr>
          <w:b/>
          <w:sz w:val="24"/>
          <w:szCs w:val="24"/>
        </w:rPr>
        <w:tab/>
      </w:r>
      <w:r w:rsidR="0071241E" w:rsidRPr="00D61C9C">
        <w:rPr>
          <w:b/>
          <w:sz w:val="24"/>
          <w:szCs w:val="24"/>
        </w:rPr>
        <w:t>Fertilitet, g</w:t>
      </w:r>
      <w:r w:rsidRPr="00D61C9C">
        <w:rPr>
          <w:b/>
          <w:sz w:val="24"/>
          <w:szCs w:val="24"/>
        </w:rPr>
        <w:t>raviditet og amning</w:t>
      </w:r>
    </w:p>
    <w:p w14:paraId="7D959CBF" w14:textId="77777777" w:rsidR="00555C2E" w:rsidRDefault="00555C2E" w:rsidP="00EA5014">
      <w:pPr>
        <w:ind w:left="851"/>
        <w:rPr>
          <w:sz w:val="24"/>
          <w:szCs w:val="24"/>
        </w:rPr>
      </w:pPr>
    </w:p>
    <w:p w14:paraId="1543447C" w14:textId="5F6D424E" w:rsidR="00D4295A" w:rsidRPr="00555C2E" w:rsidRDefault="00D4295A" w:rsidP="00EA5014">
      <w:pPr>
        <w:ind w:left="851"/>
        <w:rPr>
          <w:sz w:val="24"/>
          <w:szCs w:val="24"/>
          <w:u w:val="single"/>
        </w:rPr>
      </w:pPr>
      <w:r w:rsidRPr="00555C2E">
        <w:rPr>
          <w:sz w:val="24"/>
          <w:szCs w:val="24"/>
          <w:u w:val="single"/>
        </w:rPr>
        <w:t xml:space="preserve">Graviditet </w:t>
      </w:r>
    </w:p>
    <w:p w14:paraId="50A6FF38" w14:textId="1283124E" w:rsidR="00D4295A" w:rsidRPr="00D61C9C" w:rsidRDefault="00D4295A" w:rsidP="00EA5014">
      <w:pPr>
        <w:ind w:left="851"/>
        <w:rPr>
          <w:sz w:val="24"/>
          <w:szCs w:val="24"/>
        </w:rPr>
      </w:pPr>
      <w:r w:rsidRPr="00D61C9C">
        <w:rPr>
          <w:sz w:val="24"/>
          <w:szCs w:val="24"/>
        </w:rPr>
        <w:t xml:space="preserve">Hæmning af prostaglandinsyntesen kan have en negativ virkning på graviditeten og/eller embryoets/fostrets udvikling. Data fra epidemiologiske forsøg tyder på en øget risiko for spontan abort og for misdannelser i hjertet og gastroschisis efter brug af en prostaglandinsyntesehæmmer tidligt i graviditeten. Den absolutte risiko for medfødte misdannelser i hjertet steg fra mindre end 1 % til cirka 1,5 %. Risikoen menes at stige med dosis og behandlingsvarighed. Det er påvist hos dyr, at administration af en prostaglandinsyntesehæmmer medfører flere fostertab før og efter implantation og flere embryoføtale dødsfald. </w:t>
      </w:r>
      <w:proofErr w:type="gramStart"/>
      <w:r w:rsidRPr="00D61C9C">
        <w:rPr>
          <w:sz w:val="24"/>
          <w:szCs w:val="24"/>
        </w:rPr>
        <w:t>Endvidere</w:t>
      </w:r>
      <w:proofErr w:type="gramEnd"/>
      <w:r w:rsidRPr="00D61C9C">
        <w:rPr>
          <w:sz w:val="24"/>
          <w:szCs w:val="24"/>
        </w:rPr>
        <w:t xml:space="preserve"> er der rapporteret en øget forekomst af forskellige misdannelser, herunder kardiovaskulære, hos dyr, der fik prostaglandinsyntesehæmmer i den organdannende periode. Fra 20. graviditetsuge og fremefter, kan brug af ibuprofen forårsage oligohydramnios som følge af føtal nyredysfunktion. Dette kan forekomme kort efter behandlingsstart og er normalt reversibelt ved seponering. Derudover har der været rapporter om ductus arteriosus konstriktion efter behandling i andet trimester, hvoraf de fleste forsvandt efter behandlingsophør. Derfor må ibuprofen ikke anvendes under graviditetens første og andet trimester, </w:t>
      </w:r>
      <w:r w:rsidR="000B6705" w:rsidRPr="00D61C9C">
        <w:rPr>
          <w:sz w:val="24"/>
          <w:szCs w:val="24"/>
        </w:rPr>
        <w:t>medmindre</w:t>
      </w:r>
      <w:r w:rsidRPr="00D61C9C">
        <w:rPr>
          <w:sz w:val="24"/>
          <w:szCs w:val="24"/>
        </w:rPr>
        <w:t xml:space="preserve"> det er klart nødvendigt. Hvis ibuprofen anvendes af en kvinde, der forsøger at blive gravid, eller under graviditetens første og andet trimester, skal dosis sættes så lavt og behandlingens varighed være så kort som muligt. Efter 20. graviditetsuge bør prænatal overvågning for oligohydramnios og ductus arteriosus konstriktion overvejes efter eksponering af ibuprofen i flere dage. Hvis oligohydramnios eller ductus arteriosus konstriktion konstateres, bør ibuprofen seponeres.</w:t>
      </w:r>
    </w:p>
    <w:p w14:paraId="7940A425" w14:textId="77777777" w:rsidR="00D4295A" w:rsidRPr="00D61C9C" w:rsidRDefault="00D4295A" w:rsidP="00EA5014">
      <w:pPr>
        <w:ind w:left="851"/>
        <w:rPr>
          <w:sz w:val="24"/>
          <w:szCs w:val="24"/>
        </w:rPr>
      </w:pPr>
    </w:p>
    <w:p w14:paraId="3FE62184" w14:textId="77777777" w:rsidR="00D4295A" w:rsidRPr="00D61C9C" w:rsidRDefault="00D4295A" w:rsidP="00EA5014">
      <w:pPr>
        <w:ind w:left="851"/>
        <w:rPr>
          <w:sz w:val="24"/>
          <w:szCs w:val="24"/>
        </w:rPr>
      </w:pPr>
      <w:r w:rsidRPr="00D61C9C">
        <w:rPr>
          <w:sz w:val="24"/>
          <w:szCs w:val="24"/>
        </w:rPr>
        <w:t>Under graviditetens tredje trimester kan alle prostaglandinsyntesehæmmere udsætte fostret for:</w:t>
      </w:r>
    </w:p>
    <w:p w14:paraId="7AA0AB60" w14:textId="77777777" w:rsidR="00D4295A" w:rsidRPr="00555C2E" w:rsidRDefault="00D4295A" w:rsidP="00555C2E">
      <w:pPr>
        <w:pStyle w:val="Listeafsnit"/>
        <w:numPr>
          <w:ilvl w:val="0"/>
          <w:numId w:val="14"/>
        </w:numPr>
        <w:ind w:left="1276" w:hanging="425"/>
        <w:rPr>
          <w:sz w:val="24"/>
          <w:szCs w:val="24"/>
        </w:rPr>
      </w:pPr>
      <w:r w:rsidRPr="00555C2E">
        <w:rPr>
          <w:sz w:val="24"/>
          <w:szCs w:val="24"/>
        </w:rPr>
        <w:t>kardiopulmonal toksicitet (præmatur konstriktion/lukning af ductus arteriosus og pulmonal hypertension)</w:t>
      </w:r>
    </w:p>
    <w:p w14:paraId="00DB8DB2" w14:textId="77777777" w:rsidR="00D4295A" w:rsidRPr="00555C2E" w:rsidRDefault="00D4295A" w:rsidP="00555C2E">
      <w:pPr>
        <w:pStyle w:val="Listeafsnit"/>
        <w:numPr>
          <w:ilvl w:val="0"/>
          <w:numId w:val="14"/>
        </w:numPr>
        <w:ind w:left="1276" w:hanging="425"/>
        <w:rPr>
          <w:sz w:val="24"/>
          <w:szCs w:val="24"/>
        </w:rPr>
      </w:pPr>
      <w:r w:rsidRPr="00555C2E">
        <w:rPr>
          <w:sz w:val="24"/>
          <w:szCs w:val="24"/>
        </w:rPr>
        <w:t>renal dysfunktion (se ovenfor)</w:t>
      </w:r>
    </w:p>
    <w:p w14:paraId="5A53D4B3" w14:textId="77777777" w:rsidR="00D4295A" w:rsidRPr="00D61C9C" w:rsidRDefault="00D4295A" w:rsidP="00EA5014">
      <w:pPr>
        <w:ind w:left="851"/>
        <w:rPr>
          <w:sz w:val="24"/>
          <w:szCs w:val="24"/>
        </w:rPr>
      </w:pPr>
    </w:p>
    <w:p w14:paraId="5D13B8CF" w14:textId="77777777" w:rsidR="00D4295A" w:rsidRPr="00D61C9C" w:rsidRDefault="00D4295A" w:rsidP="00EA5014">
      <w:pPr>
        <w:ind w:left="851"/>
        <w:rPr>
          <w:sz w:val="24"/>
          <w:szCs w:val="24"/>
        </w:rPr>
      </w:pPr>
      <w:r w:rsidRPr="00D61C9C">
        <w:rPr>
          <w:sz w:val="24"/>
          <w:szCs w:val="24"/>
        </w:rPr>
        <w:t>moderen og det nyfødte barn efter graviditeten for:</w:t>
      </w:r>
    </w:p>
    <w:p w14:paraId="68A82996" w14:textId="77777777" w:rsidR="00D4295A" w:rsidRPr="00555C2E" w:rsidRDefault="00D4295A" w:rsidP="00555C2E">
      <w:pPr>
        <w:pStyle w:val="Listeafsnit"/>
        <w:numPr>
          <w:ilvl w:val="0"/>
          <w:numId w:val="15"/>
        </w:numPr>
        <w:ind w:left="1276" w:hanging="425"/>
        <w:rPr>
          <w:sz w:val="24"/>
          <w:szCs w:val="24"/>
        </w:rPr>
      </w:pPr>
      <w:r w:rsidRPr="00555C2E">
        <w:rPr>
          <w:sz w:val="24"/>
          <w:szCs w:val="24"/>
        </w:rPr>
        <w:t>forlængelse af blødningstid</w:t>
      </w:r>
    </w:p>
    <w:p w14:paraId="22EA330E" w14:textId="5F821926" w:rsidR="00D4295A" w:rsidRPr="00555C2E" w:rsidRDefault="00555C2E" w:rsidP="00555C2E">
      <w:pPr>
        <w:pStyle w:val="Listeafsnit"/>
        <w:numPr>
          <w:ilvl w:val="0"/>
          <w:numId w:val="15"/>
        </w:numPr>
        <w:ind w:left="1276" w:hanging="425"/>
        <w:rPr>
          <w:sz w:val="24"/>
          <w:szCs w:val="24"/>
        </w:rPr>
      </w:pPr>
      <w:r>
        <w:rPr>
          <w:sz w:val="24"/>
          <w:szCs w:val="24"/>
        </w:rPr>
        <w:t>h</w:t>
      </w:r>
      <w:r w:rsidR="00D4295A" w:rsidRPr="00555C2E">
        <w:rPr>
          <w:sz w:val="24"/>
          <w:szCs w:val="24"/>
        </w:rPr>
        <w:t xml:space="preserve">æmning af livmoderens sammentrækninger, hvilket forhaler eller forlænger fødslen. </w:t>
      </w:r>
    </w:p>
    <w:p w14:paraId="0DB56E9D" w14:textId="77777777" w:rsidR="00D4295A" w:rsidRPr="00D61C9C" w:rsidRDefault="00D4295A" w:rsidP="00EA5014">
      <w:pPr>
        <w:ind w:left="851"/>
        <w:rPr>
          <w:sz w:val="24"/>
          <w:szCs w:val="24"/>
        </w:rPr>
      </w:pPr>
    </w:p>
    <w:p w14:paraId="04613E4D" w14:textId="77777777" w:rsidR="00D4295A" w:rsidRPr="00D61C9C" w:rsidRDefault="00D4295A" w:rsidP="00EA5014">
      <w:pPr>
        <w:ind w:left="851"/>
        <w:rPr>
          <w:sz w:val="24"/>
          <w:szCs w:val="24"/>
        </w:rPr>
      </w:pPr>
      <w:r w:rsidRPr="00D61C9C">
        <w:rPr>
          <w:sz w:val="24"/>
          <w:szCs w:val="24"/>
        </w:rPr>
        <w:t>Ibuprofen er derfor kontraindiceret under graviditetens tredje trimester.</w:t>
      </w:r>
    </w:p>
    <w:p w14:paraId="0A4D769D" w14:textId="77777777" w:rsidR="00D4295A" w:rsidRPr="00D61C9C" w:rsidRDefault="00D4295A" w:rsidP="00EA5014">
      <w:pPr>
        <w:ind w:left="851"/>
        <w:rPr>
          <w:sz w:val="24"/>
          <w:szCs w:val="24"/>
        </w:rPr>
      </w:pPr>
    </w:p>
    <w:p w14:paraId="58CC2B77" w14:textId="61A8D0EA" w:rsidR="00D4295A" w:rsidRPr="00555C2E" w:rsidRDefault="00D4295A" w:rsidP="00EA5014">
      <w:pPr>
        <w:ind w:left="851"/>
        <w:rPr>
          <w:sz w:val="24"/>
          <w:szCs w:val="24"/>
          <w:u w:val="single"/>
        </w:rPr>
      </w:pPr>
      <w:r w:rsidRPr="00555C2E">
        <w:rPr>
          <w:sz w:val="24"/>
          <w:szCs w:val="24"/>
          <w:u w:val="single"/>
        </w:rPr>
        <w:t>Am</w:t>
      </w:r>
      <w:r w:rsidR="00555C2E" w:rsidRPr="00555C2E">
        <w:rPr>
          <w:sz w:val="24"/>
          <w:szCs w:val="24"/>
          <w:u w:val="single"/>
        </w:rPr>
        <w:t>n</w:t>
      </w:r>
      <w:r w:rsidRPr="00555C2E">
        <w:rPr>
          <w:sz w:val="24"/>
          <w:szCs w:val="24"/>
          <w:u w:val="single"/>
        </w:rPr>
        <w:t>ing</w:t>
      </w:r>
    </w:p>
    <w:p w14:paraId="2BAC6A8B" w14:textId="77777777" w:rsidR="00D4295A" w:rsidRPr="00D61C9C" w:rsidRDefault="00D4295A" w:rsidP="00EA5014">
      <w:pPr>
        <w:ind w:left="851"/>
        <w:rPr>
          <w:sz w:val="24"/>
          <w:szCs w:val="24"/>
        </w:rPr>
      </w:pPr>
      <w:r w:rsidRPr="00D61C9C">
        <w:rPr>
          <w:sz w:val="24"/>
          <w:szCs w:val="24"/>
        </w:rPr>
        <w:t>Ibuprofen udskilles i modermælk, men ved terapeutiske doser under kortvarig behandling anses risikoen for påvirkning af barnet for usandsynlig. Ved længerevarende behandling bør tidligt ophør med amning overvejes.</w:t>
      </w:r>
    </w:p>
    <w:p w14:paraId="10802912" w14:textId="77777777" w:rsidR="00D4295A" w:rsidRPr="00D61C9C" w:rsidRDefault="00D4295A" w:rsidP="00EA5014">
      <w:pPr>
        <w:ind w:left="851"/>
        <w:rPr>
          <w:sz w:val="24"/>
          <w:szCs w:val="24"/>
        </w:rPr>
      </w:pPr>
    </w:p>
    <w:p w14:paraId="1FB45176" w14:textId="77777777" w:rsidR="00D4295A" w:rsidRPr="00555C2E" w:rsidRDefault="00D4295A" w:rsidP="00EA5014">
      <w:pPr>
        <w:ind w:left="851"/>
        <w:rPr>
          <w:sz w:val="24"/>
          <w:szCs w:val="24"/>
          <w:u w:val="single"/>
        </w:rPr>
      </w:pPr>
      <w:r w:rsidRPr="00555C2E">
        <w:rPr>
          <w:sz w:val="24"/>
          <w:szCs w:val="24"/>
          <w:u w:val="single"/>
        </w:rPr>
        <w:t>Fertilitet</w:t>
      </w:r>
    </w:p>
    <w:p w14:paraId="63A5DF00" w14:textId="77777777" w:rsidR="00D4295A" w:rsidRPr="00D61C9C" w:rsidRDefault="00D4295A" w:rsidP="00EA5014">
      <w:pPr>
        <w:ind w:left="851"/>
        <w:rPr>
          <w:sz w:val="24"/>
          <w:szCs w:val="24"/>
        </w:rPr>
      </w:pPr>
      <w:r w:rsidRPr="00D61C9C">
        <w:rPr>
          <w:sz w:val="24"/>
          <w:szCs w:val="24"/>
        </w:rPr>
        <w:t>Anvendelsen af ibuprofen kan reducere fertiliteten og bør derfor ikke anvendes til kvinder, som ønsker at blive gravide. For kvinder, som har problemer med at blive gravide eller bliver undersøgt for infertilitet, bør seponering af ibuprofen overvejes.</w:t>
      </w:r>
    </w:p>
    <w:p w14:paraId="29EDD2E1" w14:textId="77777777" w:rsidR="009260DE" w:rsidRPr="00D61C9C" w:rsidRDefault="009260DE" w:rsidP="009260DE">
      <w:pPr>
        <w:tabs>
          <w:tab w:val="left" w:pos="851"/>
        </w:tabs>
        <w:ind w:left="851"/>
        <w:rPr>
          <w:sz w:val="24"/>
          <w:szCs w:val="24"/>
        </w:rPr>
      </w:pPr>
    </w:p>
    <w:p w14:paraId="23BFBB96" w14:textId="77777777" w:rsidR="009260DE" w:rsidRPr="00D61C9C" w:rsidRDefault="009260DE" w:rsidP="009260DE">
      <w:pPr>
        <w:tabs>
          <w:tab w:val="left" w:pos="851"/>
        </w:tabs>
        <w:ind w:left="851" w:hanging="851"/>
        <w:rPr>
          <w:b/>
          <w:sz w:val="24"/>
          <w:szCs w:val="24"/>
        </w:rPr>
      </w:pPr>
      <w:r w:rsidRPr="00D61C9C">
        <w:rPr>
          <w:b/>
          <w:sz w:val="24"/>
          <w:szCs w:val="24"/>
        </w:rPr>
        <w:t>4.7</w:t>
      </w:r>
      <w:r w:rsidRPr="00D61C9C">
        <w:rPr>
          <w:b/>
          <w:sz w:val="24"/>
          <w:szCs w:val="24"/>
        </w:rPr>
        <w:tab/>
        <w:t xml:space="preserve">Virkning på evnen til at føre motorkøretøj </w:t>
      </w:r>
      <w:r w:rsidR="0071241E" w:rsidRPr="00D61C9C">
        <w:rPr>
          <w:b/>
          <w:sz w:val="24"/>
          <w:szCs w:val="24"/>
        </w:rPr>
        <w:t>og</w:t>
      </w:r>
      <w:r w:rsidRPr="00D61C9C">
        <w:rPr>
          <w:b/>
          <w:sz w:val="24"/>
          <w:szCs w:val="24"/>
        </w:rPr>
        <w:t xml:space="preserve"> betjene maskiner</w:t>
      </w:r>
    </w:p>
    <w:p w14:paraId="20332FF0" w14:textId="77777777" w:rsidR="00746F61" w:rsidRDefault="00746F61" w:rsidP="00EA5014">
      <w:pPr>
        <w:ind w:left="851"/>
        <w:rPr>
          <w:sz w:val="24"/>
          <w:szCs w:val="24"/>
        </w:rPr>
      </w:pPr>
      <w:r>
        <w:rPr>
          <w:sz w:val="24"/>
          <w:szCs w:val="24"/>
        </w:rPr>
        <w:t>Ikke mærkning.</w:t>
      </w:r>
    </w:p>
    <w:p w14:paraId="41042CD3" w14:textId="0B463A31" w:rsidR="00D4295A" w:rsidRPr="00D61C9C" w:rsidRDefault="00D4295A" w:rsidP="00EA5014">
      <w:pPr>
        <w:ind w:left="851"/>
        <w:rPr>
          <w:sz w:val="24"/>
          <w:szCs w:val="24"/>
        </w:rPr>
      </w:pPr>
      <w:r w:rsidRPr="00D61C9C">
        <w:rPr>
          <w:sz w:val="24"/>
          <w:szCs w:val="24"/>
        </w:rPr>
        <w:t>Efter behandling med ibuprofen kan reaktionstiden for nogle patienter blive påvirket. Dette bør tages i betragtning, hvor øget årvågenhed er påkrævet, f.eks. når du kører bil. Dette gælder i særlig grad ved kombination med alkohol.</w:t>
      </w:r>
    </w:p>
    <w:p w14:paraId="548D98C3" w14:textId="77777777" w:rsidR="009260DE" w:rsidRPr="00D61C9C" w:rsidRDefault="009260DE" w:rsidP="009260DE">
      <w:pPr>
        <w:tabs>
          <w:tab w:val="left" w:pos="851"/>
        </w:tabs>
        <w:ind w:left="851"/>
        <w:rPr>
          <w:sz w:val="24"/>
          <w:szCs w:val="24"/>
        </w:rPr>
      </w:pPr>
    </w:p>
    <w:p w14:paraId="572A5EE9" w14:textId="77777777" w:rsidR="009260DE" w:rsidRPr="00D61C9C" w:rsidRDefault="009260DE" w:rsidP="009260DE">
      <w:pPr>
        <w:tabs>
          <w:tab w:val="left" w:pos="851"/>
        </w:tabs>
        <w:ind w:left="851" w:hanging="851"/>
        <w:rPr>
          <w:b/>
          <w:sz w:val="24"/>
          <w:szCs w:val="24"/>
        </w:rPr>
      </w:pPr>
      <w:r w:rsidRPr="00D61C9C">
        <w:rPr>
          <w:b/>
          <w:sz w:val="24"/>
          <w:szCs w:val="24"/>
        </w:rPr>
        <w:t>4.8</w:t>
      </w:r>
      <w:r w:rsidRPr="00D61C9C">
        <w:rPr>
          <w:b/>
          <w:sz w:val="24"/>
          <w:szCs w:val="24"/>
        </w:rPr>
        <w:tab/>
        <w:t>Bivirkninger</w:t>
      </w:r>
    </w:p>
    <w:p w14:paraId="6C673C2A" w14:textId="77777777" w:rsidR="00D4295A" w:rsidRPr="00D61C9C" w:rsidRDefault="00D4295A" w:rsidP="00EA5014">
      <w:pPr>
        <w:ind w:left="851"/>
        <w:rPr>
          <w:sz w:val="24"/>
          <w:szCs w:val="24"/>
        </w:rPr>
      </w:pPr>
      <w:r w:rsidRPr="00D61C9C">
        <w:rPr>
          <w:sz w:val="24"/>
          <w:szCs w:val="24"/>
        </w:rPr>
        <w:t>Bivirkningsmønstret, der er rapporteret for ibuprofen, er lig mønstret for andre NSAID’er.</w:t>
      </w:r>
    </w:p>
    <w:p w14:paraId="4F7C100B" w14:textId="77777777" w:rsidR="00D4295A" w:rsidRPr="00D61C9C" w:rsidRDefault="00D4295A" w:rsidP="00EA5014">
      <w:pPr>
        <w:ind w:left="851"/>
        <w:rPr>
          <w:sz w:val="24"/>
          <w:szCs w:val="24"/>
        </w:rPr>
      </w:pPr>
    </w:p>
    <w:p w14:paraId="65804857" w14:textId="77777777" w:rsidR="00D4295A" w:rsidRPr="00D61C9C" w:rsidRDefault="00D4295A" w:rsidP="00EA5014">
      <w:pPr>
        <w:ind w:left="851"/>
        <w:rPr>
          <w:sz w:val="24"/>
          <w:szCs w:val="24"/>
          <w:u w:val="single"/>
        </w:rPr>
      </w:pPr>
      <w:r w:rsidRPr="00D61C9C">
        <w:rPr>
          <w:sz w:val="24"/>
          <w:szCs w:val="24"/>
          <w:u w:val="single"/>
        </w:rPr>
        <w:t>Gastrointestinale lidelser</w:t>
      </w:r>
    </w:p>
    <w:p w14:paraId="6DACDCD4" w14:textId="77777777" w:rsidR="00D4295A" w:rsidRPr="00D61C9C" w:rsidRDefault="00D4295A" w:rsidP="00EA5014">
      <w:pPr>
        <w:ind w:left="851"/>
        <w:rPr>
          <w:sz w:val="24"/>
          <w:szCs w:val="24"/>
        </w:rPr>
      </w:pPr>
      <w:r w:rsidRPr="00D61C9C">
        <w:rPr>
          <w:sz w:val="24"/>
          <w:szCs w:val="24"/>
        </w:rPr>
        <w:t xml:space="preserve">De hyppigst observerede bivirkninger forekommer i mave-tarm-kanalen. Kvalme, opkastning, diarré, flatulens, obstipation, dyspepsi, abdominale smerter, melæna, hæmatemese, stomatitis ulcerosa, gastrointestinal blødning og forværring af colitis og morbus Crohn (se pkt. 4.4) er rapporteret efter brug af ibuprofen. Gastritis, duodenal ulcer, gastrisk ulcer og gastrointestinal perforation er observeret mindre hyppigt. </w:t>
      </w:r>
    </w:p>
    <w:p w14:paraId="1BA0A681" w14:textId="77777777" w:rsidR="00D4295A" w:rsidRPr="00D61C9C" w:rsidRDefault="00D4295A" w:rsidP="00EA5014">
      <w:pPr>
        <w:ind w:left="851"/>
        <w:rPr>
          <w:sz w:val="24"/>
          <w:szCs w:val="24"/>
        </w:rPr>
      </w:pPr>
      <w:r w:rsidRPr="00D61C9C">
        <w:rPr>
          <w:sz w:val="24"/>
          <w:szCs w:val="24"/>
        </w:rPr>
        <w:t>Gastrointestinale ulcers, perforation eller blødning kan nogle gange være fatale, især hos ældre personer (se pkt. 4.4).</w:t>
      </w:r>
    </w:p>
    <w:p w14:paraId="7D207581" w14:textId="77777777" w:rsidR="00D4295A" w:rsidRPr="00D61C9C" w:rsidRDefault="00D4295A" w:rsidP="00EA5014">
      <w:pPr>
        <w:ind w:left="851"/>
        <w:rPr>
          <w:sz w:val="24"/>
          <w:szCs w:val="24"/>
        </w:rPr>
      </w:pPr>
    </w:p>
    <w:p w14:paraId="6148E37A" w14:textId="11D26D95" w:rsidR="00D4295A" w:rsidRPr="00D61C9C" w:rsidRDefault="00D4295A" w:rsidP="00EA5014">
      <w:pPr>
        <w:ind w:left="851"/>
        <w:rPr>
          <w:sz w:val="24"/>
          <w:szCs w:val="24"/>
          <w:u w:val="single"/>
        </w:rPr>
      </w:pPr>
      <w:r w:rsidRPr="00D61C9C">
        <w:rPr>
          <w:sz w:val="24"/>
          <w:szCs w:val="24"/>
          <w:u w:val="single"/>
        </w:rPr>
        <w:t>Hud og subkutane væv</w:t>
      </w:r>
    </w:p>
    <w:p w14:paraId="24FFF765" w14:textId="269699DF" w:rsidR="00D4295A" w:rsidRPr="00D61C9C" w:rsidRDefault="00D4295A" w:rsidP="00EA5014">
      <w:pPr>
        <w:ind w:left="851"/>
        <w:rPr>
          <w:sz w:val="24"/>
          <w:szCs w:val="24"/>
        </w:rPr>
      </w:pPr>
      <w:r w:rsidRPr="00D61C9C">
        <w:rPr>
          <w:sz w:val="24"/>
          <w:szCs w:val="24"/>
        </w:rPr>
        <w:t>Exceptionelt kan der forekomme tilfælde af alvorlige komplikationer ved hudinfektioner og bløddelsinfektioner ved en varicella-infektion. Det er beskrevet, at forværring af infektionsrelaterede inflammationer (</w:t>
      </w:r>
      <w:r w:rsidR="000B6705">
        <w:rPr>
          <w:sz w:val="24"/>
          <w:szCs w:val="24"/>
        </w:rPr>
        <w:t>f.eks.</w:t>
      </w:r>
      <w:r w:rsidRPr="00D61C9C">
        <w:rPr>
          <w:sz w:val="24"/>
          <w:szCs w:val="24"/>
        </w:rPr>
        <w:t xml:space="preserve"> udvikling af nekrotisk fasciitis) kan indtræffe samtidig med brug af NSAID.</w:t>
      </w:r>
    </w:p>
    <w:p w14:paraId="0AC29A03" w14:textId="77777777" w:rsidR="00D4295A" w:rsidRPr="00D61C9C" w:rsidRDefault="00D4295A" w:rsidP="00EA5014">
      <w:pPr>
        <w:ind w:left="851"/>
        <w:rPr>
          <w:sz w:val="24"/>
          <w:szCs w:val="24"/>
        </w:rPr>
      </w:pPr>
    </w:p>
    <w:p w14:paraId="669B2108" w14:textId="77777777" w:rsidR="00D4295A" w:rsidRPr="00D61C9C" w:rsidRDefault="00D4295A" w:rsidP="00EA5014">
      <w:pPr>
        <w:ind w:left="851"/>
        <w:rPr>
          <w:iCs/>
          <w:sz w:val="24"/>
          <w:szCs w:val="24"/>
          <w:u w:val="single"/>
        </w:rPr>
      </w:pPr>
      <w:r w:rsidRPr="00D61C9C">
        <w:rPr>
          <w:iCs/>
          <w:sz w:val="24"/>
          <w:szCs w:val="24"/>
          <w:u w:val="single"/>
        </w:rPr>
        <w:t>Hjerte og vaskulære sygdomme</w:t>
      </w:r>
    </w:p>
    <w:p w14:paraId="3D01A15E" w14:textId="79E00208" w:rsidR="00D4295A" w:rsidRPr="00D61C9C" w:rsidRDefault="00D4295A" w:rsidP="00EA5014">
      <w:pPr>
        <w:ind w:left="851"/>
        <w:rPr>
          <w:iCs/>
          <w:sz w:val="24"/>
          <w:szCs w:val="24"/>
        </w:rPr>
      </w:pPr>
      <w:r w:rsidRPr="00D61C9C">
        <w:rPr>
          <w:iCs/>
          <w:sz w:val="24"/>
          <w:szCs w:val="24"/>
        </w:rPr>
        <w:t>Kliniske studier antyder, at ibuprofen, særligt ved høje doser (2.400 mg/dag), kan være forbundet med en let øget risiko for arterielle trombotiske hændelser (</w:t>
      </w:r>
      <w:r w:rsidR="000B6705">
        <w:rPr>
          <w:iCs/>
          <w:sz w:val="24"/>
          <w:szCs w:val="24"/>
        </w:rPr>
        <w:t>f.eks.</w:t>
      </w:r>
      <w:r w:rsidRPr="00D61C9C">
        <w:rPr>
          <w:iCs/>
          <w:sz w:val="24"/>
          <w:szCs w:val="24"/>
        </w:rPr>
        <w:t xml:space="preserve"> myokardieinfarkt eller apopleksi, se pkt. 4.4).</w:t>
      </w:r>
    </w:p>
    <w:p w14:paraId="02986559" w14:textId="77777777" w:rsidR="00D4295A" w:rsidRPr="00D61C9C" w:rsidRDefault="00D4295A" w:rsidP="00EA5014">
      <w:pPr>
        <w:ind w:left="851"/>
        <w:rPr>
          <w:iCs/>
          <w:sz w:val="24"/>
          <w:szCs w:val="24"/>
        </w:rPr>
      </w:pPr>
    </w:p>
    <w:p w14:paraId="2B74C4C6" w14:textId="77777777" w:rsidR="00D4295A" w:rsidRPr="00D61C9C" w:rsidRDefault="00D4295A" w:rsidP="00EA5014">
      <w:pPr>
        <w:ind w:left="851"/>
        <w:rPr>
          <w:iCs/>
          <w:sz w:val="24"/>
          <w:szCs w:val="24"/>
        </w:rPr>
      </w:pPr>
      <w:r w:rsidRPr="00D61C9C">
        <w:rPr>
          <w:iCs/>
          <w:sz w:val="24"/>
          <w:szCs w:val="24"/>
        </w:rPr>
        <w:t>Ødem, hypertension og hjertesvigt er blevet rapporteret i forbindelse med NSAID-behandling.</w:t>
      </w:r>
    </w:p>
    <w:p w14:paraId="586C26DC" w14:textId="77777777" w:rsidR="00D4295A" w:rsidRPr="00D61C9C" w:rsidRDefault="00D4295A" w:rsidP="00EA5014">
      <w:pPr>
        <w:ind w:left="851"/>
        <w:rPr>
          <w:iCs/>
          <w:sz w:val="24"/>
          <w:szCs w:val="24"/>
        </w:rPr>
      </w:pPr>
    </w:p>
    <w:p w14:paraId="481BBCE8" w14:textId="77777777" w:rsidR="00D4295A" w:rsidRPr="00D61C9C" w:rsidRDefault="00D4295A" w:rsidP="00EA5014">
      <w:pPr>
        <w:ind w:left="851"/>
        <w:rPr>
          <w:iCs/>
          <w:sz w:val="24"/>
          <w:szCs w:val="24"/>
          <w:u w:val="single"/>
        </w:rPr>
      </w:pPr>
      <w:r w:rsidRPr="00D61C9C">
        <w:rPr>
          <w:iCs/>
          <w:sz w:val="24"/>
          <w:szCs w:val="24"/>
          <w:u w:val="single"/>
        </w:rPr>
        <w:t>Blod og lymfesystem</w:t>
      </w:r>
    </w:p>
    <w:p w14:paraId="6B2AFB34" w14:textId="66C2BE43" w:rsidR="00D4295A" w:rsidRPr="00D61C9C" w:rsidRDefault="00D4295A" w:rsidP="00EA5014">
      <w:pPr>
        <w:ind w:left="851"/>
        <w:rPr>
          <w:iCs/>
          <w:sz w:val="24"/>
          <w:szCs w:val="24"/>
        </w:rPr>
      </w:pPr>
      <w:r w:rsidRPr="00D61C9C">
        <w:rPr>
          <w:iCs/>
          <w:sz w:val="24"/>
          <w:szCs w:val="24"/>
        </w:rPr>
        <w:t>Ibuprofen kan forårsage forlænget blødning via reversible hæmning af blodplade</w:t>
      </w:r>
      <w:r w:rsidR="00746F61">
        <w:rPr>
          <w:iCs/>
          <w:sz w:val="24"/>
          <w:szCs w:val="24"/>
        </w:rPr>
        <w:softHyphen/>
      </w:r>
      <w:r w:rsidRPr="00D61C9C">
        <w:rPr>
          <w:iCs/>
          <w:sz w:val="24"/>
          <w:szCs w:val="24"/>
        </w:rPr>
        <w:t>aggregationen.</w:t>
      </w:r>
    </w:p>
    <w:p w14:paraId="6AF3DB72" w14:textId="77777777" w:rsidR="00D4295A" w:rsidRPr="00D61C9C" w:rsidRDefault="00D4295A" w:rsidP="00EA5014">
      <w:pPr>
        <w:ind w:left="851"/>
        <w:rPr>
          <w:i/>
          <w:sz w:val="24"/>
          <w:szCs w:val="24"/>
        </w:rPr>
      </w:pPr>
    </w:p>
    <w:p w14:paraId="28369170" w14:textId="50C2AD6B" w:rsidR="00D4295A" w:rsidRPr="00D61C9C" w:rsidRDefault="00D4295A" w:rsidP="00EA5014">
      <w:pPr>
        <w:ind w:left="851"/>
        <w:rPr>
          <w:sz w:val="24"/>
          <w:szCs w:val="24"/>
          <w:u w:val="single"/>
        </w:rPr>
      </w:pPr>
      <w:r w:rsidRPr="00D61C9C">
        <w:rPr>
          <w:sz w:val="24"/>
          <w:szCs w:val="24"/>
          <w:u w:val="single"/>
        </w:rPr>
        <w:t>Infektioner og parasitære sygdomme</w:t>
      </w:r>
    </w:p>
    <w:p w14:paraId="50763440" w14:textId="77777777" w:rsidR="00D4295A" w:rsidRPr="00D61C9C" w:rsidRDefault="00D4295A" w:rsidP="00EA5014">
      <w:pPr>
        <w:ind w:left="851"/>
        <w:rPr>
          <w:sz w:val="24"/>
          <w:szCs w:val="24"/>
        </w:rPr>
      </w:pPr>
      <w:r w:rsidRPr="00D61C9C">
        <w:rPr>
          <w:sz w:val="24"/>
          <w:szCs w:val="24"/>
        </w:rPr>
        <w:t>I de fleste tilfælde, hvor aseptisk meningitis er blevet rapporteret, har der været en form for underliggende autoimmun sygdom (især systemisk lupus erythematosus og relaterede bindevævssygdomme).</w:t>
      </w:r>
    </w:p>
    <w:p w14:paraId="61BF6ECA" w14:textId="77777777" w:rsidR="00D4295A" w:rsidRPr="00D61C9C" w:rsidRDefault="00D4295A" w:rsidP="00EA5014">
      <w:pPr>
        <w:ind w:left="851"/>
        <w:rPr>
          <w:sz w:val="24"/>
          <w:szCs w:val="24"/>
        </w:rPr>
      </w:pPr>
    </w:p>
    <w:p w14:paraId="080A18AC" w14:textId="77777777" w:rsidR="00D4295A" w:rsidRPr="00D61C9C" w:rsidRDefault="00D4295A" w:rsidP="00EA5014">
      <w:pPr>
        <w:ind w:left="851"/>
        <w:rPr>
          <w:sz w:val="24"/>
          <w:szCs w:val="24"/>
        </w:rPr>
      </w:pPr>
      <w:r w:rsidRPr="00D61C9C">
        <w:rPr>
          <w:sz w:val="24"/>
          <w:szCs w:val="24"/>
        </w:rPr>
        <w:t>Bivirkninger, der muligvis er relateret til ibuprofen, er angivet vha. MedDRA hyppighedskonvention og systemorganklasse. Følgende hyppigheder er angivet: meget almindelig (≥1/10), almindelig (≥1/100 til &lt;1/10), ikke almindelig (≥1/1.000 til &lt;1/100), sjældne (≥1/10.000 til &lt;1/1.000), meget sjælden (&lt;1/10.000), ikke kendt (kan ikke estimeres ud fra forhåndenværende data).</w:t>
      </w:r>
    </w:p>
    <w:p w14:paraId="5B5CF195" w14:textId="77777777" w:rsidR="00EA5014" w:rsidRPr="00D61C9C" w:rsidRDefault="00EA5014" w:rsidP="00EA501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6"/>
        <w:gridCol w:w="2161"/>
        <w:gridCol w:w="4311"/>
      </w:tblGrid>
      <w:tr w:rsidR="00D4295A" w:rsidRPr="00746F61" w14:paraId="0BA04436"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0661376F" w14:textId="77777777" w:rsidR="00D4295A" w:rsidRPr="00746F61" w:rsidRDefault="00D4295A" w:rsidP="00746F61">
            <w:pPr>
              <w:ind w:left="132" w:right="183"/>
              <w:rPr>
                <w:b/>
                <w:bCs/>
                <w:sz w:val="24"/>
                <w:szCs w:val="24"/>
              </w:rPr>
            </w:pPr>
            <w:r w:rsidRPr="00746F61">
              <w:rPr>
                <w:b/>
                <w:bCs/>
                <w:sz w:val="24"/>
                <w:szCs w:val="24"/>
              </w:rPr>
              <w:t>Systemorganklasse</w:t>
            </w:r>
          </w:p>
        </w:tc>
        <w:tc>
          <w:tcPr>
            <w:tcW w:w="1122" w:type="pct"/>
            <w:tcBorders>
              <w:top w:val="single" w:sz="4" w:space="0" w:color="000000"/>
              <w:left w:val="single" w:sz="4" w:space="0" w:color="000000"/>
              <w:bottom w:val="single" w:sz="4" w:space="0" w:color="000000"/>
              <w:right w:val="single" w:sz="4" w:space="0" w:color="000000"/>
            </w:tcBorders>
            <w:hideMark/>
          </w:tcPr>
          <w:p w14:paraId="5A985299" w14:textId="77777777" w:rsidR="00D4295A" w:rsidRPr="00746F61" w:rsidRDefault="00D4295A" w:rsidP="00746F61">
            <w:pPr>
              <w:ind w:left="132" w:right="183"/>
              <w:rPr>
                <w:b/>
                <w:bCs/>
                <w:sz w:val="24"/>
                <w:szCs w:val="24"/>
              </w:rPr>
            </w:pPr>
            <w:r w:rsidRPr="00746F61">
              <w:rPr>
                <w:b/>
                <w:bCs/>
                <w:sz w:val="24"/>
                <w:szCs w:val="24"/>
              </w:rPr>
              <w:t>Hyppighed</w:t>
            </w:r>
          </w:p>
        </w:tc>
        <w:tc>
          <w:tcPr>
            <w:tcW w:w="2239" w:type="pct"/>
            <w:tcBorders>
              <w:top w:val="single" w:sz="4" w:space="0" w:color="000000"/>
              <w:left w:val="single" w:sz="4" w:space="0" w:color="000000"/>
              <w:bottom w:val="single" w:sz="4" w:space="0" w:color="000000"/>
              <w:right w:val="single" w:sz="4" w:space="0" w:color="000000"/>
            </w:tcBorders>
            <w:hideMark/>
          </w:tcPr>
          <w:p w14:paraId="20A5970B" w14:textId="77777777" w:rsidR="00D4295A" w:rsidRPr="00746F61" w:rsidRDefault="00D4295A" w:rsidP="00746F61">
            <w:pPr>
              <w:ind w:left="132" w:right="183"/>
              <w:rPr>
                <w:b/>
                <w:bCs/>
                <w:sz w:val="24"/>
                <w:szCs w:val="24"/>
              </w:rPr>
            </w:pPr>
            <w:r w:rsidRPr="00746F61">
              <w:rPr>
                <w:b/>
                <w:bCs/>
                <w:sz w:val="24"/>
                <w:szCs w:val="24"/>
              </w:rPr>
              <w:t>Bivirkning</w:t>
            </w:r>
          </w:p>
        </w:tc>
      </w:tr>
      <w:tr w:rsidR="00D4295A" w:rsidRPr="00D61C9C" w14:paraId="26CC7FF9"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E657C79" w14:textId="77777777" w:rsidR="00D4295A" w:rsidRPr="00D61C9C" w:rsidRDefault="00D4295A" w:rsidP="00746F61">
            <w:pPr>
              <w:ind w:left="132" w:right="183"/>
              <w:rPr>
                <w:sz w:val="24"/>
                <w:szCs w:val="24"/>
              </w:rPr>
            </w:pPr>
            <w:r w:rsidRPr="00D61C9C">
              <w:rPr>
                <w:sz w:val="24"/>
                <w:szCs w:val="24"/>
              </w:rPr>
              <w:t>Infektioner og parasitære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3664F1EB"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59A1948B" w14:textId="77777777" w:rsidR="00D4295A" w:rsidRPr="00D61C9C" w:rsidRDefault="00D4295A" w:rsidP="00746F61">
            <w:pPr>
              <w:ind w:left="132" w:right="183"/>
              <w:rPr>
                <w:sz w:val="24"/>
                <w:szCs w:val="24"/>
              </w:rPr>
            </w:pPr>
            <w:r w:rsidRPr="00D61C9C">
              <w:rPr>
                <w:sz w:val="24"/>
                <w:szCs w:val="24"/>
              </w:rPr>
              <w:t>Rhinitis</w:t>
            </w:r>
          </w:p>
        </w:tc>
      </w:tr>
      <w:tr w:rsidR="00D4295A" w:rsidRPr="00D61C9C" w14:paraId="4B575E11"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0E564761"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EFD1880"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6EA1AC2E" w14:textId="77777777" w:rsidR="00D4295A" w:rsidRPr="00D61C9C" w:rsidRDefault="00D4295A" w:rsidP="00746F61">
            <w:pPr>
              <w:ind w:left="132" w:right="183"/>
              <w:rPr>
                <w:sz w:val="24"/>
                <w:szCs w:val="24"/>
              </w:rPr>
            </w:pPr>
            <w:r w:rsidRPr="00D61C9C">
              <w:rPr>
                <w:sz w:val="24"/>
                <w:szCs w:val="24"/>
              </w:rPr>
              <w:t>Aseptisk meningitis (se pkt. 4.4)</w:t>
            </w:r>
          </w:p>
        </w:tc>
      </w:tr>
      <w:tr w:rsidR="00D4295A" w:rsidRPr="00D61C9C" w14:paraId="5454EBEB"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71C087AB" w14:textId="77777777" w:rsidR="00D4295A" w:rsidRPr="00D61C9C" w:rsidRDefault="00D4295A" w:rsidP="00746F61">
            <w:pPr>
              <w:ind w:left="132" w:right="183"/>
              <w:rPr>
                <w:sz w:val="24"/>
                <w:szCs w:val="24"/>
              </w:rPr>
            </w:pPr>
            <w:r w:rsidRPr="00D61C9C">
              <w:rPr>
                <w:sz w:val="24"/>
                <w:szCs w:val="24"/>
              </w:rPr>
              <w:t>Blod og lymfesystem</w:t>
            </w:r>
          </w:p>
        </w:tc>
        <w:tc>
          <w:tcPr>
            <w:tcW w:w="1122" w:type="pct"/>
            <w:tcBorders>
              <w:top w:val="single" w:sz="4" w:space="0" w:color="000000"/>
              <w:left w:val="single" w:sz="4" w:space="0" w:color="000000"/>
              <w:bottom w:val="single" w:sz="4" w:space="0" w:color="000000"/>
              <w:right w:val="single" w:sz="4" w:space="0" w:color="000000"/>
            </w:tcBorders>
            <w:hideMark/>
          </w:tcPr>
          <w:p w14:paraId="02218EA1"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5C69725B" w14:textId="77777777" w:rsidR="00D4295A" w:rsidRPr="00D61C9C" w:rsidRDefault="00D4295A" w:rsidP="00746F61">
            <w:pPr>
              <w:ind w:left="132" w:right="183"/>
              <w:rPr>
                <w:sz w:val="24"/>
                <w:szCs w:val="24"/>
              </w:rPr>
            </w:pPr>
            <w:r w:rsidRPr="00D61C9C">
              <w:rPr>
                <w:sz w:val="24"/>
                <w:szCs w:val="24"/>
              </w:rPr>
              <w:t>Leukopeni, thrombocytopeni, neutropeni, agranulocytose, aplastisk anæmi og hæmolytisk anæmi</w:t>
            </w:r>
          </w:p>
        </w:tc>
      </w:tr>
      <w:tr w:rsidR="00D4295A" w:rsidRPr="00D61C9C" w14:paraId="058068F4"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58EB8590" w14:textId="77777777" w:rsidR="00D4295A" w:rsidRPr="00D61C9C" w:rsidRDefault="00D4295A" w:rsidP="00746F61">
            <w:pPr>
              <w:ind w:left="132" w:right="183"/>
              <w:rPr>
                <w:sz w:val="24"/>
                <w:szCs w:val="24"/>
              </w:rPr>
            </w:pPr>
            <w:r w:rsidRPr="00D61C9C">
              <w:rPr>
                <w:sz w:val="24"/>
                <w:szCs w:val="24"/>
              </w:rPr>
              <w:t>Immunsystemet</w:t>
            </w:r>
          </w:p>
        </w:tc>
        <w:tc>
          <w:tcPr>
            <w:tcW w:w="1122" w:type="pct"/>
            <w:tcBorders>
              <w:top w:val="single" w:sz="4" w:space="0" w:color="000000"/>
              <w:left w:val="single" w:sz="4" w:space="0" w:color="000000"/>
              <w:bottom w:val="single" w:sz="4" w:space="0" w:color="000000"/>
              <w:right w:val="single" w:sz="4" w:space="0" w:color="000000"/>
            </w:tcBorders>
          </w:tcPr>
          <w:p w14:paraId="0335681E" w14:textId="0D21A838"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32E7E672" w14:textId="77777777" w:rsidR="00D4295A" w:rsidRPr="00D61C9C" w:rsidRDefault="00D4295A" w:rsidP="00746F61">
            <w:pPr>
              <w:ind w:left="132" w:right="183"/>
              <w:rPr>
                <w:sz w:val="24"/>
                <w:szCs w:val="24"/>
              </w:rPr>
            </w:pPr>
            <w:r w:rsidRPr="00D61C9C">
              <w:rPr>
                <w:sz w:val="24"/>
                <w:szCs w:val="24"/>
              </w:rPr>
              <w:t>Hypersensitivitet</w:t>
            </w:r>
          </w:p>
        </w:tc>
      </w:tr>
      <w:tr w:rsidR="00D4295A" w:rsidRPr="00D61C9C" w14:paraId="217FE905"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2A471256"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39741D7"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5CC58B5A" w14:textId="77777777" w:rsidR="00D4295A" w:rsidRPr="00D61C9C" w:rsidRDefault="00D4295A" w:rsidP="00746F61">
            <w:pPr>
              <w:ind w:left="132" w:right="183"/>
              <w:rPr>
                <w:sz w:val="24"/>
                <w:szCs w:val="24"/>
              </w:rPr>
            </w:pPr>
            <w:r w:rsidRPr="00D61C9C">
              <w:rPr>
                <w:sz w:val="24"/>
                <w:szCs w:val="24"/>
              </w:rPr>
              <w:t>Anafylaktisk reaktion</w:t>
            </w:r>
          </w:p>
        </w:tc>
      </w:tr>
      <w:tr w:rsidR="00D4295A" w:rsidRPr="00D61C9C" w14:paraId="71967E7C"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431B18D1" w14:textId="77777777" w:rsidR="00D4295A" w:rsidRPr="00D61C9C" w:rsidRDefault="00D4295A" w:rsidP="00746F61">
            <w:pPr>
              <w:ind w:left="132" w:right="183"/>
              <w:rPr>
                <w:sz w:val="24"/>
                <w:szCs w:val="24"/>
              </w:rPr>
            </w:pPr>
            <w:r w:rsidRPr="00D61C9C">
              <w:rPr>
                <w:sz w:val="24"/>
                <w:szCs w:val="24"/>
              </w:rPr>
              <w:t>Psykiske forstyrrelser</w:t>
            </w:r>
          </w:p>
        </w:tc>
        <w:tc>
          <w:tcPr>
            <w:tcW w:w="1122" w:type="pct"/>
            <w:tcBorders>
              <w:top w:val="single" w:sz="4" w:space="0" w:color="000000"/>
              <w:left w:val="single" w:sz="4" w:space="0" w:color="000000"/>
              <w:bottom w:val="single" w:sz="4" w:space="0" w:color="000000"/>
              <w:right w:val="single" w:sz="4" w:space="0" w:color="000000"/>
            </w:tcBorders>
            <w:hideMark/>
          </w:tcPr>
          <w:p w14:paraId="0193E604"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1EBE3FF" w14:textId="77777777" w:rsidR="00D4295A" w:rsidRPr="00D61C9C" w:rsidRDefault="00D4295A" w:rsidP="00746F61">
            <w:pPr>
              <w:ind w:left="132" w:right="183"/>
              <w:rPr>
                <w:sz w:val="24"/>
                <w:szCs w:val="24"/>
              </w:rPr>
            </w:pPr>
            <w:r w:rsidRPr="00D61C9C">
              <w:rPr>
                <w:sz w:val="24"/>
                <w:szCs w:val="24"/>
              </w:rPr>
              <w:t>Insomni, angst</w:t>
            </w:r>
          </w:p>
        </w:tc>
      </w:tr>
      <w:tr w:rsidR="00D4295A" w:rsidRPr="00D61C9C" w14:paraId="5EFB5717"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57F4004"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DC796F7"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1CF786CE" w14:textId="77777777" w:rsidR="00D4295A" w:rsidRPr="00D61C9C" w:rsidRDefault="00D4295A" w:rsidP="00746F61">
            <w:pPr>
              <w:ind w:left="132" w:right="183"/>
              <w:rPr>
                <w:sz w:val="24"/>
                <w:szCs w:val="24"/>
              </w:rPr>
            </w:pPr>
            <w:r w:rsidRPr="00D61C9C">
              <w:rPr>
                <w:sz w:val="24"/>
                <w:szCs w:val="24"/>
              </w:rPr>
              <w:t>Depression, konfusion</w:t>
            </w:r>
          </w:p>
        </w:tc>
      </w:tr>
      <w:tr w:rsidR="00D4295A" w:rsidRPr="00D61C9C" w14:paraId="5356A00E"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B48E76B" w14:textId="77777777" w:rsidR="00D4295A" w:rsidRPr="00D61C9C" w:rsidRDefault="00D4295A" w:rsidP="00746F61">
            <w:pPr>
              <w:ind w:left="132" w:right="183"/>
              <w:rPr>
                <w:sz w:val="24"/>
                <w:szCs w:val="24"/>
              </w:rPr>
            </w:pPr>
            <w:r w:rsidRPr="00D61C9C">
              <w:rPr>
                <w:sz w:val="24"/>
                <w:szCs w:val="24"/>
              </w:rPr>
              <w:t>Nervesystemet</w:t>
            </w:r>
          </w:p>
        </w:tc>
        <w:tc>
          <w:tcPr>
            <w:tcW w:w="1122" w:type="pct"/>
            <w:tcBorders>
              <w:top w:val="single" w:sz="4" w:space="0" w:color="000000"/>
              <w:left w:val="single" w:sz="4" w:space="0" w:color="000000"/>
              <w:bottom w:val="single" w:sz="4" w:space="0" w:color="000000"/>
              <w:right w:val="single" w:sz="4" w:space="0" w:color="000000"/>
            </w:tcBorders>
            <w:hideMark/>
          </w:tcPr>
          <w:p w14:paraId="66E2DA72" w14:textId="77777777" w:rsidR="00D4295A" w:rsidRPr="00D61C9C" w:rsidRDefault="00D4295A" w:rsidP="00746F61">
            <w:pPr>
              <w:ind w:left="132" w:right="183"/>
              <w:rPr>
                <w:sz w:val="24"/>
                <w:szCs w:val="24"/>
              </w:rPr>
            </w:pPr>
            <w:r w:rsidRPr="00D61C9C">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27E33AE1" w14:textId="77777777" w:rsidR="00D4295A" w:rsidRPr="00D61C9C" w:rsidRDefault="00D4295A" w:rsidP="00746F61">
            <w:pPr>
              <w:ind w:left="132" w:right="183"/>
              <w:rPr>
                <w:sz w:val="24"/>
                <w:szCs w:val="24"/>
              </w:rPr>
            </w:pPr>
            <w:r w:rsidRPr="00D61C9C">
              <w:rPr>
                <w:sz w:val="24"/>
                <w:szCs w:val="24"/>
              </w:rPr>
              <w:t>Hovedpine, svimmelhed</w:t>
            </w:r>
          </w:p>
        </w:tc>
      </w:tr>
      <w:tr w:rsidR="00D4295A" w:rsidRPr="00D61C9C" w14:paraId="6AD8DC41"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D471C84"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C1DCF37"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4EA353F6" w14:textId="77777777" w:rsidR="00D4295A" w:rsidRPr="00D61C9C" w:rsidRDefault="00D4295A" w:rsidP="00746F61">
            <w:pPr>
              <w:ind w:left="132" w:right="183"/>
              <w:rPr>
                <w:sz w:val="24"/>
                <w:szCs w:val="24"/>
              </w:rPr>
            </w:pPr>
            <w:r w:rsidRPr="00D61C9C">
              <w:rPr>
                <w:sz w:val="24"/>
                <w:szCs w:val="24"/>
              </w:rPr>
              <w:t>Paræstesi, somnolens</w:t>
            </w:r>
          </w:p>
        </w:tc>
      </w:tr>
      <w:tr w:rsidR="00D4295A" w:rsidRPr="00D61C9C" w14:paraId="49932B86"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1C86AC4A"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758C6454"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25F1D55E" w14:textId="77777777" w:rsidR="00D4295A" w:rsidRPr="00D61C9C" w:rsidRDefault="00D4295A" w:rsidP="00746F61">
            <w:pPr>
              <w:ind w:left="132" w:right="183"/>
              <w:rPr>
                <w:sz w:val="24"/>
                <w:szCs w:val="24"/>
              </w:rPr>
            </w:pPr>
            <w:r w:rsidRPr="00D61C9C">
              <w:rPr>
                <w:sz w:val="24"/>
                <w:szCs w:val="24"/>
              </w:rPr>
              <w:t>Opticusneuritis</w:t>
            </w:r>
          </w:p>
        </w:tc>
      </w:tr>
      <w:tr w:rsidR="00D4295A" w:rsidRPr="00D61C9C" w14:paraId="5B2A93C0"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2DF98C3F" w14:textId="77777777" w:rsidR="00D4295A" w:rsidRPr="00D61C9C" w:rsidRDefault="00D4295A" w:rsidP="00746F61">
            <w:pPr>
              <w:ind w:left="132" w:right="183"/>
              <w:rPr>
                <w:sz w:val="24"/>
                <w:szCs w:val="24"/>
              </w:rPr>
            </w:pPr>
            <w:r w:rsidRPr="00D61C9C">
              <w:rPr>
                <w:sz w:val="24"/>
                <w:szCs w:val="24"/>
              </w:rPr>
              <w:t>Øjne</w:t>
            </w:r>
          </w:p>
        </w:tc>
        <w:tc>
          <w:tcPr>
            <w:tcW w:w="1122" w:type="pct"/>
            <w:tcBorders>
              <w:top w:val="single" w:sz="4" w:space="0" w:color="000000"/>
              <w:left w:val="single" w:sz="4" w:space="0" w:color="000000"/>
              <w:bottom w:val="single" w:sz="4" w:space="0" w:color="000000"/>
              <w:right w:val="single" w:sz="4" w:space="0" w:color="000000"/>
            </w:tcBorders>
            <w:hideMark/>
          </w:tcPr>
          <w:p w14:paraId="59861B30"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08CDD329" w14:textId="77777777" w:rsidR="00D4295A" w:rsidRPr="00D61C9C" w:rsidRDefault="00D4295A" w:rsidP="00746F61">
            <w:pPr>
              <w:ind w:left="132" w:right="183"/>
              <w:rPr>
                <w:sz w:val="24"/>
                <w:szCs w:val="24"/>
              </w:rPr>
            </w:pPr>
            <w:r w:rsidRPr="00D61C9C">
              <w:rPr>
                <w:sz w:val="24"/>
                <w:szCs w:val="24"/>
              </w:rPr>
              <w:t>Nedsat syn</w:t>
            </w:r>
          </w:p>
        </w:tc>
      </w:tr>
      <w:tr w:rsidR="00D4295A" w:rsidRPr="00D61C9C" w14:paraId="358A58A0"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0B730E03"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7ED33B9"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41E6279C" w14:textId="77777777" w:rsidR="00D4295A" w:rsidRPr="00D61C9C" w:rsidRDefault="00D4295A" w:rsidP="00746F61">
            <w:pPr>
              <w:ind w:left="132" w:right="183"/>
              <w:rPr>
                <w:sz w:val="24"/>
                <w:szCs w:val="24"/>
              </w:rPr>
            </w:pPr>
            <w:r w:rsidRPr="00D61C9C">
              <w:rPr>
                <w:sz w:val="24"/>
                <w:szCs w:val="24"/>
              </w:rPr>
              <w:t>Toksisk optisk neuropati</w:t>
            </w:r>
          </w:p>
        </w:tc>
      </w:tr>
      <w:tr w:rsidR="00D4295A" w:rsidRPr="00D61C9C" w14:paraId="4AF8302E"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1776BA82" w14:textId="77777777" w:rsidR="00D4295A" w:rsidRPr="00D61C9C" w:rsidRDefault="00D4295A" w:rsidP="00746F61">
            <w:pPr>
              <w:ind w:left="132" w:right="183"/>
              <w:rPr>
                <w:sz w:val="24"/>
                <w:szCs w:val="24"/>
              </w:rPr>
            </w:pPr>
            <w:r w:rsidRPr="00D61C9C">
              <w:rPr>
                <w:sz w:val="24"/>
                <w:szCs w:val="24"/>
              </w:rPr>
              <w:t>Øre og labyrint</w:t>
            </w:r>
          </w:p>
        </w:tc>
        <w:tc>
          <w:tcPr>
            <w:tcW w:w="1122" w:type="pct"/>
            <w:tcBorders>
              <w:top w:val="single" w:sz="4" w:space="0" w:color="000000"/>
              <w:left w:val="single" w:sz="4" w:space="0" w:color="000000"/>
              <w:bottom w:val="single" w:sz="4" w:space="0" w:color="000000"/>
              <w:right w:val="single" w:sz="4" w:space="0" w:color="000000"/>
            </w:tcBorders>
            <w:hideMark/>
          </w:tcPr>
          <w:p w14:paraId="40DDD289"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18E2AC49" w14:textId="77777777" w:rsidR="00D4295A" w:rsidRPr="00D61C9C" w:rsidRDefault="00D4295A" w:rsidP="00746F61">
            <w:pPr>
              <w:ind w:left="132" w:right="183"/>
              <w:rPr>
                <w:sz w:val="24"/>
                <w:szCs w:val="24"/>
              </w:rPr>
            </w:pPr>
            <w:r w:rsidRPr="00D61C9C">
              <w:rPr>
                <w:sz w:val="24"/>
                <w:szCs w:val="24"/>
              </w:rPr>
              <w:t>Nedsat hørelse, Tinnitus, vertigo</w:t>
            </w:r>
          </w:p>
        </w:tc>
      </w:tr>
      <w:tr w:rsidR="00D4295A" w:rsidRPr="00D61C9C" w14:paraId="28DBBE96"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2E5D2F60" w14:textId="77777777" w:rsidR="00D4295A" w:rsidRPr="00D61C9C" w:rsidRDefault="00D4295A" w:rsidP="00746F61">
            <w:pPr>
              <w:ind w:left="132" w:right="183"/>
              <w:rPr>
                <w:sz w:val="24"/>
                <w:szCs w:val="24"/>
              </w:rPr>
            </w:pPr>
            <w:r w:rsidRPr="00D61C9C">
              <w:rPr>
                <w:sz w:val="24"/>
                <w:szCs w:val="24"/>
              </w:rPr>
              <w:t>Luftveje, thorax og mediastinum</w:t>
            </w:r>
          </w:p>
        </w:tc>
        <w:tc>
          <w:tcPr>
            <w:tcW w:w="1122" w:type="pct"/>
            <w:tcBorders>
              <w:top w:val="single" w:sz="4" w:space="0" w:color="000000"/>
              <w:left w:val="single" w:sz="4" w:space="0" w:color="000000"/>
              <w:bottom w:val="single" w:sz="4" w:space="0" w:color="000000"/>
              <w:right w:val="single" w:sz="4" w:space="0" w:color="000000"/>
            </w:tcBorders>
            <w:hideMark/>
          </w:tcPr>
          <w:p w14:paraId="47EF4779"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4195BF61" w14:textId="77777777" w:rsidR="00D4295A" w:rsidRPr="00D61C9C" w:rsidRDefault="00D4295A" w:rsidP="00746F61">
            <w:pPr>
              <w:ind w:left="132" w:right="183"/>
              <w:rPr>
                <w:sz w:val="24"/>
                <w:szCs w:val="24"/>
              </w:rPr>
            </w:pPr>
            <w:r w:rsidRPr="00D61C9C">
              <w:rPr>
                <w:sz w:val="24"/>
                <w:szCs w:val="24"/>
              </w:rPr>
              <w:t>Astma, bronkospasme, dyspnø</w:t>
            </w:r>
          </w:p>
        </w:tc>
      </w:tr>
      <w:tr w:rsidR="00D4295A" w:rsidRPr="00D61C9C" w14:paraId="7E1EF01F" w14:textId="77777777" w:rsidTr="00746F61">
        <w:trPr>
          <w:trHeight w:val="20"/>
        </w:trPr>
        <w:tc>
          <w:tcPr>
            <w:tcW w:w="1639" w:type="pct"/>
            <w:vMerge w:val="restart"/>
            <w:tcBorders>
              <w:top w:val="single" w:sz="4" w:space="0" w:color="000000"/>
              <w:left w:val="single" w:sz="4" w:space="0" w:color="000000"/>
              <w:bottom w:val="nil"/>
              <w:right w:val="single" w:sz="4" w:space="0" w:color="000000"/>
            </w:tcBorders>
            <w:hideMark/>
          </w:tcPr>
          <w:p w14:paraId="112B4BE0" w14:textId="77777777" w:rsidR="00D4295A" w:rsidRPr="00D61C9C" w:rsidRDefault="00D4295A" w:rsidP="00746F61">
            <w:pPr>
              <w:ind w:left="132" w:right="183"/>
              <w:rPr>
                <w:sz w:val="24"/>
                <w:szCs w:val="24"/>
              </w:rPr>
            </w:pPr>
            <w:r w:rsidRPr="00D61C9C">
              <w:rPr>
                <w:sz w:val="24"/>
                <w:szCs w:val="24"/>
              </w:rPr>
              <w:t>Mave-tarm-kanalen</w:t>
            </w:r>
          </w:p>
        </w:tc>
        <w:tc>
          <w:tcPr>
            <w:tcW w:w="1122" w:type="pct"/>
            <w:tcBorders>
              <w:top w:val="single" w:sz="4" w:space="0" w:color="000000"/>
              <w:left w:val="single" w:sz="4" w:space="0" w:color="000000"/>
              <w:bottom w:val="single" w:sz="4" w:space="0" w:color="000000"/>
              <w:right w:val="single" w:sz="4" w:space="0" w:color="000000"/>
            </w:tcBorders>
            <w:hideMark/>
          </w:tcPr>
          <w:p w14:paraId="450A7983" w14:textId="77777777" w:rsidR="00D4295A" w:rsidRPr="00D61C9C" w:rsidRDefault="00D4295A" w:rsidP="00746F61">
            <w:pPr>
              <w:ind w:left="132" w:right="183"/>
              <w:rPr>
                <w:sz w:val="24"/>
                <w:szCs w:val="24"/>
              </w:rPr>
            </w:pPr>
            <w:r w:rsidRPr="00D61C9C">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3DE465B7" w14:textId="77777777" w:rsidR="00D4295A" w:rsidRPr="00D61C9C" w:rsidRDefault="00D4295A" w:rsidP="00746F61">
            <w:pPr>
              <w:ind w:left="132" w:right="183"/>
              <w:rPr>
                <w:sz w:val="24"/>
                <w:szCs w:val="24"/>
              </w:rPr>
            </w:pPr>
            <w:r w:rsidRPr="00D61C9C">
              <w:rPr>
                <w:sz w:val="24"/>
                <w:szCs w:val="24"/>
              </w:rPr>
              <w:t>Dyspepsi, diarré, kvalme, opkastning, abdominalsmerte, flatulens, obstipation, melæna, hæmatemese, gastrointestinal blødning</w:t>
            </w:r>
          </w:p>
        </w:tc>
      </w:tr>
      <w:tr w:rsidR="00D4295A" w:rsidRPr="00D61C9C" w14:paraId="309A4727" w14:textId="77777777" w:rsidTr="00746F61">
        <w:trPr>
          <w:trHeight w:val="20"/>
        </w:trPr>
        <w:tc>
          <w:tcPr>
            <w:tcW w:w="1639" w:type="pct"/>
            <w:vMerge/>
            <w:tcBorders>
              <w:top w:val="single" w:sz="4" w:space="0" w:color="000000"/>
              <w:left w:val="single" w:sz="4" w:space="0" w:color="000000"/>
              <w:bottom w:val="nil"/>
              <w:right w:val="single" w:sz="4" w:space="0" w:color="000000"/>
            </w:tcBorders>
            <w:vAlign w:val="center"/>
            <w:hideMark/>
          </w:tcPr>
          <w:p w14:paraId="03EEE2E1"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7E8290E6"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71FDCC7A" w14:textId="77777777" w:rsidR="00D4295A" w:rsidRPr="00D61C9C" w:rsidRDefault="00D4295A" w:rsidP="00746F61">
            <w:pPr>
              <w:ind w:left="132" w:right="183"/>
              <w:rPr>
                <w:sz w:val="24"/>
                <w:szCs w:val="24"/>
              </w:rPr>
            </w:pPr>
            <w:r w:rsidRPr="00D61C9C">
              <w:rPr>
                <w:sz w:val="24"/>
                <w:szCs w:val="24"/>
              </w:rPr>
              <w:t>Gastritis, duodenal ulcer, gastrisk ulcer, sår i munden, gastrointestinal perforation</w:t>
            </w:r>
          </w:p>
        </w:tc>
      </w:tr>
      <w:tr w:rsidR="00D4295A" w:rsidRPr="00D61C9C" w14:paraId="2D94D1A7"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tcPr>
          <w:p w14:paraId="29A86D20"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3D6F22D1" w14:textId="77777777" w:rsidR="00D4295A" w:rsidRPr="00D61C9C" w:rsidRDefault="00D4295A" w:rsidP="00746F61">
            <w:pPr>
              <w:ind w:left="132" w:right="183"/>
              <w:rPr>
                <w:sz w:val="24"/>
                <w:szCs w:val="24"/>
              </w:rPr>
            </w:pPr>
            <w:r w:rsidRPr="00D61C9C">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6B977C9F" w14:textId="77777777" w:rsidR="00D4295A" w:rsidRPr="00D61C9C" w:rsidRDefault="00D4295A" w:rsidP="00746F61">
            <w:pPr>
              <w:ind w:left="132" w:right="183"/>
              <w:rPr>
                <w:sz w:val="24"/>
                <w:szCs w:val="24"/>
              </w:rPr>
            </w:pPr>
            <w:r w:rsidRPr="00D61C9C">
              <w:rPr>
                <w:sz w:val="24"/>
                <w:szCs w:val="24"/>
              </w:rPr>
              <w:t>Pankreatitis</w:t>
            </w:r>
          </w:p>
        </w:tc>
      </w:tr>
      <w:tr w:rsidR="00D4295A" w:rsidRPr="00D61C9C" w14:paraId="6D5AD8DF"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413BD11B"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ED1BFB1" w14:textId="77777777" w:rsidR="00D4295A" w:rsidRPr="00D61C9C" w:rsidRDefault="00D4295A" w:rsidP="00746F61">
            <w:pPr>
              <w:ind w:left="132" w:right="183"/>
              <w:rPr>
                <w:sz w:val="24"/>
                <w:szCs w:val="24"/>
              </w:rPr>
            </w:pPr>
            <w:r w:rsidRPr="00D61C9C">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3FB3BCB2" w14:textId="77777777" w:rsidR="00D4295A" w:rsidRPr="00D61C9C" w:rsidRDefault="00D4295A" w:rsidP="00746F61">
            <w:pPr>
              <w:ind w:left="132" w:right="183"/>
              <w:rPr>
                <w:sz w:val="24"/>
                <w:szCs w:val="24"/>
              </w:rPr>
            </w:pPr>
            <w:r w:rsidRPr="00D61C9C">
              <w:rPr>
                <w:sz w:val="24"/>
                <w:szCs w:val="24"/>
              </w:rPr>
              <w:t>Forværring af colitis og Crohns sygdom</w:t>
            </w:r>
          </w:p>
        </w:tc>
      </w:tr>
      <w:tr w:rsidR="00D4295A" w:rsidRPr="00D61C9C" w14:paraId="3C79FD6B"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513EC58B" w14:textId="77777777" w:rsidR="00D4295A" w:rsidRPr="00D61C9C" w:rsidRDefault="00D4295A" w:rsidP="00746F61">
            <w:pPr>
              <w:ind w:left="132" w:right="183"/>
              <w:rPr>
                <w:sz w:val="24"/>
                <w:szCs w:val="24"/>
              </w:rPr>
            </w:pPr>
            <w:r w:rsidRPr="00D61C9C">
              <w:rPr>
                <w:sz w:val="24"/>
                <w:szCs w:val="24"/>
              </w:rPr>
              <w:t>Lever og galdeveje</w:t>
            </w:r>
          </w:p>
        </w:tc>
        <w:tc>
          <w:tcPr>
            <w:tcW w:w="1122" w:type="pct"/>
            <w:tcBorders>
              <w:top w:val="single" w:sz="4" w:space="0" w:color="000000"/>
              <w:left w:val="single" w:sz="4" w:space="0" w:color="000000"/>
              <w:bottom w:val="single" w:sz="4" w:space="0" w:color="000000"/>
              <w:right w:val="single" w:sz="4" w:space="0" w:color="000000"/>
            </w:tcBorders>
            <w:hideMark/>
          </w:tcPr>
          <w:p w14:paraId="702D39F0"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1214A13B" w14:textId="77777777" w:rsidR="00D4295A" w:rsidRPr="00D61C9C" w:rsidRDefault="00D4295A" w:rsidP="00746F61">
            <w:pPr>
              <w:ind w:left="132" w:right="183"/>
              <w:rPr>
                <w:sz w:val="24"/>
                <w:szCs w:val="24"/>
              </w:rPr>
            </w:pPr>
            <w:r w:rsidRPr="00D61C9C">
              <w:rPr>
                <w:sz w:val="24"/>
                <w:szCs w:val="24"/>
              </w:rPr>
              <w:t>Hepatitis, gulsot, unormal leverfunktion</w:t>
            </w:r>
          </w:p>
        </w:tc>
      </w:tr>
      <w:tr w:rsidR="00D4295A" w:rsidRPr="00D61C9C" w14:paraId="42CDBB43"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2EFBD96C"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ED0DF20" w14:textId="77777777" w:rsidR="00D4295A" w:rsidRPr="00D61C9C" w:rsidRDefault="00D4295A" w:rsidP="00746F61">
            <w:pPr>
              <w:ind w:left="132" w:right="183"/>
              <w:rPr>
                <w:sz w:val="24"/>
                <w:szCs w:val="24"/>
              </w:rPr>
            </w:pPr>
            <w:r w:rsidRPr="00D61C9C">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7E0C8EC3" w14:textId="77777777" w:rsidR="00D4295A" w:rsidRPr="00D61C9C" w:rsidRDefault="00D4295A" w:rsidP="00746F61">
            <w:pPr>
              <w:ind w:left="132" w:right="183"/>
              <w:rPr>
                <w:sz w:val="24"/>
                <w:szCs w:val="24"/>
              </w:rPr>
            </w:pPr>
            <w:r w:rsidRPr="00D61C9C">
              <w:rPr>
                <w:sz w:val="24"/>
                <w:szCs w:val="24"/>
              </w:rPr>
              <w:t>Leversvigt</w:t>
            </w:r>
          </w:p>
        </w:tc>
      </w:tr>
      <w:tr w:rsidR="00D4295A" w:rsidRPr="00D61C9C" w14:paraId="14F5FA78"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995CCE2" w14:textId="77777777" w:rsidR="00D4295A" w:rsidRPr="00D61C9C" w:rsidRDefault="00D4295A" w:rsidP="00746F61">
            <w:pPr>
              <w:ind w:left="132" w:right="183"/>
              <w:rPr>
                <w:sz w:val="24"/>
                <w:szCs w:val="24"/>
              </w:rPr>
            </w:pPr>
            <w:r w:rsidRPr="00D61C9C">
              <w:rPr>
                <w:sz w:val="24"/>
                <w:szCs w:val="24"/>
              </w:rPr>
              <w:t>Hud og subkutane væv</w:t>
            </w:r>
          </w:p>
        </w:tc>
        <w:tc>
          <w:tcPr>
            <w:tcW w:w="1122" w:type="pct"/>
            <w:tcBorders>
              <w:top w:val="single" w:sz="4" w:space="0" w:color="000000"/>
              <w:left w:val="single" w:sz="4" w:space="0" w:color="000000"/>
              <w:bottom w:val="single" w:sz="4" w:space="0" w:color="000000"/>
              <w:right w:val="single" w:sz="4" w:space="0" w:color="000000"/>
            </w:tcBorders>
            <w:hideMark/>
          </w:tcPr>
          <w:p w14:paraId="32E1E83F" w14:textId="77777777" w:rsidR="00D4295A" w:rsidRPr="00D61C9C" w:rsidRDefault="00D4295A" w:rsidP="00746F61">
            <w:pPr>
              <w:ind w:left="132" w:right="183"/>
              <w:rPr>
                <w:sz w:val="24"/>
                <w:szCs w:val="24"/>
              </w:rPr>
            </w:pPr>
            <w:r w:rsidRPr="00D61C9C">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1F97932D" w14:textId="77777777" w:rsidR="00D4295A" w:rsidRPr="00D61C9C" w:rsidRDefault="00D4295A" w:rsidP="00746F61">
            <w:pPr>
              <w:ind w:left="132" w:right="183"/>
              <w:rPr>
                <w:sz w:val="24"/>
                <w:szCs w:val="24"/>
              </w:rPr>
            </w:pPr>
            <w:r w:rsidRPr="00D61C9C">
              <w:rPr>
                <w:sz w:val="24"/>
                <w:szCs w:val="24"/>
              </w:rPr>
              <w:t>Udslæt</w:t>
            </w:r>
          </w:p>
        </w:tc>
      </w:tr>
      <w:tr w:rsidR="00D4295A" w:rsidRPr="00D61C9C" w14:paraId="1340F4A4"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B968E42"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9DC4A74"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3320FAC4" w14:textId="77777777" w:rsidR="00D4295A" w:rsidRPr="00D61C9C" w:rsidRDefault="00D4295A" w:rsidP="00746F61">
            <w:pPr>
              <w:ind w:left="132" w:right="183"/>
              <w:rPr>
                <w:sz w:val="24"/>
                <w:szCs w:val="24"/>
              </w:rPr>
            </w:pPr>
            <w:r w:rsidRPr="00D61C9C">
              <w:rPr>
                <w:sz w:val="24"/>
                <w:szCs w:val="24"/>
              </w:rPr>
              <w:t>Urticaria, pruritus, purpura, angioødem, lysfølsomhedsreaktion</w:t>
            </w:r>
          </w:p>
        </w:tc>
      </w:tr>
      <w:tr w:rsidR="00D4295A" w:rsidRPr="00D61C9C" w14:paraId="34E43459"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DF5FD56"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104AA34" w14:textId="77777777" w:rsidR="00D4295A" w:rsidRPr="00D61C9C" w:rsidRDefault="00D4295A" w:rsidP="00746F61">
            <w:pPr>
              <w:ind w:left="132" w:right="183"/>
              <w:rPr>
                <w:sz w:val="24"/>
                <w:szCs w:val="24"/>
              </w:rPr>
            </w:pPr>
            <w:r w:rsidRPr="00D61C9C">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4B025E30" w14:textId="77777777" w:rsidR="00D4295A" w:rsidRPr="00D61C9C" w:rsidRDefault="00D4295A" w:rsidP="00746F61">
            <w:pPr>
              <w:ind w:left="132" w:right="183"/>
              <w:rPr>
                <w:sz w:val="24"/>
                <w:szCs w:val="24"/>
              </w:rPr>
            </w:pPr>
            <w:r w:rsidRPr="00D61C9C">
              <w:rPr>
                <w:sz w:val="24"/>
                <w:szCs w:val="24"/>
              </w:rPr>
              <w:t>Alvorlige kutane bivirkninger (SCAR’er) (herunder erythema multiforme, eksfoliativ dermatitis, Stevens-Johnsons syndrom og toksisk epidermal nekrolyse)</w:t>
            </w:r>
          </w:p>
        </w:tc>
      </w:tr>
      <w:tr w:rsidR="00D4295A" w:rsidRPr="00D61C9C" w14:paraId="229698CB"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1B91D2A"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5A09E24" w14:textId="77777777" w:rsidR="00D4295A" w:rsidRPr="00D61C9C" w:rsidRDefault="00D4295A" w:rsidP="00746F61">
            <w:pPr>
              <w:ind w:left="132" w:right="183"/>
              <w:rPr>
                <w:sz w:val="24"/>
                <w:szCs w:val="24"/>
              </w:rPr>
            </w:pPr>
            <w:r w:rsidRPr="00D61C9C">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1DDF824D" w14:textId="77777777" w:rsidR="00D4295A" w:rsidRPr="00D61C9C" w:rsidRDefault="00D4295A" w:rsidP="00746F61">
            <w:pPr>
              <w:ind w:left="132" w:right="183"/>
              <w:rPr>
                <w:sz w:val="24"/>
                <w:szCs w:val="24"/>
              </w:rPr>
            </w:pPr>
            <w:r w:rsidRPr="00D61C9C">
              <w:rPr>
                <w:sz w:val="24"/>
                <w:szCs w:val="24"/>
              </w:rPr>
              <w:t>Lægemiddelreaktion med eosinofili og systemiske symptomer (DRESS syndrom), akut generaliseret eksantematøs pustulose (AGEP)</w:t>
            </w:r>
          </w:p>
        </w:tc>
      </w:tr>
      <w:tr w:rsidR="00D4295A" w:rsidRPr="00D61C9C" w14:paraId="5CB177C9"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06706EE7" w14:textId="77777777" w:rsidR="00D4295A" w:rsidRPr="00D61C9C" w:rsidRDefault="00D4295A" w:rsidP="00746F61">
            <w:pPr>
              <w:ind w:left="132" w:right="183"/>
              <w:rPr>
                <w:sz w:val="24"/>
                <w:szCs w:val="24"/>
              </w:rPr>
            </w:pPr>
            <w:r w:rsidRPr="00D61C9C">
              <w:rPr>
                <w:sz w:val="24"/>
                <w:szCs w:val="24"/>
              </w:rPr>
              <w:t>Nyrer og urinveje</w:t>
            </w:r>
          </w:p>
        </w:tc>
        <w:tc>
          <w:tcPr>
            <w:tcW w:w="1122" w:type="pct"/>
            <w:tcBorders>
              <w:top w:val="single" w:sz="4" w:space="0" w:color="000000"/>
              <w:left w:val="single" w:sz="4" w:space="0" w:color="000000"/>
              <w:bottom w:val="single" w:sz="4" w:space="0" w:color="000000"/>
              <w:right w:val="single" w:sz="4" w:space="0" w:color="000000"/>
            </w:tcBorders>
            <w:hideMark/>
          </w:tcPr>
          <w:p w14:paraId="225B4E84" w14:textId="77777777" w:rsidR="00D4295A" w:rsidRPr="00D61C9C" w:rsidRDefault="00D4295A" w:rsidP="00746F61">
            <w:pPr>
              <w:ind w:left="132" w:right="183"/>
              <w:rPr>
                <w:sz w:val="24"/>
                <w:szCs w:val="24"/>
              </w:rPr>
            </w:pPr>
            <w:r w:rsidRPr="00D61C9C">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3DFD314" w14:textId="17CE8376" w:rsidR="00D4295A" w:rsidRPr="00D61C9C" w:rsidRDefault="00D4295A" w:rsidP="00746F61">
            <w:pPr>
              <w:ind w:left="132" w:right="183"/>
              <w:rPr>
                <w:sz w:val="24"/>
                <w:szCs w:val="24"/>
              </w:rPr>
            </w:pPr>
            <w:r w:rsidRPr="00D61C9C">
              <w:rPr>
                <w:sz w:val="24"/>
                <w:szCs w:val="24"/>
              </w:rPr>
              <w:t xml:space="preserve">Forskellige former for nefrotoksicitet, </w:t>
            </w:r>
            <w:r w:rsidR="000B6705">
              <w:rPr>
                <w:sz w:val="24"/>
                <w:szCs w:val="24"/>
              </w:rPr>
              <w:t>f.eks.</w:t>
            </w:r>
            <w:r w:rsidRPr="00D61C9C">
              <w:rPr>
                <w:sz w:val="24"/>
                <w:szCs w:val="24"/>
              </w:rPr>
              <w:t xml:space="preserve"> tubulointerstitiel nefritis, nefrotisk syndrom og nyresvigt</w:t>
            </w:r>
          </w:p>
        </w:tc>
      </w:tr>
      <w:tr w:rsidR="00D4295A" w:rsidRPr="00D61C9C" w14:paraId="70EB5FDB"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F4D4BD7" w14:textId="77777777" w:rsidR="00D4295A" w:rsidRPr="00D61C9C" w:rsidRDefault="00D4295A" w:rsidP="00746F61">
            <w:pPr>
              <w:ind w:left="132" w:right="183"/>
              <w:rPr>
                <w:sz w:val="24"/>
                <w:szCs w:val="24"/>
              </w:rPr>
            </w:pPr>
            <w:r w:rsidRPr="00D61C9C">
              <w:rPr>
                <w:sz w:val="24"/>
                <w:szCs w:val="24"/>
              </w:rPr>
              <w:t>Almene symptomer og reaktioner på administrationsstedet</w:t>
            </w:r>
          </w:p>
        </w:tc>
        <w:tc>
          <w:tcPr>
            <w:tcW w:w="1122" w:type="pct"/>
            <w:tcBorders>
              <w:top w:val="single" w:sz="4" w:space="0" w:color="000000"/>
              <w:left w:val="single" w:sz="4" w:space="0" w:color="000000"/>
              <w:bottom w:val="single" w:sz="4" w:space="0" w:color="000000"/>
              <w:right w:val="single" w:sz="4" w:space="0" w:color="000000"/>
            </w:tcBorders>
            <w:hideMark/>
          </w:tcPr>
          <w:p w14:paraId="73632735" w14:textId="77777777" w:rsidR="00D4295A" w:rsidRPr="00D61C9C" w:rsidRDefault="00D4295A" w:rsidP="00746F61">
            <w:pPr>
              <w:ind w:left="132" w:right="183"/>
              <w:rPr>
                <w:sz w:val="24"/>
                <w:szCs w:val="24"/>
              </w:rPr>
            </w:pPr>
            <w:r w:rsidRPr="00D61C9C">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3DE40D9F" w14:textId="77777777" w:rsidR="00D4295A" w:rsidRPr="00D61C9C" w:rsidRDefault="00D4295A" w:rsidP="00746F61">
            <w:pPr>
              <w:ind w:left="132" w:right="183"/>
              <w:rPr>
                <w:sz w:val="24"/>
                <w:szCs w:val="24"/>
              </w:rPr>
            </w:pPr>
            <w:r w:rsidRPr="00D61C9C">
              <w:rPr>
                <w:sz w:val="24"/>
                <w:szCs w:val="24"/>
              </w:rPr>
              <w:t>Træthed</w:t>
            </w:r>
          </w:p>
        </w:tc>
      </w:tr>
      <w:tr w:rsidR="00D4295A" w:rsidRPr="00D61C9C" w14:paraId="427F5137"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10C93F42"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38C93A2" w14:textId="77777777" w:rsidR="00D4295A" w:rsidRPr="00D61C9C" w:rsidRDefault="00D4295A" w:rsidP="00746F61">
            <w:pPr>
              <w:ind w:left="132" w:right="183"/>
              <w:rPr>
                <w:sz w:val="24"/>
                <w:szCs w:val="24"/>
              </w:rPr>
            </w:pPr>
            <w:r w:rsidRPr="00D61C9C">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13085A5D" w14:textId="77777777" w:rsidR="00D4295A" w:rsidRPr="00D61C9C" w:rsidRDefault="00D4295A" w:rsidP="00746F61">
            <w:pPr>
              <w:ind w:left="132" w:right="183"/>
              <w:rPr>
                <w:sz w:val="24"/>
                <w:szCs w:val="24"/>
              </w:rPr>
            </w:pPr>
            <w:r w:rsidRPr="00D61C9C">
              <w:rPr>
                <w:sz w:val="24"/>
                <w:szCs w:val="24"/>
              </w:rPr>
              <w:t>Ødem</w:t>
            </w:r>
          </w:p>
        </w:tc>
      </w:tr>
      <w:tr w:rsidR="00D4295A" w:rsidRPr="00D61C9C" w14:paraId="51897178" w14:textId="77777777" w:rsidTr="00746F61">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295B83FF" w14:textId="77777777" w:rsidR="00D4295A" w:rsidRPr="00D61C9C" w:rsidRDefault="00D4295A" w:rsidP="00746F61">
            <w:pPr>
              <w:ind w:left="132" w:right="183"/>
              <w:rPr>
                <w:sz w:val="24"/>
                <w:szCs w:val="24"/>
              </w:rPr>
            </w:pPr>
            <w:r w:rsidRPr="00D61C9C">
              <w:rPr>
                <w:sz w:val="24"/>
                <w:szCs w:val="24"/>
              </w:rPr>
              <w:t>Hjerte</w:t>
            </w:r>
          </w:p>
        </w:tc>
        <w:tc>
          <w:tcPr>
            <w:tcW w:w="1122" w:type="pct"/>
            <w:tcBorders>
              <w:top w:val="single" w:sz="4" w:space="0" w:color="000000"/>
              <w:left w:val="single" w:sz="4" w:space="0" w:color="000000"/>
              <w:bottom w:val="single" w:sz="4" w:space="0" w:color="000000"/>
              <w:right w:val="single" w:sz="4" w:space="0" w:color="000000"/>
            </w:tcBorders>
            <w:hideMark/>
          </w:tcPr>
          <w:p w14:paraId="36E39F62" w14:textId="77777777" w:rsidR="00D4295A" w:rsidRPr="00D61C9C" w:rsidRDefault="00D4295A" w:rsidP="00746F61">
            <w:pPr>
              <w:ind w:left="132" w:right="183"/>
              <w:rPr>
                <w:sz w:val="24"/>
                <w:szCs w:val="24"/>
              </w:rPr>
            </w:pPr>
            <w:r w:rsidRPr="00D61C9C">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556652F5" w14:textId="77777777" w:rsidR="00D4295A" w:rsidRPr="00D61C9C" w:rsidRDefault="00D4295A" w:rsidP="00746F61">
            <w:pPr>
              <w:ind w:left="132" w:right="183"/>
              <w:rPr>
                <w:sz w:val="24"/>
                <w:szCs w:val="24"/>
              </w:rPr>
            </w:pPr>
            <w:r w:rsidRPr="00D61C9C">
              <w:rPr>
                <w:sz w:val="24"/>
                <w:szCs w:val="24"/>
              </w:rPr>
              <w:t>Hjertesvigt, myokardieinfarkt (se pkt. 4.4)</w:t>
            </w:r>
          </w:p>
        </w:tc>
      </w:tr>
      <w:tr w:rsidR="00D4295A" w:rsidRPr="00D61C9C" w14:paraId="4DC2727A" w14:textId="77777777" w:rsidTr="00746F61">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20D2FB16" w14:textId="77777777" w:rsidR="00D4295A" w:rsidRPr="00D61C9C" w:rsidRDefault="00D4295A" w:rsidP="00746F61">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8F74372" w14:textId="77777777" w:rsidR="00D4295A" w:rsidRPr="00D61C9C" w:rsidRDefault="00D4295A" w:rsidP="00746F61">
            <w:pPr>
              <w:ind w:left="132" w:right="183"/>
              <w:rPr>
                <w:sz w:val="24"/>
                <w:szCs w:val="24"/>
              </w:rPr>
            </w:pPr>
            <w:r w:rsidRPr="00D61C9C">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20E35F0E" w14:textId="77777777" w:rsidR="00D4295A" w:rsidRPr="00D61C9C" w:rsidRDefault="00D4295A" w:rsidP="00746F61">
            <w:pPr>
              <w:ind w:left="132" w:right="183"/>
              <w:rPr>
                <w:sz w:val="24"/>
                <w:szCs w:val="24"/>
              </w:rPr>
            </w:pPr>
            <w:r w:rsidRPr="00D61C9C">
              <w:rPr>
                <w:sz w:val="24"/>
                <w:szCs w:val="24"/>
              </w:rPr>
              <w:t>Kounis syndrom</w:t>
            </w:r>
          </w:p>
        </w:tc>
      </w:tr>
      <w:tr w:rsidR="00D4295A" w:rsidRPr="00D61C9C" w14:paraId="14C23D37" w14:textId="77777777" w:rsidTr="00746F61">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37AE9CB8" w14:textId="77777777" w:rsidR="00D4295A" w:rsidRPr="00D61C9C" w:rsidRDefault="00D4295A" w:rsidP="00746F61">
            <w:pPr>
              <w:ind w:left="132" w:right="183"/>
              <w:rPr>
                <w:sz w:val="24"/>
                <w:szCs w:val="24"/>
              </w:rPr>
            </w:pPr>
            <w:r w:rsidRPr="00D61C9C">
              <w:rPr>
                <w:sz w:val="24"/>
                <w:szCs w:val="24"/>
              </w:rPr>
              <w:t>Vaskulære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40BF15FC" w14:textId="77777777" w:rsidR="00D4295A" w:rsidRPr="00D61C9C" w:rsidRDefault="00D4295A" w:rsidP="00746F61">
            <w:pPr>
              <w:ind w:left="132" w:right="183"/>
              <w:rPr>
                <w:sz w:val="24"/>
                <w:szCs w:val="24"/>
              </w:rPr>
            </w:pPr>
            <w:r w:rsidRPr="00D61C9C">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7DBB47E6" w14:textId="77777777" w:rsidR="00D4295A" w:rsidRPr="00D61C9C" w:rsidRDefault="00D4295A" w:rsidP="00746F61">
            <w:pPr>
              <w:ind w:left="132" w:right="183"/>
              <w:rPr>
                <w:sz w:val="24"/>
                <w:szCs w:val="24"/>
              </w:rPr>
            </w:pPr>
            <w:r w:rsidRPr="00D61C9C">
              <w:rPr>
                <w:sz w:val="24"/>
                <w:szCs w:val="24"/>
              </w:rPr>
              <w:t>Hypertension</w:t>
            </w:r>
          </w:p>
        </w:tc>
      </w:tr>
    </w:tbl>
    <w:p w14:paraId="7AB327CA" w14:textId="77777777" w:rsidR="00D4295A" w:rsidRPr="00D61C9C" w:rsidRDefault="00D4295A" w:rsidP="00D4295A">
      <w:pPr>
        <w:tabs>
          <w:tab w:val="left" w:pos="851"/>
        </w:tabs>
        <w:ind w:left="851"/>
        <w:rPr>
          <w:sz w:val="24"/>
          <w:szCs w:val="24"/>
        </w:rPr>
      </w:pPr>
    </w:p>
    <w:p w14:paraId="5A9D3E66" w14:textId="77777777" w:rsidR="00EA5014" w:rsidRPr="00D61C9C" w:rsidRDefault="00EA5014" w:rsidP="00EA5014">
      <w:pPr>
        <w:autoSpaceDE w:val="0"/>
        <w:autoSpaceDN w:val="0"/>
        <w:ind w:left="851"/>
        <w:rPr>
          <w:sz w:val="24"/>
          <w:szCs w:val="24"/>
          <w:u w:val="single"/>
        </w:rPr>
      </w:pPr>
      <w:r w:rsidRPr="00D61C9C">
        <w:rPr>
          <w:sz w:val="24"/>
          <w:szCs w:val="24"/>
          <w:u w:val="single"/>
        </w:rPr>
        <w:t>Indberetning af formodede bivirkninger</w:t>
      </w:r>
    </w:p>
    <w:p w14:paraId="5D6FA3CC" w14:textId="77777777" w:rsidR="00EA5014" w:rsidRPr="00D61C9C" w:rsidRDefault="00EA5014" w:rsidP="00EA5014">
      <w:pPr>
        <w:ind w:left="851"/>
        <w:rPr>
          <w:sz w:val="24"/>
          <w:szCs w:val="24"/>
        </w:rPr>
      </w:pPr>
      <w:r w:rsidRPr="00D61C9C">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EEBB3A9" w14:textId="77777777" w:rsidR="00EA5014" w:rsidRPr="00D61C9C" w:rsidRDefault="00EA5014" w:rsidP="00EA5014">
      <w:pPr>
        <w:tabs>
          <w:tab w:val="left" w:pos="2440"/>
        </w:tabs>
        <w:ind w:left="851"/>
        <w:rPr>
          <w:sz w:val="24"/>
          <w:szCs w:val="24"/>
        </w:rPr>
      </w:pPr>
    </w:p>
    <w:p w14:paraId="5358191C" w14:textId="77777777" w:rsidR="00EA5014" w:rsidRPr="00D61C9C" w:rsidRDefault="00EA5014" w:rsidP="00EA5014">
      <w:pPr>
        <w:ind w:left="851"/>
        <w:rPr>
          <w:sz w:val="24"/>
          <w:szCs w:val="24"/>
        </w:rPr>
      </w:pPr>
      <w:r w:rsidRPr="00D61C9C">
        <w:rPr>
          <w:sz w:val="24"/>
          <w:szCs w:val="24"/>
        </w:rPr>
        <w:t>Lægemiddelstyrelsen</w:t>
      </w:r>
    </w:p>
    <w:p w14:paraId="75C82248" w14:textId="77777777" w:rsidR="00EA5014" w:rsidRPr="00D61C9C" w:rsidRDefault="00EA5014" w:rsidP="00EA5014">
      <w:pPr>
        <w:ind w:left="851"/>
        <w:rPr>
          <w:sz w:val="24"/>
          <w:szCs w:val="24"/>
        </w:rPr>
      </w:pPr>
      <w:r w:rsidRPr="00D61C9C">
        <w:rPr>
          <w:sz w:val="24"/>
          <w:szCs w:val="24"/>
        </w:rPr>
        <w:t>Axel Heides Gade 1</w:t>
      </w:r>
    </w:p>
    <w:p w14:paraId="19D81F91" w14:textId="77777777" w:rsidR="00EA5014" w:rsidRPr="00D61C9C" w:rsidRDefault="00EA5014" w:rsidP="00EA5014">
      <w:pPr>
        <w:ind w:left="851"/>
        <w:rPr>
          <w:sz w:val="24"/>
          <w:szCs w:val="24"/>
        </w:rPr>
      </w:pPr>
      <w:r w:rsidRPr="00D61C9C">
        <w:rPr>
          <w:sz w:val="24"/>
          <w:szCs w:val="24"/>
        </w:rPr>
        <w:t>DK-2300 København S</w:t>
      </w:r>
    </w:p>
    <w:p w14:paraId="133FB773" w14:textId="77777777" w:rsidR="00EA5014" w:rsidRPr="00D61C9C" w:rsidRDefault="00EA5014" w:rsidP="00EA5014">
      <w:pPr>
        <w:ind w:left="851"/>
        <w:rPr>
          <w:sz w:val="24"/>
          <w:szCs w:val="24"/>
        </w:rPr>
      </w:pPr>
      <w:r w:rsidRPr="00D61C9C">
        <w:rPr>
          <w:sz w:val="24"/>
          <w:szCs w:val="24"/>
        </w:rPr>
        <w:t xml:space="preserve">Websted: </w:t>
      </w:r>
      <w:hyperlink r:id="rId8" w:history="1">
        <w:r w:rsidRPr="00D61C9C">
          <w:rPr>
            <w:rStyle w:val="Hyperlink"/>
            <w:sz w:val="24"/>
            <w:szCs w:val="24"/>
          </w:rPr>
          <w:t>www.meldenbivirkning.dk</w:t>
        </w:r>
      </w:hyperlink>
    </w:p>
    <w:p w14:paraId="6B4153F8" w14:textId="77777777" w:rsidR="009260DE" w:rsidRPr="00D61C9C" w:rsidRDefault="009260DE" w:rsidP="00A10294">
      <w:pPr>
        <w:tabs>
          <w:tab w:val="left" w:pos="851"/>
        </w:tabs>
        <w:ind w:left="851"/>
        <w:rPr>
          <w:sz w:val="24"/>
          <w:szCs w:val="24"/>
        </w:rPr>
      </w:pPr>
    </w:p>
    <w:p w14:paraId="443F37BF" w14:textId="77777777" w:rsidR="009260DE" w:rsidRPr="00D61C9C" w:rsidRDefault="009260DE" w:rsidP="009260DE">
      <w:pPr>
        <w:tabs>
          <w:tab w:val="left" w:pos="851"/>
        </w:tabs>
        <w:ind w:left="851" w:hanging="851"/>
        <w:rPr>
          <w:b/>
          <w:sz w:val="24"/>
          <w:szCs w:val="24"/>
        </w:rPr>
      </w:pPr>
      <w:r w:rsidRPr="00D61C9C">
        <w:rPr>
          <w:b/>
          <w:sz w:val="24"/>
          <w:szCs w:val="24"/>
        </w:rPr>
        <w:t>4.9</w:t>
      </w:r>
      <w:r w:rsidRPr="00D61C9C">
        <w:rPr>
          <w:b/>
          <w:sz w:val="24"/>
          <w:szCs w:val="24"/>
        </w:rPr>
        <w:tab/>
        <w:t>Overdosering</w:t>
      </w:r>
    </w:p>
    <w:p w14:paraId="5BD73A78" w14:textId="77777777" w:rsidR="00A1408F" w:rsidRDefault="00A1408F" w:rsidP="00EA5014">
      <w:pPr>
        <w:ind w:left="851"/>
        <w:rPr>
          <w:sz w:val="24"/>
          <w:szCs w:val="24"/>
        </w:rPr>
      </w:pPr>
    </w:p>
    <w:p w14:paraId="4006E8F8" w14:textId="7A66FBCF" w:rsidR="00D4295A" w:rsidRPr="00A1408F" w:rsidRDefault="00D4295A" w:rsidP="00EA5014">
      <w:pPr>
        <w:ind w:left="851"/>
        <w:rPr>
          <w:i/>
          <w:iCs/>
          <w:sz w:val="24"/>
          <w:szCs w:val="24"/>
        </w:rPr>
      </w:pPr>
      <w:r w:rsidRPr="00A1408F">
        <w:rPr>
          <w:i/>
          <w:iCs/>
          <w:sz w:val="24"/>
          <w:szCs w:val="24"/>
        </w:rPr>
        <w:t xml:space="preserve">Toksicitet </w:t>
      </w:r>
    </w:p>
    <w:p w14:paraId="642448EF" w14:textId="77777777" w:rsidR="00D4295A" w:rsidRPr="00D61C9C" w:rsidRDefault="00D4295A" w:rsidP="00EA5014">
      <w:pPr>
        <w:ind w:left="851"/>
        <w:rPr>
          <w:sz w:val="24"/>
          <w:szCs w:val="24"/>
        </w:rPr>
      </w:pPr>
      <w:r w:rsidRPr="00D61C9C">
        <w:rPr>
          <w:sz w:val="24"/>
          <w:szCs w:val="24"/>
        </w:rPr>
        <w:t>Der er risiko for symptomer ved doser på &gt;80-100 mg/kg. Ved doser på &gt;200 mg/kg er der risiko for alvorlige symptomer, dog med betragtelig variation mellem patienterne. En dosis på 8 g til en voksen gav moderat forgiftning og &gt;20 g til en voksen gav meget alvorlig forgiftning. 8 g administreret til en 16-årig påvirkede nyrerne og 12 g i kombination med alkohol administreret til en teenager resulterede i akut tubular nekrose.</w:t>
      </w:r>
    </w:p>
    <w:p w14:paraId="59B412E6" w14:textId="77777777" w:rsidR="00D4295A" w:rsidRPr="00D61C9C" w:rsidRDefault="00D4295A" w:rsidP="00EA5014">
      <w:pPr>
        <w:ind w:left="851"/>
        <w:rPr>
          <w:sz w:val="24"/>
          <w:szCs w:val="24"/>
        </w:rPr>
      </w:pPr>
      <w:bookmarkStart w:id="7" w:name="_Hlk210720633"/>
    </w:p>
    <w:p w14:paraId="6C45E728" w14:textId="77777777" w:rsidR="00D4295A" w:rsidRPr="00A1408F" w:rsidRDefault="00D4295A" w:rsidP="00EA5014">
      <w:pPr>
        <w:ind w:left="851"/>
        <w:rPr>
          <w:i/>
          <w:iCs/>
          <w:sz w:val="24"/>
          <w:szCs w:val="24"/>
        </w:rPr>
      </w:pPr>
      <w:r w:rsidRPr="00A1408F">
        <w:rPr>
          <w:i/>
          <w:iCs/>
          <w:sz w:val="24"/>
          <w:szCs w:val="24"/>
        </w:rPr>
        <w:t xml:space="preserve">Symptomer </w:t>
      </w:r>
    </w:p>
    <w:p w14:paraId="50C1CF0F" w14:textId="5D96CA9D" w:rsidR="00D4295A" w:rsidRPr="00D61C9C" w:rsidRDefault="00D4295A" w:rsidP="00EA5014">
      <w:pPr>
        <w:ind w:left="851"/>
        <w:rPr>
          <w:sz w:val="24"/>
          <w:szCs w:val="24"/>
        </w:rPr>
      </w:pPr>
      <w:r w:rsidRPr="00D61C9C">
        <w:rPr>
          <w:sz w:val="24"/>
          <w:szCs w:val="24"/>
        </w:rPr>
        <w:t xml:space="preserve">Hovedsageligt er symptomerne relateret til mave-tarm-kanalen, </w:t>
      </w:r>
      <w:r w:rsidR="000B6705">
        <w:rPr>
          <w:sz w:val="24"/>
          <w:szCs w:val="24"/>
        </w:rPr>
        <w:t>f.eks.</w:t>
      </w:r>
      <w:r w:rsidRPr="00D61C9C">
        <w:rPr>
          <w:sz w:val="24"/>
          <w:szCs w:val="24"/>
        </w:rPr>
        <w:t xml:space="preserve"> kvalme, abdominalsmerter, opkastning (muligvis med lidt blod) og hovedpine, tinnitus, konfusion og nystagmus. Ved høje doser; bevidsthedstab og kramper (hovedsageligt hos børn). Bradykardi, fald i blodtrykket. Metabolisk acidose, hypernatræmi, indvirkning på nyren, hæmaturi. Muligvis indvirkning på leveren. Hypotermi og ARDS er blevet rapporteret lejlighedsvist.</w:t>
      </w:r>
    </w:p>
    <w:p w14:paraId="36315116" w14:textId="77777777" w:rsidR="00D4295A" w:rsidRPr="00D61C9C" w:rsidRDefault="00D4295A" w:rsidP="00EA5014">
      <w:pPr>
        <w:ind w:left="851"/>
        <w:rPr>
          <w:sz w:val="24"/>
          <w:szCs w:val="24"/>
        </w:rPr>
      </w:pPr>
    </w:p>
    <w:p w14:paraId="1D007C48" w14:textId="77777777" w:rsidR="00D4295A" w:rsidRPr="00D61C9C" w:rsidRDefault="00D4295A" w:rsidP="00EA5014">
      <w:pPr>
        <w:ind w:left="851"/>
        <w:rPr>
          <w:sz w:val="24"/>
          <w:szCs w:val="24"/>
        </w:rPr>
      </w:pPr>
      <w:r w:rsidRPr="00D61C9C">
        <w:rPr>
          <w:sz w:val="24"/>
          <w:szCs w:val="24"/>
        </w:rPr>
        <w:t>Langvarig brug ved højere doser end anbefalet eller overdosering kan resultere i renal tubulær acidose og hypokaliæmi.</w:t>
      </w:r>
    </w:p>
    <w:bookmarkEnd w:id="7"/>
    <w:p w14:paraId="14CF9607" w14:textId="77777777" w:rsidR="00D4295A" w:rsidRPr="00D61C9C" w:rsidRDefault="00D4295A" w:rsidP="00EA5014">
      <w:pPr>
        <w:ind w:left="851"/>
        <w:rPr>
          <w:sz w:val="24"/>
          <w:szCs w:val="24"/>
        </w:rPr>
      </w:pPr>
    </w:p>
    <w:p w14:paraId="7ABB34B9" w14:textId="77777777" w:rsidR="00D4295A" w:rsidRPr="00A1408F" w:rsidRDefault="00D4295A" w:rsidP="00EA5014">
      <w:pPr>
        <w:ind w:left="851"/>
        <w:rPr>
          <w:i/>
          <w:iCs/>
          <w:sz w:val="24"/>
          <w:szCs w:val="24"/>
        </w:rPr>
      </w:pPr>
      <w:r w:rsidRPr="00A1408F">
        <w:rPr>
          <w:i/>
          <w:iCs/>
          <w:sz w:val="24"/>
          <w:szCs w:val="24"/>
        </w:rPr>
        <w:t xml:space="preserve">Behandling </w:t>
      </w:r>
    </w:p>
    <w:p w14:paraId="7AE2A785" w14:textId="77777777" w:rsidR="00D4295A" w:rsidRPr="00D61C9C" w:rsidRDefault="00D4295A" w:rsidP="00EA5014">
      <w:pPr>
        <w:ind w:left="851"/>
        <w:rPr>
          <w:sz w:val="24"/>
          <w:szCs w:val="24"/>
        </w:rPr>
      </w:pPr>
      <w:r w:rsidRPr="00D61C9C">
        <w:rPr>
          <w:sz w:val="24"/>
          <w:szCs w:val="24"/>
        </w:rPr>
        <w:t>Hvis påkrævet behandles med maveskylning eller carbon. I tilfælde af gastrointestinale problemer behandles der med antacida. I tilfælde af hypotension behandles med intravenøs væske og inotropisk støtte, hvis nødvendigt. Tilstrækkelig diurese skal sikres. Korrektion af syre-base-forstyrrelser og elektrolytforstyrrelser. Anden symptomatisk behandling.</w:t>
      </w:r>
    </w:p>
    <w:p w14:paraId="6A7F3092" w14:textId="77777777" w:rsidR="009260DE" w:rsidRPr="00D61C9C" w:rsidRDefault="009260DE" w:rsidP="009260DE">
      <w:pPr>
        <w:tabs>
          <w:tab w:val="left" w:pos="851"/>
        </w:tabs>
        <w:ind w:left="851"/>
        <w:rPr>
          <w:sz w:val="24"/>
          <w:szCs w:val="24"/>
        </w:rPr>
      </w:pPr>
    </w:p>
    <w:p w14:paraId="2C7730B9" w14:textId="77777777" w:rsidR="009260DE" w:rsidRPr="00D61C9C" w:rsidRDefault="009260DE" w:rsidP="009260DE">
      <w:pPr>
        <w:tabs>
          <w:tab w:val="left" w:pos="851"/>
        </w:tabs>
        <w:ind w:left="851" w:hanging="851"/>
        <w:rPr>
          <w:b/>
          <w:sz w:val="24"/>
          <w:szCs w:val="24"/>
        </w:rPr>
      </w:pPr>
      <w:r w:rsidRPr="00D61C9C">
        <w:rPr>
          <w:b/>
          <w:sz w:val="24"/>
          <w:szCs w:val="24"/>
        </w:rPr>
        <w:t>4.10</w:t>
      </w:r>
      <w:r w:rsidRPr="00D61C9C">
        <w:rPr>
          <w:b/>
          <w:sz w:val="24"/>
          <w:szCs w:val="24"/>
        </w:rPr>
        <w:tab/>
        <w:t>Udlevering</w:t>
      </w:r>
    </w:p>
    <w:p w14:paraId="4AF25DA8" w14:textId="539D3DE3" w:rsidR="001B2A5A" w:rsidRPr="00D61C9C" w:rsidRDefault="001B2A5A" w:rsidP="001B2A5A">
      <w:pPr>
        <w:tabs>
          <w:tab w:val="left" w:pos="851"/>
        </w:tabs>
        <w:ind w:left="851"/>
        <w:rPr>
          <w:sz w:val="24"/>
          <w:szCs w:val="24"/>
        </w:rPr>
      </w:pPr>
      <w:r w:rsidRPr="00D61C9C">
        <w:rPr>
          <w:sz w:val="24"/>
          <w:szCs w:val="24"/>
        </w:rPr>
        <w:t xml:space="preserve">HX18: </w:t>
      </w:r>
      <w:r w:rsidR="00A1408F">
        <w:rPr>
          <w:sz w:val="24"/>
          <w:szCs w:val="24"/>
        </w:rPr>
        <w:t>T</w:t>
      </w:r>
      <w:r w:rsidRPr="00D61C9C">
        <w:rPr>
          <w:sz w:val="24"/>
          <w:szCs w:val="24"/>
        </w:rPr>
        <w:t>il og med 20 stk.</w:t>
      </w:r>
    </w:p>
    <w:p w14:paraId="4EC720A3" w14:textId="16EDF47A" w:rsidR="001B2A5A" w:rsidRPr="00D61C9C" w:rsidRDefault="001B2A5A" w:rsidP="001B2A5A">
      <w:pPr>
        <w:tabs>
          <w:tab w:val="left" w:pos="851"/>
        </w:tabs>
        <w:ind w:left="851"/>
        <w:rPr>
          <w:sz w:val="24"/>
          <w:szCs w:val="24"/>
        </w:rPr>
      </w:pPr>
      <w:r w:rsidRPr="00D61C9C">
        <w:rPr>
          <w:sz w:val="24"/>
          <w:szCs w:val="24"/>
        </w:rPr>
        <w:t>B: Ingen øvre grænse</w:t>
      </w:r>
    </w:p>
    <w:p w14:paraId="36609802" w14:textId="77777777" w:rsidR="009260DE" w:rsidRPr="00D61C9C" w:rsidRDefault="009260DE" w:rsidP="009260DE">
      <w:pPr>
        <w:tabs>
          <w:tab w:val="left" w:pos="851"/>
        </w:tabs>
        <w:ind w:left="851"/>
        <w:rPr>
          <w:sz w:val="24"/>
          <w:szCs w:val="24"/>
        </w:rPr>
      </w:pPr>
    </w:p>
    <w:p w14:paraId="32B449E3" w14:textId="77777777" w:rsidR="009260DE" w:rsidRPr="00D61C9C" w:rsidRDefault="009260DE" w:rsidP="009260DE">
      <w:pPr>
        <w:tabs>
          <w:tab w:val="left" w:pos="851"/>
        </w:tabs>
        <w:ind w:left="851"/>
        <w:rPr>
          <w:sz w:val="24"/>
          <w:szCs w:val="24"/>
        </w:rPr>
      </w:pPr>
    </w:p>
    <w:p w14:paraId="4983560B" w14:textId="77777777" w:rsidR="009260DE" w:rsidRPr="00D61C9C" w:rsidRDefault="009260DE" w:rsidP="009260DE">
      <w:pPr>
        <w:tabs>
          <w:tab w:val="left" w:pos="851"/>
        </w:tabs>
        <w:ind w:left="851" w:hanging="851"/>
        <w:rPr>
          <w:b/>
          <w:sz w:val="24"/>
          <w:szCs w:val="24"/>
        </w:rPr>
      </w:pPr>
      <w:r w:rsidRPr="00D61C9C">
        <w:rPr>
          <w:b/>
          <w:sz w:val="24"/>
          <w:szCs w:val="24"/>
        </w:rPr>
        <w:t>5.</w:t>
      </w:r>
      <w:r w:rsidRPr="00D61C9C">
        <w:rPr>
          <w:b/>
          <w:sz w:val="24"/>
          <w:szCs w:val="24"/>
        </w:rPr>
        <w:tab/>
        <w:t>FARMAKOLOGISKE EGENSKABER</w:t>
      </w:r>
    </w:p>
    <w:p w14:paraId="4E88AFE6" w14:textId="77777777" w:rsidR="009260DE" w:rsidRPr="00D61C9C" w:rsidRDefault="009260DE" w:rsidP="009260DE">
      <w:pPr>
        <w:tabs>
          <w:tab w:val="left" w:pos="851"/>
        </w:tabs>
        <w:ind w:left="851"/>
        <w:rPr>
          <w:sz w:val="24"/>
          <w:szCs w:val="24"/>
        </w:rPr>
      </w:pPr>
    </w:p>
    <w:p w14:paraId="6CD0E477" w14:textId="77777777" w:rsidR="009260DE" w:rsidRPr="00D61C9C" w:rsidRDefault="009260DE" w:rsidP="009260DE">
      <w:pPr>
        <w:tabs>
          <w:tab w:val="num" w:pos="851"/>
        </w:tabs>
        <w:ind w:left="851" w:hanging="851"/>
        <w:rPr>
          <w:b/>
          <w:sz w:val="24"/>
          <w:szCs w:val="24"/>
        </w:rPr>
      </w:pPr>
      <w:r w:rsidRPr="00D61C9C">
        <w:rPr>
          <w:b/>
          <w:sz w:val="24"/>
          <w:szCs w:val="24"/>
        </w:rPr>
        <w:t>5.1</w:t>
      </w:r>
      <w:r w:rsidRPr="00D61C9C">
        <w:rPr>
          <w:b/>
          <w:sz w:val="24"/>
          <w:szCs w:val="24"/>
        </w:rPr>
        <w:tab/>
        <w:t>Farmakodynamiske egenskaber</w:t>
      </w:r>
    </w:p>
    <w:p w14:paraId="7C1F32BD" w14:textId="3B99DCA4" w:rsidR="00D4295A" w:rsidRPr="00D61C9C" w:rsidRDefault="00D4295A" w:rsidP="001B2A5A">
      <w:pPr>
        <w:ind w:left="851"/>
        <w:rPr>
          <w:sz w:val="24"/>
          <w:szCs w:val="24"/>
        </w:rPr>
      </w:pPr>
      <w:r w:rsidRPr="00D61C9C">
        <w:rPr>
          <w:sz w:val="24"/>
          <w:szCs w:val="24"/>
        </w:rPr>
        <w:t>Farmakoterapeutisk klassifikation: Antiinflammatoriske og antirheumatiske midler, non-steroide; propionsyrederivater</w:t>
      </w:r>
      <w:r w:rsidR="00A1408F">
        <w:rPr>
          <w:sz w:val="24"/>
          <w:szCs w:val="24"/>
        </w:rPr>
        <w:t xml:space="preserve">, </w:t>
      </w:r>
      <w:r w:rsidRPr="00D61C9C">
        <w:rPr>
          <w:sz w:val="24"/>
          <w:szCs w:val="24"/>
        </w:rPr>
        <w:t>ATC-kode: M01AE01.</w:t>
      </w:r>
    </w:p>
    <w:p w14:paraId="67BC0579" w14:textId="77777777" w:rsidR="00D4295A" w:rsidRPr="00D61C9C" w:rsidRDefault="00D4295A" w:rsidP="001B2A5A">
      <w:pPr>
        <w:ind w:left="851"/>
        <w:rPr>
          <w:sz w:val="24"/>
          <w:szCs w:val="24"/>
        </w:rPr>
      </w:pPr>
    </w:p>
    <w:p w14:paraId="332AE200" w14:textId="77777777" w:rsidR="00D4295A" w:rsidRPr="00D61C9C" w:rsidRDefault="00D4295A" w:rsidP="001B2A5A">
      <w:pPr>
        <w:ind w:left="851"/>
        <w:rPr>
          <w:sz w:val="24"/>
          <w:szCs w:val="24"/>
          <w:u w:val="single"/>
        </w:rPr>
      </w:pPr>
      <w:r w:rsidRPr="00D61C9C">
        <w:rPr>
          <w:sz w:val="24"/>
          <w:szCs w:val="24"/>
          <w:u w:val="single"/>
        </w:rPr>
        <w:t>Virkningsmekanisme</w:t>
      </w:r>
    </w:p>
    <w:p w14:paraId="0F2CFB2F" w14:textId="77777777" w:rsidR="00D4295A" w:rsidRPr="00D61C9C" w:rsidRDefault="00D4295A" w:rsidP="001B2A5A">
      <w:pPr>
        <w:ind w:left="851"/>
        <w:rPr>
          <w:sz w:val="24"/>
          <w:szCs w:val="24"/>
        </w:rPr>
      </w:pPr>
      <w:r w:rsidRPr="00D61C9C">
        <w:rPr>
          <w:sz w:val="24"/>
          <w:szCs w:val="24"/>
        </w:rPr>
        <w:t>Ibuprofen tilhører gruppen af non-steroide antiinflammatoriske lægemidler (NSAID’er). Den indeholder propionsyrederivatet p-isobutylhydrotropsyre med det generiske navn ibuprofen. Ibuprofen har en antiinflammatorisk, analgesisk og antipyretisk virkning. Den antiflogistiske virkning kan sammenlignes med den fra aspirin og indometacin. Ibuprofens farmakologiske effekt er sandsynligvis forbundet med dets evne til at hæmme prostaglandinsyntese. Ibuprofen forlænger blødningstiden i kraft af reversibel hæmning af trombocytaggregation.</w:t>
      </w:r>
    </w:p>
    <w:p w14:paraId="4BAD041A" w14:textId="77777777" w:rsidR="00D4295A" w:rsidRPr="00D61C9C" w:rsidRDefault="00D4295A" w:rsidP="001B2A5A">
      <w:pPr>
        <w:ind w:left="851"/>
        <w:rPr>
          <w:sz w:val="24"/>
          <w:szCs w:val="24"/>
        </w:rPr>
      </w:pPr>
    </w:p>
    <w:p w14:paraId="478344F8" w14:textId="77777777" w:rsidR="00D4295A" w:rsidRPr="00D61C9C" w:rsidRDefault="00D4295A" w:rsidP="001B2A5A">
      <w:pPr>
        <w:ind w:left="851"/>
        <w:rPr>
          <w:sz w:val="24"/>
          <w:szCs w:val="24"/>
          <w:u w:val="single"/>
        </w:rPr>
      </w:pPr>
      <w:r w:rsidRPr="00D61C9C">
        <w:rPr>
          <w:sz w:val="24"/>
          <w:szCs w:val="24"/>
          <w:u w:val="single"/>
        </w:rPr>
        <w:t xml:space="preserve">Klinisk virkning og sikkerhed </w:t>
      </w:r>
    </w:p>
    <w:p w14:paraId="11F9AAAC" w14:textId="77777777" w:rsidR="00D4295A" w:rsidRPr="00D61C9C" w:rsidRDefault="00D4295A" w:rsidP="001B2A5A">
      <w:pPr>
        <w:ind w:left="851"/>
        <w:rPr>
          <w:sz w:val="24"/>
          <w:szCs w:val="24"/>
        </w:rPr>
      </w:pPr>
      <w:r w:rsidRPr="00D61C9C">
        <w:rPr>
          <w:sz w:val="24"/>
          <w:szCs w:val="24"/>
        </w:rPr>
        <w:t>Eksperimentelle data tyder på, at ibuprofen muligvis kompetitivt hæmmer virkningen af lavdosis acetylsalicylsyre på trombocytaggregation ved samtidig administration. Nogle farmakodynamiske studier viser, acetylsalicylsyres virkning på dannelsen af tromboxan eller trombocytaggregation blev nedsat ved administration af enkeltdoser af ibuprofen på 400 mg inden for 8 timer før eller 30 minutter efter en dosis acetylsalicylsyre (81 mg) med umiddelbar udløsning. Der er usikkerhed vedrørende ekstrapolation af disse data til den kliniske situation, men muligheden for, at regelmæssig langvarig behandling med ibuprofen, kan nedsætte den kardioprotektive virkning af lavdosis acetylsalicylsyre, kan ikke udelukkes. En klinisk relevant virkning ved lejlighedsvis brug af ibuprofen anses ikke for at være sandsynlig (se pkt. 4.5).</w:t>
      </w:r>
    </w:p>
    <w:p w14:paraId="32155463" w14:textId="77777777" w:rsidR="00D4295A" w:rsidRPr="00D61C9C" w:rsidRDefault="00D4295A" w:rsidP="001B2A5A">
      <w:pPr>
        <w:ind w:left="851"/>
        <w:rPr>
          <w:sz w:val="24"/>
          <w:szCs w:val="24"/>
        </w:rPr>
      </w:pPr>
    </w:p>
    <w:p w14:paraId="775333E0" w14:textId="77777777" w:rsidR="00D4295A" w:rsidRPr="00D61C9C" w:rsidRDefault="00D4295A" w:rsidP="001B2A5A">
      <w:pPr>
        <w:ind w:left="851"/>
        <w:rPr>
          <w:sz w:val="24"/>
          <w:szCs w:val="24"/>
        </w:rPr>
      </w:pPr>
      <w:r w:rsidRPr="00D61C9C">
        <w:rPr>
          <w:sz w:val="24"/>
          <w:szCs w:val="24"/>
        </w:rPr>
        <w:t>Ibuprofen hæmmer renal prostaglandinsyntese. Hos patienter med normal nyrefunktion har denne effekt ingen særlig betydning. Hos patienter med kronisk nedsat nyrefunktion, dekompenseret hjerte eller leverinsufficiens samt lidelser, der omfatter ændringer i plasmavolumen, kan den inhiberede prostaglandinsyntese føre til akut nedsat nyrefunktion, væskeophobning og hjertesvigt (se pkt. 4.3).</w:t>
      </w:r>
    </w:p>
    <w:p w14:paraId="4D17DB24" w14:textId="77777777" w:rsidR="009260DE" w:rsidRPr="00D61C9C" w:rsidRDefault="009260DE" w:rsidP="009260DE">
      <w:pPr>
        <w:tabs>
          <w:tab w:val="left" w:pos="851"/>
        </w:tabs>
        <w:ind w:left="851"/>
        <w:rPr>
          <w:sz w:val="24"/>
          <w:szCs w:val="24"/>
        </w:rPr>
      </w:pPr>
    </w:p>
    <w:p w14:paraId="273EC9A6" w14:textId="77777777" w:rsidR="009260DE" w:rsidRPr="00D61C9C" w:rsidRDefault="009260DE" w:rsidP="009260DE">
      <w:pPr>
        <w:tabs>
          <w:tab w:val="left" w:pos="851"/>
        </w:tabs>
        <w:ind w:left="851" w:hanging="851"/>
        <w:rPr>
          <w:b/>
          <w:sz w:val="24"/>
          <w:szCs w:val="24"/>
        </w:rPr>
      </w:pPr>
      <w:r w:rsidRPr="00D61C9C">
        <w:rPr>
          <w:b/>
          <w:sz w:val="24"/>
          <w:szCs w:val="24"/>
        </w:rPr>
        <w:t>5.2</w:t>
      </w:r>
      <w:r w:rsidRPr="00D61C9C">
        <w:rPr>
          <w:b/>
          <w:sz w:val="24"/>
          <w:szCs w:val="24"/>
        </w:rPr>
        <w:tab/>
        <w:t>Farmakokinetiske egenskaber</w:t>
      </w:r>
    </w:p>
    <w:p w14:paraId="0A2C116E" w14:textId="77777777" w:rsidR="00A1408F" w:rsidRDefault="00A1408F" w:rsidP="001B2A5A">
      <w:pPr>
        <w:ind w:left="851"/>
        <w:rPr>
          <w:sz w:val="24"/>
          <w:szCs w:val="24"/>
        </w:rPr>
      </w:pPr>
      <w:bookmarkStart w:id="8" w:name="_Hlk205818158"/>
    </w:p>
    <w:p w14:paraId="5904F882" w14:textId="18B245CA" w:rsidR="00D4295A" w:rsidRPr="00A1408F" w:rsidRDefault="00D4295A" w:rsidP="001B2A5A">
      <w:pPr>
        <w:ind w:left="851"/>
        <w:rPr>
          <w:sz w:val="24"/>
          <w:szCs w:val="24"/>
          <w:u w:val="single"/>
        </w:rPr>
      </w:pPr>
      <w:r w:rsidRPr="00A1408F">
        <w:rPr>
          <w:sz w:val="24"/>
          <w:szCs w:val="24"/>
          <w:u w:val="single"/>
        </w:rPr>
        <w:t>Absorption</w:t>
      </w:r>
    </w:p>
    <w:p w14:paraId="2EBE7037" w14:textId="77777777" w:rsidR="00D4295A" w:rsidRPr="00D61C9C" w:rsidRDefault="00D4295A" w:rsidP="001B2A5A">
      <w:pPr>
        <w:ind w:left="851"/>
        <w:rPr>
          <w:sz w:val="24"/>
          <w:szCs w:val="24"/>
        </w:rPr>
      </w:pPr>
      <w:r w:rsidRPr="00D61C9C">
        <w:rPr>
          <w:sz w:val="24"/>
          <w:szCs w:val="24"/>
        </w:rPr>
        <w:t>Ibuprofen absorberes hurtigt fra mave-tarm-kanalen med en biotilgængelighed på 80-90 %. Maksimal plasmakoncentration indtræffer en til to timer efter administration. Hvis ibuprofen administreres med mad, er maksimal plasmakoncentration lavere og indtræffer langsommere, end hvis midlet tages på tom mave. Mad har ingen signifikant indflydelse på total biotilgængelighed.</w:t>
      </w:r>
    </w:p>
    <w:p w14:paraId="5AE3B16A" w14:textId="77777777" w:rsidR="00D4295A" w:rsidRPr="00D61C9C" w:rsidRDefault="00D4295A" w:rsidP="001B2A5A">
      <w:pPr>
        <w:ind w:left="851"/>
        <w:rPr>
          <w:sz w:val="24"/>
          <w:szCs w:val="24"/>
        </w:rPr>
      </w:pPr>
    </w:p>
    <w:p w14:paraId="6C1A1BA1" w14:textId="77777777" w:rsidR="00D4295A" w:rsidRPr="00A1408F" w:rsidRDefault="00D4295A" w:rsidP="001B2A5A">
      <w:pPr>
        <w:ind w:left="851"/>
        <w:rPr>
          <w:sz w:val="24"/>
          <w:szCs w:val="24"/>
          <w:u w:val="single"/>
        </w:rPr>
      </w:pPr>
      <w:r w:rsidRPr="00A1408F">
        <w:rPr>
          <w:sz w:val="24"/>
          <w:szCs w:val="24"/>
          <w:u w:val="single"/>
        </w:rPr>
        <w:t>Fordeling</w:t>
      </w:r>
    </w:p>
    <w:p w14:paraId="40A2CD73" w14:textId="77777777" w:rsidR="00D4295A" w:rsidRPr="00D61C9C" w:rsidRDefault="00D4295A" w:rsidP="001B2A5A">
      <w:pPr>
        <w:ind w:left="851"/>
        <w:rPr>
          <w:sz w:val="24"/>
          <w:szCs w:val="24"/>
        </w:rPr>
      </w:pPr>
      <w:r w:rsidRPr="00D61C9C">
        <w:rPr>
          <w:sz w:val="24"/>
          <w:szCs w:val="24"/>
        </w:rPr>
        <w:t>Ibuprofen bindes i væsentlig grad til plasmaproteiner (99 %). Ibuprofen har et lavt fordelingsvolumen på ca. 0,12-0,2 l/kg hos voksne.</w:t>
      </w:r>
    </w:p>
    <w:bookmarkEnd w:id="8"/>
    <w:p w14:paraId="4F1A238E" w14:textId="77777777" w:rsidR="00D4295A" w:rsidRPr="00D61C9C" w:rsidRDefault="00D4295A" w:rsidP="001B2A5A">
      <w:pPr>
        <w:ind w:left="851"/>
        <w:rPr>
          <w:sz w:val="24"/>
          <w:szCs w:val="24"/>
        </w:rPr>
      </w:pPr>
    </w:p>
    <w:p w14:paraId="38D2D92D" w14:textId="77777777" w:rsidR="00D4295A" w:rsidRPr="00A1408F" w:rsidRDefault="00D4295A" w:rsidP="001B2A5A">
      <w:pPr>
        <w:ind w:left="851"/>
        <w:rPr>
          <w:sz w:val="24"/>
          <w:szCs w:val="24"/>
          <w:u w:val="single"/>
        </w:rPr>
      </w:pPr>
      <w:bookmarkStart w:id="9" w:name="_Hlk205818193"/>
      <w:r w:rsidRPr="00A1408F">
        <w:rPr>
          <w:sz w:val="24"/>
          <w:szCs w:val="24"/>
          <w:u w:val="single"/>
        </w:rPr>
        <w:t>Biotransformation</w:t>
      </w:r>
    </w:p>
    <w:p w14:paraId="063C165E" w14:textId="77777777" w:rsidR="00D4295A" w:rsidRPr="00D61C9C" w:rsidRDefault="00D4295A" w:rsidP="001B2A5A">
      <w:pPr>
        <w:ind w:left="851"/>
        <w:rPr>
          <w:sz w:val="24"/>
          <w:szCs w:val="24"/>
        </w:rPr>
      </w:pPr>
      <w:r w:rsidRPr="00D61C9C">
        <w:rPr>
          <w:sz w:val="24"/>
          <w:szCs w:val="24"/>
        </w:rPr>
        <w:t>Ibuprofen metaboliseres hurtigt i leveren via cytokrom P450, fortrinsvis CYP2C9, til to hovedsageligt inaktive metabolitter, 2-hydroxyibuprofen og 3-carboxyibuprofen. Efter oral indtagelse af lægemidlet, kan lige under 90 % af en oral dosis ibuprofen findes i urinen som oxidative metabolitter og deres glukuron-konjugater. En meget lille mængde ibuprofen udskilles uændret i urinen.</w:t>
      </w:r>
    </w:p>
    <w:p w14:paraId="17F34461" w14:textId="57A56188" w:rsidR="00D4295A" w:rsidRPr="00D61C9C" w:rsidRDefault="00D4295A" w:rsidP="001B2A5A">
      <w:pPr>
        <w:ind w:left="851"/>
        <w:rPr>
          <w:sz w:val="24"/>
          <w:szCs w:val="24"/>
        </w:rPr>
      </w:pPr>
    </w:p>
    <w:p w14:paraId="6A92FAFA" w14:textId="77777777" w:rsidR="00D4295A" w:rsidRPr="00A1408F" w:rsidRDefault="00D4295A" w:rsidP="001B2A5A">
      <w:pPr>
        <w:ind w:left="851"/>
        <w:rPr>
          <w:sz w:val="24"/>
          <w:szCs w:val="24"/>
          <w:u w:val="single"/>
        </w:rPr>
      </w:pPr>
      <w:r w:rsidRPr="00A1408F">
        <w:rPr>
          <w:sz w:val="24"/>
          <w:szCs w:val="24"/>
          <w:u w:val="single"/>
        </w:rPr>
        <w:t>Elimination</w:t>
      </w:r>
    </w:p>
    <w:p w14:paraId="2E225294" w14:textId="77777777" w:rsidR="00D4295A" w:rsidRPr="00D61C9C" w:rsidRDefault="00D4295A" w:rsidP="001B2A5A">
      <w:pPr>
        <w:ind w:left="851"/>
        <w:rPr>
          <w:sz w:val="24"/>
          <w:szCs w:val="24"/>
        </w:rPr>
      </w:pPr>
      <w:r w:rsidRPr="00D61C9C">
        <w:rPr>
          <w:sz w:val="24"/>
          <w:szCs w:val="24"/>
        </w:rPr>
        <w:t>Udskillelse via nyrerne er både hurtig og fuldstændig.  Elimineringshalveringstiden er ca. to timer. Udskillelse af ibuprofen er så godt som fuldstændig, 24 timer efter den sidste dosis.</w:t>
      </w:r>
    </w:p>
    <w:bookmarkEnd w:id="9"/>
    <w:p w14:paraId="6797B6A7" w14:textId="77777777" w:rsidR="00D4295A" w:rsidRPr="00D61C9C" w:rsidRDefault="00D4295A" w:rsidP="001B2A5A">
      <w:pPr>
        <w:ind w:left="851"/>
        <w:rPr>
          <w:sz w:val="24"/>
          <w:szCs w:val="24"/>
        </w:rPr>
      </w:pPr>
    </w:p>
    <w:p w14:paraId="4247009B" w14:textId="77777777" w:rsidR="00D4295A" w:rsidRPr="00A1408F" w:rsidRDefault="00D4295A" w:rsidP="001B2A5A">
      <w:pPr>
        <w:ind w:left="851"/>
        <w:rPr>
          <w:sz w:val="24"/>
          <w:szCs w:val="24"/>
          <w:u w:val="single"/>
        </w:rPr>
      </w:pPr>
      <w:r w:rsidRPr="00A1408F">
        <w:rPr>
          <w:sz w:val="24"/>
          <w:szCs w:val="24"/>
          <w:u w:val="single"/>
        </w:rPr>
        <w:t>Særlige populationer</w:t>
      </w:r>
    </w:p>
    <w:p w14:paraId="38EF0F47" w14:textId="77777777" w:rsidR="00D4295A" w:rsidRPr="00D61C9C" w:rsidRDefault="00D4295A" w:rsidP="001B2A5A">
      <w:pPr>
        <w:ind w:left="851"/>
        <w:rPr>
          <w:sz w:val="24"/>
          <w:szCs w:val="24"/>
        </w:rPr>
      </w:pPr>
    </w:p>
    <w:p w14:paraId="4629EFE2" w14:textId="77777777" w:rsidR="00D4295A" w:rsidRPr="00D61C9C" w:rsidRDefault="00D4295A" w:rsidP="001B2A5A">
      <w:pPr>
        <w:ind w:left="851"/>
        <w:rPr>
          <w:i/>
          <w:iCs/>
          <w:sz w:val="24"/>
          <w:szCs w:val="24"/>
        </w:rPr>
      </w:pPr>
      <w:r w:rsidRPr="00D61C9C">
        <w:rPr>
          <w:i/>
          <w:iCs/>
          <w:sz w:val="24"/>
          <w:szCs w:val="24"/>
        </w:rPr>
        <w:t>Ældre</w:t>
      </w:r>
    </w:p>
    <w:p w14:paraId="51E489D1" w14:textId="77777777" w:rsidR="00D4295A" w:rsidRPr="00D61C9C" w:rsidRDefault="00D4295A" w:rsidP="001B2A5A">
      <w:pPr>
        <w:ind w:left="851"/>
        <w:rPr>
          <w:sz w:val="24"/>
          <w:szCs w:val="24"/>
        </w:rPr>
      </w:pPr>
      <w:r w:rsidRPr="00D61C9C">
        <w:rPr>
          <w:sz w:val="24"/>
          <w:szCs w:val="24"/>
        </w:rPr>
        <w:t>Hvis der ikke er nedsat nyrefunktion, er der kun en lille, klinisk ubetydelig forskel på den farmakokinetiske profil og urinudskillelse mellem unge og ældre.</w:t>
      </w:r>
    </w:p>
    <w:p w14:paraId="45885CBD" w14:textId="77777777" w:rsidR="00D4295A" w:rsidRPr="00D61C9C" w:rsidRDefault="00D4295A" w:rsidP="001B2A5A">
      <w:pPr>
        <w:ind w:left="851"/>
        <w:rPr>
          <w:sz w:val="24"/>
          <w:szCs w:val="24"/>
        </w:rPr>
      </w:pPr>
    </w:p>
    <w:p w14:paraId="1B5A8745" w14:textId="77777777" w:rsidR="00D4295A" w:rsidRPr="00D61C9C" w:rsidRDefault="00D4295A" w:rsidP="001B2A5A">
      <w:pPr>
        <w:ind w:left="851"/>
        <w:rPr>
          <w:i/>
          <w:iCs/>
          <w:sz w:val="24"/>
          <w:szCs w:val="24"/>
        </w:rPr>
      </w:pPr>
      <w:r w:rsidRPr="00D61C9C">
        <w:rPr>
          <w:i/>
          <w:iCs/>
          <w:sz w:val="24"/>
          <w:szCs w:val="24"/>
        </w:rPr>
        <w:t xml:space="preserve">Nedsat nyrefunktion </w:t>
      </w:r>
    </w:p>
    <w:p w14:paraId="7B0415EA" w14:textId="77777777" w:rsidR="00D4295A" w:rsidRPr="00D61C9C" w:rsidRDefault="00D4295A" w:rsidP="001B2A5A">
      <w:pPr>
        <w:ind w:left="851"/>
        <w:rPr>
          <w:sz w:val="24"/>
          <w:szCs w:val="24"/>
        </w:rPr>
      </w:pPr>
      <w:r w:rsidRPr="00D61C9C">
        <w:rPr>
          <w:sz w:val="24"/>
          <w:szCs w:val="24"/>
        </w:rPr>
        <w:t xml:space="preserve">For patienter med mild nedsat nyrefunktion er der rapporteret om øgede ratios for ubunden (S)-ibuprofen, højere AUC-værdier for (S)-ibuprofen og øget enantiomerisk AUC (S/R) sammenlignet med raske frivillige. Hos patienter i slutstadiet af nyresygdom, som var i dialyse, var ibuprofens gennemsnitlige frie fraktion ca. 3 % sammenlignet med ca. 1 % hos raske frivillige. </w:t>
      </w:r>
    </w:p>
    <w:p w14:paraId="66C9A685" w14:textId="77777777" w:rsidR="00D4295A" w:rsidRPr="00D61C9C" w:rsidRDefault="00D4295A" w:rsidP="001B2A5A">
      <w:pPr>
        <w:ind w:left="851"/>
        <w:rPr>
          <w:sz w:val="24"/>
          <w:szCs w:val="24"/>
        </w:rPr>
      </w:pPr>
      <w:r w:rsidRPr="00D61C9C">
        <w:rPr>
          <w:sz w:val="24"/>
          <w:szCs w:val="24"/>
        </w:rPr>
        <w:t>Alvorlig nedsat nyrefunktion kan resultere i akkumulering af ibuprofen-metabolitter. Signifikansen af denne effekt er ukendt. Metabolitterne kan fjernes i hæmodialyse (se pkt. 4.2, 4.3 og 4.4).</w:t>
      </w:r>
    </w:p>
    <w:p w14:paraId="61062789" w14:textId="77777777" w:rsidR="00D4295A" w:rsidRPr="00D61C9C" w:rsidRDefault="00D4295A" w:rsidP="001B2A5A">
      <w:pPr>
        <w:ind w:left="851"/>
        <w:rPr>
          <w:sz w:val="24"/>
          <w:szCs w:val="24"/>
        </w:rPr>
      </w:pPr>
    </w:p>
    <w:p w14:paraId="4427B033" w14:textId="77777777" w:rsidR="00D4295A" w:rsidRPr="00D61C9C" w:rsidRDefault="00D4295A" w:rsidP="001B2A5A">
      <w:pPr>
        <w:ind w:left="851"/>
        <w:rPr>
          <w:i/>
          <w:iCs/>
          <w:sz w:val="24"/>
          <w:szCs w:val="24"/>
        </w:rPr>
      </w:pPr>
      <w:r w:rsidRPr="00D61C9C">
        <w:rPr>
          <w:i/>
          <w:iCs/>
          <w:sz w:val="24"/>
          <w:szCs w:val="24"/>
        </w:rPr>
        <w:t xml:space="preserve">Nedsat leverfunktion </w:t>
      </w:r>
    </w:p>
    <w:p w14:paraId="419F70EA" w14:textId="77777777" w:rsidR="00D4295A" w:rsidRPr="00D61C9C" w:rsidRDefault="00D4295A" w:rsidP="001B2A5A">
      <w:pPr>
        <w:ind w:left="851"/>
        <w:rPr>
          <w:sz w:val="24"/>
          <w:szCs w:val="24"/>
        </w:rPr>
      </w:pPr>
      <w:r w:rsidRPr="00D61C9C">
        <w:rPr>
          <w:sz w:val="24"/>
          <w:szCs w:val="24"/>
        </w:rPr>
        <w:t xml:space="preserve">Alkoholisk leversygdom med mild til moderat nedsat leverfunktion resulterede ikke i væsentligt ændrede farmakokinetiske parametre. </w:t>
      </w:r>
    </w:p>
    <w:p w14:paraId="1CBB996D" w14:textId="77777777" w:rsidR="00D4295A" w:rsidRPr="00D61C9C" w:rsidRDefault="00D4295A" w:rsidP="001B2A5A">
      <w:pPr>
        <w:ind w:left="851"/>
        <w:rPr>
          <w:sz w:val="24"/>
          <w:szCs w:val="24"/>
        </w:rPr>
      </w:pPr>
      <w:r w:rsidRPr="00D61C9C">
        <w:rPr>
          <w:sz w:val="24"/>
          <w:szCs w:val="24"/>
        </w:rPr>
        <w:t>Hos patienter med cirrose med moderat nedsat leverfunktion (Child Pugh score 6-10), der blev behandlet med racemisk ibuprofen, blev en gennemsnitlig fordobling af halveringstiden observeret, og den enatiomerisk AUC-ratio (S/R) var signifikant lavere sammenlignet med raske kontrolpersoner, hvilket antyder at en nedsættelse af metabolisk inversion af (R)-ibuprofen til den aktive (S)-enatiomer finder sted (se pkt. 4.2, 4.3 og 4.4).</w:t>
      </w:r>
    </w:p>
    <w:p w14:paraId="2FD2259E" w14:textId="77777777" w:rsidR="009260DE" w:rsidRPr="00D61C9C" w:rsidRDefault="009260DE" w:rsidP="009260DE">
      <w:pPr>
        <w:tabs>
          <w:tab w:val="left" w:pos="851"/>
        </w:tabs>
        <w:ind w:left="851"/>
        <w:rPr>
          <w:sz w:val="24"/>
          <w:szCs w:val="24"/>
        </w:rPr>
      </w:pPr>
    </w:p>
    <w:p w14:paraId="2BF9FDA2" w14:textId="77777777" w:rsidR="009260DE" w:rsidRPr="00D61C9C" w:rsidRDefault="009260DE" w:rsidP="009260DE">
      <w:pPr>
        <w:tabs>
          <w:tab w:val="left" w:pos="851"/>
        </w:tabs>
        <w:ind w:left="851" w:hanging="851"/>
        <w:rPr>
          <w:b/>
          <w:sz w:val="24"/>
          <w:szCs w:val="24"/>
        </w:rPr>
      </w:pPr>
      <w:r w:rsidRPr="00D61C9C">
        <w:rPr>
          <w:b/>
          <w:sz w:val="24"/>
          <w:szCs w:val="24"/>
        </w:rPr>
        <w:t>5.3</w:t>
      </w:r>
      <w:r w:rsidRPr="00D61C9C">
        <w:rPr>
          <w:b/>
          <w:sz w:val="24"/>
          <w:szCs w:val="24"/>
        </w:rPr>
        <w:tab/>
      </w:r>
      <w:r w:rsidR="00BD7931" w:rsidRPr="00D61C9C">
        <w:rPr>
          <w:b/>
          <w:sz w:val="24"/>
          <w:szCs w:val="24"/>
        </w:rPr>
        <w:t>Non-</w:t>
      </w:r>
      <w:r w:rsidRPr="00D61C9C">
        <w:rPr>
          <w:b/>
          <w:sz w:val="24"/>
          <w:szCs w:val="24"/>
        </w:rPr>
        <w:t>kliniske sikkerhedsdata</w:t>
      </w:r>
    </w:p>
    <w:p w14:paraId="039F789D" w14:textId="77777777" w:rsidR="00D4295A" w:rsidRPr="00D61C9C" w:rsidRDefault="00D4295A" w:rsidP="001B2A5A">
      <w:pPr>
        <w:ind w:left="851"/>
        <w:rPr>
          <w:sz w:val="24"/>
          <w:szCs w:val="24"/>
        </w:rPr>
      </w:pPr>
      <w:r w:rsidRPr="00D61C9C">
        <w:rPr>
          <w:sz w:val="24"/>
          <w:szCs w:val="24"/>
        </w:rPr>
        <w:t>Den subkroniske og kroniske toksicitet af ibuprofen i dyrestudier blev hovedsageligt observeret som læsioner og ulcerationer i mave-tarm-kanalen.</w:t>
      </w:r>
    </w:p>
    <w:p w14:paraId="17E2D9C8" w14:textId="77777777" w:rsidR="00D4295A" w:rsidRPr="00D61C9C" w:rsidRDefault="00D4295A" w:rsidP="001B2A5A">
      <w:pPr>
        <w:ind w:left="851"/>
        <w:rPr>
          <w:sz w:val="24"/>
          <w:szCs w:val="24"/>
        </w:rPr>
      </w:pPr>
      <w:r w:rsidRPr="00D61C9C">
        <w:rPr>
          <w:sz w:val="24"/>
          <w:szCs w:val="24"/>
        </w:rPr>
        <w:t>In vitro og in vivo-studier gav ingen klinisk relevant evidens for ibuprofens mutagene potentiale. I studier med rotter og mus blev der ikke fundet tegn på karcinogene påvirkninger fra ibuprofen.</w:t>
      </w:r>
    </w:p>
    <w:p w14:paraId="74C990B7" w14:textId="77777777" w:rsidR="00D4295A" w:rsidRPr="00D61C9C" w:rsidRDefault="00D4295A" w:rsidP="001B2A5A">
      <w:pPr>
        <w:ind w:left="851"/>
        <w:rPr>
          <w:sz w:val="24"/>
          <w:szCs w:val="24"/>
        </w:rPr>
      </w:pPr>
      <w:r w:rsidRPr="00D61C9C">
        <w:rPr>
          <w:sz w:val="24"/>
          <w:szCs w:val="24"/>
        </w:rPr>
        <w:t>Ibuprofen førte til hæmning af ægløsning hos kaniner samt forstyrrelse af implantation hos forskellige dyrearter (kanin, rotte, mus). Eksperimentelle studier på rotter og kaniner har vist, at ibuprofen krydser placenta. Efter administration af maternotoksiske doser blev der observeret en øget forekomst af misdannelser (ventrikelseptumdefekter) hos afkommet hos rotter.</w:t>
      </w:r>
    </w:p>
    <w:p w14:paraId="73C1AC1F" w14:textId="77777777" w:rsidR="00D4295A" w:rsidRPr="00D61C9C" w:rsidRDefault="00D4295A" w:rsidP="001B2A5A">
      <w:pPr>
        <w:ind w:left="851"/>
        <w:rPr>
          <w:sz w:val="24"/>
          <w:szCs w:val="24"/>
        </w:rPr>
      </w:pPr>
    </w:p>
    <w:p w14:paraId="67F513FA" w14:textId="77777777" w:rsidR="00D4295A" w:rsidRPr="00D61C9C" w:rsidRDefault="00D4295A" w:rsidP="001B2A5A">
      <w:pPr>
        <w:ind w:left="851"/>
        <w:rPr>
          <w:sz w:val="24"/>
          <w:szCs w:val="24"/>
        </w:rPr>
      </w:pPr>
      <w:r w:rsidRPr="00D61C9C">
        <w:rPr>
          <w:sz w:val="24"/>
          <w:szCs w:val="24"/>
        </w:rPr>
        <w:t>Ibuprofen kan udgøre en risiko for vandmiljøet (se pkt. 6.6).</w:t>
      </w:r>
    </w:p>
    <w:p w14:paraId="53AE45E5" w14:textId="77777777" w:rsidR="009260DE" w:rsidRPr="00D61C9C" w:rsidRDefault="009260DE" w:rsidP="009260DE">
      <w:pPr>
        <w:tabs>
          <w:tab w:val="left" w:pos="851"/>
        </w:tabs>
        <w:ind w:left="851"/>
        <w:rPr>
          <w:sz w:val="24"/>
          <w:szCs w:val="24"/>
        </w:rPr>
      </w:pPr>
    </w:p>
    <w:p w14:paraId="5FBC4B64" w14:textId="77777777" w:rsidR="009260DE" w:rsidRPr="00D61C9C" w:rsidRDefault="009260DE" w:rsidP="009260DE">
      <w:pPr>
        <w:tabs>
          <w:tab w:val="left" w:pos="851"/>
        </w:tabs>
        <w:ind w:left="851"/>
        <w:rPr>
          <w:sz w:val="24"/>
          <w:szCs w:val="24"/>
        </w:rPr>
      </w:pPr>
    </w:p>
    <w:p w14:paraId="55A51611" w14:textId="77777777" w:rsidR="009260DE" w:rsidRPr="00D61C9C" w:rsidRDefault="009260DE" w:rsidP="009260DE">
      <w:pPr>
        <w:tabs>
          <w:tab w:val="left" w:pos="851"/>
        </w:tabs>
        <w:ind w:left="851" w:hanging="851"/>
        <w:rPr>
          <w:b/>
          <w:sz w:val="24"/>
          <w:szCs w:val="24"/>
        </w:rPr>
      </w:pPr>
      <w:r w:rsidRPr="00D61C9C">
        <w:rPr>
          <w:b/>
          <w:sz w:val="24"/>
          <w:szCs w:val="24"/>
        </w:rPr>
        <w:t>6.</w:t>
      </w:r>
      <w:r w:rsidRPr="00D61C9C">
        <w:rPr>
          <w:b/>
          <w:sz w:val="24"/>
          <w:szCs w:val="24"/>
        </w:rPr>
        <w:tab/>
        <w:t>FARMACEUTISKE OPLYSNINGER</w:t>
      </w:r>
    </w:p>
    <w:p w14:paraId="394C62BE" w14:textId="77777777" w:rsidR="009260DE" w:rsidRPr="00D61C9C" w:rsidRDefault="009260DE" w:rsidP="009260DE">
      <w:pPr>
        <w:tabs>
          <w:tab w:val="left" w:pos="851"/>
        </w:tabs>
        <w:ind w:left="851"/>
        <w:rPr>
          <w:sz w:val="24"/>
          <w:szCs w:val="24"/>
        </w:rPr>
      </w:pPr>
    </w:p>
    <w:p w14:paraId="4274E153" w14:textId="77777777" w:rsidR="009260DE" w:rsidRPr="00D61C9C" w:rsidRDefault="009260DE" w:rsidP="009260DE">
      <w:pPr>
        <w:tabs>
          <w:tab w:val="left" w:pos="851"/>
        </w:tabs>
        <w:ind w:left="851" w:hanging="851"/>
        <w:rPr>
          <w:b/>
          <w:sz w:val="24"/>
          <w:szCs w:val="24"/>
        </w:rPr>
      </w:pPr>
      <w:r w:rsidRPr="00D61C9C">
        <w:rPr>
          <w:b/>
          <w:sz w:val="24"/>
          <w:szCs w:val="24"/>
        </w:rPr>
        <w:t>6.1</w:t>
      </w:r>
      <w:r w:rsidRPr="00D61C9C">
        <w:rPr>
          <w:b/>
          <w:sz w:val="24"/>
          <w:szCs w:val="24"/>
        </w:rPr>
        <w:tab/>
        <w:t>Hjælpestoffer</w:t>
      </w:r>
    </w:p>
    <w:p w14:paraId="2E2CF161" w14:textId="77777777" w:rsidR="00A1408F" w:rsidRDefault="00A1408F" w:rsidP="001B2A5A">
      <w:pPr>
        <w:ind w:left="851"/>
        <w:rPr>
          <w:sz w:val="24"/>
          <w:szCs w:val="24"/>
        </w:rPr>
      </w:pPr>
    </w:p>
    <w:p w14:paraId="63D9DB11" w14:textId="7E9B7D90" w:rsidR="00D4295A" w:rsidRPr="00A1408F" w:rsidRDefault="00D4295A" w:rsidP="001B2A5A">
      <w:pPr>
        <w:ind w:left="851"/>
        <w:rPr>
          <w:sz w:val="24"/>
          <w:szCs w:val="24"/>
          <w:u w:val="single"/>
        </w:rPr>
      </w:pPr>
      <w:r w:rsidRPr="00A1408F">
        <w:rPr>
          <w:sz w:val="24"/>
          <w:szCs w:val="24"/>
          <w:u w:val="single"/>
        </w:rPr>
        <w:t>Tabletkerne</w:t>
      </w:r>
    </w:p>
    <w:p w14:paraId="37B5FAC9" w14:textId="77777777" w:rsidR="00D4295A" w:rsidRPr="00D61C9C" w:rsidRDefault="00D4295A" w:rsidP="001B2A5A">
      <w:pPr>
        <w:ind w:left="851"/>
        <w:rPr>
          <w:sz w:val="24"/>
          <w:szCs w:val="24"/>
        </w:rPr>
      </w:pPr>
      <w:r w:rsidRPr="00D61C9C">
        <w:rPr>
          <w:sz w:val="24"/>
          <w:szCs w:val="24"/>
        </w:rPr>
        <w:t>Vandfri kolloid silica</w:t>
      </w:r>
    </w:p>
    <w:p w14:paraId="72E4D0E0" w14:textId="77777777" w:rsidR="0032519C" w:rsidRDefault="00D4295A" w:rsidP="001B2A5A">
      <w:pPr>
        <w:ind w:left="851"/>
        <w:rPr>
          <w:sz w:val="24"/>
          <w:szCs w:val="24"/>
          <w:lang w:val="en-US"/>
        </w:rPr>
      </w:pPr>
      <w:r w:rsidRPr="00D61C9C">
        <w:rPr>
          <w:sz w:val="24"/>
          <w:szCs w:val="24"/>
          <w:lang w:val="en-US"/>
        </w:rPr>
        <w:t xml:space="preserve">Cellulose, mikrokrystallinsk </w:t>
      </w:r>
    </w:p>
    <w:p w14:paraId="5B62C22A" w14:textId="5783B5DD" w:rsidR="00D4295A" w:rsidRPr="00D61C9C" w:rsidRDefault="00D4295A" w:rsidP="001B2A5A">
      <w:pPr>
        <w:ind w:left="851"/>
        <w:rPr>
          <w:sz w:val="24"/>
          <w:szCs w:val="24"/>
          <w:lang w:val="en-US"/>
        </w:rPr>
      </w:pPr>
      <w:r w:rsidRPr="00D61C9C">
        <w:rPr>
          <w:sz w:val="24"/>
          <w:szCs w:val="24"/>
          <w:lang w:val="en-US"/>
        </w:rPr>
        <w:t xml:space="preserve">Lactosemonohydrat </w:t>
      </w:r>
    </w:p>
    <w:p w14:paraId="76BFBA98" w14:textId="77777777" w:rsidR="00D4295A" w:rsidRPr="00D61C9C" w:rsidRDefault="00D4295A" w:rsidP="001B2A5A">
      <w:pPr>
        <w:ind w:left="851"/>
        <w:rPr>
          <w:sz w:val="24"/>
          <w:szCs w:val="24"/>
          <w:lang w:val="en-US"/>
        </w:rPr>
      </w:pPr>
      <w:r w:rsidRPr="00D61C9C">
        <w:rPr>
          <w:sz w:val="24"/>
          <w:szCs w:val="24"/>
          <w:lang w:val="en-US"/>
        </w:rPr>
        <w:t xml:space="preserve">Croscarmellosenatrium </w:t>
      </w:r>
    </w:p>
    <w:p w14:paraId="3466444B" w14:textId="77777777" w:rsidR="00D4295A" w:rsidRPr="00D61C9C" w:rsidRDefault="00D4295A" w:rsidP="001B2A5A">
      <w:pPr>
        <w:ind w:left="851"/>
        <w:rPr>
          <w:sz w:val="24"/>
          <w:szCs w:val="24"/>
          <w:lang w:val="en-US"/>
        </w:rPr>
      </w:pPr>
      <w:r w:rsidRPr="00D61C9C">
        <w:rPr>
          <w:sz w:val="24"/>
          <w:szCs w:val="24"/>
          <w:lang w:val="en-US"/>
        </w:rPr>
        <w:t>Natriumlaurilsulfat</w:t>
      </w:r>
    </w:p>
    <w:p w14:paraId="5256BA73" w14:textId="77777777" w:rsidR="00D4295A" w:rsidRPr="00D61C9C" w:rsidRDefault="00D4295A" w:rsidP="001B2A5A">
      <w:pPr>
        <w:ind w:left="851"/>
        <w:rPr>
          <w:sz w:val="24"/>
          <w:szCs w:val="24"/>
          <w:lang w:val="en-US"/>
        </w:rPr>
      </w:pPr>
      <w:r w:rsidRPr="00D61C9C">
        <w:rPr>
          <w:sz w:val="24"/>
          <w:szCs w:val="24"/>
          <w:lang w:val="en-US"/>
        </w:rPr>
        <w:t>Magnesiumstearat</w:t>
      </w:r>
    </w:p>
    <w:p w14:paraId="643BB95F" w14:textId="77777777" w:rsidR="00D4295A" w:rsidRPr="00D61C9C" w:rsidRDefault="00D4295A" w:rsidP="001B2A5A">
      <w:pPr>
        <w:ind w:left="851"/>
        <w:rPr>
          <w:sz w:val="24"/>
          <w:szCs w:val="24"/>
          <w:lang w:val="en-US"/>
        </w:rPr>
      </w:pPr>
    </w:p>
    <w:p w14:paraId="62436B6B" w14:textId="77777777" w:rsidR="00D4295A" w:rsidRPr="00A1408F" w:rsidRDefault="00D4295A" w:rsidP="001B2A5A">
      <w:pPr>
        <w:ind w:left="851"/>
        <w:rPr>
          <w:sz w:val="24"/>
          <w:szCs w:val="24"/>
          <w:u w:val="single"/>
        </w:rPr>
      </w:pPr>
      <w:r w:rsidRPr="00A1408F">
        <w:rPr>
          <w:sz w:val="24"/>
          <w:szCs w:val="24"/>
          <w:u w:val="single"/>
        </w:rPr>
        <w:t>Filmovertræk</w:t>
      </w:r>
    </w:p>
    <w:p w14:paraId="4F7CD604" w14:textId="77777777" w:rsidR="00D4295A" w:rsidRPr="00D61C9C" w:rsidRDefault="00D4295A" w:rsidP="001B2A5A">
      <w:pPr>
        <w:ind w:left="851"/>
        <w:rPr>
          <w:sz w:val="24"/>
          <w:szCs w:val="24"/>
        </w:rPr>
      </w:pPr>
      <w:r w:rsidRPr="00D61C9C">
        <w:rPr>
          <w:sz w:val="24"/>
          <w:szCs w:val="24"/>
        </w:rPr>
        <w:t>Hypromellose</w:t>
      </w:r>
    </w:p>
    <w:p w14:paraId="032B31BF" w14:textId="77777777" w:rsidR="00D4295A" w:rsidRPr="00D61C9C" w:rsidRDefault="00D4295A" w:rsidP="001B2A5A">
      <w:pPr>
        <w:ind w:left="851"/>
        <w:rPr>
          <w:sz w:val="24"/>
          <w:szCs w:val="24"/>
        </w:rPr>
      </w:pPr>
      <w:r w:rsidRPr="00D61C9C">
        <w:rPr>
          <w:sz w:val="24"/>
          <w:szCs w:val="24"/>
        </w:rPr>
        <w:t>Talcum</w:t>
      </w:r>
    </w:p>
    <w:p w14:paraId="0A08FC3C" w14:textId="77777777" w:rsidR="009260DE" w:rsidRPr="00D61C9C" w:rsidRDefault="009260DE" w:rsidP="009260DE">
      <w:pPr>
        <w:tabs>
          <w:tab w:val="left" w:pos="851"/>
        </w:tabs>
        <w:ind w:left="851"/>
        <w:rPr>
          <w:sz w:val="24"/>
          <w:szCs w:val="24"/>
        </w:rPr>
      </w:pPr>
    </w:p>
    <w:p w14:paraId="15C144B2" w14:textId="77777777" w:rsidR="009260DE" w:rsidRPr="00D61C9C" w:rsidRDefault="009260DE" w:rsidP="009260DE">
      <w:pPr>
        <w:tabs>
          <w:tab w:val="left" w:pos="851"/>
        </w:tabs>
        <w:ind w:left="851" w:hanging="851"/>
        <w:rPr>
          <w:b/>
          <w:sz w:val="24"/>
          <w:szCs w:val="24"/>
        </w:rPr>
      </w:pPr>
      <w:r w:rsidRPr="00D61C9C">
        <w:rPr>
          <w:b/>
          <w:sz w:val="24"/>
          <w:szCs w:val="24"/>
        </w:rPr>
        <w:t>6.2</w:t>
      </w:r>
      <w:r w:rsidRPr="00D61C9C">
        <w:rPr>
          <w:b/>
          <w:sz w:val="24"/>
          <w:szCs w:val="24"/>
        </w:rPr>
        <w:tab/>
        <w:t>Uforligeligheder</w:t>
      </w:r>
    </w:p>
    <w:p w14:paraId="47C9894D" w14:textId="77777777" w:rsidR="00D4295A" w:rsidRPr="00D61C9C" w:rsidRDefault="00D4295A" w:rsidP="001B2A5A">
      <w:pPr>
        <w:ind w:left="851"/>
        <w:rPr>
          <w:sz w:val="24"/>
          <w:szCs w:val="24"/>
        </w:rPr>
      </w:pPr>
      <w:r w:rsidRPr="00D61C9C">
        <w:rPr>
          <w:sz w:val="24"/>
          <w:szCs w:val="24"/>
        </w:rPr>
        <w:t>Ikke relevant.</w:t>
      </w:r>
    </w:p>
    <w:p w14:paraId="4F3F4A03" w14:textId="77777777" w:rsidR="009260DE" w:rsidRPr="00D61C9C" w:rsidRDefault="009260DE" w:rsidP="009260DE">
      <w:pPr>
        <w:tabs>
          <w:tab w:val="left" w:pos="851"/>
        </w:tabs>
        <w:ind w:left="851"/>
        <w:rPr>
          <w:sz w:val="24"/>
          <w:szCs w:val="24"/>
        </w:rPr>
      </w:pPr>
    </w:p>
    <w:p w14:paraId="4A07220A" w14:textId="77777777" w:rsidR="009260DE" w:rsidRPr="00D61C9C" w:rsidRDefault="009260DE" w:rsidP="009260DE">
      <w:pPr>
        <w:tabs>
          <w:tab w:val="left" w:pos="851"/>
        </w:tabs>
        <w:ind w:left="851" w:hanging="851"/>
        <w:rPr>
          <w:b/>
          <w:sz w:val="24"/>
          <w:szCs w:val="24"/>
        </w:rPr>
      </w:pPr>
      <w:r w:rsidRPr="00D61C9C">
        <w:rPr>
          <w:b/>
          <w:sz w:val="24"/>
          <w:szCs w:val="24"/>
        </w:rPr>
        <w:t>6.3</w:t>
      </w:r>
      <w:r w:rsidRPr="00D61C9C">
        <w:rPr>
          <w:b/>
          <w:sz w:val="24"/>
          <w:szCs w:val="24"/>
        </w:rPr>
        <w:tab/>
        <w:t>Opbevaringstid</w:t>
      </w:r>
    </w:p>
    <w:p w14:paraId="2AF21540" w14:textId="77777777" w:rsidR="00D4295A" w:rsidRPr="00D61C9C" w:rsidRDefault="00D4295A" w:rsidP="00D4295A">
      <w:pPr>
        <w:tabs>
          <w:tab w:val="left" w:pos="851"/>
        </w:tabs>
        <w:ind w:left="851"/>
        <w:rPr>
          <w:sz w:val="24"/>
          <w:szCs w:val="24"/>
        </w:rPr>
      </w:pPr>
      <w:r w:rsidRPr="00D61C9C">
        <w:rPr>
          <w:sz w:val="24"/>
          <w:szCs w:val="24"/>
        </w:rPr>
        <w:t>36 måneder</w:t>
      </w:r>
    </w:p>
    <w:p w14:paraId="5560F68C" w14:textId="77777777" w:rsidR="009260DE" w:rsidRPr="00D61C9C" w:rsidRDefault="009260DE" w:rsidP="009260DE">
      <w:pPr>
        <w:tabs>
          <w:tab w:val="left" w:pos="851"/>
        </w:tabs>
        <w:ind w:left="851"/>
        <w:rPr>
          <w:sz w:val="24"/>
          <w:szCs w:val="24"/>
        </w:rPr>
      </w:pPr>
    </w:p>
    <w:p w14:paraId="03DF3360" w14:textId="77777777" w:rsidR="009260DE" w:rsidRPr="00D61C9C" w:rsidRDefault="009260DE" w:rsidP="009260DE">
      <w:pPr>
        <w:tabs>
          <w:tab w:val="left" w:pos="851"/>
        </w:tabs>
        <w:ind w:left="851" w:hanging="851"/>
        <w:rPr>
          <w:b/>
          <w:sz w:val="24"/>
          <w:szCs w:val="24"/>
        </w:rPr>
      </w:pPr>
      <w:r w:rsidRPr="00D61C9C">
        <w:rPr>
          <w:b/>
          <w:sz w:val="24"/>
          <w:szCs w:val="24"/>
        </w:rPr>
        <w:t>6.4</w:t>
      </w:r>
      <w:r w:rsidRPr="00D61C9C">
        <w:rPr>
          <w:b/>
          <w:sz w:val="24"/>
          <w:szCs w:val="24"/>
        </w:rPr>
        <w:tab/>
        <w:t>Særlige opbevaringsforhold</w:t>
      </w:r>
    </w:p>
    <w:p w14:paraId="15AD0E77" w14:textId="77777777" w:rsidR="00D4295A" w:rsidRPr="00D61C9C" w:rsidRDefault="00D4295A" w:rsidP="001B2A5A">
      <w:pPr>
        <w:ind w:left="851"/>
        <w:rPr>
          <w:sz w:val="24"/>
          <w:szCs w:val="24"/>
        </w:rPr>
      </w:pPr>
      <w:r w:rsidRPr="00D61C9C">
        <w:rPr>
          <w:sz w:val="24"/>
          <w:szCs w:val="24"/>
        </w:rPr>
        <w:t>Dette lægemiddel kræver ingen særlige forholdsregler vedrørende opbevaringen.</w:t>
      </w:r>
    </w:p>
    <w:p w14:paraId="5B883B6E" w14:textId="77777777" w:rsidR="009260DE" w:rsidRPr="00D61C9C" w:rsidRDefault="009260DE" w:rsidP="009260DE">
      <w:pPr>
        <w:tabs>
          <w:tab w:val="left" w:pos="851"/>
        </w:tabs>
        <w:ind w:left="851"/>
        <w:rPr>
          <w:sz w:val="24"/>
          <w:szCs w:val="24"/>
        </w:rPr>
      </w:pPr>
    </w:p>
    <w:p w14:paraId="145CE2ED" w14:textId="77777777" w:rsidR="009260DE" w:rsidRPr="00D61C9C" w:rsidRDefault="009260DE" w:rsidP="009260DE">
      <w:pPr>
        <w:tabs>
          <w:tab w:val="left" w:pos="851"/>
        </w:tabs>
        <w:ind w:left="851" w:hanging="851"/>
        <w:rPr>
          <w:b/>
          <w:sz w:val="24"/>
          <w:szCs w:val="24"/>
        </w:rPr>
      </w:pPr>
      <w:r w:rsidRPr="00D61C9C">
        <w:rPr>
          <w:b/>
          <w:sz w:val="24"/>
          <w:szCs w:val="24"/>
        </w:rPr>
        <w:t>6.5</w:t>
      </w:r>
      <w:r w:rsidRPr="00D61C9C">
        <w:rPr>
          <w:b/>
          <w:sz w:val="24"/>
          <w:szCs w:val="24"/>
        </w:rPr>
        <w:tab/>
        <w:t>Emballagetype og pakningsstørrelser</w:t>
      </w:r>
    </w:p>
    <w:p w14:paraId="36BA7894" w14:textId="77777777" w:rsidR="00D4295A" w:rsidRPr="00D61C9C" w:rsidRDefault="00D4295A" w:rsidP="001B2A5A">
      <w:pPr>
        <w:ind w:left="851"/>
        <w:rPr>
          <w:sz w:val="24"/>
          <w:szCs w:val="24"/>
        </w:rPr>
      </w:pPr>
      <w:r w:rsidRPr="00D61C9C">
        <w:rPr>
          <w:sz w:val="24"/>
          <w:szCs w:val="24"/>
        </w:rPr>
        <w:t xml:space="preserve">Blisterpakning bestående af transparent PVC/Alufolie, indsat i en yderkarton, indeholdende: 12, 14, 15, 16, 20, 24, 28, 30, 48, eller 50 filmovertrukne tabletter. </w:t>
      </w:r>
    </w:p>
    <w:p w14:paraId="2AB0A97F" w14:textId="77777777" w:rsidR="00D4295A" w:rsidRPr="00D61C9C" w:rsidRDefault="00D4295A" w:rsidP="001B2A5A">
      <w:pPr>
        <w:ind w:left="851"/>
        <w:rPr>
          <w:sz w:val="24"/>
          <w:szCs w:val="24"/>
        </w:rPr>
      </w:pPr>
    </w:p>
    <w:p w14:paraId="56633DE9" w14:textId="77777777" w:rsidR="00D4295A" w:rsidRPr="00D61C9C" w:rsidRDefault="00D4295A" w:rsidP="001B2A5A">
      <w:pPr>
        <w:ind w:left="851"/>
        <w:rPr>
          <w:sz w:val="24"/>
          <w:szCs w:val="24"/>
        </w:rPr>
      </w:pPr>
      <w:r w:rsidRPr="00D61C9C">
        <w:rPr>
          <w:sz w:val="24"/>
          <w:szCs w:val="24"/>
        </w:rPr>
        <w:t>Ikke alle pakningsstørrelser er nødvendigvis markedsført.</w:t>
      </w:r>
    </w:p>
    <w:p w14:paraId="507BB2E0" w14:textId="4F2E094D" w:rsidR="0032519C" w:rsidRDefault="0032519C">
      <w:pPr>
        <w:rPr>
          <w:sz w:val="24"/>
          <w:szCs w:val="24"/>
        </w:rPr>
      </w:pPr>
      <w:r>
        <w:rPr>
          <w:sz w:val="24"/>
          <w:szCs w:val="24"/>
        </w:rPr>
        <w:br w:type="page"/>
      </w:r>
    </w:p>
    <w:p w14:paraId="3427A66A" w14:textId="77777777" w:rsidR="009260DE" w:rsidRPr="00D61C9C" w:rsidRDefault="009260DE" w:rsidP="009260DE">
      <w:pPr>
        <w:tabs>
          <w:tab w:val="left" w:pos="851"/>
        </w:tabs>
        <w:ind w:left="851"/>
        <w:rPr>
          <w:sz w:val="24"/>
          <w:szCs w:val="24"/>
        </w:rPr>
      </w:pPr>
    </w:p>
    <w:p w14:paraId="348A2D1E" w14:textId="77777777" w:rsidR="009260DE" w:rsidRPr="00D61C9C" w:rsidRDefault="009260DE" w:rsidP="009260DE">
      <w:pPr>
        <w:tabs>
          <w:tab w:val="left" w:pos="851"/>
        </w:tabs>
        <w:ind w:left="851" w:hanging="851"/>
        <w:rPr>
          <w:b/>
          <w:sz w:val="24"/>
          <w:szCs w:val="24"/>
        </w:rPr>
      </w:pPr>
      <w:r w:rsidRPr="00D61C9C">
        <w:rPr>
          <w:b/>
          <w:sz w:val="24"/>
          <w:szCs w:val="24"/>
        </w:rPr>
        <w:t>6.6</w:t>
      </w:r>
      <w:r w:rsidRPr="00D61C9C">
        <w:rPr>
          <w:b/>
          <w:sz w:val="24"/>
          <w:szCs w:val="24"/>
        </w:rPr>
        <w:tab/>
        <w:t xml:space="preserve">Regler for </w:t>
      </w:r>
      <w:r w:rsidR="00BD7931" w:rsidRPr="00D61C9C">
        <w:rPr>
          <w:b/>
          <w:sz w:val="24"/>
          <w:szCs w:val="24"/>
        </w:rPr>
        <w:t>bortskaffelse</w:t>
      </w:r>
      <w:r w:rsidRPr="00D61C9C">
        <w:rPr>
          <w:b/>
          <w:sz w:val="24"/>
          <w:szCs w:val="24"/>
        </w:rPr>
        <w:t xml:space="preserve"> og anden håndtering</w:t>
      </w:r>
    </w:p>
    <w:p w14:paraId="4AFC6BAF" w14:textId="77777777" w:rsidR="0032519C" w:rsidRDefault="00D4295A" w:rsidP="001B2A5A">
      <w:pPr>
        <w:ind w:left="851"/>
        <w:rPr>
          <w:sz w:val="24"/>
          <w:szCs w:val="24"/>
        </w:rPr>
      </w:pPr>
      <w:r w:rsidRPr="00D61C9C">
        <w:rPr>
          <w:sz w:val="24"/>
          <w:szCs w:val="24"/>
        </w:rPr>
        <w:t xml:space="preserve">Dette lægemiddel kan udgøre en risiko for miljøet (se pkt. 5.3). </w:t>
      </w:r>
    </w:p>
    <w:p w14:paraId="44B79A0A" w14:textId="7028095F" w:rsidR="00D4295A" w:rsidRPr="00D61C9C" w:rsidRDefault="00D4295A" w:rsidP="001B2A5A">
      <w:pPr>
        <w:ind w:left="851"/>
        <w:rPr>
          <w:sz w:val="24"/>
          <w:szCs w:val="24"/>
        </w:rPr>
      </w:pPr>
      <w:r w:rsidRPr="00D61C9C">
        <w:rPr>
          <w:sz w:val="24"/>
          <w:szCs w:val="24"/>
        </w:rPr>
        <w:t>Ikke anvendt lægemiddel samt affald heraf skal bortskaffes i henhold til lokale retningslinjer.</w:t>
      </w:r>
    </w:p>
    <w:p w14:paraId="58AFC32E" w14:textId="77777777" w:rsidR="009260DE" w:rsidRPr="00D61C9C" w:rsidRDefault="009260DE" w:rsidP="000730CA">
      <w:pPr>
        <w:tabs>
          <w:tab w:val="left" w:pos="851"/>
        </w:tabs>
        <w:ind w:left="851"/>
        <w:rPr>
          <w:sz w:val="24"/>
          <w:szCs w:val="24"/>
        </w:rPr>
      </w:pPr>
    </w:p>
    <w:p w14:paraId="69DF8E5B" w14:textId="77777777" w:rsidR="009260DE" w:rsidRPr="00D61C9C" w:rsidRDefault="009260DE" w:rsidP="009260DE">
      <w:pPr>
        <w:tabs>
          <w:tab w:val="left" w:pos="851"/>
        </w:tabs>
        <w:ind w:left="851" w:hanging="851"/>
        <w:rPr>
          <w:b/>
          <w:sz w:val="24"/>
          <w:szCs w:val="24"/>
        </w:rPr>
      </w:pPr>
      <w:r w:rsidRPr="00D61C9C">
        <w:rPr>
          <w:b/>
          <w:sz w:val="24"/>
          <w:szCs w:val="24"/>
        </w:rPr>
        <w:t>7.</w:t>
      </w:r>
      <w:r w:rsidRPr="00D61C9C">
        <w:rPr>
          <w:b/>
          <w:sz w:val="24"/>
          <w:szCs w:val="24"/>
        </w:rPr>
        <w:tab/>
        <w:t>INDEHAVER AF MARKEDSFØRINGSTILLADELSEN</w:t>
      </w:r>
    </w:p>
    <w:p w14:paraId="7233A9BD" w14:textId="77777777" w:rsidR="00D4295A" w:rsidRPr="00D61C9C" w:rsidRDefault="00D4295A" w:rsidP="00D4295A">
      <w:pPr>
        <w:tabs>
          <w:tab w:val="left" w:pos="851"/>
        </w:tabs>
        <w:ind w:left="851"/>
        <w:rPr>
          <w:sz w:val="24"/>
          <w:szCs w:val="24"/>
        </w:rPr>
      </w:pPr>
      <w:r w:rsidRPr="00D61C9C">
        <w:rPr>
          <w:sz w:val="24"/>
          <w:szCs w:val="24"/>
        </w:rPr>
        <w:t xml:space="preserve">Hualan Pharmaceuticals Limited </w:t>
      </w:r>
    </w:p>
    <w:p w14:paraId="4303BDB5" w14:textId="77777777" w:rsidR="00D4295A" w:rsidRPr="00D61C9C" w:rsidRDefault="00D4295A" w:rsidP="00D4295A">
      <w:pPr>
        <w:tabs>
          <w:tab w:val="left" w:pos="851"/>
        </w:tabs>
        <w:ind w:left="851"/>
        <w:rPr>
          <w:sz w:val="24"/>
          <w:szCs w:val="24"/>
          <w:lang w:val="en-US"/>
        </w:rPr>
      </w:pPr>
      <w:r w:rsidRPr="00D61C9C">
        <w:rPr>
          <w:sz w:val="24"/>
          <w:szCs w:val="24"/>
          <w:lang w:val="en-US"/>
        </w:rPr>
        <w:t>16/17 College Green</w:t>
      </w:r>
    </w:p>
    <w:p w14:paraId="0191A0F3" w14:textId="77777777" w:rsidR="00D4295A" w:rsidRPr="00D61C9C" w:rsidRDefault="00D4295A" w:rsidP="00D4295A">
      <w:pPr>
        <w:tabs>
          <w:tab w:val="left" w:pos="851"/>
        </w:tabs>
        <w:ind w:left="851"/>
        <w:rPr>
          <w:sz w:val="24"/>
          <w:szCs w:val="24"/>
          <w:lang w:val="en-US"/>
        </w:rPr>
      </w:pPr>
      <w:r w:rsidRPr="00D61C9C">
        <w:rPr>
          <w:sz w:val="24"/>
          <w:szCs w:val="24"/>
          <w:lang w:val="en-US"/>
        </w:rPr>
        <w:t>Dublin 2</w:t>
      </w:r>
    </w:p>
    <w:p w14:paraId="4AD835BC" w14:textId="77777777" w:rsidR="00D4295A" w:rsidRPr="00D61C9C" w:rsidRDefault="00D4295A" w:rsidP="00D4295A">
      <w:pPr>
        <w:tabs>
          <w:tab w:val="left" w:pos="851"/>
        </w:tabs>
        <w:ind w:left="851"/>
        <w:rPr>
          <w:sz w:val="24"/>
          <w:szCs w:val="24"/>
          <w:lang w:val="en-US"/>
        </w:rPr>
      </w:pPr>
      <w:r w:rsidRPr="00D61C9C">
        <w:rPr>
          <w:sz w:val="24"/>
          <w:szCs w:val="24"/>
          <w:lang w:val="en-US"/>
        </w:rPr>
        <w:t>Dublin</w:t>
      </w:r>
    </w:p>
    <w:p w14:paraId="6392549F" w14:textId="77777777" w:rsidR="00D4295A" w:rsidRPr="00D61C9C" w:rsidRDefault="00D4295A" w:rsidP="00D4295A">
      <w:pPr>
        <w:tabs>
          <w:tab w:val="left" w:pos="851"/>
        </w:tabs>
        <w:ind w:left="851"/>
        <w:rPr>
          <w:sz w:val="24"/>
          <w:szCs w:val="24"/>
          <w:lang w:val="en-US"/>
        </w:rPr>
      </w:pPr>
      <w:r w:rsidRPr="00D61C9C">
        <w:rPr>
          <w:sz w:val="24"/>
          <w:szCs w:val="24"/>
          <w:lang w:val="en-US"/>
        </w:rPr>
        <w:t>D02 V078</w:t>
      </w:r>
    </w:p>
    <w:p w14:paraId="7FC54F92" w14:textId="77777777" w:rsidR="00D4295A" w:rsidRPr="00D61C9C" w:rsidRDefault="00D4295A" w:rsidP="00D4295A">
      <w:pPr>
        <w:tabs>
          <w:tab w:val="left" w:pos="851"/>
        </w:tabs>
        <w:ind w:left="851"/>
        <w:rPr>
          <w:sz w:val="24"/>
          <w:szCs w:val="24"/>
        </w:rPr>
      </w:pPr>
      <w:r w:rsidRPr="00D61C9C">
        <w:rPr>
          <w:sz w:val="24"/>
          <w:szCs w:val="24"/>
        </w:rPr>
        <w:t>Irland</w:t>
      </w:r>
    </w:p>
    <w:p w14:paraId="5FA9F486" w14:textId="77777777" w:rsidR="00641C65" w:rsidRPr="00D61C9C" w:rsidRDefault="00641C65" w:rsidP="009260DE">
      <w:pPr>
        <w:tabs>
          <w:tab w:val="left" w:pos="851"/>
        </w:tabs>
        <w:ind w:left="851"/>
        <w:rPr>
          <w:sz w:val="24"/>
          <w:szCs w:val="24"/>
        </w:rPr>
      </w:pPr>
    </w:p>
    <w:p w14:paraId="16169C7D" w14:textId="77777777" w:rsidR="009260DE" w:rsidRPr="00D61C9C" w:rsidRDefault="009260DE" w:rsidP="009260DE">
      <w:pPr>
        <w:tabs>
          <w:tab w:val="left" w:pos="851"/>
        </w:tabs>
        <w:ind w:left="851" w:hanging="851"/>
        <w:rPr>
          <w:b/>
          <w:sz w:val="24"/>
          <w:szCs w:val="24"/>
        </w:rPr>
      </w:pPr>
      <w:r w:rsidRPr="00D61C9C">
        <w:rPr>
          <w:b/>
          <w:sz w:val="24"/>
          <w:szCs w:val="24"/>
        </w:rPr>
        <w:t>8.</w:t>
      </w:r>
      <w:r w:rsidRPr="00D61C9C">
        <w:rPr>
          <w:b/>
          <w:sz w:val="24"/>
          <w:szCs w:val="24"/>
        </w:rPr>
        <w:tab/>
        <w:t>MARKEDSFØRINGSTILLADELSESNUMMER (</w:t>
      </w:r>
      <w:r w:rsidR="00BF6243" w:rsidRPr="00D61C9C">
        <w:rPr>
          <w:b/>
          <w:sz w:val="24"/>
          <w:szCs w:val="24"/>
        </w:rPr>
        <w:t>-</w:t>
      </w:r>
      <w:r w:rsidRPr="00D61C9C">
        <w:rPr>
          <w:b/>
          <w:sz w:val="24"/>
          <w:szCs w:val="24"/>
        </w:rPr>
        <w:t>NUMRE)</w:t>
      </w:r>
    </w:p>
    <w:p w14:paraId="7C7E18C9" w14:textId="5F469C51" w:rsidR="009260DE" w:rsidRPr="00D61C9C" w:rsidRDefault="00B17ABD" w:rsidP="009260DE">
      <w:pPr>
        <w:tabs>
          <w:tab w:val="left" w:pos="851"/>
        </w:tabs>
        <w:ind w:left="851"/>
        <w:rPr>
          <w:sz w:val="24"/>
          <w:szCs w:val="24"/>
        </w:rPr>
      </w:pPr>
      <w:r w:rsidRPr="00D61C9C">
        <w:rPr>
          <w:sz w:val="24"/>
          <w:szCs w:val="24"/>
        </w:rPr>
        <w:t>70460</w:t>
      </w:r>
    </w:p>
    <w:p w14:paraId="0C89CBC3" w14:textId="77777777" w:rsidR="009260DE" w:rsidRPr="00D61C9C" w:rsidRDefault="009260DE" w:rsidP="009260DE">
      <w:pPr>
        <w:tabs>
          <w:tab w:val="left" w:pos="851"/>
        </w:tabs>
        <w:ind w:left="851"/>
        <w:jc w:val="both"/>
        <w:rPr>
          <w:sz w:val="24"/>
          <w:szCs w:val="24"/>
        </w:rPr>
      </w:pPr>
    </w:p>
    <w:p w14:paraId="1D5AAB51" w14:textId="77777777" w:rsidR="009260DE" w:rsidRPr="00D61C9C" w:rsidRDefault="009260DE" w:rsidP="009260DE">
      <w:pPr>
        <w:tabs>
          <w:tab w:val="left" w:pos="851"/>
        </w:tabs>
        <w:ind w:left="851" w:hanging="851"/>
        <w:rPr>
          <w:b/>
          <w:sz w:val="24"/>
          <w:szCs w:val="24"/>
        </w:rPr>
      </w:pPr>
      <w:r w:rsidRPr="00D61C9C">
        <w:rPr>
          <w:b/>
          <w:sz w:val="24"/>
          <w:szCs w:val="24"/>
        </w:rPr>
        <w:t>9.</w:t>
      </w:r>
      <w:r w:rsidRPr="00D61C9C">
        <w:rPr>
          <w:b/>
          <w:sz w:val="24"/>
          <w:szCs w:val="24"/>
        </w:rPr>
        <w:tab/>
        <w:t>DATO FOR FØRSTE MARKEDSFØRINGSTILLADELSE</w:t>
      </w:r>
    </w:p>
    <w:p w14:paraId="3A6B1419" w14:textId="032E037C" w:rsidR="009260DE" w:rsidRPr="00D61C9C" w:rsidRDefault="00173561" w:rsidP="009260DE">
      <w:pPr>
        <w:tabs>
          <w:tab w:val="left" w:pos="851"/>
        </w:tabs>
        <w:ind w:left="851"/>
        <w:rPr>
          <w:sz w:val="24"/>
          <w:szCs w:val="24"/>
        </w:rPr>
      </w:pPr>
      <w:r>
        <w:rPr>
          <w:sz w:val="24"/>
          <w:szCs w:val="24"/>
        </w:rPr>
        <w:t>10. marts 2026</w:t>
      </w:r>
    </w:p>
    <w:p w14:paraId="38EEDC79" w14:textId="77777777" w:rsidR="009260DE" w:rsidRPr="00D61C9C" w:rsidRDefault="009260DE" w:rsidP="009260DE">
      <w:pPr>
        <w:tabs>
          <w:tab w:val="left" w:pos="851"/>
        </w:tabs>
        <w:ind w:left="851"/>
        <w:rPr>
          <w:sz w:val="24"/>
          <w:szCs w:val="24"/>
        </w:rPr>
      </w:pPr>
    </w:p>
    <w:p w14:paraId="3E8CDC2F" w14:textId="77777777" w:rsidR="009260DE" w:rsidRPr="00D61C9C" w:rsidRDefault="009260DE" w:rsidP="009260DE">
      <w:pPr>
        <w:tabs>
          <w:tab w:val="left" w:pos="851"/>
        </w:tabs>
        <w:ind w:left="851" w:hanging="851"/>
        <w:rPr>
          <w:b/>
          <w:sz w:val="24"/>
          <w:szCs w:val="24"/>
        </w:rPr>
      </w:pPr>
      <w:r w:rsidRPr="00D61C9C">
        <w:rPr>
          <w:b/>
          <w:sz w:val="24"/>
          <w:szCs w:val="24"/>
        </w:rPr>
        <w:t>10.</w:t>
      </w:r>
      <w:r w:rsidRPr="00D61C9C">
        <w:rPr>
          <w:b/>
          <w:sz w:val="24"/>
          <w:szCs w:val="24"/>
        </w:rPr>
        <w:tab/>
        <w:t>DATO FOR ÆNDRING AF TEKSTEN</w:t>
      </w:r>
    </w:p>
    <w:p w14:paraId="3CE7C2D4" w14:textId="75FB4AE6" w:rsidR="009260DE" w:rsidRPr="00D61C9C" w:rsidRDefault="00B17ABD" w:rsidP="009260DE">
      <w:pPr>
        <w:tabs>
          <w:tab w:val="left" w:pos="851"/>
        </w:tabs>
        <w:ind w:left="851"/>
        <w:rPr>
          <w:sz w:val="24"/>
          <w:szCs w:val="24"/>
        </w:rPr>
      </w:pPr>
      <w:r w:rsidRPr="00D61C9C">
        <w:rPr>
          <w:sz w:val="24"/>
          <w:szCs w:val="24"/>
        </w:rPr>
        <w:t>-</w:t>
      </w:r>
    </w:p>
    <w:sectPr w:rsidR="009260DE" w:rsidRPr="00D61C9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3041" w14:textId="77777777" w:rsidR="00700584" w:rsidRDefault="00700584">
      <w:r>
        <w:separator/>
      </w:r>
    </w:p>
  </w:endnote>
  <w:endnote w:type="continuationSeparator" w:id="0">
    <w:p w14:paraId="4DF8BBC4" w14:textId="77777777" w:rsidR="00700584" w:rsidRDefault="007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E7D1" w14:textId="77777777" w:rsidR="000259B9" w:rsidRDefault="000259B9">
    <w:pPr>
      <w:pStyle w:val="Sidefod"/>
      <w:pBdr>
        <w:bottom w:val="single" w:sz="6" w:space="1" w:color="auto"/>
      </w:pBdr>
    </w:pPr>
  </w:p>
  <w:p w14:paraId="71ED0D65" w14:textId="77777777" w:rsidR="000259B9" w:rsidRDefault="000259B9" w:rsidP="00C42586">
    <w:pPr>
      <w:pStyle w:val="Sidefod"/>
      <w:tabs>
        <w:tab w:val="clear" w:pos="4819"/>
        <w:tab w:val="left" w:pos="8505"/>
      </w:tabs>
      <w:rPr>
        <w:i/>
        <w:sz w:val="18"/>
        <w:szCs w:val="18"/>
      </w:rPr>
    </w:pPr>
  </w:p>
  <w:p w14:paraId="2E27DF0B" w14:textId="3D7B650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45E41">
      <w:rPr>
        <w:i/>
        <w:noProof/>
        <w:sz w:val="18"/>
        <w:szCs w:val="18"/>
      </w:rPr>
      <w:t>Ibuprofen Hualan Pharmaceuticals, filmovertrukne tabletter 200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1D8E" w14:textId="77777777" w:rsidR="00700584" w:rsidRDefault="00700584">
      <w:r>
        <w:separator/>
      </w:r>
    </w:p>
  </w:footnote>
  <w:footnote w:type="continuationSeparator" w:id="0">
    <w:p w14:paraId="506C0B99" w14:textId="77777777" w:rsidR="00700584" w:rsidRDefault="007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1F5E23"/>
    <w:multiLevelType w:val="hybridMultilevel"/>
    <w:tmpl w:val="EA62666C"/>
    <w:lvl w:ilvl="0" w:tplc="FFFFFFFF">
      <w:start w:val="1"/>
      <w:numFmt w:val="bullet"/>
      <w:lvlText w:val="-"/>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2" w15:restartNumberingAfterBreak="0">
    <w:nsid w:val="20B272B0"/>
    <w:multiLevelType w:val="hybridMultilevel"/>
    <w:tmpl w:val="51024D5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272F7F08"/>
    <w:multiLevelType w:val="hybridMultilevel"/>
    <w:tmpl w:val="55FAB2B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67D0CD7"/>
    <w:multiLevelType w:val="hybridMultilevel"/>
    <w:tmpl w:val="36885F94"/>
    <w:lvl w:ilvl="0" w:tplc="08090001">
      <w:start w:val="1"/>
      <w:numFmt w:val="bullet"/>
      <w:lvlText w:val=""/>
      <w:lvlJc w:val="left"/>
      <w:pPr>
        <w:ind w:left="1557" w:hanging="360"/>
      </w:pPr>
      <w:rPr>
        <w:rFonts w:ascii="Symbol" w:hAnsi="Symbol" w:hint="default"/>
      </w:rPr>
    </w:lvl>
    <w:lvl w:ilvl="1" w:tplc="08090003">
      <w:start w:val="1"/>
      <w:numFmt w:val="bullet"/>
      <w:lvlText w:val="o"/>
      <w:lvlJc w:val="left"/>
      <w:pPr>
        <w:ind w:left="2277" w:hanging="360"/>
      </w:pPr>
      <w:rPr>
        <w:rFonts w:ascii="Courier New" w:hAnsi="Courier New" w:cs="Courier New" w:hint="default"/>
      </w:rPr>
    </w:lvl>
    <w:lvl w:ilvl="2" w:tplc="08090005">
      <w:start w:val="1"/>
      <w:numFmt w:val="bullet"/>
      <w:lvlText w:val=""/>
      <w:lvlJc w:val="left"/>
      <w:pPr>
        <w:ind w:left="2997" w:hanging="360"/>
      </w:pPr>
      <w:rPr>
        <w:rFonts w:ascii="Wingdings" w:hAnsi="Wingdings" w:hint="default"/>
      </w:rPr>
    </w:lvl>
    <w:lvl w:ilvl="3" w:tplc="08090001">
      <w:start w:val="1"/>
      <w:numFmt w:val="bullet"/>
      <w:lvlText w:val=""/>
      <w:lvlJc w:val="left"/>
      <w:pPr>
        <w:ind w:left="3717" w:hanging="360"/>
      </w:pPr>
      <w:rPr>
        <w:rFonts w:ascii="Symbol" w:hAnsi="Symbol" w:hint="default"/>
      </w:rPr>
    </w:lvl>
    <w:lvl w:ilvl="4" w:tplc="08090003">
      <w:start w:val="1"/>
      <w:numFmt w:val="bullet"/>
      <w:lvlText w:val="o"/>
      <w:lvlJc w:val="left"/>
      <w:pPr>
        <w:ind w:left="4437" w:hanging="360"/>
      </w:pPr>
      <w:rPr>
        <w:rFonts w:ascii="Courier New" w:hAnsi="Courier New" w:cs="Courier New" w:hint="default"/>
      </w:rPr>
    </w:lvl>
    <w:lvl w:ilvl="5" w:tplc="08090005">
      <w:start w:val="1"/>
      <w:numFmt w:val="bullet"/>
      <w:lvlText w:val=""/>
      <w:lvlJc w:val="left"/>
      <w:pPr>
        <w:ind w:left="5157" w:hanging="360"/>
      </w:pPr>
      <w:rPr>
        <w:rFonts w:ascii="Wingdings" w:hAnsi="Wingdings" w:hint="default"/>
      </w:rPr>
    </w:lvl>
    <w:lvl w:ilvl="6" w:tplc="08090001">
      <w:start w:val="1"/>
      <w:numFmt w:val="bullet"/>
      <w:lvlText w:val=""/>
      <w:lvlJc w:val="left"/>
      <w:pPr>
        <w:ind w:left="5877" w:hanging="360"/>
      </w:pPr>
      <w:rPr>
        <w:rFonts w:ascii="Symbol" w:hAnsi="Symbol" w:hint="default"/>
      </w:rPr>
    </w:lvl>
    <w:lvl w:ilvl="7" w:tplc="08090003">
      <w:start w:val="1"/>
      <w:numFmt w:val="bullet"/>
      <w:lvlText w:val="o"/>
      <w:lvlJc w:val="left"/>
      <w:pPr>
        <w:ind w:left="6597" w:hanging="360"/>
      </w:pPr>
      <w:rPr>
        <w:rFonts w:ascii="Courier New" w:hAnsi="Courier New" w:cs="Courier New" w:hint="default"/>
      </w:rPr>
    </w:lvl>
    <w:lvl w:ilvl="8" w:tplc="08090005">
      <w:start w:val="1"/>
      <w:numFmt w:val="bullet"/>
      <w:lvlText w:val=""/>
      <w:lvlJc w:val="left"/>
      <w:pPr>
        <w:ind w:left="7317" w:hanging="360"/>
      </w:pPr>
      <w:rPr>
        <w:rFonts w:ascii="Wingdings" w:hAnsi="Wingdings" w:hint="default"/>
      </w:rPr>
    </w:lvl>
  </w:abstractNum>
  <w:abstractNum w:abstractNumId="7" w15:restartNumberingAfterBreak="0">
    <w:nsid w:val="38153359"/>
    <w:multiLevelType w:val="hybridMultilevel"/>
    <w:tmpl w:val="53C070C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4344BF9"/>
    <w:multiLevelType w:val="hybridMultilevel"/>
    <w:tmpl w:val="929E34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1816B86"/>
    <w:multiLevelType w:val="multilevel"/>
    <w:tmpl w:val="60980A9C"/>
    <w:lvl w:ilvl="0">
      <w:start w:val="4"/>
      <w:numFmt w:val="decimal"/>
      <w:lvlText w:val="%1"/>
      <w:lvlJc w:val="left"/>
      <w:pPr>
        <w:ind w:left="837" w:hanging="721"/>
      </w:pPr>
      <w:rPr>
        <w:lang w:val="en-US" w:eastAsia="en-US" w:bidi="ar-SA"/>
      </w:rPr>
    </w:lvl>
    <w:lvl w:ilvl="1">
      <w:start w:val="3"/>
      <w:numFmt w:val="decimal"/>
      <w:lvlText w:val="%1.%2"/>
      <w:lvlJc w:val="left"/>
      <w:pPr>
        <w:ind w:left="837" w:hanging="721"/>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557" w:hanging="133"/>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151" w:hanging="133"/>
      </w:pPr>
      <w:rPr>
        <w:lang w:val="en-US" w:eastAsia="en-US" w:bidi="ar-SA"/>
      </w:rPr>
    </w:lvl>
    <w:lvl w:ilvl="4">
      <w:numFmt w:val="bullet"/>
      <w:lvlText w:val="•"/>
      <w:lvlJc w:val="left"/>
      <w:pPr>
        <w:ind w:left="3946" w:hanging="133"/>
      </w:pPr>
      <w:rPr>
        <w:lang w:val="en-US" w:eastAsia="en-US" w:bidi="ar-SA"/>
      </w:rPr>
    </w:lvl>
    <w:lvl w:ilvl="5">
      <w:numFmt w:val="bullet"/>
      <w:lvlText w:val="•"/>
      <w:lvlJc w:val="left"/>
      <w:pPr>
        <w:ind w:left="4742" w:hanging="133"/>
      </w:pPr>
      <w:rPr>
        <w:lang w:val="en-US" w:eastAsia="en-US" w:bidi="ar-SA"/>
      </w:rPr>
    </w:lvl>
    <w:lvl w:ilvl="6">
      <w:numFmt w:val="bullet"/>
      <w:lvlText w:val="•"/>
      <w:lvlJc w:val="left"/>
      <w:pPr>
        <w:ind w:left="5537" w:hanging="133"/>
      </w:pPr>
      <w:rPr>
        <w:lang w:val="en-US" w:eastAsia="en-US" w:bidi="ar-SA"/>
      </w:rPr>
    </w:lvl>
    <w:lvl w:ilvl="7">
      <w:numFmt w:val="bullet"/>
      <w:lvlText w:val="•"/>
      <w:lvlJc w:val="left"/>
      <w:pPr>
        <w:ind w:left="6333" w:hanging="133"/>
      </w:pPr>
      <w:rPr>
        <w:lang w:val="en-US" w:eastAsia="en-US" w:bidi="ar-SA"/>
      </w:rPr>
    </w:lvl>
    <w:lvl w:ilvl="8">
      <w:numFmt w:val="bullet"/>
      <w:lvlText w:val="•"/>
      <w:lvlJc w:val="left"/>
      <w:pPr>
        <w:ind w:left="7128" w:hanging="133"/>
      </w:pPr>
      <w:rPr>
        <w:lang w:val="en-US" w:eastAsia="en-US" w:bidi="ar-SA"/>
      </w:rPr>
    </w:lvl>
  </w:abstractNum>
  <w:abstractNum w:abstractNumId="12" w15:restartNumberingAfterBreak="0">
    <w:nsid w:val="6E9400DE"/>
    <w:multiLevelType w:val="hybridMultilevel"/>
    <w:tmpl w:val="CBF4D09A"/>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6DB6F83"/>
    <w:multiLevelType w:val="hybridMultilevel"/>
    <w:tmpl w:val="133C291A"/>
    <w:lvl w:ilvl="0" w:tplc="0406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 w15:restartNumberingAfterBreak="0">
    <w:nsid w:val="7A862C69"/>
    <w:multiLevelType w:val="hybridMultilevel"/>
    <w:tmpl w:val="DB7A5F6A"/>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9848908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308057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675239">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836567">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5450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22657">
    <w:abstractNumId w:val="6"/>
  </w:num>
  <w:num w:numId="7" w16cid:durableId="282420381">
    <w:abstractNumId w:val="1"/>
  </w:num>
  <w:num w:numId="8" w16cid:durableId="1630891042">
    <w:abstractNumId w:val="2"/>
  </w:num>
  <w:num w:numId="9" w16cid:durableId="960692657">
    <w:abstractNumId w:val="11"/>
    <w:lvlOverride w:ilvl="0">
      <w:startOverride w:val="4"/>
    </w:lvlOverride>
    <w:lvlOverride w:ilvl="1">
      <w:startOverride w:val="3"/>
    </w:lvlOverride>
    <w:lvlOverride w:ilvl="2"/>
    <w:lvlOverride w:ilvl="3"/>
    <w:lvlOverride w:ilvl="4"/>
    <w:lvlOverride w:ilvl="5"/>
    <w:lvlOverride w:ilvl="6"/>
    <w:lvlOverride w:ilvl="7"/>
    <w:lvlOverride w:ilvl="8"/>
  </w:num>
  <w:num w:numId="10" w16cid:durableId="783306752">
    <w:abstractNumId w:val="9"/>
  </w:num>
  <w:num w:numId="11" w16cid:durableId="1347562225">
    <w:abstractNumId w:val="3"/>
  </w:num>
  <w:num w:numId="12" w16cid:durableId="586694769">
    <w:abstractNumId w:val="14"/>
  </w:num>
  <w:num w:numId="13" w16cid:durableId="1582134012">
    <w:abstractNumId w:val="12"/>
  </w:num>
  <w:num w:numId="14" w16cid:durableId="1399858685">
    <w:abstractNumId w:val="13"/>
  </w:num>
  <w:num w:numId="15" w16cid:durableId="1038167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4"/>
    <w:rsid w:val="000259B9"/>
    <w:rsid w:val="00041491"/>
    <w:rsid w:val="00050D16"/>
    <w:rsid w:val="000730CA"/>
    <w:rsid w:val="00074F2A"/>
    <w:rsid w:val="000A1CA8"/>
    <w:rsid w:val="000A466B"/>
    <w:rsid w:val="000B058C"/>
    <w:rsid w:val="000B6705"/>
    <w:rsid w:val="000D68B0"/>
    <w:rsid w:val="000E4EE6"/>
    <w:rsid w:val="00102C79"/>
    <w:rsid w:val="001454E2"/>
    <w:rsid w:val="00173561"/>
    <w:rsid w:val="001B2A5A"/>
    <w:rsid w:val="00206CE8"/>
    <w:rsid w:val="0021526C"/>
    <w:rsid w:val="00283A2B"/>
    <w:rsid w:val="002B30AD"/>
    <w:rsid w:val="002C1EC0"/>
    <w:rsid w:val="002C2C01"/>
    <w:rsid w:val="00307A27"/>
    <w:rsid w:val="0032519C"/>
    <w:rsid w:val="003A29AE"/>
    <w:rsid w:val="003A32D7"/>
    <w:rsid w:val="003B4074"/>
    <w:rsid w:val="003C769A"/>
    <w:rsid w:val="003D3A90"/>
    <w:rsid w:val="003E78F2"/>
    <w:rsid w:val="003F1838"/>
    <w:rsid w:val="004251C1"/>
    <w:rsid w:val="0045746C"/>
    <w:rsid w:val="004754F6"/>
    <w:rsid w:val="0049104B"/>
    <w:rsid w:val="004A469D"/>
    <w:rsid w:val="004E3B12"/>
    <w:rsid w:val="00532310"/>
    <w:rsid w:val="00555C2E"/>
    <w:rsid w:val="00565F0F"/>
    <w:rsid w:val="00594A86"/>
    <w:rsid w:val="00596D86"/>
    <w:rsid w:val="00637F5A"/>
    <w:rsid w:val="00641C65"/>
    <w:rsid w:val="006560B1"/>
    <w:rsid w:val="006756DD"/>
    <w:rsid w:val="00700584"/>
    <w:rsid w:val="0071241E"/>
    <w:rsid w:val="00737275"/>
    <w:rsid w:val="00740EEC"/>
    <w:rsid w:val="00746F61"/>
    <w:rsid w:val="0078011A"/>
    <w:rsid w:val="00782AF4"/>
    <w:rsid w:val="00790EE7"/>
    <w:rsid w:val="007B6649"/>
    <w:rsid w:val="0082576E"/>
    <w:rsid w:val="00845E41"/>
    <w:rsid w:val="0089346F"/>
    <w:rsid w:val="00907F75"/>
    <w:rsid w:val="009260DE"/>
    <w:rsid w:val="0093258A"/>
    <w:rsid w:val="009C7BA3"/>
    <w:rsid w:val="009D1F5A"/>
    <w:rsid w:val="00A10294"/>
    <w:rsid w:val="00A1408F"/>
    <w:rsid w:val="00B003BF"/>
    <w:rsid w:val="00B17ABD"/>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295A"/>
    <w:rsid w:val="00D61C9C"/>
    <w:rsid w:val="00D93992"/>
    <w:rsid w:val="00E108AA"/>
    <w:rsid w:val="00E3749A"/>
    <w:rsid w:val="00E7437F"/>
    <w:rsid w:val="00E865B8"/>
    <w:rsid w:val="00EA5014"/>
    <w:rsid w:val="00EC0B9B"/>
    <w:rsid w:val="00ED5E9F"/>
    <w:rsid w:val="00F37DE6"/>
    <w:rsid w:val="00F66D4F"/>
    <w:rsid w:val="00FB6D01"/>
    <w:rsid w:val="00FD63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9D5B"/>
  <w15:chartTrackingRefBased/>
  <w15:docId w15:val="{B5BF3361-9BE4-4B54-8E21-FB1E667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D4295A"/>
    <w:rPr>
      <w:color w:val="0563C1" w:themeColor="hyperlink"/>
      <w:u w:val="single"/>
    </w:rPr>
  </w:style>
  <w:style w:type="character" w:styleId="Ulstomtale">
    <w:name w:val="Unresolved Mention"/>
    <w:basedOn w:val="Standardskrifttypeiafsnit"/>
    <w:uiPriority w:val="99"/>
    <w:semiHidden/>
    <w:unhideWhenUsed/>
    <w:rsid w:val="00D4295A"/>
    <w:rPr>
      <w:color w:val="605E5C"/>
      <w:shd w:val="clear" w:color="auto" w:fill="E1DFDD"/>
    </w:rPr>
  </w:style>
  <w:style w:type="paragraph" w:styleId="Listeafsnit">
    <w:name w:val="List Paragraph"/>
    <w:basedOn w:val="Normal"/>
    <w:uiPriority w:val="34"/>
    <w:qFormat/>
    <w:rsid w:val="00EA5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559">
      <w:bodyDiv w:val="1"/>
      <w:marLeft w:val="0"/>
      <w:marRight w:val="0"/>
      <w:marTop w:val="0"/>
      <w:marBottom w:val="0"/>
      <w:divBdr>
        <w:top w:val="none" w:sz="0" w:space="0" w:color="auto"/>
        <w:left w:val="none" w:sz="0" w:space="0" w:color="auto"/>
        <w:bottom w:val="none" w:sz="0" w:space="0" w:color="auto"/>
        <w:right w:val="none" w:sz="0" w:space="0" w:color="auto"/>
      </w:divBdr>
    </w:div>
    <w:div w:id="16478517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8714445">
      <w:bodyDiv w:val="1"/>
      <w:marLeft w:val="0"/>
      <w:marRight w:val="0"/>
      <w:marTop w:val="0"/>
      <w:marBottom w:val="0"/>
      <w:divBdr>
        <w:top w:val="none" w:sz="0" w:space="0" w:color="auto"/>
        <w:left w:val="none" w:sz="0" w:space="0" w:color="auto"/>
        <w:bottom w:val="none" w:sz="0" w:space="0" w:color="auto"/>
        <w:right w:val="none" w:sz="0" w:space="0" w:color="auto"/>
      </w:divBdr>
    </w:div>
    <w:div w:id="179590787">
      <w:bodyDiv w:val="1"/>
      <w:marLeft w:val="0"/>
      <w:marRight w:val="0"/>
      <w:marTop w:val="0"/>
      <w:marBottom w:val="0"/>
      <w:divBdr>
        <w:top w:val="none" w:sz="0" w:space="0" w:color="auto"/>
        <w:left w:val="none" w:sz="0" w:space="0" w:color="auto"/>
        <w:bottom w:val="none" w:sz="0" w:space="0" w:color="auto"/>
        <w:right w:val="none" w:sz="0" w:space="0" w:color="auto"/>
      </w:divBdr>
    </w:div>
    <w:div w:id="323044908">
      <w:bodyDiv w:val="1"/>
      <w:marLeft w:val="0"/>
      <w:marRight w:val="0"/>
      <w:marTop w:val="0"/>
      <w:marBottom w:val="0"/>
      <w:divBdr>
        <w:top w:val="none" w:sz="0" w:space="0" w:color="auto"/>
        <w:left w:val="none" w:sz="0" w:space="0" w:color="auto"/>
        <w:bottom w:val="none" w:sz="0" w:space="0" w:color="auto"/>
        <w:right w:val="none" w:sz="0" w:space="0" w:color="auto"/>
      </w:divBdr>
    </w:div>
    <w:div w:id="436290155">
      <w:bodyDiv w:val="1"/>
      <w:marLeft w:val="0"/>
      <w:marRight w:val="0"/>
      <w:marTop w:val="0"/>
      <w:marBottom w:val="0"/>
      <w:divBdr>
        <w:top w:val="none" w:sz="0" w:space="0" w:color="auto"/>
        <w:left w:val="none" w:sz="0" w:space="0" w:color="auto"/>
        <w:bottom w:val="none" w:sz="0" w:space="0" w:color="auto"/>
        <w:right w:val="none" w:sz="0" w:space="0" w:color="auto"/>
      </w:divBdr>
    </w:div>
    <w:div w:id="544752550">
      <w:bodyDiv w:val="1"/>
      <w:marLeft w:val="0"/>
      <w:marRight w:val="0"/>
      <w:marTop w:val="0"/>
      <w:marBottom w:val="0"/>
      <w:divBdr>
        <w:top w:val="none" w:sz="0" w:space="0" w:color="auto"/>
        <w:left w:val="none" w:sz="0" w:space="0" w:color="auto"/>
        <w:bottom w:val="none" w:sz="0" w:space="0" w:color="auto"/>
        <w:right w:val="none" w:sz="0" w:space="0" w:color="auto"/>
      </w:divBdr>
    </w:div>
    <w:div w:id="555510381">
      <w:bodyDiv w:val="1"/>
      <w:marLeft w:val="0"/>
      <w:marRight w:val="0"/>
      <w:marTop w:val="0"/>
      <w:marBottom w:val="0"/>
      <w:divBdr>
        <w:top w:val="none" w:sz="0" w:space="0" w:color="auto"/>
        <w:left w:val="none" w:sz="0" w:space="0" w:color="auto"/>
        <w:bottom w:val="none" w:sz="0" w:space="0" w:color="auto"/>
        <w:right w:val="none" w:sz="0" w:space="0" w:color="auto"/>
      </w:divBdr>
    </w:div>
    <w:div w:id="620381417">
      <w:bodyDiv w:val="1"/>
      <w:marLeft w:val="0"/>
      <w:marRight w:val="0"/>
      <w:marTop w:val="0"/>
      <w:marBottom w:val="0"/>
      <w:divBdr>
        <w:top w:val="none" w:sz="0" w:space="0" w:color="auto"/>
        <w:left w:val="none" w:sz="0" w:space="0" w:color="auto"/>
        <w:bottom w:val="none" w:sz="0" w:space="0" w:color="auto"/>
        <w:right w:val="none" w:sz="0" w:space="0" w:color="auto"/>
      </w:divBdr>
    </w:div>
    <w:div w:id="637882721">
      <w:bodyDiv w:val="1"/>
      <w:marLeft w:val="0"/>
      <w:marRight w:val="0"/>
      <w:marTop w:val="0"/>
      <w:marBottom w:val="0"/>
      <w:divBdr>
        <w:top w:val="none" w:sz="0" w:space="0" w:color="auto"/>
        <w:left w:val="none" w:sz="0" w:space="0" w:color="auto"/>
        <w:bottom w:val="none" w:sz="0" w:space="0" w:color="auto"/>
        <w:right w:val="none" w:sz="0" w:space="0" w:color="auto"/>
      </w:divBdr>
    </w:div>
    <w:div w:id="665864941">
      <w:bodyDiv w:val="1"/>
      <w:marLeft w:val="0"/>
      <w:marRight w:val="0"/>
      <w:marTop w:val="0"/>
      <w:marBottom w:val="0"/>
      <w:divBdr>
        <w:top w:val="none" w:sz="0" w:space="0" w:color="auto"/>
        <w:left w:val="none" w:sz="0" w:space="0" w:color="auto"/>
        <w:bottom w:val="none" w:sz="0" w:space="0" w:color="auto"/>
        <w:right w:val="none" w:sz="0" w:space="0" w:color="auto"/>
      </w:divBdr>
    </w:div>
    <w:div w:id="734208410">
      <w:bodyDiv w:val="1"/>
      <w:marLeft w:val="0"/>
      <w:marRight w:val="0"/>
      <w:marTop w:val="0"/>
      <w:marBottom w:val="0"/>
      <w:divBdr>
        <w:top w:val="none" w:sz="0" w:space="0" w:color="auto"/>
        <w:left w:val="none" w:sz="0" w:space="0" w:color="auto"/>
        <w:bottom w:val="none" w:sz="0" w:space="0" w:color="auto"/>
        <w:right w:val="none" w:sz="0" w:space="0" w:color="auto"/>
      </w:divBdr>
    </w:div>
    <w:div w:id="762144697">
      <w:bodyDiv w:val="1"/>
      <w:marLeft w:val="0"/>
      <w:marRight w:val="0"/>
      <w:marTop w:val="0"/>
      <w:marBottom w:val="0"/>
      <w:divBdr>
        <w:top w:val="none" w:sz="0" w:space="0" w:color="auto"/>
        <w:left w:val="none" w:sz="0" w:space="0" w:color="auto"/>
        <w:bottom w:val="none" w:sz="0" w:space="0" w:color="auto"/>
        <w:right w:val="none" w:sz="0" w:space="0" w:color="auto"/>
      </w:divBdr>
    </w:div>
    <w:div w:id="764544875">
      <w:bodyDiv w:val="1"/>
      <w:marLeft w:val="0"/>
      <w:marRight w:val="0"/>
      <w:marTop w:val="0"/>
      <w:marBottom w:val="0"/>
      <w:divBdr>
        <w:top w:val="none" w:sz="0" w:space="0" w:color="auto"/>
        <w:left w:val="none" w:sz="0" w:space="0" w:color="auto"/>
        <w:bottom w:val="none" w:sz="0" w:space="0" w:color="auto"/>
        <w:right w:val="none" w:sz="0" w:space="0" w:color="auto"/>
      </w:divBdr>
    </w:div>
    <w:div w:id="776339561">
      <w:bodyDiv w:val="1"/>
      <w:marLeft w:val="0"/>
      <w:marRight w:val="0"/>
      <w:marTop w:val="0"/>
      <w:marBottom w:val="0"/>
      <w:divBdr>
        <w:top w:val="none" w:sz="0" w:space="0" w:color="auto"/>
        <w:left w:val="none" w:sz="0" w:space="0" w:color="auto"/>
        <w:bottom w:val="none" w:sz="0" w:space="0" w:color="auto"/>
        <w:right w:val="none" w:sz="0" w:space="0" w:color="auto"/>
      </w:divBdr>
    </w:div>
    <w:div w:id="796416820">
      <w:bodyDiv w:val="1"/>
      <w:marLeft w:val="0"/>
      <w:marRight w:val="0"/>
      <w:marTop w:val="0"/>
      <w:marBottom w:val="0"/>
      <w:divBdr>
        <w:top w:val="none" w:sz="0" w:space="0" w:color="auto"/>
        <w:left w:val="none" w:sz="0" w:space="0" w:color="auto"/>
        <w:bottom w:val="none" w:sz="0" w:space="0" w:color="auto"/>
        <w:right w:val="none" w:sz="0" w:space="0" w:color="auto"/>
      </w:divBdr>
    </w:div>
    <w:div w:id="825319432">
      <w:bodyDiv w:val="1"/>
      <w:marLeft w:val="0"/>
      <w:marRight w:val="0"/>
      <w:marTop w:val="0"/>
      <w:marBottom w:val="0"/>
      <w:divBdr>
        <w:top w:val="none" w:sz="0" w:space="0" w:color="auto"/>
        <w:left w:val="none" w:sz="0" w:space="0" w:color="auto"/>
        <w:bottom w:val="none" w:sz="0" w:space="0" w:color="auto"/>
        <w:right w:val="none" w:sz="0" w:space="0" w:color="auto"/>
      </w:divBdr>
    </w:div>
    <w:div w:id="913978884">
      <w:bodyDiv w:val="1"/>
      <w:marLeft w:val="0"/>
      <w:marRight w:val="0"/>
      <w:marTop w:val="0"/>
      <w:marBottom w:val="0"/>
      <w:divBdr>
        <w:top w:val="none" w:sz="0" w:space="0" w:color="auto"/>
        <w:left w:val="none" w:sz="0" w:space="0" w:color="auto"/>
        <w:bottom w:val="none" w:sz="0" w:space="0" w:color="auto"/>
        <w:right w:val="none" w:sz="0" w:space="0" w:color="auto"/>
      </w:divBdr>
    </w:div>
    <w:div w:id="1003581771">
      <w:bodyDiv w:val="1"/>
      <w:marLeft w:val="0"/>
      <w:marRight w:val="0"/>
      <w:marTop w:val="0"/>
      <w:marBottom w:val="0"/>
      <w:divBdr>
        <w:top w:val="none" w:sz="0" w:space="0" w:color="auto"/>
        <w:left w:val="none" w:sz="0" w:space="0" w:color="auto"/>
        <w:bottom w:val="none" w:sz="0" w:space="0" w:color="auto"/>
        <w:right w:val="none" w:sz="0" w:space="0" w:color="auto"/>
      </w:divBdr>
    </w:div>
    <w:div w:id="1124154228">
      <w:bodyDiv w:val="1"/>
      <w:marLeft w:val="0"/>
      <w:marRight w:val="0"/>
      <w:marTop w:val="0"/>
      <w:marBottom w:val="0"/>
      <w:divBdr>
        <w:top w:val="none" w:sz="0" w:space="0" w:color="auto"/>
        <w:left w:val="none" w:sz="0" w:space="0" w:color="auto"/>
        <w:bottom w:val="none" w:sz="0" w:space="0" w:color="auto"/>
        <w:right w:val="none" w:sz="0" w:space="0" w:color="auto"/>
      </w:divBdr>
    </w:div>
    <w:div w:id="1158886271">
      <w:bodyDiv w:val="1"/>
      <w:marLeft w:val="0"/>
      <w:marRight w:val="0"/>
      <w:marTop w:val="0"/>
      <w:marBottom w:val="0"/>
      <w:divBdr>
        <w:top w:val="none" w:sz="0" w:space="0" w:color="auto"/>
        <w:left w:val="none" w:sz="0" w:space="0" w:color="auto"/>
        <w:bottom w:val="none" w:sz="0" w:space="0" w:color="auto"/>
        <w:right w:val="none" w:sz="0" w:space="0" w:color="auto"/>
      </w:divBdr>
    </w:div>
    <w:div w:id="1162505037">
      <w:bodyDiv w:val="1"/>
      <w:marLeft w:val="0"/>
      <w:marRight w:val="0"/>
      <w:marTop w:val="0"/>
      <w:marBottom w:val="0"/>
      <w:divBdr>
        <w:top w:val="none" w:sz="0" w:space="0" w:color="auto"/>
        <w:left w:val="none" w:sz="0" w:space="0" w:color="auto"/>
        <w:bottom w:val="none" w:sz="0" w:space="0" w:color="auto"/>
        <w:right w:val="none" w:sz="0" w:space="0" w:color="auto"/>
      </w:divBdr>
    </w:div>
    <w:div w:id="1236932340">
      <w:bodyDiv w:val="1"/>
      <w:marLeft w:val="0"/>
      <w:marRight w:val="0"/>
      <w:marTop w:val="0"/>
      <w:marBottom w:val="0"/>
      <w:divBdr>
        <w:top w:val="none" w:sz="0" w:space="0" w:color="auto"/>
        <w:left w:val="none" w:sz="0" w:space="0" w:color="auto"/>
        <w:bottom w:val="none" w:sz="0" w:space="0" w:color="auto"/>
        <w:right w:val="none" w:sz="0" w:space="0" w:color="auto"/>
      </w:divBdr>
    </w:div>
    <w:div w:id="1338145990">
      <w:bodyDiv w:val="1"/>
      <w:marLeft w:val="0"/>
      <w:marRight w:val="0"/>
      <w:marTop w:val="0"/>
      <w:marBottom w:val="0"/>
      <w:divBdr>
        <w:top w:val="none" w:sz="0" w:space="0" w:color="auto"/>
        <w:left w:val="none" w:sz="0" w:space="0" w:color="auto"/>
        <w:bottom w:val="none" w:sz="0" w:space="0" w:color="auto"/>
        <w:right w:val="none" w:sz="0" w:space="0" w:color="auto"/>
      </w:divBdr>
    </w:div>
    <w:div w:id="1370456026">
      <w:bodyDiv w:val="1"/>
      <w:marLeft w:val="0"/>
      <w:marRight w:val="0"/>
      <w:marTop w:val="0"/>
      <w:marBottom w:val="0"/>
      <w:divBdr>
        <w:top w:val="none" w:sz="0" w:space="0" w:color="auto"/>
        <w:left w:val="none" w:sz="0" w:space="0" w:color="auto"/>
        <w:bottom w:val="none" w:sz="0" w:space="0" w:color="auto"/>
        <w:right w:val="none" w:sz="0" w:space="0" w:color="auto"/>
      </w:divBdr>
    </w:div>
    <w:div w:id="1395466741">
      <w:bodyDiv w:val="1"/>
      <w:marLeft w:val="0"/>
      <w:marRight w:val="0"/>
      <w:marTop w:val="0"/>
      <w:marBottom w:val="0"/>
      <w:divBdr>
        <w:top w:val="none" w:sz="0" w:space="0" w:color="auto"/>
        <w:left w:val="none" w:sz="0" w:space="0" w:color="auto"/>
        <w:bottom w:val="none" w:sz="0" w:space="0" w:color="auto"/>
        <w:right w:val="none" w:sz="0" w:space="0" w:color="auto"/>
      </w:divBdr>
    </w:div>
    <w:div w:id="1426877525">
      <w:bodyDiv w:val="1"/>
      <w:marLeft w:val="0"/>
      <w:marRight w:val="0"/>
      <w:marTop w:val="0"/>
      <w:marBottom w:val="0"/>
      <w:divBdr>
        <w:top w:val="none" w:sz="0" w:space="0" w:color="auto"/>
        <w:left w:val="none" w:sz="0" w:space="0" w:color="auto"/>
        <w:bottom w:val="none" w:sz="0" w:space="0" w:color="auto"/>
        <w:right w:val="none" w:sz="0" w:space="0" w:color="auto"/>
      </w:divBdr>
    </w:div>
    <w:div w:id="1570267509">
      <w:bodyDiv w:val="1"/>
      <w:marLeft w:val="0"/>
      <w:marRight w:val="0"/>
      <w:marTop w:val="0"/>
      <w:marBottom w:val="0"/>
      <w:divBdr>
        <w:top w:val="none" w:sz="0" w:space="0" w:color="auto"/>
        <w:left w:val="none" w:sz="0" w:space="0" w:color="auto"/>
        <w:bottom w:val="none" w:sz="0" w:space="0" w:color="auto"/>
        <w:right w:val="none" w:sz="0" w:space="0" w:color="auto"/>
      </w:divBdr>
    </w:div>
    <w:div w:id="1588226945">
      <w:bodyDiv w:val="1"/>
      <w:marLeft w:val="0"/>
      <w:marRight w:val="0"/>
      <w:marTop w:val="0"/>
      <w:marBottom w:val="0"/>
      <w:divBdr>
        <w:top w:val="none" w:sz="0" w:space="0" w:color="auto"/>
        <w:left w:val="none" w:sz="0" w:space="0" w:color="auto"/>
        <w:bottom w:val="none" w:sz="0" w:space="0" w:color="auto"/>
        <w:right w:val="none" w:sz="0" w:space="0" w:color="auto"/>
      </w:divBdr>
    </w:div>
    <w:div w:id="1604462551">
      <w:bodyDiv w:val="1"/>
      <w:marLeft w:val="0"/>
      <w:marRight w:val="0"/>
      <w:marTop w:val="0"/>
      <w:marBottom w:val="0"/>
      <w:divBdr>
        <w:top w:val="none" w:sz="0" w:space="0" w:color="auto"/>
        <w:left w:val="none" w:sz="0" w:space="0" w:color="auto"/>
        <w:bottom w:val="none" w:sz="0" w:space="0" w:color="auto"/>
        <w:right w:val="none" w:sz="0" w:space="0" w:color="auto"/>
      </w:divBdr>
    </w:div>
    <w:div w:id="1619096002">
      <w:bodyDiv w:val="1"/>
      <w:marLeft w:val="0"/>
      <w:marRight w:val="0"/>
      <w:marTop w:val="0"/>
      <w:marBottom w:val="0"/>
      <w:divBdr>
        <w:top w:val="none" w:sz="0" w:space="0" w:color="auto"/>
        <w:left w:val="none" w:sz="0" w:space="0" w:color="auto"/>
        <w:bottom w:val="none" w:sz="0" w:space="0" w:color="auto"/>
        <w:right w:val="none" w:sz="0" w:space="0" w:color="auto"/>
      </w:divBdr>
    </w:div>
    <w:div w:id="1778476682">
      <w:bodyDiv w:val="1"/>
      <w:marLeft w:val="0"/>
      <w:marRight w:val="0"/>
      <w:marTop w:val="0"/>
      <w:marBottom w:val="0"/>
      <w:divBdr>
        <w:top w:val="none" w:sz="0" w:space="0" w:color="auto"/>
        <w:left w:val="none" w:sz="0" w:space="0" w:color="auto"/>
        <w:bottom w:val="none" w:sz="0" w:space="0" w:color="auto"/>
        <w:right w:val="none" w:sz="0" w:space="0" w:color="auto"/>
      </w:divBdr>
    </w:div>
    <w:div w:id="1797874838">
      <w:bodyDiv w:val="1"/>
      <w:marLeft w:val="0"/>
      <w:marRight w:val="0"/>
      <w:marTop w:val="0"/>
      <w:marBottom w:val="0"/>
      <w:divBdr>
        <w:top w:val="none" w:sz="0" w:space="0" w:color="auto"/>
        <w:left w:val="none" w:sz="0" w:space="0" w:color="auto"/>
        <w:bottom w:val="none" w:sz="0" w:space="0" w:color="auto"/>
        <w:right w:val="none" w:sz="0" w:space="0" w:color="auto"/>
      </w:divBdr>
    </w:div>
    <w:div w:id="1843155236">
      <w:bodyDiv w:val="1"/>
      <w:marLeft w:val="0"/>
      <w:marRight w:val="0"/>
      <w:marTop w:val="0"/>
      <w:marBottom w:val="0"/>
      <w:divBdr>
        <w:top w:val="none" w:sz="0" w:space="0" w:color="auto"/>
        <w:left w:val="none" w:sz="0" w:space="0" w:color="auto"/>
        <w:bottom w:val="none" w:sz="0" w:space="0" w:color="auto"/>
        <w:right w:val="none" w:sz="0" w:space="0" w:color="auto"/>
      </w:divBdr>
    </w:div>
    <w:div w:id="1859461401">
      <w:bodyDiv w:val="1"/>
      <w:marLeft w:val="0"/>
      <w:marRight w:val="0"/>
      <w:marTop w:val="0"/>
      <w:marBottom w:val="0"/>
      <w:divBdr>
        <w:top w:val="none" w:sz="0" w:space="0" w:color="auto"/>
        <w:left w:val="none" w:sz="0" w:space="0" w:color="auto"/>
        <w:bottom w:val="none" w:sz="0" w:space="0" w:color="auto"/>
        <w:right w:val="none" w:sz="0" w:space="0" w:color="auto"/>
      </w:divBdr>
    </w:div>
    <w:div w:id="1901594647">
      <w:bodyDiv w:val="1"/>
      <w:marLeft w:val="0"/>
      <w:marRight w:val="0"/>
      <w:marTop w:val="0"/>
      <w:marBottom w:val="0"/>
      <w:divBdr>
        <w:top w:val="none" w:sz="0" w:space="0" w:color="auto"/>
        <w:left w:val="none" w:sz="0" w:space="0" w:color="auto"/>
        <w:bottom w:val="none" w:sz="0" w:space="0" w:color="auto"/>
        <w:right w:val="none" w:sz="0" w:space="0" w:color="auto"/>
      </w:divBdr>
    </w:div>
    <w:div w:id="1956863438">
      <w:bodyDiv w:val="1"/>
      <w:marLeft w:val="0"/>
      <w:marRight w:val="0"/>
      <w:marTop w:val="0"/>
      <w:marBottom w:val="0"/>
      <w:divBdr>
        <w:top w:val="none" w:sz="0" w:space="0" w:color="auto"/>
        <w:left w:val="none" w:sz="0" w:space="0" w:color="auto"/>
        <w:bottom w:val="none" w:sz="0" w:space="0" w:color="auto"/>
        <w:right w:val="none" w:sz="0" w:space="0" w:color="auto"/>
      </w:divBdr>
    </w:div>
    <w:div w:id="2005284058">
      <w:bodyDiv w:val="1"/>
      <w:marLeft w:val="0"/>
      <w:marRight w:val="0"/>
      <w:marTop w:val="0"/>
      <w:marBottom w:val="0"/>
      <w:divBdr>
        <w:top w:val="none" w:sz="0" w:space="0" w:color="auto"/>
        <w:left w:val="none" w:sz="0" w:space="0" w:color="auto"/>
        <w:bottom w:val="none" w:sz="0" w:space="0" w:color="auto"/>
        <w:right w:val="none" w:sz="0" w:space="0" w:color="auto"/>
      </w:divBdr>
    </w:div>
    <w:div w:id="2008710560">
      <w:bodyDiv w:val="1"/>
      <w:marLeft w:val="0"/>
      <w:marRight w:val="0"/>
      <w:marTop w:val="0"/>
      <w:marBottom w:val="0"/>
      <w:divBdr>
        <w:top w:val="none" w:sz="0" w:space="0" w:color="auto"/>
        <w:left w:val="none" w:sz="0" w:space="0" w:color="auto"/>
        <w:bottom w:val="none" w:sz="0" w:space="0" w:color="auto"/>
        <w:right w:val="none" w:sz="0" w:space="0" w:color="auto"/>
      </w:divBdr>
    </w:div>
    <w:div w:id="2046786609">
      <w:bodyDiv w:val="1"/>
      <w:marLeft w:val="0"/>
      <w:marRight w:val="0"/>
      <w:marTop w:val="0"/>
      <w:marBottom w:val="0"/>
      <w:divBdr>
        <w:top w:val="none" w:sz="0" w:space="0" w:color="auto"/>
        <w:left w:val="none" w:sz="0" w:space="0" w:color="auto"/>
        <w:bottom w:val="none" w:sz="0" w:space="0" w:color="auto"/>
        <w:right w:val="none" w:sz="0" w:space="0" w:color="auto"/>
      </w:divBdr>
    </w:div>
    <w:div w:id="2074892902">
      <w:bodyDiv w:val="1"/>
      <w:marLeft w:val="0"/>
      <w:marRight w:val="0"/>
      <w:marTop w:val="0"/>
      <w:marBottom w:val="0"/>
      <w:divBdr>
        <w:top w:val="none" w:sz="0" w:space="0" w:color="auto"/>
        <w:left w:val="none" w:sz="0" w:space="0" w:color="auto"/>
        <w:bottom w:val="none" w:sz="0" w:space="0" w:color="auto"/>
        <w:right w:val="none" w:sz="0" w:space="0" w:color="auto"/>
      </w:divBdr>
    </w:div>
    <w:div w:id="20838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30</TotalTime>
  <Pages>15</Pages>
  <Words>4457</Words>
  <Characters>30557</Characters>
  <Application>Microsoft Office Word</Application>
  <DocSecurity>0</DocSecurity>
  <Lines>254</Lines>
  <Paragraphs>69</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2023101278, MT</dc:description>
  <cp:lastModifiedBy>Gitte Jørgensen</cp:lastModifiedBy>
  <cp:revision>12</cp:revision>
  <cp:lastPrinted>2012-08-22T08:53:00Z</cp:lastPrinted>
  <dcterms:created xsi:type="dcterms:W3CDTF">2026-03-09T13:39:00Z</dcterms:created>
  <dcterms:modified xsi:type="dcterms:W3CDTF">2026-03-10T13:52:00Z</dcterms:modified>
</cp:coreProperties>
</file>