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19595" w14:textId="6A897E59" w:rsidR="009260DE" w:rsidRPr="00B574C8" w:rsidRDefault="0021526C" w:rsidP="00B574C8">
      <w:pPr>
        <w:rPr>
          <w:b/>
          <w:sz w:val="24"/>
          <w:szCs w:val="24"/>
        </w:rPr>
      </w:pPr>
      <w:r w:rsidRPr="00B574C8">
        <w:rPr>
          <w:noProof/>
          <w:sz w:val="24"/>
          <w:szCs w:val="24"/>
          <w:lang w:eastAsia="da-DK"/>
        </w:rPr>
        <w:drawing>
          <wp:anchor distT="0" distB="0" distL="114300" distR="114300" simplePos="0" relativeHeight="251658240" behindDoc="0" locked="0" layoutInCell="1" allowOverlap="1" wp14:anchorId="68453E58" wp14:editId="4375ADA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574C8">
        <w:rPr>
          <w:sz w:val="24"/>
          <w:szCs w:val="24"/>
        </w:rPr>
        <w:br w:type="textWrapping" w:clear="all"/>
      </w:r>
    </w:p>
    <w:p w14:paraId="01E43293" w14:textId="5D35F7F1" w:rsidR="009260DE" w:rsidRPr="00B574C8" w:rsidRDefault="009260DE" w:rsidP="009260DE">
      <w:pPr>
        <w:pStyle w:val="Titel"/>
        <w:tabs>
          <w:tab w:val="right" w:pos="9356"/>
        </w:tabs>
        <w:jc w:val="left"/>
        <w:rPr>
          <w:b w:val="0"/>
          <w:szCs w:val="24"/>
          <w:lang w:eastAsia="en-US"/>
        </w:rPr>
      </w:pPr>
      <w:r w:rsidRPr="00B574C8">
        <w:rPr>
          <w:b w:val="0"/>
          <w:szCs w:val="24"/>
          <w:lang w:eastAsia="en-US"/>
        </w:rPr>
        <w:tab/>
      </w:r>
      <w:r w:rsidR="00215F93">
        <w:rPr>
          <w:szCs w:val="24"/>
        </w:rPr>
        <w:t>14</w:t>
      </w:r>
      <w:r w:rsidR="00F26B98">
        <w:rPr>
          <w:szCs w:val="24"/>
        </w:rPr>
        <w:t>. marts</w:t>
      </w:r>
      <w:r w:rsidR="009C0264">
        <w:rPr>
          <w:szCs w:val="24"/>
        </w:rPr>
        <w:t xml:space="preserve"> 202</w:t>
      </w:r>
      <w:r w:rsidR="00962C01">
        <w:rPr>
          <w:szCs w:val="24"/>
        </w:rPr>
        <w:t>5</w:t>
      </w:r>
    </w:p>
    <w:p w14:paraId="66E3C1CD" w14:textId="6C91D794" w:rsidR="00741563" w:rsidRPr="00B574C8" w:rsidRDefault="00741563" w:rsidP="009260DE">
      <w:pPr>
        <w:pStyle w:val="Titel"/>
        <w:tabs>
          <w:tab w:val="left" w:pos="8222"/>
        </w:tabs>
        <w:jc w:val="left"/>
        <w:rPr>
          <w:b w:val="0"/>
          <w:szCs w:val="24"/>
        </w:rPr>
      </w:pPr>
    </w:p>
    <w:p w14:paraId="11C1E09A" w14:textId="3C20EF47" w:rsidR="009260DE" w:rsidRDefault="009260DE" w:rsidP="009260DE">
      <w:pPr>
        <w:pStyle w:val="Titel"/>
        <w:jc w:val="left"/>
        <w:rPr>
          <w:b w:val="0"/>
          <w:szCs w:val="24"/>
        </w:rPr>
      </w:pPr>
    </w:p>
    <w:p w14:paraId="07586E1F" w14:textId="77777777" w:rsidR="005C3AC1" w:rsidRPr="00B574C8" w:rsidRDefault="005C3AC1" w:rsidP="009260DE">
      <w:pPr>
        <w:pStyle w:val="Titel"/>
        <w:jc w:val="left"/>
        <w:rPr>
          <w:b w:val="0"/>
          <w:szCs w:val="24"/>
        </w:rPr>
      </w:pPr>
    </w:p>
    <w:p w14:paraId="55D22E9D" w14:textId="77777777" w:rsidR="009260DE" w:rsidRPr="00B574C8" w:rsidRDefault="009260DE" w:rsidP="009260DE">
      <w:pPr>
        <w:jc w:val="center"/>
        <w:rPr>
          <w:b/>
          <w:sz w:val="24"/>
          <w:szCs w:val="24"/>
        </w:rPr>
      </w:pPr>
      <w:r w:rsidRPr="00B574C8">
        <w:rPr>
          <w:b/>
          <w:sz w:val="24"/>
          <w:szCs w:val="24"/>
        </w:rPr>
        <w:t>PRODUKTRESUMÉ</w:t>
      </w:r>
    </w:p>
    <w:p w14:paraId="7B531F7D" w14:textId="77777777" w:rsidR="009260DE" w:rsidRPr="00B574C8" w:rsidRDefault="009260DE" w:rsidP="009260DE">
      <w:pPr>
        <w:jc w:val="center"/>
        <w:rPr>
          <w:b/>
          <w:sz w:val="24"/>
          <w:szCs w:val="24"/>
        </w:rPr>
      </w:pPr>
    </w:p>
    <w:p w14:paraId="3EEBF22D" w14:textId="77777777" w:rsidR="009260DE" w:rsidRPr="00B574C8" w:rsidRDefault="009260DE" w:rsidP="009260DE">
      <w:pPr>
        <w:jc w:val="center"/>
        <w:rPr>
          <w:b/>
          <w:sz w:val="24"/>
          <w:szCs w:val="24"/>
        </w:rPr>
      </w:pPr>
      <w:r w:rsidRPr="00B574C8">
        <w:rPr>
          <w:b/>
          <w:sz w:val="24"/>
          <w:szCs w:val="24"/>
        </w:rPr>
        <w:t>for</w:t>
      </w:r>
    </w:p>
    <w:p w14:paraId="7CB6743F" w14:textId="77777777" w:rsidR="000B058C" w:rsidRPr="00B574C8" w:rsidRDefault="000B058C" w:rsidP="009260DE">
      <w:pPr>
        <w:jc w:val="center"/>
        <w:rPr>
          <w:b/>
          <w:sz w:val="24"/>
          <w:szCs w:val="24"/>
        </w:rPr>
      </w:pPr>
    </w:p>
    <w:p w14:paraId="7E969529" w14:textId="1ED9B445" w:rsidR="009260DE" w:rsidRPr="00962C01" w:rsidRDefault="00962C01" w:rsidP="009260DE">
      <w:pPr>
        <w:jc w:val="center"/>
        <w:rPr>
          <w:b/>
          <w:sz w:val="24"/>
          <w:szCs w:val="24"/>
          <w:lang w:val="en-US"/>
        </w:rPr>
      </w:pPr>
      <w:proofErr w:type="gramStart"/>
      <w:r w:rsidRPr="00962C01">
        <w:rPr>
          <w:b/>
          <w:sz w:val="24"/>
          <w:szCs w:val="24"/>
          <w:lang w:val="en-US"/>
        </w:rPr>
        <w:t>Ibuprofen ”Nordic</w:t>
      </w:r>
      <w:proofErr w:type="gramEnd"/>
      <w:r w:rsidRPr="00962C01">
        <w:rPr>
          <w:b/>
          <w:sz w:val="24"/>
          <w:szCs w:val="24"/>
          <w:lang w:val="en-US"/>
        </w:rPr>
        <w:t xml:space="preserve"> Prime”, </w:t>
      </w:r>
      <w:r w:rsidR="00655C70" w:rsidRPr="00962C01">
        <w:rPr>
          <w:b/>
          <w:sz w:val="24"/>
          <w:szCs w:val="24"/>
          <w:lang w:val="en-US"/>
        </w:rPr>
        <w:t>oral suspension</w:t>
      </w:r>
      <w:r>
        <w:rPr>
          <w:b/>
          <w:sz w:val="24"/>
          <w:szCs w:val="24"/>
          <w:lang w:val="en-US"/>
        </w:rPr>
        <w:t xml:space="preserve"> (</w:t>
      </w:r>
      <w:r w:rsidRPr="00962C01">
        <w:rPr>
          <w:b/>
          <w:sz w:val="24"/>
          <w:szCs w:val="24"/>
          <w:lang w:val="en-US"/>
        </w:rPr>
        <w:t>Nordic Prime</w:t>
      </w:r>
      <w:r>
        <w:rPr>
          <w:b/>
          <w:sz w:val="24"/>
          <w:szCs w:val="24"/>
          <w:lang w:val="en-US"/>
        </w:rPr>
        <w:t>)</w:t>
      </w:r>
    </w:p>
    <w:p w14:paraId="71E544E5" w14:textId="77777777" w:rsidR="009260DE" w:rsidRPr="00962C01" w:rsidRDefault="009260DE" w:rsidP="009260DE">
      <w:pPr>
        <w:jc w:val="both"/>
        <w:rPr>
          <w:sz w:val="24"/>
          <w:szCs w:val="24"/>
          <w:lang w:val="en-US"/>
        </w:rPr>
      </w:pPr>
    </w:p>
    <w:p w14:paraId="039100E7" w14:textId="77777777" w:rsidR="009260DE" w:rsidRPr="00962C01" w:rsidRDefault="009260DE" w:rsidP="009260DE">
      <w:pPr>
        <w:jc w:val="both"/>
        <w:rPr>
          <w:sz w:val="24"/>
          <w:szCs w:val="24"/>
          <w:lang w:val="en-US"/>
        </w:rPr>
      </w:pPr>
    </w:p>
    <w:p w14:paraId="6CDC4D32" w14:textId="77777777" w:rsidR="009260DE" w:rsidRPr="00741563" w:rsidRDefault="009260DE" w:rsidP="009260DE">
      <w:pPr>
        <w:tabs>
          <w:tab w:val="left" w:pos="851"/>
        </w:tabs>
        <w:ind w:left="851" w:hanging="851"/>
        <w:rPr>
          <w:b/>
          <w:sz w:val="24"/>
          <w:szCs w:val="24"/>
          <w:lang w:val="en-US"/>
        </w:rPr>
      </w:pPr>
      <w:r w:rsidRPr="00741563">
        <w:rPr>
          <w:b/>
          <w:sz w:val="24"/>
          <w:szCs w:val="24"/>
          <w:lang w:val="en-US"/>
        </w:rPr>
        <w:t>0.</w:t>
      </w:r>
      <w:r w:rsidRPr="00741563">
        <w:rPr>
          <w:b/>
          <w:sz w:val="24"/>
          <w:szCs w:val="24"/>
          <w:lang w:val="en-US"/>
        </w:rPr>
        <w:tab/>
      </w:r>
      <w:proofErr w:type="gramStart"/>
      <w:r w:rsidRPr="00741563">
        <w:rPr>
          <w:b/>
          <w:sz w:val="24"/>
          <w:szCs w:val="24"/>
          <w:lang w:val="en-US"/>
        </w:rPr>
        <w:t>D.SP.NR</w:t>
      </w:r>
      <w:proofErr w:type="gramEnd"/>
      <w:r w:rsidRPr="00741563">
        <w:rPr>
          <w:b/>
          <w:sz w:val="24"/>
          <w:szCs w:val="24"/>
          <w:lang w:val="en-US"/>
        </w:rPr>
        <w:t>.</w:t>
      </w:r>
    </w:p>
    <w:p w14:paraId="5A8A689B" w14:textId="2391681E" w:rsidR="009260DE" w:rsidRPr="00741563" w:rsidRDefault="000D062E" w:rsidP="009260DE">
      <w:pPr>
        <w:tabs>
          <w:tab w:val="left" w:pos="851"/>
        </w:tabs>
        <w:ind w:left="851"/>
        <w:rPr>
          <w:sz w:val="24"/>
          <w:szCs w:val="24"/>
          <w:lang w:val="en-US"/>
        </w:rPr>
      </w:pPr>
      <w:r w:rsidRPr="00741563">
        <w:rPr>
          <w:sz w:val="24"/>
          <w:szCs w:val="24"/>
          <w:lang w:val="en-US"/>
        </w:rPr>
        <w:t>32458</w:t>
      </w:r>
    </w:p>
    <w:p w14:paraId="0ADBDC73" w14:textId="77777777" w:rsidR="009260DE" w:rsidRPr="00741563" w:rsidRDefault="009260DE" w:rsidP="009260DE">
      <w:pPr>
        <w:tabs>
          <w:tab w:val="left" w:pos="851"/>
        </w:tabs>
        <w:ind w:left="851"/>
        <w:rPr>
          <w:sz w:val="24"/>
          <w:szCs w:val="24"/>
          <w:lang w:val="en-US"/>
        </w:rPr>
      </w:pPr>
    </w:p>
    <w:p w14:paraId="2FA4EEF6" w14:textId="77777777" w:rsidR="009260DE" w:rsidRPr="00741563" w:rsidRDefault="009260DE" w:rsidP="009260DE">
      <w:pPr>
        <w:tabs>
          <w:tab w:val="left" w:pos="851"/>
        </w:tabs>
        <w:ind w:left="851" w:hanging="851"/>
        <w:rPr>
          <w:b/>
          <w:sz w:val="24"/>
          <w:szCs w:val="24"/>
          <w:lang w:val="en-US"/>
        </w:rPr>
      </w:pPr>
      <w:r w:rsidRPr="00741563">
        <w:rPr>
          <w:b/>
          <w:sz w:val="24"/>
          <w:szCs w:val="24"/>
          <w:lang w:val="en-US"/>
        </w:rPr>
        <w:t>1.</w:t>
      </w:r>
      <w:r w:rsidRPr="00741563">
        <w:rPr>
          <w:b/>
          <w:sz w:val="24"/>
          <w:szCs w:val="24"/>
          <w:lang w:val="en-US"/>
        </w:rPr>
        <w:tab/>
        <w:t>LÆGEMIDLETS NAVN</w:t>
      </w:r>
    </w:p>
    <w:p w14:paraId="65701C45" w14:textId="25E9FF27" w:rsidR="009260DE" w:rsidRPr="00741563" w:rsidRDefault="00962C01" w:rsidP="009260DE">
      <w:pPr>
        <w:tabs>
          <w:tab w:val="left" w:pos="851"/>
        </w:tabs>
        <w:ind w:left="851"/>
        <w:rPr>
          <w:sz w:val="24"/>
          <w:szCs w:val="24"/>
          <w:lang w:val="en-US"/>
        </w:rPr>
      </w:pPr>
      <w:proofErr w:type="gramStart"/>
      <w:r w:rsidRPr="00741563">
        <w:rPr>
          <w:sz w:val="24"/>
          <w:szCs w:val="24"/>
          <w:lang w:val="en-US"/>
        </w:rPr>
        <w:t>Ibuprofen ”Nordic</w:t>
      </w:r>
      <w:proofErr w:type="gramEnd"/>
      <w:r w:rsidRPr="00741563">
        <w:rPr>
          <w:sz w:val="24"/>
          <w:szCs w:val="24"/>
          <w:lang w:val="en-US"/>
        </w:rPr>
        <w:t xml:space="preserve"> Prime”</w:t>
      </w:r>
    </w:p>
    <w:p w14:paraId="18F97928" w14:textId="77777777" w:rsidR="009260DE" w:rsidRPr="00741563" w:rsidRDefault="009260DE" w:rsidP="009260DE">
      <w:pPr>
        <w:tabs>
          <w:tab w:val="left" w:pos="851"/>
        </w:tabs>
        <w:ind w:left="851"/>
        <w:rPr>
          <w:sz w:val="24"/>
          <w:szCs w:val="24"/>
          <w:lang w:val="en-US"/>
        </w:rPr>
      </w:pPr>
    </w:p>
    <w:p w14:paraId="35A9B133" w14:textId="77777777" w:rsidR="009260DE" w:rsidRPr="00741563" w:rsidRDefault="009260DE" w:rsidP="009260DE">
      <w:pPr>
        <w:tabs>
          <w:tab w:val="left" w:pos="851"/>
        </w:tabs>
        <w:ind w:left="851" w:hanging="851"/>
        <w:rPr>
          <w:b/>
          <w:sz w:val="24"/>
          <w:szCs w:val="24"/>
          <w:lang w:val="en-US"/>
        </w:rPr>
      </w:pPr>
      <w:r w:rsidRPr="00741563">
        <w:rPr>
          <w:b/>
          <w:sz w:val="24"/>
          <w:szCs w:val="24"/>
          <w:lang w:val="en-US"/>
        </w:rPr>
        <w:t>2.</w:t>
      </w:r>
      <w:r w:rsidRPr="00741563">
        <w:rPr>
          <w:b/>
          <w:sz w:val="24"/>
          <w:szCs w:val="24"/>
          <w:lang w:val="en-US"/>
        </w:rPr>
        <w:tab/>
        <w:t>KVALITATIV OG KVANTITATIV SAMMENSÆTNING</w:t>
      </w:r>
    </w:p>
    <w:p w14:paraId="033F8B9E" w14:textId="77777777" w:rsidR="00826AA6" w:rsidRPr="00741563" w:rsidRDefault="00826AA6" w:rsidP="00826AA6">
      <w:pPr>
        <w:ind w:left="851"/>
        <w:rPr>
          <w:sz w:val="24"/>
          <w:szCs w:val="24"/>
          <w:lang w:val="en-US"/>
        </w:rPr>
      </w:pPr>
      <w:bookmarkStart w:id="0" w:name="_Hlk128668558"/>
      <w:r w:rsidRPr="00741563">
        <w:rPr>
          <w:sz w:val="24"/>
          <w:szCs w:val="24"/>
          <w:lang w:val="en-US"/>
        </w:rPr>
        <w:t xml:space="preserve">1 ml oral suspension </w:t>
      </w:r>
      <w:proofErr w:type="spellStart"/>
      <w:r w:rsidRPr="00741563">
        <w:rPr>
          <w:sz w:val="24"/>
          <w:szCs w:val="24"/>
          <w:lang w:val="en-US"/>
        </w:rPr>
        <w:t>indeholder</w:t>
      </w:r>
      <w:proofErr w:type="spellEnd"/>
      <w:r w:rsidRPr="00741563">
        <w:rPr>
          <w:sz w:val="24"/>
          <w:szCs w:val="24"/>
          <w:lang w:val="en-US"/>
        </w:rPr>
        <w:t xml:space="preserve"> 20 mg ibuprofen.</w:t>
      </w:r>
    </w:p>
    <w:bookmarkEnd w:id="0"/>
    <w:p w14:paraId="37DBEF3C" w14:textId="77777777" w:rsidR="00826AA6" w:rsidRPr="00741563" w:rsidRDefault="00826AA6" w:rsidP="00826AA6">
      <w:pPr>
        <w:ind w:left="851" w:hanging="851"/>
        <w:rPr>
          <w:sz w:val="24"/>
          <w:szCs w:val="24"/>
          <w:lang w:val="en-US"/>
        </w:rPr>
      </w:pPr>
    </w:p>
    <w:p w14:paraId="0B75AB8A" w14:textId="77777777" w:rsidR="00826AA6" w:rsidRPr="00741563" w:rsidRDefault="00826AA6" w:rsidP="00826AA6">
      <w:pPr>
        <w:ind w:left="851"/>
        <w:rPr>
          <w:sz w:val="24"/>
          <w:szCs w:val="24"/>
          <w:lang w:val="en-US"/>
        </w:rPr>
      </w:pPr>
      <w:proofErr w:type="spellStart"/>
      <w:r w:rsidRPr="00741563">
        <w:rPr>
          <w:sz w:val="24"/>
          <w:szCs w:val="24"/>
          <w:u w:val="single"/>
          <w:lang w:val="en-US"/>
        </w:rPr>
        <w:t>Hjælpestoffer</w:t>
      </w:r>
      <w:proofErr w:type="spellEnd"/>
      <w:r w:rsidRPr="00741563">
        <w:rPr>
          <w:sz w:val="24"/>
          <w:szCs w:val="24"/>
          <w:u w:val="single"/>
          <w:lang w:val="en-US"/>
        </w:rPr>
        <w:t xml:space="preserve">, </w:t>
      </w:r>
      <w:proofErr w:type="spellStart"/>
      <w:r w:rsidRPr="00741563">
        <w:rPr>
          <w:sz w:val="24"/>
          <w:szCs w:val="24"/>
          <w:u w:val="single"/>
          <w:lang w:val="en-US"/>
        </w:rPr>
        <w:t>som</w:t>
      </w:r>
      <w:proofErr w:type="spellEnd"/>
      <w:r w:rsidRPr="00741563">
        <w:rPr>
          <w:sz w:val="24"/>
          <w:szCs w:val="24"/>
          <w:u w:val="single"/>
          <w:lang w:val="en-US"/>
        </w:rPr>
        <w:t xml:space="preserve"> </w:t>
      </w:r>
      <w:proofErr w:type="spellStart"/>
      <w:r w:rsidRPr="00741563">
        <w:rPr>
          <w:sz w:val="24"/>
          <w:szCs w:val="24"/>
          <w:u w:val="single"/>
          <w:lang w:val="en-US"/>
        </w:rPr>
        <w:t>behandleren</w:t>
      </w:r>
      <w:proofErr w:type="spellEnd"/>
      <w:r w:rsidRPr="00741563">
        <w:rPr>
          <w:sz w:val="24"/>
          <w:szCs w:val="24"/>
          <w:u w:val="single"/>
          <w:lang w:val="en-US"/>
        </w:rPr>
        <w:t xml:space="preserve"> </w:t>
      </w:r>
      <w:proofErr w:type="spellStart"/>
      <w:r w:rsidRPr="00741563">
        <w:rPr>
          <w:sz w:val="24"/>
          <w:szCs w:val="24"/>
          <w:u w:val="single"/>
          <w:lang w:val="en-US"/>
        </w:rPr>
        <w:t>skal</w:t>
      </w:r>
      <w:proofErr w:type="spellEnd"/>
      <w:r w:rsidRPr="00741563">
        <w:rPr>
          <w:sz w:val="24"/>
          <w:szCs w:val="24"/>
          <w:u w:val="single"/>
          <w:lang w:val="en-US"/>
        </w:rPr>
        <w:t xml:space="preserve"> </w:t>
      </w:r>
      <w:proofErr w:type="spellStart"/>
      <w:r w:rsidRPr="00741563">
        <w:rPr>
          <w:sz w:val="24"/>
          <w:szCs w:val="24"/>
          <w:u w:val="single"/>
          <w:lang w:val="en-US"/>
        </w:rPr>
        <w:t>være</w:t>
      </w:r>
      <w:proofErr w:type="spellEnd"/>
      <w:r w:rsidRPr="00741563">
        <w:rPr>
          <w:sz w:val="24"/>
          <w:szCs w:val="24"/>
          <w:u w:val="single"/>
          <w:lang w:val="en-US"/>
        </w:rPr>
        <w:t xml:space="preserve"> </w:t>
      </w:r>
      <w:proofErr w:type="spellStart"/>
      <w:r w:rsidRPr="00741563">
        <w:rPr>
          <w:sz w:val="24"/>
          <w:szCs w:val="24"/>
          <w:u w:val="single"/>
          <w:lang w:val="en-US"/>
        </w:rPr>
        <w:t>opmærksom</w:t>
      </w:r>
      <w:proofErr w:type="spellEnd"/>
      <w:r w:rsidRPr="00741563">
        <w:rPr>
          <w:sz w:val="24"/>
          <w:szCs w:val="24"/>
          <w:u w:val="single"/>
          <w:lang w:val="en-US"/>
        </w:rPr>
        <w:t xml:space="preserve"> </w:t>
      </w:r>
      <w:proofErr w:type="spellStart"/>
      <w:r w:rsidRPr="00741563">
        <w:rPr>
          <w:sz w:val="24"/>
          <w:szCs w:val="24"/>
          <w:u w:val="single"/>
          <w:lang w:val="en-US"/>
        </w:rPr>
        <w:t>på</w:t>
      </w:r>
      <w:proofErr w:type="spellEnd"/>
      <w:r w:rsidRPr="00741563">
        <w:rPr>
          <w:sz w:val="24"/>
          <w:szCs w:val="24"/>
          <w:lang w:val="en-US"/>
        </w:rPr>
        <w:t xml:space="preserve"> </w:t>
      </w:r>
    </w:p>
    <w:p w14:paraId="3C429657" w14:textId="77777777" w:rsidR="00826AA6" w:rsidRPr="00B574C8" w:rsidRDefault="00826AA6" w:rsidP="00826AA6">
      <w:pPr>
        <w:pStyle w:val="Listeafsnit"/>
        <w:numPr>
          <w:ilvl w:val="0"/>
          <w:numId w:val="6"/>
        </w:numPr>
        <w:rPr>
          <w:sz w:val="24"/>
          <w:szCs w:val="24"/>
        </w:rPr>
      </w:pPr>
      <w:r w:rsidRPr="00B574C8">
        <w:rPr>
          <w:sz w:val="24"/>
          <w:szCs w:val="24"/>
        </w:rPr>
        <w:t xml:space="preserve">Flydende </w:t>
      </w:r>
      <w:proofErr w:type="spellStart"/>
      <w:r w:rsidRPr="00B574C8">
        <w:rPr>
          <w:sz w:val="24"/>
          <w:szCs w:val="24"/>
        </w:rPr>
        <w:t>maltitol</w:t>
      </w:r>
      <w:proofErr w:type="spellEnd"/>
      <w:r w:rsidRPr="00B574C8">
        <w:rPr>
          <w:sz w:val="24"/>
          <w:szCs w:val="24"/>
        </w:rPr>
        <w:t xml:space="preserve"> 250 mg/ml </w:t>
      </w:r>
    </w:p>
    <w:p w14:paraId="618E4CD6" w14:textId="6E36E09B" w:rsidR="00826AA6" w:rsidRPr="00B574C8" w:rsidRDefault="00826AA6" w:rsidP="00826AA6">
      <w:pPr>
        <w:pStyle w:val="Listeafsnit"/>
        <w:numPr>
          <w:ilvl w:val="0"/>
          <w:numId w:val="6"/>
        </w:numPr>
        <w:rPr>
          <w:sz w:val="24"/>
          <w:szCs w:val="24"/>
        </w:rPr>
      </w:pPr>
      <w:r w:rsidRPr="00B574C8">
        <w:rPr>
          <w:sz w:val="24"/>
          <w:szCs w:val="24"/>
        </w:rPr>
        <w:t>Natriumbenzoat 2 mg/ml</w:t>
      </w:r>
    </w:p>
    <w:p w14:paraId="2B26A7A7" w14:textId="04640507" w:rsidR="00826AA6" w:rsidRPr="00B574C8" w:rsidRDefault="00826AA6" w:rsidP="00826AA6">
      <w:pPr>
        <w:pStyle w:val="Listeafsnit"/>
        <w:numPr>
          <w:ilvl w:val="0"/>
          <w:numId w:val="6"/>
        </w:numPr>
        <w:rPr>
          <w:sz w:val="24"/>
          <w:szCs w:val="24"/>
        </w:rPr>
      </w:pPr>
      <w:r w:rsidRPr="00B574C8">
        <w:rPr>
          <w:sz w:val="24"/>
          <w:szCs w:val="24"/>
        </w:rPr>
        <w:t>Propylenglycol 4,77 mg/ml</w:t>
      </w:r>
    </w:p>
    <w:p w14:paraId="04FA7974" w14:textId="77777777" w:rsidR="00826AA6" w:rsidRPr="00B574C8" w:rsidRDefault="00826AA6" w:rsidP="00826AA6">
      <w:pPr>
        <w:pStyle w:val="Listeafsnit"/>
        <w:numPr>
          <w:ilvl w:val="0"/>
          <w:numId w:val="6"/>
        </w:numPr>
        <w:rPr>
          <w:sz w:val="24"/>
          <w:szCs w:val="24"/>
        </w:rPr>
      </w:pPr>
      <w:proofErr w:type="spellStart"/>
      <w:r w:rsidRPr="00B574C8">
        <w:rPr>
          <w:sz w:val="24"/>
          <w:szCs w:val="24"/>
        </w:rPr>
        <w:t>Ethanol</w:t>
      </w:r>
      <w:proofErr w:type="spellEnd"/>
      <w:r w:rsidRPr="00B574C8">
        <w:rPr>
          <w:sz w:val="24"/>
          <w:szCs w:val="24"/>
        </w:rPr>
        <w:t xml:space="preserve"> 1,4 mg/ml</w:t>
      </w:r>
    </w:p>
    <w:p w14:paraId="18120B12" w14:textId="77777777" w:rsidR="00826AA6" w:rsidRPr="00B574C8" w:rsidRDefault="00826AA6" w:rsidP="00826AA6">
      <w:pPr>
        <w:ind w:left="851"/>
        <w:rPr>
          <w:sz w:val="24"/>
          <w:szCs w:val="24"/>
        </w:rPr>
      </w:pPr>
    </w:p>
    <w:p w14:paraId="073F604C" w14:textId="77777777" w:rsidR="00826AA6" w:rsidRPr="00B574C8" w:rsidRDefault="00826AA6" w:rsidP="00826AA6">
      <w:pPr>
        <w:ind w:left="851"/>
        <w:rPr>
          <w:b/>
          <w:sz w:val="24"/>
          <w:szCs w:val="24"/>
          <w:u w:val="single"/>
        </w:rPr>
      </w:pPr>
      <w:r w:rsidRPr="00B574C8">
        <w:rPr>
          <w:sz w:val="24"/>
          <w:szCs w:val="24"/>
        </w:rPr>
        <w:t xml:space="preserve">Alle hjælpestoffer er anført under pkt. 6.1. </w:t>
      </w:r>
    </w:p>
    <w:p w14:paraId="723B6892" w14:textId="77777777" w:rsidR="009260DE" w:rsidRPr="00B574C8" w:rsidRDefault="009260DE" w:rsidP="009260DE">
      <w:pPr>
        <w:tabs>
          <w:tab w:val="left" w:pos="851"/>
        </w:tabs>
        <w:ind w:left="851"/>
        <w:rPr>
          <w:sz w:val="24"/>
          <w:szCs w:val="24"/>
        </w:rPr>
      </w:pPr>
    </w:p>
    <w:p w14:paraId="6C27AA37" w14:textId="77777777" w:rsidR="009260DE" w:rsidRPr="00B574C8" w:rsidRDefault="009260DE" w:rsidP="009260DE">
      <w:pPr>
        <w:tabs>
          <w:tab w:val="left" w:pos="851"/>
        </w:tabs>
        <w:ind w:left="851" w:hanging="851"/>
        <w:rPr>
          <w:b/>
          <w:sz w:val="24"/>
          <w:szCs w:val="24"/>
        </w:rPr>
      </w:pPr>
      <w:r w:rsidRPr="00B574C8">
        <w:rPr>
          <w:b/>
          <w:sz w:val="24"/>
          <w:szCs w:val="24"/>
        </w:rPr>
        <w:t>3.</w:t>
      </w:r>
      <w:r w:rsidRPr="00B574C8">
        <w:rPr>
          <w:b/>
          <w:sz w:val="24"/>
          <w:szCs w:val="24"/>
        </w:rPr>
        <w:tab/>
        <w:t>LÆGEMIDDELFORM</w:t>
      </w:r>
    </w:p>
    <w:p w14:paraId="131BD038" w14:textId="592544AE" w:rsidR="00826AA6" w:rsidRDefault="00826AA6" w:rsidP="00826AA6">
      <w:pPr>
        <w:ind w:left="851"/>
        <w:rPr>
          <w:sz w:val="24"/>
          <w:szCs w:val="24"/>
        </w:rPr>
      </w:pPr>
      <w:r w:rsidRPr="00B574C8">
        <w:rPr>
          <w:sz w:val="24"/>
          <w:szCs w:val="24"/>
        </w:rPr>
        <w:t>Oral suspension</w:t>
      </w:r>
      <w:r w:rsidR="00311180">
        <w:rPr>
          <w:sz w:val="24"/>
          <w:szCs w:val="24"/>
        </w:rPr>
        <w:t xml:space="preserve"> (Nordic Prime)</w:t>
      </w:r>
    </w:p>
    <w:p w14:paraId="1DC09536" w14:textId="77777777" w:rsidR="009260DE" w:rsidRPr="00B574C8" w:rsidRDefault="009260DE" w:rsidP="00311180">
      <w:pPr>
        <w:tabs>
          <w:tab w:val="left" w:pos="851"/>
        </w:tabs>
        <w:rPr>
          <w:sz w:val="24"/>
          <w:szCs w:val="24"/>
        </w:rPr>
      </w:pPr>
    </w:p>
    <w:p w14:paraId="0028EC52" w14:textId="77777777" w:rsidR="009260DE" w:rsidRPr="00B574C8" w:rsidRDefault="009260DE" w:rsidP="009260DE">
      <w:pPr>
        <w:tabs>
          <w:tab w:val="left" w:pos="851"/>
        </w:tabs>
        <w:ind w:left="851"/>
        <w:rPr>
          <w:sz w:val="24"/>
          <w:szCs w:val="24"/>
        </w:rPr>
      </w:pPr>
    </w:p>
    <w:p w14:paraId="3CFEC601" w14:textId="77777777" w:rsidR="009260DE" w:rsidRPr="00B574C8" w:rsidRDefault="009260DE" w:rsidP="009260DE">
      <w:pPr>
        <w:tabs>
          <w:tab w:val="left" w:pos="851"/>
        </w:tabs>
        <w:ind w:left="851" w:hanging="851"/>
        <w:rPr>
          <w:b/>
          <w:sz w:val="24"/>
          <w:szCs w:val="24"/>
        </w:rPr>
      </w:pPr>
      <w:r w:rsidRPr="00B574C8">
        <w:rPr>
          <w:b/>
          <w:sz w:val="24"/>
          <w:szCs w:val="24"/>
        </w:rPr>
        <w:t>4.</w:t>
      </w:r>
      <w:r w:rsidRPr="00B574C8">
        <w:rPr>
          <w:b/>
          <w:sz w:val="24"/>
          <w:szCs w:val="24"/>
        </w:rPr>
        <w:tab/>
        <w:t>KLINISKE OPLYSNINGER</w:t>
      </w:r>
    </w:p>
    <w:p w14:paraId="14FEE165" w14:textId="77777777" w:rsidR="009260DE" w:rsidRPr="00B574C8" w:rsidRDefault="009260DE" w:rsidP="009260DE">
      <w:pPr>
        <w:tabs>
          <w:tab w:val="left" w:pos="851"/>
        </w:tabs>
        <w:ind w:left="851"/>
        <w:rPr>
          <w:b/>
          <w:sz w:val="24"/>
          <w:szCs w:val="24"/>
        </w:rPr>
      </w:pPr>
    </w:p>
    <w:p w14:paraId="11199711" w14:textId="77777777" w:rsidR="009260DE" w:rsidRPr="00B574C8" w:rsidRDefault="009260DE" w:rsidP="009260DE">
      <w:pPr>
        <w:tabs>
          <w:tab w:val="left" w:pos="851"/>
        </w:tabs>
        <w:ind w:left="851" w:hanging="851"/>
        <w:rPr>
          <w:b/>
          <w:sz w:val="24"/>
          <w:szCs w:val="24"/>
          <w:u w:val="single"/>
        </w:rPr>
      </w:pPr>
      <w:r w:rsidRPr="00B574C8">
        <w:rPr>
          <w:b/>
          <w:sz w:val="24"/>
          <w:szCs w:val="24"/>
        </w:rPr>
        <w:t>4.1</w:t>
      </w:r>
      <w:r w:rsidRPr="00B574C8">
        <w:rPr>
          <w:b/>
          <w:sz w:val="24"/>
          <w:szCs w:val="24"/>
        </w:rPr>
        <w:tab/>
        <w:t>Terapeutiske indikationer</w:t>
      </w:r>
    </w:p>
    <w:p w14:paraId="1DB7832D" w14:textId="77777777" w:rsidR="005C3AC1" w:rsidRDefault="005C3AC1" w:rsidP="00B574C8">
      <w:pPr>
        <w:ind w:left="851"/>
        <w:rPr>
          <w:sz w:val="24"/>
          <w:szCs w:val="24"/>
        </w:rPr>
      </w:pPr>
      <w:bookmarkStart w:id="1" w:name="_Hlk108787826"/>
    </w:p>
    <w:p w14:paraId="4C619701" w14:textId="78E7BCF4" w:rsidR="00826AA6" w:rsidRPr="00B574C8" w:rsidRDefault="00962C01" w:rsidP="00B574C8">
      <w:pPr>
        <w:ind w:left="851"/>
        <w:rPr>
          <w:sz w:val="24"/>
          <w:szCs w:val="24"/>
        </w:rPr>
      </w:pPr>
      <w:r>
        <w:rPr>
          <w:sz w:val="24"/>
          <w:szCs w:val="24"/>
        </w:rPr>
        <w:t>Ibuprofen ”Nordic Prime”</w:t>
      </w:r>
      <w:r w:rsidR="00826AA6" w:rsidRPr="00B574C8">
        <w:rPr>
          <w:sz w:val="24"/>
          <w:szCs w:val="24"/>
        </w:rPr>
        <w:t xml:space="preserve"> er indiceret til symptomatisk behandling af:</w:t>
      </w:r>
    </w:p>
    <w:p w14:paraId="56EADE33" w14:textId="61A43A43" w:rsidR="00826AA6" w:rsidRPr="00B574C8" w:rsidRDefault="005C3AC1" w:rsidP="00B574C8">
      <w:pPr>
        <w:ind w:left="851"/>
        <w:rPr>
          <w:sz w:val="24"/>
          <w:szCs w:val="24"/>
        </w:rPr>
      </w:pPr>
      <w:r>
        <w:rPr>
          <w:sz w:val="24"/>
          <w:szCs w:val="24"/>
        </w:rPr>
        <w:t xml:space="preserve">- </w:t>
      </w:r>
      <w:r w:rsidR="00826AA6" w:rsidRPr="00B574C8">
        <w:rPr>
          <w:sz w:val="24"/>
          <w:szCs w:val="24"/>
        </w:rPr>
        <w:t xml:space="preserve">milde til moderate smerter såsom hovedpine (herunder migræne), tandpine, primær </w:t>
      </w:r>
      <w:proofErr w:type="spellStart"/>
      <w:r w:rsidR="00826AA6" w:rsidRPr="00B574C8">
        <w:rPr>
          <w:sz w:val="24"/>
          <w:szCs w:val="24"/>
        </w:rPr>
        <w:t>dysmenoré</w:t>
      </w:r>
      <w:proofErr w:type="spellEnd"/>
      <w:r w:rsidR="00826AA6" w:rsidRPr="00B574C8">
        <w:rPr>
          <w:sz w:val="24"/>
          <w:szCs w:val="24"/>
        </w:rPr>
        <w:t>, inflammation, muskel- og ledsmerter og feber</w:t>
      </w:r>
    </w:p>
    <w:p w14:paraId="0B5B2665" w14:textId="0A728CAF" w:rsidR="00826AA6" w:rsidRPr="00B574C8" w:rsidRDefault="005C3AC1" w:rsidP="00B574C8">
      <w:pPr>
        <w:ind w:left="851"/>
        <w:rPr>
          <w:sz w:val="24"/>
          <w:szCs w:val="24"/>
        </w:rPr>
      </w:pPr>
      <w:r>
        <w:rPr>
          <w:sz w:val="24"/>
          <w:szCs w:val="24"/>
        </w:rPr>
        <w:t xml:space="preserve">- </w:t>
      </w:r>
      <w:r w:rsidR="00826AA6" w:rsidRPr="00B574C8">
        <w:rPr>
          <w:sz w:val="24"/>
          <w:szCs w:val="24"/>
        </w:rPr>
        <w:t xml:space="preserve">symptomatisk behandling af smerter ved </w:t>
      </w:r>
      <w:proofErr w:type="spellStart"/>
      <w:r w:rsidR="00826AA6" w:rsidRPr="00B574C8">
        <w:rPr>
          <w:sz w:val="24"/>
          <w:szCs w:val="24"/>
        </w:rPr>
        <w:t>artritiske</w:t>
      </w:r>
      <w:proofErr w:type="spellEnd"/>
      <w:r w:rsidR="00826AA6" w:rsidRPr="00B574C8">
        <w:rPr>
          <w:sz w:val="24"/>
          <w:szCs w:val="24"/>
        </w:rPr>
        <w:t xml:space="preserve"> sygdomme (</w:t>
      </w:r>
      <w:r w:rsidR="0033138E">
        <w:rPr>
          <w:sz w:val="24"/>
          <w:szCs w:val="24"/>
        </w:rPr>
        <w:t>f.eks.</w:t>
      </w:r>
      <w:r w:rsidR="00826AA6" w:rsidRPr="00B574C8">
        <w:rPr>
          <w:sz w:val="24"/>
          <w:szCs w:val="24"/>
        </w:rPr>
        <w:t xml:space="preserve"> </w:t>
      </w:r>
      <w:proofErr w:type="spellStart"/>
      <w:r w:rsidR="00826AA6" w:rsidRPr="00B574C8">
        <w:rPr>
          <w:sz w:val="24"/>
          <w:szCs w:val="24"/>
        </w:rPr>
        <w:t>reumatoid</w:t>
      </w:r>
      <w:proofErr w:type="spellEnd"/>
      <w:r w:rsidR="00826AA6" w:rsidRPr="00B574C8">
        <w:rPr>
          <w:sz w:val="24"/>
          <w:szCs w:val="24"/>
        </w:rPr>
        <w:t xml:space="preserve"> artritis), degenerative </w:t>
      </w:r>
      <w:proofErr w:type="spellStart"/>
      <w:r w:rsidR="00826AA6" w:rsidRPr="00B574C8">
        <w:rPr>
          <w:sz w:val="24"/>
          <w:szCs w:val="24"/>
        </w:rPr>
        <w:t>artritiske</w:t>
      </w:r>
      <w:proofErr w:type="spellEnd"/>
      <w:r w:rsidR="00826AA6" w:rsidRPr="00B574C8">
        <w:rPr>
          <w:sz w:val="24"/>
          <w:szCs w:val="24"/>
        </w:rPr>
        <w:t xml:space="preserve"> tilstande (</w:t>
      </w:r>
      <w:r w:rsidR="0033138E">
        <w:rPr>
          <w:sz w:val="24"/>
          <w:szCs w:val="24"/>
        </w:rPr>
        <w:t>f.eks.</w:t>
      </w:r>
      <w:r w:rsidR="00826AA6" w:rsidRPr="00B574C8">
        <w:rPr>
          <w:sz w:val="24"/>
          <w:szCs w:val="24"/>
        </w:rPr>
        <w:t xml:space="preserve"> slidgigt) og ved smertefulde hævelser og inflammation efter skader i blødt væv.</w:t>
      </w:r>
      <w:bookmarkEnd w:id="1"/>
    </w:p>
    <w:p w14:paraId="42DC9854" w14:textId="77777777" w:rsidR="00826AA6" w:rsidRPr="00B574C8" w:rsidRDefault="00826AA6" w:rsidP="00826AA6">
      <w:pPr>
        <w:ind w:left="851"/>
        <w:rPr>
          <w:sz w:val="24"/>
          <w:szCs w:val="24"/>
        </w:rPr>
      </w:pPr>
    </w:p>
    <w:p w14:paraId="23CCABBA" w14:textId="1FFF5433" w:rsidR="00826AA6" w:rsidRPr="00B574C8" w:rsidRDefault="00962C01" w:rsidP="00826AA6">
      <w:pPr>
        <w:ind w:left="851"/>
        <w:rPr>
          <w:sz w:val="24"/>
          <w:szCs w:val="24"/>
        </w:rPr>
      </w:pPr>
      <w:r>
        <w:rPr>
          <w:sz w:val="24"/>
          <w:szCs w:val="24"/>
        </w:rPr>
        <w:t>Ibuprofen ”Nordic Prime”</w:t>
      </w:r>
      <w:r w:rsidR="00826AA6" w:rsidRPr="00B574C8">
        <w:rPr>
          <w:sz w:val="24"/>
          <w:szCs w:val="24"/>
        </w:rPr>
        <w:t xml:space="preserve"> anbefales til børn </w:t>
      </w:r>
      <w:bookmarkStart w:id="2" w:name="_Hlk128659425"/>
      <w:r w:rsidR="00826AA6" w:rsidRPr="00B574C8">
        <w:rPr>
          <w:sz w:val="24"/>
          <w:szCs w:val="24"/>
        </w:rPr>
        <w:t>≥</w:t>
      </w:r>
      <w:bookmarkEnd w:id="2"/>
      <w:r w:rsidR="00826AA6" w:rsidRPr="00B574C8">
        <w:rPr>
          <w:sz w:val="24"/>
          <w:szCs w:val="24"/>
        </w:rPr>
        <w:t xml:space="preserve"> 6 måneder (&gt; 7 kg), unge samt voksne.</w:t>
      </w:r>
    </w:p>
    <w:p w14:paraId="65B2BE8A" w14:textId="77777777" w:rsidR="009260DE" w:rsidRPr="00B574C8" w:rsidRDefault="009260DE" w:rsidP="009C0264">
      <w:pPr>
        <w:tabs>
          <w:tab w:val="left" w:pos="851"/>
        </w:tabs>
        <w:rPr>
          <w:sz w:val="24"/>
          <w:szCs w:val="24"/>
        </w:rPr>
      </w:pPr>
    </w:p>
    <w:p w14:paraId="2297FDFC" w14:textId="77777777" w:rsidR="009260DE" w:rsidRPr="00B574C8" w:rsidRDefault="009260DE" w:rsidP="009C0264">
      <w:pPr>
        <w:keepNext/>
        <w:tabs>
          <w:tab w:val="left" w:pos="851"/>
        </w:tabs>
        <w:ind w:left="851" w:hanging="851"/>
        <w:rPr>
          <w:b/>
          <w:sz w:val="24"/>
          <w:szCs w:val="24"/>
        </w:rPr>
      </w:pPr>
      <w:r w:rsidRPr="00B574C8">
        <w:rPr>
          <w:b/>
          <w:sz w:val="24"/>
          <w:szCs w:val="24"/>
        </w:rPr>
        <w:lastRenderedPageBreak/>
        <w:t>4.2</w:t>
      </w:r>
      <w:r w:rsidRPr="00B574C8">
        <w:rPr>
          <w:b/>
          <w:sz w:val="24"/>
          <w:szCs w:val="24"/>
        </w:rPr>
        <w:tab/>
        <w:t xml:space="preserve">Dosering og </w:t>
      </w:r>
      <w:r w:rsidR="002C1EC0" w:rsidRPr="00B574C8">
        <w:rPr>
          <w:b/>
          <w:sz w:val="24"/>
          <w:szCs w:val="24"/>
        </w:rPr>
        <w:t>administration</w:t>
      </w:r>
    </w:p>
    <w:p w14:paraId="0B2E19B9" w14:textId="78BE089E" w:rsidR="00826AA6" w:rsidRPr="00B574C8" w:rsidRDefault="00826AA6" w:rsidP="00826AA6">
      <w:pPr>
        <w:ind w:left="851"/>
        <w:rPr>
          <w:bCs/>
          <w:sz w:val="24"/>
          <w:szCs w:val="24"/>
        </w:rPr>
      </w:pPr>
      <w:r w:rsidRPr="00B574C8">
        <w:rPr>
          <w:bCs/>
          <w:sz w:val="24"/>
          <w:szCs w:val="24"/>
        </w:rPr>
        <w:t>Bivirkninger kan minimeres ved at anvende den laveste effektive dosis</w:t>
      </w:r>
      <w:r w:rsidR="005C3AC1">
        <w:rPr>
          <w:bCs/>
          <w:sz w:val="24"/>
          <w:szCs w:val="24"/>
        </w:rPr>
        <w:t>,</w:t>
      </w:r>
      <w:r w:rsidRPr="00B574C8">
        <w:rPr>
          <w:bCs/>
          <w:sz w:val="24"/>
          <w:szCs w:val="24"/>
        </w:rPr>
        <w:t xml:space="preserve"> som kontrollerer symptomerne</w:t>
      </w:r>
      <w:r w:rsidR="005C3AC1">
        <w:rPr>
          <w:bCs/>
          <w:sz w:val="24"/>
          <w:szCs w:val="24"/>
        </w:rPr>
        <w:t>,</w:t>
      </w:r>
      <w:r w:rsidRPr="00B574C8">
        <w:rPr>
          <w:bCs/>
          <w:sz w:val="24"/>
          <w:szCs w:val="24"/>
        </w:rPr>
        <w:t xml:space="preserve"> og i den kortest mulige tid. (se pkt. 4.4).</w:t>
      </w:r>
    </w:p>
    <w:p w14:paraId="029D7A1E" w14:textId="77777777" w:rsidR="00826AA6" w:rsidRPr="00B574C8" w:rsidRDefault="00826AA6" w:rsidP="00826AA6">
      <w:pPr>
        <w:ind w:left="851"/>
        <w:rPr>
          <w:bCs/>
          <w:sz w:val="24"/>
          <w:szCs w:val="24"/>
        </w:rPr>
      </w:pPr>
    </w:p>
    <w:p w14:paraId="6E62954E" w14:textId="77777777" w:rsidR="00826AA6" w:rsidRPr="00B574C8" w:rsidRDefault="00826AA6" w:rsidP="00826AA6">
      <w:pPr>
        <w:ind w:left="851"/>
        <w:rPr>
          <w:sz w:val="24"/>
          <w:szCs w:val="24"/>
        </w:rPr>
      </w:pPr>
      <w:r w:rsidRPr="00B574C8">
        <w:rPr>
          <w:sz w:val="24"/>
          <w:szCs w:val="24"/>
        </w:rPr>
        <w:t xml:space="preserve">Ved </w:t>
      </w:r>
      <w:bookmarkStart w:id="3" w:name="_Hlk128660717"/>
      <w:r w:rsidRPr="00B574C8">
        <w:rPr>
          <w:sz w:val="24"/>
          <w:szCs w:val="24"/>
        </w:rPr>
        <w:t xml:space="preserve">langvarig </w:t>
      </w:r>
      <w:bookmarkEnd w:id="3"/>
      <w:r w:rsidRPr="00B574C8">
        <w:rPr>
          <w:sz w:val="24"/>
          <w:szCs w:val="24"/>
        </w:rPr>
        <w:t xml:space="preserve">behandling ordineret af lægen skal en lav vedligeholdelsesdosis </w:t>
      </w:r>
      <w:bookmarkStart w:id="4" w:name="_Hlk128660710"/>
      <w:r w:rsidRPr="00B574C8">
        <w:rPr>
          <w:sz w:val="24"/>
          <w:szCs w:val="24"/>
        </w:rPr>
        <w:t>tilsigtes</w:t>
      </w:r>
      <w:bookmarkEnd w:id="4"/>
      <w:r w:rsidRPr="00B574C8">
        <w:rPr>
          <w:sz w:val="24"/>
          <w:szCs w:val="24"/>
        </w:rPr>
        <w:t xml:space="preserve"> (se pkt. 4.4).</w:t>
      </w:r>
    </w:p>
    <w:p w14:paraId="5706CB52" w14:textId="77777777" w:rsidR="00826AA6" w:rsidRPr="00B574C8" w:rsidRDefault="00826AA6" w:rsidP="00826AA6">
      <w:pPr>
        <w:ind w:left="851"/>
        <w:rPr>
          <w:sz w:val="24"/>
          <w:szCs w:val="24"/>
        </w:rPr>
      </w:pPr>
    </w:p>
    <w:p w14:paraId="3AB2EE9E" w14:textId="77777777" w:rsidR="00826AA6" w:rsidRPr="00B574C8" w:rsidRDefault="00826AA6" w:rsidP="00826AA6">
      <w:pPr>
        <w:ind w:left="851"/>
        <w:rPr>
          <w:sz w:val="24"/>
          <w:szCs w:val="24"/>
        </w:rPr>
      </w:pPr>
      <w:bookmarkStart w:id="5" w:name="_Hlk124941709"/>
      <w:r w:rsidRPr="00B574C8">
        <w:rPr>
          <w:sz w:val="24"/>
          <w:szCs w:val="24"/>
        </w:rPr>
        <w:t xml:space="preserve">Doseringen af ibuprofen er baseret på kropsvægt og alder. </w:t>
      </w:r>
    </w:p>
    <w:p w14:paraId="7D78F777" w14:textId="77777777" w:rsidR="00826AA6" w:rsidRPr="00B574C8" w:rsidRDefault="00826AA6" w:rsidP="00B574C8">
      <w:pPr>
        <w:ind w:left="851"/>
        <w:rPr>
          <w:sz w:val="24"/>
          <w:szCs w:val="24"/>
        </w:rPr>
      </w:pPr>
    </w:p>
    <w:p w14:paraId="24BA88CB" w14:textId="77777777" w:rsidR="00826AA6" w:rsidRPr="00B574C8" w:rsidRDefault="00826AA6" w:rsidP="00B574C8">
      <w:pPr>
        <w:ind w:left="851"/>
        <w:rPr>
          <w:b/>
          <w:sz w:val="24"/>
          <w:szCs w:val="24"/>
        </w:rPr>
      </w:pPr>
      <w:bookmarkStart w:id="6" w:name="_Hlk128663335"/>
      <w:bookmarkEnd w:id="5"/>
      <w:r w:rsidRPr="00B574C8">
        <w:rPr>
          <w:b/>
          <w:sz w:val="24"/>
          <w:szCs w:val="24"/>
        </w:rPr>
        <w:t>Dosering</w:t>
      </w:r>
    </w:p>
    <w:p w14:paraId="231E9144" w14:textId="77777777" w:rsidR="00826AA6" w:rsidRPr="00B574C8" w:rsidRDefault="00826AA6" w:rsidP="00B574C8">
      <w:pPr>
        <w:ind w:left="851"/>
        <w:rPr>
          <w:sz w:val="24"/>
          <w:szCs w:val="24"/>
        </w:rPr>
      </w:pPr>
      <w:r w:rsidRPr="00B574C8">
        <w:rPr>
          <w:sz w:val="24"/>
          <w:szCs w:val="24"/>
        </w:rPr>
        <w:t>Følgende vejledende dosisregime anbefales:</w:t>
      </w:r>
    </w:p>
    <w:bookmarkEnd w:id="6"/>
    <w:p w14:paraId="66B7960C" w14:textId="77777777" w:rsidR="00826AA6" w:rsidRPr="00B574C8" w:rsidRDefault="00826AA6" w:rsidP="00B574C8">
      <w:pPr>
        <w:ind w:left="851"/>
        <w:rPr>
          <w:sz w:val="24"/>
          <w:szCs w:val="24"/>
        </w:rPr>
      </w:pPr>
    </w:p>
    <w:p w14:paraId="2C043AFA" w14:textId="77777777" w:rsidR="00826AA6" w:rsidRPr="00B574C8" w:rsidRDefault="00826AA6" w:rsidP="00B574C8">
      <w:pPr>
        <w:ind w:left="851"/>
        <w:rPr>
          <w:sz w:val="24"/>
          <w:szCs w:val="24"/>
          <w:u w:val="single"/>
        </w:rPr>
      </w:pPr>
      <w:r w:rsidRPr="00B574C8">
        <w:rPr>
          <w:sz w:val="24"/>
          <w:szCs w:val="24"/>
          <w:u w:val="single"/>
        </w:rPr>
        <w:t xml:space="preserve">Voksne og børn ≥ 12 år </w:t>
      </w:r>
    </w:p>
    <w:p w14:paraId="395762E3" w14:textId="77777777" w:rsidR="00826AA6" w:rsidRPr="00B574C8" w:rsidRDefault="00826AA6" w:rsidP="00B574C8">
      <w:pPr>
        <w:ind w:left="851"/>
        <w:rPr>
          <w:sz w:val="24"/>
          <w:szCs w:val="24"/>
        </w:rPr>
      </w:pPr>
      <w:bookmarkStart w:id="7" w:name="_Hlk122091374"/>
      <w:r w:rsidRPr="00B574C8">
        <w:rPr>
          <w:sz w:val="24"/>
          <w:szCs w:val="24"/>
        </w:rPr>
        <w:t xml:space="preserve">200-400 mg </w:t>
      </w:r>
      <w:bookmarkEnd w:id="7"/>
      <w:r w:rsidRPr="00B574C8">
        <w:rPr>
          <w:sz w:val="24"/>
          <w:szCs w:val="24"/>
        </w:rPr>
        <w:t xml:space="preserve">(10-20 ml) </w:t>
      </w:r>
      <w:bookmarkStart w:id="8" w:name="_Hlk122091399"/>
      <w:r w:rsidRPr="00B574C8">
        <w:rPr>
          <w:sz w:val="24"/>
          <w:szCs w:val="24"/>
        </w:rPr>
        <w:t xml:space="preserve">givet op til 4 gange </w:t>
      </w:r>
      <w:bookmarkEnd w:id="8"/>
      <w:r w:rsidRPr="00B574C8">
        <w:rPr>
          <w:sz w:val="24"/>
          <w:szCs w:val="24"/>
        </w:rPr>
        <w:t xml:space="preserve">pr. dag. </w:t>
      </w:r>
      <w:bookmarkStart w:id="9" w:name="_Hlk122091432"/>
    </w:p>
    <w:p w14:paraId="68795EAD" w14:textId="77777777" w:rsidR="00826AA6" w:rsidRPr="00B574C8" w:rsidRDefault="00826AA6" w:rsidP="00B574C8">
      <w:pPr>
        <w:ind w:left="851"/>
        <w:rPr>
          <w:sz w:val="24"/>
          <w:szCs w:val="24"/>
        </w:rPr>
      </w:pPr>
      <w:r w:rsidRPr="00B574C8">
        <w:rPr>
          <w:sz w:val="24"/>
          <w:szCs w:val="24"/>
        </w:rPr>
        <w:t>Den maksimale daglige dosis er 1200 mg (60 ml).</w:t>
      </w:r>
      <w:bookmarkEnd w:id="9"/>
      <w:r w:rsidRPr="00B574C8">
        <w:rPr>
          <w:sz w:val="24"/>
          <w:szCs w:val="24"/>
        </w:rPr>
        <w:t xml:space="preserve"> </w:t>
      </w:r>
    </w:p>
    <w:p w14:paraId="1332063E" w14:textId="77777777" w:rsidR="00826AA6" w:rsidRPr="00B574C8" w:rsidRDefault="00826AA6" w:rsidP="00B574C8">
      <w:pPr>
        <w:ind w:left="851"/>
        <w:rPr>
          <w:sz w:val="24"/>
          <w:szCs w:val="24"/>
        </w:rPr>
      </w:pPr>
      <w:r w:rsidRPr="00B574C8">
        <w:rPr>
          <w:sz w:val="24"/>
          <w:szCs w:val="24"/>
        </w:rPr>
        <w:t xml:space="preserve">Tidsintervallet mellem to doser skal være mindst 4 timer. </w:t>
      </w:r>
    </w:p>
    <w:p w14:paraId="01262183" w14:textId="77777777" w:rsidR="00826AA6" w:rsidRPr="00B574C8" w:rsidRDefault="00826AA6" w:rsidP="00B574C8">
      <w:pPr>
        <w:ind w:left="851"/>
        <w:rPr>
          <w:sz w:val="24"/>
          <w:szCs w:val="24"/>
        </w:rPr>
      </w:pPr>
      <w:bookmarkStart w:id="10" w:name="_Hlk125038343"/>
      <w:r w:rsidRPr="00B574C8">
        <w:rPr>
          <w:sz w:val="24"/>
          <w:szCs w:val="24"/>
        </w:rPr>
        <w:t>Enkeltdoser over 400 mg (20 ml) har ikke vist yderligere analgetisk virkning.</w:t>
      </w:r>
    </w:p>
    <w:bookmarkEnd w:id="10"/>
    <w:p w14:paraId="2EE05FC7" w14:textId="77777777" w:rsidR="00826AA6" w:rsidRPr="00B574C8" w:rsidRDefault="00826AA6" w:rsidP="00B574C8">
      <w:pPr>
        <w:ind w:left="851"/>
        <w:rPr>
          <w:sz w:val="24"/>
          <w:szCs w:val="24"/>
        </w:rPr>
      </w:pPr>
    </w:p>
    <w:p w14:paraId="70C7302E" w14:textId="77777777" w:rsidR="00826AA6" w:rsidRPr="00B574C8" w:rsidRDefault="00826AA6" w:rsidP="00B574C8">
      <w:pPr>
        <w:ind w:left="851"/>
        <w:rPr>
          <w:sz w:val="24"/>
          <w:szCs w:val="24"/>
          <w:u w:val="single"/>
        </w:rPr>
      </w:pPr>
      <w:r w:rsidRPr="00B574C8">
        <w:rPr>
          <w:sz w:val="24"/>
          <w:szCs w:val="24"/>
          <w:u w:val="single"/>
        </w:rPr>
        <w:t xml:space="preserve">Børn 6 måneder - &lt; 12 år (≥ 7 kg) </w:t>
      </w:r>
    </w:p>
    <w:p w14:paraId="249046B7" w14:textId="77777777" w:rsidR="00826AA6" w:rsidRPr="00B574C8" w:rsidRDefault="00826AA6" w:rsidP="00B574C8">
      <w:pPr>
        <w:ind w:left="851"/>
        <w:rPr>
          <w:sz w:val="24"/>
          <w:szCs w:val="24"/>
        </w:rPr>
      </w:pPr>
      <w:r w:rsidRPr="00B574C8">
        <w:rPr>
          <w:sz w:val="24"/>
          <w:szCs w:val="24"/>
        </w:rPr>
        <w:t>5-7,5 mg/kg kropsvægt som en enkeltdosis eller højst 20</w:t>
      </w:r>
      <w:r w:rsidRPr="00B574C8">
        <w:rPr>
          <w:sz w:val="24"/>
          <w:szCs w:val="24"/>
        </w:rPr>
        <w:noBreakHyphen/>
        <w:t>30 mg/kg kropsvægt pr. dag iht. nedenstående tabel.</w:t>
      </w:r>
    </w:p>
    <w:p w14:paraId="4DF5AF39" w14:textId="77777777" w:rsidR="00826AA6" w:rsidRPr="00B574C8" w:rsidRDefault="00826AA6" w:rsidP="00B574C8">
      <w:pPr>
        <w:ind w:left="851"/>
        <w:rPr>
          <w:sz w:val="24"/>
          <w:szCs w:val="24"/>
        </w:rPr>
      </w:pPr>
      <w:r w:rsidRPr="00B574C8">
        <w:rPr>
          <w:sz w:val="24"/>
          <w:szCs w:val="24"/>
        </w:rPr>
        <w:t>Må ikke gives til børn under 6 måneder eller til børn, der vejer mindre end 7 kg.</w:t>
      </w:r>
    </w:p>
    <w:p w14:paraId="65500841" w14:textId="77777777" w:rsidR="00826AA6" w:rsidRPr="00B574C8" w:rsidRDefault="00826AA6" w:rsidP="00B574C8">
      <w:pPr>
        <w:ind w:left="851"/>
        <w:rPr>
          <w:sz w:val="24"/>
          <w:szCs w:val="24"/>
        </w:rPr>
      </w:pPr>
      <w:r w:rsidRPr="00B574C8">
        <w:rPr>
          <w:sz w:val="24"/>
          <w:szCs w:val="24"/>
        </w:rPr>
        <w:t xml:space="preserve">Dosis kan gives hver 6. time, op til 4 gange dagligt. </w:t>
      </w:r>
    </w:p>
    <w:p w14:paraId="4A598AB1" w14:textId="77777777" w:rsidR="00826AA6" w:rsidRPr="00B574C8" w:rsidRDefault="00826AA6" w:rsidP="00B574C8">
      <w:pPr>
        <w:ind w:left="851"/>
        <w:rPr>
          <w:sz w:val="24"/>
          <w:szCs w:val="24"/>
        </w:rPr>
      </w:pPr>
      <w:bookmarkStart w:id="11" w:name="_Hlk128663858"/>
      <w:r w:rsidRPr="00B574C8">
        <w:rPr>
          <w:sz w:val="24"/>
          <w:szCs w:val="24"/>
        </w:rPr>
        <w:t>Kropsvægt bør anvendes til beregning af dosis.</w:t>
      </w:r>
    </w:p>
    <w:p w14:paraId="682A8369" w14:textId="77777777" w:rsidR="00826AA6" w:rsidRPr="00B574C8" w:rsidRDefault="00826AA6" w:rsidP="00B574C8">
      <w:pPr>
        <w:ind w:left="851"/>
        <w:rPr>
          <w:sz w:val="24"/>
          <w:szCs w:val="24"/>
        </w:rPr>
      </w:pPr>
    </w:p>
    <w:p w14:paraId="42004E8D" w14:textId="77777777" w:rsidR="00826AA6" w:rsidRPr="00B574C8" w:rsidRDefault="00826AA6" w:rsidP="00B574C8">
      <w:pPr>
        <w:ind w:left="851"/>
        <w:rPr>
          <w:i/>
          <w:iCs/>
          <w:sz w:val="24"/>
          <w:szCs w:val="24"/>
        </w:rPr>
      </w:pPr>
      <w:r w:rsidRPr="00B574C8">
        <w:rPr>
          <w:i/>
          <w:iCs/>
          <w:sz w:val="24"/>
          <w:szCs w:val="24"/>
        </w:rPr>
        <w:t>De angivne doser i forhold til alder er vejledende:</w:t>
      </w:r>
    </w:p>
    <w:bookmarkEnd w:id="11"/>
    <w:p w14:paraId="20D25748" w14:textId="77777777" w:rsidR="00826AA6" w:rsidRPr="00B574C8" w:rsidRDefault="00826AA6" w:rsidP="00B574C8">
      <w:pPr>
        <w:ind w:left="851"/>
        <w:rPr>
          <w:sz w:val="24"/>
          <w:szCs w:val="24"/>
        </w:rPr>
      </w:pPr>
    </w:p>
    <w:tbl>
      <w:tblPr>
        <w:tblW w:w="0" w:type="auto"/>
        <w:tblInd w:w="794" w:type="dxa"/>
        <w:tblLayout w:type="fixed"/>
        <w:tblCellMar>
          <w:left w:w="70" w:type="dxa"/>
          <w:right w:w="70" w:type="dxa"/>
        </w:tblCellMar>
        <w:tblLook w:val="04A0" w:firstRow="1" w:lastRow="0" w:firstColumn="1" w:lastColumn="0" w:noHBand="0" w:noVBand="1"/>
      </w:tblPr>
      <w:tblGrid>
        <w:gridCol w:w="2268"/>
        <w:gridCol w:w="2126"/>
        <w:gridCol w:w="2780"/>
      </w:tblGrid>
      <w:tr w:rsidR="00826AA6" w:rsidRPr="00B574C8" w14:paraId="5ACBC076" w14:textId="77777777" w:rsidTr="00826AA6">
        <w:tc>
          <w:tcPr>
            <w:tcW w:w="2268" w:type="dxa"/>
            <w:hideMark/>
          </w:tcPr>
          <w:p w14:paraId="406B39C0" w14:textId="77777777" w:rsidR="00826AA6" w:rsidRPr="00B574C8" w:rsidRDefault="00826AA6">
            <w:pPr>
              <w:keepNext/>
              <w:rPr>
                <w:b/>
                <w:bCs/>
                <w:sz w:val="24"/>
                <w:szCs w:val="24"/>
              </w:rPr>
            </w:pPr>
            <w:r w:rsidRPr="00B574C8">
              <w:rPr>
                <w:b/>
                <w:bCs/>
                <w:sz w:val="24"/>
                <w:szCs w:val="24"/>
              </w:rPr>
              <w:t>Vægt</w:t>
            </w:r>
          </w:p>
        </w:tc>
        <w:tc>
          <w:tcPr>
            <w:tcW w:w="2126" w:type="dxa"/>
            <w:hideMark/>
          </w:tcPr>
          <w:p w14:paraId="6C93575C" w14:textId="77777777" w:rsidR="00826AA6" w:rsidRPr="00B574C8" w:rsidRDefault="00826AA6">
            <w:pPr>
              <w:keepNext/>
              <w:rPr>
                <w:b/>
                <w:bCs/>
                <w:sz w:val="24"/>
                <w:szCs w:val="24"/>
              </w:rPr>
            </w:pPr>
            <w:r w:rsidRPr="00B574C8">
              <w:rPr>
                <w:b/>
                <w:bCs/>
                <w:sz w:val="24"/>
                <w:szCs w:val="24"/>
              </w:rPr>
              <w:t>Alder</w:t>
            </w:r>
          </w:p>
        </w:tc>
        <w:tc>
          <w:tcPr>
            <w:tcW w:w="2780" w:type="dxa"/>
            <w:hideMark/>
          </w:tcPr>
          <w:p w14:paraId="6B8B51BD" w14:textId="77777777" w:rsidR="00826AA6" w:rsidRPr="00B574C8" w:rsidRDefault="00826AA6">
            <w:pPr>
              <w:keepNext/>
              <w:rPr>
                <w:b/>
                <w:bCs/>
                <w:sz w:val="24"/>
                <w:szCs w:val="24"/>
              </w:rPr>
            </w:pPr>
            <w:r w:rsidRPr="00B574C8">
              <w:rPr>
                <w:b/>
                <w:bCs/>
                <w:sz w:val="24"/>
                <w:szCs w:val="24"/>
              </w:rPr>
              <w:t>Dosis</w:t>
            </w:r>
          </w:p>
        </w:tc>
      </w:tr>
      <w:tr w:rsidR="00826AA6" w:rsidRPr="00B574C8" w14:paraId="1550E85B" w14:textId="77777777" w:rsidTr="00826AA6">
        <w:tc>
          <w:tcPr>
            <w:tcW w:w="2268" w:type="dxa"/>
            <w:hideMark/>
          </w:tcPr>
          <w:p w14:paraId="55A351FF" w14:textId="77777777" w:rsidR="00826AA6" w:rsidRPr="00B574C8" w:rsidRDefault="00826AA6">
            <w:pPr>
              <w:keepNext/>
              <w:rPr>
                <w:sz w:val="24"/>
                <w:szCs w:val="24"/>
              </w:rPr>
            </w:pPr>
            <w:r w:rsidRPr="00B574C8">
              <w:rPr>
                <w:sz w:val="24"/>
                <w:szCs w:val="24"/>
              </w:rPr>
              <w:t>7 - &lt; 10 kg</w:t>
            </w:r>
          </w:p>
        </w:tc>
        <w:tc>
          <w:tcPr>
            <w:tcW w:w="2126" w:type="dxa"/>
            <w:hideMark/>
          </w:tcPr>
          <w:p w14:paraId="758D8963" w14:textId="77777777" w:rsidR="00826AA6" w:rsidRPr="00B574C8" w:rsidRDefault="00826AA6">
            <w:pPr>
              <w:keepNext/>
              <w:rPr>
                <w:b/>
                <w:bCs/>
                <w:sz w:val="24"/>
                <w:szCs w:val="24"/>
              </w:rPr>
            </w:pPr>
            <w:r w:rsidRPr="00B574C8">
              <w:rPr>
                <w:sz w:val="24"/>
                <w:szCs w:val="24"/>
              </w:rPr>
              <w:t>6-12 måneder</w:t>
            </w:r>
          </w:p>
        </w:tc>
        <w:tc>
          <w:tcPr>
            <w:tcW w:w="2780" w:type="dxa"/>
            <w:hideMark/>
          </w:tcPr>
          <w:p w14:paraId="51DC8E6E" w14:textId="77777777" w:rsidR="00826AA6" w:rsidRPr="00B574C8" w:rsidRDefault="00826AA6">
            <w:pPr>
              <w:keepNext/>
              <w:rPr>
                <w:b/>
                <w:bCs/>
                <w:sz w:val="24"/>
                <w:szCs w:val="24"/>
              </w:rPr>
            </w:pPr>
            <w:r w:rsidRPr="00B574C8">
              <w:rPr>
                <w:sz w:val="24"/>
                <w:szCs w:val="24"/>
              </w:rPr>
              <w:t>2,5 ml 3 gange/dag</w:t>
            </w:r>
          </w:p>
        </w:tc>
      </w:tr>
      <w:tr w:rsidR="00826AA6" w:rsidRPr="00B574C8" w14:paraId="7D7D993C" w14:textId="77777777" w:rsidTr="00826AA6">
        <w:tc>
          <w:tcPr>
            <w:tcW w:w="2268" w:type="dxa"/>
            <w:hideMark/>
          </w:tcPr>
          <w:p w14:paraId="5BEEAF18" w14:textId="77777777" w:rsidR="00826AA6" w:rsidRPr="00B574C8" w:rsidRDefault="00826AA6">
            <w:pPr>
              <w:keepNext/>
              <w:rPr>
                <w:sz w:val="24"/>
                <w:szCs w:val="24"/>
              </w:rPr>
            </w:pPr>
            <w:r w:rsidRPr="00B574C8">
              <w:rPr>
                <w:sz w:val="24"/>
                <w:szCs w:val="24"/>
              </w:rPr>
              <w:t>10 - &lt; 15 kg</w:t>
            </w:r>
          </w:p>
        </w:tc>
        <w:tc>
          <w:tcPr>
            <w:tcW w:w="2126" w:type="dxa"/>
            <w:hideMark/>
          </w:tcPr>
          <w:p w14:paraId="6EC002DC" w14:textId="77777777" w:rsidR="00826AA6" w:rsidRPr="00B574C8" w:rsidRDefault="00826AA6">
            <w:pPr>
              <w:keepNext/>
              <w:rPr>
                <w:sz w:val="24"/>
                <w:szCs w:val="24"/>
              </w:rPr>
            </w:pPr>
            <w:r w:rsidRPr="00B574C8">
              <w:rPr>
                <w:sz w:val="24"/>
                <w:szCs w:val="24"/>
              </w:rPr>
              <w:t>1-2 år</w:t>
            </w:r>
          </w:p>
        </w:tc>
        <w:tc>
          <w:tcPr>
            <w:tcW w:w="2780" w:type="dxa"/>
            <w:hideMark/>
          </w:tcPr>
          <w:p w14:paraId="573A9547" w14:textId="77777777" w:rsidR="00826AA6" w:rsidRPr="00B574C8" w:rsidRDefault="00826AA6">
            <w:pPr>
              <w:keepNext/>
              <w:rPr>
                <w:sz w:val="24"/>
                <w:szCs w:val="24"/>
              </w:rPr>
            </w:pPr>
            <w:r w:rsidRPr="00B574C8">
              <w:rPr>
                <w:sz w:val="24"/>
                <w:szCs w:val="24"/>
              </w:rPr>
              <w:t>2,5 ml 3-4 gange/dag</w:t>
            </w:r>
          </w:p>
        </w:tc>
      </w:tr>
      <w:tr w:rsidR="00826AA6" w:rsidRPr="00B574C8" w14:paraId="7346402B" w14:textId="77777777" w:rsidTr="00826AA6">
        <w:tc>
          <w:tcPr>
            <w:tcW w:w="2268" w:type="dxa"/>
            <w:hideMark/>
          </w:tcPr>
          <w:p w14:paraId="566C87D5" w14:textId="77777777" w:rsidR="00826AA6" w:rsidRPr="00B574C8" w:rsidRDefault="00826AA6">
            <w:pPr>
              <w:keepNext/>
              <w:rPr>
                <w:sz w:val="24"/>
                <w:szCs w:val="24"/>
              </w:rPr>
            </w:pPr>
            <w:r w:rsidRPr="00B574C8">
              <w:rPr>
                <w:sz w:val="24"/>
                <w:szCs w:val="24"/>
              </w:rPr>
              <w:t>15 - &lt; 20 kg</w:t>
            </w:r>
          </w:p>
        </w:tc>
        <w:tc>
          <w:tcPr>
            <w:tcW w:w="2126" w:type="dxa"/>
            <w:hideMark/>
          </w:tcPr>
          <w:p w14:paraId="1CA3EC18" w14:textId="77777777" w:rsidR="00826AA6" w:rsidRPr="00B574C8" w:rsidRDefault="00826AA6">
            <w:pPr>
              <w:keepNext/>
              <w:rPr>
                <w:sz w:val="24"/>
                <w:szCs w:val="24"/>
              </w:rPr>
            </w:pPr>
            <w:r w:rsidRPr="00B574C8">
              <w:rPr>
                <w:sz w:val="24"/>
                <w:szCs w:val="24"/>
              </w:rPr>
              <w:t xml:space="preserve">2-4 år </w:t>
            </w:r>
          </w:p>
        </w:tc>
        <w:tc>
          <w:tcPr>
            <w:tcW w:w="2780" w:type="dxa"/>
            <w:hideMark/>
          </w:tcPr>
          <w:p w14:paraId="57A515E8" w14:textId="77777777" w:rsidR="00826AA6" w:rsidRPr="00B574C8" w:rsidRDefault="00826AA6">
            <w:pPr>
              <w:keepNext/>
              <w:rPr>
                <w:sz w:val="24"/>
                <w:szCs w:val="24"/>
              </w:rPr>
            </w:pPr>
            <w:r w:rsidRPr="00B574C8">
              <w:rPr>
                <w:sz w:val="24"/>
                <w:szCs w:val="24"/>
              </w:rPr>
              <w:t>5 ml 3-4 gange/dag</w:t>
            </w:r>
          </w:p>
        </w:tc>
      </w:tr>
      <w:tr w:rsidR="00826AA6" w:rsidRPr="00B574C8" w14:paraId="383F1753" w14:textId="77777777" w:rsidTr="00826AA6">
        <w:tc>
          <w:tcPr>
            <w:tcW w:w="2268" w:type="dxa"/>
            <w:hideMark/>
          </w:tcPr>
          <w:p w14:paraId="6918981F" w14:textId="77777777" w:rsidR="00826AA6" w:rsidRPr="00B574C8" w:rsidRDefault="00826AA6">
            <w:pPr>
              <w:rPr>
                <w:sz w:val="24"/>
                <w:szCs w:val="24"/>
              </w:rPr>
            </w:pPr>
            <w:r w:rsidRPr="00B574C8">
              <w:rPr>
                <w:sz w:val="24"/>
                <w:szCs w:val="24"/>
              </w:rPr>
              <w:t>20 - &lt; 27 kg</w:t>
            </w:r>
          </w:p>
        </w:tc>
        <w:tc>
          <w:tcPr>
            <w:tcW w:w="2126" w:type="dxa"/>
            <w:hideMark/>
          </w:tcPr>
          <w:p w14:paraId="6F90C9AE" w14:textId="77777777" w:rsidR="00826AA6" w:rsidRPr="00B574C8" w:rsidRDefault="00826AA6">
            <w:pPr>
              <w:rPr>
                <w:sz w:val="24"/>
                <w:szCs w:val="24"/>
              </w:rPr>
            </w:pPr>
            <w:r w:rsidRPr="00B574C8">
              <w:rPr>
                <w:sz w:val="24"/>
                <w:szCs w:val="24"/>
              </w:rPr>
              <w:t>4-7 år</w:t>
            </w:r>
          </w:p>
        </w:tc>
        <w:tc>
          <w:tcPr>
            <w:tcW w:w="2780" w:type="dxa"/>
            <w:hideMark/>
          </w:tcPr>
          <w:p w14:paraId="2096120C" w14:textId="77777777" w:rsidR="00826AA6" w:rsidRPr="00B574C8" w:rsidRDefault="00826AA6">
            <w:pPr>
              <w:rPr>
                <w:sz w:val="24"/>
                <w:szCs w:val="24"/>
              </w:rPr>
            </w:pPr>
            <w:r w:rsidRPr="00B574C8">
              <w:rPr>
                <w:sz w:val="24"/>
                <w:szCs w:val="24"/>
              </w:rPr>
              <w:t>7,5 ml 3-4 gange/dag</w:t>
            </w:r>
          </w:p>
        </w:tc>
      </w:tr>
      <w:tr w:rsidR="00826AA6" w:rsidRPr="00B574C8" w14:paraId="4797DED4" w14:textId="77777777" w:rsidTr="00826AA6">
        <w:tc>
          <w:tcPr>
            <w:tcW w:w="2268" w:type="dxa"/>
            <w:hideMark/>
          </w:tcPr>
          <w:p w14:paraId="676E9122" w14:textId="77777777" w:rsidR="00826AA6" w:rsidRPr="00B574C8" w:rsidRDefault="00826AA6">
            <w:pPr>
              <w:rPr>
                <w:sz w:val="24"/>
                <w:szCs w:val="24"/>
              </w:rPr>
            </w:pPr>
            <w:r w:rsidRPr="00B574C8">
              <w:rPr>
                <w:sz w:val="24"/>
                <w:szCs w:val="24"/>
              </w:rPr>
              <w:t>27 - 40 kg</w:t>
            </w:r>
          </w:p>
        </w:tc>
        <w:tc>
          <w:tcPr>
            <w:tcW w:w="2126" w:type="dxa"/>
            <w:hideMark/>
          </w:tcPr>
          <w:p w14:paraId="17C2B838" w14:textId="77777777" w:rsidR="00826AA6" w:rsidRPr="00B574C8" w:rsidRDefault="00826AA6">
            <w:pPr>
              <w:rPr>
                <w:sz w:val="24"/>
                <w:szCs w:val="24"/>
              </w:rPr>
            </w:pPr>
            <w:r w:rsidRPr="00B574C8">
              <w:rPr>
                <w:sz w:val="24"/>
                <w:szCs w:val="24"/>
              </w:rPr>
              <w:t>7-12 år</w:t>
            </w:r>
          </w:p>
        </w:tc>
        <w:tc>
          <w:tcPr>
            <w:tcW w:w="2780" w:type="dxa"/>
            <w:hideMark/>
          </w:tcPr>
          <w:p w14:paraId="24220148" w14:textId="77777777" w:rsidR="00826AA6" w:rsidRPr="00B574C8" w:rsidRDefault="00826AA6">
            <w:pPr>
              <w:rPr>
                <w:sz w:val="24"/>
                <w:szCs w:val="24"/>
              </w:rPr>
            </w:pPr>
            <w:r w:rsidRPr="00B574C8">
              <w:rPr>
                <w:sz w:val="24"/>
                <w:szCs w:val="24"/>
              </w:rPr>
              <w:t>10 ml 3-4 gange/dag</w:t>
            </w:r>
          </w:p>
        </w:tc>
      </w:tr>
    </w:tbl>
    <w:p w14:paraId="284C4348" w14:textId="77777777" w:rsidR="00826AA6" w:rsidRPr="00B574C8" w:rsidRDefault="00826AA6" w:rsidP="00826AA6">
      <w:pPr>
        <w:ind w:left="851"/>
        <w:rPr>
          <w:sz w:val="24"/>
          <w:szCs w:val="24"/>
          <w:u w:val="single"/>
        </w:rPr>
      </w:pPr>
    </w:p>
    <w:p w14:paraId="10BDF9F3" w14:textId="77777777" w:rsidR="00826AA6" w:rsidRPr="000F0B26" w:rsidRDefault="00826AA6" w:rsidP="00B574C8">
      <w:pPr>
        <w:ind w:left="851"/>
        <w:rPr>
          <w:sz w:val="24"/>
          <w:szCs w:val="24"/>
          <w:u w:val="single"/>
        </w:rPr>
      </w:pPr>
      <w:bookmarkStart w:id="12" w:name="_Hlk125033895"/>
      <w:r w:rsidRPr="000F0B26">
        <w:rPr>
          <w:sz w:val="24"/>
          <w:szCs w:val="24"/>
          <w:u w:val="single"/>
        </w:rPr>
        <w:t xml:space="preserve">Ældre </w:t>
      </w:r>
    </w:p>
    <w:p w14:paraId="632A9C1E" w14:textId="77777777" w:rsidR="00826AA6" w:rsidRPr="00B574C8" w:rsidRDefault="00826AA6" w:rsidP="00B574C8">
      <w:pPr>
        <w:ind w:left="851"/>
        <w:rPr>
          <w:sz w:val="24"/>
          <w:szCs w:val="24"/>
        </w:rPr>
      </w:pPr>
      <w:bookmarkStart w:id="13" w:name="_Hlk129007296"/>
      <w:r w:rsidRPr="00B574C8">
        <w:rPr>
          <w:sz w:val="24"/>
          <w:szCs w:val="24"/>
        </w:rPr>
        <w:t>Ældre har øget risiko for alvorlige bivirkninger (se pkt. 4.4). Hvis ibuprofen vurderes nødvendigt, skal den laveste effektive dosis anvendes i kortest mulige tid.</w:t>
      </w:r>
      <w:bookmarkEnd w:id="13"/>
      <w:r w:rsidRPr="00B574C8">
        <w:rPr>
          <w:sz w:val="24"/>
          <w:szCs w:val="24"/>
        </w:rPr>
        <w:t xml:space="preserve"> Patienten skal overvåges regelmæssigt for </w:t>
      </w:r>
      <w:bookmarkStart w:id="14" w:name="_Hlk125034367"/>
      <w:bookmarkStart w:id="15" w:name="_Hlk128667290"/>
      <w:proofErr w:type="spellStart"/>
      <w:r w:rsidRPr="00B574C8">
        <w:rPr>
          <w:sz w:val="24"/>
          <w:szCs w:val="24"/>
        </w:rPr>
        <w:t>gastrointestinal</w:t>
      </w:r>
      <w:proofErr w:type="spellEnd"/>
      <w:r w:rsidRPr="00B574C8">
        <w:rPr>
          <w:sz w:val="24"/>
          <w:szCs w:val="24"/>
        </w:rPr>
        <w:t xml:space="preserve"> </w:t>
      </w:r>
      <w:bookmarkEnd w:id="14"/>
      <w:bookmarkEnd w:id="15"/>
      <w:r w:rsidRPr="00B574C8">
        <w:rPr>
          <w:sz w:val="24"/>
          <w:szCs w:val="24"/>
        </w:rPr>
        <w:t xml:space="preserve">blødning under behandlingen med </w:t>
      </w:r>
      <w:bookmarkStart w:id="16" w:name="_Hlk129092148"/>
      <w:r w:rsidRPr="00B574C8">
        <w:rPr>
          <w:sz w:val="24"/>
          <w:szCs w:val="24"/>
        </w:rPr>
        <w:t xml:space="preserve">ibuprofen </w:t>
      </w:r>
      <w:bookmarkEnd w:id="16"/>
      <w:r w:rsidRPr="00B574C8">
        <w:rPr>
          <w:sz w:val="24"/>
          <w:szCs w:val="24"/>
        </w:rPr>
        <w:t>(se pkt. 4.4).</w:t>
      </w:r>
    </w:p>
    <w:p w14:paraId="74B4179E" w14:textId="77777777" w:rsidR="00826AA6" w:rsidRPr="00B574C8" w:rsidRDefault="00826AA6" w:rsidP="00B574C8">
      <w:pPr>
        <w:ind w:left="851"/>
        <w:rPr>
          <w:sz w:val="24"/>
          <w:szCs w:val="24"/>
        </w:rPr>
      </w:pPr>
    </w:p>
    <w:p w14:paraId="3BFAF7BE" w14:textId="77777777" w:rsidR="00826AA6" w:rsidRPr="000F0B26" w:rsidRDefault="00826AA6" w:rsidP="00B574C8">
      <w:pPr>
        <w:ind w:left="851"/>
        <w:rPr>
          <w:sz w:val="24"/>
          <w:szCs w:val="24"/>
          <w:u w:val="single"/>
        </w:rPr>
      </w:pPr>
      <w:bookmarkStart w:id="17" w:name="_Hlk128667335"/>
      <w:bookmarkStart w:id="18" w:name="_Hlk125034718"/>
      <w:bookmarkStart w:id="19" w:name="_Hlk125041609"/>
      <w:bookmarkEnd w:id="12"/>
      <w:r w:rsidRPr="000F0B26">
        <w:rPr>
          <w:sz w:val="24"/>
          <w:szCs w:val="24"/>
          <w:u w:val="single"/>
        </w:rPr>
        <w:t>Let til moderat nedsat nyre-, lever- eller hjertefunktion</w:t>
      </w:r>
    </w:p>
    <w:p w14:paraId="25FF0ADE" w14:textId="77777777" w:rsidR="00826AA6" w:rsidRPr="00B574C8" w:rsidRDefault="00826AA6" w:rsidP="00B574C8">
      <w:pPr>
        <w:ind w:left="851"/>
        <w:rPr>
          <w:i/>
          <w:iCs/>
          <w:sz w:val="24"/>
          <w:szCs w:val="24"/>
        </w:rPr>
      </w:pPr>
      <w:bookmarkStart w:id="20" w:name="_Hlk128667663"/>
      <w:bookmarkEnd w:id="17"/>
      <w:r w:rsidRPr="00B574C8">
        <w:rPr>
          <w:sz w:val="24"/>
          <w:szCs w:val="24"/>
        </w:rPr>
        <w:t xml:space="preserve">Forsigtighed bør udvises (se pkt. 4.4). </w:t>
      </w:r>
    </w:p>
    <w:bookmarkEnd w:id="20"/>
    <w:p w14:paraId="4450AE21" w14:textId="77777777" w:rsidR="00826AA6" w:rsidRPr="00B574C8" w:rsidRDefault="00826AA6" w:rsidP="00B574C8">
      <w:pPr>
        <w:ind w:left="851"/>
        <w:rPr>
          <w:sz w:val="24"/>
          <w:szCs w:val="24"/>
        </w:rPr>
      </w:pPr>
    </w:p>
    <w:p w14:paraId="66350CC4" w14:textId="77777777" w:rsidR="00826AA6" w:rsidRPr="000F0B26" w:rsidRDefault="00826AA6" w:rsidP="00B574C8">
      <w:pPr>
        <w:ind w:left="851"/>
        <w:rPr>
          <w:sz w:val="24"/>
          <w:szCs w:val="24"/>
          <w:u w:val="single"/>
        </w:rPr>
      </w:pPr>
      <w:bookmarkStart w:id="21" w:name="_Hlk128667582"/>
      <w:bookmarkStart w:id="22" w:name="_Hlk125039882"/>
      <w:bookmarkEnd w:id="18"/>
      <w:r w:rsidRPr="000F0B26">
        <w:rPr>
          <w:sz w:val="24"/>
          <w:szCs w:val="24"/>
          <w:u w:val="single"/>
        </w:rPr>
        <w:t xml:space="preserve">Svært nedsat nyre-, lever- eller hjertefunktion </w:t>
      </w:r>
    </w:p>
    <w:bookmarkEnd w:id="21"/>
    <w:p w14:paraId="1C37A0CF" w14:textId="77777777" w:rsidR="00826AA6" w:rsidRPr="00B574C8" w:rsidRDefault="00826AA6" w:rsidP="00B574C8">
      <w:pPr>
        <w:ind w:left="851"/>
        <w:rPr>
          <w:sz w:val="24"/>
          <w:szCs w:val="24"/>
        </w:rPr>
      </w:pPr>
      <w:r w:rsidRPr="00B574C8">
        <w:rPr>
          <w:sz w:val="24"/>
          <w:szCs w:val="24"/>
        </w:rPr>
        <w:t>Dette lægemiddel er kontraindiceret (se pkt. 4.3).</w:t>
      </w:r>
    </w:p>
    <w:bookmarkEnd w:id="19"/>
    <w:bookmarkEnd w:id="22"/>
    <w:p w14:paraId="1D20E45E" w14:textId="77777777" w:rsidR="00826AA6" w:rsidRPr="00B574C8" w:rsidRDefault="00826AA6" w:rsidP="00B574C8">
      <w:pPr>
        <w:ind w:left="851"/>
        <w:rPr>
          <w:sz w:val="24"/>
          <w:szCs w:val="24"/>
        </w:rPr>
      </w:pPr>
    </w:p>
    <w:p w14:paraId="11E5A259" w14:textId="77777777" w:rsidR="00826AA6" w:rsidRPr="005C3AC1" w:rsidRDefault="00826AA6" w:rsidP="00B574C8">
      <w:pPr>
        <w:ind w:left="851"/>
        <w:rPr>
          <w:b/>
          <w:bCs/>
          <w:sz w:val="24"/>
          <w:szCs w:val="24"/>
        </w:rPr>
      </w:pPr>
      <w:r w:rsidRPr="005C3AC1">
        <w:rPr>
          <w:b/>
          <w:sz w:val="24"/>
          <w:szCs w:val="24"/>
        </w:rPr>
        <w:t>Administration</w:t>
      </w:r>
    </w:p>
    <w:p w14:paraId="3191ECA7" w14:textId="77777777" w:rsidR="00826AA6" w:rsidRPr="00B574C8" w:rsidRDefault="00826AA6" w:rsidP="00B574C8">
      <w:pPr>
        <w:ind w:left="851"/>
        <w:rPr>
          <w:bCs/>
          <w:sz w:val="24"/>
          <w:szCs w:val="24"/>
        </w:rPr>
      </w:pPr>
      <w:r w:rsidRPr="00B574C8">
        <w:rPr>
          <w:bCs/>
          <w:sz w:val="24"/>
          <w:szCs w:val="24"/>
        </w:rPr>
        <w:t>Oral anvendelse.</w:t>
      </w:r>
    </w:p>
    <w:p w14:paraId="46307E9C" w14:textId="77777777" w:rsidR="00826AA6" w:rsidRPr="00B574C8" w:rsidRDefault="00826AA6" w:rsidP="00B574C8">
      <w:pPr>
        <w:ind w:left="851"/>
        <w:rPr>
          <w:sz w:val="24"/>
          <w:szCs w:val="24"/>
        </w:rPr>
      </w:pPr>
      <w:bookmarkStart w:id="23" w:name="_Hlk128667883"/>
      <w:r w:rsidRPr="00B574C8">
        <w:rPr>
          <w:sz w:val="24"/>
          <w:szCs w:val="24"/>
        </w:rPr>
        <w:t xml:space="preserve">Skal omrystes godt før brug. </w:t>
      </w:r>
    </w:p>
    <w:p w14:paraId="4D760C80" w14:textId="77777777" w:rsidR="00826AA6" w:rsidRPr="00B574C8" w:rsidRDefault="00826AA6" w:rsidP="00B574C8">
      <w:pPr>
        <w:ind w:left="851"/>
        <w:rPr>
          <w:sz w:val="24"/>
          <w:szCs w:val="24"/>
        </w:rPr>
      </w:pPr>
    </w:p>
    <w:bookmarkEnd w:id="23"/>
    <w:p w14:paraId="44CA5E92" w14:textId="77777777" w:rsidR="00826AA6" w:rsidRPr="00B574C8" w:rsidRDefault="00826AA6" w:rsidP="00B574C8">
      <w:pPr>
        <w:ind w:left="851"/>
        <w:rPr>
          <w:sz w:val="24"/>
          <w:szCs w:val="24"/>
        </w:rPr>
      </w:pPr>
      <w:r w:rsidRPr="00B574C8">
        <w:rPr>
          <w:sz w:val="24"/>
          <w:szCs w:val="24"/>
        </w:rPr>
        <w:t>Patienter med sart mave bør tage ibuprofen sammen med mad.</w:t>
      </w:r>
    </w:p>
    <w:p w14:paraId="211C5EF3" w14:textId="77777777" w:rsidR="009260DE" w:rsidRPr="00B574C8" w:rsidRDefault="009260DE" w:rsidP="009260DE">
      <w:pPr>
        <w:tabs>
          <w:tab w:val="left" w:pos="851"/>
        </w:tabs>
        <w:ind w:left="851"/>
        <w:rPr>
          <w:sz w:val="24"/>
          <w:szCs w:val="24"/>
        </w:rPr>
      </w:pPr>
    </w:p>
    <w:p w14:paraId="58735F7A" w14:textId="77777777" w:rsidR="009260DE" w:rsidRPr="00B574C8" w:rsidRDefault="009260DE" w:rsidP="009260DE">
      <w:pPr>
        <w:tabs>
          <w:tab w:val="left" w:pos="851"/>
        </w:tabs>
        <w:ind w:left="851" w:hanging="851"/>
        <w:rPr>
          <w:b/>
          <w:sz w:val="24"/>
          <w:szCs w:val="24"/>
        </w:rPr>
      </w:pPr>
      <w:r w:rsidRPr="00B574C8">
        <w:rPr>
          <w:b/>
          <w:sz w:val="24"/>
          <w:szCs w:val="24"/>
        </w:rPr>
        <w:t>4.3</w:t>
      </w:r>
      <w:r w:rsidRPr="00B574C8">
        <w:rPr>
          <w:b/>
          <w:sz w:val="24"/>
          <w:szCs w:val="24"/>
        </w:rPr>
        <w:tab/>
        <w:t>Kontraindikationer</w:t>
      </w:r>
    </w:p>
    <w:p w14:paraId="51B2BE0C" w14:textId="77777777" w:rsidR="00826AA6" w:rsidRPr="00B574C8" w:rsidRDefault="00826AA6" w:rsidP="005C3AC1">
      <w:pPr>
        <w:pStyle w:val="Listeafsnit"/>
        <w:numPr>
          <w:ilvl w:val="0"/>
          <w:numId w:val="14"/>
        </w:numPr>
        <w:ind w:left="1134" w:hanging="283"/>
        <w:rPr>
          <w:sz w:val="24"/>
          <w:szCs w:val="24"/>
        </w:rPr>
      </w:pPr>
      <w:r w:rsidRPr="00B574C8">
        <w:rPr>
          <w:sz w:val="24"/>
          <w:szCs w:val="24"/>
        </w:rPr>
        <w:t xml:space="preserve">Overfølsomhed over for ibuprofen, </w:t>
      </w:r>
      <w:bookmarkStart w:id="24" w:name="_Hlk129007347"/>
      <w:r w:rsidRPr="00B574C8">
        <w:rPr>
          <w:sz w:val="24"/>
          <w:szCs w:val="24"/>
        </w:rPr>
        <w:t xml:space="preserve">andre NSAID-præparater, acetylsalicylsyre eller </w:t>
      </w:r>
      <w:bookmarkEnd w:id="24"/>
      <w:r w:rsidRPr="00B574C8">
        <w:rPr>
          <w:sz w:val="24"/>
          <w:szCs w:val="24"/>
        </w:rPr>
        <w:t>over for et eller flere af hjælpestofferne anført i punkt 6.1.</w:t>
      </w:r>
    </w:p>
    <w:p w14:paraId="5131ABF9" w14:textId="77777777" w:rsidR="00826AA6" w:rsidRPr="00B574C8" w:rsidRDefault="00826AA6" w:rsidP="005C3AC1">
      <w:pPr>
        <w:pStyle w:val="Listeafsnit"/>
        <w:numPr>
          <w:ilvl w:val="0"/>
          <w:numId w:val="14"/>
        </w:numPr>
        <w:ind w:left="1134" w:hanging="283"/>
        <w:rPr>
          <w:sz w:val="24"/>
          <w:szCs w:val="24"/>
        </w:rPr>
      </w:pPr>
      <w:r w:rsidRPr="00B574C8">
        <w:rPr>
          <w:sz w:val="24"/>
          <w:szCs w:val="24"/>
        </w:rPr>
        <w:t xml:space="preserve">Tilstande med øget blødningstendens. </w:t>
      </w:r>
    </w:p>
    <w:p w14:paraId="799F5295" w14:textId="77777777" w:rsidR="00826AA6" w:rsidRPr="00B574C8" w:rsidRDefault="00826AA6" w:rsidP="005C3AC1">
      <w:pPr>
        <w:pStyle w:val="Listeafsnit"/>
        <w:numPr>
          <w:ilvl w:val="0"/>
          <w:numId w:val="14"/>
        </w:numPr>
        <w:ind w:left="1134" w:hanging="283"/>
        <w:rPr>
          <w:sz w:val="24"/>
          <w:szCs w:val="24"/>
        </w:rPr>
      </w:pPr>
      <w:proofErr w:type="spellStart"/>
      <w:r w:rsidRPr="00B574C8">
        <w:rPr>
          <w:sz w:val="24"/>
          <w:szCs w:val="24"/>
        </w:rPr>
        <w:t>Cerebrovaskulær</w:t>
      </w:r>
      <w:proofErr w:type="spellEnd"/>
      <w:r w:rsidRPr="00B574C8">
        <w:rPr>
          <w:sz w:val="24"/>
          <w:szCs w:val="24"/>
        </w:rPr>
        <w:t>- eller anden aktiv blødning.</w:t>
      </w:r>
    </w:p>
    <w:p w14:paraId="70302A3E" w14:textId="77777777" w:rsidR="00826AA6" w:rsidRPr="00B574C8" w:rsidRDefault="00826AA6" w:rsidP="005C3AC1">
      <w:pPr>
        <w:pStyle w:val="Listeafsnit"/>
        <w:numPr>
          <w:ilvl w:val="0"/>
          <w:numId w:val="14"/>
        </w:numPr>
        <w:ind w:left="1134" w:hanging="283"/>
        <w:rPr>
          <w:sz w:val="24"/>
          <w:szCs w:val="24"/>
          <w:lang w:val="nb-NO"/>
        </w:rPr>
      </w:pPr>
      <w:r w:rsidRPr="00B574C8">
        <w:rPr>
          <w:sz w:val="24"/>
          <w:szCs w:val="24"/>
          <w:lang w:val="nb-NO"/>
        </w:rPr>
        <w:t>Anamnese med gastrointestinal (GI) blødning eller perforation, relateret til tidligere behandling med NSAID.</w:t>
      </w:r>
    </w:p>
    <w:p w14:paraId="02D18024" w14:textId="77777777" w:rsidR="00826AA6" w:rsidRPr="00B574C8" w:rsidRDefault="00826AA6" w:rsidP="005C3AC1">
      <w:pPr>
        <w:pStyle w:val="Listeafsnit"/>
        <w:numPr>
          <w:ilvl w:val="0"/>
          <w:numId w:val="14"/>
        </w:numPr>
        <w:ind w:left="1134" w:hanging="283"/>
        <w:rPr>
          <w:sz w:val="24"/>
          <w:szCs w:val="24"/>
          <w:lang w:val="nb-NO"/>
        </w:rPr>
      </w:pPr>
      <w:r w:rsidRPr="00B574C8">
        <w:rPr>
          <w:sz w:val="24"/>
          <w:szCs w:val="24"/>
          <w:lang w:val="nb-NO"/>
        </w:rPr>
        <w:t xml:space="preserve">Aktivt </w:t>
      </w:r>
      <w:r w:rsidRPr="00B574C8">
        <w:rPr>
          <w:i/>
          <w:iCs/>
          <w:sz w:val="24"/>
          <w:szCs w:val="24"/>
          <w:lang w:val="nb-NO"/>
        </w:rPr>
        <w:t>ulcus ventriculi</w:t>
      </w:r>
      <w:r w:rsidRPr="00B574C8">
        <w:rPr>
          <w:sz w:val="24"/>
          <w:szCs w:val="24"/>
          <w:lang w:val="nb-NO"/>
        </w:rPr>
        <w:t xml:space="preserve"> eller </w:t>
      </w:r>
      <w:r w:rsidRPr="00B574C8">
        <w:rPr>
          <w:i/>
          <w:iCs/>
          <w:sz w:val="24"/>
          <w:szCs w:val="24"/>
          <w:lang w:val="nb-NO"/>
        </w:rPr>
        <w:t>duodeni</w:t>
      </w:r>
      <w:r w:rsidRPr="00B574C8">
        <w:rPr>
          <w:sz w:val="24"/>
          <w:szCs w:val="24"/>
          <w:lang w:val="nb-NO"/>
        </w:rPr>
        <w:t xml:space="preserve"> eller anamnese med tilbagevendende </w:t>
      </w:r>
      <w:r w:rsidRPr="00B574C8">
        <w:rPr>
          <w:i/>
          <w:iCs/>
          <w:sz w:val="24"/>
          <w:szCs w:val="24"/>
          <w:lang w:val="nb-NO"/>
        </w:rPr>
        <w:t>ulcus pepticum</w:t>
      </w:r>
      <w:r w:rsidRPr="00B574C8">
        <w:rPr>
          <w:sz w:val="24"/>
          <w:szCs w:val="24"/>
          <w:lang w:val="nb-NO"/>
        </w:rPr>
        <w:t xml:space="preserve">/blødning (to eller flere distinkte episoder med dokumenteret ulceration eller blødning). </w:t>
      </w:r>
    </w:p>
    <w:p w14:paraId="3A2DA30B" w14:textId="77777777" w:rsidR="00826AA6" w:rsidRPr="00B574C8" w:rsidRDefault="00826AA6" w:rsidP="005C3AC1">
      <w:pPr>
        <w:pStyle w:val="Listeafsnit"/>
        <w:numPr>
          <w:ilvl w:val="0"/>
          <w:numId w:val="14"/>
        </w:numPr>
        <w:ind w:left="1134" w:hanging="283"/>
        <w:rPr>
          <w:sz w:val="24"/>
          <w:szCs w:val="24"/>
        </w:rPr>
      </w:pPr>
      <w:r w:rsidRPr="00B574C8">
        <w:rPr>
          <w:sz w:val="24"/>
          <w:szCs w:val="24"/>
        </w:rPr>
        <w:t xml:space="preserve">Svært nedsat leverfunktion. </w:t>
      </w:r>
    </w:p>
    <w:p w14:paraId="03D4BF29" w14:textId="77777777" w:rsidR="00826AA6" w:rsidRPr="00B574C8" w:rsidRDefault="00826AA6" w:rsidP="005C3AC1">
      <w:pPr>
        <w:pStyle w:val="Listeafsnit"/>
        <w:numPr>
          <w:ilvl w:val="0"/>
          <w:numId w:val="14"/>
        </w:numPr>
        <w:ind w:left="1134" w:hanging="283"/>
        <w:rPr>
          <w:sz w:val="24"/>
          <w:szCs w:val="24"/>
        </w:rPr>
      </w:pPr>
      <w:r w:rsidRPr="00B574C8">
        <w:rPr>
          <w:sz w:val="24"/>
          <w:szCs w:val="24"/>
        </w:rPr>
        <w:t>Svært nedsat hjertefunktion (NYHA-klasse IV).</w:t>
      </w:r>
    </w:p>
    <w:p w14:paraId="13B62A11" w14:textId="77777777" w:rsidR="00826AA6" w:rsidRPr="00B574C8" w:rsidRDefault="00826AA6" w:rsidP="005C3AC1">
      <w:pPr>
        <w:pStyle w:val="Listeafsnit"/>
        <w:numPr>
          <w:ilvl w:val="0"/>
          <w:numId w:val="14"/>
        </w:numPr>
        <w:ind w:left="1134" w:hanging="283"/>
        <w:rPr>
          <w:sz w:val="24"/>
          <w:szCs w:val="24"/>
        </w:rPr>
      </w:pPr>
      <w:r w:rsidRPr="00B574C8">
        <w:rPr>
          <w:sz w:val="24"/>
          <w:szCs w:val="24"/>
        </w:rPr>
        <w:t>Svært nedsat nyrefunktion (</w:t>
      </w:r>
      <w:proofErr w:type="spellStart"/>
      <w:r w:rsidRPr="00B574C8">
        <w:rPr>
          <w:sz w:val="24"/>
          <w:szCs w:val="24"/>
        </w:rPr>
        <w:t>glomerulusfiltration</w:t>
      </w:r>
      <w:proofErr w:type="spellEnd"/>
      <w:r w:rsidRPr="00B574C8">
        <w:rPr>
          <w:sz w:val="24"/>
          <w:szCs w:val="24"/>
        </w:rPr>
        <w:t xml:space="preserve"> under 30 ml/minut). </w:t>
      </w:r>
    </w:p>
    <w:p w14:paraId="4E787B0F" w14:textId="77777777" w:rsidR="00826AA6" w:rsidRPr="00B574C8" w:rsidRDefault="00826AA6" w:rsidP="005C3AC1">
      <w:pPr>
        <w:pStyle w:val="Listeafsnit"/>
        <w:numPr>
          <w:ilvl w:val="0"/>
          <w:numId w:val="14"/>
        </w:numPr>
        <w:ind w:left="1134" w:hanging="283"/>
        <w:rPr>
          <w:sz w:val="24"/>
          <w:szCs w:val="24"/>
        </w:rPr>
      </w:pPr>
      <w:r w:rsidRPr="00B574C8">
        <w:rPr>
          <w:sz w:val="24"/>
          <w:szCs w:val="24"/>
        </w:rPr>
        <w:t>Graviditet i 3. trimester (se pkt. 4.6).</w:t>
      </w:r>
    </w:p>
    <w:p w14:paraId="151E47F5" w14:textId="77777777" w:rsidR="009260DE" w:rsidRPr="00B574C8" w:rsidRDefault="009260DE" w:rsidP="009260DE">
      <w:pPr>
        <w:tabs>
          <w:tab w:val="left" w:pos="851"/>
        </w:tabs>
        <w:ind w:left="851"/>
        <w:rPr>
          <w:sz w:val="24"/>
          <w:szCs w:val="24"/>
        </w:rPr>
      </w:pPr>
    </w:p>
    <w:p w14:paraId="45BB4165" w14:textId="77777777" w:rsidR="009260DE" w:rsidRPr="00B574C8" w:rsidRDefault="009260DE" w:rsidP="009260DE">
      <w:pPr>
        <w:tabs>
          <w:tab w:val="left" w:pos="851"/>
        </w:tabs>
        <w:ind w:left="851" w:hanging="851"/>
        <w:rPr>
          <w:b/>
          <w:sz w:val="24"/>
          <w:szCs w:val="24"/>
        </w:rPr>
      </w:pPr>
      <w:r w:rsidRPr="00B574C8">
        <w:rPr>
          <w:b/>
          <w:sz w:val="24"/>
          <w:szCs w:val="24"/>
        </w:rPr>
        <w:t>4.4</w:t>
      </w:r>
      <w:r w:rsidRPr="00B574C8">
        <w:rPr>
          <w:b/>
          <w:sz w:val="24"/>
          <w:szCs w:val="24"/>
        </w:rPr>
        <w:tab/>
        <w:t>Særlige advarsler og forsigtighedsregler vedrørende brugen</w:t>
      </w:r>
    </w:p>
    <w:p w14:paraId="17582547" w14:textId="5D5B793D" w:rsidR="009C0264" w:rsidRPr="00B574C8" w:rsidRDefault="009C0264" w:rsidP="009C0264">
      <w:pPr>
        <w:ind w:left="851"/>
        <w:rPr>
          <w:sz w:val="24"/>
          <w:szCs w:val="24"/>
        </w:rPr>
      </w:pPr>
      <w:bookmarkStart w:id="25" w:name="_Hlk124945717"/>
      <w:r w:rsidRPr="00B574C8">
        <w:rPr>
          <w:sz w:val="24"/>
          <w:szCs w:val="24"/>
        </w:rPr>
        <w:t xml:space="preserve">Samtidig brug af </w:t>
      </w:r>
      <w:bookmarkEnd w:id="25"/>
      <w:r w:rsidR="00962C01">
        <w:rPr>
          <w:sz w:val="24"/>
          <w:szCs w:val="24"/>
        </w:rPr>
        <w:t>Ibuprofen ”Nordic Prime”</w:t>
      </w:r>
      <w:r w:rsidRPr="00B574C8">
        <w:rPr>
          <w:sz w:val="24"/>
          <w:szCs w:val="24"/>
        </w:rPr>
        <w:t xml:space="preserve"> og andre NSAID</w:t>
      </w:r>
      <w:r>
        <w:rPr>
          <w:sz w:val="24"/>
          <w:szCs w:val="24"/>
        </w:rPr>
        <w:t>-</w:t>
      </w:r>
      <w:r w:rsidRPr="00B574C8">
        <w:rPr>
          <w:sz w:val="24"/>
          <w:szCs w:val="24"/>
        </w:rPr>
        <w:t>præparater, herunder selektive cyclooxygenase-2 (COX-</w:t>
      </w:r>
      <w:proofErr w:type="gramStart"/>
      <w:r w:rsidRPr="00B574C8">
        <w:rPr>
          <w:sz w:val="24"/>
          <w:szCs w:val="24"/>
        </w:rPr>
        <w:t>2)-</w:t>
      </w:r>
      <w:proofErr w:type="spellStart"/>
      <w:proofErr w:type="gramEnd"/>
      <w:r w:rsidRPr="00B574C8">
        <w:rPr>
          <w:sz w:val="24"/>
          <w:szCs w:val="24"/>
        </w:rPr>
        <w:t>hæmmere</w:t>
      </w:r>
      <w:proofErr w:type="spellEnd"/>
      <w:r w:rsidRPr="00B574C8">
        <w:rPr>
          <w:sz w:val="24"/>
          <w:szCs w:val="24"/>
        </w:rPr>
        <w:t xml:space="preserve"> bør undgås </w:t>
      </w:r>
      <w:bookmarkStart w:id="26" w:name="_Hlk129092312"/>
      <w:r w:rsidRPr="00B574C8">
        <w:rPr>
          <w:sz w:val="24"/>
          <w:szCs w:val="24"/>
        </w:rPr>
        <w:t>(se pkt. 4.5)</w:t>
      </w:r>
      <w:bookmarkEnd w:id="26"/>
      <w:r w:rsidRPr="00B574C8">
        <w:rPr>
          <w:sz w:val="24"/>
          <w:szCs w:val="24"/>
        </w:rPr>
        <w:t>.</w:t>
      </w:r>
    </w:p>
    <w:p w14:paraId="2B9AC007" w14:textId="77777777" w:rsidR="009C0264" w:rsidRPr="00B574C8" w:rsidRDefault="009C0264" w:rsidP="009C0264">
      <w:pPr>
        <w:ind w:left="851"/>
        <w:rPr>
          <w:sz w:val="24"/>
          <w:szCs w:val="24"/>
        </w:rPr>
      </w:pPr>
    </w:p>
    <w:p w14:paraId="6AC59EF6" w14:textId="77777777" w:rsidR="009C0264" w:rsidRPr="00B574C8" w:rsidRDefault="009C0264" w:rsidP="009C0264">
      <w:pPr>
        <w:ind w:left="851"/>
        <w:rPr>
          <w:sz w:val="24"/>
          <w:szCs w:val="24"/>
          <w:u w:val="single"/>
        </w:rPr>
      </w:pPr>
      <w:bookmarkStart w:id="27" w:name="_Hlk129008389"/>
      <w:bookmarkStart w:id="28" w:name="_Hlk129008705"/>
      <w:bookmarkStart w:id="29" w:name="_Hlk129008585"/>
      <w:proofErr w:type="spellStart"/>
      <w:r w:rsidRPr="00B574C8">
        <w:rPr>
          <w:sz w:val="24"/>
          <w:szCs w:val="24"/>
          <w:u w:val="single"/>
        </w:rPr>
        <w:t>Gastrointestinal</w:t>
      </w:r>
      <w:proofErr w:type="spellEnd"/>
      <w:r w:rsidRPr="00B574C8">
        <w:rPr>
          <w:sz w:val="24"/>
          <w:szCs w:val="24"/>
          <w:u w:val="single"/>
        </w:rPr>
        <w:t xml:space="preserve"> </w:t>
      </w:r>
      <w:bookmarkEnd w:id="27"/>
      <w:r w:rsidRPr="00B574C8">
        <w:rPr>
          <w:sz w:val="24"/>
          <w:szCs w:val="24"/>
          <w:u w:val="single"/>
        </w:rPr>
        <w:t xml:space="preserve">blødning, </w:t>
      </w:r>
      <w:proofErr w:type="spellStart"/>
      <w:r w:rsidRPr="00B574C8">
        <w:rPr>
          <w:sz w:val="24"/>
          <w:szCs w:val="24"/>
          <w:u w:val="single"/>
        </w:rPr>
        <w:t>ulceration</w:t>
      </w:r>
      <w:proofErr w:type="spellEnd"/>
      <w:r w:rsidRPr="00B574C8">
        <w:rPr>
          <w:sz w:val="24"/>
          <w:szCs w:val="24"/>
          <w:u w:val="single"/>
        </w:rPr>
        <w:t xml:space="preserve"> og perforation</w:t>
      </w:r>
    </w:p>
    <w:p w14:paraId="3A703C14" w14:textId="77777777" w:rsidR="009C0264" w:rsidRPr="00B574C8" w:rsidRDefault="009C0264" w:rsidP="009C0264">
      <w:pPr>
        <w:tabs>
          <w:tab w:val="left" w:pos="851"/>
        </w:tabs>
        <w:ind w:left="851"/>
        <w:rPr>
          <w:sz w:val="24"/>
          <w:szCs w:val="24"/>
        </w:rPr>
      </w:pPr>
      <w:proofErr w:type="spellStart"/>
      <w:r w:rsidRPr="00B574C8">
        <w:rPr>
          <w:sz w:val="24"/>
          <w:szCs w:val="24"/>
        </w:rPr>
        <w:t>Gastrointestinal</w:t>
      </w:r>
      <w:proofErr w:type="spellEnd"/>
      <w:r w:rsidRPr="00B574C8">
        <w:rPr>
          <w:sz w:val="24"/>
          <w:szCs w:val="24"/>
        </w:rPr>
        <w:t xml:space="preserve"> blødning, ulcus eller perforation, som kan være fatal, er forekommet med alle NSAID-præparater (inkl. ibuprofen) på alle tidspunkter af behandlingen, og hos patienter med eller uden advarselstegn, eller alvorlige </w:t>
      </w:r>
      <w:proofErr w:type="spellStart"/>
      <w:r w:rsidRPr="00B574C8">
        <w:rPr>
          <w:sz w:val="24"/>
          <w:szCs w:val="24"/>
        </w:rPr>
        <w:t>gastrointestinale</w:t>
      </w:r>
      <w:proofErr w:type="spellEnd"/>
      <w:r w:rsidRPr="00B574C8">
        <w:rPr>
          <w:sz w:val="24"/>
          <w:szCs w:val="24"/>
        </w:rPr>
        <w:t xml:space="preserve"> hændelser i anamnesen </w:t>
      </w:r>
      <w:bookmarkStart w:id="30" w:name="_Hlk129008420"/>
      <w:r w:rsidRPr="00B574C8">
        <w:rPr>
          <w:sz w:val="24"/>
          <w:szCs w:val="24"/>
        </w:rPr>
        <w:t>(se pkt. 4.3 og 4.8)</w:t>
      </w:r>
      <w:bookmarkEnd w:id="30"/>
      <w:r w:rsidRPr="00B574C8">
        <w:rPr>
          <w:sz w:val="24"/>
          <w:szCs w:val="24"/>
        </w:rPr>
        <w:t>.</w:t>
      </w:r>
    </w:p>
    <w:p w14:paraId="7EBD96B7" w14:textId="77777777" w:rsidR="009C0264" w:rsidRPr="00B574C8" w:rsidRDefault="009C0264" w:rsidP="009C0264">
      <w:pPr>
        <w:tabs>
          <w:tab w:val="left" w:pos="851"/>
        </w:tabs>
        <w:ind w:left="851"/>
        <w:rPr>
          <w:sz w:val="24"/>
          <w:szCs w:val="24"/>
        </w:rPr>
      </w:pPr>
    </w:p>
    <w:p w14:paraId="4A4BE750" w14:textId="77777777" w:rsidR="009C0264" w:rsidRPr="00B574C8" w:rsidRDefault="009C0264" w:rsidP="009C0264">
      <w:pPr>
        <w:tabs>
          <w:tab w:val="left" w:pos="851"/>
        </w:tabs>
        <w:ind w:left="851"/>
        <w:rPr>
          <w:sz w:val="24"/>
          <w:szCs w:val="24"/>
        </w:rPr>
      </w:pPr>
      <w:r w:rsidRPr="00B574C8">
        <w:rPr>
          <w:sz w:val="24"/>
          <w:szCs w:val="24"/>
        </w:rPr>
        <w:t xml:space="preserve">Risikoen </w:t>
      </w:r>
      <w:bookmarkStart w:id="31" w:name="_Hlk124946398"/>
      <w:r w:rsidRPr="00B574C8">
        <w:rPr>
          <w:sz w:val="24"/>
          <w:szCs w:val="24"/>
        </w:rPr>
        <w:t xml:space="preserve">er øget ved høje NSAID-doser (inkl. ibuprofen). </w:t>
      </w:r>
      <w:bookmarkEnd w:id="31"/>
    </w:p>
    <w:p w14:paraId="5CF5B337" w14:textId="77777777" w:rsidR="009C0264" w:rsidRPr="00B574C8" w:rsidRDefault="009C0264" w:rsidP="009C0264">
      <w:pPr>
        <w:tabs>
          <w:tab w:val="left" w:pos="851"/>
        </w:tabs>
        <w:ind w:left="851"/>
        <w:rPr>
          <w:sz w:val="24"/>
          <w:szCs w:val="24"/>
        </w:rPr>
      </w:pPr>
    </w:p>
    <w:p w14:paraId="58E925F0" w14:textId="77777777" w:rsidR="009C0264" w:rsidRPr="00B574C8" w:rsidRDefault="009C0264" w:rsidP="009C0264">
      <w:pPr>
        <w:tabs>
          <w:tab w:val="left" w:pos="851"/>
        </w:tabs>
        <w:ind w:left="851"/>
        <w:rPr>
          <w:sz w:val="24"/>
          <w:szCs w:val="24"/>
        </w:rPr>
      </w:pPr>
      <w:r w:rsidRPr="00B574C8">
        <w:rPr>
          <w:sz w:val="24"/>
          <w:szCs w:val="24"/>
        </w:rPr>
        <w:t xml:space="preserve">Hvis </w:t>
      </w:r>
      <w:proofErr w:type="spellStart"/>
      <w:r w:rsidRPr="00B574C8">
        <w:rPr>
          <w:sz w:val="24"/>
          <w:szCs w:val="24"/>
        </w:rPr>
        <w:t>gastrointestinal</w:t>
      </w:r>
      <w:proofErr w:type="spellEnd"/>
      <w:r w:rsidRPr="00B574C8">
        <w:rPr>
          <w:sz w:val="24"/>
          <w:szCs w:val="24"/>
        </w:rPr>
        <w:t xml:space="preserve"> blødning eller ulcus opstår hos patienter, der får ibuprofen, skal behandlingen straks seponeres (se pkt. 4.3).</w:t>
      </w:r>
    </w:p>
    <w:p w14:paraId="036143AE" w14:textId="77777777" w:rsidR="009C0264" w:rsidRPr="00B574C8" w:rsidRDefault="009C0264" w:rsidP="009C0264">
      <w:pPr>
        <w:tabs>
          <w:tab w:val="left" w:pos="851"/>
        </w:tabs>
        <w:ind w:left="851"/>
        <w:rPr>
          <w:sz w:val="24"/>
          <w:szCs w:val="24"/>
        </w:rPr>
      </w:pPr>
    </w:p>
    <w:p w14:paraId="456E155F" w14:textId="77777777" w:rsidR="009C0264" w:rsidRPr="00B574C8" w:rsidRDefault="009C0264" w:rsidP="009C0264">
      <w:pPr>
        <w:tabs>
          <w:tab w:val="left" w:pos="851"/>
        </w:tabs>
        <w:ind w:left="851"/>
        <w:rPr>
          <w:sz w:val="24"/>
          <w:szCs w:val="24"/>
        </w:rPr>
      </w:pPr>
      <w:r w:rsidRPr="00B574C8">
        <w:rPr>
          <w:sz w:val="24"/>
          <w:szCs w:val="24"/>
        </w:rPr>
        <w:t xml:space="preserve">NSAID-præparater bør anvendes med forsigtighed hos patienter med </w:t>
      </w:r>
      <w:proofErr w:type="spellStart"/>
      <w:r w:rsidRPr="00B574C8">
        <w:rPr>
          <w:sz w:val="24"/>
          <w:szCs w:val="24"/>
        </w:rPr>
        <w:t>gastrointestinale</w:t>
      </w:r>
      <w:proofErr w:type="spellEnd"/>
      <w:r w:rsidRPr="00B574C8">
        <w:rPr>
          <w:sz w:val="24"/>
          <w:szCs w:val="24"/>
        </w:rPr>
        <w:t xml:space="preserve"> lidelser i anamnesen (colitis </w:t>
      </w:r>
      <w:proofErr w:type="spellStart"/>
      <w:r w:rsidRPr="00B574C8">
        <w:rPr>
          <w:sz w:val="24"/>
          <w:szCs w:val="24"/>
        </w:rPr>
        <w:t>ulcerosa</w:t>
      </w:r>
      <w:proofErr w:type="spellEnd"/>
      <w:r w:rsidRPr="00B574C8">
        <w:rPr>
          <w:sz w:val="24"/>
          <w:szCs w:val="24"/>
        </w:rPr>
        <w:t xml:space="preserve">, </w:t>
      </w:r>
      <w:proofErr w:type="spellStart"/>
      <w:r w:rsidRPr="00B574C8">
        <w:rPr>
          <w:sz w:val="24"/>
          <w:szCs w:val="24"/>
        </w:rPr>
        <w:t>morbus</w:t>
      </w:r>
      <w:proofErr w:type="spellEnd"/>
      <w:r w:rsidRPr="00B574C8">
        <w:rPr>
          <w:sz w:val="24"/>
          <w:szCs w:val="24"/>
        </w:rPr>
        <w:t xml:space="preserve"> </w:t>
      </w:r>
      <w:proofErr w:type="spellStart"/>
      <w:r w:rsidRPr="00B574C8">
        <w:rPr>
          <w:sz w:val="24"/>
          <w:szCs w:val="24"/>
        </w:rPr>
        <w:t>Crohn</w:t>
      </w:r>
      <w:proofErr w:type="spellEnd"/>
      <w:r w:rsidRPr="00B574C8">
        <w:rPr>
          <w:sz w:val="24"/>
          <w:szCs w:val="24"/>
        </w:rPr>
        <w:t xml:space="preserve">), </w:t>
      </w:r>
      <w:bookmarkStart w:id="32" w:name="_Hlk122078409"/>
      <w:r w:rsidRPr="00B574C8">
        <w:rPr>
          <w:sz w:val="24"/>
          <w:szCs w:val="24"/>
        </w:rPr>
        <w:t xml:space="preserve">da disse tilstande kan forværres </w:t>
      </w:r>
      <w:bookmarkEnd w:id="32"/>
      <w:r w:rsidRPr="00B574C8">
        <w:rPr>
          <w:sz w:val="24"/>
          <w:szCs w:val="24"/>
        </w:rPr>
        <w:t>(se pkt. 4.8).</w:t>
      </w:r>
    </w:p>
    <w:p w14:paraId="2B36A8F7" w14:textId="77777777" w:rsidR="009C0264" w:rsidRPr="00B574C8" w:rsidRDefault="009C0264" w:rsidP="009C0264">
      <w:pPr>
        <w:ind w:left="851"/>
        <w:rPr>
          <w:sz w:val="24"/>
          <w:szCs w:val="24"/>
          <w:u w:val="single"/>
        </w:rPr>
      </w:pPr>
    </w:p>
    <w:p w14:paraId="6AFCE232" w14:textId="77777777" w:rsidR="009C0264" w:rsidRPr="00B574C8" w:rsidRDefault="009C0264" w:rsidP="009C0264">
      <w:pPr>
        <w:ind w:left="851"/>
        <w:rPr>
          <w:sz w:val="24"/>
          <w:szCs w:val="24"/>
          <w:u w:val="single"/>
        </w:rPr>
      </w:pPr>
      <w:bookmarkStart w:id="33" w:name="_Hlk129008739"/>
      <w:bookmarkEnd w:id="28"/>
      <w:r w:rsidRPr="00B574C8">
        <w:rPr>
          <w:sz w:val="24"/>
          <w:szCs w:val="24"/>
          <w:u w:val="single"/>
        </w:rPr>
        <w:t xml:space="preserve">Virkning på nyrefunktionen </w:t>
      </w:r>
    </w:p>
    <w:p w14:paraId="027E8989" w14:textId="77777777" w:rsidR="009C0264" w:rsidRPr="00B574C8" w:rsidRDefault="009C0264" w:rsidP="009C0264">
      <w:pPr>
        <w:ind w:left="851"/>
        <w:rPr>
          <w:sz w:val="24"/>
          <w:szCs w:val="24"/>
        </w:rPr>
      </w:pPr>
      <w:r w:rsidRPr="00B574C8">
        <w:rPr>
          <w:sz w:val="24"/>
          <w:szCs w:val="24"/>
        </w:rPr>
        <w:t xml:space="preserve">Ibuprofen bør anvendes med forsigtighed til patienter med mild og moderat nedsat nyrefunktion, især ved samtidig behandling med </w:t>
      </w:r>
      <w:proofErr w:type="spellStart"/>
      <w:r w:rsidRPr="00B574C8">
        <w:rPr>
          <w:sz w:val="24"/>
          <w:szCs w:val="24"/>
        </w:rPr>
        <w:t>diuretika</w:t>
      </w:r>
      <w:proofErr w:type="spellEnd"/>
      <w:r w:rsidRPr="00B574C8">
        <w:rPr>
          <w:sz w:val="24"/>
          <w:szCs w:val="24"/>
        </w:rPr>
        <w:t xml:space="preserve">. Dette skyldes at en hæmning af </w:t>
      </w:r>
      <w:proofErr w:type="spellStart"/>
      <w:r w:rsidRPr="00B574C8">
        <w:rPr>
          <w:sz w:val="24"/>
          <w:szCs w:val="24"/>
        </w:rPr>
        <w:t>prostaglandiner</w:t>
      </w:r>
      <w:proofErr w:type="spellEnd"/>
      <w:r w:rsidRPr="00B574C8">
        <w:rPr>
          <w:sz w:val="24"/>
          <w:szCs w:val="24"/>
        </w:rPr>
        <w:t xml:space="preserve"> kan forårsage væskeretention og forværre nyrefunktionen. </w:t>
      </w:r>
      <w:bookmarkStart w:id="34" w:name="_Hlk122696064"/>
    </w:p>
    <w:bookmarkEnd w:id="34"/>
    <w:p w14:paraId="4B6EF980" w14:textId="77777777" w:rsidR="009C0264" w:rsidRPr="00B574C8" w:rsidRDefault="009C0264" w:rsidP="009C0264">
      <w:pPr>
        <w:ind w:left="851"/>
        <w:rPr>
          <w:sz w:val="24"/>
          <w:szCs w:val="24"/>
        </w:rPr>
      </w:pPr>
    </w:p>
    <w:p w14:paraId="7B668E32" w14:textId="77777777" w:rsidR="009C0264" w:rsidRPr="00B574C8" w:rsidRDefault="009C0264" w:rsidP="009C0264">
      <w:pPr>
        <w:ind w:left="851"/>
        <w:rPr>
          <w:sz w:val="24"/>
          <w:szCs w:val="24"/>
        </w:rPr>
      </w:pPr>
      <w:r w:rsidRPr="00B574C8">
        <w:rPr>
          <w:sz w:val="24"/>
          <w:szCs w:val="24"/>
        </w:rPr>
        <w:t xml:space="preserve">Ved administration til disse patienter, bør dosis af ibuprofen holdes så lav som muligt med regelmæssig kontrol af nyrefunktionen. </w:t>
      </w:r>
    </w:p>
    <w:p w14:paraId="286A1E2F" w14:textId="77777777" w:rsidR="009C0264" w:rsidRPr="00B574C8" w:rsidRDefault="009C0264" w:rsidP="009C0264">
      <w:pPr>
        <w:ind w:left="851"/>
        <w:rPr>
          <w:sz w:val="24"/>
          <w:szCs w:val="24"/>
        </w:rPr>
      </w:pPr>
    </w:p>
    <w:p w14:paraId="0A14BB08" w14:textId="77777777" w:rsidR="009C0264" w:rsidRPr="00B574C8" w:rsidRDefault="009C0264" w:rsidP="009C0264">
      <w:pPr>
        <w:ind w:left="851"/>
        <w:rPr>
          <w:sz w:val="24"/>
          <w:szCs w:val="24"/>
        </w:rPr>
      </w:pPr>
      <w:r w:rsidRPr="00B574C8">
        <w:rPr>
          <w:sz w:val="24"/>
          <w:szCs w:val="24"/>
        </w:rPr>
        <w:t xml:space="preserve">I tilfælde af dehydrering skal tilstrækkeligt væskeindtag hurtigt sikres på grund af risikoen for nyresvigt. </w:t>
      </w:r>
    </w:p>
    <w:p w14:paraId="5857E018" w14:textId="77777777" w:rsidR="009C0264" w:rsidRPr="00B574C8" w:rsidRDefault="009C0264" w:rsidP="009C0264">
      <w:pPr>
        <w:ind w:left="851"/>
        <w:rPr>
          <w:sz w:val="24"/>
          <w:szCs w:val="24"/>
        </w:rPr>
      </w:pPr>
    </w:p>
    <w:p w14:paraId="3E3CEFC8" w14:textId="77777777" w:rsidR="009C0264" w:rsidRPr="00B574C8" w:rsidRDefault="009C0264" w:rsidP="009C0264">
      <w:pPr>
        <w:ind w:left="851"/>
        <w:rPr>
          <w:sz w:val="24"/>
          <w:szCs w:val="24"/>
        </w:rPr>
      </w:pPr>
      <w:r w:rsidRPr="00B574C8">
        <w:rPr>
          <w:sz w:val="24"/>
          <w:szCs w:val="24"/>
        </w:rPr>
        <w:t xml:space="preserve">Som med andre NSAID-præparater har langtidsbehandling med ibuprofen hos dyr resulteret i papillær nekrose og andre patologiske ændringer i nyrerne. Hos mennesker er der rapporteret akut </w:t>
      </w:r>
      <w:proofErr w:type="spellStart"/>
      <w:r w:rsidRPr="00B574C8">
        <w:rPr>
          <w:sz w:val="24"/>
          <w:szCs w:val="24"/>
        </w:rPr>
        <w:t>interstitiel</w:t>
      </w:r>
      <w:proofErr w:type="spellEnd"/>
      <w:r w:rsidRPr="00B574C8">
        <w:rPr>
          <w:sz w:val="24"/>
          <w:szCs w:val="24"/>
        </w:rPr>
        <w:t xml:space="preserve"> </w:t>
      </w:r>
      <w:proofErr w:type="spellStart"/>
      <w:r w:rsidRPr="00B574C8">
        <w:rPr>
          <w:sz w:val="24"/>
          <w:szCs w:val="24"/>
        </w:rPr>
        <w:t>nefritis</w:t>
      </w:r>
      <w:proofErr w:type="spellEnd"/>
      <w:r w:rsidRPr="00B574C8">
        <w:rPr>
          <w:sz w:val="24"/>
          <w:szCs w:val="24"/>
        </w:rPr>
        <w:t xml:space="preserve"> med hæmaturi, </w:t>
      </w:r>
      <w:proofErr w:type="spellStart"/>
      <w:r w:rsidRPr="00B574C8">
        <w:rPr>
          <w:sz w:val="24"/>
          <w:szCs w:val="24"/>
        </w:rPr>
        <w:t>proteinuri</w:t>
      </w:r>
      <w:proofErr w:type="spellEnd"/>
      <w:r w:rsidRPr="00B574C8">
        <w:rPr>
          <w:sz w:val="24"/>
          <w:szCs w:val="24"/>
        </w:rPr>
        <w:t xml:space="preserve"> og i nogle tilfælde </w:t>
      </w:r>
      <w:proofErr w:type="spellStart"/>
      <w:r w:rsidRPr="00B574C8">
        <w:rPr>
          <w:sz w:val="24"/>
          <w:szCs w:val="24"/>
        </w:rPr>
        <w:t>nefrotisk</w:t>
      </w:r>
      <w:proofErr w:type="spellEnd"/>
      <w:r w:rsidRPr="00B574C8">
        <w:rPr>
          <w:sz w:val="24"/>
          <w:szCs w:val="24"/>
        </w:rPr>
        <w:t xml:space="preserve"> syndrom (se pkt. 4.8). Nyretoksicitet er også set hos patienter, hos hvem </w:t>
      </w:r>
      <w:proofErr w:type="spellStart"/>
      <w:r w:rsidRPr="00B574C8">
        <w:rPr>
          <w:sz w:val="24"/>
          <w:szCs w:val="24"/>
        </w:rPr>
        <w:t>prostaglandiner</w:t>
      </w:r>
      <w:proofErr w:type="spellEnd"/>
      <w:r w:rsidRPr="00B574C8">
        <w:rPr>
          <w:sz w:val="24"/>
          <w:szCs w:val="24"/>
        </w:rPr>
        <w:t xml:space="preserve"> har en kompensatorisk rolle i vedligeholdelsen af </w:t>
      </w:r>
      <w:proofErr w:type="spellStart"/>
      <w:r w:rsidRPr="00B574C8">
        <w:rPr>
          <w:sz w:val="24"/>
          <w:szCs w:val="24"/>
        </w:rPr>
        <w:t>renal</w:t>
      </w:r>
      <w:proofErr w:type="spellEnd"/>
      <w:r w:rsidRPr="00B574C8">
        <w:rPr>
          <w:sz w:val="24"/>
          <w:szCs w:val="24"/>
        </w:rPr>
        <w:t xml:space="preserve"> perfusion. Hos </w:t>
      </w:r>
      <w:r w:rsidRPr="00B574C8">
        <w:rPr>
          <w:sz w:val="24"/>
          <w:szCs w:val="24"/>
        </w:rPr>
        <w:lastRenderedPageBreak/>
        <w:t xml:space="preserve">disse patienter kan administration af NSAID-præparater forårsage en dosisafhængig reduktion i dannelsen af </w:t>
      </w:r>
      <w:proofErr w:type="spellStart"/>
      <w:r w:rsidRPr="00B574C8">
        <w:rPr>
          <w:sz w:val="24"/>
          <w:szCs w:val="24"/>
        </w:rPr>
        <w:t>prostaglandiner</w:t>
      </w:r>
      <w:proofErr w:type="spellEnd"/>
      <w:r w:rsidRPr="00B574C8">
        <w:rPr>
          <w:sz w:val="24"/>
          <w:szCs w:val="24"/>
        </w:rPr>
        <w:t xml:space="preserve"> og sekundært i den </w:t>
      </w:r>
      <w:proofErr w:type="spellStart"/>
      <w:r w:rsidRPr="00B574C8">
        <w:rPr>
          <w:sz w:val="24"/>
          <w:szCs w:val="24"/>
        </w:rPr>
        <w:t>renale</w:t>
      </w:r>
      <w:proofErr w:type="spellEnd"/>
      <w:r w:rsidRPr="00B574C8">
        <w:rPr>
          <w:sz w:val="24"/>
          <w:szCs w:val="24"/>
        </w:rPr>
        <w:t xml:space="preserve"> blodgennemstrømning, hvilket kan fremskynde nedbrydning af nyrerne.</w:t>
      </w:r>
    </w:p>
    <w:p w14:paraId="42C7972F" w14:textId="77777777" w:rsidR="009C0264" w:rsidRPr="00B574C8" w:rsidRDefault="009C0264" w:rsidP="009C0264">
      <w:pPr>
        <w:ind w:left="851"/>
        <w:rPr>
          <w:sz w:val="24"/>
          <w:szCs w:val="24"/>
        </w:rPr>
      </w:pPr>
    </w:p>
    <w:p w14:paraId="7DFFC382" w14:textId="77777777" w:rsidR="009C0264" w:rsidRPr="00B574C8" w:rsidRDefault="009C0264" w:rsidP="009C0264">
      <w:pPr>
        <w:ind w:left="851"/>
        <w:rPr>
          <w:sz w:val="24"/>
          <w:szCs w:val="24"/>
        </w:rPr>
      </w:pPr>
      <w:r w:rsidRPr="00B574C8">
        <w:rPr>
          <w:sz w:val="24"/>
          <w:szCs w:val="24"/>
        </w:rPr>
        <w:t xml:space="preserve">De patienter, som har størst risiko for denne reaktion, er ældre patienter, patienter med nyresvigt, hjertesvigt eller nedsat leverfunktion og patienter, der behandles med </w:t>
      </w:r>
      <w:proofErr w:type="spellStart"/>
      <w:r w:rsidRPr="00B574C8">
        <w:rPr>
          <w:sz w:val="24"/>
          <w:szCs w:val="24"/>
        </w:rPr>
        <w:t>diuretika</w:t>
      </w:r>
      <w:proofErr w:type="spellEnd"/>
      <w:r w:rsidRPr="00B574C8">
        <w:rPr>
          <w:sz w:val="24"/>
          <w:szCs w:val="24"/>
        </w:rPr>
        <w:t xml:space="preserve"> eller </w:t>
      </w:r>
      <w:proofErr w:type="spellStart"/>
      <w:r w:rsidRPr="00B574C8">
        <w:rPr>
          <w:sz w:val="24"/>
          <w:szCs w:val="24"/>
        </w:rPr>
        <w:t>antihypertensiva</w:t>
      </w:r>
      <w:proofErr w:type="spellEnd"/>
      <w:r w:rsidRPr="00B574C8">
        <w:rPr>
          <w:sz w:val="24"/>
          <w:szCs w:val="24"/>
        </w:rPr>
        <w:t xml:space="preserve"> (ACE-</w:t>
      </w:r>
      <w:proofErr w:type="spellStart"/>
      <w:r w:rsidRPr="00B574C8">
        <w:rPr>
          <w:sz w:val="24"/>
          <w:szCs w:val="24"/>
        </w:rPr>
        <w:t>hæmmere</w:t>
      </w:r>
      <w:proofErr w:type="spellEnd"/>
      <w:r w:rsidRPr="00B574C8">
        <w:rPr>
          <w:sz w:val="24"/>
          <w:szCs w:val="24"/>
        </w:rPr>
        <w:t xml:space="preserve">) (se pkt. 4.2, 4.3 og 4.5). </w:t>
      </w:r>
      <w:proofErr w:type="spellStart"/>
      <w:r w:rsidRPr="00B574C8">
        <w:rPr>
          <w:sz w:val="24"/>
          <w:szCs w:val="24"/>
        </w:rPr>
        <w:t>Seponering</w:t>
      </w:r>
      <w:proofErr w:type="spellEnd"/>
      <w:r w:rsidRPr="00B574C8">
        <w:rPr>
          <w:sz w:val="24"/>
          <w:szCs w:val="24"/>
        </w:rPr>
        <w:t xml:space="preserve"> af NSAID-behandling </w:t>
      </w:r>
      <w:bookmarkStart w:id="35" w:name="_Hlk128670706"/>
      <w:bookmarkStart w:id="36" w:name="_Hlk124947220"/>
      <w:r w:rsidRPr="00B574C8">
        <w:rPr>
          <w:sz w:val="24"/>
          <w:szCs w:val="24"/>
        </w:rPr>
        <w:t>efterfølges normalt med bedring til det stadie, som fandtes inden behandling</w:t>
      </w:r>
      <w:bookmarkEnd w:id="35"/>
      <w:r w:rsidRPr="00B574C8">
        <w:rPr>
          <w:sz w:val="24"/>
          <w:szCs w:val="24"/>
        </w:rPr>
        <w:t>.</w:t>
      </w:r>
      <w:bookmarkEnd w:id="36"/>
    </w:p>
    <w:p w14:paraId="57FC3F79" w14:textId="77777777" w:rsidR="009C0264" w:rsidRPr="00B574C8" w:rsidRDefault="009C0264" w:rsidP="009C0264">
      <w:pPr>
        <w:ind w:left="851"/>
        <w:rPr>
          <w:sz w:val="24"/>
          <w:szCs w:val="24"/>
        </w:rPr>
      </w:pPr>
    </w:p>
    <w:p w14:paraId="031BD882" w14:textId="77777777" w:rsidR="009C0264" w:rsidRPr="000F0B26" w:rsidRDefault="009C0264" w:rsidP="009C0264">
      <w:pPr>
        <w:ind w:left="851"/>
        <w:rPr>
          <w:sz w:val="24"/>
          <w:szCs w:val="24"/>
          <w:u w:val="single"/>
        </w:rPr>
      </w:pPr>
      <w:r w:rsidRPr="000F0B26">
        <w:rPr>
          <w:sz w:val="24"/>
          <w:szCs w:val="24"/>
          <w:u w:val="single"/>
        </w:rPr>
        <w:t xml:space="preserve">Virkning på leverfunktionen </w:t>
      </w:r>
    </w:p>
    <w:p w14:paraId="5E4D94A5" w14:textId="77777777" w:rsidR="009C0264" w:rsidRPr="00B574C8" w:rsidRDefault="009C0264" w:rsidP="009C0264">
      <w:pPr>
        <w:ind w:left="851"/>
        <w:rPr>
          <w:sz w:val="24"/>
          <w:szCs w:val="24"/>
        </w:rPr>
      </w:pPr>
      <w:r w:rsidRPr="00B574C8">
        <w:rPr>
          <w:sz w:val="24"/>
          <w:szCs w:val="24"/>
        </w:rPr>
        <w:t xml:space="preserve">Som med andre </w:t>
      </w:r>
      <w:bookmarkStart w:id="37" w:name="_Hlk128670750"/>
      <w:r w:rsidRPr="00B574C8">
        <w:rPr>
          <w:sz w:val="24"/>
          <w:szCs w:val="24"/>
        </w:rPr>
        <w:t>NSAID-præparater</w:t>
      </w:r>
      <w:bookmarkEnd w:id="37"/>
      <w:r w:rsidRPr="00B574C8">
        <w:rPr>
          <w:sz w:val="24"/>
          <w:szCs w:val="24"/>
        </w:rPr>
        <w:t xml:space="preserve"> kan ibuprofen forårsage stigninger i nogle leverfunktionsparametre herunder ALAT og ASAT (se pkt. 4.8). Stigningerne er som regel mindre og forbigående, men der er rapporteret om signifikante stigninger i ALAT og ASAT. I disse tilfælde skal behandlingen afbrydes (se pkt. 4.2 og 4.3).</w:t>
      </w:r>
    </w:p>
    <w:p w14:paraId="614C583B" w14:textId="77777777" w:rsidR="009C0264" w:rsidRPr="00B574C8" w:rsidRDefault="009C0264" w:rsidP="009C0264">
      <w:pPr>
        <w:ind w:left="851"/>
        <w:rPr>
          <w:sz w:val="24"/>
          <w:szCs w:val="24"/>
        </w:rPr>
      </w:pPr>
    </w:p>
    <w:p w14:paraId="48E1BB8E" w14:textId="77777777" w:rsidR="009C0264" w:rsidRPr="000F0B26" w:rsidRDefault="009C0264" w:rsidP="009C0264">
      <w:pPr>
        <w:ind w:left="851"/>
        <w:rPr>
          <w:sz w:val="24"/>
          <w:szCs w:val="24"/>
          <w:u w:val="single"/>
        </w:rPr>
      </w:pPr>
      <w:bookmarkStart w:id="38" w:name="_Hlk129008762"/>
      <w:bookmarkEnd w:id="33"/>
      <w:proofErr w:type="spellStart"/>
      <w:r w:rsidRPr="000F0B26">
        <w:rPr>
          <w:sz w:val="24"/>
          <w:szCs w:val="24"/>
          <w:u w:val="single"/>
        </w:rPr>
        <w:t>Kardiovaskulær</w:t>
      </w:r>
      <w:proofErr w:type="spellEnd"/>
      <w:r w:rsidRPr="000F0B26">
        <w:rPr>
          <w:sz w:val="24"/>
          <w:szCs w:val="24"/>
          <w:u w:val="single"/>
        </w:rPr>
        <w:t xml:space="preserve"> og </w:t>
      </w:r>
      <w:proofErr w:type="spellStart"/>
      <w:r w:rsidRPr="000F0B26">
        <w:rPr>
          <w:sz w:val="24"/>
          <w:szCs w:val="24"/>
          <w:u w:val="single"/>
        </w:rPr>
        <w:t>cerebrovaskulær</w:t>
      </w:r>
      <w:proofErr w:type="spellEnd"/>
      <w:r w:rsidRPr="000F0B26">
        <w:rPr>
          <w:sz w:val="24"/>
          <w:szCs w:val="24"/>
          <w:u w:val="single"/>
        </w:rPr>
        <w:t xml:space="preserve"> virkning</w:t>
      </w:r>
    </w:p>
    <w:p w14:paraId="16E5148D" w14:textId="77777777" w:rsidR="009C0264" w:rsidRPr="00B574C8" w:rsidRDefault="009C0264" w:rsidP="009C0264">
      <w:pPr>
        <w:ind w:left="851"/>
        <w:rPr>
          <w:sz w:val="24"/>
          <w:szCs w:val="24"/>
        </w:rPr>
      </w:pPr>
      <w:r w:rsidRPr="00B574C8">
        <w:rPr>
          <w:sz w:val="24"/>
          <w:szCs w:val="24"/>
        </w:rPr>
        <w:t xml:space="preserve">Rådgivning og regelmæssig kontrol af blodtrykket er påkrævet hos patienter med hypertension og/eller let til moderat kongestiv hjerteinsufficiens i anamnesen, da væskeretention og ødemer er rapporteret ifm. behandling med NSAID-præparater (inkl. ibuprofen) (se pkt. 4.8). </w:t>
      </w:r>
    </w:p>
    <w:p w14:paraId="6D521027" w14:textId="77777777" w:rsidR="009C0264" w:rsidRPr="00B574C8" w:rsidRDefault="009C0264" w:rsidP="009C0264">
      <w:pPr>
        <w:ind w:left="851"/>
        <w:rPr>
          <w:sz w:val="24"/>
          <w:szCs w:val="24"/>
        </w:rPr>
      </w:pPr>
    </w:p>
    <w:p w14:paraId="0042AB72" w14:textId="77777777" w:rsidR="009C0264" w:rsidRPr="00B574C8" w:rsidRDefault="009C0264" w:rsidP="009C0264">
      <w:pPr>
        <w:ind w:left="851"/>
        <w:rPr>
          <w:sz w:val="24"/>
          <w:szCs w:val="24"/>
          <w:lang w:eastAsia="da-DK"/>
        </w:rPr>
      </w:pPr>
      <w:r w:rsidRPr="00B574C8">
        <w:rPr>
          <w:sz w:val="24"/>
          <w:szCs w:val="24"/>
        </w:rPr>
        <w:t xml:space="preserve">Kliniske studier tyder på, at ibuprofen, særligt ved høje doser (2400 mg/dag), kan være forbundet med en let øget risiko for arterielle </w:t>
      </w:r>
      <w:proofErr w:type="spellStart"/>
      <w:r w:rsidRPr="00B574C8">
        <w:rPr>
          <w:sz w:val="24"/>
          <w:szCs w:val="24"/>
        </w:rPr>
        <w:t>trombotiske</w:t>
      </w:r>
      <w:proofErr w:type="spellEnd"/>
      <w:r w:rsidRPr="00B574C8">
        <w:rPr>
          <w:sz w:val="24"/>
          <w:szCs w:val="24"/>
        </w:rPr>
        <w:t xml:space="preserve"> hændelser (</w:t>
      </w:r>
      <w:r>
        <w:rPr>
          <w:sz w:val="24"/>
          <w:szCs w:val="24"/>
        </w:rPr>
        <w:t>f.eks.</w:t>
      </w:r>
      <w:r w:rsidRPr="00B574C8">
        <w:rPr>
          <w:sz w:val="24"/>
          <w:szCs w:val="24"/>
        </w:rPr>
        <w:t xml:space="preserve"> myokardie</w:t>
      </w:r>
      <w:r>
        <w:rPr>
          <w:sz w:val="24"/>
          <w:szCs w:val="24"/>
        </w:rPr>
        <w:softHyphen/>
      </w:r>
      <w:r w:rsidRPr="00B574C8">
        <w:rPr>
          <w:sz w:val="24"/>
          <w:szCs w:val="24"/>
        </w:rPr>
        <w:t xml:space="preserve">infarkt eller apopleksi). </w:t>
      </w:r>
      <w:bookmarkStart w:id="39" w:name="_Hlk128729150"/>
      <w:r w:rsidRPr="00B574C8">
        <w:rPr>
          <w:sz w:val="24"/>
          <w:szCs w:val="24"/>
        </w:rPr>
        <w:t xml:space="preserve">Samlet set </w:t>
      </w:r>
      <w:bookmarkEnd w:id="39"/>
      <w:r w:rsidRPr="00B574C8">
        <w:rPr>
          <w:sz w:val="24"/>
          <w:szCs w:val="24"/>
        </w:rPr>
        <w:t>tyder epidemiologiske studier ikke på, at lave doser af ibuprofen (</w:t>
      </w:r>
      <w:r>
        <w:rPr>
          <w:sz w:val="24"/>
          <w:szCs w:val="24"/>
        </w:rPr>
        <w:t>f.eks.</w:t>
      </w:r>
      <w:r w:rsidRPr="00B574C8">
        <w:rPr>
          <w:sz w:val="24"/>
          <w:szCs w:val="24"/>
        </w:rPr>
        <w:t xml:space="preserve"> ≤ 1200 mg/dag) er forbundet med en øget risiko for arterielle </w:t>
      </w:r>
      <w:proofErr w:type="spellStart"/>
      <w:r w:rsidRPr="00B574C8">
        <w:rPr>
          <w:sz w:val="24"/>
          <w:szCs w:val="24"/>
        </w:rPr>
        <w:t>trombotiske</w:t>
      </w:r>
      <w:proofErr w:type="spellEnd"/>
      <w:r w:rsidRPr="00B574C8">
        <w:rPr>
          <w:sz w:val="24"/>
          <w:szCs w:val="24"/>
        </w:rPr>
        <w:t xml:space="preserve"> hændelser. </w:t>
      </w:r>
    </w:p>
    <w:p w14:paraId="18B7F0E2" w14:textId="77777777" w:rsidR="009C0264" w:rsidRPr="00B574C8" w:rsidRDefault="009C0264" w:rsidP="009C0264">
      <w:pPr>
        <w:ind w:left="851"/>
        <w:rPr>
          <w:sz w:val="24"/>
          <w:szCs w:val="24"/>
        </w:rPr>
      </w:pPr>
    </w:p>
    <w:p w14:paraId="63A0D7FB" w14:textId="77777777" w:rsidR="009C0264" w:rsidRPr="00B574C8" w:rsidRDefault="009C0264" w:rsidP="009C0264">
      <w:pPr>
        <w:ind w:left="851"/>
        <w:rPr>
          <w:sz w:val="24"/>
          <w:szCs w:val="24"/>
        </w:rPr>
      </w:pPr>
      <w:r w:rsidRPr="00B574C8">
        <w:rPr>
          <w:sz w:val="24"/>
          <w:szCs w:val="24"/>
        </w:rPr>
        <w:t xml:space="preserve">Patienter med </w:t>
      </w:r>
      <w:bookmarkStart w:id="40" w:name="_Hlk122010307"/>
      <w:r w:rsidRPr="00B574C8">
        <w:rPr>
          <w:sz w:val="24"/>
          <w:szCs w:val="24"/>
        </w:rPr>
        <w:t xml:space="preserve">ukontrolleret </w:t>
      </w:r>
      <w:bookmarkEnd w:id="40"/>
      <w:r w:rsidRPr="00B574C8">
        <w:rPr>
          <w:sz w:val="24"/>
          <w:szCs w:val="24"/>
        </w:rPr>
        <w:t xml:space="preserve">hypertension, kongestiv hjerteinsufficiens (NYHA II-III), bekræftet iskæmisk hjertesygdom, perifer arteriesygdom og/eller </w:t>
      </w:r>
      <w:proofErr w:type="spellStart"/>
      <w:r w:rsidRPr="00B574C8">
        <w:rPr>
          <w:sz w:val="24"/>
          <w:szCs w:val="24"/>
        </w:rPr>
        <w:t>cerebrovaskulær</w:t>
      </w:r>
      <w:proofErr w:type="spellEnd"/>
      <w:r w:rsidRPr="00B574C8">
        <w:rPr>
          <w:sz w:val="24"/>
          <w:szCs w:val="24"/>
        </w:rPr>
        <w:t xml:space="preserve"> sygdom bør kun behandles med ibuprofen efter nøje overvejelse, og høje doser (2400 mg/dag) bør undgås.</w:t>
      </w:r>
    </w:p>
    <w:p w14:paraId="2C8AA423" w14:textId="77777777" w:rsidR="009C0264" w:rsidRPr="00B574C8" w:rsidRDefault="009C0264" w:rsidP="009C0264">
      <w:pPr>
        <w:ind w:left="851"/>
        <w:rPr>
          <w:sz w:val="24"/>
          <w:szCs w:val="24"/>
        </w:rPr>
      </w:pPr>
    </w:p>
    <w:p w14:paraId="5DC7AA9B" w14:textId="77777777" w:rsidR="009C0264" w:rsidRPr="00B574C8" w:rsidRDefault="009C0264" w:rsidP="009C0264">
      <w:pPr>
        <w:ind w:left="851"/>
        <w:rPr>
          <w:sz w:val="24"/>
          <w:szCs w:val="24"/>
        </w:rPr>
      </w:pPr>
      <w:bookmarkStart w:id="41" w:name="_Hlk128729262"/>
      <w:r w:rsidRPr="00B574C8">
        <w:rPr>
          <w:sz w:val="24"/>
          <w:szCs w:val="24"/>
        </w:rPr>
        <w:t xml:space="preserve">Initiering </w:t>
      </w:r>
      <w:bookmarkEnd w:id="41"/>
      <w:r w:rsidRPr="00B574C8">
        <w:rPr>
          <w:sz w:val="24"/>
          <w:szCs w:val="24"/>
        </w:rPr>
        <w:t xml:space="preserve">af langvarig behandling hos patienter med risikofaktorer for </w:t>
      </w:r>
      <w:proofErr w:type="spellStart"/>
      <w:r w:rsidRPr="00B574C8">
        <w:rPr>
          <w:sz w:val="24"/>
          <w:szCs w:val="24"/>
        </w:rPr>
        <w:t>kardiovaskulære</w:t>
      </w:r>
      <w:proofErr w:type="spellEnd"/>
      <w:r w:rsidRPr="00B574C8">
        <w:rPr>
          <w:sz w:val="24"/>
          <w:szCs w:val="24"/>
        </w:rPr>
        <w:t xml:space="preserve"> hændelser (</w:t>
      </w:r>
      <w:r>
        <w:rPr>
          <w:sz w:val="24"/>
          <w:szCs w:val="24"/>
        </w:rPr>
        <w:t>f.eks.</w:t>
      </w:r>
      <w:r w:rsidRPr="00B574C8">
        <w:rPr>
          <w:sz w:val="24"/>
          <w:szCs w:val="24"/>
        </w:rPr>
        <w:t xml:space="preserve"> hypertension og </w:t>
      </w:r>
      <w:proofErr w:type="spellStart"/>
      <w:r w:rsidRPr="00B574C8">
        <w:rPr>
          <w:sz w:val="24"/>
          <w:szCs w:val="24"/>
        </w:rPr>
        <w:t>hyperlipidæmi</w:t>
      </w:r>
      <w:proofErr w:type="spellEnd"/>
      <w:r w:rsidRPr="00B574C8">
        <w:rPr>
          <w:sz w:val="24"/>
          <w:szCs w:val="24"/>
        </w:rPr>
        <w:t>, diabetes mellitus og rygning) skal også nøje overvejes, især hvis høje ibuprofendoser (2400 mg/dag) er nødvendige.</w:t>
      </w:r>
    </w:p>
    <w:bookmarkEnd w:id="38"/>
    <w:p w14:paraId="4FE8D89F" w14:textId="77777777" w:rsidR="009C0264" w:rsidRDefault="009C0264" w:rsidP="009C0264">
      <w:pPr>
        <w:ind w:left="851"/>
        <w:rPr>
          <w:sz w:val="24"/>
          <w:szCs w:val="24"/>
        </w:rPr>
      </w:pPr>
    </w:p>
    <w:p w14:paraId="32CB1D36" w14:textId="77777777" w:rsidR="009C0264" w:rsidRPr="00662960" w:rsidRDefault="009C0264" w:rsidP="009C0264">
      <w:pPr>
        <w:ind w:left="851"/>
        <w:rPr>
          <w:sz w:val="24"/>
          <w:szCs w:val="24"/>
        </w:rPr>
      </w:pPr>
      <w:r w:rsidRPr="00662960">
        <w:rPr>
          <w:sz w:val="24"/>
          <w:szCs w:val="24"/>
        </w:rPr>
        <w:t xml:space="preserve">Der er rapporteret om tilfælde af </w:t>
      </w:r>
      <w:proofErr w:type="spellStart"/>
      <w:r w:rsidRPr="00662960">
        <w:rPr>
          <w:sz w:val="24"/>
          <w:szCs w:val="24"/>
        </w:rPr>
        <w:t>Kounis</w:t>
      </w:r>
      <w:proofErr w:type="spellEnd"/>
      <w:r w:rsidRPr="00662960">
        <w:rPr>
          <w:sz w:val="24"/>
          <w:szCs w:val="24"/>
        </w:rPr>
        <w:t xml:space="preserve"> syndrom hos patienter behandlet med ibuprofen. </w:t>
      </w:r>
      <w:proofErr w:type="spellStart"/>
      <w:r w:rsidRPr="00662960">
        <w:rPr>
          <w:sz w:val="24"/>
          <w:szCs w:val="24"/>
        </w:rPr>
        <w:t>Kounis</w:t>
      </w:r>
      <w:proofErr w:type="spellEnd"/>
      <w:r w:rsidRPr="00662960">
        <w:rPr>
          <w:sz w:val="24"/>
          <w:szCs w:val="24"/>
        </w:rPr>
        <w:t xml:space="preserve"> syndrom er blevet defineret som </w:t>
      </w:r>
      <w:proofErr w:type="spellStart"/>
      <w:r w:rsidRPr="00662960">
        <w:rPr>
          <w:sz w:val="24"/>
          <w:szCs w:val="24"/>
        </w:rPr>
        <w:t>kardiovaskulære</w:t>
      </w:r>
      <w:proofErr w:type="spellEnd"/>
      <w:r w:rsidRPr="00662960">
        <w:rPr>
          <w:sz w:val="24"/>
          <w:szCs w:val="24"/>
        </w:rPr>
        <w:t xml:space="preserve"> symptomer, der er sekundære til en allergisk reaktion eller overfølsomhedsreaktion forbundet med en forsnævring af kranspulsårerne, og som potentielt kan føre til myokardieinfarkt.</w:t>
      </w:r>
    </w:p>
    <w:p w14:paraId="352C651A" w14:textId="77777777" w:rsidR="009C0264" w:rsidRPr="00B574C8" w:rsidRDefault="009C0264" w:rsidP="009C0264">
      <w:pPr>
        <w:ind w:left="851"/>
        <w:rPr>
          <w:sz w:val="24"/>
          <w:szCs w:val="24"/>
        </w:rPr>
      </w:pPr>
    </w:p>
    <w:p w14:paraId="032F710A" w14:textId="77777777" w:rsidR="009C0264" w:rsidRPr="00CB680E" w:rsidRDefault="009C0264" w:rsidP="009C0264">
      <w:pPr>
        <w:ind w:left="851"/>
        <w:rPr>
          <w:sz w:val="24"/>
          <w:szCs w:val="24"/>
          <w:u w:val="single"/>
          <w:lang w:eastAsia="da-DK"/>
        </w:rPr>
      </w:pPr>
      <w:bookmarkStart w:id="42" w:name="_Hlk129008774"/>
      <w:r w:rsidRPr="00CB680E">
        <w:rPr>
          <w:sz w:val="24"/>
          <w:szCs w:val="24"/>
          <w:u w:val="single"/>
        </w:rPr>
        <w:t xml:space="preserve">Alvorlige </w:t>
      </w:r>
      <w:proofErr w:type="spellStart"/>
      <w:r w:rsidRPr="00CB680E">
        <w:rPr>
          <w:sz w:val="24"/>
          <w:szCs w:val="24"/>
          <w:u w:val="single"/>
        </w:rPr>
        <w:t>kutane</w:t>
      </w:r>
      <w:proofErr w:type="spellEnd"/>
      <w:r w:rsidRPr="00CB680E">
        <w:rPr>
          <w:sz w:val="24"/>
          <w:szCs w:val="24"/>
          <w:u w:val="single"/>
        </w:rPr>
        <w:t xml:space="preserve"> bivirkninger (</w:t>
      </w:r>
      <w:proofErr w:type="spellStart"/>
      <w:r w:rsidRPr="00CB680E">
        <w:rPr>
          <w:sz w:val="24"/>
          <w:szCs w:val="24"/>
          <w:u w:val="single"/>
        </w:rPr>
        <w:t>SCAR'er</w:t>
      </w:r>
      <w:proofErr w:type="spellEnd"/>
      <w:r w:rsidRPr="00CB680E">
        <w:rPr>
          <w:sz w:val="24"/>
          <w:szCs w:val="24"/>
          <w:u w:val="single"/>
        </w:rPr>
        <w:t>)</w:t>
      </w:r>
    </w:p>
    <w:p w14:paraId="4E1030E6" w14:textId="77777777" w:rsidR="009C0264" w:rsidRDefault="009C0264" w:rsidP="009C0264">
      <w:pPr>
        <w:ind w:left="851"/>
        <w:rPr>
          <w:sz w:val="24"/>
          <w:szCs w:val="24"/>
        </w:rPr>
      </w:pPr>
      <w:r w:rsidRPr="00CB680E">
        <w:rPr>
          <w:sz w:val="24"/>
          <w:szCs w:val="24"/>
        </w:rPr>
        <w:t xml:space="preserve">Der er rapporteret om </w:t>
      </w:r>
      <w:r>
        <w:rPr>
          <w:sz w:val="24"/>
          <w:szCs w:val="24"/>
        </w:rPr>
        <w:t>a</w:t>
      </w:r>
      <w:r w:rsidRPr="00CB680E">
        <w:rPr>
          <w:sz w:val="24"/>
          <w:szCs w:val="24"/>
        </w:rPr>
        <w:t xml:space="preserve">lvorlige </w:t>
      </w:r>
      <w:proofErr w:type="spellStart"/>
      <w:r w:rsidRPr="00CB680E">
        <w:rPr>
          <w:sz w:val="24"/>
          <w:szCs w:val="24"/>
        </w:rPr>
        <w:t>kutane</w:t>
      </w:r>
      <w:proofErr w:type="spellEnd"/>
      <w:r w:rsidRPr="00CB680E">
        <w:rPr>
          <w:sz w:val="24"/>
          <w:szCs w:val="24"/>
        </w:rPr>
        <w:t xml:space="preserve"> bivirkninger (</w:t>
      </w:r>
      <w:proofErr w:type="spellStart"/>
      <w:r w:rsidRPr="00CB680E">
        <w:rPr>
          <w:sz w:val="24"/>
          <w:szCs w:val="24"/>
        </w:rPr>
        <w:t>SCAR'er</w:t>
      </w:r>
      <w:proofErr w:type="spellEnd"/>
      <w:r w:rsidRPr="00CB680E">
        <w:rPr>
          <w:sz w:val="24"/>
          <w:szCs w:val="24"/>
        </w:rPr>
        <w:t xml:space="preserve">), herunder </w:t>
      </w:r>
      <w:proofErr w:type="spellStart"/>
      <w:r w:rsidRPr="00CB680E">
        <w:rPr>
          <w:sz w:val="24"/>
          <w:szCs w:val="24"/>
        </w:rPr>
        <w:t>eksfoliativ</w:t>
      </w:r>
      <w:proofErr w:type="spellEnd"/>
      <w:r w:rsidRPr="00CB680E">
        <w:rPr>
          <w:sz w:val="24"/>
          <w:szCs w:val="24"/>
        </w:rPr>
        <w:t xml:space="preserve"> </w:t>
      </w:r>
      <w:proofErr w:type="spellStart"/>
      <w:r w:rsidRPr="00CB680E">
        <w:rPr>
          <w:sz w:val="24"/>
          <w:szCs w:val="24"/>
        </w:rPr>
        <w:t>dermatitis</w:t>
      </w:r>
      <w:proofErr w:type="spellEnd"/>
      <w:r w:rsidRPr="00CB680E">
        <w:rPr>
          <w:sz w:val="24"/>
          <w:szCs w:val="24"/>
        </w:rPr>
        <w:t xml:space="preserve">, </w:t>
      </w:r>
      <w:proofErr w:type="spellStart"/>
      <w:r w:rsidRPr="008512D0">
        <w:rPr>
          <w:sz w:val="24"/>
          <w:szCs w:val="24"/>
        </w:rPr>
        <w:t>erythema</w:t>
      </w:r>
      <w:proofErr w:type="spellEnd"/>
      <w:r w:rsidRPr="008512D0">
        <w:rPr>
          <w:sz w:val="24"/>
          <w:szCs w:val="24"/>
        </w:rPr>
        <w:t xml:space="preserve"> multiforme, </w:t>
      </w:r>
      <w:r w:rsidRPr="00CB680E">
        <w:rPr>
          <w:sz w:val="24"/>
          <w:szCs w:val="24"/>
        </w:rPr>
        <w:t xml:space="preserve">Stevens-Johnsons syndrom (SJS), toksisk </w:t>
      </w:r>
      <w:proofErr w:type="spellStart"/>
      <w:r w:rsidRPr="00CB680E">
        <w:rPr>
          <w:sz w:val="24"/>
          <w:szCs w:val="24"/>
        </w:rPr>
        <w:t>epidermal</w:t>
      </w:r>
      <w:proofErr w:type="spellEnd"/>
      <w:r w:rsidRPr="00CB680E">
        <w:rPr>
          <w:sz w:val="24"/>
          <w:szCs w:val="24"/>
        </w:rPr>
        <w:t xml:space="preserve"> </w:t>
      </w:r>
      <w:proofErr w:type="spellStart"/>
      <w:r w:rsidRPr="00CB680E">
        <w:rPr>
          <w:sz w:val="24"/>
          <w:szCs w:val="24"/>
        </w:rPr>
        <w:t>nekrolyse</w:t>
      </w:r>
      <w:proofErr w:type="spellEnd"/>
      <w:r w:rsidRPr="00CB680E">
        <w:rPr>
          <w:sz w:val="24"/>
          <w:szCs w:val="24"/>
        </w:rPr>
        <w:t xml:space="preserve"> (TEN), </w:t>
      </w:r>
      <w:r w:rsidRPr="008512D0">
        <w:rPr>
          <w:sz w:val="24"/>
          <w:szCs w:val="24"/>
        </w:rPr>
        <w:t xml:space="preserve">lægemiddelreaktion med </w:t>
      </w:r>
      <w:proofErr w:type="spellStart"/>
      <w:r w:rsidRPr="008512D0">
        <w:rPr>
          <w:sz w:val="24"/>
          <w:szCs w:val="24"/>
        </w:rPr>
        <w:t>eosinofili</w:t>
      </w:r>
      <w:proofErr w:type="spellEnd"/>
      <w:r w:rsidRPr="008512D0">
        <w:rPr>
          <w:sz w:val="24"/>
          <w:szCs w:val="24"/>
        </w:rPr>
        <w:t xml:space="preserve"> og systemiske symptomer (DRESS-syndrom) og akut generaliseret </w:t>
      </w:r>
      <w:proofErr w:type="spellStart"/>
      <w:r w:rsidRPr="008512D0">
        <w:rPr>
          <w:sz w:val="24"/>
          <w:szCs w:val="24"/>
        </w:rPr>
        <w:t>eksantematøs</w:t>
      </w:r>
      <w:proofErr w:type="spellEnd"/>
      <w:r w:rsidRPr="008512D0">
        <w:rPr>
          <w:sz w:val="24"/>
          <w:szCs w:val="24"/>
        </w:rPr>
        <w:t xml:space="preserve"> </w:t>
      </w:r>
      <w:proofErr w:type="spellStart"/>
      <w:r w:rsidRPr="008512D0">
        <w:rPr>
          <w:sz w:val="24"/>
          <w:szCs w:val="24"/>
        </w:rPr>
        <w:t>pustulose</w:t>
      </w:r>
      <w:proofErr w:type="spellEnd"/>
      <w:r w:rsidRPr="008512D0">
        <w:rPr>
          <w:sz w:val="24"/>
          <w:szCs w:val="24"/>
        </w:rPr>
        <w:t xml:space="preserve"> (AGEP), som kan være livstruende eller dødelige, </w:t>
      </w:r>
      <w:r w:rsidRPr="00CB680E">
        <w:rPr>
          <w:sz w:val="24"/>
          <w:szCs w:val="24"/>
        </w:rPr>
        <w:t>i forbindelse med brugen af ibuprofen</w:t>
      </w:r>
      <w:r w:rsidRPr="008512D0">
        <w:rPr>
          <w:color w:val="000000"/>
          <w:sz w:val="22"/>
          <w:szCs w:val="22"/>
        </w:rPr>
        <w:t xml:space="preserve"> </w:t>
      </w:r>
      <w:r w:rsidRPr="008512D0">
        <w:rPr>
          <w:sz w:val="24"/>
          <w:szCs w:val="24"/>
        </w:rPr>
        <w:t>(se pkt. 4.8).</w:t>
      </w:r>
      <w:r w:rsidRPr="00CB680E">
        <w:t xml:space="preserve"> </w:t>
      </w:r>
      <w:r w:rsidRPr="008512D0">
        <w:rPr>
          <w:sz w:val="24"/>
          <w:szCs w:val="24"/>
        </w:rPr>
        <w:t>De fleste af disse reaktioner indtraf inden for</w:t>
      </w:r>
      <w:r w:rsidRPr="00CB680E">
        <w:rPr>
          <w:sz w:val="24"/>
          <w:szCs w:val="24"/>
        </w:rPr>
        <w:t xml:space="preserve"> </w:t>
      </w:r>
      <w:r w:rsidRPr="008512D0">
        <w:rPr>
          <w:sz w:val="24"/>
          <w:szCs w:val="24"/>
        </w:rPr>
        <w:t>den første måned</w:t>
      </w:r>
      <w:r w:rsidRPr="00CB680E">
        <w:rPr>
          <w:sz w:val="24"/>
          <w:szCs w:val="24"/>
        </w:rPr>
        <w:t xml:space="preserve">. </w:t>
      </w:r>
    </w:p>
    <w:p w14:paraId="5E30BE19" w14:textId="77777777" w:rsidR="009C0264" w:rsidRDefault="009C0264" w:rsidP="009C0264">
      <w:pPr>
        <w:ind w:left="851"/>
        <w:rPr>
          <w:sz w:val="24"/>
          <w:szCs w:val="24"/>
        </w:rPr>
      </w:pPr>
    </w:p>
    <w:p w14:paraId="0EF9AE0F" w14:textId="77777777" w:rsidR="009C0264" w:rsidRPr="00CB680E" w:rsidRDefault="009C0264" w:rsidP="009C0264">
      <w:pPr>
        <w:ind w:left="851"/>
        <w:rPr>
          <w:sz w:val="24"/>
          <w:szCs w:val="24"/>
        </w:rPr>
      </w:pPr>
      <w:r w:rsidRPr="00CB680E">
        <w:rPr>
          <w:sz w:val="24"/>
          <w:szCs w:val="24"/>
        </w:rPr>
        <w:t>Hvis der optræder tegn og symptomer, der tyder på disse reaktioner</w:t>
      </w:r>
      <w:r>
        <w:rPr>
          <w:sz w:val="24"/>
          <w:szCs w:val="24"/>
        </w:rPr>
        <w:t>,</w:t>
      </w:r>
      <w:r w:rsidRPr="00CB680E">
        <w:rPr>
          <w:sz w:val="24"/>
          <w:szCs w:val="24"/>
        </w:rPr>
        <w:t xml:space="preserve"> skal ibuprofen straks afbrydes, og</w:t>
      </w:r>
      <w:r>
        <w:rPr>
          <w:sz w:val="24"/>
          <w:szCs w:val="24"/>
        </w:rPr>
        <w:t xml:space="preserve"> </w:t>
      </w:r>
      <w:r w:rsidRPr="00CB680E">
        <w:rPr>
          <w:sz w:val="24"/>
          <w:szCs w:val="24"/>
        </w:rPr>
        <w:t xml:space="preserve">en alternativ behandling overvejes (efter behov). </w:t>
      </w:r>
    </w:p>
    <w:p w14:paraId="1B973B49" w14:textId="77777777" w:rsidR="009C0264" w:rsidRPr="00B574C8" w:rsidRDefault="009C0264" w:rsidP="009C0264">
      <w:pPr>
        <w:ind w:left="851"/>
        <w:rPr>
          <w:sz w:val="24"/>
          <w:szCs w:val="24"/>
        </w:rPr>
      </w:pPr>
    </w:p>
    <w:p w14:paraId="13CA1E16" w14:textId="77777777" w:rsidR="009C0264" w:rsidRPr="000F0B26" w:rsidRDefault="009C0264" w:rsidP="009C0264">
      <w:pPr>
        <w:ind w:left="851"/>
        <w:rPr>
          <w:sz w:val="24"/>
          <w:szCs w:val="24"/>
          <w:u w:val="single"/>
        </w:rPr>
      </w:pPr>
      <w:bookmarkStart w:id="43" w:name="_Hlk129008794"/>
      <w:bookmarkEnd w:id="42"/>
      <w:r w:rsidRPr="000F0B26">
        <w:rPr>
          <w:sz w:val="24"/>
          <w:szCs w:val="24"/>
          <w:u w:val="single"/>
        </w:rPr>
        <w:t xml:space="preserve">Respiratoriske lidelser </w:t>
      </w:r>
    </w:p>
    <w:p w14:paraId="4BF0FF2B" w14:textId="77777777" w:rsidR="009C0264" w:rsidRDefault="009C0264" w:rsidP="009C0264">
      <w:pPr>
        <w:ind w:left="851"/>
        <w:rPr>
          <w:sz w:val="24"/>
          <w:szCs w:val="24"/>
        </w:rPr>
      </w:pPr>
      <w:proofErr w:type="spellStart"/>
      <w:r w:rsidRPr="00B574C8">
        <w:rPr>
          <w:sz w:val="24"/>
          <w:szCs w:val="24"/>
        </w:rPr>
        <w:t>Bronkospasme</w:t>
      </w:r>
      <w:proofErr w:type="spellEnd"/>
      <w:r w:rsidRPr="00B574C8">
        <w:rPr>
          <w:sz w:val="24"/>
          <w:szCs w:val="24"/>
        </w:rPr>
        <w:t xml:space="preserve"> kan ses hos patienter, der lider af, eller som tidligere har haft astmatisk bronkitis eller allergi med symptomer fra luftvejene (se pkt. 4.8).</w:t>
      </w:r>
    </w:p>
    <w:p w14:paraId="7779F1E7" w14:textId="77777777" w:rsidR="009C0264" w:rsidRPr="00B574C8" w:rsidRDefault="009C0264" w:rsidP="009C0264">
      <w:pPr>
        <w:ind w:left="851"/>
        <w:rPr>
          <w:sz w:val="24"/>
          <w:szCs w:val="24"/>
        </w:rPr>
      </w:pPr>
    </w:p>
    <w:p w14:paraId="1C423098" w14:textId="77777777" w:rsidR="009C0264" w:rsidRPr="000F0B26" w:rsidRDefault="009C0264" w:rsidP="009C0264">
      <w:pPr>
        <w:ind w:left="851"/>
        <w:rPr>
          <w:sz w:val="24"/>
          <w:szCs w:val="24"/>
          <w:u w:val="single"/>
        </w:rPr>
      </w:pPr>
      <w:bookmarkStart w:id="44" w:name="_Hlk128729958"/>
      <w:bookmarkStart w:id="45" w:name="_Hlk124948206"/>
      <w:r w:rsidRPr="000F0B26">
        <w:rPr>
          <w:sz w:val="24"/>
          <w:szCs w:val="24"/>
          <w:u w:val="single"/>
        </w:rPr>
        <w:t>Maskering af symptomer på underliggende infektioner</w:t>
      </w:r>
    </w:p>
    <w:bookmarkEnd w:id="44"/>
    <w:p w14:paraId="324EEC7E" w14:textId="0725012B" w:rsidR="009C0264" w:rsidRPr="00B574C8" w:rsidRDefault="00962C01" w:rsidP="009C0264">
      <w:pPr>
        <w:ind w:left="851"/>
        <w:rPr>
          <w:sz w:val="24"/>
          <w:szCs w:val="24"/>
        </w:rPr>
      </w:pPr>
      <w:r>
        <w:rPr>
          <w:sz w:val="24"/>
          <w:szCs w:val="24"/>
        </w:rPr>
        <w:t>Ibuprofen ”Nordic Prime”</w:t>
      </w:r>
      <w:r w:rsidR="009C0264" w:rsidRPr="00B574C8">
        <w:rPr>
          <w:sz w:val="24"/>
          <w:szCs w:val="24"/>
        </w:rPr>
        <w:t xml:space="preserve"> kan maskere symptomer på infektion, hvilket kan medføre forsinket initiering af relevant behandling og dermed en forværring af infektionens udfald. Dette er observeret ved bakteriel samfundserhvervet pneumoni og bakterielle komplikationer til </w:t>
      </w:r>
      <w:proofErr w:type="spellStart"/>
      <w:r w:rsidR="009C0264" w:rsidRPr="00B574C8">
        <w:rPr>
          <w:sz w:val="24"/>
          <w:szCs w:val="24"/>
        </w:rPr>
        <w:t>varicella</w:t>
      </w:r>
      <w:proofErr w:type="spellEnd"/>
      <w:r w:rsidR="009C0264" w:rsidRPr="00B574C8">
        <w:rPr>
          <w:sz w:val="24"/>
          <w:szCs w:val="24"/>
        </w:rPr>
        <w:t xml:space="preserve">. Når </w:t>
      </w:r>
      <w:r>
        <w:rPr>
          <w:sz w:val="24"/>
          <w:szCs w:val="24"/>
        </w:rPr>
        <w:t>Ibuprofen ”Nordic Prime”</w:t>
      </w:r>
      <w:r w:rsidR="009C0264" w:rsidRPr="00B574C8">
        <w:rPr>
          <w:sz w:val="24"/>
          <w:szCs w:val="24"/>
        </w:rPr>
        <w:t xml:space="preserve"> gives som feber- eller smertestillende middel i forbindelse med infektion, bør infektionen overvåges. Hvis patienten ikke er indlagt på hospital, bør </w:t>
      </w:r>
      <w:bookmarkStart w:id="46" w:name="_Hlk124948270"/>
      <w:r w:rsidR="009C0264" w:rsidRPr="00B574C8">
        <w:rPr>
          <w:sz w:val="24"/>
          <w:szCs w:val="24"/>
        </w:rPr>
        <w:t>vedkommende kontakte lægen, hvis symptomerne varer ved eller forværres.</w:t>
      </w:r>
    </w:p>
    <w:bookmarkEnd w:id="45"/>
    <w:bookmarkEnd w:id="46"/>
    <w:p w14:paraId="18D37D3C" w14:textId="77777777" w:rsidR="009C0264" w:rsidRPr="00B574C8" w:rsidRDefault="009C0264" w:rsidP="009C0264">
      <w:pPr>
        <w:ind w:left="851"/>
        <w:rPr>
          <w:sz w:val="24"/>
          <w:szCs w:val="24"/>
        </w:rPr>
      </w:pPr>
    </w:p>
    <w:p w14:paraId="04782A03" w14:textId="77777777" w:rsidR="009C0264" w:rsidRPr="000F0B26" w:rsidRDefault="009C0264" w:rsidP="009C0264">
      <w:pPr>
        <w:ind w:left="851"/>
        <w:rPr>
          <w:sz w:val="24"/>
          <w:szCs w:val="24"/>
          <w:u w:val="single"/>
        </w:rPr>
      </w:pPr>
      <w:bookmarkStart w:id="47" w:name="_Hlk128730273"/>
      <w:bookmarkStart w:id="48" w:name="_Hlk125015656"/>
      <w:r w:rsidRPr="000F0B26">
        <w:rPr>
          <w:sz w:val="24"/>
          <w:szCs w:val="24"/>
          <w:u w:val="single"/>
        </w:rPr>
        <w:t>Andre forsigtighedsregler</w:t>
      </w:r>
    </w:p>
    <w:bookmarkEnd w:id="47"/>
    <w:p w14:paraId="10F065F2" w14:textId="77777777" w:rsidR="009C0264" w:rsidRPr="00B574C8" w:rsidRDefault="009C0264" w:rsidP="009C0264">
      <w:pPr>
        <w:ind w:left="851"/>
        <w:rPr>
          <w:sz w:val="24"/>
          <w:szCs w:val="24"/>
        </w:rPr>
      </w:pPr>
      <w:r w:rsidRPr="00B574C8">
        <w:rPr>
          <w:sz w:val="24"/>
          <w:szCs w:val="24"/>
        </w:rPr>
        <w:t xml:space="preserve">Patienter med </w:t>
      </w:r>
      <w:proofErr w:type="spellStart"/>
      <w:r w:rsidRPr="00B574C8">
        <w:rPr>
          <w:sz w:val="24"/>
          <w:szCs w:val="24"/>
        </w:rPr>
        <w:t>gastrointestinale</w:t>
      </w:r>
      <w:proofErr w:type="spellEnd"/>
      <w:r w:rsidRPr="00B574C8">
        <w:rPr>
          <w:sz w:val="24"/>
          <w:szCs w:val="24"/>
        </w:rPr>
        <w:t xml:space="preserve"> problemer, SLE, hæmatologiske eller koagulationslidelser samt astma, skal behandles </w:t>
      </w:r>
      <w:bookmarkStart w:id="49" w:name="_Hlk128996600"/>
      <w:r w:rsidRPr="00B574C8">
        <w:rPr>
          <w:sz w:val="24"/>
          <w:szCs w:val="24"/>
        </w:rPr>
        <w:t>med forsigtighed</w:t>
      </w:r>
      <w:bookmarkEnd w:id="49"/>
      <w:r w:rsidRPr="00B574C8">
        <w:rPr>
          <w:sz w:val="24"/>
          <w:szCs w:val="24"/>
        </w:rPr>
        <w:t xml:space="preserve">, da deres tilstand kan forværres. Ibuprofen kan hæmme </w:t>
      </w:r>
      <w:proofErr w:type="spellStart"/>
      <w:r w:rsidRPr="00B574C8">
        <w:rPr>
          <w:sz w:val="24"/>
          <w:szCs w:val="24"/>
        </w:rPr>
        <w:t>trombocytaggregation</w:t>
      </w:r>
      <w:proofErr w:type="spellEnd"/>
      <w:r w:rsidRPr="00B574C8">
        <w:rPr>
          <w:sz w:val="24"/>
          <w:szCs w:val="24"/>
        </w:rPr>
        <w:t>, med forlænget blødningstid som resultat (se pkt. 4.8).</w:t>
      </w:r>
    </w:p>
    <w:bookmarkEnd w:id="43"/>
    <w:bookmarkEnd w:id="48"/>
    <w:p w14:paraId="7183B8DF" w14:textId="77777777" w:rsidR="009C0264" w:rsidRPr="00B574C8" w:rsidRDefault="009C0264" w:rsidP="009C0264">
      <w:pPr>
        <w:ind w:left="851"/>
        <w:rPr>
          <w:sz w:val="24"/>
          <w:szCs w:val="24"/>
        </w:rPr>
      </w:pPr>
    </w:p>
    <w:bookmarkEnd w:id="29"/>
    <w:p w14:paraId="6558398C" w14:textId="77777777" w:rsidR="009C0264" w:rsidRPr="000F0B26" w:rsidRDefault="009C0264" w:rsidP="009C0264">
      <w:pPr>
        <w:ind w:left="851"/>
        <w:rPr>
          <w:sz w:val="24"/>
          <w:szCs w:val="24"/>
          <w:u w:val="single"/>
        </w:rPr>
      </w:pPr>
      <w:r w:rsidRPr="000F0B26">
        <w:rPr>
          <w:sz w:val="24"/>
          <w:szCs w:val="24"/>
          <w:u w:val="single"/>
        </w:rPr>
        <w:t>Information om hjælpestoffer</w:t>
      </w:r>
    </w:p>
    <w:p w14:paraId="04A4977D" w14:textId="77777777" w:rsidR="009C0264" w:rsidRPr="00B574C8" w:rsidRDefault="009C0264" w:rsidP="009C0264">
      <w:pPr>
        <w:ind w:left="851"/>
        <w:rPr>
          <w:sz w:val="24"/>
          <w:szCs w:val="24"/>
        </w:rPr>
      </w:pPr>
      <w:bookmarkStart w:id="50" w:name="_Hlk128730626"/>
      <w:bookmarkStart w:id="51" w:name="_Hlk125018143"/>
      <w:r w:rsidRPr="00B574C8">
        <w:rPr>
          <w:sz w:val="24"/>
          <w:szCs w:val="24"/>
        </w:rPr>
        <w:t>Dette lægemiddel indeholder</w:t>
      </w:r>
      <w:bookmarkEnd w:id="50"/>
      <w:r w:rsidRPr="00B574C8">
        <w:rPr>
          <w:sz w:val="24"/>
          <w:szCs w:val="24"/>
        </w:rPr>
        <w:t xml:space="preserve"> 250 mg flydende </w:t>
      </w:r>
      <w:proofErr w:type="spellStart"/>
      <w:r w:rsidRPr="00B574C8">
        <w:rPr>
          <w:sz w:val="24"/>
          <w:szCs w:val="24"/>
        </w:rPr>
        <w:t>maltitol</w:t>
      </w:r>
      <w:proofErr w:type="spellEnd"/>
      <w:r w:rsidRPr="00B574C8">
        <w:rPr>
          <w:sz w:val="24"/>
          <w:szCs w:val="24"/>
        </w:rPr>
        <w:t xml:space="preserve"> </w:t>
      </w:r>
      <w:bookmarkStart w:id="52" w:name="_Hlk125043196"/>
      <w:r w:rsidRPr="00B574C8">
        <w:rPr>
          <w:sz w:val="24"/>
          <w:szCs w:val="24"/>
        </w:rPr>
        <w:t>pr. ml</w:t>
      </w:r>
      <w:bookmarkEnd w:id="52"/>
      <w:r w:rsidRPr="00B574C8">
        <w:rPr>
          <w:sz w:val="24"/>
          <w:szCs w:val="24"/>
        </w:rPr>
        <w:t xml:space="preserve"> suspension. </w:t>
      </w:r>
      <w:bookmarkStart w:id="53" w:name="_Hlk128730651"/>
      <w:r w:rsidRPr="00B574C8">
        <w:rPr>
          <w:sz w:val="24"/>
          <w:szCs w:val="24"/>
        </w:rPr>
        <w:t xml:space="preserve">Bør ikke anvendes til patienter med hereditær </w:t>
      </w:r>
      <w:proofErr w:type="spellStart"/>
      <w:r w:rsidRPr="00B574C8">
        <w:rPr>
          <w:sz w:val="24"/>
          <w:szCs w:val="24"/>
        </w:rPr>
        <w:t>fructoseintolerans</w:t>
      </w:r>
      <w:proofErr w:type="spellEnd"/>
      <w:r w:rsidRPr="00B574C8">
        <w:rPr>
          <w:sz w:val="24"/>
          <w:szCs w:val="24"/>
        </w:rPr>
        <w:t>.</w:t>
      </w:r>
      <w:bookmarkEnd w:id="53"/>
      <w:r w:rsidRPr="00B574C8">
        <w:rPr>
          <w:sz w:val="24"/>
          <w:szCs w:val="24"/>
        </w:rPr>
        <w:t xml:space="preserve"> </w:t>
      </w:r>
      <w:bookmarkStart w:id="54" w:name="_Hlk125043215"/>
      <w:r w:rsidRPr="00B574C8">
        <w:rPr>
          <w:sz w:val="24"/>
          <w:szCs w:val="24"/>
        </w:rPr>
        <w:t>Kan have en mild afførende virkning.</w:t>
      </w:r>
      <w:bookmarkEnd w:id="54"/>
      <w:r w:rsidRPr="00B574C8">
        <w:rPr>
          <w:sz w:val="24"/>
          <w:szCs w:val="24"/>
        </w:rPr>
        <w:t xml:space="preserve"> </w:t>
      </w:r>
      <w:bookmarkStart w:id="55" w:name="_Hlk125042760"/>
      <w:r w:rsidRPr="00B574C8">
        <w:rPr>
          <w:sz w:val="24"/>
          <w:szCs w:val="24"/>
        </w:rPr>
        <w:t xml:space="preserve">Energi: </w:t>
      </w:r>
      <w:bookmarkStart w:id="56" w:name="_Hlk122081765"/>
      <w:r w:rsidRPr="00B574C8">
        <w:rPr>
          <w:sz w:val="24"/>
          <w:szCs w:val="24"/>
        </w:rPr>
        <w:t xml:space="preserve">10 kJ (2,3 kcal) pr. </w:t>
      </w:r>
      <w:bookmarkEnd w:id="56"/>
      <w:r w:rsidRPr="00B574C8">
        <w:rPr>
          <w:sz w:val="24"/>
          <w:szCs w:val="24"/>
        </w:rPr>
        <w:t xml:space="preserve">g </w:t>
      </w:r>
      <w:proofErr w:type="spellStart"/>
      <w:r w:rsidRPr="00B574C8">
        <w:rPr>
          <w:sz w:val="24"/>
          <w:szCs w:val="24"/>
        </w:rPr>
        <w:t>maltitol</w:t>
      </w:r>
      <w:proofErr w:type="spellEnd"/>
      <w:r w:rsidRPr="00B574C8">
        <w:rPr>
          <w:sz w:val="24"/>
          <w:szCs w:val="24"/>
        </w:rPr>
        <w:t>.</w:t>
      </w:r>
    </w:p>
    <w:p w14:paraId="395451E7" w14:textId="77777777" w:rsidR="009C0264" w:rsidRPr="00B574C8" w:rsidRDefault="009C0264" w:rsidP="009C0264">
      <w:pPr>
        <w:ind w:left="851"/>
        <w:rPr>
          <w:sz w:val="24"/>
          <w:szCs w:val="24"/>
        </w:rPr>
      </w:pPr>
    </w:p>
    <w:bookmarkEnd w:id="55"/>
    <w:p w14:paraId="72D6ED4C" w14:textId="77777777" w:rsidR="009C0264" w:rsidRPr="00B574C8" w:rsidRDefault="009C0264" w:rsidP="009C0264">
      <w:pPr>
        <w:ind w:left="851"/>
        <w:rPr>
          <w:sz w:val="24"/>
          <w:szCs w:val="24"/>
        </w:rPr>
      </w:pPr>
      <w:r w:rsidRPr="00B574C8">
        <w:rPr>
          <w:sz w:val="24"/>
          <w:szCs w:val="24"/>
        </w:rPr>
        <w:t>Dette lægemiddel indeholder mindre end 1 mmol (23 mg) natrium pr. ml suspension, dvs. det er i det væsentlige natriumfrit.</w:t>
      </w:r>
    </w:p>
    <w:p w14:paraId="3A5A6968" w14:textId="77777777" w:rsidR="009C0264" w:rsidRPr="00B574C8" w:rsidRDefault="009C0264" w:rsidP="009C0264">
      <w:pPr>
        <w:ind w:left="851"/>
        <w:rPr>
          <w:sz w:val="24"/>
          <w:szCs w:val="24"/>
        </w:rPr>
      </w:pPr>
    </w:p>
    <w:p w14:paraId="398A8ABB" w14:textId="77777777" w:rsidR="009C0264" w:rsidRPr="00B574C8" w:rsidRDefault="009C0264" w:rsidP="009C0264">
      <w:pPr>
        <w:ind w:left="851"/>
        <w:rPr>
          <w:sz w:val="24"/>
          <w:szCs w:val="24"/>
        </w:rPr>
      </w:pPr>
      <w:r w:rsidRPr="00B574C8">
        <w:rPr>
          <w:sz w:val="24"/>
          <w:szCs w:val="24"/>
        </w:rPr>
        <w:t>Dette lægemiddel indeholder 2 mg natriumbenzoat pr. ml suspension. Natriumbenzoat kan øge risikoen for gulsot hos nyfødte (op til 4 uger).</w:t>
      </w:r>
    </w:p>
    <w:p w14:paraId="12F8FA82" w14:textId="77777777" w:rsidR="009C0264" w:rsidRPr="00B574C8" w:rsidRDefault="009C0264" w:rsidP="009C0264">
      <w:pPr>
        <w:ind w:left="851"/>
        <w:rPr>
          <w:sz w:val="24"/>
          <w:szCs w:val="24"/>
        </w:rPr>
      </w:pPr>
    </w:p>
    <w:p w14:paraId="74AF0725" w14:textId="77777777" w:rsidR="009C0264" w:rsidRPr="00B574C8" w:rsidRDefault="009C0264" w:rsidP="009C0264">
      <w:pPr>
        <w:ind w:left="851"/>
        <w:rPr>
          <w:sz w:val="24"/>
          <w:szCs w:val="24"/>
        </w:rPr>
      </w:pPr>
      <w:r w:rsidRPr="00B574C8">
        <w:rPr>
          <w:sz w:val="24"/>
          <w:szCs w:val="24"/>
        </w:rPr>
        <w:t xml:space="preserve">Dette lægemiddel indeholder 4,77 mg propylenglycol pr. ml suspension. </w:t>
      </w:r>
      <w:bookmarkStart w:id="57" w:name="_Hlk128730820"/>
      <w:r w:rsidRPr="00B574C8">
        <w:rPr>
          <w:sz w:val="24"/>
          <w:szCs w:val="24"/>
        </w:rPr>
        <w:t>2,5-10 ml af lægemidlet svarer til 5,11</w:t>
      </w:r>
      <w:r w:rsidRPr="00B574C8">
        <w:rPr>
          <w:sz w:val="24"/>
          <w:szCs w:val="24"/>
        </w:rPr>
        <w:noBreakHyphen/>
        <w:t>7,35</w:t>
      </w:r>
      <w:r w:rsidRPr="00B574C8">
        <w:rPr>
          <w:sz w:val="24"/>
          <w:szCs w:val="24"/>
        </w:rPr>
        <w:noBreakHyphen/>
        <w:t xml:space="preserve">mg/kg kropsvægt per anbefalet daglig dosis. </w:t>
      </w:r>
      <w:bookmarkEnd w:id="57"/>
      <w:r w:rsidRPr="00B574C8">
        <w:rPr>
          <w:sz w:val="24"/>
          <w:szCs w:val="24"/>
        </w:rPr>
        <w:t xml:space="preserve">Samtidig </w:t>
      </w:r>
      <w:bookmarkStart w:id="58" w:name="_Hlk128730843"/>
      <w:r w:rsidRPr="00B574C8">
        <w:rPr>
          <w:sz w:val="24"/>
          <w:szCs w:val="24"/>
        </w:rPr>
        <w:t xml:space="preserve">administration med substrater til </w:t>
      </w:r>
      <w:bookmarkEnd w:id="58"/>
      <w:proofErr w:type="spellStart"/>
      <w:r w:rsidRPr="00B574C8">
        <w:rPr>
          <w:sz w:val="24"/>
          <w:szCs w:val="24"/>
        </w:rPr>
        <w:t>alkoholdehydrogenase</w:t>
      </w:r>
      <w:proofErr w:type="spellEnd"/>
      <w:r w:rsidRPr="00B574C8">
        <w:rPr>
          <w:sz w:val="24"/>
          <w:szCs w:val="24"/>
        </w:rPr>
        <w:t xml:space="preserve">, </w:t>
      </w:r>
      <w:bookmarkStart w:id="59" w:name="_Hlk128730870"/>
      <w:r w:rsidRPr="00B574C8">
        <w:rPr>
          <w:sz w:val="24"/>
          <w:szCs w:val="24"/>
        </w:rPr>
        <w:t xml:space="preserve">såsom </w:t>
      </w:r>
      <w:bookmarkEnd w:id="59"/>
      <w:proofErr w:type="spellStart"/>
      <w:r w:rsidRPr="00B574C8">
        <w:rPr>
          <w:sz w:val="24"/>
          <w:szCs w:val="24"/>
        </w:rPr>
        <w:t>ethanol</w:t>
      </w:r>
      <w:proofErr w:type="spellEnd"/>
      <w:r w:rsidRPr="00B574C8">
        <w:rPr>
          <w:sz w:val="24"/>
          <w:szCs w:val="24"/>
        </w:rPr>
        <w:t xml:space="preserve"> kan </w:t>
      </w:r>
      <w:bookmarkStart w:id="60" w:name="_Hlk128730951"/>
      <w:r w:rsidRPr="00B574C8">
        <w:rPr>
          <w:sz w:val="24"/>
          <w:szCs w:val="24"/>
        </w:rPr>
        <w:t xml:space="preserve">fremkalde </w:t>
      </w:r>
      <w:bookmarkStart w:id="61" w:name="_Hlk128731034"/>
      <w:bookmarkEnd w:id="60"/>
      <w:r w:rsidRPr="00B574C8">
        <w:rPr>
          <w:sz w:val="24"/>
          <w:szCs w:val="24"/>
        </w:rPr>
        <w:t xml:space="preserve">alvorlige </w:t>
      </w:r>
      <w:bookmarkEnd w:id="61"/>
      <w:r w:rsidRPr="00B574C8">
        <w:rPr>
          <w:sz w:val="24"/>
          <w:szCs w:val="24"/>
        </w:rPr>
        <w:t xml:space="preserve">bivirkninger hos børn under 5 år, især hvis barnet får andre lægemidler, der indeholder propylenglycol eller alkohol. </w:t>
      </w:r>
    </w:p>
    <w:p w14:paraId="79B1FFF0" w14:textId="77777777" w:rsidR="009C0264" w:rsidRPr="00B574C8" w:rsidRDefault="009C0264" w:rsidP="009C0264">
      <w:pPr>
        <w:ind w:left="851"/>
        <w:rPr>
          <w:sz w:val="24"/>
          <w:szCs w:val="24"/>
        </w:rPr>
      </w:pPr>
      <w:r w:rsidRPr="00B574C8">
        <w:rPr>
          <w:sz w:val="24"/>
          <w:szCs w:val="24"/>
        </w:rPr>
        <w:t>Selvom propylenglycol ikke har påvist reproduktionstoksicitet eller skadelige virkninger på dyr eller mennesker, kan det optages i fosteret og er blevet fundet i brystmælken. Som følge heraf bør administration af propylenglycol til gravide eller ammende kvinder overvejes fra sag til sag.</w:t>
      </w:r>
    </w:p>
    <w:p w14:paraId="3CB490CD" w14:textId="77777777" w:rsidR="009C0264" w:rsidRPr="00B574C8" w:rsidRDefault="009C0264" w:rsidP="009C0264">
      <w:pPr>
        <w:ind w:left="851"/>
        <w:rPr>
          <w:sz w:val="24"/>
          <w:szCs w:val="24"/>
        </w:rPr>
      </w:pPr>
    </w:p>
    <w:p w14:paraId="7623D0A0" w14:textId="77777777" w:rsidR="009C0264" w:rsidRPr="00B574C8" w:rsidRDefault="009C0264" w:rsidP="009C0264">
      <w:pPr>
        <w:ind w:left="851"/>
        <w:rPr>
          <w:sz w:val="24"/>
          <w:szCs w:val="24"/>
        </w:rPr>
      </w:pPr>
      <w:bookmarkStart w:id="62" w:name="_Hlk128731522"/>
      <w:r w:rsidRPr="00B574C8">
        <w:rPr>
          <w:sz w:val="24"/>
          <w:szCs w:val="24"/>
        </w:rPr>
        <w:t>Appelsinsmags</w:t>
      </w:r>
      <w:bookmarkEnd w:id="62"/>
      <w:r w:rsidRPr="00B574C8">
        <w:rPr>
          <w:sz w:val="24"/>
          <w:szCs w:val="24"/>
        </w:rPr>
        <w:t xml:space="preserve">stoffet </w:t>
      </w:r>
      <w:bookmarkEnd w:id="51"/>
      <w:r w:rsidRPr="00B574C8">
        <w:rPr>
          <w:sz w:val="24"/>
          <w:szCs w:val="24"/>
        </w:rPr>
        <w:t xml:space="preserve">indeholder 1,4 mg </w:t>
      </w:r>
      <w:proofErr w:type="spellStart"/>
      <w:r w:rsidRPr="00B574C8">
        <w:rPr>
          <w:sz w:val="24"/>
          <w:szCs w:val="24"/>
        </w:rPr>
        <w:t>ethanol</w:t>
      </w:r>
      <w:proofErr w:type="spellEnd"/>
      <w:r w:rsidRPr="00B574C8">
        <w:rPr>
          <w:sz w:val="24"/>
          <w:szCs w:val="24"/>
        </w:rPr>
        <w:t xml:space="preserve"> </w:t>
      </w:r>
      <w:bookmarkStart w:id="63" w:name="_Hlk128731536"/>
      <w:r w:rsidRPr="00B574C8">
        <w:rPr>
          <w:sz w:val="24"/>
          <w:szCs w:val="24"/>
        </w:rPr>
        <w:t>pr. ml</w:t>
      </w:r>
      <w:bookmarkEnd w:id="63"/>
      <w:r w:rsidRPr="00B574C8">
        <w:rPr>
          <w:sz w:val="24"/>
          <w:szCs w:val="24"/>
        </w:rPr>
        <w:t xml:space="preserve"> suspension. </w:t>
      </w:r>
      <w:bookmarkStart w:id="64" w:name="_Hlk128731558"/>
      <w:r w:rsidRPr="00B574C8">
        <w:rPr>
          <w:sz w:val="24"/>
          <w:szCs w:val="24"/>
        </w:rPr>
        <w:t xml:space="preserve">Mængden </w:t>
      </w:r>
      <w:bookmarkEnd w:id="64"/>
      <w:r w:rsidRPr="00B574C8">
        <w:rPr>
          <w:sz w:val="24"/>
          <w:szCs w:val="24"/>
        </w:rPr>
        <w:t xml:space="preserve">i en flaske </w:t>
      </w:r>
      <w:bookmarkStart w:id="65" w:name="_Hlk125018136"/>
      <w:r w:rsidRPr="00B574C8">
        <w:rPr>
          <w:sz w:val="24"/>
          <w:szCs w:val="24"/>
        </w:rPr>
        <w:t xml:space="preserve">med </w:t>
      </w:r>
      <w:bookmarkEnd w:id="65"/>
      <w:r w:rsidRPr="00B574C8">
        <w:rPr>
          <w:sz w:val="24"/>
          <w:szCs w:val="24"/>
        </w:rPr>
        <w:t>dette lægemiddel svarer til mindre end 1 ml øl eller 1 ml vin. Den mindre mængde alkohol i dette lægemiddel vil ikke have nogen nævneværdig effekt.</w:t>
      </w:r>
    </w:p>
    <w:p w14:paraId="57078741" w14:textId="77777777" w:rsidR="009C0264" w:rsidRPr="00B574C8" w:rsidRDefault="009C0264" w:rsidP="009C0264">
      <w:pPr>
        <w:ind w:left="851"/>
        <w:rPr>
          <w:sz w:val="24"/>
          <w:szCs w:val="24"/>
        </w:rPr>
      </w:pPr>
    </w:p>
    <w:p w14:paraId="17CE1E11" w14:textId="7381DF71" w:rsidR="009260DE" w:rsidRDefault="009C0264" w:rsidP="009C0264">
      <w:pPr>
        <w:tabs>
          <w:tab w:val="left" w:pos="851"/>
        </w:tabs>
        <w:ind w:left="851"/>
        <w:rPr>
          <w:sz w:val="24"/>
          <w:szCs w:val="24"/>
        </w:rPr>
      </w:pPr>
      <w:bookmarkStart w:id="66" w:name="_Hlk129008883"/>
      <w:r w:rsidRPr="00B574C8">
        <w:rPr>
          <w:sz w:val="24"/>
          <w:szCs w:val="24"/>
        </w:rPr>
        <w:t xml:space="preserve">Børn i alderen af 6 måneder, der vejer 7 kg, som får den maksimale dosis på 2,5 ml </w:t>
      </w:r>
      <w:r w:rsidR="00962C01">
        <w:rPr>
          <w:sz w:val="24"/>
          <w:szCs w:val="24"/>
        </w:rPr>
        <w:t>Ibuprofen ”Nordic Prime”</w:t>
      </w:r>
      <w:r w:rsidRPr="00B574C8">
        <w:rPr>
          <w:sz w:val="24"/>
          <w:szCs w:val="24"/>
        </w:rPr>
        <w:t xml:space="preserve"> 3 gange/dag får i alt 10,5 mg </w:t>
      </w:r>
      <w:bookmarkStart w:id="67" w:name="_Hlk128997695"/>
      <w:proofErr w:type="spellStart"/>
      <w:r w:rsidRPr="00B574C8">
        <w:rPr>
          <w:sz w:val="24"/>
          <w:szCs w:val="24"/>
        </w:rPr>
        <w:t>ethanol</w:t>
      </w:r>
      <w:bookmarkEnd w:id="67"/>
      <w:proofErr w:type="spellEnd"/>
      <w:r w:rsidRPr="00B574C8">
        <w:rPr>
          <w:sz w:val="24"/>
          <w:szCs w:val="24"/>
        </w:rPr>
        <w:t xml:space="preserve">/dag (= 1,5 mg </w:t>
      </w:r>
      <w:proofErr w:type="spellStart"/>
      <w:r w:rsidRPr="00B574C8">
        <w:rPr>
          <w:sz w:val="24"/>
          <w:szCs w:val="24"/>
        </w:rPr>
        <w:t>ethanol</w:t>
      </w:r>
      <w:proofErr w:type="spellEnd"/>
      <w:r w:rsidRPr="00B574C8">
        <w:rPr>
          <w:sz w:val="24"/>
          <w:szCs w:val="24"/>
        </w:rPr>
        <w:t xml:space="preserve">/kg/dag) </w:t>
      </w:r>
      <w:bookmarkStart w:id="68" w:name="_Hlk128997913"/>
      <w:r w:rsidRPr="00B574C8">
        <w:rPr>
          <w:sz w:val="24"/>
          <w:szCs w:val="24"/>
        </w:rPr>
        <w:t xml:space="preserve">og 73,5 mg </w:t>
      </w:r>
      <w:proofErr w:type="spellStart"/>
      <w:r w:rsidRPr="00B574C8">
        <w:rPr>
          <w:sz w:val="24"/>
          <w:szCs w:val="24"/>
        </w:rPr>
        <w:t>ethanol</w:t>
      </w:r>
      <w:proofErr w:type="spellEnd"/>
      <w:r w:rsidRPr="00B574C8">
        <w:rPr>
          <w:sz w:val="24"/>
          <w:szCs w:val="24"/>
        </w:rPr>
        <w:t xml:space="preserve">/uge (= 10,5 mg </w:t>
      </w:r>
      <w:proofErr w:type="spellStart"/>
      <w:r w:rsidRPr="00B574C8">
        <w:rPr>
          <w:sz w:val="24"/>
          <w:szCs w:val="24"/>
        </w:rPr>
        <w:t>ethanol</w:t>
      </w:r>
      <w:proofErr w:type="spellEnd"/>
      <w:r w:rsidRPr="00B574C8">
        <w:rPr>
          <w:sz w:val="24"/>
          <w:szCs w:val="24"/>
        </w:rPr>
        <w:t>/kg/uge).</w:t>
      </w:r>
      <w:bookmarkEnd w:id="66"/>
      <w:bookmarkEnd w:id="68"/>
    </w:p>
    <w:p w14:paraId="35F48AB6" w14:textId="1DD2F185" w:rsidR="005C3AC1" w:rsidRDefault="005C3AC1">
      <w:pPr>
        <w:rPr>
          <w:sz w:val="24"/>
          <w:szCs w:val="24"/>
        </w:rPr>
      </w:pPr>
      <w:r>
        <w:rPr>
          <w:sz w:val="24"/>
          <w:szCs w:val="24"/>
        </w:rPr>
        <w:br w:type="page"/>
      </w:r>
    </w:p>
    <w:p w14:paraId="40882C52" w14:textId="77777777" w:rsidR="009C0264" w:rsidRPr="00B574C8" w:rsidRDefault="009C0264" w:rsidP="009C0264">
      <w:pPr>
        <w:tabs>
          <w:tab w:val="left" w:pos="851"/>
        </w:tabs>
        <w:ind w:left="851"/>
        <w:rPr>
          <w:sz w:val="24"/>
          <w:szCs w:val="24"/>
        </w:rPr>
      </w:pPr>
    </w:p>
    <w:p w14:paraId="59642F3E" w14:textId="77777777" w:rsidR="009260DE" w:rsidRPr="00B574C8" w:rsidRDefault="009260DE" w:rsidP="009260DE">
      <w:pPr>
        <w:tabs>
          <w:tab w:val="left" w:pos="851"/>
        </w:tabs>
        <w:ind w:left="851" w:hanging="851"/>
        <w:rPr>
          <w:b/>
          <w:sz w:val="24"/>
          <w:szCs w:val="24"/>
        </w:rPr>
      </w:pPr>
      <w:r w:rsidRPr="00B574C8">
        <w:rPr>
          <w:b/>
          <w:sz w:val="24"/>
          <w:szCs w:val="24"/>
        </w:rPr>
        <w:t>4.5</w:t>
      </w:r>
      <w:r w:rsidRPr="00B574C8">
        <w:rPr>
          <w:b/>
          <w:sz w:val="24"/>
          <w:szCs w:val="24"/>
        </w:rPr>
        <w:tab/>
        <w:t>Interaktion med andre lægemidler og andre former for interaktion</w:t>
      </w:r>
    </w:p>
    <w:p w14:paraId="52ED79B8" w14:textId="77777777" w:rsidR="000F0B26" w:rsidRDefault="000F0B26" w:rsidP="00B574C8">
      <w:pPr>
        <w:ind w:left="851"/>
        <w:rPr>
          <w:sz w:val="24"/>
          <w:szCs w:val="24"/>
        </w:rPr>
      </w:pPr>
    </w:p>
    <w:p w14:paraId="31BFC1E1" w14:textId="5B0E2DB8" w:rsidR="00826AA6" w:rsidRPr="000F0B26" w:rsidRDefault="00826AA6" w:rsidP="00B574C8">
      <w:pPr>
        <w:ind w:left="851"/>
        <w:rPr>
          <w:b/>
          <w:sz w:val="24"/>
          <w:szCs w:val="24"/>
        </w:rPr>
      </w:pPr>
      <w:r w:rsidRPr="000F0B26">
        <w:rPr>
          <w:b/>
          <w:sz w:val="24"/>
          <w:szCs w:val="24"/>
        </w:rPr>
        <w:t xml:space="preserve">Følgende kombinationer med </w:t>
      </w:r>
      <w:r w:rsidR="00962C01">
        <w:rPr>
          <w:b/>
          <w:sz w:val="24"/>
          <w:szCs w:val="24"/>
        </w:rPr>
        <w:t>Ibuprofen ”Nordic Prime”</w:t>
      </w:r>
      <w:r w:rsidRPr="000F0B26">
        <w:rPr>
          <w:b/>
          <w:sz w:val="24"/>
          <w:szCs w:val="24"/>
        </w:rPr>
        <w:t xml:space="preserve"> bør undgås</w:t>
      </w:r>
    </w:p>
    <w:p w14:paraId="247DA57A" w14:textId="77777777" w:rsidR="00826AA6" w:rsidRPr="00B574C8" w:rsidRDefault="00826AA6" w:rsidP="00B574C8">
      <w:pPr>
        <w:ind w:left="851"/>
        <w:rPr>
          <w:sz w:val="24"/>
          <w:szCs w:val="24"/>
          <w:u w:val="single"/>
        </w:rPr>
      </w:pPr>
    </w:p>
    <w:p w14:paraId="0341F528" w14:textId="77777777" w:rsidR="00826AA6" w:rsidRPr="00B574C8" w:rsidRDefault="00826AA6" w:rsidP="00B574C8">
      <w:pPr>
        <w:ind w:left="851"/>
        <w:rPr>
          <w:sz w:val="24"/>
          <w:szCs w:val="24"/>
        </w:rPr>
      </w:pPr>
      <w:bookmarkStart w:id="69" w:name="_Hlk129008982"/>
      <w:r w:rsidRPr="00B574C8">
        <w:rPr>
          <w:sz w:val="24"/>
          <w:szCs w:val="24"/>
          <w:u w:val="single"/>
        </w:rPr>
        <w:t>Acetylsalicylsyre</w:t>
      </w:r>
      <w:r w:rsidRPr="00B574C8">
        <w:rPr>
          <w:sz w:val="24"/>
          <w:szCs w:val="24"/>
        </w:rPr>
        <w:t xml:space="preserve"> </w:t>
      </w:r>
    </w:p>
    <w:p w14:paraId="1466A15D" w14:textId="64ADD474" w:rsidR="00826AA6" w:rsidRPr="00B574C8" w:rsidRDefault="00826AA6" w:rsidP="00B574C8">
      <w:pPr>
        <w:ind w:left="851"/>
        <w:rPr>
          <w:sz w:val="24"/>
          <w:szCs w:val="24"/>
          <w:lang w:eastAsia="da-DK"/>
        </w:rPr>
      </w:pPr>
      <w:r w:rsidRPr="00B574C8">
        <w:rPr>
          <w:sz w:val="24"/>
          <w:szCs w:val="24"/>
        </w:rPr>
        <w:t>Samtidig administration af ibuprofen og acetylsalicylsyre anbefales generelt ikke på grund af en øget risiko for bivirkninger.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404933DB" w14:textId="77777777" w:rsidR="00826AA6" w:rsidRPr="00B574C8" w:rsidRDefault="00826AA6" w:rsidP="00B574C8">
      <w:pPr>
        <w:ind w:left="851"/>
        <w:rPr>
          <w:sz w:val="24"/>
          <w:szCs w:val="24"/>
        </w:rPr>
      </w:pPr>
    </w:p>
    <w:p w14:paraId="53574132" w14:textId="77777777" w:rsidR="00826AA6" w:rsidRPr="00B574C8" w:rsidRDefault="00826AA6" w:rsidP="00826AA6">
      <w:pPr>
        <w:ind w:left="851"/>
        <w:rPr>
          <w:sz w:val="24"/>
          <w:szCs w:val="24"/>
        </w:rPr>
      </w:pPr>
      <w:r w:rsidRPr="00B574C8">
        <w:rPr>
          <w:sz w:val="24"/>
          <w:szCs w:val="24"/>
        </w:rPr>
        <w:t xml:space="preserve">Eksperimentelle data tyder på, at ibuprofen muligvis </w:t>
      </w:r>
      <w:proofErr w:type="spellStart"/>
      <w:r w:rsidRPr="00B574C8">
        <w:rPr>
          <w:sz w:val="24"/>
          <w:szCs w:val="24"/>
        </w:rPr>
        <w:t>kompetitivt</w:t>
      </w:r>
      <w:proofErr w:type="spellEnd"/>
      <w:r w:rsidRPr="00B574C8">
        <w:rPr>
          <w:sz w:val="24"/>
          <w:szCs w:val="24"/>
        </w:rPr>
        <w:t xml:space="preserve"> hæmmer virkningen af lave doser acetylsalicylsyre på </w:t>
      </w:r>
      <w:proofErr w:type="spellStart"/>
      <w:r w:rsidRPr="00B574C8">
        <w:rPr>
          <w:sz w:val="24"/>
          <w:szCs w:val="24"/>
        </w:rPr>
        <w:t>trombocytaggregation</w:t>
      </w:r>
      <w:proofErr w:type="spellEnd"/>
      <w:r w:rsidRPr="00B574C8">
        <w:rPr>
          <w:sz w:val="24"/>
          <w:szCs w:val="24"/>
        </w:rPr>
        <w:t xml:space="preserve"> ved samtidig administration. Der er usikkerhed vedrørende ekstrapolation af disse data til den kliniske situation, men muligheden for, at regelmæssig, langvarig </w:t>
      </w:r>
      <w:bookmarkStart w:id="70" w:name="_Hlk128737069"/>
      <w:r w:rsidRPr="00B574C8">
        <w:rPr>
          <w:sz w:val="24"/>
          <w:szCs w:val="24"/>
        </w:rPr>
        <w:t xml:space="preserve">behandling med </w:t>
      </w:r>
      <w:bookmarkEnd w:id="70"/>
      <w:r w:rsidRPr="00B574C8">
        <w:rPr>
          <w:sz w:val="24"/>
          <w:szCs w:val="24"/>
        </w:rPr>
        <w:t xml:space="preserve">ibuprofen kan nedsætte </w:t>
      </w:r>
      <w:bookmarkStart w:id="71" w:name="_Hlk128737088"/>
      <w:r w:rsidRPr="00B574C8">
        <w:rPr>
          <w:sz w:val="24"/>
          <w:szCs w:val="24"/>
        </w:rPr>
        <w:t xml:space="preserve">den </w:t>
      </w:r>
      <w:proofErr w:type="spellStart"/>
      <w:r w:rsidRPr="00B574C8">
        <w:rPr>
          <w:sz w:val="24"/>
          <w:szCs w:val="24"/>
        </w:rPr>
        <w:t>kardioprotektive</w:t>
      </w:r>
      <w:proofErr w:type="spellEnd"/>
      <w:r w:rsidRPr="00B574C8">
        <w:rPr>
          <w:sz w:val="24"/>
          <w:szCs w:val="24"/>
        </w:rPr>
        <w:t xml:space="preserve"> </w:t>
      </w:r>
      <w:bookmarkEnd w:id="71"/>
      <w:r w:rsidRPr="00B574C8">
        <w:rPr>
          <w:sz w:val="24"/>
          <w:szCs w:val="24"/>
        </w:rPr>
        <w:t xml:space="preserve">virkning </w:t>
      </w:r>
      <w:bookmarkStart w:id="72" w:name="_Hlk128737098"/>
      <w:r w:rsidRPr="00B574C8">
        <w:rPr>
          <w:sz w:val="24"/>
          <w:szCs w:val="24"/>
        </w:rPr>
        <w:t>af lavdosis acetylsalicylsyre</w:t>
      </w:r>
      <w:bookmarkEnd w:id="72"/>
      <w:r w:rsidRPr="00B574C8">
        <w:rPr>
          <w:sz w:val="24"/>
          <w:szCs w:val="24"/>
        </w:rPr>
        <w:t xml:space="preserve"> kan ikke udelukkes. En klinisk relevant virkning </w:t>
      </w:r>
      <w:bookmarkStart w:id="73" w:name="_Hlk128737145"/>
      <w:r w:rsidRPr="00B574C8">
        <w:rPr>
          <w:sz w:val="24"/>
          <w:szCs w:val="24"/>
        </w:rPr>
        <w:t>ved lejlighedsvis brug af ibuprofen anses ikke for at være sandsynlig</w:t>
      </w:r>
      <w:bookmarkEnd w:id="73"/>
      <w:r w:rsidRPr="00B574C8">
        <w:rPr>
          <w:sz w:val="24"/>
          <w:szCs w:val="24"/>
        </w:rPr>
        <w:t xml:space="preserve"> (se pkt. 5.1).</w:t>
      </w:r>
    </w:p>
    <w:bookmarkEnd w:id="69"/>
    <w:p w14:paraId="556CFB39" w14:textId="77777777" w:rsidR="00826AA6" w:rsidRPr="00B574C8" w:rsidRDefault="00826AA6" w:rsidP="00826AA6">
      <w:pPr>
        <w:ind w:left="851"/>
        <w:rPr>
          <w:sz w:val="24"/>
          <w:szCs w:val="24"/>
        </w:rPr>
      </w:pPr>
    </w:p>
    <w:p w14:paraId="50EE8E4D" w14:textId="77777777" w:rsidR="00826AA6" w:rsidRPr="00B574C8" w:rsidRDefault="00826AA6" w:rsidP="00826AA6">
      <w:pPr>
        <w:ind w:left="851"/>
        <w:rPr>
          <w:i/>
          <w:iCs/>
          <w:sz w:val="24"/>
          <w:szCs w:val="24"/>
        </w:rPr>
      </w:pPr>
      <w:bookmarkStart w:id="74" w:name="_Hlk129009019"/>
      <w:r w:rsidRPr="00B574C8">
        <w:rPr>
          <w:sz w:val="24"/>
          <w:szCs w:val="24"/>
          <w:u w:val="single"/>
        </w:rPr>
        <w:t>Andre NSAID</w:t>
      </w:r>
      <w:r w:rsidRPr="00B574C8">
        <w:rPr>
          <w:i/>
          <w:iCs/>
          <w:sz w:val="24"/>
          <w:szCs w:val="24"/>
        </w:rPr>
        <w:t xml:space="preserve"> </w:t>
      </w:r>
    </w:p>
    <w:p w14:paraId="6AD5FC95" w14:textId="128C0354" w:rsidR="00826AA6" w:rsidRPr="00B574C8" w:rsidRDefault="00826AA6" w:rsidP="00826AA6">
      <w:pPr>
        <w:ind w:left="851"/>
        <w:rPr>
          <w:sz w:val="24"/>
          <w:szCs w:val="24"/>
        </w:rPr>
      </w:pPr>
      <w:r w:rsidRPr="00B574C8">
        <w:rPr>
          <w:sz w:val="24"/>
          <w:szCs w:val="24"/>
        </w:rPr>
        <w:t>Samtidig anvendelse af andre NSAID</w:t>
      </w:r>
      <w:r w:rsidR="004E5F6C">
        <w:rPr>
          <w:sz w:val="24"/>
          <w:szCs w:val="24"/>
        </w:rPr>
        <w:t>-</w:t>
      </w:r>
      <w:r w:rsidRPr="00B574C8">
        <w:rPr>
          <w:sz w:val="24"/>
          <w:szCs w:val="24"/>
        </w:rPr>
        <w:t xml:space="preserve">præparater </w:t>
      </w:r>
      <w:bookmarkStart w:id="75" w:name="_Hlk122697028"/>
      <w:r w:rsidRPr="00B574C8">
        <w:rPr>
          <w:sz w:val="24"/>
          <w:szCs w:val="24"/>
        </w:rPr>
        <w:t>herunder også COX-2 inhibitor</w:t>
      </w:r>
      <w:bookmarkEnd w:id="75"/>
      <w:r w:rsidRPr="00B574C8">
        <w:rPr>
          <w:sz w:val="24"/>
          <w:szCs w:val="24"/>
        </w:rPr>
        <w:t xml:space="preserve">er med ibuprofen bør undgås på grund af den øgede risiko for </w:t>
      </w:r>
      <w:proofErr w:type="spellStart"/>
      <w:r w:rsidRPr="00B574C8">
        <w:rPr>
          <w:sz w:val="24"/>
          <w:szCs w:val="24"/>
        </w:rPr>
        <w:t>gastrointestinale</w:t>
      </w:r>
      <w:proofErr w:type="spellEnd"/>
      <w:r w:rsidRPr="00B574C8">
        <w:rPr>
          <w:sz w:val="24"/>
          <w:szCs w:val="24"/>
        </w:rPr>
        <w:t xml:space="preserve"> bivirkninger som </w:t>
      </w:r>
      <w:r w:rsidR="0033138E">
        <w:rPr>
          <w:sz w:val="24"/>
          <w:szCs w:val="24"/>
        </w:rPr>
        <w:t>f.eks.</w:t>
      </w:r>
      <w:r w:rsidRPr="00B574C8">
        <w:rPr>
          <w:sz w:val="24"/>
          <w:szCs w:val="24"/>
        </w:rPr>
        <w:t xml:space="preserve"> blødning. </w:t>
      </w:r>
      <w:bookmarkStart w:id="76" w:name="_Hlk128737387"/>
      <w:r w:rsidRPr="00B574C8">
        <w:rPr>
          <w:sz w:val="24"/>
          <w:szCs w:val="24"/>
        </w:rPr>
        <w:t xml:space="preserve">Samtidig administration </w:t>
      </w:r>
      <w:bookmarkEnd w:id="76"/>
      <w:r w:rsidRPr="00B574C8">
        <w:rPr>
          <w:sz w:val="24"/>
          <w:szCs w:val="24"/>
        </w:rPr>
        <w:t xml:space="preserve">af to eller flere </w:t>
      </w:r>
      <w:proofErr w:type="spellStart"/>
      <w:r w:rsidRPr="00B574C8">
        <w:rPr>
          <w:sz w:val="24"/>
          <w:szCs w:val="24"/>
        </w:rPr>
        <w:t>NSAID’er</w:t>
      </w:r>
      <w:proofErr w:type="spellEnd"/>
      <w:r w:rsidRPr="00B574C8">
        <w:rPr>
          <w:sz w:val="24"/>
          <w:szCs w:val="24"/>
        </w:rPr>
        <w:t xml:space="preserve"> bidrager ikke til virkningen, </w:t>
      </w:r>
      <w:bookmarkStart w:id="77" w:name="_Hlk128737423"/>
      <w:r w:rsidRPr="00B574C8">
        <w:rPr>
          <w:sz w:val="24"/>
          <w:szCs w:val="24"/>
        </w:rPr>
        <w:t>men kan i stedet være</w:t>
      </w:r>
      <w:bookmarkEnd w:id="77"/>
      <w:r w:rsidRPr="00B574C8">
        <w:rPr>
          <w:sz w:val="24"/>
          <w:szCs w:val="24"/>
        </w:rPr>
        <w:t xml:space="preserve"> potentielt skadeligt.</w:t>
      </w:r>
    </w:p>
    <w:p w14:paraId="2E47CD73" w14:textId="77777777" w:rsidR="00826AA6" w:rsidRPr="00B574C8" w:rsidRDefault="00826AA6" w:rsidP="00826AA6">
      <w:pPr>
        <w:ind w:left="851"/>
        <w:rPr>
          <w:sz w:val="24"/>
          <w:szCs w:val="24"/>
        </w:rPr>
      </w:pPr>
    </w:p>
    <w:p w14:paraId="13A18F38" w14:textId="77777777" w:rsidR="00826AA6" w:rsidRPr="000F0B26" w:rsidRDefault="00826AA6" w:rsidP="00B574C8">
      <w:pPr>
        <w:ind w:left="851"/>
        <w:rPr>
          <w:sz w:val="24"/>
          <w:szCs w:val="24"/>
          <w:u w:val="single"/>
        </w:rPr>
      </w:pPr>
      <w:proofErr w:type="spellStart"/>
      <w:r w:rsidRPr="000F0B26">
        <w:rPr>
          <w:sz w:val="24"/>
          <w:szCs w:val="24"/>
          <w:u w:val="single"/>
        </w:rPr>
        <w:t>Dicumarolgruppen</w:t>
      </w:r>
      <w:proofErr w:type="spellEnd"/>
      <w:r w:rsidRPr="000F0B26">
        <w:rPr>
          <w:sz w:val="24"/>
          <w:szCs w:val="24"/>
          <w:u w:val="single"/>
        </w:rPr>
        <w:t xml:space="preserve"> </w:t>
      </w:r>
    </w:p>
    <w:p w14:paraId="38001409" w14:textId="4211A9B3" w:rsidR="00826AA6" w:rsidRPr="00B574C8" w:rsidRDefault="00826AA6" w:rsidP="00B574C8">
      <w:pPr>
        <w:ind w:left="851"/>
        <w:rPr>
          <w:sz w:val="24"/>
          <w:szCs w:val="24"/>
        </w:rPr>
      </w:pPr>
      <w:r w:rsidRPr="00B574C8">
        <w:rPr>
          <w:sz w:val="24"/>
          <w:szCs w:val="24"/>
        </w:rPr>
        <w:t xml:space="preserve">NSAID-præparater (inkl. Ibuprofen) kan forstærke virkningen af </w:t>
      </w:r>
      <w:proofErr w:type="spellStart"/>
      <w:r w:rsidRPr="00B574C8">
        <w:rPr>
          <w:sz w:val="24"/>
          <w:szCs w:val="24"/>
        </w:rPr>
        <w:t>antikoagulantia</w:t>
      </w:r>
      <w:proofErr w:type="spellEnd"/>
      <w:r w:rsidRPr="00B574C8">
        <w:rPr>
          <w:sz w:val="24"/>
          <w:szCs w:val="24"/>
        </w:rPr>
        <w:t xml:space="preserve">, såsom </w:t>
      </w:r>
      <w:proofErr w:type="spellStart"/>
      <w:r w:rsidRPr="00B574C8">
        <w:rPr>
          <w:sz w:val="24"/>
          <w:szCs w:val="24"/>
        </w:rPr>
        <w:t>warfarin</w:t>
      </w:r>
      <w:proofErr w:type="spellEnd"/>
      <w:r w:rsidRPr="00B574C8">
        <w:rPr>
          <w:sz w:val="24"/>
          <w:szCs w:val="24"/>
        </w:rPr>
        <w:t xml:space="preserve"> (se pkt. 4.4). Studier viser, at ibuprofen forstærker </w:t>
      </w:r>
      <w:proofErr w:type="spellStart"/>
      <w:r w:rsidRPr="00B574C8">
        <w:rPr>
          <w:sz w:val="24"/>
          <w:szCs w:val="24"/>
        </w:rPr>
        <w:t>warfarins</w:t>
      </w:r>
      <w:proofErr w:type="spellEnd"/>
      <w:r w:rsidRPr="00B574C8">
        <w:rPr>
          <w:sz w:val="24"/>
          <w:szCs w:val="24"/>
        </w:rPr>
        <w:t xml:space="preserve"> virkning på blødningstiden. </w:t>
      </w:r>
      <w:proofErr w:type="spellStart"/>
      <w:r w:rsidRPr="00B574C8">
        <w:rPr>
          <w:sz w:val="24"/>
          <w:szCs w:val="24"/>
        </w:rPr>
        <w:t>NSAID’er</w:t>
      </w:r>
      <w:proofErr w:type="spellEnd"/>
      <w:r w:rsidRPr="00B574C8">
        <w:rPr>
          <w:sz w:val="24"/>
          <w:szCs w:val="24"/>
        </w:rPr>
        <w:t xml:space="preserve"> (inkl. ibuprofen) og </w:t>
      </w:r>
      <w:proofErr w:type="spellStart"/>
      <w:r w:rsidRPr="00B574C8">
        <w:rPr>
          <w:sz w:val="24"/>
          <w:szCs w:val="24"/>
        </w:rPr>
        <w:t>dicumarolgruppen</w:t>
      </w:r>
      <w:proofErr w:type="spellEnd"/>
      <w:r w:rsidRPr="00B574C8">
        <w:rPr>
          <w:sz w:val="24"/>
          <w:szCs w:val="24"/>
        </w:rPr>
        <w:t xml:space="preserve"> </w:t>
      </w:r>
      <w:proofErr w:type="spellStart"/>
      <w:r w:rsidRPr="00B574C8">
        <w:rPr>
          <w:sz w:val="24"/>
          <w:szCs w:val="24"/>
        </w:rPr>
        <w:t>metaboliseres</w:t>
      </w:r>
      <w:proofErr w:type="spellEnd"/>
      <w:r w:rsidRPr="00B574C8">
        <w:rPr>
          <w:sz w:val="24"/>
          <w:szCs w:val="24"/>
        </w:rPr>
        <w:t xml:space="preserve"> af det samme enzym, CYP2C9.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760D7C0D" w14:textId="77777777" w:rsidR="00826AA6" w:rsidRPr="00B574C8" w:rsidRDefault="00826AA6" w:rsidP="00B574C8">
      <w:pPr>
        <w:ind w:left="851"/>
        <w:rPr>
          <w:sz w:val="24"/>
          <w:szCs w:val="24"/>
        </w:rPr>
      </w:pPr>
    </w:p>
    <w:p w14:paraId="7E5CF64E" w14:textId="77777777" w:rsidR="00826AA6" w:rsidRPr="000F0B26" w:rsidRDefault="00826AA6" w:rsidP="00B574C8">
      <w:pPr>
        <w:ind w:left="851"/>
        <w:rPr>
          <w:sz w:val="24"/>
          <w:szCs w:val="24"/>
          <w:u w:val="single"/>
        </w:rPr>
      </w:pPr>
      <w:r w:rsidRPr="000F0B26">
        <w:rPr>
          <w:sz w:val="24"/>
          <w:szCs w:val="24"/>
          <w:u w:val="single"/>
        </w:rPr>
        <w:t xml:space="preserve">Direkte Orale </w:t>
      </w:r>
      <w:proofErr w:type="spellStart"/>
      <w:r w:rsidRPr="000F0B26">
        <w:rPr>
          <w:sz w:val="24"/>
          <w:szCs w:val="24"/>
          <w:u w:val="single"/>
        </w:rPr>
        <w:t>Antikoagulantia</w:t>
      </w:r>
      <w:proofErr w:type="spellEnd"/>
      <w:r w:rsidRPr="000F0B26">
        <w:rPr>
          <w:sz w:val="24"/>
          <w:szCs w:val="24"/>
          <w:u w:val="single"/>
        </w:rPr>
        <w:t xml:space="preserve"> (DOAK) - såsom faktor </w:t>
      </w:r>
      <w:proofErr w:type="spellStart"/>
      <w:r w:rsidRPr="000F0B26">
        <w:rPr>
          <w:sz w:val="24"/>
          <w:szCs w:val="24"/>
          <w:u w:val="single"/>
        </w:rPr>
        <w:t>Xa-hæmmere</w:t>
      </w:r>
      <w:proofErr w:type="spellEnd"/>
      <w:r w:rsidRPr="000F0B26">
        <w:rPr>
          <w:sz w:val="24"/>
          <w:szCs w:val="24"/>
          <w:u w:val="single"/>
        </w:rPr>
        <w:t xml:space="preserve"> og </w:t>
      </w:r>
      <w:proofErr w:type="spellStart"/>
      <w:r w:rsidRPr="000F0B26">
        <w:rPr>
          <w:sz w:val="24"/>
          <w:szCs w:val="24"/>
          <w:u w:val="single"/>
        </w:rPr>
        <w:t>trombinhæmmere</w:t>
      </w:r>
      <w:proofErr w:type="spellEnd"/>
    </w:p>
    <w:p w14:paraId="4F620AA4" w14:textId="5B77562E" w:rsidR="00826AA6" w:rsidRPr="00B574C8" w:rsidRDefault="00826AA6" w:rsidP="00B574C8">
      <w:pPr>
        <w:ind w:left="851"/>
        <w:rPr>
          <w:sz w:val="24"/>
          <w:szCs w:val="24"/>
        </w:rPr>
      </w:pPr>
      <w:r w:rsidRPr="00B574C8">
        <w:rPr>
          <w:sz w:val="24"/>
          <w:szCs w:val="24"/>
        </w:rPr>
        <w:t xml:space="preserve">Samtidig administration med NSAID-præparater (inkl. ibuprofen) kan forstærke virkningen af disse </w:t>
      </w:r>
      <w:proofErr w:type="spellStart"/>
      <w:r w:rsidRPr="00B574C8">
        <w:rPr>
          <w:sz w:val="24"/>
          <w:szCs w:val="24"/>
        </w:rPr>
        <w:t>antikoagulantia</w:t>
      </w:r>
      <w:proofErr w:type="spellEnd"/>
      <w:r w:rsidRPr="00B574C8">
        <w:rPr>
          <w:sz w:val="24"/>
          <w:szCs w:val="24"/>
        </w:rPr>
        <w:t xml:space="preserve"> på grund af mulige </w:t>
      </w:r>
      <w:proofErr w:type="spellStart"/>
      <w:r w:rsidRPr="00B574C8">
        <w:rPr>
          <w:sz w:val="24"/>
          <w:szCs w:val="24"/>
        </w:rPr>
        <w:t>farmakodynamiske</w:t>
      </w:r>
      <w:proofErr w:type="spellEnd"/>
      <w:r w:rsidRPr="00B574C8">
        <w:rPr>
          <w:sz w:val="24"/>
          <w:szCs w:val="24"/>
        </w:rPr>
        <w:t xml:space="preserve"> interaktioner. Der er øget risiko for alvorlige blødning ved samtidig </w:t>
      </w:r>
      <w:bookmarkStart w:id="78" w:name="_Hlk128738045"/>
      <w:r w:rsidRPr="00B574C8">
        <w:rPr>
          <w:sz w:val="24"/>
          <w:szCs w:val="24"/>
        </w:rPr>
        <w:t>administration</w:t>
      </w:r>
      <w:bookmarkEnd w:id="78"/>
      <w:r w:rsidRPr="00B574C8">
        <w:rPr>
          <w:sz w:val="24"/>
          <w:szCs w:val="24"/>
        </w:rPr>
        <w:t xml:space="preserve"> med NSAID-præparater (inkl. ibuprofen).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7F3F1C9A" w14:textId="77777777" w:rsidR="00826AA6" w:rsidRPr="00B574C8" w:rsidRDefault="00826AA6" w:rsidP="00B574C8">
      <w:pPr>
        <w:ind w:left="851"/>
        <w:rPr>
          <w:sz w:val="24"/>
          <w:szCs w:val="24"/>
        </w:rPr>
      </w:pPr>
    </w:p>
    <w:p w14:paraId="333936C8" w14:textId="77777777" w:rsidR="00826AA6" w:rsidRPr="000F0B26" w:rsidRDefault="00826AA6" w:rsidP="00B574C8">
      <w:pPr>
        <w:ind w:left="851"/>
        <w:rPr>
          <w:sz w:val="24"/>
          <w:szCs w:val="24"/>
          <w:u w:val="single"/>
        </w:rPr>
      </w:pPr>
      <w:r w:rsidRPr="000F0B26">
        <w:rPr>
          <w:sz w:val="24"/>
          <w:szCs w:val="24"/>
          <w:u w:val="single"/>
        </w:rPr>
        <w:t xml:space="preserve">Hjerteglykosider </w:t>
      </w:r>
    </w:p>
    <w:p w14:paraId="34F773CB" w14:textId="76590BE1" w:rsidR="00826AA6" w:rsidRPr="00B574C8" w:rsidRDefault="00826AA6" w:rsidP="00B574C8">
      <w:pPr>
        <w:ind w:left="851"/>
        <w:rPr>
          <w:sz w:val="24"/>
          <w:szCs w:val="24"/>
        </w:rPr>
      </w:pPr>
      <w:r w:rsidRPr="00B574C8">
        <w:rPr>
          <w:sz w:val="24"/>
          <w:szCs w:val="24"/>
        </w:rPr>
        <w:t>Ved samtidig indtag med hjerteglykosider (</w:t>
      </w:r>
      <w:r w:rsidR="0033138E">
        <w:rPr>
          <w:sz w:val="24"/>
          <w:szCs w:val="24"/>
        </w:rPr>
        <w:t>f.eks.</w:t>
      </w:r>
      <w:r w:rsidRPr="00B574C8">
        <w:rPr>
          <w:sz w:val="24"/>
          <w:szCs w:val="24"/>
        </w:rPr>
        <w:t xml:space="preserve"> </w:t>
      </w:r>
      <w:proofErr w:type="spellStart"/>
      <w:r w:rsidRPr="00B574C8">
        <w:rPr>
          <w:sz w:val="24"/>
          <w:szCs w:val="24"/>
        </w:rPr>
        <w:t>digoxin</w:t>
      </w:r>
      <w:proofErr w:type="spellEnd"/>
      <w:r w:rsidRPr="00B574C8">
        <w:rPr>
          <w:sz w:val="24"/>
          <w:szCs w:val="24"/>
        </w:rPr>
        <w:t xml:space="preserve">), kan NSAID-præparater (inkl. ibuprofen) forværre hjerteinsufficiens, ved at reducere den </w:t>
      </w:r>
      <w:proofErr w:type="spellStart"/>
      <w:r w:rsidRPr="00B574C8">
        <w:rPr>
          <w:sz w:val="24"/>
          <w:szCs w:val="24"/>
        </w:rPr>
        <w:t>glomerulære</w:t>
      </w:r>
      <w:proofErr w:type="spellEnd"/>
      <w:r w:rsidRPr="00B574C8">
        <w:rPr>
          <w:sz w:val="24"/>
          <w:szCs w:val="24"/>
        </w:rPr>
        <w:t xml:space="preserve"> filtrering og dermed øge </w:t>
      </w:r>
      <w:bookmarkStart w:id="79" w:name="_Hlk128738546"/>
      <w:r w:rsidRPr="00B574C8">
        <w:rPr>
          <w:sz w:val="24"/>
          <w:szCs w:val="24"/>
        </w:rPr>
        <w:t xml:space="preserve">plasmaniveauerne </w:t>
      </w:r>
      <w:bookmarkEnd w:id="79"/>
      <w:r w:rsidRPr="00B574C8">
        <w:rPr>
          <w:sz w:val="24"/>
          <w:szCs w:val="24"/>
        </w:rPr>
        <w:t>af hjerteglykosider.</w:t>
      </w:r>
      <w:r w:rsidRPr="00B574C8">
        <w:rPr>
          <w:i/>
          <w:sz w:val="24"/>
          <w:szCs w:val="24"/>
        </w:rPr>
        <w:t xml:space="preserve"> </w:t>
      </w:r>
    </w:p>
    <w:p w14:paraId="1422041F" w14:textId="77777777" w:rsidR="00826AA6" w:rsidRPr="00B574C8" w:rsidRDefault="00826AA6" w:rsidP="00B574C8">
      <w:pPr>
        <w:ind w:left="851"/>
        <w:rPr>
          <w:i/>
          <w:sz w:val="24"/>
          <w:szCs w:val="24"/>
        </w:rPr>
      </w:pPr>
    </w:p>
    <w:p w14:paraId="7804D6C6" w14:textId="77777777" w:rsidR="00826AA6" w:rsidRPr="000F0B26" w:rsidRDefault="00826AA6" w:rsidP="00B574C8">
      <w:pPr>
        <w:ind w:left="851"/>
        <w:rPr>
          <w:sz w:val="24"/>
          <w:szCs w:val="24"/>
          <w:u w:val="single"/>
        </w:rPr>
      </w:pPr>
      <w:proofErr w:type="spellStart"/>
      <w:r w:rsidRPr="000F0B26">
        <w:rPr>
          <w:sz w:val="24"/>
          <w:szCs w:val="24"/>
          <w:u w:val="single"/>
        </w:rPr>
        <w:t>Lithium</w:t>
      </w:r>
      <w:proofErr w:type="spellEnd"/>
      <w:r w:rsidRPr="000F0B26">
        <w:rPr>
          <w:sz w:val="24"/>
          <w:szCs w:val="24"/>
          <w:u w:val="single"/>
        </w:rPr>
        <w:t xml:space="preserve"> </w:t>
      </w:r>
    </w:p>
    <w:p w14:paraId="6CB06F00" w14:textId="77777777" w:rsidR="00826AA6" w:rsidRPr="00B574C8" w:rsidRDefault="00826AA6" w:rsidP="00B574C8">
      <w:pPr>
        <w:ind w:left="851"/>
        <w:rPr>
          <w:sz w:val="24"/>
          <w:szCs w:val="24"/>
        </w:rPr>
      </w:pPr>
      <w:r w:rsidRPr="00B574C8">
        <w:rPr>
          <w:sz w:val="24"/>
          <w:szCs w:val="24"/>
        </w:rPr>
        <w:t xml:space="preserve">Ibuprofen nedsætter den </w:t>
      </w:r>
      <w:proofErr w:type="spellStart"/>
      <w:r w:rsidRPr="00B574C8">
        <w:rPr>
          <w:sz w:val="24"/>
          <w:szCs w:val="24"/>
        </w:rPr>
        <w:t>renale</w:t>
      </w:r>
      <w:proofErr w:type="spellEnd"/>
      <w:r w:rsidRPr="00B574C8">
        <w:rPr>
          <w:sz w:val="24"/>
          <w:szCs w:val="24"/>
        </w:rPr>
        <w:t xml:space="preserve"> </w:t>
      </w:r>
      <w:proofErr w:type="spellStart"/>
      <w:r w:rsidRPr="00B574C8">
        <w:rPr>
          <w:sz w:val="24"/>
          <w:szCs w:val="24"/>
        </w:rPr>
        <w:t>clearance</w:t>
      </w:r>
      <w:proofErr w:type="spellEnd"/>
      <w:r w:rsidRPr="00B574C8">
        <w:rPr>
          <w:sz w:val="24"/>
          <w:szCs w:val="24"/>
        </w:rPr>
        <w:t xml:space="preserve"> af </w:t>
      </w:r>
      <w:proofErr w:type="spellStart"/>
      <w:r w:rsidRPr="00B574C8">
        <w:rPr>
          <w:sz w:val="24"/>
          <w:szCs w:val="24"/>
        </w:rPr>
        <w:t>lithium</w:t>
      </w:r>
      <w:proofErr w:type="spellEnd"/>
      <w:r w:rsidRPr="00B574C8">
        <w:rPr>
          <w:sz w:val="24"/>
          <w:szCs w:val="24"/>
        </w:rPr>
        <w:t xml:space="preserve">, hvilket kan medføre, at </w:t>
      </w:r>
      <w:proofErr w:type="spellStart"/>
      <w:r w:rsidRPr="00B574C8">
        <w:rPr>
          <w:sz w:val="24"/>
          <w:szCs w:val="24"/>
        </w:rPr>
        <w:t>lithiumniveauerne</w:t>
      </w:r>
      <w:proofErr w:type="spellEnd"/>
      <w:r w:rsidRPr="00B574C8">
        <w:rPr>
          <w:sz w:val="24"/>
          <w:szCs w:val="24"/>
        </w:rPr>
        <w:t xml:space="preserve"> stiger. Kombinationen bør undgås, medmindre der kan udføres hyppige kontroller af </w:t>
      </w:r>
      <w:proofErr w:type="spellStart"/>
      <w:r w:rsidRPr="00B574C8">
        <w:rPr>
          <w:sz w:val="24"/>
          <w:szCs w:val="24"/>
        </w:rPr>
        <w:t>serumlithium</w:t>
      </w:r>
      <w:proofErr w:type="spellEnd"/>
      <w:r w:rsidRPr="00B574C8">
        <w:rPr>
          <w:sz w:val="24"/>
          <w:szCs w:val="24"/>
        </w:rPr>
        <w:t xml:space="preserve"> </w:t>
      </w:r>
      <w:bookmarkStart w:id="80" w:name="_Hlk128740090"/>
      <w:r w:rsidRPr="00B574C8">
        <w:rPr>
          <w:sz w:val="24"/>
          <w:szCs w:val="24"/>
        </w:rPr>
        <w:t xml:space="preserve">koncentrationerne </w:t>
      </w:r>
      <w:bookmarkEnd w:id="80"/>
      <w:r w:rsidRPr="00B574C8">
        <w:rPr>
          <w:sz w:val="24"/>
          <w:szCs w:val="24"/>
        </w:rPr>
        <w:t xml:space="preserve">med mulighed for reduktion af </w:t>
      </w:r>
      <w:proofErr w:type="spellStart"/>
      <w:r w:rsidRPr="00B574C8">
        <w:rPr>
          <w:sz w:val="24"/>
          <w:szCs w:val="24"/>
        </w:rPr>
        <w:t>lithium</w:t>
      </w:r>
      <w:proofErr w:type="spellEnd"/>
      <w:r w:rsidRPr="00B574C8">
        <w:rPr>
          <w:sz w:val="24"/>
          <w:szCs w:val="24"/>
        </w:rPr>
        <w:t xml:space="preserve">-dosis. </w:t>
      </w:r>
    </w:p>
    <w:p w14:paraId="479F439E" w14:textId="43192330" w:rsidR="005C3AC1" w:rsidRDefault="005C3AC1">
      <w:pPr>
        <w:rPr>
          <w:sz w:val="24"/>
          <w:szCs w:val="24"/>
        </w:rPr>
      </w:pPr>
      <w:r>
        <w:rPr>
          <w:sz w:val="24"/>
          <w:szCs w:val="24"/>
        </w:rPr>
        <w:br w:type="page"/>
      </w:r>
    </w:p>
    <w:p w14:paraId="3667BF0E" w14:textId="77777777" w:rsidR="00826AA6" w:rsidRPr="00B574C8" w:rsidRDefault="00826AA6" w:rsidP="00B574C8">
      <w:pPr>
        <w:ind w:left="851"/>
        <w:rPr>
          <w:sz w:val="24"/>
          <w:szCs w:val="24"/>
        </w:rPr>
      </w:pPr>
    </w:p>
    <w:p w14:paraId="43F1DE8A" w14:textId="77777777" w:rsidR="00826AA6" w:rsidRPr="000F0B26" w:rsidRDefault="00826AA6" w:rsidP="00826AA6">
      <w:pPr>
        <w:ind w:left="851"/>
        <w:rPr>
          <w:sz w:val="24"/>
          <w:szCs w:val="24"/>
          <w:u w:val="single"/>
        </w:rPr>
      </w:pPr>
      <w:proofErr w:type="spellStart"/>
      <w:r w:rsidRPr="000F0B26">
        <w:rPr>
          <w:iCs/>
          <w:sz w:val="24"/>
          <w:szCs w:val="24"/>
          <w:u w:val="single"/>
        </w:rPr>
        <w:t>Methotrexat</w:t>
      </w:r>
      <w:proofErr w:type="spellEnd"/>
      <w:r w:rsidRPr="000F0B26">
        <w:rPr>
          <w:sz w:val="24"/>
          <w:szCs w:val="24"/>
          <w:u w:val="single"/>
        </w:rPr>
        <w:t xml:space="preserve"> (høje doser)</w:t>
      </w:r>
    </w:p>
    <w:p w14:paraId="30F31B51" w14:textId="77777777" w:rsidR="00826AA6" w:rsidRPr="00B574C8" w:rsidRDefault="00826AA6" w:rsidP="00826AA6">
      <w:pPr>
        <w:ind w:left="851"/>
        <w:rPr>
          <w:sz w:val="24"/>
          <w:szCs w:val="24"/>
        </w:rPr>
      </w:pPr>
      <w:r w:rsidRPr="00B574C8">
        <w:rPr>
          <w:sz w:val="24"/>
          <w:szCs w:val="24"/>
        </w:rPr>
        <w:t xml:space="preserve">NSAID-præparater (inkl. ibuprofen) hæmmer </w:t>
      </w:r>
      <w:proofErr w:type="spellStart"/>
      <w:r w:rsidRPr="00B574C8">
        <w:rPr>
          <w:sz w:val="24"/>
          <w:szCs w:val="24"/>
        </w:rPr>
        <w:t>methotrexats</w:t>
      </w:r>
      <w:proofErr w:type="spellEnd"/>
      <w:r w:rsidRPr="00B574C8">
        <w:rPr>
          <w:sz w:val="24"/>
          <w:szCs w:val="24"/>
        </w:rPr>
        <w:t xml:space="preserve"> </w:t>
      </w:r>
      <w:proofErr w:type="spellStart"/>
      <w:r w:rsidRPr="00B574C8">
        <w:rPr>
          <w:sz w:val="24"/>
          <w:szCs w:val="24"/>
        </w:rPr>
        <w:t>tubulære</w:t>
      </w:r>
      <w:proofErr w:type="spellEnd"/>
      <w:r w:rsidRPr="00B574C8">
        <w:rPr>
          <w:sz w:val="24"/>
          <w:szCs w:val="24"/>
        </w:rPr>
        <w:t xml:space="preserve"> sekretion, hvilket kan resultere i reduceret </w:t>
      </w:r>
      <w:proofErr w:type="spellStart"/>
      <w:r w:rsidRPr="00B574C8">
        <w:rPr>
          <w:sz w:val="24"/>
          <w:szCs w:val="24"/>
        </w:rPr>
        <w:t>clearance</w:t>
      </w:r>
      <w:proofErr w:type="spellEnd"/>
      <w:r w:rsidRPr="00B574C8">
        <w:rPr>
          <w:sz w:val="24"/>
          <w:szCs w:val="24"/>
        </w:rPr>
        <w:t xml:space="preserve"> af </w:t>
      </w:r>
      <w:proofErr w:type="spellStart"/>
      <w:r w:rsidRPr="00B574C8">
        <w:rPr>
          <w:sz w:val="24"/>
          <w:szCs w:val="24"/>
        </w:rPr>
        <w:t>methotrexat</w:t>
      </w:r>
      <w:proofErr w:type="spellEnd"/>
      <w:r w:rsidRPr="00B574C8">
        <w:rPr>
          <w:sz w:val="24"/>
          <w:szCs w:val="24"/>
        </w:rPr>
        <w:t xml:space="preserve">. Samtidig behandling med NSAID-præparater (inkl. ibuprofen) og høje doser af </w:t>
      </w:r>
      <w:proofErr w:type="spellStart"/>
      <w:r w:rsidRPr="00B574C8">
        <w:rPr>
          <w:sz w:val="24"/>
          <w:szCs w:val="24"/>
        </w:rPr>
        <w:t>methotrexat</w:t>
      </w:r>
      <w:proofErr w:type="spellEnd"/>
      <w:r w:rsidRPr="00B574C8">
        <w:rPr>
          <w:sz w:val="24"/>
          <w:szCs w:val="24"/>
        </w:rPr>
        <w:t xml:space="preserve"> bør derfor undgås.</w:t>
      </w:r>
    </w:p>
    <w:p w14:paraId="796BBB54" w14:textId="77777777" w:rsidR="00826AA6" w:rsidRPr="00B574C8" w:rsidRDefault="00826AA6" w:rsidP="00826AA6">
      <w:pPr>
        <w:ind w:left="851"/>
        <w:rPr>
          <w:sz w:val="24"/>
          <w:szCs w:val="24"/>
        </w:rPr>
      </w:pPr>
    </w:p>
    <w:p w14:paraId="34FE7B9B" w14:textId="77777777" w:rsidR="00826AA6" w:rsidRPr="000F0B26" w:rsidRDefault="00826AA6" w:rsidP="00B574C8">
      <w:pPr>
        <w:ind w:left="851"/>
        <w:rPr>
          <w:sz w:val="24"/>
          <w:szCs w:val="24"/>
          <w:u w:val="single"/>
        </w:rPr>
      </w:pPr>
      <w:proofErr w:type="spellStart"/>
      <w:r w:rsidRPr="000F0B26">
        <w:rPr>
          <w:sz w:val="24"/>
          <w:szCs w:val="24"/>
          <w:u w:val="single"/>
        </w:rPr>
        <w:t>Mifepriston</w:t>
      </w:r>
      <w:proofErr w:type="spellEnd"/>
      <w:r w:rsidRPr="000F0B26">
        <w:rPr>
          <w:sz w:val="24"/>
          <w:szCs w:val="24"/>
          <w:u w:val="single"/>
        </w:rPr>
        <w:t xml:space="preserve"> </w:t>
      </w:r>
    </w:p>
    <w:p w14:paraId="0F8A8B1B" w14:textId="46E88C37" w:rsidR="000F0B26" w:rsidRDefault="00826AA6" w:rsidP="009C0264">
      <w:pPr>
        <w:ind w:left="851"/>
        <w:rPr>
          <w:sz w:val="24"/>
          <w:szCs w:val="24"/>
        </w:rPr>
      </w:pPr>
      <w:r w:rsidRPr="00B574C8">
        <w:rPr>
          <w:sz w:val="24"/>
          <w:szCs w:val="24"/>
        </w:rPr>
        <w:t xml:space="preserve">NSAID-præparater (inkl. ibuprofen) bør ikke anvendes i op til 8-12 dage efter administration af </w:t>
      </w:r>
      <w:proofErr w:type="spellStart"/>
      <w:r w:rsidRPr="00B574C8">
        <w:rPr>
          <w:sz w:val="24"/>
          <w:szCs w:val="24"/>
        </w:rPr>
        <w:t>mifepriston</w:t>
      </w:r>
      <w:proofErr w:type="spellEnd"/>
      <w:r w:rsidRPr="00B574C8">
        <w:rPr>
          <w:sz w:val="24"/>
          <w:szCs w:val="24"/>
        </w:rPr>
        <w:t xml:space="preserve">, da NSAID-præparater (inkl. ibuprofen) kan reducere virkningen af </w:t>
      </w:r>
      <w:proofErr w:type="spellStart"/>
      <w:r w:rsidRPr="00B574C8">
        <w:rPr>
          <w:sz w:val="24"/>
          <w:szCs w:val="24"/>
        </w:rPr>
        <w:t>mifepriston</w:t>
      </w:r>
      <w:proofErr w:type="spellEnd"/>
      <w:r w:rsidRPr="00B574C8">
        <w:rPr>
          <w:sz w:val="24"/>
          <w:szCs w:val="24"/>
        </w:rPr>
        <w:t>.</w:t>
      </w:r>
    </w:p>
    <w:p w14:paraId="30A6F13A" w14:textId="77777777" w:rsidR="00826AA6" w:rsidRPr="00B574C8" w:rsidRDefault="00826AA6" w:rsidP="00B574C8">
      <w:pPr>
        <w:ind w:left="851"/>
        <w:rPr>
          <w:sz w:val="24"/>
          <w:szCs w:val="24"/>
        </w:rPr>
      </w:pPr>
    </w:p>
    <w:p w14:paraId="51074CD2" w14:textId="77777777" w:rsidR="00826AA6" w:rsidRPr="000F0B26" w:rsidRDefault="00826AA6" w:rsidP="00B574C8">
      <w:pPr>
        <w:ind w:left="851"/>
        <w:rPr>
          <w:sz w:val="24"/>
          <w:szCs w:val="24"/>
          <w:u w:val="single"/>
        </w:rPr>
      </w:pPr>
      <w:proofErr w:type="spellStart"/>
      <w:r w:rsidRPr="000F0B26">
        <w:rPr>
          <w:sz w:val="24"/>
          <w:szCs w:val="24"/>
          <w:u w:val="single"/>
        </w:rPr>
        <w:t>Sulfonyl</w:t>
      </w:r>
      <w:bookmarkStart w:id="81" w:name="_Hlk128738732"/>
      <w:r w:rsidRPr="000F0B26">
        <w:rPr>
          <w:sz w:val="24"/>
          <w:szCs w:val="24"/>
          <w:u w:val="single"/>
        </w:rPr>
        <w:t>urinstoffer</w:t>
      </w:r>
      <w:bookmarkEnd w:id="81"/>
      <w:proofErr w:type="spellEnd"/>
      <w:r w:rsidRPr="000F0B26">
        <w:rPr>
          <w:sz w:val="24"/>
          <w:szCs w:val="24"/>
          <w:u w:val="single"/>
        </w:rPr>
        <w:t xml:space="preserve"> </w:t>
      </w:r>
    </w:p>
    <w:p w14:paraId="201AEF1B" w14:textId="77777777" w:rsidR="00826AA6" w:rsidRPr="00B574C8" w:rsidRDefault="00826AA6" w:rsidP="00B574C8">
      <w:pPr>
        <w:ind w:left="851"/>
        <w:rPr>
          <w:sz w:val="24"/>
          <w:szCs w:val="24"/>
        </w:rPr>
      </w:pPr>
      <w:r w:rsidRPr="00B574C8">
        <w:rPr>
          <w:sz w:val="24"/>
          <w:szCs w:val="24"/>
        </w:rPr>
        <w:t xml:space="preserve">Sjældne tilfælde af hypoglykæmi er set ved samtidig brug af ibuprofen og </w:t>
      </w:r>
      <w:bookmarkStart w:id="82" w:name="_Hlk128738816"/>
      <w:proofErr w:type="spellStart"/>
      <w:r w:rsidRPr="00B574C8">
        <w:rPr>
          <w:sz w:val="24"/>
          <w:szCs w:val="24"/>
        </w:rPr>
        <w:t>sulfonylurinstoffer</w:t>
      </w:r>
      <w:bookmarkEnd w:id="82"/>
      <w:proofErr w:type="spellEnd"/>
      <w:r w:rsidRPr="00B574C8">
        <w:rPr>
          <w:sz w:val="24"/>
          <w:szCs w:val="24"/>
        </w:rPr>
        <w:t>.</w:t>
      </w:r>
    </w:p>
    <w:p w14:paraId="445397FB" w14:textId="77777777" w:rsidR="00826AA6" w:rsidRPr="00B574C8" w:rsidRDefault="00826AA6" w:rsidP="00B574C8">
      <w:pPr>
        <w:ind w:left="851"/>
        <w:rPr>
          <w:sz w:val="24"/>
          <w:szCs w:val="24"/>
        </w:rPr>
      </w:pPr>
    </w:p>
    <w:p w14:paraId="55FA425D" w14:textId="77777777" w:rsidR="00826AA6" w:rsidRPr="000F0B26" w:rsidRDefault="00826AA6" w:rsidP="00B574C8">
      <w:pPr>
        <w:ind w:left="851"/>
        <w:rPr>
          <w:sz w:val="24"/>
          <w:szCs w:val="24"/>
          <w:u w:val="single"/>
        </w:rPr>
      </w:pPr>
      <w:proofErr w:type="spellStart"/>
      <w:r w:rsidRPr="000F0B26">
        <w:rPr>
          <w:sz w:val="24"/>
          <w:szCs w:val="24"/>
          <w:u w:val="single"/>
        </w:rPr>
        <w:t>Zidovudin</w:t>
      </w:r>
      <w:proofErr w:type="spellEnd"/>
    </w:p>
    <w:p w14:paraId="7CD0BCE1" w14:textId="77777777" w:rsidR="00826AA6" w:rsidRPr="00B574C8" w:rsidRDefault="00826AA6" w:rsidP="00B574C8">
      <w:pPr>
        <w:ind w:left="851"/>
        <w:rPr>
          <w:sz w:val="24"/>
          <w:szCs w:val="24"/>
        </w:rPr>
      </w:pPr>
      <w:r w:rsidRPr="00B574C8">
        <w:rPr>
          <w:sz w:val="24"/>
          <w:szCs w:val="24"/>
        </w:rPr>
        <w:t xml:space="preserve">Der er påvist en øget risiko for </w:t>
      </w:r>
      <w:proofErr w:type="spellStart"/>
      <w:r w:rsidRPr="00B574C8">
        <w:rPr>
          <w:sz w:val="24"/>
          <w:szCs w:val="24"/>
        </w:rPr>
        <w:t>ledblødning</w:t>
      </w:r>
      <w:proofErr w:type="spellEnd"/>
      <w:r w:rsidRPr="00B574C8">
        <w:rPr>
          <w:sz w:val="24"/>
          <w:szCs w:val="24"/>
        </w:rPr>
        <w:t xml:space="preserve"> og </w:t>
      </w:r>
      <w:proofErr w:type="spellStart"/>
      <w:r w:rsidRPr="00B574C8">
        <w:rPr>
          <w:sz w:val="24"/>
          <w:szCs w:val="24"/>
        </w:rPr>
        <w:t>hæmatom</w:t>
      </w:r>
      <w:proofErr w:type="spellEnd"/>
      <w:r w:rsidRPr="00B574C8">
        <w:rPr>
          <w:sz w:val="24"/>
          <w:szCs w:val="24"/>
        </w:rPr>
        <w:t xml:space="preserve"> hos hiv-positive bløderpatienter ved samtidig brug af ibuprofen og </w:t>
      </w:r>
      <w:proofErr w:type="spellStart"/>
      <w:r w:rsidRPr="00B574C8">
        <w:rPr>
          <w:sz w:val="24"/>
          <w:szCs w:val="24"/>
        </w:rPr>
        <w:t>zidovudin</w:t>
      </w:r>
      <w:proofErr w:type="spellEnd"/>
      <w:r w:rsidRPr="00B574C8">
        <w:rPr>
          <w:sz w:val="24"/>
          <w:szCs w:val="24"/>
        </w:rPr>
        <w:t>.</w:t>
      </w:r>
    </w:p>
    <w:p w14:paraId="6EEAEE6F" w14:textId="77777777" w:rsidR="00826AA6" w:rsidRPr="00B574C8" w:rsidRDefault="00826AA6" w:rsidP="00B574C8">
      <w:pPr>
        <w:ind w:left="851"/>
        <w:rPr>
          <w:sz w:val="24"/>
          <w:szCs w:val="24"/>
        </w:rPr>
      </w:pPr>
    </w:p>
    <w:p w14:paraId="45CA0B57" w14:textId="041B5B03" w:rsidR="00826AA6" w:rsidRPr="00B574C8" w:rsidRDefault="00826AA6" w:rsidP="00826AA6">
      <w:pPr>
        <w:ind w:left="851"/>
        <w:rPr>
          <w:sz w:val="24"/>
          <w:szCs w:val="24"/>
        </w:rPr>
      </w:pPr>
      <w:bookmarkStart w:id="83" w:name="_Hlk129009036"/>
      <w:bookmarkEnd w:id="74"/>
      <w:r w:rsidRPr="00B574C8">
        <w:rPr>
          <w:b/>
          <w:bCs/>
          <w:sz w:val="24"/>
          <w:szCs w:val="24"/>
        </w:rPr>
        <w:t xml:space="preserve">Følgende kombinationer med </w:t>
      </w:r>
      <w:r w:rsidR="00962C01">
        <w:rPr>
          <w:b/>
          <w:bCs/>
          <w:sz w:val="24"/>
          <w:szCs w:val="24"/>
        </w:rPr>
        <w:t>Ibuprofen ”Nordic Prime”</w:t>
      </w:r>
      <w:r w:rsidRPr="00B574C8">
        <w:rPr>
          <w:b/>
          <w:bCs/>
          <w:sz w:val="24"/>
          <w:szCs w:val="24"/>
        </w:rPr>
        <w:t xml:space="preserve"> kan kræve dosisjustering</w:t>
      </w:r>
    </w:p>
    <w:p w14:paraId="7321DB8C" w14:textId="77777777" w:rsidR="00826AA6" w:rsidRPr="00B574C8" w:rsidRDefault="00826AA6" w:rsidP="00826AA6">
      <w:pPr>
        <w:ind w:left="851"/>
        <w:rPr>
          <w:sz w:val="24"/>
          <w:szCs w:val="24"/>
        </w:rPr>
      </w:pPr>
      <w:r w:rsidRPr="00B574C8">
        <w:rPr>
          <w:sz w:val="24"/>
          <w:szCs w:val="24"/>
        </w:rPr>
        <w:t xml:space="preserve">NSAID-præparater (inkl. ibuprofen) kan reducere virkningen af </w:t>
      </w:r>
      <w:proofErr w:type="spellStart"/>
      <w:r w:rsidRPr="00B574C8">
        <w:rPr>
          <w:sz w:val="24"/>
          <w:szCs w:val="24"/>
        </w:rPr>
        <w:t>diuretika</w:t>
      </w:r>
      <w:proofErr w:type="spellEnd"/>
      <w:r w:rsidRPr="00B574C8">
        <w:rPr>
          <w:sz w:val="24"/>
          <w:szCs w:val="24"/>
        </w:rPr>
        <w:t xml:space="preserve"> og andre </w:t>
      </w:r>
      <w:proofErr w:type="spellStart"/>
      <w:r w:rsidRPr="00B574C8">
        <w:rPr>
          <w:sz w:val="24"/>
          <w:szCs w:val="24"/>
        </w:rPr>
        <w:t>antihypertensiva</w:t>
      </w:r>
      <w:proofErr w:type="spellEnd"/>
      <w:r w:rsidRPr="00B574C8">
        <w:rPr>
          <w:sz w:val="24"/>
          <w:szCs w:val="24"/>
        </w:rPr>
        <w:t>.</w:t>
      </w:r>
    </w:p>
    <w:p w14:paraId="74F08CFB" w14:textId="77777777" w:rsidR="00826AA6" w:rsidRPr="00B574C8" w:rsidRDefault="00826AA6" w:rsidP="00B574C8">
      <w:pPr>
        <w:ind w:left="851"/>
        <w:rPr>
          <w:sz w:val="24"/>
          <w:szCs w:val="24"/>
        </w:rPr>
      </w:pPr>
    </w:p>
    <w:bookmarkEnd w:id="83"/>
    <w:p w14:paraId="4B5D7497" w14:textId="77777777" w:rsidR="00826AA6" w:rsidRPr="00B574C8" w:rsidRDefault="00826AA6" w:rsidP="00B574C8">
      <w:pPr>
        <w:ind w:left="851"/>
        <w:rPr>
          <w:sz w:val="24"/>
          <w:szCs w:val="24"/>
          <w:u w:val="single"/>
        </w:rPr>
      </w:pPr>
      <w:r w:rsidRPr="00B574C8">
        <w:rPr>
          <w:sz w:val="24"/>
          <w:szCs w:val="24"/>
          <w:u w:val="single"/>
        </w:rPr>
        <w:t>ACE-</w:t>
      </w:r>
      <w:proofErr w:type="spellStart"/>
      <w:r w:rsidRPr="00B574C8">
        <w:rPr>
          <w:sz w:val="24"/>
          <w:szCs w:val="24"/>
          <w:u w:val="single"/>
        </w:rPr>
        <w:t>hæmmere</w:t>
      </w:r>
      <w:proofErr w:type="spellEnd"/>
      <w:r w:rsidRPr="00B574C8">
        <w:rPr>
          <w:sz w:val="24"/>
          <w:szCs w:val="24"/>
          <w:u w:val="single"/>
        </w:rPr>
        <w:t xml:space="preserve"> og </w:t>
      </w:r>
      <w:proofErr w:type="spellStart"/>
      <w:r w:rsidRPr="00B574C8">
        <w:rPr>
          <w:sz w:val="24"/>
          <w:szCs w:val="24"/>
          <w:u w:val="single"/>
        </w:rPr>
        <w:t>angiotensin</w:t>
      </w:r>
      <w:proofErr w:type="spellEnd"/>
      <w:r w:rsidRPr="00B574C8">
        <w:rPr>
          <w:sz w:val="24"/>
          <w:szCs w:val="24"/>
          <w:u w:val="single"/>
        </w:rPr>
        <w:t xml:space="preserve"> II-antagonister</w:t>
      </w:r>
    </w:p>
    <w:p w14:paraId="5B4EA4FD" w14:textId="497E6029" w:rsidR="00826AA6" w:rsidRPr="00B574C8" w:rsidRDefault="00826AA6" w:rsidP="00B574C8">
      <w:pPr>
        <w:ind w:left="851"/>
        <w:rPr>
          <w:sz w:val="24"/>
          <w:szCs w:val="24"/>
        </w:rPr>
      </w:pPr>
      <w:r w:rsidRPr="00B574C8">
        <w:rPr>
          <w:iCs/>
          <w:sz w:val="24"/>
          <w:szCs w:val="24"/>
        </w:rPr>
        <w:t>Hos</w:t>
      </w:r>
      <w:r w:rsidRPr="00B574C8">
        <w:rPr>
          <w:sz w:val="24"/>
          <w:szCs w:val="24"/>
        </w:rPr>
        <w:t xml:space="preserve"> patienter med nedsat nyrefunktion (</w:t>
      </w:r>
      <w:r w:rsidR="0033138E">
        <w:rPr>
          <w:iCs/>
          <w:sz w:val="24"/>
          <w:szCs w:val="24"/>
        </w:rPr>
        <w:t>f.eks.</w:t>
      </w:r>
      <w:r w:rsidRPr="00B574C8">
        <w:rPr>
          <w:sz w:val="24"/>
          <w:szCs w:val="24"/>
        </w:rPr>
        <w:t xml:space="preserve"> dehydrerede og/eller ældre patienter</w:t>
      </w:r>
      <w:r w:rsidRPr="00B574C8">
        <w:rPr>
          <w:iCs/>
          <w:sz w:val="24"/>
          <w:szCs w:val="24"/>
        </w:rPr>
        <w:t>) kan samtidig behandling med</w:t>
      </w:r>
      <w:r w:rsidRPr="00B574C8">
        <w:rPr>
          <w:sz w:val="24"/>
          <w:szCs w:val="24"/>
        </w:rPr>
        <w:t xml:space="preserve"> ACE-</w:t>
      </w:r>
      <w:proofErr w:type="spellStart"/>
      <w:r w:rsidRPr="00B574C8">
        <w:rPr>
          <w:sz w:val="24"/>
          <w:szCs w:val="24"/>
        </w:rPr>
        <w:t>hæmmere</w:t>
      </w:r>
      <w:proofErr w:type="spellEnd"/>
      <w:r w:rsidRPr="00B574C8">
        <w:rPr>
          <w:sz w:val="24"/>
          <w:szCs w:val="24"/>
        </w:rPr>
        <w:t xml:space="preserve"> eller </w:t>
      </w:r>
      <w:proofErr w:type="spellStart"/>
      <w:r w:rsidRPr="00B574C8">
        <w:rPr>
          <w:sz w:val="24"/>
          <w:szCs w:val="24"/>
        </w:rPr>
        <w:t>angiotensin</w:t>
      </w:r>
      <w:proofErr w:type="spellEnd"/>
      <w:r w:rsidRPr="00B574C8">
        <w:rPr>
          <w:sz w:val="24"/>
          <w:szCs w:val="24"/>
        </w:rPr>
        <w:t xml:space="preserve"> II-receptorantagonister </w:t>
      </w:r>
      <w:r w:rsidRPr="00B574C8">
        <w:rPr>
          <w:iCs/>
          <w:sz w:val="24"/>
          <w:szCs w:val="24"/>
        </w:rPr>
        <w:t>og</w:t>
      </w:r>
      <w:r w:rsidRPr="00B574C8">
        <w:rPr>
          <w:sz w:val="24"/>
          <w:szCs w:val="24"/>
        </w:rPr>
        <w:t xml:space="preserve"> NSAID-præparater (herunder ibuprofen</w:t>
      </w:r>
      <w:r w:rsidRPr="00B574C8">
        <w:rPr>
          <w:iCs/>
          <w:sz w:val="24"/>
          <w:szCs w:val="24"/>
        </w:rPr>
        <w:t>) øge r</w:t>
      </w:r>
      <w:r w:rsidRPr="00B574C8">
        <w:rPr>
          <w:sz w:val="24"/>
          <w:szCs w:val="24"/>
        </w:rPr>
        <w:t>isikoen for akut nyreinsufficiens, som oftest er reversibel. Derfor bør kombinationen med NSAID-præparater (herunder ibuprofen) og ACE-</w:t>
      </w:r>
      <w:proofErr w:type="spellStart"/>
      <w:r w:rsidRPr="00B574C8">
        <w:rPr>
          <w:sz w:val="24"/>
          <w:szCs w:val="24"/>
        </w:rPr>
        <w:t>hæmmere</w:t>
      </w:r>
      <w:proofErr w:type="spellEnd"/>
      <w:r w:rsidRPr="00B574C8">
        <w:rPr>
          <w:sz w:val="24"/>
          <w:szCs w:val="24"/>
        </w:rPr>
        <w:t xml:space="preserve"> eller </w:t>
      </w:r>
      <w:proofErr w:type="spellStart"/>
      <w:r w:rsidRPr="00B574C8">
        <w:rPr>
          <w:sz w:val="24"/>
          <w:szCs w:val="24"/>
        </w:rPr>
        <w:t>angiotensin</w:t>
      </w:r>
      <w:proofErr w:type="spellEnd"/>
      <w:r w:rsidRPr="00B574C8">
        <w:rPr>
          <w:sz w:val="24"/>
          <w:szCs w:val="24"/>
        </w:rPr>
        <w:t xml:space="preserve"> II-receptorantagonister anvendes med forsigtighed hos patienter med nedsat nyrefunktion, specielt hos ældre. </w:t>
      </w:r>
    </w:p>
    <w:p w14:paraId="731C5978" w14:textId="77777777" w:rsidR="00826AA6" w:rsidRPr="00B574C8" w:rsidRDefault="00826AA6" w:rsidP="00B574C8">
      <w:pPr>
        <w:ind w:left="851"/>
        <w:rPr>
          <w:sz w:val="24"/>
          <w:szCs w:val="24"/>
        </w:rPr>
      </w:pPr>
    </w:p>
    <w:p w14:paraId="21A14F73" w14:textId="77777777" w:rsidR="00826AA6" w:rsidRPr="00B574C8" w:rsidRDefault="00826AA6" w:rsidP="00B574C8">
      <w:pPr>
        <w:ind w:left="851"/>
        <w:rPr>
          <w:sz w:val="24"/>
          <w:szCs w:val="24"/>
        </w:rPr>
      </w:pPr>
      <w:r w:rsidRPr="00B574C8">
        <w:rPr>
          <w:sz w:val="24"/>
          <w:szCs w:val="24"/>
        </w:rPr>
        <w:t>Patientens væskebalance bør være god, og det bør overvejes at kontrollere nyrefunktionen, ved start af samtidig behandling og herefter regelmæssigt (se pkt. 4.4).</w:t>
      </w:r>
    </w:p>
    <w:p w14:paraId="4471B62F" w14:textId="77777777" w:rsidR="00826AA6" w:rsidRPr="00B574C8" w:rsidRDefault="00826AA6" w:rsidP="00B574C8">
      <w:pPr>
        <w:ind w:left="851"/>
        <w:rPr>
          <w:sz w:val="24"/>
          <w:szCs w:val="24"/>
        </w:rPr>
      </w:pPr>
    </w:p>
    <w:p w14:paraId="596706E2" w14:textId="77777777" w:rsidR="00826AA6" w:rsidRPr="00B574C8" w:rsidRDefault="00826AA6" w:rsidP="00B574C8">
      <w:pPr>
        <w:ind w:left="851"/>
        <w:rPr>
          <w:iCs/>
          <w:sz w:val="24"/>
          <w:szCs w:val="24"/>
          <w:u w:val="single"/>
        </w:rPr>
      </w:pPr>
      <w:r w:rsidRPr="00B574C8">
        <w:rPr>
          <w:iCs/>
          <w:sz w:val="24"/>
          <w:szCs w:val="24"/>
          <w:u w:val="single"/>
        </w:rPr>
        <w:t xml:space="preserve">Aminoglykosider </w:t>
      </w:r>
    </w:p>
    <w:p w14:paraId="607FF5D3" w14:textId="77777777" w:rsidR="00826AA6" w:rsidRPr="00B574C8" w:rsidRDefault="00826AA6" w:rsidP="00B574C8">
      <w:pPr>
        <w:ind w:left="851"/>
        <w:rPr>
          <w:sz w:val="24"/>
          <w:szCs w:val="24"/>
        </w:rPr>
      </w:pPr>
      <w:r w:rsidRPr="00B574C8">
        <w:rPr>
          <w:sz w:val="24"/>
          <w:szCs w:val="24"/>
        </w:rPr>
        <w:t xml:space="preserve">NSAID-præparater (inkl. ibuprofen) kan </w:t>
      </w:r>
      <w:bookmarkStart w:id="84" w:name="_Hlk128743140"/>
      <w:r w:rsidRPr="00B574C8">
        <w:rPr>
          <w:sz w:val="24"/>
          <w:szCs w:val="24"/>
        </w:rPr>
        <w:t xml:space="preserve">reducere </w:t>
      </w:r>
      <w:bookmarkEnd w:id="84"/>
      <w:r w:rsidRPr="00B574C8">
        <w:rPr>
          <w:sz w:val="24"/>
          <w:szCs w:val="24"/>
        </w:rPr>
        <w:t xml:space="preserve">udskillelsen af aminoglykosider. Forsigtighed </w:t>
      </w:r>
      <w:bookmarkStart w:id="85" w:name="_Hlk128743186"/>
      <w:r w:rsidRPr="00B574C8">
        <w:rPr>
          <w:sz w:val="24"/>
          <w:szCs w:val="24"/>
        </w:rPr>
        <w:t>skal udvises</w:t>
      </w:r>
      <w:bookmarkEnd w:id="85"/>
      <w:r w:rsidRPr="00B574C8">
        <w:rPr>
          <w:sz w:val="24"/>
          <w:szCs w:val="24"/>
        </w:rPr>
        <w:t>, ved samtidig administration af ibuprofen og aminoglykosider.</w:t>
      </w:r>
    </w:p>
    <w:p w14:paraId="280684CF" w14:textId="77777777" w:rsidR="00826AA6" w:rsidRPr="00B574C8" w:rsidRDefault="00826AA6" w:rsidP="00B574C8">
      <w:pPr>
        <w:ind w:left="851"/>
        <w:rPr>
          <w:sz w:val="24"/>
          <w:szCs w:val="24"/>
        </w:rPr>
      </w:pPr>
    </w:p>
    <w:p w14:paraId="1D21B4EB" w14:textId="77777777" w:rsidR="00826AA6" w:rsidRPr="00B574C8" w:rsidRDefault="00826AA6" w:rsidP="00B574C8">
      <w:pPr>
        <w:ind w:left="851"/>
        <w:rPr>
          <w:iCs/>
          <w:sz w:val="24"/>
          <w:szCs w:val="24"/>
          <w:u w:val="single"/>
        </w:rPr>
      </w:pPr>
      <w:r w:rsidRPr="00B574C8">
        <w:rPr>
          <w:iCs/>
          <w:sz w:val="24"/>
          <w:szCs w:val="24"/>
          <w:u w:val="single"/>
        </w:rPr>
        <w:t xml:space="preserve">Betablokkere </w:t>
      </w:r>
    </w:p>
    <w:p w14:paraId="31266C4B" w14:textId="77777777" w:rsidR="00826AA6" w:rsidRPr="00B574C8" w:rsidRDefault="00826AA6" w:rsidP="00B574C8">
      <w:pPr>
        <w:ind w:left="851"/>
        <w:rPr>
          <w:sz w:val="24"/>
          <w:szCs w:val="24"/>
        </w:rPr>
      </w:pPr>
      <w:r w:rsidRPr="00B574C8">
        <w:rPr>
          <w:sz w:val="24"/>
          <w:szCs w:val="24"/>
        </w:rPr>
        <w:t xml:space="preserve">NSAID-præparater (inkl. ibuprofen) kan reducere den </w:t>
      </w:r>
      <w:proofErr w:type="spellStart"/>
      <w:r w:rsidRPr="00B574C8">
        <w:rPr>
          <w:sz w:val="24"/>
          <w:szCs w:val="24"/>
        </w:rPr>
        <w:t>antihypertensive</w:t>
      </w:r>
      <w:proofErr w:type="spellEnd"/>
      <w:r w:rsidRPr="00B574C8">
        <w:rPr>
          <w:sz w:val="24"/>
          <w:szCs w:val="24"/>
        </w:rPr>
        <w:t xml:space="preserve"> virkning af beta-</w:t>
      </w:r>
      <w:proofErr w:type="spellStart"/>
      <w:r w:rsidRPr="00B574C8">
        <w:rPr>
          <w:sz w:val="24"/>
          <w:szCs w:val="24"/>
        </w:rPr>
        <w:t>adrenoceptorblokkere</w:t>
      </w:r>
      <w:proofErr w:type="spellEnd"/>
      <w:r w:rsidRPr="00B574C8">
        <w:rPr>
          <w:sz w:val="24"/>
          <w:szCs w:val="24"/>
        </w:rPr>
        <w:t>.</w:t>
      </w:r>
    </w:p>
    <w:p w14:paraId="2A1559AE" w14:textId="77777777" w:rsidR="00826AA6" w:rsidRPr="00B574C8" w:rsidRDefault="00826AA6" w:rsidP="00B574C8">
      <w:pPr>
        <w:ind w:left="851"/>
        <w:rPr>
          <w:sz w:val="24"/>
          <w:szCs w:val="24"/>
        </w:rPr>
      </w:pPr>
    </w:p>
    <w:p w14:paraId="101E3949" w14:textId="77777777" w:rsidR="00826AA6" w:rsidRPr="00B574C8" w:rsidRDefault="00826AA6" w:rsidP="00B574C8">
      <w:pPr>
        <w:ind w:left="851"/>
        <w:rPr>
          <w:iCs/>
          <w:sz w:val="24"/>
          <w:szCs w:val="24"/>
          <w:u w:val="single"/>
        </w:rPr>
      </w:pPr>
      <w:proofErr w:type="spellStart"/>
      <w:r w:rsidRPr="00B574C8">
        <w:rPr>
          <w:iCs/>
          <w:sz w:val="24"/>
          <w:szCs w:val="24"/>
          <w:u w:val="single"/>
        </w:rPr>
        <w:t>Captopril</w:t>
      </w:r>
      <w:proofErr w:type="spellEnd"/>
    </w:p>
    <w:p w14:paraId="72886D86" w14:textId="77777777" w:rsidR="00826AA6" w:rsidRPr="00B574C8" w:rsidRDefault="00826AA6" w:rsidP="00B574C8">
      <w:pPr>
        <w:ind w:left="851"/>
        <w:rPr>
          <w:sz w:val="24"/>
          <w:szCs w:val="24"/>
        </w:rPr>
      </w:pPr>
      <w:r w:rsidRPr="00B574C8">
        <w:rPr>
          <w:sz w:val="24"/>
          <w:szCs w:val="24"/>
        </w:rPr>
        <w:t xml:space="preserve">Studier indikerer, at ibuprofen modvirker virkningen af </w:t>
      </w:r>
      <w:proofErr w:type="spellStart"/>
      <w:r w:rsidRPr="00B574C8">
        <w:rPr>
          <w:sz w:val="24"/>
          <w:szCs w:val="24"/>
        </w:rPr>
        <w:t>captopril</w:t>
      </w:r>
      <w:proofErr w:type="spellEnd"/>
      <w:r w:rsidRPr="00B574C8">
        <w:rPr>
          <w:sz w:val="24"/>
          <w:szCs w:val="24"/>
        </w:rPr>
        <w:t xml:space="preserve"> på natriumudskillelsen.</w:t>
      </w:r>
    </w:p>
    <w:p w14:paraId="76DE9CDF" w14:textId="77777777" w:rsidR="00826AA6" w:rsidRPr="00B574C8" w:rsidRDefault="00826AA6" w:rsidP="00B574C8">
      <w:pPr>
        <w:ind w:left="851"/>
        <w:rPr>
          <w:sz w:val="24"/>
          <w:szCs w:val="24"/>
        </w:rPr>
      </w:pPr>
    </w:p>
    <w:p w14:paraId="55350621" w14:textId="77777777" w:rsidR="00826AA6" w:rsidRPr="00B574C8" w:rsidRDefault="00826AA6" w:rsidP="00B574C8">
      <w:pPr>
        <w:ind w:left="851"/>
        <w:rPr>
          <w:iCs/>
          <w:sz w:val="24"/>
          <w:szCs w:val="24"/>
          <w:u w:val="single"/>
        </w:rPr>
      </w:pPr>
      <w:proofErr w:type="spellStart"/>
      <w:r w:rsidRPr="00B574C8">
        <w:rPr>
          <w:iCs/>
          <w:sz w:val="24"/>
          <w:szCs w:val="24"/>
          <w:u w:val="single"/>
        </w:rPr>
        <w:t>Colestyramin</w:t>
      </w:r>
      <w:proofErr w:type="spellEnd"/>
      <w:r w:rsidRPr="00B574C8">
        <w:rPr>
          <w:iCs/>
          <w:sz w:val="24"/>
          <w:szCs w:val="24"/>
          <w:u w:val="single"/>
        </w:rPr>
        <w:t xml:space="preserve"> </w:t>
      </w:r>
    </w:p>
    <w:p w14:paraId="6E390836" w14:textId="77777777" w:rsidR="00826AA6" w:rsidRPr="00B574C8" w:rsidRDefault="00826AA6" w:rsidP="00B574C8">
      <w:pPr>
        <w:ind w:left="851"/>
        <w:rPr>
          <w:sz w:val="24"/>
          <w:szCs w:val="24"/>
        </w:rPr>
      </w:pPr>
      <w:r w:rsidRPr="00B574C8">
        <w:rPr>
          <w:sz w:val="24"/>
          <w:szCs w:val="24"/>
        </w:rPr>
        <w:t xml:space="preserve">Samtidig indgivelse af ibuprofen og </w:t>
      </w:r>
      <w:proofErr w:type="spellStart"/>
      <w:r w:rsidRPr="00B574C8">
        <w:rPr>
          <w:sz w:val="24"/>
          <w:szCs w:val="24"/>
        </w:rPr>
        <w:t>colestyramin</w:t>
      </w:r>
      <w:proofErr w:type="spellEnd"/>
      <w:r w:rsidRPr="00B574C8">
        <w:rPr>
          <w:sz w:val="24"/>
          <w:szCs w:val="24"/>
        </w:rPr>
        <w:t xml:space="preserve"> forsinker og reducerer absorptionen af ibuprofen med 25 %. Disse lægemidler skal </w:t>
      </w:r>
      <w:bookmarkStart w:id="86" w:name="_Hlk128742605"/>
      <w:r w:rsidRPr="00B574C8">
        <w:rPr>
          <w:sz w:val="24"/>
          <w:szCs w:val="24"/>
        </w:rPr>
        <w:t xml:space="preserve">derfor administreres </w:t>
      </w:r>
      <w:bookmarkEnd w:id="86"/>
      <w:r w:rsidRPr="00B574C8">
        <w:rPr>
          <w:sz w:val="24"/>
          <w:szCs w:val="24"/>
        </w:rPr>
        <w:t>med mindst 2 timers mellemrum.</w:t>
      </w:r>
    </w:p>
    <w:p w14:paraId="1CFCF2DC" w14:textId="45195507" w:rsidR="005C3AC1" w:rsidRDefault="005C3AC1">
      <w:pPr>
        <w:rPr>
          <w:sz w:val="24"/>
          <w:szCs w:val="24"/>
        </w:rPr>
      </w:pPr>
      <w:r>
        <w:rPr>
          <w:sz w:val="24"/>
          <w:szCs w:val="24"/>
        </w:rPr>
        <w:br w:type="page"/>
      </w:r>
    </w:p>
    <w:p w14:paraId="77DFB851" w14:textId="77777777" w:rsidR="00826AA6" w:rsidRPr="00B574C8" w:rsidRDefault="00826AA6" w:rsidP="00B574C8">
      <w:pPr>
        <w:ind w:left="851"/>
        <w:rPr>
          <w:sz w:val="24"/>
          <w:szCs w:val="24"/>
        </w:rPr>
      </w:pPr>
    </w:p>
    <w:p w14:paraId="2EFDA37C" w14:textId="77777777" w:rsidR="00826AA6" w:rsidRPr="00B574C8" w:rsidRDefault="00826AA6" w:rsidP="00B574C8">
      <w:pPr>
        <w:ind w:left="851"/>
        <w:rPr>
          <w:iCs/>
          <w:sz w:val="24"/>
          <w:szCs w:val="24"/>
          <w:u w:val="single"/>
        </w:rPr>
      </w:pPr>
      <w:proofErr w:type="spellStart"/>
      <w:r w:rsidRPr="00B574C8">
        <w:rPr>
          <w:iCs/>
          <w:sz w:val="24"/>
          <w:szCs w:val="24"/>
          <w:u w:val="single"/>
        </w:rPr>
        <w:t>Ciclosporin</w:t>
      </w:r>
      <w:proofErr w:type="spellEnd"/>
      <w:r w:rsidRPr="00B574C8">
        <w:rPr>
          <w:iCs/>
          <w:sz w:val="24"/>
          <w:szCs w:val="24"/>
          <w:u w:val="single"/>
        </w:rPr>
        <w:t xml:space="preserve"> og </w:t>
      </w:r>
      <w:proofErr w:type="spellStart"/>
      <w:r w:rsidRPr="00B574C8">
        <w:rPr>
          <w:iCs/>
          <w:sz w:val="24"/>
          <w:szCs w:val="24"/>
          <w:u w:val="single"/>
        </w:rPr>
        <w:t>tacrolimus</w:t>
      </w:r>
      <w:proofErr w:type="spellEnd"/>
      <w:r w:rsidRPr="00B574C8">
        <w:rPr>
          <w:iCs/>
          <w:sz w:val="24"/>
          <w:szCs w:val="24"/>
          <w:u w:val="single"/>
        </w:rPr>
        <w:t xml:space="preserve"> </w:t>
      </w:r>
    </w:p>
    <w:p w14:paraId="5375A36A" w14:textId="6942C989" w:rsidR="00826AA6" w:rsidRPr="00B574C8" w:rsidRDefault="00826AA6" w:rsidP="00B574C8">
      <w:pPr>
        <w:ind w:left="851"/>
        <w:rPr>
          <w:sz w:val="24"/>
          <w:szCs w:val="24"/>
        </w:rPr>
      </w:pPr>
      <w:r w:rsidRPr="00B574C8">
        <w:rPr>
          <w:sz w:val="24"/>
          <w:szCs w:val="24"/>
        </w:rPr>
        <w:t xml:space="preserve">På grund af reduceret </w:t>
      </w:r>
      <w:proofErr w:type="spellStart"/>
      <w:r w:rsidRPr="00B574C8">
        <w:rPr>
          <w:sz w:val="24"/>
          <w:szCs w:val="24"/>
        </w:rPr>
        <w:t>prostacyclinsyntese</w:t>
      </w:r>
      <w:proofErr w:type="spellEnd"/>
      <w:r w:rsidRPr="00B574C8">
        <w:rPr>
          <w:sz w:val="24"/>
          <w:szCs w:val="24"/>
        </w:rPr>
        <w:t xml:space="preserve"> i nyrerne er der en øget risiko for </w:t>
      </w:r>
      <w:proofErr w:type="spellStart"/>
      <w:r w:rsidRPr="00B574C8">
        <w:rPr>
          <w:sz w:val="24"/>
          <w:szCs w:val="24"/>
        </w:rPr>
        <w:t>nefrotoksicitet</w:t>
      </w:r>
      <w:proofErr w:type="spellEnd"/>
      <w:r w:rsidRPr="00B574C8">
        <w:rPr>
          <w:sz w:val="24"/>
          <w:szCs w:val="24"/>
        </w:rPr>
        <w:t xml:space="preserve"> ved samtidig administration af visse NSAID-præparater (inkl. ibuprofen) og </w:t>
      </w:r>
      <w:proofErr w:type="spellStart"/>
      <w:r w:rsidRPr="00B574C8">
        <w:rPr>
          <w:sz w:val="24"/>
          <w:szCs w:val="24"/>
        </w:rPr>
        <w:t>ciclosporin</w:t>
      </w:r>
      <w:proofErr w:type="spellEnd"/>
      <w:r w:rsidRPr="00B574C8">
        <w:rPr>
          <w:sz w:val="24"/>
          <w:szCs w:val="24"/>
        </w:rPr>
        <w:t xml:space="preserve"> eller </w:t>
      </w:r>
      <w:proofErr w:type="spellStart"/>
      <w:r w:rsidRPr="00B574C8">
        <w:rPr>
          <w:sz w:val="24"/>
          <w:szCs w:val="24"/>
        </w:rPr>
        <w:t>tacrolimus</w:t>
      </w:r>
      <w:proofErr w:type="spellEnd"/>
      <w:r w:rsidRPr="00B574C8">
        <w:rPr>
          <w:sz w:val="24"/>
          <w:szCs w:val="24"/>
        </w:rPr>
        <w:t xml:space="preserve">. Nyrefunktionen skal derfor kontrolleres hyppigt </w:t>
      </w:r>
      <w:bookmarkStart w:id="87" w:name="_Hlk128742358"/>
      <w:r w:rsidRPr="00B574C8">
        <w:rPr>
          <w:sz w:val="24"/>
          <w:szCs w:val="24"/>
        </w:rPr>
        <w:t>ved samtidig administration</w:t>
      </w:r>
      <w:bookmarkEnd w:id="87"/>
      <w:r w:rsidRPr="00B574C8">
        <w:rPr>
          <w:sz w:val="24"/>
          <w:szCs w:val="24"/>
        </w:rPr>
        <w:t>.</w:t>
      </w:r>
    </w:p>
    <w:p w14:paraId="630AEB67" w14:textId="77777777" w:rsidR="00826AA6" w:rsidRPr="00B574C8" w:rsidRDefault="00826AA6" w:rsidP="00B574C8">
      <w:pPr>
        <w:ind w:left="851"/>
        <w:rPr>
          <w:sz w:val="24"/>
          <w:szCs w:val="24"/>
        </w:rPr>
      </w:pPr>
    </w:p>
    <w:p w14:paraId="34F5BCB7" w14:textId="77777777" w:rsidR="00826AA6" w:rsidRPr="00B574C8" w:rsidRDefault="00826AA6" w:rsidP="00B574C8">
      <w:pPr>
        <w:ind w:left="851"/>
        <w:rPr>
          <w:iCs/>
          <w:sz w:val="24"/>
          <w:szCs w:val="24"/>
          <w:u w:val="single"/>
        </w:rPr>
      </w:pPr>
      <w:r w:rsidRPr="00B574C8">
        <w:rPr>
          <w:iCs/>
          <w:sz w:val="24"/>
          <w:szCs w:val="24"/>
          <w:u w:val="single"/>
        </w:rPr>
        <w:t xml:space="preserve">CYP2C9-hæmmere </w:t>
      </w:r>
    </w:p>
    <w:p w14:paraId="52557A57" w14:textId="77777777" w:rsidR="00826AA6" w:rsidRPr="00B574C8" w:rsidRDefault="00826AA6" w:rsidP="00B574C8">
      <w:pPr>
        <w:ind w:left="851"/>
        <w:rPr>
          <w:sz w:val="24"/>
          <w:szCs w:val="24"/>
        </w:rPr>
      </w:pPr>
      <w:r w:rsidRPr="00B574C8">
        <w:rPr>
          <w:sz w:val="24"/>
          <w:szCs w:val="24"/>
        </w:rPr>
        <w:t xml:space="preserve">Samtidig administration af ibuprofen med </w:t>
      </w:r>
      <w:proofErr w:type="spellStart"/>
      <w:r w:rsidRPr="00B574C8">
        <w:rPr>
          <w:sz w:val="24"/>
          <w:szCs w:val="24"/>
        </w:rPr>
        <w:t>fluconazol</w:t>
      </w:r>
      <w:proofErr w:type="spellEnd"/>
      <w:r w:rsidRPr="00B574C8">
        <w:rPr>
          <w:sz w:val="24"/>
          <w:szCs w:val="24"/>
        </w:rPr>
        <w:t xml:space="preserve"> og </w:t>
      </w:r>
      <w:proofErr w:type="spellStart"/>
      <w:r w:rsidRPr="00B574C8">
        <w:rPr>
          <w:sz w:val="24"/>
          <w:szCs w:val="24"/>
        </w:rPr>
        <w:t>voriconazol</w:t>
      </w:r>
      <w:proofErr w:type="spellEnd"/>
      <w:r w:rsidRPr="00B574C8">
        <w:rPr>
          <w:sz w:val="24"/>
          <w:szCs w:val="24"/>
        </w:rPr>
        <w:t xml:space="preserve"> (CYP2C9-hæmmere kan øge eksponeringen for ibuprofen (et CYP2C9-substrat). I et studie med </w:t>
      </w:r>
      <w:proofErr w:type="spellStart"/>
      <w:r w:rsidRPr="00B574C8">
        <w:rPr>
          <w:sz w:val="24"/>
          <w:szCs w:val="24"/>
        </w:rPr>
        <w:t>voriconazol</w:t>
      </w:r>
      <w:proofErr w:type="spellEnd"/>
      <w:r w:rsidRPr="00B574C8">
        <w:rPr>
          <w:sz w:val="24"/>
          <w:szCs w:val="24"/>
        </w:rPr>
        <w:t xml:space="preserve"> og </w:t>
      </w:r>
      <w:proofErr w:type="spellStart"/>
      <w:r w:rsidRPr="00B574C8">
        <w:rPr>
          <w:sz w:val="24"/>
          <w:szCs w:val="24"/>
        </w:rPr>
        <w:t>fluconazol</w:t>
      </w:r>
      <w:proofErr w:type="spellEnd"/>
      <w:r w:rsidRPr="00B574C8">
        <w:rPr>
          <w:sz w:val="24"/>
          <w:szCs w:val="24"/>
        </w:rPr>
        <w:t xml:space="preserve"> </w:t>
      </w:r>
      <w:bookmarkStart w:id="88" w:name="_Hlk128742906"/>
      <w:r w:rsidRPr="00B574C8">
        <w:rPr>
          <w:sz w:val="24"/>
          <w:szCs w:val="24"/>
        </w:rPr>
        <w:t xml:space="preserve">blev en stigning i </w:t>
      </w:r>
      <w:bookmarkEnd w:id="88"/>
      <w:proofErr w:type="gramStart"/>
      <w:r w:rsidRPr="00B574C8">
        <w:rPr>
          <w:sz w:val="24"/>
          <w:szCs w:val="24"/>
        </w:rPr>
        <w:t>S(</w:t>
      </w:r>
      <w:proofErr w:type="gramEnd"/>
      <w:r w:rsidRPr="00B574C8">
        <w:rPr>
          <w:sz w:val="24"/>
          <w:szCs w:val="24"/>
        </w:rPr>
        <w:t>+)-ibuprofeneksponering på ca. 80</w:t>
      </w:r>
      <w:r w:rsidRPr="00B574C8">
        <w:rPr>
          <w:sz w:val="24"/>
          <w:szCs w:val="24"/>
        </w:rPr>
        <w:noBreakHyphen/>
        <w:t xml:space="preserve">100 % påvist. </w:t>
      </w:r>
    </w:p>
    <w:p w14:paraId="34434ED9" w14:textId="77777777" w:rsidR="00826AA6" w:rsidRPr="00B574C8" w:rsidRDefault="00826AA6" w:rsidP="00B574C8">
      <w:pPr>
        <w:ind w:left="851"/>
        <w:rPr>
          <w:sz w:val="24"/>
          <w:szCs w:val="24"/>
        </w:rPr>
      </w:pPr>
    </w:p>
    <w:p w14:paraId="15349C3F" w14:textId="77777777" w:rsidR="00826AA6" w:rsidRPr="00B574C8" w:rsidRDefault="00826AA6" w:rsidP="00B574C8">
      <w:pPr>
        <w:ind w:left="851"/>
        <w:rPr>
          <w:sz w:val="24"/>
          <w:szCs w:val="24"/>
        </w:rPr>
      </w:pPr>
      <w:r w:rsidRPr="00B574C8">
        <w:rPr>
          <w:sz w:val="24"/>
          <w:szCs w:val="24"/>
        </w:rPr>
        <w:t>Reduktion af ibuprofendosis bør overvejes, ved samtidig administration af potente CYP2C9-hæmmere, især når høje doser af ibuprofen administreres.</w:t>
      </w:r>
    </w:p>
    <w:p w14:paraId="1E5AE652" w14:textId="77777777" w:rsidR="00826AA6" w:rsidRPr="00B574C8" w:rsidRDefault="00826AA6" w:rsidP="00B574C8">
      <w:pPr>
        <w:ind w:left="851"/>
        <w:rPr>
          <w:sz w:val="24"/>
          <w:szCs w:val="24"/>
        </w:rPr>
      </w:pPr>
    </w:p>
    <w:p w14:paraId="20428B91" w14:textId="77777777" w:rsidR="00826AA6" w:rsidRPr="00B574C8" w:rsidRDefault="00826AA6" w:rsidP="00B574C8">
      <w:pPr>
        <w:ind w:left="851"/>
        <w:rPr>
          <w:iCs/>
          <w:sz w:val="24"/>
          <w:szCs w:val="24"/>
          <w:u w:val="single"/>
        </w:rPr>
      </w:pPr>
      <w:proofErr w:type="spellStart"/>
      <w:r w:rsidRPr="00B574C8">
        <w:rPr>
          <w:iCs/>
          <w:sz w:val="24"/>
          <w:szCs w:val="24"/>
          <w:u w:val="single"/>
        </w:rPr>
        <w:t>Diuretika</w:t>
      </w:r>
      <w:proofErr w:type="spellEnd"/>
      <w:r w:rsidRPr="00B574C8">
        <w:rPr>
          <w:iCs/>
          <w:sz w:val="24"/>
          <w:szCs w:val="24"/>
          <w:u w:val="single"/>
        </w:rPr>
        <w:t xml:space="preserve"> </w:t>
      </w:r>
    </w:p>
    <w:p w14:paraId="33F100DC" w14:textId="423A81F5" w:rsidR="00826AA6" w:rsidRPr="00B574C8" w:rsidRDefault="00826AA6" w:rsidP="00B574C8">
      <w:pPr>
        <w:ind w:left="851"/>
        <w:rPr>
          <w:sz w:val="24"/>
          <w:szCs w:val="24"/>
        </w:rPr>
      </w:pPr>
      <w:r w:rsidRPr="00B574C8">
        <w:rPr>
          <w:sz w:val="24"/>
          <w:szCs w:val="24"/>
        </w:rPr>
        <w:t>NSAID-præparater (</w:t>
      </w:r>
      <w:proofErr w:type="spellStart"/>
      <w:r w:rsidRPr="00B574C8">
        <w:rPr>
          <w:sz w:val="24"/>
          <w:szCs w:val="24"/>
        </w:rPr>
        <w:t>indomethacin</w:t>
      </w:r>
      <w:proofErr w:type="spellEnd"/>
      <w:r w:rsidRPr="00B574C8">
        <w:rPr>
          <w:sz w:val="24"/>
          <w:szCs w:val="24"/>
        </w:rPr>
        <w:t xml:space="preserve"> og </w:t>
      </w:r>
      <w:proofErr w:type="spellStart"/>
      <w:r w:rsidRPr="00B574C8">
        <w:rPr>
          <w:sz w:val="24"/>
          <w:szCs w:val="24"/>
        </w:rPr>
        <w:t>propionsyrederivater</w:t>
      </w:r>
      <w:proofErr w:type="spellEnd"/>
      <w:r w:rsidRPr="00B574C8">
        <w:rPr>
          <w:sz w:val="24"/>
          <w:szCs w:val="24"/>
        </w:rPr>
        <w:t xml:space="preserve">) kan reducere den diuretiske virkning af </w:t>
      </w:r>
      <w:proofErr w:type="spellStart"/>
      <w:r w:rsidRPr="00B574C8">
        <w:rPr>
          <w:sz w:val="24"/>
          <w:szCs w:val="24"/>
        </w:rPr>
        <w:t>furosemid</w:t>
      </w:r>
      <w:proofErr w:type="spellEnd"/>
      <w:r w:rsidRPr="00B574C8">
        <w:rPr>
          <w:sz w:val="24"/>
          <w:szCs w:val="24"/>
        </w:rPr>
        <w:t xml:space="preserve"> og </w:t>
      </w:r>
      <w:proofErr w:type="spellStart"/>
      <w:r w:rsidRPr="00B574C8">
        <w:rPr>
          <w:sz w:val="24"/>
          <w:szCs w:val="24"/>
        </w:rPr>
        <w:t>bumetanid</w:t>
      </w:r>
      <w:proofErr w:type="spellEnd"/>
      <w:r w:rsidRPr="00B574C8">
        <w:rPr>
          <w:sz w:val="24"/>
          <w:szCs w:val="24"/>
        </w:rPr>
        <w:t xml:space="preserve"> (loop-</w:t>
      </w:r>
      <w:proofErr w:type="spellStart"/>
      <w:r w:rsidRPr="00B574C8">
        <w:rPr>
          <w:sz w:val="24"/>
          <w:szCs w:val="24"/>
        </w:rPr>
        <w:t>diuretika</w:t>
      </w:r>
      <w:proofErr w:type="spellEnd"/>
      <w:r w:rsidRPr="00B574C8">
        <w:rPr>
          <w:sz w:val="24"/>
          <w:szCs w:val="24"/>
        </w:rPr>
        <w:t xml:space="preserve">), ved at hæmme </w:t>
      </w:r>
      <w:proofErr w:type="spellStart"/>
      <w:r w:rsidRPr="00B574C8">
        <w:rPr>
          <w:sz w:val="24"/>
          <w:szCs w:val="24"/>
        </w:rPr>
        <w:t>prostaglandin</w:t>
      </w:r>
      <w:r w:rsidR="001F00BE">
        <w:rPr>
          <w:sz w:val="24"/>
          <w:szCs w:val="24"/>
        </w:rPr>
        <w:softHyphen/>
      </w:r>
      <w:r w:rsidRPr="00B574C8">
        <w:rPr>
          <w:sz w:val="24"/>
          <w:szCs w:val="24"/>
        </w:rPr>
        <w:t>syntesen</w:t>
      </w:r>
      <w:proofErr w:type="spellEnd"/>
      <w:r w:rsidRPr="00B574C8">
        <w:rPr>
          <w:sz w:val="24"/>
          <w:szCs w:val="24"/>
        </w:rPr>
        <w:t xml:space="preserve">. De kan også reducere de </w:t>
      </w:r>
      <w:proofErr w:type="spellStart"/>
      <w:r w:rsidRPr="00B574C8">
        <w:rPr>
          <w:sz w:val="24"/>
          <w:szCs w:val="24"/>
        </w:rPr>
        <w:t>antihypertensive</w:t>
      </w:r>
      <w:proofErr w:type="spellEnd"/>
      <w:r w:rsidRPr="00B574C8">
        <w:rPr>
          <w:sz w:val="24"/>
          <w:szCs w:val="24"/>
        </w:rPr>
        <w:t xml:space="preserve"> virkninger af </w:t>
      </w:r>
      <w:proofErr w:type="spellStart"/>
      <w:r w:rsidRPr="00B574C8">
        <w:rPr>
          <w:sz w:val="24"/>
          <w:szCs w:val="24"/>
        </w:rPr>
        <w:t>thiazider</w:t>
      </w:r>
      <w:proofErr w:type="spellEnd"/>
      <w:r w:rsidRPr="00B574C8">
        <w:rPr>
          <w:sz w:val="24"/>
          <w:szCs w:val="24"/>
        </w:rPr>
        <w:t xml:space="preserve">. </w:t>
      </w:r>
      <w:proofErr w:type="spellStart"/>
      <w:r w:rsidRPr="00B574C8">
        <w:rPr>
          <w:sz w:val="24"/>
          <w:szCs w:val="24"/>
        </w:rPr>
        <w:t>Diuretika</w:t>
      </w:r>
      <w:proofErr w:type="spellEnd"/>
      <w:r w:rsidRPr="00B574C8">
        <w:rPr>
          <w:sz w:val="24"/>
          <w:szCs w:val="24"/>
        </w:rPr>
        <w:t xml:space="preserve"> kan øge NSAID-præparaters </w:t>
      </w:r>
      <w:proofErr w:type="spellStart"/>
      <w:r w:rsidRPr="00B574C8">
        <w:rPr>
          <w:sz w:val="24"/>
          <w:szCs w:val="24"/>
        </w:rPr>
        <w:t>nefrotoksicitet</w:t>
      </w:r>
      <w:proofErr w:type="spellEnd"/>
      <w:r w:rsidRPr="00B574C8">
        <w:rPr>
          <w:sz w:val="24"/>
          <w:szCs w:val="24"/>
        </w:rPr>
        <w:t>.</w:t>
      </w:r>
    </w:p>
    <w:p w14:paraId="3FBAC0D4" w14:textId="77777777" w:rsidR="00826AA6" w:rsidRPr="00B574C8" w:rsidRDefault="00826AA6" w:rsidP="00B574C8">
      <w:pPr>
        <w:ind w:left="851"/>
        <w:rPr>
          <w:sz w:val="24"/>
          <w:szCs w:val="24"/>
        </w:rPr>
      </w:pPr>
    </w:p>
    <w:p w14:paraId="7A8454BC" w14:textId="77777777" w:rsidR="00826AA6" w:rsidRPr="00B574C8" w:rsidRDefault="00826AA6" w:rsidP="00B574C8">
      <w:pPr>
        <w:ind w:left="851"/>
        <w:rPr>
          <w:b/>
          <w:bCs/>
          <w:sz w:val="24"/>
          <w:szCs w:val="24"/>
        </w:rPr>
      </w:pPr>
      <w:r w:rsidRPr="00B574C8">
        <w:rPr>
          <w:sz w:val="24"/>
          <w:szCs w:val="24"/>
        </w:rPr>
        <w:t xml:space="preserve">Samtidig administration af ibuprofen og kaliumbesparende </w:t>
      </w:r>
      <w:proofErr w:type="spellStart"/>
      <w:r w:rsidRPr="00B574C8">
        <w:rPr>
          <w:sz w:val="24"/>
          <w:szCs w:val="24"/>
        </w:rPr>
        <w:t>diuretika</w:t>
      </w:r>
      <w:proofErr w:type="spellEnd"/>
      <w:r w:rsidRPr="00B574C8">
        <w:rPr>
          <w:sz w:val="24"/>
          <w:szCs w:val="24"/>
        </w:rPr>
        <w:t xml:space="preserve"> kan medføre </w:t>
      </w:r>
      <w:proofErr w:type="spellStart"/>
      <w:r w:rsidRPr="00B574C8">
        <w:rPr>
          <w:sz w:val="24"/>
          <w:szCs w:val="24"/>
        </w:rPr>
        <w:t>hyperkaliæmi</w:t>
      </w:r>
      <w:proofErr w:type="spellEnd"/>
      <w:r w:rsidRPr="00B574C8">
        <w:rPr>
          <w:sz w:val="24"/>
          <w:szCs w:val="24"/>
        </w:rPr>
        <w:t>. Hyppig kontrol af kalium-niveauer er nødvendig.</w:t>
      </w:r>
    </w:p>
    <w:p w14:paraId="41B3BAB1" w14:textId="77777777" w:rsidR="00826AA6" w:rsidRPr="00B574C8" w:rsidRDefault="00826AA6" w:rsidP="00B574C8">
      <w:pPr>
        <w:ind w:left="851"/>
        <w:rPr>
          <w:sz w:val="24"/>
          <w:szCs w:val="24"/>
        </w:rPr>
      </w:pPr>
    </w:p>
    <w:p w14:paraId="270DDEA9" w14:textId="77777777" w:rsidR="00826AA6" w:rsidRPr="00B574C8" w:rsidRDefault="00826AA6" w:rsidP="00B574C8">
      <w:pPr>
        <w:ind w:left="851"/>
        <w:rPr>
          <w:iCs/>
          <w:sz w:val="24"/>
          <w:szCs w:val="24"/>
          <w:u w:val="single"/>
        </w:rPr>
      </w:pPr>
      <w:proofErr w:type="spellStart"/>
      <w:r w:rsidRPr="00B574C8">
        <w:rPr>
          <w:iCs/>
          <w:sz w:val="24"/>
          <w:szCs w:val="24"/>
          <w:u w:val="single"/>
        </w:rPr>
        <w:t>Kortikosteroider</w:t>
      </w:r>
      <w:proofErr w:type="spellEnd"/>
      <w:r w:rsidRPr="00B574C8">
        <w:rPr>
          <w:iCs/>
          <w:sz w:val="24"/>
          <w:szCs w:val="24"/>
          <w:u w:val="single"/>
        </w:rPr>
        <w:t xml:space="preserve"> </w:t>
      </w:r>
    </w:p>
    <w:p w14:paraId="5A23C260" w14:textId="59987123" w:rsidR="00826AA6" w:rsidRPr="00B574C8" w:rsidRDefault="00826AA6" w:rsidP="00B574C8">
      <w:pPr>
        <w:ind w:left="851"/>
        <w:rPr>
          <w:sz w:val="24"/>
          <w:szCs w:val="24"/>
        </w:rPr>
      </w:pPr>
      <w:r w:rsidRPr="00B574C8">
        <w:rPr>
          <w:sz w:val="24"/>
          <w:szCs w:val="24"/>
        </w:rPr>
        <w:t xml:space="preserve">Øget risiko for </w:t>
      </w:r>
      <w:proofErr w:type="spellStart"/>
      <w:r w:rsidRPr="00B574C8">
        <w:rPr>
          <w:sz w:val="24"/>
          <w:szCs w:val="24"/>
        </w:rPr>
        <w:t>gastrointestinal</w:t>
      </w:r>
      <w:proofErr w:type="spellEnd"/>
      <w:r w:rsidRPr="00B574C8">
        <w:rPr>
          <w:sz w:val="24"/>
          <w:szCs w:val="24"/>
        </w:rPr>
        <w:t xml:space="preserve"> </w:t>
      </w:r>
      <w:proofErr w:type="spellStart"/>
      <w:r w:rsidRPr="00B574C8">
        <w:rPr>
          <w:sz w:val="24"/>
          <w:szCs w:val="24"/>
        </w:rPr>
        <w:t>ulceration</w:t>
      </w:r>
      <w:proofErr w:type="spellEnd"/>
      <w:r w:rsidRPr="00B574C8">
        <w:rPr>
          <w:sz w:val="24"/>
          <w:szCs w:val="24"/>
        </w:rPr>
        <w:t xml:space="preserve"> eller blødning (se pkt. 4.4). Kombinations</w:t>
      </w:r>
      <w:r w:rsidR="001F00BE">
        <w:rPr>
          <w:sz w:val="24"/>
          <w:szCs w:val="24"/>
        </w:rPr>
        <w:softHyphen/>
      </w:r>
      <w:r w:rsidRPr="00B574C8">
        <w:rPr>
          <w:sz w:val="24"/>
          <w:szCs w:val="24"/>
        </w:rPr>
        <w:t>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28E4B392" w14:textId="77777777" w:rsidR="00826AA6" w:rsidRPr="00B574C8" w:rsidRDefault="00826AA6" w:rsidP="00B574C8">
      <w:pPr>
        <w:ind w:left="851"/>
        <w:rPr>
          <w:sz w:val="24"/>
          <w:szCs w:val="24"/>
        </w:rPr>
      </w:pPr>
    </w:p>
    <w:p w14:paraId="68C9A195" w14:textId="77777777" w:rsidR="00826AA6" w:rsidRPr="00B574C8" w:rsidRDefault="00826AA6" w:rsidP="00B574C8">
      <w:pPr>
        <w:ind w:left="851"/>
        <w:rPr>
          <w:iCs/>
          <w:sz w:val="24"/>
          <w:szCs w:val="24"/>
          <w:u w:val="single"/>
        </w:rPr>
      </w:pPr>
      <w:proofErr w:type="spellStart"/>
      <w:r w:rsidRPr="00B574C8">
        <w:rPr>
          <w:iCs/>
          <w:sz w:val="24"/>
          <w:szCs w:val="24"/>
          <w:u w:val="single"/>
        </w:rPr>
        <w:t>Methotrexat</w:t>
      </w:r>
      <w:proofErr w:type="spellEnd"/>
      <w:r w:rsidRPr="00B574C8">
        <w:rPr>
          <w:iCs/>
          <w:sz w:val="24"/>
          <w:szCs w:val="24"/>
          <w:u w:val="single"/>
        </w:rPr>
        <w:t xml:space="preserve"> (lave doser)</w:t>
      </w:r>
    </w:p>
    <w:p w14:paraId="1A48BE27" w14:textId="77777777" w:rsidR="00826AA6" w:rsidRPr="00B574C8" w:rsidRDefault="00826AA6" w:rsidP="00B574C8">
      <w:pPr>
        <w:ind w:left="851"/>
        <w:rPr>
          <w:sz w:val="24"/>
          <w:szCs w:val="24"/>
        </w:rPr>
      </w:pPr>
      <w:bookmarkStart w:id="89" w:name="_Hlk128743880"/>
      <w:r w:rsidRPr="00B574C8">
        <w:rPr>
          <w:sz w:val="24"/>
          <w:szCs w:val="24"/>
        </w:rPr>
        <w:t xml:space="preserve">Hvis samtidig behandling med (lave doser af) </w:t>
      </w:r>
      <w:bookmarkEnd w:id="89"/>
      <w:proofErr w:type="spellStart"/>
      <w:r w:rsidRPr="00B574C8">
        <w:rPr>
          <w:sz w:val="24"/>
          <w:szCs w:val="24"/>
        </w:rPr>
        <w:t>methotrexat</w:t>
      </w:r>
      <w:proofErr w:type="spellEnd"/>
      <w:r w:rsidRPr="00B574C8">
        <w:rPr>
          <w:sz w:val="24"/>
          <w:szCs w:val="24"/>
        </w:rPr>
        <w:t xml:space="preserve"> ikke kan undgås, skal r</w:t>
      </w:r>
      <w:r w:rsidRPr="00B574C8">
        <w:rPr>
          <w:iCs/>
          <w:sz w:val="24"/>
          <w:szCs w:val="24"/>
        </w:rPr>
        <w:t xml:space="preserve">isikoen for en mulig interaktion mellem </w:t>
      </w:r>
      <w:proofErr w:type="spellStart"/>
      <w:r w:rsidRPr="00B574C8">
        <w:rPr>
          <w:iCs/>
          <w:sz w:val="24"/>
          <w:szCs w:val="24"/>
        </w:rPr>
        <w:t>NSAID’en</w:t>
      </w:r>
      <w:proofErr w:type="spellEnd"/>
      <w:r w:rsidRPr="00B574C8">
        <w:rPr>
          <w:iCs/>
          <w:sz w:val="24"/>
          <w:szCs w:val="24"/>
        </w:rPr>
        <w:t xml:space="preserve"> (inkl. ibuprofen) og </w:t>
      </w:r>
      <w:proofErr w:type="spellStart"/>
      <w:r w:rsidRPr="00B574C8">
        <w:rPr>
          <w:iCs/>
          <w:sz w:val="24"/>
          <w:szCs w:val="24"/>
        </w:rPr>
        <w:t>methotrexat</w:t>
      </w:r>
      <w:proofErr w:type="spellEnd"/>
      <w:r w:rsidRPr="00B574C8">
        <w:rPr>
          <w:iCs/>
          <w:sz w:val="24"/>
          <w:szCs w:val="24"/>
        </w:rPr>
        <w:t xml:space="preserve"> </w:t>
      </w:r>
      <w:bookmarkStart w:id="90" w:name="_Hlk129002512"/>
      <w:r w:rsidRPr="00B574C8">
        <w:rPr>
          <w:iCs/>
          <w:sz w:val="24"/>
          <w:szCs w:val="24"/>
        </w:rPr>
        <w:t>tages i betragtning</w:t>
      </w:r>
      <w:bookmarkEnd w:id="90"/>
      <w:r w:rsidRPr="00B574C8">
        <w:rPr>
          <w:iCs/>
          <w:sz w:val="24"/>
          <w:szCs w:val="24"/>
        </w:rPr>
        <w:t xml:space="preserve">, især hos patienter med nedsat nyrefunktion. </w:t>
      </w:r>
      <w:bookmarkStart w:id="91" w:name="_Hlk128743979"/>
      <w:r w:rsidRPr="00B574C8">
        <w:rPr>
          <w:iCs/>
          <w:sz w:val="24"/>
          <w:szCs w:val="24"/>
        </w:rPr>
        <w:t>Ved samtidig administration</w:t>
      </w:r>
      <w:bookmarkEnd w:id="91"/>
      <w:r w:rsidRPr="00B574C8">
        <w:rPr>
          <w:iCs/>
          <w:sz w:val="24"/>
          <w:szCs w:val="24"/>
        </w:rPr>
        <w:t>, bør nyrefunktionen kontrolleres hyppigt. Forsigtighed bør udvises, hvis både NSAID</w:t>
      </w:r>
      <w:r w:rsidRPr="00B574C8">
        <w:rPr>
          <w:sz w:val="24"/>
          <w:szCs w:val="24"/>
        </w:rPr>
        <w:t>-præparat</w:t>
      </w:r>
      <w:r w:rsidRPr="00B574C8">
        <w:rPr>
          <w:iCs/>
          <w:sz w:val="24"/>
          <w:szCs w:val="24"/>
        </w:rPr>
        <w:t xml:space="preserve">er (inkl. ibuprofen) og </w:t>
      </w:r>
      <w:proofErr w:type="spellStart"/>
      <w:r w:rsidRPr="00B574C8">
        <w:rPr>
          <w:iCs/>
          <w:sz w:val="24"/>
          <w:szCs w:val="24"/>
        </w:rPr>
        <w:t>methotrexat</w:t>
      </w:r>
      <w:proofErr w:type="spellEnd"/>
      <w:r w:rsidRPr="00B574C8">
        <w:rPr>
          <w:iCs/>
          <w:sz w:val="24"/>
          <w:szCs w:val="24"/>
        </w:rPr>
        <w:t xml:space="preserve"> </w:t>
      </w:r>
      <w:bookmarkStart w:id="92" w:name="_Hlk128744017"/>
      <w:r w:rsidRPr="00B574C8">
        <w:rPr>
          <w:iCs/>
          <w:sz w:val="24"/>
          <w:szCs w:val="24"/>
        </w:rPr>
        <w:t xml:space="preserve">administreres </w:t>
      </w:r>
      <w:bookmarkEnd w:id="92"/>
      <w:r w:rsidRPr="00B574C8">
        <w:rPr>
          <w:iCs/>
          <w:sz w:val="24"/>
          <w:szCs w:val="24"/>
        </w:rPr>
        <w:t xml:space="preserve">inden for 24 timer, da plasmakoncentrationen af </w:t>
      </w:r>
      <w:proofErr w:type="spellStart"/>
      <w:r w:rsidRPr="00B574C8">
        <w:rPr>
          <w:iCs/>
          <w:sz w:val="24"/>
          <w:szCs w:val="24"/>
        </w:rPr>
        <w:t>methotrexat</w:t>
      </w:r>
      <w:proofErr w:type="spellEnd"/>
      <w:r w:rsidRPr="00B574C8">
        <w:rPr>
          <w:iCs/>
          <w:sz w:val="24"/>
          <w:szCs w:val="24"/>
        </w:rPr>
        <w:t xml:space="preserve"> kan øges, hvilket medfører øget risiko for toksicitet (se ovenfor). </w:t>
      </w:r>
    </w:p>
    <w:p w14:paraId="73B39CA8" w14:textId="77777777" w:rsidR="00826AA6" w:rsidRPr="00B574C8" w:rsidRDefault="00826AA6" w:rsidP="00B574C8">
      <w:pPr>
        <w:ind w:left="851"/>
        <w:rPr>
          <w:sz w:val="24"/>
          <w:szCs w:val="24"/>
        </w:rPr>
      </w:pPr>
    </w:p>
    <w:p w14:paraId="4C8DC59A" w14:textId="77777777" w:rsidR="00826AA6" w:rsidRPr="00B574C8" w:rsidRDefault="00826AA6" w:rsidP="00B574C8">
      <w:pPr>
        <w:ind w:left="851"/>
        <w:rPr>
          <w:iCs/>
          <w:sz w:val="24"/>
          <w:szCs w:val="24"/>
          <w:u w:val="single"/>
        </w:rPr>
      </w:pPr>
      <w:r w:rsidRPr="00B574C8">
        <w:rPr>
          <w:iCs/>
          <w:sz w:val="24"/>
          <w:szCs w:val="24"/>
          <w:u w:val="single"/>
        </w:rPr>
        <w:t xml:space="preserve">Selektive </w:t>
      </w:r>
      <w:proofErr w:type="spellStart"/>
      <w:r w:rsidRPr="00B574C8">
        <w:rPr>
          <w:iCs/>
          <w:sz w:val="24"/>
          <w:szCs w:val="24"/>
          <w:u w:val="single"/>
        </w:rPr>
        <w:t>serotoningenoptagshæmmere</w:t>
      </w:r>
      <w:proofErr w:type="spellEnd"/>
      <w:r w:rsidRPr="00B574C8">
        <w:rPr>
          <w:iCs/>
          <w:sz w:val="24"/>
          <w:szCs w:val="24"/>
          <w:u w:val="single"/>
        </w:rPr>
        <w:t xml:space="preserve"> (SSRI) </w:t>
      </w:r>
    </w:p>
    <w:p w14:paraId="75E2866D" w14:textId="3C79B3AB" w:rsidR="00826AA6" w:rsidRPr="00B574C8" w:rsidRDefault="00826AA6" w:rsidP="00B574C8">
      <w:pPr>
        <w:ind w:left="851"/>
        <w:rPr>
          <w:sz w:val="24"/>
          <w:szCs w:val="24"/>
        </w:rPr>
      </w:pPr>
      <w:bookmarkStart w:id="93" w:name="_Hlk128741910"/>
      <w:r w:rsidRPr="00B574C8">
        <w:rPr>
          <w:sz w:val="24"/>
          <w:szCs w:val="24"/>
        </w:rPr>
        <w:t xml:space="preserve">Samtidig administration af </w:t>
      </w:r>
      <w:bookmarkEnd w:id="93"/>
      <w:r w:rsidRPr="00B574C8">
        <w:rPr>
          <w:sz w:val="24"/>
          <w:szCs w:val="24"/>
        </w:rPr>
        <w:t xml:space="preserve">SSRI og NSAID (inkl. ibuprofen) øger risikoen for blødning, bl.a. fra </w:t>
      </w:r>
      <w:proofErr w:type="spellStart"/>
      <w:r w:rsidRPr="00B574C8">
        <w:rPr>
          <w:sz w:val="24"/>
          <w:szCs w:val="24"/>
        </w:rPr>
        <w:t>gastrointestinalkanalen</w:t>
      </w:r>
      <w:proofErr w:type="spellEnd"/>
      <w:r w:rsidRPr="00B574C8">
        <w:rPr>
          <w:sz w:val="24"/>
          <w:szCs w:val="24"/>
        </w:rPr>
        <w:t xml:space="preserve"> (se pkt. 4.4). Denne risiko er øget ved samtidig behandling med ibuprofen. Mekanismen er en nedsat optagelse af serotonin i </w:t>
      </w:r>
      <w:proofErr w:type="spellStart"/>
      <w:r w:rsidRPr="00B574C8">
        <w:rPr>
          <w:sz w:val="24"/>
          <w:szCs w:val="24"/>
        </w:rPr>
        <w:t>trombocytterne</w:t>
      </w:r>
      <w:proofErr w:type="spellEnd"/>
      <w:r w:rsidRPr="00B574C8">
        <w:rPr>
          <w:sz w:val="24"/>
          <w:szCs w:val="24"/>
        </w:rPr>
        <w:t>.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0E4BE981" w14:textId="77777777" w:rsidR="00826AA6" w:rsidRPr="00B574C8" w:rsidRDefault="00826AA6" w:rsidP="00B574C8">
      <w:pPr>
        <w:ind w:left="851"/>
        <w:rPr>
          <w:sz w:val="24"/>
          <w:szCs w:val="24"/>
        </w:rPr>
      </w:pPr>
    </w:p>
    <w:p w14:paraId="1149AE8B" w14:textId="77777777" w:rsidR="00826AA6" w:rsidRPr="00B574C8" w:rsidRDefault="00826AA6" w:rsidP="00B574C8">
      <w:pPr>
        <w:ind w:left="851"/>
        <w:rPr>
          <w:iCs/>
          <w:sz w:val="24"/>
          <w:szCs w:val="24"/>
          <w:u w:val="single"/>
        </w:rPr>
      </w:pPr>
      <w:proofErr w:type="spellStart"/>
      <w:r w:rsidRPr="00B574C8">
        <w:rPr>
          <w:iCs/>
          <w:sz w:val="24"/>
          <w:szCs w:val="24"/>
          <w:u w:val="single"/>
        </w:rPr>
        <w:t>Trombocythæmmende</w:t>
      </w:r>
      <w:proofErr w:type="spellEnd"/>
      <w:r w:rsidRPr="00B574C8">
        <w:rPr>
          <w:iCs/>
          <w:sz w:val="24"/>
          <w:szCs w:val="24"/>
          <w:u w:val="single"/>
        </w:rPr>
        <w:t xml:space="preserve"> midler </w:t>
      </w:r>
    </w:p>
    <w:p w14:paraId="52B9B235" w14:textId="107FC769" w:rsidR="00826AA6" w:rsidRPr="00B574C8" w:rsidRDefault="00826AA6" w:rsidP="00B574C8">
      <w:pPr>
        <w:ind w:left="851"/>
        <w:rPr>
          <w:sz w:val="24"/>
          <w:szCs w:val="24"/>
        </w:rPr>
      </w:pPr>
      <w:r w:rsidRPr="00B574C8">
        <w:rPr>
          <w:sz w:val="24"/>
          <w:szCs w:val="24"/>
        </w:rPr>
        <w:t xml:space="preserve">NSAID-præparater (inkl. ibuprofen) bør ikke kombineres med </w:t>
      </w:r>
      <w:proofErr w:type="spellStart"/>
      <w:r w:rsidRPr="00B574C8">
        <w:rPr>
          <w:sz w:val="24"/>
          <w:szCs w:val="24"/>
        </w:rPr>
        <w:t>trombocythæmmende</w:t>
      </w:r>
      <w:proofErr w:type="spellEnd"/>
      <w:r w:rsidRPr="00B574C8">
        <w:rPr>
          <w:sz w:val="24"/>
          <w:szCs w:val="24"/>
        </w:rPr>
        <w:t xml:space="preserve"> midler såsom </w:t>
      </w:r>
      <w:proofErr w:type="spellStart"/>
      <w:r w:rsidRPr="00B574C8">
        <w:rPr>
          <w:sz w:val="24"/>
          <w:szCs w:val="24"/>
        </w:rPr>
        <w:t>ticlopidin</w:t>
      </w:r>
      <w:proofErr w:type="spellEnd"/>
      <w:r w:rsidRPr="00B574C8">
        <w:rPr>
          <w:sz w:val="24"/>
          <w:szCs w:val="24"/>
        </w:rPr>
        <w:t xml:space="preserve"> på grund af en </w:t>
      </w:r>
      <w:proofErr w:type="gramStart"/>
      <w:r w:rsidRPr="00B574C8">
        <w:rPr>
          <w:sz w:val="24"/>
          <w:szCs w:val="24"/>
        </w:rPr>
        <w:t>additiv hæmning</w:t>
      </w:r>
      <w:proofErr w:type="gramEnd"/>
      <w:r w:rsidRPr="00B574C8">
        <w:rPr>
          <w:sz w:val="24"/>
          <w:szCs w:val="24"/>
        </w:rPr>
        <w:t xml:space="preserve"> af </w:t>
      </w:r>
      <w:proofErr w:type="spellStart"/>
      <w:r w:rsidRPr="00B574C8">
        <w:rPr>
          <w:sz w:val="24"/>
          <w:szCs w:val="24"/>
        </w:rPr>
        <w:t>trombocytfunktionen</w:t>
      </w:r>
      <w:proofErr w:type="spellEnd"/>
      <w:r w:rsidRPr="00B574C8">
        <w:rPr>
          <w:sz w:val="24"/>
          <w:szCs w:val="24"/>
        </w:rPr>
        <w:t>.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38F67F6F" w14:textId="77777777" w:rsidR="00826AA6" w:rsidRPr="00B574C8" w:rsidRDefault="00826AA6" w:rsidP="00B574C8">
      <w:pPr>
        <w:ind w:left="851"/>
        <w:rPr>
          <w:sz w:val="24"/>
          <w:szCs w:val="24"/>
        </w:rPr>
      </w:pPr>
    </w:p>
    <w:p w14:paraId="6383998B" w14:textId="73EE6C5D" w:rsidR="00826AA6" w:rsidRPr="00B574C8" w:rsidRDefault="00826AA6" w:rsidP="00B574C8">
      <w:pPr>
        <w:ind w:left="851"/>
        <w:rPr>
          <w:sz w:val="24"/>
          <w:szCs w:val="24"/>
        </w:rPr>
      </w:pPr>
      <w:r w:rsidRPr="00B574C8">
        <w:rPr>
          <w:sz w:val="24"/>
          <w:szCs w:val="24"/>
        </w:rPr>
        <w:lastRenderedPageBreak/>
        <w:t xml:space="preserve">Hvis samtidig </w:t>
      </w:r>
      <w:proofErr w:type="spellStart"/>
      <w:r w:rsidRPr="00B574C8">
        <w:rPr>
          <w:sz w:val="24"/>
          <w:szCs w:val="24"/>
        </w:rPr>
        <w:t>trombocythæmmende</w:t>
      </w:r>
      <w:proofErr w:type="spellEnd"/>
      <w:r w:rsidRPr="00B574C8">
        <w:rPr>
          <w:sz w:val="24"/>
          <w:szCs w:val="24"/>
        </w:rPr>
        <w:t xml:space="preserve"> behandling ikke kan undgås, kan en dosisjustering være nødvendig for at reducere den potentielle risiko for </w:t>
      </w:r>
      <w:proofErr w:type="spellStart"/>
      <w:r w:rsidRPr="00B574C8">
        <w:rPr>
          <w:sz w:val="24"/>
          <w:szCs w:val="24"/>
        </w:rPr>
        <w:t>gastrointestinal</w:t>
      </w:r>
      <w:proofErr w:type="spellEnd"/>
      <w:r w:rsidRPr="00B574C8">
        <w:rPr>
          <w:sz w:val="24"/>
          <w:szCs w:val="24"/>
        </w:rPr>
        <w:t xml:space="preserve"> blødning (se pkt. 4.4). Alternativt bør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overvejes til disse patienter.</w:t>
      </w:r>
    </w:p>
    <w:p w14:paraId="4AA649A1" w14:textId="77777777" w:rsidR="00826AA6" w:rsidRPr="00B574C8" w:rsidRDefault="00826AA6" w:rsidP="00B574C8">
      <w:pPr>
        <w:ind w:left="851"/>
        <w:rPr>
          <w:sz w:val="24"/>
          <w:szCs w:val="24"/>
        </w:rPr>
      </w:pPr>
    </w:p>
    <w:p w14:paraId="6863810C" w14:textId="77777777" w:rsidR="00826AA6" w:rsidRPr="00B574C8" w:rsidRDefault="00826AA6" w:rsidP="00B574C8">
      <w:pPr>
        <w:ind w:left="851"/>
        <w:rPr>
          <w:iCs/>
          <w:sz w:val="24"/>
          <w:szCs w:val="24"/>
          <w:u w:val="single"/>
        </w:rPr>
      </w:pPr>
      <w:proofErr w:type="spellStart"/>
      <w:r w:rsidRPr="00B574C8">
        <w:rPr>
          <w:iCs/>
          <w:sz w:val="24"/>
          <w:szCs w:val="24"/>
          <w:u w:val="single"/>
        </w:rPr>
        <w:t>Trombolysemidler</w:t>
      </w:r>
      <w:proofErr w:type="spellEnd"/>
    </w:p>
    <w:p w14:paraId="731059FF" w14:textId="63319C6C" w:rsidR="000F0B26" w:rsidRDefault="00826AA6" w:rsidP="009C0264">
      <w:pPr>
        <w:ind w:left="851"/>
        <w:rPr>
          <w:sz w:val="24"/>
          <w:szCs w:val="24"/>
        </w:rPr>
      </w:pPr>
      <w:r w:rsidRPr="00B574C8">
        <w:rPr>
          <w:sz w:val="24"/>
          <w:szCs w:val="24"/>
        </w:rPr>
        <w:t xml:space="preserve">Øget risiko for </w:t>
      </w:r>
      <w:proofErr w:type="spellStart"/>
      <w:r w:rsidRPr="00B574C8">
        <w:rPr>
          <w:sz w:val="24"/>
          <w:szCs w:val="24"/>
        </w:rPr>
        <w:t>gastrointestinal</w:t>
      </w:r>
      <w:proofErr w:type="spellEnd"/>
      <w:r w:rsidRPr="00B574C8">
        <w:rPr>
          <w:sz w:val="24"/>
          <w:szCs w:val="24"/>
        </w:rPr>
        <w:t xml:space="preserve"> blødning (se ovenfor).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65BBA01C" w14:textId="77777777" w:rsidR="009260DE" w:rsidRPr="00B574C8" w:rsidRDefault="009260DE" w:rsidP="009260DE">
      <w:pPr>
        <w:tabs>
          <w:tab w:val="left" w:pos="851"/>
        </w:tabs>
        <w:ind w:left="851"/>
        <w:rPr>
          <w:sz w:val="24"/>
          <w:szCs w:val="24"/>
        </w:rPr>
      </w:pPr>
    </w:p>
    <w:p w14:paraId="555989E4" w14:textId="77777777" w:rsidR="009260DE" w:rsidRPr="00B574C8" w:rsidRDefault="009260DE" w:rsidP="009260DE">
      <w:pPr>
        <w:tabs>
          <w:tab w:val="left" w:pos="851"/>
        </w:tabs>
        <w:ind w:left="851" w:hanging="851"/>
        <w:rPr>
          <w:b/>
          <w:sz w:val="24"/>
          <w:szCs w:val="24"/>
        </w:rPr>
      </w:pPr>
      <w:r w:rsidRPr="00B574C8">
        <w:rPr>
          <w:b/>
          <w:sz w:val="24"/>
          <w:szCs w:val="24"/>
        </w:rPr>
        <w:t>4.6</w:t>
      </w:r>
      <w:r w:rsidRPr="00B574C8">
        <w:rPr>
          <w:b/>
          <w:sz w:val="24"/>
          <w:szCs w:val="24"/>
        </w:rPr>
        <w:tab/>
      </w:r>
      <w:r w:rsidR="0071241E" w:rsidRPr="00B574C8">
        <w:rPr>
          <w:b/>
          <w:sz w:val="24"/>
          <w:szCs w:val="24"/>
        </w:rPr>
        <w:t>Fertilitet, g</w:t>
      </w:r>
      <w:r w:rsidRPr="00B574C8">
        <w:rPr>
          <w:b/>
          <w:sz w:val="24"/>
          <w:szCs w:val="24"/>
        </w:rPr>
        <w:t>raviditet og amning</w:t>
      </w:r>
    </w:p>
    <w:p w14:paraId="3F266D5D" w14:textId="77777777" w:rsidR="000F0B26" w:rsidRDefault="000F0B26" w:rsidP="00B574C8">
      <w:pPr>
        <w:ind w:left="851"/>
        <w:rPr>
          <w:sz w:val="24"/>
          <w:szCs w:val="24"/>
        </w:rPr>
      </w:pPr>
      <w:bookmarkStart w:id="94" w:name="_Hlk125020465"/>
    </w:p>
    <w:p w14:paraId="73CEB72E" w14:textId="69FA373F" w:rsidR="00826AA6" w:rsidRPr="000F0B26" w:rsidRDefault="00826AA6" w:rsidP="00B574C8">
      <w:pPr>
        <w:ind w:left="851"/>
        <w:rPr>
          <w:sz w:val="24"/>
          <w:szCs w:val="24"/>
          <w:u w:val="single"/>
        </w:rPr>
      </w:pPr>
      <w:r w:rsidRPr="000F0B26">
        <w:rPr>
          <w:sz w:val="24"/>
          <w:szCs w:val="24"/>
          <w:u w:val="single"/>
        </w:rPr>
        <w:t>Graviditet</w:t>
      </w:r>
    </w:p>
    <w:p w14:paraId="5C565C3E" w14:textId="77777777" w:rsidR="00826AA6" w:rsidRPr="00B574C8" w:rsidRDefault="00826AA6" w:rsidP="00B574C8">
      <w:pPr>
        <w:ind w:left="851"/>
        <w:rPr>
          <w:sz w:val="24"/>
          <w:szCs w:val="24"/>
        </w:rPr>
      </w:pPr>
      <w:r w:rsidRPr="00B574C8">
        <w:rPr>
          <w:sz w:val="24"/>
          <w:szCs w:val="24"/>
        </w:rPr>
        <w:t xml:space="preserve">Hæmning af </w:t>
      </w:r>
      <w:proofErr w:type="spellStart"/>
      <w:r w:rsidRPr="00B574C8">
        <w:rPr>
          <w:sz w:val="24"/>
          <w:szCs w:val="24"/>
        </w:rPr>
        <w:t>prostaglandinsyntese</w:t>
      </w:r>
      <w:proofErr w:type="spellEnd"/>
      <w:r w:rsidRPr="00B574C8">
        <w:rPr>
          <w:sz w:val="24"/>
          <w:szCs w:val="24"/>
        </w:rPr>
        <w:t xml:space="preserve"> kan </w:t>
      </w:r>
      <w:bookmarkStart w:id="95" w:name="_Hlk128745046"/>
      <w:r w:rsidRPr="00B574C8">
        <w:rPr>
          <w:sz w:val="24"/>
          <w:szCs w:val="24"/>
        </w:rPr>
        <w:t>have en skadelig indvirkning på</w:t>
      </w:r>
      <w:bookmarkEnd w:id="95"/>
      <w:r w:rsidRPr="00B574C8">
        <w:rPr>
          <w:sz w:val="24"/>
          <w:szCs w:val="24"/>
        </w:rPr>
        <w:t xml:space="preserve"> graviditeten og/eller den embryonale/</w:t>
      </w:r>
      <w:proofErr w:type="spellStart"/>
      <w:r w:rsidRPr="00B574C8">
        <w:rPr>
          <w:sz w:val="24"/>
          <w:szCs w:val="24"/>
        </w:rPr>
        <w:t>føtale</w:t>
      </w:r>
      <w:proofErr w:type="spellEnd"/>
      <w:r w:rsidRPr="00B574C8">
        <w:rPr>
          <w:sz w:val="24"/>
          <w:szCs w:val="24"/>
        </w:rPr>
        <w:t xml:space="preserve"> udvikling. Data fra epidemiologiske </w:t>
      </w:r>
      <w:bookmarkStart w:id="96" w:name="_Hlk129002724"/>
      <w:r w:rsidRPr="00B574C8">
        <w:rPr>
          <w:sz w:val="24"/>
          <w:szCs w:val="24"/>
        </w:rPr>
        <w:t xml:space="preserve">studier </w:t>
      </w:r>
      <w:bookmarkEnd w:id="96"/>
      <w:r w:rsidRPr="00B574C8">
        <w:rPr>
          <w:sz w:val="24"/>
          <w:szCs w:val="24"/>
        </w:rPr>
        <w:t xml:space="preserve">viser en øget risiko for abort, </w:t>
      </w:r>
      <w:bookmarkStart w:id="97" w:name="_Hlk128744979"/>
      <w:r w:rsidRPr="00B574C8">
        <w:rPr>
          <w:sz w:val="24"/>
          <w:szCs w:val="24"/>
        </w:rPr>
        <w:t xml:space="preserve">misdannelser </w:t>
      </w:r>
      <w:bookmarkEnd w:id="97"/>
      <w:r w:rsidRPr="00B574C8">
        <w:rPr>
          <w:sz w:val="24"/>
          <w:szCs w:val="24"/>
        </w:rPr>
        <w:t xml:space="preserve">i barnets hjerte samt gastroschisis ved brug af </w:t>
      </w:r>
      <w:proofErr w:type="spellStart"/>
      <w:r w:rsidRPr="00B574C8">
        <w:rPr>
          <w:sz w:val="24"/>
          <w:szCs w:val="24"/>
        </w:rPr>
        <w:t>prostaglandinsyntesehæmmere</w:t>
      </w:r>
      <w:proofErr w:type="spellEnd"/>
      <w:r w:rsidRPr="00B574C8">
        <w:rPr>
          <w:sz w:val="24"/>
          <w:szCs w:val="24"/>
        </w:rPr>
        <w:t xml:space="preserve"> (inkl. ibuprofen) tidligt i graviditeten (første og andet trimester). Den absolutte risiko for </w:t>
      </w:r>
      <w:proofErr w:type="spellStart"/>
      <w:r w:rsidRPr="00B574C8">
        <w:rPr>
          <w:sz w:val="24"/>
          <w:szCs w:val="24"/>
        </w:rPr>
        <w:t>kardiovaskulær</w:t>
      </w:r>
      <w:proofErr w:type="spellEnd"/>
      <w:r w:rsidRPr="00B574C8">
        <w:rPr>
          <w:sz w:val="24"/>
          <w:szCs w:val="24"/>
        </w:rPr>
        <w:t xml:space="preserve"> </w:t>
      </w:r>
      <w:bookmarkStart w:id="98" w:name="_Hlk128745145"/>
      <w:r w:rsidRPr="00B574C8">
        <w:rPr>
          <w:sz w:val="24"/>
          <w:szCs w:val="24"/>
        </w:rPr>
        <w:t xml:space="preserve">misdannelse </w:t>
      </w:r>
      <w:bookmarkEnd w:id="98"/>
      <w:r w:rsidRPr="00B574C8">
        <w:rPr>
          <w:sz w:val="24"/>
          <w:szCs w:val="24"/>
        </w:rPr>
        <w:t xml:space="preserve">steg fra mindre end 1 % til ca. 1,5 %. </w:t>
      </w:r>
      <w:bookmarkStart w:id="99" w:name="_Hlk128745172"/>
      <w:r w:rsidRPr="00B574C8">
        <w:rPr>
          <w:sz w:val="24"/>
          <w:szCs w:val="24"/>
        </w:rPr>
        <w:t>Risikoen menes at stige proportionelt med dosis og behandlingsvarighed.</w:t>
      </w:r>
      <w:bookmarkEnd w:id="99"/>
    </w:p>
    <w:p w14:paraId="781D8C2A" w14:textId="77777777" w:rsidR="00826AA6" w:rsidRPr="00B574C8" w:rsidRDefault="00826AA6" w:rsidP="00B574C8">
      <w:pPr>
        <w:ind w:left="851"/>
        <w:rPr>
          <w:sz w:val="24"/>
          <w:szCs w:val="24"/>
        </w:rPr>
      </w:pPr>
    </w:p>
    <w:p w14:paraId="209718B4" w14:textId="4F538B33" w:rsidR="00826AA6" w:rsidRPr="00B574C8" w:rsidRDefault="00826AA6" w:rsidP="00826AA6">
      <w:pPr>
        <w:ind w:left="851"/>
        <w:rPr>
          <w:sz w:val="24"/>
          <w:szCs w:val="24"/>
        </w:rPr>
      </w:pPr>
      <w:r w:rsidRPr="00B574C8">
        <w:rPr>
          <w:sz w:val="24"/>
          <w:szCs w:val="24"/>
        </w:rPr>
        <w:t xml:space="preserve">Dyrestudier har vist, at administration af </w:t>
      </w:r>
      <w:proofErr w:type="spellStart"/>
      <w:r w:rsidRPr="00B574C8">
        <w:rPr>
          <w:sz w:val="24"/>
          <w:szCs w:val="24"/>
        </w:rPr>
        <w:t>prostaglandinsyntesehæmmere</w:t>
      </w:r>
      <w:proofErr w:type="spellEnd"/>
      <w:r w:rsidRPr="00B574C8">
        <w:rPr>
          <w:sz w:val="24"/>
          <w:szCs w:val="24"/>
        </w:rPr>
        <w:t xml:space="preserve"> under graviditeten medfører øget hyppighed af præ- og postimplantationstab samt embryo-/fosterdød. Endvidere er der </w:t>
      </w:r>
      <w:bookmarkStart w:id="100" w:name="_Hlk122698041"/>
      <w:r w:rsidRPr="00B574C8">
        <w:rPr>
          <w:sz w:val="24"/>
          <w:szCs w:val="24"/>
        </w:rPr>
        <w:t xml:space="preserve">hos dyr, </w:t>
      </w:r>
      <w:bookmarkStart w:id="101" w:name="_Hlk128745346"/>
      <w:r w:rsidRPr="00B574C8">
        <w:rPr>
          <w:sz w:val="24"/>
          <w:szCs w:val="24"/>
        </w:rPr>
        <w:t xml:space="preserve">der har fået </w:t>
      </w:r>
      <w:proofErr w:type="spellStart"/>
      <w:r w:rsidRPr="00B574C8">
        <w:rPr>
          <w:sz w:val="24"/>
          <w:szCs w:val="24"/>
        </w:rPr>
        <w:t>prostaglandinsyntesehæmmere</w:t>
      </w:r>
      <w:proofErr w:type="spellEnd"/>
      <w:r w:rsidRPr="00B574C8">
        <w:rPr>
          <w:sz w:val="24"/>
          <w:szCs w:val="24"/>
        </w:rPr>
        <w:t xml:space="preserve"> i den </w:t>
      </w:r>
      <w:proofErr w:type="spellStart"/>
      <w:r w:rsidRPr="00B574C8">
        <w:rPr>
          <w:sz w:val="24"/>
          <w:szCs w:val="24"/>
        </w:rPr>
        <w:t>organogenetiske</w:t>
      </w:r>
      <w:proofErr w:type="spellEnd"/>
      <w:r w:rsidRPr="00B574C8">
        <w:rPr>
          <w:sz w:val="24"/>
          <w:szCs w:val="24"/>
        </w:rPr>
        <w:t xml:space="preserve"> periode,</w:t>
      </w:r>
      <w:bookmarkEnd w:id="100"/>
      <w:r w:rsidRPr="00B574C8">
        <w:rPr>
          <w:sz w:val="24"/>
          <w:szCs w:val="24"/>
        </w:rPr>
        <w:t xml:space="preserve"> </w:t>
      </w:r>
      <w:bookmarkEnd w:id="101"/>
      <w:r w:rsidRPr="00B574C8">
        <w:rPr>
          <w:sz w:val="24"/>
          <w:szCs w:val="24"/>
        </w:rPr>
        <w:t xml:space="preserve">rapporteret en øget forekomst af forskellige misdannelser, herunder </w:t>
      </w:r>
      <w:proofErr w:type="spellStart"/>
      <w:r w:rsidRPr="00B574C8">
        <w:rPr>
          <w:sz w:val="24"/>
          <w:szCs w:val="24"/>
        </w:rPr>
        <w:t>kardiovaskulære</w:t>
      </w:r>
      <w:proofErr w:type="spellEnd"/>
      <w:r w:rsidR="005C3AC1">
        <w:rPr>
          <w:sz w:val="24"/>
          <w:szCs w:val="24"/>
        </w:rPr>
        <w:t>.</w:t>
      </w:r>
    </w:p>
    <w:p w14:paraId="5F9B652A" w14:textId="77777777" w:rsidR="00826AA6" w:rsidRPr="00B574C8" w:rsidRDefault="00826AA6" w:rsidP="00826AA6">
      <w:pPr>
        <w:ind w:left="851"/>
        <w:rPr>
          <w:sz w:val="24"/>
          <w:szCs w:val="24"/>
        </w:rPr>
      </w:pPr>
    </w:p>
    <w:p w14:paraId="6784E9CD" w14:textId="35675421" w:rsidR="00826AA6" w:rsidRPr="00B574C8" w:rsidRDefault="00826AA6" w:rsidP="00826AA6">
      <w:pPr>
        <w:ind w:left="851"/>
        <w:rPr>
          <w:sz w:val="24"/>
          <w:szCs w:val="24"/>
        </w:rPr>
      </w:pPr>
      <w:bookmarkStart w:id="102" w:name="_Hlk128746106"/>
      <w:r w:rsidRPr="00B574C8">
        <w:rPr>
          <w:sz w:val="24"/>
          <w:szCs w:val="24"/>
        </w:rPr>
        <w:t xml:space="preserve">Fra den 20. graviditetsuge og frem kan brug af ibuprofen forårsage </w:t>
      </w:r>
      <w:proofErr w:type="spellStart"/>
      <w:r w:rsidRPr="00B574C8">
        <w:rPr>
          <w:sz w:val="24"/>
          <w:szCs w:val="24"/>
        </w:rPr>
        <w:t>oligohydramnios</w:t>
      </w:r>
      <w:proofErr w:type="spellEnd"/>
      <w:r w:rsidRPr="00B574C8">
        <w:rPr>
          <w:sz w:val="24"/>
          <w:szCs w:val="24"/>
        </w:rPr>
        <w:t xml:space="preserve">, der skyldes </w:t>
      </w:r>
      <w:proofErr w:type="spellStart"/>
      <w:r w:rsidRPr="00B574C8">
        <w:rPr>
          <w:sz w:val="24"/>
          <w:szCs w:val="24"/>
        </w:rPr>
        <w:t>renal</w:t>
      </w:r>
      <w:proofErr w:type="spellEnd"/>
      <w:r w:rsidRPr="00B574C8">
        <w:rPr>
          <w:sz w:val="24"/>
          <w:szCs w:val="24"/>
        </w:rPr>
        <w:t xml:space="preserve"> dysfunktion hos fosteret. Dette kan forekomme kort efter behandlingsstart og er som regel reversibelt efter behandlingsophør. Derudover er der rapporteret om konstriktion af </w:t>
      </w:r>
      <w:proofErr w:type="spellStart"/>
      <w:r w:rsidRPr="00B574C8">
        <w:rPr>
          <w:i/>
          <w:iCs/>
          <w:sz w:val="24"/>
          <w:szCs w:val="24"/>
        </w:rPr>
        <w:t>ductus</w:t>
      </w:r>
      <w:proofErr w:type="spellEnd"/>
      <w:r w:rsidRPr="00B574C8">
        <w:rPr>
          <w:i/>
          <w:iCs/>
          <w:sz w:val="24"/>
          <w:szCs w:val="24"/>
        </w:rPr>
        <w:t xml:space="preserve"> </w:t>
      </w:r>
      <w:proofErr w:type="spellStart"/>
      <w:r w:rsidRPr="00B574C8">
        <w:rPr>
          <w:i/>
          <w:iCs/>
          <w:sz w:val="24"/>
          <w:szCs w:val="24"/>
        </w:rPr>
        <w:t>arteriosus</w:t>
      </w:r>
      <w:proofErr w:type="spellEnd"/>
      <w:r w:rsidRPr="00B574C8">
        <w:rPr>
          <w:sz w:val="24"/>
          <w:szCs w:val="24"/>
        </w:rPr>
        <w:t xml:space="preserve"> </w:t>
      </w:r>
      <w:r w:rsidRPr="00B574C8">
        <w:rPr>
          <w:i/>
          <w:iCs/>
          <w:sz w:val="24"/>
          <w:szCs w:val="24"/>
        </w:rPr>
        <w:t xml:space="preserve">in </w:t>
      </w:r>
      <w:proofErr w:type="spellStart"/>
      <w:r w:rsidRPr="00B574C8">
        <w:rPr>
          <w:i/>
          <w:iCs/>
          <w:sz w:val="24"/>
          <w:szCs w:val="24"/>
        </w:rPr>
        <w:t>utero</w:t>
      </w:r>
      <w:proofErr w:type="spellEnd"/>
      <w:r w:rsidRPr="00B574C8">
        <w:rPr>
          <w:sz w:val="24"/>
          <w:szCs w:val="24"/>
        </w:rPr>
        <w:t xml:space="preserve"> efter behandling i andet trimester, der normalt er reversibelt efter behandlingsophør. Derfor bør </w:t>
      </w:r>
      <w:r w:rsidR="00962C01">
        <w:rPr>
          <w:sz w:val="24"/>
          <w:szCs w:val="24"/>
        </w:rPr>
        <w:t>Ibuprofen ”Nordic Prime”</w:t>
      </w:r>
      <w:r w:rsidRPr="00B574C8">
        <w:rPr>
          <w:sz w:val="24"/>
          <w:szCs w:val="24"/>
        </w:rPr>
        <w:t xml:space="preserve"> kun anvendes på tvingende indikation under første og andet trimester af graviditeten. </w:t>
      </w:r>
    </w:p>
    <w:bookmarkEnd w:id="102"/>
    <w:p w14:paraId="710A4CBD" w14:textId="77777777" w:rsidR="00826AA6" w:rsidRPr="00B574C8" w:rsidRDefault="00826AA6" w:rsidP="00826AA6">
      <w:pPr>
        <w:ind w:left="851"/>
        <w:rPr>
          <w:sz w:val="24"/>
          <w:szCs w:val="24"/>
        </w:rPr>
      </w:pPr>
    </w:p>
    <w:p w14:paraId="332EE4C0" w14:textId="77777777" w:rsidR="00826AA6" w:rsidRPr="00B574C8" w:rsidRDefault="00826AA6" w:rsidP="00826AA6">
      <w:pPr>
        <w:ind w:left="851"/>
        <w:rPr>
          <w:sz w:val="24"/>
          <w:szCs w:val="24"/>
        </w:rPr>
      </w:pPr>
      <w:bookmarkStart w:id="103" w:name="_Hlk128746625"/>
      <w:r w:rsidRPr="00B574C8">
        <w:rPr>
          <w:sz w:val="24"/>
          <w:szCs w:val="24"/>
        </w:rPr>
        <w:t>Hvis ibuprofen anvendes af en kvinde, der forsøger at blive gravid, eller er i første eller andet trimester af graviditeten, bør dosis være så lav som muligt og behandlingsvarigheden så kort som muligt.</w:t>
      </w:r>
    </w:p>
    <w:p w14:paraId="290A576B" w14:textId="77777777" w:rsidR="00826AA6" w:rsidRPr="00B574C8" w:rsidRDefault="00826AA6" w:rsidP="00826AA6">
      <w:pPr>
        <w:ind w:left="851"/>
        <w:rPr>
          <w:sz w:val="24"/>
          <w:szCs w:val="24"/>
        </w:rPr>
      </w:pPr>
    </w:p>
    <w:p w14:paraId="0CC86A28" w14:textId="77777777" w:rsidR="00826AA6" w:rsidRPr="00B574C8" w:rsidRDefault="00826AA6" w:rsidP="00826AA6">
      <w:pPr>
        <w:ind w:left="851"/>
        <w:rPr>
          <w:sz w:val="24"/>
          <w:szCs w:val="24"/>
        </w:rPr>
      </w:pPr>
      <w:r w:rsidRPr="00B574C8">
        <w:rPr>
          <w:sz w:val="24"/>
          <w:szCs w:val="24"/>
        </w:rPr>
        <w:t xml:space="preserve">Prænatal monitorering for </w:t>
      </w:r>
      <w:proofErr w:type="spellStart"/>
      <w:r w:rsidRPr="00B574C8">
        <w:rPr>
          <w:sz w:val="24"/>
          <w:szCs w:val="24"/>
        </w:rPr>
        <w:t>oligohydramnios</w:t>
      </w:r>
      <w:proofErr w:type="spellEnd"/>
      <w:r w:rsidRPr="00B574C8">
        <w:rPr>
          <w:sz w:val="24"/>
          <w:szCs w:val="24"/>
        </w:rPr>
        <w:t xml:space="preserve"> og konstriktion af </w:t>
      </w:r>
      <w:proofErr w:type="spellStart"/>
      <w:r w:rsidRPr="00B574C8">
        <w:rPr>
          <w:i/>
          <w:iCs/>
          <w:sz w:val="24"/>
          <w:szCs w:val="24"/>
        </w:rPr>
        <w:t>ductus</w:t>
      </w:r>
      <w:proofErr w:type="spellEnd"/>
      <w:r w:rsidRPr="00B574C8">
        <w:rPr>
          <w:i/>
          <w:iCs/>
          <w:sz w:val="24"/>
          <w:szCs w:val="24"/>
        </w:rPr>
        <w:t xml:space="preserve"> </w:t>
      </w:r>
      <w:proofErr w:type="spellStart"/>
      <w:r w:rsidRPr="00B574C8">
        <w:rPr>
          <w:i/>
          <w:iCs/>
          <w:sz w:val="24"/>
          <w:szCs w:val="24"/>
        </w:rPr>
        <w:t>arteriosus</w:t>
      </w:r>
      <w:proofErr w:type="spellEnd"/>
      <w:r w:rsidRPr="00B574C8">
        <w:rPr>
          <w:sz w:val="24"/>
          <w:szCs w:val="24"/>
        </w:rPr>
        <w:t xml:space="preserve"> bør overvejes efter eksponering for ibuprofen i flere dage fra </w:t>
      </w:r>
      <w:proofErr w:type="spellStart"/>
      <w:r w:rsidRPr="00B574C8">
        <w:rPr>
          <w:sz w:val="24"/>
          <w:szCs w:val="24"/>
        </w:rPr>
        <w:t>gestationsuge</w:t>
      </w:r>
      <w:proofErr w:type="spellEnd"/>
      <w:r w:rsidRPr="00B574C8">
        <w:rPr>
          <w:sz w:val="24"/>
          <w:szCs w:val="24"/>
        </w:rPr>
        <w:t xml:space="preserve"> 20 og fremefter. Ibuprofen bør seponeres, hvis </w:t>
      </w:r>
      <w:proofErr w:type="spellStart"/>
      <w:r w:rsidRPr="00B574C8">
        <w:rPr>
          <w:sz w:val="24"/>
          <w:szCs w:val="24"/>
        </w:rPr>
        <w:t>oligohydramnios</w:t>
      </w:r>
      <w:proofErr w:type="spellEnd"/>
      <w:r w:rsidRPr="00B574C8">
        <w:rPr>
          <w:sz w:val="24"/>
          <w:szCs w:val="24"/>
        </w:rPr>
        <w:t xml:space="preserve"> eller konstriktion af </w:t>
      </w:r>
      <w:proofErr w:type="spellStart"/>
      <w:r w:rsidRPr="00B574C8">
        <w:rPr>
          <w:i/>
          <w:iCs/>
          <w:sz w:val="24"/>
          <w:szCs w:val="24"/>
        </w:rPr>
        <w:t>ductus</w:t>
      </w:r>
      <w:proofErr w:type="spellEnd"/>
      <w:r w:rsidRPr="00B574C8">
        <w:rPr>
          <w:i/>
          <w:iCs/>
          <w:sz w:val="24"/>
          <w:szCs w:val="24"/>
        </w:rPr>
        <w:t xml:space="preserve"> </w:t>
      </w:r>
      <w:proofErr w:type="spellStart"/>
      <w:r w:rsidRPr="00B574C8">
        <w:rPr>
          <w:i/>
          <w:iCs/>
          <w:sz w:val="24"/>
          <w:szCs w:val="24"/>
        </w:rPr>
        <w:t>arteriosus</w:t>
      </w:r>
      <w:proofErr w:type="spellEnd"/>
      <w:r w:rsidRPr="00B574C8">
        <w:rPr>
          <w:sz w:val="24"/>
          <w:szCs w:val="24"/>
        </w:rPr>
        <w:t xml:space="preserve"> konstateres.</w:t>
      </w:r>
      <w:bookmarkStart w:id="104" w:name="_Hlk108613338"/>
      <w:bookmarkStart w:id="105" w:name="_Hlk129003072"/>
      <w:bookmarkEnd w:id="103"/>
    </w:p>
    <w:bookmarkEnd w:id="104"/>
    <w:bookmarkEnd w:id="105"/>
    <w:p w14:paraId="7F9D428A" w14:textId="77777777" w:rsidR="00826AA6" w:rsidRPr="00B574C8" w:rsidRDefault="00826AA6" w:rsidP="00826AA6">
      <w:pPr>
        <w:ind w:left="851"/>
        <w:rPr>
          <w:sz w:val="24"/>
          <w:szCs w:val="24"/>
        </w:rPr>
      </w:pPr>
    </w:p>
    <w:p w14:paraId="4F0EA94F" w14:textId="77777777" w:rsidR="00826AA6" w:rsidRPr="00B574C8" w:rsidRDefault="00826AA6" w:rsidP="00B574C8">
      <w:pPr>
        <w:ind w:left="851"/>
        <w:rPr>
          <w:sz w:val="24"/>
          <w:szCs w:val="24"/>
        </w:rPr>
      </w:pPr>
      <w:r w:rsidRPr="00B574C8">
        <w:rPr>
          <w:sz w:val="24"/>
          <w:szCs w:val="24"/>
        </w:rPr>
        <w:t xml:space="preserve">I tredje trimester kan alle </w:t>
      </w:r>
      <w:proofErr w:type="spellStart"/>
      <w:r w:rsidRPr="00B574C8">
        <w:rPr>
          <w:sz w:val="24"/>
          <w:szCs w:val="24"/>
        </w:rPr>
        <w:t>prostaglandinsyntesehæmmere</w:t>
      </w:r>
      <w:proofErr w:type="spellEnd"/>
      <w:r w:rsidRPr="00B574C8">
        <w:rPr>
          <w:sz w:val="24"/>
          <w:szCs w:val="24"/>
        </w:rPr>
        <w:t xml:space="preserve"> (inkl. ibuprofen) udsætte: </w:t>
      </w:r>
    </w:p>
    <w:p w14:paraId="1A5B96FA" w14:textId="77777777" w:rsidR="00826AA6" w:rsidRPr="00B574C8" w:rsidRDefault="00826AA6" w:rsidP="00826AA6">
      <w:pPr>
        <w:pStyle w:val="Listeafsnit"/>
        <w:numPr>
          <w:ilvl w:val="1"/>
          <w:numId w:val="9"/>
        </w:numPr>
        <w:rPr>
          <w:sz w:val="24"/>
          <w:szCs w:val="24"/>
        </w:rPr>
      </w:pPr>
      <w:r w:rsidRPr="00B574C8">
        <w:rPr>
          <w:sz w:val="24"/>
          <w:szCs w:val="24"/>
        </w:rPr>
        <w:t>Fostret for:</w:t>
      </w:r>
    </w:p>
    <w:p w14:paraId="46BBC7EB" w14:textId="77777777" w:rsidR="00826AA6" w:rsidRPr="00B574C8" w:rsidRDefault="00826AA6" w:rsidP="00826AA6">
      <w:pPr>
        <w:pStyle w:val="Listeafsnit"/>
        <w:numPr>
          <w:ilvl w:val="2"/>
          <w:numId w:val="10"/>
        </w:numPr>
        <w:ind w:left="1560"/>
        <w:rPr>
          <w:sz w:val="24"/>
          <w:szCs w:val="24"/>
        </w:rPr>
      </w:pPr>
      <w:proofErr w:type="spellStart"/>
      <w:r w:rsidRPr="00B574C8">
        <w:rPr>
          <w:sz w:val="24"/>
          <w:szCs w:val="24"/>
        </w:rPr>
        <w:t>Kardiopulmonær</w:t>
      </w:r>
      <w:proofErr w:type="spellEnd"/>
      <w:r w:rsidRPr="00B574C8">
        <w:rPr>
          <w:sz w:val="24"/>
          <w:szCs w:val="24"/>
        </w:rPr>
        <w:t xml:space="preserve"> toksicitet (med </w:t>
      </w:r>
      <w:bookmarkStart w:id="106" w:name="_Hlk128749147"/>
      <w:r w:rsidRPr="00B574C8">
        <w:rPr>
          <w:sz w:val="24"/>
          <w:szCs w:val="24"/>
        </w:rPr>
        <w:t>præmatur konstriktion/</w:t>
      </w:r>
      <w:bookmarkEnd w:id="106"/>
      <w:r w:rsidRPr="00B574C8">
        <w:rPr>
          <w:sz w:val="24"/>
          <w:szCs w:val="24"/>
        </w:rPr>
        <w:t xml:space="preserve">lukning af </w:t>
      </w:r>
      <w:proofErr w:type="spellStart"/>
      <w:r w:rsidRPr="00B574C8">
        <w:rPr>
          <w:i/>
          <w:iCs/>
          <w:sz w:val="24"/>
          <w:szCs w:val="24"/>
        </w:rPr>
        <w:t>ductus</w:t>
      </w:r>
      <w:proofErr w:type="spellEnd"/>
      <w:r w:rsidRPr="00B574C8">
        <w:rPr>
          <w:i/>
          <w:iCs/>
          <w:sz w:val="24"/>
          <w:szCs w:val="24"/>
        </w:rPr>
        <w:t xml:space="preserve"> </w:t>
      </w:r>
      <w:proofErr w:type="spellStart"/>
      <w:r w:rsidRPr="00B574C8">
        <w:rPr>
          <w:i/>
          <w:iCs/>
          <w:sz w:val="24"/>
          <w:szCs w:val="24"/>
        </w:rPr>
        <w:t>arteriosus</w:t>
      </w:r>
      <w:proofErr w:type="spellEnd"/>
      <w:r w:rsidRPr="00B574C8">
        <w:rPr>
          <w:sz w:val="24"/>
          <w:szCs w:val="24"/>
        </w:rPr>
        <w:t xml:space="preserve"> og </w:t>
      </w:r>
      <w:proofErr w:type="spellStart"/>
      <w:r w:rsidRPr="00B574C8">
        <w:rPr>
          <w:sz w:val="24"/>
          <w:szCs w:val="24"/>
        </w:rPr>
        <w:t>pulmonal</w:t>
      </w:r>
      <w:proofErr w:type="spellEnd"/>
      <w:r w:rsidRPr="00B574C8">
        <w:rPr>
          <w:sz w:val="24"/>
          <w:szCs w:val="24"/>
        </w:rPr>
        <w:t xml:space="preserve"> hypertension).</w:t>
      </w:r>
    </w:p>
    <w:p w14:paraId="2CF15235" w14:textId="77777777" w:rsidR="00826AA6" w:rsidRPr="00B574C8" w:rsidRDefault="00826AA6" w:rsidP="00826AA6">
      <w:pPr>
        <w:pStyle w:val="Listeafsnit"/>
        <w:numPr>
          <w:ilvl w:val="2"/>
          <w:numId w:val="10"/>
        </w:numPr>
        <w:ind w:left="1560"/>
        <w:rPr>
          <w:sz w:val="24"/>
          <w:szCs w:val="24"/>
        </w:rPr>
      </w:pPr>
      <w:proofErr w:type="spellStart"/>
      <w:r w:rsidRPr="00B574C8">
        <w:rPr>
          <w:sz w:val="24"/>
          <w:szCs w:val="24"/>
        </w:rPr>
        <w:t>Renal</w:t>
      </w:r>
      <w:proofErr w:type="spellEnd"/>
      <w:r w:rsidRPr="00B574C8">
        <w:rPr>
          <w:sz w:val="24"/>
          <w:szCs w:val="24"/>
        </w:rPr>
        <w:t xml:space="preserve"> dysfunktion (se ovenfor). </w:t>
      </w:r>
    </w:p>
    <w:p w14:paraId="28FA28EF" w14:textId="77777777" w:rsidR="00826AA6" w:rsidRPr="00B574C8" w:rsidRDefault="00826AA6" w:rsidP="00826AA6">
      <w:pPr>
        <w:pStyle w:val="Listeafsnit"/>
        <w:numPr>
          <w:ilvl w:val="1"/>
          <w:numId w:val="9"/>
        </w:numPr>
        <w:rPr>
          <w:sz w:val="24"/>
          <w:szCs w:val="24"/>
        </w:rPr>
      </w:pPr>
      <w:r w:rsidRPr="00B574C8">
        <w:rPr>
          <w:sz w:val="24"/>
          <w:szCs w:val="24"/>
        </w:rPr>
        <w:t>Moderen og det nyfødte barn for:</w:t>
      </w:r>
    </w:p>
    <w:p w14:paraId="200130A4" w14:textId="77777777" w:rsidR="00826AA6" w:rsidRPr="00B574C8" w:rsidRDefault="00826AA6" w:rsidP="00826AA6">
      <w:pPr>
        <w:pStyle w:val="Listeafsnit"/>
        <w:numPr>
          <w:ilvl w:val="2"/>
          <w:numId w:val="10"/>
        </w:numPr>
        <w:ind w:left="1560"/>
        <w:rPr>
          <w:sz w:val="24"/>
          <w:szCs w:val="24"/>
        </w:rPr>
      </w:pPr>
      <w:r w:rsidRPr="00B574C8">
        <w:rPr>
          <w:sz w:val="24"/>
          <w:szCs w:val="24"/>
        </w:rPr>
        <w:t xml:space="preserve">Forlænget blødningstid </w:t>
      </w:r>
      <w:r w:rsidRPr="00B574C8">
        <w:rPr>
          <w:color w:val="000000"/>
          <w:sz w:val="24"/>
          <w:szCs w:val="24"/>
        </w:rPr>
        <w:t xml:space="preserve">som følge af en nedsat aggregationsevne for </w:t>
      </w:r>
      <w:proofErr w:type="spellStart"/>
      <w:r w:rsidRPr="00B574C8">
        <w:rPr>
          <w:color w:val="000000"/>
          <w:sz w:val="24"/>
          <w:szCs w:val="24"/>
        </w:rPr>
        <w:t>trombocytterne</w:t>
      </w:r>
      <w:proofErr w:type="spellEnd"/>
      <w:r w:rsidRPr="00B574C8">
        <w:rPr>
          <w:color w:val="000000"/>
          <w:sz w:val="24"/>
          <w:szCs w:val="24"/>
        </w:rPr>
        <w:t>, hvilket kan forekomme selv ved meget lave doser.</w:t>
      </w:r>
    </w:p>
    <w:p w14:paraId="68B3D8EB" w14:textId="77777777" w:rsidR="00826AA6" w:rsidRPr="00B574C8" w:rsidRDefault="00826AA6" w:rsidP="00826AA6">
      <w:pPr>
        <w:pStyle w:val="Listeafsnit"/>
        <w:numPr>
          <w:ilvl w:val="2"/>
          <w:numId w:val="10"/>
        </w:numPr>
        <w:ind w:left="1560"/>
        <w:rPr>
          <w:sz w:val="24"/>
          <w:szCs w:val="24"/>
        </w:rPr>
      </w:pPr>
      <w:r w:rsidRPr="00B574C8">
        <w:rPr>
          <w:sz w:val="24"/>
          <w:szCs w:val="24"/>
        </w:rPr>
        <w:lastRenderedPageBreak/>
        <w:t>Hæmning af uterussammentrækninger, hvilket kan medføre forsinket eller forlænget fødsel.</w:t>
      </w:r>
    </w:p>
    <w:p w14:paraId="5695AB4D" w14:textId="77777777" w:rsidR="00826AA6" w:rsidRPr="00B574C8" w:rsidRDefault="00826AA6" w:rsidP="00826AA6">
      <w:pPr>
        <w:ind w:left="851"/>
        <w:rPr>
          <w:sz w:val="24"/>
          <w:szCs w:val="24"/>
        </w:rPr>
      </w:pPr>
    </w:p>
    <w:p w14:paraId="46D99372" w14:textId="7826A6F8" w:rsidR="00826AA6" w:rsidRPr="00B574C8" w:rsidRDefault="00962C01" w:rsidP="00826AA6">
      <w:pPr>
        <w:ind w:left="851"/>
        <w:rPr>
          <w:sz w:val="24"/>
          <w:szCs w:val="24"/>
        </w:rPr>
      </w:pPr>
      <w:bookmarkStart w:id="107" w:name="_Hlk128911477"/>
      <w:r>
        <w:rPr>
          <w:sz w:val="24"/>
          <w:szCs w:val="24"/>
        </w:rPr>
        <w:t>Ibuprofen ”Nordic Prime”</w:t>
      </w:r>
      <w:r w:rsidR="00826AA6" w:rsidRPr="00B574C8">
        <w:rPr>
          <w:sz w:val="24"/>
          <w:szCs w:val="24"/>
        </w:rPr>
        <w:t xml:space="preserve"> er d</w:t>
      </w:r>
      <w:bookmarkEnd w:id="107"/>
      <w:r w:rsidR="00826AA6" w:rsidRPr="00B574C8">
        <w:rPr>
          <w:sz w:val="24"/>
          <w:szCs w:val="24"/>
        </w:rPr>
        <w:t>erfor kontraindiceret i graviditetens tredje trimester (se pkt. 4.3).</w:t>
      </w:r>
    </w:p>
    <w:p w14:paraId="23FA5A87" w14:textId="77777777" w:rsidR="00826AA6" w:rsidRPr="00B574C8" w:rsidRDefault="00826AA6" w:rsidP="00826AA6">
      <w:pPr>
        <w:ind w:left="851"/>
        <w:rPr>
          <w:sz w:val="24"/>
          <w:szCs w:val="24"/>
        </w:rPr>
      </w:pPr>
    </w:p>
    <w:p w14:paraId="143CD6AE" w14:textId="2E8C57F9" w:rsidR="000F0B26" w:rsidRDefault="00826AA6" w:rsidP="009C0264">
      <w:pPr>
        <w:ind w:left="851"/>
        <w:rPr>
          <w:sz w:val="24"/>
          <w:szCs w:val="24"/>
        </w:rPr>
      </w:pPr>
      <w:r w:rsidRPr="00B574C8">
        <w:rPr>
          <w:sz w:val="24"/>
          <w:szCs w:val="24"/>
        </w:rPr>
        <w:t>Ibuprofen bør ikke anvendes til kvinder i fødsel.</w:t>
      </w:r>
    </w:p>
    <w:p w14:paraId="33A26E13" w14:textId="77777777" w:rsidR="00826AA6" w:rsidRPr="00B574C8" w:rsidRDefault="00826AA6" w:rsidP="00B574C8">
      <w:pPr>
        <w:ind w:left="851"/>
        <w:rPr>
          <w:sz w:val="24"/>
          <w:szCs w:val="24"/>
        </w:rPr>
      </w:pPr>
    </w:p>
    <w:p w14:paraId="7D048E6D" w14:textId="77777777" w:rsidR="00826AA6" w:rsidRPr="00B574C8" w:rsidRDefault="00826AA6" w:rsidP="00B574C8">
      <w:pPr>
        <w:ind w:left="851"/>
        <w:rPr>
          <w:sz w:val="24"/>
          <w:szCs w:val="24"/>
          <w:u w:val="single"/>
        </w:rPr>
      </w:pPr>
      <w:r w:rsidRPr="00B574C8">
        <w:rPr>
          <w:sz w:val="24"/>
          <w:szCs w:val="24"/>
          <w:u w:val="single"/>
        </w:rPr>
        <w:t>Amning</w:t>
      </w:r>
    </w:p>
    <w:p w14:paraId="32D8D4CC" w14:textId="77777777" w:rsidR="00826AA6" w:rsidRPr="00B574C8" w:rsidRDefault="00826AA6" w:rsidP="00B574C8">
      <w:pPr>
        <w:ind w:left="851"/>
        <w:rPr>
          <w:sz w:val="24"/>
          <w:szCs w:val="24"/>
        </w:rPr>
      </w:pPr>
      <w:r w:rsidRPr="00B574C8">
        <w:rPr>
          <w:sz w:val="24"/>
          <w:szCs w:val="24"/>
        </w:rPr>
        <w:t xml:space="preserve">Ibuprofen udskilles i modermælk, men ved terapeutiske doser under kortvarig behandling </w:t>
      </w:r>
      <w:bookmarkStart w:id="108" w:name="_Hlk128749722"/>
      <w:r w:rsidRPr="00B574C8">
        <w:rPr>
          <w:sz w:val="24"/>
          <w:szCs w:val="24"/>
        </w:rPr>
        <w:t xml:space="preserve">er det usandsynligt at </w:t>
      </w:r>
      <w:bookmarkEnd w:id="108"/>
      <w:r w:rsidRPr="00B574C8">
        <w:rPr>
          <w:sz w:val="24"/>
          <w:szCs w:val="24"/>
        </w:rPr>
        <w:t xml:space="preserve">barnet </w:t>
      </w:r>
      <w:bookmarkStart w:id="109" w:name="_Hlk128749737"/>
      <w:r w:rsidRPr="00B574C8">
        <w:rPr>
          <w:sz w:val="24"/>
          <w:szCs w:val="24"/>
        </w:rPr>
        <w:t>skulle blive påvirket</w:t>
      </w:r>
      <w:bookmarkEnd w:id="109"/>
      <w:r w:rsidRPr="00B574C8">
        <w:rPr>
          <w:sz w:val="24"/>
          <w:szCs w:val="24"/>
        </w:rPr>
        <w:t xml:space="preserve">. Hvis </w:t>
      </w:r>
      <w:bookmarkStart w:id="110" w:name="_Hlk128749745"/>
      <w:r w:rsidRPr="00B574C8">
        <w:rPr>
          <w:sz w:val="24"/>
          <w:szCs w:val="24"/>
        </w:rPr>
        <w:t xml:space="preserve">længerevarende </w:t>
      </w:r>
      <w:bookmarkEnd w:id="110"/>
      <w:r w:rsidRPr="00B574C8">
        <w:rPr>
          <w:sz w:val="24"/>
          <w:szCs w:val="24"/>
        </w:rPr>
        <w:t xml:space="preserve">behandling af moderen </w:t>
      </w:r>
      <w:bookmarkStart w:id="111" w:name="_Hlk128749761"/>
      <w:r w:rsidRPr="00B574C8">
        <w:rPr>
          <w:sz w:val="24"/>
          <w:szCs w:val="24"/>
        </w:rPr>
        <w:t>er påkrævet</w:t>
      </w:r>
      <w:bookmarkEnd w:id="111"/>
      <w:r w:rsidRPr="00B574C8">
        <w:rPr>
          <w:sz w:val="24"/>
          <w:szCs w:val="24"/>
        </w:rPr>
        <w:t xml:space="preserve">, bør </w:t>
      </w:r>
      <w:bookmarkStart w:id="112" w:name="_Hlk128749769"/>
      <w:r w:rsidRPr="00B574C8">
        <w:rPr>
          <w:sz w:val="24"/>
          <w:szCs w:val="24"/>
        </w:rPr>
        <w:t xml:space="preserve">fravænning </w:t>
      </w:r>
      <w:bookmarkEnd w:id="112"/>
      <w:r w:rsidRPr="00B574C8">
        <w:rPr>
          <w:sz w:val="24"/>
          <w:szCs w:val="24"/>
        </w:rPr>
        <w:t>overvejes.</w:t>
      </w:r>
    </w:p>
    <w:p w14:paraId="436870D9" w14:textId="77777777" w:rsidR="00826AA6" w:rsidRPr="00B574C8" w:rsidRDefault="00826AA6" w:rsidP="00B574C8">
      <w:pPr>
        <w:ind w:left="851"/>
        <w:rPr>
          <w:sz w:val="24"/>
          <w:szCs w:val="24"/>
        </w:rPr>
      </w:pPr>
    </w:p>
    <w:p w14:paraId="18BE0D66" w14:textId="77777777" w:rsidR="00826AA6" w:rsidRPr="00B574C8" w:rsidRDefault="00826AA6" w:rsidP="00B574C8">
      <w:pPr>
        <w:ind w:left="851"/>
        <w:rPr>
          <w:sz w:val="24"/>
          <w:szCs w:val="24"/>
          <w:u w:val="single"/>
        </w:rPr>
      </w:pPr>
      <w:r w:rsidRPr="00B574C8">
        <w:rPr>
          <w:sz w:val="24"/>
          <w:szCs w:val="24"/>
          <w:u w:val="single"/>
        </w:rPr>
        <w:t>Fertilitet</w:t>
      </w:r>
    </w:p>
    <w:p w14:paraId="4E14D05B" w14:textId="77777777" w:rsidR="00826AA6" w:rsidRPr="00B574C8" w:rsidRDefault="00826AA6" w:rsidP="00B574C8">
      <w:pPr>
        <w:ind w:left="851"/>
        <w:rPr>
          <w:sz w:val="24"/>
          <w:szCs w:val="24"/>
        </w:rPr>
      </w:pPr>
      <w:bookmarkStart w:id="113" w:name="_Hlk108613935"/>
      <w:r w:rsidRPr="00B574C8">
        <w:rPr>
          <w:sz w:val="24"/>
          <w:szCs w:val="24"/>
        </w:rPr>
        <w:t xml:space="preserve">Nogle studier har vist, at lægemidler, som hæmmer </w:t>
      </w:r>
      <w:proofErr w:type="spellStart"/>
      <w:r w:rsidRPr="00B574C8">
        <w:rPr>
          <w:sz w:val="24"/>
          <w:szCs w:val="24"/>
        </w:rPr>
        <w:t>cyklooxygenase</w:t>
      </w:r>
      <w:proofErr w:type="spellEnd"/>
      <w:r w:rsidRPr="00B574C8">
        <w:rPr>
          <w:sz w:val="24"/>
          <w:szCs w:val="24"/>
        </w:rPr>
        <w:t>/</w:t>
      </w:r>
      <w:proofErr w:type="spellStart"/>
      <w:r w:rsidRPr="00B574C8">
        <w:rPr>
          <w:sz w:val="24"/>
          <w:szCs w:val="24"/>
        </w:rPr>
        <w:t>prostaglandinsyntese</w:t>
      </w:r>
      <w:proofErr w:type="spellEnd"/>
      <w:r w:rsidRPr="00B574C8">
        <w:rPr>
          <w:sz w:val="24"/>
          <w:szCs w:val="24"/>
        </w:rPr>
        <w:t>, kan forårsage nedsat fertilitet hos kvinder ved at påvirke ægløsningen.</w:t>
      </w:r>
      <w:bookmarkEnd w:id="113"/>
      <w:r w:rsidRPr="00B574C8">
        <w:rPr>
          <w:sz w:val="24"/>
          <w:szCs w:val="24"/>
        </w:rPr>
        <w:t xml:space="preserve"> </w:t>
      </w:r>
      <w:bookmarkStart w:id="114" w:name="_Hlk128750017"/>
      <w:r w:rsidRPr="00B574C8">
        <w:rPr>
          <w:sz w:val="24"/>
          <w:szCs w:val="24"/>
        </w:rPr>
        <w:t xml:space="preserve">Dette er reversibelt ved </w:t>
      </w:r>
      <w:proofErr w:type="spellStart"/>
      <w:r w:rsidRPr="00B574C8">
        <w:rPr>
          <w:sz w:val="24"/>
          <w:szCs w:val="24"/>
        </w:rPr>
        <w:t>seponering</w:t>
      </w:r>
      <w:proofErr w:type="spellEnd"/>
      <w:r w:rsidRPr="00B574C8">
        <w:rPr>
          <w:sz w:val="24"/>
          <w:szCs w:val="24"/>
        </w:rPr>
        <w:t xml:space="preserve"> af behandlingen. </w:t>
      </w:r>
      <w:bookmarkEnd w:id="114"/>
      <w:r w:rsidRPr="00B574C8">
        <w:rPr>
          <w:sz w:val="24"/>
          <w:szCs w:val="24"/>
        </w:rPr>
        <w:t xml:space="preserve">Anvendelsen af ibuprofen anbefales derfor ikke til kvinder, der forsøger at blive gravide. </w:t>
      </w:r>
    </w:p>
    <w:p w14:paraId="0F8A05C8" w14:textId="77777777" w:rsidR="00826AA6" w:rsidRPr="00B574C8" w:rsidRDefault="00826AA6" w:rsidP="00B574C8">
      <w:pPr>
        <w:ind w:left="851"/>
        <w:rPr>
          <w:sz w:val="24"/>
          <w:szCs w:val="24"/>
        </w:rPr>
      </w:pPr>
    </w:p>
    <w:p w14:paraId="3D0C9183" w14:textId="77777777" w:rsidR="00826AA6" w:rsidRPr="00B574C8" w:rsidRDefault="00826AA6" w:rsidP="00826AA6">
      <w:pPr>
        <w:ind w:left="851"/>
        <w:rPr>
          <w:sz w:val="24"/>
          <w:szCs w:val="24"/>
        </w:rPr>
      </w:pPr>
      <w:bookmarkStart w:id="115" w:name="_Hlk128750071"/>
      <w:proofErr w:type="spellStart"/>
      <w:r w:rsidRPr="00B574C8">
        <w:rPr>
          <w:sz w:val="24"/>
          <w:szCs w:val="24"/>
        </w:rPr>
        <w:t>Seponering</w:t>
      </w:r>
      <w:proofErr w:type="spellEnd"/>
      <w:r w:rsidRPr="00B574C8">
        <w:rPr>
          <w:sz w:val="24"/>
          <w:szCs w:val="24"/>
        </w:rPr>
        <w:t xml:space="preserve"> af ibuprofen bør overvejes hos </w:t>
      </w:r>
      <w:bookmarkEnd w:id="115"/>
      <w:r w:rsidRPr="00B574C8">
        <w:rPr>
          <w:sz w:val="24"/>
          <w:szCs w:val="24"/>
        </w:rPr>
        <w:t xml:space="preserve">kvinder, der har svært ved at blive gravide, eller som undersøges for </w:t>
      </w:r>
      <w:proofErr w:type="spellStart"/>
      <w:r w:rsidRPr="00B574C8">
        <w:rPr>
          <w:sz w:val="24"/>
          <w:szCs w:val="24"/>
        </w:rPr>
        <w:t>infertilitet</w:t>
      </w:r>
      <w:proofErr w:type="spellEnd"/>
      <w:r w:rsidRPr="00B574C8">
        <w:rPr>
          <w:sz w:val="24"/>
          <w:szCs w:val="24"/>
        </w:rPr>
        <w:t>.</w:t>
      </w:r>
      <w:bookmarkEnd w:id="94"/>
    </w:p>
    <w:p w14:paraId="4AA63265" w14:textId="77777777" w:rsidR="009260DE" w:rsidRPr="00B574C8" w:rsidRDefault="009260DE" w:rsidP="009260DE">
      <w:pPr>
        <w:tabs>
          <w:tab w:val="left" w:pos="851"/>
        </w:tabs>
        <w:ind w:left="851"/>
        <w:rPr>
          <w:sz w:val="24"/>
          <w:szCs w:val="24"/>
        </w:rPr>
      </w:pPr>
    </w:p>
    <w:p w14:paraId="64E8336B" w14:textId="77777777" w:rsidR="009260DE" w:rsidRPr="00B574C8" w:rsidRDefault="009260DE" w:rsidP="009260DE">
      <w:pPr>
        <w:tabs>
          <w:tab w:val="left" w:pos="851"/>
        </w:tabs>
        <w:ind w:left="851" w:hanging="851"/>
        <w:rPr>
          <w:b/>
          <w:sz w:val="24"/>
          <w:szCs w:val="24"/>
        </w:rPr>
      </w:pPr>
      <w:r w:rsidRPr="00B574C8">
        <w:rPr>
          <w:b/>
          <w:sz w:val="24"/>
          <w:szCs w:val="24"/>
        </w:rPr>
        <w:t>4.7</w:t>
      </w:r>
      <w:r w:rsidRPr="00B574C8">
        <w:rPr>
          <w:b/>
          <w:sz w:val="24"/>
          <w:szCs w:val="24"/>
        </w:rPr>
        <w:tab/>
        <w:t xml:space="preserve">Virkning på evnen til at føre motorkøretøj </w:t>
      </w:r>
      <w:r w:rsidR="0071241E" w:rsidRPr="00B574C8">
        <w:rPr>
          <w:b/>
          <w:sz w:val="24"/>
          <w:szCs w:val="24"/>
        </w:rPr>
        <w:t>og</w:t>
      </w:r>
      <w:r w:rsidRPr="00B574C8">
        <w:rPr>
          <w:b/>
          <w:sz w:val="24"/>
          <w:szCs w:val="24"/>
        </w:rPr>
        <w:t xml:space="preserve"> betjene maskiner</w:t>
      </w:r>
    </w:p>
    <w:p w14:paraId="543EB0A7" w14:textId="77777777" w:rsidR="00826AA6" w:rsidRPr="00B574C8" w:rsidRDefault="00826AA6" w:rsidP="00826AA6">
      <w:pPr>
        <w:ind w:left="851"/>
        <w:rPr>
          <w:sz w:val="24"/>
          <w:szCs w:val="24"/>
        </w:rPr>
      </w:pPr>
      <w:bookmarkStart w:id="116" w:name="_Hlk125020557"/>
      <w:r w:rsidRPr="00B574C8">
        <w:rPr>
          <w:sz w:val="24"/>
          <w:szCs w:val="24"/>
        </w:rPr>
        <w:t>Ikke mærkning.</w:t>
      </w:r>
    </w:p>
    <w:p w14:paraId="572D9BA9" w14:textId="77777777" w:rsidR="00826AA6" w:rsidRPr="00B574C8" w:rsidRDefault="00826AA6" w:rsidP="00826AA6">
      <w:pPr>
        <w:tabs>
          <w:tab w:val="left" w:pos="851"/>
        </w:tabs>
        <w:ind w:left="855"/>
        <w:rPr>
          <w:sz w:val="24"/>
          <w:szCs w:val="24"/>
        </w:rPr>
      </w:pPr>
      <w:r w:rsidRPr="00B574C8">
        <w:rPr>
          <w:sz w:val="24"/>
          <w:szCs w:val="24"/>
        </w:rPr>
        <w:t>Ibuprofen kan have bivirkninger såsom træthed, svimmelhed og synsforstyrrelser. Reaktionsevnen og evnen til at færdes i trafikken samt betjene maskiner kan være nedsat i isolerede tilfælde. Dette gælder i særlig grad ved kombination med alkohol.</w:t>
      </w:r>
      <w:bookmarkEnd w:id="116"/>
    </w:p>
    <w:p w14:paraId="73545AD9" w14:textId="77777777" w:rsidR="009260DE" w:rsidRPr="00B574C8" w:rsidRDefault="009260DE" w:rsidP="009260DE">
      <w:pPr>
        <w:tabs>
          <w:tab w:val="left" w:pos="851"/>
        </w:tabs>
        <w:ind w:left="851"/>
        <w:rPr>
          <w:sz w:val="24"/>
          <w:szCs w:val="24"/>
        </w:rPr>
      </w:pPr>
    </w:p>
    <w:p w14:paraId="062E1F23" w14:textId="77777777" w:rsidR="009260DE" w:rsidRPr="00B574C8" w:rsidRDefault="009260DE" w:rsidP="009260DE">
      <w:pPr>
        <w:tabs>
          <w:tab w:val="left" w:pos="851"/>
        </w:tabs>
        <w:ind w:left="851" w:hanging="851"/>
        <w:rPr>
          <w:b/>
          <w:sz w:val="24"/>
          <w:szCs w:val="24"/>
        </w:rPr>
      </w:pPr>
      <w:r w:rsidRPr="00B574C8">
        <w:rPr>
          <w:b/>
          <w:sz w:val="24"/>
          <w:szCs w:val="24"/>
        </w:rPr>
        <w:t>4.8</w:t>
      </w:r>
      <w:r w:rsidRPr="00B574C8">
        <w:rPr>
          <w:b/>
          <w:sz w:val="24"/>
          <w:szCs w:val="24"/>
        </w:rPr>
        <w:tab/>
        <w:t>Bivirkninger</w:t>
      </w:r>
    </w:p>
    <w:p w14:paraId="4EBC97DB" w14:textId="77777777" w:rsidR="009C0264" w:rsidRPr="00B574C8" w:rsidRDefault="009C0264" w:rsidP="009C0264">
      <w:pPr>
        <w:ind w:left="851"/>
        <w:rPr>
          <w:sz w:val="24"/>
          <w:szCs w:val="24"/>
        </w:rPr>
      </w:pPr>
      <w:bookmarkStart w:id="117" w:name="_Hlk125020593"/>
      <w:r w:rsidRPr="00B574C8">
        <w:rPr>
          <w:sz w:val="24"/>
          <w:szCs w:val="24"/>
        </w:rPr>
        <w:t xml:space="preserve">Bivirkningerne er hovedsageligt relateret til ibuprofens farmakologiske virkning på </w:t>
      </w:r>
      <w:proofErr w:type="spellStart"/>
      <w:r w:rsidRPr="00B574C8">
        <w:rPr>
          <w:sz w:val="24"/>
          <w:szCs w:val="24"/>
        </w:rPr>
        <w:t>prostaglandinsyntese</w:t>
      </w:r>
      <w:proofErr w:type="spellEnd"/>
      <w:r w:rsidRPr="00B574C8">
        <w:rPr>
          <w:sz w:val="24"/>
          <w:szCs w:val="24"/>
        </w:rPr>
        <w:t xml:space="preserve">. De mest almindelige bivirkninger er </w:t>
      </w:r>
      <w:proofErr w:type="spellStart"/>
      <w:r w:rsidRPr="00B574C8">
        <w:rPr>
          <w:sz w:val="24"/>
          <w:szCs w:val="24"/>
        </w:rPr>
        <w:t>gastrointestinale</w:t>
      </w:r>
      <w:proofErr w:type="spellEnd"/>
      <w:r w:rsidRPr="00B574C8">
        <w:rPr>
          <w:sz w:val="24"/>
          <w:szCs w:val="24"/>
        </w:rPr>
        <w:t>. Ved lejlighedsvis brug med en maksimal daglig dosis på 1200 mg, er bivirkningerne mindre almindelige.</w:t>
      </w:r>
    </w:p>
    <w:p w14:paraId="341A942F" w14:textId="77777777" w:rsidR="009C0264" w:rsidRPr="00B574C8" w:rsidRDefault="009C0264" w:rsidP="009C0264">
      <w:pPr>
        <w:ind w:left="851"/>
        <w:rPr>
          <w:sz w:val="24"/>
          <w:szCs w:val="24"/>
        </w:rPr>
      </w:pPr>
    </w:p>
    <w:p w14:paraId="7AB3B0ED" w14:textId="77777777" w:rsidR="009C0264" w:rsidRPr="00B574C8" w:rsidRDefault="009C0264" w:rsidP="009C0264">
      <w:pPr>
        <w:ind w:left="851"/>
        <w:rPr>
          <w:sz w:val="24"/>
          <w:szCs w:val="24"/>
        </w:rPr>
      </w:pPr>
      <w:bookmarkStart w:id="118" w:name="_Hlk108602674"/>
      <w:r w:rsidRPr="00B574C8">
        <w:rPr>
          <w:sz w:val="24"/>
          <w:szCs w:val="24"/>
        </w:rPr>
        <w:t xml:space="preserve">Nedenstående data </w:t>
      </w:r>
      <w:bookmarkStart w:id="119" w:name="_Hlk128750256"/>
      <w:r w:rsidRPr="00B574C8">
        <w:rPr>
          <w:sz w:val="24"/>
          <w:szCs w:val="24"/>
        </w:rPr>
        <w:t xml:space="preserve">om bivirkninger </w:t>
      </w:r>
      <w:bookmarkEnd w:id="119"/>
      <w:r w:rsidRPr="00B574C8">
        <w:rPr>
          <w:sz w:val="24"/>
          <w:szCs w:val="24"/>
        </w:rPr>
        <w:t>er indsamlet via systematisk gennemgang af data fra kliniske studier, lægemiddelovervågning og indberetning af formodede bivirkninger.</w:t>
      </w:r>
      <w:bookmarkEnd w:id="118"/>
      <w:r w:rsidRPr="00B574C8">
        <w:rPr>
          <w:sz w:val="24"/>
          <w:szCs w:val="24"/>
        </w:rPr>
        <w:t xml:space="preserve"> </w:t>
      </w:r>
    </w:p>
    <w:p w14:paraId="5A977CD7" w14:textId="77777777" w:rsidR="009C0264" w:rsidRPr="00B574C8" w:rsidRDefault="009C0264" w:rsidP="009C0264">
      <w:pPr>
        <w:ind w:left="851"/>
        <w:rPr>
          <w:sz w:val="24"/>
          <w:szCs w:val="24"/>
        </w:rPr>
      </w:pPr>
    </w:p>
    <w:p w14:paraId="009D30FB" w14:textId="77777777" w:rsidR="009C0264" w:rsidRPr="00B574C8" w:rsidRDefault="009C0264" w:rsidP="009C0264">
      <w:pPr>
        <w:ind w:left="851"/>
        <w:rPr>
          <w:sz w:val="24"/>
          <w:szCs w:val="24"/>
        </w:rPr>
      </w:pPr>
      <w:bookmarkStart w:id="120" w:name="_Hlk128750285"/>
      <w:r w:rsidRPr="00B574C8">
        <w:rPr>
          <w:sz w:val="24"/>
          <w:szCs w:val="24"/>
        </w:rPr>
        <w:t xml:space="preserve">Bivirkningerne anføres i tabellen nedenfor iht. </w:t>
      </w:r>
      <w:proofErr w:type="spellStart"/>
      <w:r w:rsidRPr="00B574C8">
        <w:rPr>
          <w:sz w:val="24"/>
          <w:szCs w:val="24"/>
        </w:rPr>
        <w:t>MedDRA</w:t>
      </w:r>
      <w:proofErr w:type="spellEnd"/>
      <w:r w:rsidRPr="00B574C8">
        <w:rPr>
          <w:sz w:val="24"/>
          <w:szCs w:val="24"/>
        </w:rPr>
        <w:t xml:space="preserve"> organklasser og frekvens. Frekvenserne defineres som: Meget almindelig (≥1/10), almindelig (≥1/100 til &lt;1/10), ikke almindelig (≥1/1.000 til &lt;1/100), sjælden (≥1/10.000 til &lt;1/1.000), meget sjælden (&lt;1/10.000), ikke kendt (kan ikke estimeres ud fra forhåndenværende data).</w:t>
      </w:r>
    </w:p>
    <w:p w14:paraId="296CBDBD" w14:textId="77777777" w:rsidR="009C0264" w:rsidRDefault="009C0264" w:rsidP="009C0264">
      <w:pPr>
        <w:ind w:left="851" w:hanging="851"/>
        <w:rPr>
          <w:sz w:val="24"/>
          <w:szCs w:val="24"/>
        </w:rPr>
      </w:pPr>
      <w:bookmarkStart w:id="121" w:name="_Hlk129009460"/>
      <w:bookmarkEnd w:id="117"/>
      <w:bookmarkEnd w:id="120"/>
    </w:p>
    <w:tbl>
      <w:tblPr>
        <w:tblStyle w:val="Tabel-Gitter"/>
        <w:tblW w:w="0" w:type="auto"/>
        <w:tblInd w:w="851" w:type="dxa"/>
        <w:tblLook w:val="04A0" w:firstRow="1" w:lastRow="0" w:firstColumn="1" w:lastColumn="0" w:noHBand="0" w:noVBand="1"/>
      </w:tblPr>
      <w:tblGrid>
        <w:gridCol w:w="4395"/>
        <w:gridCol w:w="4382"/>
      </w:tblGrid>
      <w:tr w:rsidR="009C0264" w:rsidRPr="00740737" w14:paraId="54350B1A" w14:textId="77777777" w:rsidTr="005C3AC1">
        <w:trPr>
          <w:tblHeader/>
        </w:trPr>
        <w:tc>
          <w:tcPr>
            <w:tcW w:w="4395" w:type="dxa"/>
          </w:tcPr>
          <w:p w14:paraId="4BB7CA1C" w14:textId="77777777" w:rsidR="009C0264" w:rsidRPr="00740737" w:rsidRDefault="009C0264" w:rsidP="005C3AC1">
            <w:pPr>
              <w:rPr>
                <w:sz w:val="24"/>
                <w:szCs w:val="24"/>
              </w:rPr>
            </w:pPr>
            <w:r w:rsidRPr="00740737">
              <w:rPr>
                <w:b/>
                <w:sz w:val="24"/>
                <w:szCs w:val="24"/>
              </w:rPr>
              <w:t>Systemorganklasser</w:t>
            </w:r>
          </w:p>
        </w:tc>
        <w:tc>
          <w:tcPr>
            <w:tcW w:w="4382" w:type="dxa"/>
          </w:tcPr>
          <w:p w14:paraId="64D18054" w14:textId="77777777" w:rsidR="009C0264" w:rsidRPr="00740737" w:rsidRDefault="009C0264" w:rsidP="005C3AC1">
            <w:pPr>
              <w:rPr>
                <w:sz w:val="24"/>
                <w:szCs w:val="24"/>
              </w:rPr>
            </w:pPr>
            <w:r w:rsidRPr="00740737">
              <w:rPr>
                <w:b/>
                <w:sz w:val="24"/>
                <w:szCs w:val="24"/>
              </w:rPr>
              <w:t>Bivirkning</w:t>
            </w:r>
          </w:p>
        </w:tc>
      </w:tr>
      <w:tr w:rsidR="009C0264" w:rsidRPr="00740737" w14:paraId="6BEF1E4A" w14:textId="77777777" w:rsidTr="005C3AC1">
        <w:tc>
          <w:tcPr>
            <w:tcW w:w="8777" w:type="dxa"/>
            <w:gridSpan w:val="2"/>
          </w:tcPr>
          <w:p w14:paraId="11F7D690" w14:textId="77777777" w:rsidR="009C0264" w:rsidRPr="00740737" w:rsidRDefault="009C0264" w:rsidP="005C3AC1">
            <w:pPr>
              <w:rPr>
                <w:sz w:val="24"/>
                <w:szCs w:val="24"/>
              </w:rPr>
            </w:pPr>
            <w:r w:rsidRPr="00740737">
              <w:rPr>
                <w:b/>
                <w:sz w:val="24"/>
                <w:szCs w:val="24"/>
              </w:rPr>
              <w:t xml:space="preserve">Infektioner og parasitære sygdomme </w:t>
            </w:r>
            <w:r w:rsidRPr="00740737">
              <w:rPr>
                <w:b/>
                <w:sz w:val="24"/>
                <w:szCs w:val="24"/>
                <w:vertAlign w:val="superscript"/>
              </w:rPr>
              <w:t>1</w:t>
            </w:r>
          </w:p>
        </w:tc>
      </w:tr>
      <w:tr w:rsidR="009C0264" w:rsidRPr="00740737" w14:paraId="5DC5D22A" w14:textId="77777777" w:rsidTr="005C3AC1">
        <w:tc>
          <w:tcPr>
            <w:tcW w:w="4395" w:type="dxa"/>
          </w:tcPr>
          <w:p w14:paraId="4F69DDC4" w14:textId="77777777" w:rsidR="009C0264" w:rsidRPr="00740737" w:rsidRDefault="009C0264" w:rsidP="005C3AC1">
            <w:pPr>
              <w:rPr>
                <w:sz w:val="24"/>
                <w:szCs w:val="24"/>
              </w:rPr>
            </w:pPr>
            <w:r w:rsidRPr="00740737">
              <w:rPr>
                <w:i/>
                <w:iCs/>
                <w:sz w:val="24"/>
                <w:szCs w:val="24"/>
              </w:rPr>
              <w:t>Ikke almindelig</w:t>
            </w:r>
          </w:p>
        </w:tc>
        <w:tc>
          <w:tcPr>
            <w:tcW w:w="4382" w:type="dxa"/>
          </w:tcPr>
          <w:p w14:paraId="2B6D7CCC" w14:textId="77777777" w:rsidR="009C0264" w:rsidRDefault="009C0264" w:rsidP="005C3AC1">
            <w:pPr>
              <w:keepNext/>
              <w:rPr>
                <w:sz w:val="24"/>
                <w:szCs w:val="24"/>
              </w:rPr>
            </w:pPr>
            <w:proofErr w:type="spellStart"/>
            <w:r w:rsidRPr="00740737">
              <w:rPr>
                <w:sz w:val="24"/>
                <w:szCs w:val="24"/>
              </w:rPr>
              <w:t>Rhinitis</w:t>
            </w:r>
            <w:proofErr w:type="spellEnd"/>
          </w:p>
          <w:p w14:paraId="22597AB9" w14:textId="77777777" w:rsidR="009C0264" w:rsidRPr="00740737" w:rsidRDefault="009C0264" w:rsidP="005C3AC1">
            <w:pPr>
              <w:keepNext/>
              <w:rPr>
                <w:sz w:val="24"/>
                <w:szCs w:val="24"/>
              </w:rPr>
            </w:pPr>
          </w:p>
        </w:tc>
      </w:tr>
      <w:tr w:rsidR="009C0264" w:rsidRPr="00740737" w14:paraId="22F302DA" w14:textId="77777777" w:rsidTr="005C3AC1">
        <w:tc>
          <w:tcPr>
            <w:tcW w:w="8777" w:type="dxa"/>
            <w:gridSpan w:val="2"/>
          </w:tcPr>
          <w:p w14:paraId="091C6FA0" w14:textId="77777777" w:rsidR="009C0264" w:rsidRPr="00740737" w:rsidRDefault="009C0264" w:rsidP="005C3AC1">
            <w:pPr>
              <w:rPr>
                <w:sz w:val="24"/>
                <w:szCs w:val="24"/>
              </w:rPr>
            </w:pPr>
            <w:r w:rsidRPr="00740737">
              <w:rPr>
                <w:b/>
                <w:sz w:val="24"/>
                <w:szCs w:val="24"/>
              </w:rPr>
              <w:t>Blod og lymfesystem</w:t>
            </w:r>
          </w:p>
        </w:tc>
      </w:tr>
      <w:tr w:rsidR="009C0264" w:rsidRPr="00740737" w14:paraId="050EFF80" w14:textId="77777777" w:rsidTr="005C3AC1">
        <w:tc>
          <w:tcPr>
            <w:tcW w:w="4395" w:type="dxa"/>
          </w:tcPr>
          <w:p w14:paraId="5FC121BC" w14:textId="77777777" w:rsidR="009C0264" w:rsidRPr="00740737" w:rsidRDefault="009C0264" w:rsidP="005C3AC1">
            <w:pPr>
              <w:rPr>
                <w:sz w:val="24"/>
                <w:szCs w:val="24"/>
              </w:rPr>
            </w:pPr>
            <w:r w:rsidRPr="00740737">
              <w:rPr>
                <w:i/>
                <w:iCs/>
                <w:sz w:val="24"/>
                <w:szCs w:val="24"/>
              </w:rPr>
              <w:t>Sjælden</w:t>
            </w:r>
          </w:p>
        </w:tc>
        <w:tc>
          <w:tcPr>
            <w:tcW w:w="4382" w:type="dxa"/>
          </w:tcPr>
          <w:p w14:paraId="0F382083" w14:textId="77777777" w:rsidR="009C0264" w:rsidRDefault="009C0264" w:rsidP="005C3AC1">
            <w:pPr>
              <w:rPr>
                <w:spacing w:val="-3"/>
                <w:sz w:val="24"/>
                <w:szCs w:val="24"/>
              </w:rPr>
            </w:pPr>
            <w:proofErr w:type="spellStart"/>
            <w:r w:rsidRPr="00740737">
              <w:rPr>
                <w:spacing w:val="-3"/>
                <w:sz w:val="24"/>
                <w:szCs w:val="24"/>
              </w:rPr>
              <w:t>Leukopeni</w:t>
            </w:r>
            <w:proofErr w:type="spellEnd"/>
            <w:r w:rsidRPr="00740737">
              <w:rPr>
                <w:spacing w:val="-3"/>
                <w:sz w:val="24"/>
                <w:szCs w:val="24"/>
              </w:rPr>
              <w:t xml:space="preserve">, </w:t>
            </w:r>
            <w:proofErr w:type="spellStart"/>
            <w:r w:rsidRPr="00740737">
              <w:rPr>
                <w:spacing w:val="-3"/>
                <w:sz w:val="24"/>
                <w:szCs w:val="24"/>
              </w:rPr>
              <w:t>trombocytopeni</w:t>
            </w:r>
            <w:proofErr w:type="spellEnd"/>
            <w:r w:rsidRPr="00740737">
              <w:rPr>
                <w:spacing w:val="-3"/>
                <w:sz w:val="24"/>
                <w:szCs w:val="24"/>
              </w:rPr>
              <w:t xml:space="preserve">, </w:t>
            </w:r>
            <w:proofErr w:type="spellStart"/>
            <w:r w:rsidRPr="00740737">
              <w:rPr>
                <w:spacing w:val="-3"/>
                <w:sz w:val="24"/>
                <w:szCs w:val="24"/>
              </w:rPr>
              <w:t>neutropeni</w:t>
            </w:r>
            <w:proofErr w:type="spellEnd"/>
            <w:r w:rsidRPr="00740737">
              <w:rPr>
                <w:spacing w:val="-3"/>
                <w:sz w:val="24"/>
                <w:szCs w:val="24"/>
              </w:rPr>
              <w:t xml:space="preserve">, </w:t>
            </w:r>
            <w:proofErr w:type="spellStart"/>
            <w:r w:rsidRPr="00740737">
              <w:rPr>
                <w:spacing w:val="-3"/>
                <w:sz w:val="24"/>
                <w:szCs w:val="24"/>
              </w:rPr>
              <w:t>agranulocytose</w:t>
            </w:r>
            <w:proofErr w:type="spellEnd"/>
            <w:r w:rsidRPr="00740737">
              <w:rPr>
                <w:spacing w:val="-3"/>
                <w:sz w:val="24"/>
                <w:szCs w:val="24"/>
              </w:rPr>
              <w:t xml:space="preserve">, </w:t>
            </w:r>
            <w:proofErr w:type="spellStart"/>
            <w:r w:rsidRPr="00740737">
              <w:rPr>
                <w:spacing w:val="-3"/>
                <w:sz w:val="24"/>
                <w:szCs w:val="24"/>
              </w:rPr>
              <w:t>aplastisk</w:t>
            </w:r>
            <w:proofErr w:type="spellEnd"/>
            <w:r w:rsidRPr="00740737">
              <w:rPr>
                <w:spacing w:val="-3"/>
                <w:sz w:val="24"/>
                <w:szCs w:val="24"/>
              </w:rPr>
              <w:t xml:space="preserve"> og </w:t>
            </w:r>
            <w:proofErr w:type="spellStart"/>
            <w:r w:rsidRPr="00740737">
              <w:rPr>
                <w:spacing w:val="-3"/>
                <w:sz w:val="24"/>
                <w:szCs w:val="24"/>
              </w:rPr>
              <w:t>hæmolytisk</w:t>
            </w:r>
            <w:proofErr w:type="spellEnd"/>
            <w:r w:rsidRPr="00740737">
              <w:rPr>
                <w:spacing w:val="-3"/>
                <w:sz w:val="24"/>
                <w:szCs w:val="24"/>
              </w:rPr>
              <w:t xml:space="preserve"> anæmi </w:t>
            </w:r>
          </w:p>
          <w:p w14:paraId="7743F4B0" w14:textId="77777777" w:rsidR="009C0264" w:rsidRPr="00740737" w:rsidRDefault="009C0264" w:rsidP="005C3AC1">
            <w:pPr>
              <w:rPr>
                <w:spacing w:val="-3"/>
                <w:sz w:val="24"/>
                <w:szCs w:val="24"/>
              </w:rPr>
            </w:pPr>
          </w:p>
        </w:tc>
      </w:tr>
      <w:tr w:rsidR="009C0264" w:rsidRPr="00740737" w14:paraId="7A7E9BC9" w14:textId="77777777" w:rsidTr="005C3AC1">
        <w:tc>
          <w:tcPr>
            <w:tcW w:w="8777" w:type="dxa"/>
            <w:gridSpan w:val="2"/>
          </w:tcPr>
          <w:p w14:paraId="2B6C72D8" w14:textId="77777777" w:rsidR="009C0264" w:rsidRPr="00740737" w:rsidRDefault="009C0264" w:rsidP="005C3AC1">
            <w:pPr>
              <w:rPr>
                <w:sz w:val="24"/>
                <w:szCs w:val="24"/>
              </w:rPr>
            </w:pPr>
            <w:r w:rsidRPr="00740737">
              <w:rPr>
                <w:b/>
                <w:sz w:val="24"/>
                <w:szCs w:val="24"/>
              </w:rPr>
              <w:lastRenderedPageBreak/>
              <w:t xml:space="preserve">Immunsystemet </w:t>
            </w:r>
            <w:r w:rsidRPr="00740737">
              <w:rPr>
                <w:b/>
                <w:sz w:val="24"/>
                <w:szCs w:val="24"/>
                <w:vertAlign w:val="superscript"/>
              </w:rPr>
              <w:t>2</w:t>
            </w:r>
          </w:p>
        </w:tc>
      </w:tr>
      <w:tr w:rsidR="009C0264" w:rsidRPr="00740737" w14:paraId="05A4BD61" w14:textId="77777777" w:rsidTr="005C3AC1">
        <w:tc>
          <w:tcPr>
            <w:tcW w:w="4395" w:type="dxa"/>
          </w:tcPr>
          <w:p w14:paraId="662B6D9F" w14:textId="77777777" w:rsidR="009C0264" w:rsidRPr="00740737" w:rsidRDefault="009C0264" w:rsidP="005C3AC1">
            <w:pPr>
              <w:rPr>
                <w:b/>
                <w:sz w:val="24"/>
                <w:szCs w:val="24"/>
              </w:rPr>
            </w:pPr>
            <w:r w:rsidRPr="00740737">
              <w:rPr>
                <w:i/>
                <w:iCs/>
                <w:sz w:val="24"/>
                <w:szCs w:val="24"/>
              </w:rPr>
              <w:t>Ikke almindelig</w:t>
            </w:r>
          </w:p>
        </w:tc>
        <w:tc>
          <w:tcPr>
            <w:tcW w:w="4382" w:type="dxa"/>
          </w:tcPr>
          <w:p w14:paraId="2B19537D" w14:textId="77777777" w:rsidR="009C0264" w:rsidRPr="00740737" w:rsidRDefault="009C0264" w:rsidP="005C3AC1">
            <w:pPr>
              <w:rPr>
                <w:sz w:val="24"/>
                <w:szCs w:val="24"/>
              </w:rPr>
            </w:pPr>
            <w:r w:rsidRPr="00740737">
              <w:rPr>
                <w:sz w:val="24"/>
                <w:szCs w:val="24"/>
              </w:rPr>
              <w:t>Hypersensitivitet</w:t>
            </w:r>
          </w:p>
        </w:tc>
      </w:tr>
      <w:tr w:rsidR="009C0264" w:rsidRPr="00740737" w14:paraId="7FAF9BE3" w14:textId="77777777" w:rsidTr="005C3AC1">
        <w:tc>
          <w:tcPr>
            <w:tcW w:w="4395" w:type="dxa"/>
          </w:tcPr>
          <w:p w14:paraId="1C01D2FC" w14:textId="77777777" w:rsidR="009C0264" w:rsidRPr="00740737" w:rsidRDefault="009C0264" w:rsidP="005C3AC1">
            <w:pPr>
              <w:rPr>
                <w:b/>
                <w:sz w:val="24"/>
                <w:szCs w:val="24"/>
              </w:rPr>
            </w:pPr>
            <w:r w:rsidRPr="00740737">
              <w:rPr>
                <w:i/>
                <w:iCs/>
                <w:sz w:val="24"/>
                <w:szCs w:val="24"/>
              </w:rPr>
              <w:t>Sjælden</w:t>
            </w:r>
          </w:p>
        </w:tc>
        <w:tc>
          <w:tcPr>
            <w:tcW w:w="4382" w:type="dxa"/>
          </w:tcPr>
          <w:p w14:paraId="0D07CF7D" w14:textId="77777777" w:rsidR="009C0264" w:rsidRPr="00740737" w:rsidRDefault="009C0264" w:rsidP="005C3AC1">
            <w:pPr>
              <w:rPr>
                <w:sz w:val="24"/>
                <w:szCs w:val="24"/>
              </w:rPr>
            </w:pPr>
            <w:proofErr w:type="spellStart"/>
            <w:r w:rsidRPr="00740737">
              <w:rPr>
                <w:sz w:val="24"/>
                <w:szCs w:val="24"/>
              </w:rPr>
              <w:t>Anafylaktisk</w:t>
            </w:r>
            <w:proofErr w:type="spellEnd"/>
            <w:r w:rsidRPr="00740737">
              <w:rPr>
                <w:sz w:val="24"/>
                <w:szCs w:val="24"/>
              </w:rPr>
              <w:t xml:space="preserve"> reaktion</w:t>
            </w:r>
          </w:p>
        </w:tc>
      </w:tr>
      <w:tr w:rsidR="009C0264" w:rsidRPr="00740737" w14:paraId="029B2801" w14:textId="77777777" w:rsidTr="005C3AC1">
        <w:tc>
          <w:tcPr>
            <w:tcW w:w="8777" w:type="dxa"/>
            <w:gridSpan w:val="2"/>
          </w:tcPr>
          <w:p w14:paraId="0EFC5D7C" w14:textId="77777777" w:rsidR="009C0264" w:rsidRPr="00740737" w:rsidRDefault="009C0264" w:rsidP="005C3AC1">
            <w:pPr>
              <w:keepNext/>
              <w:rPr>
                <w:sz w:val="24"/>
                <w:szCs w:val="24"/>
              </w:rPr>
            </w:pPr>
            <w:r w:rsidRPr="00740737">
              <w:rPr>
                <w:b/>
                <w:sz w:val="24"/>
                <w:szCs w:val="24"/>
              </w:rPr>
              <w:t>Psykiske forstyrrelser</w:t>
            </w:r>
          </w:p>
        </w:tc>
      </w:tr>
      <w:tr w:rsidR="009C0264" w:rsidRPr="00740737" w14:paraId="1FC5570D" w14:textId="77777777" w:rsidTr="005C3AC1">
        <w:tc>
          <w:tcPr>
            <w:tcW w:w="4395" w:type="dxa"/>
          </w:tcPr>
          <w:p w14:paraId="155A6C8F" w14:textId="77777777" w:rsidR="009C0264" w:rsidRPr="00740737" w:rsidRDefault="009C0264" w:rsidP="005C3AC1">
            <w:pPr>
              <w:keepNext/>
              <w:rPr>
                <w:b/>
                <w:sz w:val="24"/>
                <w:szCs w:val="24"/>
              </w:rPr>
            </w:pPr>
            <w:r w:rsidRPr="00740737">
              <w:rPr>
                <w:i/>
                <w:iCs/>
                <w:sz w:val="24"/>
                <w:szCs w:val="24"/>
              </w:rPr>
              <w:t>Almindelig</w:t>
            </w:r>
          </w:p>
        </w:tc>
        <w:tc>
          <w:tcPr>
            <w:tcW w:w="4382" w:type="dxa"/>
          </w:tcPr>
          <w:p w14:paraId="49035449" w14:textId="77777777" w:rsidR="009C0264" w:rsidRPr="00740737" w:rsidRDefault="009C0264" w:rsidP="005C3AC1">
            <w:pPr>
              <w:keepNext/>
              <w:rPr>
                <w:spacing w:val="-3"/>
                <w:sz w:val="24"/>
                <w:szCs w:val="24"/>
              </w:rPr>
            </w:pPr>
            <w:r w:rsidRPr="00740737">
              <w:rPr>
                <w:spacing w:val="-3"/>
                <w:sz w:val="24"/>
                <w:szCs w:val="24"/>
              </w:rPr>
              <w:t>Agitation, irritabilitet</w:t>
            </w:r>
          </w:p>
        </w:tc>
      </w:tr>
      <w:tr w:rsidR="009C0264" w:rsidRPr="00740737" w14:paraId="7EA7FAFD" w14:textId="77777777" w:rsidTr="005C3AC1">
        <w:tc>
          <w:tcPr>
            <w:tcW w:w="4395" w:type="dxa"/>
          </w:tcPr>
          <w:p w14:paraId="70A96217" w14:textId="77777777" w:rsidR="009C0264" w:rsidRPr="00740737" w:rsidRDefault="009C0264" w:rsidP="005C3AC1">
            <w:pPr>
              <w:keepNext/>
              <w:rPr>
                <w:b/>
                <w:sz w:val="24"/>
                <w:szCs w:val="24"/>
              </w:rPr>
            </w:pPr>
            <w:r w:rsidRPr="00740737">
              <w:rPr>
                <w:i/>
                <w:iCs/>
                <w:sz w:val="24"/>
                <w:szCs w:val="24"/>
              </w:rPr>
              <w:t>Ikke almindelig</w:t>
            </w:r>
          </w:p>
        </w:tc>
        <w:tc>
          <w:tcPr>
            <w:tcW w:w="4382" w:type="dxa"/>
          </w:tcPr>
          <w:p w14:paraId="2D24FA6D" w14:textId="77777777" w:rsidR="009C0264" w:rsidRPr="00740737" w:rsidRDefault="009C0264" w:rsidP="005C3AC1">
            <w:pPr>
              <w:keepNext/>
              <w:rPr>
                <w:sz w:val="24"/>
                <w:szCs w:val="24"/>
              </w:rPr>
            </w:pPr>
            <w:r w:rsidRPr="00740737">
              <w:rPr>
                <w:sz w:val="24"/>
                <w:szCs w:val="24"/>
              </w:rPr>
              <w:t>Angst</w:t>
            </w:r>
          </w:p>
        </w:tc>
      </w:tr>
      <w:tr w:rsidR="009C0264" w:rsidRPr="00740737" w14:paraId="4C093167" w14:textId="77777777" w:rsidTr="005C3AC1">
        <w:tc>
          <w:tcPr>
            <w:tcW w:w="4395" w:type="dxa"/>
          </w:tcPr>
          <w:p w14:paraId="0D54C27C" w14:textId="77777777" w:rsidR="009C0264" w:rsidRPr="00740737" w:rsidRDefault="009C0264" w:rsidP="005C3AC1">
            <w:pPr>
              <w:rPr>
                <w:b/>
                <w:sz w:val="24"/>
                <w:szCs w:val="24"/>
              </w:rPr>
            </w:pPr>
            <w:r w:rsidRPr="00740737">
              <w:rPr>
                <w:i/>
                <w:iCs/>
                <w:sz w:val="24"/>
                <w:szCs w:val="24"/>
              </w:rPr>
              <w:t>Sjælden</w:t>
            </w:r>
          </w:p>
        </w:tc>
        <w:tc>
          <w:tcPr>
            <w:tcW w:w="4382" w:type="dxa"/>
          </w:tcPr>
          <w:p w14:paraId="07B5CB38" w14:textId="77777777" w:rsidR="009C0264" w:rsidRDefault="009C0264" w:rsidP="005C3AC1">
            <w:pPr>
              <w:rPr>
                <w:sz w:val="24"/>
                <w:szCs w:val="24"/>
              </w:rPr>
            </w:pPr>
            <w:r w:rsidRPr="00740737">
              <w:rPr>
                <w:sz w:val="24"/>
                <w:szCs w:val="24"/>
              </w:rPr>
              <w:t>Depression, konfusion</w:t>
            </w:r>
          </w:p>
          <w:p w14:paraId="6441D159" w14:textId="77777777" w:rsidR="009C0264" w:rsidRPr="00740737" w:rsidRDefault="009C0264" w:rsidP="005C3AC1">
            <w:pPr>
              <w:rPr>
                <w:sz w:val="24"/>
                <w:szCs w:val="24"/>
              </w:rPr>
            </w:pPr>
          </w:p>
        </w:tc>
      </w:tr>
      <w:tr w:rsidR="009C0264" w:rsidRPr="00740737" w14:paraId="319D9EE7" w14:textId="77777777" w:rsidTr="005C3AC1">
        <w:tc>
          <w:tcPr>
            <w:tcW w:w="8777" w:type="dxa"/>
            <w:gridSpan w:val="2"/>
          </w:tcPr>
          <w:p w14:paraId="17B90FBE" w14:textId="77777777" w:rsidR="009C0264" w:rsidRPr="00740737" w:rsidRDefault="009C0264" w:rsidP="005C3AC1">
            <w:pPr>
              <w:rPr>
                <w:sz w:val="24"/>
                <w:szCs w:val="24"/>
              </w:rPr>
            </w:pPr>
            <w:r w:rsidRPr="00740737">
              <w:rPr>
                <w:b/>
                <w:sz w:val="24"/>
                <w:szCs w:val="24"/>
              </w:rPr>
              <w:t>Nervesystemet</w:t>
            </w:r>
          </w:p>
        </w:tc>
      </w:tr>
      <w:tr w:rsidR="009C0264" w:rsidRPr="00740737" w14:paraId="4EFAD77A" w14:textId="77777777" w:rsidTr="005C3AC1">
        <w:tc>
          <w:tcPr>
            <w:tcW w:w="4395" w:type="dxa"/>
          </w:tcPr>
          <w:p w14:paraId="06E5C436" w14:textId="77777777" w:rsidR="009C0264" w:rsidRPr="00740737" w:rsidRDefault="009C0264" w:rsidP="005C3AC1">
            <w:pPr>
              <w:rPr>
                <w:b/>
                <w:sz w:val="24"/>
                <w:szCs w:val="24"/>
              </w:rPr>
            </w:pPr>
            <w:r w:rsidRPr="00740737">
              <w:rPr>
                <w:i/>
                <w:iCs/>
                <w:sz w:val="24"/>
                <w:szCs w:val="24"/>
              </w:rPr>
              <w:t>Almindelig</w:t>
            </w:r>
          </w:p>
        </w:tc>
        <w:tc>
          <w:tcPr>
            <w:tcW w:w="4382" w:type="dxa"/>
          </w:tcPr>
          <w:p w14:paraId="37A4F940" w14:textId="77777777" w:rsidR="009C0264" w:rsidRPr="00740737" w:rsidRDefault="009C0264" w:rsidP="005C3AC1">
            <w:pPr>
              <w:keepNext/>
              <w:rPr>
                <w:spacing w:val="-3"/>
                <w:sz w:val="24"/>
                <w:szCs w:val="24"/>
              </w:rPr>
            </w:pPr>
            <w:r w:rsidRPr="00740737">
              <w:rPr>
                <w:spacing w:val="-3"/>
                <w:sz w:val="24"/>
                <w:szCs w:val="24"/>
              </w:rPr>
              <w:t xml:space="preserve">Hovedpine, </w:t>
            </w:r>
            <w:proofErr w:type="spellStart"/>
            <w:r w:rsidRPr="00740737">
              <w:rPr>
                <w:spacing w:val="-3"/>
                <w:sz w:val="24"/>
                <w:szCs w:val="24"/>
              </w:rPr>
              <w:t>somnolens</w:t>
            </w:r>
            <w:proofErr w:type="spellEnd"/>
            <w:r w:rsidRPr="00740737">
              <w:rPr>
                <w:spacing w:val="-3"/>
                <w:sz w:val="24"/>
                <w:szCs w:val="24"/>
              </w:rPr>
              <w:t xml:space="preserve">, </w:t>
            </w:r>
            <w:proofErr w:type="spellStart"/>
            <w:r w:rsidRPr="00740737">
              <w:rPr>
                <w:spacing w:val="-3"/>
                <w:sz w:val="24"/>
                <w:szCs w:val="24"/>
              </w:rPr>
              <w:t>vertigo</w:t>
            </w:r>
            <w:proofErr w:type="spellEnd"/>
            <w:r w:rsidRPr="00740737">
              <w:rPr>
                <w:spacing w:val="-3"/>
                <w:sz w:val="24"/>
                <w:szCs w:val="24"/>
              </w:rPr>
              <w:t xml:space="preserve">, træthed, </w:t>
            </w:r>
            <w:proofErr w:type="spellStart"/>
            <w:r w:rsidRPr="00740737">
              <w:rPr>
                <w:spacing w:val="-3"/>
                <w:sz w:val="24"/>
                <w:szCs w:val="24"/>
              </w:rPr>
              <w:t>insomni</w:t>
            </w:r>
            <w:proofErr w:type="spellEnd"/>
          </w:p>
        </w:tc>
      </w:tr>
      <w:tr w:rsidR="009C0264" w:rsidRPr="00740737" w14:paraId="1AA99A83" w14:textId="77777777" w:rsidTr="005C3AC1">
        <w:tc>
          <w:tcPr>
            <w:tcW w:w="4395" w:type="dxa"/>
          </w:tcPr>
          <w:p w14:paraId="08294B40" w14:textId="77777777" w:rsidR="009C0264" w:rsidRPr="00740737" w:rsidRDefault="009C0264" w:rsidP="005C3AC1">
            <w:pPr>
              <w:rPr>
                <w:i/>
                <w:iCs/>
                <w:sz w:val="24"/>
                <w:szCs w:val="24"/>
              </w:rPr>
            </w:pPr>
            <w:r w:rsidRPr="00740737">
              <w:rPr>
                <w:i/>
                <w:iCs/>
                <w:sz w:val="24"/>
                <w:szCs w:val="24"/>
              </w:rPr>
              <w:t>Ikke almindelig</w:t>
            </w:r>
          </w:p>
        </w:tc>
        <w:tc>
          <w:tcPr>
            <w:tcW w:w="4382" w:type="dxa"/>
          </w:tcPr>
          <w:p w14:paraId="33388741" w14:textId="77777777" w:rsidR="009C0264" w:rsidRPr="00740737" w:rsidRDefault="009C0264" w:rsidP="005C3AC1">
            <w:pPr>
              <w:keepNext/>
              <w:rPr>
                <w:spacing w:val="-3"/>
                <w:sz w:val="24"/>
                <w:szCs w:val="24"/>
              </w:rPr>
            </w:pPr>
            <w:proofErr w:type="spellStart"/>
            <w:r w:rsidRPr="00740737">
              <w:rPr>
                <w:spacing w:val="-3"/>
                <w:sz w:val="24"/>
                <w:szCs w:val="24"/>
              </w:rPr>
              <w:t>Paræstesier</w:t>
            </w:r>
            <w:proofErr w:type="spellEnd"/>
          </w:p>
        </w:tc>
      </w:tr>
      <w:tr w:rsidR="009C0264" w:rsidRPr="00740737" w14:paraId="5A6AD272" w14:textId="77777777" w:rsidTr="005C3AC1">
        <w:tc>
          <w:tcPr>
            <w:tcW w:w="4395" w:type="dxa"/>
          </w:tcPr>
          <w:p w14:paraId="77995B85" w14:textId="77777777" w:rsidR="009C0264" w:rsidRPr="00740737" w:rsidRDefault="009C0264" w:rsidP="005C3AC1">
            <w:pPr>
              <w:rPr>
                <w:i/>
                <w:iCs/>
                <w:sz w:val="24"/>
                <w:szCs w:val="24"/>
              </w:rPr>
            </w:pPr>
            <w:r w:rsidRPr="00740737">
              <w:rPr>
                <w:i/>
                <w:iCs/>
                <w:sz w:val="24"/>
                <w:szCs w:val="24"/>
              </w:rPr>
              <w:t>Sjælden</w:t>
            </w:r>
          </w:p>
        </w:tc>
        <w:tc>
          <w:tcPr>
            <w:tcW w:w="4382" w:type="dxa"/>
          </w:tcPr>
          <w:p w14:paraId="5158E58A" w14:textId="77777777" w:rsidR="009C0264" w:rsidRPr="00740737" w:rsidRDefault="009C0264" w:rsidP="005C3AC1">
            <w:pPr>
              <w:keepNext/>
              <w:rPr>
                <w:sz w:val="24"/>
                <w:szCs w:val="24"/>
              </w:rPr>
            </w:pPr>
            <w:proofErr w:type="spellStart"/>
            <w:r w:rsidRPr="00740737">
              <w:rPr>
                <w:sz w:val="24"/>
                <w:szCs w:val="24"/>
              </w:rPr>
              <w:t>Opticus</w:t>
            </w:r>
            <w:proofErr w:type="spellEnd"/>
            <w:r w:rsidRPr="00740737">
              <w:rPr>
                <w:sz w:val="24"/>
                <w:szCs w:val="24"/>
              </w:rPr>
              <w:t xml:space="preserve"> </w:t>
            </w:r>
            <w:proofErr w:type="spellStart"/>
            <w:r w:rsidRPr="00740737">
              <w:rPr>
                <w:sz w:val="24"/>
                <w:szCs w:val="24"/>
              </w:rPr>
              <w:t>neuritis</w:t>
            </w:r>
            <w:proofErr w:type="spellEnd"/>
          </w:p>
        </w:tc>
      </w:tr>
      <w:tr w:rsidR="009C0264" w:rsidRPr="00740737" w14:paraId="231F8A72" w14:textId="77777777" w:rsidTr="005C3AC1">
        <w:tc>
          <w:tcPr>
            <w:tcW w:w="4395" w:type="dxa"/>
          </w:tcPr>
          <w:p w14:paraId="4F184E28" w14:textId="77777777" w:rsidR="009C0264" w:rsidRPr="00740737" w:rsidRDefault="009C0264" w:rsidP="005C3AC1">
            <w:pPr>
              <w:rPr>
                <w:i/>
                <w:iCs/>
                <w:sz w:val="24"/>
                <w:szCs w:val="24"/>
              </w:rPr>
            </w:pPr>
            <w:r w:rsidRPr="00740737">
              <w:rPr>
                <w:i/>
                <w:iCs/>
                <w:sz w:val="24"/>
                <w:szCs w:val="24"/>
              </w:rPr>
              <w:t>Meget sjælden</w:t>
            </w:r>
          </w:p>
        </w:tc>
        <w:tc>
          <w:tcPr>
            <w:tcW w:w="4382" w:type="dxa"/>
          </w:tcPr>
          <w:p w14:paraId="727B4033" w14:textId="77777777" w:rsidR="009C0264" w:rsidRDefault="009C0264" w:rsidP="005C3AC1">
            <w:pPr>
              <w:rPr>
                <w:sz w:val="24"/>
                <w:szCs w:val="24"/>
              </w:rPr>
            </w:pPr>
            <w:r w:rsidRPr="00740737">
              <w:rPr>
                <w:sz w:val="24"/>
                <w:szCs w:val="24"/>
              </w:rPr>
              <w:t xml:space="preserve">Aseptisk meningitis. Risikoen er højere hos patienter med systemisk lupus </w:t>
            </w:r>
            <w:proofErr w:type="spellStart"/>
            <w:r w:rsidRPr="00740737">
              <w:rPr>
                <w:sz w:val="24"/>
                <w:szCs w:val="24"/>
              </w:rPr>
              <w:t>erythematosus</w:t>
            </w:r>
            <w:proofErr w:type="spellEnd"/>
            <w:r w:rsidRPr="00740737">
              <w:rPr>
                <w:sz w:val="24"/>
                <w:szCs w:val="24"/>
              </w:rPr>
              <w:t xml:space="preserve"> (SLE) eller andre bindevævssygdomme, men det er også blevet rapporteret hos patienter uden kronisk sygdom.</w:t>
            </w:r>
          </w:p>
          <w:p w14:paraId="7D5AE567" w14:textId="77777777" w:rsidR="009C0264" w:rsidRPr="00740737" w:rsidRDefault="009C0264" w:rsidP="005C3AC1">
            <w:pPr>
              <w:rPr>
                <w:sz w:val="24"/>
                <w:szCs w:val="24"/>
              </w:rPr>
            </w:pPr>
          </w:p>
        </w:tc>
      </w:tr>
      <w:tr w:rsidR="009C0264" w:rsidRPr="00740737" w14:paraId="33787CF3" w14:textId="77777777" w:rsidTr="005C3AC1">
        <w:tc>
          <w:tcPr>
            <w:tcW w:w="8777" w:type="dxa"/>
            <w:gridSpan w:val="2"/>
          </w:tcPr>
          <w:p w14:paraId="0C0EEBCB" w14:textId="77777777" w:rsidR="009C0264" w:rsidRPr="00740737" w:rsidRDefault="009C0264" w:rsidP="005C3AC1">
            <w:pPr>
              <w:rPr>
                <w:sz w:val="24"/>
                <w:szCs w:val="24"/>
              </w:rPr>
            </w:pPr>
            <w:r w:rsidRPr="00740737">
              <w:rPr>
                <w:b/>
                <w:sz w:val="24"/>
                <w:szCs w:val="24"/>
              </w:rPr>
              <w:t>Øjne</w:t>
            </w:r>
          </w:p>
        </w:tc>
      </w:tr>
      <w:tr w:rsidR="009C0264" w:rsidRPr="00740737" w14:paraId="770DE743" w14:textId="77777777" w:rsidTr="005C3AC1">
        <w:tc>
          <w:tcPr>
            <w:tcW w:w="4395" w:type="dxa"/>
          </w:tcPr>
          <w:p w14:paraId="305E4494" w14:textId="77777777" w:rsidR="009C0264" w:rsidRPr="00740737" w:rsidRDefault="009C0264" w:rsidP="005C3AC1">
            <w:pPr>
              <w:rPr>
                <w:i/>
                <w:iCs/>
                <w:sz w:val="24"/>
                <w:szCs w:val="24"/>
              </w:rPr>
            </w:pPr>
            <w:r w:rsidRPr="00740737">
              <w:rPr>
                <w:i/>
                <w:iCs/>
                <w:sz w:val="24"/>
                <w:szCs w:val="24"/>
              </w:rPr>
              <w:t>Ikke almindelig</w:t>
            </w:r>
          </w:p>
        </w:tc>
        <w:tc>
          <w:tcPr>
            <w:tcW w:w="4382" w:type="dxa"/>
          </w:tcPr>
          <w:p w14:paraId="2B79B47D" w14:textId="77777777" w:rsidR="009C0264" w:rsidRPr="00740737" w:rsidRDefault="009C0264" w:rsidP="005C3AC1">
            <w:pPr>
              <w:rPr>
                <w:sz w:val="24"/>
                <w:szCs w:val="24"/>
              </w:rPr>
            </w:pPr>
            <w:r w:rsidRPr="00740737">
              <w:rPr>
                <w:sz w:val="24"/>
                <w:szCs w:val="24"/>
              </w:rPr>
              <w:t>Synsforstyrrelser</w:t>
            </w:r>
          </w:p>
        </w:tc>
      </w:tr>
      <w:tr w:rsidR="009C0264" w:rsidRPr="00740737" w14:paraId="5FCB571D" w14:textId="77777777" w:rsidTr="005C3AC1">
        <w:tc>
          <w:tcPr>
            <w:tcW w:w="4395" w:type="dxa"/>
          </w:tcPr>
          <w:p w14:paraId="6B6DFCF5" w14:textId="77777777" w:rsidR="009C0264" w:rsidRPr="00740737" w:rsidRDefault="009C0264" w:rsidP="005C3AC1">
            <w:pPr>
              <w:rPr>
                <w:i/>
                <w:iCs/>
                <w:sz w:val="24"/>
                <w:szCs w:val="24"/>
              </w:rPr>
            </w:pPr>
            <w:r w:rsidRPr="00740737">
              <w:rPr>
                <w:i/>
                <w:iCs/>
                <w:sz w:val="24"/>
                <w:szCs w:val="24"/>
              </w:rPr>
              <w:t>Sjælden</w:t>
            </w:r>
          </w:p>
        </w:tc>
        <w:tc>
          <w:tcPr>
            <w:tcW w:w="4382" w:type="dxa"/>
          </w:tcPr>
          <w:p w14:paraId="758E3A83" w14:textId="77777777" w:rsidR="009C0264" w:rsidRDefault="009C0264" w:rsidP="005C3AC1">
            <w:pPr>
              <w:rPr>
                <w:sz w:val="24"/>
                <w:szCs w:val="24"/>
              </w:rPr>
            </w:pPr>
            <w:r w:rsidRPr="00740737">
              <w:rPr>
                <w:sz w:val="24"/>
                <w:szCs w:val="24"/>
              </w:rPr>
              <w:t xml:space="preserve">Toksisk optisk </w:t>
            </w:r>
            <w:proofErr w:type="spellStart"/>
            <w:r w:rsidRPr="00740737">
              <w:rPr>
                <w:sz w:val="24"/>
                <w:szCs w:val="24"/>
              </w:rPr>
              <w:t>neuropati</w:t>
            </w:r>
            <w:proofErr w:type="spellEnd"/>
          </w:p>
          <w:p w14:paraId="6C67A900" w14:textId="77777777" w:rsidR="009C0264" w:rsidRPr="00740737" w:rsidRDefault="009C0264" w:rsidP="005C3AC1">
            <w:pPr>
              <w:rPr>
                <w:sz w:val="24"/>
                <w:szCs w:val="24"/>
              </w:rPr>
            </w:pPr>
          </w:p>
        </w:tc>
      </w:tr>
      <w:tr w:rsidR="009C0264" w:rsidRPr="00740737" w14:paraId="40578321" w14:textId="77777777" w:rsidTr="005C3AC1">
        <w:tc>
          <w:tcPr>
            <w:tcW w:w="8777" w:type="dxa"/>
            <w:gridSpan w:val="2"/>
          </w:tcPr>
          <w:p w14:paraId="16D9E5F4" w14:textId="77777777" w:rsidR="009C0264" w:rsidRPr="00740737" w:rsidRDefault="009C0264" w:rsidP="005C3AC1">
            <w:pPr>
              <w:rPr>
                <w:sz w:val="24"/>
                <w:szCs w:val="24"/>
              </w:rPr>
            </w:pPr>
            <w:r w:rsidRPr="00740737">
              <w:rPr>
                <w:b/>
                <w:sz w:val="24"/>
                <w:szCs w:val="24"/>
              </w:rPr>
              <w:t>Øre og labyrint</w:t>
            </w:r>
          </w:p>
        </w:tc>
      </w:tr>
      <w:tr w:rsidR="009C0264" w:rsidRPr="00740737" w14:paraId="32175045" w14:textId="77777777" w:rsidTr="005C3AC1">
        <w:tc>
          <w:tcPr>
            <w:tcW w:w="4395" w:type="dxa"/>
          </w:tcPr>
          <w:p w14:paraId="784E5962" w14:textId="77777777" w:rsidR="009C0264" w:rsidRPr="00740737" w:rsidRDefault="009C0264" w:rsidP="005C3AC1">
            <w:pPr>
              <w:rPr>
                <w:i/>
                <w:iCs/>
                <w:sz w:val="24"/>
                <w:szCs w:val="24"/>
              </w:rPr>
            </w:pPr>
            <w:r w:rsidRPr="00740737">
              <w:rPr>
                <w:i/>
                <w:iCs/>
                <w:sz w:val="24"/>
                <w:szCs w:val="24"/>
              </w:rPr>
              <w:t>Ikke almindelig</w:t>
            </w:r>
          </w:p>
        </w:tc>
        <w:tc>
          <w:tcPr>
            <w:tcW w:w="4382" w:type="dxa"/>
          </w:tcPr>
          <w:p w14:paraId="70C800FB" w14:textId="77777777" w:rsidR="009C0264" w:rsidRDefault="009C0264" w:rsidP="005C3AC1">
            <w:pPr>
              <w:rPr>
                <w:sz w:val="24"/>
                <w:szCs w:val="24"/>
              </w:rPr>
            </w:pPr>
            <w:r w:rsidRPr="00740737">
              <w:rPr>
                <w:sz w:val="24"/>
                <w:szCs w:val="24"/>
              </w:rPr>
              <w:t xml:space="preserve">Påvirkning af hørelsen, tinnitus, </w:t>
            </w:r>
            <w:proofErr w:type="spellStart"/>
            <w:r w:rsidRPr="00740737">
              <w:rPr>
                <w:sz w:val="24"/>
                <w:szCs w:val="24"/>
              </w:rPr>
              <w:t>vertigo</w:t>
            </w:r>
            <w:proofErr w:type="spellEnd"/>
          </w:p>
          <w:p w14:paraId="43DA8B1A" w14:textId="77777777" w:rsidR="009C0264" w:rsidRPr="00740737" w:rsidRDefault="009C0264" w:rsidP="005C3AC1">
            <w:pPr>
              <w:rPr>
                <w:sz w:val="24"/>
                <w:szCs w:val="24"/>
              </w:rPr>
            </w:pPr>
          </w:p>
        </w:tc>
      </w:tr>
      <w:tr w:rsidR="009C0264" w:rsidRPr="00740737" w14:paraId="1A8A9EF4" w14:textId="77777777" w:rsidTr="005C3AC1">
        <w:tc>
          <w:tcPr>
            <w:tcW w:w="8777" w:type="dxa"/>
            <w:gridSpan w:val="2"/>
          </w:tcPr>
          <w:p w14:paraId="436F2927" w14:textId="77777777" w:rsidR="009C0264" w:rsidRPr="00740737" w:rsidRDefault="009C0264" w:rsidP="005C3AC1">
            <w:pPr>
              <w:rPr>
                <w:sz w:val="24"/>
                <w:szCs w:val="24"/>
              </w:rPr>
            </w:pPr>
            <w:r w:rsidRPr="00740737">
              <w:rPr>
                <w:b/>
                <w:sz w:val="24"/>
                <w:szCs w:val="24"/>
              </w:rPr>
              <w:t>Hjerte</w:t>
            </w:r>
          </w:p>
        </w:tc>
      </w:tr>
      <w:tr w:rsidR="009C0264" w:rsidRPr="00740737" w14:paraId="0D1AF423" w14:textId="77777777" w:rsidTr="005C3AC1">
        <w:tc>
          <w:tcPr>
            <w:tcW w:w="4395" w:type="dxa"/>
          </w:tcPr>
          <w:p w14:paraId="5300ABB0" w14:textId="77777777" w:rsidR="009C0264" w:rsidRPr="00740737" w:rsidRDefault="009C0264" w:rsidP="005C3AC1">
            <w:pPr>
              <w:rPr>
                <w:i/>
                <w:iCs/>
                <w:sz w:val="24"/>
                <w:szCs w:val="24"/>
              </w:rPr>
            </w:pPr>
            <w:r w:rsidRPr="00740737">
              <w:rPr>
                <w:i/>
                <w:iCs/>
                <w:sz w:val="24"/>
                <w:szCs w:val="24"/>
              </w:rPr>
              <w:t>Meget sjælden</w:t>
            </w:r>
          </w:p>
        </w:tc>
        <w:tc>
          <w:tcPr>
            <w:tcW w:w="4382" w:type="dxa"/>
          </w:tcPr>
          <w:p w14:paraId="5BC76FDA" w14:textId="77777777" w:rsidR="009C0264" w:rsidRPr="00740737" w:rsidRDefault="009C0264" w:rsidP="005C3AC1">
            <w:pPr>
              <w:rPr>
                <w:sz w:val="24"/>
                <w:szCs w:val="24"/>
              </w:rPr>
            </w:pPr>
            <w:r w:rsidRPr="00740737">
              <w:rPr>
                <w:sz w:val="24"/>
                <w:szCs w:val="24"/>
              </w:rPr>
              <w:t>Hjertesvigt, myokardieinfarkt (se pkt. 4.4)</w:t>
            </w:r>
          </w:p>
        </w:tc>
      </w:tr>
      <w:tr w:rsidR="009C0264" w:rsidRPr="00740737" w14:paraId="3365C86C" w14:textId="77777777" w:rsidTr="005C3AC1">
        <w:tc>
          <w:tcPr>
            <w:tcW w:w="4395" w:type="dxa"/>
          </w:tcPr>
          <w:p w14:paraId="5E149271" w14:textId="77777777" w:rsidR="009C0264" w:rsidRPr="00740737" w:rsidRDefault="009C0264" w:rsidP="005C3AC1">
            <w:pPr>
              <w:rPr>
                <w:i/>
                <w:iCs/>
                <w:sz w:val="24"/>
                <w:szCs w:val="24"/>
              </w:rPr>
            </w:pPr>
            <w:r w:rsidRPr="00662960">
              <w:rPr>
                <w:i/>
                <w:iCs/>
                <w:sz w:val="24"/>
                <w:szCs w:val="24"/>
              </w:rPr>
              <w:t>Ikke kendt</w:t>
            </w:r>
          </w:p>
        </w:tc>
        <w:tc>
          <w:tcPr>
            <w:tcW w:w="4382" w:type="dxa"/>
          </w:tcPr>
          <w:p w14:paraId="5642EDF0" w14:textId="77777777" w:rsidR="009C0264" w:rsidRDefault="009C0264" w:rsidP="005C3AC1">
            <w:pPr>
              <w:rPr>
                <w:sz w:val="24"/>
                <w:szCs w:val="24"/>
              </w:rPr>
            </w:pPr>
            <w:proofErr w:type="spellStart"/>
            <w:r>
              <w:rPr>
                <w:sz w:val="24"/>
                <w:szCs w:val="24"/>
              </w:rPr>
              <w:t>Kounis</w:t>
            </w:r>
            <w:proofErr w:type="spellEnd"/>
            <w:r>
              <w:rPr>
                <w:sz w:val="24"/>
                <w:szCs w:val="24"/>
              </w:rPr>
              <w:t xml:space="preserve"> syndrom (se pkt. 4.4)</w:t>
            </w:r>
          </w:p>
          <w:p w14:paraId="60AEF7D0" w14:textId="77777777" w:rsidR="009C0264" w:rsidRPr="00740737" w:rsidRDefault="009C0264" w:rsidP="005C3AC1">
            <w:pPr>
              <w:rPr>
                <w:sz w:val="24"/>
                <w:szCs w:val="24"/>
              </w:rPr>
            </w:pPr>
          </w:p>
        </w:tc>
      </w:tr>
      <w:tr w:rsidR="009C0264" w:rsidRPr="00740737" w14:paraId="770BEB0B" w14:textId="77777777" w:rsidTr="005C3AC1">
        <w:tc>
          <w:tcPr>
            <w:tcW w:w="8777" w:type="dxa"/>
            <w:gridSpan w:val="2"/>
          </w:tcPr>
          <w:p w14:paraId="62C69340" w14:textId="77777777" w:rsidR="009C0264" w:rsidRPr="00740737" w:rsidRDefault="009C0264" w:rsidP="005C3AC1">
            <w:pPr>
              <w:rPr>
                <w:sz w:val="24"/>
                <w:szCs w:val="24"/>
              </w:rPr>
            </w:pPr>
            <w:proofErr w:type="spellStart"/>
            <w:r w:rsidRPr="00740737">
              <w:rPr>
                <w:b/>
                <w:sz w:val="24"/>
                <w:szCs w:val="24"/>
              </w:rPr>
              <w:t>Vaskulære</w:t>
            </w:r>
            <w:proofErr w:type="spellEnd"/>
            <w:r w:rsidRPr="00740737">
              <w:rPr>
                <w:b/>
                <w:sz w:val="24"/>
                <w:szCs w:val="24"/>
              </w:rPr>
              <w:t xml:space="preserve"> sygdomme</w:t>
            </w:r>
          </w:p>
        </w:tc>
      </w:tr>
      <w:tr w:rsidR="009C0264" w:rsidRPr="00740737" w14:paraId="5B9D8F38" w14:textId="77777777" w:rsidTr="005C3AC1">
        <w:tc>
          <w:tcPr>
            <w:tcW w:w="4395" w:type="dxa"/>
          </w:tcPr>
          <w:p w14:paraId="1F44FB4F" w14:textId="77777777" w:rsidR="009C0264" w:rsidRPr="00740737" w:rsidRDefault="009C0264" w:rsidP="005C3AC1">
            <w:pPr>
              <w:rPr>
                <w:i/>
                <w:iCs/>
                <w:sz w:val="24"/>
                <w:szCs w:val="24"/>
              </w:rPr>
            </w:pPr>
            <w:r w:rsidRPr="00740737">
              <w:rPr>
                <w:i/>
                <w:iCs/>
                <w:sz w:val="24"/>
                <w:szCs w:val="24"/>
              </w:rPr>
              <w:t>Meget sjælden</w:t>
            </w:r>
          </w:p>
        </w:tc>
        <w:tc>
          <w:tcPr>
            <w:tcW w:w="4382" w:type="dxa"/>
          </w:tcPr>
          <w:p w14:paraId="3469D859" w14:textId="77777777" w:rsidR="009C0264" w:rsidRPr="00740737" w:rsidRDefault="009C0264" w:rsidP="005C3AC1">
            <w:pPr>
              <w:rPr>
                <w:sz w:val="24"/>
                <w:szCs w:val="24"/>
              </w:rPr>
            </w:pPr>
            <w:r w:rsidRPr="00740737">
              <w:rPr>
                <w:sz w:val="24"/>
                <w:szCs w:val="24"/>
              </w:rPr>
              <w:t>Hypertension</w:t>
            </w:r>
          </w:p>
        </w:tc>
      </w:tr>
      <w:tr w:rsidR="009C0264" w:rsidRPr="00740737" w14:paraId="0D0255D5" w14:textId="77777777" w:rsidTr="005C3AC1">
        <w:tc>
          <w:tcPr>
            <w:tcW w:w="8777" w:type="dxa"/>
            <w:gridSpan w:val="2"/>
          </w:tcPr>
          <w:p w14:paraId="468C3CB9" w14:textId="77777777" w:rsidR="009C0264" w:rsidRPr="00740737" w:rsidRDefault="009C0264" w:rsidP="005C3AC1">
            <w:pPr>
              <w:rPr>
                <w:sz w:val="24"/>
                <w:szCs w:val="24"/>
              </w:rPr>
            </w:pPr>
            <w:r w:rsidRPr="00740737">
              <w:rPr>
                <w:b/>
                <w:sz w:val="24"/>
                <w:szCs w:val="24"/>
              </w:rPr>
              <w:t xml:space="preserve">Luftveje, thorax og </w:t>
            </w:r>
            <w:proofErr w:type="spellStart"/>
            <w:r w:rsidRPr="00740737">
              <w:rPr>
                <w:b/>
                <w:sz w:val="24"/>
                <w:szCs w:val="24"/>
              </w:rPr>
              <w:t>mediastinum</w:t>
            </w:r>
            <w:proofErr w:type="spellEnd"/>
          </w:p>
        </w:tc>
      </w:tr>
      <w:tr w:rsidR="009C0264" w:rsidRPr="00740737" w14:paraId="0BBA4130" w14:textId="77777777" w:rsidTr="005C3AC1">
        <w:tc>
          <w:tcPr>
            <w:tcW w:w="4395" w:type="dxa"/>
          </w:tcPr>
          <w:p w14:paraId="2DA390F1" w14:textId="77777777" w:rsidR="009C0264" w:rsidRPr="00740737" w:rsidRDefault="009C0264" w:rsidP="005C3AC1">
            <w:pPr>
              <w:rPr>
                <w:i/>
                <w:sz w:val="24"/>
                <w:szCs w:val="24"/>
              </w:rPr>
            </w:pPr>
            <w:r w:rsidRPr="00740737">
              <w:rPr>
                <w:i/>
                <w:sz w:val="24"/>
                <w:szCs w:val="24"/>
              </w:rPr>
              <w:t>Ikke almindelig</w:t>
            </w:r>
          </w:p>
        </w:tc>
        <w:tc>
          <w:tcPr>
            <w:tcW w:w="4382" w:type="dxa"/>
          </w:tcPr>
          <w:p w14:paraId="76FC28BE" w14:textId="77777777" w:rsidR="009C0264" w:rsidRDefault="009C0264" w:rsidP="005C3AC1">
            <w:pPr>
              <w:rPr>
                <w:sz w:val="24"/>
                <w:szCs w:val="24"/>
              </w:rPr>
            </w:pPr>
            <w:r w:rsidRPr="00740737">
              <w:rPr>
                <w:sz w:val="24"/>
                <w:szCs w:val="24"/>
              </w:rPr>
              <w:t xml:space="preserve">Astma, </w:t>
            </w:r>
            <w:proofErr w:type="spellStart"/>
            <w:r w:rsidRPr="00740737">
              <w:rPr>
                <w:sz w:val="24"/>
                <w:szCs w:val="24"/>
              </w:rPr>
              <w:t>bronkospasme</w:t>
            </w:r>
            <w:proofErr w:type="spellEnd"/>
            <w:r w:rsidRPr="00740737">
              <w:rPr>
                <w:sz w:val="24"/>
                <w:szCs w:val="24"/>
              </w:rPr>
              <w:t>, dyspnø</w:t>
            </w:r>
          </w:p>
          <w:p w14:paraId="42B3EDE5" w14:textId="77777777" w:rsidR="009C0264" w:rsidRPr="00740737" w:rsidRDefault="009C0264" w:rsidP="005C3AC1">
            <w:pPr>
              <w:rPr>
                <w:sz w:val="24"/>
                <w:szCs w:val="24"/>
              </w:rPr>
            </w:pPr>
          </w:p>
        </w:tc>
      </w:tr>
      <w:tr w:rsidR="009C0264" w:rsidRPr="00740737" w14:paraId="1AD22750" w14:textId="77777777" w:rsidTr="005C3AC1">
        <w:tc>
          <w:tcPr>
            <w:tcW w:w="8777" w:type="dxa"/>
            <w:gridSpan w:val="2"/>
          </w:tcPr>
          <w:p w14:paraId="03637D7F" w14:textId="77777777" w:rsidR="009C0264" w:rsidRPr="00740737" w:rsidRDefault="009C0264" w:rsidP="005C3AC1">
            <w:pPr>
              <w:rPr>
                <w:sz w:val="24"/>
                <w:szCs w:val="24"/>
              </w:rPr>
            </w:pPr>
            <w:r w:rsidRPr="00740737">
              <w:rPr>
                <w:b/>
                <w:sz w:val="24"/>
                <w:szCs w:val="24"/>
              </w:rPr>
              <w:t>Mave-tarm-kanalen</w:t>
            </w:r>
            <w:r w:rsidRPr="00740737">
              <w:rPr>
                <w:b/>
                <w:sz w:val="24"/>
                <w:szCs w:val="24"/>
                <w:vertAlign w:val="superscript"/>
              </w:rPr>
              <w:t>3</w:t>
            </w:r>
          </w:p>
        </w:tc>
      </w:tr>
      <w:tr w:rsidR="009C0264" w:rsidRPr="00740737" w14:paraId="0904E1F8" w14:textId="77777777" w:rsidTr="005C3AC1">
        <w:tc>
          <w:tcPr>
            <w:tcW w:w="4395" w:type="dxa"/>
          </w:tcPr>
          <w:p w14:paraId="0B3AE80E" w14:textId="77777777" w:rsidR="009C0264" w:rsidRPr="00740737" w:rsidRDefault="009C0264" w:rsidP="005C3AC1">
            <w:pPr>
              <w:rPr>
                <w:i/>
                <w:iCs/>
                <w:sz w:val="24"/>
                <w:szCs w:val="24"/>
              </w:rPr>
            </w:pPr>
            <w:r w:rsidRPr="00740737">
              <w:rPr>
                <w:i/>
                <w:iCs/>
                <w:sz w:val="24"/>
                <w:szCs w:val="24"/>
              </w:rPr>
              <w:t>Almindelig</w:t>
            </w:r>
          </w:p>
        </w:tc>
        <w:tc>
          <w:tcPr>
            <w:tcW w:w="4382" w:type="dxa"/>
          </w:tcPr>
          <w:p w14:paraId="6DE51934" w14:textId="77777777" w:rsidR="009C0264" w:rsidRPr="00740737" w:rsidRDefault="009C0264" w:rsidP="005C3AC1">
            <w:pPr>
              <w:rPr>
                <w:sz w:val="24"/>
                <w:szCs w:val="24"/>
              </w:rPr>
            </w:pPr>
            <w:r w:rsidRPr="00740737">
              <w:rPr>
                <w:sz w:val="24"/>
                <w:szCs w:val="24"/>
              </w:rPr>
              <w:t xml:space="preserve">Dyspepsi, diarré, kvalme, opkastning, </w:t>
            </w:r>
            <w:proofErr w:type="spellStart"/>
            <w:r w:rsidRPr="00740737">
              <w:rPr>
                <w:sz w:val="24"/>
                <w:szCs w:val="24"/>
              </w:rPr>
              <w:t>abdominale</w:t>
            </w:r>
            <w:proofErr w:type="spellEnd"/>
            <w:r w:rsidRPr="00740737">
              <w:rPr>
                <w:sz w:val="24"/>
                <w:szCs w:val="24"/>
              </w:rPr>
              <w:t xml:space="preserve"> smerter, </w:t>
            </w:r>
            <w:proofErr w:type="spellStart"/>
            <w:r w:rsidRPr="00740737">
              <w:rPr>
                <w:sz w:val="24"/>
                <w:szCs w:val="24"/>
              </w:rPr>
              <w:t>flatulens</w:t>
            </w:r>
            <w:proofErr w:type="spellEnd"/>
            <w:r w:rsidRPr="00740737">
              <w:rPr>
                <w:sz w:val="24"/>
                <w:szCs w:val="24"/>
              </w:rPr>
              <w:t xml:space="preserve">, forstoppelse, </w:t>
            </w:r>
            <w:proofErr w:type="spellStart"/>
            <w:r w:rsidRPr="00740737">
              <w:rPr>
                <w:sz w:val="24"/>
                <w:szCs w:val="24"/>
              </w:rPr>
              <w:t>melæna</w:t>
            </w:r>
            <w:proofErr w:type="spellEnd"/>
            <w:r w:rsidRPr="00740737">
              <w:rPr>
                <w:sz w:val="24"/>
                <w:szCs w:val="24"/>
              </w:rPr>
              <w:t xml:space="preserve">, </w:t>
            </w:r>
            <w:proofErr w:type="spellStart"/>
            <w:r w:rsidRPr="00740737">
              <w:rPr>
                <w:sz w:val="24"/>
                <w:szCs w:val="24"/>
              </w:rPr>
              <w:t>hæmatemese</w:t>
            </w:r>
            <w:proofErr w:type="spellEnd"/>
            <w:r w:rsidRPr="00740737">
              <w:rPr>
                <w:sz w:val="24"/>
                <w:szCs w:val="24"/>
              </w:rPr>
              <w:t xml:space="preserve">, </w:t>
            </w:r>
            <w:proofErr w:type="spellStart"/>
            <w:r w:rsidRPr="00740737">
              <w:rPr>
                <w:sz w:val="24"/>
                <w:szCs w:val="24"/>
              </w:rPr>
              <w:t>gastrointestinal</w:t>
            </w:r>
            <w:proofErr w:type="spellEnd"/>
            <w:r w:rsidRPr="00740737">
              <w:rPr>
                <w:sz w:val="24"/>
                <w:szCs w:val="24"/>
              </w:rPr>
              <w:t xml:space="preserve"> blødning</w:t>
            </w:r>
          </w:p>
        </w:tc>
      </w:tr>
      <w:tr w:rsidR="009C0264" w:rsidRPr="00740737" w14:paraId="78943123" w14:textId="77777777" w:rsidTr="005C3AC1">
        <w:tc>
          <w:tcPr>
            <w:tcW w:w="4395" w:type="dxa"/>
          </w:tcPr>
          <w:p w14:paraId="1B5DA729" w14:textId="77777777" w:rsidR="009C0264" w:rsidRPr="00740737" w:rsidRDefault="009C0264" w:rsidP="005C3AC1">
            <w:pPr>
              <w:rPr>
                <w:i/>
                <w:iCs/>
                <w:sz w:val="24"/>
                <w:szCs w:val="24"/>
              </w:rPr>
            </w:pPr>
            <w:r w:rsidRPr="00740737">
              <w:rPr>
                <w:i/>
                <w:iCs/>
                <w:sz w:val="24"/>
                <w:szCs w:val="24"/>
              </w:rPr>
              <w:t>Ikke almindelig</w:t>
            </w:r>
          </w:p>
        </w:tc>
        <w:tc>
          <w:tcPr>
            <w:tcW w:w="4382" w:type="dxa"/>
          </w:tcPr>
          <w:p w14:paraId="72E28EFB" w14:textId="77777777" w:rsidR="009C0264" w:rsidRPr="00740737" w:rsidRDefault="009C0264" w:rsidP="005C3AC1">
            <w:pPr>
              <w:rPr>
                <w:sz w:val="24"/>
                <w:szCs w:val="24"/>
              </w:rPr>
            </w:pPr>
            <w:r w:rsidRPr="00740737">
              <w:rPr>
                <w:sz w:val="24"/>
                <w:szCs w:val="24"/>
              </w:rPr>
              <w:t xml:space="preserve">Gastritis, sår på tolvfingertarmen, mavesår, sår i munden, </w:t>
            </w:r>
            <w:proofErr w:type="spellStart"/>
            <w:r w:rsidRPr="00740737">
              <w:rPr>
                <w:sz w:val="24"/>
                <w:szCs w:val="24"/>
              </w:rPr>
              <w:t>gastrointestinal</w:t>
            </w:r>
            <w:proofErr w:type="spellEnd"/>
            <w:r w:rsidRPr="00740737">
              <w:rPr>
                <w:sz w:val="24"/>
                <w:szCs w:val="24"/>
              </w:rPr>
              <w:t xml:space="preserve"> perforation</w:t>
            </w:r>
          </w:p>
        </w:tc>
      </w:tr>
      <w:tr w:rsidR="009C0264" w:rsidRPr="00740737" w14:paraId="03287837" w14:textId="77777777" w:rsidTr="005C3AC1">
        <w:tc>
          <w:tcPr>
            <w:tcW w:w="4395" w:type="dxa"/>
          </w:tcPr>
          <w:p w14:paraId="682DF297" w14:textId="77777777" w:rsidR="009C0264" w:rsidRPr="00740737" w:rsidRDefault="009C0264" w:rsidP="005C3AC1">
            <w:pPr>
              <w:rPr>
                <w:i/>
                <w:iCs/>
                <w:sz w:val="24"/>
                <w:szCs w:val="24"/>
              </w:rPr>
            </w:pPr>
            <w:r w:rsidRPr="00740737">
              <w:rPr>
                <w:i/>
                <w:iCs/>
                <w:sz w:val="24"/>
                <w:szCs w:val="24"/>
              </w:rPr>
              <w:t>Meget sjælden</w:t>
            </w:r>
          </w:p>
        </w:tc>
        <w:tc>
          <w:tcPr>
            <w:tcW w:w="4382" w:type="dxa"/>
          </w:tcPr>
          <w:p w14:paraId="45C073D4" w14:textId="77777777" w:rsidR="009C0264" w:rsidRPr="00740737" w:rsidRDefault="009C0264" w:rsidP="005C3AC1">
            <w:pPr>
              <w:rPr>
                <w:sz w:val="24"/>
                <w:szCs w:val="24"/>
              </w:rPr>
            </w:pPr>
            <w:proofErr w:type="spellStart"/>
            <w:r w:rsidRPr="00740737">
              <w:rPr>
                <w:sz w:val="24"/>
                <w:szCs w:val="24"/>
              </w:rPr>
              <w:t>Pancreatitis</w:t>
            </w:r>
            <w:proofErr w:type="spellEnd"/>
          </w:p>
        </w:tc>
      </w:tr>
      <w:tr w:rsidR="009C0264" w:rsidRPr="00740737" w14:paraId="018B2932" w14:textId="77777777" w:rsidTr="005C3AC1">
        <w:tc>
          <w:tcPr>
            <w:tcW w:w="4395" w:type="dxa"/>
          </w:tcPr>
          <w:p w14:paraId="4298948C" w14:textId="77777777" w:rsidR="009C0264" w:rsidRPr="00740737" w:rsidRDefault="009C0264" w:rsidP="005C3AC1">
            <w:pPr>
              <w:rPr>
                <w:i/>
                <w:iCs/>
                <w:sz w:val="24"/>
                <w:szCs w:val="24"/>
              </w:rPr>
            </w:pPr>
            <w:r w:rsidRPr="00740737">
              <w:rPr>
                <w:i/>
                <w:iCs/>
                <w:sz w:val="24"/>
                <w:szCs w:val="24"/>
              </w:rPr>
              <w:t>Ikke kendt</w:t>
            </w:r>
          </w:p>
        </w:tc>
        <w:tc>
          <w:tcPr>
            <w:tcW w:w="4382" w:type="dxa"/>
          </w:tcPr>
          <w:p w14:paraId="72878C09" w14:textId="77777777" w:rsidR="009C0264" w:rsidRDefault="009C0264" w:rsidP="005C3AC1">
            <w:pPr>
              <w:rPr>
                <w:sz w:val="24"/>
                <w:szCs w:val="24"/>
              </w:rPr>
            </w:pPr>
            <w:r w:rsidRPr="00740737">
              <w:rPr>
                <w:sz w:val="24"/>
                <w:szCs w:val="24"/>
              </w:rPr>
              <w:t xml:space="preserve">Forværring af colitis og </w:t>
            </w:r>
            <w:proofErr w:type="spellStart"/>
            <w:r w:rsidRPr="00740737">
              <w:rPr>
                <w:sz w:val="24"/>
                <w:szCs w:val="24"/>
              </w:rPr>
              <w:t>Crohns</w:t>
            </w:r>
            <w:proofErr w:type="spellEnd"/>
            <w:r w:rsidRPr="00740737">
              <w:rPr>
                <w:sz w:val="24"/>
                <w:szCs w:val="24"/>
              </w:rPr>
              <w:t xml:space="preserve"> sygdom</w:t>
            </w:r>
          </w:p>
          <w:p w14:paraId="5514298F" w14:textId="77777777" w:rsidR="009C0264" w:rsidRPr="00740737" w:rsidRDefault="009C0264" w:rsidP="005C3AC1">
            <w:pPr>
              <w:rPr>
                <w:sz w:val="24"/>
                <w:szCs w:val="24"/>
              </w:rPr>
            </w:pPr>
          </w:p>
        </w:tc>
      </w:tr>
      <w:tr w:rsidR="009C0264" w:rsidRPr="00740737" w14:paraId="7BADFEB9" w14:textId="77777777" w:rsidTr="005C3AC1">
        <w:tc>
          <w:tcPr>
            <w:tcW w:w="8777" w:type="dxa"/>
            <w:gridSpan w:val="2"/>
          </w:tcPr>
          <w:p w14:paraId="52B81943" w14:textId="77777777" w:rsidR="009C0264" w:rsidRPr="00740737" w:rsidRDefault="009C0264" w:rsidP="005C3AC1">
            <w:pPr>
              <w:rPr>
                <w:sz w:val="24"/>
                <w:szCs w:val="24"/>
              </w:rPr>
            </w:pPr>
            <w:r w:rsidRPr="00740737">
              <w:rPr>
                <w:b/>
                <w:sz w:val="24"/>
                <w:szCs w:val="24"/>
              </w:rPr>
              <w:t>Lever og galdeveje</w:t>
            </w:r>
          </w:p>
        </w:tc>
      </w:tr>
      <w:tr w:rsidR="009C0264" w:rsidRPr="00740737" w14:paraId="105061A6" w14:textId="77777777" w:rsidTr="005C3AC1">
        <w:tc>
          <w:tcPr>
            <w:tcW w:w="4395" w:type="dxa"/>
          </w:tcPr>
          <w:p w14:paraId="5D11ED46" w14:textId="77777777" w:rsidR="009C0264" w:rsidRPr="00740737" w:rsidRDefault="009C0264" w:rsidP="005C3AC1">
            <w:pPr>
              <w:rPr>
                <w:i/>
                <w:iCs/>
                <w:sz w:val="24"/>
                <w:szCs w:val="24"/>
              </w:rPr>
            </w:pPr>
            <w:r w:rsidRPr="00740737">
              <w:rPr>
                <w:i/>
                <w:iCs/>
                <w:sz w:val="24"/>
                <w:szCs w:val="24"/>
              </w:rPr>
              <w:lastRenderedPageBreak/>
              <w:t>Ikke almindelig</w:t>
            </w:r>
          </w:p>
        </w:tc>
        <w:tc>
          <w:tcPr>
            <w:tcW w:w="4382" w:type="dxa"/>
          </w:tcPr>
          <w:p w14:paraId="13C89031" w14:textId="77777777" w:rsidR="009C0264" w:rsidRPr="00740737" w:rsidRDefault="009C0264" w:rsidP="005C3AC1">
            <w:pPr>
              <w:rPr>
                <w:sz w:val="24"/>
                <w:szCs w:val="24"/>
              </w:rPr>
            </w:pPr>
            <w:r w:rsidRPr="00740737">
              <w:rPr>
                <w:sz w:val="24"/>
                <w:szCs w:val="24"/>
              </w:rPr>
              <w:t xml:space="preserve">Abnorm leverfunktion, hepatitis, </w:t>
            </w:r>
            <w:proofErr w:type="spellStart"/>
            <w:r w:rsidRPr="00740737">
              <w:rPr>
                <w:sz w:val="24"/>
                <w:szCs w:val="24"/>
              </w:rPr>
              <w:t>icterus</w:t>
            </w:r>
            <w:proofErr w:type="spellEnd"/>
            <w:r w:rsidRPr="00740737">
              <w:rPr>
                <w:sz w:val="24"/>
                <w:szCs w:val="24"/>
              </w:rPr>
              <w:t>, forhøjet bilirubin, signifikante stigninger i ALAT og ASAT</w:t>
            </w:r>
          </w:p>
        </w:tc>
      </w:tr>
      <w:tr w:rsidR="009C0264" w:rsidRPr="00740737" w14:paraId="2E75A6C5" w14:textId="77777777" w:rsidTr="005C3AC1">
        <w:tc>
          <w:tcPr>
            <w:tcW w:w="4395" w:type="dxa"/>
          </w:tcPr>
          <w:p w14:paraId="76BED978" w14:textId="77777777" w:rsidR="009C0264" w:rsidRPr="00740737" w:rsidRDefault="009C0264" w:rsidP="005C3AC1">
            <w:pPr>
              <w:rPr>
                <w:i/>
                <w:iCs/>
                <w:sz w:val="24"/>
                <w:szCs w:val="24"/>
              </w:rPr>
            </w:pPr>
            <w:r w:rsidRPr="00740737">
              <w:rPr>
                <w:i/>
                <w:iCs/>
                <w:sz w:val="24"/>
                <w:szCs w:val="24"/>
              </w:rPr>
              <w:t>Meget sjælden</w:t>
            </w:r>
          </w:p>
        </w:tc>
        <w:tc>
          <w:tcPr>
            <w:tcW w:w="4382" w:type="dxa"/>
          </w:tcPr>
          <w:p w14:paraId="12A9CB54" w14:textId="77777777" w:rsidR="009C0264" w:rsidRDefault="009C0264" w:rsidP="005C3AC1">
            <w:pPr>
              <w:rPr>
                <w:sz w:val="24"/>
                <w:szCs w:val="24"/>
              </w:rPr>
            </w:pPr>
            <w:r w:rsidRPr="00740737">
              <w:rPr>
                <w:sz w:val="24"/>
                <w:szCs w:val="24"/>
              </w:rPr>
              <w:t>Leversvigt</w:t>
            </w:r>
          </w:p>
          <w:p w14:paraId="16EA1D60" w14:textId="77777777" w:rsidR="009C0264" w:rsidRPr="00740737" w:rsidRDefault="009C0264" w:rsidP="005C3AC1">
            <w:pPr>
              <w:rPr>
                <w:sz w:val="24"/>
                <w:szCs w:val="24"/>
              </w:rPr>
            </w:pPr>
          </w:p>
        </w:tc>
      </w:tr>
      <w:tr w:rsidR="009C0264" w:rsidRPr="00740737" w14:paraId="72350FB6" w14:textId="77777777" w:rsidTr="005C3AC1">
        <w:tc>
          <w:tcPr>
            <w:tcW w:w="8777" w:type="dxa"/>
            <w:gridSpan w:val="2"/>
          </w:tcPr>
          <w:p w14:paraId="728BA490" w14:textId="77777777" w:rsidR="009C0264" w:rsidRPr="00740737" w:rsidRDefault="009C0264" w:rsidP="005C3AC1">
            <w:pPr>
              <w:keepNext/>
              <w:rPr>
                <w:sz w:val="24"/>
                <w:szCs w:val="24"/>
              </w:rPr>
            </w:pPr>
            <w:r w:rsidRPr="00740737">
              <w:rPr>
                <w:b/>
                <w:sz w:val="24"/>
                <w:szCs w:val="24"/>
              </w:rPr>
              <w:t>Hud og subkutant væv</w:t>
            </w:r>
          </w:p>
        </w:tc>
      </w:tr>
      <w:tr w:rsidR="009C0264" w:rsidRPr="00740737" w14:paraId="6A015302" w14:textId="77777777" w:rsidTr="005C3AC1">
        <w:tc>
          <w:tcPr>
            <w:tcW w:w="4395" w:type="dxa"/>
          </w:tcPr>
          <w:p w14:paraId="78A8AC6E" w14:textId="77777777" w:rsidR="009C0264" w:rsidRPr="00740737" w:rsidRDefault="009C0264" w:rsidP="005C3AC1">
            <w:pPr>
              <w:keepNext/>
              <w:rPr>
                <w:i/>
                <w:sz w:val="24"/>
                <w:szCs w:val="24"/>
              </w:rPr>
            </w:pPr>
            <w:r w:rsidRPr="00740737">
              <w:rPr>
                <w:i/>
                <w:sz w:val="24"/>
                <w:szCs w:val="24"/>
              </w:rPr>
              <w:t>Almindelig</w:t>
            </w:r>
          </w:p>
        </w:tc>
        <w:tc>
          <w:tcPr>
            <w:tcW w:w="4382" w:type="dxa"/>
          </w:tcPr>
          <w:p w14:paraId="79EBE6C7" w14:textId="77777777" w:rsidR="009C0264" w:rsidRPr="00740737" w:rsidRDefault="009C0264" w:rsidP="005C3AC1">
            <w:pPr>
              <w:keepNext/>
              <w:rPr>
                <w:sz w:val="24"/>
                <w:szCs w:val="24"/>
              </w:rPr>
            </w:pPr>
            <w:r w:rsidRPr="00740737">
              <w:rPr>
                <w:sz w:val="24"/>
                <w:szCs w:val="24"/>
              </w:rPr>
              <w:t xml:space="preserve">Udslæt såsom </w:t>
            </w:r>
            <w:proofErr w:type="spellStart"/>
            <w:r w:rsidRPr="00740737">
              <w:rPr>
                <w:sz w:val="24"/>
                <w:szCs w:val="24"/>
              </w:rPr>
              <w:t>urticaria</w:t>
            </w:r>
            <w:proofErr w:type="spellEnd"/>
            <w:r w:rsidRPr="00740737">
              <w:rPr>
                <w:sz w:val="24"/>
                <w:szCs w:val="24"/>
              </w:rPr>
              <w:t xml:space="preserve">, </w:t>
            </w:r>
            <w:proofErr w:type="spellStart"/>
            <w:r w:rsidRPr="00740737">
              <w:rPr>
                <w:sz w:val="24"/>
                <w:szCs w:val="24"/>
              </w:rPr>
              <w:t>pruritus</w:t>
            </w:r>
            <w:proofErr w:type="spellEnd"/>
            <w:r w:rsidRPr="00740737">
              <w:rPr>
                <w:sz w:val="24"/>
                <w:szCs w:val="24"/>
              </w:rPr>
              <w:t xml:space="preserve">, </w:t>
            </w:r>
            <w:proofErr w:type="spellStart"/>
            <w:r w:rsidRPr="00740737">
              <w:rPr>
                <w:sz w:val="24"/>
                <w:szCs w:val="24"/>
              </w:rPr>
              <w:t>purpura</w:t>
            </w:r>
            <w:proofErr w:type="spellEnd"/>
            <w:r w:rsidRPr="00740737">
              <w:rPr>
                <w:sz w:val="24"/>
                <w:szCs w:val="24"/>
              </w:rPr>
              <w:t xml:space="preserve">, </w:t>
            </w:r>
            <w:proofErr w:type="spellStart"/>
            <w:r w:rsidRPr="00740737">
              <w:rPr>
                <w:sz w:val="24"/>
                <w:szCs w:val="24"/>
              </w:rPr>
              <w:t>angioødem</w:t>
            </w:r>
            <w:proofErr w:type="spellEnd"/>
            <w:r w:rsidRPr="00740737">
              <w:rPr>
                <w:sz w:val="24"/>
                <w:szCs w:val="24"/>
              </w:rPr>
              <w:t>, fotosensibilitet</w:t>
            </w:r>
          </w:p>
        </w:tc>
      </w:tr>
      <w:tr w:rsidR="009C0264" w:rsidRPr="00740737" w14:paraId="14E25B7A" w14:textId="77777777" w:rsidTr="005C3AC1">
        <w:tc>
          <w:tcPr>
            <w:tcW w:w="4395" w:type="dxa"/>
          </w:tcPr>
          <w:p w14:paraId="4FDA5129" w14:textId="77777777" w:rsidR="009C0264" w:rsidRPr="00740737" w:rsidRDefault="009C0264" w:rsidP="005C3AC1">
            <w:pPr>
              <w:keepNext/>
              <w:rPr>
                <w:i/>
                <w:iCs/>
                <w:sz w:val="24"/>
                <w:szCs w:val="24"/>
              </w:rPr>
            </w:pPr>
            <w:r w:rsidRPr="00740737">
              <w:rPr>
                <w:i/>
                <w:iCs/>
                <w:sz w:val="24"/>
                <w:szCs w:val="24"/>
              </w:rPr>
              <w:t>Meget sjælden</w:t>
            </w:r>
          </w:p>
        </w:tc>
        <w:tc>
          <w:tcPr>
            <w:tcW w:w="4382" w:type="dxa"/>
          </w:tcPr>
          <w:p w14:paraId="05687F25" w14:textId="77777777" w:rsidR="009C0264" w:rsidRPr="00740737" w:rsidRDefault="009C0264" w:rsidP="005C3AC1">
            <w:pPr>
              <w:keepNext/>
              <w:rPr>
                <w:sz w:val="24"/>
                <w:szCs w:val="24"/>
              </w:rPr>
            </w:pPr>
            <w:r w:rsidRPr="00740737">
              <w:rPr>
                <w:sz w:val="24"/>
                <w:szCs w:val="24"/>
              </w:rPr>
              <w:t xml:space="preserve">Alvorlige </w:t>
            </w:r>
            <w:proofErr w:type="spellStart"/>
            <w:r w:rsidRPr="00CB680E">
              <w:rPr>
                <w:sz w:val="24"/>
                <w:szCs w:val="24"/>
              </w:rPr>
              <w:t>kutane</w:t>
            </w:r>
            <w:proofErr w:type="spellEnd"/>
            <w:r w:rsidRPr="00CB680E">
              <w:rPr>
                <w:sz w:val="24"/>
                <w:szCs w:val="24"/>
              </w:rPr>
              <w:t xml:space="preserve"> bivirkninger (</w:t>
            </w:r>
            <w:proofErr w:type="spellStart"/>
            <w:r w:rsidRPr="00CB680E">
              <w:rPr>
                <w:sz w:val="24"/>
                <w:szCs w:val="24"/>
              </w:rPr>
              <w:t>SCAR'er</w:t>
            </w:r>
            <w:proofErr w:type="spellEnd"/>
            <w:r w:rsidRPr="00CB680E">
              <w:rPr>
                <w:sz w:val="24"/>
                <w:szCs w:val="24"/>
              </w:rPr>
              <w:t>) (herunder</w:t>
            </w:r>
            <w:r>
              <w:rPr>
                <w:sz w:val="24"/>
                <w:szCs w:val="24"/>
              </w:rPr>
              <w:t xml:space="preserve"> </w:t>
            </w:r>
            <w:proofErr w:type="spellStart"/>
            <w:r w:rsidRPr="00740737">
              <w:rPr>
                <w:sz w:val="24"/>
                <w:szCs w:val="24"/>
              </w:rPr>
              <w:t>erythema</w:t>
            </w:r>
            <w:proofErr w:type="spellEnd"/>
            <w:r w:rsidRPr="00740737">
              <w:rPr>
                <w:sz w:val="24"/>
                <w:szCs w:val="24"/>
              </w:rPr>
              <w:t xml:space="preserve"> multiforme,</w:t>
            </w:r>
            <w:r>
              <w:rPr>
                <w:sz w:val="24"/>
                <w:szCs w:val="24"/>
              </w:rPr>
              <w:t xml:space="preserve"> </w:t>
            </w:r>
            <w:proofErr w:type="spellStart"/>
            <w:r w:rsidRPr="00CB680E">
              <w:rPr>
                <w:sz w:val="24"/>
                <w:szCs w:val="24"/>
              </w:rPr>
              <w:t>eksfoliativ</w:t>
            </w:r>
            <w:proofErr w:type="spellEnd"/>
            <w:r w:rsidRPr="00CB680E">
              <w:rPr>
                <w:sz w:val="24"/>
                <w:szCs w:val="24"/>
              </w:rPr>
              <w:t xml:space="preserve"> </w:t>
            </w:r>
            <w:proofErr w:type="spellStart"/>
            <w:r w:rsidRPr="00CB680E">
              <w:rPr>
                <w:sz w:val="24"/>
                <w:szCs w:val="24"/>
              </w:rPr>
              <w:t>dermatitis</w:t>
            </w:r>
            <w:proofErr w:type="spellEnd"/>
            <w:r w:rsidRPr="00CB680E">
              <w:rPr>
                <w:sz w:val="24"/>
                <w:szCs w:val="24"/>
              </w:rPr>
              <w:t>,</w:t>
            </w:r>
            <w:r w:rsidRPr="00740737">
              <w:rPr>
                <w:sz w:val="24"/>
                <w:szCs w:val="24"/>
              </w:rPr>
              <w:t xml:space="preserve"> </w:t>
            </w:r>
            <w:proofErr w:type="spellStart"/>
            <w:r w:rsidRPr="00740737">
              <w:rPr>
                <w:sz w:val="24"/>
                <w:szCs w:val="24"/>
              </w:rPr>
              <w:t>bulløse</w:t>
            </w:r>
            <w:proofErr w:type="spellEnd"/>
            <w:r w:rsidRPr="00740737">
              <w:rPr>
                <w:sz w:val="24"/>
                <w:szCs w:val="24"/>
              </w:rPr>
              <w:t xml:space="preserve"> reaktioner inkl. Stevens-Johnsons syndrom og toksisk </w:t>
            </w:r>
            <w:proofErr w:type="spellStart"/>
            <w:r w:rsidRPr="00740737">
              <w:rPr>
                <w:sz w:val="24"/>
                <w:szCs w:val="24"/>
              </w:rPr>
              <w:t>epidermal</w:t>
            </w:r>
            <w:proofErr w:type="spellEnd"/>
            <w:r w:rsidRPr="00740737">
              <w:rPr>
                <w:sz w:val="24"/>
                <w:szCs w:val="24"/>
              </w:rPr>
              <w:t xml:space="preserve"> </w:t>
            </w:r>
            <w:proofErr w:type="spellStart"/>
            <w:r w:rsidRPr="00740737">
              <w:rPr>
                <w:sz w:val="24"/>
                <w:szCs w:val="24"/>
              </w:rPr>
              <w:t>nekrolyse</w:t>
            </w:r>
            <w:proofErr w:type="spellEnd"/>
            <w:r>
              <w:rPr>
                <w:sz w:val="24"/>
                <w:szCs w:val="24"/>
              </w:rPr>
              <w:t>)</w:t>
            </w:r>
          </w:p>
        </w:tc>
      </w:tr>
      <w:tr w:rsidR="009C0264" w:rsidRPr="00740737" w14:paraId="436372F8" w14:textId="77777777" w:rsidTr="005C3AC1">
        <w:tc>
          <w:tcPr>
            <w:tcW w:w="4395" w:type="dxa"/>
          </w:tcPr>
          <w:p w14:paraId="4ADC112A" w14:textId="77777777" w:rsidR="009C0264" w:rsidRPr="00740737" w:rsidRDefault="009C0264" w:rsidP="005C3AC1">
            <w:pPr>
              <w:rPr>
                <w:i/>
                <w:iCs/>
                <w:sz w:val="24"/>
                <w:szCs w:val="24"/>
              </w:rPr>
            </w:pPr>
            <w:r w:rsidRPr="00740737">
              <w:rPr>
                <w:i/>
                <w:iCs/>
                <w:sz w:val="24"/>
                <w:szCs w:val="24"/>
              </w:rPr>
              <w:t>Ikke kendt</w:t>
            </w:r>
          </w:p>
        </w:tc>
        <w:tc>
          <w:tcPr>
            <w:tcW w:w="4382" w:type="dxa"/>
          </w:tcPr>
          <w:p w14:paraId="778B5AC9" w14:textId="77777777" w:rsidR="009C0264" w:rsidRDefault="009C0264" w:rsidP="005C3AC1">
            <w:pPr>
              <w:rPr>
                <w:sz w:val="24"/>
                <w:szCs w:val="24"/>
              </w:rPr>
            </w:pPr>
            <w:r w:rsidRPr="00740737">
              <w:rPr>
                <w:sz w:val="24"/>
                <w:szCs w:val="24"/>
              </w:rPr>
              <w:t xml:space="preserve">Lægemiddelreaktion med </w:t>
            </w:r>
            <w:proofErr w:type="spellStart"/>
            <w:r w:rsidRPr="00740737">
              <w:rPr>
                <w:sz w:val="24"/>
                <w:szCs w:val="24"/>
              </w:rPr>
              <w:t>eosinofili</w:t>
            </w:r>
            <w:proofErr w:type="spellEnd"/>
            <w:r w:rsidRPr="00740737">
              <w:rPr>
                <w:sz w:val="24"/>
                <w:szCs w:val="24"/>
              </w:rPr>
              <w:t xml:space="preserve"> og systemiske symptomer (DRESS), akut generaliseret </w:t>
            </w:r>
            <w:proofErr w:type="spellStart"/>
            <w:r w:rsidRPr="00740737">
              <w:rPr>
                <w:sz w:val="24"/>
                <w:szCs w:val="24"/>
              </w:rPr>
              <w:t>eksantematøs</w:t>
            </w:r>
            <w:proofErr w:type="spellEnd"/>
            <w:r w:rsidRPr="00740737">
              <w:rPr>
                <w:sz w:val="24"/>
                <w:szCs w:val="24"/>
              </w:rPr>
              <w:t xml:space="preserve"> </w:t>
            </w:r>
            <w:proofErr w:type="spellStart"/>
            <w:r w:rsidRPr="00740737">
              <w:rPr>
                <w:sz w:val="24"/>
                <w:szCs w:val="24"/>
              </w:rPr>
              <w:t>pustulose</w:t>
            </w:r>
            <w:proofErr w:type="spellEnd"/>
            <w:r w:rsidRPr="00740737">
              <w:rPr>
                <w:sz w:val="24"/>
                <w:szCs w:val="24"/>
              </w:rPr>
              <w:t xml:space="preserve"> (AGEP)</w:t>
            </w:r>
          </w:p>
          <w:p w14:paraId="3826CBC1" w14:textId="77777777" w:rsidR="009C0264" w:rsidRPr="00740737" w:rsidRDefault="009C0264" w:rsidP="005C3AC1">
            <w:pPr>
              <w:rPr>
                <w:sz w:val="24"/>
                <w:szCs w:val="24"/>
              </w:rPr>
            </w:pPr>
          </w:p>
        </w:tc>
      </w:tr>
      <w:tr w:rsidR="009C0264" w:rsidRPr="00740737" w14:paraId="4C28CEB1" w14:textId="77777777" w:rsidTr="005C3AC1">
        <w:tc>
          <w:tcPr>
            <w:tcW w:w="8777" w:type="dxa"/>
            <w:gridSpan w:val="2"/>
          </w:tcPr>
          <w:p w14:paraId="593E7559" w14:textId="77777777" w:rsidR="009C0264" w:rsidRPr="00740737" w:rsidRDefault="009C0264" w:rsidP="005C3AC1">
            <w:pPr>
              <w:keepNext/>
              <w:rPr>
                <w:b/>
                <w:sz w:val="24"/>
                <w:szCs w:val="24"/>
              </w:rPr>
            </w:pPr>
            <w:r w:rsidRPr="00740737">
              <w:rPr>
                <w:b/>
                <w:sz w:val="24"/>
                <w:szCs w:val="24"/>
              </w:rPr>
              <w:t>Nyrer og urinveje</w:t>
            </w:r>
            <w:r w:rsidRPr="00740737">
              <w:rPr>
                <w:b/>
                <w:bCs/>
                <w:i/>
                <w:iCs/>
                <w:sz w:val="24"/>
                <w:szCs w:val="24"/>
              </w:rPr>
              <w:t xml:space="preserve"> </w:t>
            </w:r>
          </w:p>
        </w:tc>
      </w:tr>
      <w:tr w:rsidR="009C0264" w:rsidRPr="00740737" w14:paraId="481A8159" w14:textId="77777777" w:rsidTr="005C3AC1">
        <w:tc>
          <w:tcPr>
            <w:tcW w:w="4395" w:type="dxa"/>
          </w:tcPr>
          <w:p w14:paraId="548E43B3" w14:textId="77777777" w:rsidR="009C0264" w:rsidRPr="00740737" w:rsidRDefault="009C0264" w:rsidP="005C3AC1">
            <w:pPr>
              <w:rPr>
                <w:i/>
                <w:sz w:val="24"/>
                <w:szCs w:val="24"/>
              </w:rPr>
            </w:pPr>
            <w:r w:rsidRPr="00740737">
              <w:rPr>
                <w:i/>
                <w:sz w:val="24"/>
                <w:szCs w:val="24"/>
              </w:rPr>
              <w:t>Almindelig</w:t>
            </w:r>
          </w:p>
        </w:tc>
        <w:tc>
          <w:tcPr>
            <w:tcW w:w="4382" w:type="dxa"/>
          </w:tcPr>
          <w:p w14:paraId="70C81D57" w14:textId="77777777" w:rsidR="009C0264" w:rsidRPr="00740737" w:rsidRDefault="009C0264" w:rsidP="005C3AC1">
            <w:pPr>
              <w:keepNext/>
              <w:keepLines/>
              <w:rPr>
                <w:sz w:val="24"/>
                <w:szCs w:val="24"/>
              </w:rPr>
            </w:pPr>
            <w:proofErr w:type="spellStart"/>
            <w:r w:rsidRPr="00740737">
              <w:rPr>
                <w:sz w:val="24"/>
                <w:szCs w:val="24"/>
              </w:rPr>
              <w:t>Nefrotoksicitet</w:t>
            </w:r>
            <w:proofErr w:type="spellEnd"/>
            <w:r w:rsidRPr="00740737">
              <w:rPr>
                <w:sz w:val="24"/>
                <w:szCs w:val="24"/>
              </w:rPr>
              <w:t xml:space="preserve"> såsom nedsat nyrefunktion, forhøjet </w:t>
            </w:r>
            <w:proofErr w:type="spellStart"/>
            <w:r w:rsidRPr="00740737">
              <w:rPr>
                <w:sz w:val="24"/>
                <w:szCs w:val="24"/>
              </w:rPr>
              <w:t>kreatinin</w:t>
            </w:r>
            <w:proofErr w:type="spellEnd"/>
            <w:r w:rsidRPr="00740737">
              <w:rPr>
                <w:sz w:val="24"/>
                <w:szCs w:val="24"/>
              </w:rPr>
              <w:t xml:space="preserve">, </w:t>
            </w:r>
            <w:r w:rsidRPr="00740737">
              <w:rPr>
                <w:color w:val="000000"/>
                <w:sz w:val="24"/>
                <w:szCs w:val="24"/>
              </w:rPr>
              <w:t>forhøjede koncentrationer af urinstof i blodet</w:t>
            </w:r>
          </w:p>
        </w:tc>
      </w:tr>
      <w:tr w:rsidR="009C0264" w:rsidRPr="00740737" w14:paraId="56AC0E1F" w14:textId="77777777" w:rsidTr="005C3AC1">
        <w:tc>
          <w:tcPr>
            <w:tcW w:w="4395" w:type="dxa"/>
          </w:tcPr>
          <w:p w14:paraId="3BE11F28" w14:textId="77777777" w:rsidR="009C0264" w:rsidRPr="00740737" w:rsidRDefault="009C0264" w:rsidP="005C3AC1">
            <w:pPr>
              <w:rPr>
                <w:i/>
                <w:sz w:val="24"/>
                <w:szCs w:val="24"/>
              </w:rPr>
            </w:pPr>
            <w:r w:rsidRPr="00740737">
              <w:rPr>
                <w:i/>
                <w:iCs/>
                <w:sz w:val="24"/>
                <w:szCs w:val="24"/>
              </w:rPr>
              <w:t>Ikke almindelig</w:t>
            </w:r>
          </w:p>
        </w:tc>
        <w:tc>
          <w:tcPr>
            <w:tcW w:w="4382" w:type="dxa"/>
          </w:tcPr>
          <w:p w14:paraId="4675039E" w14:textId="77777777" w:rsidR="009C0264" w:rsidRDefault="009C0264" w:rsidP="005C3AC1">
            <w:pPr>
              <w:keepNext/>
              <w:keepLines/>
              <w:rPr>
                <w:sz w:val="24"/>
                <w:szCs w:val="24"/>
              </w:rPr>
            </w:pPr>
            <w:r w:rsidRPr="00740737">
              <w:rPr>
                <w:sz w:val="24"/>
                <w:szCs w:val="24"/>
              </w:rPr>
              <w:t xml:space="preserve">Akut nyresvigt, </w:t>
            </w:r>
            <w:proofErr w:type="spellStart"/>
            <w:r w:rsidRPr="00740737">
              <w:rPr>
                <w:sz w:val="24"/>
                <w:szCs w:val="24"/>
              </w:rPr>
              <w:t>interstitiel</w:t>
            </w:r>
            <w:proofErr w:type="spellEnd"/>
            <w:r w:rsidRPr="00740737">
              <w:rPr>
                <w:sz w:val="24"/>
                <w:szCs w:val="24"/>
              </w:rPr>
              <w:t xml:space="preserve"> </w:t>
            </w:r>
            <w:proofErr w:type="spellStart"/>
            <w:r w:rsidRPr="00740737">
              <w:rPr>
                <w:sz w:val="24"/>
                <w:szCs w:val="24"/>
              </w:rPr>
              <w:t>nefritis</w:t>
            </w:r>
            <w:proofErr w:type="spellEnd"/>
            <w:r w:rsidRPr="00740737">
              <w:rPr>
                <w:sz w:val="24"/>
                <w:szCs w:val="24"/>
              </w:rPr>
              <w:t xml:space="preserve">, papillær nekrose, </w:t>
            </w:r>
            <w:proofErr w:type="spellStart"/>
            <w:r w:rsidRPr="00740737">
              <w:rPr>
                <w:sz w:val="24"/>
                <w:szCs w:val="24"/>
              </w:rPr>
              <w:t>nefrotisk</w:t>
            </w:r>
            <w:proofErr w:type="spellEnd"/>
            <w:r w:rsidRPr="00740737">
              <w:rPr>
                <w:sz w:val="24"/>
                <w:szCs w:val="24"/>
              </w:rPr>
              <w:t xml:space="preserve"> syndrom</w:t>
            </w:r>
          </w:p>
          <w:p w14:paraId="1218A62F" w14:textId="77777777" w:rsidR="009C0264" w:rsidRPr="00740737" w:rsidRDefault="009C0264" w:rsidP="005C3AC1">
            <w:pPr>
              <w:keepNext/>
              <w:keepLines/>
              <w:rPr>
                <w:sz w:val="24"/>
                <w:szCs w:val="24"/>
              </w:rPr>
            </w:pPr>
          </w:p>
        </w:tc>
      </w:tr>
      <w:tr w:rsidR="009C0264" w:rsidRPr="00740737" w14:paraId="1228304A" w14:textId="77777777" w:rsidTr="005C3AC1">
        <w:tc>
          <w:tcPr>
            <w:tcW w:w="8777" w:type="dxa"/>
            <w:gridSpan w:val="2"/>
          </w:tcPr>
          <w:p w14:paraId="21A6AC2E" w14:textId="77777777" w:rsidR="009C0264" w:rsidRPr="00740737" w:rsidRDefault="009C0264" w:rsidP="005C3AC1">
            <w:pPr>
              <w:rPr>
                <w:b/>
                <w:sz w:val="24"/>
                <w:szCs w:val="24"/>
              </w:rPr>
            </w:pPr>
            <w:r w:rsidRPr="00740737">
              <w:rPr>
                <w:b/>
                <w:sz w:val="24"/>
                <w:szCs w:val="24"/>
              </w:rPr>
              <w:t>Almene symptomer og reaktioner på administrationsstedet</w:t>
            </w:r>
          </w:p>
        </w:tc>
      </w:tr>
      <w:tr w:rsidR="009C0264" w:rsidRPr="00740737" w14:paraId="66C79542" w14:textId="77777777" w:rsidTr="005C3AC1">
        <w:tc>
          <w:tcPr>
            <w:tcW w:w="4395" w:type="dxa"/>
          </w:tcPr>
          <w:p w14:paraId="2AD1369D" w14:textId="77777777" w:rsidR="009C0264" w:rsidRPr="00740737" w:rsidRDefault="009C0264" w:rsidP="005C3AC1">
            <w:pPr>
              <w:rPr>
                <w:b/>
                <w:sz w:val="24"/>
                <w:szCs w:val="24"/>
              </w:rPr>
            </w:pPr>
            <w:r w:rsidRPr="00740737">
              <w:rPr>
                <w:i/>
                <w:iCs/>
                <w:sz w:val="24"/>
                <w:szCs w:val="24"/>
              </w:rPr>
              <w:t>Sjælden</w:t>
            </w:r>
          </w:p>
        </w:tc>
        <w:tc>
          <w:tcPr>
            <w:tcW w:w="4382" w:type="dxa"/>
          </w:tcPr>
          <w:p w14:paraId="3728F390" w14:textId="77777777" w:rsidR="009C0264" w:rsidRDefault="009C0264" w:rsidP="005C3AC1">
            <w:pPr>
              <w:rPr>
                <w:sz w:val="24"/>
                <w:szCs w:val="24"/>
              </w:rPr>
            </w:pPr>
            <w:r w:rsidRPr="00740737">
              <w:rPr>
                <w:sz w:val="24"/>
                <w:szCs w:val="24"/>
              </w:rPr>
              <w:t>Ødemer</w:t>
            </w:r>
          </w:p>
          <w:p w14:paraId="39149C93" w14:textId="77777777" w:rsidR="009C0264" w:rsidRPr="00740737" w:rsidRDefault="009C0264" w:rsidP="005C3AC1">
            <w:pPr>
              <w:rPr>
                <w:sz w:val="24"/>
                <w:szCs w:val="24"/>
              </w:rPr>
            </w:pPr>
          </w:p>
        </w:tc>
      </w:tr>
    </w:tbl>
    <w:p w14:paraId="11B5E75C" w14:textId="77777777" w:rsidR="009C0264" w:rsidRPr="00B574C8" w:rsidRDefault="009C0264" w:rsidP="009C0264">
      <w:pPr>
        <w:ind w:left="1134" w:hanging="283"/>
        <w:rPr>
          <w:sz w:val="24"/>
          <w:szCs w:val="24"/>
        </w:rPr>
      </w:pPr>
      <w:r w:rsidRPr="00B574C8">
        <w:rPr>
          <w:i/>
          <w:iCs/>
          <w:sz w:val="24"/>
          <w:szCs w:val="24"/>
          <w:vertAlign w:val="superscript"/>
        </w:rPr>
        <w:t xml:space="preserve">1 </w:t>
      </w:r>
      <w:r>
        <w:rPr>
          <w:i/>
          <w:iCs/>
          <w:sz w:val="24"/>
          <w:szCs w:val="24"/>
          <w:vertAlign w:val="superscript"/>
        </w:rPr>
        <w:tab/>
      </w:r>
      <w:r w:rsidRPr="00B574C8">
        <w:rPr>
          <w:i/>
          <w:iCs/>
          <w:sz w:val="24"/>
          <w:szCs w:val="24"/>
        </w:rPr>
        <w:t>Infektioner og parasitære sygdomme</w:t>
      </w:r>
      <w:r w:rsidRPr="00B574C8">
        <w:rPr>
          <w:sz w:val="24"/>
          <w:szCs w:val="24"/>
        </w:rPr>
        <w:t>: Forværring af betændelse relateret til infektioner (</w:t>
      </w:r>
      <w:r>
        <w:rPr>
          <w:sz w:val="24"/>
          <w:szCs w:val="24"/>
        </w:rPr>
        <w:t>f.eks.</w:t>
      </w:r>
      <w:r w:rsidRPr="00B574C8">
        <w:rPr>
          <w:sz w:val="24"/>
          <w:szCs w:val="24"/>
        </w:rPr>
        <w:t xml:space="preserve"> </w:t>
      </w:r>
      <w:proofErr w:type="spellStart"/>
      <w:r w:rsidRPr="00B574C8">
        <w:rPr>
          <w:sz w:val="24"/>
          <w:szCs w:val="24"/>
        </w:rPr>
        <w:t>nekrotiserende</w:t>
      </w:r>
      <w:proofErr w:type="spellEnd"/>
      <w:r w:rsidRPr="00B574C8">
        <w:rPr>
          <w:sz w:val="24"/>
          <w:szCs w:val="24"/>
        </w:rPr>
        <w:t xml:space="preserve"> </w:t>
      </w:r>
      <w:proofErr w:type="spellStart"/>
      <w:r w:rsidRPr="00B574C8">
        <w:rPr>
          <w:sz w:val="24"/>
          <w:szCs w:val="24"/>
        </w:rPr>
        <w:t>fascitis</w:t>
      </w:r>
      <w:proofErr w:type="spellEnd"/>
      <w:r w:rsidRPr="00B574C8">
        <w:rPr>
          <w:sz w:val="24"/>
          <w:szCs w:val="24"/>
        </w:rPr>
        <w:t>) er rapporteret ved brug af NSAID. I tilfælde af infektion eller forværring af en eksisterende infektion under brug af ibuprofen, skal lægehjælp straks søges.</w:t>
      </w:r>
    </w:p>
    <w:p w14:paraId="0A797ADC" w14:textId="77777777" w:rsidR="009C0264" w:rsidRPr="00B574C8" w:rsidRDefault="009C0264" w:rsidP="009C0264">
      <w:pPr>
        <w:ind w:left="1134" w:hanging="283"/>
        <w:rPr>
          <w:sz w:val="24"/>
          <w:szCs w:val="24"/>
        </w:rPr>
      </w:pPr>
    </w:p>
    <w:p w14:paraId="716AF381" w14:textId="77777777" w:rsidR="009C0264" w:rsidRPr="00B574C8" w:rsidRDefault="009C0264" w:rsidP="009C0264">
      <w:pPr>
        <w:ind w:left="1134" w:hanging="283"/>
        <w:rPr>
          <w:sz w:val="24"/>
          <w:szCs w:val="24"/>
        </w:rPr>
      </w:pPr>
      <w:r w:rsidRPr="00B574C8">
        <w:rPr>
          <w:sz w:val="24"/>
          <w:szCs w:val="24"/>
          <w:vertAlign w:val="superscript"/>
        </w:rPr>
        <w:t>2</w:t>
      </w:r>
      <w:r w:rsidRPr="00B574C8">
        <w:rPr>
          <w:sz w:val="24"/>
          <w:szCs w:val="24"/>
        </w:rPr>
        <w:t xml:space="preserve"> </w:t>
      </w:r>
      <w:r>
        <w:rPr>
          <w:sz w:val="24"/>
          <w:szCs w:val="24"/>
        </w:rPr>
        <w:tab/>
      </w:r>
      <w:r w:rsidRPr="00B574C8">
        <w:rPr>
          <w:i/>
          <w:iCs/>
          <w:sz w:val="24"/>
          <w:szCs w:val="24"/>
        </w:rPr>
        <w:t>Immunsystemet</w:t>
      </w:r>
      <w:r w:rsidRPr="00B574C8">
        <w:rPr>
          <w:sz w:val="24"/>
          <w:szCs w:val="24"/>
        </w:rPr>
        <w:t xml:space="preserve">: I tilfælde af en alvorlig generaliseret overfølsomhedsreaktion kan følgende forekomme: hævet ansigt, tunge og strubehoved, </w:t>
      </w:r>
      <w:proofErr w:type="spellStart"/>
      <w:r w:rsidRPr="00B574C8">
        <w:rPr>
          <w:sz w:val="24"/>
          <w:szCs w:val="24"/>
        </w:rPr>
        <w:t>bronkospasme</w:t>
      </w:r>
      <w:proofErr w:type="spellEnd"/>
      <w:r w:rsidRPr="00B574C8">
        <w:rPr>
          <w:sz w:val="24"/>
          <w:szCs w:val="24"/>
        </w:rPr>
        <w:t xml:space="preserve">, astma, </w:t>
      </w:r>
      <w:proofErr w:type="spellStart"/>
      <w:r w:rsidRPr="00B574C8">
        <w:rPr>
          <w:sz w:val="24"/>
          <w:szCs w:val="24"/>
        </w:rPr>
        <w:t>takykardi</w:t>
      </w:r>
      <w:proofErr w:type="spellEnd"/>
      <w:r w:rsidRPr="00B574C8">
        <w:rPr>
          <w:sz w:val="24"/>
          <w:szCs w:val="24"/>
        </w:rPr>
        <w:t xml:space="preserve">, hypotension og </w:t>
      </w:r>
      <w:proofErr w:type="spellStart"/>
      <w:r w:rsidRPr="00B574C8">
        <w:rPr>
          <w:sz w:val="24"/>
          <w:szCs w:val="24"/>
        </w:rPr>
        <w:t>shock</w:t>
      </w:r>
      <w:proofErr w:type="spellEnd"/>
      <w:r w:rsidRPr="00B574C8">
        <w:rPr>
          <w:sz w:val="24"/>
          <w:szCs w:val="24"/>
        </w:rPr>
        <w:t>.</w:t>
      </w:r>
    </w:p>
    <w:p w14:paraId="2F0C94CD" w14:textId="77777777" w:rsidR="009C0264" w:rsidRPr="00B574C8" w:rsidRDefault="009C0264" w:rsidP="009C0264">
      <w:pPr>
        <w:tabs>
          <w:tab w:val="left" w:pos="2190"/>
        </w:tabs>
        <w:ind w:left="1134" w:hanging="283"/>
        <w:rPr>
          <w:sz w:val="24"/>
          <w:szCs w:val="24"/>
        </w:rPr>
      </w:pPr>
    </w:p>
    <w:p w14:paraId="10B5368C" w14:textId="77777777" w:rsidR="009C0264" w:rsidRPr="00B574C8" w:rsidRDefault="009C0264" w:rsidP="009C0264">
      <w:pPr>
        <w:ind w:left="1134" w:hanging="283"/>
        <w:rPr>
          <w:sz w:val="24"/>
          <w:szCs w:val="24"/>
        </w:rPr>
      </w:pPr>
      <w:r w:rsidRPr="00B574C8">
        <w:rPr>
          <w:sz w:val="24"/>
          <w:szCs w:val="24"/>
          <w:vertAlign w:val="superscript"/>
        </w:rPr>
        <w:t>3</w:t>
      </w:r>
      <w:r w:rsidRPr="00B574C8">
        <w:rPr>
          <w:sz w:val="24"/>
          <w:szCs w:val="24"/>
        </w:rPr>
        <w:t xml:space="preserve"> </w:t>
      </w:r>
      <w:r>
        <w:rPr>
          <w:sz w:val="24"/>
          <w:szCs w:val="24"/>
        </w:rPr>
        <w:tab/>
      </w:r>
      <w:r w:rsidRPr="00B574C8">
        <w:rPr>
          <w:i/>
          <w:iCs/>
          <w:sz w:val="24"/>
          <w:szCs w:val="24"/>
        </w:rPr>
        <w:t>Mave-tarm-kanalen</w:t>
      </w:r>
      <w:r w:rsidRPr="00B574C8">
        <w:rPr>
          <w:sz w:val="24"/>
          <w:szCs w:val="24"/>
        </w:rPr>
        <w:t xml:space="preserve">: Hvis der opstår </w:t>
      </w:r>
      <w:proofErr w:type="spellStart"/>
      <w:r w:rsidRPr="00B574C8">
        <w:rPr>
          <w:sz w:val="24"/>
          <w:szCs w:val="24"/>
        </w:rPr>
        <w:t>gastrointestinal</w:t>
      </w:r>
      <w:proofErr w:type="spellEnd"/>
      <w:r w:rsidRPr="00B574C8">
        <w:rPr>
          <w:sz w:val="24"/>
          <w:szCs w:val="24"/>
        </w:rPr>
        <w:t xml:space="preserve"> blødning, skal behandlingen seponeres, og der skal straks søges lægehjælp. </w:t>
      </w:r>
      <w:proofErr w:type="spellStart"/>
      <w:r w:rsidRPr="00B574C8">
        <w:rPr>
          <w:sz w:val="24"/>
          <w:szCs w:val="24"/>
        </w:rPr>
        <w:t>Gastrointestinal</w:t>
      </w:r>
      <w:proofErr w:type="spellEnd"/>
      <w:r w:rsidRPr="00B574C8">
        <w:rPr>
          <w:sz w:val="24"/>
          <w:szCs w:val="24"/>
        </w:rPr>
        <w:t xml:space="preserve"> blødning kan være alvorlig og livstruende, se pkt. 4.4.</w:t>
      </w:r>
    </w:p>
    <w:bookmarkEnd w:id="121"/>
    <w:p w14:paraId="12FA4392" w14:textId="77777777" w:rsidR="009C0264" w:rsidRPr="00B574C8" w:rsidRDefault="009C0264" w:rsidP="009C0264">
      <w:pPr>
        <w:ind w:left="851"/>
        <w:rPr>
          <w:sz w:val="24"/>
          <w:szCs w:val="24"/>
        </w:rPr>
      </w:pPr>
    </w:p>
    <w:p w14:paraId="25FF000C" w14:textId="77777777" w:rsidR="009C0264" w:rsidRPr="00B574C8" w:rsidRDefault="009C0264" w:rsidP="009C0264">
      <w:pPr>
        <w:ind w:left="851"/>
        <w:rPr>
          <w:sz w:val="24"/>
          <w:szCs w:val="24"/>
          <w:u w:val="single"/>
        </w:rPr>
      </w:pPr>
      <w:bookmarkStart w:id="122" w:name="_Hlk129009489"/>
      <w:r w:rsidRPr="00B574C8">
        <w:rPr>
          <w:sz w:val="24"/>
          <w:szCs w:val="24"/>
          <w:u w:val="single"/>
        </w:rPr>
        <w:t xml:space="preserve">Pædiatrisk population </w:t>
      </w:r>
    </w:p>
    <w:bookmarkEnd w:id="122"/>
    <w:p w14:paraId="42B19531" w14:textId="77777777" w:rsidR="009C0264" w:rsidRPr="00B574C8" w:rsidRDefault="009C0264" w:rsidP="009C0264">
      <w:pPr>
        <w:ind w:left="851"/>
        <w:rPr>
          <w:sz w:val="24"/>
          <w:szCs w:val="24"/>
        </w:rPr>
      </w:pPr>
      <w:r w:rsidRPr="00B574C8">
        <w:rPr>
          <w:sz w:val="24"/>
          <w:szCs w:val="24"/>
        </w:rPr>
        <w:t>Frekvensen af bivirkninger hos børn forventes at være mindre end hos voksne.</w:t>
      </w:r>
    </w:p>
    <w:p w14:paraId="31B5418F" w14:textId="77777777" w:rsidR="009C0264" w:rsidRPr="00B574C8" w:rsidRDefault="009C0264" w:rsidP="009C0264">
      <w:pPr>
        <w:ind w:left="851"/>
        <w:rPr>
          <w:sz w:val="24"/>
          <w:szCs w:val="24"/>
        </w:rPr>
      </w:pPr>
    </w:p>
    <w:p w14:paraId="11A0CCBD" w14:textId="77777777" w:rsidR="009C0264" w:rsidRPr="00740737" w:rsidRDefault="009C0264" w:rsidP="009C0264">
      <w:pPr>
        <w:ind w:left="851"/>
        <w:rPr>
          <w:sz w:val="24"/>
          <w:szCs w:val="24"/>
          <w:u w:val="single"/>
        </w:rPr>
      </w:pPr>
      <w:r w:rsidRPr="00740737">
        <w:rPr>
          <w:sz w:val="24"/>
          <w:szCs w:val="24"/>
          <w:u w:val="single"/>
        </w:rPr>
        <w:t>Indberetning af formodede bivirkninger</w:t>
      </w:r>
    </w:p>
    <w:p w14:paraId="60DB3491" w14:textId="77777777" w:rsidR="009C0264" w:rsidRPr="00B574C8" w:rsidRDefault="009C0264" w:rsidP="009C0264">
      <w:pPr>
        <w:ind w:left="851"/>
        <w:rPr>
          <w:sz w:val="24"/>
          <w:szCs w:val="24"/>
        </w:rPr>
      </w:pPr>
      <w:r w:rsidRPr="00B574C8">
        <w:rPr>
          <w:sz w:val="24"/>
          <w:szCs w:val="24"/>
        </w:rPr>
        <w:t>Når lægemidlet er godkendt, er indberetning af formodede bivirkninger vigtig. Det muliggør løbende overvågning af benefit/</w:t>
      </w:r>
      <w:proofErr w:type="spellStart"/>
      <w:r w:rsidRPr="00B574C8">
        <w:rPr>
          <w:sz w:val="24"/>
          <w:szCs w:val="24"/>
        </w:rPr>
        <w:t>risk</w:t>
      </w:r>
      <w:proofErr w:type="spellEnd"/>
      <w:r w:rsidRPr="00B574C8">
        <w:rPr>
          <w:sz w:val="24"/>
          <w:szCs w:val="24"/>
        </w:rPr>
        <w:t xml:space="preserve">-forholdet for lægemidlet. Sundhedspersoner anmodes om at indberette alle formodede bivirkninger via: </w:t>
      </w:r>
    </w:p>
    <w:p w14:paraId="547C8A92" w14:textId="77777777" w:rsidR="009C0264" w:rsidRPr="00B574C8" w:rsidRDefault="009C0264" w:rsidP="009C0264">
      <w:pPr>
        <w:ind w:left="851"/>
        <w:rPr>
          <w:sz w:val="24"/>
          <w:szCs w:val="24"/>
        </w:rPr>
      </w:pPr>
    </w:p>
    <w:p w14:paraId="48DCF275" w14:textId="77777777" w:rsidR="009C0264" w:rsidRPr="00B574C8" w:rsidRDefault="009C0264" w:rsidP="009C0264">
      <w:pPr>
        <w:ind w:left="851"/>
        <w:rPr>
          <w:sz w:val="24"/>
          <w:szCs w:val="24"/>
        </w:rPr>
      </w:pPr>
      <w:r w:rsidRPr="00B574C8">
        <w:rPr>
          <w:sz w:val="24"/>
          <w:szCs w:val="24"/>
        </w:rPr>
        <w:t xml:space="preserve">Lægemiddelstyrelsen </w:t>
      </w:r>
    </w:p>
    <w:p w14:paraId="5F4E502A" w14:textId="77777777" w:rsidR="009C0264" w:rsidRPr="00B574C8" w:rsidRDefault="009C0264" w:rsidP="009C0264">
      <w:pPr>
        <w:ind w:left="851"/>
        <w:rPr>
          <w:sz w:val="24"/>
          <w:szCs w:val="24"/>
        </w:rPr>
      </w:pPr>
      <w:r w:rsidRPr="00B574C8">
        <w:rPr>
          <w:sz w:val="24"/>
          <w:szCs w:val="24"/>
        </w:rPr>
        <w:lastRenderedPageBreak/>
        <w:t>Axel Heides Gade 1</w:t>
      </w:r>
    </w:p>
    <w:p w14:paraId="5A66370B" w14:textId="77777777" w:rsidR="009C0264" w:rsidRPr="00B574C8" w:rsidRDefault="009C0264" w:rsidP="009C0264">
      <w:pPr>
        <w:ind w:left="851"/>
        <w:rPr>
          <w:sz w:val="24"/>
          <w:szCs w:val="24"/>
        </w:rPr>
      </w:pPr>
      <w:r w:rsidRPr="00B574C8">
        <w:rPr>
          <w:sz w:val="24"/>
          <w:szCs w:val="24"/>
        </w:rPr>
        <w:t>DK-2300 København S</w:t>
      </w:r>
    </w:p>
    <w:p w14:paraId="1E5A8E65" w14:textId="4071CA80" w:rsidR="009C0264" w:rsidRPr="00B574C8" w:rsidRDefault="009C0264" w:rsidP="009C0264">
      <w:pPr>
        <w:ind w:left="851"/>
        <w:rPr>
          <w:sz w:val="24"/>
          <w:szCs w:val="24"/>
        </w:rPr>
      </w:pPr>
      <w:r w:rsidRPr="00B574C8">
        <w:rPr>
          <w:sz w:val="24"/>
          <w:szCs w:val="24"/>
        </w:rPr>
        <w:t xml:space="preserve">Websted: </w:t>
      </w:r>
      <w:hyperlink r:id="rId8" w:history="1">
        <w:r w:rsidR="00F33762" w:rsidRPr="00E46441">
          <w:rPr>
            <w:rStyle w:val="Hyperlink"/>
            <w:sz w:val="24"/>
            <w:szCs w:val="24"/>
          </w:rPr>
          <w:t>www.meldenbivirkning.dk</w:t>
        </w:r>
      </w:hyperlink>
      <w:r w:rsidR="00F33762">
        <w:rPr>
          <w:sz w:val="24"/>
          <w:szCs w:val="24"/>
        </w:rPr>
        <w:t xml:space="preserve"> </w:t>
      </w:r>
    </w:p>
    <w:p w14:paraId="21B874D2" w14:textId="77777777" w:rsidR="009260DE" w:rsidRPr="00B574C8" w:rsidRDefault="009260DE" w:rsidP="00A10294">
      <w:pPr>
        <w:tabs>
          <w:tab w:val="left" w:pos="851"/>
        </w:tabs>
        <w:ind w:left="851"/>
        <w:rPr>
          <w:sz w:val="24"/>
          <w:szCs w:val="24"/>
        </w:rPr>
      </w:pPr>
    </w:p>
    <w:p w14:paraId="2F3E6C2C" w14:textId="131573AA" w:rsidR="00740737" w:rsidRPr="009C0264" w:rsidRDefault="009260DE" w:rsidP="009C0264">
      <w:pPr>
        <w:keepNext/>
        <w:tabs>
          <w:tab w:val="left" w:pos="851"/>
        </w:tabs>
        <w:ind w:left="851" w:hanging="851"/>
        <w:rPr>
          <w:b/>
          <w:sz w:val="24"/>
          <w:szCs w:val="24"/>
        </w:rPr>
      </w:pPr>
      <w:r w:rsidRPr="00B574C8">
        <w:rPr>
          <w:b/>
          <w:sz w:val="24"/>
          <w:szCs w:val="24"/>
        </w:rPr>
        <w:t>4.9</w:t>
      </w:r>
      <w:r w:rsidRPr="00B574C8">
        <w:rPr>
          <w:b/>
          <w:sz w:val="24"/>
          <w:szCs w:val="24"/>
        </w:rPr>
        <w:tab/>
        <w:t>Overdosering</w:t>
      </w:r>
      <w:bookmarkStart w:id="123" w:name="_Hlk129009527"/>
    </w:p>
    <w:p w14:paraId="5F557117" w14:textId="77777777" w:rsidR="005C3AC1" w:rsidRDefault="005C3AC1" w:rsidP="00B574C8">
      <w:pPr>
        <w:ind w:left="851"/>
        <w:rPr>
          <w:sz w:val="24"/>
          <w:szCs w:val="24"/>
          <w:u w:val="single"/>
        </w:rPr>
      </w:pPr>
    </w:p>
    <w:p w14:paraId="05806881" w14:textId="5BE0EF9E" w:rsidR="00826AA6" w:rsidRPr="00740737" w:rsidRDefault="00826AA6" w:rsidP="00B574C8">
      <w:pPr>
        <w:ind w:left="851"/>
        <w:rPr>
          <w:sz w:val="24"/>
          <w:szCs w:val="24"/>
          <w:u w:val="single"/>
        </w:rPr>
      </w:pPr>
      <w:r w:rsidRPr="00740737">
        <w:rPr>
          <w:sz w:val="24"/>
          <w:szCs w:val="24"/>
          <w:u w:val="single"/>
        </w:rPr>
        <w:t>Toksicitet</w:t>
      </w:r>
    </w:p>
    <w:p w14:paraId="2A35C494" w14:textId="77777777" w:rsidR="00826AA6" w:rsidRPr="00B574C8" w:rsidRDefault="00826AA6" w:rsidP="00B574C8">
      <w:pPr>
        <w:ind w:left="851"/>
        <w:rPr>
          <w:spacing w:val="-3"/>
          <w:sz w:val="24"/>
          <w:szCs w:val="24"/>
        </w:rPr>
      </w:pPr>
      <w:r w:rsidRPr="00B574C8">
        <w:rPr>
          <w:spacing w:val="-3"/>
          <w:sz w:val="24"/>
          <w:szCs w:val="24"/>
        </w:rPr>
        <w:t>Toksiciteten af ibuprofen afhænger af dosis og tid siden indtagelse. Hvert enkelt tilfælde skal vurderes individuelt.</w:t>
      </w:r>
    </w:p>
    <w:p w14:paraId="6BC31F94" w14:textId="77777777" w:rsidR="00826AA6" w:rsidRPr="00B574C8" w:rsidRDefault="00826AA6" w:rsidP="00B574C8">
      <w:pPr>
        <w:ind w:left="851"/>
        <w:rPr>
          <w:spacing w:val="-3"/>
          <w:sz w:val="24"/>
          <w:szCs w:val="24"/>
        </w:rPr>
      </w:pPr>
    </w:p>
    <w:p w14:paraId="379F6B59" w14:textId="77777777" w:rsidR="00826AA6" w:rsidRPr="00B574C8" w:rsidRDefault="00826AA6" w:rsidP="00826AA6">
      <w:pPr>
        <w:ind w:left="851"/>
        <w:rPr>
          <w:spacing w:val="-3"/>
          <w:sz w:val="24"/>
          <w:szCs w:val="24"/>
        </w:rPr>
      </w:pPr>
      <w:r w:rsidRPr="00B574C8">
        <w:rPr>
          <w:spacing w:val="-3"/>
          <w:sz w:val="24"/>
          <w:szCs w:val="24"/>
        </w:rPr>
        <w:t>Ved doser på:</w:t>
      </w:r>
    </w:p>
    <w:p w14:paraId="79E61576" w14:textId="77777777" w:rsidR="00826AA6" w:rsidRPr="00B574C8" w:rsidRDefault="00826AA6" w:rsidP="005C3AC1">
      <w:pPr>
        <w:pStyle w:val="Listeafsnit"/>
        <w:numPr>
          <w:ilvl w:val="0"/>
          <w:numId w:val="11"/>
        </w:numPr>
        <w:ind w:left="1134" w:hanging="283"/>
        <w:rPr>
          <w:spacing w:val="-3"/>
          <w:sz w:val="24"/>
          <w:szCs w:val="24"/>
        </w:rPr>
      </w:pPr>
      <w:r w:rsidRPr="00B574C8">
        <w:rPr>
          <w:spacing w:val="-3"/>
          <w:sz w:val="24"/>
          <w:szCs w:val="24"/>
        </w:rPr>
        <w:t>&gt; 80 mg/kg: Observationskrævende dosis (indlæggelse).</w:t>
      </w:r>
    </w:p>
    <w:p w14:paraId="0AD251CC" w14:textId="77777777" w:rsidR="00826AA6" w:rsidRPr="00B574C8" w:rsidRDefault="00826AA6" w:rsidP="005C3AC1">
      <w:pPr>
        <w:pStyle w:val="Listeafsnit"/>
        <w:numPr>
          <w:ilvl w:val="0"/>
          <w:numId w:val="11"/>
        </w:numPr>
        <w:ind w:left="1134" w:hanging="283"/>
        <w:rPr>
          <w:spacing w:val="-3"/>
          <w:sz w:val="24"/>
          <w:szCs w:val="24"/>
        </w:rPr>
      </w:pPr>
      <w:r w:rsidRPr="00B574C8">
        <w:rPr>
          <w:spacing w:val="-3"/>
          <w:sz w:val="24"/>
          <w:szCs w:val="24"/>
        </w:rPr>
        <w:t xml:space="preserve">&gt; 150 mg/kg: Kræver som regel understøttende terapi. </w:t>
      </w:r>
    </w:p>
    <w:p w14:paraId="4198B163" w14:textId="77777777" w:rsidR="00826AA6" w:rsidRPr="00B574C8" w:rsidRDefault="00826AA6" w:rsidP="005C3AC1">
      <w:pPr>
        <w:pStyle w:val="Listeafsnit"/>
        <w:numPr>
          <w:ilvl w:val="0"/>
          <w:numId w:val="11"/>
        </w:numPr>
        <w:ind w:left="1134" w:hanging="283"/>
        <w:rPr>
          <w:spacing w:val="-3"/>
          <w:sz w:val="24"/>
          <w:szCs w:val="24"/>
        </w:rPr>
      </w:pPr>
      <w:r w:rsidRPr="00B574C8">
        <w:rPr>
          <w:spacing w:val="-3"/>
          <w:sz w:val="24"/>
          <w:szCs w:val="24"/>
        </w:rPr>
        <w:t xml:space="preserve">100 - 700 mg/kg legemsvægt hos børn og voksne (ud over de nævnte symptomer): Har medført </w:t>
      </w:r>
      <w:proofErr w:type="spellStart"/>
      <w:r w:rsidRPr="00B574C8">
        <w:rPr>
          <w:spacing w:val="-3"/>
          <w:sz w:val="24"/>
          <w:szCs w:val="24"/>
        </w:rPr>
        <w:t>acidose</w:t>
      </w:r>
      <w:proofErr w:type="spellEnd"/>
      <w:r w:rsidRPr="00B574C8">
        <w:rPr>
          <w:spacing w:val="-3"/>
          <w:sz w:val="24"/>
          <w:szCs w:val="24"/>
        </w:rPr>
        <w:t>.</w:t>
      </w:r>
    </w:p>
    <w:p w14:paraId="19D9F83C" w14:textId="77777777" w:rsidR="00826AA6" w:rsidRPr="00B574C8" w:rsidRDefault="00826AA6" w:rsidP="00826AA6">
      <w:pPr>
        <w:ind w:left="851"/>
        <w:rPr>
          <w:sz w:val="24"/>
          <w:szCs w:val="24"/>
        </w:rPr>
      </w:pPr>
    </w:p>
    <w:p w14:paraId="5A14E465" w14:textId="77777777" w:rsidR="00826AA6" w:rsidRPr="00740737" w:rsidRDefault="00826AA6" w:rsidP="00B574C8">
      <w:pPr>
        <w:ind w:left="851"/>
        <w:rPr>
          <w:sz w:val="24"/>
          <w:szCs w:val="24"/>
          <w:u w:val="single"/>
        </w:rPr>
      </w:pPr>
      <w:r w:rsidRPr="00740737">
        <w:rPr>
          <w:sz w:val="24"/>
          <w:szCs w:val="24"/>
          <w:u w:val="single"/>
        </w:rPr>
        <w:t xml:space="preserve">Symptomer </w:t>
      </w:r>
    </w:p>
    <w:p w14:paraId="6E8AE548" w14:textId="77777777" w:rsidR="00826AA6" w:rsidRPr="00B574C8" w:rsidRDefault="00826AA6" w:rsidP="00B574C8">
      <w:pPr>
        <w:ind w:left="851"/>
        <w:rPr>
          <w:sz w:val="24"/>
          <w:szCs w:val="24"/>
        </w:rPr>
      </w:pPr>
      <w:r w:rsidRPr="00B574C8">
        <w:rPr>
          <w:sz w:val="24"/>
          <w:szCs w:val="24"/>
        </w:rPr>
        <w:t xml:space="preserve">Kvalme, mavesmerter, opkastninger (muligvis med blod), hovedpine, tinnitus, letargi, </w:t>
      </w:r>
      <w:bookmarkStart w:id="124" w:name="_Hlk122092493"/>
      <w:r w:rsidRPr="00B574C8">
        <w:rPr>
          <w:sz w:val="24"/>
          <w:szCs w:val="24"/>
        </w:rPr>
        <w:t>bevidstløshed, kramper</w:t>
      </w:r>
      <w:bookmarkEnd w:id="124"/>
      <w:r w:rsidRPr="00B574C8">
        <w:rPr>
          <w:sz w:val="24"/>
          <w:szCs w:val="24"/>
        </w:rPr>
        <w:t xml:space="preserve">, nystagmus, </w:t>
      </w:r>
      <w:bookmarkStart w:id="125" w:name="_Hlk122092544"/>
      <w:r w:rsidRPr="00B574C8">
        <w:rPr>
          <w:sz w:val="24"/>
          <w:szCs w:val="24"/>
        </w:rPr>
        <w:t>tågesyn</w:t>
      </w:r>
      <w:bookmarkEnd w:id="125"/>
      <w:r w:rsidRPr="00B574C8">
        <w:rPr>
          <w:sz w:val="24"/>
          <w:szCs w:val="24"/>
        </w:rPr>
        <w:t xml:space="preserve">. </w:t>
      </w:r>
    </w:p>
    <w:p w14:paraId="618AFF41" w14:textId="77777777" w:rsidR="00826AA6" w:rsidRPr="00B574C8" w:rsidRDefault="00826AA6" w:rsidP="00B574C8">
      <w:pPr>
        <w:ind w:left="851"/>
        <w:rPr>
          <w:sz w:val="24"/>
          <w:szCs w:val="24"/>
        </w:rPr>
      </w:pPr>
    </w:p>
    <w:p w14:paraId="2C6F4372" w14:textId="77777777" w:rsidR="00826AA6" w:rsidRPr="00B574C8" w:rsidRDefault="00826AA6" w:rsidP="00B574C8">
      <w:pPr>
        <w:ind w:left="851"/>
        <w:rPr>
          <w:sz w:val="24"/>
          <w:szCs w:val="24"/>
        </w:rPr>
      </w:pPr>
      <w:bookmarkStart w:id="126" w:name="_Hlk122093376"/>
      <w:r w:rsidRPr="00B574C8">
        <w:rPr>
          <w:sz w:val="24"/>
          <w:szCs w:val="24"/>
        </w:rPr>
        <w:t>Ved høje doser</w:t>
      </w:r>
      <w:bookmarkEnd w:id="126"/>
      <w:r w:rsidRPr="00B574C8">
        <w:rPr>
          <w:sz w:val="24"/>
          <w:szCs w:val="24"/>
        </w:rPr>
        <w:t xml:space="preserve">, bevidsthedstab, kramper (især hos børn), bradykardi, hypotension, metabolisk </w:t>
      </w:r>
      <w:proofErr w:type="spellStart"/>
      <w:r w:rsidRPr="00B574C8">
        <w:rPr>
          <w:sz w:val="24"/>
          <w:szCs w:val="24"/>
        </w:rPr>
        <w:t>acidose</w:t>
      </w:r>
      <w:proofErr w:type="spellEnd"/>
      <w:r w:rsidRPr="00B574C8">
        <w:rPr>
          <w:sz w:val="24"/>
          <w:szCs w:val="24"/>
        </w:rPr>
        <w:t xml:space="preserve">, </w:t>
      </w:r>
      <w:bookmarkStart w:id="127" w:name="_Hlk122092927"/>
      <w:proofErr w:type="spellStart"/>
      <w:r w:rsidRPr="00B574C8">
        <w:rPr>
          <w:sz w:val="24"/>
          <w:szCs w:val="24"/>
        </w:rPr>
        <w:t>hypernatriæmi</w:t>
      </w:r>
      <w:bookmarkEnd w:id="127"/>
      <w:proofErr w:type="spellEnd"/>
      <w:r w:rsidRPr="00B574C8">
        <w:rPr>
          <w:sz w:val="24"/>
          <w:szCs w:val="24"/>
        </w:rPr>
        <w:t xml:space="preserve">, </w:t>
      </w:r>
      <w:bookmarkStart w:id="128" w:name="_Hlk122092953"/>
      <w:r w:rsidRPr="00B574C8">
        <w:rPr>
          <w:sz w:val="24"/>
          <w:szCs w:val="24"/>
        </w:rPr>
        <w:t>påvirkning</w:t>
      </w:r>
      <w:bookmarkEnd w:id="128"/>
      <w:r w:rsidRPr="00B574C8">
        <w:rPr>
          <w:sz w:val="24"/>
          <w:szCs w:val="24"/>
        </w:rPr>
        <w:t xml:space="preserve"> af nyrer, hæmaturi, muligvis nedsat leverfunktion, </w:t>
      </w:r>
      <w:proofErr w:type="spellStart"/>
      <w:r w:rsidRPr="00B574C8">
        <w:rPr>
          <w:sz w:val="24"/>
          <w:szCs w:val="24"/>
        </w:rPr>
        <w:t>hypotermi</w:t>
      </w:r>
      <w:proofErr w:type="spellEnd"/>
      <w:r w:rsidRPr="00B574C8">
        <w:rPr>
          <w:sz w:val="24"/>
          <w:szCs w:val="24"/>
        </w:rPr>
        <w:t>, isolerede tilfælde af ARDS.</w:t>
      </w:r>
    </w:p>
    <w:p w14:paraId="437B364B" w14:textId="77777777" w:rsidR="00826AA6" w:rsidRPr="00B574C8" w:rsidRDefault="00826AA6" w:rsidP="00B574C8">
      <w:pPr>
        <w:ind w:left="851"/>
        <w:rPr>
          <w:sz w:val="24"/>
          <w:szCs w:val="24"/>
        </w:rPr>
      </w:pPr>
    </w:p>
    <w:p w14:paraId="68DEB8D4" w14:textId="7A75CF62" w:rsidR="00826AA6" w:rsidRDefault="00826AA6" w:rsidP="00B574C8">
      <w:pPr>
        <w:ind w:left="851"/>
        <w:rPr>
          <w:sz w:val="24"/>
          <w:szCs w:val="24"/>
        </w:rPr>
      </w:pPr>
      <w:r w:rsidRPr="00B574C8">
        <w:rPr>
          <w:sz w:val="24"/>
          <w:szCs w:val="24"/>
        </w:rPr>
        <w:t xml:space="preserve">Ved alvorlig forgiftning kan metabolisk </w:t>
      </w:r>
      <w:proofErr w:type="spellStart"/>
      <w:r w:rsidRPr="00B574C8">
        <w:rPr>
          <w:sz w:val="24"/>
          <w:szCs w:val="24"/>
        </w:rPr>
        <w:t>acidose</w:t>
      </w:r>
      <w:proofErr w:type="spellEnd"/>
      <w:r w:rsidRPr="00B574C8">
        <w:rPr>
          <w:sz w:val="24"/>
          <w:szCs w:val="24"/>
        </w:rPr>
        <w:t xml:space="preserve"> forekomme.</w:t>
      </w:r>
    </w:p>
    <w:p w14:paraId="14A1E5F4" w14:textId="21FF8527" w:rsidR="00215F93" w:rsidRDefault="00215F93" w:rsidP="00B574C8">
      <w:pPr>
        <w:ind w:left="851"/>
        <w:rPr>
          <w:sz w:val="24"/>
          <w:szCs w:val="24"/>
        </w:rPr>
      </w:pPr>
    </w:p>
    <w:p w14:paraId="62A3F5E5" w14:textId="0B523576" w:rsidR="00215F93" w:rsidRPr="00215F93" w:rsidRDefault="00215F93" w:rsidP="00215F93">
      <w:pPr>
        <w:ind w:left="851"/>
        <w:rPr>
          <w:sz w:val="24"/>
          <w:szCs w:val="24"/>
          <w:u w:val="single"/>
        </w:rPr>
      </w:pPr>
      <w:proofErr w:type="spellStart"/>
      <w:r>
        <w:rPr>
          <w:sz w:val="24"/>
          <w:szCs w:val="24"/>
          <w:u w:val="single"/>
        </w:rPr>
        <w:t>Renal</w:t>
      </w:r>
      <w:proofErr w:type="spellEnd"/>
      <w:r>
        <w:rPr>
          <w:sz w:val="24"/>
          <w:szCs w:val="24"/>
          <w:u w:val="single"/>
        </w:rPr>
        <w:t xml:space="preserve"> </w:t>
      </w:r>
      <w:proofErr w:type="spellStart"/>
      <w:r>
        <w:rPr>
          <w:sz w:val="24"/>
          <w:szCs w:val="24"/>
          <w:u w:val="single"/>
        </w:rPr>
        <w:t>tubulær</w:t>
      </w:r>
      <w:proofErr w:type="spellEnd"/>
      <w:r>
        <w:rPr>
          <w:sz w:val="24"/>
          <w:szCs w:val="24"/>
          <w:u w:val="single"/>
        </w:rPr>
        <w:t xml:space="preserve"> </w:t>
      </w:r>
      <w:proofErr w:type="spellStart"/>
      <w:r>
        <w:rPr>
          <w:sz w:val="24"/>
          <w:szCs w:val="24"/>
          <w:u w:val="single"/>
        </w:rPr>
        <w:t>acidose</w:t>
      </w:r>
      <w:proofErr w:type="spellEnd"/>
      <w:r>
        <w:rPr>
          <w:sz w:val="24"/>
          <w:szCs w:val="24"/>
          <w:u w:val="single"/>
        </w:rPr>
        <w:t xml:space="preserve"> og </w:t>
      </w:r>
      <w:proofErr w:type="spellStart"/>
      <w:r>
        <w:rPr>
          <w:sz w:val="24"/>
          <w:szCs w:val="24"/>
          <w:u w:val="single"/>
        </w:rPr>
        <w:t>hypokaliæmi</w:t>
      </w:r>
      <w:proofErr w:type="spellEnd"/>
      <w:r>
        <w:rPr>
          <w:sz w:val="24"/>
          <w:szCs w:val="24"/>
          <w:u w:val="single"/>
        </w:rPr>
        <w:t xml:space="preserve"> er blevet observeret </w:t>
      </w:r>
      <w:bookmarkStart w:id="129" w:name="_Hlk185517564"/>
      <w:r>
        <w:rPr>
          <w:sz w:val="24"/>
          <w:szCs w:val="24"/>
          <w:u w:val="single"/>
        </w:rPr>
        <w:t>ved langvarig overdreven brug af ibuprofen</w:t>
      </w:r>
      <w:bookmarkEnd w:id="129"/>
      <w:r>
        <w:rPr>
          <w:sz w:val="24"/>
          <w:szCs w:val="24"/>
          <w:u w:val="single"/>
        </w:rPr>
        <w:t>.</w:t>
      </w:r>
    </w:p>
    <w:p w14:paraId="43659833" w14:textId="77777777" w:rsidR="00826AA6" w:rsidRPr="00B574C8" w:rsidRDefault="00826AA6" w:rsidP="00B574C8">
      <w:pPr>
        <w:ind w:left="851"/>
        <w:rPr>
          <w:sz w:val="24"/>
          <w:szCs w:val="24"/>
        </w:rPr>
      </w:pPr>
    </w:p>
    <w:p w14:paraId="2B8CA7AF" w14:textId="77777777" w:rsidR="00826AA6" w:rsidRPr="00740737" w:rsidRDefault="00826AA6" w:rsidP="00B574C8">
      <w:pPr>
        <w:ind w:left="851"/>
        <w:rPr>
          <w:sz w:val="24"/>
          <w:szCs w:val="24"/>
          <w:u w:val="single"/>
        </w:rPr>
      </w:pPr>
      <w:r w:rsidRPr="00740737">
        <w:rPr>
          <w:sz w:val="24"/>
          <w:szCs w:val="24"/>
          <w:u w:val="single"/>
        </w:rPr>
        <w:t xml:space="preserve">Behandling </w:t>
      </w:r>
    </w:p>
    <w:p w14:paraId="4E099F2B" w14:textId="77777777" w:rsidR="00826AA6" w:rsidRPr="00B574C8" w:rsidRDefault="00826AA6" w:rsidP="00B574C8">
      <w:pPr>
        <w:ind w:left="851"/>
        <w:rPr>
          <w:sz w:val="24"/>
          <w:szCs w:val="24"/>
        </w:rPr>
      </w:pPr>
      <w:r w:rsidRPr="00B574C8">
        <w:rPr>
          <w:sz w:val="24"/>
          <w:szCs w:val="24"/>
        </w:rPr>
        <w:t xml:space="preserve">Der findes ingen specifik modgift. Aktivt kul kan overvejes ved større indtag inden for få timer, </w:t>
      </w:r>
      <w:proofErr w:type="spellStart"/>
      <w:r w:rsidRPr="00B574C8">
        <w:rPr>
          <w:sz w:val="24"/>
          <w:szCs w:val="24"/>
        </w:rPr>
        <w:t>antacider</w:t>
      </w:r>
      <w:proofErr w:type="spellEnd"/>
      <w:r w:rsidRPr="00B574C8">
        <w:rPr>
          <w:sz w:val="24"/>
          <w:szCs w:val="24"/>
        </w:rPr>
        <w:t xml:space="preserve">. Ved hypotension, intravenøs væske og, om nødvendigt, inotrop støtte. Sørg for tilstrækkelig diurese. Korrektion af syre-base-balancen og elektrolytforstyrrelser. </w:t>
      </w:r>
    </w:p>
    <w:p w14:paraId="622C101B" w14:textId="77777777" w:rsidR="00826AA6" w:rsidRPr="00B574C8" w:rsidRDefault="00826AA6" w:rsidP="00826AA6">
      <w:pPr>
        <w:ind w:left="851"/>
        <w:rPr>
          <w:sz w:val="24"/>
          <w:szCs w:val="24"/>
        </w:rPr>
      </w:pPr>
      <w:r w:rsidRPr="00B574C8">
        <w:rPr>
          <w:sz w:val="24"/>
          <w:szCs w:val="24"/>
        </w:rPr>
        <w:t>Anden symptomatisk behandling.</w:t>
      </w:r>
    </w:p>
    <w:p w14:paraId="4F72D3B1" w14:textId="77777777" w:rsidR="00826AA6" w:rsidRPr="00B574C8" w:rsidRDefault="00826AA6" w:rsidP="00826AA6">
      <w:pPr>
        <w:ind w:left="851"/>
        <w:rPr>
          <w:sz w:val="24"/>
          <w:szCs w:val="24"/>
        </w:rPr>
      </w:pPr>
    </w:p>
    <w:p w14:paraId="03301F1F" w14:textId="77777777" w:rsidR="00826AA6" w:rsidRPr="00B574C8" w:rsidRDefault="00826AA6" w:rsidP="00826AA6">
      <w:pPr>
        <w:ind w:left="851"/>
        <w:rPr>
          <w:sz w:val="24"/>
          <w:szCs w:val="24"/>
        </w:rPr>
      </w:pPr>
      <w:r w:rsidRPr="00B574C8">
        <w:rPr>
          <w:sz w:val="24"/>
          <w:szCs w:val="24"/>
        </w:rPr>
        <w:t>Nyre- og leverfunktion bør overvåges nøje. Patienter bør observeres i mindst fire timer efter indtagelse af potentielt toksiske mængder.</w:t>
      </w:r>
      <w:bookmarkEnd w:id="123"/>
    </w:p>
    <w:p w14:paraId="00402530" w14:textId="77777777" w:rsidR="009260DE" w:rsidRPr="00B574C8" w:rsidRDefault="009260DE" w:rsidP="009260DE">
      <w:pPr>
        <w:tabs>
          <w:tab w:val="left" w:pos="851"/>
        </w:tabs>
        <w:ind w:left="851"/>
        <w:rPr>
          <w:sz w:val="24"/>
          <w:szCs w:val="24"/>
        </w:rPr>
      </w:pPr>
    </w:p>
    <w:p w14:paraId="37DF46DA" w14:textId="77777777" w:rsidR="009260DE" w:rsidRPr="00B574C8" w:rsidRDefault="009260DE" w:rsidP="009260DE">
      <w:pPr>
        <w:tabs>
          <w:tab w:val="left" w:pos="851"/>
        </w:tabs>
        <w:ind w:left="851" w:hanging="851"/>
        <w:rPr>
          <w:b/>
          <w:sz w:val="24"/>
          <w:szCs w:val="24"/>
        </w:rPr>
      </w:pPr>
      <w:r w:rsidRPr="00B574C8">
        <w:rPr>
          <w:b/>
          <w:sz w:val="24"/>
          <w:szCs w:val="24"/>
        </w:rPr>
        <w:t>4.10</w:t>
      </w:r>
      <w:r w:rsidRPr="00B574C8">
        <w:rPr>
          <w:b/>
          <w:sz w:val="24"/>
          <w:szCs w:val="24"/>
        </w:rPr>
        <w:tab/>
        <w:t>Udlevering</w:t>
      </w:r>
    </w:p>
    <w:p w14:paraId="0BADFDAE" w14:textId="5AFD38CD" w:rsidR="009260DE" w:rsidRPr="00B574C8" w:rsidRDefault="00826AA6" w:rsidP="009260DE">
      <w:pPr>
        <w:tabs>
          <w:tab w:val="left" w:pos="851"/>
        </w:tabs>
        <w:ind w:left="851"/>
        <w:rPr>
          <w:sz w:val="24"/>
          <w:szCs w:val="24"/>
        </w:rPr>
      </w:pPr>
      <w:r w:rsidRPr="00B574C8">
        <w:rPr>
          <w:sz w:val="24"/>
          <w:szCs w:val="24"/>
        </w:rPr>
        <w:t>B</w:t>
      </w:r>
    </w:p>
    <w:p w14:paraId="2CE9ADF7" w14:textId="77777777" w:rsidR="009260DE" w:rsidRPr="00B574C8" w:rsidRDefault="009260DE" w:rsidP="009260DE">
      <w:pPr>
        <w:tabs>
          <w:tab w:val="left" w:pos="851"/>
        </w:tabs>
        <w:ind w:left="851"/>
        <w:rPr>
          <w:sz w:val="24"/>
          <w:szCs w:val="24"/>
        </w:rPr>
      </w:pPr>
    </w:p>
    <w:p w14:paraId="1BC3A796" w14:textId="77777777" w:rsidR="009260DE" w:rsidRPr="00B574C8" w:rsidRDefault="009260DE" w:rsidP="009260DE">
      <w:pPr>
        <w:tabs>
          <w:tab w:val="left" w:pos="851"/>
        </w:tabs>
        <w:ind w:left="851"/>
        <w:rPr>
          <w:sz w:val="24"/>
          <w:szCs w:val="24"/>
        </w:rPr>
      </w:pPr>
    </w:p>
    <w:p w14:paraId="3C00EA94" w14:textId="77777777" w:rsidR="009260DE" w:rsidRPr="00B574C8" w:rsidRDefault="009260DE" w:rsidP="009260DE">
      <w:pPr>
        <w:tabs>
          <w:tab w:val="left" w:pos="851"/>
        </w:tabs>
        <w:ind w:left="851" w:hanging="851"/>
        <w:rPr>
          <w:b/>
          <w:sz w:val="24"/>
          <w:szCs w:val="24"/>
        </w:rPr>
      </w:pPr>
      <w:r w:rsidRPr="00B574C8">
        <w:rPr>
          <w:b/>
          <w:sz w:val="24"/>
          <w:szCs w:val="24"/>
        </w:rPr>
        <w:t>5.</w:t>
      </w:r>
      <w:r w:rsidRPr="00B574C8">
        <w:rPr>
          <w:b/>
          <w:sz w:val="24"/>
          <w:szCs w:val="24"/>
        </w:rPr>
        <w:tab/>
        <w:t>FARMAKOLOGISKE EGENSKABER</w:t>
      </w:r>
    </w:p>
    <w:p w14:paraId="0A33F561" w14:textId="77777777" w:rsidR="009260DE" w:rsidRPr="00B574C8" w:rsidRDefault="009260DE" w:rsidP="009260DE">
      <w:pPr>
        <w:tabs>
          <w:tab w:val="left" w:pos="851"/>
        </w:tabs>
        <w:ind w:left="851"/>
        <w:rPr>
          <w:sz w:val="24"/>
          <w:szCs w:val="24"/>
        </w:rPr>
      </w:pPr>
    </w:p>
    <w:p w14:paraId="065933E7" w14:textId="77777777" w:rsidR="009260DE" w:rsidRPr="00B574C8" w:rsidRDefault="009260DE" w:rsidP="009260DE">
      <w:pPr>
        <w:tabs>
          <w:tab w:val="num" w:pos="851"/>
        </w:tabs>
        <w:ind w:left="851" w:hanging="851"/>
        <w:rPr>
          <w:b/>
          <w:sz w:val="24"/>
          <w:szCs w:val="24"/>
        </w:rPr>
      </w:pPr>
      <w:r w:rsidRPr="00B574C8">
        <w:rPr>
          <w:b/>
          <w:sz w:val="24"/>
          <w:szCs w:val="24"/>
        </w:rPr>
        <w:t>5.1</w:t>
      </w:r>
      <w:r w:rsidRPr="00B574C8">
        <w:rPr>
          <w:b/>
          <w:sz w:val="24"/>
          <w:szCs w:val="24"/>
        </w:rPr>
        <w:tab/>
      </w:r>
      <w:proofErr w:type="spellStart"/>
      <w:r w:rsidRPr="00B574C8">
        <w:rPr>
          <w:b/>
          <w:sz w:val="24"/>
          <w:szCs w:val="24"/>
        </w:rPr>
        <w:t>Farmakodynamiske</w:t>
      </w:r>
      <w:proofErr w:type="spellEnd"/>
      <w:r w:rsidRPr="00B574C8">
        <w:rPr>
          <w:b/>
          <w:sz w:val="24"/>
          <w:szCs w:val="24"/>
        </w:rPr>
        <w:t xml:space="preserve"> egenskaber</w:t>
      </w:r>
    </w:p>
    <w:p w14:paraId="017BE30F" w14:textId="61381BB1" w:rsidR="00826AA6" w:rsidRPr="00B574C8" w:rsidRDefault="00B574C8" w:rsidP="00B574C8">
      <w:pPr>
        <w:ind w:left="851"/>
        <w:rPr>
          <w:sz w:val="24"/>
          <w:szCs w:val="24"/>
        </w:rPr>
      </w:pPr>
      <w:bookmarkStart w:id="130" w:name="_Hlk125020825"/>
      <w:proofErr w:type="spellStart"/>
      <w:r w:rsidRPr="00B574C8">
        <w:rPr>
          <w:sz w:val="24"/>
          <w:szCs w:val="24"/>
        </w:rPr>
        <w:t>Farmakoterapeutisk</w:t>
      </w:r>
      <w:proofErr w:type="spellEnd"/>
      <w:r w:rsidRPr="00B574C8">
        <w:rPr>
          <w:sz w:val="24"/>
          <w:szCs w:val="24"/>
        </w:rPr>
        <w:t xml:space="preserve"> klassifikation:</w:t>
      </w:r>
      <w:bookmarkStart w:id="131" w:name="_Hlk128762532"/>
      <w:r w:rsidRPr="00B574C8">
        <w:rPr>
          <w:sz w:val="24"/>
          <w:szCs w:val="24"/>
        </w:rPr>
        <w:t xml:space="preserve"> </w:t>
      </w:r>
      <w:r w:rsidR="00826AA6" w:rsidRPr="00B574C8">
        <w:rPr>
          <w:sz w:val="24"/>
          <w:szCs w:val="24"/>
        </w:rPr>
        <w:t>Non-</w:t>
      </w:r>
      <w:proofErr w:type="spellStart"/>
      <w:r w:rsidR="00826AA6" w:rsidRPr="00B574C8">
        <w:rPr>
          <w:sz w:val="24"/>
          <w:szCs w:val="24"/>
        </w:rPr>
        <w:t>steroide</w:t>
      </w:r>
      <w:proofErr w:type="spellEnd"/>
      <w:r w:rsidR="00826AA6" w:rsidRPr="00B574C8">
        <w:rPr>
          <w:sz w:val="24"/>
          <w:szCs w:val="24"/>
        </w:rPr>
        <w:t xml:space="preserve"> </w:t>
      </w:r>
      <w:bookmarkEnd w:id="131"/>
      <w:r w:rsidR="00826AA6" w:rsidRPr="00B574C8">
        <w:rPr>
          <w:sz w:val="24"/>
          <w:szCs w:val="24"/>
        </w:rPr>
        <w:t xml:space="preserve">antiinflammatoriske og </w:t>
      </w:r>
      <w:proofErr w:type="spellStart"/>
      <w:r w:rsidR="00826AA6" w:rsidRPr="00B574C8">
        <w:rPr>
          <w:sz w:val="24"/>
          <w:szCs w:val="24"/>
        </w:rPr>
        <w:t>antirheumatiske</w:t>
      </w:r>
      <w:proofErr w:type="spellEnd"/>
      <w:r w:rsidR="00826AA6" w:rsidRPr="00B574C8">
        <w:rPr>
          <w:sz w:val="24"/>
          <w:szCs w:val="24"/>
        </w:rPr>
        <w:t xml:space="preserve"> midler, </w:t>
      </w:r>
      <w:proofErr w:type="spellStart"/>
      <w:r w:rsidR="00826AA6" w:rsidRPr="00B574C8">
        <w:rPr>
          <w:sz w:val="24"/>
          <w:szCs w:val="24"/>
        </w:rPr>
        <w:t>propionsyrederivater</w:t>
      </w:r>
      <w:proofErr w:type="spellEnd"/>
      <w:r w:rsidR="005C3AC1">
        <w:rPr>
          <w:sz w:val="24"/>
          <w:szCs w:val="24"/>
        </w:rPr>
        <w:t>,</w:t>
      </w:r>
      <w:r w:rsidRPr="00B574C8">
        <w:rPr>
          <w:sz w:val="24"/>
          <w:szCs w:val="24"/>
        </w:rPr>
        <w:t xml:space="preserve"> ATC-kode: M01AE01.</w:t>
      </w:r>
    </w:p>
    <w:p w14:paraId="67E10EB1" w14:textId="77777777" w:rsidR="00B574C8" w:rsidRPr="00B574C8" w:rsidRDefault="00B574C8" w:rsidP="00826AA6">
      <w:pPr>
        <w:ind w:left="851"/>
        <w:rPr>
          <w:sz w:val="24"/>
          <w:szCs w:val="24"/>
        </w:rPr>
      </w:pPr>
    </w:p>
    <w:p w14:paraId="42AE2F11" w14:textId="77777777" w:rsidR="00826AA6" w:rsidRPr="00B574C8" w:rsidRDefault="00826AA6" w:rsidP="00826AA6">
      <w:pPr>
        <w:ind w:left="851"/>
        <w:rPr>
          <w:sz w:val="24"/>
          <w:szCs w:val="24"/>
        </w:rPr>
      </w:pPr>
      <w:bookmarkStart w:id="132" w:name="_Hlk125020848"/>
      <w:bookmarkEnd w:id="130"/>
      <w:r w:rsidRPr="00B574C8">
        <w:rPr>
          <w:sz w:val="24"/>
          <w:szCs w:val="24"/>
        </w:rPr>
        <w:t xml:space="preserve">Ibuprofen er et NSAID, som i standard dyremodeller af inflammation har vist sig effektivt at hæmme </w:t>
      </w:r>
      <w:proofErr w:type="spellStart"/>
      <w:r w:rsidRPr="00B574C8">
        <w:rPr>
          <w:sz w:val="24"/>
          <w:szCs w:val="24"/>
        </w:rPr>
        <w:t>prostaglandinsyntesen</w:t>
      </w:r>
      <w:proofErr w:type="spellEnd"/>
      <w:r w:rsidRPr="00B574C8">
        <w:rPr>
          <w:sz w:val="24"/>
          <w:szCs w:val="24"/>
        </w:rPr>
        <w:t xml:space="preserve">. Hos mennesker reducerer ibuprofen smerter, der skyldes </w:t>
      </w:r>
      <w:r w:rsidRPr="00B574C8">
        <w:rPr>
          <w:sz w:val="24"/>
          <w:szCs w:val="24"/>
        </w:rPr>
        <w:lastRenderedPageBreak/>
        <w:t xml:space="preserve">inflammation, hævelser og feber. </w:t>
      </w:r>
      <w:bookmarkStart w:id="133" w:name="_Hlk128762573"/>
      <w:r w:rsidRPr="00B574C8">
        <w:rPr>
          <w:sz w:val="24"/>
          <w:szCs w:val="24"/>
        </w:rPr>
        <w:t>Derudover</w:t>
      </w:r>
      <w:bookmarkEnd w:id="133"/>
      <w:r w:rsidRPr="00B574C8">
        <w:rPr>
          <w:sz w:val="24"/>
          <w:szCs w:val="24"/>
        </w:rPr>
        <w:t xml:space="preserve"> hæmmer ibuprofen reversibelt ADP- og kollagen-induceret </w:t>
      </w:r>
      <w:proofErr w:type="spellStart"/>
      <w:r w:rsidRPr="00B574C8">
        <w:rPr>
          <w:sz w:val="24"/>
          <w:szCs w:val="24"/>
        </w:rPr>
        <w:t>trombocytaggregation</w:t>
      </w:r>
      <w:proofErr w:type="spellEnd"/>
      <w:r w:rsidRPr="00B574C8">
        <w:rPr>
          <w:sz w:val="24"/>
          <w:szCs w:val="24"/>
        </w:rPr>
        <w:t>.</w:t>
      </w:r>
    </w:p>
    <w:p w14:paraId="2F506FBA" w14:textId="77777777" w:rsidR="00826AA6" w:rsidRPr="00B574C8" w:rsidRDefault="00826AA6" w:rsidP="00826AA6">
      <w:pPr>
        <w:ind w:left="851"/>
        <w:rPr>
          <w:sz w:val="24"/>
          <w:szCs w:val="24"/>
        </w:rPr>
      </w:pPr>
    </w:p>
    <w:p w14:paraId="3BDAF029" w14:textId="77777777" w:rsidR="00826AA6" w:rsidRPr="00B574C8" w:rsidRDefault="00826AA6" w:rsidP="00B574C8">
      <w:pPr>
        <w:ind w:left="851"/>
        <w:rPr>
          <w:sz w:val="24"/>
          <w:szCs w:val="24"/>
        </w:rPr>
      </w:pPr>
      <w:r w:rsidRPr="00B574C8">
        <w:rPr>
          <w:sz w:val="24"/>
          <w:szCs w:val="24"/>
        </w:rPr>
        <w:t xml:space="preserve">Eksperimentelle data tyder på, at ibuprofen muligvis </w:t>
      </w:r>
      <w:proofErr w:type="spellStart"/>
      <w:r w:rsidRPr="00B574C8">
        <w:rPr>
          <w:sz w:val="24"/>
          <w:szCs w:val="24"/>
        </w:rPr>
        <w:t>kompetitivt</w:t>
      </w:r>
      <w:proofErr w:type="spellEnd"/>
      <w:r w:rsidRPr="00B574C8">
        <w:rPr>
          <w:sz w:val="24"/>
          <w:szCs w:val="24"/>
        </w:rPr>
        <w:t xml:space="preserve"> hæmmer virkningen af lavdosis acetylsalicylsyre på </w:t>
      </w:r>
      <w:proofErr w:type="spellStart"/>
      <w:r w:rsidRPr="00B574C8">
        <w:rPr>
          <w:sz w:val="24"/>
          <w:szCs w:val="24"/>
        </w:rPr>
        <w:t>trombocytaggregation</w:t>
      </w:r>
      <w:proofErr w:type="spellEnd"/>
      <w:r w:rsidRPr="00B574C8">
        <w:rPr>
          <w:sz w:val="24"/>
          <w:szCs w:val="24"/>
        </w:rPr>
        <w:t xml:space="preserve"> ved samtidig administration. Nogle </w:t>
      </w:r>
      <w:proofErr w:type="spellStart"/>
      <w:r w:rsidRPr="00B574C8">
        <w:rPr>
          <w:sz w:val="24"/>
          <w:szCs w:val="24"/>
        </w:rPr>
        <w:t>farmakodynamiske</w:t>
      </w:r>
      <w:proofErr w:type="spellEnd"/>
      <w:r w:rsidRPr="00B574C8">
        <w:rPr>
          <w:sz w:val="24"/>
          <w:szCs w:val="24"/>
        </w:rPr>
        <w:t xml:space="preserve"> studier viser, at acetylsalicylsyres virkning på dannelsen af </w:t>
      </w:r>
      <w:proofErr w:type="spellStart"/>
      <w:r w:rsidRPr="00B574C8">
        <w:rPr>
          <w:sz w:val="24"/>
          <w:szCs w:val="24"/>
        </w:rPr>
        <w:t>tromboxan</w:t>
      </w:r>
      <w:proofErr w:type="spellEnd"/>
      <w:r w:rsidRPr="00B574C8">
        <w:rPr>
          <w:sz w:val="24"/>
          <w:szCs w:val="24"/>
        </w:rPr>
        <w:t xml:space="preserve"> eller </w:t>
      </w:r>
      <w:proofErr w:type="spellStart"/>
      <w:r w:rsidRPr="00B574C8">
        <w:rPr>
          <w:sz w:val="24"/>
          <w:szCs w:val="24"/>
        </w:rPr>
        <w:t>trombocytaggregation</w:t>
      </w:r>
      <w:proofErr w:type="spellEnd"/>
      <w:r w:rsidRPr="00B574C8">
        <w:rPr>
          <w:sz w:val="24"/>
          <w:szCs w:val="24"/>
        </w:rPr>
        <w:t xml:space="preserve"> blev nedsat ved administration af enkeltdoser af ibuprofen på 400 mg inden for 8 timer før eller 30 minutter efter en dosis acetylsalicylsyre (81 mg) med umiddelbar udløsning.  Der er usikkerhed vedrørende ekstrapolation af disse data til den kliniske situation, men muligheden for, at regelmæssig langvarig behandling med ibuprofen, kan nedsætte den </w:t>
      </w:r>
      <w:proofErr w:type="spellStart"/>
      <w:r w:rsidRPr="00B574C8">
        <w:rPr>
          <w:sz w:val="24"/>
          <w:szCs w:val="24"/>
        </w:rPr>
        <w:t>kardioprotektive</w:t>
      </w:r>
      <w:proofErr w:type="spellEnd"/>
      <w:r w:rsidRPr="00B574C8">
        <w:rPr>
          <w:sz w:val="24"/>
          <w:szCs w:val="24"/>
        </w:rPr>
        <w:t xml:space="preserve"> virkning af lavdosis acetylsalicylsyre, kan ikke udelukkes. En klinisk relevant virkning ved lejlighedsvis brug af ibuprofen anses ikke for at være sandsynlig (se pkt. 4.5).</w:t>
      </w:r>
      <w:bookmarkEnd w:id="132"/>
    </w:p>
    <w:p w14:paraId="64F6ECE1" w14:textId="77777777" w:rsidR="009260DE" w:rsidRPr="00B574C8" w:rsidRDefault="009260DE" w:rsidP="009260DE">
      <w:pPr>
        <w:tabs>
          <w:tab w:val="left" w:pos="851"/>
        </w:tabs>
        <w:ind w:left="851"/>
        <w:rPr>
          <w:sz w:val="24"/>
          <w:szCs w:val="24"/>
        </w:rPr>
      </w:pPr>
    </w:p>
    <w:p w14:paraId="112C7E18" w14:textId="675A44B7" w:rsidR="00740737" w:rsidRPr="009C0264" w:rsidRDefault="009260DE" w:rsidP="009C0264">
      <w:pPr>
        <w:tabs>
          <w:tab w:val="left" w:pos="851"/>
        </w:tabs>
        <w:ind w:left="851" w:hanging="851"/>
        <w:rPr>
          <w:b/>
          <w:sz w:val="24"/>
          <w:szCs w:val="24"/>
        </w:rPr>
      </w:pPr>
      <w:r w:rsidRPr="00B574C8">
        <w:rPr>
          <w:b/>
          <w:sz w:val="24"/>
          <w:szCs w:val="24"/>
        </w:rPr>
        <w:t>5.2</w:t>
      </w:r>
      <w:r w:rsidRPr="00B574C8">
        <w:rPr>
          <w:b/>
          <w:sz w:val="24"/>
          <w:szCs w:val="24"/>
        </w:rPr>
        <w:tab/>
      </w:r>
      <w:proofErr w:type="spellStart"/>
      <w:r w:rsidRPr="00B574C8">
        <w:rPr>
          <w:b/>
          <w:sz w:val="24"/>
          <w:szCs w:val="24"/>
        </w:rPr>
        <w:t>Farmakokinetiske</w:t>
      </w:r>
      <w:proofErr w:type="spellEnd"/>
      <w:r w:rsidRPr="00B574C8">
        <w:rPr>
          <w:b/>
          <w:sz w:val="24"/>
          <w:szCs w:val="24"/>
        </w:rPr>
        <w:t xml:space="preserve"> egenskaber</w:t>
      </w:r>
    </w:p>
    <w:p w14:paraId="3AC999A4" w14:textId="77777777" w:rsidR="005C3AC1" w:rsidRDefault="005C3AC1" w:rsidP="00B574C8">
      <w:pPr>
        <w:ind w:left="851"/>
        <w:rPr>
          <w:sz w:val="24"/>
          <w:szCs w:val="24"/>
          <w:u w:val="single"/>
        </w:rPr>
      </w:pPr>
    </w:p>
    <w:p w14:paraId="21F69273" w14:textId="408B4B03" w:rsidR="00826AA6" w:rsidRPr="00740737" w:rsidRDefault="00826AA6" w:rsidP="00B574C8">
      <w:pPr>
        <w:ind w:left="851"/>
        <w:rPr>
          <w:sz w:val="24"/>
          <w:szCs w:val="24"/>
          <w:u w:val="single"/>
        </w:rPr>
      </w:pPr>
      <w:r w:rsidRPr="00740737">
        <w:rPr>
          <w:sz w:val="24"/>
          <w:szCs w:val="24"/>
          <w:u w:val="single"/>
        </w:rPr>
        <w:t xml:space="preserve">Absorption </w:t>
      </w:r>
    </w:p>
    <w:p w14:paraId="0B5D13EE" w14:textId="77777777" w:rsidR="00826AA6" w:rsidRPr="00B574C8" w:rsidRDefault="00826AA6" w:rsidP="00B574C8">
      <w:pPr>
        <w:ind w:left="851"/>
        <w:rPr>
          <w:sz w:val="24"/>
          <w:szCs w:val="24"/>
        </w:rPr>
      </w:pPr>
      <w:r w:rsidRPr="00B574C8">
        <w:rPr>
          <w:sz w:val="24"/>
          <w:szCs w:val="24"/>
        </w:rPr>
        <w:t xml:space="preserve">Ibuprofen absorberes hurtigt fra mave-tarm-kanalen med en biotilgængelighed på 80-90 %. Peak serumkoncentrationer </w:t>
      </w:r>
      <w:bookmarkStart w:id="134" w:name="_Hlk128751322"/>
      <w:r w:rsidRPr="00B574C8">
        <w:rPr>
          <w:sz w:val="24"/>
          <w:szCs w:val="24"/>
        </w:rPr>
        <w:t xml:space="preserve">forekommer </w:t>
      </w:r>
      <w:bookmarkEnd w:id="134"/>
      <w:r w:rsidRPr="00B574C8">
        <w:rPr>
          <w:sz w:val="24"/>
          <w:szCs w:val="24"/>
        </w:rPr>
        <w:t xml:space="preserve">1-2 timer efter administration. Studier viser, at mad ikke påvirker </w:t>
      </w:r>
      <w:bookmarkStart w:id="135" w:name="_Hlk128751334"/>
      <w:r w:rsidRPr="00B574C8">
        <w:rPr>
          <w:sz w:val="24"/>
          <w:szCs w:val="24"/>
        </w:rPr>
        <w:t xml:space="preserve">total </w:t>
      </w:r>
      <w:bookmarkEnd w:id="135"/>
      <w:r w:rsidRPr="00B574C8">
        <w:rPr>
          <w:sz w:val="24"/>
          <w:szCs w:val="24"/>
        </w:rPr>
        <w:t>biotilgængelighed mærkbart.</w:t>
      </w:r>
    </w:p>
    <w:p w14:paraId="0CD25640" w14:textId="77777777" w:rsidR="00826AA6" w:rsidRPr="00740737" w:rsidRDefault="00826AA6" w:rsidP="00B574C8">
      <w:pPr>
        <w:ind w:left="851"/>
        <w:rPr>
          <w:bCs/>
          <w:iCs/>
          <w:sz w:val="24"/>
          <w:szCs w:val="24"/>
        </w:rPr>
      </w:pPr>
    </w:p>
    <w:p w14:paraId="7C437EFB" w14:textId="77777777" w:rsidR="00826AA6" w:rsidRPr="00740737" w:rsidRDefault="00826AA6" w:rsidP="00B574C8">
      <w:pPr>
        <w:ind w:left="851"/>
        <w:rPr>
          <w:sz w:val="24"/>
          <w:szCs w:val="24"/>
          <w:u w:val="single"/>
        </w:rPr>
      </w:pPr>
      <w:r w:rsidRPr="00740737">
        <w:rPr>
          <w:sz w:val="24"/>
          <w:szCs w:val="24"/>
          <w:u w:val="single"/>
        </w:rPr>
        <w:t>Fordeling</w:t>
      </w:r>
    </w:p>
    <w:p w14:paraId="446B6A0E" w14:textId="77777777" w:rsidR="00826AA6" w:rsidRPr="00B574C8" w:rsidRDefault="00826AA6" w:rsidP="00B574C8">
      <w:pPr>
        <w:ind w:left="851"/>
        <w:rPr>
          <w:sz w:val="24"/>
          <w:szCs w:val="24"/>
        </w:rPr>
      </w:pPr>
      <w:r w:rsidRPr="00B574C8">
        <w:rPr>
          <w:sz w:val="24"/>
          <w:szCs w:val="24"/>
        </w:rPr>
        <w:t xml:space="preserve">Ibuprofen er stærkt bundet til plasmaproteiner (99 %). </w:t>
      </w:r>
    </w:p>
    <w:p w14:paraId="67D07320" w14:textId="77777777" w:rsidR="00826AA6" w:rsidRPr="00B574C8" w:rsidRDefault="00826AA6" w:rsidP="00B574C8">
      <w:pPr>
        <w:ind w:left="851"/>
        <w:rPr>
          <w:sz w:val="24"/>
          <w:szCs w:val="24"/>
        </w:rPr>
      </w:pPr>
      <w:r w:rsidRPr="00B574C8">
        <w:rPr>
          <w:sz w:val="24"/>
          <w:szCs w:val="24"/>
        </w:rPr>
        <w:t>Ibuprofen har et lille fordelingsvolumen på ca. 0,12-0,21 l/kg hos voksne.</w:t>
      </w:r>
    </w:p>
    <w:p w14:paraId="42DD7CE0" w14:textId="77777777" w:rsidR="00826AA6" w:rsidRPr="00740737" w:rsidRDefault="00826AA6" w:rsidP="00B574C8">
      <w:pPr>
        <w:ind w:left="851"/>
        <w:rPr>
          <w:bCs/>
          <w:iCs/>
          <w:sz w:val="24"/>
          <w:szCs w:val="24"/>
        </w:rPr>
      </w:pPr>
    </w:p>
    <w:p w14:paraId="460C6694" w14:textId="77777777" w:rsidR="00826AA6" w:rsidRPr="00740737" w:rsidRDefault="00826AA6" w:rsidP="00B574C8">
      <w:pPr>
        <w:ind w:left="851"/>
        <w:rPr>
          <w:sz w:val="24"/>
          <w:szCs w:val="24"/>
          <w:u w:val="single"/>
        </w:rPr>
      </w:pPr>
      <w:r w:rsidRPr="00740737">
        <w:rPr>
          <w:sz w:val="24"/>
          <w:szCs w:val="24"/>
          <w:u w:val="single"/>
        </w:rPr>
        <w:t xml:space="preserve">Biotransformation </w:t>
      </w:r>
    </w:p>
    <w:p w14:paraId="64C8275C" w14:textId="77777777" w:rsidR="00826AA6" w:rsidRPr="00B574C8" w:rsidRDefault="00826AA6" w:rsidP="00B574C8">
      <w:pPr>
        <w:ind w:left="851"/>
        <w:rPr>
          <w:sz w:val="24"/>
          <w:szCs w:val="24"/>
        </w:rPr>
      </w:pPr>
      <w:r w:rsidRPr="00B574C8">
        <w:rPr>
          <w:sz w:val="24"/>
          <w:szCs w:val="24"/>
        </w:rPr>
        <w:t xml:space="preserve">Ibuprofen </w:t>
      </w:r>
      <w:proofErr w:type="spellStart"/>
      <w:r w:rsidRPr="00B574C8">
        <w:rPr>
          <w:sz w:val="24"/>
          <w:szCs w:val="24"/>
        </w:rPr>
        <w:t>metaboliseres</w:t>
      </w:r>
      <w:proofErr w:type="spellEnd"/>
      <w:r w:rsidRPr="00B574C8">
        <w:rPr>
          <w:sz w:val="24"/>
          <w:szCs w:val="24"/>
        </w:rPr>
        <w:t xml:space="preserve"> i vid udstrækning i leveren ved </w:t>
      </w:r>
      <w:proofErr w:type="spellStart"/>
      <w:r w:rsidRPr="00B574C8">
        <w:rPr>
          <w:sz w:val="24"/>
          <w:szCs w:val="24"/>
        </w:rPr>
        <w:t>hydroxylering</w:t>
      </w:r>
      <w:proofErr w:type="spellEnd"/>
      <w:r w:rsidRPr="00B574C8">
        <w:rPr>
          <w:sz w:val="24"/>
          <w:szCs w:val="24"/>
        </w:rPr>
        <w:t xml:space="preserve"> og </w:t>
      </w:r>
      <w:proofErr w:type="spellStart"/>
      <w:r w:rsidRPr="00B574C8">
        <w:rPr>
          <w:sz w:val="24"/>
          <w:szCs w:val="24"/>
        </w:rPr>
        <w:t>carboxylering</w:t>
      </w:r>
      <w:proofErr w:type="spellEnd"/>
      <w:r w:rsidRPr="00B574C8">
        <w:rPr>
          <w:sz w:val="24"/>
          <w:szCs w:val="24"/>
        </w:rPr>
        <w:t xml:space="preserve"> af </w:t>
      </w:r>
      <w:proofErr w:type="spellStart"/>
      <w:r w:rsidRPr="00B574C8">
        <w:rPr>
          <w:sz w:val="24"/>
          <w:szCs w:val="24"/>
        </w:rPr>
        <w:t>isobutylgruppen</w:t>
      </w:r>
      <w:proofErr w:type="spellEnd"/>
      <w:r w:rsidRPr="00B574C8">
        <w:rPr>
          <w:sz w:val="24"/>
          <w:szCs w:val="24"/>
        </w:rPr>
        <w:t xml:space="preserve"> via CYP2C9 og CYP2C8. Metabolitterne er farmakologisk inaktive. Ibuprofen og dets metabolitter konjugeres delvist af </w:t>
      </w:r>
      <w:proofErr w:type="spellStart"/>
      <w:r w:rsidRPr="00B574C8">
        <w:rPr>
          <w:sz w:val="24"/>
          <w:szCs w:val="24"/>
        </w:rPr>
        <w:t>glucuronsyre</w:t>
      </w:r>
      <w:proofErr w:type="spellEnd"/>
      <w:r w:rsidRPr="00B574C8">
        <w:rPr>
          <w:sz w:val="24"/>
          <w:szCs w:val="24"/>
        </w:rPr>
        <w:t>.</w:t>
      </w:r>
    </w:p>
    <w:p w14:paraId="6D9AEE54" w14:textId="77777777" w:rsidR="00826AA6" w:rsidRPr="00740737" w:rsidRDefault="00826AA6" w:rsidP="00B574C8">
      <w:pPr>
        <w:ind w:left="851"/>
        <w:rPr>
          <w:bCs/>
          <w:iCs/>
          <w:sz w:val="24"/>
          <w:szCs w:val="24"/>
        </w:rPr>
      </w:pPr>
    </w:p>
    <w:p w14:paraId="6BB5FAA8" w14:textId="77777777" w:rsidR="00826AA6" w:rsidRPr="00740737" w:rsidRDefault="00826AA6" w:rsidP="00B574C8">
      <w:pPr>
        <w:ind w:left="851"/>
        <w:rPr>
          <w:sz w:val="24"/>
          <w:szCs w:val="24"/>
          <w:u w:val="single"/>
        </w:rPr>
      </w:pPr>
      <w:r w:rsidRPr="00740737">
        <w:rPr>
          <w:sz w:val="24"/>
          <w:szCs w:val="24"/>
          <w:u w:val="single"/>
        </w:rPr>
        <w:t>Elimination</w:t>
      </w:r>
    </w:p>
    <w:p w14:paraId="3F5DFFD5" w14:textId="77777777" w:rsidR="00826AA6" w:rsidRPr="00B574C8" w:rsidRDefault="00826AA6" w:rsidP="00B574C8">
      <w:pPr>
        <w:ind w:left="851"/>
        <w:rPr>
          <w:sz w:val="24"/>
          <w:szCs w:val="24"/>
        </w:rPr>
      </w:pPr>
      <w:bookmarkStart w:id="136" w:name="_Hlk128751419"/>
      <w:r w:rsidRPr="00B574C8">
        <w:rPr>
          <w:sz w:val="24"/>
          <w:szCs w:val="24"/>
        </w:rPr>
        <w:t xml:space="preserve">Udskillelse </w:t>
      </w:r>
      <w:bookmarkEnd w:id="136"/>
      <w:r w:rsidRPr="00B574C8">
        <w:rPr>
          <w:sz w:val="24"/>
          <w:szCs w:val="24"/>
        </w:rPr>
        <w:t xml:space="preserve">via nyrerne er både hurtig og fuldstændig. Elimineringshalveringstiden er ca. 2 timer. Elimination af ibuprofen er fuldstændig 24 timer efter den sidste dosis. </w:t>
      </w:r>
    </w:p>
    <w:p w14:paraId="142C7183" w14:textId="77777777" w:rsidR="00826AA6" w:rsidRPr="00B574C8" w:rsidRDefault="00826AA6" w:rsidP="00B574C8">
      <w:pPr>
        <w:ind w:left="851"/>
        <w:rPr>
          <w:sz w:val="24"/>
          <w:szCs w:val="24"/>
        </w:rPr>
      </w:pPr>
    </w:p>
    <w:p w14:paraId="080B6DFC" w14:textId="77777777" w:rsidR="00826AA6" w:rsidRPr="00740737" w:rsidRDefault="00826AA6" w:rsidP="00B574C8">
      <w:pPr>
        <w:ind w:left="851"/>
        <w:rPr>
          <w:sz w:val="24"/>
          <w:szCs w:val="24"/>
          <w:u w:val="single"/>
        </w:rPr>
      </w:pPr>
      <w:r w:rsidRPr="00740737">
        <w:rPr>
          <w:sz w:val="24"/>
          <w:szCs w:val="24"/>
          <w:u w:val="single"/>
        </w:rPr>
        <w:t>Linearitet/non-linearitet</w:t>
      </w:r>
    </w:p>
    <w:p w14:paraId="39870349" w14:textId="77777777" w:rsidR="00826AA6" w:rsidRPr="00740737" w:rsidRDefault="00826AA6" w:rsidP="00B574C8">
      <w:pPr>
        <w:ind w:left="851"/>
        <w:rPr>
          <w:bCs/>
          <w:iCs/>
          <w:sz w:val="24"/>
          <w:szCs w:val="24"/>
        </w:rPr>
      </w:pPr>
      <w:r w:rsidRPr="00B574C8">
        <w:rPr>
          <w:sz w:val="24"/>
          <w:szCs w:val="24"/>
        </w:rPr>
        <w:t>Ibuprofen har lineær farmakokinetik op til en dosis på mindst 800 mg</w:t>
      </w:r>
      <w:r w:rsidRPr="00740737">
        <w:rPr>
          <w:bCs/>
          <w:iCs/>
          <w:sz w:val="24"/>
          <w:szCs w:val="24"/>
        </w:rPr>
        <w:t>.</w:t>
      </w:r>
    </w:p>
    <w:p w14:paraId="245A3EAE" w14:textId="77777777" w:rsidR="009260DE" w:rsidRPr="00B574C8" w:rsidRDefault="009260DE" w:rsidP="009260DE">
      <w:pPr>
        <w:tabs>
          <w:tab w:val="left" w:pos="851"/>
        </w:tabs>
        <w:ind w:left="851"/>
        <w:rPr>
          <w:sz w:val="24"/>
          <w:szCs w:val="24"/>
        </w:rPr>
      </w:pPr>
    </w:p>
    <w:p w14:paraId="35236AE2" w14:textId="77777777" w:rsidR="009260DE" w:rsidRPr="00B574C8" w:rsidRDefault="009260DE" w:rsidP="009260DE">
      <w:pPr>
        <w:tabs>
          <w:tab w:val="left" w:pos="851"/>
        </w:tabs>
        <w:ind w:left="851" w:hanging="851"/>
        <w:rPr>
          <w:b/>
          <w:sz w:val="24"/>
          <w:szCs w:val="24"/>
        </w:rPr>
      </w:pPr>
      <w:r w:rsidRPr="00B574C8">
        <w:rPr>
          <w:b/>
          <w:sz w:val="24"/>
          <w:szCs w:val="24"/>
        </w:rPr>
        <w:t>5.3</w:t>
      </w:r>
      <w:r w:rsidRPr="00B574C8">
        <w:rPr>
          <w:b/>
          <w:sz w:val="24"/>
          <w:szCs w:val="24"/>
        </w:rPr>
        <w:tab/>
      </w:r>
      <w:r w:rsidR="00BD7931" w:rsidRPr="00B574C8">
        <w:rPr>
          <w:b/>
          <w:sz w:val="24"/>
          <w:szCs w:val="24"/>
        </w:rPr>
        <w:t>Non-</w:t>
      </w:r>
      <w:r w:rsidRPr="00B574C8">
        <w:rPr>
          <w:b/>
          <w:sz w:val="24"/>
          <w:szCs w:val="24"/>
        </w:rPr>
        <w:t>kliniske sikkerhedsdata</w:t>
      </w:r>
    </w:p>
    <w:p w14:paraId="608D82F8" w14:textId="77777777" w:rsidR="00826AA6" w:rsidRPr="00B574C8" w:rsidRDefault="00826AA6" w:rsidP="00826AA6">
      <w:pPr>
        <w:ind w:left="851"/>
        <w:rPr>
          <w:sz w:val="24"/>
          <w:szCs w:val="24"/>
        </w:rPr>
      </w:pPr>
      <w:r w:rsidRPr="00B574C8">
        <w:rPr>
          <w:bCs/>
          <w:sz w:val="24"/>
          <w:szCs w:val="24"/>
        </w:rPr>
        <w:t>Der er ingen prækliniske data, der betragtes som relevante for den kliniske sikkerhed ud over data, der allerede er inkluderet under andre punkter i dette produktresumé.</w:t>
      </w:r>
    </w:p>
    <w:p w14:paraId="5E5264FF" w14:textId="77777777" w:rsidR="009260DE" w:rsidRPr="00B574C8" w:rsidRDefault="009260DE" w:rsidP="009260DE">
      <w:pPr>
        <w:tabs>
          <w:tab w:val="left" w:pos="851"/>
        </w:tabs>
        <w:ind w:left="851"/>
        <w:rPr>
          <w:sz w:val="24"/>
          <w:szCs w:val="24"/>
        </w:rPr>
      </w:pPr>
    </w:p>
    <w:p w14:paraId="19F97CC1" w14:textId="77777777" w:rsidR="009260DE" w:rsidRPr="00B574C8" w:rsidRDefault="009260DE" w:rsidP="009260DE">
      <w:pPr>
        <w:tabs>
          <w:tab w:val="left" w:pos="851"/>
        </w:tabs>
        <w:ind w:left="851"/>
        <w:rPr>
          <w:sz w:val="24"/>
          <w:szCs w:val="24"/>
        </w:rPr>
      </w:pPr>
    </w:p>
    <w:p w14:paraId="1333C418" w14:textId="77777777" w:rsidR="009260DE" w:rsidRPr="00B574C8" w:rsidRDefault="009260DE" w:rsidP="009260DE">
      <w:pPr>
        <w:tabs>
          <w:tab w:val="left" w:pos="851"/>
        </w:tabs>
        <w:ind w:left="851" w:hanging="851"/>
        <w:rPr>
          <w:b/>
          <w:sz w:val="24"/>
          <w:szCs w:val="24"/>
        </w:rPr>
      </w:pPr>
      <w:r w:rsidRPr="00B574C8">
        <w:rPr>
          <w:b/>
          <w:sz w:val="24"/>
          <w:szCs w:val="24"/>
        </w:rPr>
        <w:t>6.</w:t>
      </w:r>
      <w:r w:rsidRPr="00B574C8">
        <w:rPr>
          <w:b/>
          <w:sz w:val="24"/>
          <w:szCs w:val="24"/>
        </w:rPr>
        <w:tab/>
        <w:t>FARMACEUTISKE OPLYSNINGER</w:t>
      </w:r>
    </w:p>
    <w:p w14:paraId="43F6873D" w14:textId="77777777" w:rsidR="009260DE" w:rsidRPr="00B574C8" w:rsidRDefault="009260DE" w:rsidP="009260DE">
      <w:pPr>
        <w:tabs>
          <w:tab w:val="left" w:pos="851"/>
        </w:tabs>
        <w:ind w:left="851"/>
        <w:rPr>
          <w:sz w:val="24"/>
          <w:szCs w:val="24"/>
        </w:rPr>
      </w:pPr>
    </w:p>
    <w:p w14:paraId="63AF03AD" w14:textId="77777777" w:rsidR="009260DE" w:rsidRPr="00B574C8" w:rsidRDefault="009260DE" w:rsidP="009260DE">
      <w:pPr>
        <w:tabs>
          <w:tab w:val="left" w:pos="851"/>
        </w:tabs>
        <w:ind w:left="851" w:hanging="851"/>
        <w:rPr>
          <w:b/>
          <w:sz w:val="24"/>
          <w:szCs w:val="24"/>
        </w:rPr>
      </w:pPr>
      <w:r w:rsidRPr="00B574C8">
        <w:rPr>
          <w:b/>
          <w:sz w:val="24"/>
          <w:szCs w:val="24"/>
        </w:rPr>
        <w:t>6.1</w:t>
      </w:r>
      <w:r w:rsidRPr="00B574C8">
        <w:rPr>
          <w:b/>
          <w:sz w:val="24"/>
          <w:szCs w:val="24"/>
        </w:rPr>
        <w:tab/>
        <w:t>Hjælpestoffer</w:t>
      </w:r>
    </w:p>
    <w:p w14:paraId="7E87CC9C" w14:textId="77777777" w:rsidR="00826AA6" w:rsidRPr="00B574C8" w:rsidRDefault="00826AA6" w:rsidP="00826AA6">
      <w:pPr>
        <w:ind w:left="851"/>
        <w:rPr>
          <w:sz w:val="24"/>
          <w:szCs w:val="24"/>
        </w:rPr>
      </w:pPr>
      <w:proofErr w:type="spellStart"/>
      <w:r w:rsidRPr="00B574C8">
        <w:rPr>
          <w:sz w:val="24"/>
          <w:szCs w:val="24"/>
        </w:rPr>
        <w:t>Saccharinnatrium</w:t>
      </w:r>
      <w:proofErr w:type="spellEnd"/>
    </w:p>
    <w:p w14:paraId="3AC17169" w14:textId="77777777" w:rsidR="00826AA6" w:rsidRPr="00B574C8" w:rsidRDefault="00826AA6" w:rsidP="00826AA6">
      <w:pPr>
        <w:ind w:left="851"/>
        <w:rPr>
          <w:sz w:val="24"/>
          <w:szCs w:val="24"/>
        </w:rPr>
      </w:pPr>
      <w:r w:rsidRPr="00B574C8">
        <w:rPr>
          <w:sz w:val="24"/>
          <w:szCs w:val="24"/>
        </w:rPr>
        <w:t>Natriumbenzoat (E211)</w:t>
      </w:r>
    </w:p>
    <w:p w14:paraId="2A28A2FC" w14:textId="77777777" w:rsidR="00826AA6" w:rsidRPr="00B574C8" w:rsidRDefault="00826AA6" w:rsidP="00826AA6">
      <w:pPr>
        <w:ind w:left="851"/>
        <w:rPr>
          <w:sz w:val="24"/>
          <w:szCs w:val="24"/>
        </w:rPr>
      </w:pPr>
      <w:r w:rsidRPr="00B574C8">
        <w:rPr>
          <w:sz w:val="24"/>
          <w:szCs w:val="24"/>
        </w:rPr>
        <w:t xml:space="preserve">Citronsyre, vandfri </w:t>
      </w:r>
    </w:p>
    <w:p w14:paraId="74016F37" w14:textId="77777777" w:rsidR="00826AA6" w:rsidRPr="00B574C8" w:rsidRDefault="00826AA6" w:rsidP="00826AA6">
      <w:pPr>
        <w:ind w:left="851"/>
        <w:rPr>
          <w:sz w:val="24"/>
          <w:szCs w:val="24"/>
        </w:rPr>
      </w:pPr>
      <w:r w:rsidRPr="00B574C8">
        <w:rPr>
          <w:sz w:val="24"/>
          <w:szCs w:val="24"/>
        </w:rPr>
        <w:t>Natriumcitrat</w:t>
      </w:r>
    </w:p>
    <w:p w14:paraId="761490BB" w14:textId="77777777" w:rsidR="00826AA6" w:rsidRPr="00B574C8" w:rsidRDefault="00826AA6" w:rsidP="00826AA6">
      <w:pPr>
        <w:ind w:left="851"/>
        <w:rPr>
          <w:sz w:val="24"/>
          <w:szCs w:val="24"/>
        </w:rPr>
      </w:pPr>
      <w:proofErr w:type="spellStart"/>
      <w:r w:rsidRPr="00B574C8">
        <w:rPr>
          <w:sz w:val="24"/>
          <w:szCs w:val="24"/>
        </w:rPr>
        <w:t>Xanthangummi</w:t>
      </w:r>
      <w:proofErr w:type="spellEnd"/>
    </w:p>
    <w:p w14:paraId="0E014A9A" w14:textId="77777777" w:rsidR="00826AA6" w:rsidRPr="00B574C8" w:rsidRDefault="00826AA6" w:rsidP="00826AA6">
      <w:pPr>
        <w:ind w:left="851"/>
        <w:rPr>
          <w:sz w:val="24"/>
          <w:szCs w:val="24"/>
        </w:rPr>
      </w:pPr>
      <w:proofErr w:type="spellStart"/>
      <w:r w:rsidRPr="00B574C8">
        <w:rPr>
          <w:sz w:val="24"/>
          <w:szCs w:val="24"/>
        </w:rPr>
        <w:t>Maltitol</w:t>
      </w:r>
      <w:proofErr w:type="spellEnd"/>
      <w:r w:rsidRPr="00B574C8">
        <w:rPr>
          <w:sz w:val="24"/>
          <w:szCs w:val="24"/>
        </w:rPr>
        <w:t xml:space="preserve"> (E965)</w:t>
      </w:r>
    </w:p>
    <w:p w14:paraId="6297A260" w14:textId="77777777" w:rsidR="00826AA6" w:rsidRPr="00B574C8" w:rsidRDefault="00826AA6" w:rsidP="00826AA6">
      <w:pPr>
        <w:ind w:left="851"/>
        <w:rPr>
          <w:sz w:val="24"/>
          <w:szCs w:val="24"/>
        </w:rPr>
      </w:pPr>
      <w:r w:rsidRPr="00B574C8">
        <w:rPr>
          <w:sz w:val="24"/>
          <w:szCs w:val="24"/>
        </w:rPr>
        <w:lastRenderedPageBreak/>
        <w:t>Glycerol</w:t>
      </w:r>
    </w:p>
    <w:p w14:paraId="6E3D320F" w14:textId="77777777" w:rsidR="00826AA6" w:rsidRPr="00B574C8" w:rsidRDefault="00826AA6" w:rsidP="00826AA6">
      <w:pPr>
        <w:ind w:left="851"/>
        <w:rPr>
          <w:sz w:val="24"/>
          <w:szCs w:val="24"/>
        </w:rPr>
      </w:pPr>
      <w:r w:rsidRPr="00B574C8">
        <w:rPr>
          <w:sz w:val="24"/>
          <w:szCs w:val="24"/>
        </w:rPr>
        <w:t>Cellulose, mikrokrystallinsk</w:t>
      </w:r>
    </w:p>
    <w:p w14:paraId="3CB66CF3" w14:textId="77777777" w:rsidR="00826AA6" w:rsidRPr="00B574C8" w:rsidRDefault="00826AA6" w:rsidP="00826AA6">
      <w:pPr>
        <w:ind w:left="851"/>
        <w:rPr>
          <w:sz w:val="24"/>
          <w:szCs w:val="24"/>
        </w:rPr>
      </w:pPr>
      <w:proofErr w:type="spellStart"/>
      <w:r w:rsidRPr="00B574C8">
        <w:rPr>
          <w:sz w:val="24"/>
          <w:szCs w:val="24"/>
        </w:rPr>
        <w:t>Polysorbat</w:t>
      </w:r>
      <w:proofErr w:type="spellEnd"/>
      <w:r w:rsidRPr="00B574C8">
        <w:rPr>
          <w:sz w:val="24"/>
          <w:szCs w:val="24"/>
        </w:rPr>
        <w:t xml:space="preserve"> 80</w:t>
      </w:r>
    </w:p>
    <w:p w14:paraId="3D7E77BA" w14:textId="77777777" w:rsidR="00826AA6" w:rsidRPr="00B574C8" w:rsidRDefault="00826AA6" w:rsidP="00826AA6">
      <w:pPr>
        <w:ind w:left="851"/>
        <w:rPr>
          <w:sz w:val="24"/>
          <w:szCs w:val="24"/>
        </w:rPr>
      </w:pPr>
      <w:r w:rsidRPr="00B574C8">
        <w:rPr>
          <w:sz w:val="24"/>
          <w:szCs w:val="24"/>
        </w:rPr>
        <w:t>Vand, renset</w:t>
      </w:r>
    </w:p>
    <w:p w14:paraId="37C3DF0E" w14:textId="77777777" w:rsidR="00826AA6" w:rsidRPr="00B574C8" w:rsidRDefault="00826AA6" w:rsidP="00826AA6">
      <w:pPr>
        <w:ind w:left="851"/>
        <w:rPr>
          <w:sz w:val="24"/>
          <w:szCs w:val="24"/>
        </w:rPr>
      </w:pPr>
    </w:p>
    <w:p w14:paraId="7050F6AC" w14:textId="63180377" w:rsidR="00826AA6" w:rsidRPr="00B574C8" w:rsidRDefault="00826AA6" w:rsidP="00826AA6">
      <w:pPr>
        <w:ind w:left="851"/>
        <w:rPr>
          <w:sz w:val="24"/>
          <w:szCs w:val="24"/>
          <w:u w:val="single"/>
        </w:rPr>
      </w:pPr>
      <w:r w:rsidRPr="00B574C8">
        <w:rPr>
          <w:sz w:val="24"/>
          <w:szCs w:val="24"/>
          <w:u w:val="single"/>
        </w:rPr>
        <w:t>Appelsinsmagsstoffet indeholder</w:t>
      </w:r>
    </w:p>
    <w:p w14:paraId="6D141579" w14:textId="77777777" w:rsidR="00826AA6" w:rsidRPr="00741563" w:rsidRDefault="00826AA6" w:rsidP="00826AA6">
      <w:pPr>
        <w:ind w:left="851"/>
        <w:rPr>
          <w:sz w:val="24"/>
          <w:szCs w:val="24"/>
        </w:rPr>
      </w:pPr>
      <w:r w:rsidRPr="00741563">
        <w:rPr>
          <w:sz w:val="24"/>
          <w:szCs w:val="24"/>
        </w:rPr>
        <w:t>Propylenglycol (E1520)</w:t>
      </w:r>
    </w:p>
    <w:p w14:paraId="3688BFDD" w14:textId="77777777" w:rsidR="00826AA6" w:rsidRPr="00741563" w:rsidRDefault="00826AA6" w:rsidP="00826AA6">
      <w:pPr>
        <w:ind w:left="851"/>
        <w:rPr>
          <w:sz w:val="24"/>
          <w:szCs w:val="24"/>
        </w:rPr>
      </w:pPr>
      <w:bookmarkStart w:id="137" w:name="_Hlk135840001"/>
      <w:proofErr w:type="spellStart"/>
      <w:r w:rsidRPr="00741563">
        <w:rPr>
          <w:sz w:val="24"/>
          <w:szCs w:val="24"/>
        </w:rPr>
        <w:t>Ethanol</w:t>
      </w:r>
      <w:proofErr w:type="spellEnd"/>
    </w:p>
    <w:p w14:paraId="37355355" w14:textId="77777777" w:rsidR="00826AA6" w:rsidRPr="00741563" w:rsidRDefault="00826AA6" w:rsidP="00826AA6">
      <w:pPr>
        <w:ind w:left="851"/>
        <w:rPr>
          <w:sz w:val="24"/>
          <w:szCs w:val="24"/>
        </w:rPr>
      </w:pPr>
      <w:r w:rsidRPr="00741563">
        <w:rPr>
          <w:sz w:val="24"/>
          <w:szCs w:val="24"/>
        </w:rPr>
        <w:t xml:space="preserve">Appelsinolie </w:t>
      </w:r>
    </w:p>
    <w:p w14:paraId="13CAB9C0" w14:textId="77777777" w:rsidR="00826AA6" w:rsidRPr="00741563" w:rsidRDefault="00826AA6" w:rsidP="00826AA6">
      <w:pPr>
        <w:ind w:left="851"/>
        <w:rPr>
          <w:sz w:val="24"/>
          <w:szCs w:val="24"/>
        </w:rPr>
      </w:pPr>
      <w:proofErr w:type="spellStart"/>
      <w:r w:rsidRPr="00741563">
        <w:rPr>
          <w:sz w:val="24"/>
          <w:szCs w:val="24"/>
        </w:rPr>
        <w:t>Citral</w:t>
      </w:r>
      <w:proofErr w:type="spellEnd"/>
      <w:r w:rsidRPr="00741563">
        <w:rPr>
          <w:sz w:val="24"/>
          <w:szCs w:val="24"/>
        </w:rPr>
        <w:t xml:space="preserve"> </w:t>
      </w:r>
    </w:p>
    <w:p w14:paraId="6344B45E" w14:textId="77777777" w:rsidR="00826AA6" w:rsidRPr="00741563" w:rsidRDefault="00826AA6" w:rsidP="00826AA6">
      <w:pPr>
        <w:ind w:left="851"/>
        <w:rPr>
          <w:sz w:val="24"/>
          <w:szCs w:val="24"/>
        </w:rPr>
      </w:pPr>
      <w:r w:rsidRPr="00741563">
        <w:rPr>
          <w:sz w:val="24"/>
          <w:szCs w:val="24"/>
        </w:rPr>
        <w:t>Vand</w:t>
      </w:r>
      <w:bookmarkEnd w:id="137"/>
    </w:p>
    <w:p w14:paraId="75603FA2" w14:textId="77777777" w:rsidR="009260DE" w:rsidRPr="00741563" w:rsidRDefault="009260DE" w:rsidP="009260DE">
      <w:pPr>
        <w:tabs>
          <w:tab w:val="left" w:pos="851"/>
        </w:tabs>
        <w:ind w:left="851"/>
        <w:rPr>
          <w:sz w:val="24"/>
          <w:szCs w:val="24"/>
        </w:rPr>
      </w:pPr>
    </w:p>
    <w:p w14:paraId="08762A35" w14:textId="77777777" w:rsidR="009260DE" w:rsidRPr="00B574C8" w:rsidRDefault="009260DE" w:rsidP="009260DE">
      <w:pPr>
        <w:tabs>
          <w:tab w:val="left" w:pos="851"/>
        </w:tabs>
        <w:ind w:left="851" w:hanging="851"/>
        <w:rPr>
          <w:b/>
          <w:sz w:val="24"/>
          <w:szCs w:val="24"/>
        </w:rPr>
      </w:pPr>
      <w:r w:rsidRPr="00B574C8">
        <w:rPr>
          <w:b/>
          <w:sz w:val="24"/>
          <w:szCs w:val="24"/>
        </w:rPr>
        <w:t>6.2</w:t>
      </w:r>
      <w:r w:rsidRPr="00B574C8">
        <w:rPr>
          <w:b/>
          <w:sz w:val="24"/>
          <w:szCs w:val="24"/>
        </w:rPr>
        <w:tab/>
        <w:t>Uforligeligheder</w:t>
      </w:r>
    </w:p>
    <w:p w14:paraId="426A9110" w14:textId="77777777" w:rsidR="00826AA6" w:rsidRPr="00B574C8" w:rsidRDefault="00826AA6" w:rsidP="00826AA6">
      <w:pPr>
        <w:ind w:left="851"/>
        <w:rPr>
          <w:sz w:val="24"/>
          <w:szCs w:val="24"/>
        </w:rPr>
      </w:pPr>
      <w:r w:rsidRPr="00B574C8">
        <w:rPr>
          <w:sz w:val="24"/>
          <w:szCs w:val="24"/>
        </w:rPr>
        <w:t>Ikke relevant.</w:t>
      </w:r>
    </w:p>
    <w:p w14:paraId="3AA99B85" w14:textId="77777777" w:rsidR="009260DE" w:rsidRPr="00B574C8" w:rsidRDefault="009260DE" w:rsidP="009260DE">
      <w:pPr>
        <w:tabs>
          <w:tab w:val="left" w:pos="851"/>
        </w:tabs>
        <w:ind w:left="851"/>
        <w:rPr>
          <w:sz w:val="24"/>
          <w:szCs w:val="24"/>
        </w:rPr>
      </w:pPr>
    </w:p>
    <w:p w14:paraId="17C0082C" w14:textId="77777777" w:rsidR="009260DE" w:rsidRPr="00B574C8" w:rsidRDefault="009260DE" w:rsidP="009260DE">
      <w:pPr>
        <w:tabs>
          <w:tab w:val="left" w:pos="851"/>
        </w:tabs>
        <w:ind w:left="851" w:hanging="851"/>
        <w:rPr>
          <w:b/>
          <w:sz w:val="24"/>
          <w:szCs w:val="24"/>
        </w:rPr>
      </w:pPr>
      <w:r w:rsidRPr="00B574C8">
        <w:rPr>
          <w:b/>
          <w:sz w:val="24"/>
          <w:szCs w:val="24"/>
        </w:rPr>
        <w:t>6.3</w:t>
      </w:r>
      <w:r w:rsidRPr="00B574C8">
        <w:rPr>
          <w:b/>
          <w:sz w:val="24"/>
          <w:szCs w:val="24"/>
        </w:rPr>
        <w:tab/>
        <w:t>Opbevaringstid</w:t>
      </w:r>
    </w:p>
    <w:p w14:paraId="78EB2467" w14:textId="2B49D2BC" w:rsidR="00826AA6" w:rsidRDefault="00826AA6" w:rsidP="00826AA6">
      <w:pPr>
        <w:ind w:left="851"/>
        <w:rPr>
          <w:sz w:val="24"/>
          <w:szCs w:val="24"/>
        </w:rPr>
      </w:pPr>
      <w:r w:rsidRPr="00B574C8">
        <w:rPr>
          <w:sz w:val="24"/>
          <w:szCs w:val="24"/>
        </w:rPr>
        <w:t>3 år.</w:t>
      </w:r>
    </w:p>
    <w:p w14:paraId="4A263C5B" w14:textId="77777777" w:rsidR="005C3AC1" w:rsidRPr="00B574C8" w:rsidRDefault="005C3AC1" w:rsidP="00826AA6">
      <w:pPr>
        <w:ind w:left="851"/>
        <w:rPr>
          <w:sz w:val="24"/>
          <w:szCs w:val="24"/>
        </w:rPr>
      </w:pPr>
    </w:p>
    <w:p w14:paraId="6FE088F1" w14:textId="37E64288" w:rsidR="00826AA6" w:rsidRPr="00B574C8" w:rsidRDefault="00826AA6" w:rsidP="00826AA6">
      <w:pPr>
        <w:ind w:left="851"/>
        <w:rPr>
          <w:sz w:val="24"/>
          <w:szCs w:val="24"/>
        </w:rPr>
      </w:pPr>
      <w:r w:rsidRPr="00B574C8">
        <w:rPr>
          <w:sz w:val="24"/>
          <w:szCs w:val="24"/>
        </w:rPr>
        <w:t>Holdbarhed efter første åbning: 6 måneder</w:t>
      </w:r>
      <w:r w:rsidR="005C3AC1">
        <w:rPr>
          <w:sz w:val="24"/>
          <w:szCs w:val="24"/>
        </w:rPr>
        <w:t>.</w:t>
      </w:r>
    </w:p>
    <w:p w14:paraId="34948926" w14:textId="77777777" w:rsidR="009260DE" w:rsidRPr="00B574C8" w:rsidRDefault="009260DE" w:rsidP="009260DE">
      <w:pPr>
        <w:tabs>
          <w:tab w:val="left" w:pos="851"/>
        </w:tabs>
        <w:ind w:left="851"/>
        <w:rPr>
          <w:sz w:val="24"/>
          <w:szCs w:val="24"/>
        </w:rPr>
      </w:pPr>
    </w:p>
    <w:p w14:paraId="415E46D4" w14:textId="77777777" w:rsidR="009260DE" w:rsidRPr="00B574C8" w:rsidRDefault="009260DE" w:rsidP="009260DE">
      <w:pPr>
        <w:tabs>
          <w:tab w:val="left" w:pos="851"/>
        </w:tabs>
        <w:ind w:left="851" w:hanging="851"/>
        <w:rPr>
          <w:b/>
          <w:sz w:val="24"/>
          <w:szCs w:val="24"/>
        </w:rPr>
      </w:pPr>
      <w:r w:rsidRPr="00B574C8">
        <w:rPr>
          <w:b/>
          <w:sz w:val="24"/>
          <w:szCs w:val="24"/>
        </w:rPr>
        <w:t>6.4</w:t>
      </w:r>
      <w:r w:rsidRPr="00B574C8">
        <w:rPr>
          <w:b/>
          <w:sz w:val="24"/>
          <w:szCs w:val="24"/>
        </w:rPr>
        <w:tab/>
        <w:t>Særlige opbevaringsforhold</w:t>
      </w:r>
    </w:p>
    <w:p w14:paraId="3375DC5C" w14:textId="17931C39" w:rsidR="00826AA6" w:rsidRPr="00B574C8" w:rsidRDefault="00826AA6" w:rsidP="00826AA6">
      <w:pPr>
        <w:ind w:left="851"/>
        <w:rPr>
          <w:sz w:val="24"/>
          <w:szCs w:val="24"/>
        </w:rPr>
      </w:pPr>
      <w:r w:rsidRPr="00B574C8">
        <w:rPr>
          <w:sz w:val="24"/>
          <w:szCs w:val="24"/>
        </w:rPr>
        <w:t>Dette lægemiddel kræver ingen særlige forholdsregler vedrørende opbevaringen</w:t>
      </w:r>
      <w:r w:rsidR="005C3AC1">
        <w:rPr>
          <w:sz w:val="24"/>
          <w:szCs w:val="24"/>
        </w:rPr>
        <w:t>.</w:t>
      </w:r>
    </w:p>
    <w:p w14:paraId="407E7FBF" w14:textId="77777777" w:rsidR="009260DE" w:rsidRPr="00B574C8" w:rsidRDefault="009260DE" w:rsidP="009260DE">
      <w:pPr>
        <w:tabs>
          <w:tab w:val="left" w:pos="851"/>
        </w:tabs>
        <w:ind w:left="851"/>
        <w:rPr>
          <w:sz w:val="24"/>
          <w:szCs w:val="24"/>
        </w:rPr>
      </w:pPr>
    </w:p>
    <w:p w14:paraId="4FF7AC42" w14:textId="77777777" w:rsidR="009260DE" w:rsidRPr="00B574C8" w:rsidRDefault="009260DE" w:rsidP="009260DE">
      <w:pPr>
        <w:tabs>
          <w:tab w:val="left" w:pos="851"/>
        </w:tabs>
        <w:ind w:left="851" w:hanging="851"/>
        <w:rPr>
          <w:b/>
          <w:sz w:val="24"/>
          <w:szCs w:val="24"/>
        </w:rPr>
      </w:pPr>
      <w:r w:rsidRPr="00B574C8">
        <w:rPr>
          <w:b/>
          <w:sz w:val="24"/>
          <w:szCs w:val="24"/>
        </w:rPr>
        <w:t>6.5</w:t>
      </w:r>
      <w:r w:rsidRPr="00B574C8">
        <w:rPr>
          <w:b/>
          <w:sz w:val="24"/>
          <w:szCs w:val="24"/>
        </w:rPr>
        <w:tab/>
        <w:t>Emballagetype og pakningsstørrelser</w:t>
      </w:r>
    </w:p>
    <w:p w14:paraId="312EA5FE" w14:textId="74FE0470" w:rsidR="009260DE" w:rsidRDefault="00311180" w:rsidP="009260DE">
      <w:pPr>
        <w:tabs>
          <w:tab w:val="left" w:pos="851"/>
        </w:tabs>
        <w:ind w:left="851"/>
        <w:rPr>
          <w:sz w:val="24"/>
          <w:szCs w:val="24"/>
        </w:rPr>
      </w:pPr>
      <w:r w:rsidRPr="00311180">
        <w:rPr>
          <w:sz w:val="24"/>
          <w:szCs w:val="24"/>
        </w:rPr>
        <w:t>Flaske med børnesikret låg, samt en doseringssprøjte</w:t>
      </w:r>
      <w:r>
        <w:rPr>
          <w:sz w:val="24"/>
          <w:szCs w:val="24"/>
        </w:rPr>
        <w:t>.</w:t>
      </w:r>
    </w:p>
    <w:p w14:paraId="4FFD395E" w14:textId="77777777" w:rsidR="00311180" w:rsidRPr="00B574C8" w:rsidRDefault="00311180" w:rsidP="009260DE">
      <w:pPr>
        <w:tabs>
          <w:tab w:val="left" w:pos="851"/>
        </w:tabs>
        <w:ind w:left="851"/>
        <w:rPr>
          <w:sz w:val="24"/>
          <w:szCs w:val="24"/>
        </w:rPr>
      </w:pPr>
    </w:p>
    <w:p w14:paraId="15A9A434" w14:textId="77777777" w:rsidR="009260DE" w:rsidRPr="00B574C8" w:rsidRDefault="009260DE" w:rsidP="009260DE">
      <w:pPr>
        <w:tabs>
          <w:tab w:val="left" w:pos="851"/>
        </w:tabs>
        <w:ind w:left="851" w:hanging="851"/>
        <w:rPr>
          <w:b/>
          <w:sz w:val="24"/>
          <w:szCs w:val="24"/>
        </w:rPr>
      </w:pPr>
      <w:r w:rsidRPr="00B574C8">
        <w:rPr>
          <w:b/>
          <w:sz w:val="24"/>
          <w:szCs w:val="24"/>
        </w:rPr>
        <w:t>6.6</w:t>
      </w:r>
      <w:r w:rsidRPr="00B574C8">
        <w:rPr>
          <w:b/>
          <w:sz w:val="24"/>
          <w:szCs w:val="24"/>
        </w:rPr>
        <w:tab/>
        <w:t xml:space="preserve">Regler for </w:t>
      </w:r>
      <w:r w:rsidR="00BD7931" w:rsidRPr="00B574C8">
        <w:rPr>
          <w:b/>
          <w:sz w:val="24"/>
          <w:szCs w:val="24"/>
        </w:rPr>
        <w:t>bortskaffelse</w:t>
      </w:r>
      <w:r w:rsidRPr="00B574C8">
        <w:rPr>
          <w:b/>
          <w:sz w:val="24"/>
          <w:szCs w:val="24"/>
        </w:rPr>
        <w:t xml:space="preserve"> og anden håndtering</w:t>
      </w:r>
    </w:p>
    <w:p w14:paraId="61B48AE2" w14:textId="71BA7D17" w:rsidR="00826AA6" w:rsidRDefault="00826AA6" w:rsidP="00826AA6">
      <w:pPr>
        <w:ind w:left="851"/>
        <w:rPr>
          <w:sz w:val="24"/>
          <w:szCs w:val="24"/>
        </w:rPr>
      </w:pPr>
      <w:r w:rsidRPr="00B574C8">
        <w:rPr>
          <w:sz w:val="24"/>
          <w:szCs w:val="24"/>
        </w:rPr>
        <w:t>Ingen særlige forholdsregler.</w:t>
      </w:r>
    </w:p>
    <w:p w14:paraId="1A5DCFF2" w14:textId="77777777" w:rsidR="005C3AC1" w:rsidRPr="00B574C8" w:rsidRDefault="005C3AC1" w:rsidP="00826AA6">
      <w:pPr>
        <w:ind w:left="851"/>
        <w:rPr>
          <w:sz w:val="24"/>
          <w:szCs w:val="24"/>
        </w:rPr>
      </w:pPr>
    </w:p>
    <w:p w14:paraId="6640E03C" w14:textId="77777777" w:rsidR="00826AA6" w:rsidRPr="00B574C8" w:rsidRDefault="00826AA6" w:rsidP="00826AA6">
      <w:pPr>
        <w:ind w:left="851"/>
        <w:rPr>
          <w:sz w:val="24"/>
          <w:szCs w:val="24"/>
        </w:rPr>
      </w:pPr>
      <w:r w:rsidRPr="00B574C8">
        <w:rPr>
          <w:sz w:val="24"/>
          <w:szCs w:val="24"/>
        </w:rPr>
        <w:t>Skal omrystes godt før brug.</w:t>
      </w:r>
    </w:p>
    <w:p w14:paraId="19808692" w14:textId="77777777" w:rsidR="009260DE" w:rsidRPr="00B574C8" w:rsidRDefault="009260DE" w:rsidP="000730CA">
      <w:pPr>
        <w:tabs>
          <w:tab w:val="left" w:pos="851"/>
        </w:tabs>
        <w:ind w:left="851"/>
        <w:rPr>
          <w:sz w:val="24"/>
          <w:szCs w:val="24"/>
        </w:rPr>
      </w:pPr>
    </w:p>
    <w:p w14:paraId="72B75B2A" w14:textId="77777777" w:rsidR="009260DE" w:rsidRPr="00B574C8" w:rsidRDefault="009260DE" w:rsidP="009260DE">
      <w:pPr>
        <w:tabs>
          <w:tab w:val="left" w:pos="851"/>
        </w:tabs>
        <w:ind w:left="851" w:hanging="851"/>
        <w:rPr>
          <w:b/>
          <w:sz w:val="24"/>
          <w:szCs w:val="24"/>
        </w:rPr>
      </w:pPr>
      <w:r w:rsidRPr="00B574C8">
        <w:rPr>
          <w:b/>
          <w:sz w:val="24"/>
          <w:szCs w:val="24"/>
        </w:rPr>
        <w:t>7.</w:t>
      </w:r>
      <w:r w:rsidRPr="00B574C8">
        <w:rPr>
          <w:b/>
          <w:sz w:val="24"/>
          <w:szCs w:val="24"/>
        </w:rPr>
        <w:tab/>
        <w:t>INDEHAVER AF MARKEDSFØRINGSTILLADELSEN</w:t>
      </w:r>
    </w:p>
    <w:p w14:paraId="029AD287" w14:textId="77777777" w:rsidR="00311180" w:rsidRPr="00F26B98" w:rsidRDefault="00311180" w:rsidP="00311180">
      <w:pPr>
        <w:ind w:left="851"/>
        <w:rPr>
          <w:sz w:val="24"/>
          <w:szCs w:val="24"/>
        </w:rPr>
      </w:pPr>
      <w:r w:rsidRPr="00F26B98">
        <w:rPr>
          <w:sz w:val="24"/>
          <w:szCs w:val="24"/>
        </w:rPr>
        <w:t>Nordic Prime ApS</w:t>
      </w:r>
    </w:p>
    <w:p w14:paraId="088B3680" w14:textId="77777777" w:rsidR="00311180" w:rsidRPr="00F26B98" w:rsidRDefault="00311180" w:rsidP="00311180">
      <w:pPr>
        <w:ind w:left="851"/>
        <w:rPr>
          <w:sz w:val="24"/>
          <w:szCs w:val="24"/>
        </w:rPr>
      </w:pPr>
      <w:r w:rsidRPr="00F26B98">
        <w:rPr>
          <w:sz w:val="24"/>
          <w:szCs w:val="24"/>
        </w:rPr>
        <w:t>Niels Bohrs Vej 6</w:t>
      </w:r>
    </w:p>
    <w:p w14:paraId="5FB67B7B" w14:textId="77777777" w:rsidR="00311180" w:rsidRPr="00F26B98" w:rsidRDefault="00311180" w:rsidP="00311180">
      <w:pPr>
        <w:ind w:left="851"/>
        <w:rPr>
          <w:sz w:val="24"/>
          <w:szCs w:val="24"/>
        </w:rPr>
      </w:pPr>
      <w:r w:rsidRPr="00F26B98">
        <w:rPr>
          <w:sz w:val="24"/>
          <w:szCs w:val="24"/>
        </w:rPr>
        <w:t>6700 Esbjerg</w:t>
      </w:r>
    </w:p>
    <w:p w14:paraId="5C942FAB" w14:textId="77777777" w:rsidR="00641C65" w:rsidRPr="00F26B98" w:rsidRDefault="00641C65" w:rsidP="00194AC4">
      <w:pPr>
        <w:tabs>
          <w:tab w:val="left" w:pos="851"/>
        </w:tabs>
        <w:rPr>
          <w:sz w:val="24"/>
          <w:szCs w:val="24"/>
        </w:rPr>
      </w:pPr>
    </w:p>
    <w:p w14:paraId="3BF5A144" w14:textId="77777777" w:rsidR="009260DE" w:rsidRPr="00B574C8" w:rsidRDefault="009260DE" w:rsidP="009260DE">
      <w:pPr>
        <w:tabs>
          <w:tab w:val="left" w:pos="851"/>
        </w:tabs>
        <w:ind w:left="851" w:hanging="851"/>
        <w:rPr>
          <w:b/>
          <w:sz w:val="24"/>
          <w:szCs w:val="24"/>
        </w:rPr>
      </w:pPr>
      <w:r w:rsidRPr="00B574C8">
        <w:rPr>
          <w:b/>
          <w:sz w:val="24"/>
          <w:szCs w:val="24"/>
        </w:rPr>
        <w:t>8.</w:t>
      </w:r>
      <w:r w:rsidRPr="00B574C8">
        <w:rPr>
          <w:b/>
          <w:sz w:val="24"/>
          <w:szCs w:val="24"/>
        </w:rPr>
        <w:tab/>
        <w:t>MARKEDSFØRINGSTILLADELSESNUMMER (</w:t>
      </w:r>
      <w:r w:rsidR="00BF6243" w:rsidRPr="00B574C8">
        <w:rPr>
          <w:b/>
          <w:sz w:val="24"/>
          <w:szCs w:val="24"/>
        </w:rPr>
        <w:t>-</w:t>
      </w:r>
      <w:r w:rsidRPr="00B574C8">
        <w:rPr>
          <w:b/>
          <w:sz w:val="24"/>
          <w:szCs w:val="24"/>
        </w:rPr>
        <w:t>NUMRE)</w:t>
      </w:r>
    </w:p>
    <w:p w14:paraId="68C5F064" w14:textId="436A53D2" w:rsidR="009260DE" w:rsidRDefault="00311180" w:rsidP="009260DE">
      <w:pPr>
        <w:tabs>
          <w:tab w:val="left" w:pos="851"/>
        </w:tabs>
        <w:ind w:left="851"/>
        <w:jc w:val="both"/>
        <w:rPr>
          <w:sz w:val="24"/>
          <w:szCs w:val="24"/>
        </w:rPr>
      </w:pPr>
      <w:r w:rsidRPr="00311180">
        <w:rPr>
          <w:sz w:val="24"/>
          <w:szCs w:val="24"/>
        </w:rPr>
        <w:t>73174</w:t>
      </w:r>
    </w:p>
    <w:p w14:paraId="611E7FF2" w14:textId="77777777" w:rsidR="00311180" w:rsidRPr="00B574C8" w:rsidRDefault="00311180" w:rsidP="009260DE">
      <w:pPr>
        <w:tabs>
          <w:tab w:val="left" w:pos="851"/>
        </w:tabs>
        <w:ind w:left="851"/>
        <w:jc w:val="both"/>
        <w:rPr>
          <w:sz w:val="24"/>
          <w:szCs w:val="24"/>
        </w:rPr>
      </w:pPr>
    </w:p>
    <w:p w14:paraId="0CA4135C" w14:textId="77777777" w:rsidR="009260DE" w:rsidRPr="00B574C8" w:rsidRDefault="009260DE" w:rsidP="009260DE">
      <w:pPr>
        <w:tabs>
          <w:tab w:val="left" w:pos="851"/>
        </w:tabs>
        <w:ind w:left="851" w:hanging="851"/>
        <w:rPr>
          <w:b/>
          <w:sz w:val="24"/>
          <w:szCs w:val="24"/>
        </w:rPr>
      </w:pPr>
      <w:r w:rsidRPr="00B574C8">
        <w:rPr>
          <w:b/>
          <w:sz w:val="24"/>
          <w:szCs w:val="24"/>
        </w:rPr>
        <w:t>9.</w:t>
      </w:r>
      <w:r w:rsidRPr="00B574C8">
        <w:rPr>
          <w:b/>
          <w:sz w:val="24"/>
          <w:szCs w:val="24"/>
        </w:rPr>
        <w:tab/>
        <w:t>DATO FOR FØRSTE MARKEDSFØRINGSTILLADELSE</w:t>
      </w:r>
    </w:p>
    <w:p w14:paraId="1CA8F065" w14:textId="3427A503" w:rsidR="009260DE" w:rsidRDefault="00F26B98" w:rsidP="009260DE">
      <w:pPr>
        <w:tabs>
          <w:tab w:val="left" w:pos="851"/>
        </w:tabs>
        <w:ind w:left="851"/>
        <w:rPr>
          <w:sz w:val="24"/>
          <w:szCs w:val="24"/>
        </w:rPr>
      </w:pPr>
      <w:r>
        <w:rPr>
          <w:sz w:val="24"/>
          <w:szCs w:val="24"/>
        </w:rPr>
        <w:t>4. marts 2025</w:t>
      </w:r>
    </w:p>
    <w:p w14:paraId="3666A126" w14:textId="77777777" w:rsidR="00962C01" w:rsidRPr="00B574C8" w:rsidRDefault="00962C01" w:rsidP="009260DE">
      <w:pPr>
        <w:tabs>
          <w:tab w:val="left" w:pos="851"/>
        </w:tabs>
        <w:ind w:left="851"/>
        <w:rPr>
          <w:sz w:val="24"/>
          <w:szCs w:val="24"/>
        </w:rPr>
      </w:pPr>
    </w:p>
    <w:p w14:paraId="181B1621" w14:textId="77777777" w:rsidR="009260DE" w:rsidRPr="00B574C8" w:rsidRDefault="009260DE" w:rsidP="009260DE">
      <w:pPr>
        <w:tabs>
          <w:tab w:val="left" w:pos="851"/>
        </w:tabs>
        <w:ind w:left="851" w:hanging="851"/>
        <w:rPr>
          <w:b/>
          <w:sz w:val="24"/>
          <w:szCs w:val="24"/>
        </w:rPr>
      </w:pPr>
      <w:r w:rsidRPr="00B574C8">
        <w:rPr>
          <w:b/>
          <w:sz w:val="24"/>
          <w:szCs w:val="24"/>
        </w:rPr>
        <w:t>10.</w:t>
      </w:r>
      <w:r w:rsidRPr="00B574C8">
        <w:rPr>
          <w:b/>
          <w:sz w:val="24"/>
          <w:szCs w:val="24"/>
        </w:rPr>
        <w:tab/>
        <w:t>DATO FOR ÆNDRING AF TEKSTEN</w:t>
      </w:r>
    </w:p>
    <w:p w14:paraId="622CB5BF" w14:textId="24B820D5" w:rsidR="009260DE" w:rsidRPr="00B574C8" w:rsidRDefault="00215F93" w:rsidP="009C0264">
      <w:pPr>
        <w:tabs>
          <w:tab w:val="left" w:pos="851"/>
        </w:tabs>
        <w:ind w:left="851"/>
        <w:rPr>
          <w:sz w:val="24"/>
          <w:szCs w:val="24"/>
        </w:rPr>
      </w:pPr>
      <w:r>
        <w:rPr>
          <w:sz w:val="24"/>
          <w:szCs w:val="24"/>
        </w:rPr>
        <w:t>14. marts 2025</w:t>
      </w:r>
      <w:bookmarkStart w:id="138" w:name="_GoBack"/>
      <w:bookmarkEnd w:id="138"/>
    </w:p>
    <w:sectPr w:rsidR="009260DE" w:rsidRPr="00B574C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5A97" w14:textId="77777777" w:rsidR="00962C01" w:rsidRDefault="00962C01">
      <w:r>
        <w:separator/>
      </w:r>
    </w:p>
  </w:endnote>
  <w:endnote w:type="continuationSeparator" w:id="0">
    <w:p w14:paraId="76E4E952" w14:textId="77777777" w:rsidR="00962C01" w:rsidRDefault="0096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E7EC" w14:textId="77777777" w:rsidR="00962C01" w:rsidRDefault="00962C01">
    <w:pPr>
      <w:pStyle w:val="Sidefod"/>
      <w:pBdr>
        <w:bottom w:val="single" w:sz="6" w:space="1" w:color="auto"/>
      </w:pBdr>
    </w:pPr>
  </w:p>
  <w:p w14:paraId="564742DE" w14:textId="77777777" w:rsidR="00962C01" w:rsidRDefault="00962C01" w:rsidP="00C42586">
    <w:pPr>
      <w:pStyle w:val="Sidefod"/>
      <w:tabs>
        <w:tab w:val="clear" w:pos="4819"/>
        <w:tab w:val="left" w:pos="8505"/>
      </w:tabs>
      <w:rPr>
        <w:i/>
        <w:sz w:val="18"/>
        <w:szCs w:val="18"/>
      </w:rPr>
    </w:pPr>
  </w:p>
  <w:p w14:paraId="06DD1B57" w14:textId="6ACCC851" w:rsidR="00962C01" w:rsidRPr="00962C01" w:rsidRDefault="00962C01" w:rsidP="00C42586">
    <w:pPr>
      <w:pStyle w:val="Sidefod"/>
      <w:tabs>
        <w:tab w:val="clear" w:pos="4819"/>
        <w:tab w:val="left" w:pos="8505"/>
      </w:tabs>
      <w:rPr>
        <w:i/>
        <w:sz w:val="18"/>
        <w:szCs w:val="18"/>
        <w:lang w:val="en-US"/>
      </w:rPr>
    </w:pPr>
    <w:r w:rsidRPr="00B373D7">
      <w:rPr>
        <w:i/>
        <w:sz w:val="18"/>
        <w:szCs w:val="18"/>
      </w:rPr>
      <w:fldChar w:fldCharType="begin"/>
    </w:r>
    <w:r w:rsidRPr="00962C01">
      <w:rPr>
        <w:i/>
        <w:sz w:val="18"/>
        <w:szCs w:val="18"/>
        <w:lang w:val="en-US"/>
      </w:rPr>
      <w:instrText xml:space="preserve"> FILENAME </w:instrText>
    </w:r>
    <w:r w:rsidRPr="00B373D7">
      <w:rPr>
        <w:i/>
        <w:sz w:val="18"/>
        <w:szCs w:val="18"/>
      </w:rPr>
      <w:fldChar w:fldCharType="separate"/>
    </w:r>
    <w:r w:rsidRPr="00962C01">
      <w:rPr>
        <w:i/>
        <w:noProof/>
        <w:sz w:val="18"/>
        <w:szCs w:val="18"/>
        <w:lang w:val="en-US"/>
      </w:rPr>
      <w:t>Ibuprofen Nordic Prime (Nordic Prime), oral suspension 20 mg-ml</w:t>
    </w:r>
    <w:r w:rsidRPr="00B373D7">
      <w:rPr>
        <w:i/>
        <w:sz w:val="18"/>
        <w:szCs w:val="18"/>
      </w:rPr>
      <w:fldChar w:fldCharType="end"/>
    </w:r>
    <w:r w:rsidRPr="00962C01">
      <w:rPr>
        <w:i/>
        <w:sz w:val="18"/>
        <w:szCs w:val="18"/>
        <w:lang w:val="en-US"/>
      </w:rPr>
      <w:tab/>
      <w:t xml:space="preserve">Side </w:t>
    </w:r>
    <w:r w:rsidRPr="00B373D7">
      <w:rPr>
        <w:rStyle w:val="Sidetal"/>
        <w:i/>
        <w:sz w:val="18"/>
        <w:szCs w:val="18"/>
      </w:rPr>
      <w:fldChar w:fldCharType="begin"/>
    </w:r>
    <w:r w:rsidRPr="00962C01">
      <w:rPr>
        <w:rStyle w:val="Sidetal"/>
        <w:i/>
        <w:sz w:val="18"/>
        <w:szCs w:val="18"/>
        <w:lang w:val="en-US"/>
      </w:rPr>
      <w:instrText xml:space="preserve"> PAGE </w:instrText>
    </w:r>
    <w:r w:rsidRPr="00B373D7">
      <w:rPr>
        <w:rStyle w:val="Sidetal"/>
        <w:i/>
        <w:sz w:val="18"/>
        <w:szCs w:val="18"/>
      </w:rPr>
      <w:fldChar w:fldCharType="separate"/>
    </w:r>
    <w:r w:rsidRPr="00962C01">
      <w:rPr>
        <w:rStyle w:val="Sidetal"/>
        <w:i/>
        <w:noProof/>
        <w:sz w:val="18"/>
        <w:szCs w:val="18"/>
        <w:lang w:val="en-US"/>
      </w:rPr>
      <w:t>3</w:t>
    </w:r>
    <w:r w:rsidRPr="00B373D7">
      <w:rPr>
        <w:rStyle w:val="Sidetal"/>
        <w:i/>
        <w:sz w:val="18"/>
        <w:szCs w:val="18"/>
      </w:rPr>
      <w:fldChar w:fldCharType="end"/>
    </w:r>
    <w:r w:rsidRPr="00962C01">
      <w:rPr>
        <w:rStyle w:val="Sidetal"/>
        <w:i/>
        <w:sz w:val="18"/>
        <w:szCs w:val="18"/>
        <w:lang w:val="en-US"/>
      </w:rPr>
      <w:t xml:space="preserve"> </w:t>
    </w:r>
    <w:proofErr w:type="spellStart"/>
    <w:r w:rsidRPr="00962C01">
      <w:rPr>
        <w:rStyle w:val="Sidetal"/>
        <w:i/>
        <w:sz w:val="18"/>
        <w:szCs w:val="18"/>
        <w:lang w:val="en-US"/>
      </w:rPr>
      <w:t>af</w:t>
    </w:r>
    <w:proofErr w:type="spellEnd"/>
    <w:r w:rsidRPr="00962C01">
      <w:rPr>
        <w:rStyle w:val="Sidetal"/>
        <w:i/>
        <w:sz w:val="18"/>
        <w:szCs w:val="18"/>
        <w:lang w:val="en-US"/>
      </w:rPr>
      <w:t xml:space="preserve"> </w:t>
    </w:r>
    <w:r w:rsidRPr="00B373D7">
      <w:rPr>
        <w:rStyle w:val="Sidetal"/>
        <w:i/>
        <w:sz w:val="18"/>
        <w:szCs w:val="18"/>
      </w:rPr>
      <w:fldChar w:fldCharType="begin"/>
    </w:r>
    <w:r w:rsidRPr="00962C01">
      <w:rPr>
        <w:rStyle w:val="Sidetal"/>
        <w:i/>
        <w:sz w:val="18"/>
        <w:szCs w:val="18"/>
        <w:lang w:val="en-US"/>
      </w:rPr>
      <w:instrText xml:space="preserve"> NUMPAGES </w:instrText>
    </w:r>
    <w:r w:rsidRPr="00B373D7">
      <w:rPr>
        <w:rStyle w:val="Sidetal"/>
        <w:i/>
        <w:sz w:val="18"/>
        <w:szCs w:val="18"/>
      </w:rPr>
      <w:fldChar w:fldCharType="separate"/>
    </w:r>
    <w:r w:rsidRPr="00962C01">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52124" w14:textId="77777777" w:rsidR="00962C01" w:rsidRDefault="00962C01">
      <w:r>
        <w:separator/>
      </w:r>
    </w:p>
  </w:footnote>
  <w:footnote w:type="continuationSeparator" w:id="0">
    <w:p w14:paraId="6D1C0420" w14:textId="77777777" w:rsidR="00962C01" w:rsidRDefault="00962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211D35"/>
    <w:multiLevelType w:val="hybridMultilevel"/>
    <w:tmpl w:val="B39E3586"/>
    <w:lvl w:ilvl="0" w:tplc="FFFFFFFF">
      <w:numFmt w:val="bullet"/>
      <w:lvlText w:val="‐"/>
      <w:lvlJc w:val="left"/>
      <w:pPr>
        <w:ind w:left="1003" w:hanging="360"/>
      </w:pPr>
      <w:rPr>
        <w:rFonts w:ascii="Calibri" w:eastAsia="Times New Roman" w:hAnsi="Calibri" w:cs="Times New Roman" w:hint="default"/>
      </w:rPr>
    </w:lvl>
    <w:lvl w:ilvl="1" w:tplc="FFFFFFFF">
      <w:start w:val="1"/>
      <w:numFmt w:val="bullet"/>
      <w:lvlText w:val="-"/>
      <w:lvlJc w:val="left"/>
      <w:pPr>
        <w:ind w:left="1211" w:hanging="360"/>
      </w:pPr>
      <w:rPr>
        <w:rFonts w:ascii="Calibri" w:hAnsi="Calibri" w:cs="Times New Roman" w:hint="default"/>
      </w:rPr>
    </w:lvl>
    <w:lvl w:ilvl="2" w:tplc="04060003">
      <w:start w:val="1"/>
      <w:numFmt w:val="bullet"/>
      <w:lvlText w:val="o"/>
      <w:lvlJc w:val="left"/>
      <w:pPr>
        <w:ind w:left="2443" w:hanging="360"/>
      </w:pPr>
      <w:rPr>
        <w:rFonts w:ascii="Courier New" w:hAnsi="Courier New" w:cs="Courier New"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start w:val="1"/>
      <w:numFmt w:val="bullet"/>
      <w:lvlText w:val=""/>
      <w:lvlJc w:val="left"/>
      <w:pPr>
        <w:ind w:left="4603" w:hanging="360"/>
      </w:pPr>
      <w:rPr>
        <w:rFonts w:ascii="Wingdings" w:hAnsi="Wingdings" w:hint="default"/>
      </w:rPr>
    </w:lvl>
    <w:lvl w:ilvl="6" w:tplc="FFFFFFFF">
      <w:start w:val="1"/>
      <w:numFmt w:val="bullet"/>
      <w:lvlText w:val=""/>
      <w:lvlJc w:val="left"/>
      <w:pPr>
        <w:ind w:left="5323" w:hanging="360"/>
      </w:pPr>
      <w:rPr>
        <w:rFonts w:ascii="Symbol" w:hAnsi="Symbol" w:hint="default"/>
      </w:rPr>
    </w:lvl>
    <w:lvl w:ilvl="7" w:tplc="FFFFFFFF">
      <w:start w:val="1"/>
      <w:numFmt w:val="bullet"/>
      <w:lvlText w:val="o"/>
      <w:lvlJc w:val="left"/>
      <w:pPr>
        <w:ind w:left="6043" w:hanging="360"/>
      </w:pPr>
      <w:rPr>
        <w:rFonts w:ascii="Courier New" w:hAnsi="Courier New" w:cs="Courier New" w:hint="default"/>
      </w:rPr>
    </w:lvl>
    <w:lvl w:ilvl="8" w:tplc="FFFFFFFF">
      <w:start w:val="1"/>
      <w:numFmt w:val="bullet"/>
      <w:lvlText w:val=""/>
      <w:lvlJc w:val="left"/>
      <w:pPr>
        <w:ind w:left="6763"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65D48CE"/>
    <w:multiLevelType w:val="hybridMultilevel"/>
    <w:tmpl w:val="8884C5BC"/>
    <w:lvl w:ilvl="0" w:tplc="FFFFFFFF">
      <w:numFmt w:val="bullet"/>
      <w:lvlText w:val="‐"/>
      <w:lvlJc w:val="left"/>
      <w:pPr>
        <w:ind w:left="1003" w:hanging="360"/>
      </w:pPr>
      <w:rPr>
        <w:rFonts w:ascii="Calibri" w:eastAsia="Times New Roman" w:hAnsi="Calibri" w:cs="Times New Roman" w:hint="default"/>
      </w:rPr>
    </w:lvl>
    <w:lvl w:ilvl="1" w:tplc="5650A900">
      <w:start w:val="1"/>
      <w:numFmt w:val="bullet"/>
      <w:lvlText w:val="-"/>
      <w:lvlJc w:val="left"/>
      <w:pPr>
        <w:ind w:left="1211" w:hanging="360"/>
      </w:pPr>
      <w:rPr>
        <w:rFonts w:ascii="Calibri" w:hAnsi="Calibri" w:cs="Times New Roman" w:hint="default"/>
      </w:rPr>
    </w:lvl>
    <w:lvl w:ilvl="2" w:tplc="FFFFFFFF">
      <w:start w:val="1"/>
      <w:numFmt w:val="bullet"/>
      <w:lvlText w:val=""/>
      <w:lvlJc w:val="left"/>
      <w:pPr>
        <w:ind w:left="2443" w:hanging="360"/>
      </w:pPr>
      <w:rPr>
        <w:rFonts w:ascii="Wingdings" w:hAnsi="Wingdings"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start w:val="1"/>
      <w:numFmt w:val="bullet"/>
      <w:lvlText w:val=""/>
      <w:lvlJc w:val="left"/>
      <w:pPr>
        <w:ind w:left="4603" w:hanging="360"/>
      </w:pPr>
      <w:rPr>
        <w:rFonts w:ascii="Wingdings" w:hAnsi="Wingdings" w:hint="default"/>
      </w:rPr>
    </w:lvl>
    <w:lvl w:ilvl="6" w:tplc="FFFFFFFF">
      <w:start w:val="1"/>
      <w:numFmt w:val="bullet"/>
      <w:lvlText w:val=""/>
      <w:lvlJc w:val="left"/>
      <w:pPr>
        <w:ind w:left="5323" w:hanging="360"/>
      </w:pPr>
      <w:rPr>
        <w:rFonts w:ascii="Symbol" w:hAnsi="Symbol" w:hint="default"/>
      </w:rPr>
    </w:lvl>
    <w:lvl w:ilvl="7" w:tplc="FFFFFFFF">
      <w:start w:val="1"/>
      <w:numFmt w:val="bullet"/>
      <w:lvlText w:val="o"/>
      <w:lvlJc w:val="left"/>
      <w:pPr>
        <w:ind w:left="6043" w:hanging="360"/>
      </w:pPr>
      <w:rPr>
        <w:rFonts w:ascii="Courier New" w:hAnsi="Courier New" w:cs="Courier New" w:hint="default"/>
      </w:rPr>
    </w:lvl>
    <w:lvl w:ilvl="8" w:tplc="FFFFFFFF">
      <w:start w:val="1"/>
      <w:numFmt w:val="bullet"/>
      <w:lvlText w:val=""/>
      <w:lvlJc w:val="left"/>
      <w:pPr>
        <w:ind w:left="6763"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A35067"/>
    <w:multiLevelType w:val="hybridMultilevel"/>
    <w:tmpl w:val="A25634C8"/>
    <w:lvl w:ilvl="0" w:tplc="5650A900">
      <w:start w:val="1"/>
      <w:numFmt w:val="bullet"/>
      <w:lvlText w:val="-"/>
      <w:lvlJc w:val="left"/>
      <w:pPr>
        <w:ind w:left="1080" w:hanging="360"/>
      </w:pPr>
      <w:rPr>
        <w:rFonts w:ascii="Calibri" w:hAnsi="Calibri"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7" w15:restartNumberingAfterBreak="0">
    <w:nsid w:val="49743465"/>
    <w:multiLevelType w:val="hybridMultilevel"/>
    <w:tmpl w:val="962466C8"/>
    <w:lvl w:ilvl="0" w:tplc="5650A900">
      <w:start w:val="1"/>
      <w:numFmt w:val="bullet"/>
      <w:lvlText w:val="-"/>
      <w:lvlJc w:val="left"/>
      <w:pPr>
        <w:ind w:left="720" w:hanging="360"/>
      </w:pPr>
      <w:rPr>
        <w:rFonts w:ascii="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E055FB3"/>
    <w:multiLevelType w:val="hybridMultilevel"/>
    <w:tmpl w:val="A77A826A"/>
    <w:lvl w:ilvl="0" w:tplc="5650A900">
      <w:start w:val="1"/>
      <w:numFmt w:val="bullet"/>
      <w:lvlText w:val="-"/>
      <w:lvlJc w:val="left"/>
      <w:pPr>
        <w:ind w:left="1211" w:hanging="360"/>
      </w:pPr>
      <w:rPr>
        <w:rFonts w:ascii="Calibri" w:hAnsi="Calibri"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9" w15:restartNumberingAfterBreak="0">
    <w:nsid w:val="5405795E"/>
    <w:multiLevelType w:val="hybridMultilevel"/>
    <w:tmpl w:val="C9F2CC98"/>
    <w:lvl w:ilvl="0" w:tplc="5650A900">
      <w:start w:val="1"/>
      <w:numFmt w:val="bullet"/>
      <w:lvlText w:val="-"/>
      <w:lvlJc w:val="left"/>
      <w:pPr>
        <w:ind w:left="1211" w:hanging="360"/>
      </w:pPr>
      <w:rPr>
        <w:rFonts w:ascii="Calibri" w:hAnsi="Calibri"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8082215"/>
    <w:multiLevelType w:val="hybridMultilevel"/>
    <w:tmpl w:val="0BAE6F0A"/>
    <w:lvl w:ilvl="0" w:tplc="5650A900">
      <w:start w:val="1"/>
      <w:numFmt w:val="bullet"/>
      <w:lvlText w:val="-"/>
      <w:lvlJc w:val="left"/>
      <w:pPr>
        <w:ind w:left="1211" w:hanging="360"/>
      </w:pPr>
      <w:rPr>
        <w:rFonts w:ascii="Calibri" w:hAnsi="Calibri" w:cs="Times New Roman"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1"/>
  </w:num>
  <w:num w:numId="9">
    <w:abstractNumId w:val="4"/>
  </w:num>
  <w:num w:numId="10">
    <w:abstractNumId w:val="1"/>
  </w:num>
  <w:num w:numId="11">
    <w:abstractNumId w:val="6"/>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3B"/>
    <w:rsid w:val="000259B9"/>
    <w:rsid w:val="00026A03"/>
    <w:rsid w:val="00041491"/>
    <w:rsid w:val="000441C7"/>
    <w:rsid w:val="00050D16"/>
    <w:rsid w:val="000730CA"/>
    <w:rsid w:val="00074F2A"/>
    <w:rsid w:val="00081111"/>
    <w:rsid w:val="000A1CA8"/>
    <w:rsid w:val="000A466B"/>
    <w:rsid w:val="000B058C"/>
    <w:rsid w:val="000D062E"/>
    <w:rsid w:val="000D68B0"/>
    <w:rsid w:val="000E4EE6"/>
    <w:rsid w:val="000F0B26"/>
    <w:rsid w:val="001454E2"/>
    <w:rsid w:val="00194AC4"/>
    <w:rsid w:val="001F00BE"/>
    <w:rsid w:val="00206CE8"/>
    <w:rsid w:val="00212003"/>
    <w:rsid w:val="0021526C"/>
    <w:rsid w:val="00215F93"/>
    <w:rsid w:val="00227467"/>
    <w:rsid w:val="00283A2B"/>
    <w:rsid w:val="00287D80"/>
    <w:rsid w:val="002B30AD"/>
    <w:rsid w:val="002C1EC0"/>
    <w:rsid w:val="002C2C01"/>
    <w:rsid w:val="00310848"/>
    <w:rsid w:val="00311180"/>
    <w:rsid w:val="003164CE"/>
    <w:rsid w:val="0033138E"/>
    <w:rsid w:val="003A29AE"/>
    <w:rsid w:val="003A32D7"/>
    <w:rsid w:val="003B4074"/>
    <w:rsid w:val="003C769A"/>
    <w:rsid w:val="003D3A90"/>
    <w:rsid w:val="003F1838"/>
    <w:rsid w:val="0045746C"/>
    <w:rsid w:val="0047448D"/>
    <w:rsid w:val="0049104B"/>
    <w:rsid w:val="004E3B12"/>
    <w:rsid w:val="004E5F6C"/>
    <w:rsid w:val="00532310"/>
    <w:rsid w:val="00565F0F"/>
    <w:rsid w:val="00594A86"/>
    <w:rsid w:val="00596D86"/>
    <w:rsid w:val="005C3AC1"/>
    <w:rsid w:val="00637F5A"/>
    <w:rsid w:val="00641C65"/>
    <w:rsid w:val="00655C70"/>
    <w:rsid w:val="006560B1"/>
    <w:rsid w:val="006756DD"/>
    <w:rsid w:val="0071241E"/>
    <w:rsid w:val="00737275"/>
    <w:rsid w:val="00740737"/>
    <w:rsid w:val="00740EEC"/>
    <w:rsid w:val="00741563"/>
    <w:rsid w:val="0078011A"/>
    <w:rsid w:val="00782AF4"/>
    <w:rsid w:val="00790EE7"/>
    <w:rsid w:val="007B6649"/>
    <w:rsid w:val="0082576E"/>
    <w:rsid w:val="00826AA6"/>
    <w:rsid w:val="0089346F"/>
    <w:rsid w:val="00907F75"/>
    <w:rsid w:val="009260DE"/>
    <w:rsid w:val="0093258A"/>
    <w:rsid w:val="00962C01"/>
    <w:rsid w:val="009C0264"/>
    <w:rsid w:val="009C7BA3"/>
    <w:rsid w:val="009D1F5A"/>
    <w:rsid w:val="00A10294"/>
    <w:rsid w:val="00AC7D3B"/>
    <w:rsid w:val="00B003BF"/>
    <w:rsid w:val="00B373D7"/>
    <w:rsid w:val="00B55271"/>
    <w:rsid w:val="00B574C8"/>
    <w:rsid w:val="00BD7931"/>
    <w:rsid w:val="00BE57C0"/>
    <w:rsid w:val="00BF6243"/>
    <w:rsid w:val="00C36276"/>
    <w:rsid w:val="00C42586"/>
    <w:rsid w:val="00C45F6B"/>
    <w:rsid w:val="00C60CCD"/>
    <w:rsid w:val="00C84483"/>
    <w:rsid w:val="00C95551"/>
    <w:rsid w:val="00CB20D7"/>
    <w:rsid w:val="00D020B0"/>
    <w:rsid w:val="00D11748"/>
    <w:rsid w:val="00D237F6"/>
    <w:rsid w:val="00D34D98"/>
    <w:rsid w:val="00D366CF"/>
    <w:rsid w:val="00D409BE"/>
    <w:rsid w:val="00D93992"/>
    <w:rsid w:val="00DA414D"/>
    <w:rsid w:val="00E108AA"/>
    <w:rsid w:val="00E3749A"/>
    <w:rsid w:val="00E7437F"/>
    <w:rsid w:val="00E85450"/>
    <w:rsid w:val="00E865B8"/>
    <w:rsid w:val="00EC0B9B"/>
    <w:rsid w:val="00ED5E9F"/>
    <w:rsid w:val="00F26B98"/>
    <w:rsid w:val="00F3376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26FA4"/>
  <w15:chartTrackingRefBased/>
  <w15:docId w15:val="{E05993A8-F4B0-4DE2-95AE-E4ABE314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26AA6"/>
    <w:pPr>
      <w:ind w:left="720"/>
      <w:contextualSpacing/>
    </w:pPr>
  </w:style>
  <w:style w:type="character" w:styleId="Hyperlink">
    <w:name w:val="Hyperlink"/>
    <w:uiPriority w:val="99"/>
    <w:unhideWhenUsed/>
    <w:rsid w:val="00826AA6"/>
    <w:rPr>
      <w:color w:val="0563C1"/>
      <w:u w:val="single"/>
    </w:rPr>
  </w:style>
  <w:style w:type="table" w:styleId="Tabel-Gitter">
    <w:name w:val="Table Grid"/>
    <w:basedOn w:val="Tabel-Normal"/>
    <w:uiPriority w:val="59"/>
    <w:rsid w:val="000F0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F3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4365">
      <w:bodyDiv w:val="1"/>
      <w:marLeft w:val="0"/>
      <w:marRight w:val="0"/>
      <w:marTop w:val="0"/>
      <w:marBottom w:val="0"/>
      <w:divBdr>
        <w:top w:val="none" w:sz="0" w:space="0" w:color="auto"/>
        <w:left w:val="none" w:sz="0" w:space="0" w:color="auto"/>
        <w:bottom w:val="none" w:sz="0" w:space="0" w:color="auto"/>
        <w:right w:val="none" w:sz="0" w:space="0" w:color="auto"/>
      </w:divBdr>
    </w:div>
    <w:div w:id="59056864">
      <w:bodyDiv w:val="1"/>
      <w:marLeft w:val="0"/>
      <w:marRight w:val="0"/>
      <w:marTop w:val="0"/>
      <w:marBottom w:val="0"/>
      <w:divBdr>
        <w:top w:val="none" w:sz="0" w:space="0" w:color="auto"/>
        <w:left w:val="none" w:sz="0" w:space="0" w:color="auto"/>
        <w:bottom w:val="none" w:sz="0" w:space="0" w:color="auto"/>
        <w:right w:val="none" w:sz="0" w:space="0" w:color="auto"/>
      </w:divBdr>
    </w:div>
    <w:div w:id="1637109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7034290">
      <w:bodyDiv w:val="1"/>
      <w:marLeft w:val="0"/>
      <w:marRight w:val="0"/>
      <w:marTop w:val="0"/>
      <w:marBottom w:val="0"/>
      <w:divBdr>
        <w:top w:val="none" w:sz="0" w:space="0" w:color="auto"/>
        <w:left w:val="none" w:sz="0" w:space="0" w:color="auto"/>
        <w:bottom w:val="none" w:sz="0" w:space="0" w:color="auto"/>
        <w:right w:val="none" w:sz="0" w:space="0" w:color="auto"/>
      </w:divBdr>
    </w:div>
    <w:div w:id="368645060">
      <w:bodyDiv w:val="1"/>
      <w:marLeft w:val="0"/>
      <w:marRight w:val="0"/>
      <w:marTop w:val="0"/>
      <w:marBottom w:val="0"/>
      <w:divBdr>
        <w:top w:val="none" w:sz="0" w:space="0" w:color="auto"/>
        <w:left w:val="none" w:sz="0" w:space="0" w:color="auto"/>
        <w:bottom w:val="none" w:sz="0" w:space="0" w:color="auto"/>
        <w:right w:val="none" w:sz="0" w:space="0" w:color="auto"/>
      </w:divBdr>
    </w:div>
    <w:div w:id="522744308">
      <w:bodyDiv w:val="1"/>
      <w:marLeft w:val="0"/>
      <w:marRight w:val="0"/>
      <w:marTop w:val="0"/>
      <w:marBottom w:val="0"/>
      <w:divBdr>
        <w:top w:val="none" w:sz="0" w:space="0" w:color="auto"/>
        <w:left w:val="none" w:sz="0" w:space="0" w:color="auto"/>
        <w:bottom w:val="none" w:sz="0" w:space="0" w:color="auto"/>
        <w:right w:val="none" w:sz="0" w:space="0" w:color="auto"/>
      </w:divBdr>
    </w:div>
    <w:div w:id="819729700">
      <w:bodyDiv w:val="1"/>
      <w:marLeft w:val="0"/>
      <w:marRight w:val="0"/>
      <w:marTop w:val="0"/>
      <w:marBottom w:val="0"/>
      <w:divBdr>
        <w:top w:val="none" w:sz="0" w:space="0" w:color="auto"/>
        <w:left w:val="none" w:sz="0" w:space="0" w:color="auto"/>
        <w:bottom w:val="none" w:sz="0" w:space="0" w:color="auto"/>
        <w:right w:val="none" w:sz="0" w:space="0" w:color="auto"/>
      </w:divBdr>
    </w:div>
    <w:div w:id="890388201">
      <w:bodyDiv w:val="1"/>
      <w:marLeft w:val="0"/>
      <w:marRight w:val="0"/>
      <w:marTop w:val="0"/>
      <w:marBottom w:val="0"/>
      <w:divBdr>
        <w:top w:val="none" w:sz="0" w:space="0" w:color="auto"/>
        <w:left w:val="none" w:sz="0" w:space="0" w:color="auto"/>
        <w:bottom w:val="none" w:sz="0" w:space="0" w:color="auto"/>
        <w:right w:val="none" w:sz="0" w:space="0" w:color="auto"/>
      </w:divBdr>
    </w:div>
    <w:div w:id="1004430622">
      <w:bodyDiv w:val="1"/>
      <w:marLeft w:val="0"/>
      <w:marRight w:val="0"/>
      <w:marTop w:val="0"/>
      <w:marBottom w:val="0"/>
      <w:divBdr>
        <w:top w:val="none" w:sz="0" w:space="0" w:color="auto"/>
        <w:left w:val="none" w:sz="0" w:space="0" w:color="auto"/>
        <w:bottom w:val="none" w:sz="0" w:space="0" w:color="auto"/>
        <w:right w:val="none" w:sz="0" w:space="0" w:color="auto"/>
      </w:divBdr>
    </w:div>
    <w:div w:id="1008292958">
      <w:bodyDiv w:val="1"/>
      <w:marLeft w:val="0"/>
      <w:marRight w:val="0"/>
      <w:marTop w:val="0"/>
      <w:marBottom w:val="0"/>
      <w:divBdr>
        <w:top w:val="none" w:sz="0" w:space="0" w:color="auto"/>
        <w:left w:val="none" w:sz="0" w:space="0" w:color="auto"/>
        <w:bottom w:val="none" w:sz="0" w:space="0" w:color="auto"/>
        <w:right w:val="none" w:sz="0" w:space="0" w:color="auto"/>
      </w:divBdr>
    </w:div>
    <w:div w:id="1094978071">
      <w:bodyDiv w:val="1"/>
      <w:marLeft w:val="0"/>
      <w:marRight w:val="0"/>
      <w:marTop w:val="0"/>
      <w:marBottom w:val="0"/>
      <w:divBdr>
        <w:top w:val="none" w:sz="0" w:space="0" w:color="auto"/>
        <w:left w:val="none" w:sz="0" w:space="0" w:color="auto"/>
        <w:bottom w:val="none" w:sz="0" w:space="0" w:color="auto"/>
        <w:right w:val="none" w:sz="0" w:space="0" w:color="auto"/>
      </w:divBdr>
    </w:div>
    <w:div w:id="1141845879">
      <w:bodyDiv w:val="1"/>
      <w:marLeft w:val="0"/>
      <w:marRight w:val="0"/>
      <w:marTop w:val="0"/>
      <w:marBottom w:val="0"/>
      <w:divBdr>
        <w:top w:val="none" w:sz="0" w:space="0" w:color="auto"/>
        <w:left w:val="none" w:sz="0" w:space="0" w:color="auto"/>
        <w:bottom w:val="none" w:sz="0" w:space="0" w:color="auto"/>
        <w:right w:val="none" w:sz="0" w:space="0" w:color="auto"/>
      </w:divBdr>
    </w:div>
    <w:div w:id="1157767503">
      <w:bodyDiv w:val="1"/>
      <w:marLeft w:val="0"/>
      <w:marRight w:val="0"/>
      <w:marTop w:val="0"/>
      <w:marBottom w:val="0"/>
      <w:divBdr>
        <w:top w:val="none" w:sz="0" w:space="0" w:color="auto"/>
        <w:left w:val="none" w:sz="0" w:space="0" w:color="auto"/>
        <w:bottom w:val="none" w:sz="0" w:space="0" w:color="auto"/>
        <w:right w:val="none" w:sz="0" w:space="0" w:color="auto"/>
      </w:divBdr>
    </w:div>
    <w:div w:id="1173302152">
      <w:bodyDiv w:val="1"/>
      <w:marLeft w:val="0"/>
      <w:marRight w:val="0"/>
      <w:marTop w:val="0"/>
      <w:marBottom w:val="0"/>
      <w:divBdr>
        <w:top w:val="none" w:sz="0" w:space="0" w:color="auto"/>
        <w:left w:val="none" w:sz="0" w:space="0" w:color="auto"/>
        <w:bottom w:val="none" w:sz="0" w:space="0" w:color="auto"/>
        <w:right w:val="none" w:sz="0" w:space="0" w:color="auto"/>
      </w:divBdr>
    </w:div>
    <w:div w:id="1184439292">
      <w:bodyDiv w:val="1"/>
      <w:marLeft w:val="0"/>
      <w:marRight w:val="0"/>
      <w:marTop w:val="0"/>
      <w:marBottom w:val="0"/>
      <w:divBdr>
        <w:top w:val="none" w:sz="0" w:space="0" w:color="auto"/>
        <w:left w:val="none" w:sz="0" w:space="0" w:color="auto"/>
        <w:bottom w:val="none" w:sz="0" w:space="0" w:color="auto"/>
        <w:right w:val="none" w:sz="0" w:space="0" w:color="auto"/>
      </w:divBdr>
    </w:div>
    <w:div w:id="1201554600">
      <w:bodyDiv w:val="1"/>
      <w:marLeft w:val="0"/>
      <w:marRight w:val="0"/>
      <w:marTop w:val="0"/>
      <w:marBottom w:val="0"/>
      <w:divBdr>
        <w:top w:val="none" w:sz="0" w:space="0" w:color="auto"/>
        <w:left w:val="none" w:sz="0" w:space="0" w:color="auto"/>
        <w:bottom w:val="none" w:sz="0" w:space="0" w:color="auto"/>
        <w:right w:val="none" w:sz="0" w:space="0" w:color="auto"/>
      </w:divBdr>
    </w:div>
    <w:div w:id="1267227286">
      <w:bodyDiv w:val="1"/>
      <w:marLeft w:val="0"/>
      <w:marRight w:val="0"/>
      <w:marTop w:val="0"/>
      <w:marBottom w:val="0"/>
      <w:divBdr>
        <w:top w:val="none" w:sz="0" w:space="0" w:color="auto"/>
        <w:left w:val="none" w:sz="0" w:space="0" w:color="auto"/>
        <w:bottom w:val="none" w:sz="0" w:space="0" w:color="auto"/>
        <w:right w:val="none" w:sz="0" w:space="0" w:color="auto"/>
      </w:divBdr>
    </w:div>
    <w:div w:id="1380587053">
      <w:bodyDiv w:val="1"/>
      <w:marLeft w:val="0"/>
      <w:marRight w:val="0"/>
      <w:marTop w:val="0"/>
      <w:marBottom w:val="0"/>
      <w:divBdr>
        <w:top w:val="none" w:sz="0" w:space="0" w:color="auto"/>
        <w:left w:val="none" w:sz="0" w:space="0" w:color="auto"/>
        <w:bottom w:val="none" w:sz="0" w:space="0" w:color="auto"/>
        <w:right w:val="none" w:sz="0" w:space="0" w:color="auto"/>
      </w:divBdr>
    </w:div>
    <w:div w:id="1781533998">
      <w:bodyDiv w:val="1"/>
      <w:marLeft w:val="0"/>
      <w:marRight w:val="0"/>
      <w:marTop w:val="0"/>
      <w:marBottom w:val="0"/>
      <w:divBdr>
        <w:top w:val="none" w:sz="0" w:space="0" w:color="auto"/>
        <w:left w:val="none" w:sz="0" w:space="0" w:color="auto"/>
        <w:bottom w:val="none" w:sz="0" w:space="0" w:color="auto"/>
        <w:right w:val="none" w:sz="0" w:space="0" w:color="auto"/>
      </w:divBdr>
    </w:div>
    <w:div w:id="1850636010">
      <w:bodyDiv w:val="1"/>
      <w:marLeft w:val="0"/>
      <w:marRight w:val="0"/>
      <w:marTop w:val="0"/>
      <w:marBottom w:val="0"/>
      <w:divBdr>
        <w:top w:val="none" w:sz="0" w:space="0" w:color="auto"/>
        <w:left w:val="none" w:sz="0" w:space="0" w:color="auto"/>
        <w:bottom w:val="none" w:sz="0" w:space="0" w:color="auto"/>
        <w:right w:val="none" w:sz="0" w:space="0" w:color="auto"/>
      </w:divBdr>
    </w:div>
    <w:div w:id="1854107766">
      <w:bodyDiv w:val="1"/>
      <w:marLeft w:val="0"/>
      <w:marRight w:val="0"/>
      <w:marTop w:val="0"/>
      <w:marBottom w:val="0"/>
      <w:divBdr>
        <w:top w:val="none" w:sz="0" w:space="0" w:color="auto"/>
        <w:left w:val="none" w:sz="0" w:space="0" w:color="auto"/>
        <w:bottom w:val="none" w:sz="0" w:space="0" w:color="auto"/>
        <w:right w:val="none" w:sz="0" w:space="0" w:color="auto"/>
      </w:divBdr>
    </w:div>
    <w:div w:id="1857307194">
      <w:bodyDiv w:val="1"/>
      <w:marLeft w:val="0"/>
      <w:marRight w:val="0"/>
      <w:marTop w:val="0"/>
      <w:marBottom w:val="0"/>
      <w:divBdr>
        <w:top w:val="none" w:sz="0" w:space="0" w:color="auto"/>
        <w:left w:val="none" w:sz="0" w:space="0" w:color="auto"/>
        <w:bottom w:val="none" w:sz="0" w:space="0" w:color="auto"/>
        <w:right w:val="none" w:sz="0" w:space="0" w:color="auto"/>
      </w:divBdr>
    </w:div>
    <w:div w:id="1934898087">
      <w:bodyDiv w:val="1"/>
      <w:marLeft w:val="0"/>
      <w:marRight w:val="0"/>
      <w:marTop w:val="0"/>
      <w:marBottom w:val="0"/>
      <w:divBdr>
        <w:top w:val="none" w:sz="0" w:space="0" w:color="auto"/>
        <w:left w:val="none" w:sz="0" w:space="0" w:color="auto"/>
        <w:bottom w:val="none" w:sz="0" w:space="0" w:color="auto"/>
        <w:right w:val="none" w:sz="0" w:space="0" w:color="auto"/>
      </w:divBdr>
    </w:div>
    <w:div w:id="211185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15</Pages>
  <Words>4125</Words>
  <Characters>28121</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2025032588_x000d_
Pkt. 4.9_x000d_
Ændring af PI-SmPC</dc:description>
  <cp:lastModifiedBy>Victoria Alexsandra Ringgaard</cp:lastModifiedBy>
  <cp:revision>3</cp:revision>
  <cp:lastPrinted>2012-08-22T08:53:00Z</cp:lastPrinted>
  <dcterms:created xsi:type="dcterms:W3CDTF">2025-03-19T10:25:00Z</dcterms:created>
  <dcterms:modified xsi:type="dcterms:W3CDTF">2025-03-19T10:27:00Z</dcterms:modified>
</cp:coreProperties>
</file>