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C5741"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3E8370F" wp14:editId="3E95041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D3C3DEB" w14:textId="77777777" w:rsidR="009260DE" w:rsidRPr="00C84483" w:rsidRDefault="009260DE" w:rsidP="009260DE">
      <w:pPr>
        <w:pStyle w:val="Titel"/>
        <w:tabs>
          <w:tab w:val="right" w:pos="9356"/>
        </w:tabs>
        <w:jc w:val="left"/>
        <w:rPr>
          <w:b w:val="0"/>
          <w:szCs w:val="24"/>
          <w:lang w:eastAsia="en-US"/>
        </w:rPr>
      </w:pPr>
    </w:p>
    <w:p w14:paraId="2B202A07" w14:textId="3072420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91BCB">
        <w:rPr>
          <w:szCs w:val="24"/>
        </w:rPr>
        <w:t>13. januar 2025</w:t>
      </w:r>
    </w:p>
    <w:p w14:paraId="0BF9173A" w14:textId="77777777" w:rsidR="009260DE" w:rsidRPr="00C84483" w:rsidRDefault="009260DE" w:rsidP="009260DE">
      <w:pPr>
        <w:pStyle w:val="Titel"/>
        <w:tabs>
          <w:tab w:val="left" w:pos="8222"/>
        </w:tabs>
        <w:jc w:val="left"/>
        <w:rPr>
          <w:b w:val="0"/>
          <w:szCs w:val="24"/>
        </w:rPr>
      </w:pPr>
    </w:p>
    <w:p w14:paraId="6DFCC6E3" w14:textId="77777777" w:rsidR="009260DE" w:rsidRPr="00C84483" w:rsidRDefault="009260DE" w:rsidP="009260DE">
      <w:pPr>
        <w:pStyle w:val="Titel"/>
        <w:jc w:val="left"/>
        <w:rPr>
          <w:b w:val="0"/>
          <w:szCs w:val="24"/>
        </w:rPr>
      </w:pPr>
    </w:p>
    <w:p w14:paraId="1566E2DC" w14:textId="77777777" w:rsidR="009260DE" w:rsidRPr="00C84483" w:rsidRDefault="009260DE" w:rsidP="009260DE">
      <w:pPr>
        <w:pStyle w:val="Titel"/>
        <w:jc w:val="left"/>
        <w:rPr>
          <w:b w:val="0"/>
          <w:szCs w:val="24"/>
        </w:rPr>
      </w:pPr>
    </w:p>
    <w:p w14:paraId="2719D715" w14:textId="77777777" w:rsidR="009260DE" w:rsidRPr="00C84483" w:rsidRDefault="009260DE" w:rsidP="009260DE">
      <w:pPr>
        <w:jc w:val="center"/>
        <w:rPr>
          <w:b/>
          <w:sz w:val="24"/>
          <w:szCs w:val="24"/>
        </w:rPr>
      </w:pPr>
      <w:r w:rsidRPr="00C84483">
        <w:rPr>
          <w:b/>
          <w:sz w:val="24"/>
          <w:szCs w:val="24"/>
        </w:rPr>
        <w:t>PRODUKTRESUMÉ</w:t>
      </w:r>
    </w:p>
    <w:p w14:paraId="255D0D35" w14:textId="77777777" w:rsidR="009260DE" w:rsidRPr="00C84483" w:rsidRDefault="009260DE" w:rsidP="009260DE">
      <w:pPr>
        <w:jc w:val="center"/>
        <w:rPr>
          <w:b/>
          <w:sz w:val="24"/>
          <w:szCs w:val="24"/>
        </w:rPr>
      </w:pPr>
    </w:p>
    <w:p w14:paraId="7DD07627" w14:textId="77777777" w:rsidR="009260DE" w:rsidRDefault="009260DE" w:rsidP="009260DE">
      <w:pPr>
        <w:jc w:val="center"/>
        <w:rPr>
          <w:b/>
          <w:sz w:val="24"/>
          <w:szCs w:val="24"/>
        </w:rPr>
      </w:pPr>
      <w:r w:rsidRPr="00C84483">
        <w:rPr>
          <w:b/>
          <w:sz w:val="24"/>
          <w:szCs w:val="24"/>
        </w:rPr>
        <w:t>for</w:t>
      </w:r>
    </w:p>
    <w:p w14:paraId="4151B672" w14:textId="77777777" w:rsidR="000B058C" w:rsidRPr="00C84483" w:rsidRDefault="000B058C" w:rsidP="009260DE">
      <w:pPr>
        <w:jc w:val="center"/>
        <w:rPr>
          <w:b/>
          <w:sz w:val="24"/>
          <w:szCs w:val="24"/>
        </w:rPr>
      </w:pPr>
    </w:p>
    <w:p w14:paraId="76D10C0D" w14:textId="77777777" w:rsidR="009260DE" w:rsidRPr="00C84483" w:rsidRDefault="00E86EBD" w:rsidP="009260DE">
      <w:pPr>
        <w:jc w:val="center"/>
        <w:rPr>
          <w:b/>
          <w:sz w:val="24"/>
          <w:szCs w:val="24"/>
        </w:rPr>
      </w:pPr>
      <w:r>
        <w:rPr>
          <w:b/>
          <w:sz w:val="24"/>
          <w:szCs w:val="24"/>
        </w:rPr>
        <w:t>Icalziss, infusionsvæske, opløsning</w:t>
      </w:r>
    </w:p>
    <w:p w14:paraId="4CC84A5B" w14:textId="77777777" w:rsidR="009260DE" w:rsidRPr="00C84483" w:rsidRDefault="009260DE" w:rsidP="009260DE">
      <w:pPr>
        <w:jc w:val="both"/>
        <w:rPr>
          <w:sz w:val="24"/>
          <w:szCs w:val="24"/>
        </w:rPr>
      </w:pPr>
    </w:p>
    <w:p w14:paraId="3AD953CF" w14:textId="77777777" w:rsidR="009260DE" w:rsidRPr="00C84483" w:rsidRDefault="009260DE" w:rsidP="009260DE">
      <w:pPr>
        <w:jc w:val="both"/>
        <w:rPr>
          <w:sz w:val="24"/>
          <w:szCs w:val="24"/>
        </w:rPr>
      </w:pPr>
    </w:p>
    <w:p w14:paraId="3E71025E"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074A5A5" w14:textId="77777777" w:rsidR="009260DE" w:rsidRPr="00C84483" w:rsidRDefault="00E86EBD" w:rsidP="009260DE">
      <w:pPr>
        <w:tabs>
          <w:tab w:val="left" w:pos="851"/>
        </w:tabs>
        <w:ind w:left="851"/>
        <w:rPr>
          <w:sz w:val="24"/>
          <w:szCs w:val="24"/>
        </w:rPr>
      </w:pPr>
      <w:r>
        <w:rPr>
          <w:sz w:val="24"/>
          <w:szCs w:val="24"/>
        </w:rPr>
        <w:t>33558</w:t>
      </w:r>
    </w:p>
    <w:p w14:paraId="66036815" w14:textId="77777777" w:rsidR="009260DE" w:rsidRPr="00C84483" w:rsidRDefault="009260DE" w:rsidP="009260DE">
      <w:pPr>
        <w:tabs>
          <w:tab w:val="left" w:pos="851"/>
        </w:tabs>
        <w:ind w:left="851"/>
        <w:rPr>
          <w:sz w:val="24"/>
          <w:szCs w:val="24"/>
        </w:rPr>
      </w:pPr>
    </w:p>
    <w:p w14:paraId="2BBCCFDD"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57F09C9" w14:textId="77777777" w:rsidR="009260DE" w:rsidRPr="00C84483" w:rsidRDefault="00E86EBD" w:rsidP="009260DE">
      <w:pPr>
        <w:tabs>
          <w:tab w:val="left" w:pos="851"/>
        </w:tabs>
        <w:ind w:left="851"/>
        <w:rPr>
          <w:sz w:val="24"/>
          <w:szCs w:val="24"/>
        </w:rPr>
      </w:pPr>
      <w:r>
        <w:rPr>
          <w:sz w:val="24"/>
          <w:szCs w:val="24"/>
        </w:rPr>
        <w:t>Icalziss</w:t>
      </w:r>
    </w:p>
    <w:p w14:paraId="75A715D8" w14:textId="77777777" w:rsidR="009260DE" w:rsidRPr="00C84483" w:rsidRDefault="009260DE" w:rsidP="009260DE">
      <w:pPr>
        <w:tabs>
          <w:tab w:val="left" w:pos="851"/>
        </w:tabs>
        <w:ind w:left="851"/>
        <w:rPr>
          <w:sz w:val="24"/>
          <w:szCs w:val="24"/>
        </w:rPr>
      </w:pPr>
    </w:p>
    <w:p w14:paraId="25FDF7A8"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B12A8FF" w14:textId="77777777" w:rsidR="00E86EBD" w:rsidRDefault="00E86EBD" w:rsidP="00E86EBD">
      <w:pPr>
        <w:tabs>
          <w:tab w:val="left" w:pos="851"/>
        </w:tabs>
        <w:ind w:left="851"/>
        <w:rPr>
          <w:sz w:val="24"/>
          <w:szCs w:val="24"/>
          <w:lang w:bidi="da-DK"/>
        </w:rPr>
      </w:pPr>
    </w:p>
    <w:p w14:paraId="35EA049F" w14:textId="77777777" w:rsidR="00E86EBD" w:rsidRPr="00E86EBD" w:rsidRDefault="00E86EBD" w:rsidP="00E86EBD">
      <w:pPr>
        <w:tabs>
          <w:tab w:val="left" w:pos="851"/>
        </w:tabs>
        <w:ind w:left="851"/>
        <w:rPr>
          <w:sz w:val="24"/>
          <w:szCs w:val="24"/>
          <w:u w:val="single"/>
          <w:lang w:bidi="da-DK"/>
        </w:rPr>
      </w:pPr>
      <w:r w:rsidRPr="00E86EBD">
        <w:rPr>
          <w:sz w:val="24"/>
          <w:szCs w:val="24"/>
          <w:u w:val="single"/>
          <w:lang w:bidi="da-DK"/>
        </w:rPr>
        <w:t>Sammensætning</w:t>
      </w:r>
    </w:p>
    <w:p w14:paraId="6DC01443" w14:textId="77777777" w:rsidR="00E86EBD" w:rsidRPr="00D91BCB" w:rsidRDefault="00E86EBD" w:rsidP="00E86EBD">
      <w:pPr>
        <w:tabs>
          <w:tab w:val="left" w:pos="851"/>
          <w:tab w:val="left" w:pos="3686"/>
        </w:tabs>
        <w:ind w:left="851"/>
        <w:rPr>
          <w:sz w:val="24"/>
          <w:szCs w:val="24"/>
        </w:rPr>
      </w:pPr>
      <w:r w:rsidRPr="00D91BCB">
        <w:rPr>
          <w:sz w:val="24"/>
          <w:szCs w:val="24"/>
        </w:rPr>
        <w:t>Calciumchloriddihydrat</w:t>
      </w:r>
      <w:r w:rsidRPr="00D91BCB">
        <w:rPr>
          <w:sz w:val="24"/>
          <w:szCs w:val="24"/>
        </w:rPr>
        <w:tab/>
        <w:t>50 g/l</w:t>
      </w:r>
    </w:p>
    <w:p w14:paraId="7CD639A2" w14:textId="77777777" w:rsidR="00E86EBD" w:rsidRPr="00D91BCB" w:rsidRDefault="00E86EBD" w:rsidP="00E86EBD">
      <w:pPr>
        <w:tabs>
          <w:tab w:val="left" w:pos="851"/>
          <w:tab w:val="left" w:pos="3686"/>
        </w:tabs>
        <w:ind w:left="851"/>
        <w:rPr>
          <w:sz w:val="24"/>
          <w:szCs w:val="24"/>
        </w:rPr>
      </w:pPr>
      <w:r w:rsidRPr="00D91BCB">
        <w:rPr>
          <w:sz w:val="24"/>
          <w:szCs w:val="24"/>
        </w:rPr>
        <w:t>Calcium, Ca</w:t>
      </w:r>
      <w:r w:rsidRPr="00D91BCB">
        <w:rPr>
          <w:sz w:val="24"/>
          <w:szCs w:val="24"/>
          <w:vertAlign w:val="superscript"/>
        </w:rPr>
        <w:t>++</w:t>
      </w:r>
      <w:r w:rsidRPr="00D91BCB">
        <w:rPr>
          <w:sz w:val="24"/>
          <w:szCs w:val="24"/>
        </w:rPr>
        <w:t xml:space="preserve"> </w:t>
      </w:r>
      <w:r w:rsidRPr="00D91BCB">
        <w:rPr>
          <w:sz w:val="24"/>
          <w:szCs w:val="24"/>
        </w:rPr>
        <w:tab/>
        <w:t>340 mmol/l</w:t>
      </w:r>
    </w:p>
    <w:p w14:paraId="416E0040" w14:textId="77777777" w:rsidR="00E86EBD" w:rsidRPr="00E86EBD" w:rsidRDefault="00E86EBD" w:rsidP="00E86EBD">
      <w:pPr>
        <w:tabs>
          <w:tab w:val="left" w:pos="851"/>
          <w:tab w:val="left" w:pos="3686"/>
        </w:tabs>
        <w:ind w:left="851"/>
        <w:rPr>
          <w:sz w:val="24"/>
          <w:szCs w:val="24"/>
          <w:lang w:bidi="da-DK"/>
        </w:rPr>
      </w:pPr>
      <w:r w:rsidRPr="00E86EBD">
        <w:rPr>
          <w:sz w:val="24"/>
          <w:szCs w:val="24"/>
          <w:lang w:bidi="da-DK"/>
        </w:rPr>
        <w:t>Chlorid, Cl</w:t>
      </w:r>
      <w:r w:rsidRPr="00E86EBD">
        <w:rPr>
          <w:sz w:val="24"/>
          <w:szCs w:val="24"/>
          <w:vertAlign w:val="superscript"/>
          <w:lang w:bidi="da-DK"/>
        </w:rPr>
        <w:t>-</w:t>
      </w:r>
      <w:r w:rsidRPr="00E86EBD">
        <w:rPr>
          <w:sz w:val="24"/>
          <w:szCs w:val="24"/>
          <w:lang w:bidi="da-DK"/>
        </w:rPr>
        <w:t xml:space="preserve"> </w:t>
      </w:r>
      <w:r w:rsidRPr="00E86EBD">
        <w:rPr>
          <w:sz w:val="24"/>
          <w:szCs w:val="24"/>
          <w:lang w:bidi="da-DK"/>
        </w:rPr>
        <w:tab/>
        <w:t>680 mmol/l</w:t>
      </w:r>
    </w:p>
    <w:p w14:paraId="340C6F97" w14:textId="77777777" w:rsidR="00E86EBD" w:rsidRPr="00E86EBD" w:rsidRDefault="00E86EBD" w:rsidP="00E86EBD">
      <w:pPr>
        <w:tabs>
          <w:tab w:val="left" w:pos="851"/>
        </w:tabs>
        <w:ind w:left="851"/>
        <w:rPr>
          <w:sz w:val="24"/>
          <w:szCs w:val="24"/>
          <w:lang w:bidi="da-DK"/>
        </w:rPr>
      </w:pPr>
    </w:p>
    <w:p w14:paraId="5C21D39D" w14:textId="77777777" w:rsidR="00E86EBD" w:rsidRPr="00E86EBD" w:rsidRDefault="00E86EBD" w:rsidP="00E86EBD">
      <w:pPr>
        <w:tabs>
          <w:tab w:val="left" w:pos="851"/>
        </w:tabs>
        <w:ind w:left="851"/>
        <w:rPr>
          <w:sz w:val="24"/>
          <w:szCs w:val="24"/>
          <w:lang w:bidi="da-DK"/>
        </w:rPr>
      </w:pPr>
      <w:r w:rsidRPr="00E86EBD">
        <w:rPr>
          <w:sz w:val="24"/>
          <w:szCs w:val="24"/>
          <w:lang w:bidi="da-DK"/>
        </w:rPr>
        <w:t>Alle hjælpestoffer er anført under pkt. 6.1.</w:t>
      </w:r>
    </w:p>
    <w:p w14:paraId="18C00D1F" w14:textId="77777777" w:rsidR="009260DE" w:rsidRPr="00C84483" w:rsidRDefault="009260DE" w:rsidP="009260DE">
      <w:pPr>
        <w:tabs>
          <w:tab w:val="left" w:pos="851"/>
        </w:tabs>
        <w:ind w:left="851"/>
        <w:rPr>
          <w:sz w:val="24"/>
          <w:szCs w:val="24"/>
        </w:rPr>
      </w:pPr>
    </w:p>
    <w:p w14:paraId="1AC424F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1CC1018" w14:textId="77777777" w:rsidR="00E86EBD" w:rsidRDefault="00E86EBD" w:rsidP="00E86EBD">
      <w:pPr>
        <w:tabs>
          <w:tab w:val="left" w:pos="851"/>
        </w:tabs>
        <w:ind w:left="851"/>
        <w:rPr>
          <w:sz w:val="24"/>
          <w:szCs w:val="24"/>
          <w:lang w:bidi="da-DK"/>
        </w:rPr>
      </w:pPr>
      <w:r w:rsidRPr="00E86EBD">
        <w:rPr>
          <w:sz w:val="24"/>
          <w:szCs w:val="24"/>
          <w:lang w:bidi="da-DK"/>
        </w:rPr>
        <w:t>Infusionsvæske, opløsning</w:t>
      </w:r>
    </w:p>
    <w:p w14:paraId="3C92512B" w14:textId="77777777" w:rsidR="00E86EBD" w:rsidRPr="00E86EBD" w:rsidRDefault="00E86EBD" w:rsidP="00E86EBD">
      <w:pPr>
        <w:tabs>
          <w:tab w:val="left" w:pos="851"/>
        </w:tabs>
        <w:ind w:left="851"/>
        <w:rPr>
          <w:sz w:val="24"/>
          <w:szCs w:val="24"/>
          <w:lang w:bidi="da-DK"/>
        </w:rPr>
      </w:pPr>
    </w:p>
    <w:p w14:paraId="5440C08D" w14:textId="77777777" w:rsidR="00E86EBD" w:rsidRPr="00E86EBD" w:rsidRDefault="00E86EBD" w:rsidP="00E86EBD">
      <w:pPr>
        <w:tabs>
          <w:tab w:val="left" w:pos="851"/>
        </w:tabs>
        <w:ind w:left="851"/>
        <w:rPr>
          <w:sz w:val="24"/>
          <w:szCs w:val="24"/>
          <w:lang w:bidi="da-DK"/>
        </w:rPr>
      </w:pPr>
      <w:r w:rsidRPr="00E86EBD">
        <w:rPr>
          <w:sz w:val="24"/>
          <w:szCs w:val="24"/>
          <w:lang w:bidi="da-DK"/>
        </w:rPr>
        <w:t>Opløsningen er klar og farveløs.</w:t>
      </w:r>
    </w:p>
    <w:p w14:paraId="5327CA92" w14:textId="77777777" w:rsidR="00E86EBD" w:rsidRPr="00E86EBD" w:rsidRDefault="00E86EBD" w:rsidP="00E86EBD">
      <w:pPr>
        <w:tabs>
          <w:tab w:val="left" w:pos="851"/>
        </w:tabs>
        <w:ind w:left="851"/>
        <w:rPr>
          <w:sz w:val="24"/>
          <w:szCs w:val="24"/>
          <w:lang w:bidi="da-DK"/>
        </w:rPr>
      </w:pPr>
      <w:r w:rsidRPr="00E86EBD">
        <w:rPr>
          <w:sz w:val="24"/>
          <w:szCs w:val="24"/>
          <w:lang w:bidi="da-DK"/>
        </w:rPr>
        <w:t>Teoretisk osmolaritet: 1.020 mOsm/l</w:t>
      </w:r>
      <w:r>
        <w:rPr>
          <w:sz w:val="24"/>
          <w:szCs w:val="24"/>
          <w:lang w:bidi="da-DK"/>
        </w:rPr>
        <w:t>.</w:t>
      </w:r>
    </w:p>
    <w:p w14:paraId="38932BB7" w14:textId="77777777" w:rsidR="00E86EBD" w:rsidRPr="00E86EBD" w:rsidRDefault="00E86EBD" w:rsidP="00E86EBD">
      <w:pPr>
        <w:tabs>
          <w:tab w:val="left" w:pos="851"/>
        </w:tabs>
        <w:ind w:left="851"/>
        <w:rPr>
          <w:sz w:val="24"/>
          <w:szCs w:val="24"/>
          <w:lang w:bidi="da-DK"/>
        </w:rPr>
      </w:pPr>
      <w:r w:rsidRPr="00E86EBD">
        <w:rPr>
          <w:sz w:val="24"/>
          <w:szCs w:val="24"/>
          <w:lang w:bidi="da-DK"/>
        </w:rPr>
        <w:t>pH ≈ 5,5</w:t>
      </w:r>
      <w:r w:rsidRPr="00E86EBD">
        <w:rPr>
          <w:sz w:val="24"/>
          <w:szCs w:val="24"/>
          <w:lang w:bidi="da-DK"/>
        </w:rPr>
        <w:noBreakHyphen/>
        <w:t>7,5</w:t>
      </w:r>
      <w:r>
        <w:rPr>
          <w:sz w:val="24"/>
          <w:szCs w:val="24"/>
          <w:lang w:bidi="da-DK"/>
        </w:rPr>
        <w:t>.</w:t>
      </w:r>
    </w:p>
    <w:p w14:paraId="0100DBCF" w14:textId="77777777" w:rsidR="009260DE" w:rsidRPr="00C84483" w:rsidRDefault="009260DE" w:rsidP="009260DE">
      <w:pPr>
        <w:tabs>
          <w:tab w:val="left" w:pos="851"/>
        </w:tabs>
        <w:ind w:left="851"/>
        <w:rPr>
          <w:sz w:val="24"/>
          <w:szCs w:val="24"/>
        </w:rPr>
      </w:pPr>
    </w:p>
    <w:p w14:paraId="18FD3CE3" w14:textId="77777777" w:rsidR="009260DE" w:rsidRPr="00C84483" w:rsidRDefault="009260DE" w:rsidP="009260DE">
      <w:pPr>
        <w:tabs>
          <w:tab w:val="left" w:pos="851"/>
        </w:tabs>
        <w:ind w:left="851"/>
        <w:rPr>
          <w:sz w:val="24"/>
          <w:szCs w:val="24"/>
        </w:rPr>
      </w:pPr>
    </w:p>
    <w:p w14:paraId="46159C2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61407F4" w14:textId="77777777" w:rsidR="009260DE" w:rsidRPr="00C84483" w:rsidRDefault="009260DE" w:rsidP="009260DE">
      <w:pPr>
        <w:tabs>
          <w:tab w:val="left" w:pos="851"/>
        </w:tabs>
        <w:ind w:left="851"/>
        <w:rPr>
          <w:b/>
          <w:sz w:val="24"/>
          <w:szCs w:val="24"/>
        </w:rPr>
      </w:pPr>
    </w:p>
    <w:p w14:paraId="0981E8F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7D336F4" w14:textId="77777777" w:rsidR="00E86EBD" w:rsidRPr="00E86EBD" w:rsidRDefault="00E86EBD" w:rsidP="00E86EBD">
      <w:pPr>
        <w:tabs>
          <w:tab w:val="left" w:pos="851"/>
        </w:tabs>
        <w:ind w:left="851"/>
        <w:rPr>
          <w:sz w:val="24"/>
          <w:szCs w:val="24"/>
          <w:lang w:bidi="da-DK"/>
        </w:rPr>
      </w:pPr>
      <w:bookmarkStart w:id="1" w:name="_Hlk178188442"/>
      <w:r w:rsidRPr="00E86EBD">
        <w:rPr>
          <w:sz w:val="24"/>
          <w:szCs w:val="24"/>
          <w:lang w:bidi="da-DK"/>
        </w:rPr>
        <w:t>Icalziss er indiceret til calciumerstatning under ekstrakorporal behandling med regional citratantikoagulation (RCA), der gives under kontinuerlig nyresubstitutionsterapi (CRRT) og terapeutisk plasmaudskiftning (TPE), enten som enkeltbehandling eller i kombinationsbehandling.</w:t>
      </w:r>
    </w:p>
    <w:bookmarkEnd w:id="1"/>
    <w:p w14:paraId="5CF005B5" w14:textId="77777777" w:rsidR="00E86EBD" w:rsidRPr="00E86EBD" w:rsidRDefault="00E86EBD" w:rsidP="00E86EBD">
      <w:pPr>
        <w:tabs>
          <w:tab w:val="left" w:pos="851"/>
        </w:tabs>
        <w:ind w:left="851"/>
        <w:rPr>
          <w:sz w:val="24"/>
          <w:szCs w:val="24"/>
          <w:lang w:bidi="da-DK"/>
        </w:rPr>
      </w:pPr>
    </w:p>
    <w:p w14:paraId="7F17CD23" w14:textId="77777777" w:rsidR="00E86EBD" w:rsidRPr="00E86EBD" w:rsidRDefault="00E86EBD" w:rsidP="00E86EBD">
      <w:pPr>
        <w:tabs>
          <w:tab w:val="left" w:pos="851"/>
        </w:tabs>
        <w:ind w:left="851"/>
        <w:rPr>
          <w:sz w:val="24"/>
          <w:szCs w:val="24"/>
          <w:lang w:bidi="da-DK"/>
        </w:rPr>
      </w:pPr>
      <w:r w:rsidRPr="00E86EBD">
        <w:rPr>
          <w:sz w:val="24"/>
          <w:szCs w:val="24"/>
          <w:lang w:bidi="da-DK"/>
        </w:rPr>
        <w:t>Icalziss er indiceret til voksne og børn i alle aldre (over 8 kg).</w:t>
      </w:r>
    </w:p>
    <w:p w14:paraId="4F25B67E" w14:textId="77777777" w:rsidR="00E86EBD" w:rsidRDefault="00E86EBD">
      <w:pPr>
        <w:rPr>
          <w:sz w:val="24"/>
          <w:szCs w:val="24"/>
          <w:lang w:bidi="da-DK"/>
        </w:rPr>
      </w:pPr>
      <w:r>
        <w:rPr>
          <w:sz w:val="24"/>
          <w:szCs w:val="24"/>
          <w:lang w:bidi="da-DK"/>
        </w:rPr>
        <w:br w:type="page"/>
      </w:r>
    </w:p>
    <w:p w14:paraId="74D6E67F" w14:textId="77777777" w:rsidR="00E86EBD" w:rsidRPr="00E86EBD" w:rsidRDefault="00E86EBD" w:rsidP="00E86EBD">
      <w:pPr>
        <w:tabs>
          <w:tab w:val="left" w:pos="851"/>
        </w:tabs>
        <w:ind w:left="851"/>
        <w:rPr>
          <w:sz w:val="24"/>
          <w:szCs w:val="24"/>
          <w:lang w:bidi="da-DK"/>
        </w:rPr>
      </w:pPr>
    </w:p>
    <w:p w14:paraId="73559776"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867BA4D" w14:textId="77777777" w:rsidR="00CB4692" w:rsidRPr="00CB4692" w:rsidRDefault="00CB4692" w:rsidP="00CB4692">
      <w:pPr>
        <w:tabs>
          <w:tab w:val="left" w:pos="851"/>
        </w:tabs>
        <w:ind w:left="851"/>
        <w:rPr>
          <w:sz w:val="24"/>
          <w:szCs w:val="24"/>
          <w:lang w:bidi="da-DK"/>
        </w:rPr>
      </w:pPr>
      <w:r w:rsidRPr="00CB4692">
        <w:rPr>
          <w:sz w:val="24"/>
          <w:szCs w:val="24"/>
          <w:lang w:bidi="da-DK"/>
        </w:rPr>
        <w:t>Vægtgrænsen på &gt;8 kg i indikationen skyldes ikke lægemidlets karakteristika for sikkerhed og virkning, men er baseret på karakteristika for de monitoreringsanordninger, som tilbydes af indehaveren af markedsføringstilladelsen.</w:t>
      </w:r>
    </w:p>
    <w:p w14:paraId="6E630565" w14:textId="77777777" w:rsidR="00CB4692" w:rsidRPr="00CB4692" w:rsidRDefault="00CB4692" w:rsidP="00CB4692">
      <w:pPr>
        <w:tabs>
          <w:tab w:val="left" w:pos="851"/>
        </w:tabs>
        <w:ind w:left="851"/>
        <w:rPr>
          <w:sz w:val="24"/>
          <w:szCs w:val="24"/>
          <w:u w:val="single"/>
          <w:lang w:bidi="da-DK"/>
        </w:rPr>
      </w:pPr>
    </w:p>
    <w:p w14:paraId="67D2E355" w14:textId="77777777" w:rsidR="00CB4692" w:rsidRPr="00CB4692" w:rsidRDefault="00CB4692" w:rsidP="00CB4692">
      <w:pPr>
        <w:tabs>
          <w:tab w:val="left" w:pos="851"/>
        </w:tabs>
        <w:ind w:left="851"/>
        <w:rPr>
          <w:sz w:val="24"/>
          <w:szCs w:val="24"/>
          <w:u w:val="single"/>
          <w:lang w:bidi="da-DK"/>
        </w:rPr>
      </w:pPr>
      <w:r w:rsidRPr="00CB4692">
        <w:rPr>
          <w:sz w:val="24"/>
          <w:szCs w:val="24"/>
          <w:u w:val="single"/>
          <w:lang w:bidi="da-DK"/>
        </w:rPr>
        <w:t>Dosering</w:t>
      </w:r>
    </w:p>
    <w:p w14:paraId="569D7294" w14:textId="77777777" w:rsidR="00CB4692" w:rsidRPr="00CB4692" w:rsidRDefault="00CB4692" w:rsidP="00CB4692">
      <w:pPr>
        <w:tabs>
          <w:tab w:val="left" w:pos="851"/>
        </w:tabs>
        <w:ind w:left="851"/>
        <w:rPr>
          <w:sz w:val="24"/>
          <w:szCs w:val="24"/>
          <w:lang w:bidi="da-DK"/>
        </w:rPr>
      </w:pPr>
      <w:r w:rsidRPr="00CB4692">
        <w:rPr>
          <w:sz w:val="24"/>
          <w:szCs w:val="24"/>
          <w:lang w:bidi="da-DK"/>
        </w:rPr>
        <w:t xml:space="preserve">Icalziss skal administreres som ordineret af en læge med erfaring i citratantikoagulation til specifik behandling med CRRT og/eller TPE. </w:t>
      </w:r>
    </w:p>
    <w:p w14:paraId="71417E0A" w14:textId="77777777" w:rsidR="00CB4692" w:rsidRPr="00CB4692" w:rsidRDefault="00CB4692" w:rsidP="00CB4692">
      <w:pPr>
        <w:tabs>
          <w:tab w:val="left" w:pos="851"/>
        </w:tabs>
        <w:ind w:left="851"/>
        <w:rPr>
          <w:sz w:val="24"/>
          <w:szCs w:val="24"/>
          <w:lang w:bidi="da-DK"/>
        </w:rPr>
      </w:pPr>
    </w:p>
    <w:p w14:paraId="788D4382" w14:textId="77777777" w:rsidR="00CB4692" w:rsidRPr="00CB4692" w:rsidRDefault="00CB4692" w:rsidP="00CB4692">
      <w:pPr>
        <w:tabs>
          <w:tab w:val="left" w:pos="851"/>
        </w:tabs>
        <w:ind w:left="851"/>
        <w:rPr>
          <w:sz w:val="24"/>
          <w:szCs w:val="24"/>
          <w:lang w:bidi="da-DK"/>
        </w:rPr>
      </w:pPr>
      <w:r w:rsidRPr="00CB4692">
        <w:rPr>
          <w:sz w:val="24"/>
          <w:szCs w:val="24"/>
          <w:lang w:bidi="da-DK"/>
        </w:rPr>
        <w:t>Icalziss anvendes som en calciumerstatningsopløsning og skal administreres via et separat centralt venekateter eller via tilbageløbsslangen til det ekstrakorporale blodkredsløb.</w:t>
      </w:r>
    </w:p>
    <w:p w14:paraId="5E63D86C" w14:textId="77777777" w:rsidR="00CB4692" w:rsidRPr="00CB4692" w:rsidRDefault="00CB4692" w:rsidP="00CB4692">
      <w:pPr>
        <w:tabs>
          <w:tab w:val="left" w:pos="851"/>
        </w:tabs>
        <w:ind w:left="851"/>
        <w:rPr>
          <w:sz w:val="24"/>
          <w:szCs w:val="24"/>
          <w:lang w:bidi="da-DK"/>
        </w:rPr>
      </w:pPr>
    </w:p>
    <w:p w14:paraId="37728D5D" w14:textId="77777777" w:rsidR="00CB4692" w:rsidRPr="00CB4692" w:rsidRDefault="00CB4692" w:rsidP="00CB4692">
      <w:pPr>
        <w:tabs>
          <w:tab w:val="left" w:pos="851"/>
        </w:tabs>
        <w:ind w:left="851"/>
        <w:rPr>
          <w:sz w:val="24"/>
          <w:szCs w:val="24"/>
          <w:lang w:bidi="da-DK"/>
        </w:rPr>
      </w:pPr>
      <w:r w:rsidRPr="00CB4692">
        <w:rPr>
          <w:sz w:val="24"/>
          <w:szCs w:val="24"/>
          <w:lang w:bidi="da-DK"/>
        </w:rPr>
        <w:t>Der må ikke tilføjes supplerende medicin.</w:t>
      </w:r>
    </w:p>
    <w:p w14:paraId="40A5F25D" w14:textId="77777777" w:rsidR="00CB4692" w:rsidRPr="00CB4692" w:rsidRDefault="00CB4692" w:rsidP="00CB4692">
      <w:pPr>
        <w:tabs>
          <w:tab w:val="left" w:pos="851"/>
        </w:tabs>
        <w:ind w:left="851"/>
        <w:rPr>
          <w:sz w:val="24"/>
          <w:szCs w:val="24"/>
          <w:lang w:bidi="da-DK"/>
        </w:rPr>
      </w:pPr>
    </w:p>
    <w:p w14:paraId="394FC1DC" w14:textId="77777777" w:rsidR="00CB4692" w:rsidRPr="00CB4692" w:rsidRDefault="00CB4692" w:rsidP="00CB4692">
      <w:pPr>
        <w:tabs>
          <w:tab w:val="left" w:pos="851"/>
        </w:tabs>
        <w:ind w:left="851"/>
        <w:rPr>
          <w:sz w:val="24"/>
          <w:szCs w:val="24"/>
          <w:lang w:bidi="da-DK"/>
        </w:rPr>
      </w:pPr>
      <w:r w:rsidRPr="00CB4692">
        <w:rPr>
          <w:sz w:val="24"/>
          <w:szCs w:val="24"/>
          <w:lang w:bidi="da-DK"/>
        </w:rPr>
        <w:t>Administrationshastigheden skal justeres for at bibeholde de systemiske niveauer af ioniseret calcium inden for det normale fysiologiske interval på 1,0</w:t>
      </w:r>
      <w:r w:rsidRPr="00CB4692">
        <w:rPr>
          <w:sz w:val="24"/>
          <w:szCs w:val="24"/>
          <w:lang w:bidi="da-DK"/>
        </w:rPr>
        <w:noBreakHyphen/>
        <w:t>1,3 mmol/l for at undgå komplikationer forbundet med hypocalcæmi eller hypercalcæmi. Det systemiske niveau af ioniseret calcium må ikke falde til under 0,9 mmol/l.</w:t>
      </w:r>
    </w:p>
    <w:p w14:paraId="43CCFA3A" w14:textId="77777777" w:rsidR="00CB4692" w:rsidRPr="00CB4692" w:rsidRDefault="00CB4692" w:rsidP="00CB4692">
      <w:pPr>
        <w:tabs>
          <w:tab w:val="left" w:pos="851"/>
        </w:tabs>
        <w:ind w:left="851"/>
        <w:rPr>
          <w:sz w:val="24"/>
          <w:szCs w:val="24"/>
          <w:lang w:bidi="da-DK"/>
        </w:rPr>
      </w:pPr>
    </w:p>
    <w:p w14:paraId="29A84CBA" w14:textId="77777777" w:rsidR="00CB4692" w:rsidRPr="00CB4692" w:rsidRDefault="00CB4692" w:rsidP="00CB4692">
      <w:pPr>
        <w:tabs>
          <w:tab w:val="left" w:pos="851"/>
        </w:tabs>
        <w:ind w:left="851"/>
        <w:rPr>
          <w:sz w:val="24"/>
          <w:szCs w:val="24"/>
          <w:lang w:bidi="da-DK"/>
        </w:rPr>
      </w:pPr>
      <w:r w:rsidRPr="00CB4692">
        <w:rPr>
          <w:sz w:val="24"/>
          <w:szCs w:val="24"/>
          <w:lang w:bidi="da-DK"/>
        </w:rPr>
        <w:t>Monitorering af det ioniserede calcium (iCa) i blodet efter filtrering, det systemiske iCa i blodet og det totale calciumniveau i blodet, sammen med andre laboratorieparametre og kliniske parametre, er nødvendig for at finde den korrekte dosis af Icalziss baseret på det ønskede niveau af antikoagulation under ekstrakorporal behandling med RCA.</w:t>
      </w:r>
    </w:p>
    <w:p w14:paraId="38944440" w14:textId="77777777" w:rsidR="00CB4692" w:rsidRPr="00CB4692" w:rsidRDefault="00CB4692" w:rsidP="00CB4692">
      <w:pPr>
        <w:tabs>
          <w:tab w:val="left" w:pos="851"/>
        </w:tabs>
        <w:ind w:left="851"/>
        <w:rPr>
          <w:sz w:val="24"/>
          <w:szCs w:val="24"/>
          <w:lang w:bidi="da-DK"/>
        </w:rPr>
      </w:pPr>
    </w:p>
    <w:p w14:paraId="2B0B2C6F" w14:textId="77777777" w:rsidR="00CB4692" w:rsidRPr="00CB4692" w:rsidRDefault="00CB4692" w:rsidP="00CB4692">
      <w:pPr>
        <w:tabs>
          <w:tab w:val="left" w:pos="851"/>
        </w:tabs>
        <w:ind w:left="851"/>
        <w:rPr>
          <w:sz w:val="24"/>
          <w:szCs w:val="24"/>
          <w:lang w:bidi="da-DK"/>
        </w:rPr>
      </w:pPr>
      <w:r w:rsidRPr="00CB4692">
        <w:rPr>
          <w:sz w:val="24"/>
          <w:szCs w:val="24"/>
          <w:lang w:bidi="da-DK"/>
        </w:rPr>
        <w:t>De systemiske niveauer af ioniseret calcium skal evalueres ved baseline, i løbet af den første time efter behandlingsstart eller dosisjustering, indtil de er stabile, og derefter mindst hver 6. time. Det anbefales, at de totale systemiske calciumniveauer kontrolleres hver 12. til 24. time.</w:t>
      </w:r>
    </w:p>
    <w:p w14:paraId="66B4685A" w14:textId="77777777" w:rsidR="00CB4692" w:rsidRPr="00CB4692" w:rsidRDefault="00CB4692" w:rsidP="00CB4692">
      <w:pPr>
        <w:tabs>
          <w:tab w:val="left" w:pos="851"/>
        </w:tabs>
        <w:ind w:left="851"/>
        <w:rPr>
          <w:sz w:val="24"/>
          <w:szCs w:val="24"/>
          <w:lang w:bidi="da-DK"/>
        </w:rPr>
      </w:pPr>
    </w:p>
    <w:p w14:paraId="32143038" w14:textId="77777777" w:rsidR="00CB4692" w:rsidRPr="00CB4692" w:rsidRDefault="00CB4692" w:rsidP="00CB4692">
      <w:pPr>
        <w:tabs>
          <w:tab w:val="left" w:pos="851"/>
        </w:tabs>
        <w:ind w:left="851"/>
        <w:rPr>
          <w:sz w:val="24"/>
          <w:szCs w:val="24"/>
          <w:lang w:bidi="da-DK"/>
        </w:rPr>
      </w:pPr>
      <w:r w:rsidRPr="00CB4692">
        <w:rPr>
          <w:sz w:val="24"/>
          <w:szCs w:val="24"/>
          <w:lang w:bidi="da-DK"/>
        </w:rPr>
        <w:t>Mængden af calciumchlorid, der kræves for at bibeholde de systemiske niveauer af ioniseret calcium inden for det ønskede interval, afhænger af en række faktorer, såsom:</w:t>
      </w:r>
    </w:p>
    <w:p w14:paraId="204C49A4" w14:textId="77777777" w:rsidR="00CB4692" w:rsidRPr="00CB4692" w:rsidRDefault="00CB4692" w:rsidP="00CB4692">
      <w:pPr>
        <w:numPr>
          <w:ilvl w:val="0"/>
          <w:numId w:val="6"/>
        </w:numPr>
        <w:tabs>
          <w:tab w:val="left" w:pos="851"/>
        </w:tabs>
        <w:ind w:left="1134" w:hanging="283"/>
        <w:rPr>
          <w:sz w:val="24"/>
          <w:szCs w:val="24"/>
          <w:lang w:bidi="da-DK"/>
        </w:rPr>
      </w:pPr>
      <w:r w:rsidRPr="00CB4692">
        <w:rPr>
          <w:sz w:val="24"/>
          <w:szCs w:val="24"/>
          <w:lang w:bidi="da-DK"/>
        </w:rPr>
        <w:t>Mængden af calcium, der kræves for at kompensere for virkningerne af citrat, der kommer ind i det systemiske kredsløb, og patientens citratmetabolisme</w:t>
      </w:r>
    </w:p>
    <w:p w14:paraId="29B1CC21" w14:textId="77777777" w:rsidR="00CB4692" w:rsidRPr="00CB4692" w:rsidRDefault="00CB4692" w:rsidP="00CB4692">
      <w:pPr>
        <w:numPr>
          <w:ilvl w:val="0"/>
          <w:numId w:val="6"/>
        </w:numPr>
        <w:tabs>
          <w:tab w:val="left" w:pos="851"/>
        </w:tabs>
        <w:ind w:left="1134" w:hanging="283"/>
        <w:rPr>
          <w:sz w:val="24"/>
          <w:szCs w:val="24"/>
          <w:lang w:bidi="da-DK"/>
        </w:rPr>
      </w:pPr>
      <w:r w:rsidRPr="00CB4692">
        <w:rPr>
          <w:sz w:val="24"/>
          <w:szCs w:val="24"/>
          <w:lang w:bidi="da-DK"/>
        </w:rPr>
        <w:t>Calciumkoncentrationen i erstatningsvæsken</w:t>
      </w:r>
    </w:p>
    <w:p w14:paraId="24F0E6A1" w14:textId="77777777" w:rsidR="00CB4692" w:rsidRPr="00CB4692" w:rsidRDefault="00CB4692" w:rsidP="00CB4692">
      <w:pPr>
        <w:numPr>
          <w:ilvl w:val="0"/>
          <w:numId w:val="6"/>
        </w:numPr>
        <w:tabs>
          <w:tab w:val="left" w:pos="851"/>
        </w:tabs>
        <w:ind w:left="1134" w:hanging="283"/>
        <w:rPr>
          <w:sz w:val="24"/>
          <w:szCs w:val="24"/>
          <w:lang w:bidi="da-DK"/>
        </w:rPr>
      </w:pPr>
      <w:r w:rsidRPr="00CB4692">
        <w:rPr>
          <w:sz w:val="24"/>
          <w:szCs w:val="24"/>
          <w:lang w:bidi="da-DK"/>
        </w:rPr>
        <w:t>Eventuelt tilstedeværende calcium i andre lægemidler/infusioner, som patienten tager (f.eks. calcium i total parenteral ernæring)</w:t>
      </w:r>
    </w:p>
    <w:p w14:paraId="48CC83C2" w14:textId="77777777" w:rsidR="00CB4692" w:rsidRPr="00CB4692" w:rsidRDefault="00CB4692" w:rsidP="00CB4692">
      <w:pPr>
        <w:numPr>
          <w:ilvl w:val="0"/>
          <w:numId w:val="6"/>
        </w:numPr>
        <w:tabs>
          <w:tab w:val="left" w:pos="851"/>
        </w:tabs>
        <w:ind w:left="1134" w:hanging="283"/>
        <w:rPr>
          <w:sz w:val="24"/>
          <w:szCs w:val="24"/>
          <w:lang w:bidi="da-DK"/>
        </w:rPr>
      </w:pPr>
      <w:r w:rsidRPr="00CB4692">
        <w:rPr>
          <w:sz w:val="24"/>
          <w:szCs w:val="24"/>
          <w:lang w:bidi="da-DK"/>
        </w:rPr>
        <w:t>Enhver påtænkt ændring af den systemiske calciumkoncentration ved baseline</w:t>
      </w:r>
    </w:p>
    <w:p w14:paraId="68E77813" w14:textId="77777777" w:rsidR="00CB4692" w:rsidRPr="00CB4692" w:rsidRDefault="00CB4692" w:rsidP="00CB4692">
      <w:pPr>
        <w:numPr>
          <w:ilvl w:val="0"/>
          <w:numId w:val="6"/>
        </w:numPr>
        <w:tabs>
          <w:tab w:val="left" w:pos="851"/>
        </w:tabs>
        <w:ind w:left="1134" w:hanging="283"/>
        <w:rPr>
          <w:sz w:val="24"/>
          <w:szCs w:val="24"/>
          <w:lang w:bidi="da-DK"/>
        </w:rPr>
      </w:pPr>
      <w:r w:rsidRPr="00CB4692">
        <w:rPr>
          <w:sz w:val="24"/>
          <w:szCs w:val="24"/>
          <w:lang w:bidi="da-DK"/>
        </w:rPr>
        <w:t>Enhver indvirkning på patientens koncentration af ioniseret calcium ved andre medicinske indgreb (f.eks. kemoterapi, strålebehandling)</w:t>
      </w:r>
    </w:p>
    <w:p w14:paraId="12F65F80" w14:textId="77777777" w:rsidR="00CB4692" w:rsidRPr="00CB4692" w:rsidRDefault="00CB4692" w:rsidP="00CB4692">
      <w:pPr>
        <w:numPr>
          <w:ilvl w:val="0"/>
          <w:numId w:val="6"/>
        </w:numPr>
        <w:tabs>
          <w:tab w:val="left" w:pos="851"/>
        </w:tabs>
        <w:ind w:left="1134" w:hanging="283"/>
        <w:rPr>
          <w:sz w:val="24"/>
          <w:szCs w:val="24"/>
          <w:lang w:bidi="da-DK"/>
        </w:rPr>
      </w:pPr>
      <w:r w:rsidRPr="00CB4692">
        <w:rPr>
          <w:sz w:val="24"/>
          <w:szCs w:val="24"/>
          <w:lang w:bidi="da-DK"/>
        </w:rPr>
        <w:t>Andre sygdomstilstande, der kan disponere patienten for hypocalcæmi eller hypercalcæmi (f.eks. hypoparathyroidisme, hyperparathyroidisme, malignitet, leversvigt, rhabdomyolyse, svær pancreatitis, posttumorlyse og toksisk shock-syndromer)</w:t>
      </w:r>
    </w:p>
    <w:p w14:paraId="10BA68E0" w14:textId="77777777" w:rsidR="00CB4692" w:rsidRPr="00CB4692" w:rsidRDefault="00CB4692" w:rsidP="00CB4692">
      <w:pPr>
        <w:tabs>
          <w:tab w:val="left" w:pos="851"/>
        </w:tabs>
        <w:ind w:left="851"/>
        <w:rPr>
          <w:sz w:val="24"/>
          <w:szCs w:val="24"/>
          <w:lang w:bidi="da-DK"/>
        </w:rPr>
      </w:pPr>
    </w:p>
    <w:p w14:paraId="5A5615C4" w14:textId="77777777" w:rsidR="00CB4692" w:rsidRPr="00CB4692" w:rsidRDefault="00CB4692" w:rsidP="00CB4692">
      <w:pPr>
        <w:tabs>
          <w:tab w:val="left" w:pos="851"/>
        </w:tabs>
        <w:ind w:left="851"/>
        <w:rPr>
          <w:sz w:val="24"/>
          <w:szCs w:val="24"/>
          <w:lang w:bidi="da-DK"/>
        </w:rPr>
      </w:pPr>
      <w:r w:rsidRPr="00CB4692">
        <w:rPr>
          <w:sz w:val="24"/>
          <w:szCs w:val="24"/>
          <w:lang w:bidi="da-DK"/>
        </w:rPr>
        <w:t>Når den passende mængde calciumerstatning under CRRT skal bestemmes, skal flere faktorer tages i betragtning, såsom:</w:t>
      </w:r>
    </w:p>
    <w:p w14:paraId="6642CF06" w14:textId="77777777" w:rsidR="00CB4692" w:rsidRPr="00CB4692" w:rsidRDefault="00CB4692" w:rsidP="00CB4692">
      <w:pPr>
        <w:numPr>
          <w:ilvl w:val="0"/>
          <w:numId w:val="6"/>
        </w:numPr>
        <w:tabs>
          <w:tab w:val="left" w:pos="851"/>
        </w:tabs>
        <w:ind w:left="1134" w:hanging="283"/>
        <w:rPr>
          <w:sz w:val="24"/>
          <w:szCs w:val="24"/>
          <w:lang w:bidi="da-DK"/>
        </w:rPr>
      </w:pPr>
      <w:r w:rsidRPr="00CB4692">
        <w:rPr>
          <w:sz w:val="24"/>
          <w:szCs w:val="24"/>
          <w:lang w:bidi="da-DK"/>
        </w:rPr>
        <w:t>Den ordinerede flowhastighed, særligt udløbsvæskens flowhastighed</w:t>
      </w:r>
    </w:p>
    <w:p w14:paraId="2C0D13FD" w14:textId="77777777" w:rsidR="00CB4692" w:rsidRPr="00CB4692" w:rsidRDefault="00CB4692" w:rsidP="00CB4692">
      <w:pPr>
        <w:numPr>
          <w:ilvl w:val="0"/>
          <w:numId w:val="6"/>
        </w:numPr>
        <w:tabs>
          <w:tab w:val="left" w:pos="851"/>
        </w:tabs>
        <w:ind w:left="1134" w:hanging="283"/>
        <w:rPr>
          <w:sz w:val="24"/>
          <w:szCs w:val="24"/>
          <w:lang w:bidi="da-DK"/>
        </w:rPr>
      </w:pPr>
      <w:r w:rsidRPr="00CB4692">
        <w:rPr>
          <w:sz w:val="24"/>
          <w:szCs w:val="24"/>
          <w:lang w:bidi="da-DK"/>
        </w:rPr>
        <w:t>Overholdelse af en standardiseret protokol eller algoritme, som forenkler og letter ordinationen af calciumerstatning og hjælper med at mindske fejl og variation</w:t>
      </w:r>
    </w:p>
    <w:p w14:paraId="0CC49F97" w14:textId="77777777" w:rsidR="00CB4692" w:rsidRPr="00CB4692" w:rsidRDefault="00CB4692" w:rsidP="00CB4692">
      <w:pPr>
        <w:numPr>
          <w:ilvl w:val="0"/>
          <w:numId w:val="6"/>
        </w:numPr>
        <w:tabs>
          <w:tab w:val="left" w:pos="851"/>
        </w:tabs>
        <w:ind w:left="1134" w:hanging="283"/>
        <w:rPr>
          <w:sz w:val="24"/>
          <w:szCs w:val="24"/>
          <w:lang w:bidi="da-DK"/>
        </w:rPr>
      </w:pPr>
      <w:r w:rsidRPr="00CB4692">
        <w:rPr>
          <w:sz w:val="24"/>
          <w:szCs w:val="24"/>
          <w:lang w:bidi="da-DK"/>
        </w:rPr>
        <w:t>Filtermembranpermeabilitet for calcium og calcium-citrat-komplekser</w:t>
      </w:r>
    </w:p>
    <w:p w14:paraId="6E2B0CB0" w14:textId="77777777" w:rsidR="00CB4692" w:rsidRPr="00CB4692" w:rsidRDefault="00CB4692" w:rsidP="00CB4692">
      <w:pPr>
        <w:tabs>
          <w:tab w:val="left" w:pos="851"/>
        </w:tabs>
        <w:ind w:left="851"/>
        <w:rPr>
          <w:sz w:val="24"/>
          <w:szCs w:val="24"/>
          <w:lang w:bidi="da-DK"/>
        </w:rPr>
      </w:pPr>
    </w:p>
    <w:p w14:paraId="0492BBEB" w14:textId="77777777" w:rsidR="00CB4692" w:rsidRPr="00CB4692" w:rsidRDefault="00CB4692" w:rsidP="00CB4692">
      <w:pPr>
        <w:tabs>
          <w:tab w:val="left" w:pos="851"/>
        </w:tabs>
        <w:ind w:left="851"/>
        <w:rPr>
          <w:i/>
          <w:iCs/>
          <w:sz w:val="24"/>
          <w:szCs w:val="24"/>
          <w:lang w:bidi="da-DK"/>
        </w:rPr>
      </w:pPr>
      <w:r w:rsidRPr="00CB4692">
        <w:rPr>
          <w:i/>
          <w:iCs/>
          <w:sz w:val="24"/>
          <w:szCs w:val="24"/>
          <w:lang w:bidi="da-DK"/>
        </w:rPr>
        <w:t>Den voksne og den unge population:</w:t>
      </w:r>
    </w:p>
    <w:p w14:paraId="09F99B79" w14:textId="77777777" w:rsidR="00CB4692" w:rsidRPr="00CB4692" w:rsidRDefault="00CB4692" w:rsidP="00CB4692">
      <w:pPr>
        <w:tabs>
          <w:tab w:val="left" w:pos="851"/>
        </w:tabs>
        <w:ind w:left="851"/>
        <w:rPr>
          <w:sz w:val="24"/>
          <w:szCs w:val="24"/>
          <w:lang w:bidi="da-DK"/>
        </w:rPr>
      </w:pPr>
      <w:r w:rsidRPr="00CB4692">
        <w:rPr>
          <w:sz w:val="24"/>
          <w:szCs w:val="24"/>
          <w:lang w:bidi="da-DK"/>
        </w:rPr>
        <w:t>Ved RCA-CRRT er en typisk calciumdosis 1,7 mmol pr. liter udløbsvolumen (4</w:t>
      </w:r>
      <w:r w:rsidRPr="00CB4692">
        <w:rPr>
          <w:sz w:val="24"/>
          <w:szCs w:val="24"/>
          <w:lang w:bidi="da-DK"/>
        </w:rPr>
        <w:noBreakHyphen/>
        <w:t>6 mmol/time) for voksne og unge.</w:t>
      </w:r>
    </w:p>
    <w:p w14:paraId="47CE17B2" w14:textId="77777777" w:rsidR="00CB4692" w:rsidRPr="00CB4692" w:rsidRDefault="00CB4692" w:rsidP="00CB4692">
      <w:pPr>
        <w:tabs>
          <w:tab w:val="left" w:pos="851"/>
        </w:tabs>
        <w:ind w:left="851"/>
        <w:rPr>
          <w:sz w:val="24"/>
          <w:szCs w:val="24"/>
          <w:lang w:bidi="da-DK"/>
        </w:rPr>
      </w:pPr>
    </w:p>
    <w:p w14:paraId="486FDDFB" w14:textId="77777777" w:rsidR="00CB4692" w:rsidRPr="00CB4692" w:rsidRDefault="00CB4692" w:rsidP="00CB4692">
      <w:pPr>
        <w:tabs>
          <w:tab w:val="left" w:pos="851"/>
        </w:tabs>
        <w:ind w:left="851"/>
        <w:rPr>
          <w:sz w:val="24"/>
          <w:szCs w:val="24"/>
          <w:lang w:bidi="da-DK"/>
        </w:rPr>
      </w:pPr>
      <w:r w:rsidRPr="00CB4692">
        <w:rPr>
          <w:sz w:val="24"/>
          <w:szCs w:val="24"/>
          <w:lang w:bidi="da-DK"/>
        </w:rPr>
        <w:t>En maksimal dosis på 340 mmol calcium om dagen anbefales, hvilket svarer til 1 l Icalziss. Icalziss er ikke beregnet til kronisk brug.</w:t>
      </w:r>
    </w:p>
    <w:p w14:paraId="06A3C99E" w14:textId="77777777" w:rsidR="00CB4692" w:rsidRPr="00CB4692" w:rsidRDefault="00CB4692" w:rsidP="00CB4692">
      <w:pPr>
        <w:tabs>
          <w:tab w:val="left" w:pos="851"/>
        </w:tabs>
        <w:ind w:left="851"/>
        <w:rPr>
          <w:i/>
          <w:iCs/>
          <w:sz w:val="24"/>
          <w:szCs w:val="24"/>
          <w:lang w:bidi="da-DK"/>
        </w:rPr>
      </w:pPr>
    </w:p>
    <w:p w14:paraId="547A674C" w14:textId="77777777" w:rsidR="00CB4692" w:rsidRPr="00CB4692" w:rsidRDefault="00CB4692" w:rsidP="00CB4692">
      <w:pPr>
        <w:tabs>
          <w:tab w:val="left" w:pos="851"/>
        </w:tabs>
        <w:ind w:left="851"/>
        <w:rPr>
          <w:i/>
          <w:iCs/>
          <w:sz w:val="24"/>
          <w:szCs w:val="24"/>
          <w:lang w:bidi="da-DK"/>
        </w:rPr>
      </w:pPr>
      <w:r w:rsidRPr="00CB4692">
        <w:rPr>
          <w:i/>
          <w:iCs/>
          <w:sz w:val="24"/>
          <w:szCs w:val="24"/>
          <w:lang w:bidi="da-DK"/>
        </w:rPr>
        <w:t>Pædiatrisk population:</w:t>
      </w:r>
    </w:p>
    <w:p w14:paraId="187EC5AD" w14:textId="77777777" w:rsidR="00CB4692" w:rsidRPr="00CB4692" w:rsidRDefault="00CB4692" w:rsidP="00CB4692">
      <w:pPr>
        <w:tabs>
          <w:tab w:val="left" w:pos="851"/>
        </w:tabs>
        <w:ind w:left="851"/>
        <w:rPr>
          <w:sz w:val="24"/>
          <w:szCs w:val="24"/>
          <w:lang w:bidi="da-DK"/>
        </w:rPr>
      </w:pPr>
      <w:bookmarkStart w:id="2" w:name="_Hlk102560082"/>
      <w:r w:rsidRPr="00CB4692">
        <w:rPr>
          <w:sz w:val="24"/>
          <w:szCs w:val="24"/>
          <w:lang w:bidi="da-DK"/>
        </w:rPr>
        <w:t>Den anbefalede dosis af Icalziss til nyfødte og børn (0 til 11 år og over 8 kg) svarer til dosis for voksne og unge.</w:t>
      </w:r>
    </w:p>
    <w:p w14:paraId="52722CD4" w14:textId="77777777" w:rsidR="00CB4692" w:rsidRPr="00CB4692" w:rsidRDefault="00CB4692" w:rsidP="00CB4692">
      <w:pPr>
        <w:tabs>
          <w:tab w:val="left" w:pos="851"/>
        </w:tabs>
        <w:ind w:left="851"/>
        <w:rPr>
          <w:sz w:val="24"/>
          <w:szCs w:val="24"/>
          <w:lang w:bidi="da-DK"/>
        </w:rPr>
      </w:pPr>
    </w:p>
    <w:p w14:paraId="012E9697" w14:textId="77777777" w:rsidR="00CB4692" w:rsidRPr="00CB4692" w:rsidRDefault="00CB4692" w:rsidP="00CB4692">
      <w:pPr>
        <w:tabs>
          <w:tab w:val="left" w:pos="851"/>
        </w:tabs>
        <w:ind w:left="851"/>
        <w:rPr>
          <w:sz w:val="24"/>
          <w:szCs w:val="24"/>
          <w:lang w:bidi="da-DK"/>
        </w:rPr>
      </w:pPr>
      <w:r w:rsidRPr="00CB4692">
        <w:rPr>
          <w:sz w:val="24"/>
          <w:szCs w:val="24"/>
          <w:lang w:bidi="da-DK"/>
        </w:rPr>
        <w:t>Den maksimale calciuminfusionshastighed pr. time i forhold til kropsvægt er 0,3 mmol/time/kg, hvilket svarer til en maksimal volumen-infusionshastighed pr. time på 0,88 ml/time/kg. På grund af det generelt lavere ordinerede udløbsflow hos børn vil der være tilsvarende lavere absolut flow af Icalziss. Protokoller udviklet til de mindste aldersgrupper skal udformes omhyggeligt ud fra konteksten for de lokale faciliteter.</w:t>
      </w:r>
    </w:p>
    <w:bookmarkEnd w:id="2"/>
    <w:p w14:paraId="7353BC99" w14:textId="77777777" w:rsidR="00CB4692" w:rsidRPr="00CB4692" w:rsidRDefault="00CB4692" w:rsidP="00CB4692">
      <w:pPr>
        <w:tabs>
          <w:tab w:val="left" w:pos="851"/>
        </w:tabs>
        <w:ind w:left="851"/>
        <w:rPr>
          <w:sz w:val="24"/>
          <w:szCs w:val="24"/>
          <w:lang w:bidi="da-DK"/>
        </w:rPr>
      </w:pPr>
    </w:p>
    <w:p w14:paraId="6E773E0E" w14:textId="77777777" w:rsidR="00CB4692" w:rsidRPr="00CB4692" w:rsidRDefault="00CB4692" w:rsidP="00CB4692">
      <w:pPr>
        <w:tabs>
          <w:tab w:val="left" w:pos="851"/>
        </w:tabs>
        <w:ind w:left="851"/>
        <w:rPr>
          <w:sz w:val="24"/>
          <w:szCs w:val="24"/>
          <w:u w:val="single"/>
          <w:lang w:bidi="da-DK"/>
        </w:rPr>
      </w:pPr>
      <w:r w:rsidRPr="00CB4692">
        <w:rPr>
          <w:sz w:val="24"/>
          <w:szCs w:val="24"/>
          <w:u w:val="single"/>
          <w:lang w:bidi="da-DK"/>
        </w:rPr>
        <w:t>Administration</w:t>
      </w:r>
    </w:p>
    <w:p w14:paraId="3079909E" w14:textId="77777777" w:rsidR="00CB4692" w:rsidRPr="00CB4692" w:rsidRDefault="00CB4692" w:rsidP="00CB4692">
      <w:pPr>
        <w:tabs>
          <w:tab w:val="left" w:pos="851"/>
        </w:tabs>
        <w:ind w:left="851"/>
        <w:rPr>
          <w:sz w:val="24"/>
          <w:szCs w:val="24"/>
          <w:lang w:bidi="da-DK"/>
        </w:rPr>
      </w:pPr>
      <w:r w:rsidRPr="00CB4692">
        <w:rPr>
          <w:sz w:val="24"/>
          <w:szCs w:val="24"/>
          <w:lang w:bidi="da-DK"/>
        </w:rPr>
        <w:t xml:space="preserve">Juster eller stop calciuminfusionen i henhold til lægens ordination, når citratantikoagulationen er stoppet. </w:t>
      </w:r>
    </w:p>
    <w:p w14:paraId="42ADD331" w14:textId="77777777" w:rsidR="00CB4692" w:rsidRPr="00CB4692" w:rsidRDefault="00CB4692" w:rsidP="00CB4692">
      <w:pPr>
        <w:tabs>
          <w:tab w:val="left" w:pos="851"/>
        </w:tabs>
        <w:ind w:left="851"/>
        <w:rPr>
          <w:sz w:val="24"/>
          <w:szCs w:val="24"/>
          <w:lang w:bidi="da-DK"/>
        </w:rPr>
      </w:pPr>
    </w:p>
    <w:p w14:paraId="218BD7D1" w14:textId="77777777" w:rsidR="00CB4692" w:rsidRPr="00CB4692" w:rsidRDefault="00CB4692" w:rsidP="00CB4692">
      <w:pPr>
        <w:tabs>
          <w:tab w:val="left" w:pos="851"/>
        </w:tabs>
        <w:ind w:left="851"/>
        <w:rPr>
          <w:sz w:val="24"/>
          <w:szCs w:val="24"/>
          <w:lang w:bidi="da-DK"/>
        </w:rPr>
      </w:pPr>
      <w:bookmarkStart w:id="3" w:name="_Hlk177549722"/>
      <w:r w:rsidRPr="00CB4692">
        <w:rPr>
          <w:sz w:val="24"/>
          <w:szCs w:val="24"/>
          <w:lang w:bidi="da-DK"/>
        </w:rPr>
        <w:t>Infusionen må kun foretages med en ekstrakorporal blodrensningsanordning, der er beregnet til infusion af calciumchloridopløsning og inkluderer en passende balance mellem flowvoluminer.</w:t>
      </w:r>
      <w:bookmarkEnd w:id="3"/>
    </w:p>
    <w:p w14:paraId="0CE33EAD" w14:textId="77777777" w:rsidR="00CB4692" w:rsidRPr="00CB4692" w:rsidRDefault="00CB4692" w:rsidP="00CB4692">
      <w:pPr>
        <w:tabs>
          <w:tab w:val="left" w:pos="851"/>
        </w:tabs>
        <w:ind w:left="851"/>
        <w:rPr>
          <w:sz w:val="24"/>
          <w:szCs w:val="24"/>
          <w:lang w:bidi="da-DK"/>
        </w:rPr>
      </w:pPr>
    </w:p>
    <w:p w14:paraId="04E82CD9" w14:textId="77777777" w:rsidR="00CB4692" w:rsidRPr="00CB4692" w:rsidRDefault="00CB4692" w:rsidP="00CB4692">
      <w:pPr>
        <w:tabs>
          <w:tab w:val="left" w:pos="851"/>
        </w:tabs>
        <w:ind w:left="851"/>
        <w:rPr>
          <w:sz w:val="24"/>
          <w:szCs w:val="24"/>
          <w:lang w:bidi="da-DK"/>
        </w:rPr>
      </w:pPr>
      <w:bookmarkStart w:id="4" w:name="_Hlk177549752"/>
      <w:r w:rsidRPr="00CB4692">
        <w:rPr>
          <w:sz w:val="24"/>
          <w:szCs w:val="24"/>
          <w:lang w:bidi="da-DK"/>
        </w:rPr>
        <w:t>Infusionen må kun foretages i det ekstrakorporale kredsløb eller, hvis det anbefales i brugsanvisningen for den ekstrakorporale blodrensningsanordning, via et separat centralt venekateter. Icalziss er ikke beregnet til intramuskulær eller subkutan anvendelse.</w:t>
      </w:r>
      <w:bookmarkEnd w:id="4"/>
    </w:p>
    <w:p w14:paraId="5A0D2492" w14:textId="77777777" w:rsidR="00CB4692" w:rsidRPr="00CB4692" w:rsidRDefault="00CB4692" w:rsidP="00CB4692">
      <w:pPr>
        <w:tabs>
          <w:tab w:val="left" w:pos="851"/>
        </w:tabs>
        <w:ind w:left="851"/>
        <w:rPr>
          <w:sz w:val="24"/>
          <w:szCs w:val="24"/>
          <w:lang w:bidi="da-DK"/>
        </w:rPr>
      </w:pPr>
    </w:p>
    <w:p w14:paraId="4540E788" w14:textId="77777777" w:rsidR="00CB4692" w:rsidRPr="00CB4692" w:rsidRDefault="00CB4692" w:rsidP="00CB4692">
      <w:pPr>
        <w:tabs>
          <w:tab w:val="left" w:pos="851"/>
        </w:tabs>
        <w:ind w:left="851"/>
        <w:rPr>
          <w:sz w:val="24"/>
          <w:szCs w:val="24"/>
          <w:lang w:bidi="da-DK"/>
        </w:rPr>
      </w:pPr>
      <w:r w:rsidRPr="00CB4692">
        <w:rPr>
          <w:sz w:val="24"/>
          <w:szCs w:val="24"/>
          <w:lang w:bidi="da-DK"/>
        </w:rPr>
        <w:t>Brugsanvisningen fra producenten af den ekstrakorporale blodrensningsanordning, fra producenten af det ekstrakorporale kredsløbssæt og den intravenøse slange skal følges.</w:t>
      </w:r>
    </w:p>
    <w:p w14:paraId="6814C65B" w14:textId="77777777" w:rsidR="009260DE" w:rsidRPr="00C84483" w:rsidRDefault="009260DE" w:rsidP="009260DE">
      <w:pPr>
        <w:tabs>
          <w:tab w:val="left" w:pos="851"/>
        </w:tabs>
        <w:ind w:left="851"/>
        <w:rPr>
          <w:sz w:val="24"/>
          <w:szCs w:val="24"/>
        </w:rPr>
      </w:pPr>
    </w:p>
    <w:p w14:paraId="000A89F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D510A1B" w14:textId="77777777" w:rsidR="00804BF3" w:rsidRPr="00804BF3" w:rsidRDefault="00804BF3" w:rsidP="00804BF3">
      <w:pPr>
        <w:tabs>
          <w:tab w:val="left" w:pos="851"/>
        </w:tabs>
        <w:ind w:left="851"/>
        <w:rPr>
          <w:sz w:val="24"/>
          <w:szCs w:val="24"/>
          <w:lang w:bidi="da-DK"/>
        </w:rPr>
      </w:pPr>
      <w:r w:rsidRPr="00804BF3">
        <w:rPr>
          <w:sz w:val="24"/>
          <w:szCs w:val="24"/>
          <w:lang w:bidi="da-DK"/>
        </w:rPr>
        <w:t>Hypercalcæmi (se pkt. 4.4).</w:t>
      </w:r>
    </w:p>
    <w:p w14:paraId="78FD6C4C" w14:textId="77777777" w:rsidR="00804BF3" w:rsidRPr="00804BF3" w:rsidRDefault="00804BF3" w:rsidP="00804BF3">
      <w:pPr>
        <w:tabs>
          <w:tab w:val="left" w:pos="851"/>
        </w:tabs>
        <w:ind w:left="851"/>
        <w:rPr>
          <w:sz w:val="24"/>
          <w:szCs w:val="24"/>
          <w:lang w:bidi="da-DK"/>
        </w:rPr>
      </w:pPr>
    </w:p>
    <w:p w14:paraId="2D308C2F" w14:textId="77777777" w:rsidR="00804BF3" w:rsidRPr="00804BF3" w:rsidRDefault="00804BF3" w:rsidP="00804BF3">
      <w:pPr>
        <w:tabs>
          <w:tab w:val="left" w:pos="851"/>
        </w:tabs>
        <w:ind w:left="851"/>
        <w:rPr>
          <w:sz w:val="24"/>
          <w:szCs w:val="24"/>
          <w:lang w:bidi="da-DK"/>
        </w:rPr>
      </w:pPr>
      <w:r w:rsidRPr="00804BF3">
        <w:rPr>
          <w:sz w:val="24"/>
          <w:szCs w:val="24"/>
          <w:lang w:bidi="da-DK"/>
        </w:rPr>
        <w:t>Hyperchloræmi (se pkt. 4.4).</w:t>
      </w:r>
    </w:p>
    <w:p w14:paraId="3A7EA231" w14:textId="77777777" w:rsidR="00804BF3" w:rsidRPr="00804BF3" w:rsidRDefault="00804BF3" w:rsidP="00804BF3">
      <w:pPr>
        <w:tabs>
          <w:tab w:val="left" w:pos="851"/>
        </w:tabs>
        <w:ind w:left="851"/>
        <w:rPr>
          <w:sz w:val="24"/>
          <w:szCs w:val="24"/>
          <w:lang w:bidi="da-DK"/>
        </w:rPr>
      </w:pPr>
    </w:p>
    <w:p w14:paraId="272117B5" w14:textId="77777777" w:rsidR="00804BF3" w:rsidRPr="00804BF3" w:rsidRDefault="00804BF3" w:rsidP="00804BF3">
      <w:pPr>
        <w:tabs>
          <w:tab w:val="left" w:pos="851"/>
        </w:tabs>
        <w:ind w:left="851"/>
        <w:rPr>
          <w:sz w:val="24"/>
          <w:szCs w:val="24"/>
          <w:lang w:bidi="da-DK"/>
        </w:rPr>
      </w:pPr>
      <w:r w:rsidRPr="00804BF3">
        <w:rPr>
          <w:sz w:val="24"/>
          <w:szCs w:val="24"/>
          <w:lang w:bidi="da-DK"/>
        </w:rPr>
        <w:t>Overfølsomhed over for det (de) aktive stof(fer) eller over for et eller flere af hjælpestofferne anført i pkt. 6.1.</w:t>
      </w:r>
    </w:p>
    <w:p w14:paraId="3B972F6E" w14:textId="77777777" w:rsidR="00804BF3" w:rsidRPr="00804BF3" w:rsidRDefault="00804BF3" w:rsidP="00804BF3">
      <w:pPr>
        <w:tabs>
          <w:tab w:val="left" w:pos="851"/>
        </w:tabs>
        <w:ind w:left="851"/>
        <w:rPr>
          <w:sz w:val="24"/>
          <w:szCs w:val="24"/>
          <w:lang w:bidi="da-DK"/>
        </w:rPr>
      </w:pPr>
    </w:p>
    <w:p w14:paraId="32035D0A" w14:textId="77777777" w:rsidR="00804BF3" w:rsidRPr="00804BF3" w:rsidRDefault="00804BF3" w:rsidP="00804BF3">
      <w:pPr>
        <w:tabs>
          <w:tab w:val="left" w:pos="851"/>
        </w:tabs>
        <w:ind w:left="851"/>
        <w:rPr>
          <w:sz w:val="24"/>
          <w:szCs w:val="24"/>
          <w:lang w:bidi="da-DK"/>
        </w:rPr>
      </w:pPr>
      <w:r w:rsidRPr="00804BF3">
        <w:rPr>
          <w:sz w:val="24"/>
          <w:szCs w:val="24"/>
          <w:lang w:bidi="da-DK"/>
        </w:rPr>
        <w:t>Samtidig administration af calciumholdige opløsninger og ceftriaxon er kontraindiceret til præmature nyfødte og nyfødte (≤ 28 dage gamle) på grund af risikoen for fatal ceftriaxon-calciumsaltudfældning i den nyfødtes blodbane, selv hvis der anvendes separate infusionsslanger (se pkt. 4.5 og 6.6).</w:t>
      </w:r>
    </w:p>
    <w:p w14:paraId="12ADF217" w14:textId="77777777" w:rsidR="009260DE" w:rsidRPr="00C84483" w:rsidRDefault="009260DE" w:rsidP="009260DE">
      <w:pPr>
        <w:tabs>
          <w:tab w:val="left" w:pos="851"/>
        </w:tabs>
        <w:ind w:left="851"/>
        <w:rPr>
          <w:sz w:val="24"/>
          <w:szCs w:val="24"/>
        </w:rPr>
      </w:pPr>
    </w:p>
    <w:p w14:paraId="362D13E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C4243F1" w14:textId="77777777" w:rsidR="00804BF3" w:rsidRPr="00804BF3" w:rsidRDefault="00804BF3" w:rsidP="00804BF3">
      <w:pPr>
        <w:tabs>
          <w:tab w:val="left" w:pos="851"/>
        </w:tabs>
        <w:ind w:left="851"/>
        <w:rPr>
          <w:bCs/>
          <w:sz w:val="24"/>
          <w:szCs w:val="24"/>
          <w:u w:val="single"/>
          <w:lang w:bidi="da-DK"/>
        </w:rPr>
      </w:pPr>
    </w:p>
    <w:p w14:paraId="1535756E" w14:textId="77777777" w:rsidR="00804BF3" w:rsidRPr="00804BF3" w:rsidRDefault="00804BF3" w:rsidP="00804BF3">
      <w:pPr>
        <w:tabs>
          <w:tab w:val="left" w:pos="851"/>
        </w:tabs>
        <w:ind w:left="851"/>
        <w:rPr>
          <w:bCs/>
          <w:sz w:val="24"/>
          <w:szCs w:val="24"/>
          <w:u w:val="single"/>
          <w:lang w:bidi="da-DK"/>
        </w:rPr>
      </w:pPr>
      <w:r w:rsidRPr="00804BF3">
        <w:rPr>
          <w:bCs/>
          <w:sz w:val="24"/>
          <w:szCs w:val="24"/>
          <w:u w:val="single"/>
          <w:lang w:bidi="da-DK"/>
        </w:rPr>
        <w:t>Kardiovaskulære virkninger</w:t>
      </w:r>
    </w:p>
    <w:p w14:paraId="35786E6D" w14:textId="77777777" w:rsidR="00804BF3" w:rsidRPr="00804BF3" w:rsidRDefault="00804BF3" w:rsidP="00804BF3">
      <w:pPr>
        <w:tabs>
          <w:tab w:val="left" w:pos="851"/>
        </w:tabs>
        <w:ind w:left="851"/>
        <w:rPr>
          <w:bCs/>
          <w:sz w:val="24"/>
          <w:szCs w:val="24"/>
          <w:lang w:bidi="da-DK"/>
        </w:rPr>
      </w:pPr>
      <w:r w:rsidRPr="00804BF3">
        <w:rPr>
          <w:bCs/>
          <w:sz w:val="24"/>
          <w:szCs w:val="24"/>
          <w:lang w:bidi="da-DK"/>
        </w:rPr>
        <w:t xml:space="preserve">Administration af digitalisglykosider efter calciumchlorid kan medføre potentielt livstruende digitalisinducerede hjertearytmier. Patienter, der er forgiftet med eller </w:t>
      </w:r>
      <w:r w:rsidRPr="00804BF3">
        <w:rPr>
          <w:bCs/>
          <w:sz w:val="24"/>
          <w:szCs w:val="24"/>
          <w:lang w:bidi="da-DK"/>
        </w:rPr>
        <w:lastRenderedPageBreak/>
        <w:t>behandles med digitalisglykosider, kan vise tegn på overdosering af digitalis efter anvendelse af calciumholdige opløsninger.</w:t>
      </w:r>
    </w:p>
    <w:p w14:paraId="68311D31" w14:textId="77777777" w:rsidR="00804BF3" w:rsidRPr="00804BF3" w:rsidRDefault="00804BF3" w:rsidP="00804BF3">
      <w:pPr>
        <w:tabs>
          <w:tab w:val="left" w:pos="851"/>
        </w:tabs>
        <w:ind w:left="851"/>
        <w:rPr>
          <w:sz w:val="24"/>
          <w:szCs w:val="24"/>
          <w:lang w:bidi="da-DK"/>
        </w:rPr>
      </w:pPr>
    </w:p>
    <w:p w14:paraId="3F39D996" w14:textId="77777777" w:rsidR="00804BF3" w:rsidRPr="00804BF3" w:rsidRDefault="00804BF3" w:rsidP="00804BF3">
      <w:pPr>
        <w:tabs>
          <w:tab w:val="left" w:pos="851"/>
        </w:tabs>
        <w:ind w:left="851"/>
        <w:rPr>
          <w:i/>
          <w:iCs/>
          <w:sz w:val="24"/>
          <w:szCs w:val="24"/>
          <w:u w:val="single"/>
          <w:lang w:bidi="da-DK"/>
        </w:rPr>
      </w:pPr>
      <w:r w:rsidRPr="00804BF3">
        <w:rPr>
          <w:sz w:val="24"/>
          <w:szCs w:val="24"/>
          <w:lang w:bidi="da-DK"/>
        </w:rPr>
        <w:t>Icalziss kan administreres til patienter, der er forgiftet med eller behandles med hjerteglykosider, til behandling af alvorlige, umiddelbart livstruende symptomer på hypocalcæmi, hvis mere sikre alternativer ikke er tilgængelige, og oral administration af calcium ikke er mulig (se pkt. 4.5).</w:t>
      </w:r>
    </w:p>
    <w:p w14:paraId="295D21D7" w14:textId="77777777" w:rsidR="00804BF3" w:rsidRPr="00804BF3" w:rsidRDefault="00804BF3" w:rsidP="00804BF3">
      <w:pPr>
        <w:tabs>
          <w:tab w:val="left" w:pos="851"/>
        </w:tabs>
        <w:ind w:left="851"/>
        <w:rPr>
          <w:sz w:val="24"/>
          <w:szCs w:val="24"/>
          <w:lang w:bidi="da-DK"/>
        </w:rPr>
      </w:pPr>
    </w:p>
    <w:p w14:paraId="74E8007B" w14:textId="77777777" w:rsidR="00804BF3" w:rsidRPr="00804BF3" w:rsidRDefault="00804BF3" w:rsidP="00804BF3">
      <w:pPr>
        <w:tabs>
          <w:tab w:val="left" w:pos="851"/>
        </w:tabs>
        <w:ind w:left="851"/>
        <w:rPr>
          <w:bCs/>
          <w:sz w:val="24"/>
          <w:szCs w:val="24"/>
          <w:lang w:bidi="da-DK"/>
        </w:rPr>
      </w:pPr>
      <w:r w:rsidRPr="00804BF3">
        <w:rPr>
          <w:sz w:val="24"/>
          <w:szCs w:val="24"/>
          <w:lang w:bidi="da-DK"/>
        </w:rPr>
        <w:t xml:space="preserve">Icalziss </w:t>
      </w:r>
      <w:r w:rsidRPr="00804BF3">
        <w:rPr>
          <w:bCs/>
          <w:sz w:val="24"/>
          <w:szCs w:val="24"/>
          <w:lang w:bidi="da-DK"/>
        </w:rPr>
        <w:t>skal anvendes med forsigtighed til patienter behandlet med digitalisglykosider og patienter med risiko for hjertearytmier. Undgå intravenøs calciumadministration, eller administrer om nødvendigt i små mængder for at undgå forbigående calciumniveauer i serum, som er højere end 7,5 mmol/l.</w:t>
      </w:r>
    </w:p>
    <w:p w14:paraId="0367648D" w14:textId="77777777" w:rsidR="00804BF3" w:rsidRPr="00804BF3" w:rsidRDefault="00804BF3" w:rsidP="00804BF3">
      <w:pPr>
        <w:tabs>
          <w:tab w:val="left" w:pos="851"/>
        </w:tabs>
        <w:ind w:left="851"/>
        <w:rPr>
          <w:bCs/>
          <w:sz w:val="24"/>
          <w:szCs w:val="24"/>
          <w:lang w:bidi="da-DK"/>
        </w:rPr>
      </w:pPr>
    </w:p>
    <w:p w14:paraId="30891E0F" w14:textId="77777777" w:rsidR="00804BF3" w:rsidRPr="00804BF3" w:rsidRDefault="00804BF3" w:rsidP="00804BF3">
      <w:pPr>
        <w:tabs>
          <w:tab w:val="left" w:pos="851"/>
        </w:tabs>
        <w:ind w:left="851"/>
        <w:rPr>
          <w:bCs/>
          <w:sz w:val="24"/>
          <w:szCs w:val="24"/>
          <w:lang w:bidi="da-DK"/>
        </w:rPr>
      </w:pPr>
      <w:r w:rsidRPr="00804BF3">
        <w:rPr>
          <w:bCs/>
          <w:sz w:val="24"/>
          <w:szCs w:val="24"/>
          <w:lang w:bidi="da-DK"/>
        </w:rPr>
        <w:t>Patienternes calciumniveauer og intracellulære calciumdynamik i hjerteceller er blevet identificeret som medvirkende årsager til livstruende arytmier. Administration af calcium bør monitoreres omhyggeligt i overensstemmelse med kardiovaskulære risici ved baseline. Forhøjede systemiske calciumniveauer, der når hjertet, kan øge risikoen for hjertesynkope.</w:t>
      </w:r>
    </w:p>
    <w:p w14:paraId="1752FF11" w14:textId="77777777" w:rsidR="00804BF3" w:rsidRPr="00804BF3" w:rsidRDefault="00804BF3" w:rsidP="00804BF3">
      <w:pPr>
        <w:tabs>
          <w:tab w:val="left" w:pos="851"/>
        </w:tabs>
        <w:ind w:left="851"/>
        <w:rPr>
          <w:bCs/>
          <w:sz w:val="24"/>
          <w:szCs w:val="24"/>
          <w:u w:val="single"/>
          <w:lang w:bidi="da-DK"/>
        </w:rPr>
      </w:pPr>
    </w:p>
    <w:p w14:paraId="660FEBF1" w14:textId="77777777" w:rsidR="00804BF3" w:rsidRPr="00804BF3" w:rsidRDefault="00804BF3" w:rsidP="00804BF3">
      <w:pPr>
        <w:tabs>
          <w:tab w:val="left" w:pos="851"/>
        </w:tabs>
        <w:ind w:left="851"/>
        <w:rPr>
          <w:bCs/>
          <w:sz w:val="24"/>
          <w:szCs w:val="24"/>
          <w:u w:val="single"/>
          <w:lang w:bidi="da-DK"/>
        </w:rPr>
      </w:pPr>
      <w:r w:rsidRPr="00804BF3">
        <w:rPr>
          <w:bCs/>
          <w:sz w:val="24"/>
          <w:szCs w:val="24"/>
          <w:u w:val="single"/>
          <w:lang w:bidi="da-DK"/>
        </w:rPr>
        <w:t>Elektrolytbalance og syre</w:t>
      </w:r>
      <w:r w:rsidRPr="00804BF3">
        <w:rPr>
          <w:bCs/>
          <w:sz w:val="24"/>
          <w:szCs w:val="24"/>
          <w:u w:val="single"/>
          <w:lang w:bidi="da-DK"/>
        </w:rPr>
        <w:noBreakHyphen/>
        <w:t>base</w:t>
      </w:r>
      <w:r w:rsidRPr="00804BF3">
        <w:rPr>
          <w:bCs/>
          <w:sz w:val="24"/>
          <w:szCs w:val="24"/>
          <w:u w:val="single"/>
          <w:lang w:bidi="da-DK"/>
        </w:rPr>
        <w:noBreakHyphen/>
        <w:t>balance</w:t>
      </w:r>
    </w:p>
    <w:p w14:paraId="7A57176F" w14:textId="77777777" w:rsidR="00804BF3" w:rsidRPr="00804BF3" w:rsidRDefault="00804BF3" w:rsidP="00804BF3">
      <w:pPr>
        <w:tabs>
          <w:tab w:val="left" w:pos="851"/>
        </w:tabs>
        <w:ind w:left="851"/>
        <w:rPr>
          <w:bCs/>
          <w:sz w:val="24"/>
          <w:szCs w:val="24"/>
          <w:lang w:bidi="da-DK"/>
        </w:rPr>
      </w:pPr>
      <w:r w:rsidRPr="00804BF3">
        <w:rPr>
          <w:bCs/>
          <w:sz w:val="24"/>
          <w:szCs w:val="24"/>
          <w:lang w:bidi="da-DK"/>
        </w:rPr>
        <w:t>Elektrolytbalancen og syre</w:t>
      </w:r>
      <w:r w:rsidRPr="00804BF3">
        <w:rPr>
          <w:bCs/>
          <w:sz w:val="24"/>
          <w:szCs w:val="24"/>
          <w:lang w:bidi="da-DK"/>
        </w:rPr>
        <w:noBreakHyphen/>
        <w:t>base</w:t>
      </w:r>
      <w:r w:rsidRPr="00804BF3">
        <w:rPr>
          <w:bCs/>
          <w:sz w:val="24"/>
          <w:szCs w:val="24"/>
          <w:lang w:bidi="da-DK"/>
        </w:rPr>
        <w:noBreakHyphen/>
        <w:t xml:space="preserve">balancen bør monitoreres og kontrolleres regelmæssigt under ekstrakorporale blodrensningsbehandlinger med citratantikoagulation. Eksisterende hypocalcæmi, hypercalcæmi og hyperchloræmi skal korrigeres, inden behandlingen påbegyndes. Alternativt kan tilpasset brug af infusionsopløsninger med lavt chloridindhold overvejes. </w:t>
      </w:r>
    </w:p>
    <w:p w14:paraId="7A2AFA00" w14:textId="77777777" w:rsidR="00804BF3" w:rsidRPr="00804BF3" w:rsidRDefault="00804BF3" w:rsidP="00804BF3">
      <w:pPr>
        <w:tabs>
          <w:tab w:val="left" w:pos="851"/>
        </w:tabs>
        <w:ind w:left="851"/>
        <w:rPr>
          <w:bCs/>
          <w:sz w:val="24"/>
          <w:szCs w:val="24"/>
          <w:lang w:bidi="da-DK"/>
        </w:rPr>
      </w:pPr>
    </w:p>
    <w:p w14:paraId="5DC5DBCB" w14:textId="77777777" w:rsidR="00804BF3" w:rsidRPr="00804BF3" w:rsidRDefault="00804BF3" w:rsidP="00804BF3">
      <w:pPr>
        <w:tabs>
          <w:tab w:val="left" w:pos="851"/>
        </w:tabs>
        <w:ind w:left="851"/>
        <w:rPr>
          <w:bCs/>
          <w:sz w:val="24"/>
          <w:szCs w:val="24"/>
          <w:lang w:bidi="da-DK"/>
        </w:rPr>
      </w:pPr>
      <w:r w:rsidRPr="00804BF3">
        <w:rPr>
          <w:bCs/>
          <w:sz w:val="24"/>
          <w:szCs w:val="24"/>
          <w:lang w:bidi="da-DK"/>
        </w:rPr>
        <w:t>Det er nødvendigt med nøje monitorering, særligt ved hyperosmolalitet og hyperchloræmi hos patienter, der er i behandling med RCA TPE.</w:t>
      </w:r>
    </w:p>
    <w:p w14:paraId="0A8DD616" w14:textId="77777777" w:rsidR="00804BF3" w:rsidRPr="00804BF3" w:rsidRDefault="00804BF3" w:rsidP="00804BF3">
      <w:pPr>
        <w:tabs>
          <w:tab w:val="left" w:pos="851"/>
        </w:tabs>
        <w:ind w:left="851"/>
        <w:rPr>
          <w:bCs/>
          <w:i/>
          <w:iCs/>
          <w:sz w:val="24"/>
          <w:szCs w:val="24"/>
          <w:u w:val="single"/>
          <w:lang w:bidi="da-DK"/>
        </w:rPr>
      </w:pPr>
    </w:p>
    <w:p w14:paraId="7E5ACD93" w14:textId="77777777" w:rsidR="00804BF3" w:rsidRPr="00804BF3" w:rsidRDefault="00804BF3" w:rsidP="00804BF3">
      <w:pPr>
        <w:tabs>
          <w:tab w:val="left" w:pos="851"/>
        </w:tabs>
        <w:ind w:left="851"/>
        <w:rPr>
          <w:bCs/>
          <w:sz w:val="24"/>
          <w:szCs w:val="24"/>
          <w:lang w:bidi="da-DK"/>
        </w:rPr>
      </w:pPr>
      <w:r w:rsidRPr="00804BF3">
        <w:rPr>
          <w:bCs/>
          <w:sz w:val="24"/>
          <w:szCs w:val="24"/>
          <w:lang w:bidi="da-DK"/>
        </w:rPr>
        <w:t>Der er øget risiko for pH</w:t>
      </w:r>
      <w:r w:rsidRPr="00804BF3">
        <w:rPr>
          <w:bCs/>
          <w:sz w:val="24"/>
          <w:szCs w:val="24"/>
          <w:lang w:bidi="da-DK"/>
        </w:rPr>
        <w:noBreakHyphen/>
        <w:t xml:space="preserve">forstyrrelser forbundet med hyperchloræmi i den pædiatriske population. </w:t>
      </w:r>
    </w:p>
    <w:p w14:paraId="7C8D7A75" w14:textId="77777777" w:rsidR="00804BF3" w:rsidRPr="00804BF3" w:rsidRDefault="00804BF3" w:rsidP="00804BF3">
      <w:pPr>
        <w:tabs>
          <w:tab w:val="left" w:pos="851"/>
        </w:tabs>
        <w:ind w:left="851"/>
        <w:rPr>
          <w:bCs/>
          <w:sz w:val="24"/>
          <w:szCs w:val="24"/>
          <w:u w:val="single"/>
          <w:lang w:bidi="da-DK"/>
        </w:rPr>
      </w:pPr>
    </w:p>
    <w:p w14:paraId="5A9FD6A9" w14:textId="77777777" w:rsidR="00804BF3" w:rsidRPr="00804BF3" w:rsidRDefault="00804BF3" w:rsidP="00804BF3">
      <w:pPr>
        <w:tabs>
          <w:tab w:val="left" w:pos="851"/>
        </w:tabs>
        <w:ind w:left="851"/>
        <w:rPr>
          <w:bCs/>
          <w:sz w:val="24"/>
          <w:szCs w:val="24"/>
          <w:u w:val="single"/>
          <w:lang w:bidi="da-DK"/>
        </w:rPr>
      </w:pPr>
      <w:r w:rsidRPr="00804BF3">
        <w:rPr>
          <w:bCs/>
          <w:sz w:val="24"/>
          <w:szCs w:val="24"/>
          <w:u w:val="single"/>
          <w:lang w:bidi="da-DK"/>
        </w:rPr>
        <w:t>Monitorering af calcium</w:t>
      </w:r>
    </w:p>
    <w:p w14:paraId="75026FC2" w14:textId="77777777" w:rsidR="00804BF3" w:rsidRPr="00804BF3" w:rsidRDefault="00804BF3" w:rsidP="00804BF3">
      <w:pPr>
        <w:tabs>
          <w:tab w:val="left" w:pos="851"/>
        </w:tabs>
        <w:ind w:left="851"/>
        <w:rPr>
          <w:bCs/>
          <w:sz w:val="24"/>
          <w:szCs w:val="24"/>
          <w:lang w:bidi="da-DK"/>
        </w:rPr>
      </w:pPr>
      <w:r w:rsidRPr="00804BF3">
        <w:rPr>
          <w:bCs/>
          <w:sz w:val="24"/>
          <w:szCs w:val="24"/>
          <w:lang w:bidi="da-DK"/>
        </w:rPr>
        <w:t xml:space="preserve">Serumkoncentrationer af ioniseret calcium bør kontrolleres regelmæssigt under administration af calciumchlorid. Forholdet mellem ioniseret calcium og totalt calcium bør monitoreres for at vurdere citratakkumulering. Dette sker, når forholdet bliver &gt;2,25 (se pkt. 4.2). Hvis der opstår hypocalcæmi eller hypercalcæmi under behandlingen, skal dosis af </w:t>
      </w:r>
      <w:r w:rsidRPr="00804BF3">
        <w:rPr>
          <w:sz w:val="24"/>
          <w:szCs w:val="24"/>
          <w:lang w:bidi="da-DK"/>
        </w:rPr>
        <w:t xml:space="preserve">Icalziss justeres </w:t>
      </w:r>
      <w:r w:rsidRPr="00804BF3">
        <w:rPr>
          <w:bCs/>
          <w:sz w:val="24"/>
          <w:szCs w:val="24"/>
          <w:lang w:bidi="da-DK"/>
        </w:rPr>
        <w:t xml:space="preserve">i overensstemmelse hermed. Hvis behandlingsvarigheden forlænges, eller hvis citrat-antikoagulationsbehandlinger anvendes gentagne gange, bør </w:t>
      </w:r>
      <w:r w:rsidRPr="00804BF3">
        <w:rPr>
          <w:sz w:val="24"/>
          <w:szCs w:val="24"/>
          <w:lang w:bidi="da-DK"/>
        </w:rPr>
        <w:t>parathyr</w:t>
      </w:r>
      <w:r w:rsidRPr="00804BF3">
        <w:rPr>
          <w:bCs/>
          <w:sz w:val="24"/>
          <w:szCs w:val="24"/>
          <w:lang w:bidi="da-DK"/>
        </w:rPr>
        <w:t>oideahormonniveauerne og andre parametre for knoglemetabolisme også evalueres.</w:t>
      </w:r>
    </w:p>
    <w:p w14:paraId="79866813" w14:textId="77777777" w:rsidR="00804BF3" w:rsidRPr="00804BF3" w:rsidRDefault="00804BF3" w:rsidP="00804BF3">
      <w:pPr>
        <w:tabs>
          <w:tab w:val="left" w:pos="851"/>
        </w:tabs>
        <w:ind w:left="851"/>
        <w:rPr>
          <w:bCs/>
          <w:sz w:val="24"/>
          <w:szCs w:val="24"/>
          <w:u w:val="single"/>
          <w:lang w:bidi="da-DK"/>
        </w:rPr>
      </w:pPr>
    </w:p>
    <w:p w14:paraId="345391D2" w14:textId="77777777" w:rsidR="00804BF3" w:rsidRPr="00804BF3" w:rsidRDefault="00804BF3" w:rsidP="00804BF3">
      <w:pPr>
        <w:tabs>
          <w:tab w:val="left" w:pos="851"/>
        </w:tabs>
        <w:ind w:left="851"/>
        <w:rPr>
          <w:bCs/>
          <w:sz w:val="24"/>
          <w:szCs w:val="24"/>
          <w:u w:val="single"/>
          <w:lang w:bidi="da-DK"/>
        </w:rPr>
      </w:pPr>
      <w:r w:rsidRPr="00804BF3">
        <w:rPr>
          <w:bCs/>
          <w:sz w:val="24"/>
          <w:szCs w:val="24"/>
          <w:u w:val="single"/>
          <w:lang w:bidi="da-DK"/>
        </w:rPr>
        <w:t>Nyresten</w:t>
      </w:r>
    </w:p>
    <w:p w14:paraId="037A7841" w14:textId="77777777" w:rsidR="00804BF3" w:rsidRPr="00804BF3" w:rsidRDefault="00804BF3" w:rsidP="00804BF3">
      <w:pPr>
        <w:tabs>
          <w:tab w:val="left" w:pos="851"/>
        </w:tabs>
        <w:ind w:left="851"/>
        <w:rPr>
          <w:bCs/>
          <w:sz w:val="24"/>
          <w:szCs w:val="24"/>
          <w:lang w:bidi="da-DK"/>
        </w:rPr>
      </w:pPr>
      <w:r w:rsidRPr="00804BF3">
        <w:rPr>
          <w:bCs/>
          <w:sz w:val="24"/>
          <w:szCs w:val="24"/>
          <w:lang w:bidi="da-DK"/>
        </w:rPr>
        <w:t>Calciumchlorid kan øge risikoen for symptomatiske nyresten.</w:t>
      </w:r>
    </w:p>
    <w:p w14:paraId="0C63F9A8" w14:textId="77777777" w:rsidR="00804BF3" w:rsidRPr="00804BF3" w:rsidRDefault="00804BF3" w:rsidP="00804BF3">
      <w:pPr>
        <w:tabs>
          <w:tab w:val="left" w:pos="851"/>
        </w:tabs>
        <w:ind w:left="851"/>
        <w:rPr>
          <w:bCs/>
          <w:sz w:val="24"/>
          <w:szCs w:val="24"/>
          <w:u w:val="single"/>
          <w:lang w:bidi="da-DK"/>
        </w:rPr>
      </w:pPr>
    </w:p>
    <w:p w14:paraId="726D63AA" w14:textId="77777777" w:rsidR="00804BF3" w:rsidRPr="00804BF3" w:rsidRDefault="00804BF3" w:rsidP="00804BF3">
      <w:pPr>
        <w:tabs>
          <w:tab w:val="left" w:pos="851"/>
        </w:tabs>
        <w:ind w:left="851"/>
        <w:rPr>
          <w:bCs/>
          <w:sz w:val="24"/>
          <w:szCs w:val="24"/>
          <w:u w:val="single"/>
          <w:lang w:bidi="da-DK"/>
        </w:rPr>
      </w:pPr>
      <w:bookmarkStart w:id="5" w:name="_Hlk169187342"/>
      <w:r w:rsidRPr="00804BF3">
        <w:rPr>
          <w:bCs/>
          <w:sz w:val="24"/>
          <w:szCs w:val="24"/>
          <w:u w:val="single"/>
          <w:lang w:bidi="da-DK"/>
        </w:rPr>
        <w:t>Ekstravasation</w:t>
      </w:r>
    </w:p>
    <w:p w14:paraId="25C7D75B" w14:textId="77777777" w:rsidR="00804BF3" w:rsidRPr="00804BF3" w:rsidRDefault="00804BF3" w:rsidP="00804BF3">
      <w:pPr>
        <w:tabs>
          <w:tab w:val="left" w:pos="851"/>
        </w:tabs>
        <w:ind w:left="851"/>
        <w:rPr>
          <w:bCs/>
          <w:sz w:val="24"/>
          <w:szCs w:val="24"/>
          <w:lang w:bidi="da-DK"/>
        </w:rPr>
      </w:pPr>
      <w:r w:rsidRPr="00804BF3">
        <w:rPr>
          <w:bCs/>
          <w:sz w:val="24"/>
          <w:szCs w:val="24"/>
          <w:lang w:bidi="da-DK"/>
        </w:rPr>
        <w:t>Intravenøs administration af calciumsalte kan medføre ekstravasation. Inspicer regelmæssigt infusionsstedet for tegn på ekstr</w:t>
      </w:r>
      <w:bookmarkEnd w:id="5"/>
      <w:r w:rsidRPr="00804BF3">
        <w:rPr>
          <w:bCs/>
          <w:sz w:val="24"/>
          <w:szCs w:val="24"/>
          <w:lang w:bidi="da-DK"/>
        </w:rPr>
        <w:t xml:space="preserve">avasation. I tilfælde af ekstravasation og infiltration skal intravenøs administration omgående afbrydes. Inspicer regelmæssigt infusionsstedet for tegn på lokalt udviklende koagulation, når </w:t>
      </w:r>
      <w:r w:rsidRPr="00804BF3">
        <w:rPr>
          <w:sz w:val="24"/>
          <w:szCs w:val="24"/>
          <w:lang w:bidi="da-DK"/>
        </w:rPr>
        <w:t xml:space="preserve">Icalziss </w:t>
      </w:r>
      <w:r w:rsidRPr="00804BF3">
        <w:rPr>
          <w:bCs/>
          <w:sz w:val="24"/>
          <w:szCs w:val="24"/>
          <w:lang w:bidi="da-DK"/>
        </w:rPr>
        <w:t>infunderes i det ekstrakorporale kredsløb, og hvis det ses, bør det overvejes at udskifte kredsløb.</w:t>
      </w:r>
    </w:p>
    <w:p w14:paraId="7E9D8D54" w14:textId="77777777" w:rsidR="00804BF3" w:rsidRPr="00804BF3" w:rsidRDefault="00804BF3" w:rsidP="00804BF3">
      <w:pPr>
        <w:tabs>
          <w:tab w:val="left" w:pos="851"/>
        </w:tabs>
        <w:ind w:left="851"/>
        <w:rPr>
          <w:bCs/>
          <w:sz w:val="24"/>
          <w:szCs w:val="24"/>
          <w:u w:val="single"/>
          <w:lang w:bidi="da-DK"/>
        </w:rPr>
      </w:pPr>
    </w:p>
    <w:p w14:paraId="7D43D675" w14:textId="77777777" w:rsidR="00804BF3" w:rsidRPr="00804BF3" w:rsidRDefault="00804BF3" w:rsidP="00804BF3">
      <w:pPr>
        <w:tabs>
          <w:tab w:val="left" w:pos="851"/>
        </w:tabs>
        <w:ind w:left="851"/>
        <w:rPr>
          <w:bCs/>
          <w:sz w:val="24"/>
          <w:szCs w:val="24"/>
          <w:u w:val="single"/>
          <w:lang w:bidi="da-DK"/>
        </w:rPr>
      </w:pPr>
      <w:r w:rsidRPr="00804BF3">
        <w:rPr>
          <w:bCs/>
          <w:sz w:val="24"/>
          <w:szCs w:val="24"/>
          <w:u w:val="single"/>
          <w:lang w:bidi="da-DK"/>
        </w:rPr>
        <w:lastRenderedPageBreak/>
        <w:t>Calcium- eller citratmetabolisme og -udskillelse</w:t>
      </w:r>
    </w:p>
    <w:p w14:paraId="17799673" w14:textId="77777777" w:rsidR="00804BF3" w:rsidRPr="00804BF3" w:rsidRDefault="00804BF3" w:rsidP="00804BF3">
      <w:pPr>
        <w:tabs>
          <w:tab w:val="left" w:pos="851"/>
        </w:tabs>
        <w:ind w:left="851"/>
        <w:rPr>
          <w:bCs/>
          <w:sz w:val="24"/>
          <w:szCs w:val="24"/>
          <w:lang w:bidi="da-DK"/>
        </w:rPr>
      </w:pPr>
      <w:r w:rsidRPr="00804BF3">
        <w:rPr>
          <w:bCs/>
          <w:sz w:val="24"/>
          <w:szCs w:val="24"/>
          <w:lang w:bidi="da-DK"/>
        </w:rPr>
        <w:t xml:space="preserve">Tilstande, der påvirker calcium- eller citratmetabolisme og -udskillelse, kan omfatte, men er ikke begrænset til, nefrocalcinose, hypercalciuri, cancer, hyperparathyroidisme, hypoparathyroidisme, rhabdomyolyse, og leversvigt skal overvejes nøje ved ordination af </w:t>
      </w:r>
      <w:r w:rsidRPr="00804BF3">
        <w:rPr>
          <w:sz w:val="24"/>
          <w:szCs w:val="24"/>
          <w:lang w:bidi="da-DK"/>
        </w:rPr>
        <w:t>Icalziss</w:t>
      </w:r>
      <w:r w:rsidRPr="00804BF3">
        <w:rPr>
          <w:bCs/>
          <w:sz w:val="24"/>
          <w:szCs w:val="24"/>
          <w:lang w:bidi="da-DK"/>
        </w:rPr>
        <w:t>. Dosisjustering kan være nødvendig, og calciumniveauerne i blodet skal monitoreres nøje.</w:t>
      </w:r>
    </w:p>
    <w:p w14:paraId="2E8D8635" w14:textId="77777777" w:rsidR="00804BF3" w:rsidRPr="00804BF3" w:rsidRDefault="00804BF3" w:rsidP="00804BF3">
      <w:pPr>
        <w:tabs>
          <w:tab w:val="left" w:pos="851"/>
        </w:tabs>
        <w:ind w:left="851"/>
        <w:rPr>
          <w:bCs/>
          <w:sz w:val="24"/>
          <w:szCs w:val="24"/>
          <w:lang w:bidi="da-DK"/>
        </w:rPr>
      </w:pPr>
      <w:bookmarkStart w:id="6" w:name="_Hlk169180188"/>
    </w:p>
    <w:p w14:paraId="06625D39" w14:textId="77777777" w:rsidR="00804BF3" w:rsidRPr="00804BF3" w:rsidRDefault="00804BF3" w:rsidP="00804BF3">
      <w:pPr>
        <w:tabs>
          <w:tab w:val="left" w:pos="851"/>
        </w:tabs>
        <w:ind w:left="851"/>
        <w:rPr>
          <w:bCs/>
          <w:sz w:val="24"/>
          <w:szCs w:val="24"/>
          <w:lang w:bidi="da-DK"/>
        </w:rPr>
      </w:pPr>
      <w:r w:rsidRPr="00804BF3">
        <w:rPr>
          <w:bCs/>
          <w:sz w:val="24"/>
          <w:szCs w:val="24"/>
          <w:lang w:bidi="da-DK"/>
        </w:rPr>
        <w:t>Efter seponering af CRRT kan calcium-rebound forventes på grund af calciumfrigivelse fra calcium</w:t>
      </w:r>
      <w:r w:rsidRPr="00804BF3">
        <w:rPr>
          <w:bCs/>
          <w:sz w:val="24"/>
          <w:szCs w:val="24"/>
          <w:lang w:bidi="da-DK"/>
        </w:rPr>
        <w:noBreakHyphen/>
        <w:t>citrat</w:t>
      </w:r>
      <w:r w:rsidRPr="00804BF3">
        <w:rPr>
          <w:bCs/>
          <w:sz w:val="24"/>
          <w:szCs w:val="24"/>
          <w:lang w:bidi="da-DK"/>
        </w:rPr>
        <w:noBreakHyphen/>
        <w:t xml:space="preserve">komplekserne. Tilstande, der påvirker citratmetabolismen, kan påvirke denne effekt. </w:t>
      </w:r>
      <w:r w:rsidRPr="00804BF3">
        <w:rPr>
          <w:sz w:val="24"/>
          <w:szCs w:val="24"/>
          <w:lang w:bidi="da-DK"/>
        </w:rPr>
        <w:t xml:space="preserve">Icalziss </w:t>
      </w:r>
      <w:r w:rsidRPr="00804BF3">
        <w:rPr>
          <w:bCs/>
          <w:sz w:val="24"/>
          <w:szCs w:val="24"/>
          <w:lang w:bidi="da-DK"/>
        </w:rPr>
        <w:t>bør anvendes med forsigtighed til patienter med tilstande, der påvirker calciummetabolisme og -udskillelse.</w:t>
      </w:r>
    </w:p>
    <w:bookmarkEnd w:id="6"/>
    <w:p w14:paraId="069F0F81" w14:textId="77777777" w:rsidR="00804BF3" w:rsidRPr="00804BF3" w:rsidRDefault="00804BF3" w:rsidP="00804BF3">
      <w:pPr>
        <w:tabs>
          <w:tab w:val="left" w:pos="851"/>
        </w:tabs>
        <w:ind w:left="851"/>
        <w:rPr>
          <w:bCs/>
          <w:sz w:val="24"/>
          <w:szCs w:val="24"/>
          <w:lang w:bidi="da-DK"/>
        </w:rPr>
      </w:pPr>
    </w:p>
    <w:p w14:paraId="1F227965" w14:textId="77777777" w:rsidR="00804BF3" w:rsidRPr="00804BF3" w:rsidRDefault="00804BF3" w:rsidP="00804BF3">
      <w:pPr>
        <w:tabs>
          <w:tab w:val="left" w:pos="851"/>
        </w:tabs>
        <w:ind w:left="851"/>
        <w:rPr>
          <w:sz w:val="24"/>
          <w:szCs w:val="24"/>
          <w:u w:val="single"/>
          <w:lang w:bidi="da-DK"/>
        </w:rPr>
      </w:pPr>
      <w:r w:rsidRPr="00804BF3">
        <w:rPr>
          <w:sz w:val="24"/>
          <w:szCs w:val="24"/>
          <w:u w:val="single"/>
          <w:lang w:bidi="da-DK"/>
        </w:rPr>
        <w:t>Ceftriaxonbehandling</w:t>
      </w:r>
    </w:p>
    <w:p w14:paraId="42B8DE06" w14:textId="77777777" w:rsidR="00804BF3" w:rsidRPr="00804BF3" w:rsidRDefault="00804BF3" w:rsidP="00804BF3">
      <w:pPr>
        <w:tabs>
          <w:tab w:val="left" w:pos="851"/>
        </w:tabs>
        <w:ind w:left="851"/>
        <w:rPr>
          <w:sz w:val="24"/>
          <w:szCs w:val="24"/>
          <w:lang w:bidi="da-DK"/>
        </w:rPr>
      </w:pPr>
      <w:r w:rsidRPr="00804BF3">
        <w:rPr>
          <w:sz w:val="24"/>
          <w:szCs w:val="24"/>
          <w:lang w:bidi="da-DK"/>
        </w:rPr>
        <w:t>Hos patienter uanset alder må ceftriaxon ikke blandes med eller administreres samtidig med nogen calciumholdige intravenøse opløsninger, selv ikke via forskellige infusionsslanger eller forskellige infusionssteder (se pkt. 4.5 for detaljer og pkt. 6.2).</w:t>
      </w:r>
    </w:p>
    <w:p w14:paraId="492A7707" w14:textId="77777777" w:rsidR="00804BF3" w:rsidRPr="00804BF3" w:rsidRDefault="00804BF3" w:rsidP="00804BF3">
      <w:pPr>
        <w:tabs>
          <w:tab w:val="left" w:pos="851"/>
        </w:tabs>
        <w:ind w:left="851"/>
        <w:rPr>
          <w:bCs/>
          <w:sz w:val="24"/>
          <w:szCs w:val="24"/>
          <w:u w:val="single"/>
          <w:lang w:bidi="da-DK"/>
        </w:rPr>
      </w:pPr>
    </w:p>
    <w:p w14:paraId="7D252221" w14:textId="77777777" w:rsidR="00804BF3" w:rsidRPr="00804BF3" w:rsidRDefault="00804BF3" w:rsidP="00804BF3">
      <w:pPr>
        <w:tabs>
          <w:tab w:val="left" w:pos="851"/>
        </w:tabs>
        <w:ind w:left="851"/>
        <w:rPr>
          <w:bCs/>
          <w:sz w:val="24"/>
          <w:szCs w:val="24"/>
          <w:u w:val="single"/>
          <w:lang w:bidi="da-DK"/>
        </w:rPr>
      </w:pPr>
      <w:r w:rsidRPr="00804BF3">
        <w:rPr>
          <w:bCs/>
          <w:sz w:val="24"/>
          <w:szCs w:val="24"/>
          <w:u w:val="single"/>
          <w:lang w:bidi="da-DK"/>
        </w:rPr>
        <w:t>Hypotermi</w:t>
      </w:r>
    </w:p>
    <w:p w14:paraId="227F3FBA" w14:textId="77777777" w:rsidR="00804BF3" w:rsidRPr="00804BF3" w:rsidRDefault="00804BF3" w:rsidP="00804BF3">
      <w:pPr>
        <w:tabs>
          <w:tab w:val="left" w:pos="851"/>
        </w:tabs>
        <w:ind w:left="851"/>
        <w:rPr>
          <w:bCs/>
          <w:sz w:val="24"/>
          <w:szCs w:val="24"/>
          <w:lang w:bidi="da-DK"/>
        </w:rPr>
      </w:pPr>
      <w:r w:rsidRPr="00804BF3">
        <w:rPr>
          <w:bCs/>
          <w:sz w:val="24"/>
          <w:szCs w:val="24"/>
          <w:lang w:bidi="da-DK"/>
        </w:rPr>
        <w:t>Moderat hypotermi, der er kendetegnet ved en kropstemperatur på 30</w:t>
      </w:r>
      <w:r w:rsidRPr="00804BF3">
        <w:rPr>
          <w:bCs/>
          <w:sz w:val="24"/>
          <w:szCs w:val="24"/>
          <w:lang w:bidi="da-DK"/>
        </w:rPr>
        <w:noBreakHyphen/>
        <w:t xml:space="preserve">34 °C, kan medføre intracellulær calciumoverbelastning. Administration af </w:t>
      </w:r>
      <w:r w:rsidRPr="00804BF3">
        <w:rPr>
          <w:sz w:val="24"/>
          <w:szCs w:val="24"/>
          <w:lang w:bidi="da-DK"/>
        </w:rPr>
        <w:t xml:space="preserve">Icalziss </w:t>
      </w:r>
      <w:r w:rsidRPr="00804BF3">
        <w:rPr>
          <w:bCs/>
          <w:sz w:val="24"/>
          <w:szCs w:val="24"/>
          <w:lang w:bidi="da-DK"/>
        </w:rPr>
        <w:t>under hypotermiske forhold kan forværre hypercalcæmi.</w:t>
      </w:r>
    </w:p>
    <w:p w14:paraId="06BC948C" w14:textId="77777777" w:rsidR="00804BF3" w:rsidRPr="00804BF3" w:rsidRDefault="00804BF3" w:rsidP="00804BF3">
      <w:pPr>
        <w:tabs>
          <w:tab w:val="left" w:pos="851"/>
        </w:tabs>
        <w:ind w:left="851"/>
        <w:rPr>
          <w:sz w:val="24"/>
          <w:szCs w:val="24"/>
          <w:lang w:bidi="da-DK"/>
        </w:rPr>
      </w:pPr>
    </w:p>
    <w:p w14:paraId="0B9B6766" w14:textId="77777777" w:rsidR="00804BF3" w:rsidRPr="00804BF3" w:rsidRDefault="00804BF3" w:rsidP="00804BF3">
      <w:pPr>
        <w:tabs>
          <w:tab w:val="left" w:pos="851"/>
        </w:tabs>
        <w:ind w:left="851"/>
        <w:rPr>
          <w:sz w:val="24"/>
          <w:szCs w:val="24"/>
          <w:lang w:bidi="da-DK"/>
        </w:rPr>
      </w:pPr>
      <w:r w:rsidRPr="00804BF3">
        <w:rPr>
          <w:sz w:val="24"/>
          <w:szCs w:val="24"/>
          <w:lang w:bidi="da-DK"/>
        </w:rPr>
        <w:t>Må kun anvendes, hvis opløsningen er klar og fri for synlige partikler.</w:t>
      </w:r>
    </w:p>
    <w:p w14:paraId="5FAB9235" w14:textId="77777777" w:rsidR="009260DE" w:rsidRPr="00C84483" w:rsidRDefault="009260DE" w:rsidP="009260DE">
      <w:pPr>
        <w:tabs>
          <w:tab w:val="left" w:pos="851"/>
        </w:tabs>
        <w:ind w:left="851"/>
        <w:rPr>
          <w:sz w:val="24"/>
          <w:szCs w:val="24"/>
        </w:rPr>
      </w:pPr>
    </w:p>
    <w:p w14:paraId="5414DDC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3FB57F7" w14:textId="77777777" w:rsidR="00D52FBE" w:rsidRPr="00D52FBE" w:rsidRDefault="00D52FBE" w:rsidP="00D52FBE">
      <w:pPr>
        <w:tabs>
          <w:tab w:val="left" w:pos="851"/>
        </w:tabs>
        <w:ind w:left="851"/>
        <w:rPr>
          <w:bCs/>
          <w:sz w:val="24"/>
          <w:szCs w:val="24"/>
          <w:lang w:bidi="da-DK"/>
        </w:rPr>
      </w:pPr>
      <w:r w:rsidRPr="00D52FBE">
        <w:rPr>
          <w:bCs/>
          <w:sz w:val="24"/>
          <w:szCs w:val="24"/>
          <w:lang w:bidi="da-DK"/>
        </w:rPr>
        <w:t>Ved dosering skal det tages i betragtning, om der tilføres yderligere calcium på grund af andre infusionsopløsninger eller lægemidler.</w:t>
      </w:r>
    </w:p>
    <w:p w14:paraId="4C6A718F" w14:textId="77777777" w:rsidR="00D52FBE" w:rsidRPr="00D52FBE" w:rsidRDefault="00D52FBE" w:rsidP="00D52FBE">
      <w:pPr>
        <w:tabs>
          <w:tab w:val="left" w:pos="851"/>
        </w:tabs>
        <w:ind w:left="851"/>
        <w:rPr>
          <w:bCs/>
          <w:sz w:val="24"/>
          <w:szCs w:val="24"/>
          <w:lang w:bidi="da-DK"/>
        </w:rPr>
      </w:pPr>
    </w:p>
    <w:p w14:paraId="2A9358CC" w14:textId="77777777" w:rsidR="00D52FBE" w:rsidRPr="00D52FBE" w:rsidRDefault="00D52FBE" w:rsidP="00D52FBE">
      <w:pPr>
        <w:tabs>
          <w:tab w:val="left" w:pos="851"/>
        </w:tabs>
        <w:ind w:left="851"/>
        <w:rPr>
          <w:bCs/>
          <w:sz w:val="24"/>
          <w:szCs w:val="24"/>
          <w:lang w:bidi="da-DK"/>
        </w:rPr>
      </w:pPr>
      <w:r w:rsidRPr="00D52FBE">
        <w:rPr>
          <w:bCs/>
          <w:sz w:val="24"/>
          <w:szCs w:val="24"/>
          <w:lang w:bidi="da-DK"/>
        </w:rPr>
        <w:t>Patienter i behandling med digitalisglykosider kan udvise symptomer på digitalis</w:t>
      </w:r>
      <w:r w:rsidRPr="00D52FBE">
        <w:rPr>
          <w:bCs/>
          <w:sz w:val="24"/>
          <w:szCs w:val="24"/>
          <w:lang w:bidi="da-DK"/>
        </w:rPr>
        <w:noBreakHyphen/>
        <w:t>overdosering efter administration af opløsninger, der indeholder calcium (se pkt. 4.4).</w:t>
      </w:r>
    </w:p>
    <w:p w14:paraId="71C2642C" w14:textId="77777777" w:rsidR="00D52FBE" w:rsidRPr="00D52FBE" w:rsidRDefault="00D52FBE" w:rsidP="00D52FBE">
      <w:pPr>
        <w:tabs>
          <w:tab w:val="left" w:pos="851"/>
        </w:tabs>
        <w:ind w:left="851"/>
        <w:rPr>
          <w:bCs/>
          <w:sz w:val="24"/>
          <w:szCs w:val="24"/>
          <w:lang w:bidi="da-DK"/>
        </w:rPr>
      </w:pPr>
    </w:p>
    <w:p w14:paraId="4989D290" w14:textId="77777777" w:rsidR="00D52FBE" w:rsidRPr="00D52FBE" w:rsidRDefault="00D52FBE" w:rsidP="00D52FBE">
      <w:pPr>
        <w:tabs>
          <w:tab w:val="left" w:pos="851"/>
        </w:tabs>
        <w:ind w:left="851"/>
        <w:rPr>
          <w:bCs/>
          <w:sz w:val="24"/>
          <w:szCs w:val="24"/>
          <w:lang w:bidi="da-DK"/>
        </w:rPr>
      </w:pPr>
      <w:r w:rsidRPr="00D52FBE">
        <w:rPr>
          <w:bCs/>
          <w:sz w:val="24"/>
          <w:szCs w:val="24"/>
          <w:lang w:bidi="da-DK"/>
        </w:rPr>
        <w:t>Lægemidler, der indeholder D</w:t>
      </w:r>
      <w:r w:rsidRPr="00D52FBE">
        <w:rPr>
          <w:bCs/>
          <w:sz w:val="24"/>
          <w:szCs w:val="24"/>
          <w:lang w:bidi="da-DK"/>
        </w:rPr>
        <w:noBreakHyphen/>
        <w:t>vitamin og andre D</w:t>
      </w:r>
      <w:r w:rsidRPr="00D52FBE">
        <w:rPr>
          <w:bCs/>
          <w:sz w:val="24"/>
          <w:szCs w:val="24"/>
          <w:lang w:bidi="da-DK"/>
        </w:rPr>
        <w:noBreakHyphen/>
        <w:t>vitaminanaloger, kan øge risikoen for hypercalcæmi og kan resultere i en nedsat antikoagulerende effekt.</w:t>
      </w:r>
    </w:p>
    <w:p w14:paraId="475FAB6A" w14:textId="77777777" w:rsidR="00D52FBE" w:rsidRPr="00D52FBE" w:rsidRDefault="00D52FBE" w:rsidP="00D52FBE">
      <w:pPr>
        <w:tabs>
          <w:tab w:val="left" w:pos="851"/>
        </w:tabs>
        <w:ind w:left="851"/>
        <w:rPr>
          <w:bCs/>
          <w:sz w:val="24"/>
          <w:szCs w:val="24"/>
          <w:lang w:bidi="da-DK"/>
        </w:rPr>
      </w:pPr>
    </w:p>
    <w:p w14:paraId="3C3FD7D3" w14:textId="77777777" w:rsidR="00D52FBE" w:rsidRPr="00D52FBE" w:rsidRDefault="00D52FBE" w:rsidP="00D52FBE">
      <w:pPr>
        <w:tabs>
          <w:tab w:val="left" w:pos="851"/>
        </w:tabs>
        <w:ind w:left="851"/>
        <w:rPr>
          <w:bCs/>
          <w:sz w:val="24"/>
          <w:szCs w:val="24"/>
          <w:lang w:bidi="da-DK"/>
        </w:rPr>
      </w:pPr>
      <w:r w:rsidRPr="00D52FBE">
        <w:rPr>
          <w:bCs/>
          <w:sz w:val="24"/>
          <w:szCs w:val="24"/>
          <w:lang w:bidi="da-DK"/>
        </w:rPr>
        <w:t xml:space="preserve">Administration af </w:t>
      </w:r>
      <w:r w:rsidRPr="00D52FBE">
        <w:rPr>
          <w:sz w:val="24"/>
          <w:szCs w:val="24"/>
          <w:lang w:bidi="da-DK"/>
        </w:rPr>
        <w:t xml:space="preserve">Icalziss </w:t>
      </w:r>
      <w:r w:rsidRPr="00D52FBE">
        <w:rPr>
          <w:bCs/>
          <w:sz w:val="24"/>
          <w:szCs w:val="24"/>
          <w:lang w:bidi="da-DK"/>
        </w:rPr>
        <w:t>og calcimimetika, såsom etelcalcetid og cinacalcet, kan inducere hypocalcæmi. Det anbefales at overveje at seponere calcimimetika under behandlingen.</w:t>
      </w:r>
    </w:p>
    <w:p w14:paraId="78479D14" w14:textId="77777777" w:rsidR="00D52FBE" w:rsidRPr="00D52FBE" w:rsidRDefault="00D52FBE" w:rsidP="00D52FBE">
      <w:pPr>
        <w:tabs>
          <w:tab w:val="left" w:pos="851"/>
        </w:tabs>
        <w:ind w:left="851"/>
        <w:rPr>
          <w:bCs/>
          <w:sz w:val="24"/>
          <w:szCs w:val="24"/>
          <w:lang w:bidi="da-DK"/>
        </w:rPr>
      </w:pPr>
      <w:bookmarkStart w:id="7" w:name="_Hlk149299015"/>
    </w:p>
    <w:p w14:paraId="6E6209E4" w14:textId="77777777" w:rsidR="00D52FBE" w:rsidRPr="00D52FBE" w:rsidRDefault="00D52FBE" w:rsidP="00D52FBE">
      <w:pPr>
        <w:tabs>
          <w:tab w:val="left" w:pos="851"/>
        </w:tabs>
        <w:ind w:left="851"/>
        <w:rPr>
          <w:bCs/>
          <w:sz w:val="24"/>
          <w:szCs w:val="24"/>
          <w:lang w:bidi="da-DK"/>
        </w:rPr>
      </w:pPr>
      <w:r w:rsidRPr="00D52FBE">
        <w:rPr>
          <w:bCs/>
          <w:sz w:val="24"/>
          <w:szCs w:val="24"/>
          <w:lang w:bidi="da-DK"/>
        </w:rPr>
        <w:t>Hos patienter uanset alder må ceftriaxon ikke blandes med eller administreres samtidig med nogen calciumholdige intravenøse opløsninger, selv ikke via forskellige infusionsslanger eller forskellige infusionssteder (se pkt. 6.2).</w:t>
      </w:r>
    </w:p>
    <w:p w14:paraId="422252F5" w14:textId="77777777" w:rsidR="00D52FBE" w:rsidRPr="00D52FBE" w:rsidRDefault="00D52FBE" w:rsidP="00D52FBE">
      <w:pPr>
        <w:tabs>
          <w:tab w:val="left" w:pos="851"/>
        </w:tabs>
        <w:ind w:left="851"/>
        <w:rPr>
          <w:bCs/>
          <w:sz w:val="24"/>
          <w:szCs w:val="24"/>
          <w:lang w:bidi="da-DK"/>
        </w:rPr>
      </w:pPr>
    </w:p>
    <w:p w14:paraId="39D566D5" w14:textId="77777777" w:rsidR="00D52FBE" w:rsidRPr="00D52FBE" w:rsidRDefault="00D52FBE" w:rsidP="00D52FBE">
      <w:pPr>
        <w:tabs>
          <w:tab w:val="left" w:pos="851"/>
        </w:tabs>
        <w:ind w:left="851"/>
        <w:rPr>
          <w:bCs/>
          <w:sz w:val="24"/>
          <w:szCs w:val="24"/>
          <w:lang w:bidi="da-DK"/>
        </w:rPr>
      </w:pPr>
      <w:r w:rsidRPr="00D52FBE">
        <w:rPr>
          <w:bCs/>
          <w:sz w:val="24"/>
          <w:szCs w:val="24"/>
          <w:lang w:bidi="da-DK"/>
        </w:rPr>
        <w:t>Der er beskrevet tilfælde af fatale reaktioner med calcium-ceftriaxon-udfældninger i lunger og nyrer hos præmature og fuldbårne nyfødte på under 1 måned (se pkt. 4.3).</w:t>
      </w:r>
    </w:p>
    <w:p w14:paraId="4AD6CD73" w14:textId="77777777" w:rsidR="00D52FBE" w:rsidRPr="00D52FBE" w:rsidRDefault="00D52FBE" w:rsidP="00D52FBE">
      <w:pPr>
        <w:tabs>
          <w:tab w:val="left" w:pos="851"/>
        </w:tabs>
        <w:ind w:left="851"/>
        <w:rPr>
          <w:bCs/>
          <w:sz w:val="24"/>
          <w:szCs w:val="24"/>
          <w:lang w:bidi="da-DK"/>
        </w:rPr>
      </w:pPr>
    </w:p>
    <w:p w14:paraId="2D9486FA" w14:textId="77777777" w:rsidR="00D52FBE" w:rsidRPr="00D52FBE" w:rsidRDefault="00D52FBE" w:rsidP="00D52FBE">
      <w:pPr>
        <w:tabs>
          <w:tab w:val="left" w:pos="851"/>
        </w:tabs>
        <w:ind w:left="851"/>
        <w:rPr>
          <w:bCs/>
          <w:sz w:val="24"/>
          <w:szCs w:val="24"/>
          <w:lang w:bidi="da-DK"/>
        </w:rPr>
      </w:pPr>
      <w:r w:rsidRPr="00D52FBE">
        <w:rPr>
          <w:bCs/>
          <w:sz w:val="24"/>
          <w:szCs w:val="24"/>
          <w:lang w:bidi="da-DK"/>
        </w:rPr>
        <w:t>Hos patienter, der er ældre end 28 dage, kan ceftriaxon og calciumholdige opløsninger imidlertid administreres sekventielt efter hinanden, hvis der anvendes infusionsslanger på forskellige steder, eller hvis infusionsslangerne udskiftes eller skylles grundigt mellem infusionerne med fysiologisk saltopløsning for at undgå udfældning.</w:t>
      </w:r>
    </w:p>
    <w:p w14:paraId="360AE243" w14:textId="77777777" w:rsidR="00D52FBE" w:rsidRPr="00D52FBE" w:rsidRDefault="00D52FBE" w:rsidP="00D52FBE">
      <w:pPr>
        <w:tabs>
          <w:tab w:val="left" w:pos="851"/>
        </w:tabs>
        <w:ind w:left="851"/>
        <w:rPr>
          <w:bCs/>
          <w:sz w:val="24"/>
          <w:szCs w:val="24"/>
          <w:lang w:bidi="da-DK"/>
        </w:rPr>
      </w:pPr>
    </w:p>
    <w:p w14:paraId="5A96FC14" w14:textId="77777777" w:rsidR="00D52FBE" w:rsidRPr="00D52FBE" w:rsidRDefault="00D52FBE" w:rsidP="00D52FBE">
      <w:pPr>
        <w:tabs>
          <w:tab w:val="left" w:pos="851"/>
        </w:tabs>
        <w:ind w:left="851"/>
        <w:rPr>
          <w:bCs/>
          <w:sz w:val="24"/>
          <w:szCs w:val="24"/>
          <w:lang w:bidi="da-DK"/>
        </w:rPr>
      </w:pPr>
      <w:r w:rsidRPr="00D52FBE">
        <w:rPr>
          <w:bCs/>
          <w:sz w:val="24"/>
          <w:szCs w:val="24"/>
          <w:lang w:bidi="da-DK"/>
        </w:rPr>
        <w:lastRenderedPageBreak/>
        <w:t>Sekventielle infusioner af ceftriaxon og calciumholdige produkter skal undgås i tilfælde af hypovolæmi.</w:t>
      </w:r>
    </w:p>
    <w:p w14:paraId="6D518000" w14:textId="77777777" w:rsidR="00D52FBE" w:rsidRPr="00D52FBE" w:rsidRDefault="00D52FBE" w:rsidP="00D52FBE">
      <w:pPr>
        <w:tabs>
          <w:tab w:val="left" w:pos="851"/>
        </w:tabs>
        <w:ind w:left="851"/>
        <w:rPr>
          <w:bCs/>
          <w:sz w:val="24"/>
          <w:szCs w:val="24"/>
          <w:lang w:bidi="da-DK"/>
        </w:rPr>
      </w:pPr>
    </w:p>
    <w:p w14:paraId="6AA8800D" w14:textId="77777777" w:rsidR="00D52FBE" w:rsidRPr="00D52FBE" w:rsidRDefault="00D52FBE" w:rsidP="00D52FBE">
      <w:pPr>
        <w:tabs>
          <w:tab w:val="left" w:pos="851"/>
        </w:tabs>
        <w:ind w:left="851"/>
        <w:rPr>
          <w:bCs/>
          <w:sz w:val="24"/>
          <w:szCs w:val="24"/>
          <w:lang w:bidi="da-DK"/>
        </w:rPr>
      </w:pPr>
      <w:r w:rsidRPr="00D52FBE">
        <w:rPr>
          <w:bCs/>
          <w:sz w:val="24"/>
          <w:szCs w:val="24"/>
          <w:lang w:bidi="da-DK"/>
        </w:rPr>
        <w:t xml:space="preserve">Thiaziddiuretika nedsætter calciumudskillelsen via urinen. Forsigtighed er derfor påkrævet, hvis sådanne lægemidler </w:t>
      </w:r>
      <w:bookmarkEnd w:id="7"/>
      <w:r w:rsidRPr="00D52FBE">
        <w:rPr>
          <w:bCs/>
          <w:sz w:val="24"/>
          <w:szCs w:val="24"/>
          <w:lang w:bidi="da-DK"/>
        </w:rPr>
        <w:t xml:space="preserve">administreres samtidig med </w:t>
      </w:r>
      <w:r w:rsidRPr="00D52FBE">
        <w:rPr>
          <w:sz w:val="24"/>
          <w:szCs w:val="24"/>
          <w:lang w:bidi="da-DK"/>
        </w:rPr>
        <w:t>Icalziss</w:t>
      </w:r>
      <w:r w:rsidRPr="00D52FBE">
        <w:rPr>
          <w:bCs/>
          <w:sz w:val="24"/>
          <w:szCs w:val="24"/>
          <w:lang w:bidi="da-DK"/>
        </w:rPr>
        <w:t>.</w:t>
      </w:r>
    </w:p>
    <w:p w14:paraId="5D455CE5" w14:textId="77777777" w:rsidR="00D52FBE" w:rsidRPr="00D52FBE" w:rsidRDefault="00D52FBE" w:rsidP="00D52FBE">
      <w:pPr>
        <w:tabs>
          <w:tab w:val="left" w:pos="851"/>
        </w:tabs>
        <w:ind w:left="851"/>
        <w:rPr>
          <w:bCs/>
          <w:sz w:val="24"/>
          <w:szCs w:val="24"/>
          <w:lang w:bidi="da-DK"/>
        </w:rPr>
      </w:pPr>
    </w:p>
    <w:p w14:paraId="4909A5CB" w14:textId="77777777" w:rsidR="00D52FBE" w:rsidRPr="00D52FBE" w:rsidRDefault="00D52FBE" w:rsidP="00D52FBE">
      <w:pPr>
        <w:tabs>
          <w:tab w:val="left" w:pos="851"/>
        </w:tabs>
        <w:ind w:left="851"/>
        <w:rPr>
          <w:bCs/>
          <w:sz w:val="24"/>
          <w:szCs w:val="24"/>
          <w:lang w:bidi="da-DK"/>
        </w:rPr>
      </w:pPr>
      <w:r w:rsidRPr="00D52FBE">
        <w:rPr>
          <w:bCs/>
          <w:sz w:val="24"/>
          <w:szCs w:val="24"/>
          <w:lang w:bidi="da-DK"/>
        </w:rPr>
        <w:t>Blodkoncentrationen af frafiltrerbare/dialyserbare lægemidler kan reduceres under behandlingen, da de fjernes af det ekstrakorporale filter. Tilsvarende korrigerende behandling bør iværksættes, hvis det er nødvendigt, for at opnå de ønskede blodkoncentrationer for lægemidler, der fjernes under behandlingen.</w:t>
      </w:r>
    </w:p>
    <w:p w14:paraId="122A261B" w14:textId="77777777" w:rsidR="00D52FBE" w:rsidRPr="00D52FBE" w:rsidRDefault="00D52FBE" w:rsidP="00D52FBE">
      <w:pPr>
        <w:tabs>
          <w:tab w:val="left" w:pos="851"/>
        </w:tabs>
        <w:ind w:left="851"/>
        <w:rPr>
          <w:bCs/>
          <w:sz w:val="24"/>
          <w:szCs w:val="24"/>
          <w:lang w:bidi="da-DK"/>
        </w:rPr>
      </w:pPr>
    </w:p>
    <w:p w14:paraId="026C7C98"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D57053C" w14:textId="77777777" w:rsidR="00D52FBE" w:rsidRPr="00D52FBE" w:rsidRDefault="00D52FBE" w:rsidP="00D52FBE">
      <w:pPr>
        <w:tabs>
          <w:tab w:val="left" w:pos="851"/>
        </w:tabs>
        <w:ind w:left="851"/>
        <w:rPr>
          <w:sz w:val="24"/>
          <w:szCs w:val="24"/>
          <w:u w:val="single"/>
          <w:lang w:bidi="da-DK"/>
        </w:rPr>
      </w:pPr>
      <w:bookmarkStart w:id="8" w:name="_Hlk149132220"/>
    </w:p>
    <w:p w14:paraId="5E7081D2" w14:textId="77777777" w:rsidR="00D52FBE" w:rsidRPr="00D52FBE" w:rsidRDefault="00D52FBE" w:rsidP="00D52FBE">
      <w:pPr>
        <w:tabs>
          <w:tab w:val="left" w:pos="851"/>
        </w:tabs>
        <w:ind w:left="851"/>
        <w:rPr>
          <w:sz w:val="24"/>
          <w:szCs w:val="24"/>
          <w:u w:val="single"/>
          <w:lang w:bidi="da-DK"/>
        </w:rPr>
      </w:pPr>
      <w:r w:rsidRPr="00D52FBE">
        <w:rPr>
          <w:sz w:val="24"/>
          <w:szCs w:val="24"/>
          <w:u w:val="single"/>
          <w:lang w:bidi="da-DK"/>
        </w:rPr>
        <w:t>Graviditet</w:t>
      </w:r>
    </w:p>
    <w:p w14:paraId="06EC087F" w14:textId="77777777" w:rsidR="00D52FBE" w:rsidRPr="00D52FBE" w:rsidRDefault="00D52FBE" w:rsidP="00D52FBE">
      <w:pPr>
        <w:tabs>
          <w:tab w:val="left" w:pos="851"/>
        </w:tabs>
        <w:ind w:left="851"/>
        <w:rPr>
          <w:sz w:val="24"/>
          <w:szCs w:val="24"/>
          <w:lang w:bidi="da-DK"/>
        </w:rPr>
      </w:pPr>
      <w:r w:rsidRPr="00D52FBE">
        <w:rPr>
          <w:bCs/>
          <w:sz w:val="24"/>
          <w:szCs w:val="24"/>
          <w:lang w:bidi="da-DK"/>
        </w:rPr>
        <w:t xml:space="preserve">Der er ingen eller meget utilstrækkelige data fra anvendelse af </w:t>
      </w:r>
      <w:r w:rsidRPr="00D52FBE">
        <w:rPr>
          <w:sz w:val="24"/>
          <w:szCs w:val="24"/>
          <w:lang w:bidi="da-DK"/>
        </w:rPr>
        <w:t xml:space="preserve">calciumchlorid </w:t>
      </w:r>
      <w:r w:rsidRPr="00D52FBE">
        <w:rPr>
          <w:bCs/>
          <w:sz w:val="24"/>
          <w:szCs w:val="24"/>
          <w:lang w:bidi="da-DK"/>
        </w:rPr>
        <w:t xml:space="preserve">til gravide patienter. Data fra dyreforsøg er utilstrækkelige hvad angår reproduktionstoksicitet (se pkt. 5.3). </w:t>
      </w:r>
      <w:r w:rsidRPr="00D52FBE">
        <w:rPr>
          <w:sz w:val="24"/>
          <w:szCs w:val="24"/>
          <w:lang w:bidi="da-DK"/>
        </w:rPr>
        <w:t>Icalziss bør ikke anvendes under graviditeten, medmindre der er et klart medicinsk behov for RCA, CRRT eller TPE.</w:t>
      </w:r>
    </w:p>
    <w:p w14:paraId="280E95C1" w14:textId="77777777" w:rsidR="00D52FBE" w:rsidRPr="00D52FBE" w:rsidRDefault="00D52FBE" w:rsidP="00D52FBE">
      <w:pPr>
        <w:tabs>
          <w:tab w:val="left" w:pos="851"/>
        </w:tabs>
        <w:ind w:left="851"/>
        <w:rPr>
          <w:sz w:val="24"/>
          <w:szCs w:val="24"/>
          <w:u w:val="single"/>
          <w:lang w:bidi="da-DK"/>
        </w:rPr>
      </w:pPr>
    </w:p>
    <w:p w14:paraId="5293C7A2" w14:textId="77777777" w:rsidR="00D52FBE" w:rsidRPr="00D52FBE" w:rsidRDefault="00D52FBE" w:rsidP="00D52FBE">
      <w:pPr>
        <w:tabs>
          <w:tab w:val="left" w:pos="851"/>
        </w:tabs>
        <w:ind w:left="851"/>
        <w:rPr>
          <w:sz w:val="24"/>
          <w:szCs w:val="24"/>
          <w:u w:val="single"/>
          <w:lang w:bidi="da-DK"/>
        </w:rPr>
      </w:pPr>
      <w:r w:rsidRPr="00D52FBE">
        <w:rPr>
          <w:sz w:val="24"/>
          <w:szCs w:val="24"/>
          <w:u w:val="single"/>
          <w:lang w:bidi="da-DK"/>
        </w:rPr>
        <w:t>Amning</w:t>
      </w:r>
    </w:p>
    <w:p w14:paraId="628A2027" w14:textId="77777777" w:rsidR="00D52FBE" w:rsidRPr="00D52FBE" w:rsidRDefault="00D52FBE" w:rsidP="00D52FBE">
      <w:pPr>
        <w:tabs>
          <w:tab w:val="left" w:pos="851"/>
        </w:tabs>
        <w:ind w:left="851"/>
        <w:rPr>
          <w:sz w:val="24"/>
          <w:szCs w:val="24"/>
          <w:lang w:bidi="da-DK"/>
        </w:rPr>
      </w:pPr>
      <w:r w:rsidRPr="00D52FBE">
        <w:rPr>
          <w:bCs/>
          <w:sz w:val="24"/>
          <w:szCs w:val="24"/>
          <w:lang w:bidi="da-DK"/>
        </w:rPr>
        <w:t xml:space="preserve">Calcium udskilles i human mælk, men der forventes ingen påvirkning af det ammede barn ved terapeutiske doser af </w:t>
      </w:r>
      <w:r w:rsidRPr="00D52FBE">
        <w:rPr>
          <w:sz w:val="24"/>
          <w:szCs w:val="24"/>
          <w:lang w:bidi="da-DK"/>
        </w:rPr>
        <w:t>Icalziss. Icalziss kan anvendes under amning, hvis moderens kliniske tilstand tillader det.</w:t>
      </w:r>
    </w:p>
    <w:p w14:paraId="6800699B" w14:textId="77777777" w:rsidR="00D52FBE" w:rsidRPr="00D52FBE" w:rsidRDefault="00D52FBE" w:rsidP="00D52FBE">
      <w:pPr>
        <w:tabs>
          <w:tab w:val="left" w:pos="851"/>
        </w:tabs>
        <w:ind w:left="851"/>
        <w:rPr>
          <w:sz w:val="24"/>
          <w:szCs w:val="24"/>
          <w:u w:val="single"/>
          <w:lang w:bidi="da-DK"/>
        </w:rPr>
      </w:pPr>
    </w:p>
    <w:p w14:paraId="72E05FA8" w14:textId="77777777" w:rsidR="00D52FBE" w:rsidRPr="00D52FBE" w:rsidRDefault="00D52FBE" w:rsidP="00D52FBE">
      <w:pPr>
        <w:tabs>
          <w:tab w:val="left" w:pos="851"/>
        </w:tabs>
        <w:ind w:left="851"/>
        <w:rPr>
          <w:sz w:val="24"/>
          <w:szCs w:val="24"/>
          <w:u w:val="single"/>
          <w:lang w:bidi="da-DK"/>
        </w:rPr>
      </w:pPr>
      <w:r w:rsidRPr="00D52FBE">
        <w:rPr>
          <w:sz w:val="24"/>
          <w:szCs w:val="24"/>
          <w:u w:val="single"/>
          <w:lang w:bidi="da-DK"/>
        </w:rPr>
        <w:t>Fertilitet</w:t>
      </w:r>
    </w:p>
    <w:p w14:paraId="5CCD1582" w14:textId="77777777" w:rsidR="00D52FBE" w:rsidRPr="00D52FBE" w:rsidRDefault="00D52FBE" w:rsidP="00D52FBE">
      <w:pPr>
        <w:tabs>
          <w:tab w:val="left" w:pos="851"/>
        </w:tabs>
        <w:ind w:left="851"/>
        <w:rPr>
          <w:bCs/>
          <w:sz w:val="24"/>
          <w:szCs w:val="24"/>
          <w:lang w:bidi="da-DK"/>
        </w:rPr>
      </w:pPr>
      <w:r w:rsidRPr="00D52FBE">
        <w:rPr>
          <w:bCs/>
          <w:sz w:val="24"/>
          <w:szCs w:val="24"/>
          <w:lang w:bidi="da-DK"/>
        </w:rPr>
        <w:t>Der foreligger ingen humane data angående indvirkningen på fertilitet.</w:t>
      </w:r>
    </w:p>
    <w:bookmarkEnd w:id="8"/>
    <w:p w14:paraId="3DC92D60" w14:textId="77777777" w:rsidR="009260DE" w:rsidRPr="00C84483" w:rsidRDefault="009260DE" w:rsidP="009260DE">
      <w:pPr>
        <w:tabs>
          <w:tab w:val="left" w:pos="851"/>
        </w:tabs>
        <w:ind w:left="851"/>
        <w:rPr>
          <w:sz w:val="24"/>
          <w:szCs w:val="24"/>
        </w:rPr>
      </w:pPr>
    </w:p>
    <w:p w14:paraId="69DE8082"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911B35D" w14:textId="77777777" w:rsidR="00B837E5" w:rsidRDefault="00B837E5" w:rsidP="00B837E5">
      <w:pPr>
        <w:tabs>
          <w:tab w:val="left" w:pos="851"/>
        </w:tabs>
        <w:ind w:left="851"/>
        <w:rPr>
          <w:sz w:val="24"/>
          <w:szCs w:val="24"/>
          <w:lang w:bidi="da-DK"/>
        </w:rPr>
      </w:pPr>
      <w:r>
        <w:rPr>
          <w:sz w:val="24"/>
          <w:szCs w:val="24"/>
          <w:lang w:bidi="da-DK"/>
        </w:rPr>
        <w:t>Ikke mærkning.</w:t>
      </w:r>
    </w:p>
    <w:p w14:paraId="10CEBBE6" w14:textId="73F715F1" w:rsidR="00B837E5" w:rsidRPr="00B837E5" w:rsidRDefault="00B837E5" w:rsidP="00B837E5">
      <w:pPr>
        <w:tabs>
          <w:tab w:val="left" w:pos="851"/>
        </w:tabs>
        <w:ind w:left="851"/>
        <w:rPr>
          <w:bCs/>
          <w:sz w:val="24"/>
          <w:szCs w:val="24"/>
          <w:lang w:bidi="da-DK"/>
        </w:rPr>
      </w:pPr>
      <w:r w:rsidRPr="00B837E5">
        <w:rPr>
          <w:sz w:val="24"/>
          <w:szCs w:val="24"/>
          <w:lang w:bidi="da-DK"/>
        </w:rPr>
        <w:t xml:space="preserve">Icalziss påvirker så vidt </w:t>
      </w:r>
      <w:r w:rsidRPr="00B837E5">
        <w:rPr>
          <w:bCs/>
          <w:sz w:val="24"/>
          <w:szCs w:val="24"/>
          <w:lang w:bidi="da-DK"/>
        </w:rPr>
        <w:t>vides ikke din evne til at føre motorkøretøj eller betjene maskiner.</w:t>
      </w:r>
    </w:p>
    <w:p w14:paraId="28D22580" w14:textId="77777777" w:rsidR="009260DE" w:rsidRPr="00C84483" w:rsidRDefault="009260DE" w:rsidP="009260DE">
      <w:pPr>
        <w:tabs>
          <w:tab w:val="left" w:pos="851"/>
        </w:tabs>
        <w:ind w:left="851"/>
        <w:rPr>
          <w:sz w:val="24"/>
          <w:szCs w:val="24"/>
        </w:rPr>
      </w:pPr>
    </w:p>
    <w:p w14:paraId="20F576C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07C3D29" w14:textId="77777777" w:rsidR="00B837E5" w:rsidRPr="00B837E5" w:rsidRDefault="00B837E5" w:rsidP="00B837E5">
      <w:pPr>
        <w:tabs>
          <w:tab w:val="left" w:pos="851"/>
        </w:tabs>
        <w:ind w:left="851"/>
        <w:rPr>
          <w:bCs/>
          <w:sz w:val="24"/>
          <w:szCs w:val="24"/>
          <w:lang w:bidi="da-DK"/>
        </w:rPr>
      </w:pPr>
      <w:r w:rsidRPr="00B837E5">
        <w:rPr>
          <w:sz w:val="24"/>
          <w:szCs w:val="24"/>
          <w:lang w:bidi="da-DK"/>
        </w:rPr>
        <w:t>Icalziss</w:t>
      </w:r>
      <w:r w:rsidRPr="00B837E5">
        <w:rPr>
          <w:bCs/>
          <w:sz w:val="24"/>
          <w:szCs w:val="24"/>
          <w:lang w:bidi="da-DK"/>
        </w:rPr>
        <w:t xml:space="preserve"> kan forårsage bivirkninger. Særlige forsigtighedsregler vedrørende brugen er beskrevet i pkt. 4.4.</w:t>
      </w:r>
    </w:p>
    <w:p w14:paraId="794328C8" w14:textId="77777777" w:rsidR="00B837E5" w:rsidRPr="00B837E5" w:rsidRDefault="00B837E5" w:rsidP="00B837E5">
      <w:pPr>
        <w:tabs>
          <w:tab w:val="left" w:pos="851"/>
        </w:tabs>
        <w:ind w:left="851"/>
        <w:rPr>
          <w:sz w:val="24"/>
          <w:szCs w:val="24"/>
          <w:lang w:bidi="da-DK"/>
        </w:rPr>
      </w:pPr>
    </w:p>
    <w:p w14:paraId="20806729" w14:textId="60B48201" w:rsidR="00B837E5" w:rsidRPr="00B837E5" w:rsidRDefault="00B837E5" w:rsidP="00B837E5">
      <w:pPr>
        <w:tabs>
          <w:tab w:val="left" w:pos="851"/>
        </w:tabs>
        <w:ind w:left="851"/>
        <w:rPr>
          <w:sz w:val="24"/>
          <w:szCs w:val="24"/>
          <w:lang w:bidi="da-DK"/>
        </w:rPr>
      </w:pPr>
      <w:r w:rsidRPr="00B837E5">
        <w:rPr>
          <w:sz w:val="24"/>
          <w:szCs w:val="24"/>
          <w:lang w:bidi="da-DK"/>
        </w:rPr>
        <w:t xml:space="preserve">Følgende bivirkninger er beskrevet i publiceret litteratur: </w:t>
      </w:r>
      <w:r>
        <w:rPr>
          <w:sz w:val="24"/>
          <w:szCs w:val="24"/>
          <w:lang w:bidi="da-DK"/>
        </w:rPr>
        <w:t>M</w:t>
      </w:r>
      <w:r w:rsidRPr="00B837E5">
        <w:rPr>
          <w:sz w:val="24"/>
          <w:szCs w:val="24"/>
          <w:lang w:bidi="da-DK"/>
        </w:rPr>
        <w:t>eget almindelig (≥1/10); almindelig (≥1/100 til &lt;1/10); ikke almindelig (≥1/1.000 til &lt;1/100); sjælden (≥1/10.000 til &lt;1/1.000); meget sjælden (&lt;1/10.000); ikke kendt (kan ikke estimeres ud fra forhåndenværende data).</w:t>
      </w:r>
    </w:p>
    <w:p w14:paraId="790255F3" w14:textId="77777777" w:rsidR="00B837E5" w:rsidRPr="00B837E5" w:rsidRDefault="00B837E5" w:rsidP="00B837E5">
      <w:pPr>
        <w:tabs>
          <w:tab w:val="left" w:pos="851"/>
        </w:tabs>
        <w:ind w:left="851"/>
        <w:rPr>
          <w:sz w:val="24"/>
          <w:szCs w:val="24"/>
          <w:lang w:bidi="da-DK"/>
        </w:rPr>
      </w:pPr>
    </w:p>
    <w:p w14:paraId="69A8451C" w14:textId="77777777" w:rsidR="00B837E5" w:rsidRPr="00B837E5" w:rsidRDefault="00B837E5" w:rsidP="00B837E5">
      <w:pPr>
        <w:tabs>
          <w:tab w:val="left" w:pos="851"/>
        </w:tabs>
        <w:ind w:left="851"/>
        <w:rPr>
          <w:sz w:val="24"/>
          <w:szCs w:val="24"/>
          <w:lang w:bidi="da-DK"/>
        </w:rPr>
      </w:pPr>
      <w:r w:rsidRPr="00B837E5">
        <w:rPr>
          <w:sz w:val="24"/>
          <w:szCs w:val="24"/>
          <w:lang w:bidi="da-DK"/>
        </w:rPr>
        <w:t>Følgende bivirkninger kan udløses af behandling med Icalziss (den nøjagtige hyppighed af sådanne bivirkninger er ikke kendt):</w:t>
      </w:r>
    </w:p>
    <w:p w14:paraId="77702A7F" w14:textId="77777777" w:rsidR="00B837E5" w:rsidRPr="00B837E5" w:rsidRDefault="00B837E5" w:rsidP="00B837E5">
      <w:pPr>
        <w:tabs>
          <w:tab w:val="left" w:pos="851"/>
        </w:tabs>
        <w:ind w:left="851"/>
        <w:rPr>
          <w:sz w:val="24"/>
          <w:szCs w:val="24"/>
          <w:lang w:bidi="da-DK"/>
        </w:rPr>
      </w:pP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6185"/>
      </w:tblGrid>
      <w:tr w:rsidR="00B837E5" w:rsidRPr="00B837E5" w14:paraId="52CFF722" w14:textId="77777777" w:rsidTr="00B837E5">
        <w:tc>
          <w:tcPr>
            <w:tcW w:w="3453" w:type="dxa"/>
          </w:tcPr>
          <w:p w14:paraId="251B367C" w14:textId="77777777" w:rsidR="00B837E5" w:rsidRPr="00B837E5" w:rsidRDefault="00B837E5" w:rsidP="00B837E5">
            <w:pPr>
              <w:tabs>
                <w:tab w:val="left" w:pos="851"/>
              </w:tabs>
              <w:ind w:left="851"/>
              <w:rPr>
                <w:sz w:val="24"/>
                <w:szCs w:val="24"/>
              </w:rPr>
            </w:pPr>
            <w:r w:rsidRPr="00B837E5">
              <w:rPr>
                <w:sz w:val="24"/>
                <w:szCs w:val="24"/>
              </w:rPr>
              <w:t>Metabolisme og ernæring</w:t>
            </w:r>
          </w:p>
          <w:p w14:paraId="2005FFB3" w14:textId="77777777" w:rsidR="00B837E5" w:rsidRPr="00B837E5" w:rsidRDefault="00B837E5" w:rsidP="00B837E5">
            <w:pPr>
              <w:tabs>
                <w:tab w:val="left" w:pos="851"/>
              </w:tabs>
              <w:ind w:left="851"/>
              <w:rPr>
                <w:sz w:val="24"/>
                <w:szCs w:val="24"/>
              </w:rPr>
            </w:pPr>
          </w:p>
        </w:tc>
        <w:tc>
          <w:tcPr>
            <w:tcW w:w="6186" w:type="dxa"/>
          </w:tcPr>
          <w:p w14:paraId="212F48E6" w14:textId="77777777" w:rsidR="00B837E5" w:rsidRPr="00B837E5" w:rsidRDefault="00B837E5" w:rsidP="00B837E5">
            <w:pPr>
              <w:numPr>
                <w:ilvl w:val="0"/>
                <w:numId w:val="7"/>
              </w:numPr>
              <w:tabs>
                <w:tab w:val="clear" w:pos="567"/>
                <w:tab w:val="left" w:pos="851"/>
              </w:tabs>
              <w:spacing w:line="240" w:lineRule="auto"/>
              <w:rPr>
                <w:sz w:val="24"/>
                <w:szCs w:val="24"/>
              </w:rPr>
            </w:pPr>
            <w:r w:rsidRPr="00B837E5">
              <w:rPr>
                <w:sz w:val="24"/>
                <w:szCs w:val="24"/>
              </w:rPr>
              <w:t>Hypervolæmi eller hypovolæmi</w:t>
            </w:r>
          </w:p>
          <w:p w14:paraId="2E0C7559" w14:textId="77777777" w:rsidR="00B837E5" w:rsidRPr="00B837E5" w:rsidRDefault="00B837E5" w:rsidP="00B837E5">
            <w:pPr>
              <w:tabs>
                <w:tab w:val="left" w:pos="851"/>
              </w:tabs>
              <w:ind w:left="851"/>
              <w:rPr>
                <w:sz w:val="24"/>
                <w:szCs w:val="24"/>
              </w:rPr>
            </w:pPr>
          </w:p>
          <w:p w14:paraId="2EFEB059" w14:textId="77777777" w:rsidR="00B837E5" w:rsidRPr="00B837E5" w:rsidRDefault="00B837E5" w:rsidP="00B837E5">
            <w:pPr>
              <w:numPr>
                <w:ilvl w:val="0"/>
                <w:numId w:val="7"/>
              </w:numPr>
              <w:tabs>
                <w:tab w:val="clear" w:pos="567"/>
                <w:tab w:val="left" w:pos="851"/>
              </w:tabs>
              <w:spacing w:line="240" w:lineRule="auto"/>
              <w:rPr>
                <w:sz w:val="24"/>
                <w:szCs w:val="24"/>
              </w:rPr>
            </w:pPr>
            <w:r w:rsidRPr="00B837E5">
              <w:rPr>
                <w:sz w:val="24"/>
                <w:szCs w:val="24"/>
              </w:rPr>
              <w:t xml:space="preserve">Hypercalcæmi på grund af overdosering af </w:t>
            </w:r>
            <w:r w:rsidRPr="00B837E5">
              <w:rPr>
                <w:rFonts w:eastAsia="Times New Roman"/>
                <w:sz w:val="24"/>
                <w:szCs w:val="24"/>
              </w:rPr>
              <w:t>Icalziss eller ved passende dosis</w:t>
            </w:r>
            <w:r w:rsidRPr="00B837E5">
              <w:rPr>
                <w:sz w:val="24"/>
                <w:szCs w:val="24"/>
              </w:rPr>
              <w:t>. Hvis dette sker, bør calciumakkumulerin som følge af ineffektiv blodrensning på grund af membranokklusion overvejes (se pkt. 4.4)</w:t>
            </w:r>
          </w:p>
          <w:p w14:paraId="7BC01813" w14:textId="77777777" w:rsidR="00B837E5" w:rsidRPr="00B837E5" w:rsidRDefault="00B837E5" w:rsidP="00B837E5">
            <w:pPr>
              <w:tabs>
                <w:tab w:val="left" w:pos="851"/>
              </w:tabs>
              <w:ind w:left="851"/>
              <w:rPr>
                <w:sz w:val="24"/>
                <w:szCs w:val="24"/>
              </w:rPr>
            </w:pPr>
          </w:p>
          <w:p w14:paraId="136897A0" w14:textId="77777777" w:rsidR="00B837E5" w:rsidRPr="00B837E5" w:rsidRDefault="00B837E5" w:rsidP="00B837E5">
            <w:pPr>
              <w:numPr>
                <w:ilvl w:val="0"/>
                <w:numId w:val="7"/>
              </w:numPr>
              <w:tabs>
                <w:tab w:val="clear" w:pos="567"/>
                <w:tab w:val="left" w:pos="851"/>
              </w:tabs>
              <w:spacing w:line="240" w:lineRule="auto"/>
              <w:rPr>
                <w:sz w:val="24"/>
                <w:szCs w:val="24"/>
              </w:rPr>
            </w:pPr>
            <w:r w:rsidRPr="00B837E5">
              <w:rPr>
                <w:sz w:val="24"/>
                <w:szCs w:val="24"/>
              </w:rPr>
              <w:lastRenderedPageBreak/>
              <w:t>Hypocalcæmi på grund af underdosering af Icalziss eller ved passende dosis. Hvis dette sker, skal citratakkumulering overvejes (se pkt. 4.4)</w:t>
            </w:r>
          </w:p>
          <w:p w14:paraId="2E8D9F61" w14:textId="77777777" w:rsidR="00B837E5" w:rsidRPr="00B837E5" w:rsidRDefault="00B837E5" w:rsidP="00B837E5">
            <w:pPr>
              <w:tabs>
                <w:tab w:val="left" w:pos="851"/>
              </w:tabs>
              <w:ind w:left="851"/>
              <w:rPr>
                <w:sz w:val="24"/>
                <w:szCs w:val="24"/>
              </w:rPr>
            </w:pPr>
          </w:p>
          <w:p w14:paraId="0A28264E" w14:textId="77777777" w:rsidR="00B837E5" w:rsidRPr="00B837E5" w:rsidRDefault="00B837E5" w:rsidP="00B837E5">
            <w:pPr>
              <w:numPr>
                <w:ilvl w:val="0"/>
                <w:numId w:val="7"/>
              </w:numPr>
              <w:tabs>
                <w:tab w:val="clear" w:pos="567"/>
                <w:tab w:val="left" w:pos="851"/>
              </w:tabs>
              <w:spacing w:line="240" w:lineRule="auto"/>
              <w:rPr>
                <w:sz w:val="24"/>
                <w:szCs w:val="24"/>
              </w:rPr>
            </w:pPr>
            <w:r w:rsidRPr="00B837E5">
              <w:rPr>
                <w:sz w:val="24"/>
                <w:szCs w:val="24"/>
              </w:rPr>
              <w:t>Metabolisk acidose eller alkalose</w:t>
            </w:r>
          </w:p>
          <w:p w14:paraId="41523E8D" w14:textId="77777777" w:rsidR="00B837E5" w:rsidRPr="00B837E5" w:rsidRDefault="00B837E5" w:rsidP="00B837E5">
            <w:pPr>
              <w:tabs>
                <w:tab w:val="left" w:pos="851"/>
              </w:tabs>
              <w:ind w:left="851"/>
              <w:rPr>
                <w:sz w:val="24"/>
                <w:szCs w:val="24"/>
              </w:rPr>
            </w:pPr>
          </w:p>
          <w:p w14:paraId="0B367441" w14:textId="77777777" w:rsidR="00B837E5" w:rsidRPr="00B837E5" w:rsidRDefault="00B837E5" w:rsidP="00B837E5">
            <w:pPr>
              <w:numPr>
                <w:ilvl w:val="0"/>
                <w:numId w:val="7"/>
              </w:numPr>
              <w:tabs>
                <w:tab w:val="clear" w:pos="567"/>
                <w:tab w:val="left" w:pos="851"/>
              </w:tabs>
              <w:spacing w:line="240" w:lineRule="auto"/>
              <w:rPr>
                <w:sz w:val="24"/>
                <w:szCs w:val="24"/>
              </w:rPr>
            </w:pPr>
            <w:r w:rsidRPr="00B837E5">
              <w:rPr>
                <w:iCs/>
                <w:sz w:val="24"/>
                <w:szCs w:val="24"/>
              </w:rPr>
              <w:t>Andre elektrolytforstyrrelser (dvs. hypokaliæmi, hypophosphatæmi og hyperchloræmi)</w:t>
            </w:r>
          </w:p>
          <w:p w14:paraId="43168A99" w14:textId="77777777" w:rsidR="00B837E5" w:rsidRPr="00B837E5" w:rsidRDefault="00B837E5" w:rsidP="00B837E5">
            <w:pPr>
              <w:tabs>
                <w:tab w:val="left" w:pos="851"/>
              </w:tabs>
              <w:ind w:left="851"/>
              <w:rPr>
                <w:sz w:val="24"/>
                <w:szCs w:val="24"/>
              </w:rPr>
            </w:pPr>
          </w:p>
        </w:tc>
      </w:tr>
      <w:tr w:rsidR="00B837E5" w:rsidRPr="00B837E5" w14:paraId="0BC711BE" w14:textId="77777777" w:rsidTr="00B837E5">
        <w:tc>
          <w:tcPr>
            <w:tcW w:w="3453" w:type="dxa"/>
          </w:tcPr>
          <w:p w14:paraId="0F48AE3E" w14:textId="77777777" w:rsidR="00B837E5" w:rsidRPr="00B837E5" w:rsidRDefault="00B837E5" w:rsidP="00B837E5">
            <w:pPr>
              <w:tabs>
                <w:tab w:val="left" w:pos="851"/>
              </w:tabs>
              <w:ind w:left="851"/>
              <w:rPr>
                <w:sz w:val="24"/>
                <w:szCs w:val="24"/>
              </w:rPr>
            </w:pPr>
            <w:r w:rsidRPr="00B837E5">
              <w:rPr>
                <w:sz w:val="24"/>
                <w:szCs w:val="24"/>
              </w:rPr>
              <w:lastRenderedPageBreak/>
              <w:t>Vaskulære sygdomme</w:t>
            </w:r>
          </w:p>
          <w:p w14:paraId="725140A9" w14:textId="77777777" w:rsidR="00B837E5" w:rsidRPr="00B837E5" w:rsidRDefault="00B837E5" w:rsidP="00B837E5">
            <w:pPr>
              <w:tabs>
                <w:tab w:val="left" w:pos="851"/>
              </w:tabs>
              <w:ind w:left="851"/>
              <w:rPr>
                <w:sz w:val="24"/>
                <w:szCs w:val="24"/>
              </w:rPr>
            </w:pPr>
          </w:p>
          <w:p w14:paraId="322A7FD1" w14:textId="77777777" w:rsidR="00B837E5" w:rsidRPr="00B837E5" w:rsidRDefault="00B837E5" w:rsidP="00B837E5">
            <w:pPr>
              <w:tabs>
                <w:tab w:val="left" w:pos="851"/>
              </w:tabs>
              <w:ind w:left="851"/>
              <w:rPr>
                <w:sz w:val="24"/>
                <w:szCs w:val="24"/>
              </w:rPr>
            </w:pPr>
          </w:p>
        </w:tc>
        <w:tc>
          <w:tcPr>
            <w:tcW w:w="6186" w:type="dxa"/>
            <w:hideMark/>
          </w:tcPr>
          <w:p w14:paraId="23764879" w14:textId="77777777" w:rsidR="00B837E5" w:rsidRPr="00B837E5" w:rsidRDefault="00B837E5" w:rsidP="00B837E5">
            <w:pPr>
              <w:numPr>
                <w:ilvl w:val="0"/>
                <w:numId w:val="8"/>
              </w:numPr>
              <w:tabs>
                <w:tab w:val="clear" w:pos="567"/>
                <w:tab w:val="left" w:pos="851"/>
              </w:tabs>
              <w:spacing w:line="240" w:lineRule="auto"/>
              <w:rPr>
                <w:sz w:val="24"/>
                <w:szCs w:val="24"/>
              </w:rPr>
            </w:pPr>
            <w:r w:rsidRPr="00B837E5">
              <w:rPr>
                <w:sz w:val="24"/>
                <w:szCs w:val="24"/>
              </w:rPr>
              <w:t>Hypotension</w:t>
            </w:r>
          </w:p>
        </w:tc>
      </w:tr>
      <w:tr w:rsidR="00B837E5" w:rsidRPr="00B837E5" w14:paraId="1F64DC65" w14:textId="77777777" w:rsidTr="00B837E5">
        <w:tc>
          <w:tcPr>
            <w:tcW w:w="3453" w:type="dxa"/>
          </w:tcPr>
          <w:p w14:paraId="6F0059F2" w14:textId="77777777" w:rsidR="00B837E5" w:rsidRPr="00B837E5" w:rsidRDefault="00B837E5" w:rsidP="00B837E5">
            <w:pPr>
              <w:tabs>
                <w:tab w:val="left" w:pos="851"/>
              </w:tabs>
              <w:ind w:left="851"/>
              <w:rPr>
                <w:sz w:val="24"/>
                <w:szCs w:val="24"/>
              </w:rPr>
            </w:pPr>
            <w:r w:rsidRPr="00B837E5">
              <w:rPr>
                <w:sz w:val="24"/>
                <w:szCs w:val="24"/>
              </w:rPr>
              <w:t>Almene symptomer og reaktioner på administrationsstedet</w:t>
            </w:r>
          </w:p>
          <w:p w14:paraId="7B879464" w14:textId="77777777" w:rsidR="00B837E5" w:rsidRPr="00B837E5" w:rsidRDefault="00B837E5" w:rsidP="00B837E5">
            <w:pPr>
              <w:tabs>
                <w:tab w:val="left" w:pos="851"/>
              </w:tabs>
              <w:ind w:left="851"/>
              <w:rPr>
                <w:sz w:val="24"/>
                <w:szCs w:val="24"/>
              </w:rPr>
            </w:pPr>
          </w:p>
        </w:tc>
        <w:tc>
          <w:tcPr>
            <w:tcW w:w="6186" w:type="dxa"/>
            <w:hideMark/>
          </w:tcPr>
          <w:p w14:paraId="1B54CDB8" w14:textId="77777777" w:rsidR="00B837E5" w:rsidRPr="00B837E5" w:rsidRDefault="00B837E5" w:rsidP="00B837E5">
            <w:pPr>
              <w:numPr>
                <w:ilvl w:val="0"/>
                <w:numId w:val="7"/>
              </w:numPr>
              <w:tabs>
                <w:tab w:val="clear" w:pos="567"/>
                <w:tab w:val="left" w:pos="851"/>
              </w:tabs>
              <w:spacing w:line="240" w:lineRule="auto"/>
              <w:rPr>
                <w:sz w:val="24"/>
                <w:szCs w:val="24"/>
              </w:rPr>
            </w:pPr>
            <w:r w:rsidRPr="00B837E5">
              <w:rPr>
                <w:sz w:val="24"/>
                <w:szCs w:val="24"/>
              </w:rPr>
              <w:t>Hypotermi</w:t>
            </w:r>
          </w:p>
        </w:tc>
      </w:tr>
    </w:tbl>
    <w:p w14:paraId="7B67CC47" w14:textId="77777777" w:rsidR="00B837E5" w:rsidRPr="00B837E5" w:rsidRDefault="00B837E5" w:rsidP="00B837E5">
      <w:pPr>
        <w:tabs>
          <w:tab w:val="left" w:pos="851"/>
        </w:tabs>
        <w:ind w:left="851"/>
        <w:rPr>
          <w:sz w:val="24"/>
          <w:szCs w:val="24"/>
          <w:lang w:bidi="da-DK"/>
        </w:rPr>
      </w:pPr>
    </w:p>
    <w:p w14:paraId="5814CBD5" w14:textId="77777777" w:rsidR="00B837E5" w:rsidRPr="00B837E5" w:rsidRDefault="00B837E5" w:rsidP="00B837E5">
      <w:pPr>
        <w:tabs>
          <w:tab w:val="left" w:pos="851"/>
        </w:tabs>
        <w:ind w:left="851"/>
        <w:rPr>
          <w:sz w:val="24"/>
          <w:szCs w:val="24"/>
          <w:lang w:bidi="da-DK"/>
        </w:rPr>
      </w:pPr>
      <w:r w:rsidRPr="00B837E5">
        <w:rPr>
          <w:sz w:val="24"/>
          <w:szCs w:val="24"/>
          <w:lang w:bidi="da-DK"/>
        </w:rPr>
        <w:t>Følgende bivirkninger kan forventes for behandlingsmetoden:</w:t>
      </w:r>
    </w:p>
    <w:p w14:paraId="30DC96F4" w14:textId="77777777" w:rsidR="00B837E5" w:rsidRPr="00B837E5" w:rsidRDefault="00B837E5" w:rsidP="00B837E5">
      <w:pPr>
        <w:tabs>
          <w:tab w:val="left" w:pos="851"/>
        </w:tabs>
        <w:ind w:left="851"/>
        <w:rPr>
          <w:sz w:val="24"/>
          <w:szCs w:val="24"/>
          <w:lang w:bidi="da-DK"/>
        </w:rPr>
      </w:pP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5718"/>
      </w:tblGrid>
      <w:tr w:rsidR="00B837E5" w:rsidRPr="00B837E5" w14:paraId="548E9333" w14:textId="77777777" w:rsidTr="00B837E5">
        <w:tc>
          <w:tcPr>
            <w:tcW w:w="3353" w:type="dxa"/>
          </w:tcPr>
          <w:p w14:paraId="1997C9B0" w14:textId="77777777" w:rsidR="00B837E5" w:rsidRPr="00B837E5" w:rsidRDefault="00B837E5" w:rsidP="00B837E5">
            <w:pPr>
              <w:tabs>
                <w:tab w:val="left" w:pos="851"/>
              </w:tabs>
              <w:ind w:left="851"/>
              <w:rPr>
                <w:sz w:val="24"/>
                <w:szCs w:val="24"/>
              </w:rPr>
            </w:pPr>
            <w:r w:rsidRPr="00B837E5">
              <w:rPr>
                <w:sz w:val="24"/>
                <w:szCs w:val="24"/>
              </w:rPr>
              <w:t>Traumer, forgiftninger og behandlingskomplikationer</w:t>
            </w:r>
          </w:p>
          <w:p w14:paraId="6F211D81" w14:textId="77777777" w:rsidR="00B837E5" w:rsidRPr="00B837E5" w:rsidRDefault="00B837E5" w:rsidP="00B837E5">
            <w:pPr>
              <w:tabs>
                <w:tab w:val="left" w:pos="851"/>
              </w:tabs>
              <w:ind w:left="851"/>
              <w:rPr>
                <w:sz w:val="24"/>
                <w:szCs w:val="24"/>
              </w:rPr>
            </w:pPr>
          </w:p>
        </w:tc>
        <w:tc>
          <w:tcPr>
            <w:tcW w:w="5718" w:type="dxa"/>
          </w:tcPr>
          <w:p w14:paraId="6475E362" w14:textId="77777777" w:rsidR="00B837E5" w:rsidRPr="00B837E5" w:rsidRDefault="00B837E5" w:rsidP="00B837E5">
            <w:pPr>
              <w:numPr>
                <w:ilvl w:val="0"/>
                <w:numId w:val="8"/>
              </w:numPr>
              <w:tabs>
                <w:tab w:val="clear" w:pos="567"/>
                <w:tab w:val="left" w:pos="851"/>
              </w:tabs>
              <w:spacing w:line="240" w:lineRule="auto"/>
              <w:rPr>
                <w:sz w:val="24"/>
                <w:szCs w:val="24"/>
              </w:rPr>
            </w:pPr>
            <w:r w:rsidRPr="00B837E5">
              <w:rPr>
                <w:sz w:val="24"/>
                <w:szCs w:val="24"/>
              </w:rPr>
              <w:t xml:space="preserve">Der kan forekomme irritation på infusionsstedet og ekstravasation ved administration af </w:t>
            </w:r>
            <w:r w:rsidRPr="00B837E5">
              <w:rPr>
                <w:rFonts w:eastAsia="Times New Roman"/>
                <w:sz w:val="24"/>
                <w:szCs w:val="24"/>
              </w:rPr>
              <w:t>Icalziss</w:t>
            </w:r>
            <w:r w:rsidRPr="00B837E5">
              <w:rPr>
                <w:sz w:val="24"/>
                <w:szCs w:val="24"/>
              </w:rPr>
              <w:t xml:space="preserve"> ad anden vej end tilsigtet (dvs. infusion i det ekstrakorporale kredsløb eller central venøs infusion). Symptomerne kan være svie, nekrose, vævsdød, cellulitis og bløddelsforkalkning.</w:t>
            </w:r>
          </w:p>
          <w:p w14:paraId="19A11AD1" w14:textId="77777777" w:rsidR="00B837E5" w:rsidRPr="00B837E5" w:rsidRDefault="00B837E5" w:rsidP="00B837E5">
            <w:pPr>
              <w:tabs>
                <w:tab w:val="left" w:pos="851"/>
              </w:tabs>
              <w:ind w:left="851"/>
              <w:rPr>
                <w:sz w:val="24"/>
                <w:szCs w:val="24"/>
              </w:rPr>
            </w:pPr>
          </w:p>
        </w:tc>
      </w:tr>
    </w:tbl>
    <w:p w14:paraId="7CB1EC1B" w14:textId="77777777" w:rsidR="00B837E5" w:rsidRPr="00B837E5" w:rsidRDefault="00B837E5" w:rsidP="00B837E5">
      <w:pPr>
        <w:tabs>
          <w:tab w:val="left" w:pos="851"/>
        </w:tabs>
        <w:ind w:left="851"/>
        <w:rPr>
          <w:sz w:val="24"/>
          <w:szCs w:val="24"/>
          <w:lang w:bidi="da-DK"/>
        </w:rPr>
      </w:pPr>
    </w:p>
    <w:p w14:paraId="50BBCD2E" w14:textId="77777777" w:rsidR="00B837E5" w:rsidRPr="00B837E5" w:rsidRDefault="00B837E5" w:rsidP="00B837E5">
      <w:pPr>
        <w:tabs>
          <w:tab w:val="left" w:pos="851"/>
        </w:tabs>
        <w:ind w:left="851"/>
        <w:rPr>
          <w:sz w:val="24"/>
          <w:szCs w:val="24"/>
          <w:u w:val="single"/>
          <w:lang w:bidi="da-DK"/>
        </w:rPr>
      </w:pPr>
      <w:r w:rsidRPr="00B837E5">
        <w:rPr>
          <w:sz w:val="24"/>
          <w:szCs w:val="24"/>
          <w:u w:val="single"/>
          <w:lang w:bidi="da-DK"/>
        </w:rPr>
        <w:t>Indberetning af formodede bivirkninger</w:t>
      </w:r>
    </w:p>
    <w:p w14:paraId="5E2658AF" w14:textId="77777777" w:rsidR="00B837E5" w:rsidRPr="00B837E5" w:rsidRDefault="00B837E5" w:rsidP="00B837E5">
      <w:pPr>
        <w:tabs>
          <w:tab w:val="left" w:pos="851"/>
        </w:tabs>
        <w:ind w:left="851"/>
        <w:rPr>
          <w:bCs/>
          <w:sz w:val="24"/>
          <w:szCs w:val="24"/>
          <w:lang w:bidi="da-DK"/>
        </w:rPr>
      </w:pPr>
      <w:r w:rsidRPr="00B837E5">
        <w:rPr>
          <w:bCs/>
          <w:sz w:val="24"/>
          <w:szCs w:val="24"/>
          <w:lang w:bidi="da-DK"/>
        </w:rPr>
        <w:t>Når lægemidlet er godkendt, er indberetning af formodede bivirkninger vigtig. Det muliggør løbende overvågning af benefit/risk-forholdet for lægemidlet. Sundhedspersoner anmodes om at indberette alle formodede bivirkninger via:</w:t>
      </w:r>
    </w:p>
    <w:p w14:paraId="002519A7" w14:textId="77777777" w:rsidR="00B837E5" w:rsidRPr="00B837E5" w:rsidRDefault="00B837E5" w:rsidP="00B837E5">
      <w:pPr>
        <w:tabs>
          <w:tab w:val="left" w:pos="851"/>
        </w:tabs>
        <w:ind w:left="851"/>
        <w:rPr>
          <w:bCs/>
          <w:sz w:val="24"/>
          <w:szCs w:val="24"/>
          <w:lang w:bidi="da-DK"/>
        </w:rPr>
      </w:pPr>
    </w:p>
    <w:p w14:paraId="2A55DA9C" w14:textId="77777777" w:rsidR="00B837E5" w:rsidRPr="00B837E5" w:rsidRDefault="00B837E5" w:rsidP="00B837E5">
      <w:pPr>
        <w:tabs>
          <w:tab w:val="left" w:pos="851"/>
        </w:tabs>
        <w:ind w:left="851"/>
        <w:rPr>
          <w:bCs/>
          <w:sz w:val="24"/>
          <w:szCs w:val="24"/>
          <w:lang w:bidi="da-DK"/>
        </w:rPr>
      </w:pPr>
      <w:r w:rsidRPr="00B837E5">
        <w:rPr>
          <w:bCs/>
          <w:sz w:val="24"/>
          <w:szCs w:val="24"/>
          <w:lang w:bidi="da-DK"/>
        </w:rPr>
        <w:t>Lægemiddelstyrelsen</w:t>
      </w:r>
    </w:p>
    <w:p w14:paraId="3AB05C54" w14:textId="77777777" w:rsidR="00B837E5" w:rsidRPr="00B837E5" w:rsidRDefault="00B837E5" w:rsidP="00B837E5">
      <w:pPr>
        <w:tabs>
          <w:tab w:val="left" w:pos="851"/>
        </w:tabs>
        <w:ind w:left="851"/>
        <w:rPr>
          <w:bCs/>
          <w:sz w:val="24"/>
          <w:szCs w:val="24"/>
          <w:lang w:bidi="da-DK"/>
        </w:rPr>
      </w:pPr>
      <w:r w:rsidRPr="00B837E5">
        <w:rPr>
          <w:bCs/>
          <w:sz w:val="24"/>
          <w:szCs w:val="24"/>
          <w:lang w:bidi="da-DK"/>
        </w:rPr>
        <w:t>Axel Heides Gade 1</w:t>
      </w:r>
    </w:p>
    <w:p w14:paraId="1AD2D996" w14:textId="77777777" w:rsidR="00B837E5" w:rsidRPr="00B837E5" w:rsidRDefault="00B837E5" w:rsidP="00B837E5">
      <w:pPr>
        <w:tabs>
          <w:tab w:val="left" w:pos="851"/>
        </w:tabs>
        <w:ind w:left="851"/>
        <w:rPr>
          <w:bCs/>
          <w:sz w:val="24"/>
          <w:szCs w:val="24"/>
          <w:lang w:bidi="da-DK"/>
        </w:rPr>
      </w:pPr>
      <w:r w:rsidRPr="00B837E5">
        <w:rPr>
          <w:bCs/>
          <w:sz w:val="24"/>
          <w:szCs w:val="24"/>
          <w:lang w:bidi="da-DK"/>
        </w:rPr>
        <w:t>DK-2300 København S</w:t>
      </w:r>
    </w:p>
    <w:p w14:paraId="25F20584" w14:textId="0E33BB0A" w:rsidR="00B837E5" w:rsidRPr="00B837E5" w:rsidRDefault="00B837E5" w:rsidP="00B837E5">
      <w:pPr>
        <w:tabs>
          <w:tab w:val="left" w:pos="851"/>
        </w:tabs>
        <w:ind w:left="851"/>
        <w:rPr>
          <w:bCs/>
          <w:sz w:val="24"/>
          <w:szCs w:val="24"/>
          <w:lang w:bidi="da-DK"/>
        </w:rPr>
      </w:pPr>
      <w:r w:rsidRPr="00B837E5">
        <w:rPr>
          <w:bCs/>
          <w:sz w:val="24"/>
          <w:szCs w:val="24"/>
          <w:lang w:bidi="da-DK"/>
        </w:rPr>
        <w:t>Websted: www.meldenbivirkning.dk</w:t>
      </w:r>
    </w:p>
    <w:p w14:paraId="06B4FCE7" w14:textId="77777777" w:rsidR="009260DE" w:rsidRPr="00A10294" w:rsidRDefault="009260DE" w:rsidP="00A10294">
      <w:pPr>
        <w:tabs>
          <w:tab w:val="left" w:pos="851"/>
        </w:tabs>
        <w:ind w:left="851"/>
        <w:rPr>
          <w:sz w:val="24"/>
          <w:szCs w:val="24"/>
        </w:rPr>
      </w:pPr>
    </w:p>
    <w:p w14:paraId="6856EB6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786789C" w14:textId="77777777" w:rsidR="00F92578" w:rsidRPr="00F92578" w:rsidRDefault="00F92578" w:rsidP="00F92578">
      <w:pPr>
        <w:tabs>
          <w:tab w:val="left" w:pos="851"/>
        </w:tabs>
        <w:ind w:left="851"/>
        <w:rPr>
          <w:bCs/>
          <w:sz w:val="24"/>
          <w:szCs w:val="24"/>
          <w:lang w:bidi="da-DK"/>
        </w:rPr>
      </w:pPr>
      <w:r w:rsidRPr="00F92578">
        <w:rPr>
          <w:bCs/>
          <w:sz w:val="24"/>
          <w:szCs w:val="24"/>
          <w:lang w:bidi="da-DK"/>
        </w:rPr>
        <w:t xml:space="preserve">Hurtig eller overdreven administration af </w:t>
      </w:r>
      <w:r w:rsidRPr="00F92578">
        <w:rPr>
          <w:sz w:val="24"/>
          <w:szCs w:val="24"/>
          <w:lang w:bidi="da-DK"/>
        </w:rPr>
        <w:t xml:space="preserve">Icalziss </w:t>
      </w:r>
      <w:r w:rsidRPr="00F92578">
        <w:rPr>
          <w:bCs/>
          <w:sz w:val="24"/>
          <w:szCs w:val="24"/>
          <w:lang w:bidi="da-DK"/>
        </w:rPr>
        <w:t>kan medføre hypercalcæmi (henholdsvis total plasmakoncentration &gt;3 mmol/l og ioniseret calcium &gt;1,3 mmol/l), som skal korrigeres på medicinsk passende vis.</w:t>
      </w:r>
    </w:p>
    <w:p w14:paraId="4CCDAEFF" w14:textId="77777777" w:rsidR="00F92578" w:rsidRPr="00F92578" w:rsidRDefault="00F92578" w:rsidP="00F92578">
      <w:pPr>
        <w:tabs>
          <w:tab w:val="left" w:pos="851"/>
        </w:tabs>
        <w:ind w:left="851"/>
        <w:rPr>
          <w:sz w:val="24"/>
          <w:szCs w:val="24"/>
          <w:u w:val="single"/>
          <w:lang w:bidi="da-DK"/>
        </w:rPr>
      </w:pPr>
    </w:p>
    <w:p w14:paraId="09BF3A91" w14:textId="77777777" w:rsidR="00F92578" w:rsidRPr="00F92578" w:rsidRDefault="00F92578" w:rsidP="00F92578">
      <w:pPr>
        <w:tabs>
          <w:tab w:val="left" w:pos="851"/>
        </w:tabs>
        <w:ind w:left="851"/>
        <w:rPr>
          <w:bCs/>
          <w:sz w:val="24"/>
          <w:szCs w:val="24"/>
          <w:lang w:bidi="da-DK"/>
        </w:rPr>
      </w:pPr>
      <w:r w:rsidRPr="00F92578">
        <w:rPr>
          <w:sz w:val="24"/>
          <w:szCs w:val="24"/>
          <w:u w:val="single"/>
          <w:lang w:bidi="da-DK"/>
        </w:rPr>
        <w:t>Nødforanstaltninger, modforanstaltninger</w:t>
      </w:r>
    </w:p>
    <w:p w14:paraId="2D55300D" w14:textId="77777777" w:rsidR="00F92578" w:rsidRPr="00F92578" w:rsidRDefault="00F92578" w:rsidP="00F92578">
      <w:pPr>
        <w:tabs>
          <w:tab w:val="left" w:pos="851"/>
        </w:tabs>
        <w:ind w:left="851"/>
        <w:rPr>
          <w:bCs/>
          <w:i/>
          <w:iCs/>
          <w:sz w:val="24"/>
          <w:szCs w:val="24"/>
          <w:u w:val="single"/>
          <w:lang w:bidi="da-DK"/>
        </w:rPr>
      </w:pPr>
      <w:r w:rsidRPr="00F92578">
        <w:rPr>
          <w:bCs/>
          <w:sz w:val="24"/>
          <w:szCs w:val="24"/>
          <w:lang w:bidi="da-DK"/>
        </w:rPr>
        <w:t xml:space="preserve">Stop eller reducer straks administrationen af </w:t>
      </w:r>
      <w:r w:rsidRPr="00F92578">
        <w:rPr>
          <w:sz w:val="24"/>
          <w:szCs w:val="24"/>
          <w:lang w:bidi="da-DK"/>
        </w:rPr>
        <w:t xml:space="preserve">Icalziss, </w:t>
      </w:r>
      <w:r w:rsidRPr="00F92578">
        <w:rPr>
          <w:bCs/>
          <w:sz w:val="24"/>
          <w:szCs w:val="24"/>
          <w:lang w:bidi="da-DK"/>
        </w:rPr>
        <w:t>hvis der bemærkes tegn eller symptomer på hypercalcæmi. I tilfælde af alvorligt forhøjede calciumniveauer skal der hurtigst muligt foretages en reduktion af calciumniveauet. Hvis en tilstrækkelig nyrefunktion opretholdes, bør en forceret diurese med samtidig infusion af normal natriumchloridopløsning (0,9 mg/ml NaCl) overvejes med nøje monitorering af væskebalance og plasmaelektrolytkoncentrationer. Hos patienter med nedsat nyrefunktion kan dialyse med calciumfrit dialysat overvejes.</w:t>
      </w:r>
    </w:p>
    <w:p w14:paraId="38211BBE" w14:textId="2ED21BC8" w:rsidR="00F92578" w:rsidRDefault="00F92578">
      <w:pPr>
        <w:rPr>
          <w:bCs/>
          <w:sz w:val="24"/>
          <w:szCs w:val="24"/>
          <w:lang w:bidi="da-DK"/>
        </w:rPr>
      </w:pPr>
      <w:r>
        <w:rPr>
          <w:bCs/>
          <w:sz w:val="24"/>
          <w:szCs w:val="24"/>
          <w:lang w:bidi="da-DK"/>
        </w:rPr>
        <w:br w:type="page"/>
      </w:r>
    </w:p>
    <w:p w14:paraId="4D80A2C5" w14:textId="77777777" w:rsidR="00F92578" w:rsidRPr="00F92578" w:rsidRDefault="00F92578" w:rsidP="00F92578">
      <w:pPr>
        <w:tabs>
          <w:tab w:val="left" w:pos="851"/>
        </w:tabs>
        <w:ind w:left="851"/>
        <w:rPr>
          <w:bCs/>
          <w:sz w:val="24"/>
          <w:szCs w:val="24"/>
          <w:lang w:bidi="da-DK"/>
        </w:rPr>
      </w:pPr>
    </w:p>
    <w:p w14:paraId="69322AA0" w14:textId="77777777" w:rsidR="00F92578" w:rsidRPr="00F92578" w:rsidRDefault="00F92578" w:rsidP="00F92578">
      <w:pPr>
        <w:tabs>
          <w:tab w:val="left" w:pos="851"/>
        </w:tabs>
        <w:ind w:left="851"/>
        <w:rPr>
          <w:bCs/>
          <w:sz w:val="24"/>
          <w:szCs w:val="24"/>
          <w:lang w:bidi="da-DK"/>
        </w:rPr>
      </w:pPr>
      <w:r w:rsidRPr="00F92578">
        <w:rPr>
          <w:bCs/>
          <w:sz w:val="24"/>
          <w:szCs w:val="24"/>
          <w:lang w:bidi="da-DK"/>
        </w:rPr>
        <w:t>Tegn og symptomer på hypercalcæmi omfatter:</w:t>
      </w:r>
    </w:p>
    <w:p w14:paraId="6C42B199" w14:textId="77777777" w:rsidR="00F92578" w:rsidRPr="00F92578" w:rsidRDefault="00F92578" w:rsidP="00F92578">
      <w:pPr>
        <w:numPr>
          <w:ilvl w:val="0"/>
          <w:numId w:val="9"/>
        </w:numPr>
        <w:tabs>
          <w:tab w:val="left" w:pos="851"/>
        </w:tabs>
        <w:ind w:left="1134" w:hanging="283"/>
        <w:rPr>
          <w:bCs/>
          <w:sz w:val="24"/>
          <w:szCs w:val="24"/>
          <w:lang w:bidi="da-DK"/>
        </w:rPr>
      </w:pPr>
      <w:r w:rsidRPr="00F92578">
        <w:rPr>
          <w:bCs/>
          <w:sz w:val="24"/>
          <w:szCs w:val="24"/>
          <w:lang w:bidi="da-DK"/>
        </w:rPr>
        <w:t>Forstyrrelser i nervesystemet, f.eks. letargi, desorientering, hyporefleksi</w:t>
      </w:r>
    </w:p>
    <w:p w14:paraId="55A434A4" w14:textId="77777777" w:rsidR="00F92578" w:rsidRPr="00F92578" w:rsidRDefault="00F92578" w:rsidP="00F92578">
      <w:pPr>
        <w:numPr>
          <w:ilvl w:val="0"/>
          <w:numId w:val="9"/>
        </w:numPr>
        <w:tabs>
          <w:tab w:val="left" w:pos="851"/>
        </w:tabs>
        <w:ind w:left="1134" w:hanging="283"/>
        <w:rPr>
          <w:bCs/>
          <w:sz w:val="24"/>
          <w:szCs w:val="24"/>
          <w:lang w:bidi="da-DK"/>
        </w:rPr>
      </w:pPr>
      <w:r w:rsidRPr="00F92578">
        <w:rPr>
          <w:bCs/>
          <w:sz w:val="24"/>
          <w:szCs w:val="24"/>
          <w:lang w:bidi="da-DK"/>
        </w:rPr>
        <w:t>Hjertelidelser, f.eks. takykardi og tendens til at udvikle hjertearytmi, hypertension, ændringer i elektrokardiogrammet (forkortelse af QT</w:t>
      </w:r>
      <w:r w:rsidRPr="00F92578">
        <w:rPr>
          <w:bCs/>
          <w:sz w:val="24"/>
          <w:szCs w:val="24"/>
          <w:lang w:bidi="da-DK"/>
        </w:rPr>
        <w:noBreakHyphen/>
        <w:t>intervallet)</w:t>
      </w:r>
    </w:p>
    <w:p w14:paraId="17844D60" w14:textId="77777777" w:rsidR="00F92578" w:rsidRPr="00F92578" w:rsidRDefault="00F92578" w:rsidP="00F92578">
      <w:pPr>
        <w:numPr>
          <w:ilvl w:val="0"/>
          <w:numId w:val="9"/>
        </w:numPr>
        <w:tabs>
          <w:tab w:val="left" w:pos="851"/>
        </w:tabs>
        <w:ind w:left="1134" w:hanging="283"/>
        <w:rPr>
          <w:bCs/>
          <w:sz w:val="24"/>
          <w:szCs w:val="24"/>
          <w:lang w:bidi="da-DK"/>
        </w:rPr>
      </w:pPr>
      <w:r w:rsidRPr="00F92578">
        <w:rPr>
          <w:bCs/>
          <w:sz w:val="24"/>
          <w:szCs w:val="24"/>
          <w:lang w:bidi="da-DK"/>
        </w:rPr>
        <w:t>Gastrointestinale lidelser, f.eks. kvalme, opkastning, forstoppelse, tendens til at udvikle sår</w:t>
      </w:r>
    </w:p>
    <w:p w14:paraId="49990E87" w14:textId="77777777" w:rsidR="00F92578" w:rsidRPr="00F92578" w:rsidRDefault="00F92578" w:rsidP="00F92578">
      <w:pPr>
        <w:numPr>
          <w:ilvl w:val="0"/>
          <w:numId w:val="9"/>
        </w:numPr>
        <w:tabs>
          <w:tab w:val="left" w:pos="851"/>
        </w:tabs>
        <w:ind w:left="1134" w:hanging="283"/>
        <w:rPr>
          <w:bCs/>
          <w:sz w:val="24"/>
          <w:szCs w:val="24"/>
          <w:lang w:bidi="da-DK"/>
        </w:rPr>
      </w:pPr>
      <w:r w:rsidRPr="00F92578">
        <w:rPr>
          <w:bCs/>
          <w:sz w:val="24"/>
          <w:szCs w:val="24"/>
          <w:lang w:bidi="da-DK"/>
        </w:rPr>
        <w:t>Nyre- og urinvejslidelser, f.eks. øget diurese, tørst, aquaresis, nyreaflejring af calciumsalte</w:t>
      </w:r>
    </w:p>
    <w:p w14:paraId="0FCF22CB" w14:textId="77777777" w:rsidR="00F92578" w:rsidRPr="00F92578" w:rsidRDefault="00F92578" w:rsidP="00F92578">
      <w:pPr>
        <w:numPr>
          <w:ilvl w:val="0"/>
          <w:numId w:val="9"/>
        </w:numPr>
        <w:tabs>
          <w:tab w:val="left" w:pos="851"/>
        </w:tabs>
        <w:ind w:left="1134" w:hanging="283"/>
        <w:rPr>
          <w:bCs/>
          <w:sz w:val="24"/>
          <w:szCs w:val="24"/>
          <w:lang w:bidi="da-DK"/>
        </w:rPr>
      </w:pPr>
      <w:r w:rsidRPr="00F92578">
        <w:rPr>
          <w:bCs/>
          <w:sz w:val="24"/>
          <w:szCs w:val="24"/>
          <w:lang w:bidi="da-DK"/>
        </w:rPr>
        <w:t>Generelle lidelser, f.eks. træthed</w:t>
      </w:r>
    </w:p>
    <w:p w14:paraId="18767FBE" w14:textId="77777777" w:rsidR="00F92578" w:rsidRPr="00F92578" w:rsidRDefault="00F92578" w:rsidP="00F92578">
      <w:pPr>
        <w:tabs>
          <w:tab w:val="left" w:pos="851"/>
        </w:tabs>
        <w:ind w:left="851"/>
        <w:rPr>
          <w:bCs/>
          <w:sz w:val="24"/>
          <w:szCs w:val="24"/>
          <w:lang w:bidi="da-DK"/>
        </w:rPr>
      </w:pPr>
    </w:p>
    <w:p w14:paraId="150F6621" w14:textId="77777777" w:rsidR="00F92578" w:rsidRPr="00F92578" w:rsidRDefault="00F92578" w:rsidP="00F92578">
      <w:pPr>
        <w:tabs>
          <w:tab w:val="left" w:pos="851"/>
        </w:tabs>
        <w:ind w:left="851"/>
        <w:rPr>
          <w:bCs/>
          <w:sz w:val="24"/>
          <w:szCs w:val="24"/>
          <w:lang w:bidi="da-DK"/>
        </w:rPr>
      </w:pPr>
      <w:r w:rsidRPr="00F92578">
        <w:rPr>
          <w:bCs/>
          <w:sz w:val="24"/>
          <w:szCs w:val="24"/>
          <w:lang w:bidi="da-DK"/>
        </w:rPr>
        <w:t>Hurtig administration af calciumsalte kan også medføre kalkagtig smag, prikken, hedeture, perifer vasodilatation med hypotension, bradykardi, synkope og arytmi med risiko for hjertestop.</w:t>
      </w:r>
    </w:p>
    <w:p w14:paraId="18464BBB" w14:textId="77777777" w:rsidR="009260DE" w:rsidRPr="00C84483" w:rsidRDefault="009260DE" w:rsidP="009260DE">
      <w:pPr>
        <w:tabs>
          <w:tab w:val="left" w:pos="851"/>
        </w:tabs>
        <w:ind w:left="851"/>
        <w:rPr>
          <w:sz w:val="24"/>
          <w:szCs w:val="24"/>
        </w:rPr>
      </w:pPr>
    </w:p>
    <w:p w14:paraId="5BD40C7D"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0F00328" w14:textId="727C24BA" w:rsidR="009260DE" w:rsidRPr="00C84483" w:rsidRDefault="00F92578" w:rsidP="009260DE">
      <w:pPr>
        <w:tabs>
          <w:tab w:val="left" w:pos="851"/>
        </w:tabs>
        <w:ind w:left="851"/>
        <w:rPr>
          <w:sz w:val="24"/>
          <w:szCs w:val="24"/>
        </w:rPr>
      </w:pPr>
      <w:r>
        <w:rPr>
          <w:sz w:val="24"/>
          <w:szCs w:val="24"/>
        </w:rPr>
        <w:t>B</w:t>
      </w:r>
    </w:p>
    <w:p w14:paraId="42B5F703" w14:textId="77777777" w:rsidR="009260DE" w:rsidRPr="00C84483" w:rsidRDefault="009260DE" w:rsidP="009260DE">
      <w:pPr>
        <w:tabs>
          <w:tab w:val="left" w:pos="851"/>
        </w:tabs>
        <w:ind w:left="851"/>
        <w:rPr>
          <w:sz w:val="24"/>
          <w:szCs w:val="24"/>
        </w:rPr>
      </w:pPr>
    </w:p>
    <w:p w14:paraId="59D21411" w14:textId="77777777" w:rsidR="009260DE" w:rsidRPr="00C84483" w:rsidRDefault="009260DE" w:rsidP="009260DE">
      <w:pPr>
        <w:tabs>
          <w:tab w:val="left" w:pos="851"/>
        </w:tabs>
        <w:ind w:left="851"/>
        <w:rPr>
          <w:sz w:val="24"/>
          <w:szCs w:val="24"/>
        </w:rPr>
      </w:pPr>
    </w:p>
    <w:p w14:paraId="6B58B22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4B87F07" w14:textId="77777777" w:rsidR="009260DE" w:rsidRPr="00C84483" w:rsidRDefault="009260DE" w:rsidP="009260DE">
      <w:pPr>
        <w:tabs>
          <w:tab w:val="left" w:pos="851"/>
        </w:tabs>
        <w:ind w:left="851"/>
        <w:rPr>
          <w:sz w:val="24"/>
          <w:szCs w:val="24"/>
        </w:rPr>
      </w:pPr>
    </w:p>
    <w:p w14:paraId="74EE142B"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0D96682" w14:textId="127CFEC1" w:rsidR="00F92578" w:rsidRPr="00F92578" w:rsidRDefault="00F92578" w:rsidP="00F92578">
      <w:pPr>
        <w:tabs>
          <w:tab w:val="left" w:pos="851"/>
        </w:tabs>
        <w:ind w:left="851"/>
        <w:rPr>
          <w:bCs/>
          <w:sz w:val="24"/>
          <w:szCs w:val="24"/>
          <w:lang w:bidi="da-DK"/>
        </w:rPr>
      </w:pPr>
      <w:r w:rsidRPr="00F92578">
        <w:rPr>
          <w:bCs/>
          <w:sz w:val="24"/>
          <w:szCs w:val="24"/>
          <w:lang w:bidi="da-DK"/>
        </w:rPr>
        <w:t>Farmakoterapeutisk klassifikation: Elektrolytopløsninger, calciumchlorid</w:t>
      </w:r>
      <w:r>
        <w:rPr>
          <w:bCs/>
          <w:sz w:val="24"/>
          <w:szCs w:val="24"/>
          <w:lang w:bidi="da-DK"/>
        </w:rPr>
        <w:t xml:space="preserve">, </w:t>
      </w:r>
      <w:r w:rsidRPr="00F92578">
        <w:rPr>
          <w:bCs/>
          <w:sz w:val="24"/>
          <w:szCs w:val="24"/>
          <w:lang w:bidi="da-DK"/>
        </w:rPr>
        <w:t>ATC</w:t>
      </w:r>
      <w:r w:rsidRPr="00F92578">
        <w:rPr>
          <w:bCs/>
          <w:sz w:val="24"/>
          <w:szCs w:val="24"/>
          <w:lang w:bidi="da-DK"/>
        </w:rPr>
        <w:noBreakHyphen/>
        <w:t>kode: B05XA07</w:t>
      </w:r>
      <w:r>
        <w:rPr>
          <w:bCs/>
          <w:sz w:val="24"/>
          <w:szCs w:val="24"/>
          <w:lang w:bidi="da-DK"/>
        </w:rPr>
        <w:t>.</w:t>
      </w:r>
    </w:p>
    <w:p w14:paraId="7F3E5427" w14:textId="77777777" w:rsidR="00F92578" w:rsidRPr="00F92578" w:rsidRDefault="00F92578" w:rsidP="00F92578">
      <w:pPr>
        <w:tabs>
          <w:tab w:val="left" w:pos="851"/>
        </w:tabs>
        <w:ind w:left="851"/>
        <w:rPr>
          <w:sz w:val="24"/>
          <w:szCs w:val="24"/>
          <w:lang w:bidi="da-DK"/>
        </w:rPr>
      </w:pPr>
    </w:p>
    <w:p w14:paraId="152F4E96" w14:textId="77777777" w:rsidR="00F92578" w:rsidRPr="00F92578" w:rsidRDefault="00F92578" w:rsidP="00F92578">
      <w:pPr>
        <w:tabs>
          <w:tab w:val="left" w:pos="851"/>
        </w:tabs>
        <w:ind w:left="851"/>
        <w:rPr>
          <w:bCs/>
          <w:sz w:val="24"/>
          <w:szCs w:val="24"/>
          <w:lang w:bidi="da-DK"/>
        </w:rPr>
      </w:pPr>
      <w:r w:rsidRPr="00F92578">
        <w:rPr>
          <w:sz w:val="24"/>
          <w:szCs w:val="24"/>
          <w:lang w:bidi="da-DK"/>
        </w:rPr>
        <w:t xml:space="preserve">Icalziss </w:t>
      </w:r>
      <w:r w:rsidRPr="00F92578">
        <w:rPr>
          <w:bCs/>
          <w:sz w:val="24"/>
          <w:szCs w:val="24"/>
          <w:lang w:bidi="da-DK"/>
        </w:rPr>
        <w:t>er en opløsning, der administreres intravenøst. Den er beregnet til at blive brugt som calciumerstatning under regional citratantikoagulation (RCA) ved kontinuerlig nyresubstitutionsterapi (CRRT) og terapeutisk plasmaudskiftning (TPE)</w:t>
      </w:r>
      <w:r w:rsidRPr="00F92578">
        <w:rPr>
          <w:sz w:val="24"/>
          <w:szCs w:val="24"/>
          <w:lang w:bidi="da-DK"/>
        </w:rPr>
        <w:t>, enten som enkeltbehandling eller i kombinationsbehandling</w:t>
      </w:r>
      <w:r w:rsidRPr="00F92578">
        <w:rPr>
          <w:bCs/>
          <w:sz w:val="24"/>
          <w:szCs w:val="24"/>
          <w:lang w:bidi="da-DK"/>
        </w:rPr>
        <w:t>.</w:t>
      </w:r>
    </w:p>
    <w:p w14:paraId="52E6920E" w14:textId="77777777" w:rsidR="00F92578" w:rsidRPr="00F92578" w:rsidRDefault="00F92578" w:rsidP="00F92578">
      <w:pPr>
        <w:tabs>
          <w:tab w:val="left" w:pos="851"/>
        </w:tabs>
        <w:ind w:left="851"/>
        <w:rPr>
          <w:bCs/>
          <w:sz w:val="24"/>
          <w:szCs w:val="24"/>
          <w:lang w:bidi="da-DK"/>
        </w:rPr>
      </w:pPr>
    </w:p>
    <w:p w14:paraId="727DFA73" w14:textId="77777777" w:rsidR="00F92578" w:rsidRPr="00F92578" w:rsidRDefault="00F92578" w:rsidP="00F92578">
      <w:pPr>
        <w:tabs>
          <w:tab w:val="left" w:pos="851"/>
        </w:tabs>
        <w:ind w:left="851"/>
        <w:rPr>
          <w:bCs/>
          <w:sz w:val="24"/>
          <w:szCs w:val="24"/>
          <w:lang w:val="nb-NO"/>
        </w:rPr>
      </w:pPr>
      <w:r w:rsidRPr="00F92578">
        <w:rPr>
          <w:bCs/>
          <w:sz w:val="24"/>
          <w:szCs w:val="24"/>
          <w:lang w:bidi="da-DK"/>
        </w:rPr>
        <w:t>Som det femtemest udbredte grundstof i kroppen er calcium afgørende for nerve- og muskelsystemernes funktionelle integritet og for normal hjertekontraktilitet. Det fungerer også som en enzymcofaktor og påvirker den sekretoriske aktivitet af endokrine og eksokrine kirtler. De totale calciumniveauer i serum varierer fra 8,8</w:t>
      </w:r>
      <w:r w:rsidRPr="00F92578">
        <w:rPr>
          <w:bCs/>
          <w:sz w:val="24"/>
          <w:szCs w:val="24"/>
          <w:lang w:bidi="da-DK"/>
        </w:rPr>
        <w:noBreakHyphen/>
        <w:t>10,4 mg/dl (2,2</w:t>
      </w:r>
      <w:r w:rsidRPr="00F92578">
        <w:rPr>
          <w:bCs/>
          <w:sz w:val="24"/>
          <w:szCs w:val="24"/>
          <w:lang w:bidi="da-DK"/>
        </w:rPr>
        <w:noBreakHyphen/>
        <w:t xml:space="preserve">2,6 mmol/l) hos raske personer. </w:t>
      </w:r>
      <w:r w:rsidRPr="00F92578">
        <w:rPr>
          <w:bCs/>
          <w:sz w:val="24"/>
          <w:szCs w:val="24"/>
          <w:lang w:val="nb-NO"/>
        </w:rPr>
        <w:t>Det omfatter frie ioner (ca. 51 %), proteinbundne komplekser (ca. 40 %) og ioniske komplekser (ca. 9 %).</w:t>
      </w:r>
    </w:p>
    <w:p w14:paraId="65FE0609" w14:textId="77777777" w:rsidR="00F92578" w:rsidRPr="00F92578" w:rsidRDefault="00F92578" w:rsidP="00F92578">
      <w:pPr>
        <w:tabs>
          <w:tab w:val="left" w:pos="851"/>
        </w:tabs>
        <w:ind w:left="851"/>
        <w:rPr>
          <w:bCs/>
          <w:sz w:val="24"/>
          <w:szCs w:val="24"/>
          <w:lang w:val="nb-NO"/>
        </w:rPr>
      </w:pPr>
    </w:p>
    <w:p w14:paraId="5D3A75A3" w14:textId="77777777" w:rsidR="00F92578" w:rsidRPr="00F92578" w:rsidRDefault="00F92578" w:rsidP="00F92578">
      <w:pPr>
        <w:tabs>
          <w:tab w:val="left" w:pos="851"/>
        </w:tabs>
        <w:ind w:left="851"/>
        <w:rPr>
          <w:bCs/>
          <w:sz w:val="24"/>
          <w:szCs w:val="24"/>
          <w:lang w:bidi="da-DK"/>
        </w:rPr>
      </w:pPr>
      <w:r w:rsidRPr="00F92578">
        <w:rPr>
          <w:bCs/>
          <w:sz w:val="24"/>
          <w:szCs w:val="24"/>
          <w:lang w:bidi="da-DK"/>
        </w:rPr>
        <w:t>Når serumkoncentrationen af calcium falder til under normalområdet, opstår der hypocalcæmi, som i starten viser sig som neuromuskulær irritabilitet, der kan eskalere til nyre- og hjertekomplikationer. Calcium spiller også en fremtrædende rolle i de kemiske reaktioner, der er involveret i blodkoagulation.</w:t>
      </w:r>
    </w:p>
    <w:p w14:paraId="5360D539" w14:textId="77777777" w:rsidR="009260DE" w:rsidRPr="00C84483" w:rsidRDefault="009260DE" w:rsidP="009260DE">
      <w:pPr>
        <w:tabs>
          <w:tab w:val="left" w:pos="851"/>
        </w:tabs>
        <w:ind w:left="851"/>
        <w:rPr>
          <w:sz w:val="24"/>
          <w:szCs w:val="24"/>
        </w:rPr>
      </w:pPr>
    </w:p>
    <w:p w14:paraId="44E0D787"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D16CE2A" w14:textId="77777777" w:rsidR="00D23772" w:rsidRPr="00D23772" w:rsidRDefault="00D23772" w:rsidP="00D23772">
      <w:pPr>
        <w:tabs>
          <w:tab w:val="left" w:pos="851"/>
        </w:tabs>
        <w:ind w:left="851"/>
        <w:rPr>
          <w:sz w:val="24"/>
          <w:szCs w:val="24"/>
          <w:lang w:bidi="da-DK"/>
        </w:rPr>
      </w:pPr>
      <w:r w:rsidRPr="00D23772">
        <w:rPr>
          <w:sz w:val="24"/>
          <w:szCs w:val="24"/>
          <w:lang w:bidi="da-DK"/>
        </w:rPr>
        <w:t>De farmakokinetiske egenskaber for calcium, der tilføres via infusion af Icalziss, anses for at være identiske med egenskaberne for calcium, som findes endogent i det systemiske kredsløb, og som er en følge af den fysiologiske regulering af calcium i blodet.</w:t>
      </w:r>
    </w:p>
    <w:p w14:paraId="1EF01733" w14:textId="77777777" w:rsidR="00D23772" w:rsidRPr="00D23772" w:rsidRDefault="00D23772" w:rsidP="00D23772">
      <w:pPr>
        <w:tabs>
          <w:tab w:val="left" w:pos="851"/>
        </w:tabs>
        <w:ind w:left="851"/>
        <w:rPr>
          <w:sz w:val="24"/>
          <w:szCs w:val="24"/>
          <w:lang w:bidi="da-DK"/>
        </w:rPr>
      </w:pPr>
    </w:p>
    <w:p w14:paraId="7BB6AF67" w14:textId="77777777" w:rsidR="00D23772" w:rsidRPr="00D23772" w:rsidRDefault="00D23772" w:rsidP="00D23772">
      <w:pPr>
        <w:tabs>
          <w:tab w:val="left" w:pos="851"/>
        </w:tabs>
        <w:ind w:left="851"/>
        <w:rPr>
          <w:sz w:val="24"/>
          <w:szCs w:val="24"/>
          <w:lang w:bidi="da-DK"/>
        </w:rPr>
      </w:pPr>
      <w:r w:rsidRPr="00D23772">
        <w:rPr>
          <w:sz w:val="24"/>
          <w:szCs w:val="24"/>
          <w:lang w:bidi="da-DK"/>
        </w:rPr>
        <w:t>Renal udskillelse af calcium påvirkes af normale eller unormale fysiologiske ændringer (f.eks. ændringer i parathyroideahormonniveauet, nyresvigt) og andre lægemiddelklasser (f.eks. D</w:t>
      </w:r>
      <w:r w:rsidRPr="00D23772">
        <w:rPr>
          <w:sz w:val="24"/>
          <w:szCs w:val="24"/>
          <w:lang w:bidi="da-DK"/>
        </w:rPr>
        <w:noBreakHyphen/>
        <w:t>vitamin, thiaziddiuretika) (se pkt. 4.4 og pkt. 4.5).</w:t>
      </w:r>
    </w:p>
    <w:p w14:paraId="2A74053F" w14:textId="77777777" w:rsidR="00D23772" w:rsidRPr="00D23772" w:rsidRDefault="00D23772" w:rsidP="00D23772">
      <w:pPr>
        <w:tabs>
          <w:tab w:val="left" w:pos="851"/>
        </w:tabs>
        <w:ind w:left="851"/>
        <w:rPr>
          <w:sz w:val="24"/>
          <w:szCs w:val="24"/>
          <w:lang w:bidi="da-DK"/>
        </w:rPr>
      </w:pPr>
    </w:p>
    <w:p w14:paraId="3FF9FB0F" w14:textId="77777777" w:rsidR="00D23772" w:rsidRPr="00D23772" w:rsidRDefault="00D23772" w:rsidP="00D23772">
      <w:pPr>
        <w:tabs>
          <w:tab w:val="left" w:pos="851"/>
        </w:tabs>
        <w:ind w:left="851"/>
        <w:rPr>
          <w:sz w:val="24"/>
          <w:szCs w:val="24"/>
          <w:lang w:bidi="da-DK"/>
        </w:rPr>
      </w:pPr>
      <w:r w:rsidRPr="00D23772">
        <w:rPr>
          <w:sz w:val="24"/>
          <w:szCs w:val="24"/>
          <w:lang w:bidi="da-DK"/>
        </w:rPr>
        <w:lastRenderedPageBreak/>
        <w:t>Under RCA-CRRT skyldes calciumudskillelsen hovedsageligt tab af citrat</w:t>
      </w:r>
      <w:r w:rsidRPr="00D23772">
        <w:rPr>
          <w:sz w:val="24"/>
          <w:szCs w:val="24"/>
          <w:lang w:bidi="da-DK"/>
        </w:rPr>
        <w:noBreakHyphen/>
        <w:t>calcium</w:t>
      </w:r>
      <w:r w:rsidRPr="00D23772">
        <w:rPr>
          <w:sz w:val="24"/>
          <w:szCs w:val="24"/>
          <w:lang w:bidi="da-DK"/>
        </w:rPr>
        <w:noBreakHyphen/>
        <w:t>komplekser gennem filtret. Når CRRT seponeres, sker udskillelsen af calcium primært i urinen på grund af genoprettelse af nyrefunktionen.</w:t>
      </w:r>
    </w:p>
    <w:p w14:paraId="5D9F498E" w14:textId="77777777" w:rsidR="009260DE" w:rsidRPr="00C84483" w:rsidRDefault="009260DE" w:rsidP="009260DE">
      <w:pPr>
        <w:tabs>
          <w:tab w:val="left" w:pos="851"/>
        </w:tabs>
        <w:ind w:left="851"/>
        <w:rPr>
          <w:sz w:val="24"/>
          <w:szCs w:val="24"/>
        </w:rPr>
      </w:pPr>
    </w:p>
    <w:p w14:paraId="42D5A80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3F38994" w14:textId="77777777" w:rsidR="00D23772" w:rsidRPr="00D23772" w:rsidRDefault="00D23772" w:rsidP="00D23772">
      <w:pPr>
        <w:tabs>
          <w:tab w:val="left" w:pos="851"/>
        </w:tabs>
        <w:ind w:left="851"/>
        <w:rPr>
          <w:sz w:val="24"/>
          <w:szCs w:val="24"/>
          <w:lang w:bidi="da-DK"/>
        </w:rPr>
      </w:pPr>
      <w:r w:rsidRPr="00D23772">
        <w:rPr>
          <w:sz w:val="24"/>
          <w:szCs w:val="24"/>
          <w:lang w:bidi="da-DK"/>
        </w:rPr>
        <w:t>Der er ingen non</w:t>
      </w:r>
      <w:r w:rsidRPr="00D23772">
        <w:rPr>
          <w:sz w:val="24"/>
          <w:szCs w:val="24"/>
          <w:lang w:bidi="da-DK"/>
        </w:rPr>
        <w:noBreakHyphen/>
        <w:t>kliniske data, der anses for at være relevante for den kliniske sikkerhed, ud over de data, som er medtaget i andre afsnit i produktresuméet.</w:t>
      </w:r>
    </w:p>
    <w:p w14:paraId="65442D5F" w14:textId="77777777" w:rsidR="009260DE" w:rsidRPr="00C84483" w:rsidRDefault="009260DE" w:rsidP="009260DE">
      <w:pPr>
        <w:tabs>
          <w:tab w:val="left" w:pos="851"/>
        </w:tabs>
        <w:ind w:left="851"/>
        <w:rPr>
          <w:sz w:val="24"/>
          <w:szCs w:val="24"/>
        </w:rPr>
      </w:pPr>
    </w:p>
    <w:p w14:paraId="038D8143" w14:textId="77777777" w:rsidR="009260DE" w:rsidRPr="00C84483" w:rsidRDefault="009260DE" w:rsidP="009260DE">
      <w:pPr>
        <w:tabs>
          <w:tab w:val="left" w:pos="851"/>
        </w:tabs>
        <w:ind w:left="851"/>
        <w:rPr>
          <w:sz w:val="24"/>
          <w:szCs w:val="24"/>
        </w:rPr>
      </w:pPr>
    </w:p>
    <w:p w14:paraId="66A4A27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4F94868" w14:textId="77777777" w:rsidR="009260DE" w:rsidRPr="00BA09F1" w:rsidRDefault="009260DE" w:rsidP="009260DE">
      <w:pPr>
        <w:tabs>
          <w:tab w:val="left" w:pos="851"/>
        </w:tabs>
        <w:ind w:left="851"/>
        <w:rPr>
          <w:sz w:val="24"/>
          <w:szCs w:val="24"/>
        </w:rPr>
      </w:pPr>
    </w:p>
    <w:p w14:paraId="7A5B98D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187FCE7" w14:textId="77777777" w:rsidR="00D23772" w:rsidRPr="00D23772" w:rsidRDefault="00D23772" w:rsidP="00D23772">
      <w:pPr>
        <w:tabs>
          <w:tab w:val="left" w:pos="851"/>
        </w:tabs>
        <w:ind w:left="851"/>
        <w:rPr>
          <w:sz w:val="24"/>
          <w:szCs w:val="24"/>
          <w:lang w:bidi="da-DK"/>
        </w:rPr>
      </w:pPr>
      <w:r w:rsidRPr="00D23772">
        <w:rPr>
          <w:sz w:val="24"/>
          <w:szCs w:val="24"/>
          <w:lang w:bidi="da-DK"/>
        </w:rPr>
        <w:t>Vand til injektionsvæsker</w:t>
      </w:r>
    </w:p>
    <w:p w14:paraId="25B69A1E" w14:textId="77777777" w:rsidR="009260DE" w:rsidRPr="00C84483" w:rsidRDefault="009260DE" w:rsidP="009260DE">
      <w:pPr>
        <w:tabs>
          <w:tab w:val="left" w:pos="851"/>
        </w:tabs>
        <w:ind w:left="851"/>
        <w:rPr>
          <w:sz w:val="24"/>
          <w:szCs w:val="24"/>
        </w:rPr>
      </w:pPr>
    </w:p>
    <w:p w14:paraId="69432CB0"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F6A2C64" w14:textId="77777777" w:rsidR="00D23772" w:rsidRPr="00D23772" w:rsidRDefault="00D23772" w:rsidP="00D23772">
      <w:pPr>
        <w:tabs>
          <w:tab w:val="left" w:pos="851"/>
        </w:tabs>
        <w:ind w:left="851"/>
        <w:rPr>
          <w:sz w:val="24"/>
          <w:szCs w:val="24"/>
          <w:lang w:bidi="da-DK"/>
        </w:rPr>
      </w:pPr>
      <w:r w:rsidRPr="00D23772">
        <w:rPr>
          <w:sz w:val="24"/>
          <w:szCs w:val="24"/>
          <w:lang w:bidi="da-DK"/>
        </w:rPr>
        <w:t>Da der ikke foreligger studier af eventuelle uforligeligheder, må dette lægemiddel ikke blandes med andre lægemidler.</w:t>
      </w:r>
    </w:p>
    <w:p w14:paraId="6735D9E2" w14:textId="77777777" w:rsidR="00D23772" w:rsidRPr="00D23772" w:rsidRDefault="00D23772" w:rsidP="00D23772">
      <w:pPr>
        <w:tabs>
          <w:tab w:val="left" w:pos="851"/>
        </w:tabs>
        <w:ind w:left="851"/>
        <w:rPr>
          <w:sz w:val="24"/>
          <w:szCs w:val="24"/>
          <w:lang w:bidi="da-DK"/>
        </w:rPr>
      </w:pPr>
    </w:p>
    <w:p w14:paraId="17F49FFA" w14:textId="77777777" w:rsidR="00D23772" w:rsidRPr="00D23772" w:rsidRDefault="00D23772" w:rsidP="00D23772">
      <w:pPr>
        <w:tabs>
          <w:tab w:val="left" w:pos="851"/>
        </w:tabs>
        <w:ind w:left="851"/>
        <w:rPr>
          <w:sz w:val="24"/>
          <w:szCs w:val="24"/>
          <w:lang w:bidi="da-DK"/>
        </w:rPr>
      </w:pPr>
      <w:r w:rsidRPr="00D23772">
        <w:rPr>
          <w:sz w:val="24"/>
          <w:szCs w:val="24"/>
          <w:lang w:bidi="da-DK"/>
        </w:rPr>
        <w:t>Se pkt. 6.6 for yderligere instruktioner om brugen af produktet sammen med tilsætningsstoffer.</w:t>
      </w:r>
    </w:p>
    <w:p w14:paraId="618EE61C" w14:textId="77777777" w:rsidR="009260DE" w:rsidRPr="00C84483" w:rsidRDefault="009260DE" w:rsidP="009260DE">
      <w:pPr>
        <w:tabs>
          <w:tab w:val="left" w:pos="851"/>
        </w:tabs>
        <w:ind w:left="851"/>
        <w:rPr>
          <w:sz w:val="24"/>
          <w:szCs w:val="24"/>
        </w:rPr>
      </w:pPr>
    </w:p>
    <w:p w14:paraId="421EB7F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08E9D10" w14:textId="38572197" w:rsidR="00D23772" w:rsidRDefault="00D23772" w:rsidP="00D23772">
      <w:pPr>
        <w:tabs>
          <w:tab w:val="left" w:pos="851"/>
        </w:tabs>
        <w:ind w:left="851"/>
        <w:rPr>
          <w:sz w:val="24"/>
          <w:szCs w:val="24"/>
          <w:lang w:bidi="da-DK"/>
        </w:rPr>
      </w:pPr>
      <w:r w:rsidRPr="00D23772">
        <w:rPr>
          <w:sz w:val="24"/>
          <w:szCs w:val="24"/>
          <w:lang w:bidi="da-DK"/>
        </w:rPr>
        <w:t>Opbevaringstid i emballagen:</w:t>
      </w:r>
      <w:r w:rsidRPr="00D23772">
        <w:rPr>
          <w:sz w:val="24"/>
          <w:szCs w:val="24"/>
          <w:lang w:bidi="da-DK"/>
        </w:rPr>
        <w:tab/>
        <w:t>1 år.</w:t>
      </w:r>
    </w:p>
    <w:p w14:paraId="01B070CE" w14:textId="77777777" w:rsidR="00D23772" w:rsidRPr="00D23772" w:rsidRDefault="00D23772" w:rsidP="00D23772">
      <w:pPr>
        <w:tabs>
          <w:tab w:val="left" w:pos="851"/>
        </w:tabs>
        <w:ind w:left="851"/>
        <w:rPr>
          <w:sz w:val="24"/>
          <w:szCs w:val="24"/>
          <w:lang w:bidi="da-DK"/>
        </w:rPr>
      </w:pPr>
    </w:p>
    <w:p w14:paraId="3A2C347F" w14:textId="77777777" w:rsidR="00D23772" w:rsidRPr="00D23772" w:rsidRDefault="00D23772" w:rsidP="00D23772">
      <w:pPr>
        <w:tabs>
          <w:tab w:val="left" w:pos="851"/>
        </w:tabs>
        <w:ind w:left="851"/>
        <w:rPr>
          <w:sz w:val="24"/>
          <w:szCs w:val="24"/>
          <w:lang w:bidi="da-DK"/>
        </w:rPr>
      </w:pPr>
      <w:r w:rsidRPr="00D23772">
        <w:rPr>
          <w:sz w:val="24"/>
          <w:szCs w:val="24"/>
          <w:lang w:bidi="da-DK"/>
        </w:rPr>
        <w:t>Opbevaringstid under brug:</w:t>
      </w:r>
      <w:r w:rsidRPr="00D23772">
        <w:rPr>
          <w:sz w:val="24"/>
          <w:szCs w:val="24"/>
          <w:lang w:bidi="da-DK"/>
        </w:rPr>
        <w:tab/>
        <w:t>72 timer efter at det ydre omslag er fjernet.</w:t>
      </w:r>
    </w:p>
    <w:p w14:paraId="1CD2247F" w14:textId="77777777" w:rsidR="009260DE" w:rsidRPr="00C84483" w:rsidRDefault="009260DE" w:rsidP="009260DE">
      <w:pPr>
        <w:tabs>
          <w:tab w:val="left" w:pos="851"/>
        </w:tabs>
        <w:ind w:left="851"/>
        <w:rPr>
          <w:sz w:val="24"/>
          <w:szCs w:val="24"/>
        </w:rPr>
      </w:pPr>
    </w:p>
    <w:p w14:paraId="44CEE6C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62B99A6" w14:textId="77777777" w:rsidR="00D23772" w:rsidRPr="00D23772" w:rsidRDefault="00D23772" w:rsidP="00D23772">
      <w:pPr>
        <w:tabs>
          <w:tab w:val="left" w:pos="851"/>
        </w:tabs>
        <w:ind w:left="851"/>
        <w:rPr>
          <w:sz w:val="24"/>
          <w:szCs w:val="24"/>
          <w:lang w:bidi="da-DK"/>
        </w:rPr>
      </w:pPr>
      <w:r w:rsidRPr="00D23772">
        <w:rPr>
          <w:sz w:val="24"/>
          <w:szCs w:val="24"/>
          <w:lang w:bidi="da-DK"/>
        </w:rPr>
        <w:t>Må ikke nedfryses.</w:t>
      </w:r>
    </w:p>
    <w:p w14:paraId="1D9D485C" w14:textId="77777777" w:rsidR="009260DE" w:rsidRPr="00C84483" w:rsidRDefault="009260DE" w:rsidP="009260DE">
      <w:pPr>
        <w:tabs>
          <w:tab w:val="left" w:pos="851"/>
        </w:tabs>
        <w:ind w:left="851"/>
        <w:rPr>
          <w:sz w:val="24"/>
          <w:szCs w:val="24"/>
        </w:rPr>
      </w:pPr>
    </w:p>
    <w:p w14:paraId="35EDC05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404A981" w14:textId="77777777" w:rsidR="00D23772" w:rsidRPr="00D23772" w:rsidRDefault="00D23772" w:rsidP="00D23772">
      <w:pPr>
        <w:tabs>
          <w:tab w:val="left" w:pos="851"/>
        </w:tabs>
        <w:ind w:left="851"/>
        <w:rPr>
          <w:sz w:val="24"/>
          <w:szCs w:val="24"/>
          <w:lang w:bidi="da-DK"/>
        </w:rPr>
      </w:pPr>
      <w:r w:rsidRPr="00D23772">
        <w:rPr>
          <w:sz w:val="24"/>
          <w:szCs w:val="24"/>
          <w:lang w:bidi="da-DK"/>
        </w:rPr>
        <w:t>Produktposen er en fleksibel plastbeholder fremstillet af en flerlagsfolie bestående af polypropylen (PP), polyamid (PA) og polyethylen (PE).</w:t>
      </w:r>
    </w:p>
    <w:p w14:paraId="61E77E29" w14:textId="77777777" w:rsidR="00D23772" w:rsidRPr="00D23772" w:rsidRDefault="00D23772" w:rsidP="00D23772">
      <w:pPr>
        <w:tabs>
          <w:tab w:val="left" w:pos="851"/>
        </w:tabs>
        <w:ind w:left="851"/>
        <w:rPr>
          <w:sz w:val="24"/>
          <w:szCs w:val="24"/>
          <w:lang w:bidi="da-DK"/>
        </w:rPr>
      </w:pPr>
    </w:p>
    <w:p w14:paraId="08DFC73F" w14:textId="77777777" w:rsidR="00D23772" w:rsidRPr="00D23772" w:rsidRDefault="00D23772" w:rsidP="00D23772">
      <w:pPr>
        <w:tabs>
          <w:tab w:val="left" w:pos="851"/>
        </w:tabs>
        <w:ind w:left="851"/>
        <w:rPr>
          <w:sz w:val="24"/>
          <w:szCs w:val="24"/>
          <w:lang w:bidi="da-DK"/>
        </w:rPr>
      </w:pPr>
      <w:r w:rsidRPr="00D23772">
        <w:rPr>
          <w:sz w:val="24"/>
          <w:szCs w:val="24"/>
          <w:lang w:bidi="da-DK"/>
        </w:rPr>
        <w:t>Portsystemet til produktposen består af en administrationsport fremstillet af højdensitetspolyethylen, som giver adgang til posens indhold, og en ikke</w:t>
      </w:r>
      <w:r w:rsidRPr="00D23772">
        <w:rPr>
          <w:sz w:val="24"/>
          <w:szCs w:val="24"/>
          <w:lang w:bidi="da-DK"/>
        </w:rPr>
        <w:noBreakHyphen/>
        <w:t>tilgængelig medicinport, som forhindrer tilsætning af medicin. Administrationsporten vil kun dryppe, når spyddet er fjernet fra administrationsporten.</w:t>
      </w:r>
    </w:p>
    <w:p w14:paraId="0BEB7DAD" w14:textId="77777777" w:rsidR="00D23772" w:rsidRPr="00D23772" w:rsidRDefault="00D23772" w:rsidP="00D23772">
      <w:pPr>
        <w:tabs>
          <w:tab w:val="left" w:pos="851"/>
        </w:tabs>
        <w:ind w:left="851"/>
        <w:rPr>
          <w:sz w:val="24"/>
          <w:szCs w:val="24"/>
          <w:lang w:bidi="da-DK"/>
        </w:rPr>
      </w:pPr>
    </w:p>
    <w:p w14:paraId="64411BC1" w14:textId="77777777" w:rsidR="00D23772" w:rsidRPr="00D23772" w:rsidRDefault="00D23772" w:rsidP="00D23772">
      <w:pPr>
        <w:tabs>
          <w:tab w:val="left" w:pos="851"/>
        </w:tabs>
        <w:ind w:left="851"/>
        <w:rPr>
          <w:sz w:val="24"/>
          <w:szCs w:val="24"/>
          <w:lang w:bidi="da-DK"/>
        </w:rPr>
      </w:pPr>
      <w:r w:rsidRPr="00D23772">
        <w:rPr>
          <w:sz w:val="24"/>
          <w:szCs w:val="24"/>
          <w:lang w:bidi="da-DK"/>
        </w:rPr>
        <w:t>Hver fyldt pose indeholder 500 ml Icalziss og er indesluttet i en klar yderpose fremstillet af en co</w:t>
      </w:r>
      <w:r w:rsidRPr="00D23772">
        <w:rPr>
          <w:sz w:val="24"/>
          <w:szCs w:val="24"/>
          <w:lang w:bidi="da-DK"/>
        </w:rPr>
        <w:noBreakHyphen/>
        <w:t>ekstruderet polypropylen (PP)</w:t>
      </w:r>
      <w:r w:rsidRPr="00D23772">
        <w:rPr>
          <w:sz w:val="24"/>
          <w:szCs w:val="24"/>
          <w:lang w:bidi="da-DK"/>
        </w:rPr>
        <w:noBreakHyphen/>
        <w:t xml:space="preserve"> og polyamid (PA)</w:t>
      </w:r>
      <w:r w:rsidRPr="00D23772">
        <w:rPr>
          <w:sz w:val="24"/>
          <w:szCs w:val="24"/>
          <w:lang w:bidi="da-DK"/>
        </w:rPr>
        <w:noBreakHyphen/>
        <w:t>film.</w:t>
      </w:r>
    </w:p>
    <w:p w14:paraId="30D2A703" w14:textId="77777777" w:rsidR="00D23772" w:rsidRPr="00D23772" w:rsidRDefault="00D23772" w:rsidP="00D23772">
      <w:pPr>
        <w:tabs>
          <w:tab w:val="left" w:pos="851"/>
        </w:tabs>
        <w:ind w:left="851"/>
        <w:rPr>
          <w:sz w:val="24"/>
          <w:szCs w:val="24"/>
          <w:lang w:bidi="da-DK"/>
        </w:rPr>
      </w:pPr>
    </w:p>
    <w:p w14:paraId="1C5DE726" w14:textId="2132B804" w:rsidR="00D23772" w:rsidRDefault="00D23772" w:rsidP="00D23772">
      <w:pPr>
        <w:tabs>
          <w:tab w:val="left" w:pos="851"/>
        </w:tabs>
        <w:ind w:left="851"/>
        <w:rPr>
          <w:sz w:val="24"/>
          <w:szCs w:val="24"/>
          <w:lang w:bidi="da-DK"/>
        </w:rPr>
      </w:pPr>
      <w:r w:rsidRPr="00D23772">
        <w:rPr>
          <w:sz w:val="24"/>
          <w:szCs w:val="24"/>
          <w:lang w:bidi="da-DK"/>
        </w:rPr>
        <w:t>Pakningsstørrelse</w:t>
      </w:r>
      <w:r>
        <w:rPr>
          <w:sz w:val="24"/>
          <w:szCs w:val="24"/>
          <w:lang w:bidi="da-DK"/>
        </w:rPr>
        <w:t>r</w:t>
      </w:r>
      <w:r w:rsidRPr="00D23772">
        <w:rPr>
          <w:sz w:val="24"/>
          <w:szCs w:val="24"/>
          <w:lang w:bidi="da-DK"/>
        </w:rPr>
        <w:t>: 20</w:t>
      </w:r>
      <w:r>
        <w:rPr>
          <w:sz w:val="24"/>
          <w:szCs w:val="24"/>
          <w:lang w:bidi="da-DK"/>
        </w:rPr>
        <w:t>×</w:t>
      </w:r>
      <w:r w:rsidRPr="00D23772">
        <w:rPr>
          <w:sz w:val="24"/>
          <w:szCs w:val="24"/>
          <w:lang w:bidi="da-DK"/>
        </w:rPr>
        <w:t>500 ml</w:t>
      </w:r>
      <w:r>
        <w:rPr>
          <w:sz w:val="24"/>
          <w:szCs w:val="24"/>
          <w:lang w:bidi="da-DK"/>
        </w:rPr>
        <w:t>,</w:t>
      </w:r>
      <w:r w:rsidRPr="00D23772">
        <w:rPr>
          <w:sz w:val="24"/>
          <w:szCs w:val="24"/>
          <w:lang w:bidi="da-DK"/>
        </w:rPr>
        <w:t xml:space="preserve"> i en æske</w:t>
      </w:r>
      <w:r>
        <w:rPr>
          <w:sz w:val="24"/>
          <w:szCs w:val="24"/>
          <w:lang w:bidi="da-DK"/>
        </w:rPr>
        <w:t>.</w:t>
      </w:r>
    </w:p>
    <w:p w14:paraId="31CA3484" w14:textId="354D753C" w:rsidR="00D23772" w:rsidRDefault="00D23772" w:rsidP="00D23772">
      <w:pPr>
        <w:tabs>
          <w:tab w:val="left" w:pos="851"/>
        </w:tabs>
        <w:ind w:left="851"/>
        <w:rPr>
          <w:sz w:val="24"/>
          <w:szCs w:val="24"/>
          <w:lang w:bidi="da-DK"/>
        </w:rPr>
      </w:pPr>
    </w:p>
    <w:p w14:paraId="77974AFF" w14:textId="4BA75156" w:rsidR="00D23772" w:rsidRPr="00D23772" w:rsidRDefault="00D23772" w:rsidP="00D23772">
      <w:pPr>
        <w:tabs>
          <w:tab w:val="left" w:pos="851"/>
        </w:tabs>
        <w:ind w:left="851"/>
        <w:rPr>
          <w:sz w:val="24"/>
          <w:szCs w:val="24"/>
          <w:lang w:bidi="da-DK"/>
        </w:rPr>
      </w:pPr>
      <w:r>
        <w:rPr>
          <w:sz w:val="24"/>
          <w:szCs w:val="24"/>
          <w:lang w:bidi="da-DK"/>
        </w:rPr>
        <w:t>Ikke alle pakningsstørrelser er nødvendigvis markedsført.</w:t>
      </w:r>
    </w:p>
    <w:p w14:paraId="4E6E3771" w14:textId="77777777" w:rsidR="009260DE" w:rsidRPr="00C84483" w:rsidRDefault="009260DE" w:rsidP="009260DE">
      <w:pPr>
        <w:tabs>
          <w:tab w:val="left" w:pos="851"/>
        </w:tabs>
        <w:ind w:left="851"/>
        <w:rPr>
          <w:sz w:val="24"/>
          <w:szCs w:val="24"/>
        </w:rPr>
      </w:pPr>
    </w:p>
    <w:p w14:paraId="7551CE60"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6E73EB6" w14:textId="77777777" w:rsidR="00D23772" w:rsidRDefault="00D23772" w:rsidP="00D23772">
      <w:pPr>
        <w:tabs>
          <w:tab w:val="left" w:pos="851"/>
        </w:tabs>
        <w:ind w:left="851"/>
        <w:rPr>
          <w:sz w:val="24"/>
          <w:szCs w:val="24"/>
          <w:lang w:bidi="da-DK"/>
        </w:rPr>
      </w:pPr>
    </w:p>
    <w:p w14:paraId="50295A2F" w14:textId="105D8717" w:rsidR="00D23772" w:rsidRPr="00D23772" w:rsidRDefault="00D23772" w:rsidP="00D23772">
      <w:pPr>
        <w:tabs>
          <w:tab w:val="left" w:pos="851"/>
        </w:tabs>
        <w:ind w:left="851"/>
        <w:rPr>
          <w:sz w:val="24"/>
          <w:szCs w:val="24"/>
          <w:u w:val="single"/>
          <w:lang w:bidi="da-DK"/>
        </w:rPr>
      </w:pPr>
      <w:r w:rsidRPr="00D23772">
        <w:rPr>
          <w:sz w:val="24"/>
          <w:szCs w:val="24"/>
          <w:u w:val="single"/>
          <w:lang w:bidi="da-DK"/>
        </w:rPr>
        <w:t>Følgende brugsanvisning skal følges</w:t>
      </w:r>
    </w:p>
    <w:p w14:paraId="065BBBF4" w14:textId="77777777" w:rsidR="00D23772" w:rsidRPr="00D23772" w:rsidRDefault="00D23772" w:rsidP="00D23772">
      <w:pPr>
        <w:tabs>
          <w:tab w:val="left" w:pos="851"/>
        </w:tabs>
        <w:ind w:left="851"/>
        <w:rPr>
          <w:sz w:val="24"/>
          <w:szCs w:val="24"/>
          <w:lang w:bidi="da-DK"/>
        </w:rPr>
      </w:pPr>
      <w:r w:rsidRPr="00D23772">
        <w:rPr>
          <w:sz w:val="24"/>
          <w:szCs w:val="24"/>
          <w:lang w:bidi="da-DK"/>
        </w:rPr>
        <w:t>Der skal anvendes aseptisk teknik under hele håndteringen og administrationen til patienten.</w:t>
      </w:r>
    </w:p>
    <w:p w14:paraId="0846458D" w14:textId="77777777" w:rsidR="00D23772" w:rsidRPr="00D23772" w:rsidRDefault="00D23772" w:rsidP="00D23772">
      <w:pPr>
        <w:tabs>
          <w:tab w:val="left" w:pos="851"/>
        </w:tabs>
        <w:ind w:left="851"/>
        <w:rPr>
          <w:sz w:val="24"/>
          <w:szCs w:val="24"/>
          <w:lang w:bidi="da-DK"/>
        </w:rPr>
      </w:pPr>
    </w:p>
    <w:p w14:paraId="0AE6F7C2" w14:textId="77777777" w:rsidR="00D23772" w:rsidRPr="00D23772" w:rsidRDefault="00D23772" w:rsidP="00D23772">
      <w:pPr>
        <w:tabs>
          <w:tab w:val="left" w:pos="851"/>
        </w:tabs>
        <w:ind w:left="851"/>
        <w:rPr>
          <w:sz w:val="24"/>
          <w:szCs w:val="24"/>
          <w:lang w:bidi="da-DK"/>
        </w:rPr>
      </w:pPr>
      <w:r w:rsidRPr="00D23772">
        <w:rPr>
          <w:sz w:val="24"/>
          <w:szCs w:val="24"/>
          <w:lang w:bidi="da-DK"/>
        </w:rPr>
        <w:lastRenderedPageBreak/>
        <w:t>Dette lægemiddel skal inspiceres visuelt for partikler og misfarvning før administration. Det må ikke administreres, medmindre opløsningen er klar og farveløs, og forseglingen er intakt. I tilfælde af skader skal beholderen kasseres.</w:t>
      </w:r>
    </w:p>
    <w:p w14:paraId="59BB9688" w14:textId="77777777" w:rsidR="00D23772" w:rsidRPr="00D23772" w:rsidRDefault="00D23772" w:rsidP="00D23772">
      <w:pPr>
        <w:tabs>
          <w:tab w:val="left" w:pos="851"/>
        </w:tabs>
        <w:ind w:left="851"/>
        <w:rPr>
          <w:sz w:val="24"/>
          <w:szCs w:val="24"/>
          <w:lang w:bidi="da-DK"/>
        </w:rPr>
      </w:pPr>
    </w:p>
    <w:p w14:paraId="0C8ABD12" w14:textId="77777777" w:rsidR="00D23772" w:rsidRPr="00D23772" w:rsidRDefault="00D23772" w:rsidP="00D23772">
      <w:pPr>
        <w:tabs>
          <w:tab w:val="left" w:pos="851"/>
        </w:tabs>
        <w:ind w:left="851"/>
        <w:rPr>
          <w:sz w:val="24"/>
          <w:szCs w:val="24"/>
          <w:lang w:bidi="da-DK"/>
        </w:rPr>
      </w:pPr>
      <w:r w:rsidRPr="00D23772">
        <w:rPr>
          <w:sz w:val="24"/>
          <w:szCs w:val="24"/>
          <w:lang w:bidi="da-DK"/>
        </w:rPr>
        <w:t xml:space="preserve">Fjern det ydre omslag fra posen umiddelbart før brug. Så snart det ydre omslag er fjernet, skal Icalziss bruges inden for 72 timer. Tryk kraftigt på posen for at teste for lækage. Hvis der opdages lækage, kasseres opløsningen straks, da steriliteten ikke længere kan garanteres. </w:t>
      </w:r>
      <w:bookmarkStart w:id="9" w:name="_Hlk100734630"/>
      <w:r w:rsidRPr="00D23772">
        <w:rPr>
          <w:sz w:val="24"/>
          <w:szCs w:val="24"/>
          <w:lang w:bidi="da-DK"/>
        </w:rPr>
        <w:t>Opløsningen bør anvendes straks efter posens åbning for at undgå mikrobiologisk kontaminering.</w:t>
      </w:r>
      <w:bookmarkEnd w:id="9"/>
    </w:p>
    <w:p w14:paraId="418410F7" w14:textId="77777777" w:rsidR="00D23772" w:rsidRPr="00D23772" w:rsidRDefault="00D23772" w:rsidP="00D23772">
      <w:pPr>
        <w:tabs>
          <w:tab w:val="left" w:pos="851"/>
        </w:tabs>
        <w:ind w:left="851"/>
        <w:rPr>
          <w:sz w:val="24"/>
          <w:szCs w:val="24"/>
          <w:lang w:bidi="da-DK"/>
        </w:rPr>
      </w:pPr>
    </w:p>
    <w:p w14:paraId="028B9AC4" w14:textId="77777777" w:rsidR="00D23772" w:rsidRPr="00D23772" w:rsidRDefault="00D23772" w:rsidP="00D23772">
      <w:pPr>
        <w:tabs>
          <w:tab w:val="left" w:pos="851"/>
        </w:tabs>
        <w:ind w:left="851"/>
        <w:rPr>
          <w:sz w:val="24"/>
          <w:szCs w:val="24"/>
          <w:lang w:bidi="da-DK"/>
        </w:rPr>
      </w:pPr>
      <w:r w:rsidRPr="00D23772">
        <w:rPr>
          <w:sz w:val="24"/>
          <w:szCs w:val="24"/>
          <w:lang w:bidi="da-DK"/>
        </w:rPr>
        <w:t>Calciumchloridopløsning har vist sig at være uforenelig med opløsninger, der indeholder uorganisk phosphat, carbonater, tetracyclin</w:t>
      </w:r>
      <w:r w:rsidRPr="00D23772">
        <w:rPr>
          <w:sz w:val="24"/>
          <w:szCs w:val="24"/>
          <w:lang w:bidi="da-DK"/>
        </w:rPr>
        <w:noBreakHyphen/>
        <w:t>antibiotika, ceftriaxon med flere.</w:t>
      </w:r>
    </w:p>
    <w:p w14:paraId="40BD0C2C" w14:textId="77777777" w:rsidR="00D23772" w:rsidRPr="00D23772" w:rsidRDefault="00D23772" w:rsidP="00D23772">
      <w:pPr>
        <w:tabs>
          <w:tab w:val="left" w:pos="851"/>
        </w:tabs>
        <w:ind w:left="851"/>
        <w:rPr>
          <w:sz w:val="24"/>
          <w:szCs w:val="24"/>
          <w:lang w:bidi="da-DK"/>
        </w:rPr>
      </w:pPr>
    </w:p>
    <w:p w14:paraId="2F88CBF4" w14:textId="77777777" w:rsidR="00D23772" w:rsidRPr="00D23772" w:rsidRDefault="00D23772" w:rsidP="00D23772">
      <w:pPr>
        <w:tabs>
          <w:tab w:val="left" w:pos="851"/>
        </w:tabs>
        <w:ind w:left="851"/>
        <w:rPr>
          <w:sz w:val="24"/>
          <w:szCs w:val="24"/>
          <w:lang w:bidi="da-DK"/>
        </w:rPr>
      </w:pPr>
      <w:r w:rsidRPr="00D23772">
        <w:rPr>
          <w:sz w:val="24"/>
          <w:szCs w:val="24"/>
          <w:lang w:bidi="da-DK"/>
        </w:rPr>
        <w:t>Hos patienter, der er ældre end 28 dage (inklusive voksne), må ceftriaxon ikke administreres samtidig med intravenøse calciumholdige opløsninger gennem den samme infusionsslange (f.eks. via Y</w:t>
      </w:r>
      <w:r w:rsidRPr="00D23772">
        <w:rPr>
          <w:sz w:val="24"/>
          <w:szCs w:val="24"/>
          <w:lang w:bidi="da-DK"/>
        </w:rPr>
        <w:noBreakHyphen/>
        <w:t>kobling). Hvis den samme infusionsslange anvendes til sekventiel administration, skal slangen skylles grundigt mellem infusionerne med en forligelig væske.</w:t>
      </w:r>
    </w:p>
    <w:p w14:paraId="2E052390" w14:textId="77777777" w:rsidR="00D23772" w:rsidRPr="00D23772" w:rsidRDefault="00D23772" w:rsidP="00D23772">
      <w:pPr>
        <w:tabs>
          <w:tab w:val="left" w:pos="851"/>
        </w:tabs>
        <w:ind w:left="851"/>
        <w:rPr>
          <w:sz w:val="24"/>
          <w:szCs w:val="24"/>
          <w:lang w:bidi="da-DK"/>
        </w:rPr>
      </w:pPr>
    </w:p>
    <w:p w14:paraId="16320F93" w14:textId="77777777" w:rsidR="00D23772" w:rsidRPr="00D23772" w:rsidRDefault="00D23772" w:rsidP="00D23772">
      <w:pPr>
        <w:tabs>
          <w:tab w:val="left" w:pos="851"/>
        </w:tabs>
        <w:ind w:left="851"/>
        <w:rPr>
          <w:sz w:val="24"/>
          <w:szCs w:val="24"/>
          <w:lang w:bidi="da-DK"/>
        </w:rPr>
      </w:pPr>
      <w:r w:rsidRPr="00D23772">
        <w:rPr>
          <w:sz w:val="24"/>
          <w:szCs w:val="24"/>
          <w:lang w:bidi="da-DK"/>
        </w:rPr>
        <w:t>Fjern plastbeskyttelsen fra udløbsporten i bunden af beholderen. Tag fat i den lille vinge på portens hals med den ene hånd. Tag fat i den store vinge på hætten med den anden hånd, og drej. Hætten vil springe af.</w:t>
      </w:r>
    </w:p>
    <w:p w14:paraId="198C4017" w14:textId="77777777" w:rsidR="00D23772" w:rsidRPr="00D23772" w:rsidRDefault="00D23772" w:rsidP="00D23772">
      <w:pPr>
        <w:tabs>
          <w:tab w:val="left" w:pos="851"/>
        </w:tabs>
        <w:ind w:left="851"/>
        <w:rPr>
          <w:sz w:val="24"/>
          <w:szCs w:val="24"/>
          <w:lang w:bidi="da-DK"/>
        </w:rPr>
      </w:pPr>
    </w:p>
    <w:p w14:paraId="348362FC" w14:textId="77777777" w:rsidR="00D23772" w:rsidRPr="00D23772" w:rsidRDefault="00D23772" w:rsidP="00D23772">
      <w:pPr>
        <w:tabs>
          <w:tab w:val="left" w:pos="851"/>
        </w:tabs>
        <w:ind w:left="851"/>
        <w:rPr>
          <w:sz w:val="24"/>
          <w:szCs w:val="24"/>
          <w:lang w:bidi="da-DK"/>
        </w:rPr>
      </w:pPr>
      <w:r w:rsidRPr="00D23772">
        <w:rPr>
          <w:sz w:val="24"/>
          <w:szCs w:val="24"/>
          <w:lang w:bidi="da-DK"/>
        </w:rPr>
        <w:t>Før spyddet ind gennem gummiskillevæggen. Se vejledningen til sættet for tilslutning. Kontrollér, at væsken strømmer frit.</w:t>
      </w:r>
    </w:p>
    <w:p w14:paraId="2F7932F7" w14:textId="77777777" w:rsidR="00D23772" w:rsidRPr="00D23772" w:rsidRDefault="00D23772" w:rsidP="00D23772">
      <w:pPr>
        <w:tabs>
          <w:tab w:val="left" w:pos="851"/>
        </w:tabs>
        <w:ind w:left="851"/>
        <w:rPr>
          <w:sz w:val="24"/>
          <w:szCs w:val="24"/>
          <w:lang w:bidi="da-DK"/>
        </w:rPr>
      </w:pPr>
    </w:p>
    <w:p w14:paraId="57A50A44" w14:textId="77777777" w:rsidR="00D23772" w:rsidRPr="00D23772" w:rsidRDefault="00D23772" w:rsidP="00D23772">
      <w:pPr>
        <w:tabs>
          <w:tab w:val="left" w:pos="851"/>
        </w:tabs>
        <w:ind w:left="851"/>
        <w:rPr>
          <w:sz w:val="24"/>
          <w:szCs w:val="24"/>
          <w:lang w:bidi="da-DK"/>
        </w:rPr>
      </w:pPr>
      <w:r w:rsidRPr="00D23772">
        <w:rPr>
          <w:sz w:val="24"/>
          <w:szCs w:val="24"/>
          <w:lang w:bidi="da-DK"/>
        </w:rPr>
        <w:t>Tilslut ikke delvist brugte beholdere igen. Opløsningen er kun til engangsbrug. Bortskaf alt ikke anvendt lægemiddel. Hvis produktet ikke anvendes i overensstemmelse med brugsanvisningen, er opbevaringstider og -betingelser under brug brugerens ansvar.</w:t>
      </w:r>
    </w:p>
    <w:p w14:paraId="7187B90D" w14:textId="77777777" w:rsidR="00D23772" w:rsidRPr="00D23772" w:rsidRDefault="00D23772" w:rsidP="00D23772">
      <w:pPr>
        <w:tabs>
          <w:tab w:val="left" w:pos="851"/>
        </w:tabs>
        <w:ind w:left="851"/>
        <w:rPr>
          <w:sz w:val="24"/>
          <w:szCs w:val="24"/>
          <w:lang w:bidi="da-DK"/>
        </w:rPr>
      </w:pPr>
    </w:p>
    <w:p w14:paraId="7ED32C91" w14:textId="77777777" w:rsidR="00D23772" w:rsidRPr="00D23772" w:rsidRDefault="00D23772" w:rsidP="00D23772">
      <w:pPr>
        <w:tabs>
          <w:tab w:val="left" w:pos="851"/>
        </w:tabs>
        <w:ind w:left="851"/>
        <w:rPr>
          <w:sz w:val="24"/>
          <w:szCs w:val="24"/>
          <w:lang w:bidi="da-DK"/>
        </w:rPr>
      </w:pPr>
      <w:r w:rsidRPr="00D23772">
        <w:rPr>
          <w:sz w:val="24"/>
          <w:szCs w:val="24"/>
          <w:lang w:bidi="da-DK"/>
        </w:rPr>
        <w:t>Ikke anvendt lægemiddel samt affald heraf skal bortskaffes i henhold til lokale retningslinjer. Opløsningen kan bortskaffes via spildevand uden at skade miljøet.</w:t>
      </w:r>
    </w:p>
    <w:p w14:paraId="3A4497BC" w14:textId="77777777" w:rsidR="009260DE" w:rsidRPr="00C84483" w:rsidRDefault="009260DE" w:rsidP="000730CA">
      <w:pPr>
        <w:tabs>
          <w:tab w:val="left" w:pos="851"/>
        </w:tabs>
        <w:ind w:left="851"/>
        <w:rPr>
          <w:sz w:val="24"/>
          <w:szCs w:val="24"/>
        </w:rPr>
      </w:pPr>
    </w:p>
    <w:p w14:paraId="747DCB2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A28D457" w14:textId="77777777" w:rsidR="00D23772" w:rsidRPr="00D23772" w:rsidRDefault="00D23772" w:rsidP="00D23772">
      <w:pPr>
        <w:tabs>
          <w:tab w:val="left" w:pos="851"/>
        </w:tabs>
        <w:ind w:left="851"/>
        <w:rPr>
          <w:sz w:val="24"/>
          <w:szCs w:val="24"/>
          <w:lang w:val="fr-FR"/>
        </w:rPr>
      </w:pPr>
      <w:r w:rsidRPr="00D23772">
        <w:rPr>
          <w:sz w:val="24"/>
          <w:szCs w:val="24"/>
          <w:lang w:val="fr-FR"/>
        </w:rPr>
        <w:t>Vantive Belgium SRL</w:t>
      </w:r>
    </w:p>
    <w:p w14:paraId="0B6711A2" w14:textId="77777777" w:rsidR="00D23772" w:rsidRPr="00D23772" w:rsidRDefault="00D23772" w:rsidP="00D23772">
      <w:pPr>
        <w:tabs>
          <w:tab w:val="left" w:pos="851"/>
        </w:tabs>
        <w:ind w:left="851"/>
        <w:rPr>
          <w:sz w:val="24"/>
          <w:szCs w:val="24"/>
          <w:lang w:val="fr-FR"/>
        </w:rPr>
      </w:pPr>
      <w:r w:rsidRPr="00D23772">
        <w:rPr>
          <w:sz w:val="24"/>
          <w:szCs w:val="24"/>
          <w:lang w:val="fr-FR"/>
        </w:rPr>
        <w:t>Boulevard d'Angleterre 2</w:t>
      </w:r>
    </w:p>
    <w:p w14:paraId="0C1C296E" w14:textId="77777777" w:rsidR="00D23772" w:rsidRPr="00D23772" w:rsidRDefault="00D23772" w:rsidP="00D23772">
      <w:pPr>
        <w:tabs>
          <w:tab w:val="left" w:pos="851"/>
        </w:tabs>
        <w:ind w:left="851"/>
        <w:rPr>
          <w:sz w:val="24"/>
          <w:szCs w:val="24"/>
          <w:lang w:bidi="da-DK"/>
        </w:rPr>
      </w:pPr>
      <w:r w:rsidRPr="00D23772">
        <w:rPr>
          <w:sz w:val="24"/>
          <w:szCs w:val="24"/>
          <w:lang w:bidi="da-DK"/>
        </w:rPr>
        <w:t>1420 Braine-l'Alleud</w:t>
      </w:r>
    </w:p>
    <w:p w14:paraId="2F6E0F91" w14:textId="77777777" w:rsidR="00D23772" w:rsidRPr="00D23772" w:rsidRDefault="00D23772" w:rsidP="00D23772">
      <w:pPr>
        <w:tabs>
          <w:tab w:val="left" w:pos="851"/>
        </w:tabs>
        <w:ind w:left="851"/>
        <w:rPr>
          <w:sz w:val="24"/>
          <w:szCs w:val="24"/>
          <w:lang w:bidi="da-DK"/>
        </w:rPr>
      </w:pPr>
      <w:r w:rsidRPr="00D23772">
        <w:rPr>
          <w:sz w:val="24"/>
          <w:szCs w:val="24"/>
          <w:lang w:bidi="da-DK"/>
        </w:rPr>
        <w:t>Belgien</w:t>
      </w:r>
    </w:p>
    <w:p w14:paraId="2C5806C4" w14:textId="77777777" w:rsidR="00D23772" w:rsidRPr="00D23772" w:rsidRDefault="00D23772" w:rsidP="00D23772">
      <w:pPr>
        <w:tabs>
          <w:tab w:val="left" w:pos="851"/>
        </w:tabs>
        <w:ind w:left="851"/>
        <w:rPr>
          <w:sz w:val="24"/>
          <w:szCs w:val="24"/>
          <w:lang w:bidi="da-DK"/>
        </w:rPr>
      </w:pPr>
    </w:p>
    <w:p w14:paraId="480865EB" w14:textId="5F1CAE43" w:rsidR="00D23772" w:rsidRPr="00D23772" w:rsidRDefault="00D23772" w:rsidP="00D23772">
      <w:pPr>
        <w:tabs>
          <w:tab w:val="left" w:pos="851"/>
        </w:tabs>
        <w:ind w:left="851"/>
        <w:rPr>
          <w:b/>
          <w:bCs/>
          <w:sz w:val="24"/>
          <w:szCs w:val="24"/>
          <w:lang w:val="sv-SE"/>
        </w:rPr>
      </w:pPr>
      <w:r>
        <w:rPr>
          <w:b/>
          <w:bCs/>
          <w:sz w:val="24"/>
          <w:szCs w:val="24"/>
          <w:lang w:val="sv-SE"/>
        </w:rPr>
        <w:t>R</w:t>
      </w:r>
      <w:r w:rsidRPr="00D23772">
        <w:rPr>
          <w:b/>
          <w:bCs/>
          <w:sz w:val="24"/>
          <w:szCs w:val="24"/>
          <w:lang w:val="sv-SE"/>
        </w:rPr>
        <w:t xml:space="preserve">epræsentant </w:t>
      </w:r>
    </w:p>
    <w:p w14:paraId="053AC49D" w14:textId="77777777" w:rsidR="00D23772" w:rsidRPr="00D23772" w:rsidRDefault="00D23772" w:rsidP="00D23772">
      <w:pPr>
        <w:tabs>
          <w:tab w:val="left" w:pos="851"/>
        </w:tabs>
        <w:ind w:left="851"/>
        <w:rPr>
          <w:sz w:val="24"/>
          <w:szCs w:val="24"/>
          <w:lang w:val="sv-SE"/>
        </w:rPr>
      </w:pPr>
      <w:r w:rsidRPr="00D23772">
        <w:rPr>
          <w:sz w:val="24"/>
          <w:szCs w:val="24"/>
          <w:lang w:val="sv-SE"/>
        </w:rPr>
        <w:t>Vantive ApS</w:t>
      </w:r>
    </w:p>
    <w:p w14:paraId="3A955F27" w14:textId="77777777" w:rsidR="00D23772" w:rsidRPr="00D23772" w:rsidRDefault="00D23772" w:rsidP="00D23772">
      <w:pPr>
        <w:tabs>
          <w:tab w:val="left" w:pos="851"/>
        </w:tabs>
        <w:ind w:left="851"/>
        <w:rPr>
          <w:sz w:val="24"/>
          <w:szCs w:val="24"/>
          <w:lang w:val="sv-SE"/>
        </w:rPr>
      </w:pPr>
      <w:r w:rsidRPr="00D23772">
        <w:rPr>
          <w:sz w:val="24"/>
          <w:szCs w:val="24"/>
          <w:lang w:val="sv-SE"/>
        </w:rPr>
        <w:t>Tobaksvejen 23a/2</w:t>
      </w:r>
    </w:p>
    <w:p w14:paraId="0F7023C7" w14:textId="77777777" w:rsidR="00D23772" w:rsidRPr="00D23772" w:rsidRDefault="00D23772" w:rsidP="00D23772">
      <w:pPr>
        <w:tabs>
          <w:tab w:val="left" w:pos="851"/>
        </w:tabs>
        <w:ind w:left="851"/>
        <w:rPr>
          <w:sz w:val="24"/>
          <w:szCs w:val="24"/>
          <w:lang w:val="sv-SE"/>
        </w:rPr>
      </w:pPr>
      <w:r w:rsidRPr="00D23772">
        <w:rPr>
          <w:sz w:val="24"/>
          <w:szCs w:val="24"/>
          <w:lang w:val="sv-SE"/>
        </w:rPr>
        <w:t>2860 Søborg</w:t>
      </w:r>
    </w:p>
    <w:p w14:paraId="3646D306" w14:textId="77777777" w:rsidR="00641C65" w:rsidRPr="00641C65" w:rsidRDefault="00641C65" w:rsidP="009260DE">
      <w:pPr>
        <w:tabs>
          <w:tab w:val="left" w:pos="851"/>
        </w:tabs>
        <w:ind w:left="851"/>
        <w:rPr>
          <w:sz w:val="24"/>
          <w:szCs w:val="24"/>
        </w:rPr>
      </w:pPr>
    </w:p>
    <w:p w14:paraId="561A5EC7"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CB2CAB7" w14:textId="49DDF920" w:rsidR="009260DE" w:rsidRPr="00C84483" w:rsidRDefault="00D23772" w:rsidP="009260DE">
      <w:pPr>
        <w:tabs>
          <w:tab w:val="left" w:pos="851"/>
        </w:tabs>
        <w:ind w:left="851"/>
        <w:rPr>
          <w:sz w:val="24"/>
          <w:szCs w:val="24"/>
        </w:rPr>
      </w:pPr>
      <w:r>
        <w:rPr>
          <w:sz w:val="24"/>
          <w:szCs w:val="24"/>
        </w:rPr>
        <w:t>69989</w:t>
      </w:r>
    </w:p>
    <w:p w14:paraId="0217A0D5" w14:textId="77777777" w:rsidR="009260DE" w:rsidRPr="00C84483" w:rsidRDefault="009260DE" w:rsidP="009260DE">
      <w:pPr>
        <w:tabs>
          <w:tab w:val="left" w:pos="851"/>
        </w:tabs>
        <w:ind w:left="851"/>
        <w:jc w:val="both"/>
        <w:rPr>
          <w:sz w:val="24"/>
          <w:szCs w:val="24"/>
        </w:rPr>
      </w:pPr>
    </w:p>
    <w:p w14:paraId="5F81B064"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D58E232" w14:textId="632D6B27" w:rsidR="009260DE" w:rsidRPr="00C84483" w:rsidRDefault="00D91BCB" w:rsidP="009260DE">
      <w:pPr>
        <w:tabs>
          <w:tab w:val="left" w:pos="851"/>
        </w:tabs>
        <w:ind w:left="851"/>
        <w:rPr>
          <w:sz w:val="24"/>
          <w:szCs w:val="24"/>
        </w:rPr>
      </w:pPr>
      <w:r>
        <w:rPr>
          <w:sz w:val="24"/>
          <w:szCs w:val="24"/>
        </w:rPr>
        <w:t>13. januar 2025</w:t>
      </w:r>
    </w:p>
    <w:p w14:paraId="25EA57EE" w14:textId="156AE2CA" w:rsidR="00D23772" w:rsidRDefault="00D23772">
      <w:pPr>
        <w:rPr>
          <w:sz w:val="24"/>
          <w:szCs w:val="24"/>
        </w:rPr>
      </w:pPr>
      <w:r>
        <w:rPr>
          <w:sz w:val="24"/>
          <w:szCs w:val="24"/>
        </w:rPr>
        <w:br w:type="page"/>
      </w:r>
    </w:p>
    <w:p w14:paraId="408B0DD7" w14:textId="77777777" w:rsidR="009260DE" w:rsidRPr="00C84483" w:rsidRDefault="009260DE" w:rsidP="009260DE">
      <w:pPr>
        <w:tabs>
          <w:tab w:val="left" w:pos="851"/>
        </w:tabs>
        <w:ind w:left="851"/>
        <w:rPr>
          <w:sz w:val="24"/>
          <w:szCs w:val="24"/>
        </w:rPr>
      </w:pPr>
    </w:p>
    <w:p w14:paraId="2A3C0F0B"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D19DAB5" w14:textId="614B00CF" w:rsidR="009260DE" w:rsidRPr="00C84483" w:rsidRDefault="00D23772"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94491" w14:textId="77777777" w:rsidR="00E86EBD" w:rsidRDefault="00E86EBD">
      <w:r>
        <w:separator/>
      </w:r>
    </w:p>
  </w:endnote>
  <w:endnote w:type="continuationSeparator" w:id="0">
    <w:p w14:paraId="22974225" w14:textId="77777777" w:rsidR="00E86EBD" w:rsidRDefault="00E8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855E" w14:textId="77777777" w:rsidR="000259B9" w:rsidRDefault="000259B9">
    <w:pPr>
      <w:pStyle w:val="Sidefod"/>
      <w:pBdr>
        <w:bottom w:val="single" w:sz="6" w:space="1" w:color="auto"/>
      </w:pBdr>
    </w:pPr>
  </w:p>
  <w:p w14:paraId="055140FE" w14:textId="77777777" w:rsidR="000259B9" w:rsidRDefault="000259B9" w:rsidP="00C42586">
    <w:pPr>
      <w:pStyle w:val="Sidefod"/>
      <w:tabs>
        <w:tab w:val="clear" w:pos="4819"/>
        <w:tab w:val="left" w:pos="8505"/>
      </w:tabs>
      <w:rPr>
        <w:i/>
        <w:sz w:val="18"/>
        <w:szCs w:val="18"/>
      </w:rPr>
    </w:pPr>
  </w:p>
  <w:p w14:paraId="1936FB96" w14:textId="49A2911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B4692">
      <w:rPr>
        <w:i/>
        <w:noProof/>
        <w:sz w:val="18"/>
        <w:szCs w:val="18"/>
      </w:rPr>
      <w:t>Icalziss, infusionsvæske, opløsning 340 mmol-l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F9B1" w14:textId="77777777" w:rsidR="00E86EBD" w:rsidRDefault="00E86EBD">
      <w:r>
        <w:separator/>
      </w:r>
    </w:p>
  </w:footnote>
  <w:footnote w:type="continuationSeparator" w:id="0">
    <w:p w14:paraId="05746F67" w14:textId="77777777" w:rsidR="00E86EBD" w:rsidRDefault="00E86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6681"/>
    <w:multiLevelType w:val="hybridMultilevel"/>
    <w:tmpl w:val="0DCCA6F0"/>
    <w:lvl w:ilvl="0" w:tplc="13E47FD4">
      <w:start w:val="1"/>
      <w:numFmt w:val="bullet"/>
      <w:lvlText w:val=""/>
      <w:lvlJc w:val="left"/>
      <w:pPr>
        <w:ind w:left="720" w:hanging="360"/>
      </w:pPr>
      <w:rPr>
        <w:rFonts w:ascii="Symbol" w:hAnsi="Symbol" w:hint="default"/>
      </w:rPr>
    </w:lvl>
    <w:lvl w:ilvl="1" w:tplc="84AC5508">
      <w:start w:val="1"/>
      <w:numFmt w:val="bullet"/>
      <w:lvlText w:val="o"/>
      <w:lvlJc w:val="left"/>
      <w:pPr>
        <w:ind w:left="1440" w:hanging="360"/>
      </w:pPr>
      <w:rPr>
        <w:rFonts w:ascii="Courier New" w:hAnsi="Courier New" w:cs="Courier New" w:hint="default"/>
      </w:rPr>
    </w:lvl>
    <w:lvl w:ilvl="2" w:tplc="63EA96F6">
      <w:start w:val="1"/>
      <w:numFmt w:val="bullet"/>
      <w:lvlText w:val=""/>
      <w:lvlJc w:val="left"/>
      <w:pPr>
        <w:ind w:left="2160" w:hanging="360"/>
      </w:pPr>
      <w:rPr>
        <w:rFonts w:ascii="Wingdings" w:hAnsi="Wingdings" w:hint="default"/>
      </w:rPr>
    </w:lvl>
    <w:lvl w:ilvl="3" w:tplc="E4FACCD4">
      <w:start w:val="1"/>
      <w:numFmt w:val="bullet"/>
      <w:lvlText w:val=""/>
      <w:lvlJc w:val="left"/>
      <w:pPr>
        <w:ind w:left="2880" w:hanging="360"/>
      </w:pPr>
      <w:rPr>
        <w:rFonts w:ascii="Symbol" w:hAnsi="Symbol" w:hint="default"/>
      </w:rPr>
    </w:lvl>
    <w:lvl w:ilvl="4" w:tplc="7FEE624A">
      <w:start w:val="1"/>
      <w:numFmt w:val="bullet"/>
      <w:lvlText w:val="o"/>
      <w:lvlJc w:val="left"/>
      <w:pPr>
        <w:ind w:left="3600" w:hanging="360"/>
      </w:pPr>
      <w:rPr>
        <w:rFonts w:ascii="Courier New" w:hAnsi="Courier New" w:cs="Courier New" w:hint="default"/>
      </w:rPr>
    </w:lvl>
    <w:lvl w:ilvl="5" w:tplc="22BA923E">
      <w:start w:val="1"/>
      <w:numFmt w:val="bullet"/>
      <w:lvlText w:val=""/>
      <w:lvlJc w:val="left"/>
      <w:pPr>
        <w:ind w:left="4320" w:hanging="360"/>
      </w:pPr>
      <w:rPr>
        <w:rFonts w:ascii="Wingdings" w:hAnsi="Wingdings" w:hint="default"/>
      </w:rPr>
    </w:lvl>
    <w:lvl w:ilvl="6" w:tplc="E2C2E6FA">
      <w:start w:val="1"/>
      <w:numFmt w:val="bullet"/>
      <w:lvlText w:val=""/>
      <w:lvlJc w:val="left"/>
      <w:pPr>
        <w:ind w:left="5040" w:hanging="360"/>
      </w:pPr>
      <w:rPr>
        <w:rFonts w:ascii="Symbol" w:hAnsi="Symbol" w:hint="default"/>
      </w:rPr>
    </w:lvl>
    <w:lvl w:ilvl="7" w:tplc="A8B8236E">
      <w:start w:val="1"/>
      <w:numFmt w:val="bullet"/>
      <w:lvlText w:val="o"/>
      <w:lvlJc w:val="left"/>
      <w:pPr>
        <w:ind w:left="5760" w:hanging="360"/>
      </w:pPr>
      <w:rPr>
        <w:rFonts w:ascii="Courier New" w:hAnsi="Courier New" w:cs="Courier New" w:hint="default"/>
      </w:rPr>
    </w:lvl>
    <w:lvl w:ilvl="8" w:tplc="BEEE630A">
      <w:start w:val="1"/>
      <w:numFmt w:val="bullet"/>
      <w:lvlText w:val=""/>
      <w:lvlJc w:val="left"/>
      <w:pPr>
        <w:ind w:left="6480" w:hanging="360"/>
      </w:pPr>
      <w:rPr>
        <w:rFonts w:ascii="Wingdings" w:hAnsi="Wingdings" w:hint="default"/>
      </w:rPr>
    </w:lvl>
  </w:abstractNum>
  <w:abstractNum w:abstractNumId="1" w15:restartNumberingAfterBreak="0">
    <w:nsid w:val="0B6314F5"/>
    <w:multiLevelType w:val="hybridMultilevel"/>
    <w:tmpl w:val="C19AA68A"/>
    <w:lvl w:ilvl="0" w:tplc="D0CEEE9C">
      <w:start w:val="1"/>
      <w:numFmt w:val="bullet"/>
      <w:lvlText w:val=""/>
      <w:lvlJc w:val="left"/>
      <w:pPr>
        <w:ind w:left="720" w:hanging="360"/>
      </w:pPr>
      <w:rPr>
        <w:rFonts w:ascii="Symbol" w:hAnsi="Symbol" w:hint="default"/>
      </w:rPr>
    </w:lvl>
    <w:lvl w:ilvl="1" w:tplc="9A1247D6">
      <w:start w:val="1"/>
      <w:numFmt w:val="bullet"/>
      <w:lvlText w:val="o"/>
      <w:lvlJc w:val="left"/>
      <w:pPr>
        <w:ind w:left="1440" w:hanging="360"/>
      </w:pPr>
      <w:rPr>
        <w:rFonts w:ascii="Courier New" w:hAnsi="Courier New" w:cs="Courier New" w:hint="default"/>
      </w:rPr>
    </w:lvl>
    <w:lvl w:ilvl="2" w:tplc="63CE700C">
      <w:start w:val="1"/>
      <w:numFmt w:val="bullet"/>
      <w:lvlText w:val=""/>
      <w:lvlJc w:val="left"/>
      <w:pPr>
        <w:ind w:left="2160" w:hanging="360"/>
      </w:pPr>
      <w:rPr>
        <w:rFonts w:ascii="Wingdings" w:hAnsi="Wingdings" w:hint="default"/>
      </w:rPr>
    </w:lvl>
    <w:lvl w:ilvl="3" w:tplc="1212C3CE">
      <w:start w:val="1"/>
      <w:numFmt w:val="bullet"/>
      <w:lvlText w:val=""/>
      <w:lvlJc w:val="left"/>
      <w:pPr>
        <w:ind w:left="2880" w:hanging="360"/>
      </w:pPr>
      <w:rPr>
        <w:rFonts w:ascii="Symbol" w:hAnsi="Symbol" w:hint="default"/>
      </w:rPr>
    </w:lvl>
    <w:lvl w:ilvl="4" w:tplc="46905B9C">
      <w:start w:val="1"/>
      <w:numFmt w:val="bullet"/>
      <w:lvlText w:val="o"/>
      <w:lvlJc w:val="left"/>
      <w:pPr>
        <w:ind w:left="3600" w:hanging="360"/>
      </w:pPr>
      <w:rPr>
        <w:rFonts w:ascii="Courier New" w:hAnsi="Courier New" w:cs="Courier New" w:hint="default"/>
      </w:rPr>
    </w:lvl>
    <w:lvl w:ilvl="5" w:tplc="FE06B06C">
      <w:start w:val="1"/>
      <w:numFmt w:val="bullet"/>
      <w:lvlText w:val=""/>
      <w:lvlJc w:val="left"/>
      <w:pPr>
        <w:ind w:left="4320" w:hanging="360"/>
      </w:pPr>
      <w:rPr>
        <w:rFonts w:ascii="Wingdings" w:hAnsi="Wingdings" w:hint="default"/>
      </w:rPr>
    </w:lvl>
    <w:lvl w:ilvl="6" w:tplc="D2E89B50">
      <w:start w:val="1"/>
      <w:numFmt w:val="bullet"/>
      <w:lvlText w:val=""/>
      <w:lvlJc w:val="left"/>
      <w:pPr>
        <w:ind w:left="5040" w:hanging="360"/>
      </w:pPr>
      <w:rPr>
        <w:rFonts w:ascii="Symbol" w:hAnsi="Symbol" w:hint="default"/>
      </w:rPr>
    </w:lvl>
    <w:lvl w:ilvl="7" w:tplc="CDB08CC6">
      <w:start w:val="1"/>
      <w:numFmt w:val="bullet"/>
      <w:lvlText w:val="o"/>
      <w:lvlJc w:val="left"/>
      <w:pPr>
        <w:ind w:left="5760" w:hanging="360"/>
      </w:pPr>
      <w:rPr>
        <w:rFonts w:ascii="Courier New" w:hAnsi="Courier New" w:cs="Courier New" w:hint="default"/>
      </w:rPr>
    </w:lvl>
    <w:lvl w:ilvl="8" w:tplc="EB1C1838">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9A1764"/>
    <w:multiLevelType w:val="hybridMultilevel"/>
    <w:tmpl w:val="A5CAD8EC"/>
    <w:lvl w:ilvl="0" w:tplc="5A922822">
      <w:start w:val="1"/>
      <w:numFmt w:val="bullet"/>
      <w:lvlText w:val=""/>
      <w:lvlJc w:val="left"/>
      <w:pPr>
        <w:ind w:left="720" w:hanging="360"/>
      </w:pPr>
      <w:rPr>
        <w:rFonts w:ascii="Symbol" w:hAnsi="Symbol" w:hint="default"/>
      </w:rPr>
    </w:lvl>
    <w:lvl w:ilvl="1" w:tplc="2BACDA64">
      <w:start w:val="1"/>
      <w:numFmt w:val="bullet"/>
      <w:lvlText w:val="o"/>
      <w:lvlJc w:val="left"/>
      <w:pPr>
        <w:ind w:left="1440" w:hanging="360"/>
      </w:pPr>
      <w:rPr>
        <w:rFonts w:ascii="Courier New" w:hAnsi="Courier New" w:cs="Courier New" w:hint="default"/>
      </w:rPr>
    </w:lvl>
    <w:lvl w:ilvl="2" w:tplc="BE08E782">
      <w:start w:val="1"/>
      <w:numFmt w:val="bullet"/>
      <w:lvlText w:val=""/>
      <w:lvlJc w:val="left"/>
      <w:pPr>
        <w:ind w:left="2160" w:hanging="360"/>
      </w:pPr>
      <w:rPr>
        <w:rFonts w:ascii="Wingdings" w:hAnsi="Wingdings" w:hint="default"/>
      </w:rPr>
    </w:lvl>
    <w:lvl w:ilvl="3" w:tplc="02E2F8B4">
      <w:start w:val="1"/>
      <w:numFmt w:val="bullet"/>
      <w:lvlText w:val=""/>
      <w:lvlJc w:val="left"/>
      <w:pPr>
        <w:ind w:left="2880" w:hanging="360"/>
      </w:pPr>
      <w:rPr>
        <w:rFonts w:ascii="Symbol" w:hAnsi="Symbol" w:hint="default"/>
      </w:rPr>
    </w:lvl>
    <w:lvl w:ilvl="4" w:tplc="9F167CEE">
      <w:start w:val="1"/>
      <w:numFmt w:val="bullet"/>
      <w:lvlText w:val="o"/>
      <w:lvlJc w:val="left"/>
      <w:pPr>
        <w:ind w:left="3600" w:hanging="360"/>
      </w:pPr>
      <w:rPr>
        <w:rFonts w:ascii="Courier New" w:hAnsi="Courier New" w:cs="Courier New" w:hint="default"/>
      </w:rPr>
    </w:lvl>
    <w:lvl w:ilvl="5" w:tplc="1FC2C6D8">
      <w:start w:val="1"/>
      <w:numFmt w:val="bullet"/>
      <w:lvlText w:val=""/>
      <w:lvlJc w:val="left"/>
      <w:pPr>
        <w:ind w:left="4320" w:hanging="360"/>
      </w:pPr>
      <w:rPr>
        <w:rFonts w:ascii="Wingdings" w:hAnsi="Wingdings" w:hint="default"/>
      </w:rPr>
    </w:lvl>
    <w:lvl w:ilvl="6" w:tplc="F25C5892">
      <w:start w:val="1"/>
      <w:numFmt w:val="bullet"/>
      <w:lvlText w:val=""/>
      <w:lvlJc w:val="left"/>
      <w:pPr>
        <w:ind w:left="5040" w:hanging="360"/>
      </w:pPr>
      <w:rPr>
        <w:rFonts w:ascii="Symbol" w:hAnsi="Symbol" w:hint="default"/>
      </w:rPr>
    </w:lvl>
    <w:lvl w:ilvl="7" w:tplc="6CF2EC22">
      <w:start w:val="1"/>
      <w:numFmt w:val="bullet"/>
      <w:lvlText w:val="o"/>
      <w:lvlJc w:val="left"/>
      <w:pPr>
        <w:ind w:left="5760" w:hanging="360"/>
      </w:pPr>
      <w:rPr>
        <w:rFonts w:ascii="Courier New" w:hAnsi="Courier New" w:cs="Courier New" w:hint="default"/>
      </w:rPr>
    </w:lvl>
    <w:lvl w:ilvl="8" w:tplc="7386572E">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A66A13"/>
    <w:multiLevelType w:val="hybridMultilevel"/>
    <w:tmpl w:val="4170B238"/>
    <w:lvl w:ilvl="0" w:tplc="DB48D678">
      <w:start w:val="1"/>
      <w:numFmt w:val="bullet"/>
      <w:lvlText w:val=""/>
      <w:lvlJc w:val="left"/>
      <w:pPr>
        <w:ind w:left="720" w:hanging="360"/>
      </w:pPr>
      <w:rPr>
        <w:rFonts w:ascii="Symbol" w:hAnsi="Symbol" w:hint="default"/>
      </w:rPr>
    </w:lvl>
    <w:lvl w:ilvl="1" w:tplc="661EF31A">
      <w:start w:val="1"/>
      <w:numFmt w:val="bullet"/>
      <w:lvlText w:val="o"/>
      <w:lvlJc w:val="left"/>
      <w:pPr>
        <w:ind w:left="1440" w:hanging="360"/>
      </w:pPr>
      <w:rPr>
        <w:rFonts w:ascii="Courier New" w:hAnsi="Courier New" w:cs="Courier New" w:hint="default"/>
      </w:rPr>
    </w:lvl>
    <w:lvl w:ilvl="2" w:tplc="F3D61FF0">
      <w:start w:val="1"/>
      <w:numFmt w:val="bullet"/>
      <w:lvlText w:val=""/>
      <w:lvlJc w:val="left"/>
      <w:pPr>
        <w:ind w:left="2160" w:hanging="360"/>
      </w:pPr>
      <w:rPr>
        <w:rFonts w:ascii="Wingdings" w:hAnsi="Wingdings" w:hint="default"/>
      </w:rPr>
    </w:lvl>
    <w:lvl w:ilvl="3" w:tplc="7AFEF374">
      <w:start w:val="1"/>
      <w:numFmt w:val="bullet"/>
      <w:lvlText w:val=""/>
      <w:lvlJc w:val="left"/>
      <w:pPr>
        <w:ind w:left="2880" w:hanging="360"/>
      </w:pPr>
      <w:rPr>
        <w:rFonts w:ascii="Symbol" w:hAnsi="Symbol" w:hint="default"/>
      </w:rPr>
    </w:lvl>
    <w:lvl w:ilvl="4" w:tplc="4E8233F0">
      <w:start w:val="1"/>
      <w:numFmt w:val="bullet"/>
      <w:lvlText w:val="o"/>
      <w:lvlJc w:val="left"/>
      <w:pPr>
        <w:ind w:left="3600" w:hanging="360"/>
      </w:pPr>
      <w:rPr>
        <w:rFonts w:ascii="Courier New" w:hAnsi="Courier New" w:cs="Courier New" w:hint="default"/>
      </w:rPr>
    </w:lvl>
    <w:lvl w:ilvl="5" w:tplc="C6427D18">
      <w:start w:val="1"/>
      <w:numFmt w:val="bullet"/>
      <w:lvlText w:val=""/>
      <w:lvlJc w:val="left"/>
      <w:pPr>
        <w:ind w:left="4320" w:hanging="360"/>
      </w:pPr>
      <w:rPr>
        <w:rFonts w:ascii="Wingdings" w:hAnsi="Wingdings" w:hint="default"/>
      </w:rPr>
    </w:lvl>
    <w:lvl w:ilvl="6" w:tplc="63426B6E">
      <w:start w:val="1"/>
      <w:numFmt w:val="bullet"/>
      <w:lvlText w:val=""/>
      <w:lvlJc w:val="left"/>
      <w:pPr>
        <w:ind w:left="5040" w:hanging="360"/>
      </w:pPr>
      <w:rPr>
        <w:rFonts w:ascii="Symbol" w:hAnsi="Symbol" w:hint="default"/>
      </w:rPr>
    </w:lvl>
    <w:lvl w:ilvl="7" w:tplc="EAEACBF6">
      <w:start w:val="1"/>
      <w:numFmt w:val="bullet"/>
      <w:lvlText w:val="o"/>
      <w:lvlJc w:val="left"/>
      <w:pPr>
        <w:ind w:left="5760" w:hanging="360"/>
      </w:pPr>
      <w:rPr>
        <w:rFonts w:ascii="Courier New" w:hAnsi="Courier New" w:cs="Courier New" w:hint="default"/>
      </w:rPr>
    </w:lvl>
    <w:lvl w:ilvl="8" w:tplc="1560599E">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BD"/>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04BF3"/>
    <w:rsid w:val="0082576E"/>
    <w:rsid w:val="0089346F"/>
    <w:rsid w:val="00907F75"/>
    <w:rsid w:val="009260DE"/>
    <w:rsid w:val="0093258A"/>
    <w:rsid w:val="009C7BA3"/>
    <w:rsid w:val="009D1F5A"/>
    <w:rsid w:val="00A10294"/>
    <w:rsid w:val="00B003BF"/>
    <w:rsid w:val="00B373D7"/>
    <w:rsid w:val="00B55271"/>
    <w:rsid w:val="00B837E5"/>
    <w:rsid w:val="00BD7931"/>
    <w:rsid w:val="00BF6243"/>
    <w:rsid w:val="00C36276"/>
    <w:rsid w:val="00C42586"/>
    <w:rsid w:val="00C45F6B"/>
    <w:rsid w:val="00C60CCD"/>
    <w:rsid w:val="00C84483"/>
    <w:rsid w:val="00C95551"/>
    <w:rsid w:val="00CB20D7"/>
    <w:rsid w:val="00CB4692"/>
    <w:rsid w:val="00D020B0"/>
    <w:rsid w:val="00D11748"/>
    <w:rsid w:val="00D23772"/>
    <w:rsid w:val="00D237F6"/>
    <w:rsid w:val="00D34D98"/>
    <w:rsid w:val="00D366CF"/>
    <w:rsid w:val="00D52FBE"/>
    <w:rsid w:val="00D91BCB"/>
    <w:rsid w:val="00D93992"/>
    <w:rsid w:val="00E108AA"/>
    <w:rsid w:val="00E3749A"/>
    <w:rsid w:val="00E7437F"/>
    <w:rsid w:val="00E865B8"/>
    <w:rsid w:val="00E86EBD"/>
    <w:rsid w:val="00EC0B9B"/>
    <w:rsid w:val="00ED5E9F"/>
    <w:rsid w:val="00F66D4F"/>
    <w:rsid w:val="00F9257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89D"/>
  <w15:chartTrackingRefBased/>
  <w15:docId w15:val="{138BDE00-E2F5-4D97-B06C-EDF9AD80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B837E5"/>
    <w:pPr>
      <w:tabs>
        <w:tab w:val="left" w:pos="567"/>
      </w:tabs>
      <w:spacing w:line="260" w:lineRule="exact"/>
    </w:pPr>
    <w:rPr>
      <w:rFonts w:eastAsia="SimSun"/>
      <w:lang w:bidi="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837E5"/>
    <w:rPr>
      <w:color w:val="0563C1" w:themeColor="hyperlink"/>
      <w:u w:val="single"/>
    </w:rPr>
  </w:style>
  <w:style w:type="character" w:styleId="Ulstomtale">
    <w:name w:val="Unresolved Mention"/>
    <w:basedOn w:val="Standardskrifttypeiafsnit"/>
    <w:uiPriority w:val="99"/>
    <w:semiHidden/>
    <w:unhideWhenUsed/>
    <w:rsid w:val="00B8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9571">
      <w:bodyDiv w:val="1"/>
      <w:marLeft w:val="0"/>
      <w:marRight w:val="0"/>
      <w:marTop w:val="0"/>
      <w:marBottom w:val="0"/>
      <w:divBdr>
        <w:top w:val="none" w:sz="0" w:space="0" w:color="auto"/>
        <w:left w:val="none" w:sz="0" w:space="0" w:color="auto"/>
        <w:bottom w:val="none" w:sz="0" w:space="0" w:color="auto"/>
        <w:right w:val="none" w:sz="0" w:space="0" w:color="auto"/>
      </w:divBdr>
    </w:div>
    <w:div w:id="46419900">
      <w:bodyDiv w:val="1"/>
      <w:marLeft w:val="0"/>
      <w:marRight w:val="0"/>
      <w:marTop w:val="0"/>
      <w:marBottom w:val="0"/>
      <w:divBdr>
        <w:top w:val="none" w:sz="0" w:space="0" w:color="auto"/>
        <w:left w:val="none" w:sz="0" w:space="0" w:color="auto"/>
        <w:bottom w:val="none" w:sz="0" w:space="0" w:color="auto"/>
        <w:right w:val="none" w:sz="0" w:space="0" w:color="auto"/>
      </w:divBdr>
    </w:div>
    <w:div w:id="73086837">
      <w:bodyDiv w:val="1"/>
      <w:marLeft w:val="0"/>
      <w:marRight w:val="0"/>
      <w:marTop w:val="0"/>
      <w:marBottom w:val="0"/>
      <w:divBdr>
        <w:top w:val="none" w:sz="0" w:space="0" w:color="auto"/>
        <w:left w:val="none" w:sz="0" w:space="0" w:color="auto"/>
        <w:bottom w:val="none" w:sz="0" w:space="0" w:color="auto"/>
        <w:right w:val="none" w:sz="0" w:space="0" w:color="auto"/>
      </w:divBdr>
    </w:div>
    <w:div w:id="839578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835002">
      <w:bodyDiv w:val="1"/>
      <w:marLeft w:val="0"/>
      <w:marRight w:val="0"/>
      <w:marTop w:val="0"/>
      <w:marBottom w:val="0"/>
      <w:divBdr>
        <w:top w:val="none" w:sz="0" w:space="0" w:color="auto"/>
        <w:left w:val="none" w:sz="0" w:space="0" w:color="auto"/>
        <w:bottom w:val="none" w:sz="0" w:space="0" w:color="auto"/>
        <w:right w:val="none" w:sz="0" w:space="0" w:color="auto"/>
      </w:divBdr>
    </w:div>
    <w:div w:id="208347764">
      <w:bodyDiv w:val="1"/>
      <w:marLeft w:val="0"/>
      <w:marRight w:val="0"/>
      <w:marTop w:val="0"/>
      <w:marBottom w:val="0"/>
      <w:divBdr>
        <w:top w:val="none" w:sz="0" w:space="0" w:color="auto"/>
        <w:left w:val="none" w:sz="0" w:space="0" w:color="auto"/>
        <w:bottom w:val="none" w:sz="0" w:space="0" w:color="auto"/>
        <w:right w:val="none" w:sz="0" w:space="0" w:color="auto"/>
      </w:divBdr>
    </w:div>
    <w:div w:id="213398045">
      <w:bodyDiv w:val="1"/>
      <w:marLeft w:val="0"/>
      <w:marRight w:val="0"/>
      <w:marTop w:val="0"/>
      <w:marBottom w:val="0"/>
      <w:divBdr>
        <w:top w:val="none" w:sz="0" w:space="0" w:color="auto"/>
        <w:left w:val="none" w:sz="0" w:space="0" w:color="auto"/>
        <w:bottom w:val="none" w:sz="0" w:space="0" w:color="auto"/>
        <w:right w:val="none" w:sz="0" w:space="0" w:color="auto"/>
      </w:divBdr>
    </w:div>
    <w:div w:id="269554760">
      <w:bodyDiv w:val="1"/>
      <w:marLeft w:val="0"/>
      <w:marRight w:val="0"/>
      <w:marTop w:val="0"/>
      <w:marBottom w:val="0"/>
      <w:divBdr>
        <w:top w:val="none" w:sz="0" w:space="0" w:color="auto"/>
        <w:left w:val="none" w:sz="0" w:space="0" w:color="auto"/>
        <w:bottom w:val="none" w:sz="0" w:space="0" w:color="auto"/>
        <w:right w:val="none" w:sz="0" w:space="0" w:color="auto"/>
      </w:divBdr>
    </w:div>
    <w:div w:id="326833281">
      <w:bodyDiv w:val="1"/>
      <w:marLeft w:val="0"/>
      <w:marRight w:val="0"/>
      <w:marTop w:val="0"/>
      <w:marBottom w:val="0"/>
      <w:divBdr>
        <w:top w:val="none" w:sz="0" w:space="0" w:color="auto"/>
        <w:left w:val="none" w:sz="0" w:space="0" w:color="auto"/>
        <w:bottom w:val="none" w:sz="0" w:space="0" w:color="auto"/>
        <w:right w:val="none" w:sz="0" w:space="0" w:color="auto"/>
      </w:divBdr>
    </w:div>
    <w:div w:id="333261954">
      <w:bodyDiv w:val="1"/>
      <w:marLeft w:val="0"/>
      <w:marRight w:val="0"/>
      <w:marTop w:val="0"/>
      <w:marBottom w:val="0"/>
      <w:divBdr>
        <w:top w:val="none" w:sz="0" w:space="0" w:color="auto"/>
        <w:left w:val="none" w:sz="0" w:space="0" w:color="auto"/>
        <w:bottom w:val="none" w:sz="0" w:space="0" w:color="auto"/>
        <w:right w:val="none" w:sz="0" w:space="0" w:color="auto"/>
      </w:divBdr>
    </w:div>
    <w:div w:id="452405864">
      <w:bodyDiv w:val="1"/>
      <w:marLeft w:val="0"/>
      <w:marRight w:val="0"/>
      <w:marTop w:val="0"/>
      <w:marBottom w:val="0"/>
      <w:divBdr>
        <w:top w:val="none" w:sz="0" w:space="0" w:color="auto"/>
        <w:left w:val="none" w:sz="0" w:space="0" w:color="auto"/>
        <w:bottom w:val="none" w:sz="0" w:space="0" w:color="auto"/>
        <w:right w:val="none" w:sz="0" w:space="0" w:color="auto"/>
      </w:divBdr>
    </w:div>
    <w:div w:id="566692131">
      <w:bodyDiv w:val="1"/>
      <w:marLeft w:val="0"/>
      <w:marRight w:val="0"/>
      <w:marTop w:val="0"/>
      <w:marBottom w:val="0"/>
      <w:divBdr>
        <w:top w:val="none" w:sz="0" w:space="0" w:color="auto"/>
        <w:left w:val="none" w:sz="0" w:space="0" w:color="auto"/>
        <w:bottom w:val="none" w:sz="0" w:space="0" w:color="auto"/>
        <w:right w:val="none" w:sz="0" w:space="0" w:color="auto"/>
      </w:divBdr>
    </w:div>
    <w:div w:id="570191890">
      <w:bodyDiv w:val="1"/>
      <w:marLeft w:val="0"/>
      <w:marRight w:val="0"/>
      <w:marTop w:val="0"/>
      <w:marBottom w:val="0"/>
      <w:divBdr>
        <w:top w:val="none" w:sz="0" w:space="0" w:color="auto"/>
        <w:left w:val="none" w:sz="0" w:space="0" w:color="auto"/>
        <w:bottom w:val="none" w:sz="0" w:space="0" w:color="auto"/>
        <w:right w:val="none" w:sz="0" w:space="0" w:color="auto"/>
      </w:divBdr>
    </w:div>
    <w:div w:id="574122194">
      <w:bodyDiv w:val="1"/>
      <w:marLeft w:val="0"/>
      <w:marRight w:val="0"/>
      <w:marTop w:val="0"/>
      <w:marBottom w:val="0"/>
      <w:divBdr>
        <w:top w:val="none" w:sz="0" w:space="0" w:color="auto"/>
        <w:left w:val="none" w:sz="0" w:space="0" w:color="auto"/>
        <w:bottom w:val="none" w:sz="0" w:space="0" w:color="auto"/>
        <w:right w:val="none" w:sz="0" w:space="0" w:color="auto"/>
      </w:divBdr>
    </w:div>
    <w:div w:id="621351055">
      <w:bodyDiv w:val="1"/>
      <w:marLeft w:val="0"/>
      <w:marRight w:val="0"/>
      <w:marTop w:val="0"/>
      <w:marBottom w:val="0"/>
      <w:divBdr>
        <w:top w:val="none" w:sz="0" w:space="0" w:color="auto"/>
        <w:left w:val="none" w:sz="0" w:space="0" w:color="auto"/>
        <w:bottom w:val="none" w:sz="0" w:space="0" w:color="auto"/>
        <w:right w:val="none" w:sz="0" w:space="0" w:color="auto"/>
      </w:divBdr>
    </w:div>
    <w:div w:id="740063041">
      <w:bodyDiv w:val="1"/>
      <w:marLeft w:val="0"/>
      <w:marRight w:val="0"/>
      <w:marTop w:val="0"/>
      <w:marBottom w:val="0"/>
      <w:divBdr>
        <w:top w:val="none" w:sz="0" w:space="0" w:color="auto"/>
        <w:left w:val="none" w:sz="0" w:space="0" w:color="auto"/>
        <w:bottom w:val="none" w:sz="0" w:space="0" w:color="auto"/>
        <w:right w:val="none" w:sz="0" w:space="0" w:color="auto"/>
      </w:divBdr>
    </w:div>
    <w:div w:id="916209806">
      <w:bodyDiv w:val="1"/>
      <w:marLeft w:val="0"/>
      <w:marRight w:val="0"/>
      <w:marTop w:val="0"/>
      <w:marBottom w:val="0"/>
      <w:divBdr>
        <w:top w:val="none" w:sz="0" w:space="0" w:color="auto"/>
        <w:left w:val="none" w:sz="0" w:space="0" w:color="auto"/>
        <w:bottom w:val="none" w:sz="0" w:space="0" w:color="auto"/>
        <w:right w:val="none" w:sz="0" w:space="0" w:color="auto"/>
      </w:divBdr>
    </w:div>
    <w:div w:id="920455849">
      <w:bodyDiv w:val="1"/>
      <w:marLeft w:val="0"/>
      <w:marRight w:val="0"/>
      <w:marTop w:val="0"/>
      <w:marBottom w:val="0"/>
      <w:divBdr>
        <w:top w:val="none" w:sz="0" w:space="0" w:color="auto"/>
        <w:left w:val="none" w:sz="0" w:space="0" w:color="auto"/>
        <w:bottom w:val="none" w:sz="0" w:space="0" w:color="auto"/>
        <w:right w:val="none" w:sz="0" w:space="0" w:color="auto"/>
      </w:divBdr>
    </w:div>
    <w:div w:id="922956125">
      <w:bodyDiv w:val="1"/>
      <w:marLeft w:val="0"/>
      <w:marRight w:val="0"/>
      <w:marTop w:val="0"/>
      <w:marBottom w:val="0"/>
      <w:divBdr>
        <w:top w:val="none" w:sz="0" w:space="0" w:color="auto"/>
        <w:left w:val="none" w:sz="0" w:space="0" w:color="auto"/>
        <w:bottom w:val="none" w:sz="0" w:space="0" w:color="auto"/>
        <w:right w:val="none" w:sz="0" w:space="0" w:color="auto"/>
      </w:divBdr>
    </w:div>
    <w:div w:id="934633402">
      <w:bodyDiv w:val="1"/>
      <w:marLeft w:val="0"/>
      <w:marRight w:val="0"/>
      <w:marTop w:val="0"/>
      <w:marBottom w:val="0"/>
      <w:divBdr>
        <w:top w:val="none" w:sz="0" w:space="0" w:color="auto"/>
        <w:left w:val="none" w:sz="0" w:space="0" w:color="auto"/>
        <w:bottom w:val="none" w:sz="0" w:space="0" w:color="auto"/>
        <w:right w:val="none" w:sz="0" w:space="0" w:color="auto"/>
      </w:divBdr>
    </w:div>
    <w:div w:id="967203554">
      <w:bodyDiv w:val="1"/>
      <w:marLeft w:val="0"/>
      <w:marRight w:val="0"/>
      <w:marTop w:val="0"/>
      <w:marBottom w:val="0"/>
      <w:divBdr>
        <w:top w:val="none" w:sz="0" w:space="0" w:color="auto"/>
        <w:left w:val="none" w:sz="0" w:space="0" w:color="auto"/>
        <w:bottom w:val="none" w:sz="0" w:space="0" w:color="auto"/>
        <w:right w:val="none" w:sz="0" w:space="0" w:color="auto"/>
      </w:divBdr>
    </w:div>
    <w:div w:id="1040937400">
      <w:bodyDiv w:val="1"/>
      <w:marLeft w:val="0"/>
      <w:marRight w:val="0"/>
      <w:marTop w:val="0"/>
      <w:marBottom w:val="0"/>
      <w:divBdr>
        <w:top w:val="none" w:sz="0" w:space="0" w:color="auto"/>
        <w:left w:val="none" w:sz="0" w:space="0" w:color="auto"/>
        <w:bottom w:val="none" w:sz="0" w:space="0" w:color="auto"/>
        <w:right w:val="none" w:sz="0" w:space="0" w:color="auto"/>
      </w:divBdr>
    </w:div>
    <w:div w:id="1057128005">
      <w:bodyDiv w:val="1"/>
      <w:marLeft w:val="0"/>
      <w:marRight w:val="0"/>
      <w:marTop w:val="0"/>
      <w:marBottom w:val="0"/>
      <w:divBdr>
        <w:top w:val="none" w:sz="0" w:space="0" w:color="auto"/>
        <w:left w:val="none" w:sz="0" w:space="0" w:color="auto"/>
        <w:bottom w:val="none" w:sz="0" w:space="0" w:color="auto"/>
        <w:right w:val="none" w:sz="0" w:space="0" w:color="auto"/>
      </w:divBdr>
    </w:div>
    <w:div w:id="1175415196">
      <w:bodyDiv w:val="1"/>
      <w:marLeft w:val="0"/>
      <w:marRight w:val="0"/>
      <w:marTop w:val="0"/>
      <w:marBottom w:val="0"/>
      <w:divBdr>
        <w:top w:val="none" w:sz="0" w:space="0" w:color="auto"/>
        <w:left w:val="none" w:sz="0" w:space="0" w:color="auto"/>
        <w:bottom w:val="none" w:sz="0" w:space="0" w:color="auto"/>
        <w:right w:val="none" w:sz="0" w:space="0" w:color="auto"/>
      </w:divBdr>
    </w:div>
    <w:div w:id="1194153684">
      <w:bodyDiv w:val="1"/>
      <w:marLeft w:val="0"/>
      <w:marRight w:val="0"/>
      <w:marTop w:val="0"/>
      <w:marBottom w:val="0"/>
      <w:divBdr>
        <w:top w:val="none" w:sz="0" w:space="0" w:color="auto"/>
        <w:left w:val="none" w:sz="0" w:space="0" w:color="auto"/>
        <w:bottom w:val="none" w:sz="0" w:space="0" w:color="auto"/>
        <w:right w:val="none" w:sz="0" w:space="0" w:color="auto"/>
      </w:divBdr>
    </w:div>
    <w:div w:id="1204170967">
      <w:bodyDiv w:val="1"/>
      <w:marLeft w:val="0"/>
      <w:marRight w:val="0"/>
      <w:marTop w:val="0"/>
      <w:marBottom w:val="0"/>
      <w:divBdr>
        <w:top w:val="none" w:sz="0" w:space="0" w:color="auto"/>
        <w:left w:val="none" w:sz="0" w:space="0" w:color="auto"/>
        <w:bottom w:val="none" w:sz="0" w:space="0" w:color="auto"/>
        <w:right w:val="none" w:sz="0" w:space="0" w:color="auto"/>
      </w:divBdr>
    </w:div>
    <w:div w:id="1272974647">
      <w:bodyDiv w:val="1"/>
      <w:marLeft w:val="0"/>
      <w:marRight w:val="0"/>
      <w:marTop w:val="0"/>
      <w:marBottom w:val="0"/>
      <w:divBdr>
        <w:top w:val="none" w:sz="0" w:space="0" w:color="auto"/>
        <w:left w:val="none" w:sz="0" w:space="0" w:color="auto"/>
        <w:bottom w:val="none" w:sz="0" w:space="0" w:color="auto"/>
        <w:right w:val="none" w:sz="0" w:space="0" w:color="auto"/>
      </w:divBdr>
    </w:div>
    <w:div w:id="1306201165">
      <w:bodyDiv w:val="1"/>
      <w:marLeft w:val="0"/>
      <w:marRight w:val="0"/>
      <w:marTop w:val="0"/>
      <w:marBottom w:val="0"/>
      <w:divBdr>
        <w:top w:val="none" w:sz="0" w:space="0" w:color="auto"/>
        <w:left w:val="none" w:sz="0" w:space="0" w:color="auto"/>
        <w:bottom w:val="none" w:sz="0" w:space="0" w:color="auto"/>
        <w:right w:val="none" w:sz="0" w:space="0" w:color="auto"/>
      </w:divBdr>
    </w:div>
    <w:div w:id="1329406748">
      <w:bodyDiv w:val="1"/>
      <w:marLeft w:val="0"/>
      <w:marRight w:val="0"/>
      <w:marTop w:val="0"/>
      <w:marBottom w:val="0"/>
      <w:divBdr>
        <w:top w:val="none" w:sz="0" w:space="0" w:color="auto"/>
        <w:left w:val="none" w:sz="0" w:space="0" w:color="auto"/>
        <w:bottom w:val="none" w:sz="0" w:space="0" w:color="auto"/>
        <w:right w:val="none" w:sz="0" w:space="0" w:color="auto"/>
      </w:divBdr>
    </w:div>
    <w:div w:id="1449814182">
      <w:bodyDiv w:val="1"/>
      <w:marLeft w:val="0"/>
      <w:marRight w:val="0"/>
      <w:marTop w:val="0"/>
      <w:marBottom w:val="0"/>
      <w:divBdr>
        <w:top w:val="none" w:sz="0" w:space="0" w:color="auto"/>
        <w:left w:val="none" w:sz="0" w:space="0" w:color="auto"/>
        <w:bottom w:val="none" w:sz="0" w:space="0" w:color="auto"/>
        <w:right w:val="none" w:sz="0" w:space="0" w:color="auto"/>
      </w:divBdr>
    </w:div>
    <w:div w:id="1461024579">
      <w:bodyDiv w:val="1"/>
      <w:marLeft w:val="0"/>
      <w:marRight w:val="0"/>
      <w:marTop w:val="0"/>
      <w:marBottom w:val="0"/>
      <w:divBdr>
        <w:top w:val="none" w:sz="0" w:space="0" w:color="auto"/>
        <w:left w:val="none" w:sz="0" w:space="0" w:color="auto"/>
        <w:bottom w:val="none" w:sz="0" w:space="0" w:color="auto"/>
        <w:right w:val="none" w:sz="0" w:space="0" w:color="auto"/>
      </w:divBdr>
    </w:div>
    <w:div w:id="1522014513">
      <w:bodyDiv w:val="1"/>
      <w:marLeft w:val="0"/>
      <w:marRight w:val="0"/>
      <w:marTop w:val="0"/>
      <w:marBottom w:val="0"/>
      <w:divBdr>
        <w:top w:val="none" w:sz="0" w:space="0" w:color="auto"/>
        <w:left w:val="none" w:sz="0" w:space="0" w:color="auto"/>
        <w:bottom w:val="none" w:sz="0" w:space="0" w:color="auto"/>
        <w:right w:val="none" w:sz="0" w:space="0" w:color="auto"/>
      </w:divBdr>
    </w:div>
    <w:div w:id="1542593484">
      <w:bodyDiv w:val="1"/>
      <w:marLeft w:val="0"/>
      <w:marRight w:val="0"/>
      <w:marTop w:val="0"/>
      <w:marBottom w:val="0"/>
      <w:divBdr>
        <w:top w:val="none" w:sz="0" w:space="0" w:color="auto"/>
        <w:left w:val="none" w:sz="0" w:space="0" w:color="auto"/>
        <w:bottom w:val="none" w:sz="0" w:space="0" w:color="auto"/>
        <w:right w:val="none" w:sz="0" w:space="0" w:color="auto"/>
      </w:divBdr>
    </w:div>
    <w:div w:id="1665352920">
      <w:bodyDiv w:val="1"/>
      <w:marLeft w:val="0"/>
      <w:marRight w:val="0"/>
      <w:marTop w:val="0"/>
      <w:marBottom w:val="0"/>
      <w:divBdr>
        <w:top w:val="none" w:sz="0" w:space="0" w:color="auto"/>
        <w:left w:val="none" w:sz="0" w:space="0" w:color="auto"/>
        <w:bottom w:val="none" w:sz="0" w:space="0" w:color="auto"/>
        <w:right w:val="none" w:sz="0" w:space="0" w:color="auto"/>
      </w:divBdr>
    </w:div>
    <w:div w:id="1707682424">
      <w:bodyDiv w:val="1"/>
      <w:marLeft w:val="0"/>
      <w:marRight w:val="0"/>
      <w:marTop w:val="0"/>
      <w:marBottom w:val="0"/>
      <w:divBdr>
        <w:top w:val="none" w:sz="0" w:space="0" w:color="auto"/>
        <w:left w:val="none" w:sz="0" w:space="0" w:color="auto"/>
        <w:bottom w:val="none" w:sz="0" w:space="0" w:color="auto"/>
        <w:right w:val="none" w:sz="0" w:space="0" w:color="auto"/>
      </w:divBdr>
    </w:div>
    <w:div w:id="1713993276">
      <w:bodyDiv w:val="1"/>
      <w:marLeft w:val="0"/>
      <w:marRight w:val="0"/>
      <w:marTop w:val="0"/>
      <w:marBottom w:val="0"/>
      <w:divBdr>
        <w:top w:val="none" w:sz="0" w:space="0" w:color="auto"/>
        <w:left w:val="none" w:sz="0" w:space="0" w:color="auto"/>
        <w:bottom w:val="none" w:sz="0" w:space="0" w:color="auto"/>
        <w:right w:val="none" w:sz="0" w:space="0" w:color="auto"/>
      </w:divBdr>
    </w:div>
    <w:div w:id="1769423486">
      <w:bodyDiv w:val="1"/>
      <w:marLeft w:val="0"/>
      <w:marRight w:val="0"/>
      <w:marTop w:val="0"/>
      <w:marBottom w:val="0"/>
      <w:divBdr>
        <w:top w:val="none" w:sz="0" w:space="0" w:color="auto"/>
        <w:left w:val="none" w:sz="0" w:space="0" w:color="auto"/>
        <w:bottom w:val="none" w:sz="0" w:space="0" w:color="auto"/>
        <w:right w:val="none" w:sz="0" w:space="0" w:color="auto"/>
      </w:divBdr>
    </w:div>
    <w:div w:id="1813522288">
      <w:bodyDiv w:val="1"/>
      <w:marLeft w:val="0"/>
      <w:marRight w:val="0"/>
      <w:marTop w:val="0"/>
      <w:marBottom w:val="0"/>
      <w:divBdr>
        <w:top w:val="none" w:sz="0" w:space="0" w:color="auto"/>
        <w:left w:val="none" w:sz="0" w:space="0" w:color="auto"/>
        <w:bottom w:val="none" w:sz="0" w:space="0" w:color="auto"/>
        <w:right w:val="none" w:sz="0" w:space="0" w:color="auto"/>
      </w:divBdr>
    </w:div>
    <w:div w:id="1848253291">
      <w:bodyDiv w:val="1"/>
      <w:marLeft w:val="0"/>
      <w:marRight w:val="0"/>
      <w:marTop w:val="0"/>
      <w:marBottom w:val="0"/>
      <w:divBdr>
        <w:top w:val="none" w:sz="0" w:space="0" w:color="auto"/>
        <w:left w:val="none" w:sz="0" w:space="0" w:color="auto"/>
        <w:bottom w:val="none" w:sz="0" w:space="0" w:color="auto"/>
        <w:right w:val="none" w:sz="0" w:space="0" w:color="auto"/>
      </w:divBdr>
    </w:div>
    <w:div w:id="1883664465">
      <w:bodyDiv w:val="1"/>
      <w:marLeft w:val="0"/>
      <w:marRight w:val="0"/>
      <w:marTop w:val="0"/>
      <w:marBottom w:val="0"/>
      <w:divBdr>
        <w:top w:val="none" w:sz="0" w:space="0" w:color="auto"/>
        <w:left w:val="none" w:sz="0" w:space="0" w:color="auto"/>
        <w:bottom w:val="none" w:sz="0" w:space="0" w:color="auto"/>
        <w:right w:val="none" w:sz="0" w:space="0" w:color="auto"/>
      </w:divBdr>
    </w:div>
    <w:div w:id="1886793206">
      <w:bodyDiv w:val="1"/>
      <w:marLeft w:val="0"/>
      <w:marRight w:val="0"/>
      <w:marTop w:val="0"/>
      <w:marBottom w:val="0"/>
      <w:divBdr>
        <w:top w:val="none" w:sz="0" w:space="0" w:color="auto"/>
        <w:left w:val="none" w:sz="0" w:space="0" w:color="auto"/>
        <w:bottom w:val="none" w:sz="0" w:space="0" w:color="auto"/>
        <w:right w:val="none" w:sz="0" w:space="0" w:color="auto"/>
      </w:divBdr>
    </w:div>
    <w:div w:id="1942909323">
      <w:bodyDiv w:val="1"/>
      <w:marLeft w:val="0"/>
      <w:marRight w:val="0"/>
      <w:marTop w:val="0"/>
      <w:marBottom w:val="0"/>
      <w:divBdr>
        <w:top w:val="none" w:sz="0" w:space="0" w:color="auto"/>
        <w:left w:val="none" w:sz="0" w:space="0" w:color="auto"/>
        <w:bottom w:val="none" w:sz="0" w:space="0" w:color="auto"/>
        <w:right w:val="none" w:sz="0" w:space="0" w:color="auto"/>
      </w:divBdr>
    </w:div>
    <w:div w:id="2013024562">
      <w:bodyDiv w:val="1"/>
      <w:marLeft w:val="0"/>
      <w:marRight w:val="0"/>
      <w:marTop w:val="0"/>
      <w:marBottom w:val="0"/>
      <w:divBdr>
        <w:top w:val="none" w:sz="0" w:space="0" w:color="auto"/>
        <w:left w:val="none" w:sz="0" w:space="0" w:color="auto"/>
        <w:bottom w:val="none" w:sz="0" w:space="0" w:color="auto"/>
        <w:right w:val="none" w:sz="0" w:space="0" w:color="auto"/>
      </w:divBdr>
    </w:div>
    <w:div w:id="20373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15</TotalTime>
  <Pages>11</Pages>
  <Words>2808</Words>
  <Characters>19545</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2023073666 mt</dc:description>
  <cp:lastModifiedBy>Hanne Thy Iversen</cp:lastModifiedBy>
  <cp:revision>7</cp:revision>
  <cp:lastPrinted>2012-08-22T08:53:00Z</cp:lastPrinted>
  <dcterms:created xsi:type="dcterms:W3CDTF">2025-01-13T09:35:00Z</dcterms:created>
  <dcterms:modified xsi:type="dcterms:W3CDTF">2025-01-13T13:51:00Z</dcterms:modified>
</cp:coreProperties>
</file>