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D2FE3" w14:textId="77777777" w:rsidR="00547D2D" w:rsidRDefault="0021526C" w:rsidP="009260DE">
      <w:pPr>
        <w:rPr>
          <w:sz w:val="24"/>
          <w:szCs w:val="24"/>
        </w:rPr>
      </w:pPr>
      <w:bookmarkStart w:id="0" w:name="_GoBack"/>
      <w:bookmarkEnd w:id="0"/>
      <w:r w:rsidRPr="00111DC8">
        <w:rPr>
          <w:noProof/>
          <w:sz w:val="24"/>
          <w:szCs w:val="24"/>
          <w:lang w:eastAsia="da-DK"/>
        </w:rPr>
        <w:drawing>
          <wp:anchor distT="0" distB="0" distL="114300" distR="114300" simplePos="0" relativeHeight="251658240" behindDoc="0" locked="0" layoutInCell="1" allowOverlap="1" wp14:anchorId="34A43FED" wp14:editId="1C353A0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111DC8">
        <w:rPr>
          <w:sz w:val="24"/>
          <w:szCs w:val="24"/>
        </w:rPr>
        <w:br w:type="textWrapping" w:clear="all"/>
      </w:r>
    </w:p>
    <w:p w14:paraId="739ADF7E" w14:textId="3307F18C" w:rsidR="009260DE" w:rsidRPr="00111DC8" w:rsidRDefault="009260DE" w:rsidP="009260DE">
      <w:pPr>
        <w:pStyle w:val="Titel"/>
        <w:tabs>
          <w:tab w:val="right" w:pos="9356"/>
        </w:tabs>
        <w:jc w:val="left"/>
        <w:rPr>
          <w:b w:val="0"/>
          <w:szCs w:val="24"/>
          <w:lang w:eastAsia="en-US"/>
        </w:rPr>
      </w:pPr>
      <w:r w:rsidRPr="00111DC8">
        <w:rPr>
          <w:b w:val="0"/>
          <w:szCs w:val="24"/>
          <w:lang w:eastAsia="en-US"/>
        </w:rPr>
        <w:tab/>
      </w:r>
      <w:r w:rsidR="00EA4165">
        <w:rPr>
          <w:szCs w:val="24"/>
        </w:rPr>
        <w:t>2. juni 2024</w:t>
      </w:r>
    </w:p>
    <w:p w14:paraId="177CEA60" w14:textId="77777777" w:rsidR="009260DE" w:rsidRPr="00111DC8" w:rsidRDefault="009260DE" w:rsidP="009260DE">
      <w:pPr>
        <w:pStyle w:val="Titel"/>
        <w:tabs>
          <w:tab w:val="left" w:pos="8222"/>
        </w:tabs>
        <w:jc w:val="left"/>
        <w:rPr>
          <w:b w:val="0"/>
          <w:szCs w:val="24"/>
        </w:rPr>
      </w:pPr>
    </w:p>
    <w:p w14:paraId="2E381342" w14:textId="77777777" w:rsidR="009260DE" w:rsidRPr="00111DC8" w:rsidRDefault="009260DE" w:rsidP="009260DE">
      <w:pPr>
        <w:pStyle w:val="Titel"/>
        <w:jc w:val="left"/>
        <w:rPr>
          <w:b w:val="0"/>
          <w:szCs w:val="24"/>
        </w:rPr>
      </w:pPr>
    </w:p>
    <w:p w14:paraId="38478F29" w14:textId="77777777" w:rsidR="009260DE" w:rsidRPr="00111DC8" w:rsidRDefault="009260DE" w:rsidP="009260DE">
      <w:pPr>
        <w:pStyle w:val="Titel"/>
        <w:jc w:val="left"/>
        <w:rPr>
          <w:b w:val="0"/>
          <w:szCs w:val="24"/>
        </w:rPr>
      </w:pPr>
    </w:p>
    <w:p w14:paraId="2C4BFCF9" w14:textId="77777777" w:rsidR="009260DE" w:rsidRPr="00111DC8" w:rsidRDefault="009260DE" w:rsidP="009260DE">
      <w:pPr>
        <w:jc w:val="center"/>
        <w:rPr>
          <w:b/>
          <w:sz w:val="24"/>
          <w:szCs w:val="24"/>
        </w:rPr>
      </w:pPr>
      <w:r w:rsidRPr="00111DC8">
        <w:rPr>
          <w:b/>
          <w:sz w:val="24"/>
          <w:szCs w:val="24"/>
        </w:rPr>
        <w:t>PRODUKTRESUMÉ</w:t>
      </w:r>
    </w:p>
    <w:p w14:paraId="7A34B791" w14:textId="77777777" w:rsidR="009260DE" w:rsidRPr="00111DC8" w:rsidRDefault="009260DE" w:rsidP="009260DE">
      <w:pPr>
        <w:jc w:val="center"/>
        <w:rPr>
          <w:b/>
          <w:sz w:val="24"/>
          <w:szCs w:val="24"/>
        </w:rPr>
      </w:pPr>
    </w:p>
    <w:p w14:paraId="53733115" w14:textId="77777777" w:rsidR="009260DE" w:rsidRPr="00111DC8" w:rsidRDefault="009260DE" w:rsidP="009260DE">
      <w:pPr>
        <w:jc w:val="center"/>
        <w:rPr>
          <w:b/>
          <w:sz w:val="24"/>
          <w:szCs w:val="24"/>
        </w:rPr>
      </w:pPr>
      <w:r w:rsidRPr="00111DC8">
        <w:rPr>
          <w:b/>
          <w:sz w:val="24"/>
          <w:szCs w:val="24"/>
        </w:rPr>
        <w:t>for</w:t>
      </w:r>
    </w:p>
    <w:p w14:paraId="052ED2C4" w14:textId="77777777" w:rsidR="000B058C" w:rsidRPr="00111DC8" w:rsidRDefault="000B058C" w:rsidP="009260DE">
      <w:pPr>
        <w:jc w:val="center"/>
        <w:rPr>
          <w:b/>
          <w:sz w:val="24"/>
          <w:szCs w:val="24"/>
        </w:rPr>
      </w:pPr>
    </w:p>
    <w:p w14:paraId="70585E66" w14:textId="18833D60" w:rsidR="009260DE" w:rsidRPr="00111DC8" w:rsidRDefault="00B003FE" w:rsidP="009260DE">
      <w:pPr>
        <w:jc w:val="center"/>
        <w:rPr>
          <w:b/>
          <w:sz w:val="24"/>
          <w:szCs w:val="24"/>
        </w:rPr>
      </w:pPr>
      <w:r w:rsidRPr="00111DC8">
        <w:rPr>
          <w:b/>
          <w:sz w:val="24"/>
          <w:szCs w:val="24"/>
        </w:rPr>
        <w:t>Icatibant "Fresenius", injektionsvæske, opløsning i fyldt injektionssprøjte</w:t>
      </w:r>
    </w:p>
    <w:p w14:paraId="092A6DE9" w14:textId="77777777" w:rsidR="009260DE" w:rsidRPr="00111DC8" w:rsidRDefault="009260DE" w:rsidP="009260DE">
      <w:pPr>
        <w:jc w:val="both"/>
        <w:rPr>
          <w:sz w:val="24"/>
          <w:szCs w:val="24"/>
        </w:rPr>
      </w:pPr>
    </w:p>
    <w:p w14:paraId="3BC74B0D" w14:textId="77777777" w:rsidR="009260DE" w:rsidRPr="00111DC8" w:rsidRDefault="009260DE" w:rsidP="009260DE">
      <w:pPr>
        <w:jc w:val="both"/>
        <w:rPr>
          <w:sz w:val="24"/>
          <w:szCs w:val="24"/>
        </w:rPr>
      </w:pPr>
    </w:p>
    <w:p w14:paraId="67970F88" w14:textId="77777777" w:rsidR="009260DE" w:rsidRPr="00111DC8" w:rsidRDefault="009260DE" w:rsidP="009260DE">
      <w:pPr>
        <w:tabs>
          <w:tab w:val="left" w:pos="851"/>
        </w:tabs>
        <w:ind w:left="851" w:hanging="851"/>
        <w:rPr>
          <w:b/>
          <w:sz w:val="24"/>
          <w:szCs w:val="24"/>
        </w:rPr>
      </w:pPr>
      <w:r w:rsidRPr="00111DC8">
        <w:rPr>
          <w:b/>
          <w:sz w:val="24"/>
          <w:szCs w:val="24"/>
        </w:rPr>
        <w:t>0.</w:t>
      </w:r>
      <w:r w:rsidRPr="00111DC8">
        <w:rPr>
          <w:b/>
          <w:sz w:val="24"/>
          <w:szCs w:val="24"/>
        </w:rPr>
        <w:tab/>
        <w:t>D.SP.NR.</w:t>
      </w:r>
    </w:p>
    <w:p w14:paraId="293BBE22" w14:textId="6270FA97" w:rsidR="009260DE" w:rsidRPr="00111DC8" w:rsidRDefault="00B003FE" w:rsidP="009260DE">
      <w:pPr>
        <w:tabs>
          <w:tab w:val="left" w:pos="851"/>
        </w:tabs>
        <w:ind w:left="851"/>
        <w:rPr>
          <w:sz w:val="24"/>
          <w:szCs w:val="24"/>
        </w:rPr>
      </w:pPr>
      <w:r w:rsidRPr="00111DC8">
        <w:rPr>
          <w:sz w:val="24"/>
          <w:szCs w:val="24"/>
        </w:rPr>
        <w:t>32149</w:t>
      </w:r>
    </w:p>
    <w:p w14:paraId="73F9DD23" w14:textId="77777777" w:rsidR="009260DE" w:rsidRPr="00111DC8" w:rsidRDefault="009260DE" w:rsidP="009260DE">
      <w:pPr>
        <w:tabs>
          <w:tab w:val="left" w:pos="851"/>
        </w:tabs>
        <w:ind w:left="851"/>
        <w:rPr>
          <w:sz w:val="24"/>
          <w:szCs w:val="24"/>
        </w:rPr>
      </w:pPr>
    </w:p>
    <w:p w14:paraId="53A59029" w14:textId="77777777" w:rsidR="009260DE" w:rsidRPr="00111DC8" w:rsidRDefault="009260DE" w:rsidP="009260DE">
      <w:pPr>
        <w:tabs>
          <w:tab w:val="left" w:pos="851"/>
        </w:tabs>
        <w:ind w:left="851" w:hanging="851"/>
        <w:rPr>
          <w:b/>
          <w:sz w:val="24"/>
          <w:szCs w:val="24"/>
        </w:rPr>
      </w:pPr>
      <w:r w:rsidRPr="00111DC8">
        <w:rPr>
          <w:b/>
          <w:sz w:val="24"/>
          <w:szCs w:val="24"/>
        </w:rPr>
        <w:t>1.</w:t>
      </w:r>
      <w:r w:rsidRPr="00111DC8">
        <w:rPr>
          <w:b/>
          <w:sz w:val="24"/>
          <w:szCs w:val="24"/>
        </w:rPr>
        <w:tab/>
        <w:t>LÆGEMIDLETS NAVN</w:t>
      </w:r>
    </w:p>
    <w:p w14:paraId="119845E5" w14:textId="3535B221" w:rsidR="009260DE" w:rsidRPr="00111DC8" w:rsidRDefault="00B003FE" w:rsidP="009260DE">
      <w:pPr>
        <w:tabs>
          <w:tab w:val="left" w:pos="851"/>
        </w:tabs>
        <w:ind w:left="851"/>
        <w:rPr>
          <w:sz w:val="24"/>
          <w:szCs w:val="24"/>
        </w:rPr>
      </w:pPr>
      <w:r w:rsidRPr="00111DC8">
        <w:rPr>
          <w:sz w:val="24"/>
          <w:szCs w:val="24"/>
        </w:rPr>
        <w:t>Icatibant "Frese</w:t>
      </w:r>
      <w:r w:rsidR="009A0A1D" w:rsidRPr="00111DC8">
        <w:rPr>
          <w:sz w:val="24"/>
          <w:szCs w:val="24"/>
        </w:rPr>
        <w:t>nius"</w:t>
      </w:r>
    </w:p>
    <w:p w14:paraId="19BE233B" w14:textId="77777777" w:rsidR="009260DE" w:rsidRPr="00111DC8" w:rsidRDefault="009260DE" w:rsidP="009260DE">
      <w:pPr>
        <w:tabs>
          <w:tab w:val="left" w:pos="851"/>
        </w:tabs>
        <w:ind w:left="851"/>
        <w:rPr>
          <w:sz w:val="24"/>
          <w:szCs w:val="24"/>
        </w:rPr>
      </w:pPr>
    </w:p>
    <w:p w14:paraId="2E5A5B63" w14:textId="77777777" w:rsidR="009260DE" w:rsidRPr="00111DC8" w:rsidRDefault="009260DE" w:rsidP="009260DE">
      <w:pPr>
        <w:tabs>
          <w:tab w:val="left" w:pos="851"/>
        </w:tabs>
        <w:ind w:left="851" w:hanging="851"/>
        <w:rPr>
          <w:b/>
          <w:sz w:val="24"/>
          <w:szCs w:val="24"/>
        </w:rPr>
      </w:pPr>
      <w:r w:rsidRPr="00111DC8">
        <w:rPr>
          <w:b/>
          <w:sz w:val="24"/>
          <w:szCs w:val="24"/>
        </w:rPr>
        <w:t>2.</w:t>
      </w:r>
      <w:r w:rsidRPr="00111DC8">
        <w:rPr>
          <w:b/>
          <w:sz w:val="24"/>
          <w:szCs w:val="24"/>
        </w:rPr>
        <w:tab/>
        <w:t>KVALITATIV OG KVANTITATIV SAMMENSÆTNING</w:t>
      </w:r>
    </w:p>
    <w:p w14:paraId="5629D384" w14:textId="77777777" w:rsidR="0080225B" w:rsidRPr="00111DC8" w:rsidRDefault="0080225B" w:rsidP="007C3A89">
      <w:pPr>
        <w:ind w:left="851"/>
        <w:rPr>
          <w:rFonts w:eastAsiaTheme="minorEastAsia"/>
          <w:sz w:val="24"/>
          <w:szCs w:val="24"/>
          <w:lang w:eastAsia="zh-CN"/>
        </w:rPr>
      </w:pPr>
      <w:r w:rsidRPr="00111DC8">
        <w:rPr>
          <w:rFonts w:eastAsiaTheme="minorEastAsia"/>
          <w:sz w:val="24"/>
          <w:szCs w:val="24"/>
          <w:lang w:eastAsia="zh-CN"/>
        </w:rPr>
        <w:t>Hver 3 ml fyldt injektionssprøjte indeholder icatibantacetat svarende til 30 mg icatibant.</w:t>
      </w:r>
    </w:p>
    <w:p w14:paraId="1DA44CFE" w14:textId="77777777" w:rsidR="0080225B" w:rsidRPr="00111DC8" w:rsidRDefault="0080225B" w:rsidP="007C3A89">
      <w:pPr>
        <w:ind w:left="851"/>
        <w:rPr>
          <w:sz w:val="24"/>
          <w:szCs w:val="24"/>
        </w:rPr>
      </w:pPr>
      <w:r w:rsidRPr="00111DC8">
        <w:rPr>
          <w:rFonts w:eastAsiaTheme="minorEastAsia"/>
          <w:sz w:val="24"/>
          <w:szCs w:val="24"/>
          <w:lang w:eastAsia="zh-CN"/>
        </w:rPr>
        <w:t>Hver ml af opløsningen indeholder 10 mg icatibant.</w:t>
      </w:r>
    </w:p>
    <w:p w14:paraId="2F51DD4B" w14:textId="77777777" w:rsidR="0032503A" w:rsidRDefault="0032503A" w:rsidP="007C3A89">
      <w:pPr>
        <w:ind w:left="851"/>
        <w:rPr>
          <w:sz w:val="24"/>
          <w:szCs w:val="24"/>
        </w:rPr>
      </w:pPr>
    </w:p>
    <w:p w14:paraId="432A5E2D" w14:textId="06EF8F1C" w:rsidR="0080225B" w:rsidRPr="00111DC8" w:rsidRDefault="0080225B" w:rsidP="007C3A89">
      <w:pPr>
        <w:ind w:left="851"/>
        <w:rPr>
          <w:sz w:val="24"/>
          <w:szCs w:val="24"/>
        </w:rPr>
      </w:pPr>
      <w:r w:rsidRPr="00111DC8">
        <w:rPr>
          <w:sz w:val="24"/>
          <w:szCs w:val="24"/>
        </w:rPr>
        <w:t>Alle hjælpestoffer er anført under pkt. 6.1.</w:t>
      </w:r>
    </w:p>
    <w:p w14:paraId="0CB6F4A5" w14:textId="77777777" w:rsidR="009260DE" w:rsidRPr="00111DC8" w:rsidRDefault="009260DE" w:rsidP="009260DE">
      <w:pPr>
        <w:tabs>
          <w:tab w:val="left" w:pos="851"/>
        </w:tabs>
        <w:ind w:left="851"/>
        <w:rPr>
          <w:sz w:val="24"/>
          <w:szCs w:val="24"/>
        </w:rPr>
      </w:pPr>
    </w:p>
    <w:p w14:paraId="61D41217" w14:textId="77777777" w:rsidR="009260DE" w:rsidRPr="00111DC8" w:rsidRDefault="009260DE" w:rsidP="009260DE">
      <w:pPr>
        <w:tabs>
          <w:tab w:val="left" w:pos="851"/>
        </w:tabs>
        <w:ind w:left="851" w:hanging="851"/>
        <w:rPr>
          <w:b/>
          <w:sz w:val="24"/>
          <w:szCs w:val="24"/>
        </w:rPr>
      </w:pPr>
      <w:r w:rsidRPr="00111DC8">
        <w:rPr>
          <w:b/>
          <w:sz w:val="24"/>
          <w:szCs w:val="24"/>
        </w:rPr>
        <w:t>3.</w:t>
      </w:r>
      <w:r w:rsidRPr="00111DC8">
        <w:rPr>
          <w:b/>
          <w:sz w:val="24"/>
          <w:szCs w:val="24"/>
        </w:rPr>
        <w:tab/>
        <w:t>LÆGEMIDDELFORM</w:t>
      </w:r>
    </w:p>
    <w:p w14:paraId="4223483A" w14:textId="5955937D" w:rsidR="007F6282" w:rsidRDefault="007F6282" w:rsidP="007C3A89">
      <w:pPr>
        <w:ind w:left="851"/>
        <w:rPr>
          <w:sz w:val="24"/>
          <w:szCs w:val="24"/>
        </w:rPr>
      </w:pPr>
      <w:r w:rsidRPr="00111DC8">
        <w:rPr>
          <w:sz w:val="24"/>
          <w:szCs w:val="24"/>
        </w:rPr>
        <w:t>Injektionsvæske, opløsning i fyldt injektionssprøjte</w:t>
      </w:r>
    </w:p>
    <w:p w14:paraId="430800F9" w14:textId="77777777" w:rsidR="0032503A" w:rsidRPr="00111DC8" w:rsidRDefault="0032503A" w:rsidP="007C3A89">
      <w:pPr>
        <w:ind w:left="851"/>
        <w:rPr>
          <w:sz w:val="24"/>
          <w:szCs w:val="24"/>
        </w:rPr>
      </w:pPr>
    </w:p>
    <w:p w14:paraId="5E96B06F" w14:textId="77777777" w:rsidR="007F6282" w:rsidRPr="00111DC8" w:rsidRDefault="007F6282" w:rsidP="007C3A89">
      <w:pPr>
        <w:ind w:left="851"/>
        <w:rPr>
          <w:sz w:val="24"/>
          <w:szCs w:val="24"/>
        </w:rPr>
      </w:pPr>
      <w:r w:rsidRPr="00111DC8">
        <w:rPr>
          <w:sz w:val="24"/>
          <w:szCs w:val="24"/>
        </w:rPr>
        <w:t xml:space="preserve">Opløsningen er en klar og farveløs væske. </w:t>
      </w:r>
    </w:p>
    <w:p w14:paraId="55FB8A95" w14:textId="77777777" w:rsidR="007F6282" w:rsidRPr="00111DC8" w:rsidRDefault="007F6282" w:rsidP="007C3A89">
      <w:pPr>
        <w:ind w:left="851"/>
        <w:rPr>
          <w:sz w:val="24"/>
          <w:szCs w:val="24"/>
        </w:rPr>
      </w:pPr>
      <w:r w:rsidRPr="00111DC8">
        <w:rPr>
          <w:sz w:val="24"/>
          <w:szCs w:val="24"/>
        </w:rPr>
        <w:t xml:space="preserve">Opløsningens pH: 5,0-6,0. </w:t>
      </w:r>
    </w:p>
    <w:p w14:paraId="2E00646D" w14:textId="77777777" w:rsidR="007F6282" w:rsidRPr="00111DC8" w:rsidRDefault="007F6282" w:rsidP="007C3A89">
      <w:pPr>
        <w:ind w:left="851"/>
        <w:rPr>
          <w:sz w:val="24"/>
          <w:szCs w:val="24"/>
        </w:rPr>
      </w:pPr>
      <w:r w:rsidRPr="00111DC8">
        <w:rPr>
          <w:sz w:val="24"/>
          <w:szCs w:val="24"/>
        </w:rPr>
        <w:t xml:space="preserve">Opløsningens osmolalitet: 270-330 mOsm. </w:t>
      </w:r>
    </w:p>
    <w:p w14:paraId="2C80F1E7" w14:textId="77777777" w:rsidR="009260DE" w:rsidRPr="00111DC8" w:rsidRDefault="009260DE" w:rsidP="009260DE">
      <w:pPr>
        <w:tabs>
          <w:tab w:val="left" w:pos="851"/>
        </w:tabs>
        <w:ind w:left="851"/>
        <w:rPr>
          <w:sz w:val="24"/>
          <w:szCs w:val="24"/>
        </w:rPr>
      </w:pPr>
    </w:p>
    <w:p w14:paraId="69CCFC83" w14:textId="77777777" w:rsidR="009260DE" w:rsidRPr="00111DC8" w:rsidRDefault="009260DE" w:rsidP="009260DE">
      <w:pPr>
        <w:tabs>
          <w:tab w:val="left" w:pos="851"/>
        </w:tabs>
        <w:ind w:left="851"/>
        <w:rPr>
          <w:sz w:val="24"/>
          <w:szCs w:val="24"/>
        </w:rPr>
      </w:pPr>
    </w:p>
    <w:p w14:paraId="7800265F" w14:textId="77777777" w:rsidR="009260DE" w:rsidRPr="00111DC8" w:rsidRDefault="009260DE" w:rsidP="009260DE">
      <w:pPr>
        <w:tabs>
          <w:tab w:val="left" w:pos="851"/>
        </w:tabs>
        <w:ind w:left="851" w:hanging="851"/>
        <w:rPr>
          <w:b/>
          <w:sz w:val="24"/>
          <w:szCs w:val="24"/>
        </w:rPr>
      </w:pPr>
      <w:r w:rsidRPr="00111DC8">
        <w:rPr>
          <w:b/>
          <w:sz w:val="24"/>
          <w:szCs w:val="24"/>
        </w:rPr>
        <w:t>4.</w:t>
      </w:r>
      <w:r w:rsidRPr="00111DC8">
        <w:rPr>
          <w:b/>
          <w:sz w:val="24"/>
          <w:szCs w:val="24"/>
        </w:rPr>
        <w:tab/>
        <w:t>KLINISKE OPLYSNINGER</w:t>
      </w:r>
    </w:p>
    <w:p w14:paraId="38CD0339" w14:textId="77777777" w:rsidR="009260DE" w:rsidRPr="00111DC8" w:rsidRDefault="009260DE" w:rsidP="009260DE">
      <w:pPr>
        <w:tabs>
          <w:tab w:val="left" w:pos="851"/>
        </w:tabs>
        <w:ind w:left="851"/>
        <w:rPr>
          <w:b/>
          <w:sz w:val="24"/>
          <w:szCs w:val="24"/>
        </w:rPr>
      </w:pPr>
    </w:p>
    <w:p w14:paraId="2C016D29" w14:textId="77777777" w:rsidR="009260DE" w:rsidRPr="00111DC8" w:rsidRDefault="009260DE" w:rsidP="009260DE">
      <w:pPr>
        <w:tabs>
          <w:tab w:val="left" w:pos="851"/>
        </w:tabs>
        <w:ind w:left="851" w:hanging="851"/>
        <w:rPr>
          <w:b/>
          <w:sz w:val="24"/>
          <w:szCs w:val="24"/>
          <w:u w:val="single"/>
        </w:rPr>
      </w:pPr>
      <w:r w:rsidRPr="00111DC8">
        <w:rPr>
          <w:b/>
          <w:sz w:val="24"/>
          <w:szCs w:val="24"/>
        </w:rPr>
        <w:t>4.1</w:t>
      </w:r>
      <w:r w:rsidRPr="00111DC8">
        <w:rPr>
          <w:b/>
          <w:sz w:val="24"/>
          <w:szCs w:val="24"/>
        </w:rPr>
        <w:tab/>
        <w:t>Terapeutiske indikationer</w:t>
      </w:r>
    </w:p>
    <w:p w14:paraId="1B480BE8" w14:textId="6E61A377" w:rsidR="007F6282" w:rsidRPr="00111DC8" w:rsidRDefault="007F6282" w:rsidP="007C3A89">
      <w:pPr>
        <w:autoSpaceDE w:val="0"/>
        <w:autoSpaceDN w:val="0"/>
        <w:adjustRightInd w:val="0"/>
        <w:ind w:left="851"/>
        <w:rPr>
          <w:sz w:val="24"/>
          <w:szCs w:val="24"/>
        </w:rPr>
      </w:pPr>
      <w:r w:rsidRPr="00111DC8">
        <w:rPr>
          <w:rFonts w:eastAsiaTheme="minorEastAsia"/>
          <w:sz w:val="24"/>
          <w:szCs w:val="24"/>
          <w:lang w:eastAsia="zh-CN"/>
        </w:rPr>
        <w:t xml:space="preserve">Icatibant </w:t>
      </w:r>
      <w:r w:rsidR="00BE362C">
        <w:rPr>
          <w:rFonts w:eastAsiaTheme="minorEastAsia"/>
          <w:sz w:val="24"/>
          <w:szCs w:val="24"/>
          <w:lang w:eastAsia="zh-CN"/>
        </w:rPr>
        <w:t>"Fresenius"</w:t>
      </w:r>
      <w:r w:rsidRPr="00111DC8">
        <w:rPr>
          <w:rFonts w:eastAsiaTheme="minorEastAsia"/>
          <w:sz w:val="24"/>
          <w:szCs w:val="24"/>
          <w:lang w:eastAsia="zh-CN"/>
        </w:rPr>
        <w:t xml:space="preserve"> er indiceret til symptomatisk behandling af akutte anfald af hereditært angioødem (HAE) hos voksne, unge og børn i alderen 2 år og opefter med C1-esterase-inhibitor-mangel.</w:t>
      </w:r>
    </w:p>
    <w:p w14:paraId="2FD97ECA" w14:textId="77777777" w:rsidR="009260DE" w:rsidRPr="00111DC8" w:rsidRDefault="009260DE" w:rsidP="009260DE">
      <w:pPr>
        <w:tabs>
          <w:tab w:val="left" w:pos="851"/>
        </w:tabs>
        <w:ind w:left="851"/>
        <w:rPr>
          <w:sz w:val="24"/>
          <w:szCs w:val="24"/>
        </w:rPr>
      </w:pPr>
    </w:p>
    <w:p w14:paraId="45E1DE67" w14:textId="003EF14D" w:rsidR="009260DE" w:rsidRPr="00111DC8" w:rsidRDefault="009260DE" w:rsidP="009260DE">
      <w:pPr>
        <w:tabs>
          <w:tab w:val="left" w:pos="851"/>
        </w:tabs>
        <w:ind w:left="851" w:hanging="851"/>
        <w:rPr>
          <w:b/>
          <w:sz w:val="24"/>
          <w:szCs w:val="24"/>
        </w:rPr>
      </w:pPr>
      <w:r w:rsidRPr="00111DC8">
        <w:rPr>
          <w:b/>
          <w:sz w:val="24"/>
          <w:szCs w:val="24"/>
        </w:rPr>
        <w:t>4.2</w:t>
      </w:r>
      <w:r w:rsidRPr="00111DC8">
        <w:rPr>
          <w:b/>
          <w:sz w:val="24"/>
          <w:szCs w:val="24"/>
        </w:rPr>
        <w:tab/>
        <w:t xml:space="preserve">Dosering og </w:t>
      </w:r>
      <w:r w:rsidR="002A275D" w:rsidRPr="002A275D">
        <w:rPr>
          <w:b/>
          <w:sz w:val="24"/>
          <w:szCs w:val="24"/>
        </w:rPr>
        <w:t>administration</w:t>
      </w:r>
    </w:p>
    <w:p w14:paraId="7829BA0A" w14:textId="629076DE" w:rsidR="007F6282" w:rsidRPr="00111DC8" w:rsidRDefault="007F6282" w:rsidP="007C3A89">
      <w:pPr>
        <w:ind w:left="851"/>
        <w:rPr>
          <w:noProof/>
          <w:sz w:val="24"/>
          <w:szCs w:val="24"/>
          <w:u w:val="single"/>
        </w:rPr>
      </w:pPr>
      <w:r w:rsidRPr="00111DC8">
        <w:rPr>
          <w:rFonts w:eastAsiaTheme="minorEastAsia"/>
          <w:sz w:val="24"/>
          <w:szCs w:val="24"/>
          <w:lang w:eastAsia="zh-CN"/>
        </w:rPr>
        <w:t xml:space="preserve">Icatibant </w:t>
      </w:r>
      <w:r w:rsidR="00BE362C">
        <w:rPr>
          <w:rFonts w:eastAsiaTheme="minorEastAsia"/>
          <w:sz w:val="24"/>
          <w:szCs w:val="24"/>
          <w:lang w:eastAsia="zh-CN"/>
        </w:rPr>
        <w:t>"Fresenius"</w:t>
      </w:r>
      <w:r w:rsidRPr="00111DC8">
        <w:rPr>
          <w:rFonts w:eastAsiaTheme="minorEastAsia"/>
          <w:sz w:val="24"/>
          <w:szCs w:val="24"/>
          <w:lang w:eastAsia="zh-CN"/>
        </w:rPr>
        <w:t xml:space="preserve"> er beregnet til brug under vejledning fra sundhedspersonale.</w:t>
      </w:r>
    </w:p>
    <w:p w14:paraId="73D31A60" w14:textId="77777777" w:rsidR="007F6282" w:rsidRPr="00111DC8" w:rsidRDefault="007F6282" w:rsidP="007C3A89">
      <w:pPr>
        <w:ind w:left="851"/>
        <w:rPr>
          <w:noProof/>
          <w:sz w:val="24"/>
          <w:szCs w:val="24"/>
          <w:u w:val="single"/>
        </w:rPr>
      </w:pPr>
    </w:p>
    <w:p w14:paraId="04A7C1C0" w14:textId="77777777" w:rsidR="007F6282" w:rsidRPr="00111DC8" w:rsidRDefault="007F6282" w:rsidP="007C3A89">
      <w:pPr>
        <w:ind w:left="851"/>
        <w:rPr>
          <w:noProof/>
          <w:sz w:val="24"/>
          <w:szCs w:val="24"/>
          <w:u w:val="single"/>
        </w:rPr>
      </w:pPr>
      <w:r w:rsidRPr="00111DC8">
        <w:rPr>
          <w:noProof/>
          <w:sz w:val="24"/>
          <w:szCs w:val="24"/>
          <w:u w:val="single"/>
        </w:rPr>
        <w:t>Dosering</w:t>
      </w:r>
    </w:p>
    <w:p w14:paraId="32C09361" w14:textId="77777777" w:rsidR="007F6282" w:rsidRPr="00111DC8" w:rsidRDefault="007F6282" w:rsidP="007C3A89">
      <w:pPr>
        <w:ind w:left="851"/>
        <w:rPr>
          <w:noProof/>
          <w:sz w:val="24"/>
          <w:szCs w:val="24"/>
        </w:rPr>
      </w:pPr>
    </w:p>
    <w:p w14:paraId="20E2C5A9" w14:textId="77777777" w:rsidR="007F6282" w:rsidRPr="00111DC8" w:rsidRDefault="007F6282" w:rsidP="007C3A89">
      <w:pPr>
        <w:ind w:left="851"/>
        <w:rPr>
          <w:rFonts w:eastAsiaTheme="minorEastAsia"/>
          <w:i/>
          <w:iCs/>
          <w:sz w:val="24"/>
          <w:szCs w:val="24"/>
          <w:lang w:eastAsia="zh-CN"/>
        </w:rPr>
      </w:pPr>
      <w:r w:rsidRPr="00111DC8">
        <w:rPr>
          <w:rFonts w:eastAsiaTheme="minorEastAsia"/>
          <w:i/>
          <w:iCs/>
          <w:sz w:val="24"/>
          <w:szCs w:val="24"/>
          <w:lang w:eastAsia="zh-CN"/>
        </w:rPr>
        <w:t>Voksne</w:t>
      </w:r>
    </w:p>
    <w:p w14:paraId="36C59A92" w14:textId="6A269ED4" w:rsidR="007F6282" w:rsidRPr="00111DC8" w:rsidRDefault="007F6282" w:rsidP="007C3A89">
      <w:pPr>
        <w:ind w:left="851"/>
        <w:rPr>
          <w:rFonts w:eastAsiaTheme="minorEastAsia"/>
          <w:sz w:val="24"/>
          <w:szCs w:val="24"/>
          <w:lang w:eastAsia="zh-CN"/>
        </w:rPr>
      </w:pPr>
      <w:r w:rsidRPr="00111DC8">
        <w:rPr>
          <w:rFonts w:eastAsiaTheme="minorEastAsia"/>
          <w:sz w:val="24"/>
          <w:szCs w:val="24"/>
          <w:lang w:eastAsia="zh-CN"/>
        </w:rPr>
        <w:t xml:space="preserve">Den anbefalede dosis til voksne er én subkutan injektion af Icatibant </w:t>
      </w:r>
      <w:r w:rsidR="00BE362C">
        <w:rPr>
          <w:rFonts w:eastAsiaTheme="minorEastAsia"/>
          <w:sz w:val="24"/>
          <w:szCs w:val="24"/>
          <w:lang w:eastAsia="zh-CN"/>
        </w:rPr>
        <w:t>"Fresenius"</w:t>
      </w:r>
      <w:r w:rsidRPr="00111DC8">
        <w:rPr>
          <w:rFonts w:eastAsiaTheme="minorEastAsia"/>
          <w:sz w:val="24"/>
          <w:szCs w:val="24"/>
          <w:lang w:eastAsia="zh-CN"/>
        </w:rPr>
        <w:t xml:space="preserve"> 30 mg.</w:t>
      </w:r>
    </w:p>
    <w:p w14:paraId="55C79307" w14:textId="77777777" w:rsidR="007F6282" w:rsidRPr="00111DC8" w:rsidRDefault="007F6282" w:rsidP="007C3A89">
      <w:pPr>
        <w:ind w:left="851"/>
        <w:rPr>
          <w:rFonts w:eastAsiaTheme="minorEastAsia"/>
          <w:sz w:val="24"/>
          <w:szCs w:val="24"/>
          <w:lang w:eastAsia="zh-CN"/>
        </w:rPr>
      </w:pPr>
    </w:p>
    <w:p w14:paraId="64605207" w14:textId="2C0C03B2" w:rsidR="007F6282" w:rsidRPr="00111DC8" w:rsidRDefault="007F6282" w:rsidP="007C3A89">
      <w:pPr>
        <w:ind w:left="851"/>
        <w:rPr>
          <w:rFonts w:eastAsiaTheme="minorEastAsia"/>
          <w:sz w:val="24"/>
          <w:szCs w:val="24"/>
          <w:lang w:eastAsia="zh-CN"/>
        </w:rPr>
      </w:pPr>
      <w:r w:rsidRPr="00111DC8">
        <w:rPr>
          <w:rFonts w:eastAsiaTheme="minorEastAsia"/>
          <w:sz w:val="24"/>
          <w:szCs w:val="24"/>
          <w:lang w:eastAsia="zh-CN"/>
        </w:rPr>
        <w:lastRenderedPageBreak/>
        <w:t xml:space="preserve">I de fleste tilfælde er en enkelt injektion af Icatibant </w:t>
      </w:r>
      <w:r w:rsidR="00BE362C">
        <w:rPr>
          <w:rFonts w:eastAsiaTheme="minorEastAsia"/>
          <w:sz w:val="24"/>
          <w:szCs w:val="24"/>
          <w:lang w:eastAsia="zh-CN"/>
        </w:rPr>
        <w:t>"Fresenius"</w:t>
      </w:r>
      <w:r w:rsidRPr="00111DC8">
        <w:rPr>
          <w:rFonts w:eastAsiaTheme="minorEastAsia"/>
          <w:sz w:val="24"/>
          <w:szCs w:val="24"/>
          <w:lang w:eastAsia="zh-CN"/>
        </w:rPr>
        <w:t xml:space="preserve"> nok til at behandle et anfald. Hvis der ikke opnås tilstrækkelig lindring eller i tilfælde af tilbagevendende symptomer, kan der indgives endnu en injektion af </w:t>
      </w:r>
      <w:r w:rsidR="00DF7F78">
        <w:rPr>
          <w:rFonts w:eastAsiaTheme="minorEastAsia"/>
          <w:sz w:val="24"/>
          <w:szCs w:val="24"/>
          <w:lang w:eastAsia="zh-CN"/>
        </w:rPr>
        <w:t>i</w:t>
      </w:r>
      <w:r w:rsidRPr="00111DC8">
        <w:rPr>
          <w:rFonts w:eastAsiaTheme="minorEastAsia"/>
          <w:sz w:val="24"/>
          <w:szCs w:val="24"/>
          <w:lang w:eastAsia="zh-CN"/>
        </w:rPr>
        <w:t xml:space="preserve">catibant efter 6 timer. Hvis den anden injektion ikke giver tilstrækkelig lindring, eller hvis der observeres tilbagevendende symptomer, kan der indgives en tredje injektion af Icatibant </w:t>
      </w:r>
      <w:r w:rsidR="00BE362C">
        <w:rPr>
          <w:rFonts w:eastAsiaTheme="minorEastAsia"/>
          <w:sz w:val="24"/>
          <w:szCs w:val="24"/>
          <w:lang w:eastAsia="zh-CN"/>
        </w:rPr>
        <w:t>"Fresenius"</w:t>
      </w:r>
      <w:r w:rsidRPr="00111DC8">
        <w:rPr>
          <w:rFonts w:eastAsiaTheme="minorEastAsia"/>
          <w:sz w:val="24"/>
          <w:szCs w:val="24"/>
          <w:lang w:eastAsia="zh-CN"/>
        </w:rPr>
        <w:t xml:space="preserve"> efter yderligere 6 timer. Der bør ikke gives mere end 3 injektioner af Icatibant </w:t>
      </w:r>
      <w:r w:rsidR="00BE362C">
        <w:rPr>
          <w:rFonts w:eastAsiaTheme="minorEastAsia"/>
          <w:sz w:val="24"/>
          <w:szCs w:val="24"/>
          <w:lang w:eastAsia="zh-CN"/>
        </w:rPr>
        <w:t>"Fresenius"</w:t>
      </w:r>
      <w:r w:rsidRPr="00111DC8">
        <w:rPr>
          <w:rFonts w:eastAsiaTheme="minorEastAsia"/>
          <w:sz w:val="24"/>
          <w:szCs w:val="24"/>
          <w:lang w:eastAsia="zh-CN"/>
        </w:rPr>
        <w:t xml:space="preserve"> i løbet af 24 timer.</w:t>
      </w:r>
    </w:p>
    <w:p w14:paraId="5E37B241" w14:textId="77777777" w:rsidR="007F6282" w:rsidRPr="00111DC8" w:rsidRDefault="007F6282" w:rsidP="007C3A89">
      <w:pPr>
        <w:ind w:left="851"/>
        <w:rPr>
          <w:rFonts w:eastAsiaTheme="minorEastAsia"/>
          <w:sz w:val="24"/>
          <w:szCs w:val="24"/>
          <w:lang w:eastAsia="zh-CN"/>
        </w:rPr>
      </w:pPr>
    </w:p>
    <w:p w14:paraId="19BE4E0B" w14:textId="77777777" w:rsidR="007F6282" w:rsidRPr="00111DC8" w:rsidRDefault="007F6282" w:rsidP="007C3A89">
      <w:pPr>
        <w:ind w:left="851"/>
        <w:rPr>
          <w:rFonts w:eastAsiaTheme="minorEastAsia"/>
          <w:sz w:val="24"/>
          <w:szCs w:val="24"/>
          <w:lang w:eastAsia="zh-CN"/>
        </w:rPr>
      </w:pPr>
      <w:r w:rsidRPr="00111DC8">
        <w:rPr>
          <w:rFonts w:eastAsiaTheme="minorEastAsia"/>
          <w:sz w:val="24"/>
          <w:szCs w:val="24"/>
          <w:lang w:eastAsia="zh-CN"/>
        </w:rPr>
        <w:t>I de kliniske studier blev der ikke indgivet mere end 8 injektioner af icatibant om måneden.</w:t>
      </w:r>
    </w:p>
    <w:p w14:paraId="34C4BB16" w14:textId="77777777" w:rsidR="007F6282" w:rsidRPr="00111DC8" w:rsidRDefault="007F6282" w:rsidP="007C3A89">
      <w:pPr>
        <w:ind w:left="851"/>
        <w:rPr>
          <w:rFonts w:eastAsiaTheme="minorEastAsia"/>
          <w:i/>
          <w:iCs/>
          <w:sz w:val="24"/>
          <w:szCs w:val="24"/>
          <w:lang w:eastAsia="zh-CN"/>
        </w:rPr>
      </w:pPr>
    </w:p>
    <w:p w14:paraId="7A4A1295" w14:textId="77777777" w:rsidR="007F6282" w:rsidRPr="00111DC8" w:rsidRDefault="007F6282" w:rsidP="007C3A89">
      <w:pPr>
        <w:ind w:left="851"/>
        <w:rPr>
          <w:rFonts w:eastAsiaTheme="minorEastAsia"/>
          <w:i/>
          <w:iCs/>
          <w:sz w:val="24"/>
          <w:szCs w:val="24"/>
          <w:lang w:eastAsia="zh-CN"/>
        </w:rPr>
      </w:pPr>
      <w:r w:rsidRPr="00111DC8">
        <w:rPr>
          <w:rFonts w:eastAsiaTheme="minorEastAsia"/>
          <w:i/>
          <w:iCs/>
          <w:sz w:val="24"/>
          <w:szCs w:val="24"/>
          <w:lang w:eastAsia="zh-CN"/>
        </w:rPr>
        <w:t>Pædiatrisk population</w:t>
      </w:r>
    </w:p>
    <w:p w14:paraId="06B7C4EF" w14:textId="67B6616C" w:rsidR="007F6282" w:rsidRPr="00111DC8" w:rsidRDefault="007F6282" w:rsidP="007C3A89">
      <w:pPr>
        <w:ind w:left="851"/>
        <w:rPr>
          <w:rFonts w:eastAsiaTheme="minorEastAsia"/>
          <w:sz w:val="24"/>
          <w:szCs w:val="24"/>
          <w:lang w:eastAsia="zh-CN"/>
        </w:rPr>
      </w:pPr>
      <w:r w:rsidRPr="00111DC8">
        <w:rPr>
          <w:rFonts w:eastAsiaTheme="minorEastAsia"/>
          <w:sz w:val="24"/>
          <w:szCs w:val="24"/>
          <w:lang w:eastAsia="zh-CN"/>
        </w:rPr>
        <w:t xml:space="preserve">Den anbefalede dosis af Icatibant </w:t>
      </w:r>
      <w:r w:rsidR="00BE362C">
        <w:rPr>
          <w:rFonts w:eastAsiaTheme="minorEastAsia"/>
          <w:sz w:val="24"/>
          <w:szCs w:val="24"/>
          <w:lang w:eastAsia="zh-CN"/>
        </w:rPr>
        <w:t>"Fresenius"</w:t>
      </w:r>
      <w:r w:rsidRPr="00111DC8">
        <w:rPr>
          <w:rFonts w:eastAsiaTheme="minorEastAsia"/>
          <w:sz w:val="24"/>
          <w:szCs w:val="24"/>
          <w:lang w:eastAsia="zh-CN"/>
        </w:rPr>
        <w:t>, baseret på legemsvægt hos børn og unge (i alderen 2-17 år), er vist i tabel 1 nedenfor.</w:t>
      </w:r>
    </w:p>
    <w:p w14:paraId="7B77C685" w14:textId="77777777" w:rsidR="007F6282" w:rsidRPr="00111DC8" w:rsidRDefault="007F6282" w:rsidP="007C3A89">
      <w:pPr>
        <w:ind w:left="851"/>
        <w:rPr>
          <w:rFonts w:eastAsiaTheme="minorEastAsia"/>
          <w:b/>
          <w:bCs/>
          <w:sz w:val="24"/>
          <w:szCs w:val="24"/>
          <w:lang w:eastAsia="zh-CN"/>
        </w:rPr>
      </w:pPr>
    </w:p>
    <w:p w14:paraId="3D07D301" w14:textId="77777777" w:rsidR="007F6282" w:rsidRPr="00111DC8" w:rsidRDefault="007F6282" w:rsidP="007C3A89">
      <w:pPr>
        <w:ind w:left="851"/>
        <w:rPr>
          <w:rFonts w:eastAsiaTheme="minorEastAsia"/>
          <w:b/>
          <w:bCs/>
          <w:sz w:val="24"/>
          <w:szCs w:val="24"/>
          <w:lang w:eastAsia="zh-CN"/>
        </w:rPr>
      </w:pPr>
      <w:r w:rsidRPr="00111DC8">
        <w:rPr>
          <w:rFonts w:eastAsiaTheme="minorEastAsia"/>
          <w:b/>
          <w:bCs/>
          <w:sz w:val="24"/>
          <w:szCs w:val="24"/>
          <w:lang w:eastAsia="zh-CN"/>
        </w:rPr>
        <w:t>Tabel 1: Doseringsregimen for pædiatriske patienter</w:t>
      </w:r>
    </w:p>
    <w:p w14:paraId="70369C69" w14:textId="77777777" w:rsidR="007F6282" w:rsidRPr="00111DC8" w:rsidRDefault="007F6282" w:rsidP="007F6282">
      <w:pPr>
        <w:spacing w:before="7"/>
        <w:ind w:right="-4"/>
        <w:rPr>
          <w:b/>
          <w:bCs/>
          <w:sz w:val="24"/>
          <w:szCs w:val="24"/>
        </w:rPr>
      </w:pPr>
    </w:p>
    <w:tbl>
      <w:tblPr>
        <w:tblStyle w:val="TableNormal1"/>
        <w:tblW w:w="8505" w:type="dxa"/>
        <w:tblInd w:w="845" w:type="dxa"/>
        <w:tblLayout w:type="fixed"/>
        <w:tblLook w:val="01E0" w:firstRow="1" w:lastRow="1" w:firstColumn="1" w:lastColumn="1" w:noHBand="0" w:noVBand="0"/>
      </w:tblPr>
      <w:tblGrid>
        <w:gridCol w:w="4252"/>
        <w:gridCol w:w="4253"/>
      </w:tblGrid>
      <w:tr w:rsidR="007F6282" w:rsidRPr="00111DC8" w14:paraId="1ED3C23C" w14:textId="77777777" w:rsidTr="007C3A89">
        <w:trPr>
          <w:trHeight w:hRule="exact" w:val="504"/>
        </w:trPr>
        <w:tc>
          <w:tcPr>
            <w:tcW w:w="4252" w:type="dxa"/>
            <w:tcBorders>
              <w:top w:val="single" w:sz="5" w:space="0" w:color="000000"/>
              <w:left w:val="single" w:sz="5" w:space="0" w:color="000000"/>
              <w:bottom w:val="single" w:sz="5" w:space="0" w:color="000000"/>
              <w:right w:val="single" w:sz="5" w:space="0" w:color="000000"/>
            </w:tcBorders>
          </w:tcPr>
          <w:p w14:paraId="7A1B5A2F" w14:textId="77777777" w:rsidR="007F6282" w:rsidRPr="00111DC8" w:rsidRDefault="007F6282" w:rsidP="009E6B88">
            <w:pPr>
              <w:pStyle w:val="TableParagraph"/>
              <w:ind w:right="-4"/>
              <w:jc w:val="center"/>
              <w:rPr>
                <w:rFonts w:ascii="Times New Roman" w:eastAsia="Times New Roman" w:hAnsi="Times New Roman" w:cs="Times New Roman"/>
                <w:b/>
                <w:bCs/>
                <w:sz w:val="24"/>
                <w:szCs w:val="24"/>
              </w:rPr>
            </w:pPr>
            <w:r w:rsidRPr="00111DC8">
              <w:rPr>
                <w:rFonts w:ascii="Times New Roman" w:eastAsia="Times New Roman" w:hAnsi="Times New Roman" w:cs="Times New Roman"/>
                <w:b/>
                <w:bCs/>
                <w:sz w:val="24"/>
                <w:szCs w:val="24"/>
              </w:rPr>
              <w:t>Legemsvægt</w:t>
            </w:r>
          </w:p>
        </w:tc>
        <w:tc>
          <w:tcPr>
            <w:tcW w:w="4253" w:type="dxa"/>
            <w:tcBorders>
              <w:top w:val="single" w:sz="5" w:space="0" w:color="000000"/>
              <w:left w:val="single" w:sz="5" w:space="0" w:color="000000"/>
              <w:bottom w:val="single" w:sz="5" w:space="0" w:color="000000"/>
              <w:right w:val="single" w:sz="5" w:space="0" w:color="000000"/>
            </w:tcBorders>
          </w:tcPr>
          <w:p w14:paraId="065FA89A" w14:textId="77777777" w:rsidR="007F6282" w:rsidRPr="00111DC8" w:rsidRDefault="007F6282" w:rsidP="009E6B88">
            <w:pPr>
              <w:pStyle w:val="TableParagraph"/>
              <w:ind w:right="-4"/>
              <w:jc w:val="center"/>
              <w:rPr>
                <w:rFonts w:ascii="Times New Roman" w:eastAsia="Times New Roman" w:hAnsi="Times New Roman" w:cs="Times New Roman"/>
                <w:sz w:val="24"/>
                <w:szCs w:val="24"/>
              </w:rPr>
            </w:pPr>
            <w:r w:rsidRPr="00111DC8">
              <w:rPr>
                <w:rFonts w:ascii="Times New Roman" w:hAnsi="Times New Roman" w:cs="Times New Roman"/>
                <w:b/>
                <w:spacing w:val="-1"/>
                <w:sz w:val="24"/>
                <w:szCs w:val="24"/>
              </w:rPr>
              <w:t>Dosis</w:t>
            </w:r>
            <w:r w:rsidRPr="00111DC8">
              <w:rPr>
                <w:rFonts w:ascii="Times New Roman" w:hAnsi="Times New Roman" w:cs="Times New Roman"/>
                <w:b/>
                <w:sz w:val="24"/>
                <w:szCs w:val="24"/>
              </w:rPr>
              <w:t xml:space="preserve"> </w:t>
            </w:r>
            <w:r w:rsidRPr="00111DC8">
              <w:rPr>
                <w:rFonts w:ascii="Times New Roman" w:hAnsi="Times New Roman" w:cs="Times New Roman"/>
                <w:b/>
                <w:spacing w:val="-1"/>
                <w:sz w:val="24"/>
                <w:szCs w:val="24"/>
              </w:rPr>
              <w:t>(Injektionsvolumen)</w:t>
            </w:r>
          </w:p>
        </w:tc>
      </w:tr>
      <w:tr w:rsidR="007F6282" w:rsidRPr="00111DC8" w14:paraId="2BE98506" w14:textId="77777777" w:rsidTr="007C3A89">
        <w:trPr>
          <w:trHeight w:hRule="exact" w:val="502"/>
        </w:trPr>
        <w:tc>
          <w:tcPr>
            <w:tcW w:w="4252" w:type="dxa"/>
            <w:tcBorders>
              <w:top w:val="single" w:sz="5" w:space="0" w:color="000000"/>
              <w:left w:val="single" w:sz="5" w:space="0" w:color="000000"/>
              <w:bottom w:val="single" w:sz="5" w:space="0" w:color="000000"/>
              <w:right w:val="single" w:sz="5" w:space="0" w:color="000000"/>
            </w:tcBorders>
            <w:shd w:val="clear" w:color="auto" w:fill="D9D9D9"/>
          </w:tcPr>
          <w:p w14:paraId="3CCF4AAB" w14:textId="77777777" w:rsidR="007F6282" w:rsidRPr="00111DC8" w:rsidRDefault="007F6282" w:rsidP="009E6B88">
            <w:pPr>
              <w:pStyle w:val="TableParagraph"/>
              <w:ind w:right="-4"/>
              <w:jc w:val="center"/>
              <w:rPr>
                <w:rFonts w:ascii="Times New Roman" w:eastAsia="Times New Roman" w:hAnsi="Times New Roman" w:cs="Times New Roman"/>
                <w:sz w:val="24"/>
                <w:szCs w:val="24"/>
              </w:rPr>
            </w:pPr>
            <w:r w:rsidRPr="00111DC8">
              <w:rPr>
                <w:rFonts w:ascii="Times New Roman" w:hAnsi="Times New Roman" w:cs="Times New Roman"/>
                <w:sz w:val="24"/>
                <w:szCs w:val="24"/>
              </w:rPr>
              <w:t xml:space="preserve">12 </w:t>
            </w:r>
            <w:r w:rsidRPr="00111DC8">
              <w:rPr>
                <w:rFonts w:ascii="Times New Roman" w:hAnsi="Times New Roman" w:cs="Times New Roman"/>
                <w:spacing w:val="-2"/>
                <w:sz w:val="24"/>
                <w:szCs w:val="24"/>
              </w:rPr>
              <w:t>kg</w:t>
            </w:r>
            <w:r w:rsidRPr="00111DC8">
              <w:rPr>
                <w:rFonts w:ascii="Times New Roman" w:hAnsi="Times New Roman" w:cs="Times New Roman"/>
                <w:spacing w:val="-3"/>
                <w:sz w:val="24"/>
                <w:szCs w:val="24"/>
              </w:rPr>
              <w:t xml:space="preserve"> til</w:t>
            </w:r>
            <w:r w:rsidRPr="00111DC8">
              <w:rPr>
                <w:rFonts w:ascii="Times New Roman" w:hAnsi="Times New Roman" w:cs="Times New Roman"/>
                <w:sz w:val="24"/>
                <w:szCs w:val="24"/>
              </w:rPr>
              <w:t xml:space="preserve"> 25 kg</w:t>
            </w:r>
          </w:p>
        </w:tc>
        <w:tc>
          <w:tcPr>
            <w:tcW w:w="4253" w:type="dxa"/>
            <w:tcBorders>
              <w:top w:val="single" w:sz="5" w:space="0" w:color="000000"/>
              <w:left w:val="single" w:sz="5" w:space="0" w:color="000000"/>
              <w:bottom w:val="single" w:sz="5" w:space="0" w:color="000000"/>
              <w:right w:val="single" w:sz="5" w:space="0" w:color="000000"/>
            </w:tcBorders>
            <w:shd w:val="clear" w:color="auto" w:fill="D9D9D9"/>
          </w:tcPr>
          <w:p w14:paraId="777057E9" w14:textId="77777777" w:rsidR="007F6282" w:rsidRPr="00111DC8" w:rsidRDefault="007F6282" w:rsidP="009E6B88">
            <w:pPr>
              <w:pStyle w:val="TableParagraph"/>
              <w:ind w:right="-4"/>
              <w:jc w:val="center"/>
              <w:rPr>
                <w:rFonts w:ascii="Times New Roman" w:eastAsia="Times New Roman" w:hAnsi="Times New Roman" w:cs="Times New Roman"/>
                <w:sz w:val="24"/>
                <w:szCs w:val="24"/>
              </w:rPr>
            </w:pPr>
            <w:r w:rsidRPr="00111DC8">
              <w:rPr>
                <w:rFonts w:ascii="Times New Roman" w:hAnsi="Times New Roman" w:cs="Times New Roman"/>
                <w:sz w:val="24"/>
                <w:szCs w:val="24"/>
              </w:rPr>
              <w:t xml:space="preserve">10 </w:t>
            </w:r>
            <w:r w:rsidRPr="00111DC8">
              <w:rPr>
                <w:rFonts w:ascii="Times New Roman" w:hAnsi="Times New Roman" w:cs="Times New Roman"/>
                <w:spacing w:val="-1"/>
                <w:sz w:val="24"/>
                <w:szCs w:val="24"/>
              </w:rPr>
              <w:t>mg</w:t>
            </w:r>
            <w:r w:rsidRPr="00111DC8">
              <w:rPr>
                <w:rFonts w:ascii="Times New Roman" w:hAnsi="Times New Roman" w:cs="Times New Roman"/>
                <w:spacing w:val="-3"/>
                <w:sz w:val="24"/>
                <w:szCs w:val="24"/>
              </w:rPr>
              <w:t xml:space="preserve"> </w:t>
            </w:r>
            <w:r w:rsidRPr="00111DC8">
              <w:rPr>
                <w:rFonts w:ascii="Times New Roman" w:hAnsi="Times New Roman" w:cs="Times New Roman"/>
                <w:sz w:val="24"/>
                <w:szCs w:val="24"/>
              </w:rPr>
              <w:t xml:space="preserve">(1,0 </w:t>
            </w:r>
            <w:r w:rsidRPr="00111DC8">
              <w:rPr>
                <w:rFonts w:ascii="Times New Roman" w:hAnsi="Times New Roman" w:cs="Times New Roman"/>
                <w:spacing w:val="-1"/>
                <w:sz w:val="24"/>
                <w:szCs w:val="24"/>
              </w:rPr>
              <w:t>ml)</w:t>
            </w:r>
          </w:p>
        </w:tc>
      </w:tr>
      <w:tr w:rsidR="007F6282" w:rsidRPr="00111DC8" w14:paraId="7BE1EE9B" w14:textId="77777777" w:rsidTr="007C3A89">
        <w:trPr>
          <w:trHeight w:hRule="exact" w:val="504"/>
        </w:trPr>
        <w:tc>
          <w:tcPr>
            <w:tcW w:w="4252" w:type="dxa"/>
            <w:tcBorders>
              <w:top w:val="single" w:sz="5" w:space="0" w:color="000000"/>
              <w:left w:val="single" w:sz="5" w:space="0" w:color="000000"/>
              <w:bottom w:val="single" w:sz="5" w:space="0" w:color="000000"/>
              <w:right w:val="single" w:sz="5" w:space="0" w:color="000000"/>
            </w:tcBorders>
          </w:tcPr>
          <w:p w14:paraId="38A108ED" w14:textId="77777777" w:rsidR="007F6282" w:rsidRPr="00111DC8" w:rsidRDefault="007F6282" w:rsidP="009E6B88">
            <w:pPr>
              <w:pStyle w:val="TableParagraph"/>
              <w:spacing w:before="2"/>
              <w:ind w:right="-4"/>
              <w:jc w:val="center"/>
              <w:rPr>
                <w:rFonts w:ascii="Times New Roman" w:eastAsia="Times New Roman" w:hAnsi="Times New Roman" w:cs="Times New Roman"/>
                <w:sz w:val="24"/>
                <w:szCs w:val="24"/>
              </w:rPr>
            </w:pPr>
            <w:r w:rsidRPr="00111DC8">
              <w:rPr>
                <w:rFonts w:ascii="Times New Roman" w:hAnsi="Times New Roman" w:cs="Times New Roman"/>
                <w:sz w:val="24"/>
                <w:szCs w:val="24"/>
              </w:rPr>
              <w:t xml:space="preserve">26 </w:t>
            </w:r>
            <w:r w:rsidRPr="00111DC8">
              <w:rPr>
                <w:rFonts w:ascii="Times New Roman" w:hAnsi="Times New Roman" w:cs="Times New Roman"/>
                <w:spacing w:val="-2"/>
                <w:sz w:val="24"/>
                <w:szCs w:val="24"/>
              </w:rPr>
              <w:t>kg</w:t>
            </w:r>
            <w:r w:rsidRPr="00111DC8">
              <w:rPr>
                <w:rFonts w:ascii="Times New Roman" w:hAnsi="Times New Roman" w:cs="Times New Roman"/>
                <w:spacing w:val="-3"/>
                <w:sz w:val="24"/>
                <w:szCs w:val="24"/>
              </w:rPr>
              <w:t xml:space="preserve"> til</w:t>
            </w:r>
            <w:r w:rsidRPr="00111DC8">
              <w:rPr>
                <w:rFonts w:ascii="Times New Roman" w:hAnsi="Times New Roman" w:cs="Times New Roman"/>
                <w:sz w:val="24"/>
                <w:szCs w:val="24"/>
              </w:rPr>
              <w:t xml:space="preserve"> 40 kg</w:t>
            </w:r>
          </w:p>
        </w:tc>
        <w:tc>
          <w:tcPr>
            <w:tcW w:w="4253" w:type="dxa"/>
            <w:tcBorders>
              <w:top w:val="single" w:sz="5" w:space="0" w:color="000000"/>
              <w:left w:val="single" w:sz="5" w:space="0" w:color="000000"/>
              <w:bottom w:val="single" w:sz="5" w:space="0" w:color="000000"/>
              <w:right w:val="single" w:sz="5" w:space="0" w:color="000000"/>
            </w:tcBorders>
          </w:tcPr>
          <w:p w14:paraId="14E04C75" w14:textId="77777777" w:rsidR="007F6282" w:rsidRPr="00111DC8" w:rsidRDefault="007F6282" w:rsidP="009E6B88">
            <w:pPr>
              <w:pStyle w:val="TableParagraph"/>
              <w:spacing w:before="2"/>
              <w:ind w:right="-4"/>
              <w:jc w:val="center"/>
              <w:rPr>
                <w:rFonts w:ascii="Times New Roman" w:eastAsia="Times New Roman" w:hAnsi="Times New Roman" w:cs="Times New Roman"/>
                <w:sz w:val="24"/>
                <w:szCs w:val="24"/>
              </w:rPr>
            </w:pPr>
            <w:r w:rsidRPr="00111DC8">
              <w:rPr>
                <w:rFonts w:ascii="Times New Roman" w:hAnsi="Times New Roman" w:cs="Times New Roman"/>
                <w:sz w:val="24"/>
                <w:szCs w:val="24"/>
              </w:rPr>
              <w:t xml:space="preserve">15 </w:t>
            </w:r>
            <w:r w:rsidRPr="00111DC8">
              <w:rPr>
                <w:rFonts w:ascii="Times New Roman" w:hAnsi="Times New Roman" w:cs="Times New Roman"/>
                <w:spacing w:val="-1"/>
                <w:sz w:val="24"/>
                <w:szCs w:val="24"/>
              </w:rPr>
              <w:t>mg</w:t>
            </w:r>
            <w:r w:rsidRPr="00111DC8">
              <w:rPr>
                <w:rFonts w:ascii="Times New Roman" w:hAnsi="Times New Roman" w:cs="Times New Roman"/>
                <w:spacing w:val="-3"/>
                <w:sz w:val="24"/>
                <w:szCs w:val="24"/>
              </w:rPr>
              <w:t xml:space="preserve"> </w:t>
            </w:r>
            <w:r w:rsidRPr="00111DC8">
              <w:rPr>
                <w:rFonts w:ascii="Times New Roman" w:hAnsi="Times New Roman" w:cs="Times New Roman"/>
                <w:sz w:val="24"/>
                <w:szCs w:val="24"/>
              </w:rPr>
              <w:t xml:space="preserve">(1,5 </w:t>
            </w:r>
            <w:r w:rsidRPr="00111DC8">
              <w:rPr>
                <w:rFonts w:ascii="Times New Roman" w:hAnsi="Times New Roman" w:cs="Times New Roman"/>
                <w:spacing w:val="-1"/>
                <w:sz w:val="24"/>
                <w:szCs w:val="24"/>
              </w:rPr>
              <w:t>ml)</w:t>
            </w:r>
          </w:p>
        </w:tc>
      </w:tr>
      <w:tr w:rsidR="007F6282" w:rsidRPr="00111DC8" w14:paraId="5E3A28BD" w14:textId="77777777" w:rsidTr="007C3A89">
        <w:trPr>
          <w:trHeight w:hRule="exact" w:val="504"/>
        </w:trPr>
        <w:tc>
          <w:tcPr>
            <w:tcW w:w="4252" w:type="dxa"/>
            <w:tcBorders>
              <w:top w:val="single" w:sz="5" w:space="0" w:color="000000"/>
              <w:left w:val="single" w:sz="5" w:space="0" w:color="000000"/>
              <w:bottom w:val="single" w:sz="5" w:space="0" w:color="000000"/>
              <w:right w:val="single" w:sz="5" w:space="0" w:color="000000"/>
            </w:tcBorders>
            <w:shd w:val="clear" w:color="auto" w:fill="D9D9D9"/>
          </w:tcPr>
          <w:p w14:paraId="258BA2CD" w14:textId="77777777" w:rsidR="007F6282" w:rsidRPr="00111DC8" w:rsidRDefault="007F6282" w:rsidP="009E6B88">
            <w:pPr>
              <w:pStyle w:val="TableParagraph"/>
              <w:ind w:right="-4"/>
              <w:jc w:val="center"/>
              <w:rPr>
                <w:rFonts w:ascii="Times New Roman" w:eastAsia="Times New Roman" w:hAnsi="Times New Roman" w:cs="Times New Roman"/>
                <w:sz w:val="24"/>
                <w:szCs w:val="24"/>
              </w:rPr>
            </w:pPr>
            <w:r w:rsidRPr="00111DC8">
              <w:rPr>
                <w:rFonts w:ascii="Times New Roman" w:hAnsi="Times New Roman" w:cs="Times New Roman"/>
                <w:sz w:val="24"/>
                <w:szCs w:val="24"/>
              </w:rPr>
              <w:t xml:space="preserve">41 </w:t>
            </w:r>
            <w:r w:rsidRPr="00111DC8">
              <w:rPr>
                <w:rFonts w:ascii="Times New Roman" w:hAnsi="Times New Roman" w:cs="Times New Roman"/>
                <w:spacing w:val="-2"/>
                <w:sz w:val="24"/>
                <w:szCs w:val="24"/>
              </w:rPr>
              <w:t>kg</w:t>
            </w:r>
            <w:r w:rsidRPr="00111DC8">
              <w:rPr>
                <w:rFonts w:ascii="Times New Roman" w:hAnsi="Times New Roman" w:cs="Times New Roman"/>
                <w:spacing w:val="-3"/>
                <w:sz w:val="24"/>
                <w:szCs w:val="24"/>
              </w:rPr>
              <w:t xml:space="preserve"> til</w:t>
            </w:r>
            <w:r w:rsidRPr="00111DC8">
              <w:rPr>
                <w:rFonts w:ascii="Times New Roman" w:hAnsi="Times New Roman" w:cs="Times New Roman"/>
                <w:sz w:val="24"/>
                <w:szCs w:val="24"/>
              </w:rPr>
              <w:t xml:space="preserve"> 50 kg</w:t>
            </w:r>
          </w:p>
        </w:tc>
        <w:tc>
          <w:tcPr>
            <w:tcW w:w="4253" w:type="dxa"/>
            <w:tcBorders>
              <w:top w:val="single" w:sz="5" w:space="0" w:color="000000"/>
              <w:left w:val="single" w:sz="5" w:space="0" w:color="000000"/>
              <w:bottom w:val="single" w:sz="5" w:space="0" w:color="000000"/>
              <w:right w:val="single" w:sz="5" w:space="0" w:color="000000"/>
            </w:tcBorders>
            <w:shd w:val="clear" w:color="auto" w:fill="D9D9D9"/>
          </w:tcPr>
          <w:p w14:paraId="78F15AED" w14:textId="77777777" w:rsidR="007F6282" w:rsidRPr="00111DC8" w:rsidRDefault="007F6282" w:rsidP="009E6B88">
            <w:pPr>
              <w:pStyle w:val="TableParagraph"/>
              <w:ind w:right="-4"/>
              <w:jc w:val="center"/>
              <w:rPr>
                <w:rFonts w:ascii="Times New Roman" w:eastAsia="Times New Roman" w:hAnsi="Times New Roman" w:cs="Times New Roman"/>
                <w:sz w:val="24"/>
                <w:szCs w:val="24"/>
              </w:rPr>
            </w:pPr>
            <w:r w:rsidRPr="00111DC8">
              <w:rPr>
                <w:rFonts w:ascii="Times New Roman" w:hAnsi="Times New Roman" w:cs="Times New Roman"/>
                <w:sz w:val="24"/>
                <w:szCs w:val="24"/>
              </w:rPr>
              <w:t xml:space="preserve">20 </w:t>
            </w:r>
            <w:r w:rsidRPr="00111DC8">
              <w:rPr>
                <w:rFonts w:ascii="Times New Roman" w:hAnsi="Times New Roman" w:cs="Times New Roman"/>
                <w:spacing w:val="-1"/>
                <w:sz w:val="24"/>
                <w:szCs w:val="24"/>
              </w:rPr>
              <w:t>mg</w:t>
            </w:r>
            <w:r w:rsidRPr="00111DC8">
              <w:rPr>
                <w:rFonts w:ascii="Times New Roman" w:hAnsi="Times New Roman" w:cs="Times New Roman"/>
                <w:spacing w:val="-3"/>
                <w:sz w:val="24"/>
                <w:szCs w:val="24"/>
              </w:rPr>
              <w:t xml:space="preserve"> </w:t>
            </w:r>
            <w:r w:rsidRPr="00111DC8">
              <w:rPr>
                <w:rFonts w:ascii="Times New Roman" w:hAnsi="Times New Roman" w:cs="Times New Roman"/>
                <w:sz w:val="24"/>
                <w:szCs w:val="24"/>
              </w:rPr>
              <w:t xml:space="preserve">(2,0 </w:t>
            </w:r>
            <w:r w:rsidRPr="00111DC8">
              <w:rPr>
                <w:rFonts w:ascii="Times New Roman" w:hAnsi="Times New Roman" w:cs="Times New Roman"/>
                <w:spacing w:val="-1"/>
                <w:sz w:val="24"/>
                <w:szCs w:val="24"/>
              </w:rPr>
              <w:t>ml)</w:t>
            </w:r>
          </w:p>
        </w:tc>
      </w:tr>
      <w:tr w:rsidR="007F6282" w:rsidRPr="00111DC8" w14:paraId="0CCB9257" w14:textId="77777777" w:rsidTr="007C3A89">
        <w:trPr>
          <w:trHeight w:hRule="exact" w:val="502"/>
        </w:trPr>
        <w:tc>
          <w:tcPr>
            <w:tcW w:w="4252" w:type="dxa"/>
            <w:tcBorders>
              <w:top w:val="single" w:sz="5" w:space="0" w:color="000000"/>
              <w:left w:val="single" w:sz="5" w:space="0" w:color="000000"/>
              <w:bottom w:val="single" w:sz="5" w:space="0" w:color="000000"/>
              <w:right w:val="single" w:sz="5" w:space="0" w:color="000000"/>
            </w:tcBorders>
          </w:tcPr>
          <w:p w14:paraId="7839B133" w14:textId="77777777" w:rsidR="007F6282" w:rsidRPr="00111DC8" w:rsidRDefault="007F6282" w:rsidP="009E6B88">
            <w:pPr>
              <w:pStyle w:val="TableParagraph"/>
              <w:ind w:right="-4"/>
              <w:jc w:val="center"/>
              <w:rPr>
                <w:rFonts w:ascii="Times New Roman" w:eastAsia="Times New Roman" w:hAnsi="Times New Roman" w:cs="Times New Roman"/>
                <w:sz w:val="24"/>
                <w:szCs w:val="24"/>
              </w:rPr>
            </w:pPr>
            <w:r w:rsidRPr="00111DC8">
              <w:rPr>
                <w:rFonts w:ascii="Times New Roman" w:hAnsi="Times New Roman" w:cs="Times New Roman"/>
                <w:sz w:val="24"/>
                <w:szCs w:val="24"/>
              </w:rPr>
              <w:t xml:space="preserve">51 </w:t>
            </w:r>
            <w:r w:rsidRPr="00111DC8">
              <w:rPr>
                <w:rFonts w:ascii="Times New Roman" w:hAnsi="Times New Roman" w:cs="Times New Roman"/>
                <w:spacing w:val="-2"/>
                <w:sz w:val="24"/>
                <w:szCs w:val="24"/>
              </w:rPr>
              <w:t>kg</w:t>
            </w:r>
            <w:r w:rsidRPr="00111DC8">
              <w:rPr>
                <w:rFonts w:ascii="Times New Roman" w:hAnsi="Times New Roman" w:cs="Times New Roman"/>
                <w:spacing w:val="-3"/>
                <w:sz w:val="24"/>
                <w:szCs w:val="24"/>
              </w:rPr>
              <w:t xml:space="preserve"> til</w:t>
            </w:r>
            <w:r w:rsidRPr="00111DC8">
              <w:rPr>
                <w:rFonts w:ascii="Times New Roman" w:hAnsi="Times New Roman" w:cs="Times New Roman"/>
                <w:sz w:val="24"/>
                <w:szCs w:val="24"/>
              </w:rPr>
              <w:t xml:space="preserve"> 65 kg</w:t>
            </w:r>
          </w:p>
        </w:tc>
        <w:tc>
          <w:tcPr>
            <w:tcW w:w="4253" w:type="dxa"/>
            <w:tcBorders>
              <w:top w:val="single" w:sz="5" w:space="0" w:color="000000"/>
              <w:left w:val="single" w:sz="5" w:space="0" w:color="000000"/>
              <w:bottom w:val="single" w:sz="5" w:space="0" w:color="000000"/>
              <w:right w:val="single" w:sz="5" w:space="0" w:color="000000"/>
            </w:tcBorders>
          </w:tcPr>
          <w:p w14:paraId="584FE9DC" w14:textId="77777777" w:rsidR="007F6282" w:rsidRPr="00111DC8" w:rsidRDefault="007F6282" w:rsidP="009E6B88">
            <w:pPr>
              <w:pStyle w:val="TableParagraph"/>
              <w:ind w:right="-4"/>
              <w:jc w:val="center"/>
              <w:rPr>
                <w:rFonts w:ascii="Times New Roman" w:eastAsia="Times New Roman" w:hAnsi="Times New Roman" w:cs="Times New Roman"/>
                <w:sz w:val="24"/>
                <w:szCs w:val="24"/>
              </w:rPr>
            </w:pPr>
            <w:r w:rsidRPr="00111DC8">
              <w:rPr>
                <w:rFonts w:ascii="Times New Roman" w:hAnsi="Times New Roman" w:cs="Times New Roman"/>
                <w:sz w:val="24"/>
                <w:szCs w:val="24"/>
              </w:rPr>
              <w:t xml:space="preserve">25 </w:t>
            </w:r>
            <w:r w:rsidRPr="00111DC8">
              <w:rPr>
                <w:rFonts w:ascii="Times New Roman" w:hAnsi="Times New Roman" w:cs="Times New Roman"/>
                <w:spacing w:val="-1"/>
                <w:sz w:val="24"/>
                <w:szCs w:val="24"/>
              </w:rPr>
              <w:t>mg</w:t>
            </w:r>
            <w:r w:rsidRPr="00111DC8">
              <w:rPr>
                <w:rFonts w:ascii="Times New Roman" w:hAnsi="Times New Roman" w:cs="Times New Roman"/>
                <w:spacing w:val="-3"/>
                <w:sz w:val="24"/>
                <w:szCs w:val="24"/>
              </w:rPr>
              <w:t xml:space="preserve"> </w:t>
            </w:r>
            <w:r w:rsidRPr="00111DC8">
              <w:rPr>
                <w:rFonts w:ascii="Times New Roman" w:hAnsi="Times New Roman" w:cs="Times New Roman"/>
                <w:sz w:val="24"/>
                <w:szCs w:val="24"/>
              </w:rPr>
              <w:t xml:space="preserve">(2,5 </w:t>
            </w:r>
            <w:r w:rsidRPr="00111DC8">
              <w:rPr>
                <w:rFonts w:ascii="Times New Roman" w:hAnsi="Times New Roman" w:cs="Times New Roman"/>
                <w:spacing w:val="-1"/>
                <w:sz w:val="24"/>
                <w:szCs w:val="24"/>
              </w:rPr>
              <w:t>ml)</w:t>
            </w:r>
          </w:p>
        </w:tc>
      </w:tr>
      <w:tr w:rsidR="007F6282" w:rsidRPr="00111DC8" w14:paraId="4F5B301A" w14:textId="77777777" w:rsidTr="007C3A89">
        <w:trPr>
          <w:trHeight w:hRule="exact" w:val="504"/>
        </w:trPr>
        <w:tc>
          <w:tcPr>
            <w:tcW w:w="4252" w:type="dxa"/>
            <w:tcBorders>
              <w:top w:val="single" w:sz="5" w:space="0" w:color="000000"/>
              <w:left w:val="single" w:sz="5" w:space="0" w:color="000000"/>
              <w:bottom w:val="single" w:sz="5" w:space="0" w:color="000000"/>
              <w:right w:val="single" w:sz="5" w:space="0" w:color="000000"/>
            </w:tcBorders>
            <w:shd w:val="clear" w:color="auto" w:fill="D9D9D9"/>
          </w:tcPr>
          <w:p w14:paraId="78B9B8EB" w14:textId="77777777" w:rsidR="007F6282" w:rsidRPr="00111DC8" w:rsidRDefault="007F6282" w:rsidP="009E6B88">
            <w:pPr>
              <w:pStyle w:val="TableParagraph"/>
              <w:ind w:right="-4"/>
              <w:jc w:val="center"/>
              <w:rPr>
                <w:rFonts w:ascii="Times New Roman" w:eastAsia="Times New Roman" w:hAnsi="Times New Roman" w:cs="Times New Roman"/>
                <w:sz w:val="24"/>
                <w:szCs w:val="24"/>
              </w:rPr>
            </w:pPr>
            <w:r w:rsidRPr="00111DC8">
              <w:rPr>
                <w:rFonts w:ascii="Times New Roman" w:hAnsi="Times New Roman" w:cs="Times New Roman"/>
                <w:sz w:val="24"/>
                <w:szCs w:val="24"/>
              </w:rPr>
              <w:t xml:space="preserve">&gt;65 </w:t>
            </w:r>
            <w:r w:rsidRPr="00111DC8">
              <w:rPr>
                <w:rFonts w:ascii="Times New Roman" w:hAnsi="Times New Roman" w:cs="Times New Roman"/>
                <w:spacing w:val="-3"/>
                <w:sz w:val="24"/>
                <w:szCs w:val="24"/>
              </w:rPr>
              <w:t>kg</w:t>
            </w:r>
          </w:p>
        </w:tc>
        <w:tc>
          <w:tcPr>
            <w:tcW w:w="4253" w:type="dxa"/>
            <w:tcBorders>
              <w:top w:val="single" w:sz="5" w:space="0" w:color="000000"/>
              <w:left w:val="single" w:sz="5" w:space="0" w:color="000000"/>
              <w:bottom w:val="single" w:sz="5" w:space="0" w:color="000000"/>
              <w:right w:val="single" w:sz="5" w:space="0" w:color="000000"/>
            </w:tcBorders>
            <w:shd w:val="clear" w:color="auto" w:fill="D9D9D9"/>
          </w:tcPr>
          <w:p w14:paraId="07F7FABF" w14:textId="77777777" w:rsidR="007F6282" w:rsidRPr="00111DC8" w:rsidRDefault="007F6282" w:rsidP="009E6B88">
            <w:pPr>
              <w:pStyle w:val="TableParagraph"/>
              <w:ind w:right="-4"/>
              <w:jc w:val="center"/>
              <w:rPr>
                <w:rFonts w:ascii="Times New Roman" w:eastAsia="Times New Roman" w:hAnsi="Times New Roman" w:cs="Times New Roman"/>
                <w:sz w:val="24"/>
                <w:szCs w:val="24"/>
              </w:rPr>
            </w:pPr>
            <w:r w:rsidRPr="00111DC8">
              <w:rPr>
                <w:rFonts w:ascii="Times New Roman" w:hAnsi="Times New Roman" w:cs="Times New Roman"/>
                <w:sz w:val="24"/>
                <w:szCs w:val="24"/>
              </w:rPr>
              <w:t xml:space="preserve">30 </w:t>
            </w:r>
            <w:r w:rsidRPr="00111DC8">
              <w:rPr>
                <w:rFonts w:ascii="Times New Roman" w:hAnsi="Times New Roman" w:cs="Times New Roman"/>
                <w:spacing w:val="-1"/>
                <w:sz w:val="24"/>
                <w:szCs w:val="24"/>
              </w:rPr>
              <w:t>mg</w:t>
            </w:r>
            <w:r w:rsidRPr="00111DC8">
              <w:rPr>
                <w:rFonts w:ascii="Times New Roman" w:hAnsi="Times New Roman" w:cs="Times New Roman"/>
                <w:spacing w:val="-3"/>
                <w:sz w:val="24"/>
                <w:szCs w:val="24"/>
              </w:rPr>
              <w:t xml:space="preserve"> </w:t>
            </w:r>
            <w:r w:rsidRPr="00111DC8">
              <w:rPr>
                <w:rFonts w:ascii="Times New Roman" w:hAnsi="Times New Roman" w:cs="Times New Roman"/>
                <w:sz w:val="24"/>
                <w:szCs w:val="24"/>
              </w:rPr>
              <w:t xml:space="preserve">(3,0 </w:t>
            </w:r>
            <w:r w:rsidRPr="00111DC8">
              <w:rPr>
                <w:rFonts w:ascii="Times New Roman" w:hAnsi="Times New Roman" w:cs="Times New Roman"/>
                <w:spacing w:val="-1"/>
                <w:sz w:val="24"/>
                <w:szCs w:val="24"/>
              </w:rPr>
              <w:t>ml)</w:t>
            </w:r>
          </w:p>
        </w:tc>
      </w:tr>
    </w:tbl>
    <w:p w14:paraId="7851308E" w14:textId="77777777" w:rsidR="007F6282" w:rsidRPr="00111DC8" w:rsidRDefault="007F6282" w:rsidP="007F6282">
      <w:pPr>
        <w:spacing w:before="10"/>
        <w:ind w:right="-4"/>
        <w:rPr>
          <w:b/>
          <w:bCs/>
          <w:sz w:val="24"/>
          <w:szCs w:val="24"/>
        </w:rPr>
      </w:pPr>
    </w:p>
    <w:p w14:paraId="5DC0B2FE" w14:textId="77777777" w:rsidR="007F6282" w:rsidRPr="00111DC8" w:rsidRDefault="007F6282" w:rsidP="007C3A89">
      <w:pPr>
        <w:ind w:left="851"/>
        <w:rPr>
          <w:rFonts w:eastAsiaTheme="minorEastAsia"/>
          <w:sz w:val="24"/>
          <w:szCs w:val="24"/>
          <w:lang w:eastAsia="zh-CN"/>
        </w:rPr>
      </w:pPr>
      <w:r w:rsidRPr="00111DC8">
        <w:rPr>
          <w:rFonts w:eastAsiaTheme="minorEastAsia"/>
          <w:sz w:val="24"/>
          <w:szCs w:val="24"/>
          <w:lang w:eastAsia="zh-CN"/>
        </w:rPr>
        <w:t>I det kliniske studie er der ikke indgivet mere end 1 injektion af icatibant pr. HAE-anfald.</w:t>
      </w:r>
    </w:p>
    <w:p w14:paraId="449F9A68" w14:textId="77777777" w:rsidR="007F6282" w:rsidRPr="00111DC8" w:rsidRDefault="007F6282" w:rsidP="007C3A89">
      <w:pPr>
        <w:ind w:left="851"/>
        <w:rPr>
          <w:rFonts w:eastAsiaTheme="minorEastAsia"/>
          <w:sz w:val="24"/>
          <w:szCs w:val="24"/>
          <w:lang w:eastAsia="zh-CN"/>
        </w:rPr>
      </w:pPr>
    </w:p>
    <w:p w14:paraId="39F36358" w14:textId="77777777" w:rsidR="007F6282" w:rsidRPr="00111DC8" w:rsidRDefault="007F6282" w:rsidP="007C3A89">
      <w:pPr>
        <w:ind w:left="851"/>
        <w:rPr>
          <w:rFonts w:eastAsiaTheme="minorEastAsia"/>
          <w:sz w:val="24"/>
          <w:szCs w:val="24"/>
          <w:lang w:eastAsia="zh-CN"/>
        </w:rPr>
      </w:pPr>
      <w:r w:rsidRPr="00111DC8">
        <w:rPr>
          <w:rFonts w:eastAsiaTheme="minorEastAsia"/>
          <w:sz w:val="24"/>
          <w:szCs w:val="24"/>
          <w:lang w:eastAsia="zh-CN"/>
        </w:rPr>
        <w:t>Der kan ikke gives nogen anbefaling vedrørende doseringsregimen for børn under 2 år eller med en legemsvægt på 12 kg eller derunder, eftersom sikkerhed og virkning ikke er klarlagt for denne gruppe.</w:t>
      </w:r>
    </w:p>
    <w:p w14:paraId="4936FF75" w14:textId="77777777" w:rsidR="007F6282" w:rsidRPr="00111DC8" w:rsidRDefault="007F6282" w:rsidP="007C3A89">
      <w:pPr>
        <w:ind w:left="851"/>
        <w:rPr>
          <w:rFonts w:eastAsiaTheme="minorEastAsia"/>
          <w:i/>
          <w:iCs/>
          <w:sz w:val="24"/>
          <w:szCs w:val="24"/>
          <w:lang w:eastAsia="zh-CN"/>
        </w:rPr>
      </w:pPr>
    </w:p>
    <w:p w14:paraId="5DF31933" w14:textId="77777777" w:rsidR="007F6282" w:rsidRPr="00111DC8" w:rsidRDefault="007F6282" w:rsidP="007C3A89">
      <w:pPr>
        <w:ind w:left="851"/>
        <w:rPr>
          <w:rFonts w:eastAsiaTheme="minorEastAsia"/>
          <w:i/>
          <w:iCs/>
          <w:sz w:val="24"/>
          <w:szCs w:val="24"/>
          <w:lang w:eastAsia="zh-CN"/>
        </w:rPr>
      </w:pPr>
      <w:r w:rsidRPr="00111DC8">
        <w:rPr>
          <w:rFonts w:eastAsiaTheme="minorEastAsia"/>
          <w:i/>
          <w:iCs/>
          <w:sz w:val="24"/>
          <w:szCs w:val="24"/>
          <w:lang w:eastAsia="zh-CN"/>
        </w:rPr>
        <w:t>Ældre</w:t>
      </w:r>
    </w:p>
    <w:p w14:paraId="521A905E" w14:textId="77777777" w:rsidR="007F6282" w:rsidRPr="00111DC8" w:rsidRDefault="007F6282" w:rsidP="007C3A89">
      <w:pPr>
        <w:ind w:left="851"/>
        <w:rPr>
          <w:rFonts w:eastAsiaTheme="minorEastAsia"/>
          <w:sz w:val="24"/>
          <w:szCs w:val="24"/>
          <w:lang w:eastAsia="zh-CN"/>
        </w:rPr>
      </w:pPr>
      <w:r w:rsidRPr="00111DC8">
        <w:rPr>
          <w:rFonts w:eastAsiaTheme="minorEastAsia"/>
          <w:sz w:val="24"/>
          <w:szCs w:val="24"/>
          <w:lang w:eastAsia="zh-CN"/>
        </w:rPr>
        <w:t>Der findes begrænsede oplysninger vedrørende patienter, der er ældre end 65 år.</w:t>
      </w:r>
    </w:p>
    <w:p w14:paraId="602153FE" w14:textId="77777777" w:rsidR="007F6282" w:rsidRPr="00111DC8" w:rsidRDefault="007F6282" w:rsidP="007C3A89">
      <w:pPr>
        <w:ind w:left="851"/>
        <w:rPr>
          <w:rFonts w:eastAsiaTheme="minorEastAsia"/>
          <w:sz w:val="24"/>
          <w:szCs w:val="24"/>
          <w:lang w:eastAsia="zh-CN"/>
        </w:rPr>
      </w:pPr>
    </w:p>
    <w:p w14:paraId="0E610454" w14:textId="3B64432A" w:rsidR="007F6282" w:rsidRPr="00111DC8" w:rsidRDefault="007F6282" w:rsidP="007C3A89">
      <w:pPr>
        <w:ind w:left="851"/>
        <w:rPr>
          <w:rFonts w:eastAsiaTheme="minorEastAsia"/>
          <w:sz w:val="24"/>
          <w:szCs w:val="24"/>
          <w:lang w:eastAsia="zh-CN"/>
        </w:rPr>
      </w:pPr>
      <w:r w:rsidRPr="00111DC8">
        <w:rPr>
          <w:rFonts w:eastAsiaTheme="minorEastAsia"/>
          <w:sz w:val="24"/>
          <w:szCs w:val="24"/>
          <w:lang w:eastAsia="zh-CN"/>
        </w:rPr>
        <w:t>Det er vist, at ældre har en øget systemisk eksponering for icatibant. Relevansen af dette for</w:t>
      </w:r>
      <w:r w:rsidR="00B40887">
        <w:rPr>
          <w:rFonts w:eastAsiaTheme="minorEastAsia"/>
          <w:sz w:val="24"/>
          <w:szCs w:val="24"/>
          <w:lang w:eastAsia="zh-CN"/>
        </w:rPr>
        <w:t xml:space="preserve"> </w:t>
      </w:r>
      <w:r w:rsidRPr="00111DC8">
        <w:rPr>
          <w:rFonts w:eastAsiaTheme="minorEastAsia"/>
          <w:sz w:val="24"/>
          <w:szCs w:val="24"/>
          <w:lang w:eastAsia="zh-CN"/>
        </w:rPr>
        <w:t xml:space="preserve">sikkerheden i forbindelse med Icatibant </w:t>
      </w:r>
      <w:r w:rsidR="00BE362C">
        <w:rPr>
          <w:rFonts w:eastAsiaTheme="minorEastAsia"/>
          <w:sz w:val="24"/>
          <w:szCs w:val="24"/>
          <w:lang w:eastAsia="zh-CN"/>
        </w:rPr>
        <w:t>"Fresenius"</w:t>
      </w:r>
      <w:r w:rsidRPr="00111DC8">
        <w:rPr>
          <w:rFonts w:eastAsiaTheme="minorEastAsia"/>
          <w:sz w:val="24"/>
          <w:szCs w:val="24"/>
          <w:lang w:eastAsia="zh-CN"/>
        </w:rPr>
        <w:t xml:space="preserve"> er ikke kendt (se pkt. 5.2).</w:t>
      </w:r>
    </w:p>
    <w:p w14:paraId="3AEFC9AE" w14:textId="77777777" w:rsidR="007F6282" w:rsidRPr="00111DC8" w:rsidRDefault="007F6282" w:rsidP="007C3A89">
      <w:pPr>
        <w:ind w:left="851"/>
        <w:rPr>
          <w:rFonts w:eastAsiaTheme="minorEastAsia"/>
          <w:i/>
          <w:iCs/>
          <w:sz w:val="24"/>
          <w:szCs w:val="24"/>
          <w:lang w:eastAsia="zh-CN"/>
        </w:rPr>
      </w:pPr>
    </w:p>
    <w:p w14:paraId="1C18F6C6" w14:textId="77777777" w:rsidR="007F6282" w:rsidRPr="00111DC8" w:rsidRDefault="007F6282" w:rsidP="007C3A89">
      <w:pPr>
        <w:ind w:left="851"/>
        <w:rPr>
          <w:rFonts w:eastAsiaTheme="minorEastAsia"/>
          <w:i/>
          <w:iCs/>
          <w:sz w:val="24"/>
          <w:szCs w:val="24"/>
          <w:lang w:eastAsia="zh-CN"/>
        </w:rPr>
      </w:pPr>
      <w:r w:rsidRPr="00111DC8">
        <w:rPr>
          <w:rFonts w:eastAsiaTheme="minorEastAsia"/>
          <w:i/>
          <w:iCs/>
          <w:sz w:val="24"/>
          <w:szCs w:val="24"/>
          <w:lang w:eastAsia="zh-CN"/>
        </w:rPr>
        <w:t>Nedsat leverfunktion</w:t>
      </w:r>
    </w:p>
    <w:p w14:paraId="04BFC640" w14:textId="77777777" w:rsidR="007F6282" w:rsidRPr="00111DC8" w:rsidRDefault="007F6282" w:rsidP="007C3A89">
      <w:pPr>
        <w:ind w:left="851"/>
        <w:rPr>
          <w:sz w:val="24"/>
          <w:szCs w:val="24"/>
          <w:u w:val="single"/>
        </w:rPr>
      </w:pPr>
      <w:r w:rsidRPr="00111DC8">
        <w:rPr>
          <w:rFonts w:eastAsiaTheme="minorEastAsia"/>
          <w:sz w:val="24"/>
          <w:szCs w:val="24"/>
          <w:lang w:eastAsia="zh-CN"/>
        </w:rPr>
        <w:t>Doseringsjustering er ikke nødvendig hos patienter med nedsat leverfunktion.</w:t>
      </w:r>
    </w:p>
    <w:p w14:paraId="4C254131" w14:textId="77777777" w:rsidR="007F6282" w:rsidRPr="00111DC8" w:rsidRDefault="007F6282" w:rsidP="007C3A89">
      <w:pPr>
        <w:ind w:left="851"/>
        <w:rPr>
          <w:sz w:val="24"/>
          <w:szCs w:val="24"/>
          <w:u w:val="single"/>
        </w:rPr>
      </w:pPr>
    </w:p>
    <w:p w14:paraId="4C42DAA1" w14:textId="77777777" w:rsidR="007F6282" w:rsidRPr="00111DC8" w:rsidRDefault="007F6282" w:rsidP="007C3A89">
      <w:pPr>
        <w:ind w:left="851"/>
        <w:rPr>
          <w:i/>
          <w:iCs/>
          <w:sz w:val="24"/>
          <w:szCs w:val="24"/>
        </w:rPr>
      </w:pPr>
      <w:r w:rsidRPr="00111DC8">
        <w:rPr>
          <w:i/>
          <w:iCs/>
          <w:sz w:val="24"/>
          <w:szCs w:val="24"/>
        </w:rPr>
        <w:t>Nedsat nyrefunktion</w:t>
      </w:r>
    </w:p>
    <w:p w14:paraId="3BCA268F" w14:textId="77777777" w:rsidR="007F6282" w:rsidRPr="00111DC8" w:rsidRDefault="007F6282" w:rsidP="007C3A89">
      <w:pPr>
        <w:ind w:left="851"/>
        <w:rPr>
          <w:sz w:val="24"/>
          <w:szCs w:val="24"/>
          <w:u w:val="single"/>
        </w:rPr>
      </w:pPr>
      <w:r w:rsidRPr="00111DC8">
        <w:rPr>
          <w:rFonts w:eastAsiaTheme="minorEastAsia"/>
          <w:sz w:val="24"/>
          <w:szCs w:val="24"/>
          <w:lang w:eastAsia="zh-CN"/>
        </w:rPr>
        <w:t>Doseringsjustering er ikke nødvendig hos patienter med nedsat nyrefunktion.</w:t>
      </w:r>
    </w:p>
    <w:p w14:paraId="55360E25" w14:textId="77777777" w:rsidR="007F6282" w:rsidRPr="00111DC8" w:rsidRDefault="007F6282" w:rsidP="007C3A89">
      <w:pPr>
        <w:ind w:left="851"/>
        <w:rPr>
          <w:sz w:val="24"/>
          <w:szCs w:val="24"/>
          <w:u w:val="single"/>
        </w:rPr>
      </w:pPr>
    </w:p>
    <w:p w14:paraId="15C98540" w14:textId="77777777" w:rsidR="007F6282" w:rsidRPr="00111DC8" w:rsidRDefault="007F6282" w:rsidP="007C3A89">
      <w:pPr>
        <w:ind w:left="851"/>
        <w:rPr>
          <w:sz w:val="24"/>
          <w:szCs w:val="24"/>
          <w:u w:val="single"/>
        </w:rPr>
      </w:pPr>
      <w:r w:rsidRPr="00111DC8">
        <w:rPr>
          <w:sz w:val="24"/>
          <w:szCs w:val="24"/>
          <w:u w:val="single"/>
        </w:rPr>
        <w:t>Administration</w:t>
      </w:r>
    </w:p>
    <w:p w14:paraId="6F0999A0" w14:textId="6A87D5B6" w:rsidR="007F6282" w:rsidRPr="00111DC8" w:rsidRDefault="007F6282" w:rsidP="007C3A89">
      <w:pPr>
        <w:ind w:left="851"/>
        <w:rPr>
          <w:rFonts w:eastAsiaTheme="minorEastAsia"/>
          <w:sz w:val="24"/>
          <w:szCs w:val="24"/>
          <w:lang w:eastAsia="zh-CN"/>
        </w:rPr>
      </w:pPr>
      <w:r w:rsidRPr="00111DC8">
        <w:rPr>
          <w:rFonts w:eastAsiaTheme="minorEastAsia"/>
          <w:sz w:val="24"/>
          <w:szCs w:val="24"/>
          <w:lang w:eastAsia="zh-CN"/>
        </w:rPr>
        <w:t xml:space="preserve">Icatibant </w:t>
      </w:r>
      <w:r w:rsidR="00BE362C">
        <w:rPr>
          <w:rFonts w:eastAsiaTheme="minorEastAsia"/>
          <w:sz w:val="24"/>
          <w:szCs w:val="24"/>
          <w:lang w:eastAsia="zh-CN"/>
        </w:rPr>
        <w:t>"Fresenius"</w:t>
      </w:r>
      <w:r w:rsidRPr="00111DC8">
        <w:rPr>
          <w:rFonts w:eastAsiaTheme="minorEastAsia"/>
          <w:sz w:val="24"/>
          <w:szCs w:val="24"/>
          <w:lang w:eastAsia="zh-CN"/>
        </w:rPr>
        <w:t xml:space="preserve"> er beregnet til subkutan administration, fortrinsvist i abdominal</w:t>
      </w:r>
      <w:r w:rsidR="00B40887">
        <w:rPr>
          <w:rFonts w:eastAsiaTheme="minorEastAsia"/>
          <w:sz w:val="24"/>
          <w:szCs w:val="24"/>
          <w:lang w:eastAsia="zh-CN"/>
        </w:rPr>
        <w:softHyphen/>
      </w:r>
      <w:r w:rsidRPr="00111DC8">
        <w:rPr>
          <w:rFonts w:eastAsiaTheme="minorEastAsia"/>
          <w:sz w:val="24"/>
          <w:szCs w:val="24"/>
          <w:lang w:eastAsia="zh-CN"/>
        </w:rPr>
        <w:t>området.</w:t>
      </w:r>
    </w:p>
    <w:p w14:paraId="5E5783DD" w14:textId="77777777" w:rsidR="007F6282" w:rsidRPr="00111DC8" w:rsidRDefault="007F6282" w:rsidP="007C3A89">
      <w:pPr>
        <w:ind w:left="851"/>
        <w:rPr>
          <w:rFonts w:eastAsiaTheme="minorEastAsia"/>
          <w:sz w:val="24"/>
          <w:szCs w:val="24"/>
          <w:lang w:eastAsia="zh-CN"/>
        </w:rPr>
      </w:pPr>
    </w:p>
    <w:p w14:paraId="5E6A8F1F" w14:textId="496AB8F4" w:rsidR="007F6282" w:rsidRPr="00111DC8" w:rsidRDefault="007F6282" w:rsidP="007C3A89">
      <w:pPr>
        <w:ind w:left="851"/>
        <w:rPr>
          <w:rFonts w:eastAsiaTheme="minorEastAsia"/>
          <w:sz w:val="24"/>
          <w:szCs w:val="24"/>
          <w:lang w:eastAsia="zh-CN"/>
        </w:rPr>
      </w:pPr>
      <w:r w:rsidRPr="00111DC8">
        <w:rPr>
          <w:rFonts w:eastAsiaTheme="minorEastAsia"/>
          <w:sz w:val="24"/>
          <w:szCs w:val="24"/>
          <w:lang w:eastAsia="zh-CN"/>
        </w:rPr>
        <w:t xml:space="preserve">Icatibant </w:t>
      </w:r>
      <w:r w:rsidR="00BE362C">
        <w:rPr>
          <w:rFonts w:eastAsiaTheme="minorEastAsia"/>
          <w:sz w:val="24"/>
          <w:szCs w:val="24"/>
          <w:lang w:eastAsia="zh-CN"/>
        </w:rPr>
        <w:t>"Fresenius"</w:t>
      </w:r>
      <w:r w:rsidRPr="00111DC8">
        <w:rPr>
          <w:rFonts w:eastAsiaTheme="minorEastAsia"/>
          <w:sz w:val="24"/>
          <w:szCs w:val="24"/>
          <w:lang w:eastAsia="zh-CN"/>
        </w:rPr>
        <w:t xml:space="preserve"> injektionsvæske skal injiceres langsomt på grund af den mængde, der skal indgives.</w:t>
      </w:r>
    </w:p>
    <w:p w14:paraId="3901904C" w14:textId="77777777" w:rsidR="007F6282" w:rsidRPr="00111DC8" w:rsidRDefault="007F6282" w:rsidP="007C3A89">
      <w:pPr>
        <w:ind w:left="851"/>
        <w:rPr>
          <w:rFonts w:eastAsiaTheme="minorEastAsia"/>
          <w:sz w:val="24"/>
          <w:szCs w:val="24"/>
          <w:lang w:eastAsia="zh-CN"/>
        </w:rPr>
      </w:pPr>
    </w:p>
    <w:p w14:paraId="0C098D01" w14:textId="0A76A315" w:rsidR="007F6282" w:rsidRPr="00111DC8" w:rsidRDefault="007F6282" w:rsidP="007C3A89">
      <w:pPr>
        <w:ind w:left="851"/>
        <w:rPr>
          <w:rFonts w:eastAsiaTheme="minorEastAsia"/>
          <w:sz w:val="24"/>
          <w:szCs w:val="24"/>
          <w:lang w:eastAsia="zh-CN"/>
        </w:rPr>
      </w:pPr>
      <w:r w:rsidRPr="00111DC8">
        <w:rPr>
          <w:rFonts w:eastAsiaTheme="minorEastAsia"/>
          <w:sz w:val="24"/>
          <w:szCs w:val="24"/>
          <w:lang w:eastAsia="zh-CN"/>
        </w:rPr>
        <w:t xml:space="preserve">Hver Icatibant </w:t>
      </w:r>
      <w:r w:rsidR="00BE362C">
        <w:rPr>
          <w:rFonts w:eastAsiaTheme="minorEastAsia"/>
          <w:sz w:val="24"/>
          <w:szCs w:val="24"/>
          <w:lang w:eastAsia="zh-CN"/>
        </w:rPr>
        <w:t>"Fresenius"</w:t>
      </w:r>
      <w:r w:rsidRPr="00111DC8">
        <w:rPr>
          <w:rFonts w:eastAsiaTheme="minorEastAsia"/>
          <w:sz w:val="24"/>
          <w:szCs w:val="24"/>
          <w:lang w:eastAsia="zh-CN"/>
        </w:rPr>
        <w:t xml:space="preserve"> injektionssprøjte er kun beregnet til engangsbrug.</w:t>
      </w:r>
    </w:p>
    <w:p w14:paraId="65730739" w14:textId="77777777" w:rsidR="007F6282" w:rsidRPr="00111DC8" w:rsidRDefault="007F6282" w:rsidP="007C3A89">
      <w:pPr>
        <w:ind w:left="851"/>
        <w:rPr>
          <w:rFonts w:eastAsiaTheme="minorEastAsia"/>
          <w:sz w:val="24"/>
          <w:szCs w:val="24"/>
          <w:lang w:eastAsia="zh-CN"/>
        </w:rPr>
      </w:pPr>
    </w:p>
    <w:p w14:paraId="08E907D4" w14:textId="77777777" w:rsidR="007F6282" w:rsidRPr="00111DC8" w:rsidRDefault="007F6282" w:rsidP="007C3A89">
      <w:pPr>
        <w:ind w:left="851"/>
        <w:rPr>
          <w:noProof/>
          <w:sz w:val="24"/>
          <w:szCs w:val="24"/>
        </w:rPr>
      </w:pPr>
      <w:r w:rsidRPr="00111DC8">
        <w:rPr>
          <w:rFonts w:eastAsiaTheme="minorEastAsia"/>
          <w:sz w:val="24"/>
          <w:szCs w:val="24"/>
          <w:lang w:eastAsia="zh-CN"/>
        </w:rPr>
        <w:t>Se brugervejledningen i indlægssedlen.</w:t>
      </w:r>
    </w:p>
    <w:p w14:paraId="6EDDF5A1" w14:textId="77777777" w:rsidR="007F6282" w:rsidRPr="00111DC8" w:rsidRDefault="007F6282" w:rsidP="007C3A89">
      <w:pPr>
        <w:ind w:left="851"/>
        <w:rPr>
          <w:iCs/>
          <w:noProof/>
          <w:sz w:val="24"/>
          <w:szCs w:val="24"/>
        </w:rPr>
      </w:pPr>
    </w:p>
    <w:p w14:paraId="5425025F" w14:textId="77777777" w:rsidR="007F6282" w:rsidRPr="00111DC8" w:rsidRDefault="007F6282" w:rsidP="007C3A89">
      <w:pPr>
        <w:ind w:left="851"/>
        <w:rPr>
          <w:rFonts w:eastAsiaTheme="minorEastAsia"/>
          <w:i/>
          <w:iCs/>
          <w:sz w:val="24"/>
          <w:szCs w:val="24"/>
          <w:lang w:eastAsia="zh-CN"/>
        </w:rPr>
      </w:pPr>
      <w:r w:rsidRPr="00111DC8">
        <w:rPr>
          <w:rFonts w:eastAsiaTheme="minorEastAsia"/>
          <w:i/>
          <w:iCs/>
          <w:sz w:val="24"/>
          <w:szCs w:val="24"/>
          <w:lang w:eastAsia="zh-CN"/>
        </w:rPr>
        <w:t>Administration ved en omsorgsperson eller selvmedicinering</w:t>
      </w:r>
    </w:p>
    <w:p w14:paraId="2AD8CB1B" w14:textId="32860480" w:rsidR="007F6282" w:rsidRPr="00111DC8" w:rsidRDefault="007F6282" w:rsidP="007C3A89">
      <w:pPr>
        <w:ind w:left="851"/>
        <w:rPr>
          <w:rFonts w:eastAsiaTheme="minorEastAsia"/>
          <w:sz w:val="24"/>
          <w:szCs w:val="24"/>
          <w:lang w:eastAsia="zh-CN"/>
        </w:rPr>
      </w:pPr>
      <w:r w:rsidRPr="00111DC8">
        <w:rPr>
          <w:rFonts w:eastAsiaTheme="minorEastAsia"/>
          <w:sz w:val="24"/>
          <w:szCs w:val="24"/>
          <w:lang w:eastAsia="zh-CN"/>
        </w:rPr>
        <w:t xml:space="preserve">Beslutningen om at lade en omsorgsperson eller patienten selv administrere Icatibant </w:t>
      </w:r>
      <w:r w:rsidR="00BE362C">
        <w:rPr>
          <w:rFonts w:eastAsiaTheme="minorEastAsia"/>
          <w:sz w:val="24"/>
          <w:szCs w:val="24"/>
          <w:lang w:eastAsia="zh-CN"/>
        </w:rPr>
        <w:t>"Fresenius"</w:t>
      </w:r>
      <w:r w:rsidRPr="00111DC8">
        <w:rPr>
          <w:rFonts w:eastAsiaTheme="minorEastAsia"/>
          <w:sz w:val="24"/>
          <w:szCs w:val="24"/>
          <w:lang w:eastAsia="zh-CN"/>
        </w:rPr>
        <w:t xml:space="preserve"> bør kun træffes af en læge, der har erfaring med diagnosticering og behandling af arvelige angioødemer (se pkt. 4.4).</w:t>
      </w:r>
    </w:p>
    <w:p w14:paraId="2F6FBA59" w14:textId="77777777" w:rsidR="007F6282" w:rsidRPr="00111DC8" w:rsidRDefault="007F6282" w:rsidP="007C3A89">
      <w:pPr>
        <w:ind w:left="851"/>
        <w:rPr>
          <w:rFonts w:eastAsiaTheme="minorEastAsia"/>
          <w:i/>
          <w:iCs/>
          <w:sz w:val="24"/>
          <w:szCs w:val="24"/>
          <w:lang w:eastAsia="zh-CN"/>
        </w:rPr>
      </w:pPr>
    </w:p>
    <w:p w14:paraId="6C4CA4DF" w14:textId="77777777" w:rsidR="007F6282" w:rsidRPr="00111DC8" w:rsidRDefault="007F6282" w:rsidP="007C3A89">
      <w:pPr>
        <w:ind w:left="851"/>
        <w:rPr>
          <w:rFonts w:eastAsiaTheme="minorEastAsia"/>
          <w:i/>
          <w:iCs/>
          <w:sz w:val="24"/>
          <w:szCs w:val="24"/>
          <w:lang w:eastAsia="zh-CN"/>
        </w:rPr>
      </w:pPr>
      <w:r w:rsidRPr="00111DC8">
        <w:rPr>
          <w:rFonts w:eastAsiaTheme="minorEastAsia"/>
          <w:i/>
          <w:iCs/>
          <w:sz w:val="24"/>
          <w:szCs w:val="24"/>
          <w:lang w:eastAsia="zh-CN"/>
        </w:rPr>
        <w:t>Voksne</w:t>
      </w:r>
    </w:p>
    <w:p w14:paraId="535DF639" w14:textId="4FBAE009" w:rsidR="007F6282" w:rsidRPr="00111DC8" w:rsidRDefault="007F6282" w:rsidP="007C3A89">
      <w:pPr>
        <w:ind w:left="851"/>
        <w:rPr>
          <w:i/>
          <w:noProof/>
          <w:sz w:val="24"/>
          <w:szCs w:val="24"/>
        </w:rPr>
      </w:pPr>
      <w:r w:rsidRPr="00111DC8">
        <w:rPr>
          <w:rFonts w:eastAsiaTheme="minorEastAsia"/>
          <w:sz w:val="24"/>
          <w:szCs w:val="24"/>
          <w:lang w:eastAsia="zh-CN"/>
        </w:rPr>
        <w:t xml:space="preserve">Kun efter oplæring i subkutan injektionsteknik af sundhedspersonale kan patienten enten selv tage Icatibant </w:t>
      </w:r>
      <w:r w:rsidR="00BE362C">
        <w:rPr>
          <w:rFonts w:eastAsiaTheme="minorEastAsia"/>
          <w:sz w:val="24"/>
          <w:szCs w:val="24"/>
          <w:lang w:eastAsia="zh-CN"/>
        </w:rPr>
        <w:t>"Fresenius"</w:t>
      </w:r>
      <w:r w:rsidRPr="00111DC8">
        <w:rPr>
          <w:rFonts w:eastAsiaTheme="minorEastAsia"/>
          <w:sz w:val="24"/>
          <w:szCs w:val="24"/>
          <w:lang w:eastAsia="zh-CN"/>
        </w:rPr>
        <w:t xml:space="preserve"> eller få det indgivet af en omsorgsperson.</w:t>
      </w:r>
    </w:p>
    <w:p w14:paraId="56BBC23F" w14:textId="77777777" w:rsidR="007F6282" w:rsidRPr="00111DC8" w:rsidRDefault="007F6282" w:rsidP="007C3A89">
      <w:pPr>
        <w:ind w:left="851"/>
        <w:rPr>
          <w:i/>
          <w:noProof/>
          <w:sz w:val="24"/>
          <w:szCs w:val="24"/>
        </w:rPr>
      </w:pPr>
    </w:p>
    <w:p w14:paraId="7C17C70C" w14:textId="77777777" w:rsidR="007F6282" w:rsidRPr="00111DC8" w:rsidRDefault="007F6282" w:rsidP="007C3A89">
      <w:pPr>
        <w:ind w:left="851"/>
        <w:rPr>
          <w:rFonts w:eastAsiaTheme="minorEastAsia"/>
          <w:i/>
          <w:iCs/>
          <w:sz w:val="24"/>
          <w:szCs w:val="24"/>
          <w:lang w:eastAsia="zh-CN"/>
        </w:rPr>
      </w:pPr>
      <w:r w:rsidRPr="00111DC8">
        <w:rPr>
          <w:rFonts w:eastAsiaTheme="minorEastAsia"/>
          <w:i/>
          <w:iCs/>
          <w:sz w:val="24"/>
          <w:szCs w:val="24"/>
          <w:lang w:eastAsia="zh-CN"/>
        </w:rPr>
        <w:t>Børn og unge i alderen 2-17 år</w:t>
      </w:r>
    </w:p>
    <w:p w14:paraId="373C013C" w14:textId="3BBD2CA8" w:rsidR="007F6282" w:rsidRPr="00111DC8" w:rsidRDefault="007F6282" w:rsidP="007C3A89">
      <w:pPr>
        <w:ind w:left="851"/>
        <w:rPr>
          <w:i/>
          <w:noProof/>
          <w:sz w:val="24"/>
          <w:szCs w:val="24"/>
        </w:rPr>
      </w:pPr>
      <w:r w:rsidRPr="00111DC8">
        <w:rPr>
          <w:rFonts w:eastAsiaTheme="minorEastAsia"/>
          <w:sz w:val="24"/>
          <w:szCs w:val="24"/>
          <w:lang w:eastAsia="zh-CN"/>
        </w:rPr>
        <w:t xml:space="preserve">Icatibant </w:t>
      </w:r>
      <w:r w:rsidR="00BE362C">
        <w:rPr>
          <w:rFonts w:eastAsiaTheme="minorEastAsia"/>
          <w:sz w:val="24"/>
          <w:szCs w:val="24"/>
          <w:lang w:eastAsia="zh-CN"/>
        </w:rPr>
        <w:t>"Fresenius"</w:t>
      </w:r>
      <w:r w:rsidRPr="00111DC8">
        <w:rPr>
          <w:rFonts w:eastAsiaTheme="minorEastAsia"/>
          <w:sz w:val="24"/>
          <w:szCs w:val="24"/>
          <w:lang w:eastAsia="zh-CN"/>
        </w:rPr>
        <w:t xml:space="preserve"> må kun administreres af omsorgspersoner, efter at de er blevet oplært i subkutan injektionsteknik af sundhedspersonale. </w:t>
      </w:r>
    </w:p>
    <w:p w14:paraId="69EBF793" w14:textId="77777777" w:rsidR="009260DE" w:rsidRPr="00111DC8" w:rsidRDefault="009260DE" w:rsidP="009260DE">
      <w:pPr>
        <w:tabs>
          <w:tab w:val="left" w:pos="851"/>
        </w:tabs>
        <w:ind w:left="851"/>
        <w:rPr>
          <w:sz w:val="24"/>
          <w:szCs w:val="24"/>
        </w:rPr>
      </w:pPr>
    </w:p>
    <w:p w14:paraId="1C85BB44" w14:textId="77777777" w:rsidR="009260DE" w:rsidRPr="00111DC8" w:rsidRDefault="009260DE" w:rsidP="009260DE">
      <w:pPr>
        <w:tabs>
          <w:tab w:val="left" w:pos="851"/>
        </w:tabs>
        <w:ind w:left="851" w:hanging="851"/>
        <w:rPr>
          <w:b/>
          <w:sz w:val="24"/>
          <w:szCs w:val="24"/>
        </w:rPr>
      </w:pPr>
      <w:r w:rsidRPr="00111DC8">
        <w:rPr>
          <w:b/>
          <w:sz w:val="24"/>
          <w:szCs w:val="24"/>
        </w:rPr>
        <w:t>4.3</w:t>
      </w:r>
      <w:r w:rsidRPr="00111DC8">
        <w:rPr>
          <w:b/>
          <w:sz w:val="24"/>
          <w:szCs w:val="24"/>
        </w:rPr>
        <w:tab/>
        <w:t>Kontraindikationer</w:t>
      </w:r>
    </w:p>
    <w:p w14:paraId="74C27A90" w14:textId="77777777" w:rsidR="007F6282" w:rsidRPr="00111DC8" w:rsidRDefault="007F6282" w:rsidP="007C3A89">
      <w:pPr>
        <w:ind w:left="851"/>
        <w:rPr>
          <w:sz w:val="24"/>
          <w:szCs w:val="24"/>
        </w:rPr>
      </w:pPr>
      <w:r w:rsidRPr="00111DC8">
        <w:rPr>
          <w:sz w:val="24"/>
          <w:szCs w:val="24"/>
        </w:rPr>
        <w:t>Overfølsomhed over for det aktive stof eller over for et eller flere af hjælpestofferne anført i pkt. 6.1.</w:t>
      </w:r>
    </w:p>
    <w:p w14:paraId="7D373E49" w14:textId="77777777" w:rsidR="009260DE" w:rsidRPr="00111DC8" w:rsidRDefault="009260DE" w:rsidP="009260DE">
      <w:pPr>
        <w:tabs>
          <w:tab w:val="left" w:pos="851"/>
        </w:tabs>
        <w:ind w:left="851"/>
        <w:rPr>
          <w:sz w:val="24"/>
          <w:szCs w:val="24"/>
        </w:rPr>
      </w:pPr>
    </w:p>
    <w:p w14:paraId="4B5D6CC2" w14:textId="77777777" w:rsidR="009260DE" w:rsidRPr="00111DC8" w:rsidRDefault="009260DE" w:rsidP="009260DE">
      <w:pPr>
        <w:tabs>
          <w:tab w:val="left" w:pos="851"/>
        </w:tabs>
        <w:ind w:left="851" w:hanging="851"/>
        <w:rPr>
          <w:b/>
          <w:sz w:val="24"/>
          <w:szCs w:val="24"/>
        </w:rPr>
      </w:pPr>
      <w:r w:rsidRPr="00111DC8">
        <w:rPr>
          <w:b/>
          <w:sz w:val="24"/>
          <w:szCs w:val="24"/>
        </w:rPr>
        <w:t>4.4</w:t>
      </w:r>
      <w:r w:rsidRPr="00111DC8">
        <w:rPr>
          <w:b/>
          <w:sz w:val="24"/>
          <w:szCs w:val="24"/>
        </w:rPr>
        <w:tab/>
        <w:t>Særlige advarsler og forsigtighedsregler vedrørende brugen</w:t>
      </w:r>
    </w:p>
    <w:p w14:paraId="11BCD6C7" w14:textId="77777777" w:rsidR="00B40887" w:rsidRDefault="00B40887" w:rsidP="007C3A89">
      <w:pPr>
        <w:autoSpaceDE w:val="0"/>
        <w:autoSpaceDN w:val="0"/>
        <w:adjustRightInd w:val="0"/>
        <w:ind w:left="851"/>
        <w:rPr>
          <w:rFonts w:eastAsiaTheme="minorEastAsia"/>
          <w:sz w:val="24"/>
          <w:szCs w:val="24"/>
          <w:u w:val="single"/>
          <w:lang w:eastAsia="zh-CN"/>
        </w:rPr>
      </w:pPr>
    </w:p>
    <w:p w14:paraId="269C5CB5" w14:textId="3F49EAAD" w:rsidR="007F6282" w:rsidRPr="00111DC8" w:rsidRDefault="007F6282" w:rsidP="007C3A89">
      <w:pPr>
        <w:autoSpaceDE w:val="0"/>
        <w:autoSpaceDN w:val="0"/>
        <w:adjustRightInd w:val="0"/>
        <w:ind w:left="851"/>
        <w:rPr>
          <w:rFonts w:eastAsiaTheme="minorEastAsia"/>
          <w:sz w:val="24"/>
          <w:szCs w:val="24"/>
          <w:u w:val="single"/>
          <w:lang w:eastAsia="zh-CN"/>
        </w:rPr>
      </w:pPr>
      <w:r w:rsidRPr="00111DC8">
        <w:rPr>
          <w:rFonts w:eastAsiaTheme="minorEastAsia"/>
          <w:sz w:val="24"/>
          <w:szCs w:val="24"/>
          <w:u w:val="single"/>
          <w:lang w:eastAsia="zh-CN"/>
        </w:rPr>
        <w:t>Laryngeale anfald</w:t>
      </w:r>
    </w:p>
    <w:p w14:paraId="579D5B2D" w14:textId="77777777" w:rsidR="007F6282" w:rsidRPr="00111DC8" w:rsidRDefault="007F6282" w:rsidP="007C3A89">
      <w:pPr>
        <w:autoSpaceDE w:val="0"/>
        <w:autoSpaceDN w:val="0"/>
        <w:adjustRightInd w:val="0"/>
        <w:ind w:left="851"/>
        <w:rPr>
          <w:rFonts w:eastAsiaTheme="minorEastAsia"/>
          <w:sz w:val="24"/>
          <w:szCs w:val="24"/>
          <w:lang w:eastAsia="zh-CN"/>
        </w:rPr>
      </w:pPr>
      <w:r w:rsidRPr="00111DC8">
        <w:rPr>
          <w:rFonts w:eastAsiaTheme="minorEastAsia"/>
          <w:sz w:val="24"/>
          <w:szCs w:val="24"/>
          <w:lang w:eastAsia="zh-CN"/>
        </w:rPr>
        <w:t>Patienter med laryngeale anfald skal efter injektionen behandles på hospital, indtil en læge finder det forsvarligt at udskrive dem.</w:t>
      </w:r>
    </w:p>
    <w:p w14:paraId="4ABFBBDE" w14:textId="77777777" w:rsidR="007F6282" w:rsidRPr="00111DC8" w:rsidRDefault="007F6282" w:rsidP="007C3A89">
      <w:pPr>
        <w:autoSpaceDE w:val="0"/>
        <w:autoSpaceDN w:val="0"/>
        <w:adjustRightInd w:val="0"/>
        <w:ind w:left="851"/>
        <w:rPr>
          <w:rFonts w:eastAsiaTheme="minorEastAsia"/>
          <w:sz w:val="24"/>
          <w:szCs w:val="24"/>
          <w:lang w:eastAsia="zh-CN"/>
        </w:rPr>
      </w:pPr>
    </w:p>
    <w:p w14:paraId="38970A6B" w14:textId="77777777" w:rsidR="007F6282" w:rsidRPr="00111DC8" w:rsidRDefault="007F6282" w:rsidP="007C3A89">
      <w:pPr>
        <w:autoSpaceDE w:val="0"/>
        <w:autoSpaceDN w:val="0"/>
        <w:adjustRightInd w:val="0"/>
        <w:ind w:left="851"/>
        <w:rPr>
          <w:rFonts w:eastAsiaTheme="minorEastAsia"/>
          <w:sz w:val="24"/>
          <w:szCs w:val="24"/>
          <w:u w:val="single"/>
          <w:lang w:eastAsia="zh-CN"/>
        </w:rPr>
      </w:pPr>
      <w:r w:rsidRPr="00111DC8">
        <w:rPr>
          <w:rFonts w:eastAsiaTheme="minorEastAsia"/>
          <w:sz w:val="24"/>
          <w:szCs w:val="24"/>
          <w:u w:val="single"/>
          <w:lang w:eastAsia="zh-CN"/>
        </w:rPr>
        <w:t>Iskæmisk hjertesygdom</w:t>
      </w:r>
    </w:p>
    <w:p w14:paraId="15776B63" w14:textId="7EFA984E" w:rsidR="007F6282" w:rsidRPr="00111DC8" w:rsidRDefault="007F6282" w:rsidP="007C3A89">
      <w:pPr>
        <w:autoSpaceDE w:val="0"/>
        <w:autoSpaceDN w:val="0"/>
        <w:adjustRightInd w:val="0"/>
        <w:ind w:left="851"/>
        <w:rPr>
          <w:rFonts w:eastAsiaTheme="minorEastAsia"/>
          <w:sz w:val="24"/>
          <w:szCs w:val="24"/>
          <w:lang w:eastAsia="zh-CN"/>
        </w:rPr>
      </w:pPr>
      <w:r w:rsidRPr="00111DC8">
        <w:rPr>
          <w:rFonts w:eastAsiaTheme="minorEastAsia"/>
          <w:sz w:val="24"/>
          <w:szCs w:val="24"/>
          <w:lang w:eastAsia="zh-CN"/>
        </w:rPr>
        <w:t xml:space="preserve">Under iskæmiske betingelser kan der teoretisk set forekomme en forværring af hjertefunktionen og nedsat koronarflow på grund af antagonismen fra bradykinin-receptortype 2. Der skal derfor udvises forsigtighed, når der indgives Icatibant </w:t>
      </w:r>
      <w:r w:rsidR="00BE362C">
        <w:rPr>
          <w:rFonts w:eastAsiaTheme="minorEastAsia"/>
          <w:sz w:val="24"/>
          <w:szCs w:val="24"/>
          <w:lang w:eastAsia="zh-CN"/>
        </w:rPr>
        <w:t>"Fresenius"</w:t>
      </w:r>
      <w:r w:rsidRPr="00111DC8">
        <w:rPr>
          <w:rFonts w:eastAsiaTheme="minorEastAsia"/>
          <w:sz w:val="24"/>
          <w:szCs w:val="24"/>
          <w:lang w:eastAsia="zh-CN"/>
        </w:rPr>
        <w:t xml:space="preserve"> til patienter med akut iskæmisk hjertesygdom eller med ustabil angina pectoris (se </w:t>
      </w:r>
      <w:r w:rsidR="00B40887">
        <w:rPr>
          <w:rFonts w:eastAsiaTheme="minorEastAsia"/>
          <w:sz w:val="24"/>
          <w:szCs w:val="24"/>
          <w:lang w:eastAsia="zh-CN"/>
        </w:rPr>
        <w:t>pkt.</w:t>
      </w:r>
      <w:r w:rsidRPr="00111DC8">
        <w:rPr>
          <w:rFonts w:eastAsiaTheme="minorEastAsia"/>
          <w:sz w:val="24"/>
          <w:szCs w:val="24"/>
          <w:lang w:eastAsia="zh-CN"/>
        </w:rPr>
        <w:t xml:space="preserve"> 5.3).</w:t>
      </w:r>
    </w:p>
    <w:p w14:paraId="215F7781" w14:textId="77777777" w:rsidR="007F6282" w:rsidRPr="00111DC8" w:rsidRDefault="007F6282" w:rsidP="007C3A89">
      <w:pPr>
        <w:autoSpaceDE w:val="0"/>
        <w:autoSpaceDN w:val="0"/>
        <w:adjustRightInd w:val="0"/>
        <w:ind w:left="851"/>
        <w:rPr>
          <w:rFonts w:eastAsiaTheme="minorEastAsia"/>
          <w:sz w:val="24"/>
          <w:szCs w:val="24"/>
          <w:lang w:eastAsia="zh-CN"/>
        </w:rPr>
      </w:pPr>
    </w:p>
    <w:p w14:paraId="66784EBA" w14:textId="77777777" w:rsidR="007F6282" w:rsidRPr="00111DC8" w:rsidRDefault="007F6282" w:rsidP="007C3A89">
      <w:pPr>
        <w:autoSpaceDE w:val="0"/>
        <w:autoSpaceDN w:val="0"/>
        <w:adjustRightInd w:val="0"/>
        <w:ind w:left="851"/>
        <w:rPr>
          <w:rFonts w:eastAsiaTheme="minorEastAsia"/>
          <w:sz w:val="24"/>
          <w:szCs w:val="24"/>
          <w:u w:val="single"/>
          <w:lang w:eastAsia="zh-CN"/>
        </w:rPr>
      </w:pPr>
      <w:r w:rsidRPr="00111DC8">
        <w:rPr>
          <w:rFonts w:eastAsiaTheme="minorEastAsia"/>
          <w:sz w:val="24"/>
          <w:szCs w:val="24"/>
          <w:u w:val="single"/>
          <w:lang w:eastAsia="zh-CN"/>
        </w:rPr>
        <w:t>Apopleksi</w:t>
      </w:r>
    </w:p>
    <w:p w14:paraId="7EB0868F" w14:textId="18D99F13" w:rsidR="007F6282" w:rsidRPr="00111DC8" w:rsidRDefault="007F6282" w:rsidP="007C3A89">
      <w:pPr>
        <w:autoSpaceDE w:val="0"/>
        <w:autoSpaceDN w:val="0"/>
        <w:adjustRightInd w:val="0"/>
        <w:ind w:left="851"/>
        <w:rPr>
          <w:rFonts w:eastAsiaTheme="minorEastAsia"/>
          <w:sz w:val="24"/>
          <w:szCs w:val="24"/>
          <w:lang w:eastAsia="zh-CN"/>
        </w:rPr>
      </w:pPr>
      <w:r w:rsidRPr="00111DC8">
        <w:rPr>
          <w:rFonts w:eastAsiaTheme="minorEastAsia"/>
          <w:sz w:val="24"/>
          <w:szCs w:val="24"/>
          <w:lang w:eastAsia="zh-CN"/>
        </w:rPr>
        <w:t>Selvom der findes beviser, der tyder på, at en B2-receptorblokade umiddelbart efter et</w:t>
      </w:r>
      <w:r w:rsidR="00111DC8">
        <w:rPr>
          <w:rFonts w:eastAsiaTheme="minorEastAsia"/>
          <w:sz w:val="24"/>
          <w:szCs w:val="24"/>
          <w:lang w:eastAsia="zh-CN"/>
        </w:rPr>
        <w:t xml:space="preserve"> </w:t>
      </w:r>
      <w:r w:rsidRPr="00111DC8">
        <w:rPr>
          <w:rFonts w:eastAsiaTheme="minorEastAsia"/>
          <w:sz w:val="24"/>
          <w:szCs w:val="24"/>
          <w:lang w:eastAsia="zh-CN"/>
        </w:rPr>
        <w:t>apopleksitilfælde har en gavnlig indflydelse, er der en teoretisk mulighed for, at icatibant i den sene fase kan svække bradykinins neuroprotektive virkning. Der skal derfor udvises forsigtighed, når der gives icatibant til patienter i ugerne efter et apopleksitilfælde.</w:t>
      </w:r>
    </w:p>
    <w:p w14:paraId="5527231E" w14:textId="77777777" w:rsidR="007F6282" w:rsidRPr="00111DC8" w:rsidRDefault="007F6282" w:rsidP="007C3A89">
      <w:pPr>
        <w:autoSpaceDE w:val="0"/>
        <w:autoSpaceDN w:val="0"/>
        <w:adjustRightInd w:val="0"/>
        <w:ind w:left="851"/>
        <w:rPr>
          <w:rFonts w:eastAsiaTheme="minorEastAsia"/>
          <w:sz w:val="24"/>
          <w:szCs w:val="24"/>
          <w:lang w:eastAsia="zh-CN"/>
        </w:rPr>
      </w:pPr>
    </w:p>
    <w:p w14:paraId="597B29D0" w14:textId="77777777" w:rsidR="007F6282" w:rsidRPr="00111DC8" w:rsidRDefault="007F6282" w:rsidP="007C3A89">
      <w:pPr>
        <w:autoSpaceDE w:val="0"/>
        <w:autoSpaceDN w:val="0"/>
        <w:adjustRightInd w:val="0"/>
        <w:ind w:left="851"/>
        <w:rPr>
          <w:rFonts w:eastAsiaTheme="minorEastAsia"/>
          <w:sz w:val="24"/>
          <w:szCs w:val="24"/>
          <w:u w:val="single"/>
          <w:lang w:eastAsia="zh-CN"/>
        </w:rPr>
      </w:pPr>
      <w:r w:rsidRPr="00111DC8">
        <w:rPr>
          <w:rFonts w:eastAsiaTheme="minorEastAsia"/>
          <w:sz w:val="24"/>
          <w:szCs w:val="24"/>
          <w:u w:val="single"/>
          <w:lang w:eastAsia="zh-CN"/>
        </w:rPr>
        <w:t>Administration ved en omsorgsperson eller selvmedicinering</w:t>
      </w:r>
    </w:p>
    <w:p w14:paraId="64FFEA53" w14:textId="77777777" w:rsidR="007F6282" w:rsidRPr="00111DC8" w:rsidRDefault="007F6282" w:rsidP="007C3A89">
      <w:pPr>
        <w:autoSpaceDE w:val="0"/>
        <w:autoSpaceDN w:val="0"/>
        <w:adjustRightInd w:val="0"/>
        <w:ind w:left="851"/>
        <w:rPr>
          <w:rFonts w:eastAsiaTheme="minorEastAsia"/>
          <w:sz w:val="24"/>
          <w:szCs w:val="24"/>
          <w:lang w:eastAsia="zh-CN"/>
        </w:rPr>
      </w:pPr>
      <w:r w:rsidRPr="00111DC8">
        <w:rPr>
          <w:rFonts w:eastAsiaTheme="minorEastAsia"/>
          <w:sz w:val="24"/>
          <w:szCs w:val="24"/>
          <w:lang w:eastAsia="zh-CN"/>
        </w:rPr>
        <w:t>Patienter, der ikke tidligere har fået icatibant, skal have første behandling indgivet på hospital eller under vejledning af en læge.</w:t>
      </w:r>
    </w:p>
    <w:p w14:paraId="48CD6338" w14:textId="77777777" w:rsidR="007F6282" w:rsidRPr="00111DC8" w:rsidRDefault="007F6282" w:rsidP="007C3A89">
      <w:pPr>
        <w:autoSpaceDE w:val="0"/>
        <w:autoSpaceDN w:val="0"/>
        <w:adjustRightInd w:val="0"/>
        <w:ind w:left="851"/>
        <w:rPr>
          <w:rFonts w:eastAsiaTheme="minorEastAsia"/>
          <w:sz w:val="24"/>
          <w:szCs w:val="24"/>
          <w:lang w:eastAsia="zh-CN"/>
        </w:rPr>
      </w:pPr>
    </w:p>
    <w:p w14:paraId="41E5F769" w14:textId="0EF7B4D3" w:rsidR="007F6282" w:rsidRPr="00111DC8" w:rsidRDefault="007F6282" w:rsidP="007C3A89">
      <w:pPr>
        <w:autoSpaceDE w:val="0"/>
        <w:autoSpaceDN w:val="0"/>
        <w:adjustRightInd w:val="0"/>
        <w:ind w:left="851"/>
        <w:rPr>
          <w:rFonts w:eastAsiaTheme="minorEastAsia"/>
          <w:sz w:val="24"/>
          <w:szCs w:val="24"/>
          <w:lang w:eastAsia="zh-CN"/>
        </w:rPr>
      </w:pPr>
      <w:r w:rsidRPr="00111DC8">
        <w:rPr>
          <w:rFonts w:eastAsiaTheme="minorEastAsia"/>
          <w:sz w:val="24"/>
          <w:szCs w:val="24"/>
          <w:lang w:eastAsia="zh-CN"/>
        </w:rPr>
        <w:t>I tilfælde af utilstrækkelig lindring eller recidiv af symptomer efter selvmedicinering eller</w:t>
      </w:r>
      <w:r w:rsidR="00111DC8">
        <w:rPr>
          <w:rFonts w:eastAsiaTheme="minorEastAsia"/>
          <w:sz w:val="24"/>
          <w:szCs w:val="24"/>
          <w:lang w:eastAsia="zh-CN"/>
        </w:rPr>
        <w:t xml:space="preserve"> </w:t>
      </w:r>
      <w:r w:rsidRPr="00111DC8">
        <w:rPr>
          <w:rFonts w:eastAsiaTheme="minorEastAsia"/>
          <w:sz w:val="24"/>
          <w:szCs w:val="24"/>
          <w:lang w:eastAsia="zh-CN"/>
        </w:rPr>
        <w:t>administration ved en omsorgsperson tilrådes det, at patienten eller omsorgspersonen søger læge. For så vidt angår voksne, bør yderligere doser, der er nødvendige til behandling af samme anfald, administreres i en lægepraksis eller på et hospital (se pkt. 4.2). Der foreligger ingen data om administration af flere doser til behandling af det samme anfald hos børn og unge.</w:t>
      </w:r>
    </w:p>
    <w:p w14:paraId="2E51466C" w14:textId="77777777" w:rsidR="007F6282" w:rsidRPr="00111DC8" w:rsidRDefault="007F6282" w:rsidP="007C3A89">
      <w:pPr>
        <w:autoSpaceDE w:val="0"/>
        <w:autoSpaceDN w:val="0"/>
        <w:adjustRightInd w:val="0"/>
        <w:ind w:left="851"/>
        <w:rPr>
          <w:rFonts w:eastAsiaTheme="minorEastAsia"/>
          <w:sz w:val="24"/>
          <w:szCs w:val="24"/>
          <w:lang w:eastAsia="zh-CN"/>
        </w:rPr>
      </w:pPr>
    </w:p>
    <w:p w14:paraId="7F075773" w14:textId="77777777" w:rsidR="007F6282" w:rsidRPr="00111DC8" w:rsidRDefault="007F6282" w:rsidP="007C3A89">
      <w:pPr>
        <w:autoSpaceDE w:val="0"/>
        <w:autoSpaceDN w:val="0"/>
        <w:adjustRightInd w:val="0"/>
        <w:ind w:left="851"/>
        <w:rPr>
          <w:rFonts w:eastAsiaTheme="minorEastAsia"/>
          <w:sz w:val="24"/>
          <w:szCs w:val="24"/>
          <w:lang w:eastAsia="zh-CN"/>
        </w:rPr>
      </w:pPr>
      <w:r w:rsidRPr="00111DC8">
        <w:rPr>
          <w:rFonts w:eastAsiaTheme="minorEastAsia"/>
          <w:sz w:val="24"/>
          <w:szCs w:val="24"/>
          <w:lang w:eastAsia="zh-CN"/>
        </w:rPr>
        <w:t>Patienter, der oplever et laryngealt anfald, skal altid søge læge og overvåges på hospital, også efter selvadministration af injektionen.</w:t>
      </w:r>
    </w:p>
    <w:p w14:paraId="57B2DC26" w14:textId="77777777" w:rsidR="007F6282" w:rsidRPr="00111DC8" w:rsidRDefault="007F6282" w:rsidP="007C3A89">
      <w:pPr>
        <w:autoSpaceDE w:val="0"/>
        <w:autoSpaceDN w:val="0"/>
        <w:adjustRightInd w:val="0"/>
        <w:ind w:left="851"/>
        <w:rPr>
          <w:rFonts w:eastAsiaTheme="minorEastAsia"/>
          <w:sz w:val="24"/>
          <w:szCs w:val="24"/>
          <w:lang w:eastAsia="zh-CN"/>
        </w:rPr>
      </w:pPr>
    </w:p>
    <w:p w14:paraId="03B483F0" w14:textId="77777777" w:rsidR="007F6282" w:rsidRPr="00111DC8" w:rsidRDefault="007F6282" w:rsidP="007C3A89">
      <w:pPr>
        <w:autoSpaceDE w:val="0"/>
        <w:autoSpaceDN w:val="0"/>
        <w:adjustRightInd w:val="0"/>
        <w:ind w:left="851"/>
        <w:rPr>
          <w:rFonts w:eastAsiaTheme="minorEastAsia"/>
          <w:sz w:val="24"/>
          <w:szCs w:val="24"/>
          <w:u w:val="single"/>
          <w:lang w:eastAsia="zh-CN"/>
        </w:rPr>
      </w:pPr>
      <w:r w:rsidRPr="00111DC8">
        <w:rPr>
          <w:rFonts w:eastAsiaTheme="minorEastAsia"/>
          <w:sz w:val="24"/>
          <w:szCs w:val="24"/>
          <w:u w:val="single"/>
          <w:lang w:eastAsia="zh-CN"/>
        </w:rPr>
        <w:t>Pædiatrisk population</w:t>
      </w:r>
    </w:p>
    <w:p w14:paraId="3F363167" w14:textId="77777777" w:rsidR="007F6282" w:rsidRPr="00111DC8" w:rsidRDefault="007F6282" w:rsidP="007C3A89">
      <w:pPr>
        <w:autoSpaceDE w:val="0"/>
        <w:autoSpaceDN w:val="0"/>
        <w:adjustRightInd w:val="0"/>
        <w:ind w:left="851"/>
        <w:rPr>
          <w:rFonts w:eastAsiaTheme="minorEastAsia"/>
          <w:sz w:val="24"/>
          <w:szCs w:val="24"/>
          <w:lang w:eastAsia="zh-CN"/>
        </w:rPr>
      </w:pPr>
      <w:r w:rsidRPr="00111DC8">
        <w:rPr>
          <w:rFonts w:eastAsiaTheme="minorEastAsia"/>
          <w:sz w:val="24"/>
          <w:szCs w:val="24"/>
          <w:lang w:eastAsia="zh-CN"/>
        </w:rPr>
        <w:t>Der er begrænset erfaring med behandling af mere end ét HAE-anfald med icatibant hos den pædiatriske population.</w:t>
      </w:r>
    </w:p>
    <w:p w14:paraId="1D12247F" w14:textId="77777777" w:rsidR="007F6282" w:rsidRPr="00111DC8" w:rsidRDefault="007F6282" w:rsidP="007C3A89">
      <w:pPr>
        <w:autoSpaceDE w:val="0"/>
        <w:autoSpaceDN w:val="0"/>
        <w:adjustRightInd w:val="0"/>
        <w:ind w:left="851"/>
        <w:rPr>
          <w:rFonts w:eastAsiaTheme="minorEastAsia"/>
          <w:sz w:val="24"/>
          <w:szCs w:val="24"/>
          <w:lang w:eastAsia="zh-CN"/>
        </w:rPr>
      </w:pPr>
    </w:p>
    <w:p w14:paraId="5C0EDB13" w14:textId="77777777" w:rsidR="007F6282" w:rsidRPr="00111DC8" w:rsidRDefault="007F6282" w:rsidP="007C3A89">
      <w:pPr>
        <w:autoSpaceDE w:val="0"/>
        <w:autoSpaceDN w:val="0"/>
        <w:adjustRightInd w:val="0"/>
        <w:ind w:left="851"/>
        <w:rPr>
          <w:rFonts w:eastAsiaTheme="minorEastAsia"/>
          <w:sz w:val="24"/>
          <w:szCs w:val="24"/>
          <w:lang w:eastAsia="zh-CN"/>
        </w:rPr>
      </w:pPr>
      <w:r w:rsidRPr="00111DC8">
        <w:rPr>
          <w:rFonts w:eastAsiaTheme="minorEastAsia"/>
          <w:sz w:val="24"/>
          <w:szCs w:val="24"/>
          <w:lang w:eastAsia="zh-CN"/>
        </w:rPr>
        <w:t>Dette lægemiddel indeholder mindre end 1 mmol (23 mg) natrium pr. dosis, dvs. det er i det væsentlige natriumfrit.</w:t>
      </w:r>
    </w:p>
    <w:p w14:paraId="69551569" w14:textId="77777777" w:rsidR="009260DE" w:rsidRPr="00111DC8" w:rsidRDefault="009260DE" w:rsidP="009260DE">
      <w:pPr>
        <w:tabs>
          <w:tab w:val="left" w:pos="851"/>
        </w:tabs>
        <w:ind w:left="851"/>
        <w:rPr>
          <w:sz w:val="24"/>
          <w:szCs w:val="24"/>
        </w:rPr>
      </w:pPr>
    </w:p>
    <w:p w14:paraId="00233E08" w14:textId="77777777" w:rsidR="009260DE" w:rsidRPr="00111DC8" w:rsidRDefault="009260DE" w:rsidP="009260DE">
      <w:pPr>
        <w:tabs>
          <w:tab w:val="left" w:pos="851"/>
        </w:tabs>
        <w:ind w:left="851" w:hanging="851"/>
        <w:rPr>
          <w:b/>
          <w:sz w:val="24"/>
          <w:szCs w:val="24"/>
        </w:rPr>
      </w:pPr>
      <w:r w:rsidRPr="00111DC8">
        <w:rPr>
          <w:b/>
          <w:sz w:val="24"/>
          <w:szCs w:val="24"/>
        </w:rPr>
        <w:t>4.5</w:t>
      </w:r>
      <w:r w:rsidRPr="00111DC8">
        <w:rPr>
          <w:b/>
          <w:sz w:val="24"/>
          <w:szCs w:val="24"/>
        </w:rPr>
        <w:tab/>
        <w:t>Interaktion med andre lægemidler og andre former for interaktion</w:t>
      </w:r>
    </w:p>
    <w:p w14:paraId="16C56B54" w14:textId="5C511FC1" w:rsidR="007F6282" w:rsidRPr="00111DC8" w:rsidRDefault="007F6282" w:rsidP="007C3A89">
      <w:pPr>
        <w:autoSpaceDE w:val="0"/>
        <w:autoSpaceDN w:val="0"/>
        <w:adjustRightInd w:val="0"/>
        <w:ind w:left="851"/>
        <w:rPr>
          <w:rFonts w:eastAsiaTheme="minorEastAsia"/>
          <w:sz w:val="24"/>
          <w:szCs w:val="24"/>
          <w:lang w:eastAsia="zh-CN"/>
        </w:rPr>
      </w:pPr>
      <w:r w:rsidRPr="00111DC8">
        <w:rPr>
          <w:rFonts w:eastAsiaTheme="minorEastAsia"/>
          <w:sz w:val="24"/>
          <w:szCs w:val="24"/>
          <w:lang w:eastAsia="zh-CN"/>
        </w:rPr>
        <w:t xml:space="preserve">Det forventes ikke, at der er farmakokinetiske lægemiddelinteraktioner, der involverer CYP450 (se </w:t>
      </w:r>
      <w:r w:rsidR="00B40887">
        <w:rPr>
          <w:rFonts w:eastAsiaTheme="minorEastAsia"/>
          <w:sz w:val="24"/>
          <w:szCs w:val="24"/>
          <w:lang w:eastAsia="zh-CN"/>
        </w:rPr>
        <w:t>pkt.</w:t>
      </w:r>
      <w:r w:rsidRPr="00111DC8">
        <w:rPr>
          <w:rFonts w:eastAsiaTheme="minorEastAsia"/>
          <w:sz w:val="24"/>
          <w:szCs w:val="24"/>
          <w:lang w:eastAsia="zh-CN"/>
        </w:rPr>
        <w:t xml:space="preserve"> 5.2).</w:t>
      </w:r>
    </w:p>
    <w:p w14:paraId="2EB33282" w14:textId="77777777" w:rsidR="007F6282" w:rsidRPr="00111DC8" w:rsidRDefault="007F6282" w:rsidP="007C3A89">
      <w:pPr>
        <w:autoSpaceDE w:val="0"/>
        <w:autoSpaceDN w:val="0"/>
        <w:adjustRightInd w:val="0"/>
        <w:ind w:left="851"/>
        <w:rPr>
          <w:rFonts w:eastAsiaTheme="minorEastAsia"/>
          <w:sz w:val="24"/>
          <w:szCs w:val="24"/>
          <w:lang w:eastAsia="zh-CN"/>
        </w:rPr>
      </w:pPr>
    </w:p>
    <w:p w14:paraId="2BA57986" w14:textId="77777777" w:rsidR="007F6282" w:rsidRPr="00111DC8" w:rsidRDefault="007F6282" w:rsidP="007C3A89">
      <w:pPr>
        <w:autoSpaceDE w:val="0"/>
        <w:autoSpaceDN w:val="0"/>
        <w:adjustRightInd w:val="0"/>
        <w:ind w:left="851"/>
        <w:rPr>
          <w:rFonts w:eastAsiaTheme="minorEastAsia"/>
          <w:sz w:val="24"/>
          <w:szCs w:val="24"/>
          <w:lang w:eastAsia="zh-CN"/>
        </w:rPr>
      </w:pPr>
      <w:r w:rsidRPr="00111DC8">
        <w:rPr>
          <w:rFonts w:eastAsiaTheme="minorEastAsia"/>
          <w:sz w:val="24"/>
          <w:szCs w:val="24"/>
          <w:lang w:eastAsia="zh-CN"/>
        </w:rPr>
        <w:t>Samtidig indgift af icatibant og angiotensinkonverterende enzymhæmmere (ACE) er ikke undersøgt. ACE-hæmmere er kontraindicerede til patienter med hereditært angioødem, da de kan øge niveauet af bradykinin.</w:t>
      </w:r>
    </w:p>
    <w:p w14:paraId="0633CA6C" w14:textId="77777777" w:rsidR="007F6282" w:rsidRPr="00111DC8" w:rsidRDefault="007F6282" w:rsidP="007C3A89">
      <w:pPr>
        <w:ind w:left="851"/>
        <w:rPr>
          <w:i/>
          <w:noProof/>
          <w:sz w:val="24"/>
          <w:szCs w:val="24"/>
        </w:rPr>
      </w:pPr>
    </w:p>
    <w:p w14:paraId="0BE94251" w14:textId="77777777" w:rsidR="007F6282" w:rsidRPr="00111DC8" w:rsidRDefault="007F6282" w:rsidP="007C3A89">
      <w:pPr>
        <w:ind w:left="851"/>
        <w:rPr>
          <w:noProof/>
          <w:sz w:val="24"/>
          <w:szCs w:val="24"/>
          <w:u w:val="single"/>
        </w:rPr>
      </w:pPr>
      <w:r w:rsidRPr="00111DC8">
        <w:rPr>
          <w:noProof/>
          <w:sz w:val="24"/>
          <w:szCs w:val="24"/>
          <w:u w:val="single"/>
        </w:rPr>
        <w:t>Pædiatrisk population</w:t>
      </w:r>
    </w:p>
    <w:p w14:paraId="70B2A145" w14:textId="77777777" w:rsidR="007F6282" w:rsidRPr="00111DC8" w:rsidRDefault="007F6282" w:rsidP="007C3A89">
      <w:pPr>
        <w:ind w:left="851"/>
        <w:rPr>
          <w:sz w:val="24"/>
          <w:szCs w:val="24"/>
        </w:rPr>
      </w:pPr>
      <w:r w:rsidRPr="00111DC8">
        <w:rPr>
          <w:noProof/>
          <w:sz w:val="24"/>
          <w:szCs w:val="24"/>
        </w:rPr>
        <w:t>Interaktionsstudier er kun udført hos voksne.</w:t>
      </w:r>
    </w:p>
    <w:p w14:paraId="60F1A675" w14:textId="77777777" w:rsidR="009260DE" w:rsidRPr="00111DC8" w:rsidRDefault="009260DE" w:rsidP="009260DE">
      <w:pPr>
        <w:tabs>
          <w:tab w:val="left" w:pos="851"/>
        </w:tabs>
        <w:ind w:left="851"/>
        <w:rPr>
          <w:sz w:val="24"/>
          <w:szCs w:val="24"/>
        </w:rPr>
      </w:pPr>
    </w:p>
    <w:p w14:paraId="318BAFF8" w14:textId="375169B5" w:rsidR="009260DE" w:rsidRPr="00111DC8" w:rsidRDefault="009260DE" w:rsidP="009260DE">
      <w:pPr>
        <w:tabs>
          <w:tab w:val="left" w:pos="851"/>
        </w:tabs>
        <w:ind w:left="851" w:hanging="851"/>
        <w:rPr>
          <w:b/>
          <w:sz w:val="24"/>
          <w:szCs w:val="24"/>
        </w:rPr>
      </w:pPr>
      <w:r w:rsidRPr="00111DC8">
        <w:rPr>
          <w:b/>
          <w:sz w:val="24"/>
          <w:szCs w:val="24"/>
        </w:rPr>
        <w:t>4.6</w:t>
      </w:r>
      <w:r w:rsidRPr="00111DC8">
        <w:rPr>
          <w:b/>
          <w:sz w:val="24"/>
          <w:szCs w:val="24"/>
        </w:rPr>
        <w:tab/>
      </w:r>
      <w:r w:rsidR="002A275D" w:rsidRPr="002A275D">
        <w:rPr>
          <w:b/>
          <w:sz w:val="24"/>
          <w:szCs w:val="24"/>
        </w:rPr>
        <w:t>Fertilitet</w:t>
      </w:r>
      <w:r w:rsidR="002A275D">
        <w:rPr>
          <w:b/>
          <w:sz w:val="24"/>
          <w:szCs w:val="24"/>
        </w:rPr>
        <w:t>, g</w:t>
      </w:r>
      <w:r w:rsidRPr="00111DC8">
        <w:rPr>
          <w:b/>
          <w:sz w:val="24"/>
          <w:szCs w:val="24"/>
        </w:rPr>
        <w:t>raviditet og amning</w:t>
      </w:r>
    </w:p>
    <w:p w14:paraId="5090223F" w14:textId="77777777" w:rsidR="00E21FBB" w:rsidRDefault="00E21FBB" w:rsidP="007C3A89">
      <w:pPr>
        <w:ind w:left="851"/>
        <w:rPr>
          <w:noProof/>
          <w:sz w:val="24"/>
          <w:szCs w:val="24"/>
          <w:u w:val="single"/>
        </w:rPr>
      </w:pPr>
    </w:p>
    <w:p w14:paraId="71940FDD" w14:textId="0C2A5F21" w:rsidR="007F6282" w:rsidRPr="00111DC8" w:rsidRDefault="007F6282" w:rsidP="007C3A89">
      <w:pPr>
        <w:ind w:left="851"/>
        <w:rPr>
          <w:noProof/>
          <w:sz w:val="24"/>
          <w:szCs w:val="24"/>
          <w:u w:val="single"/>
        </w:rPr>
      </w:pPr>
      <w:r w:rsidRPr="00111DC8">
        <w:rPr>
          <w:noProof/>
          <w:sz w:val="24"/>
          <w:szCs w:val="24"/>
          <w:u w:val="single"/>
        </w:rPr>
        <w:t>Graviditet</w:t>
      </w:r>
    </w:p>
    <w:p w14:paraId="58318619" w14:textId="77777777" w:rsidR="007F6282" w:rsidRPr="00111DC8" w:rsidRDefault="007F6282" w:rsidP="007C3A89">
      <w:pPr>
        <w:autoSpaceDE w:val="0"/>
        <w:autoSpaceDN w:val="0"/>
        <w:adjustRightInd w:val="0"/>
        <w:ind w:left="851"/>
        <w:rPr>
          <w:rFonts w:eastAsiaTheme="minorEastAsia"/>
          <w:sz w:val="24"/>
          <w:szCs w:val="24"/>
          <w:lang w:eastAsia="zh-CN"/>
        </w:rPr>
      </w:pPr>
      <w:r w:rsidRPr="00111DC8">
        <w:rPr>
          <w:rFonts w:eastAsiaTheme="minorEastAsia"/>
          <w:sz w:val="24"/>
          <w:szCs w:val="24"/>
          <w:lang w:eastAsia="zh-CN"/>
        </w:rPr>
        <w:t>Der foreligger ikke kliniske data om eksponering af icatibant under graviditet. Dyrestudier har vist påvirkning af implantation i uterus og fødsel (se pkt. 5.3), men den potentielle risiko for mennesker er ikke kendt.</w:t>
      </w:r>
    </w:p>
    <w:p w14:paraId="7EF24DD0" w14:textId="77777777" w:rsidR="007F6282" w:rsidRPr="00111DC8" w:rsidRDefault="007F6282" w:rsidP="007C3A89">
      <w:pPr>
        <w:autoSpaceDE w:val="0"/>
        <w:autoSpaceDN w:val="0"/>
        <w:adjustRightInd w:val="0"/>
        <w:ind w:left="851"/>
        <w:rPr>
          <w:rFonts w:eastAsiaTheme="minorEastAsia"/>
          <w:sz w:val="24"/>
          <w:szCs w:val="24"/>
          <w:lang w:eastAsia="zh-CN"/>
        </w:rPr>
      </w:pPr>
    </w:p>
    <w:p w14:paraId="30A01182" w14:textId="39BA0D50" w:rsidR="007F6282" w:rsidRPr="00111DC8" w:rsidRDefault="007F6282" w:rsidP="007C3A89">
      <w:pPr>
        <w:autoSpaceDE w:val="0"/>
        <w:autoSpaceDN w:val="0"/>
        <w:adjustRightInd w:val="0"/>
        <w:ind w:left="851"/>
        <w:rPr>
          <w:noProof/>
          <w:sz w:val="24"/>
          <w:szCs w:val="24"/>
          <w:u w:val="single"/>
        </w:rPr>
      </w:pPr>
      <w:r w:rsidRPr="00111DC8">
        <w:rPr>
          <w:rFonts w:eastAsiaTheme="minorEastAsia"/>
          <w:sz w:val="24"/>
          <w:szCs w:val="24"/>
          <w:lang w:eastAsia="zh-CN"/>
        </w:rPr>
        <w:t xml:space="preserve">Icatibant </w:t>
      </w:r>
      <w:r w:rsidR="00BE362C">
        <w:rPr>
          <w:rFonts w:eastAsiaTheme="minorEastAsia"/>
          <w:sz w:val="24"/>
          <w:szCs w:val="24"/>
          <w:lang w:eastAsia="zh-CN"/>
        </w:rPr>
        <w:t>"Fresenius"</w:t>
      </w:r>
      <w:r w:rsidRPr="00111DC8">
        <w:rPr>
          <w:rFonts w:eastAsiaTheme="minorEastAsia"/>
          <w:sz w:val="24"/>
          <w:szCs w:val="24"/>
          <w:lang w:eastAsia="zh-CN"/>
        </w:rPr>
        <w:t xml:space="preserve"> bør kun anvendes til gravide, hvis de potentielle gavnlige virkninger retfærdiggør den potentielle risiko for fostret (for eksempel til behandling af potentielt livstruende laryngeale anfald).</w:t>
      </w:r>
    </w:p>
    <w:p w14:paraId="07CC8644" w14:textId="77777777" w:rsidR="007F6282" w:rsidRPr="00111DC8" w:rsidRDefault="007F6282" w:rsidP="007C3A89">
      <w:pPr>
        <w:ind w:left="851"/>
        <w:rPr>
          <w:noProof/>
          <w:sz w:val="24"/>
          <w:szCs w:val="24"/>
          <w:u w:val="single"/>
        </w:rPr>
      </w:pPr>
    </w:p>
    <w:p w14:paraId="4C47909B" w14:textId="77777777" w:rsidR="007F6282" w:rsidRPr="00111DC8" w:rsidRDefault="007F6282" w:rsidP="007C3A89">
      <w:pPr>
        <w:ind w:left="851"/>
        <w:rPr>
          <w:noProof/>
          <w:sz w:val="24"/>
          <w:szCs w:val="24"/>
          <w:u w:val="single"/>
        </w:rPr>
      </w:pPr>
      <w:r w:rsidRPr="00111DC8">
        <w:rPr>
          <w:noProof/>
          <w:sz w:val="24"/>
          <w:szCs w:val="24"/>
          <w:u w:val="single"/>
        </w:rPr>
        <w:t>Amning</w:t>
      </w:r>
    </w:p>
    <w:p w14:paraId="70836319" w14:textId="77777777" w:rsidR="007F6282" w:rsidRPr="00111DC8" w:rsidRDefault="007F6282" w:rsidP="007C3A89">
      <w:pPr>
        <w:autoSpaceDE w:val="0"/>
        <w:autoSpaceDN w:val="0"/>
        <w:adjustRightInd w:val="0"/>
        <w:ind w:left="851"/>
        <w:rPr>
          <w:rFonts w:eastAsiaTheme="minorEastAsia"/>
          <w:sz w:val="24"/>
          <w:szCs w:val="24"/>
          <w:lang w:eastAsia="zh-CN"/>
        </w:rPr>
      </w:pPr>
      <w:r w:rsidRPr="00111DC8">
        <w:rPr>
          <w:rFonts w:eastAsiaTheme="minorEastAsia"/>
          <w:sz w:val="24"/>
          <w:szCs w:val="24"/>
          <w:lang w:eastAsia="zh-CN"/>
        </w:rPr>
        <w:t>Icatibant udskilles i mælken hos diegivende rotter i koncentrationer, der svarer til koncentrationen i moderens blod. Der er ikke observeret påvirkning af rotteungernes postnatale udvikling.</w:t>
      </w:r>
    </w:p>
    <w:p w14:paraId="7B7D9949" w14:textId="77777777" w:rsidR="007F6282" w:rsidRPr="00111DC8" w:rsidRDefault="007F6282" w:rsidP="007C3A89">
      <w:pPr>
        <w:autoSpaceDE w:val="0"/>
        <w:autoSpaceDN w:val="0"/>
        <w:adjustRightInd w:val="0"/>
        <w:ind w:left="851"/>
        <w:rPr>
          <w:rFonts w:eastAsiaTheme="minorEastAsia"/>
          <w:sz w:val="24"/>
          <w:szCs w:val="24"/>
          <w:lang w:eastAsia="zh-CN"/>
        </w:rPr>
      </w:pPr>
    </w:p>
    <w:p w14:paraId="1C6E723E" w14:textId="02D4B78B" w:rsidR="007F6282" w:rsidRPr="00111DC8" w:rsidRDefault="007F6282" w:rsidP="007C3A89">
      <w:pPr>
        <w:autoSpaceDE w:val="0"/>
        <w:autoSpaceDN w:val="0"/>
        <w:adjustRightInd w:val="0"/>
        <w:ind w:left="851"/>
        <w:rPr>
          <w:noProof/>
          <w:sz w:val="24"/>
          <w:szCs w:val="24"/>
          <w:u w:val="single"/>
        </w:rPr>
      </w:pPr>
      <w:r w:rsidRPr="00111DC8">
        <w:rPr>
          <w:rFonts w:eastAsiaTheme="minorEastAsia"/>
          <w:sz w:val="24"/>
          <w:szCs w:val="24"/>
          <w:lang w:eastAsia="zh-CN"/>
        </w:rPr>
        <w:t xml:space="preserve">Det er ukendt, om icatibant udskilles i human mælk, men det anbefales, at ammende kvinder, der tager Icatibant </w:t>
      </w:r>
      <w:r w:rsidR="00BE362C">
        <w:rPr>
          <w:rFonts w:eastAsiaTheme="minorEastAsia"/>
          <w:sz w:val="24"/>
          <w:szCs w:val="24"/>
          <w:lang w:eastAsia="zh-CN"/>
        </w:rPr>
        <w:t>"Fresenius"</w:t>
      </w:r>
      <w:r w:rsidRPr="00111DC8">
        <w:rPr>
          <w:rFonts w:eastAsiaTheme="minorEastAsia"/>
          <w:sz w:val="24"/>
          <w:szCs w:val="24"/>
          <w:lang w:eastAsia="zh-CN"/>
        </w:rPr>
        <w:t xml:space="preserve"> ikke ammer i 12 timer efter behandlingen.</w:t>
      </w:r>
    </w:p>
    <w:p w14:paraId="54217D94" w14:textId="77777777" w:rsidR="007F6282" w:rsidRPr="00111DC8" w:rsidRDefault="007F6282" w:rsidP="007C3A89">
      <w:pPr>
        <w:ind w:left="851"/>
        <w:rPr>
          <w:noProof/>
          <w:sz w:val="24"/>
          <w:szCs w:val="24"/>
          <w:u w:val="single"/>
        </w:rPr>
      </w:pPr>
    </w:p>
    <w:p w14:paraId="23DB746E" w14:textId="77777777" w:rsidR="007F6282" w:rsidRPr="00111DC8" w:rsidRDefault="007F6282" w:rsidP="007C3A89">
      <w:pPr>
        <w:ind w:left="851"/>
        <w:rPr>
          <w:noProof/>
          <w:sz w:val="24"/>
          <w:szCs w:val="24"/>
          <w:u w:val="single"/>
        </w:rPr>
      </w:pPr>
      <w:r w:rsidRPr="00111DC8">
        <w:rPr>
          <w:noProof/>
          <w:sz w:val="24"/>
          <w:szCs w:val="24"/>
          <w:u w:val="single"/>
        </w:rPr>
        <w:t>Fertilitet</w:t>
      </w:r>
    </w:p>
    <w:p w14:paraId="350E5563" w14:textId="447E99A3" w:rsidR="007F6282" w:rsidRPr="00111DC8" w:rsidRDefault="007F6282" w:rsidP="007C3A89">
      <w:pPr>
        <w:autoSpaceDE w:val="0"/>
        <w:autoSpaceDN w:val="0"/>
        <w:adjustRightInd w:val="0"/>
        <w:ind w:left="851"/>
        <w:rPr>
          <w:rFonts w:eastAsiaTheme="minorEastAsia"/>
          <w:sz w:val="24"/>
          <w:szCs w:val="24"/>
          <w:lang w:eastAsia="zh-CN"/>
        </w:rPr>
      </w:pPr>
      <w:r w:rsidRPr="00111DC8">
        <w:rPr>
          <w:rFonts w:eastAsiaTheme="minorEastAsia"/>
          <w:sz w:val="24"/>
          <w:szCs w:val="24"/>
          <w:lang w:eastAsia="zh-CN"/>
        </w:rPr>
        <w:t>Hos både rotter og hunde havde gentagen brug af icatibant indvirkning på reproduktions</w:t>
      </w:r>
      <w:r w:rsidR="00E21FBB">
        <w:rPr>
          <w:rFonts w:eastAsiaTheme="minorEastAsia"/>
          <w:sz w:val="24"/>
          <w:szCs w:val="24"/>
          <w:lang w:eastAsia="zh-CN"/>
        </w:rPr>
        <w:softHyphen/>
      </w:r>
      <w:r w:rsidRPr="00111DC8">
        <w:rPr>
          <w:rFonts w:eastAsiaTheme="minorEastAsia"/>
          <w:sz w:val="24"/>
          <w:szCs w:val="24"/>
          <w:lang w:eastAsia="zh-CN"/>
        </w:rPr>
        <w:t xml:space="preserve">organerne. Icatibant havde ingen indvirkning på fertiliteten hos hanmus og hanrotter (se pkt. 5.3). I et studie med 39 raske voksne mænd og kvinder, der blev behandlet med 30 mg 3 gange daglig (hver 6. time) hver 3. dag (i alt 9 doser), sås ingen klinisk signifikante ændringer i forhold til </w:t>
      </w:r>
      <w:r w:rsidRPr="00111DC8">
        <w:rPr>
          <w:rFonts w:eastAsiaTheme="minorEastAsia"/>
          <w:i/>
          <w:iCs/>
          <w:sz w:val="24"/>
          <w:szCs w:val="24"/>
          <w:lang w:eastAsia="zh-CN"/>
        </w:rPr>
        <w:t xml:space="preserve">baseline </w:t>
      </w:r>
      <w:r w:rsidRPr="00111DC8">
        <w:rPr>
          <w:rFonts w:eastAsiaTheme="minorEastAsia"/>
          <w:sz w:val="24"/>
          <w:szCs w:val="24"/>
          <w:lang w:eastAsia="zh-CN"/>
        </w:rPr>
        <w:t xml:space="preserve">i den basale og den GnRH-stimulerede koncentration af kønshormoner hos hverken kvinder eller mænd. </w:t>
      </w:r>
    </w:p>
    <w:p w14:paraId="01EE7E00" w14:textId="77777777" w:rsidR="007F6282" w:rsidRPr="00111DC8" w:rsidRDefault="007F6282" w:rsidP="007C3A89">
      <w:pPr>
        <w:autoSpaceDE w:val="0"/>
        <w:autoSpaceDN w:val="0"/>
        <w:adjustRightInd w:val="0"/>
        <w:ind w:left="851"/>
        <w:rPr>
          <w:rFonts w:eastAsiaTheme="minorEastAsia"/>
          <w:sz w:val="24"/>
          <w:szCs w:val="24"/>
          <w:lang w:eastAsia="zh-CN"/>
        </w:rPr>
      </w:pPr>
    </w:p>
    <w:p w14:paraId="356480F8" w14:textId="77777777" w:rsidR="007F6282" w:rsidRPr="00111DC8" w:rsidRDefault="007F6282" w:rsidP="007C3A89">
      <w:pPr>
        <w:autoSpaceDE w:val="0"/>
        <w:autoSpaceDN w:val="0"/>
        <w:adjustRightInd w:val="0"/>
        <w:ind w:left="851"/>
        <w:rPr>
          <w:sz w:val="24"/>
          <w:szCs w:val="24"/>
        </w:rPr>
      </w:pPr>
      <w:r w:rsidRPr="00111DC8">
        <w:rPr>
          <w:rFonts w:eastAsiaTheme="minorEastAsia"/>
          <w:sz w:val="24"/>
          <w:szCs w:val="24"/>
          <w:lang w:eastAsia="zh-CN"/>
        </w:rPr>
        <w:t>Der sås ingen signifikant virkning af icatibant på progesteronkoncentrationen i lutealfasen og på den luteale funktion eller på længden af kvindernes menstruationscyklus, og der sås ingen signifikant virkning af icatibant på sædcellernes antal, motilitet eller morfologi hos mænd. Det er usandsynligt, at det dosisregimen, der blev anvendt i dette studie, bibeholdes i klinisk praksis.</w:t>
      </w:r>
    </w:p>
    <w:p w14:paraId="7FFAE883" w14:textId="77777777" w:rsidR="009260DE" w:rsidRPr="00111DC8" w:rsidRDefault="009260DE" w:rsidP="009260DE">
      <w:pPr>
        <w:tabs>
          <w:tab w:val="left" w:pos="851"/>
        </w:tabs>
        <w:ind w:left="851"/>
        <w:rPr>
          <w:sz w:val="24"/>
          <w:szCs w:val="24"/>
        </w:rPr>
      </w:pPr>
    </w:p>
    <w:p w14:paraId="57B6DC4E" w14:textId="2D00F64F" w:rsidR="009260DE" w:rsidRPr="00111DC8" w:rsidRDefault="009260DE" w:rsidP="009260DE">
      <w:pPr>
        <w:tabs>
          <w:tab w:val="left" w:pos="851"/>
        </w:tabs>
        <w:ind w:left="851" w:hanging="851"/>
        <w:rPr>
          <w:b/>
          <w:sz w:val="24"/>
          <w:szCs w:val="24"/>
        </w:rPr>
      </w:pPr>
      <w:r w:rsidRPr="00111DC8">
        <w:rPr>
          <w:b/>
          <w:sz w:val="24"/>
          <w:szCs w:val="24"/>
        </w:rPr>
        <w:t>4.7</w:t>
      </w:r>
      <w:r w:rsidRPr="00111DC8">
        <w:rPr>
          <w:b/>
          <w:sz w:val="24"/>
          <w:szCs w:val="24"/>
        </w:rPr>
        <w:tab/>
        <w:t xml:space="preserve">Virkning på evnen til at føre motorkøretøj </w:t>
      </w:r>
      <w:r w:rsidR="002A275D">
        <w:rPr>
          <w:b/>
          <w:sz w:val="24"/>
          <w:szCs w:val="24"/>
        </w:rPr>
        <w:t>og</w:t>
      </w:r>
      <w:r w:rsidRPr="00111DC8">
        <w:rPr>
          <w:b/>
          <w:sz w:val="24"/>
          <w:szCs w:val="24"/>
        </w:rPr>
        <w:t xml:space="preserve"> betjene maskiner</w:t>
      </w:r>
    </w:p>
    <w:p w14:paraId="7348A8C4" w14:textId="77777777" w:rsidR="00E21FBB" w:rsidRDefault="00E21FBB" w:rsidP="007C3A89">
      <w:pPr>
        <w:autoSpaceDE w:val="0"/>
        <w:autoSpaceDN w:val="0"/>
        <w:adjustRightInd w:val="0"/>
        <w:ind w:left="851"/>
        <w:rPr>
          <w:rFonts w:eastAsiaTheme="minorEastAsia"/>
          <w:sz w:val="24"/>
          <w:szCs w:val="24"/>
          <w:lang w:eastAsia="zh-CN"/>
        </w:rPr>
      </w:pPr>
      <w:r>
        <w:rPr>
          <w:rFonts w:eastAsiaTheme="minorEastAsia"/>
          <w:sz w:val="24"/>
          <w:szCs w:val="24"/>
          <w:lang w:eastAsia="zh-CN"/>
        </w:rPr>
        <w:t>Ikke mærkning.</w:t>
      </w:r>
    </w:p>
    <w:p w14:paraId="5BF853D8" w14:textId="51C0FA21" w:rsidR="007F6282" w:rsidRPr="00111DC8" w:rsidRDefault="007F6282" w:rsidP="007C3A89">
      <w:pPr>
        <w:autoSpaceDE w:val="0"/>
        <w:autoSpaceDN w:val="0"/>
        <w:adjustRightInd w:val="0"/>
        <w:ind w:left="851"/>
        <w:rPr>
          <w:sz w:val="24"/>
          <w:szCs w:val="24"/>
        </w:rPr>
      </w:pPr>
      <w:r w:rsidRPr="00111DC8">
        <w:rPr>
          <w:rFonts w:eastAsiaTheme="minorEastAsia"/>
          <w:sz w:val="24"/>
          <w:szCs w:val="24"/>
          <w:lang w:eastAsia="zh-CN"/>
        </w:rPr>
        <w:t>Icatibant påvirker i mindre grad evnen til at føre motorkøretøj og betjene maskiner. Der er observeret døsighed, træthed, søvnighed og svimmelhed efter brug af icatibant. Disse symptomer kan forekomme som et resultat af et HAE-anfald. Patienterne skal frarådes at føre motorkøretøj og betjene maskiner, hvis de føler sig trætte eller er svimmel.</w:t>
      </w:r>
    </w:p>
    <w:p w14:paraId="1B0267D0" w14:textId="77777777" w:rsidR="009260DE" w:rsidRPr="00111DC8" w:rsidRDefault="009260DE" w:rsidP="009260DE">
      <w:pPr>
        <w:tabs>
          <w:tab w:val="left" w:pos="851"/>
        </w:tabs>
        <w:ind w:left="851"/>
        <w:rPr>
          <w:sz w:val="24"/>
          <w:szCs w:val="24"/>
        </w:rPr>
      </w:pPr>
    </w:p>
    <w:p w14:paraId="465569F5" w14:textId="77777777" w:rsidR="009260DE" w:rsidRPr="00111DC8" w:rsidRDefault="009260DE" w:rsidP="009260DE">
      <w:pPr>
        <w:tabs>
          <w:tab w:val="left" w:pos="851"/>
        </w:tabs>
        <w:ind w:left="851" w:hanging="851"/>
        <w:rPr>
          <w:b/>
          <w:sz w:val="24"/>
          <w:szCs w:val="24"/>
        </w:rPr>
      </w:pPr>
      <w:r w:rsidRPr="00111DC8">
        <w:rPr>
          <w:b/>
          <w:sz w:val="24"/>
          <w:szCs w:val="24"/>
        </w:rPr>
        <w:t>4.8</w:t>
      </w:r>
      <w:r w:rsidRPr="00111DC8">
        <w:rPr>
          <w:b/>
          <w:sz w:val="24"/>
          <w:szCs w:val="24"/>
        </w:rPr>
        <w:tab/>
        <w:t>Bivirkninger</w:t>
      </w:r>
    </w:p>
    <w:p w14:paraId="3FB2605D" w14:textId="77777777" w:rsidR="00E21FBB" w:rsidRDefault="00E21FBB" w:rsidP="003C29A7">
      <w:pPr>
        <w:autoSpaceDE w:val="0"/>
        <w:autoSpaceDN w:val="0"/>
        <w:adjustRightInd w:val="0"/>
        <w:ind w:left="851"/>
        <w:rPr>
          <w:rFonts w:eastAsiaTheme="minorEastAsia"/>
          <w:sz w:val="24"/>
          <w:szCs w:val="24"/>
          <w:u w:val="single"/>
          <w:lang w:eastAsia="zh-CN"/>
        </w:rPr>
      </w:pPr>
    </w:p>
    <w:p w14:paraId="0C3621F7" w14:textId="457F4CCE" w:rsidR="009E6B88" w:rsidRPr="00111DC8" w:rsidRDefault="009E6B88" w:rsidP="003C29A7">
      <w:pPr>
        <w:autoSpaceDE w:val="0"/>
        <w:autoSpaceDN w:val="0"/>
        <w:adjustRightInd w:val="0"/>
        <w:ind w:left="851"/>
        <w:rPr>
          <w:rFonts w:eastAsiaTheme="minorEastAsia"/>
          <w:sz w:val="24"/>
          <w:szCs w:val="24"/>
          <w:u w:val="single"/>
          <w:lang w:eastAsia="zh-CN"/>
        </w:rPr>
      </w:pPr>
      <w:r w:rsidRPr="00111DC8">
        <w:rPr>
          <w:rFonts w:eastAsiaTheme="minorEastAsia"/>
          <w:sz w:val="24"/>
          <w:szCs w:val="24"/>
          <w:u w:val="single"/>
          <w:lang w:eastAsia="zh-CN"/>
        </w:rPr>
        <w:t>Resumé af sikkerhedsprofilen</w:t>
      </w:r>
    </w:p>
    <w:p w14:paraId="13C1B1BD" w14:textId="77777777" w:rsidR="009E6B88" w:rsidRPr="00111DC8" w:rsidRDefault="009E6B88" w:rsidP="003C29A7">
      <w:pPr>
        <w:autoSpaceDE w:val="0"/>
        <w:autoSpaceDN w:val="0"/>
        <w:adjustRightInd w:val="0"/>
        <w:ind w:left="851"/>
        <w:rPr>
          <w:rFonts w:eastAsiaTheme="minorEastAsia"/>
          <w:sz w:val="24"/>
          <w:szCs w:val="24"/>
          <w:lang w:eastAsia="zh-CN"/>
        </w:rPr>
      </w:pPr>
      <w:r w:rsidRPr="00111DC8">
        <w:rPr>
          <w:rFonts w:eastAsiaTheme="minorEastAsia"/>
          <w:sz w:val="24"/>
          <w:szCs w:val="24"/>
          <w:lang w:eastAsia="zh-CN"/>
        </w:rPr>
        <w:t>I kliniske studier udført i forbindelse med godkendelse af icatibant blev i alt 999 HAE-anfald behandlet med 30 mg icatibant administreret subkutant af sundhedspersonale. Icatibant 30 mg blev administreret subkutant af sundhedspersonale til 129 raske forsøgspersoner og 236 patienter med HAE.</w:t>
      </w:r>
    </w:p>
    <w:p w14:paraId="08CC4B32" w14:textId="77777777" w:rsidR="009E6B88" w:rsidRPr="00111DC8" w:rsidRDefault="009E6B88" w:rsidP="003C29A7">
      <w:pPr>
        <w:autoSpaceDE w:val="0"/>
        <w:autoSpaceDN w:val="0"/>
        <w:adjustRightInd w:val="0"/>
        <w:ind w:left="851"/>
        <w:rPr>
          <w:rFonts w:eastAsiaTheme="minorEastAsia"/>
          <w:sz w:val="24"/>
          <w:szCs w:val="24"/>
          <w:lang w:eastAsia="zh-CN"/>
        </w:rPr>
      </w:pPr>
    </w:p>
    <w:p w14:paraId="206D8519" w14:textId="77777777" w:rsidR="009E6B88" w:rsidRPr="00111DC8" w:rsidRDefault="009E6B88" w:rsidP="003C29A7">
      <w:pPr>
        <w:autoSpaceDE w:val="0"/>
        <w:autoSpaceDN w:val="0"/>
        <w:adjustRightInd w:val="0"/>
        <w:ind w:left="851"/>
        <w:rPr>
          <w:rFonts w:eastAsiaTheme="minorEastAsia"/>
          <w:sz w:val="24"/>
          <w:szCs w:val="24"/>
          <w:lang w:eastAsia="zh-CN"/>
        </w:rPr>
      </w:pPr>
      <w:r w:rsidRPr="00111DC8">
        <w:rPr>
          <w:rFonts w:eastAsiaTheme="minorEastAsia"/>
          <w:sz w:val="24"/>
          <w:szCs w:val="24"/>
          <w:lang w:eastAsia="zh-CN"/>
        </w:rPr>
        <w:t>Næsten alle patienter, der blev behandlet subkutant med icatibant i de kliniske studier, udviklede reaktioner på injektionsstedet (karakteriseret ved hudirritation, hævelse, smerter, kløe, rødme eller brændende fornemmelse). Disse reaktioner var som regel lette til moderate og forbigående og forsvandt uden yderligere intervention.</w:t>
      </w:r>
    </w:p>
    <w:p w14:paraId="2497D1F2" w14:textId="77777777" w:rsidR="009E6B88" w:rsidRPr="00111DC8" w:rsidRDefault="009E6B88" w:rsidP="003C29A7">
      <w:pPr>
        <w:autoSpaceDE w:val="0"/>
        <w:autoSpaceDN w:val="0"/>
        <w:adjustRightInd w:val="0"/>
        <w:ind w:left="851"/>
        <w:rPr>
          <w:rFonts w:eastAsiaTheme="minorEastAsia"/>
          <w:sz w:val="24"/>
          <w:szCs w:val="24"/>
          <w:lang w:eastAsia="zh-CN"/>
        </w:rPr>
      </w:pPr>
    </w:p>
    <w:p w14:paraId="6F5DFDCA" w14:textId="77777777" w:rsidR="009E6B88" w:rsidRPr="00111DC8" w:rsidRDefault="009E6B88" w:rsidP="003C29A7">
      <w:pPr>
        <w:autoSpaceDE w:val="0"/>
        <w:autoSpaceDN w:val="0"/>
        <w:adjustRightInd w:val="0"/>
        <w:ind w:left="851"/>
        <w:rPr>
          <w:rFonts w:eastAsiaTheme="minorEastAsia"/>
          <w:sz w:val="24"/>
          <w:szCs w:val="24"/>
          <w:u w:val="single"/>
          <w:lang w:eastAsia="zh-CN"/>
        </w:rPr>
      </w:pPr>
      <w:r w:rsidRPr="00111DC8">
        <w:rPr>
          <w:rFonts w:eastAsiaTheme="minorEastAsia"/>
          <w:sz w:val="24"/>
          <w:szCs w:val="24"/>
          <w:u w:val="single"/>
          <w:lang w:eastAsia="zh-CN"/>
        </w:rPr>
        <w:t>Liste over bivirkninger i tabelform</w:t>
      </w:r>
    </w:p>
    <w:p w14:paraId="03DE162A" w14:textId="77777777" w:rsidR="009E6B88" w:rsidRPr="00111DC8" w:rsidRDefault="009E6B88" w:rsidP="003C29A7">
      <w:pPr>
        <w:autoSpaceDE w:val="0"/>
        <w:autoSpaceDN w:val="0"/>
        <w:adjustRightInd w:val="0"/>
        <w:ind w:left="851"/>
        <w:rPr>
          <w:rFonts w:eastAsiaTheme="minorEastAsia"/>
          <w:sz w:val="24"/>
          <w:szCs w:val="24"/>
          <w:lang w:eastAsia="zh-CN"/>
        </w:rPr>
      </w:pPr>
      <w:r w:rsidRPr="00111DC8">
        <w:rPr>
          <w:rFonts w:eastAsiaTheme="minorEastAsia"/>
          <w:sz w:val="24"/>
          <w:szCs w:val="24"/>
          <w:lang w:eastAsia="zh-CN"/>
        </w:rPr>
        <w:t>Hyppigheden af bivirkninger, der ses i tabel 1, angives i henhold til følgende klassifikationer:</w:t>
      </w:r>
    </w:p>
    <w:p w14:paraId="7A04EC65" w14:textId="77777777" w:rsidR="009E6B88" w:rsidRPr="00111DC8" w:rsidRDefault="009E6B88" w:rsidP="003C29A7">
      <w:pPr>
        <w:autoSpaceDE w:val="0"/>
        <w:autoSpaceDN w:val="0"/>
        <w:adjustRightInd w:val="0"/>
        <w:ind w:left="851"/>
        <w:rPr>
          <w:rFonts w:eastAsiaTheme="minorEastAsia"/>
          <w:sz w:val="24"/>
          <w:szCs w:val="24"/>
          <w:lang w:eastAsia="zh-CN"/>
        </w:rPr>
      </w:pPr>
      <w:r w:rsidRPr="00111DC8">
        <w:rPr>
          <w:rFonts w:eastAsiaTheme="minorEastAsia"/>
          <w:sz w:val="24"/>
          <w:szCs w:val="24"/>
          <w:lang w:eastAsia="zh-CN"/>
        </w:rPr>
        <w:t xml:space="preserve">Meget almindelig (≥1/10), almindelig (≥1/100 til &lt;1/10), ikke almindelig (≥1/1.000 til &lt;1/100), sjælden (≥1/10.000 til &lt;1/1.000), meget sjælden (&lt;1/10.000), ikke kendt (kan ikke estimeres ud fra forhåndenværende data). </w:t>
      </w:r>
    </w:p>
    <w:p w14:paraId="29EDE62A" w14:textId="77777777" w:rsidR="009E6B88" w:rsidRPr="00111DC8" w:rsidRDefault="009E6B88" w:rsidP="003C29A7">
      <w:pPr>
        <w:ind w:left="851"/>
        <w:rPr>
          <w:rFonts w:eastAsiaTheme="minorEastAsia"/>
          <w:sz w:val="24"/>
          <w:szCs w:val="24"/>
          <w:lang w:eastAsia="zh-CN"/>
        </w:rPr>
      </w:pPr>
    </w:p>
    <w:p w14:paraId="26A39C52" w14:textId="77777777" w:rsidR="009E6B88" w:rsidRPr="00111DC8" w:rsidRDefault="009E6B88" w:rsidP="003C29A7">
      <w:pPr>
        <w:ind w:left="851"/>
        <w:rPr>
          <w:sz w:val="24"/>
          <w:szCs w:val="24"/>
        </w:rPr>
      </w:pPr>
      <w:r w:rsidRPr="00111DC8">
        <w:rPr>
          <w:rFonts w:eastAsiaTheme="minorEastAsia"/>
          <w:sz w:val="24"/>
          <w:szCs w:val="24"/>
          <w:lang w:eastAsia="zh-CN"/>
        </w:rPr>
        <w:t xml:space="preserve">Alle bivirkninger, der er opstået efter markedsføring af produktet, vises i </w:t>
      </w:r>
      <w:r w:rsidRPr="00111DC8">
        <w:rPr>
          <w:rFonts w:eastAsiaTheme="minorEastAsia"/>
          <w:i/>
          <w:iCs/>
          <w:sz w:val="24"/>
          <w:szCs w:val="24"/>
          <w:lang w:eastAsia="zh-CN"/>
        </w:rPr>
        <w:t>kursiv.</w:t>
      </w:r>
    </w:p>
    <w:p w14:paraId="6DB0BF11" w14:textId="77777777" w:rsidR="009E6B88" w:rsidRPr="00111DC8" w:rsidRDefault="009E6B88" w:rsidP="009E6B88">
      <w:pPr>
        <w:rPr>
          <w:sz w:val="24"/>
          <w:szCs w:val="24"/>
        </w:rPr>
      </w:pPr>
    </w:p>
    <w:p w14:paraId="309EE1BE" w14:textId="77777777" w:rsidR="009E6B88" w:rsidRPr="00E21FBB" w:rsidRDefault="009E6B88" w:rsidP="003C29A7">
      <w:pPr>
        <w:rPr>
          <w:b/>
          <w:sz w:val="24"/>
          <w:szCs w:val="24"/>
        </w:rPr>
      </w:pPr>
      <w:r w:rsidRPr="00E21FBB">
        <w:rPr>
          <w:b/>
          <w:sz w:val="24"/>
          <w:szCs w:val="24"/>
        </w:rPr>
        <w:t>Tabel 2: Rapporterede bivirkninger med icatibant</w:t>
      </w:r>
      <w:r w:rsidRPr="00E21FBB">
        <w:rPr>
          <w:b/>
          <w:sz w:val="24"/>
          <w:szCs w:val="24"/>
        </w:rPr>
        <w:br/>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559"/>
        <w:gridCol w:w="2410"/>
        <w:gridCol w:w="2693"/>
      </w:tblGrid>
      <w:tr w:rsidR="009E6B88" w:rsidRPr="00111DC8" w14:paraId="6344157B" w14:textId="77777777" w:rsidTr="009E6B88">
        <w:trPr>
          <w:tblHeader/>
        </w:trPr>
        <w:tc>
          <w:tcPr>
            <w:tcW w:w="2405" w:type="dxa"/>
            <w:shd w:val="clear" w:color="auto" w:fill="auto"/>
          </w:tcPr>
          <w:p w14:paraId="5A470585" w14:textId="77777777" w:rsidR="009E6B88" w:rsidRPr="00111DC8" w:rsidRDefault="009E6B88" w:rsidP="002B5F69">
            <w:pPr>
              <w:jc w:val="center"/>
              <w:rPr>
                <w:b/>
                <w:noProof/>
                <w:sz w:val="24"/>
                <w:szCs w:val="24"/>
              </w:rPr>
            </w:pPr>
            <w:r w:rsidRPr="00111DC8">
              <w:rPr>
                <w:b/>
                <w:noProof/>
                <w:sz w:val="24"/>
                <w:szCs w:val="24"/>
              </w:rPr>
              <w:t>Systemorganklasse</w:t>
            </w:r>
          </w:p>
        </w:tc>
        <w:tc>
          <w:tcPr>
            <w:tcW w:w="6662" w:type="dxa"/>
            <w:gridSpan w:val="3"/>
            <w:shd w:val="clear" w:color="auto" w:fill="auto"/>
          </w:tcPr>
          <w:p w14:paraId="71ABB4CD" w14:textId="77777777" w:rsidR="009E6B88" w:rsidRPr="00111DC8" w:rsidRDefault="009E6B88" w:rsidP="002B5F69">
            <w:pPr>
              <w:jc w:val="center"/>
              <w:rPr>
                <w:b/>
                <w:noProof/>
                <w:sz w:val="24"/>
                <w:szCs w:val="24"/>
              </w:rPr>
            </w:pPr>
            <w:r w:rsidRPr="00111DC8">
              <w:rPr>
                <w:b/>
                <w:noProof/>
                <w:sz w:val="24"/>
                <w:szCs w:val="24"/>
              </w:rPr>
              <w:t>Hyppighed</w:t>
            </w:r>
          </w:p>
        </w:tc>
      </w:tr>
      <w:tr w:rsidR="009E6B88" w:rsidRPr="00111DC8" w14:paraId="135A2D77" w14:textId="77777777" w:rsidTr="009E6B88">
        <w:trPr>
          <w:tblHeader/>
        </w:trPr>
        <w:tc>
          <w:tcPr>
            <w:tcW w:w="2405" w:type="dxa"/>
            <w:shd w:val="clear" w:color="auto" w:fill="auto"/>
          </w:tcPr>
          <w:p w14:paraId="45F8F702" w14:textId="77777777" w:rsidR="009E6B88" w:rsidRPr="00111DC8" w:rsidRDefault="009E6B88" w:rsidP="003C29A7">
            <w:pPr>
              <w:rPr>
                <w:noProof/>
                <w:sz w:val="24"/>
                <w:szCs w:val="24"/>
              </w:rPr>
            </w:pPr>
          </w:p>
        </w:tc>
        <w:tc>
          <w:tcPr>
            <w:tcW w:w="1559" w:type="dxa"/>
            <w:shd w:val="clear" w:color="auto" w:fill="auto"/>
          </w:tcPr>
          <w:p w14:paraId="7B28F412" w14:textId="77777777" w:rsidR="009E6B88" w:rsidRPr="00111DC8" w:rsidRDefault="009E6B88" w:rsidP="003C29A7">
            <w:pPr>
              <w:rPr>
                <w:b/>
                <w:i/>
                <w:noProof/>
                <w:sz w:val="24"/>
                <w:szCs w:val="24"/>
              </w:rPr>
            </w:pPr>
            <w:r w:rsidRPr="00111DC8">
              <w:rPr>
                <w:b/>
                <w:i/>
                <w:noProof/>
                <w:sz w:val="24"/>
                <w:szCs w:val="24"/>
              </w:rPr>
              <w:t>Meget almindelig</w:t>
            </w:r>
          </w:p>
        </w:tc>
        <w:tc>
          <w:tcPr>
            <w:tcW w:w="2410" w:type="dxa"/>
            <w:shd w:val="clear" w:color="auto" w:fill="auto"/>
          </w:tcPr>
          <w:p w14:paraId="6D284967" w14:textId="77777777" w:rsidR="009E6B88" w:rsidRPr="00111DC8" w:rsidRDefault="009E6B88" w:rsidP="003C29A7">
            <w:pPr>
              <w:rPr>
                <w:b/>
                <w:i/>
                <w:noProof/>
                <w:sz w:val="24"/>
                <w:szCs w:val="24"/>
              </w:rPr>
            </w:pPr>
            <w:r w:rsidRPr="00111DC8">
              <w:rPr>
                <w:b/>
                <w:i/>
                <w:noProof/>
                <w:sz w:val="24"/>
                <w:szCs w:val="24"/>
              </w:rPr>
              <w:t>Almindelig</w:t>
            </w:r>
          </w:p>
        </w:tc>
        <w:tc>
          <w:tcPr>
            <w:tcW w:w="2693" w:type="dxa"/>
            <w:shd w:val="clear" w:color="auto" w:fill="auto"/>
          </w:tcPr>
          <w:p w14:paraId="3D94DFCA" w14:textId="77777777" w:rsidR="009E6B88" w:rsidRPr="00111DC8" w:rsidRDefault="009E6B88" w:rsidP="003C29A7">
            <w:pPr>
              <w:rPr>
                <w:b/>
                <w:i/>
                <w:noProof/>
                <w:sz w:val="24"/>
                <w:szCs w:val="24"/>
              </w:rPr>
            </w:pPr>
            <w:r w:rsidRPr="00111DC8">
              <w:rPr>
                <w:b/>
                <w:i/>
                <w:noProof/>
                <w:sz w:val="24"/>
                <w:szCs w:val="24"/>
              </w:rPr>
              <w:t>Ikke kendt</w:t>
            </w:r>
          </w:p>
        </w:tc>
      </w:tr>
      <w:tr w:rsidR="009E6B88" w:rsidRPr="00111DC8" w14:paraId="2098B3D1" w14:textId="77777777" w:rsidTr="009E6B88">
        <w:tc>
          <w:tcPr>
            <w:tcW w:w="2405" w:type="dxa"/>
            <w:shd w:val="clear" w:color="auto" w:fill="auto"/>
          </w:tcPr>
          <w:p w14:paraId="058EE2FC" w14:textId="77777777" w:rsidR="009E6B88" w:rsidRPr="00111DC8" w:rsidRDefault="009E6B88" w:rsidP="003C29A7">
            <w:pPr>
              <w:rPr>
                <w:b/>
                <w:noProof/>
                <w:sz w:val="24"/>
                <w:szCs w:val="24"/>
              </w:rPr>
            </w:pPr>
            <w:r w:rsidRPr="00111DC8">
              <w:rPr>
                <w:b/>
                <w:noProof/>
                <w:sz w:val="24"/>
                <w:szCs w:val="24"/>
              </w:rPr>
              <w:t>Nervesystemet</w:t>
            </w:r>
          </w:p>
        </w:tc>
        <w:tc>
          <w:tcPr>
            <w:tcW w:w="1559" w:type="dxa"/>
            <w:shd w:val="clear" w:color="auto" w:fill="auto"/>
          </w:tcPr>
          <w:p w14:paraId="55A68C3A" w14:textId="77777777" w:rsidR="009E6B88" w:rsidRPr="00111DC8" w:rsidRDefault="009E6B88" w:rsidP="003C29A7">
            <w:pPr>
              <w:rPr>
                <w:noProof/>
                <w:sz w:val="24"/>
                <w:szCs w:val="24"/>
              </w:rPr>
            </w:pPr>
          </w:p>
        </w:tc>
        <w:tc>
          <w:tcPr>
            <w:tcW w:w="2410" w:type="dxa"/>
            <w:shd w:val="clear" w:color="auto" w:fill="auto"/>
          </w:tcPr>
          <w:p w14:paraId="715E6D20" w14:textId="77777777" w:rsidR="009E6B88" w:rsidRPr="00111DC8" w:rsidRDefault="009E6B88" w:rsidP="003C29A7">
            <w:pPr>
              <w:rPr>
                <w:noProof/>
                <w:sz w:val="24"/>
                <w:szCs w:val="24"/>
              </w:rPr>
            </w:pPr>
            <w:r w:rsidRPr="00111DC8">
              <w:rPr>
                <w:sz w:val="24"/>
                <w:szCs w:val="24"/>
              </w:rPr>
              <w:t>Svimmelhed, hovedpine</w:t>
            </w:r>
          </w:p>
        </w:tc>
        <w:tc>
          <w:tcPr>
            <w:tcW w:w="2693" w:type="dxa"/>
            <w:shd w:val="clear" w:color="auto" w:fill="auto"/>
          </w:tcPr>
          <w:p w14:paraId="4E8D5F95" w14:textId="77777777" w:rsidR="009E6B88" w:rsidRPr="00111DC8" w:rsidRDefault="009E6B88" w:rsidP="003C29A7">
            <w:pPr>
              <w:rPr>
                <w:noProof/>
                <w:sz w:val="24"/>
                <w:szCs w:val="24"/>
              </w:rPr>
            </w:pPr>
          </w:p>
        </w:tc>
      </w:tr>
      <w:tr w:rsidR="009E6B88" w:rsidRPr="00111DC8" w14:paraId="2C6BD90B" w14:textId="77777777" w:rsidTr="009E6B88">
        <w:tc>
          <w:tcPr>
            <w:tcW w:w="2405" w:type="dxa"/>
            <w:shd w:val="clear" w:color="auto" w:fill="auto"/>
          </w:tcPr>
          <w:p w14:paraId="1D3726DB" w14:textId="77777777" w:rsidR="009E6B88" w:rsidRPr="00111DC8" w:rsidRDefault="009E6B88" w:rsidP="003C29A7">
            <w:pPr>
              <w:rPr>
                <w:b/>
                <w:noProof/>
                <w:sz w:val="24"/>
                <w:szCs w:val="24"/>
              </w:rPr>
            </w:pPr>
            <w:r w:rsidRPr="00111DC8">
              <w:rPr>
                <w:b/>
                <w:noProof/>
                <w:sz w:val="24"/>
                <w:szCs w:val="24"/>
              </w:rPr>
              <w:t>Mave-tarm-kanalen</w:t>
            </w:r>
          </w:p>
        </w:tc>
        <w:tc>
          <w:tcPr>
            <w:tcW w:w="1559" w:type="dxa"/>
            <w:shd w:val="clear" w:color="auto" w:fill="auto"/>
          </w:tcPr>
          <w:p w14:paraId="67DA4F70" w14:textId="77777777" w:rsidR="009E6B88" w:rsidRPr="00111DC8" w:rsidRDefault="009E6B88" w:rsidP="003C29A7">
            <w:pPr>
              <w:rPr>
                <w:noProof/>
                <w:sz w:val="24"/>
                <w:szCs w:val="24"/>
              </w:rPr>
            </w:pPr>
          </w:p>
        </w:tc>
        <w:tc>
          <w:tcPr>
            <w:tcW w:w="2410" w:type="dxa"/>
            <w:shd w:val="clear" w:color="auto" w:fill="auto"/>
          </w:tcPr>
          <w:p w14:paraId="3D265826" w14:textId="77777777" w:rsidR="009E6B88" w:rsidRPr="00111DC8" w:rsidRDefault="009E6B88" w:rsidP="003C29A7">
            <w:pPr>
              <w:rPr>
                <w:noProof/>
                <w:sz w:val="24"/>
                <w:szCs w:val="24"/>
                <w:lang w:val="es-ES"/>
              </w:rPr>
            </w:pPr>
            <w:r w:rsidRPr="00111DC8">
              <w:rPr>
                <w:noProof/>
                <w:sz w:val="24"/>
                <w:szCs w:val="24"/>
                <w:lang w:val="es-ES"/>
              </w:rPr>
              <w:t>Kvalme</w:t>
            </w:r>
          </w:p>
        </w:tc>
        <w:tc>
          <w:tcPr>
            <w:tcW w:w="2693" w:type="dxa"/>
            <w:shd w:val="clear" w:color="auto" w:fill="auto"/>
          </w:tcPr>
          <w:p w14:paraId="03108931" w14:textId="77777777" w:rsidR="009E6B88" w:rsidRPr="00111DC8" w:rsidRDefault="009E6B88" w:rsidP="003C29A7">
            <w:pPr>
              <w:rPr>
                <w:noProof/>
                <w:sz w:val="24"/>
                <w:szCs w:val="24"/>
                <w:vertAlign w:val="superscript"/>
              </w:rPr>
            </w:pPr>
          </w:p>
        </w:tc>
      </w:tr>
      <w:tr w:rsidR="009E6B88" w:rsidRPr="00111DC8" w14:paraId="4CA2AD1D" w14:textId="77777777" w:rsidTr="009E6B88">
        <w:tc>
          <w:tcPr>
            <w:tcW w:w="2405" w:type="dxa"/>
            <w:shd w:val="clear" w:color="auto" w:fill="auto"/>
          </w:tcPr>
          <w:p w14:paraId="40725656" w14:textId="77777777" w:rsidR="009E6B88" w:rsidRPr="00111DC8" w:rsidRDefault="009E6B88" w:rsidP="003C29A7">
            <w:pPr>
              <w:rPr>
                <w:b/>
                <w:noProof/>
                <w:sz w:val="24"/>
                <w:szCs w:val="24"/>
                <w:lang w:val="en-US"/>
              </w:rPr>
            </w:pPr>
            <w:r w:rsidRPr="00111DC8">
              <w:rPr>
                <w:b/>
                <w:noProof/>
                <w:sz w:val="24"/>
                <w:szCs w:val="24"/>
                <w:lang w:val="en-US"/>
              </w:rPr>
              <w:t>Hud og subkutane væv</w:t>
            </w:r>
          </w:p>
        </w:tc>
        <w:tc>
          <w:tcPr>
            <w:tcW w:w="1559" w:type="dxa"/>
            <w:shd w:val="clear" w:color="auto" w:fill="auto"/>
          </w:tcPr>
          <w:p w14:paraId="7D66FBD4" w14:textId="77777777" w:rsidR="009E6B88" w:rsidRPr="00111DC8" w:rsidRDefault="009E6B88" w:rsidP="003C29A7">
            <w:pPr>
              <w:rPr>
                <w:noProof/>
                <w:sz w:val="24"/>
                <w:szCs w:val="24"/>
                <w:lang w:val="en-US"/>
              </w:rPr>
            </w:pPr>
          </w:p>
        </w:tc>
        <w:tc>
          <w:tcPr>
            <w:tcW w:w="2410" w:type="dxa"/>
            <w:shd w:val="clear" w:color="auto" w:fill="auto"/>
          </w:tcPr>
          <w:p w14:paraId="72D7E501" w14:textId="77777777" w:rsidR="009E6B88" w:rsidRPr="00111DC8" w:rsidRDefault="009E6B88" w:rsidP="003C29A7">
            <w:pPr>
              <w:rPr>
                <w:noProof/>
                <w:sz w:val="24"/>
                <w:szCs w:val="24"/>
              </w:rPr>
            </w:pPr>
            <w:r w:rsidRPr="00111DC8">
              <w:rPr>
                <w:noProof/>
                <w:sz w:val="24"/>
                <w:szCs w:val="24"/>
              </w:rPr>
              <w:t>Udslæt, erytem, pruritus</w:t>
            </w:r>
          </w:p>
        </w:tc>
        <w:tc>
          <w:tcPr>
            <w:tcW w:w="2693" w:type="dxa"/>
            <w:shd w:val="clear" w:color="auto" w:fill="auto"/>
          </w:tcPr>
          <w:p w14:paraId="5F795444" w14:textId="77777777" w:rsidR="009E6B88" w:rsidRPr="00111DC8" w:rsidRDefault="009E6B88" w:rsidP="003C29A7">
            <w:pPr>
              <w:rPr>
                <w:i/>
                <w:iCs/>
                <w:noProof/>
                <w:sz w:val="24"/>
                <w:szCs w:val="24"/>
              </w:rPr>
            </w:pPr>
            <w:r w:rsidRPr="00111DC8">
              <w:rPr>
                <w:i/>
                <w:iCs/>
                <w:noProof/>
                <w:sz w:val="24"/>
                <w:szCs w:val="24"/>
              </w:rPr>
              <w:t>Urticaria</w:t>
            </w:r>
          </w:p>
        </w:tc>
      </w:tr>
      <w:tr w:rsidR="009E6B88" w:rsidRPr="00111DC8" w14:paraId="40FCA184" w14:textId="77777777" w:rsidTr="009E6B88">
        <w:tc>
          <w:tcPr>
            <w:tcW w:w="2405" w:type="dxa"/>
            <w:shd w:val="clear" w:color="auto" w:fill="auto"/>
          </w:tcPr>
          <w:p w14:paraId="17D80768" w14:textId="77777777" w:rsidR="009E6B88" w:rsidRPr="00111DC8" w:rsidRDefault="009E6B88" w:rsidP="003C29A7">
            <w:pPr>
              <w:rPr>
                <w:b/>
                <w:noProof/>
                <w:sz w:val="24"/>
                <w:szCs w:val="24"/>
              </w:rPr>
            </w:pPr>
            <w:r w:rsidRPr="00111DC8">
              <w:rPr>
                <w:b/>
                <w:noProof/>
                <w:sz w:val="24"/>
                <w:szCs w:val="24"/>
              </w:rPr>
              <w:t>Almene symptomer og reaktioner på injektionsstedet</w:t>
            </w:r>
          </w:p>
        </w:tc>
        <w:tc>
          <w:tcPr>
            <w:tcW w:w="1559" w:type="dxa"/>
            <w:shd w:val="clear" w:color="auto" w:fill="auto"/>
          </w:tcPr>
          <w:p w14:paraId="55A0DA66" w14:textId="422AEA0C" w:rsidR="009E6B88" w:rsidRPr="00111DC8" w:rsidRDefault="009E6B88" w:rsidP="003C29A7">
            <w:pPr>
              <w:rPr>
                <w:noProof/>
                <w:sz w:val="24"/>
                <w:szCs w:val="24"/>
              </w:rPr>
            </w:pPr>
            <w:r w:rsidRPr="00111DC8">
              <w:rPr>
                <w:sz w:val="24"/>
                <w:szCs w:val="24"/>
              </w:rPr>
              <w:t>Reaktioner på injektion</w:t>
            </w:r>
            <w:r w:rsidR="00556B59">
              <w:rPr>
                <w:sz w:val="24"/>
                <w:szCs w:val="24"/>
              </w:rPr>
              <w:t>s</w:t>
            </w:r>
            <w:r w:rsidRPr="00111DC8">
              <w:rPr>
                <w:sz w:val="24"/>
                <w:szCs w:val="24"/>
              </w:rPr>
              <w:t>ste-det*</w:t>
            </w:r>
          </w:p>
        </w:tc>
        <w:tc>
          <w:tcPr>
            <w:tcW w:w="2410" w:type="dxa"/>
            <w:shd w:val="clear" w:color="auto" w:fill="auto"/>
          </w:tcPr>
          <w:p w14:paraId="16E76F0C" w14:textId="77777777" w:rsidR="009E6B88" w:rsidRPr="00111DC8" w:rsidRDefault="009E6B88" w:rsidP="003C29A7">
            <w:pPr>
              <w:rPr>
                <w:noProof/>
                <w:sz w:val="24"/>
                <w:szCs w:val="24"/>
              </w:rPr>
            </w:pPr>
            <w:r w:rsidRPr="00111DC8">
              <w:rPr>
                <w:noProof/>
                <w:sz w:val="24"/>
                <w:szCs w:val="24"/>
              </w:rPr>
              <w:t>Pyreksi</w:t>
            </w:r>
          </w:p>
        </w:tc>
        <w:tc>
          <w:tcPr>
            <w:tcW w:w="2693" w:type="dxa"/>
            <w:shd w:val="clear" w:color="auto" w:fill="auto"/>
          </w:tcPr>
          <w:p w14:paraId="479BD9BA" w14:textId="77777777" w:rsidR="009E6B88" w:rsidRPr="00111DC8" w:rsidRDefault="009E6B88" w:rsidP="003C29A7">
            <w:pPr>
              <w:rPr>
                <w:noProof/>
                <w:sz w:val="24"/>
                <w:szCs w:val="24"/>
              </w:rPr>
            </w:pPr>
          </w:p>
        </w:tc>
      </w:tr>
      <w:tr w:rsidR="009E6B88" w:rsidRPr="00111DC8" w14:paraId="11FE6D4E" w14:textId="77777777" w:rsidTr="009E6B88">
        <w:tc>
          <w:tcPr>
            <w:tcW w:w="2405" w:type="dxa"/>
            <w:shd w:val="clear" w:color="auto" w:fill="auto"/>
          </w:tcPr>
          <w:p w14:paraId="36CD22D7" w14:textId="77777777" w:rsidR="009E6B88" w:rsidRPr="00111DC8" w:rsidRDefault="009E6B88" w:rsidP="003C29A7">
            <w:pPr>
              <w:rPr>
                <w:b/>
                <w:noProof/>
                <w:sz w:val="24"/>
                <w:szCs w:val="24"/>
              </w:rPr>
            </w:pPr>
            <w:r w:rsidRPr="00111DC8">
              <w:rPr>
                <w:b/>
                <w:noProof/>
                <w:sz w:val="24"/>
                <w:szCs w:val="24"/>
              </w:rPr>
              <w:t xml:space="preserve">Undersøgelser </w:t>
            </w:r>
          </w:p>
        </w:tc>
        <w:tc>
          <w:tcPr>
            <w:tcW w:w="1559" w:type="dxa"/>
            <w:shd w:val="clear" w:color="auto" w:fill="auto"/>
          </w:tcPr>
          <w:p w14:paraId="76BE5C6E" w14:textId="77777777" w:rsidR="009E6B88" w:rsidRPr="00111DC8" w:rsidRDefault="009E6B88" w:rsidP="003C29A7">
            <w:pPr>
              <w:rPr>
                <w:sz w:val="24"/>
                <w:szCs w:val="24"/>
              </w:rPr>
            </w:pPr>
          </w:p>
        </w:tc>
        <w:tc>
          <w:tcPr>
            <w:tcW w:w="2410" w:type="dxa"/>
            <w:shd w:val="clear" w:color="auto" w:fill="auto"/>
          </w:tcPr>
          <w:p w14:paraId="7FECEF5A" w14:textId="77777777" w:rsidR="009E6B88" w:rsidRPr="00111DC8" w:rsidRDefault="009E6B88" w:rsidP="003C29A7">
            <w:pPr>
              <w:rPr>
                <w:sz w:val="24"/>
                <w:szCs w:val="24"/>
              </w:rPr>
            </w:pPr>
            <w:r w:rsidRPr="00111DC8">
              <w:rPr>
                <w:sz w:val="24"/>
                <w:szCs w:val="24"/>
              </w:rPr>
              <w:t>Forhøjede aminotransferaser</w:t>
            </w:r>
          </w:p>
        </w:tc>
        <w:tc>
          <w:tcPr>
            <w:tcW w:w="2693" w:type="dxa"/>
            <w:shd w:val="clear" w:color="auto" w:fill="auto"/>
          </w:tcPr>
          <w:p w14:paraId="3FA75897" w14:textId="77777777" w:rsidR="009E6B88" w:rsidRPr="00111DC8" w:rsidRDefault="009E6B88" w:rsidP="003C29A7">
            <w:pPr>
              <w:rPr>
                <w:noProof/>
                <w:sz w:val="24"/>
                <w:szCs w:val="24"/>
              </w:rPr>
            </w:pPr>
          </w:p>
        </w:tc>
      </w:tr>
    </w:tbl>
    <w:p w14:paraId="7B83B060" w14:textId="73DA7904" w:rsidR="009E6B88" w:rsidRPr="002B5F69" w:rsidRDefault="009E6B88" w:rsidP="003C29A7">
      <w:pPr>
        <w:rPr>
          <w:rFonts w:eastAsiaTheme="minorEastAsia"/>
          <w:sz w:val="20"/>
          <w:lang w:eastAsia="zh-CN"/>
        </w:rPr>
      </w:pPr>
      <w:r w:rsidRPr="002B5F69">
        <w:rPr>
          <w:rFonts w:eastAsiaTheme="minorEastAsia"/>
          <w:sz w:val="20"/>
          <w:lang w:eastAsia="zh-CN"/>
        </w:rPr>
        <w:t>* Blå mærker på injektionsstedet, hæmatom på injektionsstedet, brændende fornemmelse på injektionsstedet,</w:t>
      </w:r>
      <w:r w:rsidR="002B5F69" w:rsidRPr="002B5F69">
        <w:rPr>
          <w:rFonts w:eastAsiaTheme="minorEastAsia"/>
          <w:sz w:val="20"/>
          <w:lang w:eastAsia="zh-CN"/>
        </w:rPr>
        <w:t xml:space="preserve"> </w:t>
      </w:r>
      <w:r w:rsidRPr="002B5F69">
        <w:rPr>
          <w:rFonts w:eastAsiaTheme="minorEastAsia"/>
          <w:sz w:val="20"/>
          <w:lang w:eastAsia="zh-CN"/>
        </w:rPr>
        <w:t>erytem på injektionsstedet, hypæstesi på injektionsstedet, irritation på injektionsstedet, følelsesløshed på</w:t>
      </w:r>
      <w:r w:rsidR="002B5F69" w:rsidRPr="002B5F69">
        <w:rPr>
          <w:rFonts w:eastAsiaTheme="minorEastAsia"/>
          <w:sz w:val="20"/>
          <w:lang w:eastAsia="zh-CN"/>
        </w:rPr>
        <w:t xml:space="preserve"> </w:t>
      </w:r>
      <w:r w:rsidRPr="002B5F69">
        <w:rPr>
          <w:rFonts w:eastAsiaTheme="minorEastAsia"/>
          <w:sz w:val="20"/>
          <w:lang w:eastAsia="zh-CN"/>
        </w:rPr>
        <w:t>injektionsstedet, ødem på injektionsstedet, smerter på injektionsstedet, en trykkende fornemmelse på</w:t>
      </w:r>
      <w:r w:rsidR="002B5F69" w:rsidRPr="002B5F69">
        <w:rPr>
          <w:rFonts w:eastAsiaTheme="minorEastAsia"/>
          <w:sz w:val="20"/>
          <w:lang w:eastAsia="zh-CN"/>
        </w:rPr>
        <w:t xml:space="preserve"> </w:t>
      </w:r>
      <w:r w:rsidRPr="002B5F69">
        <w:rPr>
          <w:rFonts w:eastAsiaTheme="minorEastAsia"/>
          <w:sz w:val="20"/>
          <w:lang w:eastAsia="zh-CN"/>
        </w:rPr>
        <w:t>injektionsstedet, pruritus på injektionsstedet, hævelse på injektionsstedet, urticaria på injektionsstedet og</w:t>
      </w:r>
      <w:r w:rsidR="002B5F69" w:rsidRPr="002B5F69">
        <w:rPr>
          <w:rFonts w:eastAsiaTheme="minorEastAsia"/>
          <w:sz w:val="20"/>
          <w:lang w:eastAsia="zh-CN"/>
        </w:rPr>
        <w:t xml:space="preserve"> </w:t>
      </w:r>
      <w:r w:rsidRPr="002B5F69">
        <w:rPr>
          <w:rFonts w:eastAsiaTheme="minorEastAsia"/>
          <w:sz w:val="20"/>
          <w:lang w:eastAsia="zh-CN"/>
        </w:rPr>
        <w:t>varmefornemmelse på injektionsstedet</w:t>
      </w:r>
    </w:p>
    <w:p w14:paraId="06124B70" w14:textId="77777777" w:rsidR="009E6B88" w:rsidRPr="00111DC8" w:rsidRDefault="009E6B88" w:rsidP="003C29A7">
      <w:pPr>
        <w:rPr>
          <w:rFonts w:eastAsiaTheme="minorEastAsia"/>
          <w:sz w:val="24"/>
          <w:szCs w:val="24"/>
          <w:lang w:eastAsia="zh-CN"/>
        </w:rPr>
      </w:pPr>
    </w:p>
    <w:p w14:paraId="06E4C535" w14:textId="77777777" w:rsidR="009E6B88" w:rsidRPr="00111DC8" w:rsidRDefault="009E6B88" w:rsidP="003C29A7">
      <w:pPr>
        <w:ind w:left="851"/>
        <w:rPr>
          <w:rFonts w:eastAsiaTheme="minorEastAsia"/>
          <w:sz w:val="24"/>
          <w:szCs w:val="24"/>
          <w:u w:val="single"/>
          <w:lang w:eastAsia="zh-CN"/>
        </w:rPr>
      </w:pPr>
      <w:r w:rsidRPr="00111DC8">
        <w:rPr>
          <w:rFonts w:eastAsiaTheme="minorEastAsia"/>
          <w:sz w:val="24"/>
          <w:szCs w:val="24"/>
          <w:u w:val="single"/>
          <w:lang w:eastAsia="zh-CN"/>
        </w:rPr>
        <w:t>Pædiatrisk population</w:t>
      </w:r>
    </w:p>
    <w:p w14:paraId="116E3A9A" w14:textId="77777777" w:rsidR="009E6B88" w:rsidRPr="00111DC8" w:rsidRDefault="009E6B88" w:rsidP="003C29A7">
      <w:pPr>
        <w:ind w:left="851"/>
        <w:rPr>
          <w:rFonts w:eastAsiaTheme="minorEastAsia"/>
          <w:sz w:val="24"/>
          <w:szCs w:val="24"/>
          <w:lang w:eastAsia="zh-CN"/>
        </w:rPr>
      </w:pPr>
      <w:r w:rsidRPr="00111DC8">
        <w:rPr>
          <w:rFonts w:eastAsiaTheme="minorEastAsia"/>
          <w:sz w:val="24"/>
          <w:szCs w:val="24"/>
          <w:lang w:eastAsia="zh-CN"/>
        </w:rPr>
        <w:t>I alt 32 pædiatriske patienter (8 børn i alderen 2-11 år og 24 unge i alderen 12-17 år) med HAE blev eksponeret for behandling med icatibant i løbet af de kliniske studier. 31 patienter fik en enkelt dosis icatibant, og 1 patient (en ung) fik icatibant for to HAE-anfald (i alt to doser). Icatibant blev administreret ved subkutan injektion med en dosis på 0,4 mg/kg legemsvægt op til en maksimal dosis på 30 mg.</w:t>
      </w:r>
    </w:p>
    <w:p w14:paraId="4CCAF033" w14:textId="77777777" w:rsidR="009E6B88" w:rsidRPr="00111DC8" w:rsidRDefault="009E6B88" w:rsidP="003C29A7">
      <w:pPr>
        <w:ind w:left="851"/>
        <w:rPr>
          <w:rFonts w:eastAsiaTheme="minorEastAsia"/>
          <w:sz w:val="24"/>
          <w:szCs w:val="24"/>
          <w:lang w:eastAsia="zh-CN"/>
        </w:rPr>
      </w:pPr>
    </w:p>
    <w:p w14:paraId="206DAE98" w14:textId="77777777" w:rsidR="009E6B88" w:rsidRPr="00111DC8" w:rsidRDefault="009E6B88" w:rsidP="003C29A7">
      <w:pPr>
        <w:ind w:left="851"/>
        <w:rPr>
          <w:rFonts w:eastAsiaTheme="minorEastAsia"/>
          <w:sz w:val="24"/>
          <w:szCs w:val="24"/>
          <w:lang w:eastAsia="zh-CN"/>
        </w:rPr>
      </w:pPr>
      <w:r w:rsidRPr="00111DC8">
        <w:rPr>
          <w:rFonts w:eastAsiaTheme="minorEastAsia"/>
          <w:sz w:val="24"/>
          <w:szCs w:val="24"/>
          <w:lang w:eastAsia="zh-CN"/>
        </w:rPr>
        <w:t>Flertallet af de pædiatriske patienter, der blev behandlet med subkutant icatibant, oplevede reaktioner på injektionsstedet som f.eks. erytem, hævelse, brændende fornemmelse, smerter i huden og kløe/pruritus; reaktionerne var milde til moderate og konsistente med reaktioner, der er observeret hos voksne. To pædiatriske patienter oplevede reaktioner på injektionsstedet, som blev bedømt som svære, og som forsvandt fuldstændigt inden for 6 timer. Disse reaktioner var erytem og hævelse samt en brændende og varm fornemmelse.</w:t>
      </w:r>
    </w:p>
    <w:p w14:paraId="2ACFBD6F" w14:textId="77777777" w:rsidR="009E6B88" w:rsidRPr="00111DC8" w:rsidRDefault="009E6B88" w:rsidP="003C29A7">
      <w:pPr>
        <w:ind w:left="851"/>
        <w:rPr>
          <w:rFonts w:eastAsiaTheme="minorEastAsia"/>
          <w:sz w:val="24"/>
          <w:szCs w:val="24"/>
          <w:lang w:eastAsia="zh-CN"/>
        </w:rPr>
      </w:pPr>
    </w:p>
    <w:p w14:paraId="7EA31859" w14:textId="77777777" w:rsidR="009E6B88" w:rsidRPr="00111DC8" w:rsidRDefault="009E6B88" w:rsidP="003C29A7">
      <w:pPr>
        <w:ind w:left="851"/>
        <w:rPr>
          <w:rFonts w:eastAsiaTheme="minorEastAsia"/>
          <w:sz w:val="24"/>
          <w:szCs w:val="24"/>
          <w:lang w:eastAsia="zh-CN"/>
        </w:rPr>
      </w:pPr>
      <w:r w:rsidRPr="00111DC8">
        <w:rPr>
          <w:rFonts w:eastAsiaTheme="minorEastAsia"/>
          <w:sz w:val="24"/>
          <w:szCs w:val="24"/>
          <w:lang w:eastAsia="zh-CN"/>
        </w:rPr>
        <w:t>Der blev ikke observeret klinisk signifikante forandringer i reproduktionshormoner i de kliniske studier.</w:t>
      </w:r>
    </w:p>
    <w:p w14:paraId="51EA040B" w14:textId="77777777" w:rsidR="009E6B88" w:rsidRPr="00111DC8" w:rsidRDefault="009E6B88" w:rsidP="003C29A7">
      <w:pPr>
        <w:ind w:left="851"/>
        <w:rPr>
          <w:rFonts w:eastAsiaTheme="minorEastAsia"/>
          <w:sz w:val="24"/>
          <w:szCs w:val="24"/>
          <w:lang w:eastAsia="zh-CN"/>
        </w:rPr>
      </w:pPr>
    </w:p>
    <w:p w14:paraId="19AA01A0" w14:textId="77777777" w:rsidR="009E6B88" w:rsidRPr="00111DC8" w:rsidRDefault="009E6B88" w:rsidP="003C29A7">
      <w:pPr>
        <w:ind w:left="851"/>
        <w:rPr>
          <w:rFonts w:eastAsiaTheme="minorEastAsia"/>
          <w:sz w:val="24"/>
          <w:szCs w:val="24"/>
          <w:u w:val="single"/>
          <w:lang w:eastAsia="zh-CN"/>
        </w:rPr>
      </w:pPr>
      <w:r w:rsidRPr="00111DC8">
        <w:rPr>
          <w:rFonts w:eastAsiaTheme="minorEastAsia"/>
          <w:sz w:val="24"/>
          <w:szCs w:val="24"/>
          <w:u w:val="single"/>
          <w:lang w:eastAsia="zh-CN"/>
        </w:rPr>
        <w:t>Beskrivelse af udvalgte bivirkninger</w:t>
      </w:r>
    </w:p>
    <w:p w14:paraId="2A0D129F" w14:textId="77777777" w:rsidR="009E6B88" w:rsidRPr="00111DC8" w:rsidRDefault="009E6B88" w:rsidP="003C29A7">
      <w:pPr>
        <w:ind w:left="851"/>
        <w:rPr>
          <w:rFonts w:eastAsiaTheme="minorEastAsia"/>
          <w:sz w:val="24"/>
          <w:szCs w:val="24"/>
          <w:u w:val="single"/>
          <w:lang w:eastAsia="zh-CN"/>
        </w:rPr>
      </w:pPr>
      <w:r w:rsidRPr="00111DC8">
        <w:rPr>
          <w:rFonts w:eastAsiaTheme="minorEastAsia"/>
          <w:sz w:val="24"/>
          <w:szCs w:val="24"/>
          <w:u w:val="single"/>
          <w:lang w:eastAsia="zh-CN"/>
        </w:rPr>
        <w:t>Immunogenicitet</w:t>
      </w:r>
    </w:p>
    <w:p w14:paraId="529019C7" w14:textId="77777777" w:rsidR="009E6B88" w:rsidRPr="00111DC8" w:rsidRDefault="009E6B88" w:rsidP="003C29A7">
      <w:pPr>
        <w:ind w:left="851"/>
        <w:rPr>
          <w:sz w:val="24"/>
          <w:szCs w:val="24"/>
        </w:rPr>
      </w:pPr>
      <w:r w:rsidRPr="00111DC8">
        <w:rPr>
          <w:rFonts w:eastAsiaTheme="minorEastAsia"/>
          <w:sz w:val="24"/>
          <w:szCs w:val="24"/>
          <w:lang w:eastAsia="zh-CN"/>
        </w:rPr>
        <w:t>I de kontrollerede fase III-studier blev forbigående positivitet over for anti-icatibant-antistoffer efter gentagne behandlinger observeret hos voksne i sjældne tilfælde. Alle patienterne opretholdt virkningen. Én icatibant-behandlet patient blev testet positiv for anti-icatibant-antistoffer før og efter behandling med icatibant. Denne patient blev fulgt i 5 måneder, og efterfølgende prøver var negative for anti-icatibant-antistoffer. Der blev ikke rapporteret overfølsomhed eller anafylaktiske reaktioner over for icatibant</w:t>
      </w:r>
    </w:p>
    <w:p w14:paraId="7D39D416" w14:textId="77777777" w:rsidR="009E6B88" w:rsidRPr="00111DC8" w:rsidRDefault="009E6B88" w:rsidP="003C29A7">
      <w:pPr>
        <w:ind w:left="851"/>
        <w:rPr>
          <w:sz w:val="24"/>
          <w:szCs w:val="24"/>
        </w:rPr>
      </w:pPr>
    </w:p>
    <w:p w14:paraId="2E8A464E" w14:textId="77777777" w:rsidR="009E6B88" w:rsidRPr="00111DC8" w:rsidRDefault="009E6B88" w:rsidP="003C29A7">
      <w:pPr>
        <w:ind w:left="851"/>
        <w:rPr>
          <w:sz w:val="24"/>
          <w:szCs w:val="24"/>
          <w:u w:val="single"/>
        </w:rPr>
      </w:pPr>
      <w:r w:rsidRPr="00111DC8">
        <w:rPr>
          <w:sz w:val="24"/>
          <w:szCs w:val="24"/>
          <w:u w:val="single"/>
        </w:rPr>
        <w:t>Indberetning af formodede bivirkninger</w:t>
      </w:r>
    </w:p>
    <w:p w14:paraId="09B7F0FC" w14:textId="77777777" w:rsidR="009E6B88" w:rsidRPr="00111DC8" w:rsidRDefault="009E6B88" w:rsidP="003C29A7">
      <w:pPr>
        <w:ind w:left="851"/>
        <w:rPr>
          <w:sz w:val="24"/>
          <w:szCs w:val="24"/>
        </w:rPr>
      </w:pPr>
      <w:r w:rsidRPr="00111DC8">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70A4B46F" w14:textId="77777777" w:rsidR="009E6B88" w:rsidRPr="00111DC8" w:rsidRDefault="009E6B88" w:rsidP="003C29A7">
      <w:pPr>
        <w:ind w:left="851"/>
        <w:rPr>
          <w:sz w:val="24"/>
          <w:szCs w:val="24"/>
        </w:rPr>
      </w:pPr>
    </w:p>
    <w:p w14:paraId="79AAEBB3" w14:textId="77777777" w:rsidR="009E6B88" w:rsidRPr="00111DC8" w:rsidRDefault="009E6B88" w:rsidP="003C29A7">
      <w:pPr>
        <w:ind w:left="851"/>
        <w:rPr>
          <w:sz w:val="24"/>
          <w:szCs w:val="24"/>
        </w:rPr>
      </w:pPr>
      <w:r w:rsidRPr="00111DC8">
        <w:rPr>
          <w:sz w:val="24"/>
          <w:szCs w:val="24"/>
        </w:rPr>
        <w:t>Lægemiddelstyrelsen</w:t>
      </w:r>
    </w:p>
    <w:p w14:paraId="2D212917" w14:textId="77777777" w:rsidR="009E6B88" w:rsidRPr="00111DC8" w:rsidRDefault="009E6B88" w:rsidP="003C29A7">
      <w:pPr>
        <w:ind w:left="851"/>
        <w:rPr>
          <w:sz w:val="24"/>
          <w:szCs w:val="24"/>
        </w:rPr>
      </w:pPr>
      <w:r w:rsidRPr="00111DC8">
        <w:rPr>
          <w:sz w:val="24"/>
          <w:szCs w:val="24"/>
        </w:rPr>
        <w:t>Axel Heides Gade 1</w:t>
      </w:r>
    </w:p>
    <w:p w14:paraId="6C3222F5" w14:textId="77777777" w:rsidR="009E6B88" w:rsidRPr="00111DC8" w:rsidRDefault="009E6B88" w:rsidP="003C29A7">
      <w:pPr>
        <w:ind w:left="851"/>
        <w:rPr>
          <w:sz w:val="24"/>
          <w:szCs w:val="24"/>
        </w:rPr>
      </w:pPr>
      <w:r w:rsidRPr="00111DC8">
        <w:rPr>
          <w:sz w:val="24"/>
          <w:szCs w:val="24"/>
        </w:rPr>
        <w:t>DK-2300 København S</w:t>
      </w:r>
    </w:p>
    <w:p w14:paraId="5A73F568" w14:textId="77777777" w:rsidR="009E6B88" w:rsidRPr="00111DC8" w:rsidRDefault="009E6B88" w:rsidP="003C29A7">
      <w:pPr>
        <w:ind w:left="851"/>
        <w:rPr>
          <w:sz w:val="24"/>
          <w:szCs w:val="24"/>
        </w:rPr>
      </w:pPr>
      <w:r w:rsidRPr="00111DC8">
        <w:rPr>
          <w:sz w:val="24"/>
          <w:szCs w:val="24"/>
        </w:rPr>
        <w:t xml:space="preserve">Websted: </w:t>
      </w:r>
      <w:hyperlink r:id="rId8" w:history="1">
        <w:r w:rsidRPr="00111DC8">
          <w:rPr>
            <w:rStyle w:val="Hyperlink"/>
            <w:sz w:val="24"/>
            <w:szCs w:val="24"/>
          </w:rPr>
          <w:t>www.meldenbivirkning.dk</w:t>
        </w:r>
      </w:hyperlink>
    </w:p>
    <w:p w14:paraId="77174625" w14:textId="77777777" w:rsidR="009260DE" w:rsidRPr="00111DC8" w:rsidRDefault="009260DE" w:rsidP="00A10294">
      <w:pPr>
        <w:tabs>
          <w:tab w:val="left" w:pos="851"/>
        </w:tabs>
        <w:ind w:left="851"/>
        <w:rPr>
          <w:sz w:val="24"/>
          <w:szCs w:val="24"/>
        </w:rPr>
      </w:pPr>
    </w:p>
    <w:p w14:paraId="52EAF42C" w14:textId="77777777" w:rsidR="009260DE" w:rsidRPr="00111DC8" w:rsidRDefault="009260DE" w:rsidP="009260DE">
      <w:pPr>
        <w:tabs>
          <w:tab w:val="left" w:pos="851"/>
        </w:tabs>
        <w:ind w:left="851" w:hanging="851"/>
        <w:rPr>
          <w:b/>
          <w:sz w:val="24"/>
          <w:szCs w:val="24"/>
        </w:rPr>
      </w:pPr>
      <w:r w:rsidRPr="00111DC8">
        <w:rPr>
          <w:b/>
          <w:sz w:val="24"/>
          <w:szCs w:val="24"/>
        </w:rPr>
        <w:t>4.9</w:t>
      </w:r>
      <w:r w:rsidRPr="00111DC8">
        <w:rPr>
          <w:b/>
          <w:sz w:val="24"/>
          <w:szCs w:val="24"/>
        </w:rPr>
        <w:tab/>
        <w:t>Overdosering</w:t>
      </w:r>
    </w:p>
    <w:p w14:paraId="1245D8C9" w14:textId="77777777" w:rsidR="009E6B88" w:rsidRPr="00111DC8" w:rsidRDefault="009E6B88" w:rsidP="003C29A7">
      <w:pPr>
        <w:autoSpaceDE w:val="0"/>
        <w:autoSpaceDN w:val="0"/>
        <w:adjustRightInd w:val="0"/>
        <w:ind w:left="851"/>
        <w:rPr>
          <w:rFonts w:eastAsiaTheme="minorEastAsia"/>
          <w:sz w:val="24"/>
          <w:szCs w:val="24"/>
          <w:lang w:eastAsia="zh-CN"/>
        </w:rPr>
      </w:pPr>
      <w:r w:rsidRPr="00111DC8">
        <w:rPr>
          <w:rFonts w:eastAsiaTheme="minorEastAsia"/>
          <w:sz w:val="24"/>
          <w:szCs w:val="24"/>
          <w:lang w:eastAsia="zh-CN"/>
        </w:rPr>
        <w:t>Der findes ingen kliniske oplysninger om overdosering.</w:t>
      </w:r>
    </w:p>
    <w:p w14:paraId="1C9A4D1F" w14:textId="77777777" w:rsidR="009E6B88" w:rsidRPr="00111DC8" w:rsidRDefault="009E6B88" w:rsidP="003C29A7">
      <w:pPr>
        <w:autoSpaceDE w:val="0"/>
        <w:autoSpaceDN w:val="0"/>
        <w:adjustRightInd w:val="0"/>
        <w:ind w:left="851"/>
        <w:rPr>
          <w:rFonts w:eastAsiaTheme="minorEastAsia"/>
          <w:sz w:val="24"/>
          <w:szCs w:val="24"/>
          <w:lang w:eastAsia="zh-CN"/>
        </w:rPr>
      </w:pPr>
    </w:p>
    <w:p w14:paraId="668D5748" w14:textId="77777777" w:rsidR="009E6B88" w:rsidRPr="00111DC8" w:rsidRDefault="009E6B88" w:rsidP="003C29A7">
      <w:pPr>
        <w:autoSpaceDE w:val="0"/>
        <w:autoSpaceDN w:val="0"/>
        <w:adjustRightInd w:val="0"/>
        <w:ind w:left="851"/>
        <w:rPr>
          <w:rFonts w:eastAsiaTheme="minorEastAsia"/>
          <w:sz w:val="24"/>
          <w:szCs w:val="24"/>
          <w:lang w:eastAsia="zh-CN"/>
        </w:rPr>
      </w:pPr>
      <w:r w:rsidRPr="00111DC8">
        <w:rPr>
          <w:rFonts w:eastAsiaTheme="minorEastAsia"/>
          <w:sz w:val="24"/>
          <w:szCs w:val="24"/>
          <w:lang w:eastAsia="zh-CN"/>
        </w:rPr>
        <w:t>En intravenøs dosering på 3,2 mg/kg (ca. 8 gange den terapeutiske dosis) forårsagede midlertidigt erytem, kløe, rødme og hypotension hos raske forsøgspersoner. Behandling var ikke nødvendig.</w:t>
      </w:r>
    </w:p>
    <w:p w14:paraId="73ADEE25" w14:textId="77777777" w:rsidR="009260DE" w:rsidRPr="00111DC8" w:rsidRDefault="009260DE" w:rsidP="009260DE">
      <w:pPr>
        <w:tabs>
          <w:tab w:val="left" w:pos="851"/>
        </w:tabs>
        <w:ind w:left="851"/>
        <w:rPr>
          <w:sz w:val="24"/>
          <w:szCs w:val="24"/>
        </w:rPr>
      </w:pPr>
    </w:p>
    <w:p w14:paraId="7295F8CD" w14:textId="77777777" w:rsidR="009260DE" w:rsidRPr="00111DC8" w:rsidRDefault="009260DE" w:rsidP="009260DE">
      <w:pPr>
        <w:tabs>
          <w:tab w:val="left" w:pos="851"/>
        </w:tabs>
        <w:ind w:left="851" w:hanging="851"/>
        <w:rPr>
          <w:b/>
          <w:sz w:val="24"/>
          <w:szCs w:val="24"/>
        </w:rPr>
      </w:pPr>
      <w:r w:rsidRPr="00111DC8">
        <w:rPr>
          <w:b/>
          <w:sz w:val="24"/>
          <w:szCs w:val="24"/>
        </w:rPr>
        <w:t>4.10</w:t>
      </w:r>
      <w:r w:rsidRPr="00111DC8">
        <w:rPr>
          <w:b/>
          <w:sz w:val="24"/>
          <w:szCs w:val="24"/>
        </w:rPr>
        <w:tab/>
        <w:t>Udlevering</w:t>
      </w:r>
    </w:p>
    <w:p w14:paraId="7E76B7F2" w14:textId="7C7041C2" w:rsidR="009260DE" w:rsidRPr="00111DC8" w:rsidRDefault="002B5F69" w:rsidP="009260DE">
      <w:pPr>
        <w:tabs>
          <w:tab w:val="left" w:pos="851"/>
        </w:tabs>
        <w:ind w:left="851"/>
        <w:rPr>
          <w:sz w:val="24"/>
          <w:szCs w:val="24"/>
        </w:rPr>
      </w:pPr>
      <w:r>
        <w:rPr>
          <w:sz w:val="24"/>
          <w:szCs w:val="24"/>
        </w:rPr>
        <w:t>BEGR – kun til sygehuse</w:t>
      </w:r>
    </w:p>
    <w:p w14:paraId="2B7BB946" w14:textId="77777777" w:rsidR="009260DE" w:rsidRPr="00111DC8" w:rsidRDefault="009260DE" w:rsidP="009260DE">
      <w:pPr>
        <w:tabs>
          <w:tab w:val="left" w:pos="851"/>
        </w:tabs>
        <w:ind w:left="851"/>
        <w:rPr>
          <w:sz w:val="24"/>
          <w:szCs w:val="24"/>
        </w:rPr>
      </w:pPr>
    </w:p>
    <w:p w14:paraId="447F7DBC" w14:textId="7997ABB4" w:rsidR="002B5F69" w:rsidRDefault="002B5F69">
      <w:pPr>
        <w:rPr>
          <w:sz w:val="24"/>
          <w:szCs w:val="24"/>
        </w:rPr>
      </w:pPr>
      <w:r>
        <w:rPr>
          <w:sz w:val="24"/>
          <w:szCs w:val="24"/>
        </w:rPr>
        <w:br w:type="page"/>
      </w:r>
    </w:p>
    <w:p w14:paraId="4AA31EE3" w14:textId="77777777" w:rsidR="009260DE" w:rsidRPr="00111DC8" w:rsidRDefault="009260DE" w:rsidP="009260DE">
      <w:pPr>
        <w:tabs>
          <w:tab w:val="left" w:pos="851"/>
        </w:tabs>
        <w:ind w:left="851"/>
        <w:rPr>
          <w:sz w:val="24"/>
          <w:szCs w:val="24"/>
        </w:rPr>
      </w:pPr>
    </w:p>
    <w:p w14:paraId="6A075DD3" w14:textId="77777777" w:rsidR="009260DE" w:rsidRPr="00111DC8" w:rsidRDefault="009260DE" w:rsidP="009260DE">
      <w:pPr>
        <w:tabs>
          <w:tab w:val="left" w:pos="851"/>
        </w:tabs>
        <w:ind w:left="851" w:hanging="851"/>
        <w:rPr>
          <w:b/>
          <w:sz w:val="24"/>
          <w:szCs w:val="24"/>
        </w:rPr>
      </w:pPr>
      <w:r w:rsidRPr="00111DC8">
        <w:rPr>
          <w:b/>
          <w:sz w:val="24"/>
          <w:szCs w:val="24"/>
        </w:rPr>
        <w:t>5.</w:t>
      </w:r>
      <w:r w:rsidRPr="00111DC8">
        <w:rPr>
          <w:b/>
          <w:sz w:val="24"/>
          <w:szCs w:val="24"/>
        </w:rPr>
        <w:tab/>
        <w:t>FARMAKOLOGISKE EGENSKABER</w:t>
      </w:r>
    </w:p>
    <w:p w14:paraId="70DAC908" w14:textId="77777777" w:rsidR="009260DE" w:rsidRPr="00111DC8" w:rsidRDefault="009260DE" w:rsidP="009260DE">
      <w:pPr>
        <w:tabs>
          <w:tab w:val="left" w:pos="851"/>
        </w:tabs>
        <w:ind w:left="851"/>
        <w:rPr>
          <w:sz w:val="24"/>
          <w:szCs w:val="24"/>
        </w:rPr>
      </w:pPr>
    </w:p>
    <w:p w14:paraId="145F2D06" w14:textId="77777777" w:rsidR="009260DE" w:rsidRPr="00111DC8" w:rsidRDefault="009260DE" w:rsidP="009260DE">
      <w:pPr>
        <w:tabs>
          <w:tab w:val="num" w:pos="851"/>
        </w:tabs>
        <w:ind w:left="851" w:hanging="851"/>
        <w:rPr>
          <w:b/>
          <w:sz w:val="24"/>
          <w:szCs w:val="24"/>
        </w:rPr>
      </w:pPr>
      <w:r w:rsidRPr="00111DC8">
        <w:rPr>
          <w:b/>
          <w:sz w:val="24"/>
          <w:szCs w:val="24"/>
        </w:rPr>
        <w:t>5.1</w:t>
      </w:r>
      <w:r w:rsidRPr="00111DC8">
        <w:rPr>
          <w:b/>
          <w:sz w:val="24"/>
          <w:szCs w:val="24"/>
        </w:rPr>
        <w:tab/>
        <w:t>Farmakodynamiske egenskaber</w:t>
      </w:r>
    </w:p>
    <w:p w14:paraId="11732527" w14:textId="77777777" w:rsidR="002A275D" w:rsidRPr="00111DC8" w:rsidRDefault="002A275D" w:rsidP="002A275D">
      <w:pPr>
        <w:autoSpaceDE w:val="0"/>
        <w:autoSpaceDN w:val="0"/>
        <w:adjustRightInd w:val="0"/>
        <w:ind w:left="851"/>
        <w:rPr>
          <w:b/>
          <w:bCs/>
          <w:sz w:val="24"/>
          <w:szCs w:val="24"/>
        </w:rPr>
      </w:pPr>
      <w:r w:rsidRPr="00C922B2">
        <w:rPr>
          <w:sz w:val="24"/>
          <w:szCs w:val="24"/>
        </w:rPr>
        <w:t>Farmakoterapeutisk klassifikation</w:t>
      </w:r>
      <w:r>
        <w:rPr>
          <w:sz w:val="24"/>
          <w:szCs w:val="24"/>
        </w:rPr>
        <w:t xml:space="preserve">: </w:t>
      </w:r>
      <w:r w:rsidRPr="00111DC8">
        <w:rPr>
          <w:rFonts w:eastAsiaTheme="minorEastAsia"/>
          <w:sz w:val="24"/>
          <w:szCs w:val="24"/>
          <w:lang w:eastAsia="zh-CN"/>
        </w:rPr>
        <w:t>Andre hæmatologiske midler, lægemidler brugt til behandlingen af heriditært angioødem</w:t>
      </w:r>
      <w:r>
        <w:rPr>
          <w:rFonts w:eastAsiaTheme="minorEastAsia"/>
          <w:sz w:val="24"/>
          <w:szCs w:val="24"/>
          <w:lang w:eastAsia="zh-CN"/>
        </w:rPr>
        <w:t xml:space="preserve">, </w:t>
      </w:r>
      <w:r w:rsidRPr="00111DC8">
        <w:rPr>
          <w:rFonts w:eastAsiaTheme="minorEastAsia"/>
          <w:sz w:val="24"/>
          <w:szCs w:val="24"/>
          <w:lang w:eastAsia="zh-CN"/>
        </w:rPr>
        <w:t xml:space="preserve">ATC-kode: B 06 AC 02. </w:t>
      </w:r>
    </w:p>
    <w:p w14:paraId="50A0231F" w14:textId="42867A48" w:rsidR="000026E8" w:rsidRDefault="000026E8" w:rsidP="00511433">
      <w:pPr>
        <w:ind w:left="851"/>
        <w:rPr>
          <w:rFonts w:eastAsiaTheme="minorEastAsia"/>
          <w:sz w:val="24"/>
          <w:szCs w:val="24"/>
          <w:lang w:eastAsia="zh-CN"/>
        </w:rPr>
      </w:pPr>
    </w:p>
    <w:p w14:paraId="7D390937" w14:textId="3E940C14" w:rsidR="009E6B88" w:rsidRPr="000026E8" w:rsidRDefault="009E6B88" w:rsidP="00511433">
      <w:pPr>
        <w:ind w:left="851"/>
        <w:rPr>
          <w:rFonts w:eastAsiaTheme="minorEastAsia"/>
          <w:sz w:val="24"/>
          <w:szCs w:val="24"/>
          <w:u w:val="single"/>
          <w:lang w:eastAsia="zh-CN"/>
        </w:rPr>
      </w:pPr>
      <w:r w:rsidRPr="000026E8">
        <w:rPr>
          <w:rFonts w:eastAsiaTheme="minorEastAsia"/>
          <w:sz w:val="24"/>
          <w:szCs w:val="24"/>
          <w:u w:val="single"/>
          <w:lang w:eastAsia="zh-CN"/>
        </w:rPr>
        <w:t>Virkningsmekanisme</w:t>
      </w:r>
    </w:p>
    <w:p w14:paraId="10236FB4" w14:textId="77777777" w:rsidR="009E6B88" w:rsidRPr="00111DC8" w:rsidRDefault="009E6B88" w:rsidP="00511433">
      <w:pPr>
        <w:ind w:left="851"/>
        <w:rPr>
          <w:rFonts w:eastAsiaTheme="minorEastAsia"/>
          <w:sz w:val="24"/>
          <w:szCs w:val="24"/>
          <w:lang w:eastAsia="zh-CN"/>
        </w:rPr>
      </w:pPr>
    </w:p>
    <w:p w14:paraId="3A811572" w14:textId="77777777" w:rsidR="009E6B88" w:rsidRPr="00111DC8" w:rsidRDefault="009E6B88" w:rsidP="00511433">
      <w:pPr>
        <w:ind w:left="851"/>
        <w:rPr>
          <w:rFonts w:eastAsiaTheme="minorEastAsia"/>
          <w:sz w:val="24"/>
          <w:szCs w:val="24"/>
          <w:lang w:eastAsia="zh-CN"/>
        </w:rPr>
      </w:pPr>
      <w:r w:rsidRPr="00111DC8">
        <w:rPr>
          <w:rFonts w:eastAsiaTheme="minorEastAsia"/>
          <w:sz w:val="24"/>
          <w:szCs w:val="24"/>
          <w:lang w:eastAsia="zh-CN"/>
        </w:rPr>
        <w:t>HAE (en autosomal, dominant sygdom) skyldes fravær eller dysfunktion af C1-esterasehæmmer. HAE-anfald ledsages af en øget frigivelse af bradykinin, der er den vigtigste mediator i udviklingen af kliniske symptomer.</w:t>
      </w:r>
    </w:p>
    <w:p w14:paraId="05209414" w14:textId="77777777" w:rsidR="009E6B88" w:rsidRPr="00111DC8" w:rsidRDefault="009E6B88" w:rsidP="00511433">
      <w:pPr>
        <w:ind w:left="851"/>
        <w:rPr>
          <w:rFonts w:eastAsiaTheme="minorEastAsia"/>
          <w:sz w:val="24"/>
          <w:szCs w:val="24"/>
          <w:lang w:eastAsia="zh-CN"/>
        </w:rPr>
      </w:pPr>
    </w:p>
    <w:p w14:paraId="4DDD78B0" w14:textId="77777777" w:rsidR="009E6B88" w:rsidRPr="00111DC8" w:rsidRDefault="009E6B88" w:rsidP="00511433">
      <w:pPr>
        <w:ind w:left="851"/>
        <w:rPr>
          <w:rFonts w:eastAsiaTheme="minorEastAsia"/>
          <w:sz w:val="24"/>
          <w:szCs w:val="24"/>
          <w:lang w:eastAsia="zh-CN"/>
        </w:rPr>
      </w:pPr>
      <w:r w:rsidRPr="00111DC8">
        <w:rPr>
          <w:rFonts w:eastAsiaTheme="minorEastAsia"/>
          <w:sz w:val="24"/>
          <w:szCs w:val="24"/>
          <w:lang w:eastAsia="zh-CN"/>
        </w:rPr>
        <w:t>HAE manifesterer sig som uregelmæssige anfald af subkutane og/eller submukøse ødemer, der involverer de øvre luftveje, huden og mave-tarm-systemet. Et anfald varer normalt mellem 2 og 5 dage.</w:t>
      </w:r>
    </w:p>
    <w:p w14:paraId="446BE555" w14:textId="77777777" w:rsidR="009E6B88" w:rsidRPr="00111DC8" w:rsidRDefault="009E6B88" w:rsidP="00511433">
      <w:pPr>
        <w:ind w:left="851"/>
        <w:rPr>
          <w:rFonts w:eastAsiaTheme="minorEastAsia"/>
          <w:sz w:val="24"/>
          <w:szCs w:val="24"/>
          <w:lang w:eastAsia="zh-CN"/>
        </w:rPr>
      </w:pPr>
    </w:p>
    <w:p w14:paraId="7A49CF35" w14:textId="77777777" w:rsidR="009E6B88" w:rsidRPr="00111DC8" w:rsidRDefault="009E6B88" w:rsidP="00511433">
      <w:pPr>
        <w:ind w:left="851"/>
        <w:rPr>
          <w:rFonts w:eastAsiaTheme="minorEastAsia"/>
          <w:sz w:val="24"/>
          <w:szCs w:val="24"/>
          <w:lang w:eastAsia="zh-CN"/>
        </w:rPr>
      </w:pPr>
      <w:r w:rsidRPr="00111DC8">
        <w:rPr>
          <w:rFonts w:eastAsiaTheme="minorEastAsia"/>
          <w:sz w:val="24"/>
          <w:szCs w:val="24"/>
          <w:lang w:eastAsia="zh-CN"/>
        </w:rPr>
        <w:t>Icatibant er en selektiv, kompetitiv antagonist til bradykinin-receptortype 2 (B2). Det er et syntetisk decapeptid med en struktur, der ligner bradykinin, men med 5 ikke-proteinogene aminosyrer. Ved HAE er de øgede bradykininkoncentrationer den vigtigste faktor i udviklingen af kliniske symptomer.</w:t>
      </w:r>
    </w:p>
    <w:p w14:paraId="7C9F2294" w14:textId="77777777" w:rsidR="009E6B88" w:rsidRPr="00111DC8" w:rsidRDefault="009E6B88" w:rsidP="00511433">
      <w:pPr>
        <w:ind w:left="851"/>
        <w:rPr>
          <w:rFonts w:eastAsiaTheme="minorEastAsia"/>
          <w:sz w:val="24"/>
          <w:szCs w:val="24"/>
          <w:lang w:eastAsia="zh-CN"/>
        </w:rPr>
      </w:pPr>
    </w:p>
    <w:p w14:paraId="7FFE918E" w14:textId="77777777" w:rsidR="009E6B88" w:rsidRPr="000026E8" w:rsidRDefault="009E6B88" w:rsidP="00511433">
      <w:pPr>
        <w:ind w:left="851"/>
        <w:rPr>
          <w:rFonts w:eastAsiaTheme="minorEastAsia"/>
          <w:sz w:val="24"/>
          <w:szCs w:val="24"/>
          <w:u w:val="single"/>
          <w:lang w:eastAsia="zh-CN"/>
        </w:rPr>
      </w:pPr>
      <w:r w:rsidRPr="000026E8">
        <w:rPr>
          <w:rFonts w:eastAsiaTheme="minorEastAsia"/>
          <w:sz w:val="24"/>
          <w:szCs w:val="24"/>
          <w:u w:val="single"/>
          <w:lang w:eastAsia="zh-CN"/>
        </w:rPr>
        <w:t>Farmakodynamisk virkning</w:t>
      </w:r>
    </w:p>
    <w:p w14:paraId="6422F649" w14:textId="77777777" w:rsidR="009E6B88" w:rsidRPr="00111DC8" w:rsidRDefault="009E6B88" w:rsidP="00511433">
      <w:pPr>
        <w:ind w:left="851"/>
        <w:rPr>
          <w:rFonts w:eastAsiaTheme="minorEastAsia"/>
          <w:sz w:val="24"/>
          <w:szCs w:val="24"/>
          <w:lang w:eastAsia="zh-CN"/>
        </w:rPr>
      </w:pPr>
      <w:r w:rsidRPr="00111DC8">
        <w:rPr>
          <w:rFonts w:eastAsiaTheme="minorEastAsia"/>
          <w:sz w:val="24"/>
          <w:szCs w:val="24"/>
          <w:lang w:eastAsia="zh-CN"/>
        </w:rPr>
        <w:t>Hos raske, unge forsøgspersoner forhindrede icatibant, givet i doser på 0,8 mg/kg i løbet af 4 timer, 1,5 mg/kg/dag eller 0,15 mg/kg/dag i 3 dage, udviklingen af bradykinininduceret hypotension, kardilatation og reflekstakykardi. Icatibant viste sig at være en kompetitiv antagonist, når bradykinin-doseringen blev øget 4 gange.</w:t>
      </w:r>
    </w:p>
    <w:p w14:paraId="2C4F388B" w14:textId="77777777" w:rsidR="009E6B88" w:rsidRPr="00111DC8" w:rsidRDefault="009E6B88" w:rsidP="00511433">
      <w:pPr>
        <w:ind w:left="851"/>
        <w:rPr>
          <w:rFonts w:eastAsiaTheme="minorEastAsia"/>
          <w:sz w:val="24"/>
          <w:szCs w:val="24"/>
          <w:lang w:eastAsia="zh-CN"/>
        </w:rPr>
      </w:pPr>
    </w:p>
    <w:p w14:paraId="76390728" w14:textId="77777777" w:rsidR="009E6B88" w:rsidRPr="00111DC8" w:rsidRDefault="009E6B88" w:rsidP="00511433">
      <w:pPr>
        <w:ind w:left="851"/>
        <w:rPr>
          <w:rFonts w:eastAsiaTheme="minorEastAsia"/>
          <w:sz w:val="24"/>
          <w:szCs w:val="24"/>
          <w:lang w:eastAsia="zh-CN"/>
        </w:rPr>
      </w:pPr>
      <w:r w:rsidRPr="00111DC8">
        <w:rPr>
          <w:rFonts w:eastAsiaTheme="minorEastAsia"/>
          <w:sz w:val="24"/>
          <w:szCs w:val="24"/>
          <w:lang w:eastAsia="zh-CN"/>
        </w:rPr>
        <w:t>Klinisk virkning og sikkerhed</w:t>
      </w:r>
    </w:p>
    <w:p w14:paraId="04D4817F" w14:textId="77777777" w:rsidR="009E6B88" w:rsidRPr="00111DC8" w:rsidRDefault="009E6B88" w:rsidP="00511433">
      <w:pPr>
        <w:ind w:left="851"/>
        <w:rPr>
          <w:rFonts w:eastAsiaTheme="minorEastAsia"/>
          <w:sz w:val="24"/>
          <w:szCs w:val="24"/>
          <w:lang w:eastAsia="zh-CN"/>
        </w:rPr>
      </w:pPr>
      <w:r w:rsidRPr="00111DC8">
        <w:rPr>
          <w:rFonts w:eastAsiaTheme="minorEastAsia"/>
          <w:sz w:val="24"/>
          <w:szCs w:val="24"/>
          <w:lang w:eastAsia="zh-CN"/>
        </w:rPr>
        <w:t>Virkningsdata blev opnået fra et åbent fase II-studie og fra tre kontrollerede fase III-studier.</w:t>
      </w:r>
    </w:p>
    <w:p w14:paraId="67789144" w14:textId="77777777" w:rsidR="009E6B88" w:rsidRPr="00111DC8" w:rsidRDefault="009E6B88" w:rsidP="00511433">
      <w:pPr>
        <w:ind w:left="851"/>
        <w:rPr>
          <w:rFonts w:eastAsiaTheme="minorEastAsia"/>
          <w:sz w:val="24"/>
          <w:szCs w:val="24"/>
          <w:lang w:eastAsia="zh-CN"/>
        </w:rPr>
      </w:pPr>
    </w:p>
    <w:p w14:paraId="1769DD62" w14:textId="77777777" w:rsidR="009E6B88" w:rsidRPr="00111DC8" w:rsidRDefault="009E6B88" w:rsidP="00511433">
      <w:pPr>
        <w:ind w:left="851"/>
        <w:rPr>
          <w:rFonts w:eastAsiaTheme="minorEastAsia"/>
          <w:sz w:val="24"/>
          <w:szCs w:val="24"/>
          <w:lang w:eastAsia="zh-CN"/>
        </w:rPr>
      </w:pPr>
      <w:r w:rsidRPr="00111DC8">
        <w:rPr>
          <w:rFonts w:eastAsiaTheme="minorEastAsia"/>
          <w:sz w:val="24"/>
          <w:szCs w:val="24"/>
          <w:lang w:eastAsia="zh-CN"/>
        </w:rPr>
        <w:t>Kliniske fase III-studier (FAST-1 og FAST-2) var randomiserede, dobbeltblindede, kontrollerede studier med identisk design bortset fra komparator (en med oral tranexaminsyre som komparator og en placebokontrolleret). I alt blev 130 patienter randomiseret til at modtage enten en icatibant-dosis på 30 mg (63 patienter) eller et sammenlignende stof (enten tranexaminsyre, - 38 patienter, eller placebo, - 29 patienter). Efterfølgende HAE-anfald blev behandlet i et efterfølgende åbent studie. Patienter med symptomer på angioødem i larynx fik en åben behandling med icatibant. I fase III-studierne var det primære effektmål den tid, det tog for symptomerne at lindre, og der anvendtes en visuel analog skala (VAS). Tabel 3 viser effektresultaterne for disse studier.</w:t>
      </w:r>
    </w:p>
    <w:p w14:paraId="535EBFDC" w14:textId="77777777" w:rsidR="009E6B88" w:rsidRPr="00111DC8" w:rsidRDefault="009E6B88" w:rsidP="00511433">
      <w:pPr>
        <w:ind w:left="851"/>
        <w:rPr>
          <w:rFonts w:eastAsiaTheme="minorEastAsia"/>
          <w:sz w:val="24"/>
          <w:szCs w:val="24"/>
          <w:lang w:eastAsia="zh-CN"/>
        </w:rPr>
      </w:pPr>
    </w:p>
    <w:p w14:paraId="74F32ACB" w14:textId="77777777" w:rsidR="009E6B88" w:rsidRPr="00111DC8" w:rsidRDefault="009E6B88" w:rsidP="00511433">
      <w:pPr>
        <w:ind w:left="851"/>
        <w:rPr>
          <w:rFonts w:eastAsiaTheme="minorEastAsia"/>
          <w:sz w:val="24"/>
          <w:szCs w:val="24"/>
          <w:lang w:eastAsia="zh-CN"/>
        </w:rPr>
      </w:pPr>
      <w:r w:rsidRPr="00111DC8">
        <w:rPr>
          <w:rFonts w:eastAsiaTheme="minorEastAsia"/>
          <w:sz w:val="24"/>
          <w:szCs w:val="24"/>
          <w:lang w:eastAsia="zh-CN"/>
        </w:rPr>
        <w:t>FAST-3 var et randomiseret, placebo-kontrolleret, parallelgruppestudie med 98 voksne patienter med en medianalder på 36 år. Patienterne blev randomiseret til at få enten 30 mg icatibant eller placebo ved subkutan injektion. En delgruppe af patienterne i dette studie oplevede akutte HAE-anfald, mens de fik androgener, antifibrinolytika eller Cl-hæmmere. Det primære endepunkt var den tid, det tog, før symptomerne begyndte at lindres, evalueret ved hjælp af en visuel analog skala med 3 items (VAS-3) bestående af vurdering af hudhævelser, hudsmerter og abdominalsmerter. Tabel 4 viser effektresultaterne for FAST-3.</w:t>
      </w:r>
    </w:p>
    <w:p w14:paraId="2FBD9FB7" w14:textId="77777777" w:rsidR="009E6B88" w:rsidRPr="00111DC8" w:rsidRDefault="009E6B88" w:rsidP="00511433">
      <w:pPr>
        <w:ind w:left="851"/>
        <w:rPr>
          <w:rFonts w:eastAsiaTheme="minorEastAsia"/>
          <w:sz w:val="24"/>
          <w:szCs w:val="24"/>
          <w:lang w:eastAsia="zh-CN"/>
        </w:rPr>
      </w:pPr>
    </w:p>
    <w:p w14:paraId="18A4ED99" w14:textId="77777777" w:rsidR="009E6B88" w:rsidRPr="00111DC8" w:rsidRDefault="009E6B88" w:rsidP="00511433">
      <w:pPr>
        <w:ind w:left="851"/>
        <w:rPr>
          <w:rFonts w:eastAsiaTheme="minorEastAsia"/>
          <w:sz w:val="24"/>
          <w:szCs w:val="24"/>
          <w:lang w:eastAsia="zh-CN"/>
        </w:rPr>
      </w:pPr>
      <w:r w:rsidRPr="00111DC8">
        <w:rPr>
          <w:rFonts w:eastAsiaTheme="minorEastAsia"/>
          <w:sz w:val="24"/>
          <w:szCs w:val="24"/>
          <w:lang w:eastAsia="zh-CN"/>
        </w:rPr>
        <w:t>I disse studier havde patienter, der fik icatibant, en hurtigere mediantid til symptomlindring</w:t>
      </w:r>
    </w:p>
    <w:p w14:paraId="0A3BD051" w14:textId="77777777" w:rsidR="009E6B88" w:rsidRPr="00111DC8" w:rsidRDefault="009E6B88" w:rsidP="00511433">
      <w:pPr>
        <w:ind w:left="851"/>
        <w:rPr>
          <w:rFonts w:eastAsiaTheme="minorEastAsia"/>
          <w:sz w:val="24"/>
          <w:szCs w:val="24"/>
          <w:lang w:eastAsia="zh-CN"/>
        </w:rPr>
      </w:pPr>
      <w:r w:rsidRPr="00111DC8">
        <w:rPr>
          <w:rFonts w:eastAsiaTheme="minorEastAsia"/>
          <w:sz w:val="24"/>
          <w:szCs w:val="24"/>
          <w:lang w:eastAsia="zh-CN"/>
        </w:rPr>
        <w:t>(henholdsvis 2,0, 2,5 og 2,0 timer) i forhold til tranexaminsyre (12,0 timer) og placebo (4,6 og 19,8 timer). Icatibants behandlingseffekt blev bekræftet af sekundære effektmål.</w:t>
      </w:r>
    </w:p>
    <w:p w14:paraId="33B35CB6" w14:textId="77777777" w:rsidR="009E6B88" w:rsidRPr="00111DC8" w:rsidRDefault="009E6B88" w:rsidP="00511433">
      <w:pPr>
        <w:ind w:left="851"/>
        <w:rPr>
          <w:sz w:val="24"/>
          <w:szCs w:val="24"/>
        </w:rPr>
      </w:pPr>
    </w:p>
    <w:p w14:paraId="02F88F2F" w14:textId="77777777" w:rsidR="009E6B88" w:rsidRPr="00111DC8" w:rsidRDefault="009E6B88" w:rsidP="00511433">
      <w:pPr>
        <w:ind w:left="851"/>
        <w:rPr>
          <w:rFonts w:eastAsiaTheme="minorEastAsia"/>
          <w:sz w:val="24"/>
          <w:szCs w:val="24"/>
          <w:lang w:eastAsia="zh-CN"/>
        </w:rPr>
      </w:pPr>
      <w:r w:rsidRPr="00111DC8">
        <w:rPr>
          <w:rFonts w:eastAsiaTheme="minorEastAsia"/>
          <w:sz w:val="24"/>
          <w:szCs w:val="24"/>
          <w:lang w:eastAsia="zh-CN"/>
        </w:rPr>
        <w:t>I en integreret analyse af disse kontrollerede fase III-studier var den tid, det tog, før symptomerne begyndte at lindres, og den tid, det tog, før de primære symptomer begyndte at lindres, den samme uanset aldersgruppe, køn, race eller vægt, og uanset om patienten fik androgener eller antifibrinolytika eller ej.</w:t>
      </w:r>
    </w:p>
    <w:p w14:paraId="1499A21E" w14:textId="77777777" w:rsidR="009E6B88" w:rsidRPr="00111DC8" w:rsidRDefault="009E6B88" w:rsidP="00511433">
      <w:pPr>
        <w:ind w:left="851"/>
        <w:rPr>
          <w:rFonts w:eastAsiaTheme="minorEastAsia"/>
          <w:sz w:val="24"/>
          <w:szCs w:val="24"/>
          <w:lang w:eastAsia="zh-CN"/>
        </w:rPr>
      </w:pPr>
      <w:r w:rsidRPr="00111DC8">
        <w:rPr>
          <w:rFonts w:eastAsiaTheme="minorEastAsia"/>
          <w:sz w:val="24"/>
          <w:szCs w:val="24"/>
          <w:lang w:eastAsia="zh-CN"/>
        </w:rPr>
        <w:t xml:space="preserve">I de kontrollerede fase III-studier var responset også konsistent ved gentagne anfald. I alt 237 patienter blev behandlet med 1386 doser a 30 mg icatibant for 1278 akutte HAE-anfald. For de første 15 anfald, der blev behandlet med icatibant (1114 doser til 1030 anfald), var den mediane tid til debut af symptomlindring ens for anfaldene (2,0 til 2,5 timer). 92,4 % af disse HAE-anfald blev behandlet med én dosis icatibant. </w:t>
      </w:r>
    </w:p>
    <w:p w14:paraId="64ED1A89" w14:textId="77777777" w:rsidR="009E6B88" w:rsidRPr="00111DC8" w:rsidRDefault="009E6B88" w:rsidP="00511433">
      <w:pPr>
        <w:ind w:left="851"/>
        <w:rPr>
          <w:rFonts w:eastAsiaTheme="minorEastAsia"/>
          <w:sz w:val="24"/>
          <w:szCs w:val="24"/>
          <w:lang w:eastAsia="zh-CN"/>
        </w:rPr>
      </w:pPr>
    </w:p>
    <w:p w14:paraId="771FEF1B" w14:textId="77777777" w:rsidR="009E6B88" w:rsidRPr="00111DC8" w:rsidRDefault="009E6B88" w:rsidP="00634591">
      <w:pPr>
        <w:rPr>
          <w:spacing w:val="-1"/>
          <w:sz w:val="24"/>
          <w:szCs w:val="24"/>
        </w:rPr>
      </w:pPr>
      <w:r w:rsidRPr="00111DC8">
        <w:rPr>
          <w:b/>
          <w:bCs/>
          <w:spacing w:val="-1"/>
          <w:sz w:val="24"/>
          <w:szCs w:val="24"/>
        </w:rPr>
        <w:t xml:space="preserve">Tabel 3. </w:t>
      </w:r>
      <w:r w:rsidRPr="00111DC8">
        <w:rPr>
          <w:rFonts w:eastAsiaTheme="minorEastAsia"/>
          <w:b/>
          <w:bCs/>
          <w:sz w:val="24"/>
          <w:szCs w:val="24"/>
          <w:lang w:eastAsia="zh-CN"/>
        </w:rPr>
        <w:t>Effektresultater for FAST-1 og FAST-2</w:t>
      </w:r>
      <w:r w:rsidRPr="00111DC8">
        <w:rPr>
          <w:spacing w:val="-1"/>
          <w:sz w:val="24"/>
          <w:szCs w:val="24"/>
        </w:rPr>
        <w:br/>
      </w:r>
    </w:p>
    <w:tbl>
      <w:tblPr>
        <w:tblStyle w:val="Tabel-Gitter"/>
        <w:tblW w:w="9889" w:type="dxa"/>
        <w:tblLook w:val="04A0" w:firstRow="1" w:lastRow="0" w:firstColumn="1" w:lastColumn="0" w:noHBand="0" w:noVBand="1"/>
      </w:tblPr>
      <w:tblGrid>
        <w:gridCol w:w="2263"/>
        <w:gridCol w:w="1161"/>
        <w:gridCol w:w="1475"/>
        <w:gridCol w:w="2184"/>
        <w:gridCol w:w="1178"/>
        <w:gridCol w:w="1628"/>
      </w:tblGrid>
      <w:tr w:rsidR="009E6B88" w:rsidRPr="000026E8" w14:paraId="6161AC4E" w14:textId="77777777" w:rsidTr="009E6B88">
        <w:trPr>
          <w:tblHeader/>
        </w:trPr>
        <w:tc>
          <w:tcPr>
            <w:tcW w:w="9889" w:type="dxa"/>
            <w:gridSpan w:val="6"/>
            <w:vAlign w:val="center"/>
          </w:tcPr>
          <w:p w14:paraId="1F24C9E2" w14:textId="77777777" w:rsidR="009E6B88" w:rsidRPr="000026E8" w:rsidRDefault="009E6B88" w:rsidP="00634591">
            <w:pPr>
              <w:rPr>
                <w:rFonts w:ascii="Times New Roman" w:hAnsi="Times New Roman" w:cs="Times New Roman"/>
                <w:sz w:val="22"/>
                <w:lang w:val="da-DK"/>
              </w:rPr>
            </w:pPr>
            <w:r w:rsidRPr="000026E8">
              <w:rPr>
                <w:rFonts w:ascii="Times New Roman" w:hAnsi="Times New Roman" w:cs="Times New Roman"/>
                <w:sz w:val="22"/>
                <w:lang w:val="da-DK" w:eastAsia="zh-CN"/>
              </w:rPr>
              <w:t xml:space="preserve">Kontrolleret klinisk studie af icatibant </w:t>
            </w:r>
            <w:r w:rsidRPr="000026E8">
              <w:rPr>
                <w:rFonts w:ascii="Times New Roman" w:hAnsi="Times New Roman" w:cs="Times New Roman"/>
                <w:i/>
                <w:iCs/>
                <w:sz w:val="22"/>
                <w:lang w:val="da-DK" w:eastAsia="zh-CN"/>
              </w:rPr>
              <w:t xml:space="preserve">versus </w:t>
            </w:r>
            <w:r w:rsidRPr="000026E8">
              <w:rPr>
                <w:rFonts w:ascii="Times New Roman" w:hAnsi="Times New Roman" w:cs="Times New Roman"/>
                <w:sz w:val="22"/>
                <w:lang w:val="da-DK" w:eastAsia="zh-CN"/>
              </w:rPr>
              <w:t>tranexamsyre/placebo: Effektresultater</w:t>
            </w:r>
          </w:p>
        </w:tc>
      </w:tr>
      <w:tr w:rsidR="009E6B88" w:rsidRPr="000026E8" w14:paraId="4327A75E" w14:textId="77777777" w:rsidTr="009E6B88">
        <w:trPr>
          <w:tblHeader/>
        </w:trPr>
        <w:tc>
          <w:tcPr>
            <w:tcW w:w="4899" w:type="dxa"/>
            <w:gridSpan w:val="3"/>
            <w:vAlign w:val="center"/>
          </w:tcPr>
          <w:p w14:paraId="7B1C17EE" w14:textId="77777777" w:rsidR="009E6B88" w:rsidRPr="000026E8" w:rsidRDefault="009E6B88" w:rsidP="00634591">
            <w:pPr>
              <w:rPr>
                <w:rFonts w:ascii="Times New Roman" w:hAnsi="Times New Roman" w:cs="Times New Roman"/>
                <w:sz w:val="22"/>
                <w:lang w:val="da-DK"/>
              </w:rPr>
            </w:pPr>
            <w:r w:rsidRPr="000026E8">
              <w:rPr>
                <w:rFonts w:ascii="Times New Roman" w:hAnsi="Times New Roman" w:cs="Times New Roman"/>
                <w:spacing w:val="-1"/>
                <w:sz w:val="22"/>
                <w:lang w:val="da-DK"/>
              </w:rPr>
              <w:t>FAST-2</w:t>
            </w:r>
          </w:p>
        </w:tc>
        <w:tc>
          <w:tcPr>
            <w:tcW w:w="4990" w:type="dxa"/>
            <w:gridSpan w:val="3"/>
            <w:vAlign w:val="center"/>
          </w:tcPr>
          <w:p w14:paraId="7FCEFF5E" w14:textId="77777777" w:rsidR="009E6B88" w:rsidRPr="000026E8" w:rsidRDefault="009E6B88" w:rsidP="00634591">
            <w:pPr>
              <w:rPr>
                <w:rFonts w:ascii="Times New Roman" w:hAnsi="Times New Roman" w:cs="Times New Roman"/>
                <w:sz w:val="22"/>
                <w:lang w:val="da-DK"/>
              </w:rPr>
            </w:pPr>
            <w:r w:rsidRPr="000026E8">
              <w:rPr>
                <w:rFonts w:ascii="Times New Roman" w:hAnsi="Times New Roman" w:cs="Times New Roman"/>
                <w:spacing w:val="-1"/>
                <w:sz w:val="22"/>
                <w:lang w:val="da-DK"/>
              </w:rPr>
              <w:t>FAST-1</w:t>
            </w:r>
          </w:p>
        </w:tc>
      </w:tr>
      <w:tr w:rsidR="00511433" w:rsidRPr="000026E8" w14:paraId="5539E6B8" w14:textId="77777777" w:rsidTr="009E6B88">
        <w:trPr>
          <w:tblHeader/>
        </w:trPr>
        <w:tc>
          <w:tcPr>
            <w:tcW w:w="2263" w:type="dxa"/>
            <w:vAlign w:val="center"/>
          </w:tcPr>
          <w:p w14:paraId="634CA27A" w14:textId="77777777" w:rsidR="009E6B88" w:rsidRPr="000026E8" w:rsidRDefault="009E6B88" w:rsidP="00634591">
            <w:pPr>
              <w:rPr>
                <w:rFonts w:ascii="Times New Roman" w:hAnsi="Times New Roman" w:cs="Times New Roman"/>
                <w:sz w:val="22"/>
                <w:lang w:val="da-DK"/>
              </w:rPr>
            </w:pPr>
          </w:p>
        </w:tc>
        <w:tc>
          <w:tcPr>
            <w:tcW w:w="1161" w:type="dxa"/>
            <w:vAlign w:val="center"/>
          </w:tcPr>
          <w:p w14:paraId="0E0220A7" w14:textId="77777777" w:rsidR="009E6B88" w:rsidRPr="000026E8" w:rsidRDefault="009E6B88" w:rsidP="00634591">
            <w:pPr>
              <w:rPr>
                <w:rFonts w:ascii="Times New Roman" w:hAnsi="Times New Roman" w:cs="Times New Roman"/>
                <w:sz w:val="22"/>
                <w:lang w:val="da-DK"/>
              </w:rPr>
            </w:pPr>
            <w:r w:rsidRPr="000026E8">
              <w:rPr>
                <w:rFonts w:ascii="Times New Roman" w:hAnsi="Times New Roman" w:cs="Times New Roman"/>
                <w:sz w:val="22"/>
                <w:lang w:val="da-DK"/>
              </w:rPr>
              <w:t>Icatibant</w:t>
            </w:r>
          </w:p>
        </w:tc>
        <w:tc>
          <w:tcPr>
            <w:tcW w:w="1475" w:type="dxa"/>
            <w:vAlign w:val="center"/>
          </w:tcPr>
          <w:p w14:paraId="02AB6397" w14:textId="77777777" w:rsidR="009E6B88" w:rsidRPr="000026E8" w:rsidRDefault="009E6B88" w:rsidP="00634591">
            <w:pPr>
              <w:rPr>
                <w:rFonts w:ascii="Times New Roman" w:hAnsi="Times New Roman" w:cs="Times New Roman"/>
                <w:sz w:val="22"/>
                <w:lang w:val="da-DK"/>
              </w:rPr>
            </w:pPr>
            <w:r w:rsidRPr="000026E8">
              <w:rPr>
                <w:rFonts w:ascii="Times New Roman" w:hAnsi="Times New Roman" w:cs="Times New Roman"/>
                <w:sz w:val="22"/>
                <w:lang w:val="da-DK"/>
              </w:rPr>
              <w:t>Tranexamsyre</w:t>
            </w:r>
          </w:p>
        </w:tc>
        <w:tc>
          <w:tcPr>
            <w:tcW w:w="2184" w:type="dxa"/>
            <w:vAlign w:val="center"/>
          </w:tcPr>
          <w:p w14:paraId="04183ED2" w14:textId="77777777" w:rsidR="009E6B88" w:rsidRPr="000026E8" w:rsidRDefault="009E6B88" w:rsidP="00634591">
            <w:pPr>
              <w:rPr>
                <w:rFonts w:ascii="Times New Roman" w:hAnsi="Times New Roman" w:cs="Times New Roman"/>
                <w:sz w:val="22"/>
                <w:lang w:val="da-DK"/>
              </w:rPr>
            </w:pPr>
          </w:p>
        </w:tc>
        <w:tc>
          <w:tcPr>
            <w:tcW w:w="1178" w:type="dxa"/>
            <w:vAlign w:val="center"/>
          </w:tcPr>
          <w:p w14:paraId="312EC327" w14:textId="77777777" w:rsidR="009E6B88" w:rsidRPr="000026E8" w:rsidRDefault="009E6B88" w:rsidP="00634591">
            <w:pPr>
              <w:rPr>
                <w:rFonts w:ascii="Times New Roman" w:hAnsi="Times New Roman" w:cs="Times New Roman"/>
                <w:sz w:val="22"/>
                <w:lang w:val="da-DK"/>
              </w:rPr>
            </w:pPr>
            <w:r w:rsidRPr="000026E8">
              <w:rPr>
                <w:rFonts w:ascii="Times New Roman" w:hAnsi="Times New Roman" w:cs="Times New Roman"/>
                <w:sz w:val="22"/>
                <w:lang w:val="da-DK"/>
              </w:rPr>
              <w:t>Icatibant</w:t>
            </w:r>
          </w:p>
        </w:tc>
        <w:tc>
          <w:tcPr>
            <w:tcW w:w="1628" w:type="dxa"/>
            <w:vAlign w:val="center"/>
          </w:tcPr>
          <w:p w14:paraId="6A0176DD" w14:textId="77777777" w:rsidR="009E6B88" w:rsidRPr="000026E8" w:rsidRDefault="009E6B88" w:rsidP="00634591">
            <w:pPr>
              <w:rPr>
                <w:rFonts w:ascii="Times New Roman" w:hAnsi="Times New Roman" w:cs="Times New Roman"/>
                <w:sz w:val="22"/>
                <w:lang w:val="da-DK"/>
              </w:rPr>
            </w:pPr>
            <w:r w:rsidRPr="000026E8">
              <w:rPr>
                <w:rFonts w:ascii="Times New Roman" w:hAnsi="Times New Roman" w:cs="Times New Roman"/>
                <w:sz w:val="22"/>
                <w:lang w:val="da-DK"/>
              </w:rPr>
              <w:t>Placebo</w:t>
            </w:r>
          </w:p>
        </w:tc>
      </w:tr>
      <w:tr w:rsidR="00511433" w:rsidRPr="000026E8" w14:paraId="675B97DF" w14:textId="77777777" w:rsidTr="009E6B88">
        <w:tc>
          <w:tcPr>
            <w:tcW w:w="2263" w:type="dxa"/>
            <w:vAlign w:val="center"/>
          </w:tcPr>
          <w:p w14:paraId="3F215AB7" w14:textId="2586D42E" w:rsidR="009E6B88" w:rsidRPr="000026E8" w:rsidRDefault="009E6B88" w:rsidP="00511433">
            <w:pPr>
              <w:rPr>
                <w:rFonts w:ascii="Times New Roman" w:eastAsia="Times New Roman" w:hAnsi="Times New Roman" w:cs="Times New Roman"/>
                <w:sz w:val="22"/>
                <w:lang w:val="da-DK"/>
              </w:rPr>
            </w:pPr>
            <w:r w:rsidRPr="000026E8">
              <w:rPr>
                <w:rFonts w:ascii="Times New Roman" w:hAnsi="Times New Roman" w:cs="Times New Roman"/>
                <w:sz w:val="22"/>
                <w:lang w:val="da-DK" w:eastAsia="zh-CN"/>
              </w:rPr>
              <w:t>Antal patienter i</w:t>
            </w:r>
            <w:r w:rsidR="00511433" w:rsidRPr="000026E8">
              <w:rPr>
                <w:rFonts w:ascii="Times New Roman" w:hAnsi="Times New Roman" w:cs="Times New Roman"/>
                <w:sz w:val="22"/>
                <w:lang w:val="da-DK" w:eastAsia="zh-CN"/>
              </w:rPr>
              <w:t xml:space="preserve"> </w:t>
            </w:r>
            <w:r w:rsidRPr="000026E8">
              <w:rPr>
                <w:rFonts w:ascii="Times New Roman" w:hAnsi="Times New Roman" w:cs="Times New Roman"/>
                <w:sz w:val="22"/>
                <w:lang w:val="da-DK" w:eastAsia="zh-CN"/>
              </w:rPr>
              <w:t>ITT-gruppen</w:t>
            </w:r>
          </w:p>
        </w:tc>
        <w:tc>
          <w:tcPr>
            <w:tcW w:w="1161" w:type="dxa"/>
            <w:vAlign w:val="center"/>
          </w:tcPr>
          <w:p w14:paraId="7DA20414" w14:textId="77777777" w:rsidR="009E6B88" w:rsidRPr="000026E8" w:rsidRDefault="009E6B88" w:rsidP="00BC78D1">
            <w:pPr>
              <w:jc w:val="center"/>
              <w:rPr>
                <w:rFonts w:ascii="Times New Roman" w:hAnsi="Times New Roman" w:cs="Times New Roman"/>
                <w:sz w:val="22"/>
                <w:lang w:val="da-DK"/>
              </w:rPr>
            </w:pPr>
            <w:r w:rsidRPr="000026E8">
              <w:rPr>
                <w:rFonts w:ascii="Times New Roman" w:hAnsi="Times New Roman" w:cs="Times New Roman"/>
                <w:sz w:val="22"/>
                <w:lang w:val="da-DK"/>
              </w:rPr>
              <w:t>36</w:t>
            </w:r>
          </w:p>
        </w:tc>
        <w:tc>
          <w:tcPr>
            <w:tcW w:w="1475" w:type="dxa"/>
            <w:vAlign w:val="center"/>
          </w:tcPr>
          <w:p w14:paraId="4B837F28" w14:textId="77777777" w:rsidR="009E6B88" w:rsidRPr="000026E8" w:rsidRDefault="009E6B88" w:rsidP="00BC78D1">
            <w:pPr>
              <w:jc w:val="center"/>
              <w:rPr>
                <w:rFonts w:ascii="Times New Roman" w:hAnsi="Times New Roman" w:cs="Times New Roman"/>
                <w:sz w:val="22"/>
                <w:lang w:val="da-DK"/>
              </w:rPr>
            </w:pPr>
            <w:r w:rsidRPr="000026E8">
              <w:rPr>
                <w:rFonts w:ascii="Times New Roman" w:hAnsi="Times New Roman" w:cs="Times New Roman"/>
                <w:sz w:val="22"/>
                <w:lang w:val="da-DK"/>
              </w:rPr>
              <w:t>38</w:t>
            </w:r>
          </w:p>
        </w:tc>
        <w:tc>
          <w:tcPr>
            <w:tcW w:w="2184" w:type="dxa"/>
            <w:vAlign w:val="center"/>
          </w:tcPr>
          <w:p w14:paraId="5DBD34E8" w14:textId="08A3DDC9" w:rsidR="009E6B88" w:rsidRPr="000026E8" w:rsidRDefault="009E6B88" w:rsidP="00511433">
            <w:pPr>
              <w:rPr>
                <w:rFonts w:ascii="Times New Roman" w:eastAsia="Times New Roman" w:hAnsi="Times New Roman" w:cs="Times New Roman"/>
                <w:sz w:val="22"/>
                <w:lang w:val="da-DK"/>
              </w:rPr>
            </w:pPr>
            <w:r w:rsidRPr="000026E8">
              <w:rPr>
                <w:rFonts w:ascii="Times New Roman" w:hAnsi="Times New Roman" w:cs="Times New Roman"/>
                <w:sz w:val="22"/>
                <w:lang w:val="da-DK" w:eastAsia="zh-CN"/>
              </w:rPr>
              <w:t>Antal patienter i</w:t>
            </w:r>
            <w:r w:rsidR="00511433" w:rsidRPr="000026E8">
              <w:rPr>
                <w:rFonts w:ascii="Times New Roman" w:hAnsi="Times New Roman" w:cs="Times New Roman"/>
                <w:sz w:val="22"/>
                <w:lang w:val="da-DK" w:eastAsia="zh-CN"/>
              </w:rPr>
              <w:t xml:space="preserve"> </w:t>
            </w:r>
            <w:r w:rsidRPr="000026E8">
              <w:rPr>
                <w:rFonts w:ascii="Times New Roman" w:hAnsi="Times New Roman" w:cs="Times New Roman"/>
                <w:sz w:val="22"/>
                <w:lang w:val="da-DK" w:eastAsia="zh-CN"/>
              </w:rPr>
              <w:t>ITT-gruppen</w:t>
            </w:r>
          </w:p>
        </w:tc>
        <w:tc>
          <w:tcPr>
            <w:tcW w:w="1178" w:type="dxa"/>
            <w:vAlign w:val="center"/>
          </w:tcPr>
          <w:p w14:paraId="3EA38677" w14:textId="77777777" w:rsidR="009E6B88" w:rsidRPr="000026E8" w:rsidRDefault="009E6B88" w:rsidP="00BC78D1">
            <w:pPr>
              <w:jc w:val="center"/>
              <w:rPr>
                <w:rFonts w:ascii="Times New Roman" w:hAnsi="Times New Roman" w:cs="Times New Roman"/>
                <w:sz w:val="22"/>
                <w:lang w:val="da-DK"/>
              </w:rPr>
            </w:pPr>
            <w:r w:rsidRPr="000026E8">
              <w:rPr>
                <w:rFonts w:ascii="Times New Roman" w:hAnsi="Times New Roman" w:cs="Times New Roman"/>
                <w:sz w:val="22"/>
                <w:lang w:val="da-DK"/>
              </w:rPr>
              <w:t>27</w:t>
            </w:r>
          </w:p>
        </w:tc>
        <w:tc>
          <w:tcPr>
            <w:tcW w:w="1628" w:type="dxa"/>
            <w:vAlign w:val="center"/>
          </w:tcPr>
          <w:p w14:paraId="226A696F" w14:textId="77777777" w:rsidR="009E6B88" w:rsidRPr="000026E8" w:rsidRDefault="009E6B88" w:rsidP="00BC78D1">
            <w:pPr>
              <w:jc w:val="center"/>
              <w:rPr>
                <w:rFonts w:ascii="Times New Roman" w:hAnsi="Times New Roman" w:cs="Times New Roman"/>
                <w:sz w:val="22"/>
                <w:lang w:val="da-DK"/>
              </w:rPr>
            </w:pPr>
            <w:r w:rsidRPr="000026E8">
              <w:rPr>
                <w:rFonts w:ascii="Times New Roman" w:hAnsi="Times New Roman" w:cs="Times New Roman"/>
                <w:sz w:val="22"/>
                <w:lang w:val="da-DK"/>
              </w:rPr>
              <w:t>29</w:t>
            </w:r>
          </w:p>
        </w:tc>
      </w:tr>
      <w:tr w:rsidR="00511433" w:rsidRPr="000026E8" w14:paraId="0E989977" w14:textId="77777777" w:rsidTr="009E6B88">
        <w:tc>
          <w:tcPr>
            <w:tcW w:w="2263" w:type="dxa"/>
            <w:vAlign w:val="center"/>
          </w:tcPr>
          <w:p w14:paraId="3FDE29F7" w14:textId="77777777" w:rsidR="009E6B88" w:rsidRPr="000026E8" w:rsidRDefault="009E6B88" w:rsidP="00634591">
            <w:pPr>
              <w:rPr>
                <w:rFonts w:ascii="Times New Roman" w:eastAsia="Times New Roman" w:hAnsi="Times New Roman" w:cs="Times New Roman"/>
                <w:sz w:val="22"/>
                <w:lang w:val="da-DK"/>
              </w:rPr>
            </w:pPr>
            <w:r w:rsidRPr="000026E8">
              <w:rPr>
                <w:rFonts w:ascii="Times New Roman" w:hAnsi="Times New Roman" w:cs="Times New Roman"/>
                <w:spacing w:val="-1"/>
                <w:sz w:val="22"/>
                <w:lang w:val="da-DK"/>
              </w:rPr>
              <w:t>Baseline</w:t>
            </w:r>
            <w:r w:rsidRPr="000026E8">
              <w:rPr>
                <w:rFonts w:ascii="Times New Roman" w:hAnsi="Times New Roman" w:cs="Times New Roman"/>
                <w:spacing w:val="26"/>
                <w:sz w:val="22"/>
                <w:lang w:val="da-DK"/>
              </w:rPr>
              <w:t xml:space="preserve"> </w:t>
            </w:r>
            <w:r w:rsidRPr="000026E8">
              <w:rPr>
                <w:rFonts w:ascii="Times New Roman" w:hAnsi="Times New Roman" w:cs="Times New Roman"/>
                <w:spacing w:val="-2"/>
                <w:sz w:val="22"/>
                <w:lang w:val="da-DK"/>
              </w:rPr>
              <w:t>VAS (mm)</w:t>
            </w:r>
          </w:p>
        </w:tc>
        <w:tc>
          <w:tcPr>
            <w:tcW w:w="1161" w:type="dxa"/>
            <w:vAlign w:val="center"/>
          </w:tcPr>
          <w:p w14:paraId="48FCCE68" w14:textId="77777777" w:rsidR="009E6B88" w:rsidRPr="000026E8" w:rsidRDefault="009E6B88" w:rsidP="00BC78D1">
            <w:pPr>
              <w:jc w:val="center"/>
              <w:rPr>
                <w:rFonts w:ascii="Times New Roman" w:hAnsi="Times New Roman" w:cs="Times New Roman"/>
                <w:sz w:val="22"/>
                <w:lang w:val="da-DK"/>
              </w:rPr>
            </w:pPr>
            <w:r w:rsidRPr="000026E8">
              <w:rPr>
                <w:rFonts w:ascii="Times New Roman" w:hAnsi="Times New Roman" w:cs="Times New Roman"/>
                <w:sz w:val="22"/>
                <w:lang w:val="da-DK"/>
              </w:rPr>
              <w:t>63,7</w:t>
            </w:r>
          </w:p>
        </w:tc>
        <w:tc>
          <w:tcPr>
            <w:tcW w:w="1475" w:type="dxa"/>
            <w:vAlign w:val="center"/>
          </w:tcPr>
          <w:p w14:paraId="25875848" w14:textId="77777777" w:rsidR="009E6B88" w:rsidRPr="000026E8" w:rsidRDefault="009E6B88" w:rsidP="00BC78D1">
            <w:pPr>
              <w:jc w:val="center"/>
              <w:rPr>
                <w:rFonts w:ascii="Times New Roman" w:hAnsi="Times New Roman" w:cs="Times New Roman"/>
                <w:sz w:val="22"/>
                <w:lang w:val="da-DK"/>
              </w:rPr>
            </w:pPr>
            <w:r w:rsidRPr="000026E8">
              <w:rPr>
                <w:rFonts w:ascii="Times New Roman" w:hAnsi="Times New Roman" w:cs="Times New Roman"/>
                <w:sz w:val="22"/>
                <w:lang w:val="da-DK"/>
              </w:rPr>
              <w:t>61,5</w:t>
            </w:r>
          </w:p>
        </w:tc>
        <w:tc>
          <w:tcPr>
            <w:tcW w:w="2184" w:type="dxa"/>
            <w:vAlign w:val="center"/>
          </w:tcPr>
          <w:p w14:paraId="5452763B" w14:textId="77777777" w:rsidR="009E6B88" w:rsidRPr="000026E8" w:rsidRDefault="009E6B88" w:rsidP="00634591">
            <w:pPr>
              <w:rPr>
                <w:rFonts w:ascii="Times New Roman" w:eastAsia="Times New Roman" w:hAnsi="Times New Roman" w:cs="Times New Roman"/>
                <w:sz w:val="22"/>
                <w:lang w:val="da-DK"/>
              </w:rPr>
            </w:pPr>
            <w:r w:rsidRPr="000026E8">
              <w:rPr>
                <w:rFonts w:ascii="Times New Roman" w:hAnsi="Times New Roman" w:cs="Times New Roman"/>
                <w:spacing w:val="-1"/>
                <w:sz w:val="22"/>
                <w:lang w:val="da-DK"/>
              </w:rPr>
              <w:t>Baseline</w:t>
            </w:r>
            <w:r w:rsidRPr="000026E8">
              <w:rPr>
                <w:rFonts w:ascii="Times New Roman" w:hAnsi="Times New Roman" w:cs="Times New Roman"/>
                <w:spacing w:val="26"/>
                <w:sz w:val="22"/>
                <w:lang w:val="da-DK"/>
              </w:rPr>
              <w:t xml:space="preserve"> </w:t>
            </w:r>
            <w:r w:rsidRPr="000026E8">
              <w:rPr>
                <w:rFonts w:ascii="Times New Roman" w:hAnsi="Times New Roman" w:cs="Times New Roman"/>
                <w:spacing w:val="-2"/>
                <w:sz w:val="22"/>
                <w:lang w:val="da-DK"/>
              </w:rPr>
              <w:t>VAS (mm)</w:t>
            </w:r>
          </w:p>
        </w:tc>
        <w:tc>
          <w:tcPr>
            <w:tcW w:w="1178" w:type="dxa"/>
            <w:vAlign w:val="center"/>
          </w:tcPr>
          <w:p w14:paraId="7A8E987C" w14:textId="77777777" w:rsidR="009E6B88" w:rsidRPr="000026E8" w:rsidRDefault="009E6B88" w:rsidP="00BC78D1">
            <w:pPr>
              <w:jc w:val="center"/>
              <w:rPr>
                <w:rFonts w:ascii="Times New Roman" w:hAnsi="Times New Roman" w:cs="Times New Roman"/>
                <w:sz w:val="22"/>
                <w:lang w:val="da-DK"/>
              </w:rPr>
            </w:pPr>
            <w:r w:rsidRPr="000026E8">
              <w:rPr>
                <w:rFonts w:ascii="Times New Roman" w:hAnsi="Times New Roman" w:cs="Times New Roman"/>
                <w:sz w:val="22"/>
                <w:lang w:val="da-DK"/>
              </w:rPr>
              <w:t>69,3</w:t>
            </w:r>
          </w:p>
        </w:tc>
        <w:tc>
          <w:tcPr>
            <w:tcW w:w="1628" w:type="dxa"/>
            <w:vAlign w:val="center"/>
          </w:tcPr>
          <w:p w14:paraId="4B7CD232" w14:textId="77777777" w:rsidR="009E6B88" w:rsidRPr="000026E8" w:rsidRDefault="009E6B88" w:rsidP="00BC78D1">
            <w:pPr>
              <w:jc w:val="center"/>
              <w:rPr>
                <w:rFonts w:ascii="Times New Roman" w:hAnsi="Times New Roman" w:cs="Times New Roman"/>
                <w:sz w:val="22"/>
                <w:lang w:val="da-DK"/>
              </w:rPr>
            </w:pPr>
            <w:r w:rsidRPr="000026E8">
              <w:rPr>
                <w:rFonts w:ascii="Times New Roman" w:hAnsi="Times New Roman" w:cs="Times New Roman"/>
                <w:sz w:val="22"/>
                <w:lang w:val="da-DK"/>
              </w:rPr>
              <w:t>67,7</w:t>
            </w:r>
          </w:p>
        </w:tc>
      </w:tr>
      <w:tr w:rsidR="00511433" w:rsidRPr="000026E8" w14:paraId="513F2F25" w14:textId="77777777" w:rsidTr="009E6B88">
        <w:tc>
          <w:tcPr>
            <w:tcW w:w="2263" w:type="dxa"/>
            <w:vAlign w:val="center"/>
          </w:tcPr>
          <w:p w14:paraId="0F4420C8" w14:textId="77777777" w:rsidR="009E6B88" w:rsidRPr="000026E8" w:rsidRDefault="009E6B88" w:rsidP="00634591">
            <w:pPr>
              <w:rPr>
                <w:rFonts w:ascii="Times New Roman" w:eastAsia="Times New Roman" w:hAnsi="Times New Roman" w:cs="Times New Roman"/>
                <w:sz w:val="22"/>
                <w:lang w:val="da-DK"/>
              </w:rPr>
            </w:pPr>
            <w:r w:rsidRPr="000026E8">
              <w:rPr>
                <w:rFonts w:ascii="Times New Roman" w:eastAsia="Times New Roman" w:hAnsi="Times New Roman" w:cs="Times New Roman"/>
                <w:sz w:val="22"/>
                <w:lang w:val="da-DK"/>
              </w:rPr>
              <w:t>Ændring fra baseline til 4 timer</w:t>
            </w:r>
          </w:p>
        </w:tc>
        <w:tc>
          <w:tcPr>
            <w:tcW w:w="1161" w:type="dxa"/>
            <w:vAlign w:val="center"/>
          </w:tcPr>
          <w:p w14:paraId="43AA5520" w14:textId="77777777" w:rsidR="009E6B88" w:rsidRPr="000026E8" w:rsidRDefault="009E6B88" w:rsidP="00BC78D1">
            <w:pPr>
              <w:jc w:val="center"/>
              <w:rPr>
                <w:rFonts w:ascii="Times New Roman" w:hAnsi="Times New Roman" w:cs="Times New Roman"/>
                <w:sz w:val="22"/>
                <w:lang w:val="da-DK"/>
              </w:rPr>
            </w:pPr>
            <w:r w:rsidRPr="000026E8">
              <w:rPr>
                <w:rFonts w:ascii="Times New Roman" w:hAnsi="Times New Roman" w:cs="Times New Roman"/>
                <w:sz w:val="22"/>
                <w:lang w:val="da-DK"/>
              </w:rPr>
              <w:t>-41,6</w:t>
            </w:r>
          </w:p>
        </w:tc>
        <w:tc>
          <w:tcPr>
            <w:tcW w:w="1475" w:type="dxa"/>
            <w:vAlign w:val="center"/>
          </w:tcPr>
          <w:p w14:paraId="78907680" w14:textId="77777777" w:rsidR="009E6B88" w:rsidRPr="000026E8" w:rsidRDefault="009E6B88" w:rsidP="00BC78D1">
            <w:pPr>
              <w:jc w:val="center"/>
              <w:rPr>
                <w:rFonts w:ascii="Times New Roman" w:hAnsi="Times New Roman" w:cs="Times New Roman"/>
                <w:sz w:val="22"/>
                <w:lang w:val="da-DK"/>
              </w:rPr>
            </w:pPr>
            <w:r w:rsidRPr="000026E8">
              <w:rPr>
                <w:rFonts w:ascii="Times New Roman" w:hAnsi="Times New Roman" w:cs="Times New Roman"/>
                <w:sz w:val="22"/>
                <w:lang w:val="da-DK"/>
              </w:rPr>
              <w:t>-14,6</w:t>
            </w:r>
          </w:p>
        </w:tc>
        <w:tc>
          <w:tcPr>
            <w:tcW w:w="2184" w:type="dxa"/>
            <w:vAlign w:val="center"/>
          </w:tcPr>
          <w:p w14:paraId="591F1073" w14:textId="77777777" w:rsidR="009E6B88" w:rsidRPr="000026E8" w:rsidRDefault="009E6B88" w:rsidP="00634591">
            <w:pPr>
              <w:rPr>
                <w:rFonts w:ascii="Times New Roman" w:eastAsia="Times New Roman" w:hAnsi="Times New Roman" w:cs="Times New Roman"/>
                <w:sz w:val="22"/>
                <w:lang w:val="da-DK"/>
              </w:rPr>
            </w:pPr>
            <w:r w:rsidRPr="000026E8">
              <w:rPr>
                <w:rFonts w:ascii="Times New Roman" w:eastAsia="Times New Roman" w:hAnsi="Times New Roman" w:cs="Times New Roman"/>
                <w:sz w:val="22"/>
                <w:lang w:val="da-DK"/>
              </w:rPr>
              <w:t>Ændring fra baseline til 4 timer</w:t>
            </w:r>
          </w:p>
        </w:tc>
        <w:tc>
          <w:tcPr>
            <w:tcW w:w="1178" w:type="dxa"/>
            <w:vAlign w:val="center"/>
          </w:tcPr>
          <w:p w14:paraId="17C6E0AD" w14:textId="77777777" w:rsidR="009E6B88" w:rsidRPr="000026E8" w:rsidRDefault="009E6B88" w:rsidP="00BC78D1">
            <w:pPr>
              <w:jc w:val="center"/>
              <w:rPr>
                <w:rFonts w:ascii="Times New Roman" w:hAnsi="Times New Roman" w:cs="Times New Roman"/>
                <w:sz w:val="22"/>
                <w:lang w:val="da-DK"/>
              </w:rPr>
            </w:pPr>
            <w:r w:rsidRPr="000026E8">
              <w:rPr>
                <w:rFonts w:ascii="Times New Roman" w:hAnsi="Times New Roman" w:cs="Times New Roman"/>
                <w:sz w:val="22"/>
                <w:lang w:val="da-DK"/>
              </w:rPr>
              <w:t>-44,8</w:t>
            </w:r>
          </w:p>
        </w:tc>
        <w:tc>
          <w:tcPr>
            <w:tcW w:w="1628" w:type="dxa"/>
            <w:vAlign w:val="center"/>
          </w:tcPr>
          <w:p w14:paraId="43A5F89B" w14:textId="77777777" w:rsidR="009E6B88" w:rsidRPr="000026E8" w:rsidRDefault="009E6B88" w:rsidP="00BC78D1">
            <w:pPr>
              <w:jc w:val="center"/>
              <w:rPr>
                <w:rFonts w:ascii="Times New Roman" w:hAnsi="Times New Roman" w:cs="Times New Roman"/>
                <w:sz w:val="22"/>
                <w:lang w:val="da-DK"/>
              </w:rPr>
            </w:pPr>
            <w:r w:rsidRPr="000026E8">
              <w:rPr>
                <w:rFonts w:ascii="Times New Roman" w:hAnsi="Times New Roman" w:cs="Times New Roman"/>
                <w:sz w:val="22"/>
                <w:lang w:val="da-DK"/>
              </w:rPr>
              <w:t>-23,5</w:t>
            </w:r>
          </w:p>
        </w:tc>
      </w:tr>
      <w:tr w:rsidR="00511433" w:rsidRPr="000026E8" w14:paraId="5B55282E" w14:textId="77777777" w:rsidTr="009E6B88">
        <w:tc>
          <w:tcPr>
            <w:tcW w:w="2263" w:type="dxa"/>
            <w:vAlign w:val="center"/>
          </w:tcPr>
          <w:p w14:paraId="2D60D056" w14:textId="7855C3B5" w:rsidR="009E6B88" w:rsidRPr="000026E8" w:rsidRDefault="009E6B88" w:rsidP="00634591">
            <w:pPr>
              <w:rPr>
                <w:rFonts w:ascii="Times New Roman" w:hAnsi="Times New Roman" w:cs="Times New Roman"/>
                <w:sz w:val="22"/>
                <w:lang w:val="da-DK" w:eastAsia="zh-CN"/>
              </w:rPr>
            </w:pPr>
            <w:r w:rsidRPr="000026E8">
              <w:rPr>
                <w:rFonts w:ascii="Times New Roman" w:hAnsi="Times New Roman" w:cs="Times New Roman"/>
                <w:sz w:val="22"/>
                <w:lang w:val="da-DK" w:eastAsia="zh-CN"/>
              </w:rPr>
              <w:t>Forskel mellem</w:t>
            </w:r>
            <w:r w:rsidR="00511433" w:rsidRPr="000026E8">
              <w:rPr>
                <w:rFonts w:ascii="Times New Roman" w:hAnsi="Times New Roman" w:cs="Times New Roman"/>
                <w:sz w:val="22"/>
                <w:lang w:val="da-DK" w:eastAsia="zh-CN"/>
              </w:rPr>
              <w:t xml:space="preserve"> </w:t>
            </w:r>
            <w:r w:rsidRPr="000026E8">
              <w:rPr>
                <w:rFonts w:ascii="Times New Roman" w:hAnsi="Times New Roman" w:cs="Times New Roman"/>
                <w:sz w:val="22"/>
                <w:lang w:val="da-DK" w:eastAsia="zh-CN"/>
              </w:rPr>
              <w:t>behandlinger (95%</w:t>
            </w:r>
          </w:p>
          <w:p w14:paraId="76255074" w14:textId="77777777" w:rsidR="009E6B88" w:rsidRPr="000026E8" w:rsidRDefault="009E6B88" w:rsidP="00634591">
            <w:pPr>
              <w:rPr>
                <w:rFonts w:ascii="Times New Roman" w:hAnsi="Times New Roman" w:cs="Times New Roman"/>
                <w:sz w:val="22"/>
                <w:lang w:val="da-DK"/>
              </w:rPr>
            </w:pPr>
            <w:r w:rsidRPr="000026E8">
              <w:rPr>
                <w:rFonts w:ascii="Times New Roman" w:hAnsi="Times New Roman" w:cs="Times New Roman"/>
                <w:sz w:val="22"/>
                <w:lang w:val="da-DK" w:eastAsia="zh-CN"/>
              </w:rPr>
              <w:t>CI, p-værdi</w:t>
            </w:r>
          </w:p>
        </w:tc>
        <w:tc>
          <w:tcPr>
            <w:tcW w:w="2636" w:type="dxa"/>
            <w:gridSpan w:val="2"/>
            <w:vAlign w:val="center"/>
          </w:tcPr>
          <w:p w14:paraId="108C5845" w14:textId="77777777" w:rsidR="009E6B88" w:rsidRPr="000026E8" w:rsidRDefault="009E6B88" w:rsidP="00BC78D1">
            <w:pPr>
              <w:jc w:val="center"/>
              <w:rPr>
                <w:rFonts w:ascii="Times New Roman" w:hAnsi="Times New Roman" w:cs="Times New Roman"/>
                <w:sz w:val="22"/>
                <w:lang w:val="da-DK"/>
              </w:rPr>
            </w:pPr>
            <w:r w:rsidRPr="000026E8">
              <w:rPr>
                <w:rFonts w:ascii="Times New Roman" w:hAnsi="Times New Roman" w:cs="Times New Roman"/>
                <w:spacing w:val="-1"/>
                <w:sz w:val="22"/>
                <w:lang w:val="da-DK"/>
              </w:rPr>
              <w:t>-27,8</w:t>
            </w:r>
            <w:r w:rsidRPr="000026E8">
              <w:rPr>
                <w:rFonts w:ascii="Times New Roman" w:hAnsi="Times New Roman" w:cs="Times New Roman"/>
                <w:sz w:val="22"/>
                <w:lang w:val="da-DK"/>
              </w:rPr>
              <w:t xml:space="preserve"> </w:t>
            </w:r>
            <w:r w:rsidRPr="000026E8">
              <w:rPr>
                <w:rFonts w:ascii="Times New Roman" w:hAnsi="Times New Roman" w:cs="Times New Roman"/>
                <w:spacing w:val="-1"/>
                <w:sz w:val="22"/>
                <w:lang w:val="da-DK"/>
              </w:rPr>
              <w:t>(-39,4,</w:t>
            </w:r>
            <w:r w:rsidRPr="000026E8">
              <w:rPr>
                <w:rFonts w:ascii="Times New Roman" w:hAnsi="Times New Roman" w:cs="Times New Roman"/>
                <w:spacing w:val="2"/>
                <w:sz w:val="22"/>
                <w:lang w:val="da-DK"/>
              </w:rPr>
              <w:t xml:space="preserve"> </w:t>
            </w:r>
            <w:r w:rsidRPr="000026E8">
              <w:rPr>
                <w:rFonts w:ascii="Times New Roman" w:hAnsi="Times New Roman" w:cs="Times New Roman"/>
                <w:spacing w:val="-1"/>
                <w:sz w:val="22"/>
                <w:lang w:val="da-DK"/>
              </w:rPr>
              <w:t>-16,2)</w:t>
            </w:r>
            <w:r w:rsidRPr="000026E8">
              <w:rPr>
                <w:rFonts w:ascii="Times New Roman" w:hAnsi="Times New Roman" w:cs="Times New Roman"/>
                <w:spacing w:val="1"/>
                <w:sz w:val="22"/>
                <w:lang w:val="da-DK"/>
              </w:rPr>
              <w:t xml:space="preserve"> </w:t>
            </w:r>
            <w:r w:rsidRPr="000026E8">
              <w:rPr>
                <w:rFonts w:ascii="Times New Roman" w:hAnsi="Times New Roman" w:cs="Times New Roman"/>
                <w:sz w:val="22"/>
                <w:lang w:val="da-DK"/>
              </w:rPr>
              <w:t xml:space="preserve">p &lt; </w:t>
            </w:r>
            <w:r w:rsidRPr="000026E8">
              <w:rPr>
                <w:rFonts w:ascii="Times New Roman" w:hAnsi="Times New Roman" w:cs="Times New Roman"/>
                <w:spacing w:val="-1"/>
                <w:sz w:val="22"/>
                <w:lang w:val="da-DK"/>
              </w:rPr>
              <w:t>0,001</w:t>
            </w:r>
          </w:p>
        </w:tc>
        <w:tc>
          <w:tcPr>
            <w:tcW w:w="2184" w:type="dxa"/>
            <w:vAlign w:val="center"/>
          </w:tcPr>
          <w:p w14:paraId="247839E4" w14:textId="32D4D2FB" w:rsidR="009E6B88" w:rsidRPr="000026E8" w:rsidRDefault="009E6B88" w:rsidP="00634591">
            <w:pPr>
              <w:rPr>
                <w:rFonts w:ascii="Times New Roman" w:hAnsi="Times New Roman" w:cs="Times New Roman"/>
                <w:sz w:val="22"/>
                <w:lang w:val="da-DK" w:eastAsia="zh-CN"/>
              </w:rPr>
            </w:pPr>
            <w:r w:rsidRPr="000026E8">
              <w:rPr>
                <w:rFonts w:ascii="Times New Roman" w:hAnsi="Times New Roman" w:cs="Times New Roman"/>
                <w:sz w:val="22"/>
                <w:lang w:val="da-DK" w:eastAsia="zh-CN"/>
              </w:rPr>
              <w:t>Forskel mellem</w:t>
            </w:r>
            <w:r w:rsidR="00511433" w:rsidRPr="000026E8">
              <w:rPr>
                <w:rFonts w:ascii="Times New Roman" w:hAnsi="Times New Roman" w:cs="Times New Roman"/>
                <w:sz w:val="22"/>
                <w:lang w:val="da-DK" w:eastAsia="zh-CN"/>
              </w:rPr>
              <w:t xml:space="preserve"> </w:t>
            </w:r>
            <w:r w:rsidRPr="000026E8">
              <w:rPr>
                <w:rFonts w:ascii="Times New Roman" w:hAnsi="Times New Roman" w:cs="Times New Roman"/>
                <w:sz w:val="22"/>
                <w:lang w:val="da-DK" w:eastAsia="zh-CN"/>
              </w:rPr>
              <w:t>behandlinger (95%</w:t>
            </w:r>
          </w:p>
          <w:p w14:paraId="33519ACC" w14:textId="77777777" w:rsidR="009E6B88" w:rsidRPr="000026E8" w:rsidRDefault="009E6B88" w:rsidP="00634591">
            <w:pPr>
              <w:rPr>
                <w:rFonts w:ascii="Times New Roman" w:hAnsi="Times New Roman" w:cs="Times New Roman"/>
                <w:sz w:val="22"/>
                <w:lang w:val="da-DK"/>
              </w:rPr>
            </w:pPr>
            <w:r w:rsidRPr="000026E8">
              <w:rPr>
                <w:rFonts w:ascii="Times New Roman" w:hAnsi="Times New Roman" w:cs="Times New Roman"/>
                <w:sz w:val="22"/>
                <w:lang w:val="da-DK" w:eastAsia="zh-CN"/>
              </w:rPr>
              <w:t>CI, p-værdi</w:t>
            </w:r>
          </w:p>
        </w:tc>
        <w:tc>
          <w:tcPr>
            <w:tcW w:w="2806" w:type="dxa"/>
            <w:gridSpan w:val="2"/>
            <w:vAlign w:val="center"/>
          </w:tcPr>
          <w:p w14:paraId="5CAC5C13" w14:textId="77777777" w:rsidR="009E6B88" w:rsidRPr="000026E8" w:rsidRDefault="009E6B88" w:rsidP="00BC78D1">
            <w:pPr>
              <w:jc w:val="center"/>
              <w:rPr>
                <w:rFonts w:ascii="Times New Roman" w:eastAsia="Times New Roman" w:hAnsi="Times New Roman" w:cs="Times New Roman"/>
                <w:sz w:val="22"/>
                <w:lang w:val="da-DK"/>
              </w:rPr>
            </w:pPr>
            <w:r w:rsidRPr="000026E8">
              <w:rPr>
                <w:rFonts w:ascii="Times New Roman" w:hAnsi="Times New Roman" w:cs="Times New Roman"/>
                <w:spacing w:val="-1"/>
                <w:sz w:val="22"/>
                <w:lang w:val="da-DK"/>
              </w:rPr>
              <w:t>-23,3</w:t>
            </w:r>
            <w:r w:rsidRPr="000026E8">
              <w:rPr>
                <w:rFonts w:ascii="Times New Roman" w:hAnsi="Times New Roman" w:cs="Times New Roman"/>
                <w:sz w:val="22"/>
                <w:lang w:val="da-DK"/>
              </w:rPr>
              <w:t xml:space="preserve"> </w:t>
            </w:r>
            <w:r w:rsidRPr="000026E8">
              <w:rPr>
                <w:rFonts w:ascii="Times New Roman" w:hAnsi="Times New Roman" w:cs="Times New Roman"/>
                <w:spacing w:val="-1"/>
                <w:sz w:val="22"/>
                <w:lang w:val="da-DK"/>
              </w:rPr>
              <w:t>(-37,1,</w:t>
            </w:r>
            <w:r w:rsidRPr="000026E8">
              <w:rPr>
                <w:rFonts w:ascii="Times New Roman" w:hAnsi="Times New Roman" w:cs="Times New Roman"/>
                <w:spacing w:val="2"/>
                <w:sz w:val="22"/>
                <w:lang w:val="da-DK"/>
              </w:rPr>
              <w:t xml:space="preserve"> </w:t>
            </w:r>
            <w:r w:rsidRPr="000026E8">
              <w:rPr>
                <w:rFonts w:ascii="Times New Roman" w:hAnsi="Times New Roman" w:cs="Times New Roman"/>
                <w:spacing w:val="-1"/>
                <w:sz w:val="22"/>
                <w:lang w:val="da-DK"/>
              </w:rPr>
              <w:t>-9,4)</w:t>
            </w:r>
            <w:r w:rsidRPr="000026E8">
              <w:rPr>
                <w:rFonts w:ascii="Times New Roman" w:hAnsi="Times New Roman" w:cs="Times New Roman"/>
                <w:spacing w:val="1"/>
                <w:sz w:val="22"/>
                <w:lang w:val="da-DK"/>
              </w:rPr>
              <w:t xml:space="preserve"> </w:t>
            </w:r>
            <w:r w:rsidRPr="000026E8">
              <w:rPr>
                <w:rFonts w:ascii="Times New Roman" w:hAnsi="Times New Roman" w:cs="Times New Roman"/>
                <w:sz w:val="22"/>
                <w:lang w:val="da-DK"/>
              </w:rPr>
              <w:t>p = 0,002</w:t>
            </w:r>
          </w:p>
        </w:tc>
      </w:tr>
      <w:tr w:rsidR="00511433" w:rsidRPr="000026E8" w14:paraId="3E4D1C74" w14:textId="77777777" w:rsidTr="009E6B88">
        <w:tc>
          <w:tcPr>
            <w:tcW w:w="2263" w:type="dxa"/>
            <w:vAlign w:val="center"/>
          </w:tcPr>
          <w:p w14:paraId="6CF36066" w14:textId="77777777" w:rsidR="009E6B88" w:rsidRPr="000026E8" w:rsidRDefault="009E6B88" w:rsidP="00634591">
            <w:pPr>
              <w:rPr>
                <w:rFonts w:ascii="Times New Roman" w:eastAsia="Times New Roman" w:hAnsi="Times New Roman" w:cs="Times New Roman"/>
                <w:sz w:val="22"/>
                <w:lang w:val="da-DK"/>
              </w:rPr>
            </w:pPr>
            <w:r w:rsidRPr="000026E8">
              <w:rPr>
                <w:rFonts w:ascii="Times New Roman" w:eastAsia="Times New Roman" w:hAnsi="Times New Roman" w:cs="Times New Roman"/>
                <w:sz w:val="22"/>
                <w:lang w:val="da-DK"/>
              </w:rPr>
              <w:t>Ændring fra baseline til 12 timer</w:t>
            </w:r>
          </w:p>
        </w:tc>
        <w:tc>
          <w:tcPr>
            <w:tcW w:w="1161" w:type="dxa"/>
            <w:vAlign w:val="center"/>
          </w:tcPr>
          <w:p w14:paraId="4FC61447" w14:textId="77777777" w:rsidR="009E6B88" w:rsidRPr="000026E8" w:rsidRDefault="009E6B88" w:rsidP="00BC78D1">
            <w:pPr>
              <w:jc w:val="center"/>
              <w:rPr>
                <w:rFonts w:ascii="Times New Roman" w:hAnsi="Times New Roman" w:cs="Times New Roman"/>
                <w:sz w:val="22"/>
                <w:lang w:val="da-DK"/>
              </w:rPr>
            </w:pPr>
            <w:r w:rsidRPr="000026E8">
              <w:rPr>
                <w:rFonts w:ascii="Times New Roman" w:hAnsi="Times New Roman" w:cs="Times New Roman"/>
                <w:sz w:val="22"/>
                <w:lang w:val="da-DK"/>
              </w:rPr>
              <w:t>-54,0</w:t>
            </w:r>
          </w:p>
        </w:tc>
        <w:tc>
          <w:tcPr>
            <w:tcW w:w="1475" w:type="dxa"/>
            <w:vAlign w:val="center"/>
          </w:tcPr>
          <w:p w14:paraId="7D04BEEE" w14:textId="77777777" w:rsidR="009E6B88" w:rsidRPr="000026E8" w:rsidRDefault="009E6B88" w:rsidP="00BC78D1">
            <w:pPr>
              <w:jc w:val="center"/>
              <w:rPr>
                <w:rFonts w:ascii="Times New Roman" w:hAnsi="Times New Roman" w:cs="Times New Roman"/>
                <w:sz w:val="22"/>
                <w:lang w:val="da-DK"/>
              </w:rPr>
            </w:pPr>
            <w:r w:rsidRPr="000026E8">
              <w:rPr>
                <w:rFonts w:ascii="Times New Roman" w:hAnsi="Times New Roman" w:cs="Times New Roman"/>
                <w:sz w:val="22"/>
                <w:lang w:val="da-DK"/>
              </w:rPr>
              <w:t>-30,3</w:t>
            </w:r>
          </w:p>
        </w:tc>
        <w:tc>
          <w:tcPr>
            <w:tcW w:w="2184" w:type="dxa"/>
            <w:vAlign w:val="center"/>
          </w:tcPr>
          <w:p w14:paraId="3A1DBA2E" w14:textId="77777777" w:rsidR="009E6B88" w:rsidRPr="000026E8" w:rsidRDefault="009E6B88" w:rsidP="00634591">
            <w:pPr>
              <w:rPr>
                <w:rFonts w:ascii="Times New Roman" w:eastAsia="Times New Roman" w:hAnsi="Times New Roman" w:cs="Times New Roman"/>
                <w:sz w:val="22"/>
                <w:lang w:val="da-DK"/>
              </w:rPr>
            </w:pPr>
            <w:r w:rsidRPr="000026E8">
              <w:rPr>
                <w:rFonts w:ascii="Times New Roman" w:eastAsia="Times New Roman" w:hAnsi="Times New Roman" w:cs="Times New Roman"/>
                <w:sz w:val="22"/>
                <w:lang w:val="da-DK"/>
              </w:rPr>
              <w:t>Ændring fra baseline til 12 timer</w:t>
            </w:r>
          </w:p>
        </w:tc>
        <w:tc>
          <w:tcPr>
            <w:tcW w:w="1178" w:type="dxa"/>
            <w:vAlign w:val="center"/>
          </w:tcPr>
          <w:p w14:paraId="217C4B28" w14:textId="77777777" w:rsidR="009E6B88" w:rsidRPr="000026E8" w:rsidRDefault="009E6B88" w:rsidP="00BC78D1">
            <w:pPr>
              <w:jc w:val="center"/>
              <w:rPr>
                <w:rFonts w:ascii="Times New Roman" w:hAnsi="Times New Roman" w:cs="Times New Roman"/>
                <w:sz w:val="22"/>
                <w:lang w:val="da-DK"/>
              </w:rPr>
            </w:pPr>
            <w:r w:rsidRPr="000026E8">
              <w:rPr>
                <w:rFonts w:ascii="Times New Roman" w:hAnsi="Times New Roman" w:cs="Times New Roman"/>
                <w:sz w:val="22"/>
                <w:lang w:val="da-DK"/>
              </w:rPr>
              <w:t>-54,2</w:t>
            </w:r>
          </w:p>
        </w:tc>
        <w:tc>
          <w:tcPr>
            <w:tcW w:w="1628" w:type="dxa"/>
            <w:vAlign w:val="center"/>
          </w:tcPr>
          <w:p w14:paraId="385C0C35" w14:textId="77777777" w:rsidR="009E6B88" w:rsidRPr="000026E8" w:rsidRDefault="009E6B88" w:rsidP="00BC78D1">
            <w:pPr>
              <w:jc w:val="center"/>
              <w:rPr>
                <w:rFonts w:ascii="Times New Roman" w:hAnsi="Times New Roman" w:cs="Times New Roman"/>
                <w:sz w:val="22"/>
                <w:lang w:val="da-DK"/>
              </w:rPr>
            </w:pPr>
            <w:r w:rsidRPr="000026E8">
              <w:rPr>
                <w:rFonts w:ascii="Times New Roman" w:hAnsi="Times New Roman" w:cs="Times New Roman"/>
                <w:sz w:val="22"/>
                <w:lang w:val="da-DK"/>
              </w:rPr>
              <w:t>-42,4</w:t>
            </w:r>
          </w:p>
        </w:tc>
      </w:tr>
      <w:tr w:rsidR="00511433" w:rsidRPr="000026E8" w14:paraId="5D1D3FE3" w14:textId="77777777" w:rsidTr="009E6B88">
        <w:tc>
          <w:tcPr>
            <w:tcW w:w="2263" w:type="dxa"/>
            <w:vAlign w:val="center"/>
          </w:tcPr>
          <w:p w14:paraId="2E1E3A3F" w14:textId="2FA8BAEE" w:rsidR="009E6B88" w:rsidRPr="000026E8" w:rsidRDefault="009E6B88" w:rsidP="00634591">
            <w:pPr>
              <w:rPr>
                <w:rFonts w:ascii="Times New Roman" w:hAnsi="Times New Roman" w:cs="Times New Roman"/>
                <w:sz w:val="22"/>
                <w:lang w:val="da-DK" w:eastAsia="zh-CN"/>
              </w:rPr>
            </w:pPr>
            <w:r w:rsidRPr="000026E8">
              <w:rPr>
                <w:rFonts w:ascii="Times New Roman" w:hAnsi="Times New Roman" w:cs="Times New Roman"/>
                <w:sz w:val="22"/>
                <w:lang w:val="da-DK" w:eastAsia="zh-CN"/>
              </w:rPr>
              <w:t>Forskel mellem</w:t>
            </w:r>
            <w:r w:rsidR="00511433" w:rsidRPr="000026E8">
              <w:rPr>
                <w:rFonts w:ascii="Times New Roman" w:hAnsi="Times New Roman" w:cs="Times New Roman"/>
                <w:sz w:val="22"/>
                <w:lang w:val="da-DK" w:eastAsia="zh-CN"/>
              </w:rPr>
              <w:t xml:space="preserve"> </w:t>
            </w:r>
            <w:r w:rsidRPr="000026E8">
              <w:rPr>
                <w:rFonts w:ascii="Times New Roman" w:hAnsi="Times New Roman" w:cs="Times New Roman"/>
                <w:sz w:val="22"/>
                <w:lang w:val="da-DK" w:eastAsia="zh-CN"/>
              </w:rPr>
              <w:t>behandlinger (95%</w:t>
            </w:r>
          </w:p>
          <w:p w14:paraId="58AD4246" w14:textId="77777777" w:rsidR="009E6B88" w:rsidRPr="000026E8" w:rsidRDefault="009E6B88" w:rsidP="00634591">
            <w:pPr>
              <w:rPr>
                <w:rFonts w:ascii="Times New Roman" w:eastAsia="Times New Roman" w:hAnsi="Times New Roman" w:cs="Times New Roman"/>
                <w:sz w:val="22"/>
                <w:lang w:val="da-DK"/>
              </w:rPr>
            </w:pPr>
            <w:r w:rsidRPr="000026E8">
              <w:rPr>
                <w:rFonts w:ascii="Times New Roman" w:hAnsi="Times New Roman" w:cs="Times New Roman"/>
                <w:sz w:val="22"/>
                <w:lang w:val="da-DK" w:eastAsia="zh-CN"/>
              </w:rPr>
              <w:t>CI, p-værdi</w:t>
            </w:r>
          </w:p>
        </w:tc>
        <w:tc>
          <w:tcPr>
            <w:tcW w:w="2636" w:type="dxa"/>
            <w:gridSpan w:val="2"/>
            <w:vAlign w:val="center"/>
          </w:tcPr>
          <w:p w14:paraId="1BC3578E" w14:textId="77777777" w:rsidR="00BC78D1" w:rsidRDefault="009E6B88" w:rsidP="00BC78D1">
            <w:pPr>
              <w:jc w:val="center"/>
              <w:rPr>
                <w:rFonts w:ascii="Times New Roman" w:hAnsi="Times New Roman" w:cs="Times New Roman"/>
                <w:spacing w:val="1"/>
                <w:sz w:val="22"/>
                <w:lang w:val="da-DK"/>
              </w:rPr>
            </w:pPr>
            <w:r w:rsidRPr="000026E8">
              <w:rPr>
                <w:rFonts w:ascii="Times New Roman" w:hAnsi="Times New Roman" w:cs="Times New Roman"/>
                <w:spacing w:val="-1"/>
                <w:sz w:val="22"/>
                <w:lang w:val="da-DK"/>
              </w:rPr>
              <w:t>-24,1</w:t>
            </w:r>
            <w:r w:rsidRPr="000026E8">
              <w:rPr>
                <w:rFonts w:ascii="Times New Roman" w:hAnsi="Times New Roman" w:cs="Times New Roman"/>
                <w:sz w:val="22"/>
                <w:lang w:val="da-DK"/>
              </w:rPr>
              <w:t xml:space="preserve"> </w:t>
            </w:r>
            <w:r w:rsidRPr="000026E8">
              <w:rPr>
                <w:rFonts w:ascii="Times New Roman" w:hAnsi="Times New Roman" w:cs="Times New Roman"/>
                <w:spacing w:val="-1"/>
                <w:sz w:val="22"/>
                <w:lang w:val="da-DK"/>
              </w:rPr>
              <w:t>(-33,6,</w:t>
            </w:r>
            <w:r w:rsidRPr="000026E8">
              <w:rPr>
                <w:rFonts w:ascii="Times New Roman" w:hAnsi="Times New Roman" w:cs="Times New Roman"/>
                <w:spacing w:val="2"/>
                <w:sz w:val="22"/>
                <w:lang w:val="da-DK"/>
              </w:rPr>
              <w:t xml:space="preserve"> </w:t>
            </w:r>
            <w:r w:rsidRPr="000026E8">
              <w:rPr>
                <w:rFonts w:ascii="Times New Roman" w:hAnsi="Times New Roman" w:cs="Times New Roman"/>
                <w:spacing w:val="-1"/>
                <w:sz w:val="22"/>
                <w:lang w:val="da-DK"/>
              </w:rPr>
              <w:t>-14,6)</w:t>
            </w:r>
            <w:r w:rsidRPr="000026E8">
              <w:rPr>
                <w:rFonts w:ascii="Times New Roman" w:hAnsi="Times New Roman" w:cs="Times New Roman"/>
                <w:spacing w:val="1"/>
                <w:sz w:val="22"/>
                <w:lang w:val="da-DK"/>
              </w:rPr>
              <w:t xml:space="preserve"> </w:t>
            </w:r>
          </w:p>
          <w:p w14:paraId="09D46AE6" w14:textId="18F22006" w:rsidR="009E6B88" w:rsidRPr="000026E8" w:rsidRDefault="009E6B88" w:rsidP="00BC78D1">
            <w:pPr>
              <w:jc w:val="center"/>
              <w:rPr>
                <w:rFonts w:ascii="Times New Roman" w:hAnsi="Times New Roman" w:cs="Times New Roman"/>
                <w:sz w:val="22"/>
                <w:lang w:val="da-DK"/>
              </w:rPr>
            </w:pPr>
            <w:r w:rsidRPr="000026E8">
              <w:rPr>
                <w:rFonts w:ascii="Times New Roman" w:hAnsi="Times New Roman" w:cs="Times New Roman"/>
                <w:sz w:val="22"/>
                <w:lang w:val="da-DK"/>
              </w:rPr>
              <w:t xml:space="preserve">p &lt; </w:t>
            </w:r>
            <w:r w:rsidRPr="000026E8">
              <w:rPr>
                <w:rFonts w:ascii="Times New Roman" w:hAnsi="Times New Roman" w:cs="Times New Roman"/>
                <w:spacing w:val="-1"/>
                <w:sz w:val="22"/>
                <w:lang w:val="da-DK"/>
              </w:rPr>
              <w:t>0,001</w:t>
            </w:r>
          </w:p>
        </w:tc>
        <w:tc>
          <w:tcPr>
            <w:tcW w:w="2184" w:type="dxa"/>
            <w:vAlign w:val="center"/>
          </w:tcPr>
          <w:p w14:paraId="1B14C3A9" w14:textId="7252F72F" w:rsidR="009E6B88" w:rsidRPr="000026E8" w:rsidRDefault="009E6B88" w:rsidP="00634591">
            <w:pPr>
              <w:rPr>
                <w:rFonts w:ascii="Times New Roman" w:hAnsi="Times New Roman" w:cs="Times New Roman"/>
                <w:sz w:val="22"/>
                <w:lang w:val="da-DK" w:eastAsia="zh-CN"/>
              </w:rPr>
            </w:pPr>
            <w:r w:rsidRPr="000026E8">
              <w:rPr>
                <w:rFonts w:ascii="Times New Roman" w:hAnsi="Times New Roman" w:cs="Times New Roman"/>
                <w:sz w:val="22"/>
                <w:lang w:val="da-DK" w:eastAsia="zh-CN"/>
              </w:rPr>
              <w:t>Forskel mellem</w:t>
            </w:r>
            <w:r w:rsidR="00511433" w:rsidRPr="000026E8">
              <w:rPr>
                <w:rFonts w:ascii="Times New Roman" w:hAnsi="Times New Roman" w:cs="Times New Roman"/>
                <w:sz w:val="22"/>
                <w:lang w:val="da-DK" w:eastAsia="zh-CN"/>
              </w:rPr>
              <w:t xml:space="preserve"> </w:t>
            </w:r>
            <w:r w:rsidRPr="000026E8">
              <w:rPr>
                <w:rFonts w:ascii="Times New Roman" w:hAnsi="Times New Roman" w:cs="Times New Roman"/>
                <w:sz w:val="22"/>
                <w:lang w:val="da-DK" w:eastAsia="zh-CN"/>
              </w:rPr>
              <w:t>behandlinger (95%</w:t>
            </w:r>
          </w:p>
          <w:p w14:paraId="06A2DF4C" w14:textId="77777777" w:rsidR="009E6B88" w:rsidRPr="000026E8" w:rsidRDefault="009E6B88" w:rsidP="00634591">
            <w:pPr>
              <w:rPr>
                <w:rFonts w:ascii="Times New Roman" w:hAnsi="Times New Roman" w:cs="Times New Roman"/>
                <w:sz w:val="22"/>
                <w:lang w:val="da-DK"/>
              </w:rPr>
            </w:pPr>
            <w:r w:rsidRPr="000026E8">
              <w:rPr>
                <w:rFonts w:ascii="Times New Roman" w:hAnsi="Times New Roman" w:cs="Times New Roman"/>
                <w:sz w:val="22"/>
                <w:lang w:val="da-DK" w:eastAsia="zh-CN"/>
              </w:rPr>
              <w:t>CI, p-værdi</w:t>
            </w:r>
          </w:p>
        </w:tc>
        <w:tc>
          <w:tcPr>
            <w:tcW w:w="2806" w:type="dxa"/>
            <w:gridSpan w:val="2"/>
            <w:vAlign w:val="center"/>
          </w:tcPr>
          <w:p w14:paraId="315D233A" w14:textId="77777777" w:rsidR="009E6B88" w:rsidRPr="000026E8" w:rsidRDefault="009E6B88" w:rsidP="00AD3197">
            <w:pPr>
              <w:jc w:val="center"/>
              <w:rPr>
                <w:rFonts w:ascii="Times New Roman" w:eastAsia="Times New Roman" w:hAnsi="Times New Roman" w:cs="Times New Roman"/>
                <w:sz w:val="22"/>
                <w:lang w:val="da-DK"/>
              </w:rPr>
            </w:pPr>
            <w:r w:rsidRPr="000026E8">
              <w:rPr>
                <w:rFonts w:ascii="Times New Roman" w:hAnsi="Times New Roman" w:cs="Times New Roman"/>
                <w:spacing w:val="-1"/>
                <w:sz w:val="22"/>
                <w:lang w:val="da-DK"/>
              </w:rPr>
              <w:t>-15,2</w:t>
            </w:r>
            <w:r w:rsidRPr="000026E8">
              <w:rPr>
                <w:rFonts w:ascii="Times New Roman" w:hAnsi="Times New Roman" w:cs="Times New Roman"/>
                <w:sz w:val="22"/>
                <w:lang w:val="da-DK"/>
              </w:rPr>
              <w:t xml:space="preserve"> </w:t>
            </w:r>
            <w:r w:rsidRPr="000026E8">
              <w:rPr>
                <w:rFonts w:ascii="Times New Roman" w:hAnsi="Times New Roman" w:cs="Times New Roman"/>
                <w:spacing w:val="-1"/>
                <w:sz w:val="22"/>
                <w:lang w:val="da-DK"/>
              </w:rPr>
              <w:t>(-28,6,</w:t>
            </w:r>
            <w:r w:rsidRPr="000026E8">
              <w:rPr>
                <w:rFonts w:ascii="Times New Roman" w:hAnsi="Times New Roman" w:cs="Times New Roman"/>
                <w:spacing w:val="2"/>
                <w:sz w:val="22"/>
                <w:lang w:val="da-DK"/>
              </w:rPr>
              <w:t xml:space="preserve"> </w:t>
            </w:r>
            <w:r w:rsidRPr="000026E8">
              <w:rPr>
                <w:rFonts w:ascii="Times New Roman" w:hAnsi="Times New Roman" w:cs="Times New Roman"/>
                <w:spacing w:val="-1"/>
                <w:sz w:val="22"/>
                <w:lang w:val="da-DK"/>
              </w:rPr>
              <w:t>-1,7)</w:t>
            </w:r>
            <w:r w:rsidRPr="000026E8">
              <w:rPr>
                <w:rFonts w:ascii="Times New Roman" w:hAnsi="Times New Roman" w:cs="Times New Roman"/>
                <w:spacing w:val="1"/>
                <w:sz w:val="22"/>
                <w:lang w:val="da-DK"/>
              </w:rPr>
              <w:t xml:space="preserve"> </w:t>
            </w:r>
            <w:r w:rsidRPr="000026E8">
              <w:rPr>
                <w:rFonts w:ascii="Times New Roman" w:hAnsi="Times New Roman" w:cs="Times New Roman"/>
                <w:sz w:val="22"/>
                <w:lang w:val="da-DK"/>
              </w:rPr>
              <w:t>p =0,028</w:t>
            </w:r>
          </w:p>
        </w:tc>
      </w:tr>
      <w:tr w:rsidR="00511433" w:rsidRPr="000026E8" w14:paraId="5367119E" w14:textId="77777777" w:rsidTr="009E6B88">
        <w:tc>
          <w:tcPr>
            <w:tcW w:w="2263" w:type="dxa"/>
            <w:vAlign w:val="center"/>
          </w:tcPr>
          <w:p w14:paraId="416525F5" w14:textId="6DC904BD" w:rsidR="009E6B88" w:rsidRPr="000026E8" w:rsidRDefault="009E6B88" w:rsidP="00511433">
            <w:pPr>
              <w:rPr>
                <w:rFonts w:ascii="Times New Roman" w:eastAsia="Times New Roman" w:hAnsi="Times New Roman" w:cs="Times New Roman"/>
                <w:sz w:val="22"/>
                <w:lang w:val="da-DK"/>
              </w:rPr>
            </w:pPr>
            <w:r w:rsidRPr="000026E8">
              <w:rPr>
                <w:rFonts w:ascii="Times New Roman" w:hAnsi="Times New Roman" w:cs="Times New Roman"/>
                <w:sz w:val="22"/>
                <w:lang w:val="da-DK" w:eastAsia="zh-CN"/>
              </w:rPr>
              <w:t>Mediantid til</w:t>
            </w:r>
            <w:r w:rsidR="00511433" w:rsidRPr="000026E8">
              <w:rPr>
                <w:rFonts w:ascii="Times New Roman" w:hAnsi="Times New Roman" w:cs="Times New Roman"/>
                <w:sz w:val="22"/>
                <w:lang w:val="da-DK" w:eastAsia="zh-CN"/>
              </w:rPr>
              <w:t xml:space="preserve"> </w:t>
            </w:r>
            <w:r w:rsidRPr="000026E8">
              <w:rPr>
                <w:rFonts w:ascii="Times New Roman" w:hAnsi="Times New Roman" w:cs="Times New Roman"/>
                <w:sz w:val="22"/>
                <w:lang w:val="da-DK" w:eastAsia="zh-CN"/>
              </w:rPr>
              <w:t>begyndelse af</w:t>
            </w:r>
            <w:r w:rsidR="00511433" w:rsidRPr="000026E8">
              <w:rPr>
                <w:rFonts w:ascii="Times New Roman" w:hAnsi="Times New Roman" w:cs="Times New Roman"/>
                <w:sz w:val="22"/>
                <w:lang w:val="da-DK" w:eastAsia="zh-CN"/>
              </w:rPr>
              <w:t xml:space="preserve"> </w:t>
            </w:r>
            <w:r w:rsidRPr="000026E8">
              <w:rPr>
                <w:rFonts w:ascii="Times New Roman" w:hAnsi="Times New Roman" w:cs="Times New Roman"/>
                <w:sz w:val="22"/>
                <w:lang w:val="da-DK" w:eastAsia="zh-CN"/>
              </w:rPr>
              <w:t>symptomlindring</w:t>
            </w:r>
            <w:r w:rsidR="00511433" w:rsidRPr="000026E8">
              <w:rPr>
                <w:rFonts w:ascii="Times New Roman" w:hAnsi="Times New Roman" w:cs="Times New Roman"/>
                <w:sz w:val="22"/>
                <w:lang w:val="da-DK" w:eastAsia="zh-CN"/>
              </w:rPr>
              <w:t xml:space="preserve"> </w:t>
            </w:r>
            <w:r w:rsidRPr="000026E8">
              <w:rPr>
                <w:rFonts w:ascii="Times New Roman" w:hAnsi="Times New Roman" w:cs="Times New Roman"/>
                <w:sz w:val="22"/>
                <w:lang w:val="da-DK" w:eastAsia="zh-CN"/>
              </w:rPr>
              <w:t>(timer)</w:t>
            </w:r>
          </w:p>
        </w:tc>
        <w:tc>
          <w:tcPr>
            <w:tcW w:w="1161" w:type="dxa"/>
            <w:vAlign w:val="center"/>
          </w:tcPr>
          <w:p w14:paraId="606E073C" w14:textId="77777777" w:rsidR="009E6B88" w:rsidRPr="000026E8" w:rsidRDefault="009E6B88" w:rsidP="00634591">
            <w:pPr>
              <w:rPr>
                <w:rFonts w:ascii="Times New Roman" w:hAnsi="Times New Roman" w:cs="Times New Roman"/>
                <w:sz w:val="22"/>
                <w:lang w:val="da-DK"/>
              </w:rPr>
            </w:pPr>
          </w:p>
        </w:tc>
        <w:tc>
          <w:tcPr>
            <w:tcW w:w="1475" w:type="dxa"/>
            <w:vAlign w:val="center"/>
          </w:tcPr>
          <w:p w14:paraId="781883D3" w14:textId="77777777" w:rsidR="009E6B88" w:rsidRPr="000026E8" w:rsidRDefault="009E6B88" w:rsidP="00634591">
            <w:pPr>
              <w:rPr>
                <w:rFonts w:ascii="Times New Roman" w:hAnsi="Times New Roman" w:cs="Times New Roman"/>
                <w:sz w:val="22"/>
                <w:lang w:val="da-DK"/>
              </w:rPr>
            </w:pPr>
          </w:p>
        </w:tc>
        <w:tc>
          <w:tcPr>
            <w:tcW w:w="2184" w:type="dxa"/>
            <w:vAlign w:val="center"/>
          </w:tcPr>
          <w:p w14:paraId="50678521" w14:textId="7FCBF0E5" w:rsidR="009E6B88" w:rsidRPr="000026E8" w:rsidRDefault="009E6B88" w:rsidP="00511433">
            <w:pPr>
              <w:rPr>
                <w:rFonts w:ascii="Times New Roman" w:eastAsia="Times New Roman" w:hAnsi="Times New Roman" w:cs="Times New Roman"/>
                <w:sz w:val="22"/>
                <w:lang w:val="da-DK"/>
              </w:rPr>
            </w:pPr>
            <w:r w:rsidRPr="000026E8">
              <w:rPr>
                <w:rFonts w:ascii="Times New Roman" w:hAnsi="Times New Roman" w:cs="Times New Roman"/>
                <w:sz w:val="22"/>
                <w:lang w:val="da-DK" w:eastAsia="zh-CN"/>
              </w:rPr>
              <w:t>Mediantid til</w:t>
            </w:r>
            <w:r w:rsidR="00511433" w:rsidRPr="000026E8">
              <w:rPr>
                <w:rFonts w:ascii="Times New Roman" w:hAnsi="Times New Roman" w:cs="Times New Roman"/>
                <w:sz w:val="22"/>
                <w:lang w:val="da-DK" w:eastAsia="zh-CN"/>
              </w:rPr>
              <w:t xml:space="preserve"> </w:t>
            </w:r>
            <w:r w:rsidRPr="000026E8">
              <w:rPr>
                <w:rFonts w:ascii="Times New Roman" w:hAnsi="Times New Roman" w:cs="Times New Roman"/>
                <w:sz w:val="22"/>
                <w:lang w:val="da-DK" w:eastAsia="zh-CN"/>
              </w:rPr>
              <w:t>begyndelse af</w:t>
            </w:r>
            <w:r w:rsidR="00511433" w:rsidRPr="000026E8">
              <w:rPr>
                <w:rFonts w:ascii="Times New Roman" w:hAnsi="Times New Roman" w:cs="Times New Roman"/>
                <w:sz w:val="22"/>
                <w:lang w:val="da-DK" w:eastAsia="zh-CN"/>
              </w:rPr>
              <w:t xml:space="preserve"> </w:t>
            </w:r>
            <w:r w:rsidRPr="000026E8">
              <w:rPr>
                <w:rFonts w:ascii="Times New Roman" w:hAnsi="Times New Roman" w:cs="Times New Roman"/>
                <w:sz w:val="22"/>
                <w:lang w:val="da-DK" w:eastAsia="zh-CN"/>
              </w:rPr>
              <w:t>symptomlindring</w:t>
            </w:r>
            <w:r w:rsidR="00511433" w:rsidRPr="000026E8">
              <w:rPr>
                <w:rFonts w:ascii="Times New Roman" w:hAnsi="Times New Roman" w:cs="Times New Roman"/>
                <w:sz w:val="22"/>
                <w:lang w:val="da-DK" w:eastAsia="zh-CN"/>
              </w:rPr>
              <w:t xml:space="preserve"> </w:t>
            </w:r>
            <w:r w:rsidRPr="000026E8">
              <w:rPr>
                <w:rFonts w:ascii="Times New Roman" w:hAnsi="Times New Roman" w:cs="Times New Roman"/>
                <w:sz w:val="22"/>
                <w:lang w:val="da-DK" w:eastAsia="zh-CN"/>
              </w:rPr>
              <w:t>(timer)</w:t>
            </w:r>
          </w:p>
        </w:tc>
        <w:tc>
          <w:tcPr>
            <w:tcW w:w="1178" w:type="dxa"/>
            <w:vAlign w:val="center"/>
          </w:tcPr>
          <w:p w14:paraId="2E6B11AA" w14:textId="77777777" w:rsidR="009E6B88" w:rsidRPr="000026E8" w:rsidRDefault="009E6B88" w:rsidP="00AD3197">
            <w:pPr>
              <w:jc w:val="center"/>
              <w:rPr>
                <w:rFonts w:ascii="Times New Roman" w:hAnsi="Times New Roman" w:cs="Times New Roman"/>
                <w:sz w:val="22"/>
                <w:lang w:val="da-DK"/>
              </w:rPr>
            </w:pPr>
          </w:p>
        </w:tc>
        <w:tc>
          <w:tcPr>
            <w:tcW w:w="1628" w:type="dxa"/>
            <w:vAlign w:val="center"/>
          </w:tcPr>
          <w:p w14:paraId="5C9175F5" w14:textId="77777777" w:rsidR="009E6B88" w:rsidRPr="000026E8" w:rsidRDefault="009E6B88" w:rsidP="00AD3197">
            <w:pPr>
              <w:jc w:val="center"/>
              <w:rPr>
                <w:rFonts w:ascii="Times New Roman" w:hAnsi="Times New Roman" w:cs="Times New Roman"/>
                <w:sz w:val="22"/>
                <w:lang w:val="da-DK"/>
              </w:rPr>
            </w:pPr>
          </w:p>
        </w:tc>
      </w:tr>
      <w:tr w:rsidR="00511433" w:rsidRPr="000026E8" w14:paraId="22B75C5C" w14:textId="77777777" w:rsidTr="009E6B88">
        <w:tc>
          <w:tcPr>
            <w:tcW w:w="2263" w:type="dxa"/>
            <w:vAlign w:val="center"/>
          </w:tcPr>
          <w:p w14:paraId="341BBD88" w14:textId="77777777" w:rsidR="009E6B88" w:rsidRPr="000026E8" w:rsidRDefault="009E6B88" w:rsidP="00634591">
            <w:pPr>
              <w:rPr>
                <w:rFonts w:ascii="Times New Roman" w:eastAsia="Times New Roman" w:hAnsi="Times New Roman" w:cs="Times New Roman"/>
                <w:sz w:val="22"/>
                <w:lang w:val="da-DK"/>
              </w:rPr>
            </w:pPr>
            <w:r w:rsidRPr="000026E8">
              <w:rPr>
                <w:rFonts w:ascii="Times New Roman" w:hAnsi="Times New Roman" w:cs="Times New Roman"/>
                <w:spacing w:val="-1"/>
                <w:sz w:val="22"/>
                <w:lang w:val="da-DK"/>
              </w:rPr>
              <w:t>Alle</w:t>
            </w:r>
            <w:r w:rsidRPr="000026E8">
              <w:rPr>
                <w:rFonts w:ascii="Times New Roman" w:hAnsi="Times New Roman" w:cs="Times New Roman"/>
                <w:spacing w:val="1"/>
                <w:sz w:val="22"/>
                <w:lang w:val="da-DK"/>
              </w:rPr>
              <w:t xml:space="preserve"> </w:t>
            </w:r>
            <w:r w:rsidRPr="000026E8">
              <w:rPr>
                <w:rFonts w:ascii="Times New Roman" w:hAnsi="Times New Roman" w:cs="Times New Roman"/>
                <w:spacing w:val="-1"/>
                <w:sz w:val="22"/>
                <w:lang w:val="da-DK"/>
              </w:rPr>
              <w:t>episoder</w:t>
            </w:r>
            <w:r w:rsidRPr="000026E8">
              <w:rPr>
                <w:rFonts w:ascii="Times New Roman" w:hAnsi="Times New Roman" w:cs="Times New Roman"/>
                <w:spacing w:val="25"/>
                <w:sz w:val="22"/>
                <w:lang w:val="da-DK"/>
              </w:rPr>
              <w:t xml:space="preserve"> </w:t>
            </w:r>
            <w:r w:rsidRPr="000026E8">
              <w:rPr>
                <w:rFonts w:ascii="Times New Roman" w:hAnsi="Times New Roman" w:cs="Times New Roman"/>
                <w:sz w:val="22"/>
                <w:lang w:val="da-DK"/>
              </w:rPr>
              <w:t>(N</w:t>
            </w:r>
            <w:r w:rsidRPr="000026E8">
              <w:rPr>
                <w:rFonts w:ascii="Times New Roman" w:hAnsi="Times New Roman" w:cs="Times New Roman"/>
                <w:spacing w:val="-1"/>
                <w:sz w:val="22"/>
                <w:lang w:val="da-DK"/>
              </w:rPr>
              <w:t xml:space="preserve"> </w:t>
            </w:r>
            <w:r w:rsidRPr="000026E8">
              <w:rPr>
                <w:rFonts w:ascii="Times New Roman" w:hAnsi="Times New Roman" w:cs="Times New Roman"/>
                <w:sz w:val="22"/>
                <w:lang w:val="da-DK"/>
              </w:rPr>
              <w:t xml:space="preserve">= </w:t>
            </w:r>
            <w:r w:rsidRPr="000026E8">
              <w:rPr>
                <w:rFonts w:ascii="Times New Roman" w:hAnsi="Times New Roman" w:cs="Times New Roman"/>
                <w:spacing w:val="-2"/>
                <w:sz w:val="22"/>
                <w:lang w:val="da-DK"/>
              </w:rPr>
              <w:t>74)</w:t>
            </w:r>
          </w:p>
        </w:tc>
        <w:tc>
          <w:tcPr>
            <w:tcW w:w="1161" w:type="dxa"/>
            <w:vAlign w:val="center"/>
          </w:tcPr>
          <w:p w14:paraId="2742C9CC" w14:textId="77777777" w:rsidR="009E6B88" w:rsidRPr="000026E8" w:rsidRDefault="009E6B88" w:rsidP="00AD3197">
            <w:pPr>
              <w:jc w:val="center"/>
              <w:rPr>
                <w:rFonts w:ascii="Times New Roman" w:hAnsi="Times New Roman" w:cs="Times New Roman"/>
                <w:sz w:val="22"/>
                <w:lang w:val="da-DK"/>
              </w:rPr>
            </w:pPr>
            <w:r w:rsidRPr="000026E8">
              <w:rPr>
                <w:rFonts w:ascii="Times New Roman" w:hAnsi="Times New Roman" w:cs="Times New Roman"/>
                <w:sz w:val="22"/>
                <w:lang w:val="da-DK"/>
              </w:rPr>
              <w:t>2,0</w:t>
            </w:r>
          </w:p>
        </w:tc>
        <w:tc>
          <w:tcPr>
            <w:tcW w:w="1475" w:type="dxa"/>
            <w:vAlign w:val="center"/>
          </w:tcPr>
          <w:p w14:paraId="48446436" w14:textId="77777777" w:rsidR="009E6B88" w:rsidRPr="000026E8" w:rsidRDefault="009E6B88" w:rsidP="00AD3197">
            <w:pPr>
              <w:jc w:val="center"/>
              <w:rPr>
                <w:rFonts w:ascii="Times New Roman" w:hAnsi="Times New Roman" w:cs="Times New Roman"/>
                <w:sz w:val="22"/>
                <w:lang w:val="da-DK"/>
              </w:rPr>
            </w:pPr>
            <w:r w:rsidRPr="000026E8">
              <w:rPr>
                <w:rFonts w:ascii="Times New Roman" w:hAnsi="Times New Roman" w:cs="Times New Roman"/>
                <w:sz w:val="22"/>
                <w:lang w:val="da-DK"/>
              </w:rPr>
              <w:t>12,0</w:t>
            </w:r>
          </w:p>
        </w:tc>
        <w:tc>
          <w:tcPr>
            <w:tcW w:w="2184" w:type="dxa"/>
            <w:vAlign w:val="center"/>
          </w:tcPr>
          <w:p w14:paraId="02C541F0" w14:textId="77777777" w:rsidR="009E6B88" w:rsidRPr="000026E8" w:rsidRDefault="009E6B88" w:rsidP="00634591">
            <w:pPr>
              <w:rPr>
                <w:rFonts w:ascii="Times New Roman" w:eastAsia="Times New Roman" w:hAnsi="Times New Roman" w:cs="Times New Roman"/>
                <w:sz w:val="22"/>
                <w:lang w:val="da-DK"/>
              </w:rPr>
            </w:pPr>
            <w:r w:rsidRPr="000026E8">
              <w:rPr>
                <w:rFonts w:ascii="Times New Roman" w:hAnsi="Times New Roman" w:cs="Times New Roman"/>
                <w:spacing w:val="-1"/>
                <w:sz w:val="22"/>
                <w:lang w:val="da-DK"/>
              </w:rPr>
              <w:t>Alle</w:t>
            </w:r>
            <w:r w:rsidRPr="000026E8">
              <w:rPr>
                <w:rFonts w:ascii="Times New Roman" w:hAnsi="Times New Roman" w:cs="Times New Roman"/>
                <w:spacing w:val="1"/>
                <w:sz w:val="22"/>
                <w:lang w:val="da-DK"/>
              </w:rPr>
              <w:t xml:space="preserve"> </w:t>
            </w:r>
            <w:r w:rsidRPr="000026E8">
              <w:rPr>
                <w:rFonts w:ascii="Times New Roman" w:hAnsi="Times New Roman" w:cs="Times New Roman"/>
                <w:spacing w:val="-1"/>
                <w:sz w:val="22"/>
                <w:lang w:val="da-DK"/>
              </w:rPr>
              <w:t>episoder</w:t>
            </w:r>
            <w:r w:rsidRPr="000026E8">
              <w:rPr>
                <w:rFonts w:ascii="Times New Roman" w:hAnsi="Times New Roman" w:cs="Times New Roman"/>
                <w:spacing w:val="25"/>
                <w:sz w:val="22"/>
                <w:lang w:val="da-DK"/>
              </w:rPr>
              <w:t xml:space="preserve"> </w:t>
            </w:r>
            <w:r w:rsidRPr="000026E8">
              <w:rPr>
                <w:rFonts w:ascii="Times New Roman" w:hAnsi="Times New Roman" w:cs="Times New Roman"/>
                <w:sz w:val="22"/>
                <w:lang w:val="da-DK"/>
              </w:rPr>
              <w:t>(N</w:t>
            </w:r>
            <w:r w:rsidRPr="000026E8">
              <w:rPr>
                <w:rFonts w:ascii="Times New Roman" w:hAnsi="Times New Roman" w:cs="Times New Roman"/>
                <w:spacing w:val="-1"/>
                <w:sz w:val="22"/>
                <w:lang w:val="da-DK"/>
              </w:rPr>
              <w:t xml:space="preserve"> </w:t>
            </w:r>
            <w:r w:rsidRPr="000026E8">
              <w:rPr>
                <w:rFonts w:ascii="Times New Roman" w:hAnsi="Times New Roman" w:cs="Times New Roman"/>
                <w:sz w:val="22"/>
                <w:lang w:val="da-DK"/>
              </w:rPr>
              <w:t>= 56</w:t>
            </w:r>
            <w:r w:rsidRPr="000026E8">
              <w:rPr>
                <w:rFonts w:ascii="Times New Roman" w:hAnsi="Times New Roman" w:cs="Times New Roman"/>
                <w:spacing w:val="-2"/>
                <w:sz w:val="22"/>
                <w:lang w:val="da-DK"/>
              </w:rPr>
              <w:t>)</w:t>
            </w:r>
          </w:p>
        </w:tc>
        <w:tc>
          <w:tcPr>
            <w:tcW w:w="1178" w:type="dxa"/>
            <w:vAlign w:val="center"/>
          </w:tcPr>
          <w:p w14:paraId="647F5141" w14:textId="77777777" w:rsidR="009E6B88" w:rsidRPr="000026E8" w:rsidRDefault="009E6B88" w:rsidP="00AD3197">
            <w:pPr>
              <w:jc w:val="center"/>
              <w:rPr>
                <w:rFonts w:ascii="Times New Roman" w:hAnsi="Times New Roman" w:cs="Times New Roman"/>
                <w:sz w:val="22"/>
                <w:lang w:val="da-DK"/>
              </w:rPr>
            </w:pPr>
            <w:r w:rsidRPr="000026E8">
              <w:rPr>
                <w:rFonts w:ascii="Times New Roman" w:hAnsi="Times New Roman" w:cs="Times New Roman"/>
                <w:sz w:val="22"/>
                <w:lang w:val="da-DK"/>
              </w:rPr>
              <w:t>2,5</w:t>
            </w:r>
          </w:p>
        </w:tc>
        <w:tc>
          <w:tcPr>
            <w:tcW w:w="1628" w:type="dxa"/>
            <w:vAlign w:val="center"/>
          </w:tcPr>
          <w:p w14:paraId="035D05E2" w14:textId="77777777" w:rsidR="009E6B88" w:rsidRPr="000026E8" w:rsidRDefault="009E6B88" w:rsidP="00AD3197">
            <w:pPr>
              <w:jc w:val="center"/>
              <w:rPr>
                <w:rFonts w:ascii="Times New Roman" w:hAnsi="Times New Roman" w:cs="Times New Roman"/>
                <w:sz w:val="22"/>
                <w:lang w:val="da-DK"/>
              </w:rPr>
            </w:pPr>
            <w:r w:rsidRPr="000026E8">
              <w:rPr>
                <w:rFonts w:ascii="Times New Roman" w:hAnsi="Times New Roman" w:cs="Times New Roman"/>
                <w:sz w:val="22"/>
                <w:lang w:val="da-DK"/>
              </w:rPr>
              <w:t>4,6</w:t>
            </w:r>
          </w:p>
        </w:tc>
      </w:tr>
      <w:tr w:rsidR="00511433" w:rsidRPr="000026E8" w14:paraId="1D9AE7D6" w14:textId="77777777" w:rsidTr="00CA3505">
        <w:trPr>
          <w:trHeight w:val="1111"/>
        </w:trPr>
        <w:tc>
          <w:tcPr>
            <w:tcW w:w="2263" w:type="dxa"/>
            <w:vAlign w:val="center"/>
          </w:tcPr>
          <w:p w14:paraId="6F5F042B" w14:textId="77777777" w:rsidR="009E6B88" w:rsidRPr="000026E8" w:rsidRDefault="009E6B88" w:rsidP="00634591">
            <w:pPr>
              <w:rPr>
                <w:rFonts w:ascii="Times New Roman" w:hAnsi="Times New Roman" w:cs="Times New Roman"/>
                <w:sz w:val="22"/>
                <w:lang w:val="da-DK" w:eastAsia="zh-CN"/>
              </w:rPr>
            </w:pPr>
            <w:r w:rsidRPr="000026E8">
              <w:rPr>
                <w:rFonts w:ascii="Times New Roman" w:hAnsi="Times New Roman" w:cs="Times New Roman"/>
                <w:sz w:val="22"/>
                <w:lang w:val="da-DK" w:eastAsia="zh-CN"/>
              </w:rPr>
              <w:t>Responsrate (%, CI)</w:t>
            </w:r>
          </w:p>
          <w:p w14:paraId="2B2FE227" w14:textId="77777777" w:rsidR="009E6B88" w:rsidRPr="000026E8" w:rsidRDefault="009E6B88" w:rsidP="00634591">
            <w:pPr>
              <w:rPr>
                <w:rFonts w:ascii="Times New Roman" w:hAnsi="Times New Roman" w:cs="Times New Roman"/>
                <w:sz w:val="22"/>
                <w:lang w:val="da-DK" w:eastAsia="zh-CN"/>
              </w:rPr>
            </w:pPr>
            <w:r w:rsidRPr="000026E8">
              <w:rPr>
                <w:rFonts w:ascii="Times New Roman" w:hAnsi="Times New Roman" w:cs="Times New Roman"/>
                <w:sz w:val="22"/>
                <w:lang w:val="da-DK" w:eastAsia="zh-CN"/>
              </w:rPr>
              <w:t>4 timer efter</w:t>
            </w:r>
          </w:p>
          <w:p w14:paraId="6703C7CF" w14:textId="77777777" w:rsidR="009E6B88" w:rsidRPr="000026E8" w:rsidRDefault="009E6B88" w:rsidP="00634591">
            <w:pPr>
              <w:rPr>
                <w:rFonts w:ascii="Times New Roman" w:hAnsi="Times New Roman" w:cs="Times New Roman"/>
                <w:sz w:val="22"/>
                <w:lang w:val="da-DK" w:eastAsia="zh-CN"/>
              </w:rPr>
            </w:pPr>
            <w:r w:rsidRPr="000026E8">
              <w:rPr>
                <w:rFonts w:ascii="Times New Roman" w:hAnsi="Times New Roman" w:cs="Times New Roman"/>
                <w:sz w:val="22"/>
                <w:lang w:val="da-DK" w:eastAsia="zh-CN"/>
              </w:rPr>
              <w:t>behandlingens</w:t>
            </w:r>
          </w:p>
          <w:p w14:paraId="171541A5" w14:textId="77777777" w:rsidR="009E6B88" w:rsidRPr="000026E8" w:rsidRDefault="009E6B88" w:rsidP="00634591">
            <w:pPr>
              <w:rPr>
                <w:rFonts w:ascii="Times New Roman" w:eastAsia="Times New Roman" w:hAnsi="Times New Roman" w:cs="Times New Roman"/>
                <w:sz w:val="22"/>
                <w:lang w:val="da-DK"/>
              </w:rPr>
            </w:pPr>
            <w:r w:rsidRPr="000026E8">
              <w:rPr>
                <w:rFonts w:ascii="Times New Roman" w:hAnsi="Times New Roman" w:cs="Times New Roman"/>
                <w:sz w:val="22"/>
                <w:lang w:val="da-DK" w:eastAsia="zh-CN"/>
              </w:rPr>
              <w:t>begyndelse</w:t>
            </w:r>
          </w:p>
        </w:tc>
        <w:tc>
          <w:tcPr>
            <w:tcW w:w="1161" w:type="dxa"/>
            <w:vAlign w:val="center"/>
          </w:tcPr>
          <w:p w14:paraId="25840A92" w14:textId="77777777" w:rsidR="009E6B88" w:rsidRPr="000026E8" w:rsidRDefault="009E6B88" w:rsidP="00634591">
            <w:pPr>
              <w:rPr>
                <w:rFonts w:ascii="Times New Roman" w:hAnsi="Times New Roman" w:cs="Times New Roman"/>
                <w:sz w:val="22"/>
                <w:lang w:val="da-DK"/>
              </w:rPr>
            </w:pPr>
          </w:p>
        </w:tc>
        <w:tc>
          <w:tcPr>
            <w:tcW w:w="1475" w:type="dxa"/>
            <w:vAlign w:val="center"/>
          </w:tcPr>
          <w:p w14:paraId="55963C49" w14:textId="77777777" w:rsidR="009E6B88" w:rsidRPr="000026E8" w:rsidRDefault="009E6B88" w:rsidP="00634591">
            <w:pPr>
              <w:rPr>
                <w:rFonts w:ascii="Times New Roman" w:hAnsi="Times New Roman" w:cs="Times New Roman"/>
                <w:sz w:val="22"/>
                <w:lang w:val="da-DK"/>
              </w:rPr>
            </w:pPr>
          </w:p>
        </w:tc>
        <w:tc>
          <w:tcPr>
            <w:tcW w:w="2184" w:type="dxa"/>
            <w:vAlign w:val="center"/>
          </w:tcPr>
          <w:p w14:paraId="7F938DAA" w14:textId="77777777" w:rsidR="009E6B88" w:rsidRPr="000026E8" w:rsidRDefault="009E6B88" w:rsidP="00634591">
            <w:pPr>
              <w:rPr>
                <w:rFonts w:ascii="Times New Roman" w:hAnsi="Times New Roman" w:cs="Times New Roman"/>
                <w:sz w:val="22"/>
                <w:lang w:val="da-DK" w:eastAsia="zh-CN"/>
              </w:rPr>
            </w:pPr>
            <w:r w:rsidRPr="000026E8">
              <w:rPr>
                <w:rFonts w:ascii="Times New Roman" w:hAnsi="Times New Roman" w:cs="Times New Roman"/>
                <w:sz w:val="22"/>
                <w:lang w:val="da-DK" w:eastAsia="zh-CN"/>
              </w:rPr>
              <w:t>Responsrate (%, CI)</w:t>
            </w:r>
          </w:p>
          <w:p w14:paraId="5AAEA818" w14:textId="77777777" w:rsidR="009E6B88" w:rsidRPr="000026E8" w:rsidRDefault="009E6B88" w:rsidP="00634591">
            <w:pPr>
              <w:rPr>
                <w:rFonts w:ascii="Times New Roman" w:hAnsi="Times New Roman" w:cs="Times New Roman"/>
                <w:sz w:val="22"/>
                <w:lang w:val="da-DK" w:eastAsia="zh-CN"/>
              </w:rPr>
            </w:pPr>
            <w:r w:rsidRPr="000026E8">
              <w:rPr>
                <w:rFonts w:ascii="Times New Roman" w:hAnsi="Times New Roman" w:cs="Times New Roman"/>
                <w:sz w:val="22"/>
                <w:lang w:val="da-DK" w:eastAsia="zh-CN"/>
              </w:rPr>
              <w:t>4 timer efter</w:t>
            </w:r>
          </w:p>
          <w:p w14:paraId="79738BF0" w14:textId="77777777" w:rsidR="009E6B88" w:rsidRPr="000026E8" w:rsidRDefault="009E6B88" w:rsidP="00634591">
            <w:pPr>
              <w:rPr>
                <w:rFonts w:ascii="Times New Roman" w:hAnsi="Times New Roman" w:cs="Times New Roman"/>
                <w:sz w:val="22"/>
                <w:lang w:val="da-DK" w:eastAsia="zh-CN"/>
              </w:rPr>
            </w:pPr>
            <w:r w:rsidRPr="000026E8">
              <w:rPr>
                <w:rFonts w:ascii="Times New Roman" w:hAnsi="Times New Roman" w:cs="Times New Roman"/>
                <w:sz w:val="22"/>
                <w:lang w:val="da-DK" w:eastAsia="zh-CN"/>
              </w:rPr>
              <w:t>behandlingens</w:t>
            </w:r>
          </w:p>
          <w:p w14:paraId="60CC739E" w14:textId="77777777" w:rsidR="009E6B88" w:rsidRPr="000026E8" w:rsidRDefault="009E6B88" w:rsidP="00634591">
            <w:pPr>
              <w:rPr>
                <w:rFonts w:ascii="Times New Roman" w:eastAsia="Times New Roman" w:hAnsi="Times New Roman" w:cs="Times New Roman"/>
                <w:sz w:val="22"/>
                <w:lang w:val="da-DK"/>
              </w:rPr>
            </w:pPr>
            <w:r w:rsidRPr="000026E8">
              <w:rPr>
                <w:rFonts w:ascii="Times New Roman" w:hAnsi="Times New Roman" w:cs="Times New Roman"/>
                <w:sz w:val="22"/>
                <w:lang w:val="da-DK" w:eastAsia="zh-CN"/>
              </w:rPr>
              <w:t>begyndelse</w:t>
            </w:r>
          </w:p>
        </w:tc>
        <w:tc>
          <w:tcPr>
            <w:tcW w:w="1178" w:type="dxa"/>
            <w:vAlign w:val="center"/>
          </w:tcPr>
          <w:p w14:paraId="1E7C50F0" w14:textId="77777777" w:rsidR="009E6B88" w:rsidRPr="000026E8" w:rsidRDefault="009E6B88" w:rsidP="00AD3197">
            <w:pPr>
              <w:jc w:val="center"/>
              <w:rPr>
                <w:rFonts w:ascii="Times New Roman" w:hAnsi="Times New Roman" w:cs="Times New Roman"/>
                <w:sz w:val="22"/>
                <w:lang w:val="da-DK"/>
              </w:rPr>
            </w:pPr>
          </w:p>
        </w:tc>
        <w:tc>
          <w:tcPr>
            <w:tcW w:w="1628" w:type="dxa"/>
            <w:vAlign w:val="center"/>
          </w:tcPr>
          <w:p w14:paraId="2239C72E" w14:textId="77777777" w:rsidR="009E6B88" w:rsidRPr="000026E8" w:rsidRDefault="009E6B88" w:rsidP="00AD3197">
            <w:pPr>
              <w:jc w:val="center"/>
              <w:rPr>
                <w:rFonts w:ascii="Times New Roman" w:hAnsi="Times New Roman" w:cs="Times New Roman"/>
                <w:sz w:val="22"/>
                <w:lang w:val="da-DK"/>
              </w:rPr>
            </w:pPr>
          </w:p>
        </w:tc>
      </w:tr>
      <w:tr w:rsidR="00511433" w:rsidRPr="000026E8" w14:paraId="332ECB1B" w14:textId="77777777" w:rsidTr="009E6B88">
        <w:tc>
          <w:tcPr>
            <w:tcW w:w="2263" w:type="dxa"/>
            <w:tcBorders>
              <w:top w:val="single" w:sz="5" w:space="0" w:color="000000"/>
              <w:left w:val="single" w:sz="5" w:space="0" w:color="000000"/>
              <w:bottom w:val="single" w:sz="5" w:space="0" w:color="000000"/>
              <w:right w:val="single" w:sz="5" w:space="0" w:color="000000"/>
            </w:tcBorders>
          </w:tcPr>
          <w:p w14:paraId="5ABCB217" w14:textId="77777777" w:rsidR="009E6B88" w:rsidRPr="000026E8" w:rsidRDefault="009E6B88" w:rsidP="00634591">
            <w:pPr>
              <w:rPr>
                <w:rFonts w:ascii="Times New Roman" w:eastAsia="Times New Roman" w:hAnsi="Times New Roman" w:cs="Times New Roman"/>
                <w:sz w:val="22"/>
                <w:lang w:val="da-DK"/>
              </w:rPr>
            </w:pPr>
            <w:r w:rsidRPr="000026E8">
              <w:rPr>
                <w:rFonts w:ascii="Times New Roman" w:hAnsi="Times New Roman" w:cs="Times New Roman"/>
                <w:spacing w:val="-1"/>
                <w:sz w:val="22"/>
                <w:lang w:val="da-DK"/>
              </w:rPr>
              <w:t>Alle</w:t>
            </w:r>
            <w:r w:rsidRPr="000026E8">
              <w:rPr>
                <w:rFonts w:ascii="Times New Roman" w:hAnsi="Times New Roman" w:cs="Times New Roman"/>
                <w:spacing w:val="1"/>
                <w:sz w:val="22"/>
                <w:lang w:val="da-DK"/>
              </w:rPr>
              <w:t xml:space="preserve"> </w:t>
            </w:r>
            <w:r w:rsidRPr="000026E8">
              <w:rPr>
                <w:rFonts w:ascii="Times New Roman" w:hAnsi="Times New Roman" w:cs="Times New Roman"/>
                <w:spacing w:val="-1"/>
                <w:sz w:val="22"/>
                <w:lang w:val="da-DK"/>
              </w:rPr>
              <w:t>episoder</w:t>
            </w:r>
            <w:r w:rsidRPr="000026E8">
              <w:rPr>
                <w:rFonts w:ascii="Times New Roman" w:hAnsi="Times New Roman" w:cs="Times New Roman"/>
                <w:spacing w:val="25"/>
                <w:sz w:val="22"/>
                <w:lang w:val="da-DK"/>
              </w:rPr>
              <w:t xml:space="preserve"> </w:t>
            </w:r>
            <w:r w:rsidRPr="000026E8">
              <w:rPr>
                <w:rFonts w:ascii="Times New Roman" w:hAnsi="Times New Roman" w:cs="Times New Roman"/>
                <w:sz w:val="22"/>
                <w:lang w:val="da-DK"/>
              </w:rPr>
              <w:t>(N</w:t>
            </w:r>
            <w:r w:rsidRPr="000026E8">
              <w:rPr>
                <w:rFonts w:ascii="Times New Roman" w:hAnsi="Times New Roman" w:cs="Times New Roman"/>
                <w:spacing w:val="-1"/>
                <w:sz w:val="22"/>
                <w:lang w:val="da-DK"/>
              </w:rPr>
              <w:t xml:space="preserve"> </w:t>
            </w:r>
            <w:r w:rsidRPr="000026E8">
              <w:rPr>
                <w:rFonts w:ascii="Times New Roman" w:hAnsi="Times New Roman" w:cs="Times New Roman"/>
                <w:sz w:val="22"/>
                <w:lang w:val="da-DK"/>
              </w:rPr>
              <w:t xml:space="preserve">= </w:t>
            </w:r>
            <w:r w:rsidRPr="000026E8">
              <w:rPr>
                <w:rFonts w:ascii="Times New Roman" w:hAnsi="Times New Roman" w:cs="Times New Roman"/>
                <w:spacing w:val="-2"/>
                <w:sz w:val="22"/>
                <w:lang w:val="da-DK"/>
              </w:rPr>
              <w:t>74)</w:t>
            </w:r>
          </w:p>
        </w:tc>
        <w:tc>
          <w:tcPr>
            <w:tcW w:w="1161" w:type="dxa"/>
            <w:tcBorders>
              <w:top w:val="single" w:sz="5" w:space="0" w:color="000000"/>
              <w:left w:val="single" w:sz="5" w:space="0" w:color="000000"/>
              <w:bottom w:val="single" w:sz="5" w:space="0" w:color="000000"/>
              <w:right w:val="single" w:sz="5" w:space="0" w:color="000000"/>
            </w:tcBorders>
          </w:tcPr>
          <w:p w14:paraId="140902C9" w14:textId="77777777" w:rsidR="009E6B88" w:rsidRPr="000026E8" w:rsidRDefault="009E6B88" w:rsidP="00AD3197">
            <w:pPr>
              <w:jc w:val="center"/>
              <w:rPr>
                <w:rFonts w:ascii="Times New Roman" w:eastAsia="Times New Roman" w:hAnsi="Times New Roman" w:cs="Times New Roman"/>
                <w:sz w:val="22"/>
                <w:lang w:val="da-DK"/>
              </w:rPr>
            </w:pPr>
            <w:r w:rsidRPr="000026E8">
              <w:rPr>
                <w:rFonts w:ascii="Times New Roman" w:hAnsi="Times New Roman" w:cs="Times New Roman"/>
                <w:sz w:val="22"/>
                <w:lang w:val="da-DK"/>
              </w:rPr>
              <w:t>80,0</w:t>
            </w:r>
          </w:p>
          <w:p w14:paraId="38BC981C" w14:textId="77777777" w:rsidR="009E6B88" w:rsidRPr="000026E8" w:rsidRDefault="009E6B88" w:rsidP="00AD3197">
            <w:pPr>
              <w:jc w:val="center"/>
              <w:rPr>
                <w:rFonts w:ascii="Times New Roman" w:eastAsia="Times New Roman" w:hAnsi="Times New Roman" w:cs="Times New Roman"/>
                <w:sz w:val="22"/>
                <w:lang w:val="da-DK"/>
              </w:rPr>
            </w:pPr>
            <w:r w:rsidRPr="000026E8">
              <w:rPr>
                <w:rFonts w:ascii="Times New Roman" w:hAnsi="Times New Roman" w:cs="Times New Roman"/>
                <w:sz w:val="22"/>
                <w:lang w:val="da-DK"/>
              </w:rPr>
              <w:t>(63,1, 9</w:t>
            </w:r>
            <w:r w:rsidRPr="000026E8">
              <w:rPr>
                <w:rFonts w:ascii="Times New Roman" w:hAnsi="Times New Roman" w:cs="Times New Roman"/>
                <w:spacing w:val="-1"/>
                <w:sz w:val="22"/>
                <w:lang w:val="da-DK"/>
              </w:rPr>
              <w:t>1,6)</w:t>
            </w:r>
          </w:p>
        </w:tc>
        <w:tc>
          <w:tcPr>
            <w:tcW w:w="1475" w:type="dxa"/>
            <w:tcBorders>
              <w:top w:val="single" w:sz="5" w:space="0" w:color="000000"/>
              <w:left w:val="single" w:sz="5" w:space="0" w:color="000000"/>
              <w:bottom w:val="single" w:sz="5" w:space="0" w:color="000000"/>
              <w:right w:val="single" w:sz="5" w:space="0" w:color="000000"/>
            </w:tcBorders>
          </w:tcPr>
          <w:p w14:paraId="362441C4" w14:textId="77777777" w:rsidR="009E6B88" w:rsidRPr="000026E8" w:rsidRDefault="009E6B88" w:rsidP="00AD3197">
            <w:pPr>
              <w:jc w:val="center"/>
              <w:rPr>
                <w:rFonts w:ascii="Times New Roman" w:eastAsia="Times New Roman" w:hAnsi="Times New Roman" w:cs="Times New Roman"/>
                <w:sz w:val="22"/>
                <w:lang w:val="da-DK"/>
              </w:rPr>
            </w:pPr>
            <w:r w:rsidRPr="000026E8">
              <w:rPr>
                <w:rFonts w:ascii="Times New Roman" w:hAnsi="Times New Roman" w:cs="Times New Roman"/>
                <w:sz w:val="22"/>
                <w:lang w:val="da-DK"/>
              </w:rPr>
              <w:t>30,6</w:t>
            </w:r>
          </w:p>
          <w:p w14:paraId="27FBBCA5" w14:textId="77777777" w:rsidR="009E6B88" w:rsidRPr="000026E8" w:rsidRDefault="009E6B88" w:rsidP="00AD3197">
            <w:pPr>
              <w:jc w:val="center"/>
              <w:rPr>
                <w:rFonts w:ascii="Times New Roman" w:eastAsia="Times New Roman" w:hAnsi="Times New Roman" w:cs="Times New Roman"/>
                <w:sz w:val="22"/>
                <w:lang w:val="da-DK"/>
              </w:rPr>
            </w:pPr>
            <w:r w:rsidRPr="000026E8">
              <w:rPr>
                <w:rFonts w:ascii="Times New Roman" w:hAnsi="Times New Roman" w:cs="Times New Roman"/>
                <w:sz w:val="22"/>
                <w:lang w:val="da-DK"/>
              </w:rPr>
              <w:t>(16,3,</w:t>
            </w:r>
            <w:r w:rsidRPr="000026E8">
              <w:rPr>
                <w:rFonts w:ascii="Times New Roman" w:hAnsi="Times New Roman" w:cs="Times New Roman"/>
                <w:spacing w:val="-1"/>
                <w:sz w:val="22"/>
                <w:lang w:val="da-DK"/>
              </w:rPr>
              <w:t>48,1)</w:t>
            </w:r>
          </w:p>
        </w:tc>
        <w:tc>
          <w:tcPr>
            <w:tcW w:w="2184" w:type="dxa"/>
            <w:tcBorders>
              <w:top w:val="single" w:sz="5" w:space="0" w:color="000000"/>
              <w:left w:val="single" w:sz="5" w:space="0" w:color="000000"/>
              <w:bottom w:val="single" w:sz="5" w:space="0" w:color="000000"/>
              <w:right w:val="single" w:sz="5" w:space="0" w:color="000000"/>
            </w:tcBorders>
          </w:tcPr>
          <w:p w14:paraId="7F80C181" w14:textId="77777777" w:rsidR="009E6B88" w:rsidRPr="000026E8" w:rsidRDefault="009E6B88" w:rsidP="00634591">
            <w:pPr>
              <w:rPr>
                <w:rFonts w:ascii="Times New Roman" w:eastAsia="Times New Roman" w:hAnsi="Times New Roman" w:cs="Times New Roman"/>
                <w:sz w:val="22"/>
                <w:lang w:val="da-DK"/>
              </w:rPr>
            </w:pPr>
            <w:r w:rsidRPr="000026E8">
              <w:rPr>
                <w:rFonts w:ascii="Times New Roman" w:hAnsi="Times New Roman" w:cs="Times New Roman"/>
                <w:spacing w:val="-1"/>
                <w:sz w:val="22"/>
                <w:lang w:val="da-DK"/>
              </w:rPr>
              <w:t>Alle</w:t>
            </w:r>
            <w:r w:rsidRPr="000026E8">
              <w:rPr>
                <w:rFonts w:ascii="Times New Roman" w:hAnsi="Times New Roman" w:cs="Times New Roman"/>
                <w:spacing w:val="1"/>
                <w:sz w:val="22"/>
                <w:lang w:val="da-DK"/>
              </w:rPr>
              <w:t xml:space="preserve"> </w:t>
            </w:r>
            <w:r w:rsidRPr="000026E8">
              <w:rPr>
                <w:rFonts w:ascii="Times New Roman" w:hAnsi="Times New Roman" w:cs="Times New Roman"/>
                <w:spacing w:val="-1"/>
                <w:sz w:val="22"/>
                <w:lang w:val="da-DK"/>
              </w:rPr>
              <w:t>episoder</w:t>
            </w:r>
            <w:r w:rsidRPr="000026E8">
              <w:rPr>
                <w:rFonts w:ascii="Times New Roman" w:hAnsi="Times New Roman" w:cs="Times New Roman"/>
                <w:spacing w:val="26"/>
                <w:sz w:val="22"/>
                <w:lang w:val="da-DK"/>
              </w:rPr>
              <w:t xml:space="preserve"> </w:t>
            </w:r>
            <w:r w:rsidRPr="000026E8">
              <w:rPr>
                <w:rFonts w:ascii="Times New Roman" w:hAnsi="Times New Roman" w:cs="Times New Roman"/>
                <w:sz w:val="22"/>
                <w:lang w:val="da-DK"/>
              </w:rPr>
              <w:t>(N</w:t>
            </w:r>
            <w:r w:rsidRPr="000026E8">
              <w:rPr>
                <w:rFonts w:ascii="Times New Roman" w:hAnsi="Times New Roman" w:cs="Times New Roman"/>
                <w:spacing w:val="-1"/>
                <w:sz w:val="22"/>
                <w:lang w:val="da-DK"/>
              </w:rPr>
              <w:t xml:space="preserve"> </w:t>
            </w:r>
            <w:r w:rsidRPr="000026E8">
              <w:rPr>
                <w:rFonts w:ascii="Times New Roman" w:hAnsi="Times New Roman" w:cs="Times New Roman"/>
                <w:sz w:val="22"/>
                <w:lang w:val="da-DK"/>
              </w:rPr>
              <w:t xml:space="preserve">= </w:t>
            </w:r>
            <w:r w:rsidRPr="000026E8">
              <w:rPr>
                <w:rFonts w:ascii="Times New Roman" w:hAnsi="Times New Roman" w:cs="Times New Roman"/>
                <w:spacing w:val="-2"/>
                <w:sz w:val="22"/>
                <w:lang w:val="da-DK"/>
              </w:rPr>
              <w:t>56)</w:t>
            </w:r>
          </w:p>
        </w:tc>
        <w:tc>
          <w:tcPr>
            <w:tcW w:w="1178" w:type="dxa"/>
            <w:tcBorders>
              <w:top w:val="single" w:sz="5" w:space="0" w:color="000000"/>
              <w:left w:val="single" w:sz="5" w:space="0" w:color="000000"/>
              <w:bottom w:val="single" w:sz="5" w:space="0" w:color="000000"/>
              <w:right w:val="single" w:sz="5" w:space="0" w:color="000000"/>
            </w:tcBorders>
          </w:tcPr>
          <w:p w14:paraId="098C8194" w14:textId="77777777" w:rsidR="009E6B88" w:rsidRPr="000026E8" w:rsidRDefault="009E6B88" w:rsidP="00AD3197">
            <w:pPr>
              <w:jc w:val="center"/>
              <w:rPr>
                <w:rFonts w:ascii="Times New Roman" w:eastAsia="Times New Roman" w:hAnsi="Times New Roman" w:cs="Times New Roman"/>
                <w:sz w:val="22"/>
                <w:lang w:val="da-DK"/>
              </w:rPr>
            </w:pPr>
            <w:r w:rsidRPr="000026E8">
              <w:rPr>
                <w:rFonts w:ascii="Times New Roman" w:hAnsi="Times New Roman" w:cs="Times New Roman"/>
                <w:sz w:val="22"/>
                <w:lang w:val="da-DK"/>
              </w:rPr>
              <w:t>66,7</w:t>
            </w:r>
          </w:p>
          <w:p w14:paraId="6E53CD39" w14:textId="77777777" w:rsidR="009E6B88" w:rsidRPr="000026E8" w:rsidRDefault="009E6B88" w:rsidP="00AD3197">
            <w:pPr>
              <w:jc w:val="center"/>
              <w:rPr>
                <w:rFonts w:ascii="Times New Roman" w:eastAsia="Times New Roman" w:hAnsi="Times New Roman" w:cs="Times New Roman"/>
                <w:sz w:val="22"/>
                <w:lang w:val="da-DK"/>
              </w:rPr>
            </w:pPr>
            <w:r w:rsidRPr="000026E8">
              <w:rPr>
                <w:rFonts w:ascii="Times New Roman" w:hAnsi="Times New Roman" w:cs="Times New Roman"/>
                <w:sz w:val="22"/>
                <w:lang w:val="da-DK"/>
              </w:rPr>
              <w:t xml:space="preserve">(46,0, </w:t>
            </w:r>
            <w:r w:rsidRPr="000026E8">
              <w:rPr>
                <w:rFonts w:ascii="Times New Roman" w:hAnsi="Times New Roman" w:cs="Times New Roman"/>
                <w:spacing w:val="-1"/>
                <w:sz w:val="22"/>
                <w:lang w:val="da-DK"/>
              </w:rPr>
              <w:t>83,5)</w:t>
            </w:r>
          </w:p>
        </w:tc>
        <w:tc>
          <w:tcPr>
            <w:tcW w:w="1628" w:type="dxa"/>
            <w:tcBorders>
              <w:top w:val="single" w:sz="5" w:space="0" w:color="000000"/>
              <w:left w:val="single" w:sz="5" w:space="0" w:color="000000"/>
              <w:bottom w:val="single" w:sz="5" w:space="0" w:color="000000"/>
              <w:right w:val="single" w:sz="5" w:space="0" w:color="000000"/>
            </w:tcBorders>
          </w:tcPr>
          <w:p w14:paraId="1FF50855" w14:textId="77777777" w:rsidR="009E6B88" w:rsidRPr="000026E8" w:rsidRDefault="009E6B88" w:rsidP="00AD3197">
            <w:pPr>
              <w:jc w:val="center"/>
              <w:rPr>
                <w:rFonts w:ascii="Times New Roman" w:eastAsia="Times New Roman" w:hAnsi="Times New Roman" w:cs="Times New Roman"/>
                <w:sz w:val="22"/>
                <w:lang w:val="da-DK"/>
              </w:rPr>
            </w:pPr>
            <w:r w:rsidRPr="000026E8">
              <w:rPr>
                <w:rFonts w:ascii="Times New Roman" w:hAnsi="Times New Roman" w:cs="Times New Roman"/>
                <w:sz w:val="22"/>
                <w:lang w:val="da-DK"/>
              </w:rPr>
              <w:t>46,4</w:t>
            </w:r>
          </w:p>
          <w:p w14:paraId="164D6BD7" w14:textId="77777777" w:rsidR="009E6B88" w:rsidRPr="000026E8" w:rsidRDefault="009E6B88" w:rsidP="00AD3197">
            <w:pPr>
              <w:jc w:val="center"/>
              <w:rPr>
                <w:rFonts w:ascii="Times New Roman" w:eastAsia="Times New Roman" w:hAnsi="Times New Roman" w:cs="Times New Roman"/>
                <w:sz w:val="22"/>
                <w:lang w:val="da-DK"/>
              </w:rPr>
            </w:pPr>
            <w:r w:rsidRPr="000026E8">
              <w:rPr>
                <w:rFonts w:ascii="Times New Roman" w:hAnsi="Times New Roman" w:cs="Times New Roman"/>
                <w:sz w:val="22"/>
                <w:lang w:val="da-DK"/>
              </w:rPr>
              <w:t xml:space="preserve">(27,5, </w:t>
            </w:r>
            <w:r w:rsidRPr="000026E8">
              <w:rPr>
                <w:rFonts w:ascii="Times New Roman" w:hAnsi="Times New Roman" w:cs="Times New Roman"/>
                <w:spacing w:val="-1"/>
                <w:sz w:val="22"/>
                <w:lang w:val="da-DK"/>
              </w:rPr>
              <w:t>66,1)</w:t>
            </w:r>
          </w:p>
        </w:tc>
      </w:tr>
      <w:tr w:rsidR="00511433" w:rsidRPr="000026E8" w14:paraId="17E86AAE" w14:textId="77777777" w:rsidTr="009E6B88">
        <w:tc>
          <w:tcPr>
            <w:tcW w:w="2263" w:type="dxa"/>
            <w:tcBorders>
              <w:top w:val="single" w:sz="5" w:space="0" w:color="000000"/>
              <w:left w:val="single" w:sz="5" w:space="0" w:color="000000"/>
              <w:bottom w:val="single" w:sz="5" w:space="0" w:color="000000"/>
              <w:right w:val="single" w:sz="5" w:space="0" w:color="000000"/>
            </w:tcBorders>
          </w:tcPr>
          <w:p w14:paraId="008F88EE" w14:textId="0960C0BD" w:rsidR="009E6B88" w:rsidRPr="000026E8" w:rsidRDefault="009E6B88" w:rsidP="00634591">
            <w:pPr>
              <w:rPr>
                <w:rFonts w:ascii="Times New Roman" w:hAnsi="Times New Roman" w:cs="Times New Roman"/>
                <w:sz w:val="22"/>
                <w:lang w:val="da-DK" w:eastAsia="zh-CN"/>
              </w:rPr>
            </w:pPr>
            <w:r w:rsidRPr="000026E8">
              <w:rPr>
                <w:rFonts w:ascii="Times New Roman" w:hAnsi="Times New Roman" w:cs="Times New Roman"/>
                <w:sz w:val="22"/>
                <w:lang w:val="da-DK" w:eastAsia="zh-CN"/>
              </w:rPr>
              <w:t>Mediantid til</w:t>
            </w:r>
            <w:r w:rsidR="00511433" w:rsidRPr="000026E8">
              <w:rPr>
                <w:rFonts w:ascii="Times New Roman" w:hAnsi="Times New Roman" w:cs="Times New Roman"/>
                <w:sz w:val="22"/>
                <w:lang w:val="da-DK" w:eastAsia="zh-CN"/>
              </w:rPr>
              <w:t xml:space="preserve"> </w:t>
            </w:r>
            <w:r w:rsidRPr="000026E8">
              <w:rPr>
                <w:rFonts w:ascii="Times New Roman" w:hAnsi="Times New Roman" w:cs="Times New Roman"/>
                <w:sz w:val="22"/>
                <w:lang w:val="da-DK" w:eastAsia="zh-CN"/>
              </w:rPr>
              <w:t>begyndelse af</w:t>
            </w:r>
            <w:r w:rsidR="00511433" w:rsidRPr="000026E8">
              <w:rPr>
                <w:rFonts w:ascii="Times New Roman" w:hAnsi="Times New Roman" w:cs="Times New Roman"/>
                <w:sz w:val="22"/>
                <w:lang w:val="da-DK" w:eastAsia="zh-CN"/>
              </w:rPr>
              <w:t xml:space="preserve"> </w:t>
            </w:r>
            <w:r w:rsidRPr="000026E8">
              <w:rPr>
                <w:rFonts w:ascii="Times New Roman" w:hAnsi="Times New Roman" w:cs="Times New Roman"/>
                <w:sz w:val="22"/>
                <w:lang w:val="da-DK" w:eastAsia="zh-CN"/>
              </w:rPr>
              <w:t>symptomlindring</w:t>
            </w:r>
            <w:r w:rsidR="00511433" w:rsidRPr="000026E8">
              <w:rPr>
                <w:rFonts w:ascii="Times New Roman" w:hAnsi="Times New Roman" w:cs="Times New Roman"/>
                <w:sz w:val="22"/>
                <w:lang w:val="da-DK" w:eastAsia="zh-CN"/>
              </w:rPr>
              <w:t xml:space="preserve"> </w:t>
            </w:r>
            <w:r w:rsidRPr="000026E8">
              <w:rPr>
                <w:rFonts w:ascii="Times New Roman" w:hAnsi="Times New Roman" w:cs="Times New Roman"/>
                <w:sz w:val="22"/>
                <w:lang w:val="da-DK" w:eastAsia="zh-CN"/>
              </w:rPr>
              <w:t>alle symptomer (t):</w:t>
            </w:r>
          </w:p>
          <w:p w14:paraId="1A8F261F" w14:textId="77777777" w:rsidR="00520416" w:rsidRPr="000026E8" w:rsidRDefault="009E6B88" w:rsidP="00634591">
            <w:pPr>
              <w:rPr>
                <w:rFonts w:ascii="Times New Roman" w:eastAsia="Times New Roman" w:hAnsi="Times New Roman" w:cs="Times New Roman"/>
                <w:sz w:val="22"/>
                <w:lang w:val="da-DK"/>
              </w:rPr>
            </w:pPr>
            <w:r w:rsidRPr="000026E8">
              <w:rPr>
                <w:rFonts w:ascii="Times New Roman" w:eastAsia="Times New Roman" w:hAnsi="Times New Roman" w:cs="Times New Roman"/>
                <w:sz w:val="22"/>
                <w:lang w:val="da-DK"/>
              </w:rPr>
              <w:t>Mavesmerter</w:t>
            </w:r>
          </w:p>
          <w:p w14:paraId="08FDE1A0" w14:textId="00B640AB" w:rsidR="009E6B88" w:rsidRPr="000026E8" w:rsidRDefault="009E6B88" w:rsidP="00634591">
            <w:pPr>
              <w:rPr>
                <w:rFonts w:ascii="Times New Roman" w:eastAsia="Times New Roman" w:hAnsi="Times New Roman" w:cs="Times New Roman"/>
                <w:sz w:val="22"/>
                <w:lang w:val="da-DK"/>
              </w:rPr>
            </w:pPr>
            <w:r w:rsidRPr="000026E8">
              <w:rPr>
                <w:rFonts w:ascii="Times New Roman" w:eastAsia="Times New Roman" w:hAnsi="Times New Roman" w:cs="Times New Roman"/>
                <w:sz w:val="22"/>
                <w:lang w:val="da-DK"/>
              </w:rPr>
              <w:t>Hævelse af huden</w:t>
            </w:r>
          </w:p>
          <w:p w14:paraId="0EC56060" w14:textId="77777777" w:rsidR="009E6B88" w:rsidRPr="000026E8" w:rsidRDefault="009E6B88" w:rsidP="00634591">
            <w:pPr>
              <w:rPr>
                <w:rFonts w:ascii="Times New Roman" w:eastAsia="Times New Roman" w:hAnsi="Times New Roman" w:cs="Times New Roman"/>
                <w:sz w:val="22"/>
                <w:lang w:val="da-DK"/>
              </w:rPr>
            </w:pPr>
            <w:r w:rsidRPr="000026E8">
              <w:rPr>
                <w:rFonts w:ascii="Times New Roman" w:eastAsia="Times New Roman" w:hAnsi="Times New Roman" w:cs="Times New Roman"/>
                <w:sz w:val="22"/>
                <w:lang w:val="da-DK"/>
              </w:rPr>
              <w:t>Smerter i huden</w:t>
            </w:r>
          </w:p>
        </w:tc>
        <w:tc>
          <w:tcPr>
            <w:tcW w:w="1161" w:type="dxa"/>
            <w:tcBorders>
              <w:top w:val="single" w:sz="5" w:space="0" w:color="000000"/>
              <w:left w:val="single" w:sz="5" w:space="0" w:color="000000"/>
              <w:bottom w:val="single" w:sz="5" w:space="0" w:color="000000"/>
              <w:right w:val="single" w:sz="5" w:space="0" w:color="000000"/>
            </w:tcBorders>
          </w:tcPr>
          <w:p w14:paraId="5A26F0D8" w14:textId="77777777" w:rsidR="003D5864" w:rsidRDefault="003D5864" w:rsidP="00634591">
            <w:pPr>
              <w:rPr>
                <w:rFonts w:ascii="Times New Roman" w:hAnsi="Times New Roman" w:cs="Times New Roman"/>
                <w:sz w:val="22"/>
                <w:lang w:val="da-DK"/>
              </w:rPr>
            </w:pPr>
          </w:p>
          <w:p w14:paraId="4A617BCF" w14:textId="77777777" w:rsidR="003D5864" w:rsidRDefault="003D5864" w:rsidP="00634591">
            <w:pPr>
              <w:rPr>
                <w:rFonts w:ascii="Times New Roman" w:hAnsi="Times New Roman" w:cs="Times New Roman"/>
                <w:sz w:val="22"/>
                <w:lang w:val="da-DK"/>
              </w:rPr>
            </w:pPr>
          </w:p>
          <w:p w14:paraId="1FE9CD63" w14:textId="77777777" w:rsidR="003D5864" w:rsidRDefault="003D5864" w:rsidP="00634591">
            <w:pPr>
              <w:rPr>
                <w:rFonts w:ascii="Times New Roman" w:hAnsi="Times New Roman" w:cs="Times New Roman"/>
                <w:sz w:val="22"/>
                <w:lang w:val="da-DK"/>
              </w:rPr>
            </w:pPr>
          </w:p>
          <w:p w14:paraId="28961844" w14:textId="77777777" w:rsidR="003D5864" w:rsidRDefault="003D5864" w:rsidP="00634591">
            <w:pPr>
              <w:rPr>
                <w:rFonts w:ascii="Times New Roman" w:hAnsi="Times New Roman" w:cs="Times New Roman"/>
                <w:sz w:val="22"/>
                <w:lang w:val="da-DK"/>
              </w:rPr>
            </w:pPr>
          </w:p>
          <w:p w14:paraId="2FB7059C" w14:textId="677903DD" w:rsidR="009E6B88" w:rsidRPr="000026E8" w:rsidRDefault="009E6B88" w:rsidP="00634591">
            <w:pPr>
              <w:rPr>
                <w:rFonts w:ascii="Times New Roman" w:eastAsia="Times New Roman" w:hAnsi="Times New Roman" w:cs="Times New Roman"/>
                <w:sz w:val="22"/>
                <w:lang w:val="da-DK"/>
              </w:rPr>
            </w:pPr>
            <w:r w:rsidRPr="000026E8">
              <w:rPr>
                <w:rFonts w:ascii="Times New Roman" w:hAnsi="Times New Roman" w:cs="Times New Roman"/>
                <w:sz w:val="22"/>
                <w:lang w:val="da-DK"/>
              </w:rPr>
              <w:t>1,6</w:t>
            </w:r>
          </w:p>
          <w:p w14:paraId="1B5EF7F5" w14:textId="77777777" w:rsidR="009E6B88" w:rsidRPr="000026E8" w:rsidRDefault="009E6B88" w:rsidP="00634591">
            <w:pPr>
              <w:rPr>
                <w:rFonts w:ascii="Times New Roman" w:eastAsia="Times New Roman" w:hAnsi="Times New Roman" w:cs="Times New Roman"/>
                <w:sz w:val="22"/>
                <w:lang w:val="da-DK"/>
              </w:rPr>
            </w:pPr>
            <w:r w:rsidRPr="000026E8">
              <w:rPr>
                <w:rFonts w:ascii="Times New Roman" w:hAnsi="Times New Roman" w:cs="Times New Roman"/>
                <w:sz w:val="22"/>
                <w:lang w:val="da-DK"/>
              </w:rPr>
              <w:t>2,6</w:t>
            </w:r>
          </w:p>
          <w:p w14:paraId="255B3405" w14:textId="77777777" w:rsidR="009E6B88" w:rsidRPr="000026E8" w:rsidRDefault="009E6B88" w:rsidP="00634591">
            <w:pPr>
              <w:rPr>
                <w:rFonts w:ascii="Times New Roman" w:eastAsia="Times New Roman" w:hAnsi="Times New Roman" w:cs="Times New Roman"/>
                <w:sz w:val="22"/>
                <w:lang w:val="da-DK"/>
              </w:rPr>
            </w:pPr>
            <w:r w:rsidRPr="000026E8">
              <w:rPr>
                <w:rFonts w:ascii="Times New Roman" w:hAnsi="Times New Roman" w:cs="Times New Roman"/>
                <w:sz w:val="22"/>
                <w:lang w:val="da-DK"/>
              </w:rPr>
              <w:t>1,5</w:t>
            </w:r>
          </w:p>
        </w:tc>
        <w:tc>
          <w:tcPr>
            <w:tcW w:w="1475" w:type="dxa"/>
            <w:tcBorders>
              <w:top w:val="single" w:sz="5" w:space="0" w:color="000000"/>
              <w:left w:val="single" w:sz="5" w:space="0" w:color="000000"/>
              <w:bottom w:val="single" w:sz="5" w:space="0" w:color="000000"/>
              <w:right w:val="single" w:sz="5" w:space="0" w:color="000000"/>
            </w:tcBorders>
          </w:tcPr>
          <w:p w14:paraId="6A7DF2EA" w14:textId="77777777" w:rsidR="00AD3197" w:rsidRDefault="00AD3197" w:rsidP="00634591">
            <w:pPr>
              <w:rPr>
                <w:rFonts w:ascii="Times New Roman" w:hAnsi="Times New Roman" w:cs="Times New Roman"/>
                <w:sz w:val="22"/>
                <w:lang w:val="da-DK"/>
              </w:rPr>
            </w:pPr>
          </w:p>
          <w:p w14:paraId="3FE9AE7A" w14:textId="77777777" w:rsidR="00AD3197" w:rsidRDefault="00AD3197" w:rsidP="00634591">
            <w:pPr>
              <w:rPr>
                <w:rFonts w:ascii="Times New Roman" w:hAnsi="Times New Roman" w:cs="Times New Roman"/>
                <w:sz w:val="22"/>
                <w:lang w:val="da-DK"/>
              </w:rPr>
            </w:pPr>
          </w:p>
          <w:p w14:paraId="1A5DEE92" w14:textId="77777777" w:rsidR="00AD3197" w:rsidRDefault="00AD3197" w:rsidP="00634591">
            <w:pPr>
              <w:rPr>
                <w:rFonts w:ascii="Times New Roman" w:hAnsi="Times New Roman" w:cs="Times New Roman"/>
                <w:sz w:val="22"/>
                <w:lang w:val="da-DK"/>
              </w:rPr>
            </w:pPr>
          </w:p>
          <w:p w14:paraId="370D1368" w14:textId="77777777" w:rsidR="00AD3197" w:rsidRDefault="00AD3197" w:rsidP="00634591">
            <w:pPr>
              <w:rPr>
                <w:rFonts w:ascii="Times New Roman" w:hAnsi="Times New Roman" w:cs="Times New Roman"/>
                <w:sz w:val="22"/>
                <w:lang w:val="da-DK"/>
              </w:rPr>
            </w:pPr>
          </w:p>
          <w:p w14:paraId="745CAFCC" w14:textId="20960A12" w:rsidR="009E6B88" w:rsidRPr="000026E8" w:rsidRDefault="009E6B88" w:rsidP="00634591">
            <w:pPr>
              <w:rPr>
                <w:rFonts w:ascii="Times New Roman" w:eastAsia="Times New Roman" w:hAnsi="Times New Roman" w:cs="Times New Roman"/>
                <w:sz w:val="22"/>
                <w:lang w:val="da-DK"/>
              </w:rPr>
            </w:pPr>
            <w:r w:rsidRPr="000026E8">
              <w:rPr>
                <w:rFonts w:ascii="Times New Roman" w:hAnsi="Times New Roman" w:cs="Times New Roman"/>
                <w:sz w:val="22"/>
                <w:lang w:val="da-DK"/>
              </w:rPr>
              <w:t>3,5</w:t>
            </w:r>
          </w:p>
          <w:p w14:paraId="22D11F18" w14:textId="77777777" w:rsidR="009E6B88" w:rsidRPr="000026E8" w:rsidRDefault="009E6B88" w:rsidP="00634591">
            <w:pPr>
              <w:rPr>
                <w:rFonts w:ascii="Times New Roman" w:eastAsia="Times New Roman" w:hAnsi="Times New Roman" w:cs="Times New Roman"/>
                <w:sz w:val="22"/>
                <w:lang w:val="da-DK"/>
              </w:rPr>
            </w:pPr>
            <w:r w:rsidRPr="000026E8">
              <w:rPr>
                <w:rFonts w:ascii="Times New Roman" w:hAnsi="Times New Roman" w:cs="Times New Roman"/>
                <w:sz w:val="22"/>
                <w:lang w:val="da-DK"/>
              </w:rPr>
              <w:t>18,1</w:t>
            </w:r>
          </w:p>
          <w:p w14:paraId="4BA2AA78" w14:textId="77777777" w:rsidR="009E6B88" w:rsidRPr="000026E8" w:rsidRDefault="009E6B88" w:rsidP="00634591">
            <w:pPr>
              <w:rPr>
                <w:rFonts w:ascii="Times New Roman" w:eastAsia="Times New Roman" w:hAnsi="Times New Roman" w:cs="Times New Roman"/>
                <w:sz w:val="22"/>
                <w:lang w:val="da-DK"/>
              </w:rPr>
            </w:pPr>
            <w:r w:rsidRPr="000026E8">
              <w:rPr>
                <w:rFonts w:ascii="Times New Roman" w:hAnsi="Times New Roman" w:cs="Times New Roman"/>
                <w:sz w:val="22"/>
                <w:lang w:val="da-DK"/>
              </w:rPr>
              <w:t>12,0</w:t>
            </w:r>
          </w:p>
        </w:tc>
        <w:tc>
          <w:tcPr>
            <w:tcW w:w="2184" w:type="dxa"/>
            <w:tcBorders>
              <w:top w:val="single" w:sz="5" w:space="0" w:color="000000"/>
              <w:left w:val="single" w:sz="5" w:space="0" w:color="000000"/>
              <w:bottom w:val="single" w:sz="5" w:space="0" w:color="000000"/>
              <w:right w:val="single" w:sz="5" w:space="0" w:color="000000"/>
            </w:tcBorders>
          </w:tcPr>
          <w:p w14:paraId="639A8ED5" w14:textId="738F9497" w:rsidR="009E6B88" w:rsidRPr="000026E8" w:rsidRDefault="009E6B88" w:rsidP="00634591">
            <w:pPr>
              <w:rPr>
                <w:rFonts w:ascii="Times New Roman" w:hAnsi="Times New Roman" w:cs="Times New Roman"/>
                <w:sz w:val="22"/>
                <w:lang w:val="da-DK" w:eastAsia="zh-CN"/>
              </w:rPr>
            </w:pPr>
            <w:r w:rsidRPr="000026E8">
              <w:rPr>
                <w:rFonts w:ascii="Times New Roman" w:hAnsi="Times New Roman" w:cs="Times New Roman"/>
                <w:sz w:val="22"/>
                <w:lang w:val="da-DK" w:eastAsia="zh-CN"/>
              </w:rPr>
              <w:t>Mediantid til</w:t>
            </w:r>
            <w:r w:rsidR="00520416" w:rsidRPr="000026E8">
              <w:rPr>
                <w:rFonts w:ascii="Times New Roman" w:hAnsi="Times New Roman" w:cs="Times New Roman"/>
                <w:sz w:val="22"/>
                <w:lang w:val="da-DK" w:eastAsia="zh-CN"/>
              </w:rPr>
              <w:t xml:space="preserve"> </w:t>
            </w:r>
            <w:r w:rsidRPr="000026E8">
              <w:rPr>
                <w:rFonts w:ascii="Times New Roman" w:hAnsi="Times New Roman" w:cs="Times New Roman"/>
                <w:sz w:val="22"/>
                <w:lang w:val="da-DK" w:eastAsia="zh-CN"/>
              </w:rPr>
              <w:t>begyndelse af</w:t>
            </w:r>
            <w:r w:rsidR="00520416" w:rsidRPr="000026E8">
              <w:rPr>
                <w:rFonts w:ascii="Times New Roman" w:hAnsi="Times New Roman" w:cs="Times New Roman"/>
                <w:sz w:val="22"/>
                <w:lang w:val="da-DK" w:eastAsia="zh-CN"/>
              </w:rPr>
              <w:t xml:space="preserve"> </w:t>
            </w:r>
            <w:r w:rsidRPr="000026E8">
              <w:rPr>
                <w:rFonts w:ascii="Times New Roman" w:hAnsi="Times New Roman" w:cs="Times New Roman"/>
                <w:sz w:val="22"/>
                <w:lang w:val="da-DK" w:eastAsia="zh-CN"/>
              </w:rPr>
              <w:t>symptomlindring</w:t>
            </w:r>
            <w:r w:rsidR="00520416" w:rsidRPr="000026E8">
              <w:rPr>
                <w:rFonts w:ascii="Times New Roman" w:hAnsi="Times New Roman" w:cs="Times New Roman"/>
                <w:sz w:val="22"/>
                <w:lang w:val="da-DK" w:eastAsia="zh-CN"/>
              </w:rPr>
              <w:t xml:space="preserve"> </w:t>
            </w:r>
            <w:r w:rsidRPr="000026E8">
              <w:rPr>
                <w:rFonts w:ascii="Times New Roman" w:hAnsi="Times New Roman" w:cs="Times New Roman"/>
                <w:sz w:val="22"/>
                <w:lang w:val="da-DK" w:eastAsia="zh-CN"/>
              </w:rPr>
              <w:t>alle symptomer (t):</w:t>
            </w:r>
          </w:p>
          <w:p w14:paraId="3B66603D" w14:textId="77777777" w:rsidR="009E6B88" w:rsidRPr="000026E8" w:rsidRDefault="009E6B88" w:rsidP="00634591">
            <w:pPr>
              <w:rPr>
                <w:rFonts w:ascii="Times New Roman" w:eastAsia="Times New Roman" w:hAnsi="Times New Roman" w:cs="Times New Roman"/>
                <w:sz w:val="22"/>
                <w:lang w:val="da-DK"/>
              </w:rPr>
            </w:pPr>
            <w:r w:rsidRPr="000026E8">
              <w:rPr>
                <w:rFonts w:ascii="Times New Roman" w:eastAsia="Times New Roman" w:hAnsi="Times New Roman" w:cs="Times New Roman"/>
                <w:sz w:val="22"/>
                <w:lang w:val="da-DK"/>
              </w:rPr>
              <w:t>Mavesmerter</w:t>
            </w:r>
          </w:p>
          <w:p w14:paraId="6186DC59" w14:textId="77777777" w:rsidR="009E6B88" w:rsidRPr="000026E8" w:rsidRDefault="009E6B88" w:rsidP="00634591">
            <w:pPr>
              <w:rPr>
                <w:rFonts w:ascii="Times New Roman" w:eastAsia="Times New Roman" w:hAnsi="Times New Roman" w:cs="Times New Roman"/>
                <w:sz w:val="22"/>
                <w:lang w:val="da-DK"/>
              </w:rPr>
            </w:pPr>
            <w:r w:rsidRPr="000026E8">
              <w:rPr>
                <w:rFonts w:ascii="Times New Roman" w:eastAsia="Times New Roman" w:hAnsi="Times New Roman" w:cs="Times New Roman"/>
                <w:sz w:val="22"/>
                <w:lang w:val="da-DK"/>
              </w:rPr>
              <w:t>Hævelse af huden</w:t>
            </w:r>
          </w:p>
          <w:p w14:paraId="0DC03A85" w14:textId="77777777" w:rsidR="009E6B88" w:rsidRPr="000026E8" w:rsidRDefault="009E6B88" w:rsidP="00634591">
            <w:pPr>
              <w:rPr>
                <w:rFonts w:ascii="Times New Roman" w:eastAsia="Times New Roman" w:hAnsi="Times New Roman" w:cs="Times New Roman"/>
                <w:sz w:val="22"/>
                <w:lang w:val="da-DK"/>
              </w:rPr>
            </w:pPr>
            <w:r w:rsidRPr="000026E8">
              <w:rPr>
                <w:rFonts w:ascii="Times New Roman" w:eastAsia="Times New Roman" w:hAnsi="Times New Roman" w:cs="Times New Roman"/>
                <w:sz w:val="22"/>
                <w:lang w:val="da-DK"/>
              </w:rPr>
              <w:t>Smerter i huden</w:t>
            </w:r>
          </w:p>
        </w:tc>
        <w:tc>
          <w:tcPr>
            <w:tcW w:w="1178" w:type="dxa"/>
            <w:tcBorders>
              <w:top w:val="single" w:sz="5" w:space="0" w:color="000000"/>
              <w:left w:val="single" w:sz="5" w:space="0" w:color="000000"/>
              <w:bottom w:val="single" w:sz="5" w:space="0" w:color="000000"/>
              <w:right w:val="single" w:sz="5" w:space="0" w:color="000000"/>
            </w:tcBorders>
          </w:tcPr>
          <w:p w14:paraId="733F83A8" w14:textId="77777777" w:rsidR="003D5864" w:rsidRDefault="003D5864" w:rsidP="00AD3197">
            <w:pPr>
              <w:jc w:val="center"/>
              <w:rPr>
                <w:rFonts w:ascii="Times New Roman" w:hAnsi="Times New Roman" w:cs="Times New Roman"/>
                <w:sz w:val="22"/>
                <w:lang w:val="da-DK"/>
              </w:rPr>
            </w:pPr>
          </w:p>
          <w:p w14:paraId="3F932AFE" w14:textId="77777777" w:rsidR="003D5864" w:rsidRDefault="003D5864" w:rsidP="00AD3197">
            <w:pPr>
              <w:jc w:val="center"/>
              <w:rPr>
                <w:rFonts w:ascii="Times New Roman" w:hAnsi="Times New Roman" w:cs="Times New Roman"/>
                <w:sz w:val="22"/>
                <w:lang w:val="da-DK"/>
              </w:rPr>
            </w:pPr>
          </w:p>
          <w:p w14:paraId="6ED4E8FE" w14:textId="77777777" w:rsidR="003D5864" w:rsidRDefault="003D5864" w:rsidP="00AD3197">
            <w:pPr>
              <w:jc w:val="center"/>
              <w:rPr>
                <w:rFonts w:ascii="Times New Roman" w:hAnsi="Times New Roman" w:cs="Times New Roman"/>
                <w:sz w:val="22"/>
                <w:lang w:val="da-DK"/>
              </w:rPr>
            </w:pPr>
          </w:p>
          <w:p w14:paraId="5CD4799F" w14:textId="77777777" w:rsidR="003D5864" w:rsidRDefault="003D5864" w:rsidP="00AD3197">
            <w:pPr>
              <w:jc w:val="center"/>
              <w:rPr>
                <w:rFonts w:ascii="Times New Roman" w:hAnsi="Times New Roman" w:cs="Times New Roman"/>
                <w:sz w:val="22"/>
                <w:lang w:val="da-DK"/>
              </w:rPr>
            </w:pPr>
          </w:p>
          <w:p w14:paraId="089632DA" w14:textId="78FB540D" w:rsidR="009E6B88" w:rsidRPr="000026E8" w:rsidRDefault="009E6B88" w:rsidP="00AD3197">
            <w:pPr>
              <w:jc w:val="center"/>
              <w:rPr>
                <w:rFonts w:ascii="Times New Roman" w:eastAsia="Times New Roman" w:hAnsi="Times New Roman" w:cs="Times New Roman"/>
                <w:sz w:val="22"/>
                <w:lang w:val="da-DK"/>
              </w:rPr>
            </w:pPr>
            <w:r w:rsidRPr="000026E8">
              <w:rPr>
                <w:rFonts w:ascii="Times New Roman" w:hAnsi="Times New Roman" w:cs="Times New Roman"/>
                <w:sz w:val="22"/>
                <w:lang w:val="da-DK"/>
              </w:rPr>
              <w:t>2,0</w:t>
            </w:r>
          </w:p>
          <w:p w14:paraId="0529871A" w14:textId="77777777" w:rsidR="009E6B88" w:rsidRPr="000026E8" w:rsidRDefault="009E6B88" w:rsidP="00AD3197">
            <w:pPr>
              <w:jc w:val="center"/>
              <w:rPr>
                <w:rFonts w:ascii="Times New Roman" w:eastAsia="Times New Roman" w:hAnsi="Times New Roman" w:cs="Times New Roman"/>
                <w:sz w:val="22"/>
                <w:lang w:val="da-DK"/>
              </w:rPr>
            </w:pPr>
            <w:r w:rsidRPr="000026E8">
              <w:rPr>
                <w:rFonts w:ascii="Times New Roman" w:hAnsi="Times New Roman" w:cs="Times New Roman"/>
                <w:sz w:val="22"/>
                <w:lang w:val="da-DK"/>
              </w:rPr>
              <w:t>3,1</w:t>
            </w:r>
          </w:p>
          <w:p w14:paraId="2530A2E0" w14:textId="77777777" w:rsidR="009E6B88" w:rsidRPr="000026E8" w:rsidRDefault="009E6B88" w:rsidP="00AD3197">
            <w:pPr>
              <w:jc w:val="center"/>
              <w:rPr>
                <w:rFonts w:ascii="Times New Roman" w:eastAsia="Times New Roman" w:hAnsi="Times New Roman" w:cs="Times New Roman"/>
                <w:sz w:val="22"/>
                <w:lang w:val="da-DK"/>
              </w:rPr>
            </w:pPr>
            <w:r w:rsidRPr="000026E8">
              <w:rPr>
                <w:rFonts w:ascii="Times New Roman" w:hAnsi="Times New Roman" w:cs="Times New Roman"/>
                <w:sz w:val="22"/>
                <w:lang w:val="da-DK"/>
              </w:rPr>
              <w:t>1,6</w:t>
            </w:r>
          </w:p>
        </w:tc>
        <w:tc>
          <w:tcPr>
            <w:tcW w:w="1628" w:type="dxa"/>
            <w:tcBorders>
              <w:top w:val="single" w:sz="5" w:space="0" w:color="000000"/>
              <w:left w:val="single" w:sz="5" w:space="0" w:color="000000"/>
              <w:bottom w:val="single" w:sz="5" w:space="0" w:color="000000"/>
              <w:right w:val="single" w:sz="5" w:space="0" w:color="000000"/>
            </w:tcBorders>
          </w:tcPr>
          <w:p w14:paraId="722FA9E3" w14:textId="77777777" w:rsidR="003D5864" w:rsidRDefault="003D5864" w:rsidP="00AD3197">
            <w:pPr>
              <w:jc w:val="center"/>
              <w:rPr>
                <w:rFonts w:ascii="Times New Roman" w:hAnsi="Times New Roman" w:cs="Times New Roman"/>
                <w:sz w:val="22"/>
                <w:lang w:val="da-DK"/>
              </w:rPr>
            </w:pPr>
          </w:p>
          <w:p w14:paraId="63AD5ABF" w14:textId="77777777" w:rsidR="003D5864" w:rsidRDefault="003D5864" w:rsidP="00AD3197">
            <w:pPr>
              <w:jc w:val="center"/>
              <w:rPr>
                <w:rFonts w:ascii="Times New Roman" w:hAnsi="Times New Roman" w:cs="Times New Roman"/>
                <w:sz w:val="22"/>
                <w:lang w:val="da-DK"/>
              </w:rPr>
            </w:pPr>
          </w:p>
          <w:p w14:paraId="07EBE7C0" w14:textId="77777777" w:rsidR="003D5864" w:rsidRDefault="003D5864" w:rsidP="00AD3197">
            <w:pPr>
              <w:jc w:val="center"/>
              <w:rPr>
                <w:rFonts w:ascii="Times New Roman" w:hAnsi="Times New Roman" w:cs="Times New Roman"/>
                <w:sz w:val="22"/>
                <w:lang w:val="da-DK"/>
              </w:rPr>
            </w:pPr>
          </w:p>
          <w:p w14:paraId="5E275C7D" w14:textId="77777777" w:rsidR="003D5864" w:rsidRDefault="003D5864" w:rsidP="00AD3197">
            <w:pPr>
              <w:jc w:val="center"/>
              <w:rPr>
                <w:rFonts w:ascii="Times New Roman" w:hAnsi="Times New Roman" w:cs="Times New Roman"/>
                <w:sz w:val="22"/>
                <w:lang w:val="da-DK"/>
              </w:rPr>
            </w:pPr>
          </w:p>
          <w:p w14:paraId="64955DCC" w14:textId="00267371" w:rsidR="009E6B88" w:rsidRPr="000026E8" w:rsidRDefault="009E6B88" w:rsidP="00AD3197">
            <w:pPr>
              <w:jc w:val="center"/>
              <w:rPr>
                <w:rFonts w:ascii="Times New Roman" w:eastAsia="Times New Roman" w:hAnsi="Times New Roman" w:cs="Times New Roman"/>
                <w:sz w:val="22"/>
                <w:lang w:val="da-DK"/>
              </w:rPr>
            </w:pPr>
            <w:r w:rsidRPr="000026E8">
              <w:rPr>
                <w:rFonts w:ascii="Times New Roman" w:hAnsi="Times New Roman" w:cs="Times New Roman"/>
                <w:sz w:val="22"/>
                <w:lang w:val="da-DK"/>
              </w:rPr>
              <w:t>3,3</w:t>
            </w:r>
          </w:p>
          <w:p w14:paraId="513C4821" w14:textId="77777777" w:rsidR="009E6B88" w:rsidRPr="000026E8" w:rsidRDefault="009E6B88" w:rsidP="00AD3197">
            <w:pPr>
              <w:jc w:val="center"/>
              <w:rPr>
                <w:rFonts w:ascii="Times New Roman" w:eastAsia="Times New Roman" w:hAnsi="Times New Roman" w:cs="Times New Roman"/>
                <w:sz w:val="22"/>
                <w:lang w:val="da-DK"/>
              </w:rPr>
            </w:pPr>
            <w:r w:rsidRPr="000026E8">
              <w:rPr>
                <w:rFonts w:ascii="Times New Roman" w:hAnsi="Times New Roman" w:cs="Times New Roman"/>
                <w:sz w:val="22"/>
                <w:lang w:val="da-DK"/>
              </w:rPr>
              <w:t>10,2</w:t>
            </w:r>
          </w:p>
          <w:p w14:paraId="10A7FED8" w14:textId="77777777" w:rsidR="009E6B88" w:rsidRPr="000026E8" w:rsidRDefault="009E6B88" w:rsidP="00AD3197">
            <w:pPr>
              <w:jc w:val="center"/>
              <w:rPr>
                <w:rFonts w:ascii="Times New Roman" w:eastAsia="Times New Roman" w:hAnsi="Times New Roman" w:cs="Times New Roman"/>
                <w:sz w:val="22"/>
                <w:lang w:val="da-DK"/>
              </w:rPr>
            </w:pPr>
            <w:r w:rsidRPr="000026E8">
              <w:rPr>
                <w:rFonts w:ascii="Times New Roman" w:hAnsi="Times New Roman" w:cs="Times New Roman"/>
                <w:sz w:val="22"/>
                <w:lang w:val="da-DK"/>
              </w:rPr>
              <w:t>9,0</w:t>
            </w:r>
          </w:p>
        </w:tc>
      </w:tr>
      <w:tr w:rsidR="00511433" w:rsidRPr="000026E8" w14:paraId="2FD266BB" w14:textId="77777777" w:rsidTr="009E6B88">
        <w:tc>
          <w:tcPr>
            <w:tcW w:w="2263" w:type="dxa"/>
            <w:tcBorders>
              <w:top w:val="single" w:sz="5" w:space="0" w:color="000000"/>
              <w:left w:val="single" w:sz="5" w:space="0" w:color="000000"/>
              <w:bottom w:val="single" w:sz="5" w:space="0" w:color="000000"/>
              <w:right w:val="single" w:sz="5" w:space="0" w:color="000000"/>
            </w:tcBorders>
          </w:tcPr>
          <w:p w14:paraId="4A515041" w14:textId="77777777" w:rsidR="009E6B88" w:rsidRPr="000026E8" w:rsidRDefault="009E6B88" w:rsidP="00634591">
            <w:pPr>
              <w:rPr>
                <w:rFonts w:ascii="Times New Roman" w:hAnsi="Times New Roman" w:cs="Times New Roman"/>
                <w:sz w:val="22"/>
                <w:lang w:val="da-DK" w:eastAsia="zh-CN"/>
              </w:rPr>
            </w:pPr>
            <w:r w:rsidRPr="000026E8">
              <w:rPr>
                <w:rFonts w:ascii="Times New Roman" w:hAnsi="Times New Roman" w:cs="Times New Roman"/>
                <w:sz w:val="22"/>
                <w:lang w:val="da-DK" w:eastAsia="zh-CN"/>
              </w:rPr>
              <w:t>Mediantid til næsten</w:t>
            </w:r>
          </w:p>
          <w:p w14:paraId="2C80AC8D" w14:textId="77777777" w:rsidR="009E6B88" w:rsidRPr="000026E8" w:rsidRDefault="009E6B88" w:rsidP="00634591">
            <w:pPr>
              <w:rPr>
                <w:rFonts w:ascii="Times New Roman" w:hAnsi="Times New Roman" w:cs="Times New Roman"/>
                <w:sz w:val="22"/>
                <w:lang w:val="da-DK" w:eastAsia="zh-CN"/>
              </w:rPr>
            </w:pPr>
            <w:r w:rsidRPr="000026E8">
              <w:rPr>
                <w:rFonts w:ascii="Times New Roman" w:hAnsi="Times New Roman" w:cs="Times New Roman"/>
                <w:sz w:val="22"/>
                <w:lang w:val="da-DK" w:eastAsia="zh-CN"/>
              </w:rPr>
              <w:t>fuldstændig</w:t>
            </w:r>
          </w:p>
          <w:p w14:paraId="5F685604" w14:textId="77777777" w:rsidR="009E6B88" w:rsidRPr="000026E8" w:rsidRDefault="009E6B88" w:rsidP="00634591">
            <w:pPr>
              <w:rPr>
                <w:rFonts w:ascii="Times New Roman" w:hAnsi="Times New Roman" w:cs="Times New Roman"/>
                <w:sz w:val="22"/>
                <w:lang w:val="da-DK" w:eastAsia="zh-CN"/>
              </w:rPr>
            </w:pPr>
            <w:r w:rsidRPr="000026E8">
              <w:rPr>
                <w:rFonts w:ascii="Times New Roman" w:hAnsi="Times New Roman" w:cs="Times New Roman"/>
                <w:sz w:val="22"/>
                <w:lang w:val="da-DK" w:eastAsia="zh-CN"/>
              </w:rPr>
              <w:t>symptomlindring</w:t>
            </w:r>
          </w:p>
          <w:p w14:paraId="40B8CB84" w14:textId="77777777" w:rsidR="009E6B88" w:rsidRPr="000026E8" w:rsidRDefault="009E6B88" w:rsidP="00634591">
            <w:pPr>
              <w:rPr>
                <w:rFonts w:ascii="Times New Roman" w:eastAsia="Times New Roman" w:hAnsi="Times New Roman" w:cs="Times New Roman"/>
                <w:sz w:val="22"/>
                <w:lang w:val="da-DK"/>
              </w:rPr>
            </w:pPr>
            <w:r w:rsidRPr="000026E8">
              <w:rPr>
                <w:rFonts w:ascii="Times New Roman" w:hAnsi="Times New Roman" w:cs="Times New Roman"/>
                <w:sz w:val="22"/>
                <w:lang w:val="da-DK" w:eastAsia="zh-CN"/>
              </w:rPr>
              <w:t>(timer)</w:t>
            </w:r>
          </w:p>
        </w:tc>
        <w:tc>
          <w:tcPr>
            <w:tcW w:w="1161" w:type="dxa"/>
            <w:tcBorders>
              <w:top w:val="single" w:sz="5" w:space="0" w:color="000000"/>
              <w:left w:val="single" w:sz="5" w:space="0" w:color="000000"/>
              <w:bottom w:val="single" w:sz="5" w:space="0" w:color="000000"/>
              <w:right w:val="single" w:sz="5" w:space="0" w:color="000000"/>
            </w:tcBorders>
          </w:tcPr>
          <w:p w14:paraId="0C646EA8" w14:textId="77777777" w:rsidR="009E6B88" w:rsidRPr="000026E8" w:rsidRDefault="009E6B88" w:rsidP="00AD3197">
            <w:pPr>
              <w:jc w:val="center"/>
              <w:rPr>
                <w:rFonts w:ascii="Times New Roman" w:hAnsi="Times New Roman" w:cs="Times New Roman"/>
                <w:sz w:val="22"/>
                <w:lang w:val="da-DK"/>
              </w:rPr>
            </w:pPr>
          </w:p>
        </w:tc>
        <w:tc>
          <w:tcPr>
            <w:tcW w:w="1475" w:type="dxa"/>
            <w:tcBorders>
              <w:top w:val="single" w:sz="5" w:space="0" w:color="000000"/>
              <w:left w:val="single" w:sz="5" w:space="0" w:color="000000"/>
              <w:bottom w:val="single" w:sz="5" w:space="0" w:color="000000"/>
              <w:right w:val="single" w:sz="5" w:space="0" w:color="000000"/>
            </w:tcBorders>
          </w:tcPr>
          <w:p w14:paraId="03F5E57F" w14:textId="77777777" w:rsidR="009E6B88" w:rsidRPr="000026E8" w:rsidRDefault="009E6B88" w:rsidP="00AD3197">
            <w:pPr>
              <w:jc w:val="center"/>
              <w:rPr>
                <w:rFonts w:ascii="Times New Roman" w:hAnsi="Times New Roman" w:cs="Times New Roman"/>
                <w:sz w:val="22"/>
                <w:lang w:val="da-DK"/>
              </w:rPr>
            </w:pPr>
          </w:p>
        </w:tc>
        <w:tc>
          <w:tcPr>
            <w:tcW w:w="2184" w:type="dxa"/>
            <w:tcBorders>
              <w:top w:val="single" w:sz="5" w:space="0" w:color="000000"/>
              <w:left w:val="single" w:sz="5" w:space="0" w:color="000000"/>
              <w:bottom w:val="single" w:sz="5" w:space="0" w:color="000000"/>
              <w:right w:val="single" w:sz="5" w:space="0" w:color="000000"/>
            </w:tcBorders>
          </w:tcPr>
          <w:p w14:paraId="0B71F109" w14:textId="77777777" w:rsidR="009E6B88" w:rsidRPr="000026E8" w:rsidRDefault="009E6B88" w:rsidP="00634591">
            <w:pPr>
              <w:rPr>
                <w:rFonts w:ascii="Times New Roman" w:hAnsi="Times New Roman" w:cs="Times New Roman"/>
                <w:sz w:val="22"/>
                <w:lang w:val="da-DK" w:eastAsia="zh-CN"/>
              </w:rPr>
            </w:pPr>
            <w:r w:rsidRPr="000026E8">
              <w:rPr>
                <w:rFonts w:ascii="Times New Roman" w:hAnsi="Times New Roman" w:cs="Times New Roman"/>
                <w:sz w:val="22"/>
                <w:lang w:val="da-DK" w:eastAsia="zh-CN"/>
              </w:rPr>
              <w:t>Mediantid til næsten</w:t>
            </w:r>
          </w:p>
          <w:p w14:paraId="2D38AD14" w14:textId="77777777" w:rsidR="009E6B88" w:rsidRPr="000026E8" w:rsidRDefault="009E6B88" w:rsidP="00634591">
            <w:pPr>
              <w:rPr>
                <w:rFonts w:ascii="Times New Roman" w:hAnsi="Times New Roman" w:cs="Times New Roman"/>
                <w:sz w:val="22"/>
                <w:lang w:val="da-DK" w:eastAsia="zh-CN"/>
              </w:rPr>
            </w:pPr>
            <w:r w:rsidRPr="000026E8">
              <w:rPr>
                <w:rFonts w:ascii="Times New Roman" w:hAnsi="Times New Roman" w:cs="Times New Roman"/>
                <w:sz w:val="22"/>
                <w:lang w:val="da-DK" w:eastAsia="zh-CN"/>
              </w:rPr>
              <w:t>fuldstændig</w:t>
            </w:r>
          </w:p>
          <w:p w14:paraId="7254A4B1" w14:textId="77777777" w:rsidR="009E6B88" w:rsidRPr="000026E8" w:rsidRDefault="009E6B88" w:rsidP="00634591">
            <w:pPr>
              <w:rPr>
                <w:rFonts w:ascii="Times New Roman" w:hAnsi="Times New Roman" w:cs="Times New Roman"/>
                <w:sz w:val="22"/>
                <w:lang w:val="da-DK" w:eastAsia="zh-CN"/>
              </w:rPr>
            </w:pPr>
            <w:r w:rsidRPr="000026E8">
              <w:rPr>
                <w:rFonts w:ascii="Times New Roman" w:hAnsi="Times New Roman" w:cs="Times New Roman"/>
                <w:sz w:val="22"/>
                <w:lang w:val="da-DK" w:eastAsia="zh-CN"/>
              </w:rPr>
              <w:t>symptomlindring</w:t>
            </w:r>
          </w:p>
          <w:p w14:paraId="343EFEA1" w14:textId="77777777" w:rsidR="009E6B88" w:rsidRPr="000026E8" w:rsidRDefault="009E6B88" w:rsidP="00634591">
            <w:pPr>
              <w:rPr>
                <w:rFonts w:ascii="Times New Roman" w:eastAsia="Times New Roman" w:hAnsi="Times New Roman" w:cs="Times New Roman"/>
                <w:sz w:val="22"/>
                <w:lang w:val="da-DK"/>
              </w:rPr>
            </w:pPr>
            <w:r w:rsidRPr="000026E8">
              <w:rPr>
                <w:rFonts w:ascii="Times New Roman" w:hAnsi="Times New Roman" w:cs="Times New Roman"/>
                <w:sz w:val="22"/>
                <w:lang w:val="da-DK" w:eastAsia="zh-CN"/>
              </w:rPr>
              <w:t>(timer)</w:t>
            </w:r>
          </w:p>
        </w:tc>
        <w:tc>
          <w:tcPr>
            <w:tcW w:w="1178" w:type="dxa"/>
            <w:tcBorders>
              <w:top w:val="single" w:sz="5" w:space="0" w:color="000000"/>
              <w:left w:val="single" w:sz="5" w:space="0" w:color="000000"/>
              <w:bottom w:val="single" w:sz="5" w:space="0" w:color="000000"/>
              <w:right w:val="single" w:sz="5" w:space="0" w:color="000000"/>
            </w:tcBorders>
          </w:tcPr>
          <w:p w14:paraId="6FBB48B7" w14:textId="77777777" w:rsidR="009E6B88" w:rsidRPr="000026E8" w:rsidRDefault="009E6B88" w:rsidP="00AD3197">
            <w:pPr>
              <w:jc w:val="center"/>
              <w:rPr>
                <w:rFonts w:ascii="Times New Roman" w:hAnsi="Times New Roman" w:cs="Times New Roman"/>
                <w:sz w:val="22"/>
                <w:lang w:val="da-DK"/>
              </w:rPr>
            </w:pPr>
          </w:p>
        </w:tc>
        <w:tc>
          <w:tcPr>
            <w:tcW w:w="1628" w:type="dxa"/>
            <w:tcBorders>
              <w:top w:val="single" w:sz="5" w:space="0" w:color="000000"/>
              <w:left w:val="single" w:sz="5" w:space="0" w:color="000000"/>
              <w:bottom w:val="single" w:sz="5" w:space="0" w:color="000000"/>
              <w:right w:val="single" w:sz="5" w:space="0" w:color="000000"/>
            </w:tcBorders>
          </w:tcPr>
          <w:p w14:paraId="7EE199B3" w14:textId="77777777" w:rsidR="009E6B88" w:rsidRPr="000026E8" w:rsidRDefault="009E6B88" w:rsidP="00AD3197">
            <w:pPr>
              <w:jc w:val="center"/>
              <w:rPr>
                <w:rFonts w:ascii="Times New Roman" w:hAnsi="Times New Roman" w:cs="Times New Roman"/>
                <w:sz w:val="22"/>
                <w:lang w:val="da-DK"/>
              </w:rPr>
            </w:pPr>
          </w:p>
        </w:tc>
      </w:tr>
      <w:tr w:rsidR="00511433" w:rsidRPr="000026E8" w14:paraId="62BB0CCF" w14:textId="77777777" w:rsidTr="009E6B88">
        <w:tc>
          <w:tcPr>
            <w:tcW w:w="2263" w:type="dxa"/>
            <w:tcBorders>
              <w:top w:val="single" w:sz="5" w:space="0" w:color="000000"/>
              <w:left w:val="single" w:sz="5" w:space="0" w:color="000000"/>
              <w:bottom w:val="single" w:sz="5" w:space="0" w:color="000000"/>
              <w:right w:val="single" w:sz="5" w:space="0" w:color="000000"/>
            </w:tcBorders>
          </w:tcPr>
          <w:p w14:paraId="35BBF3C5" w14:textId="77777777" w:rsidR="009E6B88" w:rsidRPr="000026E8" w:rsidRDefault="009E6B88" w:rsidP="00634591">
            <w:pPr>
              <w:rPr>
                <w:rFonts w:ascii="Times New Roman" w:eastAsia="Times New Roman" w:hAnsi="Times New Roman" w:cs="Times New Roman"/>
                <w:sz w:val="22"/>
                <w:lang w:val="da-DK"/>
              </w:rPr>
            </w:pPr>
            <w:r w:rsidRPr="000026E8">
              <w:rPr>
                <w:rFonts w:ascii="Times New Roman" w:hAnsi="Times New Roman" w:cs="Times New Roman"/>
                <w:spacing w:val="-1"/>
                <w:sz w:val="22"/>
                <w:lang w:val="da-DK"/>
              </w:rPr>
              <w:t>Alle episoder</w:t>
            </w:r>
            <w:r w:rsidRPr="000026E8">
              <w:rPr>
                <w:rFonts w:ascii="Times New Roman" w:hAnsi="Times New Roman" w:cs="Times New Roman"/>
                <w:spacing w:val="25"/>
                <w:sz w:val="22"/>
                <w:lang w:val="da-DK"/>
              </w:rPr>
              <w:t xml:space="preserve"> </w:t>
            </w:r>
            <w:r w:rsidRPr="000026E8">
              <w:rPr>
                <w:rFonts w:ascii="Times New Roman" w:hAnsi="Times New Roman" w:cs="Times New Roman"/>
                <w:sz w:val="22"/>
                <w:lang w:val="da-DK"/>
              </w:rPr>
              <w:t>(N</w:t>
            </w:r>
            <w:r w:rsidRPr="000026E8">
              <w:rPr>
                <w:rFonts w:ascii="Times New Roman" w:hAnsi="Times New Roman" w:cs="Times New Roman"/>
                <w:spacing w:val="-1"/>
                <w:sz w:val="22"/>
                <w:lang w:val="da-DK"/>
              </w:rPr>
              <w:t xml:space="preserve"> </w:t>
            </w:r>
            <w:r w:rsidRPr="000026E8">
              <w:rPr>
                <w:rFonts w:ascii="Times New Roman" w:hAnsi="Times New Roman" w:cs="Times New Roman"/>
                <w:sz w:val="22"/>
                <w:lang w:val="da-DK"/>
              </w:rPr>
              <w:t xml:space="preserve">= </w:t>
            </w:r>
            <w:r w:rsidRPr="000026E8">
              <w:rPr>
                <w:rFonts w:ascii="Times New Roman" w:hAnsi="Times New Roman" w:cs="Times New Roman"/>
                <w:spacing w:val="-2"/>
                <w:sz w:val="22"/>
                <w:lang w:val="da-DK"/>
              </w:rPr>
              <w:t>74)</w:t>
            </w:r>
          </w:p>
        </w:tc>
        <w:tc>
          <w:tcPr>
            <w:tcW w:w="1161" w:type="dxa"/>
            <w:tcBorders>
              <w:top w:val="single" w:sz="5" w:space="0" w:color="000000"/>
              <w:left w:val="single" w:sz="5" w:space="0" w:color="000000"/>
              <w:bottom w:val="single" w:sz="5" w:space="0" w:color="000000"/>
              <w:right w:val="single" w:sz="5" w:space="0" w:color="000000"/>
            </w:tcBorders>
          </w:tcPr>
          <w:p w14:paraId="06838C42" w14:textId="77777777" w:rsidR="009E6B88" w:rsidRPr="000026E8" w:rsidRDefault="009E6B88" w:rsidP="00AD3197">
            <w:pPr>
              <w:jc w:val="center"/>
              <w:rPr>
                <w:rFonts w:ascii="Times New Roman" w:eastAsia="Times New Roman" w:hAnsi="Times New Roman" w:cs="Times New Roman"/>
                <w:sz w:val="22"/>
                <w:lang w:val="da-DK"/>
              </w:rPr>
            </w:pPr>
            <w:r w:rsidRPr="000026E8">
              <w:rPr>
                <w:rFonts w:ascii="Times New Roman" w:hAnsi="Times New Roman" w:cs="Times New Roman"/>
                <w:sz w:val="22"/>
                <w:lang w:val="da-DK"/>
              </w:rPr>
              <w:t>10,0</w:t>
            </w:r>
          </w:p>
        </w:tc>
        <w:tc>
          <w:tcPr>
            <w:tcW w:w="1475" w:type="dxa"/>
            <w:tcBorders>
              <w:top w:val="single" w:sz="5" w:space="0" w:color="000000"/>
              <w:left w:val="single" w:sz="5" w:space="0" w:color="000000"/>
              <w:bottom w:val="single" w:sz="5" w:space="0" w:color="000000"/>
              <w:right w:val="single" w:sz="5" w:space="0" w:color="000000"/>
            </w:tcBorders>
          </w:tcPr>
          <w:p w14:paraId="7FA88296" w14:textId="77777777" w:rsidR="009E6B88" w:rsidRPr="000026E8" w:rsidRDefault="009E6B88" w:rsidP="00AD3197">
            <w:pPr>
              <w:jc w:val="center"/>
              <w:rPr>
                <w:rFonts w:ascii="Times New Roman" w:eastAsia="Times New Roman" w:hAnsi="Times New Roman" w:cs="Times New Roman"/>
                <w:sz w:val="22"/>
                <w:lang w:val="da-DK"/>
              </w:rPr>
            </w:pPr>
            <w:r w:rsidRPr="000026E8">
              <w:rPr>
                <w:rFonts w:ascii="Times New Roman" w:hAnsi="Times New Roman" w:cs="Times New Roman"/>
                <w:sz w:val="22"/>
                <w:lang w:val="da-DK"/>
              </w:rPr>
              <w:t>51,0</w:t>
            </w:r>
          </w:p>
        </w:tc>
        <w:tc>
          <w:tcPr>
            <w:tcW w:w="2184" w:type="dxa"/>
            <w:tcBorders>
              <w:top w:val="single" w:sz="5" w:space="0" w:color="000000"/>
              <w:left w:val="single" w:sz="5" w:space="0" w:color="000000"/>
              <w:bottom w:val="single" w:sz="5" w:space="0" w:color="000000"/>
              <w:right w:val="single" w:sz="5" w:space="0" w:color="000000"/>
            </w:tcBorders>
          </w:tcPr>
          <w:p w14:paraId="7EA6A0AF" w14:textId="77777777" w:rsidR="009E6B88" w:rsidRPr="000026E8" w:rsidRDefault="009E6B88" w:rsidP="00634591">
            <w:pPr>
              <w:rPr>
                <w:rFonts w:ascii="Times New Roman" w:eastAsia="Times New Roman" w:hAnsi="Times New Roman" w:cs="Times New Roman"/>
                <w:sz w:val="22"/>
                <w:lang w:val="da-DK"/>
              </w:rPr>
            </w:pPr>
            <w:r w:rsidRPr="000026E8">
              <w:rPr>
                <w:rFonts w:ascii="Times New Roman" w:hAnsi="Times New Roman" w:cs="Times New Roman"/>
                <w:spacing w:val="-1"/>
                <w:sz w:val="22"/>
                <w:lang w:val="da-DK"/>
              </w:rPr>
              <w:t>Alle</w:t>
            </w:r>
            <w:r w:rsidRPr="000026E8">
              <w:rPr>
                <w:rFonts w:ascii="Times New Roman" w:hAnsi="Times New Roman" w:cs="Times New Roman"/>
                <w:spacing w:val="1"/>
                <w:sz w:val="22"/>
                <w:lang w:val="da-DK"/>
              </w:rPr>
              <w:t xml:space="preserve"> </w:t>
            </w:r>
            <w:r w:rsidRPr="000026E8">
              <w:rPr>
                <w:rFonts w:ascii="Times New Roman" w:hAnsi="Times New Roman" w:cs="Times New Roman"/>
                <w:spacing w:val="-1"/>
                <w:sz w:val="22"/>
                <w:lang w:val="da-DK"/>
              </w:rPr>
              <w:t>episoder</w:t>
            </w:r>
            <w:r w:rsidRPr="000026E8">
              <w:rPr>
                <w:rFonts w:ascii="Times New Roman" w:hAnsi="Times New Roman" w:cs="Times New Roman"/>
                <w:spacing w:val="26"/>
                <w:sz w:val="22"/>
                <w:lang w:val="da-DK"/>
              </w:rPr>
              <w:t xml:space="preserve"> </w:t>
            </w:r>
            <w:r w:rsidRPr="000026E8">
              <w:rPr>
                <w:rFonts w:ascii="Times New Roman" w:hAnsi="Times New Roman" w:cs="Times New Roman"/>
                <w:sz w:val="22"/>
                <w:lang w:val="da-DK"/>
              </w:rPr>
              <w:t>(N</w:t>
            </w:r>
            <w:r w:rsidRPr="000026E8">
              <w:rPr>
                <w:rFonts w:ascii="Times New Roman" w:hAnsi="Times New Roman" w:cs="Times New Roman"/>
                <w:spacing w:val="-1"/>
                <w:sz w:val="22"/>
                <w:lang w:val="da-DK"/>
              </w:rPr>
              <w:t xml:space="preserve"> </w:t>
            </w:r>
            <w:r w:rsidRPr="000026E8">
              <w:rPr>
                <w:rFonts w:ascii="Times New Roman" w:hAnsi="Times New Roman" w:cs="Times New Roman"/>
                <w:sz w:val="22"/>
                <w:lang w:val="da-DK"/>
              </w:rPr>
              <w:t xml:space="preserve">= </w:t>
            </w:r>
            <w:r w:rsidRPr="000026E8">
              <w:rPr>
                <w:rFonts w:ascii="Times New Roman" w:hAnsi="Times New Roman" w:cs="Times New Roman"/>
                <w:spacing w:val="-2"/>
                <w:sz w:val="22"/>
                <w:lang w:val="da-DK"/>
              </w:rPr>
              <w:t>56)</w:t>
            </w:r>
          </w:p>
        </w:tc>
        <w:tc>
          <w:tcPr>
            <w:tcW w:w="1178" w:type="dxa"/>
            <w:tcBorders>
              <w:top w:val="single" w:sz="5" w:space="0" w:color="000000"/>
              <w:left w:val="single" w:sz="5" w:space="0" w:color="000000"/>
              <w:bottom w:val="single" w:sz="5" w:space="0" w:color="000000"/>
              <w:right w:val="single" w:sz="5" w:space="0" w:color="000000"/>
            </w:tcBorders>
          </w:tcPr>
          <w:p w14:paraId="596F64DD" w14:textId="77777777" w:rsidR="009E6B88" w:rsidRPr="000026E8" w:rsidRDefault="009E6B88" w:rsidP="00AD3197">
            <w:pPr>
              <w:jc w:val="center"/>
              <w:rPr>
                <w:rFonts w:ascii="Times New Roman" w:eastAsia="Times New Roman" w:hAnsi="Times New Roman" w:cs="Times New Roman"/>
                <w:sz w:val="22"/>
                <w:lang w:val="da-DK"/>
              </w:rPr>
            </w:pPr>
            <w:r w:rsidRPr="000026E8">
              <w:rPr>
                <w:rFonts w:ascii="Times New Roman" w:hAnsi="Times New Roman" w:cs="Times New Roman"/>
                <w:sz w:val="22"/>
                <w:lang w:val="da-DK"/>
              </w:rPr>
              <w:t>8,5</w:t>
            </w:r>
          </w:p>
        </w:tc>
        <w:tc>
          <w:tcPr>
            <w:tcW w:w="1628" w:type="dxa"/>
            <w:tcBorders>
              <w:top w:val="single" w:sz="5" w:space="0" w:color="000000"/>
              <w:left w:val="single" w:sz="5" w:space="0" w:color="000000"/>
              <w:bottom w:val="single" w:sz="5" w:space="0" w:color="000000"/>
              <w:right w:val="single" w:sz="5" w:space="0" w:color="000000"/>
            </w:tcBorders>
          </w:tcPr>
          <w:p w14:paraId="217D65E7" w14:textId="77777777" w:rsidR="009E6B88" w:rsidRPr="000026E8" w:rsidRDefault="009E6B88" w:rsidP="00AD3197">
            <w:pPr>
              <w:jc w:val="center"/>
              <w:rPr>
                <w:rFonts w:ascii="Times New Roman" w:eastAsia="Times New Roman" w:hAnsi="Times New Roman" w:cs="Times New Roman"/>
                <w:sz w:val="22"/>
                <w:lang w:val="da-DK"/>
              </w:rPr>
            </w:pPr>
            <w:r w:rsidRPr="000026E8">
              <w:rPr>
                <w:rFonts w:ascii="Times New Roman" w:hAnsi="Times New Roman" w:cs="Times New Roman"/>
                <w:sz w:val="22"/>
                <w:lang w:val="da-DK"/>
              </w:rPr>
              <w:t>19,4</w:t>
            </w:r>
          </w:p>
        </w:tc>
      </w:tr>
      <w:tr w:rsidR="00511433" w:rsidRPr="000026E8" w14:paraId="41E99853" w14:textId="77777777" w:rsidTr="009E6B88">
        <w:tc>
          <w:tcPr>
            <w:tcW w:w="2263" w:type="dxa"/>
            <w:tcBorders>
              <w:top w:val="single" w:sz="5" w:space="0" w:color="000000"/>
              <w:left w:val="single" w:sz="5" w:space="0" w:color="000000"/>
              <w:bottom w:val="single" w:sz="5" w:space="0" w:color="000000"/>
              <w:right w:val="single" w:sz="5" w:space="0" w:color="000000"/>
            </w:tcBorders>
          </w:tcPr>
          <w:p w14:paraId="3CE73C63" w14:textId="77777777" w:rsidR="009E6B88" w:rsidRPr="000026E8" w:rsidRDefault="009E6B88" w:rsidP="00634591">
            <w:pPr>
              <w:rPr>
                <w:rFonts w:ascii="Times New Roman" w:hAnsi="Times New Roman" w:cs="Times New Roman"/>
                <w:sz w:val="22"/>
                <w:lang w:val="da-DK" w:eastAsia="zh-CN"/>
              </w:rPr>
            </w:pPr>
            <w:r w:rsidRPr="000026E8">
              <w:rPr>
                <w:rFonts w:ascii="Times New Roman" w:hAnsi="Times New Roman" w:cs="Times New Roman"/>
                <w:sz w:val="22"/>
                <w:lang w:val="da-DK" w:eastAsia="zh-CN"/>
              </w:rPr>
              <w:t>Mediantid til</w:t>
            </w:r>
          </w:p>
          <w:p w14:paraId="0E047DFB" w14:textId="77777777" w:rsidR="009E6B88" w:rsidRPr="000026E8" w:rsidRDefault="009E6B88" w:rsidP="00634591">
            <w:pPr>
              <w:rPr>
                <w:rFonts w:ascii="Times New Roman" w:hAnsi="Times New Roman" w:cs="Times New Roman"/>
                <w:sz w:val="22"/>
                <w:lang w:val="da-DK" w:eastAsia="zh-CN"/>
              </w:rPr>
            </w:pPr>
            <w:r w:rsidRPr="000026E8">
              <w:rPr>
                <w:rFonts w:ascii="Times New Roman" w:hAnsi="Times New Roman" w:cs="Times New Roman"/>
                <w:sz w:val="22"/>
                <w:lang w:val="da-DK" w:eastAsia="zh-CN"/>
              </w:rPr>
              <w:t>regression af</w:t>
            </w:r>
          </w:p>
          <w:p w14:paraId="5D61BBC1" w14:textId="77777777" w:rsidR="009E6B88" w:rsidRPr="000026E8" w:rsidRDefault="009E6B88" w:rsidP="00634591">
            <w:pPr>
              <w:rPr>
                <w:rFonts w:ascii="Times New Roman" w:hAnsi="Times New Roman" w:cs="Times New Roman"/>
                <w:sz w:val="22"/>
                <w:lang w:val="da-DK" w:eastAsia="zh-CN"/>
              </w:rPr>
            </w:pPr>
            <w:r w:rsidRPr="000026E8">
              <w:rPr>
                <w:rFonts w:ascii="Times New Roman" w:hAnsi="Times New Roman" w:cs="Times New Roman"/>
                <w:sz w:val="22"/>
                <w:lang w:val="da-DK" w:eastAsia="zh-CN"/>
              </w:rPr>
              <w:t>symptomerne, ifølge</w:t>
            </w:r>
          </w:p>
          <w:p w14:paraId="096CD673" w14:textId="77777777" w:rsidR="009E6B88" w:rsidRPr="000026E8" w:rsidRDefault="009E6B88" w:rsidP="00634591">
            <w:pPr>
              <w:rPr>
                <w:rFonts w:ascii="Times New Roman" w:eastAsia="Times New Roman" w:hAnsi="Times New Roman" w:cs="Times New Roman"/>
                <w:sz w:val="22"/>
                <w:lang w:val="da-DK"/>
              </w:rPr>
            </w:pPr>
            <w:r w:rsidRPr="000026E8">
              <w:rPr>
                <w:rFonts w:ascii="Times New Roman" w:hAnsi="Times New Roman" w:cs="Times New Roman"/>
                <w:sz w:val="22"/>
                <w:lang w:val="da-DK" w:eastAsia="zh-CN"/>
              </w:rPr>
              <w:t>patienten (timer)</w:t>
            </w:r>
          </w:p>
        </w:tc>
        <w:tc>
          <w:tcPr>
            <w:tcW w:w="1161" w:type="dxa"/>
            <w:tcBorders>
              <w:top w:val="single" w:sz="5" w:space="0" w:color="000000"/>
              <w:left w:val="single" w:sz="5" w:space="0" w:color="000000"/>
              <w:bottom w:val="single" w:sz="5" w:space="0" w:color="000000"/>
              <w:right w:val="single" w:sz="5" w:space="0" w:color="000000"/>
            </w:tcBorders>
          </w:tcPr>
          <w:p w14:paraId="2F6BAC81" w14:textId="77777777" w:rsidR="009E6B88" w:rsidRPr="000026E8" w:rsidRDefault="009E6B88" w:rsidP="00AD3197">
            <w:pPr>
              <w:jc w:val="center"/>
              <w:rPr>
                <w:rFonts w:ascii="Times New Roman" w:hAnsi="Times New Roman" w:cs="Times New Roman"/>
                <w:sz w:val="22"/>
                <w:lang w:val="da-DK"/>
              </w:rPr>
            </w:pPr>
          </w:p>
        </w:tc>
        <w:tc>
          <w:tcPr>
            <w:tcW w:w="1475" w:type="dxa"/>
            <w:tcBorders>
              <w:top w:val="single" w:sz="5" w:space="0" w:color="000000"/>
              <w:left w:val="single" w:sz="5" w:space="0" w:color="000000"/>
              <w:bottom w:val="single" w:sz="5" w:space="0" w:color="000000"/>
              <w:right w:val="single" w:sz="5" w:space="0" w:color="000000"/>
            </w:tcBorders>
          </w:tcPr>
          <w:p w14:paraId="50C5A994" w14:textId="77777777" w:rsidR="009E6B88" w:rsidRPr="000026E8" w:rsidRDefault="009E6B88" w:rsidP="00AD3197">
            <w:pPr>
              <w:jc w:val="center"/>
              <w:rPr>
                <w:rFonts w:ascii="Times New Roman" w:hAnsi="Times New Roman" w:cs="Times New Roman"/>
                <w:sz w:val="22"/>
                <w:lang w:val="da-DK"/>
              </w:rPr>
            </w:pPr>
          </w:p>
        </w:tc>
        <w:tc>
          <w:tcPr>
            <w:tcW w:w="2184" w:type="dxa"/>
            <w:tcBorders>
              <w:top w:val="single" w:sz="5" w:space="0" w:color="000000"/>
              <w:left w:val="single" w:sz="5" w:space="0" w:color="000000"/>
              <w:bottom w:val="single" w:sz="5" w:space="0" w:color="000000"/>
              <w:right w:val="single" w:sz="5" w:space="0" w:color="000000"/>
            </w:tcBorders>
          </w:tcPr>
          <w:p w14:paraId="4A076F01" w14:textId="77777777" w:rsidR="009E6B88" w:rsidRPr="000026E8" w:rsidRDefault="009E6B88" w:rsidP="00634591">
            <w:pPr>
              <w:rPr>
                <w:rFonts w:ascii="Times New Roman" w:hAnsi="Times New Roman" w:cs="Times New Roman"/>
                <w:sz w:val="22"/>
                <w:lang w:val="da-DK" w:eastAsia="zh-CN"/>
              </w:rPr>
            </w:pPr>
            <w:r w:rsidRPr="000026E8">
              <w:rPr>
                <w:rFonts w:ascii="Times New Roman" w:hAnsi="Times New Roman" w:cs="Times New Roman"/>
                <w:sz w:val="22"/>
                <w:lang w:val="da-DK" w:eastAsia="zh-CN"/>
              </w:rPr>
              <w:t>Mediantid til</w:t>
            </w:r>
          </w:p>
          <w:p w14:paraId="1A3A43D8" w14:textId="77777777" w:rsidR="009E6B88" w:rsidRPr="000026E8" w:rsidRDefault="009E6B88" w:rsidP="00634591">
            <w:pPr>
              <w:rPr>
                <w:rFonts w:ascii="Times New Roman" w:hAnsi="Times New Roman" w:cs="Times New Roman"/>
                <w:sz w:val="22"/>
                <w:lang w:val="da-DK" w:eastAsia="zh-CN"/>
              </w:rPr>
            </w:pPr>
            <w:r w:rsidRPr="000026E8">
              <w:rPr>
                <w:rFonts w:ascii="Times New Roman" w:hAnsi="Times New Roman" w:cs="Times New Roman"/>
                <w:sz w:val="22"/>
                <w:lang w:val="da-DK" w:eastAsia="zh-CN"/>
              </w:rPr>
              <w:t>regression af</w:t>
            </w:r>
          </w:p>
          <w:p w14:paraId="48497E13" w14:textId="77777777" w:rsidR="009E6B88" w:rsidRPr="000026E8" w:rsidRDefault="009E6B88" w:rsidP="00634591">
            <w:pPr>
              <w:rPr>
                <w:rFonts w:ascii="Times New Roman" w:hAnsi="Times New Roman" w:cs="Times New Roman"/>
                <w:sz w:val="22"/>
                <w:lang w:val="da-DK" w:eastAsia="zh-CN"/>
              </w:rPr>
            </w:pPr>
            <w:r w:rsidRPr="000026E8">
              <w:rPr>
                <w:rFonts w:ascii="Times New Roman" w:hAnsi="Times New Roman" w:cs="Times New Roman"/>
                <w:sz w:val="22"/>
                <w:lang w:val="da-DK" w:eastAsia="zh-CN"/>
              </w:rPr>
              <w:t>symptomerne, ifølge</w:t>
            </w:r>
          </w:p>
          <w:p w14:paraId="4676791E" w14:textId="77777777" w:rsidR="009E6B88" w:rsidRPr="000026E8" w:rsidRDefault="009E6B88" w:rsidP="00634591">
            <w:pPr>
              <w:rPr>
                <w:rFonts w:ascii="Times New Roman" w:eastAsia="Times New Roman" w:hAnsi="Times New Roman" w:cs="Times New Roman"/>
                <w:sz w:val="22"/>
                <w:lang w:val="da-DK"/>
              </w:rPr>
            </w:pPr>
            <w:r w:rsidRPr="000026E8">
              <w:rPr>
                <w:rFonts w:ascii="Times New Roman" w:hAnsi="Times New Roman" w:cs="Times New Roman"/>
                <w:sz w:val="22"/>
                <w:lang w:val="da-DK" w:eastAsia="zh-CN"/>
              </w:rPr>
              <w:t>patienten (timer)</w:t>
            </w:r>
          </w:p>
        </w:tc>
        <w:tc>
          <w:tcPr>
            <w:tcW w:w="1178" w:type="dxa"/>
            <w:tcBorders>
              <w:top w:val="single" w:sz="5" w:space="0" w:color="000000"/>
              <w:left w:val="single" w:sz="5" w:space="0" w:color="000000"/>
              <w:bottom w:val="single" w:sz="5" w:space="0" w:color="000000"/>
              <w:right w:val="single" w:sz="5" w:space="0" w:color="000000"/>
            </w:tcBorders>
          </w:tcPr>
          <w:p w14:paraId="4A11420C" w14:textId="77777777" w:rsidR="009E6B88" w:rsidRPr="000026E8" w:rsidRDefault="009E6B88" w:rsidP="00AD3197">
            <w:pPr>
              <w:jc w:val="center"/>
              <w:rPr>
                <w:rFonts w:ascii="Times New Roman" w:hAnsi="Times New Roman" w:cs="Times New Roman"/>
                <w:sz w:val="22"/>
                <w:lang w:val="da-DK"/>
              </w:rPr>
            </w:pPr>
          </w:p>
        </w:tc>
        <w:tc>
          <w:tcPr>
            <w:tcW w:w="1628" w:type="dxa"/>
            <w:tcBorders>
              <w:top w:val="single" w:sz="5" w:space="0" w:color="000000"/>
              <w:left w:val="single" w:sz="5" w:space="0" w:color="000000"/>
              <w:bottom w:val="single" w:sz="5" w:space="0" w:color="000000"/>
              <w:right w:val="single" w:sz="5" w:space="0" w:color="000000"/>
            </w:tcBorders>
          </w:tcPr>
          <w:p w14:paraId="131FB183" w14:textId="77777777" w:rsidR="009E6B88" w:rsidRPr="000026E8" w:rsidRDefault="009E6B88" w:rsidP="00AD3197">
            <w:pPr>
              <w:jc w:val="center"/>
              <w:rPr>
                <w:rFonts w:ascii="Times New Roman" w:hAnsi="Times New Roman" w:cs="Times New Roman"/>
                <w:sz w:val="22"/>
                <w:lang w:val="da-DK"/>
              </w:rPr>
            </w:pPr>
          </w:p>
        </w:tc>
      </w:tr>
      <w:tr w:rsidR="00511433" w:rsidRPr="000026E8" w14:paraId="7EA7E7CB" w14:textId="77777777" w:rsidTr="009E6B88">
        <w:tc>
          <w:tcPr>
            <w:tcW w:w="2263" w:type="dxa"/>
            <w:tcBorders>
              <w:top w:val="single" w:sz="5" w:space="0" w:color="000000"/>
              <w:left w:val="single" w:sz="5" w:space="0" w:color="000000"/>
              <w:bottom w:val="single" w:sz="5" w:space="0" w:color="000000"/>
              <w:right w:val="single" w:sz="5" w:space="0" w:color="000000"/>
            </w:tcBorders>
          </w:tcPr>
          <w:p w14:paraId="398588A9" w14:textId="77777777" w:rsidR="009E6B88" w:rsidRPr="000026E8" w:rsidRDefault="009E6B88" w:rsidP="00634591">
            <w:pPr>
              <w:rPr>
                <w:rFonts w:ascii="Times New Roman" w:eastAsia="Times New Roman" w:hAnsi="Times New Roman" w:cs="Times New Roman"/>
                <w:sz w:val="22"/>
                <w:lang w:val="da-DK"/>
              </w:rPr>
            </w:pPr>
            <w:r w:rsidRPr="000026E8">
              <w:rPr>
                <w:rFonts w:ascii="Times New Roman" w:hAnsi="Times New Roman" w:cs="Times New Roman"/>
                <w:spacing w:val="-1"/>
                <w:sz w:val="22"/>
                <w:lang w:val="da-DK"/>
              </w:rPr>
              <w:t>Alle</w:t>
            </w:r>
            <w:r w:rsidRPr="000026E8">
              <w:rPr>
                <w:rFonts w:ascii="Times New Roman" w:hAnsi="Times New Roman" w:cs="Times New Roman"/>
                <w:spacing w:val="1"/>
                <w:sz w:val="22"/>
                <w:lang w:val="da-DK"/>
              </w:rPr>
              <w:t xml:space="preserve"> </w:t>
            </w:r>
            <w:r w:rsidRPr="000026E8">
              <w:rPr>
                <w:rFonts w:ascii="Times New Roman" w:hAnsi="Times New Roman" w:cs="Times New Roman"/>
                <w:spacing w:val="-1"/>
                <w:sz w:val="22"/>
                <w:lang w:val="da-DK"/>
              </w:rPr>
              <w:t>episoder</w:t>
            </w:r>
            <w:r w:rsidRPr="000026E8">
              <w:rPr>
                <w:rFonts w:ascii="Times New Roman" w:hAnsi="Times New Roman" w:cs="Times New Roman"/>
                <w:spacing w:val="25"/>
                <w:sz w:val="22"/>
                <w:lang w:val="da-DK"/>
              </w:rPr>
              <w:t xml:space="preserve"> </w:t>
            </w:r>
            <w:r w:rsidRPr="000026E8">
              <w:rPr>
                <w:rFonts w:ascii="Times New Roman" w:hAnsi="Times New Roman" w:cs="Times New Roman"/>
                <w:sz w:val="22"/>
                <w:lang w:val="da-DK"/>
              </w:rPr>
              <w:t>(N</w:t>
            </w:r>
            <w:r w:rsidRPr="000026E8">
              <w:rPr>
                <w:rFonts w:ascii="Times New Roman" w:hAnsi="Times New Roman" w:cs="Times New Roman"/>
                <w:spacing w:val="-1"/>
                <w:sz w:val="22"/>
                <w:lang w:val="da-DK"/>
              </w:rPr>
              <w:t xml:space="preserve"> </w:t>
            </w:r>
            <w:r w:rsidRPr="000026E8">
              <w:rPr>
                <w:rFonts w:ascii="Times New Roman" w:hAnsi="Times New Roman" w:cs="Times New Roman"/>
                <w:sz w:val="22"/>
                <w:lang w:val="da-DK"/>
              </w:rPr>
              <w:t xml:space="preserve">= </w:t>
            </w:r>
            <w:r w:rsidRPr="000026E8">
              <w:rPr>
                <w:rFonts w:ascii="Times New Roman" w:hAnsi="Times New Roman" w:cs="Times New Roman"/>
                <w:spacing w:val="-2"/>
                <w:sz w:val="22"/>
                <w:lang w:val="da-DK"/>
              </w:rPr>
              <w:t>74)</w:t>
            </w:r>
          </w:p>
        </w:tc>
        <w:tc>
          <w:tcPr>
            <w:tcW w:w="1161" w:type="dxa"/>
            <w:tcBorders>
              <w:top w:val="single" w:sz="5" w:space="0" w:color="000000"/>
              <w:left w:val="single" w:sz="5" w:space="0" w:color="000000"/>
              <w:bottom w:val="single" w:sz="5" w:space="0" w:color="000000"/>
              <w:right w:val="single" w:sz="5" w:space="0" w:color="000000"/>
            </w:tcBorders>
          </w:tcPr>
          <w:p w14:paraId="52D8936F" w14:textId="77777777" w:rsidR="009E6B88" w:rsidRPr="000026E8" w:rsidRDefault="009E6B88" w:rsidP="00AD3197">
            <w:pPr>
              <w:jc w:val="center"/>
              <w:rPr>
                <w:rFonts w:ascii="Times New Roman" w:eastAsia="Times New Roman" w:hAnsi="Times New Roman" w:cs="Times New Roman"/>
                <w:sz w:val="22"/>
                <w:lang w:val="da-DK"/>
              </w:rPr>
            </w:pPr>
            <w:r w:rsidRPr="000026E8">
              <w:rPr>
                <w:rFonts w:ascii="Times New Roman" w:hAnsi="Times New Roman" w:cs="Times New Roman"/>
                <w:sz w:val="22"/>
                <w:lang w:val="da-DK"/>
              </w:rPr>
              <w:t>0,8</w:t>
            </w:r>
          </w:p>
        </w:tc>
        <w:tc>
          <w:tcPr>
            <w:tcW w:w="1475" w:type="dxa"/>
            <w:tcBorders>
              <w:top w:val="single" w:sz="5" w:space="0" w:color="000000"/>
              <w:left w:val="single" w:sz="5" w:space="0" w:color="000000"/>
              <w:bottom w:val="single" w:sz="5" w:space="0" w:color="000000"/>
              <w:right w:val="single" w:sz="5" w:space="0" w:color="000000"/>
            </w:tcBorders>
          </w:tcPr>
          <w:p w14:paraId="599CF392" w14:textId="77777777" w:rsidR="009E6B88" w:rsidRPr="000026E8" w:rsidRDefault="009E6B88" w:rsidP="00AD3197">
            <w:pPr>
              <w:jc w:val="center"/>
              <w:rPr>
                <w:rFonts w:ascii="Times New Roman" w:eastAsia="Times New Roman" w:hAnsi="Times New Roman" w:cs="Times New Roman"/>
                <w:sz w:val="22"/>
                <w:lang w:val="da-DK"/>
              </w:rPr>
            </w:pPr>
            <w:r w:rsidRPr="000026E8">
              <w:rPr>
                <w:rFonts w:ascii="Times New Roman" w:hAnsi="Times New Roman" w:cs="Times New Roman"/>
                <w:sz w:val="22"/>
                <w:lang w:val="da-DK"/>
              </w:rPr>
              <w:t>7,9</w:t>
            </w:r>
          </w:p>
        </w:tc>
        <w:tc>
          <w:tcPr>
            <w:tcW w:w="2184" w:type="dxa"/>
            <w:tcBorders>
              <w:top w:val="single" w:sz="5" w:space="0" w:color="000000"/>
              <w:left w:val="single" w:sz="5" w:space="0" w:color="000000"/>
              <w:bottom w:val="single" w:sz="5" w:space="0" w:color="000000"/>
              <w:right w:val="single" w:sz="5" w:space="0" w:color="000000"/>
            </w:tcBorders>
          </w:tcPr>
          <w:p w14:paraId="7539179B" w14:textId="77777777" w:rsidR="009E6B88" w:rsidRPr="000026E8" w:rsidRDefault="009E6B88" w:rsidP="00634591">
            <w:pPr>
              <w:rPr>
                <w:rFonts w:ascii="Times New Roman" w:eastAsia="Times New Roman" w:hAnsi="Times New Roman" w:cs="Times New Roman"/>
                <w:sz w:val="22"/>
                <w:lang w:val="da-DK"/>
              </w:rPr>
            </w:pPr>
            <w:r w:rsidRPr="000026E8">
              <w:rPr>
                <w:rFonts w:ascii="Times New Roman" w:hAnsi="Times New Roman" w:cs="Times New Roman"/>
                <w:spacing w:val="-1"/>
                <w:sz w:val="22"/>
                <w:lang w:val="da-DK"/>
              </w:rPr>
              <w:t>Alle</w:t>
            </w:r>
            <w:r w:rsidRPr="000026E8">
              <w:rPr>
                <w:rFonts w:ascii="Times New Roman" w:hAnsi="Times New Roman" w:cs="Times New Roman"/>
                <w:spacing w:val="1"/>
                <w:sz w:val="22"/>
                <w:lang w:val="da-DK"/>
              </w:rPr>
              <w:t xml:space="preserve"> </w:t>
            </w:r>
            <w:r w:rsidRPr="000026E8">
              <w:rPr>
                <w:rFonts w:ascii="Times New Roman" w:hAnsi="Times New Roman" w:cs="Times New Roman"/>
                <w:spacing w:val="-1"/>
                <w:sz w:val="22"/>
                <w:lang w:val="da-DK"/>
              </w:rPr>
              <w:t>episoder</w:t>
            </w:r>
            <w:r w:rsidRPr="000026E8">
              <w:rPr>
                <w:rFonts w:ascii="Times New Roman" w:hAnsi="Times New Roman" w:cs="Times New Roman"/>
                <w:spacing w:val="26"/>
                <w:sz w:val="22"/>
                <w:lang w:val="da-DK"/>
              </w:rPr>
              <w:t xml:space="preserve"> </w:t>
            </w:r>
            <w:r w:rsidRPr="000026E8">
              <w:rPr>
                <w:rFonts w:ascii="Times New Roman" w:hAnsi="Times New Roman" w:cs="Times New Roman"/>
                <w:sz w:val="22"/>
                <w:lang w:val="da-DK"/>
              </w:rPr>
              <w:t>(N</w:t>
            </w:r>
            <w:r w:rsidRPr="000026E8">
              <w:rPr>
                <w:rFonts w:ascii="Times New Roman" w:hAnsi="Times New Roman" w:cs="Times New Roman"/>
                <w:spacing w:val="-1"/>
                <w:sz w:val="22"/>
                <w:lang w:val="da-DK"/>
              </w:rPr>
              <w:t xml:space="preserve"> </w:t>
            </w:r>
            <w:r w:rsidRPr="000026E8">
              <w:rPr>
                <w:rFonts w:ascii="Times New Roman" w:hAnsi="Times New Roman" w:cs="Times New Roman"/>
                <w:sz w:val="22"/>
                <w:lang w:val="da-DK"/>
              </w:rPr>
              <w:t xml:space="preserve">= </w:t>
            </w:r>
            <w:r w:rsidRPr="000026E8">
              <w:rPr>
                <w:rFonts w:ascii="Times New Roman" w:hAnsi="Times New Roman" w:cs="Times New Roman"/>
                <w:spacing w:val="-2"/>
                <w:sz w:val="22"/>
                <w:lang w:val="da-DK"/>
              </w:rPr>
              <w:t>56)</w:t>
            </w:r>
          </w:p>
        </w:tc>
        <w:tc>
          <w:tcPr>
            <w:tcW w:w="1178" w:type="dxa"/>
            <w:tcBorders>
              <w:top w:val="single" w:sz="5" w:space="0" w:color="000000"/>
              <w:left w:val="single" w:sz="5" w:space="0" w:color="000000"/>
              <w:bottom w:val="single" w:sz="5" w:space="0" w:color="000000"/>
              <w:right w:val="single" w:sz="5" w:space="0" w:color="000000"/>
            </w:tcBorders>
          </w:tcPr>
          <w:p w14:paraId="2A4B80E8" w14:textId="77777777" w:rsidR="009E6B88" w:rsidRPr="000026E8" w:rsidRDefault="009E6B88" w:rsidP="00AD3197">
            <w:pPr>
              <w:jc w:val="center"/>
              <w:rPr>
                <w:rFonts w:ascii="Times New Roman" w:eastAsia="Times New Roman" w:hAnsi="Times New Roman" w:cs="Times New Roman"/>
                <w:sz w:val="22"/>
                <w:lang w:val="da-DK"/>
              </w:rPr>
            </w:pPr>
            <w:r w:rsidRPr="000026E8">
              <w:rPr>
                <w:rFonts w:ascii="Times New Roman" w:hAnsi="Times New Roman" w:cs="Times New Roman"/>
                <w:sz w:val="22"/>
                <w:lang w:val="da-DK"/>
              </w:rPr>
              <w:t>0,8</w:t>
            </w:r>
          </w:p>
        </w:tc>
        <w:tc>
          <w:tcPr>
            <w:tcW w:w="1628" w:type="dxa"/>
            <w:tcBorders>
              <w:top w:val="single" w:sz="5" w:space="0" w:color="000000"/>
              <w:left w:val="single" w:sz="5" w:space="0" w:color="000000"/>
              <w:bottom w:val="single" w:sz="5" w:space="0" w:color="000000"/>
              <w:right w:val="single" w:sz="5" w:space="0" w:color="000000"/>
            </w:tcBorders>
          </w:tcPr>
          <w:p w14:paraId="2D9D17D4" w14:textId="77777777" w:rsidR="009E6B88" w:rsidRPr="000026E8" w:rsidRDefault="009E6B88" w:rsidP="00AD3197">
            <w:pPr>
              <w:jc w:val="center"/>
              <w:rPr>
                <w:rFonts w:ascii="Times New Roman" w:eastAsia="Times New Roman" w:hAnsi="Times New Roman" w:cs="Times New Roman"/>
                <w:sz w:val="22"/>
                <w:lang w:val="da-DK"/>
              </w:rPr>
            </w:pPr>
            <w:r w:rsidRPr="000026E8">
              <w:rPr>
                <w:rFonts w:ascii="Times New Roman" w:hAnsi="Times New Roman" w:cs="Times New Roman"/>
                <w:sz w:val="22"/>
                <w:lang w:val="da-DK"/>
              </w:rPr>
              <w:t>16,9</w:t>
            </w:r>
          </w:p>
        </w:tc>
      </w:tr>
      <w:tr w:rsidR="00511433" w:rsidRPr="000026E8" w14:paraId="3ED770D6" w14:textId="77777777" w:rsidTr="009E6B88">
        <w:tc>
          <w:tcPr>
            <w:tcW w:w="2263" w:type="dxa"/>
            <w:tcBorders>
              <w:top w:val="single" w:sz="5" w:space="0" w:color="000000"/>
              <w:left w:val="single" w:sz="5" w:space="0" w:color="000000"/>
              <w:bottom w:val="single" w:sz="5" w:space="0" w:color="000000"/>
              <w:right w:val="single" w:sz="5" w:space="0" w:color="000000"/>
            </w:tcBorders>
          </w:tcPr>
          <w:p w14:paraId="0A745767" w14:textId="77777777" w:rsidR="009E6B88" w:rsidRPr="000026E8" w:rsidRDefault="009E6B88" w:rsidP="00634591">
            <w:pPr>
              <w:rPr>
                <w:rFonts w:ascii="Times New Roman" w:hAnsi="Times New Roman" w:cs="Times New Roman"/>
                <w:sz w:val="22"/>
                <w:lang w:val="da-DK" w:eastAsia="zh-CN"/>
              </w:rPr>
            </w:pPr>
            <w:r w:rsidRPr="000026E8">
              <w:rPr>
                <w:rFonts w:ascii="Times New Roman" w:hAnsi="Times New Roman" w:cs="Times New Roman"/>
                <w:sz w:val="22"/>
                <w:lang w:val="da-DK" w:eastAsia="zh-CN"/>
              </w:rPr>
              <w:t>Generel forbedring</w:t>
            </w:r>
          </w:p>
          <w:p w14:paraId="2C49B940" w14:textId="77777777" w:rsidR="009E6B88" w:rsidRPr="000026E8" w:rsidRDefault="009E6B88" w:rsidP="00634591">
            <w:pPr>
              <w:rPr>
                <w:rFonts w:ascii="Times New Roman" w:hAnsi="Times New Roman" w:cs="Times New Roman"/>
                <w:sz w:val="22"/>
                <w:lang w:val="da-DK" w:eastAsia="zh-CN"/>
              </w:rPr>
            </w:pPr>
            <w:r w:rsidRPr="000026E8">
              <w:rPr>
                <w:rFonts w:ascii="Times New Roman" w:hAnsi="Times New Roman" w:cs="Times New Roman"/>
                <w:sz w:val="22"/>
                <w:lang w:val="da-DK" w:eastAsia="zh-CN"/>
              </w:rPr>
              <w:t>fra lægens</w:t>
            </w:r>
          </w:p>
          <w:p w14:paraId="235493E2" w14:textId="77777777" w:rsidR="009E6B88" w:rsidRPr="000026E8" w:rsidRDefault="009E6B88" w:rsidP="00634591">
            <w:pPr>
              <w:rPr>
                <w:rFonts w:ascii="Times New Roman" w:eastAsia="Times New Roman" w:hAnsi="Times New Roman" w:cs="Times New Roman"/>
                <w:sz w:val="22"/>
                <w:lang w:val="da-DK"/>
              </w:rPr>
            </w:pPr>
            <w:r w:rsidRPr="000026E8">
              <w:rPr>
                <w:rFonts w:ascii="Times New Roman" w:hAnsi="Times New Roman" w:cs="Times New Roman"/>
                <w:sz w:val="22"/>
                <w:lang w:val="da-DK" w:eastAsia="zh-CN"/>
              </w:rPr>
              <w:t>synspunkt (timer)</w:t>
            </w:r>
          </w:p>
        </w:tc>
        <w:tc>
          <w:tcPr>
            <w:tcW w:w="1161" w:type="dxa"/>
            <w:tcBorders>
              <w:top w:val="single" w:sz="5" w:space="0" w:color="000000"/>
              <w:left w:val="single" w:sz="5" w:space="0" w:color="000000"/>
              <w:bottom w:val="single" w:sz="5" w:space="0" w:color="000000"/>
              <w:right w:val="single" w:sz="5" w:space="0" w:color="000000"/>
            </w:tcBorders>
          </w:tcPr>
          <w:p w14:paraId="7EBA1173" w14:textId="77777777" w:rsidR="009E6B88" w:rsidRPr="000026E8" w:rsidRDefault="009E6B88" w:rsidP="00AD3197">
            <w:pPr>
              <w:jc w:val="center"/>
              <w:rPr>
                <w:rFonts w:ascii="Times New Roman" w:hAnsi="Times New Roman" w:cs="Times New Roman"/>
                <w:sz w:val="22"/>
                <w:lang w:val="da-DK"/>
              </w:rPr>
            </w:pPr>
          </w:p>
        </w:tc>
        <w:tc>
          <w:tcPr>
            <w:tcW w:w="1475" w:type="dxa"/>
            <w:tcBorders>
              <w:top w:val="single" w:sz="5" w:space="0" w:color="000000"/>
              <w:left w:val="single" w:sz="5" w:space="0" w:color="000000"/>
              <w:bottom w:val="single" w:sz="5" w:space="0" w:color="000000"/>
              <w:right w:val="single" w:sz="5" w:space="0" w:color="000000"/>
            </w:tcBorders>
          </w:tcPr>
          <w:p w14:paraId="433C6C80" w14:textId="77777777" w:rsidR="009E6B88" w:rsidRPr="000026E8" w:rsidRDefault="009E6B88" w:rsidP="00AD3197">
            <w:pPr>
              <w:jc w:val="center"/>
              <w:rPr>
                <w:rFonts w:ascii="Times New Roman" w:hAnsi="Times New Roman" w:cs="Times New Roman"/>
                <w:sz w:val="22"/>
                <w:lang w:val="da-DK"/>
              </w:rPr>
            </w:pPr>
          </w:p>
        </w:tc>
        <w:tc>
          <w:tcPr>
            <w:tcW w:w="2184" w:type="dxa"/>
            <w:tcBorders>
              <w:top w:val="single" w:sz="5" w:space="0" w:color="000000"/>
              <w:left w:val="single" w:sz="5" w:space="0" w:color="000000"/>
              <w:bottom w:val="single" w:sz="5" w:space="0" w:color="000000"/>
              <w:right w:val="single" w:sz="5" w:space="0" w:color="000000"/>
            </w:tcBorders>
          </w:tcPr>
          <w:p w14:paraId="001B50EE" w14:textId="77777777" w:rsidR="009E6B88" w:rsidRPr="000026E8" w:rsidRDefault="009E6B88" w:rsidP="00634591">
            <w:pPr>
              <w:rPr>
                <w:rFonts w:ascii="Times New Roman" w:hAnsi="Times New Roman" w:cs="Times New Roman"/>
                <w:sz w:val="22"/>
                <w:lang w:val="da-DK" w:eastAsia="zh-CN"/>
              </w:rPr>
            </w:pPr>
            <w:r w:rsidRPr="000026E8">
              <w:rPr>
                <w:rFonts w:ascii="Times New Roman" w:hAnsi="Times New Roman" w:cs="Times New Roman"/>
                <w:sz w:val="22"/>
                <w:lang w:val="da-DK" w:eastAsia="zh-CN"/>
              </w:rPr>
              <w:t>Generel forbedring</w:t>
            </w:r>
          </w:p>
          <w:p w14:paraId="32FC798D" w14:textId="77777777" w:rsidR="009E6B88" w:rsidRPr="000026E8" w:rsidRDefault="009E6B88" w:rsidP="00634591">
            <w:pPr>
              <w:rPr>
                <w:rFonts w:ascii="Times New Roman" w:hAnsi="Times New Roman" w:cs="Times New Roman"/>
                <w:sz w:val="22"/>
                <w:lang w:val="da-DK" w:eastAsia="zh-CN"/>
              </w:rPr>
            </w:pPr>
            <w:r w:rsidRPr="000026E8">
              <w:rPr>
                <w:rFonts w:ascii="Times New Roman" w:hAnsi="Times New Roman" w:cs="Times New Roman"/>
                <w:sz w:val="22"/>
                <w:lang w:val="da-DK" w:eastAsia="zh-CN"/>
              </w:rPr>
              <w:t>fra lægens</w:t>
            </w:r>
          </w:p>
          <w:p w14:paraId="1ACFEDD1" w14:textId="77777777" w:rsidR="009E6B88" w:rsidRPr="000026E8" w:rsidRDefault="009E6B88" w:rsidP="00634591">
            <w:pPr>
              <w:rPr>
                <w:rFonts w:ascii="Times New Roman" w:eastAsia="Times New Roman" w:hAnsi="Times New Roman" w:cs="Times New Roman"/>
                <w:sz w:val="22"/>
                <w:lang w:val="da-DK"/>
              </w:rPr>
            </w:pPr>
            <w:r w:rsidRPr="000026E8">
              <w:rPr>
                <w:rFonts w:ascii="Times New Roman" w:hAnsi="Times New Roman" w:cs="Times New Roman"/>
                <w:sz w:val="22"/>
                <w:lang w:val="da-DK" w:eastAsia="zh-CN"/>
              </w:rPr>
              <w:t>synspunkt (timer)</w:t>
            </w:r>
          </w:p>
        </w:tc>
        <w:tc>
          <w:tcPr>
            <w:tcW w:w="1178" w:type="dxa"/>
            <w:tcBorders>
              <w:top w:val="single" w:sz="5" w:space="0" w:color="000000"/>
              <w:left w:val="single" w:sz="5" w:space="0" w:color="000000"/>
              <w:bottom w:val="single" w:sz="5" w:space="0" w:color="000000"/>
              <w:right w:val="single" w:sz="5" w:space="0" w:color="000000"/>
            </w:tcBorders>
          </w:tcPr>
          <w:p w14:paraId="35E339C0" w14:textId="77777777" w:rsidR="009E6B88" w:rsidRPr="000026E8" w:rsidRDefault="009E6B88" w:rsidP="00AD3197">
            <w:pPr>
              <w:jc w:val="center"/>
              <w:rPr>
                <w:rFonts w:ascii="Times New Roman" w:hAnsi="Times New Roman" w:cs="Times New Roman"/>
                <w:sz w:val="22"/>
                <w:lang w:val="da-DK"/>
              </w:rPr>
            </w:pPr>
          </w:p>
        </w:tc>
        <w:tc>
          <w:tcPr>
            <w:tcW w:w="1628" w:type="dxa"/>
            <w:tcBorders>
              <w:top w:val="single" w:sz="5" w:space="0" w:color="000000"/>
              <w:left w:val="single" w:sz="5" w:space="0" w:color="000000"/>
              <w:bottom w:val="single" w:sz="5" w:space="0" w:color="000000"/>
              <w:right w:val="single" w:sz="5" w:space="0" w:color="000000"/>
            </w:tcBorders>
          </w:tcPr>
          <w:p w14:paraId="692B57E2" w14:textId="77777777" w:rsidR="009E6B88" w:rsidRPr="000026E8" w:rsidRDefault="009E6B88" w:rsidP="00AD3197">
            <w:pPr>
              <w:jc w:val="center"/>
              <w:rPr>
                <w:rFonts w:ascii="Times New Roman" w:hAnsi="Times New Roman" w:cs="Times New Roman"/>
                <w:sz w:val="22"/>
                <w:lang w:val="da-DK"/>
              </w:rPr>
            </w:pPr>
          </w:p>
        </w:tc>
      </w:tr>
      <w:tr w:rsidR="00511433" w:rsidRPr="000026E8" w14:paraId="0320DE7F" w14:textId="77777777" w:rsidTr="009E6B88">
        <w:tc>
          <w:tcPr>
            <w:tcW w:w="2263" w:type="dxa"/>
            <w:tcBorders>
              <w:top w:val="single" w:sz="5" w:space="0" w:color="000000"/>
              <w:left w:val="single" w:sz="5" w:space="0" w:color="000000"/>
              <w:bottom w:val="single" w:sz="5" w:space="0" w:color="000000"/>
              <w:right w:val="single" w:sz="5" w:space="0" w:color="000000"/>
            </w:tcBorders>
          </w:tcPr>
          <w:p w14:paraId="6A10A59F" w14:textId="77777777" w:rsidR="009E6B88" w:rsidRPr="000026E8" w:rsidRDefault="009E6B88" w:rsidP="00634591">
            <w:pPr>
              <w:rPr>
                <w:rFonts w:ascii="Times New Roman" w:eastAsia="Times New Roman" w:hAnsi="Times New Roman" w:cs="Times New Roman"/>
                <w:sz w:val="22"/>
                <w:lang w:val="da-DK"/>
              </w:rPr>
            </w:pPr>
            <w:r w:rsidRPr="000026E8">
              <w:rPr>
                <w:rFonts w:ascii="Times New Roman" w:hAnsi="Times New Roman" w:cs="Times New Roman"/>
                <w:spacing w:val="-1"/>
                <w:sz w:val="22"/>
                <w:lang w:val="da-DK"/>
              </w:rPr>
              <w:t>Alle</w:t>
            </w:r>
            <w:r w:rsidRPr="000026E8">
              <w:rPr>
                <w:rFonts w:ascii="Times New Roman" w:hAnsi="Times New Roman" w:cs="Times New Roman"/>
                <w:spacing w:val="1"/>
                <w:sz w:val="22"/>
                <w:lang w:val="da-DK"/>
              </w:rPr>
              <w:t xml:space="preserve"> </w:t>
            </w:r>
            <w:r w:rsidRPr="000026E8">
              <w:rPr>
                <w:rFonts w:ascii="Times New Roman" w:hAnsi="Times New Roman" w:cs="Times New Roman"/>
                <w:spacing w:val="-1"/>
                <w:sz w:val="22"/>
                <w:lang w:val="da-DK"/>
              </w:rPr>
              <w:t>episoder</w:t>
            </w:r>
            <w:r w:rsidRPr="000026E8">
              <w:rPr>
                <w:rFonts w:ascii="Times New Roman" w:hAnsi="Times New Roman" w:cs="Times New Roman"/>
                <w:spacing w:val="25"/>
                <w:sz w:val="22"/>
                <w:lang w:val="da-DK"/>
              </w:rPr>
              <w:t xml:space="preserve"> </w:t>
            </w:r>
            <w:r w:rsidRPr="000026E8">
              <w:rPr>
                <w:rFonts w:ascii="Times New Roman" w:hAnsi="Times New Roman" w:cs="Times New Roman"/>
                <w:sz w:val="22"/>
                <w:lang w:val="da-DK"/>
              </w:rPr>
              <w:t>(N</w:t>
            </w:r>
            <w:r w:rsidRPr="000026E8">
              <w:rPr>
                <w:rFonts w:ascii="Times New Roman" w:hAnsi="Times New Roman" w:cs="Times New Roman"/>
                <w:spacing w:val="-1"/>
                <w:sz w:val="22"/>
                <w:lang w:val="da-DK"/>
              </w:rPr>
              <w:t xml:space="preserve"> </w:t>
            </w:r>
            <w:r w:rsidRPr="000026E8">
              <w:rPr>
                <w:rFonts w:ascii="Times New Roman" w:hAnsi="Times New Roman" w:cs="Times New Roman"/>
                <w:sz w:val="22"/>
                <w:lang w:val="da-DK"/>
              </w:rPr>
              <w:t xml:space="preserve">= </w:t>
            </w:r>
            <w:r w:rsidRPr="000026E8">
              <w:rPr>
                <w:rFonts w:ascii="Times New Roman" w:hAnsi="Times New Roman" w:cs="Times New Roman"/>
                <w:spacing w:val="-2"/>
                <w:sz w:val="22"/>
                <w:lang w:val="da-DK"/>
              </w:rPr>
              <w:t>74)</w:t>
            </w:r>
          </w:p>
        </w:tc>
        <w:tc>
          <w:tcPr>
            <w:tcW w:w="1161" w:type="dxa"/>
            <w:tcBorders>
              <w:top w:val="single" w:sz="5" w:space="0" w:color="000000"/>
              <w:left w:val="single" w:sz="5" w:space="0" w:color="000000"/>
              <w:bottom w:val="single" w:sz="5" w:space="0" w:color="000000"/>
              <w:right w:val="single" w:sz="5" w:space="0" w:color="000000"/>
            </w:tcBorders>
          </w:tcPr>
          <w:p w14:paraId="1BAEA379" w14:textId="77777777" w:rsidR="009E6B88" w:rsidRPr="000026E8" w:rsidRDefault="009E6B88" w:rsidP="00AD3197">
            <w:pPr>
              <w:jc w:val="center"/>
              <w:rPr>
                <w:rFonts w:ascii="Times New Roman" w:eastAsia="Times New Roman" w:hAnsi="Times New Roman" w:cs="Times New Roman"/>
                <w:sz w:val="22"/>
                <w:lang w:val="da-DK"/>
              </w:rPr>
            </w:pPr>
            <w:r w:rsidRPr="000026E8">
              <w:rPr>
                <w:rFonts w:ascii="Times New Roman" w:hAnsi="Times New Roman" w:cs="Times New Roman"/>
                <w:sz w:val="22"/>
                <w:lang w:val="da-DK"/>
              </w:rPr>
              <w:t>1,5</w:t>
            </w:r>
          </w:p>
        </w:tc>
        <w:tc>
          <w:tcPr>
            <w:tcW w:w="1475" w:type="dxa"/>
            <w:tcBorders>
              <w:top w:val="single" w:sz="5" w:space="0" w:color="000000"/>
              <w:left w:val="single" w:sz="5" w:space="0" w:color="000000"/>
              <w:bottom w:val="single" w:sz="5" w:space="0" w:color="000000"/>
              <w:right w:val="single" w:sz="5" w:space="0" w:color="000000"/>
            </w:tcBorders>
          </w:tcPr>
          <w:p w14:paraId="15C22337" w14:textId="77777777" w:rsidR="009E6B88" w:rsidRPr="000026E8" w:rsidRDefault="009E6B88" w:rsidP="00AD3197">
            <w:pPr>
              <w:jc w:val="center"/>
              <w:rPr>
                <w:rFonts w:ascii="Times New Roman" w:eastAsia="Times New Roman" w:hAnsi="Times New Roman" w:cs="Times New Roman"/>
                <w:sz w:val="22"/>
                <w:lang w:val="da-DK"/>
              </w:rPr>
            </w:pPr>
            <w:r w:rsidRPr="000026E8">
              <w:rPr>
                <w:rFonts w:ascii="Times New Roman" w:hAnsi="Times New Roman" w:cs="Times New Roman"/>
                <w:sz w:val="22"/>
                <w:lang w:val="da-DK"/>
              </w:rPr>
              <w:t>6,9</w:t>
            </w:r>
          </w:p>
        </w:tc>
        <w:tc>
          <w:tcPr>
            <w:tcW w:w="2184" w:type="dxa"/>
            <w:tcBorders>
              <w:top w:val="single" w:sz="5" w:space="0" w:color="000000"/>
              <w:left w:val="single" w:sz="5" w:space="0" w:color="000000"/>
              <w:bottom w:val="single" w:sz="5" w:space="0" w:color="000000"/>
              <w:right w:val="single" w:sz="5" w:space="0" w:color="000000"/>
            </w:tcBorders>
          </w:tcPr>
          <w:p w14:paraId="53CDA8AE" w14:textId="77777777" w:rsidR="009E6B88" w:rsidRPr="000026E8" w:rsidRDefault="009E6B88" w:rsidP="00634591">
            <w:pPr>
              <w:rPr>
                <w:rFonts w:ascii="Times New Roman" w:eastAsia="Times New Roman" w:hAnsi="Times New Roman" w:cs="Times New Roman"/>
                <w:sz w:val="22"/>
                <w:lang w:val="da-DK"/>
              </w:rPr>
            </w:pPr>
            <w:r w:rsidRPr="000026E8">
              <w:rPr>
                <w:rFonts w:ascii="Times New Roman" w:hAnsi="Times New Roman" w:cs="Times New Roman"/>
                <w:spacing w:val="-1"/>
                <w:sz w:val="22"/>
                <w:lang w:val="da-DK"/>
              </w:rPr>
              <w:t>Alle</w:t>
            </w:r>
            <w:r w:rsidRPr="000026E8">
              <w:rPr>
                <w:rFonts w:ascii="Times New Roman" w:hAnsi="Times New Roman" w:cs="Times New Roman"/>
                <w:spacing w:val="1"/>
                <w:sz w:val="22"/>
                <w:lang w:val="da-DK"/>
              </w:rPr>
              <w:t xml:space="preserve"> </w:t>
            </w:r>
            <w:r w:rsidRPr="000026E8">
              <w:rPr>
                <w:rFonts w:ascii="Times New Roman" w:hAnsi="Times New Roman" w:cs="Times New Roman"/>
                <w:spacing w:val="-1"/>
                <w:sz w:val="22"/>
                <w:lang w:val="da-DK"/>
              </w:rPr>
              <w:t>episoder</w:t>
            </w:r>
            <w:r w:rsidRPr="000026E8">
              <w:rPr>
                <w:rFonts w:ascii="Times New Roman" w:hAnsi="Times New Roman" w:cs="Times New Roman"/>
                <w:spacing w:val="26"/>
                <w:sz w:val="22"/>
                <w:lang w:val="da-DK"/>
              </w:rPr>
              <w:t xml:space="preserve"> </w:t>
            </w:r>
            <w:r w:rsidRPr="000026E8">
              <w:rPr>
                <w:rFonts w:ascii="Times New Roman" w:hAnsi="Times New Roman" w:cs="Times New Roman"/>
                <w:sz w:val="22"/>
                <w:lang w:val="da-DK"/>
              </w:rPr>
              <w:t>(N</w:t>
            </w:r>
            <w:r w:rsidRPr="000026E8">
              <w:rPr>
                <w:rFonts w:ascii="Times New Roman" w:hAnsi="Times New Roman" w:cs="Times New Roman"/>
                <w:spacing w:val="-1"/>
                <w:sz w:val="22"/>
                <w:lang w:val="da-DK"/>
              </w:rPr>
              <w:t xml:space="preserve"> </w:t>
            </w:r>
            <w:r w:rsidRPr="000026E8">
              <w:rPr>
                <w:rFonts w:ascii="Times New Roman" w:hAnsi="Times New Roman" w:cs="Times New Roman"/>
                <w:sz w:val="22"/>
                <w:lang w:val="da-DK"/>
              </w:rPr>
              <w:t xml:space="preserve">= </w:t>
            </w:r>
            <w:r w:rsidRPr="000026E8">
              <w:rPr>
                <w:rFonts w:ascii="Times New Roman" w:hAnsi="Times New Roman" w:cs="Times New Roman"/>
                <w:spacing w:val="-2"/>
                <w:sz w:val="22"/>
                <w:lang w:val="da-DK"/>
              </w:rPr>
              <w:t>56)</w:t>
            </w:r>
          </w:p>
        </w:tc>
        <w:tc>
          <w:tcPr>
            <w:tcW w:w="1178" w:type="dxa"/>
            <w:tcBorders>
              <w:top w:val="single" w:sz="5" w:space="0" w:color="000000"/>
              <w:left w:val="single" w:sz="5" w:space="0" w:color="000000"/>
              <w:bottom w:val="single" w:sz="5" w:space="0" w:color="000000"/>
              <w:right w:val="single" w:sz="5" w:space="0" w:color="000000"/>
            </w:tcBorders>
          </w:tcPr>
          <w:p w14:paraId="13CD01CA" w14:textId="77777777" w:rsidR="009E6B88" w:rsidRPr="000026E8" w:rsidRDefault="009E6B88" w:rsidP="00AD3197">
            <w:pPr>
              <w:jc w:val="center"/>
              <w:rPr>
                <w:rFonts w:ascii="Times New Roman" w:eastAsia="Times New Roman" w:hAnsi="Times New Roman" w:cs="Times New Roman"/>
                <w:sz w:val="22"/>
                <w:lang w:val="da-DK"/>
              </w:rPr>
            </w:pPr>
            <w:r w:rsidRPr="000026E8">
              <w:rPr>
                <w:rFonts w:ascii="Times New Roman" w:hAnsi="Times New Roman" w:cs="Times New Roman"/>
                <w:sz w:val="22"/>
                <w:lang w:val="da-DK"/>
              </w:rPr>
              <w:t>1,0</w:t>
            </w:r>
          </w:p>
        </w:tc>
        <w:tc>
          <w:tcPr>
            <w:tcW w:w="1628" w:type="dxa"/>
            <w:tcBorders>
              <w:top w:val="single" w:sz="5" w:space="0" w:color="000000"/>
              <w:left w:val="single" w:sz="5" w:space="0" w:color="000000"/>
              <w:bottom w:val="single" w:sz="5" w:space="0" w:color="000000"/>
              <w:right w:val="single" w:sz="5" w:space="0" w:color="000000"/>
            </w:tcBorders>
          </w:tcPr>
          <w:p w14:paraId="3ACA6F69" w14:textId="77777777" w:rsidR="009E6B88" w:rsidRPr="000026E8" w:rsidRDefault="009E6B88" w:rsidP="00AD3197">
            <w:pPr>
              <w:jc w:val="center"/>
              <w:rPr>
                <w:rFonts w:ascii="Times New Roman" w:eastAsia="Times New Roman" w:hAnsi="Times New Roman" w:cs="Times New Roman"/>
                <w:sz w:val="22"/>
                <w:lang w:val="da-DK"/>
              </w:rPr>
            </w:pPr>
            <w:r w:rsidRPr="000026E8">
              <w:rPr>
                <w:rFonts w:ascii="Times New Roman" w:hAnsi="Times New Roman" w:cs="Times New Roman"/>
                <w:sz w:val="22"/>
                <w:lang w:val="da-DK"/>
              </w:rPr>
              <w:t>5,7</w:t>
            </w:r>
          </w:p>
        </w:tc>
      </w:tr>
    </w:tbl>
    <w:p w14:paraId="1F046F54" w14:textId="77777777" w:rsidR="009E6B88" w:rsidRPr="00111DC8" w:rsidRDefault="009E6B88" w:rsidP="00634591">
      <w:pPr>
        <w:rPr>
          <w:b/>
          <w:bCs/>
          <w:sz w:val="24"/>
          <w:szCs w:val="24"/>
        </w:rPr>
      </w:pPr>
      <w:r w:rsidRPr="00111DC8">
        <w:rPr>
          <w:b/>
          <w:bCs/>
          <w:spacing w:val="-1"/>
          <w:sz w:val="24"/>
          <w:szCs w:val="24"/>
        </w:rPr>
        <w:br/>
      </w:r>
      <w:r w:rsidRPr="00111DC8">
        <w:rPr>
          <w:b/>
          <w:bCs/>
          <w:sz w:val="24"/>
          <w:szCs w:val="24"/>
        </w:rPr>
        <w:t xml:space="preserve">Tabel 4. </w:t>
      </w:r>
      <w:r w:rsidRPr="00111DC8">
        <w:rPr>
          <w:rFonts w:eastAsiaTheme="minorEastAsia"/>
          <w:b/>
          <w:bCs/>
          <w:sz w:val="24"/>
          <w:szCs w:val="24"/>
          <w:lang w:eastAsia="zh-CN"/>
        </w:rPr>
        <w:t>Effektresultater for FAST-3</w:t>
      </w:r>
    </w:p>
    <w:p w14:paraId="082F9E0C" w14:textId="77777777" w:rsidR="009E6B88" w:rsidRPr="00111DC8" w:rsidRDefault="009E6B88" w:rsidP="00634591">
      <w:pPr>
        <w:rPr>
          <w:b/>
          <w:bCs/>
          <w:sz w:val="24"/>
          <w:szCs w:val="24"/>
          <w:lang w:val="en-US"/>
        </w:rPr>
      </w:pPr>
    </w:p>
    <w:tbl>
      <w:tblPr>
        <w:tblStyle w:val="TableNormal1"/>
        <w:tblW w:w="5000" w:type="pct"/>
        <w:tblLook w:val="01E0" w:firstRow="1" w:lastRow="1" w:firstColumn="1" w:lastColumn="1" w:noHBand="0" w:noVBand="0"/>
      </w:tblPr>
      <w:tblGrid>
        <w:gridCol w:w="4840"/>
        <w:gridCol w:w="1405"/>
        <w:gridCol w:w="1249"/>
        <w:gridCol w:w="935"/>
        <w:gridCol w:w="1193"/>
      </w:tblGrid>
      <w:tr w:rsidR="009E6B88" w:rsidRPr="00FA24CF" w14:paraId="0CEC9913" w14:textId="77777777" w:rsidTr="00520416">
        <w:trPr>
          <w:trHeight w:hRule="exact" w:val="389"/>
          <w:tblHeader/>
        </w:trPr>
        <w:tc>
          <w:tcPr>
            <w:tcW w:w="5000" w:type="pct"/>
            <w:gridSpan w:val="5"/>
            <w:tcBorders>
              <w:top w:val="single" w:sz="6" w:space="0" w:color="000000"/>
              <w:left w:val="single" w:sz="6" w:space="0" w:color="000000"/>
              <w:bottom w:val="single" w:sz="6" w:space="0" w:color="000000"/>
              <w:right w:val="single" w:sz="6" w:space="0" w:color="000000"/>
            </w:tcBorders>
            <w:vAlign w:val="center"/>
          </w:tcPr>
          <w:p w14:paraId="25CEE324" w14:textId="77777777" w:rsidR="009E6B88" w:rsidRPr="00FA24CF" w:rsidRDefault="009E6B88" w:rsidP="004C2231">
            <w:pPr>
              <w:jc w:val="center"/>
              <w:rPr>
                <w:rFonts w:ascii="Times New Roman" w:eastAsia="Times New Roman" w:hAnsi="Times New Roman" w:cs="Times New Roman"/>
                <w:sz w:val="24"/>
                <w:szCs w:val="24"/>
                <w:lang w:val="da-DK"/>
              </w:rPr>
            </w:pPr>
            <w:r w:rsidRPr="00FA24CF">
              <w:rPr>
                <w:rFonts w:ascii="Times New Roman" w:hAnsi="Times New Roman" w:cs="Times New Roman"/>
                <w:b/>
                <w:bCs/>
                <w:sz w:val="24"/>
                <w:szCs w:val="24"/>
                <w:lang w:val="da-DK" w:eastAsia="zh-CN"/>
              </w:rPr>
              <w:t>Effektresultater: FAST-3; kontrolleret fase – ITT-population</w:t>
            </w:r>
          </w:p>
        </w:tc>
      </w:tr>
      <w:tr w:rsidR="009E6B88" w:rsidRPr="00FA24CF" w14:paraId="6FA1C0BA" w14:textId="77777777" w:rsidTr="00520416">
        <w:trPr>
          <w:trHeight w:hRule="exact" w:val="389"/>
          <w:tblHeader/>
        </w:trPr>
        <w:tc>
          <w:tcPr>
            <w:tcW w:w="2515" w:type="pct"/>
            <w:tcBorders>
              <w:top w:val="single" w:sz="6" w:space="0" w:color="000000"/>
              <w:left w:val="single" w:sz="6" w:space="0" w:color="000000"/>
              <w:bottom w:val="single" w:sz="6" w:space="0" w:color="000000"/>
              <w:right w:val="single" w:sz="7" w:space="0" w:color="000000"/>
            </w:tcBorders>
            <w:vAlign w:val="center"/>
          </w:tcPr>
          <w:p w14:paraId="6BB91BD5" w14:textId="77777777" w:rsidR="009E6B88" w:rsidRPr="00FA24CF" w:rsidRDefault="009E6B88" w:rsidP="00FA24CF">
            <w:pPr>
              <w:jc w:val="center"/>
              <w:rPr>
                <w:rFonts w:ascii="Times New Roman" w:eastAsia="Times New Roman" w:hAnsi="Times New Roman" w:cs="Times New Roman"/>
                <w:sz w:val="24"/>
                <w:szCs w:val="24"/>
                <w:lang w:val="da-DK"/>
              </w:rPr>
            </w:pPr>
            <w:r w:rsidRPr="00FA24CF">
              <w:rPr>
                <w:rFonts w:ascii="Times New Roman" w:hAnsi="Times New Roman" w:cs="Times New Roman"/>
                <w:b/>
                <w:spacing w:val="-1"/>
                <w:sz w:val="24"/>
                <w:szCs w:val="24"/>
                <w:lang w:val="da-DK"/>
              </w:rPr>
              <w:t>Endepunkt</w:t>
            </w:r>
          </w:p>
        </w:tc>
        <w:tc>
          <w:tcPr>
            <w:tcW w:w="730" w:type="pct"/>
            <w:tcBorders>
              <w:top w:val="single" w:sz="6" w:space="0" w:color="000000"/>
              <w:left w:val="single" w:sz="7" w:space="0" w:color="000000"/>
              <w:bottom w:val="single" w:sz="6" w:space="0" w:color="000000"/>
              <w:right w:val="single" w:sz="7" w:space="0" w:color="000000"/>
            </w:tcBorders>
            <w:vAlign w:val="center"/>
          </w:tcPr>
          <w:p w14:paraId="376DA17B" w14:textId="77777777" w:rsidR="009E6B88" w:rsidRPr="00FA24CF" w:rsidRDefault="009E6B88" w:rsidP="004C2231">
            <w:pPr>
              <w:jc w:val="center"/>
              <w:rPr>
                <w:rFonts w:ascii="Times New Roman" w:eastAsia="Times New Roman" w:hAnsi="Times New Roman" w:cs="Times New Roman"/>
                <w:sz w:val="24"/>
                <w:szCs w:val="24"/>
                <w:lang w:val="da-DK"/>
              </w:rPr>
            </w:pPr>
            <w:r w:rsidRPr="00FA24CF">
              <w:rPr>
                <w:rFonts w:ascii="Times New Roman" w:hAnsi="Times New Roman" w:cs="Times New Roman"/>
                <w:b/>
                <w:spacing w:val="-1"/>
                <w:sz w:val="24"/>
                <w:szCs w:val="24"/>
                <w:lang w:val="da-DK"/>
              </w:rPr>
              <w:t>Statistisk</w:t>
            </w:r>
          </w:p>
        </w:tc>
        <w:tc>
          <w:tcPr>
            <w:tcW w:w="649" w:type="pct"/>
            <w:tcBorders>
              <w:top w:val="single" w:sz="6" w:space="0" w:color="000000"/>
              <w:left w:val="single" w:sz="7" w:space="0" w:color="000000"/>
              <w:bottom w:val="single" w:sz="6" w:space="0" w:color="000000"/>
              <w:right w:val="single" w:sz="4" w:space="0" w:color="auto"/>
            </w:tcBorders>
            <w:vAlign w:val="center"/>
          </w:tcPr>
          <w:p w14:paraId="03D8C321" w14:textId="77777777" w:rsidR="009E6B88" w:rsidRPr="00FA24CF" w:rsidRDefault="009E6B88" w:rsidP="004C2231">
            <w:pPr>
              <w:jc w:val="center"/>
              <w:rPr>
                <w:rFonts w:ascii="Times New Roman" w:eastAsia="Times New Roman" w:hAnsi="Times New Roman" w:cs="Times New Roman"/>
                <w:sz w:val="24"/>
                <w:szCs w:val="24"/>
                <w:lang w:val="da-DK"/>
              </w:rPr>
            </w:pPr>
            <w:r w:rsidRPr="00FA24CF">
              <w:rPr>
                <w:rFonts w:ascii="Times New Roman" w:hAnsi="Times New Roman" w:cs="Times New Roman"/>
                <w:b/>
                <w:spacing w:val="-1"/>
                <w:sz w:val="24"/>
                <w:szCs w:val="24"/>
                <w:lang w:val="da-DK"/>
              </w:rPr>
              <w:t>Icatibant</w:t>
            </w:r>
          </w:p>
        </w:tc>
        <w:tc>
          <w:tcPr>
            <w:tcW w:w="486" w:type="pct"/>
            <w:tcBorders>
              <w:top w:val="single" w:sz="6" w:space="0" w:color="000000"/>
              <w:left w:val="single" w:sz="4" w:space="0" w:color="auto"/>
              <w:bottom w:val="single" w:sz="6" w:space="0" w:color="000000"/>
              <w:right w:val="single" w:sz="4" w:space="0" w:color="auto"/>
            </w:tcBorders>
            <w:vAlign w:val="center"/>
          </w:tcPr>
          <w:p w14:paraId="2DC27B7E" w14:textId="77777777" w:rsidR="009E6B88" w:rsidRPr="00FA24CF" w:rsidRDefault="009E6B88" w:rsidP="004C2231">
            <w:pPr>
              <w:jc w:val="center"/>
              <w:rPr>
                <w:rFonts w:ascii="Times New Roman" w:eastAsia="Times New Roman" w:hAnsi="Times New Roman" w:cs="Times New Roman"/>
                <w:sz w:val="24"/>
                <w:szCs w:val="24"/>
                <w:lang w:val="da-DK"/>
              </w:rPr>
            </w:pPr>
            <w:r w:rsidRPr="00FA24CF">
              <w:rPr>
                <w:rFonts w:ascii="Times New Roman" w:hAnsi="Times New Roman" w:cs="Times New Roman"/>
                <w:b/>
                <w:spacing w:val="-1"/>
                <w:sz w:val="24"/>
                <w:szCs w:val="24"/>
                <w:lang w:val="da-DK"/>
              </w:rPr>
              <w:t>Placebo</w:t>
            </w:r>
          </w:p>
        </w:tc>
        <w:tc>
          <w:tcPr>
            <w:tcW w:w="619" w:type="pct"/>
            <w:tcBorders>
              <w:top w:val="single" w:sz="6" w:space="0" w:color="000000"/>
              <w:left w:val="single" w:sz="4" w:space="0" w:color="auto"/>
              <w:bottom w:val="single" w:sz="6" w:space="0" w:color="000000"/>
              <w:right w:val="single" w:sz="6" w:space="0" w:color="000000"/>
            </w:tcBorders>
            <w:vAlign w:val="center"/>
          </w:tcPr>
          <w:p w14:paraId="19085496" w14:textId="77777777" w:rsidR="009E6B88" w:rsidRPr="00FA24CF" w:rsidRDefault="009E6B88" w:rsidP="004C2231">
            <w:pPr>
              <w:jc w:val="center"/>
              <w:rPr>
                <w:rFonts w:ascii="Times New Roman" w:eastAsia="Times New Roman" w:hAnsi="Times New Roman" w:cs="Times New Roman"/>
                <w:sz w:val="24"/>
                <w:szCs w:val="24"/>
                <w:lang w:val="da-DK"/>
              </w:rPr>
            </w:pPr>
            <w:r w:rsidRPr="00FA24CF">
              <w:rPr>
                <w:rFonts w:ascii="Times New Roman" w:hAnsi="Times New Roman" w:cs="Times New Roman"/>
                <w:b/>
                <w:spacing w:val="-1"/>
                <w:sz w:val="24"/>
                <w:szCs w:val="24"/>
                <w:lang w:val="da-DK"/>
              </w:rPr>
              <w:t>p-værdi</w:t>
            </w:r>
          </w:p>
        </w:tc>
      </w:tr>
      <w:tr w:rsidR="009E6B88" w:rsidRPr="00FA24CF" w14:paraId="46A79F43" w14:textId="77777777" w:rsidTr="00520416">
        <w:trPr>
          <w:trHeight w:hRule="exact" w:val="386"/>
          <w:tblHeader/>
        </w:trPr>
        <w:tc>
          <w:tcPr>
            <w:tcW w:w="2515" w:type="pct"/>
            <w:tcBorders>
              <w:top w:val="single" w:sz="6" w:space="0" w:color="000000"/>
              <w:left w:val="single" w:sz="6" w:space="0" w:color="000000"/>
              <w:bottom w:val="single" w:sz="6" w:space="0" w:color="000000"/>
              <w:right w:val="single" w:sz="7" w:space="0" w:color="000000"/>
            </w:tcBorders>
            <w:vAlign w:val="center"/>
          </w:tcPr>
          <w:p w14:paraId="2B6B8F4A" w14:textId="77777777" w:rsidR="009E6B88" w:rsidRPr="00FA24CF" w:rsidRDefault="009E6B88" w:rsidP="00634591">
            <w:pPr>
              <w:rPr>
                <w:rFonts w:ascii="Times New Roman" w:hAnsi="Times New Roman" w:cs="Times New Roman"/>
                <w:sz w:val="24"/>
                <w:szCs w:val="24"/>
                <w:lang w:val="da-DK"/>
              </w:rPr>
            </w:pPr>
          </w:p>
        </w:tc>
        <w:tc>
          <w:tcPr>
            <w:tcW w:w="730" w:type="pct"/>
            <w:tcBorders>
              <w:top w:val="single" w:sz="6" w:space="0" w:color="000000"/>
              <w:left w:val="single" w:sz="7" w:space="0" w:color="000000"/>
              <w:bottom w:val="single" w:sz="6" w:space="0" w:color="000000"/>
              <w:right w:val="single" w:sz="7" w:space="0" w:color="000000"/>
            </w:tcBorders>
            <w:vAlign w:val="center"/>
          </w:tcPr>
          <w:p w14:paraId="5864DD21" w14:textId="77777777" w:rsidR="009E6B88" w:rsidRPr="00FA24CF" w:rsidRDefault="009E6B88" w:rsidP="00FA24CF">
            <w:pPr>
              <w:jc w:val="center"/>
              <w:rPr>
                <w:rFonts w:ascii="Times New Roman" w:hAnsi="Times New Roman" w:cs="Times New Roman"/>
                <w:sz w:val="24"/>
                <w:szCs w:val="24"/>
                <w:lang w:val="da-DK"/>
              </w:rPr>
            </w:pPr>
          </w:p>
        </w:tc>
        <w:tc>
          <w:tcPr>
            <w:tcW w:w="649" w:type="pct"/>
            <w:tcBorders>
              <w:top w:val="single" w:sz="6" w:space="0" w:color="000000"/>
              <w:left w:val="single" w:sz="7" w:space="0" w:color="000000"/>
              <w:bottom w:val="single" w:sz="6" w:space="0" w:color="000000"/>
              <w:right w:val="single" w:sz="4" w:space="0" w:color="auto"/>
            </w:tcBorders>
            <w:vAlign w:val="center"/>
          </w:tcPr>
          <w:p w14:paraId="30840D43" w14:textId="77777777" w:rsidR="009E6B88" w:rsidRPr="00FA24CF" w:rsidRDefault="009E6B88" w:rsidP="00FA24CF">
            <w:pPr>
              <w:jc w:val="center"/>
              <w:rPr>
                <w:rFonts w:ascii="Times New Roman" w:eastAsia="Times New Roman" w:hAnsi="Times New Roman" w:cs="Times New Roman"/>
                <w:sz w:val="24"/>
                <w:szCs w:val="24"/>
                <w:lang w:val="da-DK"/>
              </w:rPr>
            </w:pPr>
            <w:r w:rsidRPr="00FA24CF">
              <w:rPr>
                <w:rFonts w:ascii="Times New Roman" w:hAnsi="Times New Roman" w:cs="Times New Roman"/>
                <w:sz w:val="24"/>
                <w:szCs w:val="24"/>
                <w:lang w:val="da-DK"/>
              </w:rPr>
              <w:t xml:space="preserve">(n = </w:t>
            </w:r>
            <w:r w:rsidRPr="00FA24CF">
              <w:rPr>
                <w:rFonts w:ascii="Times New Roman" w:hAnsi="Times New Roman" w:cs="Times New Roman"/>
                <w:spacing w:val="-1"/>
                <w:sz w:val="24"/>
                <w:szCs w:val="24"/>
                <w:lang w:val="da-DK"/>
              </w:rPr>
              <w:t>43)</w:t>
            </w:r>
          </w:p>
        </w:tc>
        <w:tc>
          <w:tcPr>
            <w:tcW w:w="486" w:type="pct"/>
            <w:tcBorders>
              <w:top w:val="single" w:sz="6" w:space="0" w:color="000000"/>
              <w:left w:val="single" w:sz="4" w:space="0" w:color="auto"/>
              <w:bottom w:val="single" w:sz="6" w:space="0" w:color="000000"/>
              <w:right w:val="single" w:sz="4" w:space="0" w:color="auto"/>
            </w:tcBorders>
            <w:vAlign w:val="center"/>
          </w:tcPr>
          <w:p w14:paraId="54FD87C0" w14:textId="77777777" w:rsidR="009E6B88" w:rsidRPr="00FA24CF" w:rsidRDefault="009E6B88" w:rsidP="00FA24CF">
            <w:pPr>
              <w:jc w:val="center"/>
              <w:rPr>
                <w:rFonts w:ascii="Times New Roman" w:eastAsia="Times New Roman" w:hAnsi="Times New Roman" w:cs="Times New Roman"/>
                <w:sz w:val="24"/>
                <w:szCs w:val="24"/>
                <w:lang w:val="da-DK"/>
              </w:rPr>
            </w:pPr>
            <w:r w:rsidRPr="00FA24CF">
              <w:rPr>
                <w:rFonts w:ascii="Times New Roman" w:hAnsi="Times New Roman" w:cs="Times New Roman"/>
                <w:spacing w:val="-1"/>
                <w:sz w:val="24"/>
                <w:szCs w:val="24"/>
                <w:lang w:val="da-DK"/>
              </w:rPr>
              <w:t>(n=45)</w:t>
            </w:r>
          </w:p>
        </w:tc>
        <w:tc>
          <w:tcPr>
            <w:tcW w:w="619" w:type="pct"/>
            <w:tcBorders>
              <w:top w:val="single" w:sz="6" w:space="0" w:color="000000"/>
              <w:left w:val="single" w:sz="4" w:space="0" w:color="auto"/>
              <w:bottom w:val="single" w:sz="6" w:space="0" w:color="000000"/>
              <w:right w:val="single" w:sz="6" w:space="0" w:color="000000"/>
            </w:tcBorders>
            <w:vAlign w:val="center"/>
          </w:tcPr>
          <w:p w14:paraId="1D4DA45F" w14:textId="77777777" w:rsidR="009E6B88" w:rsidRPr="00FA24CF" w:rsidRDefault="009E6B88" w:rsidP="00FA24CF">
            <w:pPr>
              <w:jc w:val="center"/>
              <w:rPr>
                <w:rFonts w:ascii="Times New Roman" w:hAnsi="Times New Roman" w:cs="Times New Roman"/>
                <w:sz w:val="24"/>
                <w:szCs w:val="24"/>
                <w:lang w:val="da-DK"/>
              </w:rPr>
            </w:pPr>
          </w:p>
        </w:tc>
      </w:tr>
      <w:tr w:rsidR="009E6B88" w:rsidRPr="00FA24CF" w14:paraId="5D61940B" w14:textId="77777777" w:rsidTr="00520416">
        <w:trPr>
          <w:trHeight w:hRule="exact" w:val="389"/>
        </w:trPr>
        <w:tc>
          <w:tcPr>
            <w:tcW w:w="2515" w:type="pct"/>
            <w:tcBorders>
              <w:top w:val="single" w:sz="6" w:space="0" w:color="000000"/>
              <w:left w:val="single" w:sz="6" w:space="0" w:color="000000"/>
              <w:bottom w:val="single" w:sz="6" w:space="0" w:color="000000"/>
              <w:right w:val="single" w:sz="7" w:space="0" w:color="000000"/>
            </w:tcBorders>
            <w:shd w:val="clear" w:color="auto" w:fill="E6E6E6"/>
            <w:vAlign w:val="center"/>
          </w:tcPr>
          <w:p w14:paraId="2795A382" w14:textId="77777777" w:rsidR="009E6B88" w:rsidRPr="00FA24CF" w:rsidRDefault="009E6B88" w:rsidP="00634591">
            <w:pPr>
              <w:rPr>
                <w:rFonts w:ascii="Times New Roman" w:eastAsia="Times New Roman" w:hAnsi="Times New Roman" w:cs="Times New Roman"/>
                <w:sz w:val="24"/>
                <w:szCs w:val="24"/>
                <w:lang w:val="da-DK"/>
              </w:rPr>
            </w:pPr>
            <w:r w:rsidRPr="00FA24CF">
              <w:rPr>
                <w:rFonts w:ascii="Times New Roman" w:hAnsi="Times New Roman" w:cs="Times New Roman"/>
                <w:spacing w:val="-1"/>
                <w:sz w:val="24"/>
                <w:szCs w:val="24"/>
                <w:lang w:val="da-DK"/>
              </w:rPr>
              <w:t>Primært endepunkt</w:t>
            </w:r>
          </w:p>
        </w:tc>
        <w:tc>
          <w:tcPr>
            <w:tcW w:w="730" w:type="pct"/>
            <w:tcBorders>
              <w:top w:val="single" w:sz="6" w:space="0" w:color="000000"/>
              <w:left w:val="single" w:sz="7" w:space="0" w:color="000000"/>
              <w:bottom w:val="single" w:sz="6" w:space="0" w:color="000000"/>
              <w:right w:val="single" w:sz="7" w:space="0" w:color="000000"/>
            </w:tcBorders>
            <w:shd w:val="clear" w:color="auto" w:fill="E6E6E6"/>
            <w:vAlign w:val="center"/>
          </w:tcPr>
          <w:p w14:paraId="32AE87B9" w14:textId="77777777" w:rsidR="009E6B88" w:rsidRPr="00FA24CF" w:rsidRDefault="009E6B88" w:rsidP="00FA24CF">
            <w:pPr>
              <w:jc w:val="center"/>
              <w:rPr>
                <w:rFonts w:ascii="Times New Roman" w:hAnsi="Times New Roman" w:cs="Times New Roman"/>
                <w:sz w:val="24"/>
                <w:szCs w:val="24"/>
                <w:lang w:val="da-DK"/>
              </w:rPr>
            </w:pPr>
          </w:p>
        </w:tc>
        <w:tc>
          <w:tcPr>
            <w:tcW w:w="649" w:type="pct"/>
            <w:tcBorders>
              <w:top w:val="single" w:sz="6" w:space="0" w:color="000000"/>
              <w:left w:val="single" w:sz="7" w:space="0" w:color="000000"/>
              <w:bottom w:val="single" w:sz="6" w:space="0" w:color="000000"/>
              <w:right w:val="single" w:sz="4" w:space="0" w:color="auto"/>
            </w:tcBorders>
            <w:shd w:val="clear" w:color="auto" w:fill="E6E6E6"/>
            <w:vAlign w:val="center"/>
          </w:tcPr>
          <w:p w14:paraId="6C998159" w14:textId="77777777" w:rsidR="009E6B88" w:rsidRPr="00FA24CF" w:rsidRDefault="009E6B88" w:rsidP="00FA24CF">
            <w:pPr>
              <w:jc w:val="center"/>
              <w:rPr>
                <w:rFonts w:ascii="Times New Roman" w:hAnsi="Times New Roman" w:cs="Times New Roman"/>
                <w:sz w:val="24"/>
                <w:szCs w:val="24"/>
                <w:lang w:val="da-DK"/>
              </w:rPr>
            </w:pPr>
          </w:p>
        </w:tc>
        <w:tc>
          <w:tcPr>
            <w:tcW w:w="486" w:type="pct"/>
            <w:tcBorders>
              <w:top w:val="single" w:sz="6" w:space="0" w:color="000000"/>
              <w:left w:val="single" w:sz="4" w:space="0" w:color="auto"/>
              <w:bottom w:val="single" w:sz="6" w:space="0" w:color="000000"/>
              <w:right w:val="single" w:sz="4" w:space="0" w:color="auto"/>
            </w:tcBorders>
            <w:shd w:val="clear" w:color="auto" w:fill="E6E6E6"/>
            <w:vAlign w:val="center"/>
          </w:tcPr>
          <w:p w14:paraId="58041590" w14:textId="77777777" w:rsidR="009E6B88" w:rsidRPr="00FA24CF" w:rsidRDefault="009E6B88" w:rsidP="00FA24CF">
            <w:pPr>
              <w:jc w:val="center"/>
              <w:rPr>
                <w:rFonts w:ascii="Times New Roman" w:hAnsi="Times New Roman" w:cs="Times New Roman"/>
                <w:sz w:val="24"/>
                <w:szCs w:val="24"/>
                <w:lang w:val="da-DK"/>
              </w:rPr>
            </w:pPr>
          </w:p>
        </w:tc>
        <w:tc>
          <w:tcPr>
            <w:tcW w:w="619" w:type="pct"/>
            <w:tcBorders>
              <w:top w:val="single" w:sz="6" w:space="0" w:color="000000"/>
              <w:left w:val="single" w:sz="4" w:space="0" w:color="auto"/>
              <w:bottom w:val="single" w:sz="6" w:space="0" w:color="000000"/>
              <w:right w:val="single" w:sz="6" w:space="0" w:color="000000"/>
            </w:tcBorders>
            <w:shd w:val="clear" w:color="auto" w:fill="E6E6E6"/>
            <w:vAlign w:val="center"/>
          </w:tcPr>
          <w:p w14:paraId="2FBC143F" w14:textId="77777777" w:rsidR="009E6B88" w:rsidRPr="00FA24CF" w:rsidRDefault="009E6B88" w:rsidP="00FA24CF">
            <w:pPr>
              <w:jc w:val="center"/>
              <w:rPr>
                <w:rFonts w:ascii="Times New Roman" w:hAnsi="Times New Roman" w:cs="Times New Roman"/>
                <w:sz w:val="24"/>
                <w:szCs w:val="24"/>
                <w:lang w:val="da-DK"/>
              </w:rPr>
            </w:pPr>
          </w:p>
        </w:tc>
      </w:tr>
      <w:tr w:rsidR="009E6B88" w:rsidRPr="00FA24CF" w14:paraId="16553E35" w14:textId="77777777" w:rsidTr="00520416">
        <w:trPr>
          <w:trHeight w:hRule="exact" w:val="641"/>
        </w:trPr>
        <w:tc>
          <w:tcPr>
            <w:tcW w:w="2515" w:type="pct"/>
            <w:tcBorders>
              <w:top w:val="single" w:sz="6" w:space="0" w:color="000000"/>
              <w:left w:val="single" w:sz="6" w:space="0" w:color="000000"/>
              <w:bottom w:val="single" w:sz="6" w:space="0" w:color="000000"/>
              <w:right w:val="single" w:sz="7" w:space="0" w:color="000000"/>
            </w:tcBorders>
            <w:vAlign w:val="center"/>
          </w:tcPr>
          <w:p w14:paraId="621A4D26" w14:textId="33241823" w:rsidR="009E6B88" w:rsidRPr="00FA24CF" w:rsidRDefault="009E6B88" w:rsidP="006D6E64">
            <w:pPr>
              <w:rPr>
                <w:rFonts w:ascii="Times New Roman" w:hAnsi="Times New Roman" w:cs="Times New Roman"/>
                <w:sz w:val="24"/>
                <w:szCs w:val="24"/>
                <w:lang w:val="da-DK"/>
              </w:rPr>
            </w:pPr>
            <w:r w:rsidRPr="00FA24CF">
              <w:rPr>
                <w:rFonts w:ascii="Times New Roman" w:hAnsi="Times New Roman" w:cs="Times New Roman"/>
                <w:sz w:val="24"/>
                <w:szCs w:val="24"/>
                <w:lang w:val="da-DK" w:eastAsia="zh-CN"/>
              </w:rPr>
              <w:t>Tid til symptomerne</w:t>
            </w:r>
            <w:r w:rsidR="006D6E64">
              <w:rPr>
                <w:rFonts w:ascii="Times New Roman" w:hAnsi="Times New Roman" w:cs="Times New Roman"/>
                <w:sz w:val="24"/>
                <w:szCs w:val="24"/>
                <w:lang w:val="da-DK" w:eastAsia="zh-CN"/>
              </w:rPr>
              <w:t xml:space="preserve"> </w:t>
            </w:r>
            <w:r w:rsidRPr="00FA24CF">
              <w:rPr>
                <w:rFonts w:ascii="Times New Roman" w:hAnsi="Times New Roman" w:cs="Times New Roman"/>
                <w:sz w:val="24"/>
                <w:szCs w:val="24"/>
                <w:lang w:val="da-DK" w:eastAsia="zh-CN"/>
              </w:rPr>
              <w:t>begyndte at lindres - sammensat VAS (timer)</w:t>
            </w:r>
          </w:p>
        </w:tc>
        <w:tc>
          <w:tcPr>
            <w:tcW w:w="730" w:type="pct"/>
            <w:tcBorders>
              <w:top w:val="single" w:sz="6" w:space="0" w:color="000000"/>
              <w:left w:val="single" w:sz="7" w:space="0" w:color="000000"/>
              <w:bottom w:val="single" w:sz="6" w:space="0" w:color="000000"/>
              <w:right w:val="single" w:sz="7" w:space="0" w:color="000000"/>
            </w:tcBorders>
            <w:vAlign w:val="center"/>
          </w:tcPr>
          <w:p w14:paraId="260E93A2" w14:textId="77777777" w:rsidR="009E6B88" w:rsidRPr="00FA24CF" w:rsidRDefault="009E6B88" w:rsidP="00FA24CF">
            <w:pPr>
              <w:jc w:val="center"/>
              <w:rPr>
                <w:rFonts w:ascii="Times New Roman" w:eastAsia="Times New Roman" w:hAnsi="Times New Roman" w:cs="Times New Roman"/>
                <w:sz w:val="24"/>
                <w:szCs w:val="24"/>
                <w:lang w:val="da-DK"/>
              </w:rPr>
            </w:pPr>
            <w:r w:rsidRPr="00FA24CF">
              <w:rPr>
                <w:rFonts w:ascii="Times New Roman" w:hAnsi="Times New Roman" w:cs="Times New Roman"/>
                <w:spacing w:val="-1"/>
                <w:sz w:val="24"/>
                <w:szCs w:val="24"/>
                <w:lang w:val="da-DK"/>
              </w:rPr>
              <w:t>Median</w:t>
            </w:r>
          </w:p>
        </w:tc>
        <w:tc>
          <w:tcPr>
            <w:tcW w:w="649" w:type="pct"/>
            <w:tcBorders>
              <w:top w:val="single" w:sz="6" w:space="0" w:color="000000"/>
              <w:left w:val="single" w:sz="7" w:space="0" w:color="000000"/>
              <w:bottom w:val="single" w:sz="6" w:space="0" w:color="000000"/>
              <w:right w:val="single" w:sz="4" w:space="0" w:color="auto"/>
            </w:tcBorders>
            <w:vAlign w:val="center"/>
          </w:tcPr>
          <w:p w14:paraId="184265C0" w14:textId="77777777" w:rsidR="009E6B88" w:rsidRPr="00FA24CF" w:rsidRDefault="009E6B88" w:rsidP="00FA24CF">
            <w:pPr>
              <w:jc w:val="center"/>
              <w:rPr>
                <w:rFonts w:ascii="Times New Roman" w:eastAsia="Times New Roman" w:hAnsi="Times New Roman" w:cs="Times New Roman"/>
                <w:sz w:val="24"/>
                <w:szCs w:val="24"/>
                <w:lang w:val="da-DK"/>
              </w:rPr>
            </w:pPr>
            <w:r w:rsidRPr="00FA24CF">
              <w:rPr>
                <w:rFonts w:ascii="Times New Roman" w:hAnsi="Times New Roman" w:cs="Times New Roman"/>
                <w:sz w:val="24"/>
                <w:szCs w:val="24"/>
                <w:lang w:val="da-DK"/>
              </w:rPr>
              <w:t>2,0</w:t>
            </w:r>
          </w:p>
        </w:tc>
        <w:tc>
          <w:tcPr>
            <w:tcW w:w="486" w:type="pct"/>
            <w:tcBorders>
              <w:top w:val="single" w:sz="6" w:space="0" w:color="000000"/>
              <w:left w:val="single" w:sz="4" w:space="0" w:color="auto"/>
              <w:bottom w:val="single" w:sz="6" w:space="0" w:color="000000"/>
              <w:right w:val="single" w:sz="4" w:space="0" w:color="auto"/>
            </w:tcBorders>
            <w:vAlign w:val="center"/>
          </w:tcPr>
          <w:p w14:paraId="46463D8F" w14:textId="77777777" w:rsidR="009E6B88" w:rsidRPr="00FA24CF" w:rsidRDefault="009E6B88" w:rsidP="00FA24CF">
            <w:pPr>
              <w:jc w:val="center"/>
              <w:rPr>
                <w:rFonts w:ascii="Times New Roman" w:eastAsia="Times New Roman" w:hAnsi="Times New Roman" w:cs="Times New Roman"/>
                <w:sz w:val="24"/>
                <w:szCs w:val="24"/>
                <w:lang w:val="da-DK"/>
              </w:rPr>
            </w:pPr>
            <w:r w:rsidRPr="00FA24CF">
              <w:rPr>
                <w:rFonts w:ascii="Times New Roman" w:hAnsi="Times New Roman" w:cs="Times New Roman"/>
                <w:sz w:val="24"/>
                <w:szCs w:val="24"/>
                <w:lang w:val="da-DK"/>
              </w:rPr>
              <w:t>19,8</w:t>
            </w:r>
          </w:p>
        </w:tc>
        <w:tc>
          <w:tcPr>
            <w:tcW w:w="619" w:type="pct"/>
            <w:tcBorders>
              <w:top w:val="single" w:sz="6" w:space="0" w:color="000000"/>
              <w:left w:val="single" w:sz="4" w:space="0" w:color="auto"/>
              <w:bottom w:val="single" w:sz="6" w:space="0" w:color="000000"/>
              <w:right w:val="single" w:sz="6" w:space="0" w:color="000000"/>
            </w:tcBorders>
            <w:vAlign w:val="center"/>
          </w:tcPr>
          <w:p w14:paraId="0FB46361" w14:textId="77777777" w:rsidR="009E6B88" w:rsidRPr="00FA24CF" w:rsidRDefault="009E6B88" w:rsidP="00FA24CF">
            <w:pPr>
              <w:jc w:val="center"/>
              <w:rPr>
                <w:rFonts w:ascii="Times New Roman" w:eastAsia="Times New Roman" w:hAnsi="Times New Roman" w:cs="Times New Roman"/>
                <w:sz w:val="24"/>
                <w:szCs w:val="24"/>
                <w:lang w:val="da-DK"/>
              </w:rPr>
            </w:pPr>
            <w:r w:rsidRPr="00FA24CF">
              <w:rPr>
                <w:rFonts w:ascii="Times New Roman" w:hAnsi="Times New Roman" w:cs="Times New Roman"/>
                <w:sz w:val="24"/>
                <w:szCs w:val="24"/>
                <w:lang w:val="da-DK"/>
              </w:rPr>
              <w:t>&lt;0,001</w:t>
            </w:r>
          </w:p>
        </w:tc>
      </w:tr>
      <w:tr w:rsidR="009E6B88" w:rsidRPr="00FA24CF" w14:paraId="1595DABE" w14:textId="77777777" w:rsidTr="00520416">
        <w:tc>
          <w:tcPr>
            <w:tcW w:w="2515" w:type="pct"/>
            <w:tcBorders>
              <w:top w:val="single" w:sz="6" w:space="0" w:color="000000"/>
              <w:left w:val="single" w:sz="6" w:space="0" w:color="000000"/>
              <w:bottom w:val="single" w:sz="6" w:space="0" w:color="000000"/>
              <w:right w:val="single" w:sz="7" w:space="0" w:color="000000"/>
            </w:tcBorders>
            <w:shd w:val="clear" w:color="auto" w:fill="E6E6E6"/>
            <w:vAlign w:val="center"/>
          </w:tcPr>
          <w:p w14:paraId="5F40330C" w14:textId="77777777" w:rsidR="009E6B88" w:rsidRPr="00FA24CF" w:rsidRDefault="009E6B88" w:rsidP="00634591">
            <w:pPr>
              <w:rPr>
                <w:rFonts w:ascii="Times New Roman" w:eastAsia="Times New Roman" w:hAnsi="Times New Roman" w:cs="Times New Roman"/>
                <w:sz w:val="24"/>
                <w:szCs w:val="24"/>
                <w:lang w:val="da-DK"/>
              </w:rPr>
            </w:pPr>
            <w:r w:rsidRPr="00FA24CF">
              <w:rPr>
                <w:rFonts w:ascii="Times New Roman" w:eastAsia="Times New Roman" w:hAnsi="Times New Roman" w:cs="Times New Roman"/>
                <w:sz w:val="24"/>
                <w:szCs w:val="24"/>
                <w:lang w:val="da-DK"/>
              </w:rPr>
              <w:t>Andre effektmål</w:t>
            </w:r>
          </w:p>
        </w:tc>
        <w:tc>
          <w:tcPr>
            <w:tcW w:w="730" w:type="pct"/>
            <w:tcBorders>
              <w:top w:val="single" w:sz="6" w:space="0" w:color="000000"/>
              <w:left w:val="single" w:sz="7" w:space="0" w:color="000000"/>
              <w:bottom w:val="single" w:sz="6" w:space="0" w:color="000000"/>
              <w:right w:val="single" w:sz="7" w:space="0" w:color="000000"/>
            </w:tcBorders>
            <w:shd w:val="clear" w:color="auto" w:fill="E6E6E6"/>
            <w:vAlign w:val="center"/>
          </w:tcPr>
          <w:p w14:paraId="3CF32B40" w14:textId="77777777" w:rsidR="009E6B88" w:rsidRPr="00FA24CF" w:rsidRDefault="009E6B88" w:rsidP="00FA24CF">
            <w:pPr>
              <w:jc w:val="center"/>
              <w:rPr>
                <w:rFonts w:ascii="Times New Roman" w:hAnsi="Times New Roman" w:cs="Times New Roman"/>
                <w:sz w:val="24"/>
                <w:szCs w:val="24"/>
                <w:lang w:val="da-DK"/>
              </w:rPr>
            </w:pPr>
          </w:p>
        </w:tc>
        <w:tc>
          <w:tcPr>
            <w:tcW w:w="649" w:type="pct"/>
            <w:tcBorders>
              <w:top w:val="single" w:sz="6" w:space="0" w:color="000000"/>
              <w:left w:val="single" w:sz="7" w:space="0" w:color="000000"/>
              <w:bottom w:val="single" w:sz="6" w:space="0" w:color="000000"/>
              <w:right w:val="single" w:sz="4" w:space="0" w:color="auto"/>
            </w:tcBorders>
            <w:shd w:val="clear" w:color="auto" w:fill="E6E6E6"/>
            <w:vAlign w:val="center"/>
          </w:tcPr>
          <w:p w14:paraId="57CF128F" w14:textId="77777777" w:rsidR="009E6B88" w:rsidRPr="00FA24CF" w:rsidRDefault="009E6B88" w:rsidP="00FA24CF">
            <w:pPr>
              <w:jc w:val="center"/>
              <w:rPr>
                <w:rFonts w:ascii="Times New Roman" w:hAnsi="Times New Roman" w:cs="Times New Roman"/>
                <w:sz w:val="24"/>
                <w:szCs w:val="24"/>
                <w:lang w:val="da-DK"/>
              </w:rPr>
            </w:pPr>
          </w:p>
        </w:tc>
        <w:tc>
          <w:tcPr>
            <w:tcW w:w="486" w:type="pct"/>
            <w:tcBorders>
              <w:top w:val="single" w:sz="6" w:space="0" w:color="000000"/>
              <w:left w:val="single" w:sz="4" w:space="0" w:color="auto"/>
              <w:bottom w:val="single" w:sz="6" w:space="0" w:color="000000"/>
              <w:right w:val="single" w:sz="4" w:space="0" w:color="auto"/>
            </w:tcBorders>
            <w:shd w:val="clear" w:color="auto" w:fill="E6E6E6"/>
            <w:vAlign w:val="center"/>
          </w:tcPr>
          <w:p w14:paraId="3E07EFC3" w14:textId="77777777" w:rsidR="009E6B88" w:rsidRPr="00FA24CF" w:rsidRDefault="009E6B88" w:rsidP="00FA24CF">
            <w:pPr>
              <w:jc w:val="center"/>
              <w:rPr>
                <w:rFonts w:ascii="Times New Roman" w:hAnsi="Times New Roman" w:cs="Times New Roman"/>
                <w:sz w:val="24"/>
                <w:szCs w:val="24"/>
                <w:lang w:val="da-DK"/>
              </w:rPr>
            </w:pPr>
          </w:p>
        </w:tc>
        <w:tc>
          <w:tcPr>
            <w:tcW w:w="619" w:type="pct"/>
            <w:tcBorders>
              <w:top w:val="single" w:sz="6" w:space="0" w:color="000000"/>
              <w:left w:val="single" w:sz="4" w:space="0" w:color="auto"/>
              <w:bottom w:val="single" w:sz="6" w:space="0" w:color="000000"/>
              <w:right w:val="single" w:sz="6" w:space="0" w:color="000000"/>
            </w:tcBorders>
            <w:shd w:val="clear" w:color="auto" w:fill="E6E6E6"/>
            <w:vAlign w:val="center"/>
          </w:tcPr>
          <w:p w14:paraId="5185D053" w14:textId="77777777" w:rsidR="009E6B88" w:rsidRPr="00FA24CF" w:rsidRDefault="009E6B88" w:rsidP="00FA24CF">
            <w:pPr>
              <w:jc w:val="center"/>
              <w:rPr>
                <w:rFonts w:ascii="Times New Roman" w:hAnsi="Times New Roman" w:cs="Times New Roman"/>
                <w:sz w:val="24"/>
                <w:szCs w:val="24"/>
                <w:lang w:val="da-DK"/>
              </w:rPr>
            </w:pPr>
          </w:p>
        </w:tc>
      </w:tr>
      <w:tr w:rsidR="009E6B88" w:rsidRPr="00FA24CF" w14:paraId="791D3278" w14:textId="77777777" w:rsidTr="00520416">
        <w:tc>
          <w:tcPr>
            <w:tcW w:w="2515" w:type="pct"/>
            <w:tcBorders>
              <w:top w:val="single" w:sz="6" w:space="0" w:color="000000"/>
              <w:left w:val="single" w:sz="6" w:space="0" w:color="000000"/>
              <w:bottom w:val="single" w:sz="6" w:space="0" w:color="000000"/>
              <w:right w:val="single" w:sz="7" w:space="0" w:color="000000"/>
            </w:tcBorders>
            <w:vAlign w:val="center"/>
          </w:tcPr>
          <w:p w14:paraId="53AF5E36" w14:textId="5539CA6C" w:rsidR="009E6B88" w:rsidRPr="00FA24CF" w:rsidRDefault="009E6B88" w:rsidP="006D6E64">
            <w:pPr>
              <w:rPr>
                <w:rFonts w:ascii="Times New Roman" w:eastAsia="Times New Roman" w:hAnsi="Times New Roman" w:cs="Times New Roman"/>
                <w:sz w:val="24"/>
                <w:szCs w:val="24"/>
                <w:lang w:val="da-DK"/>
              </w:rPr>
            </w:pPr>
            <w:r w:rsidRPr="00FA24CF">
              <w:rPr>
                <w:rFonts w:ascii="Times New Roman" w:hAnsi="Times New Roman" w:cs="Times New Roman"/>
                <w:sz w:val="24"/>
                <w:szCs w:val="24"/>
                <w:lang w:val="da-DK" w:eastAsia="zh-CN"/>
              </w:rPr>
              <w:t>Tid til de primære symptomer</w:t>
            </w:r>
            <w:r w:rsidR="006D6E64">
              <w:rPr>
                <w:rFonts w:ascii="Times New Roman" w:hAnsi="Times New Roman" w:cs="Times New Roman"/>
                <w:sz w:val="24"/>
                <w:szCs w:val="24"/>
                <w:lang w:val="da-DK" w:eastAsia="zh-CN"/>
              </w:rPr>
              <w:t xml:space="preserve"> </w:t>
            </w:r>
            <w:r w:rsidRPr="00FA24CF">
              <w:rPr>
                <w:rFonts w:ascii="Times New Roman" w:hAnsi="Times New Roman" w:cs="Times New Roman"/>
                <w:sz w:val="24"/>
                <w:szCs w:val="24"/>
                <w:lang w:val="da-DK" w:eastAsia="zh-CN"/>
              </w:rPr>
              <w:t>begyndte at lindres (timer)</w:t>
            </w:r>
          </w:p>
        </w:tc>
        <w:tc>
          <w:tcPr>
            <w:tcW w:w="730" w:type="pct"/>
            <w:tcBorders>
              <w:top w:val="single" w:sz="6" w:space="0" w:color="000000"/>
              <w:left w:val="single" w:sz="7" w:space="0" w:color="000000"/>
              <w:bottom w:val="single" w:sz="6" w:space="0" w:color="000000"/>
              <w:right w:val="single" w:sz="7" w:space="0" w:color="000000"/>
            </w:tcBorders>
            <w:vAlign w:val="center"/>
          </w:tcPr>
          <w:p w14:paraId="09BE0F98" w14:textId="77777777" w:rsidR="009E6B88" w:rsidRPr="00FA24CF" w:rsidRDefault="009E6B88" w:rsidP="00FA24CF">
            <w:pPr>
              <w:jc w:val="center"/>
              <w:rPr>
                <w:rFonts w:ascii="Times New Roman" w:eastAsia="Times New Roman" w:hAnsi="Times New Roman" w:cs="Times New Roman"/>
                <w:sz w:val="24"/>
                <w:szCs w:val="24"/>
                <w:lang w:val="da-DK"/>
              </w:rPr>
            </w:pPr>
            <w:r w:rsidRPr="00FA24CF">
              <w:rPr>
                <w:rFonts w:ascii="Times New Roman" w:hAnsi="Times New Roman" w:cs="Times New Roman"/>
                <w:spacing w:val="-1"/>
                <w:sz w:val="24"/>
                <w:szCs w:val="24"/>
                <w:lang w:val="da-DK"/>
              </w:rPr>
              <w:t>Median</w:t>
            </w:r>
          </w:p>
        </w:tc>
        <w:tc>
          <w:tcPr>
            <w:tcW w:w="649" w:type="pct"/>
            <w:tcBorders>
              <w:top w:val="single" w:sz="6" w:space="0" w:color="000000"/>
              <w:left w:val="single" w:sz="7" w:space="0" w:color="000000"/>
              <w:bottom w:val="single" w:sz="6" w:space="0" w:color="000000"/>
              <w:right w:val="single" w:sz="4" w:space="0" w:color="auto"/>
            </w:tcBorders>
            <w:vAlign w:val="center"/>
          </w:tcPr>
          <w:p w14:paraId="5B68E2C1" w14:textId="77777777" w:rsidR="009E6B88" w:rsidRPr="00FA24CF" w:rsidRDefault="009E6B88" w:rsidP="00FA24CF">
            <w:pPr>
              <w:jc w:val="center"/>
              <w:rPr>
                <w:rFonts w:ascii="Times New Roman" w:eastAsia="Times New Roman" w:hAnsi="Times New Roman" w:cs="Times New Roman"/>
                <w:sz w:val="24"/>
                <w:szCs w:val="24"/>
                <w:lang w:val="da-DK"/>
              </w:rPr>
            </w:pPr>
            <w:r w:rsidRPr="00FA24CF">
              <w:rPr>
                <w:rFonts w:ascii="Times New Roman" w:hAnsi="Times New Roman" w:cs="Times New Roman"/>
                <w:sz w:val="24"/>
                <w:szCs w:val="24"/>
                <w:lang w:val="da-DK"/>
              </w:rPr>
              <w:t>1,5</w:t>
            </w:r>
          </w:p>
        </w:tc>
        <w:tc>
          <w:tcPr>
            <w:tcW w:w="486" w:type="pct"/>
            <w:tcBorders>
              <w:top w:val="single" w:sz="6" w:space="0" w:color="000000"/>
              <w:left w:val="single" w:sz="4" w:space="0" w:color="auto"/>
              <w:bottom w:val="single" w:sz="6" w:space="0" w:color="000000"/>
              <w:right w:val="single" w:sz="4" w:space="0" w:color="auto"/>
            </w:tcBorders>
            <w:vAlign w:val="center"/>
          </w:tcPr>
          <w:p w14:paraId="61CFEA37" w14:textId="77777777" w:rsidR="009E6B88" w:rsidRPr="00FA24CF" w:rsidRDefault="009E6B88" w:rsidP="00FA24CF">
            <w:pPr>
              <w:jc w:val="center"/>
              <w:rPr>
                <w:rFonts w:ascii="Times New Roman" w:eastAsia="Times New Roman" w:hAnsi="Times New Roman" w:cs="Times New Roman"/>
                <w:sz w:val="24"/>
                <w:szCs w:val="24"/>
                <w:lang w:val="da-DK"/>
              </w:rPr>
            </w:pPr>
            <w:r w:rsidRPr="00FA24CF">
              <w:rPr>
                <w:rFonts w:ascii="Times New Roman" w:hAnsi="Times New Roman" w:cs="Times New Roman"/>
                <w:sz w:val="24"/>
                <w:szCs w:val="24"/>
                <w:lang w:val="da-DK"/>
              </w:rPr>
              <w:t>18,5</w:t>
            </w:r>
          </w:p>
        </w:tc>
        <w:tc>
          <w:tcPr>
            <w:tcW w:w="619" w:type="pct"/>
            <w:tcBorders>
              <w:top w:val="single" w:sz="6" w:space="0" w:color="000000"/>
              <w:left w:val="single" w:sz="4" w:space="0" w:color="auto"/>
              <w:bottom w:val="single" w:sz="6" w:space="0" w:color="000000"/>
              <w:right w:val="single" w:sz="6" w:space="0" w:color="000000"/>
            </w:tcBorders>
            <w:vAlign w:val="center"/>
          </w:tcPr>
          <w:p w14:paraId="00593399" w14:textId="77777777" w:rsidR="009E6B88" w:rsidRPr="00FA24CF" w:rsidRDefault="009E6B88" w:rsidP="00FA24CF">
            <w:pPr>
              <w:jc w:val="center"/>
              <w:rPr>
                <w:rFonts w:ascii="Times New Roman" w:eastAsia="Times New Roman" w:hAnsi="Times New Roman" w:cs="Times New Roman"/>
                <w:sz w:val="24"/>
                <w:szCs w:val="24"/>
                <w:lang w:val="da-DK"/>
              </w:rPr>
            </w:pPr>
            <w:r w:rsidRPr="00FA24CF">
              <w:rPr>
                <w:rFonts w:ascii="Times New Roman" w:hAnsi="Times New Roman" w:cs="Times New Roman"/>
                <w:sz w:val="24"/>
                <w:szCs w:val="24"/>
                <w:lang w:val="da-DK"/>
              </w:rPr>
              <w:t>&lt; 0,001</w:t>
            </w:r>
          </w:p>
        </w:tc>
      </w:tr>
      <w:tr w:rsidR="009E6B88" w:rsidRPr="00FA24CF" w14:paraId="4A9A9FE0" w14:textId="77777777" w:rsidTr="00520416">
        <w:tc>
          <w:tcPr>
            <w:tcW w:w="2515" w:type="pct"/>
            <w:tcBorders>
              <w:top w:val="single" w:sz="6" w:space="0" w:color="000000"/>
              <w:left w:val="single" w:sz="6" w:space="0" w:color="000000"/>
              <w:bottom w:val="single" w:sz="6" w:space="0" w:color="000000"/>
              <w:right w:val="single" w:sz="7" w:space="0" w:color="000000"/>
            </w:tcBorders>
            <w:vAlign w:val="center"/>
          </w:tcPr>
          <w:p w14:paraId="02B8A0EB" w14:textId="0E316C8D" w:rsidR="009E6B88" w:rsidRPr="00FA24CF" w:rsidRDefault="009E6B88" w:rsidP="006D6E64">
            <w:pPr>
              <w:rPr>
                <w:rFonts w:ascii="Times New Roman" w:eastAsia="Times New Roman" w:hAnsi="Times New Roman" w:cs="Times New Roman"/>
                <w:sz w:val="24"/>
                <w:szCs w:val="24"/>
                <w:lang w:val="da-DK"/>
              </w:rPr>
            </w:pPr>
            <w:r w:rsidRPr="00FA24CF">
              <w:rPr>
                <w:rFonts w:ascii="Times New Roman" w:hAnsi="Times New Roman" w:cs="Times New Roman"/>
                <w:sz w:val="24"/>
                <w:szCs w:val="24"/>
                <w:lang w:val="da-DK" w:eastAsia="zh-CN"/>
              </w:rPr>
              <w:t>Ændring i sammensat VASscore</w:t>
            </w:r>
            <w:r w:rsidR="006D6E64">
              <w:rPr>
                <w:rFonts w:ascii="Times New Roman" w:hAnsi="Times New Roman" w:cs="Times New Roman"/>
                <w:sz w:val="24"/>
                <w:szCs w:val="24"/>
                <w:lang w:val="da-DK" w:eastAsia="zh-CN"/>
              </w:rPr>
              <w:t xml:space="preserve"> </w:t>
            </w:r>
            <w:r w:rsidRPr="00FA24CF">
              <w:rPr>
                <w:rFonts w:ascii="Times New Roman" w:hAnsi="Times New Roman" w:cs="Times New Roman"/>
                <w:sz w:val="24"/>
                <w:szCs w:val="24"/>
                <w:lang w:val="da-DK" w:eastAsia="zh-CN"/>
              </w:rPr>
              <w:t>2 timer efter behandling</w:t>
            </w:r>
          </w:p>
        </w:tc>
        <w:tc>
          <w:tcPr>
            <w:tcW w:w="730" w:type="pct"/>
            <w:tcBorders>
              <w:top w:val="single" w:sz="6" w:space="0" w:color="000000"/>
              <w:left w:val="single" w:sz="7" w:space="0" w:color="000000"/>
              <w:bottom w:val="single" w:sz="6" w:space="0" w:color="000000"/>
              <w:right w:val="single" w:sz="7" w:space="0" w:color="000000"/>
            </w:tcBorders>
            <w:vAlign w:val="center"/>
          </w:tcPr>
          <w:p w14:paraId="00020F32" w14:textId="77777777" w:rsidR="009E6B88" w:rsidRPr="00FA24CF" w:rsidRDefault="009E6B88" w:rsidP="00FA24CF">
            <w:pPr>
              <w:jc w:val="center"/>
              <w:rPr>
                <w:rFonts w:ascii="Times New Roman" w:eastAsia="Times New Roman" w:hAnsi="Times New Roman" w:cs="Times New Roman"/>
                <w:sz w:val="24"/>
                <w:szCs w:val="24"/>
                <w:lang w:val="da-DK"/>
              </w:rPr>
            </w:pPr>
            <w:r w:rsidRPr="00FA24CF">
              <w:rPr>
                <w:rFonts w:ascii="Times New Roman" w:eastAsia="Times New Roman" w:hAnsi="Times New Roman" w:cs="Times New Roman"/>
                <w:sz w:val="24"/>
                <w:szCs w:val="24"/>
                <w:lang w:val="da-DK"/>
              </w:rPr>
              <w:t>Gennemsnit</w:t>
            </w:r>
          </w:p>
        </w:tc>
        <w:tc>
          <w:tcPr>
            <w:tcW w:w="649" w:type="pct"/>
            <w:tcBorders>
              <w:top w:val="single" w:sz="6" w:space="0" w:color="000000"/>
              <w:left w:val="single" w:sz="7" w:space="0" w:color="000000"/>
              <w:bottom w:val="single" w:sz="6" w:space="0" w:color="000000"/>
              <w:right w:val="single" w:sz="4" w:space="0" w:color="auto"/>
            </w:tcBorders>
            <w:vAlign w:val="center"/>
          </w:tcPr>
          <w:p w14:paraId="6A0DB101" w14:textId="77777777" w:rsidR="009E6B88" w:rsidRPr="00FA24CF" w:rsidRDefault="009E6B88" w:rsidP="00FA24CF">
            <w:pPr>
              <w:jc w:val="center"/>
              <w:rPr>
                <w:rFonts w:ascii="Times New Roman" w:eastAsia="Times New Roman" w:hAnsi="Times New Roman" w:cs="Times New Roman"/>
                <w:sz w:val="24"/>
                <w:szCs w:val="24"/>
                <w:lang w:val="da-DK"/>
              </w:rPr>
            </w:pPr>
            <w:r w:rsidRPr="00FA24CF">
              <w:rPr>
                <w:rFonts w:ascii="Times New Roman" w:hAnsi="Times New Roman" w:cs="Times New Roman"/>
                <w:spacing w:val="-1"/>
                <w:sz w:val="24"/>
                <w:szCs w:val="24"/>
                <w:lang w:val="da-DK"/>
              </w:rPr>
              <w:t>-19,74</w:t>
            </w:r>
          </w:p>
        </w:tc>
        <w:tc>
          <w:tcPr>
            <w:tcW w:w="486" w:type="pct"/>
            <w:tcBorders>
              <w:top w:val="single" w:sz="6" w:space="0" w:color="000000"/>
              <w:left w:val="single" w:sz="4" w:space="0" w:color="auto"/>
              <w:bottom w:val="single" w:sz="6" w:space="0" w:color="000000"/>
              <w:right w:val="single" w:sz="4" w:space="0" w:color="auto"/>
            </w:tcBorders>
            <w:vAlign w:val="center"/>
          </w:tcPr>
          <w:p w14:paraId="2A4C5AE9" w14:textId="77777777" w:rsidR="009E6B88" w:rsidRPr="00FA24CF" w:rsidRDefault="009E6B88" w:rsidP="00FA24CF">
            <w:pPr>
              <w:jc w:val="center"/>
              <w:rPr>
                <w:rFonts w:ascii="Times New Roman" w:eastAsia="Times New Roman" w:hAnsi="Times New Roman" w:cs="Times New Roman"/>
                <w:sz w:val="24"/>
                <w:szCs w:val="24"/>
                <w:lang w:val="da-DK"/>
              </w:rPr>
            </w:pPr>
            <w:r w:rsidRPr="00FA24CF">
              <w:rPr>
                <w:rFonts w:ascii="Times New Roman" w:hAnsi="Times New Roman" w:cs="Times New Roman"/>
                <w:spacing w:val="-1"/>
                <w:sz w:val="24"/>
                <w:szCs w:val="24"/>
                <w:lang w:val="da-DK"/>
              </w:rPr>
              <w:t>-7,49</w:t>
            </w:r>
          </w:p>
        </w:tc>
        <w:tc>
          <w:tcPr>
            <w:tcW w:w="619" w:type="pct"/>
            <w:tcBorders>
              <w:top w:val="single" w:sz="6" w:space="0" w:color="000000"/>
              <w:left w:val="single" w:sz="4" w:space="0" w:color="auto"/>
              <w:bottom w:val="single" w:sz="6" w:space="0" w:color="000000"/>
              <w:right w:val="single" w:sz="6" w:space="0" w:color="000000"/>
            </w:tcBorders>
            <w:vAlign w:val="center"/>
          </w:tcPr>
          <w:p w14:paraId="4E4866C0" w14:textId="77777777" w:rsidR="009E6B88" w:rsidRPr="00FA24CF" w:rsidRDefault="009E6B88" w:rsidP="00FA24CF">
            <w:pPr>
              <w:jc w:val="center"/>
              <w:rPr>
                <w:rFonts w:ascii="Times New Roman" w:eastAsia="Times New Roman" w:hAnsi="Times New Roman" w:cs="Times New Roman"/>
                <w:sz w:val="24"/>
                <w:szCs w:val="24"/>
                <w:lang w:val="da-DK"/>
              </w:rPr>
            </w:pPr>
            <w:r w:rsidRPr="00FA24CF">
              <w:rPr>
                <w:rFonts w:ascii="Times New Roman" w:hAnsi="Times New Roman" w:cs="Times New Roman"/>
                <w:sz w:val="24"/>
                <w:szCs w:val="24"/>
                <w:lang w:val="da-DK"/>
              </w:rPr>
              <w:t>&lt; 0,001</w:t>
            </w:r>
          </w:p>
        </w:tc>
      </w:tr>
      <w:tr w:rsidR="009E6B88" w:rsidRPr="00FA24CF" w14:paraId="13E01364" w14:textId="77777777" w:rsidTr="00520416">
        <w:tc>
          <w:tcPr>
            <w:tcW w:w="2515" w:type="pct"/>
            <w:tcBorders>
              <w:top w:val="single" w:sz="6" w:space="0" w:color="000000"/>
              <w:left w:val="single" w:sz="6" w:space="0" w:color="000000"/>
              <w:bottom w:val="single" w:sz="6" w:space="0" w:color="000000"/>
              <w:right w:val="single" w:sz="7" w:space="0" w:color="000000"/>
            </w:tcBorders>
            <w:vAlign w:val="center"/>
          </w:tcPr>
          <w:p w14:paraId="6EB84271" w14:textId="7F6606BE" w:rsidR="009E6B88" w:rsidRPr="00FA24CF" w:rsidRDefault="009E6B88" w:rsidP="006D6E64">
            <w:pPr>
              <w:rPr>
                <w:rFonts w:ascii="Times New Roman" w:eastAsia="Times New Roman" w:hAnsi="Times New Roman" w:cs="Times New Roman"/>
                <w:sz w:val="24"/>
                <w:szCs w:val="24"/>
                <w:lang w:val="da-DK"/>
              </w:rPr>
            </w:pPr>
            <w:r w:rsidRPr="00FA24CF">
              <w:rPr>
                <w:rFonts w:ascii="Times New Roman" w:hAnsi="Times New Roman" w:cs="Times New Roman"/>
                <w:sz w:val="24"/>
                <w:szCs w:val="24"/>
                <w:lang w:val="da-DK" w:eastAsia="zh-CN"/>
              </w:rPr>
              <w:t>Ændring i patientvurderet</w:t>
            </w:r>
            <w:r w:rsidR="006D6E64">
              <w:rPr>
                <w:rFonts w:ascii="Times New Roman" w:hAnsi="Times New Roman" w:cs="Times New Roman"/>
                <w:sz w:val="24"/>
                <w:szCs w:val="24"/>
                <w:lang w:val="da-DK" w:eastAsia="zh-CN"/>
              </w:rPr>
              <w:t xml:space="preserve"> </w:t>
            </w:r>
            <w:r w:rsidRPr="00FA24CF">
              <w:rPr>
                <w:rFonts w:ascii="Times New Roman" w:hAnsi="Times New Roman" w:cs="Times New Roman"/>
                <w:sz w:val="24"/>
                <w:szCs w:val="24"/>
                <w:lang w:val="da-DK" w:eastAsia="zh-CN"/>
              </w:rPr>
              <w:t>sammensat symptomscore 2</w:t>
            </w:r>
            <w:r w:rsidR="006D6E64">
              <w:rPr>
                <w:rFonts w:ascii="Times New Roman" w:hAnsi="Times New Roman" w:cs="Times New Roman"/>
                <w:sz w:val="24"/>
                <w:szCs w:val="24"/>
                <w:lang w:val="da-DK" w:eastAsia="zh-CN"/>
              </w:rPr>
              <w:t xml:space="preserve"> </w:t>
            </w:r>
            <w:r w:rsidRPr="00FA24CF">
              <w:rPr>
                <w:rFonts w:ascii="Times New Roman" w:hAnsi="Times New Roman" w:cs="Times New Roman"/>
                <w:sz w:val="24"/>
                <w:szCs w:val="24"/>
                <w:lang w:val="da-DK" w:eastAsia="zh-CN"/>
              </w:rPr>
              <w:t>timer efter behandling</w:t>
            </w:r>
          </w:p>
        </w:tc>
        <w:tc>
          <w:tcPr>
            <w:tcW w:w="730" w:type="pct"/>
            <w:tcBorders>
              <w:top w:val="single" w:sz="6" w:space="0" w:color="000000"/>
              <w:left w:val="single" w:sz="7" w:space="0" w:color="000000"/>
              <w:bottom w:val="single" w:sz="6" w:space="0" w:color="000000"/>
              <w:right w:val="single" w:sz="7" w:space="0" w:color="000000"/>
            </w:tcBorders>
            <w:vAlign w:val="center"/>
          </w:tcPr>
          <w:p w14:paraId="2DD9D373" w14:textId="77777777" w:rsidR="009E6B88" w:rsidRPr="00FA24CF" w:rsidRDefault="009E6B88" w:rsidP="00FA24CF">
            <w:pPr>
              <w:jc w:val="center"/>
              <w:rPr>
                <w:rFonts w:ascii="Times New Roman" w:eastAsia="Times New Roman" w:hAnsi="Times New Roman" w:cs="Times New Roman"/>
                <w:sz w:val="24"/>
                <w:szCs w:val="24"/>
                <w:lang w:val="da-DK"/>
              </w:rPr>
            </w:pPr>
            <w:r w:rsidRPr="00FA24CF">
              <w:rPr>
                <w:rFonts w:ascii="Times New Roman" w:hAnsi="Times New Roman" w:cs="Times New Roman"/>
                <w:sz w:val="24"/>
                <w:szCs w:val="24"/>
                <w:lang w:val="da-DK"/>
              </w:rPr>
              <w:t>Gennemsnit</w:t>
            </w:r>
          </w:p>
        </w:tc>
        <w:tc>
          <w:tcPr>
            <w:tcW w:w="649" w:type="pct"/>
            <w:tcBorders>
              <w:top w:val="single" w:sz="6" w:space="0" w:color="000000"/>
              <w:left w:val="single" w:sz="7" w:space="0" w:color="000000"/>
              <w:bottom w:val="single" w:sz="6" w:space="0" w:color="000000"/>
              <w:right w:val="single" w:sz="4" w:space="0" w:color="auto"/>
            </w:tcBorders>
            <w:vAlign w:val="center"/>
          </w:tcPr>
          <w:p w14:paraId="1891B9EC" w14:textId="77777777" w:rsidR="009E6B88" w:rsidRPr="00FA24CF" w:rsidRDefault="009E6B88" w:rsidP="00FA24CF">
            <w:pPr>
              <w:jc w:val="center"/>
              <w:rPr>
                <w:rFonts w:ascii="Times New Roman" w:eastAsia="Times New Roman" w:hAnsi="Times New Roman" w:cs="Times New Roman"/>
                <w:sz w:val="24"/>
                <w:szCs w:val="24"/>
                <w:lang w:val="da-DK"/>
              </w:rPr>
            </w:pPr>
            <w:r w:rsidRPr="00FA24CF">
              <w:rPr>
                <w:rFonts w:ascii="Times New Roman" w:hAnsi="Times New Roman" w:cs="Times New Roman"/>
                <w:spacing w:val="-1"/>
                <w:sz w:val="24"/>
                <w:szCs w:val="24"/>
                <w:lang w:val="da-DK"/>
              </w:rPr>
              <w:t>-0,53</w:t>
            </w:r>
          </w:p>
        </w:tc>
        <w:tc>
          <w:tcPr>
            <w:tcW w:w="486" w:type="pct"/>
            <w:tcBorders>
              <w:top w:val="single" w:sz="6" w:space="0" w:color="000000"/>
              <w:left w:val="single" w:sz="4" w:space="0" w:color="auto"/>
              <w:bottom w:val="single" w:sz="6" w:space="0" w:color="000000"/>
              <w:right w:val="single" w:sz="4" w:space="0" w:color="auto"/>
            </w:tcBorders>
            <w:vAlign w:val="center"/>
          </w:tcPr>
          <w:p w14:paraId="29964FBA" w14:textId="77777777" w:rsidR="009E6B88" w:rsidRPr="00FA24CF" w:rsidRDefault="009E6B88" w:rsidP="00FA24CF">
            <w:pPr>
              <w:jc w:val="center"/>
              <w:rPr>
                <w:rFonts w:ascii="Times New Roman" w:eastAsia="Times New Roman" w:hAnsi="Times New Roman" w:cs="Times New Roman"/>
                <w:sz w:val="24"/>
                <w:szCs w:val="24"/>
                <w:lang w:val="da-DK"/>
              </w:rPr>
            </w:pPr>
            <w:r w:rsidRPr="00FA24CF">
              <w:rPr>
                <w:rFonts w:ascii="Times New Roman" w:hAnsi="Times New Roman" w:cs="Times New Roman"/>
                <w:spacing w:val="-1"/>
                <w:sz w:val="24"/>
                <w:szCs w:val="24"/>
                <w:lang w:val="da-DK"/>
              </w:rPr>
              <w:t>-0,22</w:t>
            </w:r>
          </w:p>
        </w:tc>
        <w:tc>
          <w:tcPr>
            <w:tcW w:w="619" w:type="pct"/>
            <w:tcBorders>
              <w:top w:val="single" w:sz="6" w:space="0" w:color="000000"/>
              <w:left w:val="single" w:sz="4" w:space="0" w:color="auto"/>
              <w:bottom w:val="single" w:sz="6" w:space="0" w:color="000000"/>
              <w:right w:val="single" w:sz="6" w:space="0" w:color="000000"/>
            </w:tcBorders>
            <w:vAlign w:val="center"/>
          </w:tcPr>
          <w:p w14:paraId="067D66DE" w14:textId="77777777" w:rsidR="009E6B88" w:rsidRPr="00FA24CF" w:rsidRDefault="009E6B88" w:rsidP="00FA24CF">
            <w:pPr>
              <w:jc w:val="center"/>
              <w:rPr>
                <w:rFonts w:ascii="Times New Roman" w:eastAsia="Times New Roman" w:hAnsi="Times New Roman" w:cs="Times New Roman"/>
                <w:sz w:val="24"/>
                <w:szCs w:val="24"/>
                <w:lang w:val="da-DK"/>
              </w:rPr>
            </w:pPr>
            <w:r w:rsidRPr="00FA24CF">
              <w:rPr>
                <w:rFonts w:ascii="Times New Roman" w:hAnsi="Times New Roman" w:cs="Times New Roman"/>
                <w:sz w:val="24"/>
                <w:szCs w:val="24"/>
                <w:lang w:val="da-DK"/>
              </w:rPr>
              <w:t>&lt; 0,001</w:t>
            </w:r>
          </w:p>
        </w:tc>
      </w:tr>
      <w:tr w:rsidR="009E6B88" w:rsidRPr="00FA24CF" w14:paraId="2C7CB273" w14:textId="77777777" w:rsidTr="00520416">
        <w:tc>
          <w:tcPr>
            <w:tcW w:w="2515" w:type="pct"/>
            <w:tcBorders>
              <w:top w:val="single" w:sz="6" w:space="0" w:color="000000"/>
              <w:left w:val="single" w:sz="6" w:space="0" w:color="000000"/>
              <w:bottom w:val="single" w:sz="6" w:space="0" w:color="000000"/>
              <w:right w:val="single" w:sz="7" w:space="0" w:color="000000"/>
            </w:tcBorders>
            <w:vAlign w:val="center"/>
          </w:tcPr>
          <w:p w14:paraId="45CE32A5" w14:textId="750129AD" w:rsidR="009E6B88" w:rsidRPr="00FA24CF" w:rsidRDefault="009E6B88" w:rsidP="00634591">
            <w:pPr>
              <w:rPr>
                <w:rFonts w:ascii="Times New Roman" w:hAnsi="Times New Roman" w:cs="Times New Roman"/>
                <w:sz w:val="24"/>
                <w:szCs w:val="24"/>
                <w:lang w:val="da-DK" w:eastAsia="zh-CN"/>
              </w:rPr>
            </w:pPr>
            <w:r w:rsidRPr="00FA24CF">
              <w:rPr>
                <w:rFonts w:ascii="Times New Roman" w:hAnsi="Times New Roman" w:cs="Times New Roman"/>
                <w:sz w:val="24"/>
                <w:szCs w:val="24"/>
                <w:lang w:val="da-DK" w:eastAsia="zh-CN"/>
              </w:rPr>
              <w:t>Ændring i investigatorvurderet</w:t>
            </w:r>
            <w:r w:rsidR="006D6E64">
              <w:rPr>
                <w:rFonts w:ascii="Times New Roman" w:hAnsi="Times New Roman" w:cs="Times New Roman"/>
                <w:sz w:val="24"/>
                <w:szCs w:val="24"/>
                <w:lang w:val="da-DK" w:eastAsia="zh-CN"/>
              </w:rPr>
              <w:t xml:space="preserve"> </w:t>
            </w:r>
            <w:r w:rsidRPr="00FA24CF">
              <w:rPr>
                <w:rFonts w:ascii="Times New Roman" w:hAnsi="Times New Roman" w:cs="Times New Roman"/>
                <w:sz w:val="24"/>
                <w:szCs w:val="24"/>
                <w:lang w:val="da-DK" w:eastAsia="zh-CN"/>
              </w:rPr>
              <w:t>sammensat</w:t>
            </w:r>
          </w:p>
          <w:p w14:paraId="65E51722" w14:textId="0E054044" w:rsidR="009E6B88" w:rsidRPr="00FA24CF" w:rsidRDefault="009E6B88" w:rsidP="006D6E64">
            <w:pPr>
              <w:rPr>
                <w:rFonts w:ascii="Times New Roman" w:eastAsia="Times New Roman" w:hAnsi="Times New Roman" w:cs="Times New Roman"/>
                <w:sz w:val="24"/>
                <w:szCs w:val="24"/>
                <w:lang w:val="da-DK"/>
              </w:rPr>
            </w:pPr>
            <w:r w:rsidRPr="00FA24CF">
              <w:rPr>
                <w:rFonts w:ascii="Times New Roman" w:hAnsi="Times New Roman" w:cs="Times New Roman"/>
                <w:sz w:val="24"/>
                <w:szCs w:val="24"/>
                <w:lang w:val="da-DK" w:eastAsia="zh-CN"/>
              </w:rPr>
              <w:t>symptomscore 2 timer efter</w:t>
            </w:r>
            <w:r w:rsidR="006D6E64">
              <w:rPr>
                <w:rFonts w:ascii="Times New Roman" w:hAnsi="Times New Roman" w:cs="Times New Roman"/>
                <w:sz w:val="24"/>
                <w:szCs w:val="24"/>
                <w:lang w:val="da-DK" w:eastAsia="zh-CN"/>
              </w:rPr>
              <w:t xml:space="preserve"> </w:t>
            </w:r>
            <w:r w:rsidRPr="00FA24CF">
              <w:rPr>
                <w:rFonts w:ascii="Times New Roman" w:hAnsi="Times New Roman" w:cs="Times New Roman"/>
                <w:sz w:val="24"/>
                <w:szCs w:val="24"/>
                <w:lang w:val="da-DK" w:eastAsia="zh-CN"/>
              </w:rPr>
              <w:t>behandling</w:t>
            </w:r>
          </w:p>
        </w:tc>
        <w:tc>
          <w:tcPr>
            <w:tcW w:w="730" w:type="pct"/>
            <w:tcBorders>
              <w:top w:val="single" w:sz="6" w:space="0" w:color="000000"/>
              <w:left w:val="single" w:sz="7" w:space="0" w:color="000000"/>
              <w:bottom w:val="single" w:sz="6" w:space="0" w:color="000000"/>
              <w:right w:val="single" w:sz="7" w:space="0" w:color="000000"/>
            </w:tcBorders>
            <w:vAlign w:val="center"/>
          </w:tcPr>
          <w:p w14:paraId="20B56312" w14:textId="77777777" w:rsidR="009E6B88" w:rsidRPr="00FA24CF" w:rsidRDefault="009E6B88" w:rsidP="00FA24CF">
            <w:pPr>
              <w:jc w:val="center"/>
              <w:rPr>
                <w:rFonts w:ascii="Times New Roman" w:eastAsia="Times New Roman" w:hAnsi="Times New Roman" w:cs="Times New Roman"/>
                <w:sz w:val="24"/>
                <w:szCs w:val="24"/>
                <w:lang w:val="da-DK"/>
              </w:rPr>
            </w:pPr>
            <w:r w:rsidRPr="00FA24CF">
              <w:rPr>
                <w:rFonts w:ascii="Times New Roman" w:hAnsi="Times New Roman" w:cs="Times New Roman"/>
                <w:sz w:val="24"/>
                <w:szCs w:val="24"/>
                <w:lang w:val="da-DK"/>
              </w:rPr>
              <w:t>Gennemsnit</w:t>
            </w:r>
          </w:p>
        </w:tc>
        <w:tc>
          <w:tcPr>
            <w:tcW w:w="649" w:type="pct"/>
            <w:tcBorders>
              <w:top w:val="single" w:sz="6" w:space="0" w:color="000000"/>
              <w:left w:val="single" w:sz="7" w:space="0" w:color="000000"/>
              <w:bottom w:val="single" w:sz="6" w:space="0" w:color="000000"/>
              <w:right w:val="single" w:sz="4" w:space="0" w:color="auto"/>
            </w:tcBorders>
            <w:vAlign w:val="center"/>
          </w:tcPr>
          <w:p w14:paraId="69A67CB5" w14:textId="77777777" w:rsidR="009E6B88" w:rsidRPr="00FA24CF" w:rsidRDefault="009E6B88" w:rsidP="00FA24CF">
            <w:pPr>
              <w:jc w:val="center"/>
              <w:rPr>
                <w:rFonts w:ascii="Times New Roman" w:eastAsia="Times New Roman" w:hAnsi="Times New Roman" w:cs="Times New Roman"/>
                <w:sz w:val="24"/>
                <w:szCs w:val="24"/>
                <w:lang w:val="da-DK"/>
              </w:rPr>
            </w:pPr>
            <w:r w:rsidRPr="00FA24CF">
              <w:rPr>
                <w:rFonts w:ascii="Times New Roman" w:hAnsi="Times New Roman" w:cs="Times New Roman"/>
                <w:spacing w:val="-1"/>
                <w:sz w:val="24"/>
                <w:szCs w:val="24"/>
                <w:lang w:val="da-DK"/>
              </w:rPr>
              <w:t>-0,44</w:t>
            </w:r>
          </w:p>
        </w:tc>
        <w:tc>
          <w:tcPr>
            <w:tcW w:w="486" w:type="pct"/>
            <w:tcBorders>
              <w:top w:val="single" w:sz="6" w:space="0" w:color="000000"/>
              <w:left w:val="single" w:sz="4" w:space="0" w:color="auto"/>
              <w:bottom w:val="single" w:sz="6" w:space="0" w:color="000000"/>
              <w:right w:val="single" w:sz="4" w:space="0" w:color="auto"/>
            </w:tcBorders>
            <w:vAlign w:val="center"/>
          </w:tcPr>
          <w:p w14:paraId="330B1D6C" w14:textId="77777777" w:rsidR="009E6B88" w:rsidRPr="00FA24CF" w:rsidRDefault="009E6B88" w:rsidP="00FA24CF">
            <w:pPr>
              <w:jc w:val="center"/>
              <w:rPr>
                <w:rFonts w:ascii="Times New Roman" w:eastAsia="Times New Roman" w:hAnsi="Times New Roman" w:cs="Times New Roman"/>
                <w:sz w:val="24"/>
                <w:szCs w:val="24"/>
                <w:lang w:val="da-DK"/>
              </w:rPr>
            </w:pPr>
            <w:r w:rsidRPr="00FA24CF">
              <w:rPr>
                <w:rFonts w:ascii="Times New Roman" w:hAnsi="Times New Roman" w:cs="Times New Roman"/>
                <w:spacing w:val="-1"/>
                <w:sz w:val="24"/>
                <w:szCs w:val="24"/>
                <w:lang w:val="da-DK"/>
              </w:rPr>
              <w:t>-0,19</w:t>
            </w:r>
          </w:p>
        </w:tc>
        <w:tc>
          <w:tcPr>
            <w:tcW w:w="619" w:type="pct"/>
            <w:tcBorders>
              <w:top w:val="single" w:sz="6" w:space="0" w:color="000000"/>
              <w:left w:val="single" w:sz="4" w:space="0" w:color="auto"/>
              <w:bottom w:val="single" w:sz="6" w:space="0" w:color="000000"/>
              <w:right w:val="single" w:sz="6" w:space="0" w:color="000000"/>
            </w:tcBorders>
            <w:vAlign w:val="center"/>
          </w:tcPr>
          <w:p w14:paraId="4C7480C4" w14:textId="77777777" w:rsidR="009E6B88" w:rsidRPr="00FA24CF" w:rsidRDefault="009E6B88" w:rsidP="00FA24CF">
            <w:pPr>
              <w:jc w:val="center"/>
              <w:rPr>
                <w:rFonts w:ascii="Times New Roman" w:eastAsia="Times New Roman" w:hAnsi="Times New Roman" w:cs="Times New Roman"/>
                <w:sz w:val="24"/>
                <w:szCs w:val="24"/>
                <w:lang w:val="da-DK"/>
              </w:rPr>
            </w:pPr>
            <w:r w:rsidRPr="00FA24CF">
              <w:rPr>
                <w:rFonts w:ascii="Times New Roman" w:hAnsi="Times New Roman" w:cs="Times New Roman"/>
                <w:sz w:val="24"/>
                <w:szCs w:val="24"/>
                <w:lang w:val="da-DK"/>
              </w:rPr>
              <w:t>&lt; 0,001</w:t>
            </w:r>
          </w:p>
        </w:tc>
      </w:tr>
      <w:tr w:rsidR="009E6B88" w:rsidRPr="00FA24CF" w14:paraId="78624F12" w14:textId="77777777" w:rsidTr="00520416">
        <w:tc>
          <w:tcPr>
            <w:tcW w:w="2515" w:type="pct"/>
            <w:tcBorders>
              <w:top w:val="single" w:sz="6" w:space="0" w:color="000000"/>
              <w:left w:val="single" w:sz="6" w:space="0" w:color="000000"/>
              <w:bottom w:val="single" w:sz="6" w:space="0" w:color="000000"/>
              <w:right w:val="single" w:sz="7" w:space="0" w:color="000000"/>
            </w:tcBorders>
            <w:vAlign w:val="center"/>
          </w:tcPr>
          <w:p w14:paraId="365F8F22" w14:textId="7B0065DA" w:rsidR="009E6B88" w:rsidRPr="00FA24CF" w:rsidRDefault="009E6B88" w:rsidP="006D6E64">
            <w:pPr>
              <w:rPr>
                <w:rFonts w:ascii="Times New Roman" w:eastAsia="Times New Roman" w:hAnsi="Times New Roman" w:cs="Times New Roman"/>
                <w:sz w:val="24"/>
                <w:szCs w:val="24"/>
                <w:lang w:val="da-DK"/>
              </w:rPr>
            </w:pPr>
            <w:r w:rsidRPr="00FA24CF">
              <w:rPr>
                <w:rFonts w:ascii="Times New Roman" w:hAnsi="Times New Roman" w:cs="Times New Roman"/>
                <w:sz w:val="24"/>
                <w:szCs w:val="24"/>
                <w:lang w:val="da-DK" w:eastAsia="zh-CN"/>
              </w:rPr>
              <w:t>Tid før symptomerne næsten</w:t>
            </w:r>
            <w:r w:rsidR="006D6E64">
              <w:rPr>
                <w:rFonts w:ascii="Times New Roman" w:hAnsi="Times New Roman" w:cs="Times New Roman"/>
                <w:sz w:val="24"/>
                <w:szCs w:val="24"/>
                <w:lang w:val="da-DK" w:eastAsia="zh-CN"/>
              </w:rPr>
              <w:t xml:space="preserve"> </w:t>
            </w:r>
            <w:r w:rsidRPr="00FA24CF">
              <w:rPr>
                <w:rFonts w:ascii="Times New Roman" w:hAnsi="Times New Roman" w:cs="Times New Roman"/>
                <w:sz w:val="24"/>
                <w:szCs w:val="24"/>
                <w:lang w:val="da-DK" w:eastAsia="zh-CN"/>
              </w:rPr>
              <w:t>var lindret (timer)</w:t>
            </w:r>
          </w:p>
        </w:tc>
        <w:tc>
          <w:tcPr>
            <w:tcW w:w="730" w:type="pct"/>
            <w:tcBorders>
              <w:top w:val="single" w:sz="6" w:space="0" w:color="000000"/>
              <w:left w:val="single" w:sz="7" w:space="0" w:color="000000"/>
              <w:bottom w:val="single" w:sz="6" w:space="0" w:color="000000"/>
              <w:right w:val="single" w:sz="7" w:space="0" w:color="000000"/>
            </w:tcBorders>
            <w:vAlign w:val="center"/>
          </w:tcPr>
          <w:p w14:paraId="0B02DEFA" w14:textId="77777777" w:rsidR="009E6B88" w:rsidRPr="00FA24CF" w:rsidRDefault="009E6B88" w:rsidP="00FA24CF">
            <w:pPr>
              <w:jc w:val="center"/>
              <w:rPr>
                <w:rFonts w:ascii="Times New Roman" w:eastAsia="Times New Roman" w:hAnsi="Times New Roman" w:cs="Times New Roman"/>
                <w:sz w:val="24"/>
                <w:szCs w:val="24"/>
                <w:lang w:val="da-DK"/>
              </w:rPr>
            </w:pPr>
            <w:r w:rsidRPr="00FA24CF">
              <w:rPr>
                <w:rFonts w:ascii="Times New Roman" w:hAnsi="Times New Roman" w:cs="Times New Roman"/>
                <w:spacing w:val="-1"/>
                <w:sz w:val="24"/>
                <w:szCs w:val="24"/>
                <w:lang w:val="da-DK"/>
              </w:rPr>
              <w:t>Median</w:t>
            </w:r>
          </w:p>
        </w:tc>
        <w:tc>
          <w:tcPr>
            <w:tcW w:w="649" w:type="pct"/>
            <w:tcBorders>
              <w:top w:val="single" w:sz="6" w:space="0" w:color="000000"/>
              <w:left w:val="single" w:sz="7" w:space="0" w:color="000000"/>
              <w:bottom w:val="single" w:sz="6" w:space="0" w:color="000000"/>
              <w:right w:val="single" w:sz="4" w:space="0" w:color="auto"/>
            </w:tcBorders>
            <w:vAlign w:val="center"/>
          </w:tcPr>
          <w:p w14:paraId="0830C536" w14:textId="77777777" w:rsidR="009E6B88" w:rsidRPr="00FA24CF" w:rsidRDefault="009E6B88" w:rsidP="00FA24CF">
            <w:pPr>
              <w:jc w:val="center"/>
              <w:rPr>
                <w:rFonts w:ascii="Times New Roman" w:eastAsia="Times New Roman" w:hAnsi="Times New Roman" w:cs="Times New Roman"/>
                <w:sz w:val="24"/>
                <w:szCs w:val="24"/>
                <w:lang w:val="da-DK"/>
              </w:rPr>
            </w:pPr>
            <w:r w:rsidRPr="00FA24CF">
              <w:rPr>
                <w:rFonts w:ascii="Times New Roman" w:hAnsi="Times New Roman" w:cs="Times New Roman"/>
                <w:sz w:val="24"/>
                <w:szCs w:val="24"/>
                <w:lang w:val="da-DK"/>
              </w:rPr>
              <w:t>8,0</w:t>
            </w:r>
          </w:p>
        </w:tc>
        <w:tc>
          <w:tcPr>
            <w:tcW w:w="486" w:type="pct"/>
            <w:tcBorders>
              <w:top w:val="single" w:sz="6" w:space="0" w:color="000000"/>
              <w:left w:val="single" w:sz="4" w:space="0" w:color="auto"/>
              <w:bottom w:val="single" w:sz="6" w:space="0" w:color="000000"/>
              <w:right w:val="single" w:sz="4" w:space="0" w:color="auto"/>
            </w:tcBorders>
            <w:vAlign w:val="center"/>
          </w:tcPr>
          <w:p w14:paraId="520A586C" w14:textId="77777777" w:rsidR="009E6B88" w:rsidRPr="00FA24CF" w:rsidRDefault="009E6B88" w:rsidP="00FA24CF">
            <w:pPr>
              <w:jc w:val="center"/>
              <w:rPr>
                <w:rFonts w:ascii="Times New Roman" w:eastAsia="Times New Roman" w:hAnsi="Times New Roman" w:cs="Times New Roman"/>
                <w:sz w:val="24"/>
                <w:szCs w:val="24"/>
                <w:lang w:val="da-DK"/>
              </w:rPr>
            </w:pPr>
            <w:r w:rsidRPr="00FA24CF">
              <w:rPr>
                <w:rFonts w:ascii="Times New Roman" w:hAnsi="Times New Roman" w:cs="Times New Roman"/>
                <w:sz w:val="24"/>
                <w:szCs w:val="24"/>
                <w:lang w:val="da-DK"/>
              </w:rPr>
              <w:t>36,0</w:t>
            </w:r>
          </w:p>
        </w:tc>
        <w:tc>
          <w:tcPr>
            <w:tcW w:w="619" w:type="pct"/>
            <w:tcBorders>
              <w:top w:val="single" w:sz="6" w:space="0" w:color="000000"/>
              <w:left w:val="single" w:sz="4" w:space="0" w:color="auto"/>
              <w:bottom w:val="single" w:sz="6" w:space="0" w:color="000000"/>
              <w:right w:val="single" w:sz="6" w:space="0" w:color="000000"/>
            </w:tcBorders>
            <w:vAlign w:val="center"/>
          </w:tcPr>
          <w:p w14:paraId="71EEFCBA" w14:textId="77777777" w:rsidR="009E6B88" w:rsidRPr="00FA24CF" w:rsidRDefault="009E6B88" w:rsidP="00FA24CF">
            <w:pPr>
              <w:jc w:val="center"/>
              <w:rPr>
                <w:rFonts w:ascii="Times New Roman" w:eastAsia="Times New Roman" w:hAnsi="Times New Roman" w:cs="Times New Roman"/>
                <w:sz w:val="24"/>
                <w:szCs w:val="24"/>
                <w:lang w:val="da-DK"/>
              </w:rPr>
            </w:pPr>
            <w:r w:rsidRPr="00FA24CF">
              <w:rPr>
                <w:rFonts w:ascii="Times New Roman" w:hAnsi="Times New Roman" w:cs="Times New Roman"/>
                <w:sz w:val="24"/>
                <w:szCs w:val="24"/>
                <w:lang w:val="da-DK"/>
              </w:rPr>
              <w:t>0,012</w:t>
            </w:r>
          </w:p>
        </w:tc>
      </w:tr>
      <w:tr w:rsidR="009E6B88" w:rsidRPr="00FA24CF" w14:paraId="5F7B3C54" w14:textId="77777777" w:rsidTr="00520416">
        <w:tc>
          <w:tcPr>
            <w:tcW w:w="2515" w:type="pct"/>
            <w:tcBorders>
              <w:top w:val="single" w:sz="6" w:space="0" w:color="000000"/>
              <w:left w:val="single" w:sz="6" w:space="0" w:color="000000"/>
              <w:bottom w:val="single" w:sz="6" w:space="0" w:color="000000"/>
              <w:right w:val="single" w:sz="7" w:space="0" w:color="000000"/>
            </w:tcBorders>
            <w:vAlign w:val="center"/>
          </w:tcPr>
          <w:p w14:paraId="4154E8C1" w14:textId="40741B69" w:rsidR="009E6B88" w:rsidRPr="00FA24CF" w:rsidRDefault="009E6B88" w:rsidP="006D6E64">
            <w:pPr>
              <w:rPr>
                <w:rFonts w:ascii="Times New Roman" w:eastAsia="Times New Roman" w:hAnsi="Times New Roman" w:cs="Times New Roman"/>
                <w:sz w:val="24"/>
                <w:szCs w:val="24"/>
                <w:lang w:val="da-DK"/>
              </w:rPr>
            </w:pPr>
            <w:r w:rsidRPr="00FA24CF">
              <w:rPr>
                <w:rFonts w:ascii="Times New Roman" w:hAnsi="Times New Roman" w:cs="Times New Roman"/>
                <w:sz w:val="24"/>
                <w:szCs w:val="24"/>
                <w:lang w:val="da-DK" w:eastAsia="zh-CN"/>
              </w:rPr>
              <w:t>Tid til patientvurderet</w:t>
            </w:r>
            <w:r w:rsidR="006D6E64">
              <w:rPr>
                <w:rFonts w:ascii="Times New Roman" w:hAnsi="Times New Roman" w:cs="Times New Roman"/>
                <w:sz w:val="24"/>
                <w:szCs w:val="24"/>
                <w:lang w:val="da-DK" w:eastAsia="zh-CN"/>
              </w:rPr>
              <w:t xml:space="preserve"> </w:t>
            </w:r>
            <w:r w:rsidRPr="00FA24CF">
              <w:rPr>
                <w:rFonts w:ascii="Times New Roman" w:hAnsi="Times New Roman" w:cs="Times New Roman"/>
                <w:sz w:val="24"/>
                <w:szCs w:val="24"/>
                <w:lang w:val="da-DK" w:eastAsia="zh-CN"/>
              </w:rPr>
              <w:t>begyndende symptombedring</w:t>
            </w:r>
            <w:r w:rsidR="006D6E64">
              <w:rPr>
                <w:rFonts w:ascii="Times New Roman" w:hAnsi="Times New Roman" w:cs="Times New Roman"/>
                <w:sz w:val="24"/>
                <w:szCs w:val="24"/>
                <w:lang w:val="da-DK" w:eastAsia="zh-CN"/>
              </w:rPr>
              <w:t xml:space="preserve"> </w:t>
            </w:r>
            <w:r w:rsidRPr="00FA24CF">
              <w:rPr>
                <w:rFonts w:ascii="Times New Roman" w:hAnsi="Times New Roman" w:cs="Times New Roman"/>
                <w:sz w:val="24"/>
                <w:szCs w:val="24"/>
                <w:lang w:val="da-DK" w:eastAsia="zh-CN"/>
              </w:rPr>
              <w:t>(timer)</w:t>
            </w:r>
          </w:p>
        </w:tc>
        <w:tc>
          <w:tcPr>
            <w:tcW w:w="730" w:type="pct"/>
            <w:tcBorders>
              <w:top w:val="single" w:sz="6" w:space="0" w:color="000000"/>
              <w:left w:val="single" w:sz="7" w:space="0" w:color="000000"/>
              <w:bottom w:val="single" w:sz="6" w:space="0" w:color="000000"/>
              <w:right w:val="single" w:sz="7" w:space="0" w:color="000000"/>
            </w:tcBorders>
            <w:vAlign w:val="center"/>
          </w:tcPr>
          <w:p w14:paraId="717208C8" w14:textId="77777777" w:rsidR="009E6B88" w:rsidRPr="00FA24CF" w:rsidRDefault="009E6B88" w:rsidP="00FA24CF">
            <w:pPr>
              <w:jc w:val="center"/>
              <w:rPr>
                <w:rFonts w:ascii="Times New Roman" w:eastAsia="Times New Roman" w:hAnsi="Times New Roman" w:cs="Times New Roman"/>
                <w:sz w:val="24"/>
                <w:szCs w:val="24"/>
                <w:lang w:val="da-DK"/>
              </w:rPr>
            </w:pPr>
            <w:r w:rsidRPr="00FA24CF">
              <w:rPr>
                <w:rFonts w:ascii="Times New Roman" w:hAnsi="Times New Roman" w:cs="Times New Roman"/>
                <w:spacing w:val="-1"/>
                <w:sz w:val="24"/>
                <w:szCs w:val="24"/>
                <w:lang w:val="da-DK"/>
              </w:rPr>
              <w:t>Median</w:t>
            </w:r>
          </w:p>
        </w:tc>
        <w:tc>
          <w:tcPr>
            <w:tcW w:w="649" w:type="pct"/>
            <w:tcBorders>
              <w:top w:val="single" w:sz="6" w:space="0" w:color="000000"/>
              <w:left w:val="single" w:sz="7" w:space="0" w:color="000000"/>
              <w:bottom w:val="single" w:sz="6" w:space="0" w:color="000000"/>
              <w:right w:val="single" w:sz="4" w:space="0" w:color="auto"/>
            </w:tcBorders>
            <w:vAlign w:val="center"/>
          </w:tcPr>
          <w:p w14:paraId="3EC7C43D" w14:textId="77777777" w:rsidR="009E6B88" w:rsidRPr="00FA24CF" w:rsidRDefault="009E6B88" w:rsidP="00FA24CF">
            <w:pPr>
              <w:jc w:val="center"/>
              <w:rPr>
                <w:rFonts w:ascii="Times New Roman" w:eastAsia="Times New Roman" w:hAnsi="Times New Roman" w:cs="Times New Roman"/>
                <w:sz w:val="24"/>
                <w:szCs w:val="24"/>
                <w:lang w:val="da-DK"/>
              </w:rPr>
            </w:pPr>
            <w:r w:rsidRPr="00FA24CF">
              <w:rPr>
                <w:rFonts w:ascii="Times New Roman" w:hAnsi="Times New Roman" w:cs="Times New Roman"/>
                <w:sz w:val="24"/>
                <w:szCs w:val="24"/>
                <w:lang w:val="da-DK"/>
              </w:rPr>
              <w:t>0,8</w:t>
            </w:r>
          </w:p>
        </w:tc>
        <w:tc>
          <w:tcPr>
            <w:tcW w:w="486" w:type="pct"/>
            <w:tcBorders>
              <w:top w:val="single" w:sz="6" w:space="0" w:color="000000"/>
              <w:left w:val="single" w:sz="4" w:space="0" w:color="auto"/>
              <w:bottom w:val="single" w:sz="6" w:space="0" w:color="000000"/>
              <w:right w:val="single" w:sz="4" w:space="0" w:color="auto"/>
            </w:tcBorders>
            <w:vAlign w:val="center"/>
          </w:tcPr>
          <w:p w14:paraId="10C01B13" w14:textId="77777777" w:rsidR="009E6B88" w:rsidRPr="00FA24CF" w:rsidRDefault="009E6B88" w:rsidP="00FA24CF">
            <w:pPr>
              <w:jc w:val="center"/>
              <w:rPr>
                <w:rFonts w:ascii="Times New Roman" w:eastAsia="Times New Roman" w:hAnsi="Times New Roman" w:cs="Times New Roman"/>
                <w:sz w:val="24"/>
                <w:szCs w:val="24"/>
                <w:lang w:val="da-DK"/>
              </w:rPr>
            </w:pPr>
            <w:r w:rsidRPr="00FA24CF">
              <w:rPr>
                <w:rFonts w:ascii="Times New Roman" w:hAnsi="Times New Roman" w:cs="Times New Roman"/>
                <w:sz w:val="24"/>
                <w:szCs w:val="24"/>
                <w:lang w:val="da-DK"/>
              </w:rPr>
              <w:t>3,5</w:t>
            </w:r>
          </w:p>
        </w:tc>
        <w:tc>
          <w:tcPr>
            <w:tcW w:w="619" w:type="pct"/>
            <w:tcBorders>
              <w:top w:val="single" w:sz="6" w:space="0" w:color="000000"/>
              <w:left w:val="single" w:sz="4" w:space="0" w:color="auto"/>
              <w:bottom w:val="single" w:sz="6" w:space="0" w:color="000000"/>
              <w:right w:val="single" w:sz="6" w:space="0" w:color="000000"/>
            </w:tcBorders>
            <w:vAlign w:val="center"/>
          </w:tcPr>
          <w:p w14:paraId="34DB633F" w14:textId="77777777" w:rsidR="009E6B88" w:rsidRPr="00FA24CF" w:rsidRDefault="009E6B88" w:rsidP="00FA24CF">
            <w:pPr>
              <w:jc w:val="center"/>
              <w:rPr>
                <w:rFonts w:ascii="Times New Roman" w:eastAsia="Times New Roman" w:hAnsi="Times New Roman" w:cs="Times New Roman"/>
                <w:sz w:val="24"/>
                <w:szCs w:val="24"/>
                <w:lang w:val="da-DK"/>
              </w:rPr>
            </w:pPr>
            <w:r w:rsidRPr="00FA24CF">
              <w:rPr>
                <w:rFonts w:ascii="Times New Roman" w:hAnsi="Times New Roman" w:cs="Times New Roman"/>
                <w:sz w:val="24"/>
                <w:szCs w:val="24"/>
                <w:lang w:val="da-DK"/>
              </w:rPr>
              <w:t>&lt; 0,001</w:t>
            </w:r>
          </w:p>
        </w:tc>
      </w:tr>
      <w:tr w:rsidR="009E6B88" w:rsidRPr="00FA24CF" w14:paraId="02D9B92A" w14:textId="77777777" w:rsidTr="00520416">
        <w:tc>
          <w:tcPr>
            <w:tcW w:w="2515" w:type="pct"/>
            <w:tcBorders>
              <w:top w:val="single" w:sz="6" w:space="0" w:color="000000"/>
              <w:left w:val="single" w:sz="6" w:space="0" w:color="000000"/>
              <w:bottom w:val="single" w:sz="6" w:space="0" w:color="000000"/>
              <w:right w:val="single" w:sz="7" w:space="0" w:color="000000"/>
            </w:tcBorders>
            <w:vAlign w:val="center"/>
          </w:tcPr>
          <w:p w14:paraId="7519B1C8" w14:textId="29B415C4" w:rsidR="009E6B88" w:rsidRPr="00FA24CF" w:rsidRDefault="009E6B88" w:rsidP="00634591">
            <w:pPr>
              <w:rPr>
                <w:rFonts w:ascii="Times New Roman" w:hAnsi="Times New Roman" w:cs="Times New Roman"/>
                <w:sz w:val="24"/>
                <w:szCs w:val="24"/>
                <w:lang w:val="da-DK" w:eastAsia="zh-CN"/>
              </w:rPr>
            </w:pPr>
            <w:r w:rsidRPr="00FA24CF">
              <w:rPr>
                <w:rFonts w:ascii="Times New Roman" w:hAnsi="Times New Roman" w:cs="Times New Roman"/>
                <w:sz w:val="24"/>
                <w:szCs w:val="24"/>
                <w:lang w:val="da-DK" w:eastAsia="zh-CN"/>
              </w:rPr>
              <w:t>Tid til investigator-vurderet</w:t>
            </w:r>
            <w:r w:rsidR="006D6E64">
              <w:rPr>
                <w:rFonts w:ascii="Times New Roman" w:hAnsi="Times New Roman" w:cs="Times New Roman"/>
                <w:sz w:val="24"/>
                <w:szCs w:val="24"/>
                <w:lang w:val="da-DK" w:eastAsia="zh-CN"/>
              </w:rPr>
              <w:t xml:space="preserve"> </w:t>
            </w:r>
            <w:r w:rsidRPr="00FA24CF">
              <w:rPr>
                <w:rFonts w:ascii="Times New Roman" w:hAnsi="Times New Roman" w:cs="Times New Roman"/>
                <w:sz w:val="24"/>
                <w:szCs w:val="24"/>
                <w:lang w:val="da-DK" w:eastAsia="zh-CN"/>
              </w:rPr>
              <w:t>begyndende visuel</w:t>
            </w:r>
          </w:p>
          <w:p w14:paraId="75C645A1" w14:textId="77777777" w:rsidR="009E6B88" w:rsidRPr="00FA24CF" w:rsidRDefault="009E6B88" w:rsidP="00634591">
            <w:pPr>
              <w:rPr>
                <w:rFonts w:ascii="Times New Roman" w:eastAsia="Times New Roman" w:hAnsi="Times New Roman" w:cs="Times New Roman"/>
                <w:sz w:val="24"/>
                <w:szCs w:val="24"/>
                <w:lang w:val="da-DK"/>
              </w:rPr>
            </w:pPr>
            <w:r w:rsidRPr="00FA24CF">
              <w:rPr>
                <w:rFonts w:ascii="Times New Roman" w:hAnsi="Times New Roman" w:cs="Times New Roman"/>
                <w:sz w:val="24"/>
                <w:szCs w:val="24"/>
                <w:lang w:val="da-DK" w:eastAsia="zh-CN"/>
              </w:rPr>
              <w:t>symptombedring (timer)</w:t>
            </w:r>
          </w:p>
        </w:tc>
        <w:tc>
          <w:tcPr>
            <w:tcW w:w="730" w:type="pct"/>
            <w:tcBorders>
              <w:top w:val="single" w:sz="6" w:space="0" w:color="000000"/>
              <w:left w:val="single" w:sz="7" w:space="0" w:color="000000"/>
              <w:bottom w:val="single" w:sz="6" w:space="0" w:color="000000"/>
              <w:right w:val="single" w:sz="7" w:space="0" w:color="000000"/>
            </w:tcBorders>
            <w:vAlign w:val="center"/>
          </w:tcPr>
          <w:p w14:paraId="526A3AFB" w14:textId="77777777" w:rsidR="009E6B88" w:rsidRPr="00FA24CF" w:rsidRDefault="009E6B88" w:rsidP="00FA24CF">
            <w:pPr>
              <w:jc w:val="center"/>
              <w:rPr>
                <w:rFonts w:ascii="Times New Roman" w:eastAsia="Times New Roman" w:hAnsi="Times New Roman" w:cs="Times New Roman"/>
                <w:sz w:val="24"/>
                <w:szCs w:val="24"/>
                <w:lang w:val="da-DK"/>
              </w:rPr>
            </w:pPr>
            <w:r w:rsidRPr="00FA24CF">
              <w:rPr>
                <w:rFonts w:ascii="Times New Roman" w:hAnsi="Times New Roman" w:cs="Times New Roman"/>
                <w:spacing w:val="-1"/>
                <w:sz w:val="24"/>
                <w:szCs w:val="24"/>
                <w:lang w:val="da-DK"/>
              </w:rPr>
              <w:t>Median</w:t>
            </w:r>
          </w:p>
        </w:tc>
        <w:tc>
          <w:tcPr>
            <w:tcW w:w="649" w:type="pct"/>
            <w:tcBorders>
              <w:top w:val="single" w:sz="6" w:space="0" w:color="000000"/>
              <w:left w:val="single" w:sz="7" w:space="0" w:color="000000"/>
              <w:bottom w:val="single" w:sz="6" w:space="0" w:color="000000"/>
              <w:right w:val="single" w:sz="4" w:space="0" w:color="auto"/>
            </w:tcBorders>
            <w:vAlign w:val="center"/>
          </w:tcPr>
          <w:p w14:paraId="50659503" w14:textId="77777777" w:rsidR="009E6B88" w:rsidRPr="00FA24CF" w:rsidRDefault="009E6B88" w:rsidP="00FA24CF">
            <w:pPr>
              <w:jc w:val="center"/>
              <w:rPr>
                <w:rFonts w:ascii="Times New Roman" w:eastAsia="Times New Roman" w:hAnsi="Times New Roman" w:cs="Times New Roman"/>
                <w:sz w:val="24"/>
                <w:szCs w:val="24"/>
                <w:lang w:val="da-DK"/>
              </w:rPr>
            </w:pPr>
            <w:r w:rsidRPr="00FA24CF">
              <w:rPr>
                <w:rFonts w:ascii="Times New Roman" w:hAnsi="Times New Roman" w:cs="Times New Roman"/>
                <w:sz w:val="24"/>
                <w:szCs w:val="24"/>
                <w:lang w:val="da-DK"/>
              </w:rPr>
              <w:t>0,8</w:t>
            </w:r>
          </w:p>
        </w:tc>
        <w:tc>
          <w:tcPr>
            <w:tcW w:w="486" w:type="pct"/>
            <w:tcBorders>
              <w:top w:val="single" w:sz="6" w:space="0" w:color="000000"/>
              <w:left w:val="single" w:sz="4" w:space="0" w:color="auto"/>
              <w:bottom w:val="single" w:sz="6" w:space="0" w:color="000000"/>
              <w:right w:val="single" w:sz="4" w:space="0" w:color="auto"/>
            </w:tcBorders>
            <w:vAlign w:val="center"/>
          </w:tcPr>
          <w:p w14:paraId="64126828" w14:textId="77777777" w:rsidR="009E6B88" w:rsidRPr="00FA24CF" w:rsidRDefault="009E6B88" w:rsidP="00FA24CF">
            <w:pPr>
              <w:jc w:val="center"/>
              <w:rPr>
                <w:rFonts w:ascii="Times New Roman" w:eastAsia="Times New Roman" w:hAnsi="Times New Roman" w:cs="Times New Roman"/>
                <w:sz w:val="24"/>
                <w:szCs w:val="24"/>
                <w:lang w:val="da-DK"/>
              </w:rPr>
            </w:pPr>
            <w:r w:rsidRPr="00FA24CF">
              <w:rPr>
                <w:rFonts w:ascii="Times New Roman" w:hAnsi="Times New Roman" w:cs="Times New Roman"/>
                <w:sz w:val="24"/>
                <w:szCs w:val="24"/>
                <w:lang w:val="da-DK"/>
              </w:rPr>
              <w:t>3,4</w:t>
            </w:r>
          </w:p>
        </w:tc>
        <w:tc>
          <w:tcPr>
            <w:tcW w:w="619" w:type="pct"/>
            <w:tcBorders>
              <w:top w:val="single" w:sz="6" w:space="0" w:color="000000"/>
              <w:left w:val="single" w:sz="4" w:space="0" w:color="auto"/>
              <w:bottom w:val="single" w:sz="6" w:space="0" w:color="000000"/>
              <w:right w:val="single" w:sz="6" w:space="0" w:color="000000"/>
            </w:tcBorders>
            <w:vAlign w:val="center"/>
          </w:tcPr>
          <w:p w14:paraId="3132BF18" w14:textId="77777777" w:rsidR="009E6B88" w:rsidRPr="00FA24CF" w:rsidRDefault="009E6B88" w:rsidP="00FA24CF">
            <w:pPr>
              <w:jc w:val="center"/>
              <w:rPr>
                <w:rFonts w:ascii="Times New Roman" w:eastAsia="Times New Roman" w:hAnsi="Times New Roman" w:cs="Times New Roman"/>
                <w:sz w:val="24"/>
                <w:szCs w:val="24"/>
                <w:lang w:val="da-DK"/>
              </w:rPr>
            </w:pPr>
            <w:r w:rsidRPr="00FA24CF">
              <w:rPr>
                <w:rFonts w:ascii="Times New Roman" w:hAnsi="Times New Roman" w:cs="Times New Roman"/>
                <w:sz w:val="24"/>
                <w:szCs w:val="24"/>
                <w:lang w:val="da-DK"/>
              </w:rPr>
              <w:t>&lt; 0,001</w:t>
            </w:r>
          </w:p>
        </w:tc>
      </w:tr>
    </w:tbl>
    <w:p w14:paraId="75A131A2" w14:textId="77777777" w:rsidR="009E6B88" w:rsidRPr="00520416" w:rsidRDefault="009E6B88" w:rsidP="00634591">
      <w:pPr>
        <w:rPr>
          <w:bCs/>
          <w:sz w:val="24"/>
          <w:szCs w:val="24"/>
        </w:rPr>
      </w:pPr>
    </w:p>
    <w:p w14:paraId="43FA0898" w14:textId="77777777" w:rsidR="009E6B88" w:rsidRPr="00111DC8" w:rsidRDefault="009E6B88" w:rsidP="00520416">
      <w:pPr>
        <w:ind w:left="851"/>
        <w:rPr>
          <w:rFonts w:eastAsiaTheme="minorEastAsia"/>
          <w:sz w:val="24"/>
          <w:szCs w:val="24"/>
          <w:lang w:eastAsia="zh-CN"/>
        </w:rPr>
      </w:pPr>
      <w:r w:rsidRPr="00111DC8">
        <w:rPr>
          <w:rFonts w:eastAsiaTheme="minorEastAsia"/>
          <w:sz w:val="24"/>
          <w:szCs w:val="24"/>
          <w:lang w:eastAsia="zh-CN"/>
        </w:rPr>
        <w:t>I alt blev 66 patienter med HAE-anfald, der involverede larynx, behandlet i disse kontrollerede kliniske fase III-studier. Resultaterne var magen til dem fra patienter med HAE-anfald, der ikke involverede larynx, for så vidt angår den tid, det tog, før symptomlindring begyndte.</w:t>
      </w:r>
    </w:p>
    <w:p w14:paraId="6A28799F" w14:textId="77777777" w:rsidR="009E6B88" w:rsidRPr="00111DC8" w:rsidRDefault="009E6B88" w:rsidP="00520416">
      <w:pPr>
        <w:ind w:left="851"/>
        <w:rPr>
          <w:rFonts w:eastAsiaTheme="minorEastAsia"/>
          <w:sz w:val="24"/>
          <w:szCs w:val="24"/>
          <w:lang w:eastAsia="zh-CN"/>
        </w:rPr>
      </w:pPr>
    </w:p>
    <w:p w14:paraId="2DCEB0C3" w14:textId="77777777" w:rsidR="009E6B88" w:rsidRPr="00111DC8" w:rsidRDefault="009E6B88" w:rsidP="00520416">
      <w:pPr>
        <w:ind w:left="851"/>
        <w:rPr>
          <w:rFonts w:eastAsiaTheme="minorEastAsia"/>
          <w:i/>
          <w:iCs/>
          <w:sz w:val="24"/>
          <w:szCs w:val="24"/>
          <w:lang w:eastAsia="zh-CN"/>
        </w:rPr>
      </w:pPr>
      <w:r w:rsidRPr="00111DC8">
        <w:rPr>
          <w:rFonts w:eastAsiaTheme="minorEastAsia"/>
          <w:i/>
          <w:iCs/>
          <w:sz w:val="24"/>
          <w:szCs w:val="24"/>
          <w:lang w:eastAsia="zh-CN"/>
        </w:rPr>
        <w:t>Pædiatrisk population</w:t>
      </w:r>
    </w:p>
    <w:p w14:paraId="18001720" w14:textId="73A93D9E" w:rsidR="009E6B88" w:rsidRPr="00111DC8" w:rsidRDefault="009E6B88" w:rsidP="00520416">
      <w:pPr>
        <w:ind w:left="851"/>
        <w:rPr>
          <w:rFonts w:eastAsiaTheme="minorEastAsia"/>
          <w:sz w:val="24"/>
          <w:szCs w:val="24"/>
          <w:lang w:eastAsia="zh-CN"/>
        </w:rPr>
      </w:pPr>
      <w:r w:rsidRPr="00111DC8">
        <w:rPr>
          <w:rFonts w:eastAsiaTheme="minorEastAsia"/>
          <w:sz w:val="24"/>
          <w:szCs w:val="24"/>
          <w:lang w:eastAsia="zh-CN"/>
        </w:rPr>
        <w:t>Der er gennemført et åbent, ikke-randomiseret enkeltgruppestudie (HGT-FIR-086) med i alt</w:t>
      </w:r>
      <w:r w:rsidR="00FA24CF">
        <w:rPr>
          <w:rFonts w:eastAsiaTheme="minorEastAsia"/>
          <w:sz w:val="24"/>
          <w:szCs w:val="24"/>
          <w:lang w:eastAsia="zh-CN"/>
        </w:rPr>
        <w:t xml:space="preserve"> </w:t>
      </w:r>
      <w:r w:rsidRPr="00111DC8">
        <w:rPr>
          <w:rFonts w:eastAsiaTheme="minorEastAsia"/>
          <w:sz w:val="24"/>
          <w:szCs w:val="24"/>
          <w:lang w:eastAsia="zh-CN"/>
        </w:rPr>
        <w:t>32 patienter. Alle patienter fik mindst én dosis icatibant (0,4 mg/kg legemsvægt op til en maksimal dosis på 30 mg), og størstedelen af patienterne blev fulgt i mindst 6 måneder. 11 patienter var præpubertære, og 21 patienter var enten pubertære eller postpubertære.</w:t>
      </w:r>
    </w:p>
    <w:p w14:paraId="5683EF14" w14:textId="77777777" w:rsidR="009E6B88" w:rsidRPr="00111DC8" w:rsidRDefault="009E6B88" w:rsidP="00520416">
      <w:pPr>
        <w:ind w:left="851"/>
        <w:rPr>
          <w:rFonts w:eastAsiaTheme="minorEastAsia"/>
          <w:sz w:val="24"/>
          <w:szCs w:val="24"/>
          <w:lang w:eastAsia="zh-CN"/>
        </w:rPr>
      </w:pPr>
    </w:p>
    <w:p w14:paraId="1E77C4E9" w14:textId="77777777" w:rsidR="009E6B88" w:rsidRPr="00111DC8" w:rsidRDefault="009E6B88" w:rsidP="00520416">
      <w:pPr>
        <w:ind w:left="851"/>
        <w:rPr>
          <w:rFonts w:eastAsiaTheme="minorEastAsia"/>
          <w:sz w:val="24"/>
          <w:szCs w:val="24"/>
          <w:lang w:eastAsia="zh-CN"/>
        </w:rPr>
      </w:pPr>
      <w:r w:rsidRPr="00111DC8">
        <w:rPr>
          <w:rFonts w:eastAsiaTheme="minorEastAsia"/>
          <w:sz w:val="24"/>
          <w:szCs w:val="24"/>
          <w:lang w:eastAsia="zh-CN"/>
        </w:rPr>
        <w:t>Effektpopulationen bestod af 22 patienter, der var blevet behandlet med icatibant (11 prepubertære og 11 pubertære/postpubertære) for HAE-anfald.</w:t>
      </w:r>
    </w:p>
    <w:p w14:paraId="73C9CEAC" w14:textId="77777777" w:rsidR="009E6B88" w:rsidRPr="00111DC8" w:rsidRDefault="009E6B88" w:rsidP="00520416">
      <w:pPr>
        <w:ind w:left="851"/>
        <w:rPr>
          <w:rFonts w:eastAsiaTheme="minorEastAsia"/>
          <w:sz w:val="24"/>
          <w:szCs w:val="24"/>
          <w:lang w:eastAsia="zh-CN"/>
        </w:rPr>
      </w:pPr>
      <w:r w:rsidRPr="00111DC8">
        <w:rPr>
          <w:rFonts w:eastAsiaTheme="minorEastAsia"/>
          <w:sz w:val="24"/>
          <w:szCs w:val="24"/>
          <w:lang w:eastAsia="zh-CN"/>
        </w:rPr>
        <w:t>Det primære effektmål var tid til debut af symptomlindring (TOSR, Time to Onset of Symptom Relief) målt ved hjælp af en sammensat score for investigator-rapporterede symptomer. Tid til symptomlindring var defineret som den tid (i timer), som det tog, før der indtrådte en bedring af symptomerne på 20 %.</w:t>
      </w:r>
    </w:p>
    <w:p w14:paraId="200A86E3" w14:textId="77777777" w:rsidR="009E6B88" w:rsidRPr="00111DC8" w:rsidRDefault="009E6B88" w:rsidP="00520416">
      <w:pPr>
        <w:ind w:left="851"/>
        <w:rPr>
          <w:rFonts w:eastAsiaTheme="minorEastAsia"/>
          <w:sz w:val="24"/>
          <w:szCs w:val="24"/>
          <w:lang w:eastAsia="zh-CN"/>
        </w:rPr>
      </w:pPr>
    </w:p>
    <w:p w14:paraId="4EE5633E" w14:textId="77777777" w:rsidR="009E6B88" w:rsidRPr="00111DC8" w:rsidRDefault="009E6B88" w:rsidP="00520416">
      <w:pPr>
        <w:ind w:left="851"/>
        <w:rPr>
          <w:rFonts w:eastAsiaTheme="minorEastAsia"/>
          <w:sz w:val="24"/>
          <w:szCs w:val="24"/>
          <w:lang w:eastAsia="zh-CN"/>
        </w:rPr>
      </w:pPr>
      <w:r w:rsidRPr="00111DC8">
        <w:rPr>
          <w:rFonts w:eastAsiaTheme="minorEastAsia"/>
          <w:sz w:val="24"/>
          <w:szCs w:val="24"/>
          <w:lang w:eastAsia="zh-CN"/>
        </w:rPr>
        <w:t>Overordnet set var den mediane tid til debut af symptomlindring 1,0 time (95 %-konfidensinterval, 1,0-1,1 time). Ved henholdsvis 1 og 2 timer efter behandling oplevede ca. 50 % og 90 % debut af symptomlindring.</w:t>
      </w:r>
    </w:p>
    <w:p w14:paraId="4935EEE9" w14:textId="50CF1D8D" w:rsidR="009260DE" w:rsidRDefault="009E6B88" w:rsidP="00520416">
      <w:pPr>
        <w:ind w:left="851"/>
        <w:rPr>
          <w:rFonts w:eastAsiaTheme="minorEastAsia"/>
          <w:sz w:val="24"/>
          <w:szCs w:val="24"/>
          <w:lang w:eastAsia="zh-CN"/>
        </w:rPr>
      </w:pPr>
      <w:r w:rsidRPr="00111DC8">
        <w:rPr>
          <w:rFonts w:eastAsiaTheme="minorEastAsia"/>
          <w:sz w:val="24"/>
          <w:szCs w:val="24"/>
          <w:lang w:eastAsia="zh-CN"/>
        </w:rPr>
        <w:t>Overordnet set var den mediane tid til minimale symptomer (tidligste tidspunkt efter behandling, hvor alle symptomer var enten milde eller fraværende) 1,1 time (95 %-konfidensinterval, 1,0-2,0 timer).</w:t>
      </w:r>
    </w:p>
    <w:p w14:paraId="34AD784D" w14:textId="77777777" w:rsidR="00520416" w:rsidRPr="00111DC8" w:rsidRDefault="00520416" w:rsidP="00520416">
      <w:pPr>
        <w:ind w:left="851"/>
        <w:rPr>
          <w:sz w:val="24"/>
          <w:szCs w:val="24"/>
        </w:rPr>
      </w:pPr>
    </w:p>
    <w:p w14:paraId="351B4007" w14:textId="77777777" w:rsidR="009260DE" w:rsidRPr="00111DC8" w:rsidRDefault="009260DE" w:rsidP="009260DE">
      <w:pPr>
        <w:tabs>
          <w:tab w:val="left" w:pos="851"/>
        </w:tabs>
        <w:ind w:left="851" w:hanging="851"/>
        <w:rPr>
          <w:b/>
          <w:sz w:val="24"/>
          <w:szCs w:val="24"/>
        </w:rPr>
      </w:pPr>
      <w:r w:rsidRPr="00111DC8">
        <w:rPr>
          <w:b/>
          <w:sz w:val="24"/>
          <w:szCs w:val="24"/>
        </w:rPr>
        <w:t>5.2</w:t>
      </w:r>
      <w:r w:rsidRPr="00111DC8">
        <w:rPr>
          <w:b/>
          <w:sz w:val="24"/>
          <w:szCs w:val="24"/>
        </w:rPr>
        <w:tab/>
        <w:t>Farmakokinetiske egenskaber</w:t>
      </w:r>
    </w:p>
    <w:p w14:paraId="233FDE88" w14:textId="77777777" w:rsidR="009E6B88" w:rsidRPr="00111DC8" w:rsidRDefault="009E6B88" w:rsidP="00634591">
      <w:pPr>
        <w:ind w:left="851"/>
        <w:rPr>
          <w:sz w:val="24"/>
          <w:szCs w:val="24"/>
          <w:u w:val="single"/>
        </w:rPr>
      </w:pPr>
      <w:r w:rsidRPr="00111DC8">
        <w:rPr>
          <w:rFonts w:eastAsiaTheme="minorEastAsia"/>
          <w:sz w:val="24"/>
          <w:szCs w:val="24"/>
          <w:lang w:eastAsia="zh-CN"/>
        </w:rPr>
        <w:t>Icatibants farmakokinetik er blevet undersøgt i studier, hvor der blev anvendt både intravenøs og subkutan indgift til både raske frivillige og patienter. Den farmakokinetiske profil for icatibant hos patienter med HAE er magen til profilen hos raske frivillige.</w:t>
      </w:r>
    </w:p>
    <w:p w14:paraId="6448D7BA" w14:textId="77777777" w:rsidR="009E6B88" w:rsidRPr="00111DC8" w:rsidRDefault="009E6B88" w:rsidP="00634591">
      <w:pPr>
        <w:ind w:left="851"/>
        <w:rPr>
          <w:sz w:val="24"/>
          <w:szCs w:val="24"/>
          <w:u w:val="single"/>
        </w:rPr>
      </w:pPr>
    </w:p>
    <w:p w14:paraId="5988EFFB" w14:textId="77777777" w:rsidR="009E6B88" w:rsidRPr="00111DC8" w:rsidRDefault="009E6B88" w:rsidP="00634591">
      <w:pPr>
        <w:ind w:left="851"/>
        <w:rPr>
          <w:sz w:val="24"/>
          <w:szCs w:val="24"/>
          <w:u w:val="single"/>
        </w:rPr>
      </w:pPr>
      <w:r w:rsidRPr="00111DC8">
        <w:rPr>
          <w:sz w:val="24"/>
          <w:szCs w:val="24"/>
          <w:u w:val="single"/>
        </w:rPr>
        <w:t>Absorption</w:t>
      </w:r>
    </w:p>
    <w:p w14:paraId="33A41015" w14:textId="2BF7FBC0" w:rsidR="009E6B88" w:rsidRPr="00111DC8" w:rsidRDefault="009E6B88" w:rsidP="00634591">
      <w:pPr>
        <w:ind w:left="851"/>
        <w:rPr>
          <w:sz w:val="24"/>
          <w:szCs w:val="24"/>
          <w:u w:val="single"/>
        </w:rPr>
      </w:pPr>
      <w:r w:rsidRPr="00111DC8">
        <w:rPr>
          <w:rFonts w:eastAsiaTheme="minorEastAsia"/>
          <w:sz w:val="24"/>
          <w:szCs w:val="24"/>
          <w:lang w:eastAsia="zh-CN"/>
        </w:rPr>
        <w:t>Efter subkutan indgift var den absolutte biologiske tilgængelighed for icatibant 97 %. Tiden til den</w:t>
      </w:r>
      <w:r w:rsidR="00FA24CF">
        <w:rPr>
          <w:rFonts w:eastAsiaTheme="minorEastAsia"/>
          <w:sz w:val="24"/>
          <w:szCs w:val="24"/>
          <w:lang w:eastAsia="zh-CN"/>
        </w:rPr>
        <w:t xml:space="preserve"> </w:t>
      </w:r>
      <w:r w:rsidRPr="00111DC8">
        <w:rPr>
          <w:rFonts w:eastAsiaTheme="minorEastAsia"/>
          <w:sz w:val="24"/>
          <w:szCs w:val="24"/>
          <w:lang w:eastAsia="zh-CN"/>
        </w:rPr>
        <w:t>maksimale koncentration er ca. 30 minutter.</w:t>
      </w:r>
    </w:p>
    <w:p w14:paraId="3809B458" w14:textId="77777777" w:rsidR="009E6B88" w:rsidRPr="00111DC8" w:rsidRDefault="009E6B88" w:rsidP="00634591">
      <w:pPr>
        <w:ind w:left="851"/>
        <w:rPr>
          <w:noProof/>
          <w:sz w:val="24"/>
          <w:szCs w:val="24"/>
          <w:u w:val="single"/>
        </w:rPr>
      </w:pPr>
    </w:p>
    <w:p w14:paraId="67586F14" w14:textId="77777777" w:rsidR="009E6B88" w:rsidRPr="00111DC8" w:rsidRDefault="009E6B88" w:rsidP="00634591">
      <w:pPr>
        <w:ind w:left="851"/>
        <w:rPr>
          <w:noProof/>
          <w:sz w:val="24"/>
          <w:szCs w:val="24"/>
          <w:u w:val="single"/>
        </w:rPr>
      </w:pPr>
      <w:r w:rsidRPr="00111DC8">
        <w:rPr>
          <w:noProof/>
          <w:sz w:val="24"/>
          <w:szCs w:val="24"/>
          <w:u w:val="single"/>
        </w:rPr>
        <w:t>Fordeling</w:t>
      </w:r>
    </w:p>
    <w:p w14:paraId="46AA4DAC" w14:textId="77777777" w:rsidR="009E6B88" w:rsidRPr="00111DC8" w:rsidRDefault="009E6B88" w:rsidP="00634591">
      <w:pPr>
        <w:ind w:left="851"/>
        <w:rPr>
          <w:noProof/>
          <w:sz w:val="24"/>
          <w:szCs w:val="24"/>
          <w:u w:val="single"/>
        </w:rPr>
      </w:pPr>
      <w:r w:rsidRPr="00111DC8">
        <w:rPr>
          <w:rFonts w:eastAsiaTheme="minorEastAsia"/>
          <w:sz w:val="24"/>
          <w:szCs w:val="24"/>
          <w:lang w:eastAsia="zh-CN"/>
        </w:rPr>
        <w:t>Volumendistributionen (Vss) for icatibant er ca. 20-25 L. Plasmaproteinbindingen er 44 %.</w:t>
      </w:r>
    </w:p>
    <w:p w14:paraId="0E729F8C" w14:textId="77777777" w:rsidR="009E6B88" w:rsidRPr="00111DC8" w:rsidRDefault="009E6B88" w:rsidP="00634591">
      <w:pPr>
        <w:ind w:left="851"/>
        <w:rPr>
          <w:sz w:val="24"/>
          <w:szCs w:val="24"/>
          <w:u w:val="single"/>
        </w:rPr>
      </w:pPr>
    </w:p>
    <w:p w14:paraId="5E5F6C17" w14:textId="77777777" w:rsidR="009E6B88" w:rsidRPr="00111DC8" w:rsidRDefault="009E6B88" w:rsidP="00634591">
      <w:pPr>
        <w:ind w:left="851"/>
        <w:rPr>
          <w:sz w:val="24"/>
          <w:szCs w:val="24"/>
          <w:u w:val="single"/>
        </w:rPr>
      </w:pPr>
      <w:r w:rsidRPr="00111DC8">
        <w:rPr>
          <w:sz w:val="24"/>
          <w:szCs w:val="24"/>
          <w:u w:val="single"/>
        </w:rPr>
        <w:t>Elimination</w:t>
      </w:r>
    </w:p>
    <w:p w14:paraId="4999B416" w14:textId="6B7B7AD4" w:rsidR="009E6B88" w:rsidRPr="00111DC8" w:rsidRDefault="009E6B88" w:rsidP="00634591">
      <w:pPr>
        <w:ind w:left="851"/>
        <w:rPr>
          <w:sz w:val="24"/>
          <w:szCs w:val="24"/>
          <w:u w:val="single"/>
        </w:rPr>
      </w:pPr>
      <w:r w:rsidRPr="00111DC8">
        <w:rPr>
          <w:rFonts w:eastAsiaTheme="minorEastAsia"/>
          <w:sz w:val="24"/>
          <w:szCs w:val="24"/>
          <w:lang w:eastAsia="zh-CN"/>
        </w:rPr>
        <w:t>Icatibant bliver hovedsageligt elimineret via metabolisme. Mindre end 10 % af dosis bliver udskilt via</w:t>
      </w:r>
      <w:r w:rsidR="00520416">
        <w:rPr>
          <w:rFonts w:eastAsiaTheme="minorEastAsia"/>
          <w:sz w:val="24"/>
          <w:szCs w:val="24"/>
          <w:lang w:eastAsia="zh-CN"/>
        </w:rPr>
        <w:t xml:space="preserve"> </w:t>
      </w:r>
      <w:r w:rsidRPr="00111DC8">
        <w:rPr>
          <w:rFonts w:eastAsiaTheme="minorEastAsia"/>
          <w:sz w:val="24"/>
          <w:szCs w:val="24"/>
          <w:lang w:eastAsia="zh-CN"/>
        </w:rPr>
        <w:t>urinen som uomdannet stof. Clearance er på ca. 15-20 l/t og er uafhængig af dosis. Den terminale</w:t>
      </w:r>
      <w:r w:rsidR="00520416">
        <w:rPr>
          <w:rFonts w:eastAsiaTheme="minorEastAsia"/>
          <w:sz w:val="24"/>
          <w:szCs w:val="24"/>
          <w:lang w:eastAsia="zh-CN"/>
        </w:rPr>
        <w:t xml:space="preserve"> </w:t>
      </w:r>
      <w:r w:rsidRPr="00111DC8">
        <w:rPr>
          <w:rFonts w:eastAsiaTheme="minorEastAsia"/>
          <w:sz w:val="24"/>
          <w:szCs w:val="24"/>
          <w:lang w:eastAsia="zh-CN"/>
        </w:rPr>
        <w:t>halveringstid i plasma er ca. 1-2 timer.</w:t>
      </w:r>
    </w:p>
    <w:p w14:paraId="289E8C3B" w14:textId="77777777" w:rsidR="009E6B88" w:rsidRPr="00111DC8" w:rsidRDefault="009E6B88" w:rsidP="00634591">
      <w:pPr>
        <w:ind w:left="851"/>
        <w:rPr>
          <w:sz w:val="24"/>
          <w:szCs w:val="24"/>
          <w:u w:val="single"/>
        </w:rPr>
      </w:pPr>
    </w:p>
    <w:p w14:paraId="65767DE9" w14:textId="77777777" w:rsidR="009E6B88" w:rsidRPr="00111DC8" w:rsidRDefault="009E6B88" w:rsidP="00634591">
      <w:pPr>
        <w:ind w:left="851"/>
        <w:rPr>
          <w:sz w:val="24"/>
          <w:szCs w:val="24"/>
          <w:u w:val="single"/>
        </w:rPr>
      </w:pPr>
      <w:r w:rsidRPr="00111DC8">
        <w:rPr>
          <w:sz w:val="24"/>
          <w:szCs w:val="24"/>
          <w:u w:val="single"/>
        </w:rPr>
        <w:t>Biotransformation</w:t>
      </w:r>
    </w:p>
    <w:p w14:paraId="7D0D5B3F" w14:textId="301A574F" w:rsidR="009E6B88" w:rsidRPr="00111DC8" w:rsidRDefault="009E6B88" w:rsidP="00634591">
      <w:pPr>
        <w:ind w:left="851"/>
        <w:rPr>
          <w:rFonts w:eastAsiaTheme="minorEastAsia"/>
          <w:sz w:val="24"/>
          <w:szCs w:val="24"/>
          <w:lang w:eastAsia="zh-CN"/>
        </w:rPr>
      </w:pPr>
      <w:r w:rsidRPr="00111DC8">
        <w:rPr>
          <w:rFonts w:eastAsiaTheme="minorEastAsia"/>
          <w:sz w:val="24"/>
          <w:szCs w:val="24"/>
          <w:lang w:eastAsia="zh-CN"/>
        </w:rPr>
        <w:t>Icatibant metaboliseres i udstrakt grad af proteolytiske enzymer til inaktive metabolitter, der primært</w:t>
      </w:r>
      <w:r w:rsidR="00520416">
        <w:rPr>
          <w:rFonts w:eastAsiaTheme="minorEastAsia"/>
          <w:sz w:val="24"/>
          <w:szCs w:val="24"/>
          <w:lang w:eastAsia="zh-CN"/>
        </w:rPr>
        <w:t xml:space="preserve"> </w:t>
      </w:r>
      <w:r w:rsidRPr="00111DC8">
        <w:rPr>
          <w:rFonts w:eastAsiaTheme="minorEastAsia"/>
          <w:sz w:val="24"/>
          <w:szCs w:val="24"/>
          <w:lang w:eastAsia="zh-CN"/>
        </w:rPr>
        <w:t>udskilles med urinen.</w:t>
      </w:r>
    </w:p>
    <w:p w14:paraId="04727467" w14:textId="77777777" w:rsidR="009E6B88" w:rsidRPr="00111DC8" w:rsidRDefault="009E6B88" w:rsidP="00634591">
      <w:pPr>
        <w:ind w:left="851"/>
        <w:rPr>
          <w:rFonts w:eastAsiaTheme="minorEastAsia"/>
          <w:sz w:val="24"/>
          <w:szCs w:val="24"/>
          <w:lang w:eastAsia="zh-CN"/>
        </w:rPr>
      </w:pPr>
    </w:p>
    <w:p w14:paraId="73363E4E" w14:textId="77BBE706" w:rsidR="009E6B88" w:rsidRPr="00111DC8" w:rsidRDefault="009E6B88" w:rsidP="00634591">
      <w:pPr>
        <w:ind w:left="851"/>
        <w:rPr>
          <w:sz w:val="24"/>
          <w:szCs w:val="24"/>
          <w:u w:val="single"/>
        </w:rPr>
      </w:pPr>
      <w:r w:rsidRPr="00111DC8">
        <w:rPr>
          <w:rFonts w:eastAsiaTheme="minorEastAsia"/>
          <w:i/>
          <w:iCs/>
          <w:sz w:val="24"/>
          <w:szCs w:val="24"/>
          <w:lang w:eastAsia="zh-CN"/>
        </w:rPr>
        <w:t>In vitro-</w:t>
      </w:r>
      <w:r w:rsidRPr="00111DC8">
        <w:rPr>
          <w:rFonts w:eastAsiaTheme="minorEastAsia"/>
          <w:sz w:val="24"/>
          <w:szCs w:val="24"/>
          <w:lang w:eastAsia="zh-CN"/>
        </w:rPr>
        <w:t>studier har bekræftet, at icatibant ikke nedbrydes af den oxidative metabolisme, at det ikke</w:t>
      </w:r>
      <w:r w:rsidR="00520416">
        <w:rPr>
          <w:rFonts w:eastAsiaTheme="minorEastAsia"/>
          <w:sz w:val="24"/>
          <w:szCs w:val="24"/>
          <w:lang w:eastAsia="zh-CN"/>
        </w:rPr>
        <w:t xml:space="preserve"> </w:t>
      </w:r>
      <w:r w:rsidRPr="00520416">
        <w:rPr>
          <w:rFonts w:eastAsiaTheme="minorEastAsia"/>
          <w:sz w:val="24"/>
          <w:szCs w:val="24"/>
          <w:lang w:eastAsia="zh-CN"/>
        </w:rPr>
        <w:t>hæmmer store cytochrom P450 (CYP) isoenzymer (CYP 1A2, 2A6, 2B6, 2C8, 2C9, 2C19, 2D6, 2E1</w:t>
      </w:r>
      <w:r w:rsidR="00520416">
        <w:rPr>
          <w:rFonts w:eastAsiaTheme="minorEastAsia"/>
          <w:sz w:val="24"/>
          <w:szCs w:val="24"/>
          <w:lang w:eastAsia="zh-CN"/>
        </w:rPr>
        <w:t xml:space="preserve"> </w:t>
      </w:r>
      <w:r w:rsidRPr="00111DC8">
        <w:rPr>
          <w:rFonts w:eastAsiaTheme="minorEastAsia"/>
          <w:sz w:val="24"/>
          <w:szCs w:val="24"/>
          <w:lang w:eastAsia="zh-CN"/>
        </w:rPr>
        <w:t>og 3A4), og at det ikke inducerer CYP 1A2 og 3A4.</w:t>
      </w:r>
    </w:p>
    <w:p w14:paraId="0301351E" w14:textId="77777777" w:rsidR="009E6B88" w:rsidRPr="00111DC8" w:rsidRDefault="009E6B88" w:rsidP="00634591">
      <w:pPr>
        <w:ind w:left="851"/>
        <w:rPr>
          <w:sz w:val="24"/>
          <w:szCs w:val="24"/>
          <w:u w:val="single"/>
        </w:rPr>
      </w:pPr>
    </w:p>
    <w:p w14:paraId="605F8043" w14:textId="77777777" w:rsidR="009E6B88" w:rsidRPr="00111DC8" w:rsidRDefault="009E6B88" w:rsidP="00634591">
      <w:pPr>
        <w:ind w:left="851"/>
        <w:rPr>
          <w:rFonts w:eastAsiaTheme="minorEastAsia"/>
          <w:sz w:val="24"/>
          <w:szCs w:val="24"/>
          <w:u w:val="single"/>
          <w:lang w:eastAsia="zh-CN"/>
        </w:rPr>
      </w:pPr>
      <w:r w:rsidRPr="00111DC8">
        <w:rPr>
          <w:rFonts w:eastAsiaTheme="minorEastAsia"/>
          <w:sz w:val="24"/>
          <w:szCs w:val="24"/>
          <w:u w:val="single"/>
          <w:lang w:eastAsia="zh-CN"/>
        </w:rPr>
        <w:t>Specielle populationer</w:t>
      </w:r>
    </w:p>
    <w:p w14:paraId="4AC8654E" w14:textId="77777777" w:rsidR="009E6B88" w:rsidRPr="00111DC8" w:rsidRDefault="009E6B88" w:rsidP="00634591">
      <w:pPr>
        <w:ind w:left="851"/>
        <w:rPr>
          <w:rFonts w:eastAsiaTheme="minorEastAsia"/>
          <w:i/>
          <w:iCs/>
          <w:sz w:val="24"/>
          <w:szCs w:val="24"/>
          <w:lang w:eastAsia="zh-CN"/>
        </w:rPr>
      </w:pPr>
    </w:p>
    <w:p w14:paraId="04E33F73" w14:textId="77777777" w:rsidR="009E6B88" w:rsidRPr="00111DC8" w:rsidRDefault="009E6B88" w:rsidP="00634591">
      <w:pPr>
        <w:ind w:left="851"/>
        <w:rPr>
          <w:rFonts w:eastAsiaTheme="minorEastAsia"/>
          <w:i/>
          <w:iCs/>
          <w:sz w:val="24"/>
          <w:szCs w:val="24"/>
          <w:lang w:eastAsia="zh-CN"/>
        </w:rPr>
      </w:pPr>
      <w:r w:rsidRPr="00111DC8">
        <w:rPr>
          <w:rFonts w:eastAsiaTheme="minorEastAsia"/>
          <w:i/>
          <w:iCs/>
          <w:sz w:val="24"/>
          <w:szCs w:val="24"/>
          <w:lang w:eastAsia="zh-CN"/>
        </w:rPr>
        <w:t>Ældre</w:t>
      </w:r>
    </w:p>
    <w:p w14:paraId="042ECFFA" w14:textId="14652E18" w:rsidR="009E6B88" w:rsidRPr="00111DC8" w:rsidRDefault="009E6B88" w:rsidP="00634591">
      <w:pPr>
        <w:ind w:left="851"/>
        <w:rPr>
          <w:rFonts w:eastAsiaTheme="minorEastAsia"/>
          <w:sz w:val="24"/>
          <w:szCs w:val="24"/>
          <w:lang w:eastAsia="zh-CN"/>
        </w:rPr>
      </w:pPr>
      <w:r w:rsidRPr="00111DC8">
        <w:rPr>
          <w:rFonts w:eastAsiaTheme="minorEastAsia"/>
          <w:sz w:val="24"/>
          <w:szCs w:val="24"/>
          <w:lang w:eastAsia="zh-CN"/>
        </w:rPr>
        <w:t>Dataene tyder på en aldersrelateret reduktion i clearance, som medfører en ca. 50-60 % højere</w:t>
      </w:r>
      <w:r w:rsidR="00520416">
        <w:rPr>
          <w:rFonts w:eastAsiaTheme="minorEastAsia"/>
          <w:sz w:val="24"/>
          <w:szCs w:val="24"/>
          <w:lang w:eastAsia="zh-CN"/>
        </w:rPr>
        <w:t xml:space="preserve"> </w:t>
      </w:r>
      <w:r w:rsidRPr="00111DC8">
        <w:rPr>
          <w:rFonts w:eastAsiaTheme="minorEastAsia"/>
          <w:sz w:val="24"/>
          <w:szCs w:val="24"/>
          <w:lang w:eastAsia="zh-CN"/>
        </w:rPr>
        <w:t>eksponering hos ældre (75-80 år) i forhold til patienter på 40 år.</w:t>
      </w:r>
    </w:p>
    <w:p w14:paraId="3896AD78" w14:textId="77777777" w:rsidR="009E6B88" w:rsidRPr="00111DC8" w:rsidRDefault="009E6B88" w:rsidP="00634591">
      <w:pPr>
        <w:ind w:left="851"/>
        <w:rPr>
          <w:rFonts w:eastAsiaTheme="minorEastAsia"/>
          <w:i/>
          <w:iCs/>
          <w:sz w:val="24"/>
          <w:szCs w:val="24"/>
          <w:lang w:eastAsia="zh-CN"/>
        </w:rPr>
      </w:pPr>
    </w:p>
    <w:p w14:paraId="0789AF56" w14:textId="77777777" w:rsidR="009E6B88" w:rsidRPr="00111DC8" w:rsidRDefault="009E6B88" w:rsidP="00634591">
      <w:pPr>
        <w:ind w:left="851"/>
        <w:rPr>
          <w:rFonts w:eastAsiaTheme="minorEastAsia"/>
          <w:i/>
          <w:iCs/>
          <w:sz w:val="24"/>
          <w:szCs w:val="24"/>
          <w:lang w:eastAsia="zh-CN"/>
        </w:rPr>
      </w:pPr>
      <w:r w:rsidRPr="00111DC8">
        <w:rPr>
          <w:rFonts w:eastAsiaTheme="minorEastAsia"/>
          <w:i/>
          <w:iCs/>
          <w:sz w:val="24"/>
          <w:szCs w:val="24"/>
          <w:lang w:eastAsia="zh-CN"/>
        </w:rPr>
        <w:t>Køn</w:t>
      </w:r>
    </w:p>
    <w:p w14:paraId="48182872" w14:textId="77777777" w:rsidR="009E6B88" w:rsidRPr="00111DC8" w:rsidRDefault="009E6B88" w:rsidP="00634591">
      <w:pPr>
        <w:ind w:left="851"/>
        <w:rPr>
          <w:rFonts w:eastAsiaTheme="minorEastAsia"/>
          <w:sz w:val="24"/>
          <w:szCs w:val="24"/>
          <w:lang w:eastAsia="zh-CN"/>
        </w:rPr>
      </w:pPr>
      <w:r w:rsidRPr="00111DC8">
        <w:rPr>
          <w:rFonts w:eastAsiaTheme="minorEastAsia"/>
          <w:sz w:val="24"/>
          <w:szCs w:val="24"/>
          <w:lang w:eastAsia="zh-CN"/>
        </w:rPr>
        <w:t>Data tyder på, at der ikke er nogen forskel i clearance mellem kvinder og mænd efter korrektion for legemsvægt.</w:t>
      </w:r>
    </w:p>
    <w:p w14:paraId="61D46BB6" w14:textId="77777777" w:rsidR="009E6B88" w:rsidRPr="00111DC8" w:rsidRDefault="009E6B88" w:rsidP="00634591">
      <w:pPr>
        <w:ind w:left="851"/>
        <w:rPr>
          <w:rFonts w:eastAsiaTheme="minorEastAsia"/>
          <w:i/>
          <w:iCs/>
          <w:sz w:val="24"/>
          <w:szCs w:val="24"/>
          <w:lang w:eastAsia="zh-CN"/>
        </w:rPr>
      </w:pPr>
    </w:p>
    <w:p w14:paraId="2D351E34" w14:textId="77777777" w:rsidR="009E6B88" w:rsidRPr="00111DC8" w:rsidRDefault="009E6B88" w:rsidP="00634591">
      <w:pPr>
        <w:ind w:left="851"/>
        <w:rPr>
          <w:rFonts w:eastAsiaTheme="minorEastAsia"/>
          <w:i/>
          <w:iCs/>
          <w:sz w:val="24"/>
          <w:szCs w:val="24"/>
          <w:lang w:eastAsia="zh-CN"/>
        </w:rPr>
      </w:pPr>
      <w:r w:rsidRPr="00111DC8">
        <w:rPr>
          <w:rFonts w:eastAsiaTheme="minorEastAsia"/>
          <w:i/>
          <w:iCs/>
          <w:sz w:val="24"/>
          <w:szCs w:val="24"/>
          <w:lang w:eastAsia="zh-CN"/>
        </w:rPr>
        <w:t>Nedsat lever- og nyrefunktion</w:t>
      </w:r>
    </w:p>
    <w:p w14:paraId="69D478BF" w14:textId="77777777" w:rsidR="009E6B88" w:rsidRPr="00111DC8" w:rsidRDefault="009E6B88" w:rsidP="00634591">
      <w:pPr>
        <w:ind w:left="851"/>
        <w:rPr>
          <w:rFonts w:eastAsiaTheme="minorEastAsia"/>
          <w:sz w:val="24"/>
          <w:szCs w:val="24"/>
          <w:lang w:eastAsia="zh-CN"/>
        </w:rPr>
      </w:pPr>
      <w:r w:rsidRPr="00111DC8">
        <w:rPr>
          <w:rFonts w:eastAsiaTheme="minorEastAsia"/>
          <w:sz w:val="24"/>
          <w:szCs w:val="24"/>
          <w:lang w:eastAsia="zh-CN"/>
        </w:rPr>
        <w:t>Begrænsede data indikerer, at icatibant-eksponering ikke påvirkes af nedsat lever- eller nyrefunktion.</w:t>
      </w:r>
    </w:p>
    <w:p w14:paraId="172918A5" w14:textId="77777777" w:rsidR="009E6B88" w:rsidRPr="00111DC8" w:rsidRDefault="009E6B88" w:rsidP="00634591">
      <w:pPr>
        <w:ind w:left="851"/>
        <w:rPr>
          <w:rFonts w:eastAsiaTheme="minorEastAsia"/>
          <w:i/>
          <w:iCs/>
          <w:sz w:val="24"/>
          <w:szCs w:val="24"/>
          <w:lang w:eastAsia="zh-CN"/>
        </w:rPr>
      </w:pPr>
    </w:p>
    <w:p w14:paraId="1EA342F1" w14:textId="77777777" w:rsidR="009E6B88" w:rsidRPr="00111DC8" w:rsidRDefault="009E6B88" w:rsidP="00634591">
      <w:pPr>
        <w:ind w:left="851"/>
        <w:rPr>
          <w:rFonts w:eastAsiaTheme="minorEastAsia"/>
          <w:i/>
          <w:iCs/>
          <w:sz w:val="24"/>
          <w:szCs w:val="24"/>
          <w:lang w:eastAsia="zh-CN"/>
        </w:rPr>
      </w:pPr>
      <w:r w:rsidRPr="00111DC8">
        <w:rPr>
          <w:rFonts w:eastAsiaTheme="minorEastAsia"/>
          <w:i/>
          <w:iCs/>
          <w:sz w:val="24"/>
          <w:szCs w:val="24"/>
          <w:lang w:eastAsia="zh-CN"/>
        </w:rPr>
        <w:t>Etnisk oprindelse</w:t>
      </w:r>
    </w:p>
    <w:p w14:paraId="10C0E5CF" w14:textId="636FCCAE" w:rsidR="009E6B88" w:rsidRPr="00111DC8" w:rsidRDefault="009E6B88" w:rsidP="00634591">
      <w:pPr>
        <w:ind w:left="851"/>
        <w:rPr>
          <w:rFonts w:eastAsiaTheme="minorEastAsia"/>
          <w:sz w:val="24"/>
          <w:szCs w:val="24"/>
          <w:lang w:eastAsia="zh-CN"/>
        </w:rPr>
      </w:pPr>
      <w:r w:rsidRPr="00111DC8">
        <w:rPr>
          <w:rFonts w:eastAsiaTheme="minorEastAsia"/>
          <w:sz w:val="24"/>
          <w:szCs w:val="24"/>
          <w:lang w:eastAsia="zh-CN"/>
        </w:rPr>
        <w:t>Der er begrænsede oplysninger om indvirkningen af etnisk oprindelse. Tilgængelige data for</w:t>
      </w:r>
      <w:r w:rsidR="00520416">
        <w:rPr>
          <w:rFonts w:eastAsiaTheme="minorEastAsia"/>
          <w:sz w:val="24"/>
          <w:szCs w:val="24"/>
          <w:lang w:eastAsia="zh-CN"/>
        </w:rPr>
        <w:t xml:space="preserve"> </w:t>
      </w:r>
      <w:r w:rsidRPr="00111DC8">
        <w:rPr>
          <w:rFonts w:eastAsiaTheme="minorEastAsia"/>
          <w:sz w:val="24"/>
          <w:szCs w:val="24"/>
          <w:lang w:eastAsia="zh-CN"/>
        </w:rPr>
        <w:t>eksponering tyder ikke på nogen forskel i clearance mellem ikke-hvide (n = 40) og hvide (n = 132) forsøgspersoner.</w:t>
      </w:r>
    </w:p>
    <w:p w14:paraId="533CFEA7" w14:textId="77777777" w:rsidR="009E6B88" w:rsidRPr="00111DC8" w:rsidRDefault="009E6B88" w:rsidP="00634591">
      <w:pPr>
        <w:ind w:left="851"/>
        <w:rPr>
          <w:rFonts w:eastAsiaTheme="minorEastAsia"/>
          <w:sz w:val="24"/>
          <w:szCs w:val="24"/>
          <w:lang w:eastAsia="zh-CN"/>
        </w:rPr>
      </w:pPr>
    </w:p>
    <w:p w14:paraId="66023F4E" w14:textId="77777777" w:rsidR="009E6B88" w:rsidRPr="00111DC8" w:rsidRDefault="009E6B88" w:rsidP="00634591">
      <w:pPr>
        <w:ind w:left="851"/>
        <w:rPr>
          <w:rFonts w:eastAsiaTheme="minorEastAsia"/>
          <w:i/>
          <w:iCs/>
          <w:sz w:val="24"/>
          <w:szCs w:val="24"/>
          <w:lang w:eastAsia="zh-CN"/>
        </w:rPr>
      </w:pPr>
      <w:r w:rsidRPr="00111DC8">
        <w:rPr>
          <w:rFonts w:eastAsiaTheme="minorEastAsia"/>
          <w:i/>
          <w:iCs/>
          <w:sz w:val="24"/>
          <w:szCs w:val="24"/>
          <w:lang w:eastAsia="zh-CN"/>
        </w:rPr>
        <w:t>Pædiatrisk population</w:t>
      </w:r>
    </w:p>
    <w:p w14:paraId="7F439017" w14:textId="528C8042" w:rsidR="009E6B88" w:rsidRPr="00111DC8" w:rsidRDefault="009E6B88" w:rsidP="00634591">
      <w:pPr>
        <w:ind w:left="851"/>
        <w:rPr>
          <w:sz w:val="24"/>
          <w:szCs w:val="24"/>
          <w:u w:val="single"/>
        </w:rPr>
      </w:pPr>
      <w:r w:rsidRPr="00111DC8">
        <w:rPr>
          <w:rFonts w:eastAsiaTheme="minorEastAsia"/>
          <w:sz w:val="24"/>
          <w:szCs w:val="24"/>
          <w:lang w:eastAsia="zh-CN"/>
        </w:rPr>
        <w:t>Icatibants farmakokinetik blev undersøgt hos pædiatriske patienter med HAE i studiet HGT-FIR-086 (se pkt. 5.1). Efter en enkelt subkutan administration (0,4 mg/kg op til maksimalt 30 mg) er tiden til maksimal koncentration ca. 30 minutter, og den terminale halveringstid er ca. 2 timer. Der er ikke observeret nogen forskelle i eksponeringen for icatibant mellem HAE-patienter med og uden et anfald. Populationsbaseret farmako</w:t>
      </w:r>
      <w:r w:rsidR="00947CB3">
        <w:rPr>
          <w:rFonts w:eastAsiaTheme="minorEastAsia"/>
          <w:sz w:val="24"/>
          <w:szCs w:val="24"/>
          <w:lang w:eastAsia="zh-CN"/>
        </w:rPr>
        <w:softHyphen/>
      </w:r>
      <w:r w:rsidRPr="00111DC8">
        <w:rPr>
          <w:rFonts w:eastAsiaTheme="minorEastAsia"/>
          <w:sz w:val="24"/>
          <w:szCs w:val="24"/>
          <w:lang w:eastAsia="zh-CN"/>
        </w:rPr>
        <w:t>kinetik</w:t>
      </w:r>
      <w:r w:rsidR="00947CB3">
        <w:rPr>
          <w:rFonts w:eastAsiaTheme="minorEastAsia"/>
          <w:sz w:val="24"/>
          <w:szCs w:val="24"/>
          <w:lang w:eastAsia="zh-CN"/>
        </w:rPr>
        <w:softHyphen/>
      </w:r>
      <w:r w:rsidRPr="00111DC8">
        <w:rPr>
          <w:rFonts w:eastAsiaTheme="minorEastAsia"/>
          <w:sz w:val="24"/>
          <w:szCs w:val="24"/>
          <w:lang w:eastAsia="zh-CN"/>
        </w:rPr>
        <w:t>modellering på grundlag af såvel voksen- som pædiatridata viste, at clearance af icatibant er relateret til legemsvægt, idet der ses lavere clearance-værdier ved lavere legemsvægt i den pædiatriske HAE-population. Baseret på doseringsmodellering i henhold til vægtområde er den forventede eksponering for icatibant i den pædiatriske HAE-population (se pkt. 4.2) lavere end den observerede eksponering i studier med voksne HAE-patienter.</w:t>
      </w:r>
    </w:p>
    <w:p w14:paraId="1141A025" w14:textId="77777777" w:rsidR="009260DE" w:rsidRPr="00111DC8" w:rsidRDefault="009260DE" w:rsidP="009260DE">
      <w:pPr>
        <w:tabs>
          <w:tab w:val="left" w:pos="851"/>
        </w:tabs>
        <w:ind w:left="851"/>
        <w:rPr>
          <w:sz w:val="24"/>
          <w:szCs w:val="24"/>
        </w:rPr>
      </w:pPr>
    </w:p>
    <w:p w14:paraId="1DA96F1B" w14:textId="7600DBD5" w:rsidR="009260DE" w:rsidRPr="00111DC8" w:rsidRDefault="009260DE" w:rsidP="009260DE">
      <w:pPr>
        <w:tabs>
          <w:tab w:val="left" w:pos="851"/>
        </w:tabs>
        <w:ind w:left="851" w:hanging="851"/>
        <w:rPr>
          <w:b/>
          <w:sz w:val="24"/>
          <w:szCs w:val="24"/>
        </w:rPr>
      </w:pPr>
      <w:r w:rsidRPr="00111DC8">
        <w:rPr>
          <w:b/>
          <w:sz w:val="24"/>
          <w:szCs w:val="24"/>
        </w:rPr>
        <w:t>5.3</w:t>
      </w:r>
      <w:r w:rsidRPr="00111DC8">
        <w:rPr>
          <w:b/>
          <w:sz w:val="24"/>
          <w:szCs w:val="24"/>
        </w:rPr>
        <w:tab/>
      </w:r>
      <w:r w:rsidR="002A275D">
        <w:rPr>
          <w:b/>
          <w:sz w:val="24"/>
          <w:szCs w:val="24"/>
        </w:rPr>
        <w:t>Non-</w:t>
      </w:r>
      <w:r w:rsidRPr="00111DC8">
        <w:rPr>
          <w:b/>
          <w:sz w:val="24"/>
          <w:szCs w:val="24"/>
        </w:rPr>
        <w:t>kliniske sikkerhedsdata</w:t>
      </w:r>
    </w:p>
    <w:p w14:paraId="377607A3" w14:textId="5614EE98" w:rsidR="00351EB0" w:rsidRPr="00111DC8" w:rsidRDefault="00351EB0" w:rsidP="00634591">
      <w:pPr>
        <w:ind w:left="851"/>
        <w:rPr>
          <w:rFonts w:eastAsiaTheme="minorEastAsia"/>
          <w:sz w:val="24"/>
          <w:szCs w:val="24"/>
          <w:lang w:eastAsia="zh-CN"/>
        </w:rPr>
      </w:pPr>
      <w:r w:rsidRPr="00111DC8">
        <w:rPr>
          <w:rFonts w:eastAsiaTheme="minorEastAsia"/>
          <w:sz w:val="24"/>
          <w:szCs w:val="24"/>
          <w:lang w:eastAsia="zh-CN"/>
        </w:rPr>
        <w:t>Der er gennemført studier med gentagen dosis af indtil 6 måneders varighed hos rotter og af</w:t>
      </w:r>
      <w:r w:rsidR="00BB2C16">
        <w:rPr>
          <w:rFonts w:eastAsiaTheme="minorEastAsia"/>
          <w:sz w:val="24"/>
          <w:szCs w:val="24"/>
          <w:lang w:eastAsia="zh-CN"/>
        </w:rPr>
        <w:t xml:space="preserve"> </w:t>
      </w:r>
      <w:r w:rsidRPr="00111DC8">
        <w:rPr>
          <w:rFonts w:eastAsiaTheme="minorEastAsia"/>
          <w:sz w:val="24"/>
          <w:szCs w:val="24"/>
          <w:lang w:eastAsia="zh-CN"/>
        </w:rPr>
        <w:t>9 måneders varighed hos hunde. Hos både rotter og hunde blev der fundet en dosisafhængig reduktion af koncentrationen af cirkulerende kønshormon, og gentagen brug af icatibant forsinkede kønsmodningen reversibelt.</w:t>
      </w:r>
    </w:p>
    <w:p w14:paraId="460FBEB9" w14:textId="77777777" w:rsidR="00351EB0" w:rsidRPr="00111DC8" w:rsidRDefault="00351EB0" w:rsidP="00634591">
      <w:pPr>
        <w:ind w:left="851"/>
        <w:rPr>
          <w:rFonts w:eastAsiaTheme="minorEastAsia"/>
          <w:sz w:val="24"/>
          <w:szCs w:val="24"/>
          <w:lang w:eastAsia="zh-CN"/>
        </w:rPr>
      </w:pPr>
    </w:p>
    <w:p w14:paraId="6514961F" w14:textId="77777777" w:rsidR="00351EB0" w:rsidRPr="00111DC8" w:rsidRDefault="00351EB0" w:rsidP="00634591">
      <w:pPr>
        <w:ind w:left="851"/>
        <w:rPr>
          <w:rFonts w:eastAsiaTheme="minorEastAsia"/>
          <w:sz w:val="24"/>
          <w:szCs w:val="24"/>
          <w:lang w:eastAsia="zh-CN"/>
        </w:rPr>
      </w:pPr>
      <w:r w:rsidRPr="00111DC8">
        <w:rPr>
          <w:rFonts w:eastAsiaTheme="minorEastAsia"/>
          <w:sz w:val="24"/>
          <w:szCs w:val="24"/>
          <w:lang w:eastAsia="zh-CN"/>
        </w:rPr>
        <w:t>De maksimale daglige eksponeringer defineret ved arealet under kurven (AUC) ved koncentrationer, hvor der ikke observeredes bivirkninger (NOAEL), var i 9-måneders-studiet hos hunde 2,3 gange større end AUC hos voksne mennesker efter en subkutan dosis på 30 mg. Et NOAEL var ikke målbart i rottestudiet, men alle fund i det studie viste enten fuldstændigt eller delvist reversible virkninger hos behandlede rotter. Hypertrofi af binyrerne sås ved alle testede doser hos rotter. Det blev observeret, at hypertrofi af binyrerne forsvandt efter seponering af icatibantbehandlingen. Den kliniske betydning af fundene vedrørende binyrerne kendes ikke.</w:t>
      </w:r>
    </w:p>
    <w:p w14:paraId="61D01813" w14:textId="77777777" w:rsidR="00351EB0" w:rsidRPr="00111DC8" w:rsidRDefault="00351EB0" w:rsidP="00634591">
      <w:pPr>
        <w:ind w:left="851"/>
        <w:rPr>
          <w:rFonts w:eastAsiaTheme="minorEastAsia"/>
          <w:sz w:val="24"/>
          <w:szCs w:val="24"/>
          <w:lang w:eastAsia="zh-CN"/>
        </w:rPr>
      </w:pPr>
    </w:p>
    <w:p w14:paraId="07387190" w14:textId="77777777" w:rsidR="00351EB0" w:rsidRPr="00111DC8" w:rsidRDefault="00351EB0" w:rsidP="00634591">
      <w:pPr>
        <w:ind w:left="851"/>
        <w:rPr>
          <w:rFonts w:eastAsiaTheme="minorEastAsia"/>
          <w:sz w:val="24"/>
          <w:szCs w:val="24"/>
          <w:lang w:eastAsia="zh-CN"/>
        </w:rPr>
      </w:pPr>
      <w:r w:rsidRPr="00111DC8">
        <w:rPr>
          <w:rFonts w:eastAsiaTheme="minorEastAsia"/>
          <w:sz w:val="24"/>
          <w:szCs w:val="24"/>
          <w:lang w:eastAsia="zh-CN"/>
        </w:rPr>
        <w:t>Icatibant havde ingen indvirkning på fertiliteten hos hanmus (maksimaldosis 80,8 mg/kg/dag) og hanrotter (maksimaldosis 10 mg/kg/dag).</w:t>
      </w:r>
    </w:p>
    <w:p w14:paraId="1B6960EE" w14:textId="77777777" w:rsidR="00351EB0" w:rsidRPr="00111DC8" w:rsidRDefault="00351EB0" w:rsidP="00634591">
      <w:pPr>
        <w:ind w:left="851"/>
        <w:rPr>
          <w:rFonts w:eastAsiaTheme="minorEastAsia"/>
          <w:sz w:val="24"/>
          <w:szCs w:val="24"/>
          <w:lang w:eastAsia="zh-CN"/>
        </w:rPr>
      </w:pPr>
    </w:p>
    <w:p w14:paraId="34B8461B" w14:textId="77777777" w:rsidR="00351EB0" w:rsidRPr="00111DC8" w:rsidRDefault="00351EB0" w:rsidP="00634591">
      <w:pPr>
        <w:ind w:left="851"/>
        <w:rPr>
          <w:rFonts w:eastAsiaTheme="minorEastAsia"/>
          <w:sz w:val="24"/>
          <w:szCs w:val="24"/>
          <w:lang w:eastAsia="zh-CN"/>
        </w:rPr>
      </w:pPr>
      <w:r w:rsidRPr="00111DC8">
        <w:rPr>
          <w:rFonts w:eastAsiaTheme="minorEastAsia"/>
          <w:sz w:val="24"/>
          <w:szCs w:val="24"/>
          <w:lang w:eastAsia="zh-CN"/>
        </w:rPr>
        <w:t>I et 2-årigt studie til evaluering af icatibants kræftfremkaldende potentiale hos rotter havde daglige doser i eksponeringsniveauer på det dobbelte af det, der opnås efter terapeutiske doser hos mennesker, ingen effekt på forekomsten eller morfologien af tumorer. Resultaterne indikerer ikke et kræftfremkaldende potentiale hos icatibant.</w:t>
      </w:r>
    </w:p>
    <w:p w14:paraId="1C6643C4" w14:textId="77777777" w:rsidR="00351EB0" w:rsidRPr="00111DC8" w:rsidRDefault="00351EB0" w:rsidP="00634591">
      <w:pPr>
        <w:ind w:left="851"/>
        <w:rPr>
          <w:rFonts w:eastAsiaTheme="minorEastAsia"/>
          <w:sz w:val="24"/>
          <w:szCs w:val="24"/>
          <w:lang w:eastAsia="zh-CN"/>
        </w:rPr>
      </w:pPr>
    </w:p>
    <w:p w14:paraId="1A427465" w14:textId="77777777" w:rsidR="00351EB0" w:rsidRPr="00111DC8" w:rsidRDefault="00351EB0" w:rsidP="00634591">
      <w:pPr>
        <w:ind w:left="851"/>
        <w:rPr>
          <w:rFonts w:eastAsiaTheme="minorEastAsia"/>
          <w:sz w:val="24"/>
          <w:szCs w:val="24"/>
          <w:lang w:eastAsia="zh-CN"/>
        </w:rPr>
      </w:pPr>
      <w:r w:rsidRPr="00111DC8">
        <w:rPr>
          <w:rFonts w:eastAsiaTheme="minorEastAsia"/>
          <w:sz w:val="24"/>
          <w:szCs w:val="24"/>
          <w:lang w:eastAsia="zh-CN"/>
        </w:rPr>
        <w:t xml:space="preserve">I standardiserede </w:t>
      </w:r>
      <w:r w:rsidRPr="00111DC8">
        <w:rPr>
          <w:rFonts w:eastAsiaTheme="minorEastAsia"/>
          <w:i/>
          <w:iCs/>
          <w:sz w:val="24"/>
          <w:szCs w:val="24"/>
          <w:lang w:eastAsia="zh-CN"/>
        </w:rPr>
        <w:t xml:space="preserve">in vitro- </w:t>
      </w:r>
      <w:r w:rsidRPr="00111DC8">
        <w:rPr>
          <w:rFonts w:eastAsiaTheme="minorEastAsia"/>
          <w:sz w:val="24"/>
          <w:szCs w:val="24"/>
          <w:lang w:eastAsia="zh-CN"/>
        </w:rPr>
        <w:t xml:space="preserve">og </w:t>
      </w:r>
      <w:r w:rsidRPr="00111DC8">
        <w:rPr>
          <w:rFonts w:eastAsiaTheme="minorEastAsia"/>
          <w:i/>
          <w:iCs/>
          <w:sz w:val="24"/>
          <w:szCs w:val="24"/>
          <w:lang w:eastAsia="zh-CN"/>
        </w:rPr>
        <w:t>in vivo-</w:t>
      </w:r>
      <w:r w:rsidRPr="00111DC8">
        <w:rPr>
          <w:rFonts w:eastAsiaTheme="minorEastAsia"/>
          <w:sz w:val="24"/>
          <w:szCs w:val="24"/>
          <w:lang w:eastAsia="zh-CN"/>
        </w:rPr>
        <w:t>studier var icatibant ikke genotoksisk.</w:t>
      </w:r>
    </w:p>
    <w:p w14:paraId="02781765" w14:textId="77777777" w:rsidR="00351EB0" w:rsidRPr="00111DC8" w:rsidRDefault="00351EB0" w:rsidP="00634591">
      <w:pPr>
        <w:ind w:left="851"/>
        <w:rPr>
          <w:rFonts w:eastAsiaTheme="minorEastAsia"/>
          <w:sz w:val="24"/>
          <w:szCs w:val="24"/>
          <w:lang w:eastAsia="zh-CN"/>
        </w:rPr>
      </w:pPr>
      <w:r w:rsidRPr="00111DC8">
        <w:rPr>
          <w:rFonts w:eastAsiaTheme="minorEastAsia"/>
          <w:sz w:val="24"/>
          <w:szCs w:val="24"/>
          <w:lang w:eastAsia="zh-CN"/>
        </w:rPr>
        <w:t>Subkutant administreret icatibant var ikke teratogent hos rotter (maks. dosis 25 mg/kg/dag) og kaniner (maks. dosis 10 mg/kg/dag, når det blev givet subkutant i den tidlige embryon- og fosterudvikling. Icatibant er en effektiv bradykinin-antagonist, og i store doser kan behandlingen påvirke implantationsprocessen i livmoderen og derfor også dennes stabilitet i den tidlige graviditet. Disse påvirkninger af livmoderen ses også senere i graviditeten, hvor icatibant i høje doser (10 mg/kg/dag) udviser en tokolytisk effekt, der medfører forsinkede fødsler hos rotter med efterfølgende stress for fosteret og perinatal dødelighed.</w:t>
      </w:r>
    </w:p>
    <w:p w14:paraId="542622DB" w14:textId="77777777" w:rsidR="00351EB0" w:rsidRPr="00111DC8" w:rsidRDefault="00351EB0" w:rsidP="00634591">
      <w:pPr>
        <w:ind w:left="851"/>
        <w:rPr>
          <w:rFonts w:eastAsiaTheme="minorEastAsia"/>
          <w:sz w:val="24"/>
          <w:szCs w:val="24"/>
          <w:lang w:eastAsia="zh-CN"/>
        </w:rPr>
      </w:pPr>
    </w:p>
    <w:p w14:paraId="54AEB2E6" w14:textId="2FDE1739" w:rsidR="00351EB0" w:rsidRPr="00111DC8" w:rsidRDefault="00351EB0" w:rsidP="00634591">
      <w:pPr>
        <w:ind w:left="851"/>
        <w:rPr>
          <w:rFonts w:eastAsiaTheme="minorEastAsia"/>
          <w:sz w:val="24"/>
          <w:szCs w:val="24"/>
          <w:lang w:eastAsia="zh-CN"/>
        </w:rPr>
      </w:pPr>
      <w:r w:rsidRPr="00111DC8">
        <w:rPr>
          <w:rFonts w:eastAsiaTheme="minorEastAsia"/>
          <w:sz w:val="24"/>
          <w:szCs w:val="24"/>
          <w:lang w:eastAsia="zh-CN"/>
        </w:rPr>
        <w:t>En 2-ugers subkutan dosisområde-undersøgelse hos unge rotter identificerede 25 mg/kg/dag</w:t>
      </w:r>
      <w:r w:rsidR="00BB2C16">
        <w:rPr>
          <w:rFonts w:eastAsiaTheme="minorEastAsia"/>
          <w:sz w:val="24"/>
          <w:szCs w:val="24"/>
          <w:lang w:eastAsia="zh-CN"/>
        </w:rPr>
        <w:t xml:space="preserve"> </w:t>
      </w:r>
      <w:r w:rsidRPr="00111DC8">
        <w:rPr>
          <w:rFonts w:eastAsiaTheme="minorEastAsia"/>
          <w:sz w:val="24"/>
          <w:szCs w:val="24"/>
          <w:lang w:eastAsia="zh-CN"/>
        </w:rPr>
        <w:t>som en maksimalt tolereret dosis. I det afgørende toksicitetsstudie, hvor juvenile,</w:t>
      </w:r>
      <w:r w:rsidR="00BB2C16">
        <w:rPr>
          <w:rFonts w:eastAsiaTheme="minorEastAsia"/>
          <w:sz w:val="24"/>
          <w:szCs w:val="24"/>
          <w:lang w:eastAsia="zh-CN"/>
        </w:rPr>
        <w:t xml:space="preserve"> </w:t>
      </w:r>
      <w:r w:rsidRPr="00111DC8">
        <w:rPr>
          <w:rFonts w:eastAsiaTheme="minorEastAsia"/>
          <w:sz w:val="24"/>
          <w:szCs w:val="24"/>
          <w:lang w:eastAsia="zh-CN"/>
        </w:rPr>
        <w:t>kønsumodne rotter blev behandlet med 3 mg/kg/dag i 7 uger, blev der observeret atrofi af</w:t>
      </w:r>
      <w:r w:rsidR="00BB2C16">
        <w:rPr>
          <w:rFonts w:eastAsiaTheme="minorEastAsia"/>
          <w:sz w:val="24"/>
          <w:szCs w:val="24"/>
          <w:lang w:eastAsia="zh-CN"/>
        </w:rPr>
        <w:t xml:space="preserve"> </w:t>
      </w:r>
      <w:r w:rsidRPr="00111DC8">
        <w:rPr>
          <w:rFonts w:eastAsiaTheme="minorEastAsia"/>
          <w:sz w:val="24"/>
          <w:szCs w:val="24"/>
          <w:lang w:eastAsia="zh-CN"/>
        </w:rPr>
        <w:t>testikler og bitestikler; de observerede mikroskopiske fund var delvist reversible. Der sås</w:t>
      </w:r>
      <w:r w:rsidR="00BB2C16">
        <w:rPr>
          <w:rFonts w:eastAsiaTheme="minorEastAsia"/>
          <w:sz w:val="24"/>
          <w:szCs w:val="24"/>
          <w:lang w:eastAsia="zh-CN"/>
        </w:rPr>
        <w:t xml:space="preserve"> </w:t>
      </w:r>
      <w:r w:rsidRPr="00111DC8">
        <w:rPr>
          <w:rFonts w:eastAsiaTheme="minorEastAsia"/>
          <w:sz w:val="24"/>
          <w:szCs w:val="24"/>
          <w:lang w:eastAsia="zh-CN"/>
        </w:rPr>
        <w:t>lignende virkning af icatibant på reproduktionsvævet hos kønsmodne rotter og hunde. Disse</w:t>
      </w:r>
      <w:r w:rsidR="00BB2C16">
        <w:rPr>
          <w:rFonts w:eastAsiaTheme="minorEastAsia"/>
          <w:sz w:val="24"/>
          <w:szCs w:val="24"/>
          <w:lang w:eastAsia="zh-CN"/>
        </w:rPr>
        <w:t xml:space="preserve"> </w:t>
      </w:r>
      <w:r w:rsidRPr="00111DC8">
        <w:rPr>
          <w:rFonts w:eastAsiaTheme="minorEastAsia"/>
          <w:sz w:val="24"/>
          <w:szCs w:val="24"/>
          <w:lang w:eastAsia="zh-CN"/>
        </w:rPr>
        <w:t>vævsreaktioner var i overensstemmelse med de rapporterede virkninger på gonadotropiner og</w:t>
      </w:r>
      <w:r w:rsidR="00BB2C16">
        <w:rPr>
          <w:rFonts w:eastAsiaTheme="minorEastAsia"/>
          <w:sz w:val="24"/>
          <w:szCs w:val="24"/>
          <w:lang w:eastAsia="zh-CN"/>
        </w:rPr>
        <w:t xml:space="preserve"> </w:t>
      </w:r>
      <w:r w:rsidRPr="00111DC8">
        <w:rPr>
          <w:rFonts w:eastAsiaTheme="minorEastAsia"/>
          <w:sz w:val="24"/>
          <w:szCs w:val="24"/>
          <w:lang w:eastAsia="zh-CN"/>
        </w:rPr>
        <w:t>synes at være reversible i den efterfølgende behandlingsfri periode.</w:t>
      </w:r>
    </w:p>
    <w:p w14:paraId="4D11F480" w14:textId="77777777" w:rsidR="00351EB0" w:rsidRPr="00111DC8" w:rsidRDefault="00351EB0" w:rsidP="00634591">
      <w:pPr>
        <w:ind w:left="851"/>
        <w:rPr>
          <w:rFonts w:eastAsiaTheme="minorEastAsia"/>
          <w:sz w:val="24"/>
          <w:szCs w:val="24"/>
          <w:lang w:eastAsia="zh-CN"/>
        </w:rPr>
      </w:pPr>
    </w:p>
    <w:p w14:paraId="44DDAF43" w14:textId="77777777" w:rsidR="00351EB0" w:rsidRPr="00111DC8" w:rsidRDefault="00351EB0" w:rsidP="00634591">
      <w:pPr>
        <w:ind w:left="851"/>
        <w:rPr>
          <w:rFonts w:eastAsiaTheme="minorEastAsia"/>
          <w:sz w:val="24"/>
          <w:szCs w:val="24"/>
          <w:lang w:eastAsia="zh-CN"/>
        </w:rPr>
      </w:pPr>
      <w:r w:rsidRPr="00111DC8">
        <w:rPr>
          <w:rFonts w:eastAsiaTheme="minorEastAsia"/>
          <w:sz w:val="24"/>
          <w:szCs w:val="24"/>
          <w:lang w:eastAsia="zh-CN"/>
        </w:rPr>
        <w:t xml:space="preserve">Icatibant fremkaldte ingen ændringer i hjertets ledningssystem </w:t>
      </w:r>
      <w:r w:rsidRPr="00111DC8">
        <w:rPr>
          <w:rFonts w:eastAsiaTheme="minorEastAsia"/>
          <w:i/>
          <w:iCs/>
          <w:sz w:val="24"/>
          <w:szCs w:val="24"/>
          <w:lang w:eastAsia="zh-CN"/>
        </w:rPr>
        <w:t xml:space="preserve">in vitro </w:t>
      </w:r>
      <w:r w:rsidRPr="00111DC8">
        <w:rPr>
          <w:rFonts w:eastAsiaTheme="minorEastAsia"/>
          <w:sz w:val="24"/>
          <w:szCs w:val="24"/>
          <w:lang w:eastAsia="zh-CN"/>
        </w:rPr>
        <w:t xml:space="preserve">(hERG-kanal) eller </w:t>
      </w:r>
      <w:r w:rsidRPr="00111DC8">
        <w:rPr>
          <w:rFonts w:eastAsiaTheme="minorEastAsia"/>
          <w:i/>
          <w:iCs/>
          <w:sz w:val="24"/>
          <w:szCs w:val="24"/>
          <w:lang w:eastAsia="zh-CN"/>
        </w:rPr>
        <w:t xml:space="preserve">in vivo </w:t>
      </w:r>
      <w:r w:rsidRPr="00111DC8">
        <w:rPr>
          <w:rFonts w:eastAsiaTheme="minorEastAsia"/>
          <w:sz w:val="24"/>
          <w:szCs w:val="24"/>
          <w:lang w:eastAsia="zh-CN"/>
        </w:rPr>
        <w:t>hos normale hunde eller i forskellige hundemodeller (ventrikulær pacing, fysisk udmattelse og ligatur af koronarkarrene), hvor der ikke blev observeret associerede hæmodynamiske ændringer. Icatibant har vist sig at forværre induceret iskæmi i hjertet i flere ikke-kliniske modeller, selvom en skadelig effekt ikke altid er påvist ved akut iskæmi.</w:t>
      </w:r>
    </w:p>
    <w:p w14:paraId="1EA1EAC5" w14:textId="77777777" w:rsidR="009260DE" w:rsidRPr="00111DC8" w:rsidRDefault="009260DE" w:rsidP="009260DE">
      <w:pPr>
        <w:tabs>
          <w:tab w:val="left" w:pos="851"/>
        </w:tabs>
        <w:ind w:left="851"/>
        <w:rPr>
          <w:sz w:val="24"/>
          <w:szCs w:val="24"/>
        </w:rPr>
      </w:pPr>
    </w:p>
    <w:p w14:paraId="44B859FD" w14:textId="77777777" w:rsidR="009260DE" w:rsidRPr="00111DC8" w:rsidRDefault="009260DE" w:rsidP="009260DE">
      <w:pPr>
        <w:tabs>
          <w:tab w:val="left" w:pos="851"/>
        </w:tabs>
        <w:ind w:left="851"/>
        <w:rPr>
          <w:sz w:val="24"/>
          <w:szCs w:val="24"/>
        </w:rPr>
      </w:pPr>
    </w:p>
    <w:p w14:paraId="6F611141" w14:textId="77777777" w:rsidR="009260DE" w:rsidRPr="00111DC8" w:rsidRDefault="009260DE" w:rsidP="009260DE">
      <w:pPr>
        <w:tabs>
          <w:tab w:val="left" w:pos="851"/>
        </w:tabs>
        <w:ind w:left="851" w:hanging="851"/>
        <w:rPr>
          <w:b/>
          <w:sz w:val="24"/>
          <w:szCs w:val="24"/>
        </w:rPr>
      </w:pPr>
      <w:r w:rsidRPr="00111DC8">
        <w:rPr>
          <w:b/>
          <w:sz w:val="24"/>
          <w:szCs w:val="24"/>
        </w:rPr>
        <w:t>6.</w:t>
      </w:r>
      <w:r w:rsidRPr="00111DC8">
        <w:rPr>
          <w:b/>
          <w:sz w:val="24"/>
          <w:szCs w:val="24"/>
        </w:rPr>
        <w:tab/>
        <w:t>FARMACEUTISKE OPLYSNINGER</w:t>
      </w:r>
    </w:p>
    <w:p w14:paraId="79DFDC5A" w14:textId="77777777" w:rsidR="009260DE" w:rsidRPr="00111DC8" w:rsidRDefault="009260DE" w:rsidP="009260DE">
      <w:pPr>
        <w:tabs>
          <w:tab w:val="left" w:pos="851"/>
        </w:tabs>
        <w:ind w:left="851"/>
        <w:rPr>
          <w:sz w:val="24"/>
          <w:szCs w:val="24"/>
        </w:rPr>
      </w:pPr>
    </w:p>
    <w:p w14:paraId="1C155EB6" w14:textId="77777777" w:rsidR="009260DE" w:rsidRPr="00111DC8" w:rsidRDefault="009260DE" w:rsidP="009260DE">
      <w:pPr>
        <w:tabs>
          <w:tab w:val="left" w:pos="851"/>
        </w:tabs>
        <w:ind w:left="851" w:hanging="851"/>
        <w:rPr>
          <w:b/>
          <w:sz w:val="24"/>
          <w:szCs w:val="24"/>
        </w:rPr>
      </w:pPr>
      <w:r w:rsidRPr="00111DC8">
        <w:rPr>
          <w:b/>
          <w:sz w:val="24"/>
          <w:szCs w:val="24"/>
        </w:rPr>
        <w:t>6.1</w:t>
      </w:r>
      <w:r w:rsidRPr="00111DC8">
        <w:rPr>
          <w:b/>
          <w:sz w:val="24"/>
          <w:szCs w:val="24"/>
        </w:rPr>
        <w:tab/>
        <w:t>Hjælpestoffer</w:t>
      </w:r>
    </w:p>
    <w:p w14:paraId="26F5448E" w14:textId="77777777" w:rsidR="00351EB0" w:rsidRPr="00111DC8" w:rsidRDefault="00351EB0" w:rsidP="00634591">
      <w:pPr>
        <w:autoSpaceDE w:val="0"/>
        <w:autoSpaceDN w:val="0"/>
        <w:adjustRightInd w:val="0"/>
        <w:ind w:left="851"/>
        <w:rPr>
          <w:rFonts w:eastAsiaTheme="minorEastAsia"/>
          <w:sz w:val="24"/>
          <w:szCs w:val="24"/>
          <w:lang w:eastAsia="zh-CN"/>
        </w:rPr>
      </w:pPr>
      <w:r w:rsidRPr="00111DC8">
        <w:rPr>
          <w:rFonts w:eastAsiaTheme="minorEastAsia"/>
          <w:sz w:val="24"/>
          <w:szCs w:val="24"/>
          <w:lang w:eastAsia="zh-CN"/>
        </w:rPr>
        <w:t>Natriumchlorid</w:t>
      </w:r>
    </w:p>
    <w:p w14:paraId="6F485A70" w14:textId="77777777" w:rsidR="00DF7F78" w:rsidRDefault="00DF7F78" w:rsidP="00DF7F78">
      <w:pPr>
        <w:autoSpaceDE w:val="0"/>
        <w:autoSpaceDN w:val="0"/>
        <w:adjustRightInd w:val="0"/>
        <w:ind w:left="851"/>
        <w:rPr>
          <w:rFonts w:eastAsiaTheme="minorEastAsia"/>
          <w:sz w:val="24"/>
          <w:szCs w:val="24"/>
          <w:lang w:eastAsia="zh-CN"/>
        </w:rPr>
      </w:pPr>
      <w:r>
        <w:rPr>
          <w:rFonts w:eastAsiaTheme="minorEastAsia"/>
          <w:sz w:val="24"/>
          <w:szCs w:val="24"/>
          <w:lang w:eastAsia="zh-CN"/>
        </w:rPr>
        <w:t>Iseddikesyre (til pH-justering)</w:t>
      </w:r>
    </w:p>
    <w:p w14:paraId="6A8646EB" w14:textId="77777777" w:rsidR="00351EB0" w:rsidRPr="00111DC8" w:rsidRDefault="00351EB0" w:rsidP="00634591">
      <w:pPr>
        <w:autoSpaceDE w:val="0"/>
        <w:autoSpaceDN w:val="0"/>
        <w:adjustRightInd w:val="0"/>
        <w:ind w:left="851"/>
        <w:rPr>
          <w:rFonts w:eastAsiaTheme="minorEastAsia"/>
          <w:sz w:val="24"/>
          <w:szCs w:val="24"/>
          <w:lang w:eastAsia="zh-CN"/>
        </w:rPr>
      </w:pPr>
      <w:r w:rsidRPr="00111DC8">
        <w:rPr>
          <w:rFonts w:eastAsiaTheme="minorEastAsia"/>
          <w:sz w:val="24"/>
          <w:szCs w:val="24"/>
          <w:lang w:eastAsia="zh-CN"/>
        </w:rPr>
        <w:t>Natriumhydroxid (til pH-justering)</w:t>
      </w:r>
    </w:p>
    <w:p w14:paraId="3C5B905F" w14:textId="77777777" w:rsidR="00351EB0" w:rsidRPr="00111DC8" w:rsidRDefault="00351EB0" w:rsidP="00634591">
      <w:pPr>
        <w:ind w:left="851"/>
        <w:rPr>
          <w:rFonts w:eastAsiaTheme="minorEastAsia"/>
          <w:sz w:val="24"/>
          <w:szCs w:val="24"/>
          <w:lang w:eastAsia="zh-CN"/>
        </w:rPr>
      </w:pPr>
      <w:r w:rsidRPr="00111DC8">
        <w:rPr>
          <w:rFonts w:eastAsiaTheme="minorEastAsia"/>
          <w:sz w:val="24"/>
          <w:szCs w:val="24"/>
          <w:lang w:eastAsia="zh-CN"/>
        </w:rPr>
        <w:t>Vand til injektionsvæsker</w:t>
      </w:r>
    </w:p>
    <w:p w14:paraId="5D4A5633" w14:textId="77777777" w:rsidR="009260DE" w:rsidRPr="00111DC8" w:rsidRDefault="009260DE" w:rsidP="009260DE">
      <w:pPr>
        <w:tabs>
          <w:tab w:val="left" w:pos="851"/>
        </w:tabs>
        <w:ind w:left="851"/>
        <w:rPr>
          <w:sz w:val="24"/>
          <w:szCs w:val="24"/>
        </w:rPr>
      </w:pPr>
    </w:p>
    <w:p w14:paraId="07D9C68F" w14:textId="77777777" w:rsidR="009260DE" w:rsidRPr="00111DC8" w:rsidRDefault="009260DE" w:rsidP="009260DE">
      <w:pPr>
        <w:tabs>
          <w:tab w:val="left" w:pos="851"/>
        </w:tabs>
        <w:ind w:left="851" w:hanging="851"/>
        <w:rPr>
          <w:b/>
          <w:sz w:val="24"/>
          <w:szCs w:val="24"/>
        </w:rPr>
      </w:pPr>
      <w:r w:rsidRPr="00111DC8">
        <w:rPr>
          <w:b/>
          <w:sz w:val="24"/>
          <w:szCs w:val="24"/>
        </w:rPr>
        <w:t>6.2</w:t>
      </w:r>
      <w:r w:rsidRPr="00111DC8">
        <w:rPr>
          <w:b/>
          <w:sz w:val="24"/>
          <w:szCs w:val="24"/>
        </w:rPr>
        <w:tab/>
        <w:t>Uforligeligheder</w:t>
      </w:r>
    </w:p>
    <w:p w14:paraId="5FAA3B92" w14:textId="77777777" w:rsidR="00351EB0" w:rsidRPr="00111DC8" w:rsidRDefault="00351EB0" w:rsidP="00634591">
      <w:pPr>
        <w:ind w:left="851"/>
        <w:rPr>
          <w:sz w:val="24"/>
          <w:szCs w:val="24"/>
        </w:rPr>
      </w:pPr>
      <w:r w:rsidRPr="00111DC8">
        <w:rPr>
          <w:sz w:val="24"/>
          <w:szCs w:val="24"/>
        </w:rPr>
        <w:t>Ikke relevant.</w:t>
      </w:r>
    </w:p>
    <w:p w14:paraId="356519CF" w14:textId="77777777" w:rsidR="009260DE" w:rsidRPr="00111DC8" w:rsidRDefault="009260DE" w:rsidP="009260DE">
      <w:pPr>
        <w:tabs>
          <w:tab w:val="left" w:pos="851"/>
        </w:tabs>
        <w:ind w:left="851"/>
        <w:rPr>
          <w:sz w:val="24"/>
          <w:szCs w:val="24"/>
        </w:rPr>
      </w:pPr>
    </w:p>
    <w:p w14:paraId="029BF504" w14:textId="77777777" w:rsidR="009260DE" w:rsidRPr="00111DC8" w:rsidRDefault="009260DE" w:rsidP="009260DE">
      <w:pPr>
        <w:tabs>
          <w:tab w:val="left" w:pos="851"/>
        </w:tabs>
        <w:ind w:left="851" w:hanging="851"/>
        <w:rPr>
          <w:b/>
          <w:sz w:val="24"/>
          <w:szCs w:val="24"/>
        </w:rPr>
      </w:pPr>
      <w:r w:rsidRPr="00111DC8">
        <w:rPr>
          <w:b/>
          <w:sz w:val="24"/>
          <w:szCs w:val="24"/>
        </w:rPr>
        <w:t>6.3</w:t>
      </w:r>
      <w:r w:rsidRPr="00111DC8">
        <w:rPr>
          <w:b/>
          <w:sz w:val="24"/>
          <w:szCs w:val="24"/>
        </w:rPr>
        <w:tab/>
        <w:t>Opbevaringstid</w:t>
      </w:r>
    </w:p>
    <w:p w14:paraId="73C36AE9" w14:textId="732150EB" w:rsidR="00351EB0" w:rsidRPr="00111DC8" w:rsidRDefault="00351EB0" w:rsidP="00634591">
      <w:pPr>
        <w:ind w:left="851"/>
        <w:rPr>
          <w:spacing w:val="-3"/>
          <w:sz w:val="24"/>
          <w:szCs w:val="24"/>
          <w:u w:val="single"/>
        </w:rPr>
      </w:pPr>
      <w:r w:rsidRPr="00111DC8">
        <w:rPr>
          <w:spacing w:val="-3"/>
          <w:sz w:val="24"/>
          <w:szCs w:val="24"/>
          <w:u w:val="single"/>
        </w:rPr>
        <w:t>Holdbarhed af lægemidlet i dets originale pakning før åbning:</w:t>
      </w:r>
    </w:p>
    <w:p w14:paraId="2AE95865" w14:textId="77777777" w:rsidR="00351EB0" w:rsidRPr="00111DC8" w:rsidRDefault="00351EB0" w:rsidP="00634591">
      <w:pPr>
        <w:ind w:left="851"/>
        <w:rPr>
          <w:spacing w:val="-3"/>
          <w:sz w:val="24"/>
          <w:szCs w:val="24"/>
        </w:rPr>
      </w:pPr>
      <w:r w:rsidRPr="00111DC8">
        <w:rPr>
          <w:spacing w:val="-3"/>
          <w:sz w:val="24"/>
          <w:szCs w:val="24"/>
        </w:rPr>
        <w:t>2 år</w:t>
      </w:r>
    </w:p>
    <w:p w14:paraId="647BEB4E" w14:textId="77777777" w:rsidR="009260DE" w:rsidRPr="00111DC8" w:rsidRDefault="009260DE" w:rsidP="009260DE">
      <w:pPr>
        <w:tabs>
          <w:tab w:val="left" w:pos="851"/>
        </w:tabs>
        <w:ind w:left="851"/>
        <w:rPr>
          <w:sz w:val="24"/>
          <w:szCs w:val="24"/>
        </w:rPr>
      </w:pPr>
    </w:p>
    <w:p w14:paraId="00FEF970" w14:textId="77777777" w:rsidR="009260DE" w:rsidRPr="00111DC8" w:rsidRDefault="009260DE" w:rsidP="009260DE">
      <w:pPr>
        <w:tabs>
          <w:tab w:val="left" w:pos="851"/>
        </w:tabs>
        <w:ind w:left="851" w:hanging="851"/>
        <w:rPr>
          <w:b/>
          <w:sz w:val="24"/>
          <w:szCs w:val="24"/>
        </w:rPr>
      </w:pPr>
      <w:r w:rsidRPr="00111DC8">
        <w:rPr>
          <w:b/>
          <w:sz w:val="24"/>
          <w:szCs w:val="24"/>
        </w:rPr>
        <w:t>6.4</w:t>
      </w:r>
      <w:r w:rsidRPr="00111DC8">
        <w:rPr>
          <w:b/>
          <w:sz w:val="24"/>
          <w:szCs w:val="24"/>
        </w:rPr>
        <w:tab/>
        <w:t>Særlige opbevaringsforhold</w:t>
      </w:r>
    </w:p>
    <w:p w14:paraId="44CC3044" w14:textId="51A3DD2A" w:rsidR="00351EB0" w:rsidRPr="00111DC8" w:rsidRDefault="00351EB0" w:rsidP="00634591">
      <w:pPr>
        <w:ind w:left="851"/>
        <w:rPr>
          <w:sz w:val="24"/>
          <w:szCs w:val="24"/>
        </w:rPr>
      </w:pPr>
      <w:r w:rsidRPr="00111DC8">
        <w:rPr>
          <w:sz w:val="24"/>
          <w:szCs w:val="24"/>
        </w:rPr>
        <w:t>Må ikke opbevares ved temperaturer over 30</w:t>
      </w:r>
      <w:r w:rsidR="00947CB3">
        <w:rPr>
          <w:sz w:val="24"/>
          <w:szCs w:val="24"/>
        </w:rPr>
        <w:t xml:space="preserve"> </w:t>
      </w:r>
      <w:r w:rsidRPr="00111DC8">
        <w:rPr>
          <w:sz w:val="24"/>
          <w:szCs w:val="24"/>
        </w:rPr>
        <w:t xml:space="preserve">°C. Må ikke nedfryses. </w:t>
      </w:r>
    </w:p>
    <w:p w14:paraId="23629C7C" w14:textId="77777777" w:rsidR="009260DE" w:rsidRPr="00111DC8" w:rsidRDefault="009260DE" w:rsidP="009260DE">
      <w:pPr>
        <w:tabs>
          <w:tab w:val="left" w:pos="851"/>
        </w:tabs>
        <w:ind w:left="851"/>
        <w:rPr>
          <w:sz w:val="24"/>
          <w:szCs w:val="24"/>
        </w:rPr>
      </w:pPr>
    </w:p>
    <w:p w14:paraId="1919F8F2" w14:textId="19FE7E41" w:rsidR="009260DE" w:rsidRPr="00111DC8" w:rsidRDefault="009260DE" w:rsidP="009260DE">
      <w:pPr>
        <w:tabs>
          <w:tab w:val="left" w:pos="851"/>
        </w:tabs>
        <w:ind w:left="851" w:hanging="851"/>
        <w:rPr>
          <w:b/>
          <w:sz w:val="24"/>
          <w:szCs w:val="24"/>
        </w:rPr>
      </w:pPr>
      <w:r w:rsidRPr="00111DC8">
        <w:rPr>
          <w:b/>
          <w:sz w:val="24"/>
          <w:szCs w:val="24"/>
        </w:rPr>
        <w:t>6.5</w:t>
      </w:r>
      <w:r w:rsidRPr="00111DC8">
        <w:rPr>
          <w:b/>
          <w:sz w:val="24"/>
          <w:szCs w:val="24"/>
        </w:rPr>
        <w:tab/>
        <w:t>Emballagetype og pakningsstørrelser</w:t>
      </w:r>
    </w:p>
    <w:p w14:paraId="444D56A2" w14:textId="22E1D7C3" w:rsidR="00351EB0" w:rsidRPr="00111DC8" w:rsidRDefault="00351EB0" w:rsidP="00634591">
      <w:pPr>
        <w:autoSpaceDE w:val="0"/>
        <w:autoSpaceDN w:val="0"/>
        <w:adjustRightInd w:val="0"/>
        <w:ind w:left="851"/>
        <w:rPr>
          <w:rFonts w:eastAsiaTheme="minorEastAsia"/>
          <w:sz w:val="24"/>
          <w:szCs w:val="24"/>
          <w:lang w:eastAsia="zh-CN"/>
        </w:rPr>
      </w:pPr>
      <w:r w:rsidRPr="00111DC8">
        <w:rPr>
          <w:rFonts w:eastAsiaTheme="minorEastAsia"/>
          <w:sz w:val="24"/>
          <w:szCs w:val="24"/>
          <w:lang w:eastAsia="zh-CN"/>
        </w:rPr>
        <w:t xml:space="preserve">3 ml opløsning i en 3 ml fyldt injektionssprøjte (type I glas) med stempelprop (brombutyl overtrukket med fluorcarbonpolymer). Med i pakken følger en hypodermisk </w:t>
      </w:r>
      <w:r w:rsidR="00EA4165" w:rsidRPr="00EA4165">
        <w:rPr>
          <w:rFonts w:eastAsiaTheme="minorEastAsia"/>
          <w:sz w:val="24"/>
          <w:szCs w:val="24"/>
          <w:lang w:eastAsia="zh-CN"/>
        </w:rPr>
        <w:t xml:space="preserve">sikkerhedskanyle </w:t>
      </w:r>
      <w:r w:rsidRPr="00111DC8">
        <w:rPr>
          <w:rFonts w:eastAsiaTheme="minorEastAsia"/>
          <w:sz w:val="24"/>
          <w:szCs w:val="24"/>
          <w:lang w:eastAsia="zh-CN"/>
        </w:rPr>
        <w:t>(25 G, 16 mm).</w:t>
      </w:r>
    </w:p>
    <w:p w14:paraId="66014FC7" w14:textId="77777777" w:rsidR="00351EB0" w:rsidRPr="00111DC8" w:rsidRDefault="00351EB0" w:rsidP="00634591">
      <w:pPr>
        <w:autoSpaceDE w:val="0"/>
        <w:autoSpaceDN w:val="0"/>
        <w:adjustRightInd w:val="0"/>
        <w:ind w:left="851"/>
        <w:rPr>
          <w:rFonts w:eastAsiaTheme="minorEastAsia"/>
          <w:sz w:val="24"/>
          <w:szCs w:val="24"/>
          <w:lang w:eastAsia="zh-CN"/>
        </w:rPr>
      </w:pPr>
    </w:p>
    <w:p w14:paraId="5B5E77B5" w14:textId="6FE4BF68" w:rsidR="00351EB0" w:rsidRPr="00111DC8" w:rsidRDefault="00351EB0" w:rsidP="00634591">
      <w:pPr>
        <w:autoSpaceDE w:val="0"/>
        <w:autoSpaceDN w:val="0"/>
        <w:adjustRightInd w:val="0"/>
        <w:ind w:left="851"/>
        <w:rPr>
          <w:sz w:val="24"/>
          <w:szCs w:val="24"/>
        </w:rPr>
      </w:pPr>
      <w:r w:rsidRPr="00111DC8">
        <w:rPr>
          <w:rFonts w:eastAsiaTheme="minorEastAsia"/>
          <w:sz w:val="24"/>
          <w:szCs w:val="24"/>
          <w:lang w:eastAsia="zh-CN"/>
        </w:rPr>
        <w:t xml:space="preserve">Pakningsstørrelsen er én fyldt injektionssprøjte med én </w:t>
      </w:r>
      <w:r w:rsidR="00EA4165">
        <w:rPr>
          <w:rFonts w:eastAsiaTheme="minorEastAsia"/>
          <w:sz w:val="24"/>
          <w:szCs w:val="24"/>
          <w:lang w:eastAsia="zh-CN"/>
        </w:rPr>
        <w:t>sikkerheds</w:t>
      </w:r>
      <w:r w:rsidR="00EA4165" w:rsidRPr="00111DC8">
        <w:rPr>
          <w:rFonts w:eastAsiaTheme="minorEastAsia"/>
          <w:sz w:val="24"/>
          <w:szCs w:val="24"/>
          <w:lang w:eastAsia="zh-CN"/>
        </w:rPr>
        <w:t xml:space="preserve">kanyle </w:t>
      </w:r>
      <w:r w:rsidRPr="00111DC8">
        <w:rPr>
          <w:rFonts w:eastAsiaTheme="minorEastAsia"/>
          <w:sz w:val="24"/>
          <w:szCs w:val="24"/>
          <w:lang w:eastAsia="zh-CN"/>
        </w:rPr>
        <w:t xml:space="preserve">eller en multipakning med tre fyldte injektionssprøjter med tre </w:t>
      </w:r>
      <w:r w:rsidR="00EA4165">
        <w:rPr>
          <w:rFonts w:eastAsiaTheme="minorEastAsia"/>
          <w:sz w:val="24"/>
          <w:szCs w:val="24"/>
          <w:lang w:eastAsia="zh-CN"/>
        </w:rPr>
        <w:t>sikkerheds</w:t>
      </w:r>
      <w:r w:rsidR="00EA4165" w:rsidRPr="00111DC8">
        <w:rPr>
          <w:rFonts w:eastAsiaTheme="minorEastAsia"/>
          <w:sz w:val="24"/>
          <w:szCs w:val="24"/>
          <w:lang w:eastAsia="zh-CN"/>
        </w:rPr>
        <w:t>kanyle</w:t>
      </w:r>
      <w:r w:rsidR="00EA4165">
        <w:rPr>
          <w:rFonts w:eastAsiaTheme="minorEastAsia"/>
          <w:sz w:val="24"/>
          <w:szCs w:val="24"/>
          <w:lang w:eastAsia="zh-CN"/>
        </w:rPr>
        <w:t>r</w:t>
      </w:r>
      <w:r w:rsidRPr="00111DC8">
        <w:rPr>
          <w:rFonts w:eastAsiaTheme="minorEastAsia"/>
          <w:sz w:val="24"/>
          <w:szCs w:val="24"/>
          <w:lang w:eastAsia="zh-CN"/>
        </w:rPr>
        <w:t>.</w:t>
      </w:r>
    </w:p>
    <w:p w14:paraId="5223429B" w14:textId="77777777" w:rsidR="00351EB0" w:rsidRPr="00111DC8" w:rsidRDefault="00351EB0" w:rsidP="00634591">
      <w:pPr>
        <w:suppressAutoHyphens/>
        <w:ind w:left="851"/>
        <w:rPr>
          <w:sz w:val="24"/>
          <w:szCs w:val="24"/>
        </w:rPr>
      </w:pPr>
    </w:p>
    <w:p w14:paraId="2DBF04B5" w14:textId="77777777" w:rsidR="00351EB0" w:rsidRPr="00111DC8" w:rsidRDefault="00351EB0" w:rsidP="00634591">
      <w:pPr>
        <w:suppressAutoHyphens/>
        <w:ind w:left="851"/>
        <w:rPr>
          <w:sz w:val="24"/>
          <w:szCs w:val="24"/>
        </w:rPr>
      </w:pPr>
      <w:r w:rsidRPr="00111DC8">
        <w:rPr>
          <w:sz w:val="24"/>
          <w:szCs w:val="24"/>
        </w:rPr>
        <w:t>Ikke alle pakningsstørrelser er nødvendigvis markedsført.</w:t>
      </w:r>
    </w:p>
    <w:p w14:paraId="2CF0DFA3" w14:textId="77777777" w:rsidR="009260DE" w:rsidRPr="00111DC8" w:rsidRDefault="009260DE" w:rsidP="009260DE">
      <w:pPr>
        <w:tabs>
          <w:tab w:val="left" w:pos="851"/>
        </w:tabs>
        <w:ind w:left="851"/>
        <w:rPr>
          <w:sz w:val="24"/>
          <w:szCs w:val="24"/>
        </w:rPr>
      </w:pPr>
    </w:p>
    <w:p w14:paraId="2FC02E2F" w14:textId="049BF4B5" w:rsidR="009260DE" w:rsidRPr="00111DC8" w:rsidRDefault="009260DE" w:rsidP="009260DE">
      <w:pPr>
        <w:tabs>
          <w:tab w:val="left" w:pos="851"/>
        </w:tabs>
        <w:ind w:left="851" w:hanging="851"/>
        <w:rPr>
          <w:b/>
          <w:sz w:val="24"/>
          <w:szCs w:val="24"/>
        </w:rPr>
      </w:pPr>
      <w:r w:rsidRPr="00111DC8">
        <w:rPr>
          <w:b/>
          <w:sz w:val="24"/>
          <w:szCs w:val="24"/>
        </w:rPr>
        <w:t>6.6</w:t>
      </w:r>
      <w:r w:rsidRPr="00111DC8">
        <w:rPr>
          <w:b/>
          <w:sz w:val="24"/>
          <w:szCs w:val="24"/>
        </w:rPr>
        <w:tab/>
        <w:t xml:space="preserve">Regler for </w:t>
      </w:r>
      <w:r w:rsidR="002A275D" w:rsidRPr="002A275D">
        <w:rPr>
          <w:b/>
          <w:sz w:val="24"/>
          <w:szCs w:val="24"/>
        </w:rPr>
        <w:t xml:space="preserve">bortskaffelse </w:t>
      </w:r>
      <w:r w:rsidRPr="00111DC8">
        <w:rPr>
          <w:b/>
          <w:sz w:val="24"/>
          <w:szCs w:val="24"/>
        </w:rPr>
        <w:t>og anden håndtering</w:t>
      </w:r>
    </w:p>
    <w:p w14:paraId="428712F4" w14:textId="77777777" w:rsidR="00351EB0" w:rsidRPr="00111DC8" w:rsidRDefault="00351EB0" w:rsidP="00634591">
      <w:pPr>
        <w:ind w:left="851"/>
        <w:rPr>
          <w:sz w:val="24"/>
          <w:szCs w:val="24"/>
        </w:rPr>
      </w:pPr>
      <w:r w:rsidRPr="00111DC8">
        <w:rPr>
          <w:sz w:val="24"/>
          <w:szCs w:val="24"/>
        </w:rPr>
        <w:t xml:space="preserve">Anvendes straks efter åbning. Kun til engangsbrug. </w:t>
      </w:r>
    </w:p>
    <w:p w14:paraId="52EEE9C4" w14:textId="77777777" w:rsidR="00351EB0" w:rsidRPr="00111DC8" w:rsidRDefault="00351EB0" w:rsidP="00634591">
      <w:pPr>
        <w:autoSpaceDE w:val="0"/>
        <w:autoSpaceDN w:val="0"/>
        <w:adjustRightInd w:val="0"/>
        <w:ind w:left="851"/>
        <w:rPr>
          <w:rFonts w:eastAsiaTheme="minorEastAsia"/>
          <w:sz w:val="24"/>
          <w:szCs w:val="24"/>
          <w:lang w:eastAsia="zh-CN"/>
        </w:rPr>
      </w:pPr>
      <w:r w:rsidRPr="00111DC8">
        <w:rPr>
          <w:rFonts w:eastAsiaTheme="minorEastAsia"/>
          <w:sz w:val="24"/>
          <w:szCs w:val="24"/>
          <w:lang w:eastAsia="zh-CN"/>
        </w:rPr>
        <w:t xml:space="preserve">Må ikke anvendes, hvis sprøjten er beskadiget eller ødelagt. </w:t>
      </w:r>
    </w:p>
    <w:p w14:paraId="328AD6DA" w14:textId="77777777" w:rsidR="00351EB0" w:rsidRPr="00111DC8" w:rsidRDefault="00351EB0" w:rsidP="00634591">
      <w:pPr>
        <w:autoSpaceDE w:val="0"/>
        <w:autoSpaceDN w:val="0"/>
        <w:adjustRightInd w:val="0"/>
        <w:ind w:left="851"/>
        <w:rPr>
          <w:rFonts w:eastAsiaTheme="minorEastAsia"/>
          <w:sz w:val="24"/>
          <w:szCs w:val="24"/>
          <w:lang w:eastAsia="zh-CN"/>
        </w:rPr>
      </w:pPr>
      <w:r w:rsidRPr="00111DC8">
        <w:rPr>
          <w:rFonts w:eastAsiaTheme="minorEastAsia"/>
          <w:sz w:val="24"/>
          <w:szCs w:val="24"/>
          <w:lang w:eastAsia="zh-CN"/>
        </w:rPr>
        <w:t xml:space="preserve">Opløsningen skal være klar og farveløs og uden synlige partikler. </w:t>
      </w:r>
    </w:p>
    <w:p w14:paraId="13612A16" w14:textId="77777777" w:rsidR="00351EB0" w:rsidRPr="00111DC8" w:rsidRDefault="00351EB0" w:rsidP="00634591">
      <w:pPr>
        <w:autoSpaceDE w:val="0"/>
        <w:autoSpaceDN w:val="0"/>
        <w:adjustRightInd w:val="0"/>
        <w:ind w:left="851"/>
        <w:rPr>
          <w:rFonts w:eastAsiaTheme="minorEastAsia"/>
          <w:sz w:val="24"/>
          <w:szCs w:val="24"/>
          <w:lang w:eastAsia="zh-CN"/>
        </w:rPr>
      </w:pPr>
    </w:p>
    <w:p w14:paraId="11984D03" w14:textId="77777777" w:rsidR="00351EB0" w:rsidRPr="00111DC8" w:rsidRDefault="00351EB0" w:rsidP="00634591">
      <w:pPr>
        <w:autoSpaceDE w:val="0"/>
        <w:autoSpaceDN w:val="0"/>
        <w:adjustRightInd w:val="0"/>
        <w:ind w:left="851"/>
        <w:rPr>
          <w:rFonts w:eastAsiaTheme="minorEastAsia"/>
          <w:sz w:val="24"/>
          <w:szCs w:val="24"/>
          <w:u w:val="single"/>
          <w:lang w:eastAsia="zh-CN"/>
        </w:rPr>
      </w:pPr>
      <w:r w:rsidRPr="00111DC8">
        <w:rPr>
          <w:rFonts w:eastAsiaTheme="minorEastAsia"/>
          <w:sz w:val="24"/>
          <w:szCs w:val="24"/>
          <w:u w:val="single"/>
          <w:lang w:eastAsia="zh-CN"/>
        </w:rPr>
        <w:t>Brug i den pædiatriske population</w:t>
      </w:r>
    </w:p>
    <w:p w14:paraId="1ACF165A" w14:textId="77777777" w:rsidR="00351EB0" w:rsidRPr="00111DC8" w:rsidRDefault="00351EB0" w:rsidP="00634591">
      <w:pPr>
        <w:autoSpaceDE w:val="0"/>
        <w:autoSpaceDN w:val="0"/>
        <w:adjustRightInd w:val="0"/>
        <w:ind w:left="851"/>
        <w:rPr>
          <w:rFonts w:eastAsiaTheme="minorEastAsia"/>
          <w:sz w:val="24"/>
          <w:szCs w:val="24"/>
          <w:lang w:eastAsia="zh-CN"/>
        </w:rPr>
      </w:pPr>
      <w:r w:rsidRPr="00111DC8">
        <w:rPr>
          <w:rFonts w:eastAsiaTheme="minorEastAsia"/>
          <w:sz w:val="24"/>
          <w:szCs w:val="24"/>
          <w:lang w:eastAsia="zh-CN"/>
        </w:rPr>
        <w:t>Den relevante dosis, der skal indgives, afhænger af legemsvægten (se pkt. 4.2).</w:t>
      </w:r>
    </w:p>
    <w:p w14:paraId="15993F42" w14:textId="77777777" w:rsidR="00351EB0" w:rsidRPr="00111DC8" w:rsidRDefault="00351EB0" w:rsidP="00634591">
      <w:pPr>
        <w:autoSpaceDE w:val="0"/>
        <w:autoSpaceDN w:val="0"/>
        <w:adjustRightInd w:val="0"/>
        <w:ind w:left="851"/>
        <w:rPr>
          <w:rFonts w:eastAsiaTheme="minorEastAsia"/>
          <w:sz w:val="24"/>
          <w:szCs w:val="24"/>
          <w:lang w:eastAsia="zh-CN"/>
        </w:rPr>
      </w:pPr>
    </w:p>
    <w:p w14:paraId="67BA987D" w14:textId="52658933" w:rsidR="00351EB0" w:rsidRPr="00111DC8" w:rsidRDefault="00351EB0" w:rsidP="00634591">
      <w:pPr>
        <w:autoSpaceDE w:val="0"/>
        <w:autoSpaceDN w:val="0"/>
        <w:adjustRightInd w:val="0"/>
        <w:ind w:left="851"/>
        <w:rPr>
          <w:rFonts w:eastAsiaTheme="minorEastAsia"/>
          <w:sz w:val="24"/>
          <w:szCs w:val="24"/>
          <w:lang w:eastAsia="zh-CN"/>
        </w:rPr>
      </w:pPr>
      <w:r w:rsidRPr="00111DC8">
        <w:rPr>
          <w:rFonts w:eastAsiaTheme="minorEastAsia"/>
          <w:sz w:val="24"/>
          <w:szCs w:val="24"/>
          <w:lang w:eastAsia="zh-CN"/>
        </w:rPr>
        <w:t>Hvis den ønskede dosis er mindre end 30 mg (3 ml), er det følgende udstyr nødvendigt for at</w:t>
      </w:r>
      <w:r w:rsidR="00BB2C16">
        <w:rPr>
          <w:rFonts w:eastAsiaTheme="minorEastAsia"/>
          <w:sz w:val="24"/>
          <w:szCs w:val="24"/>
          <w:lang w:eastAsia="zh-CN"/>
        </w:rPr>
        <w:t xml:space="preserve"> </w:t>
      </w:r>
      <w:r w:rsidRPr="00111DC8">
        <w:rPr>
          <w:rFonts w:eastAsiaTheme="minorEastAsia"/>
          <w:sz w:val="24"/>
          <w:szCs w:val="24"/>
          <w:lang w:eastAsia="zh-CN"/>
        </w:rPr>
        <w:t>ekstrahere og indgive den relevante dosis:</w:t>
      </w:r>
    </w:p>
    <w:p w14:paraId="7C78F0B0" w14:textId="77777777" w:rsidR="00351EB0" w:rsidRPr="00111DC8" w:rsidRDefault="00351EB0" w:rsidP="006D6E64">
      <w:pPr>
        <w:autoSpaceDE w:val="0"/>
        <w:autoSpaceDN w:val="0"/>
        <w:adjustRightInd w:val="0"/>
        <w:ind w:left="851"/>
        <w:rPr>
          <w:rFonts w:eastAsiaTheme="minorEastAsia"/>
          <w:sz w:val="24"/>
          <w:szCs w:val="24"/>
          <w:lang w:eastAsia="zh-CN"/>
        </w:rPr>
      </w:pPr>
    </w:p>
    <w:p w14:paraId="46B684C0" w14:textId="77777777" w:rsidR="00351EB0" w:rsidRPr="00111DC8" w:rsidRDefault="00351EB0" w:rsidP="00634591">
      <w:pPr>
        <w:pStyle w:val="Listeafsnit"/>
        <w:numPr>
          <w:ilvl w:val="0"/>
          <w:numId w:val="6"/>
        </w:numPr>
        <w:autoSpaceDE w:val="0"/>
        <w:autoSpaceDN w:val="0"/>
        <w:adjustRightInd w:val="0"/>
        <w:ind w:left="1276" w:hanging="425"/>
        <w:rPr>
          <w:rFonts w:eastAsiaTheme="minorEastAsia"/>
          <w:sz w:val="24"/>
          <w:szCs w:val="24"/>
          <w:lang w:eastAsia="zh-CN"/>
        </w:rPr>
      </w:pPr>
      <w:r w:rsidRPr="00111DC8">
        <w:rPr>
          <w:rFonts w:eastAsiaTheme="minorEastAsia"/>
          <w:sz w:val="24"/>
          <w:szCs w:val="24"/>
          <w:lang w:eastAsia="zh-CN"/>
        </w:rPr>
        <w:t>Adapter (proksimal og/eller distal hun-luer-lock-konnektor/kobling)</w:t>
      </w:r>
    </w:p>
    <w:p w14:paraId="630F9A7B" w14:textId="77777777" w:rsidR="00351EB0" w:rsidRPr="00111DC8" w:rsidRDefault="00351EB0" w:rsidP="00634591">
      <w:pPr>
        <w:pStyle w:val="Listeafsnit"/>
        <w:numPr>
          <w:ilvl w:val="0"/>
          <w:numId w:val="6"/>
        </w:numPr>
        <w:autoSpaceDE w:val="0"/>
        <w:autoSpaceDN w:val="0"/>
        <w:adjustRightInd w:val="0"/>
        <w:ind w:left="1276" w:hanging="425"/>
        <w:rPr>
          <w:rFonts w:eastAsiaTheme="minorEastAsia"/>
          <w:sz w:val="24"/>
          <w:szCs w:val="24"/>
          <w:lang w:eastAsia="zh-CN"/>
        </w:rPr>
      </w:pPr>
      <w:r w:rsidRPr="00111DC8">
        <w:rPr>
          <w:rFonts w:eastAsiaTheme="minorEastAsia"/>
          <w:sz w:val="24"/>
          <w:szCs w:val="24"/>
          <w:lang w:eastAsia="zh-CN"/>
        </w:rPr>
        <w:t>3 ml (anbefalet) gradueret sprøjte</w:t>
      </w:r>
    </w:p>
    <w:p w14:paraId="68A64DA1" w14:textId="77777777" w:rsidR="00351EB0" w:rsidRPr="00111DC8" w:rsidRDefault="00351EB0" w:rsidP="006D6E64">
      <w:pPr>
        <w:autoSpaceDE w:val="0"/>
        <w:autoSpaceDN w:val="0"/>
        <w:adjustRightInd w:val="0"/>
        <w:ind w:left="851"/>
        <w:rPr>
          <w:rFonts w:eastAsiaTheme="minorEastAsia"/>
          <w:sz w:val="24"/>
          <w:szCs w:val="24"/>
          <w:lang w:eastAsia="zh-CN"/>
        </w:rPr>
      </w:pPr>
    </w:p>
    <w:p w14:paraId="4EFCF75F" w14:textId="77777777" w:rsidR="00351EB0" w:rsidRPr="00111DC8" w:rsidRDefault="00351EB0" w:rsidP="00634591">
      <w:pPr>
        <w:autoSpaceDE w:val="0"/>
        <w:autoSpaceDN w:val="0"/>
        <w:adjustRightInd w:val="0"/>
        <w:ind w:left="851"/>
        <w:rPr>
          <w:rFonts w:eastAsiaTheme="minorEastAsia"/>
          <w:sz w:val="24"/>
          <w:szCs w:val="24"/>
          <w:lang w:eastAsia="zh-CN"/>
        </w:rPr>
      </w:pPr>
      <w:r w:rsidRPr="00111DC8">
        <w:rPr>
          <w:rFonts w:eastAsiaTheme="minorEastAsia"/>
          <w:sz w:val="24"/>
          <w:szCs w:val="24"/>
          <w:lang w:eastAsia="zh-CN"/>
        </w:rPr>
        <w:t>Den fyldte injektionssprøjte med icatibant og alle andre komponenter er kun til engangsbrug.</w:t>
      </w:r>
    </w:p>
    <w:p w14:paraId="59AAE834" w14:textId="77777777" w:rsidR="00351EB0" w:rsidRPr="00111DC8" w:rsidRDefault="00351EB0" w:rsidP="00634591">
      <w:pPr>
        <w:ind w:left="851"/>
        <w:rPr>
          <w:rFonts w:eastAsiaTheme="minorEastAsia"/>
          <w:sz w:val="24"/>
          <w:szCs w:val="24"/>
          <w:lang w:eastAsia="zh-CN"/>
        </w:rPr>
      </w:pPr>
    </w:p>
    <w:p w14:paraId="0C9AF3ED" w14:textId="77777777" w:rsidR="00351EB0" w:rsidRPr="00111DC8" w:rsidRDefault="00351EB0" w:rsidP="00634591">
      <w:pPr>
        <w:ind w:left="851"/>
        <w:rPr>
          <w:sz w:val="24"/>
          <w:szCs w:val="24"/>
          <w:u w:val="single"/>
        </w:rPr>
      </w:pPr>
      <w:r w:rsidRPr="00111DC8">
        <w:rPr>
          <w:rFonts w:eastAsiaTheme="minorEastAsia"/>
          <w:sz w:val="24"/>
          <w:szCs w:val="24"/>
          <w:lang w:eastAsia="zh-CN"/>
        </w:rPr>
        <w:t xml:space="preserve">Ikke anvendt lægemiddel samt affald heraf skal bortskaffes i henhold til lokale retningslinjer. Alle kanyler og sprøjter skal bortskaffes i en beholder til skarpe genstande. </w:t>
      </w:r>
    </w:p>
    <w:p w14:paraId="129B288B" w14:textId="77777777" w:rsidR="009260DE" w:rsidRPr="00111DC8" w:rsidRDefault="009260DE" w:rsidP="000730CA">
      <w:pPr>
        <w:tabs>
          <w:tab w:val="left" w:pos="851"/>
        </w:tabs>
        <w:ind w:left="851"/>
        <w:rPr>
          <w:sz w:val="24"/>
          <w:szCs w:val="24"/>
        </w:rPr>
      </w:pPr>
    </w:p>
    <w:p w14:paraId="656F1284" w14:textId="77777777" w:rsidR="009260DE" w:rsidRPr="00111DC8" w:rsidRDefault="009260DE" w:rsidP="009260DE">
      <w:pPr>
        <w:tabs>
          <w:tab w:val="left" w:pos="851"/>
        </w:tabs>
        <w:ind w:left="851" w:hanging="851"/>
        <w:rPr>
          <w:b/>
          <w:sz w:val="24"/>
          <w:szCs w:val="24"/>
        </w:rPr>
      </w:pPr>
      <w:r w:rsidRPr="00111DC8">
        <w:rPr>
          <w:b/>
          <w:sz w:val="24"/>
          <w:szCs w:val="24"/>
        </w:rPr>
        <w:t>7.</w:t>
      </w:r>
      <w:r w:rsidRPr="00111DC8">
        <w:rPr>
          <w:b/>
          <w:sz w:val="24"/>
          <w:szCs w:val="24"/>
        </w:rPr>
        <w:tab/>
        <w:t>INDEHAVER AF MARKEDSFØRINGSTILLADELSEN</w:t>
      </w:r>
    </w:p>
    <w:p w14:paraId="50031F15" w14:textId="77777777" w:rsidR="00351EB0" w:rsidRPr="00111DC8" w:rsidRDefault="00351EB0" w:rsidP="00634591">
      <w:pPr>
        <w:ind w:left="851"/>
        <w:rPr>
          <w:sz w:val="24"/>
          <w:szCs w:val="24"/>
        </w:rPr>
      </w:pPr>
      <w:r w:rsidRPr="00111DC8">
        <w:rPr>
          <w:sz w:val="24"/>
          <w:szCs w:val="24"/>
        </w:rPr>
        <w:t>Fresenius Kabi AB</w:t>
      </w:r>
    </w:p>
    <w:p w14:paraId="22CC4864" w14:textId="77777777" w:rsidR="00351EB0" w:rsidRPr="00111DC8" w:rsidRDefault="00351EB0" w:rsidP="00634591">
      <w:pPr>
        <w:ind w:left="851"/>
        <w:rPr>
          <w:sz w:val="24"/>
          <w:szCs w:val="24"/>
        </w:rPr>
      </w:pPr>
      <w:r w:rsidRPr="00111DC8">
        <w:rPr>
          <w:sz w:val="24"/>
          <w:szCs w:val="24"/>
        </w:rPr>
        <w:t>Rapsgatan 7</w:t>
      </w:r>
    </w:p>
    <w:p w14:paraId="1201DD0D" w14:textId="77777777" w:rsidR="00351EB0" w:rsidRPr="00111DC8" w:rsidRDefault="00351EB0" w:rsidP="00634591">
      <w:pPr>
        <w:ind w:left="851"/>
        <w:rPr>
          <w:sz w:val="24"/>
          <w:szCs w:val="24"/>
        </w:rPr>
      </w:pPr>
      <w:r w:rsidRPr="00111DC8">
        <w:rPr>
          <w:sz w:val="24"/>
          <w:szCs w:val="24"/>
        </w:rPr>
        <w:t>75174 Uppsala</w:t>
      </w:r>
    </w:p>
    <w:p w14:paraId="6C8A0274" w14:textId="77777777" w:rsidR="00351EB0" w:rsidRPr="00111DC8" w:rsidRDefault="00351EB0" w:rsidP="00634591">
      <w:pPr>
        <w:ind w:left="851"/>
        <w:rPr>
          <w:sz w:val="24"/>
          <w:szCs w:val="24"/>
        </w:rPr>
      </w:pPr>
      <w:r w:rsidRPr="00111DC8">
        <w:rPr>
          <w:sz w:val="24"/>
          <w:szCs w:val="24"/>
        </w:rPr>
        <w:t>Sverige</w:t>
      </w:r>
    </w:p>
    <w:p w14:paraId="058D07F7" w14:textId="77777777" w:rsidR="00351EB0" w:rsidRPr="00111DC8" w:rsidRDefault="00351EB0" w:rsidP="00634591">
      <w:pPr>
        <w:ind w:left="851"/>
        <w:rPr>
          <w:sz w:val="24"/>
          <w:szCs w:val="24"/>
        </w:rPr>
      </w:pPr>
    </w:p>
    <w:p w14:paraId="0E7750E5" w14:textId="77777777" w:rsidR="00351EB0" w:rsidRPr="00111DC8" w:rsidRDefault="00351EB0" w:rsidP="00634591">
      <w:pPr>
        <w:ind w:left="851"/>
        <w:rPr>
          <w:b/>
          <w:sz w:val="24"/>
          <w:szCs w:val="24"/>
        </w:rPr>
      </w:pPr>
      <w:r w:rsidRPr="00111DC8">
        <w:rPr>
          <w:b/>
          <w:sz w:val="24"/>
          <w:szCs w:val="24"/>
        </w:rPr>
        <w:t>Repræsentant</w:t>
      </w:r>
    </w:p>
    <w:p w14:paraId="12672395" w14:textId="77777777" w:rsidR="00351EB0" w:rsidRPr="00111DC8" w:rsidRDefault="00351EB0" w:rsidP="00634591">
      <w:pPr>
        <w:ind w:left="851"/>
        <w:rPr>
          <w:sz w:val="24"/>
          <w:szCs w:val="24"/>
        </w:rPr>
      </w:pPr>
      <w:r w:rsidRPr="00111DC8">
        <w:rPr>
          <w:sz w:val="24"/>
          <w:szCs w:val="24"/>
        </w:rPr>
        <w:t>Fresenius Kabi</w:t>
      </w:r>
    </w:p>
    <w:p w14:paraId="19CCBC0F" w14:textId="77777777" w:rsidR="00351EB0" w:rsidRPr="00111DC8" w:rsidRDefault="00351EB0" w:rsidP="00634591">
      <w:pPr>
        <w:ind w:left="851"/>
        <w:rPr>
          <w:sz w:val="24"/>
          <w:szCs w:val="24"/>
        </w:rPr>
      </w:pPr>
      <w:r w:rsidRPr="00111DC8">
        <w:rPr>
          <w:sz w:val="24"/>
          <w:szCs w:val="24"/>
        </w:rPr>
        <w:t>Islands Brygge 57</w:t>
      </w:r>
    </w:p>
    <w:p w14:paraId="5E575660" w14:textId="77777777" w:rsidR="00351EB0" w:rsidRPr="00111DC8" w:rsidRDefault="00351EB0" w:rsidP="00634591">
      <w:pPr>
        <w:ind w:left="851"/>
        <w:rPr>
          <w:sz w:val="24"/>
          <w:szCs w:val="24"/>
        </w:rPr>
      </w:pPr>
      <w:r w:rsidRPr="00111DC8">
        <w:rPr>
          <w:sz w:val="24"/>
          <w:szCs w:val="24"/>
        </w:rPr>
        <w:t>2300 København S</w:t>
      </w:r>
    </w:p>
    <w:p w14:paraId="65F3FCA9" w14:textId="77777777" w:rsidR="009260DE" w:rsidRPr="00111DC8" w:rsidRDefault="009260DE" w:rsidP="009260DE">
      <w:pPr>
        <w:tabs>
          <w:tab w:val="left" w:pos="851"/>
        </w:tabs>
        <w:ind w:left="851"/>
        <w:rPr>
          <w:sz w:val="24"/>
          <w:szCs w:val="24"/>
        </w:rPr>
      </w:pPr>
    </w:p>
    <w:p w14:paraId="5C30BA6E" w14:textId="6E077248" w:rsidR="009260DE" w:rsidRPr="00111DC8" w:rsidRDefault="009260DE" w:rsidP="009260DE">
      <w:pPr>
        <w:tabs>
          <w:tab w:val="left" w:pos="851"/>
        </w:tabs>
        <w:ind w:left="851" w:hanging="851"/>
        <w:rPr>
          <w:b/>
          <w:sz w:val="24"/>
          <w:szCs w:val="24"/>
        </w:rPr>
      </w:pPr>
      <w:r w:rsidRPr="00111DC8">
        <w:rPr>
          <w:b/>
          <w:sz w:val="24"/>
          <w:szCs w:val="24"/>
        </w:rPr>
        <w:t>8.</w:t>
      </w:r>
      <w:r w:rsidRPr="00111DC8">
        <w:rPr>
          <w:b/>
          <w:sz w:val="24"/>
          <w:szCs w:val="24"/>
        </w:rPr>
        <w:tab/>
        <w:t>MARKEDSFØRINGSTILLADELSESNUMMER (</w:t>
      </w:r>
      <w:r w:rsidR="002A275D">
        <w:rPr>
          <w:b/>
          <w:sz w:val="24"/>
          <w:szCs w:val="24"/>
        </w:rPr>
        <w:t>-</w:t>
      </w:r>
      <w:r w:rsidRPr="00111DC8">
        <w:rPr>
          <w:b/>
          <w:sz w:val="24"/>
          <w:szCs w:val="24"/>
        </w:rPr>
        <w:t>NUMRE)</w:t>
      </w:r>
    </w:p>
    <w:p w14:paraId="546D0266" w14:textId="3EC1323D" w:rsidR="009260DE" w:rsidRPr="00111DC8" w:rsidRDefault="005A340E" w:rsidP="009260DE">
      <w:pPr>
        <w:tabs>
          <w:tab w:val="left" w:pos="851"/>
        </w:tabs>
        <w:ind w:left="851"/>
        <w:rPr>
          <w:sz w:val="24"/>
          <w:szCs w:val="24"/>
        </w:rPr>
      </w:pPr>
      <w:r w:rsidRPr="00111DC8">
        <w:rPr>
          <w:sz w:val="24"/>
          <w:szCs w:val="24"/>
        </w:rPr>
        <w:t>64768</w:t>
      </w:r>
    </w:p>
    <w:p w14:paraId="7501E73B" w14:textId="77777777" w:rsidR="009260DE" w:rsidRPr="00111DC8" w:rsidRDefault="009260DE" w:rsidP="009260DE">
      <w:pPr>
        <w:tabs>
          <w:tab w:val="left" w:pos="851"/>
        </w:tabs>
        <w:ind w:left="851"/>
        <w:jc w:val="both"/>
        <w:rPr>
          <w:sz w:val="24"/>
          <w:szCs w:val="24"/>
        </w:rPr>
      </w:pPr>
    </w:p>
    <w:p w14:paraId="6510BD04" w14:textId="77777777" w:rsidR="009260DE" w:rsidRPr="00111DC8" w:rsidRDefault="009260DE" w:rsidP="009260DE">
      <w:pPr>
        <w:tabs>
          <w:tab w:val="left" w:pos="851"/>
        </w:tabs>
        <w:ind w:left="851" w:hanging="851"/>
        <w:rPr>
          <w:b/>
          <w:sz w:val="24"/>
          <w:szCs w:val="24"/>
        </w:rPr>
      </w:pPr>
      <w:r w:rsidRPr="00111DC8">
        <w:rPr>
          <w:b/>
          <w:sz w:val="24"/>
          <w:szCs w:val="24"/>
        </w:rPr>
        <w:t>9.</w:t>
      </w:r>
      <w:r w:rsidRPr="00111DC8">
        <w:rPr>
          <w:b/>
          <w:sz w:val="24"/>
          <w:szCs w:val="24"/>
        </w:rPr>
        <w:tab/>
        <w:t>DATO FOR FØRSTE MARKEDSFØRINGSTILLADELSE</w:t>
      </w:r>
    </w:p>
    <w:p w14:paraId="4E302296" w14:textId="64524A40" w:rsidR="009260DE" w:rsidRPr="00111DC8" w:rsidRDefault="00DF7F78" w:rsidP="009260DE">
      <w:pPr>
        <w:tabs>
          <w:tab w:val="left" w:pos="851"/>
        </w:tabs>
        <w:ind w:left="851"/>
        <w:rPr>
          <w:sz w:val="24"/>
          <w:szCs w:val="24"/>
        </w:rPr>
      </w:pPr>
      <w:r>
        <w:rPr>
          <w:sz w:val="24"/>
          <w:szCs w:val="24"/>
        </w:rPr>
        <w:t>25. marts 2022</w:t>
      </w:r>
    </w:p>
    <w:p w14:paraId="27ABB00E" w14:textId="77777777" w:rsidR="009260DE" w:rsidRPr="00111DC8" w:rsidRDefault="009260DE" w:rsidP="009260DE">
      <w:pPr>
        <w:tabs>
          <w:tab w:val="left" w:pos="851"/>
        </w:tabs>
        <w:ind w:left="851"/>
        <w:rPr>
          <w:sz w:val="24"/>
          <w:szCs w:val="24"/>
        </w:rPr>
      </w:pPr>
    </w:p>
    <w:p w14:paraId="008DE195" w14:textId="77777777" w:rsidR="009260DE" w:rsidRPr="00111DC8" w:rsidRDefault="009260DE" w:rsidP="009260DE">
      <w:pPr>
        <w:tabs>
          <w:tab w:val="left" w:pos="851"/>
        </w:tabs>
        <w:ind w:left="851" w:hanging="851"/>
        <w:rPr>
          <w:b/>
          <w:sz w:val="24"/>
          <w:szCs w:val="24"/>
        </w:rPr>
      </w:pPr>
      <w:r w:rsidRPr="00111DC8">
        <w:rPr>
          <w:b/>
          <w:sz w:val="24"/>
          <w:szCs w:val="24"/>
        </w:rPr>
        <w:t>10.</w:t>
      </w:r>
      <w:r w:rsidRPr="00111DC8">
        <w:rPr>
          <w:b/>
          <w:sz w:val="24"/>
          <w:szCs w:val="24"/>
        </w:rPr>
        <w:tab/>
        <w:t>DATO FOR ÆNDRING AF TEKSTEN</w:t>
      </w:r>
    </w:p>
    <w:p w14:paraId="5E13B219" w14:textId="61C08786" w:rsidR="009260DE" w:rsidRPr="00111DC8" w:rsidRDefault="00EA4165" w:rsidP="009260DE">
      <w:pPr>
        <w:tabs>
          <w:tab w:val="left" w:pos="851"/>
        </w:tabs>
        <w:ind w:left="851"/>
        <w:rPr>
          <w:sz w:val="24"/>
          <w:szCs w:val="24"/>
        </w:rPr>
      </w:pPr>
      <w:r>
        <w:rPr>
          <w:sz w:val="24"/>
          <w:szCs w:val="24"/>
        </w:rPr>
        <w:t>2. juni 2024</w:t>
      </w:r>
    </w:p>
    <w:sectPr w:rsidR="009260DE" w:rsidRPr="00111DC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AC0DD" w14:textId="77777777" w:rsidR="00DF7F78" w:rsidRDefault="00DF7F78">
      <w:r>
        <w:separator/>
      </w:r>
    </w:p>
  </w:endnote>
  <w:endnote w:type="continuationSeparator" w:id="0">
    <w:p w14:paraId="135F6071" w14:textId="77777777" w:rsidR="00DF7F78" w:rsidRDefault="00DF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346B8" w14:textId="77777777" w:rsidR="00DF7F78" w:rsidRDefault="00DF7F78">
    <w:pPr>
      <w:pStyle w:val="Sidefod"/>
      <w:pBdr>
        <w:bottom w:val="single" w:sz="6" w:space="1" w:color="auto"/>
      </w:pBdr>
    </w:pPr>
  </w:p>
  <w:p w14:paraId="6AACB3DE" w14:textId="77777777" w:rsidR="00DF7F78" w:rsidRDefault="00DF7F78" w:rsidP="00C42586">
    <w:pPr>
      <w:pStyle w:val="Sidefod"/>
      <w:tabs>
        <w:tab w:val="clear" w:pos="4819"/>
        <w:tab w:val="left" w:pos="8505"/>
      </w:tabs>
      <w:rPr>
        <w:i/>
        <w:sz w:val="18"/>
        <w:szCs w:val="18"/>
      </w:rPr>
    </w:pPr>
  </w:p>
  <w:p w14:paraId="7E7D403C" w14:textId="1EF08030" w:rsidR="00DF7F78" w:rsidRPr="00B373D7" w:rsidRDefault="00DF7F7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Icatibant Fresenius, injektionsvæske, opløsning i fyldt injektionssprøjte 30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45178" w14:textId="77777777" w:rsidR="00DF7F78" w:rsidRDefault="00DF7F78">
      <w:r>
        <w:separator/>
      </w:r>
    </w:p>
  </w:footnote>
  <w:footnote w:type="continuationSeparator" w:id="0">
    <w:p w14:paraId="7C6085F5" w14:textId="77777777" w:rsidR="00DF7F78" w:rsidRDefault="00DF7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18C3234"/>
    <w:multiLevelType w:val="hybridMultilevel"/>
    <w:tmpl w:val="A0008D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145"/>
    <w:rsid w:val="000026E8"/>
    <w:rsid w:val="000259B9"/>
    <w:rsid w:val="00041491"/>
    <w:rsid w:val="00050D16"/>
    <w:rsid w:val="000730CA"/>
    <w:rsid w:val="00074F2A"/>
    <w:rsid w:val="000A1CA8"/>
    <w:rsid w:val="000A466B"/>
    <w:rsid w:val="000B058C"/>
    <w:rsid w:val="000E4EE6"/>
    <w:rsid w:val="00111DC8"/>
    <w:rsid w:val="00123429"/>
    <w:rsid w:val="001454E2"/>
    <w:rsid w:val="001C67F1"/>
    <w:rsid w:val="00206CE8"/>
    <w:rsid w:val="0021526C"/>
    <w:rsid w:val="00283A2B"/>
    <w:rsid w:val="002A275D"/>
    <w:rsid w:val="002B30AD"/>
    <w:rsid w:val="002B5F69"/>
    <w:rsid w:val="002C2C01"/>
    <w:rsid w:val="0032503A"/>
    <w:rsid w:val="00351EB0"/>
    <w:rsid w:val="003564DD"/>
    <w:rsid w:val="003A29AE"/>
    <w:rsid w:val="003A32D7"/>
    <w:rsid w:val="003B4074"/>
    <w:rsid w:val="003C29A7"/>
    <w:rsid w:val="003C769A"/>
    <w:rsid w:val="003D5864"/>
    <w:rsid w:val="003F1838"/>
    <w:rsid w:val="0045746C"/>
    <w:rsid w:val="0049104B"/>
    <w:rsid w:val="004C2231"/>
    <w:rsid w:val="004E3B12"/>
    <w:rsid w:val="00511433"/>
    <w:rsid w:val="00520416"/>
    <w:rsid w:val="00532310"/>
    <w:rsid w:val="00547D2D"/>
    <w:rsid w:val="00556B59"/>
    <w:rsid w:val="00565F0F"/>
    <w:rsid w:val="00594A86"/>
    <w:rsid w:val="00596D86"/>
    <w:rsid w:val="005A340E"/>
    <w:rsid w:val="00634591"/>
    <w:rsid w:val="00637F5A"/>
    <w:rsid w:val="006560B1"/>
    <w:rsid w:val="006756DD"/>
    <w:rsid w:val="006D6E64"/>
    <w:rsid w:val="00737275"/>
    <w:rsid w:val="00740EEC"/>
    <w:rsid w:val="0078011A"/>
    <w:rsid w:val="00782AF4"/>
    <w:rsid w:val="00790EE7"/>
    <w:rsid w:val="007B6649"/>
    <w:rsid w:val="007C3A89"/>
    <w:rsid w:val="007F6282"/>
    <w:rsid w:val="0080225B"/>
    <w:rsid w:val="0082576E"/>
    <w:rsid w:val="00907F75"/>
    <w:rsid w:val="009260DE"/>
    <w:rsid w:val="0093258A"/>
    <w:rsid w:val="00947CB3"/>
    <w:rsid w:val="009A0A1D"/>
    <w:rsid w:val="009C7BA3"/>
    <w:rsid w:val="009D1F5A"/>
    <w:rsid w:val="009E6B88"/>
    <w:rsid w:val="00A10294"/>
    <w:rsid w:val="00A55D2A"/>
    <w:rsid w:val="00AD3197"/>
    <w:rsid w:val="00B003BF"/>
    <w:rsid w:val="00B003FE"/>
    <w:rsid w:val="00B373D7"/>
    <w:rsid w:val="00B40887"/>
    <w:rsid w:val="00B85145"/>
    <w:rsid w:val="00BB2C16"/>
    <w:rsid w:val="00BC78D1"/>
    <w:rsid w:val="00BE362C"/>
    <w:rsid w:val="00C221D2"/>
    <w:rsid w:val="00C36276"/>
    <w:rsid w:val="00C42586"/>
    <w:rsid w:val="00C60CCD"/>
    <w:rsid w:val="00C84483"/>
    <w:rsid w:val="00C95551"/>
    <w:rsid w:val="00CA3505"/>
    <w:rsid w:val="00CB20D7"/>
    <w:rsid w:val="00D020B0"/>
    <w:rsid w:val="00D11748"/>
    <w:rsid w:val="00D366CF"/>
    <w:rsid w:val="00DF7F78"/>
    <w:rsid w:val="00E108AA"/>
    <w:rsid w:val="00E20E06"/>
    <w:rsid w:val="00E21FBB"/>
    <w:rsid w:val="00E3749A"/>
    <w:rsid w:val="00E7437F"/>
    <w:rsid w:val="00E865B8"/>
    <w:rsid w:val="00EA4165"/>
    <w:rsid w:val="00EA5DC2"/>
    <w:rsid w:val="00EC0B9B"/>
    <w:rsid w:val="00ED5E9F"/>
    <w:rsid w:val="00F66D4F"/>
    <w:rsid w:val="00FA24C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7F560"/>
  <w15:chartTrackingRefBased/>
  <w15:docId w15:val="{7FFADB41-87A8-447D-9394-2E660E86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80225B"/>
    <w:pPr>
      <w:spacing w:before="120" w:after="120"/>
      <w:jc w:val="both"/>
    </w:pPr>
    <w:rPr>
      <w:sz w:val="22"/>
      <w:lang w:val="en-US"/>
    </w:rPr>
  </w:style>
  <w:style w:type="table" w:customStyle="1" w:styleId="TableNormal1">
    <w:name w:val="Table Normal1"/>
    <w:uiPriority w:val="2"/>
    <w:semiHidden/>
    <w:unhideWhenUsed/>
    <w:qFormat/>
    <w:rsid w:val="007F628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F6282"/>
    <w:pPr>
      <w:widowControl w:val="0"/>
    </w:pPr>
    <w:rPr>
      <w:rFonts w:asciiTheme="minorHAnsi" w:eastAsiaTheme="minorHAnsi" w:hAnsiTheme="minorHAnsi" w:cstheme="minorBidi"/>
      <w:sz w:val="22"/>
      <w:szCs w:val="22"/>
      <w:lang w:val="en-US"/>
    </w:rPr>
  </w:style>
  <w:style w:type="character" w:styleId="Hyperlink">
    <w:name w:val="Hyperlink"/>
    <w:uiPriority w:val="99"/>
    <w:semiHidden/>
    <w:unhideWhenUsed/>
    <w:rsid w:val="009E6B88"/>
    <w:rPr>
      <w:color w:val="0000FF"/>
      <w:u w:val="single"/>
    </w:rPr>
  </w:style>
  <w:style w:type="character" w:customStyle="1" w:styleId="Overskrift1Tegn">
    <w:name w:val="Overskrift 1 Tegn"/>
    <w:basedOn w:val="Standardskrifttypeiafsnit"/>
    <w:link w:val="Overskrift1"/>
    <w:uiPriority w:val="9"/>
    <w:rsid w:val="009E6B88"/>
    <w:rPr>
      <w:rFonts w:ascii="Arial" w:hAnsi="Arial"/>
      <w:b/>
      <w:kern w:val="28"/>
      <w:sz w:val="28"/>
      <w:lang w:eastAsia="en-US"/>
    </w:rPr>
  </w:style>
  <w:style w:type="paragraph" w:styleId="Brdtekst">
    <w:name w:val="Body Text"/>
    <w:basedOn w:val="Normal"/>
    <w:link w:val="BrdtekstTegn"/>
    <w:uiPriority w:val="1"/>
    <w:qFormat/>
    <w:rsid w:val="009E6B88"/>
    <w:pPr>
      <w:widowControl w:val="0"/>
      <w:ind w:left="118"/>
    </w:pPr>
    <w:rPr>
      <w:rFonts w:cstheme="minorBidi"/>
      <w:sz w:val="22"/>
      <w:szCs w:val="22"/>
      <w:lang w:val="en-US"/>
    </w:rPr>
  </w:style>
  <w:style w:type="character" w:customStyle="1" w:styleId="BrdtekstTegn">
    <w:name w:val="Brødtekst Tegn"/>
    <w:basedOn w:val="Standardskrifttypeiafsnit"/>
    <w:link w:val="Brdtekst"/>
    <w:uiPriority w:val="1"/>
    <w:rsid w:val="009E6B88"/>
    <w:rPr>
      <w:rFonts w:cstheme="minorBidi"/>
      <w:sz w:val="22"/>
      <w:szCs w:val="22"/>
      <w:lang w:val="en-US" w:eastAsia="en-US"/>
    </w:rPr>
  </w:style>
  <w:style w:type="table" w:styleId="Tabel-Gitter">
    <w:name w:val="Table Grid"/>
    <w:basedOn w:val="Tabel-Normal"/>
    <w:uiPriority w:val="59"/>
    <w:rsid w:val="009E6B88"/>
    <w:rPr>
      <w:rFonts w:asciiTheme="minorHAnsi" w:eastAsiaTheme="minorEastAsia" w:hAnsiTheme="minorHAnsi" w:cstheme="minorBidi"/>
      <w:sz w:val="22"/>
      <w:szCs w:val="22"/>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351EB0"/>
    <w:pPr>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8296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4066</Words>
  <Characters>25174</Characters>
  <Application>Microsoft Office Word</Application>
  <DocSecurity>0</DocSecurity>
  <Lines>209</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Venn</dc:creator>
  <cp:keywords/>
  <dc:description>2024050690, var. 4_x000d_
Ændring i pkt. 6.5</dc:description>
  <cp:lastModifiedBy>Helle Venn</cp:lastModifiedBy>
  <cp:revision>2</cp:revision>
  <cp:lastPrinted>2012-08-22T08:53:00Z</cp:lastPrinted>
  <dcterms:created xsi:type="dcterms:W3CDTF">2024-06-03T07:23:00Z</dcterms:created>
  <dcterms:modified xsi:type="dcterms:W3CDTF">2024-06-03T07:23:00Z</dcterms:modified>
</cp:coreProperties>
</file>