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48E" w:rsidRPr="008F49E1" w:rsidRDefault="001A148E" w:rsidP="001A148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C337E3D" wp14:editId="3E7ED95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A148E" w:rsidRPr="00C84483" w:rsidRDefault="001A148E" w:rsidP="001A148E">
      <w:pPr>
        <w:pStyle w:val="Titel"/>
        <w:tabs>
          <w:tab w:val="right" w:pos="9356"/>
        </w:tabs>
        <w:jc w:val="left"/>
        <w:rPr>
          <w:b w:val="0"/>
          <w:szCs w:val="24"/>
          <w:lang w:eastAsia="en-US"/>
        </w:rPr>
      </w:pPr>
    </w:p>
    <w:p w:rsidR="001A148E" w:rsidRPr="00C84483" w:rsidRDefault="001A148E" w:rsidP="001A148E">
      <w:pPr>
        <w:pStyle w:val="Titel"/>
        <w:tabs>
          <w:tab w:val="right" w:pos="9356"/>
        </w:tabs>
        <w:jc w:val="left"/>
        <w:rPr>
          <w:b w:val="0"/>
          <w:szCs w:val="24"/>
          <w:lang w:eastAsia="en-US"/>
        </w:rPr>
      </w:pPr>
      <w:r w:rsidRPr="00C84483">
        <w:rPr>
          <w:b w:val="0"/>
          <w:szCs w:val="24"/>
          <w:lang w:eastAsia="en-US"/>
        </w:rPr>
        <w:tab/>
      </w:r>
      <w:r w:rsidR="00D35789">
        <w:rPr>
          <w:szCs w:val="24"/>
        </w:rPr>
        <w:t>22</w:t>
      </w:r>
      <w:r>
        <w:rPr>
          <w:szCs w:val="24"/>
        </w:rPr>
        <w:t xml:space="preserve">. </w:t>
      </w:r>
      <w:r w:rsidR="00D35789">
        <w:rPr>
          <w:szCs w:val="24"/>
        </w:rPr>
        <w:t>juni</w:t>
      </w:r>
      <w:r w:rsidR="00BE4F21">
        <w:rPr>
          <w:szCs w:val="24"/>
        </w:rPr>
        <w:t xml:space="preserve"> </w:t>
      </w:r>
      <w:r>
        <w:rPr>
          <w:szCs w:val="24"/>
        </w:rPr>
        <w:t>20</w:t>
      </w:r>
      <w:r w:rsidR="00FB13DC">
        <w:rPr>
          <w:szCs w:val="24"/>
        </w:rPr>
        <w:t>2</w:t>
      </w:r>
      <w:r w:rsidR="00D35789">
        <w:rPr>
          <w:szCs w:val="24"/>
        </w:rPr>
        <w:t>3</w:t>
      </w:r>
    </w:p>
    <w:p w:rsidR="001A148E" w:rsidRPr="00C84483" w:rsidRDefault="001A148E" w:rsidP="001A148E">
      <w:pPr>
        <w:pStyle w:val="Titel"/>
        <w:tabs>
          <w:tab w:val="left" w:pos="8222"/>
        </w:tabs>
        <w:jc w:val="left"/>
        <w:rPr>
          <w:b w:val="0"/>
          <w:szCs w:val="24"/>
        </w:rPr>
      </w:pPr>
    </w:p>
    <w:p w:rsidR="001A148E" w:rsidRPr="00C84483" w:rsidRDefault="001A148E" w:rsidP="001A148E">
      <w:pPr>
        <w:pStyle w:val="Titel"/>
        <w:jc w:val="left"/>
        <w:rPr>
          <w:b w:val="0"/>
          <w:szCs w:val="24"/>
        </w:rPr>
      </w:pPr>
    </w:p>
    <w:p w:rsidR="001A148E" w:rsidRPr="00C84483" w:rsidRDefault="001A148E" w:rsidP="001A148E">
      <w:pPr>
        <w:pStyle w:val="Titel"/>
        <w:jc w:val="left"/>
        <w:rPr>
          <w:b w:val="0"/>
          <w:szCs w:val="24"/>
        </w:rPr>
      </w:pPr>
    </w:p>
    <w:p w:rsidR="001A148E" w:rsidRPr="00C84483" w:rsidRDefault="001A148E" w:rsidP="001A148E">
      <w:pPr>
        <w:jc w:val="center"/>
        <w:rPr>
          <w:b/>
          <w:sz w:val="24"/>
          <w:szCs w:val="24"/>
        </w:rPr>
      </w:pPr>
      <w:r w:rsidRPr="00C84483">
        <w:rPr>
          <w:b/>
          <w:sz w:val="24"/>
          <w:szCs w:val="24"/>
        </w:rPr>
        <w:t>PRODUKTRESUMÉ</w:t>
      </w:r>
    </w:p>
    <w:p w:rsidR="001A148E" w:rsidRPr="00C84483" w:rsidRDefault="001A148E" w:rsidP="001A148E">
      <w:pPr>
        <w:jc w:val="center"/>
        <w:rPr>
          <w:b/>
          <w:sz w:val="24"/>
          <w:szCs w:val="24"/>
        </w:rPr>
      </w:pPr>
    </w:p>
    <w:p w:rsidR="001A148E" w:rsidRDefault="001A148E" w:rsidP="001A148E">
      <w:pPr>
        <w:jc w:val="center"/>
        <w:rPr>
          <w:b/>
          <w:sz w:val="24"/>
          <w:szCs w:val="24"/>
        </w:rPr>
      </w:pPr>
      <w:r w:rsidRPr="00C84483">
        <w:rPr>
          <w:b/>
          <w:sz w:val="24"/>
          <w:szCs w:val="24"/>
        </w:rPr>
        <w:t>for</w:t>
      </w:r>
    </w:p>
    <w:p w:rsidR="001A148E" w:rsidRPr="00C84483" w:rsidRDefault="001A148E" w:rsidP="001A148E">
      <w:pPr>
        <w:jc w:val="center"/>
        <w:rPr>
          <w:b/>
          <w:sz w:val="24"/>
          <w:szCs w:val="24"/>
        </w:rPr>
      </w:pPr>
    </w:p>
    <w:p w:rsidR="001A148E" w:rsidRPr="00C84483" w:rsidRDefault="001A148E" w:rsidP="001A148E">
      <w:pPr>
        <w:jc w:val="center"/>
        <w:rPr>
          <w:sz w:val="24"/>
          <w:szCs w:val="24"/>
        </w:rPr>
      </w:pPr>
      <w:proofErr w:type="spellStart"/>
      <w:r w:rsidRPr="003B413F">
        <w:rPr>
          <w:b/>
          <w:sz w:val="24"/>
          <w:szCs w:val="24"/>
        </w:rPr>
        <w:t>Idarubicinhydrochlorid</w:t>
      </w:r>
      <w:proofErr w:type="spellEnd"/>
      <w:r w:rsidRPr="003B413F">
        <w:rPr>
          <w:b/>
          <w:sz w:val="24"/>
          <w:szCs w:val="24"/>
        </w:rPr>
        <w:t xml:space="preserve"> </w:t>
      </w:r>
      <w:r>
        <w:rPr>
          <w:b/>
          <w:sz w:val="24"/>
          <w:szCs w:val="24"/>
        </w:rPr>
        <w:t>"</w:t>
      </w:r>
      <w:proofErr w:type="spellStart"/>
      <w:r w:rsidRPr="003B413F">
        <w:rPr>
          <w:b/>
          <w:sz w:val="24"/>
          <w:szCs w:val="24"/>
        </w:rPr>
        <w:t>Accord</w:t>
      </w:r>
      <w:proofErr w:type="spellEnd"/>
      <w:r>
        <w:rPr>
          <w:b/>
          <w:sz w:val="24"/>
          <w:szCs w:val="24"/>
        </w:rPr>
        <w:t>"</w:t>
      </w:r>
      <w:r w:rsidRPr="003B413F">
        <w:rPr>
          <w:b/>
          <w:sz w:val="24"/>
          <w:szCs w:val="24"/>
        </w:rPr>
        <w:t>, i</w:t>
      </w:r>
      <w:r>
        <w:rPr>
          <w:b/>
          <w:sz w:val="24"/>
          <w:szCs w:val="24"/>
        </w:rPr>
        <w:t>njektionsvæske, opløsning</w:t>
      </w:r>
    </w:p>
    <w:p w:rsidR="001A148E" w:rsidRPr="00C84483" w:rsidRDefault="001A148E" w:rsidP="001A148E">
      <w:pPr>
        <w:jc w:val="both"/>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0.</w:t>
      </w:r>
      <w:r w:rsidRPr="00C84483">
        <w:rPr>
          <w:b/>
          <w:sz w:val="24"/>
          <w:szCs w:val="24"/>
        </w:rPr>
        <w:tab/>
        <w:t>D.SP.NR.</w:t>
      </w:r>
    </w:p>
    <w:p w:rsidR="001A148E" w:rsidRPr="00C84483" w:rsidRDefault="001A148E" w:rsidP="001A148E">
      <w:pPr>
        <w:tabs>
          <w:tab w:val="left" w:pos="851"/>
        </w:tabs>
        <w:ind w:left="851"/>
        <w:rPr>
          <w:sz w:val="24"/>
          <w:szCs w:val="24"/>
        </w:rPr>
      </w:pPr>
      <w:r>
        <w:rPr>
          <w:sz w:val="24"/>
          <w:szCs w:val="24"/>
        </w:rPr>
        <w:t>30284</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1.</w:t>
      </w:r>
      <w:r w:rsidRPr="00C84483">
        <w:rPr>
          <w:b/>
          <w:sz w:val="24"/>
          <w:szCs w:val="24"/>
        </w:rPr>
        <w:tab/>
        <w:t>LÆGEMIDLETS NAVN</w:t>
      </w:r>
    </w:p>
    <w:p w:rsidR="001A148E" w:rsidRPr="009D3405" w:rsidRDefault="001A148E" w:rsidP="001A148E">
      <w:pPr>
        <w:tabs>
          <w:tab w:val="left" w:pos="851"/>
        </w:tabs>
        <w:ind w:left="851"/>
        <w:rPr>
          <w:sz w:val="24"/>
          <w:szCs w:val="24"/>
        </w:rPr>
      </w:pPr>
      <w:proofErr w:type="spellStart"/>
      <w:r w:rsidRPr="009D3405">
        <w:rPr>
          <w:sz w:val="24"/>
          <w:szCs w:val="24"/>
        </w:rPr>
        <w:t>Idarubicinhydrochlorid</w:t>
      </w:r>
      <w:proofErr w:type="spellEnd"/>
      <w:r w:rsidRPr="009D3405">
        <w:rPr>
          <w:sz w:val="24"/>
          <w:szCs w:val="24"/>
        </w:rPr>
        <w:t xml:space="preserve"> "</w:t>
      </w:r>
      <w:proofErr w:type="spellStart"/>
      <w:r w:rsidRPr="009D3405">
        <w:rPr>
          <w:sz w:val="24"/>
          <w:szCs w:val="24"/>
        </w:rPr>
        <w:t>Accord</w:t>
      </w:r>
      <w:proofErr w:type="spellEnd"/>
      <w:r w:rsidRPr="009D3405">
        <w:rPr>
          <w:sz w:val="24"/>
          <w:szCs w:val="24"/>
        </w:rPr>
        <w:t>"</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A148E" w:rsidRPr="009D3405" w:rsidRDefault="001A148E" w:rsidP="001A148E">
      <w:pPr>
        <w:tabs>
          <w:tab w:val="left" w:pos="851"/>
        </w:tabs>
        <w:ind w:left="851"/>
        <w:rPr>
          <w:sz w:val="24"/>
          <w:szCs w:val="24"/>
        </w:rPr>
      </w:pPr>
      <w:r w:rsidRPr="009D3405">
        <w:rPr>
          <w:sz w:val="24"/>
          <w:szCs w:val="24"/>
        </w:rPr>
        <w:t xml:space="preserve">Hver ml opløsning indeholder 1 mg </w:t>
      </w:r>
      <w:proofErr w:type="spellStart"/>
      <w:r w:rsidRPr="009D3405">
        <w:rPr>
          <w:sz w:val="24"/>
          <w:szCs w:val="24"/>
        </w:rPr>
        <w:t>idarubicinhydrochlorid</w:t>
      </w:r>
      <w:proofErr w:type="spellEnd"/>
      <w:r w:rsidRPr="009D3405">
        <w:rPr>
          <w:sz w:val="24"/>
          <w:szCs w:val="24"/>
        </w:rPr>
        <w:t>.</w:t>
      </w:r>
    </w:p>
    <w:p w:rsidR="001A148E" w:rsidRDefault="001A148E" w:rsidP="001A148E">
      <w:pPr>
        <w:tabs>
          <w:tab w:val="left" w:pos="851"/>
        </w:tabs>
        <w:ind w:left="851"/>
        <w:rPr>
          <w:sz w:val="24"/>
          <w:szCs w:val="24"/>
        </w:rPr>
      </w:pPr>
    </w:p>
    <w:p w:rsidR="001A148E" w:rsidRPr="009D3405" w:rsidRDefault="001A148E" w:rsidP="001A148E">
      <w:pPr>
        <w:tabs>
          <w:tab w:val="left" w:pos="851"/>
        </w:tabs>
        <w:ind w:left="851"/>
        <w:rPr>
          <w:sz w:val="24"/>
          <w:szCs w:val="24"/>
        </w:rPr>
      </w:pPr>
      <w:r w:rsidRPr="009D3405">
        <w:rPr>
          <w:sz w:val="24"/>
          <w:szCs w:val="24"/>
        </w:rPr>
        <w:t xml:space="preserve">Hvert hætteglas med 5 ml indeholder 5 mg </w:t>
      </w:r>
      <w:proofErr w:type="spellStart"/>
      <w:r w:rsidRPr="009D3405">
        <w:rPr>
          <w:sz w:val="24"/>
          <w:szCs w:val="24"/>
        </w:rPr>
        <w:t>idarubicinhydrochlorid</w:t>
      </w:r>
      <w:proofErr w:type="spellEnd"/>
      <w:r w:rsidRPr="009D3405">
        <w:rPr>
          <w:sz w:val="24"/>
          <w:szCs w:val="24"/>
        </w:rPr>
        <w:t>.</w:t>
      </w:r>
    </w:p>
    <w:p w:rsidR="001A148E" w:rsidRPr="009D3405" w:rsidRDefault="001A148E" w:rsidP="001A148E">
      <w:pPr>
        <w:tabs>
          <w:tab w:val="left" w:pos="851"/>
        </w:tabs>
        <w:ind w:left="851"/>
        <w:rPr>
          <w:sz w:val="24"/>
          <w:szCs w:val="24"/>
        </w:rPr>
      </w:pPr>
      <w:r w:rsidRPr="009D3405">
        <w:rPr>
          <w:sz w:val="24"/>
          <w:szCs w:val="24"/>
        </w:rPr>
        <w:t xml:space="preserve">Hvert hætteglas med 10 ml indeholder 10 mg </w:t>
      </w:r>
      <w:proofErr w:type="spellStart"/>
      <w:r w:rsidRPr="009D3405">
        <w:rPr>
          <w:sz w:val="24"/>
          <w:szCs w:val="24"/>
        </w:rPr>
        <w:t>idarubicinhydrochlorid</w:t>
      </w:r>
      <w:proofErr w:type="spellEnd"/>
      <w:r w:rsidRPr="009D3405">
        <w:rPr>
          <w:sz w:val="24"/>
          <w:szCs w:val="24"/>
        </w:rPr>
        <w:t>.</w:t>
      </w:r>
    </w:p>
    <w:p w:rsidR="001A148E" w:rsidRPr="009D3405" w:rsidRDefault="001A148E" w:rsidP="001A148E">
      <w:pPr>
        <w:tabs>
          <w:tab w:val="left" w:pos="851"/>
        </w:tabs>
        <w:ind w:left="851"/>
        <w:rPr>
          <w:sz w:val="24"/>
          <w:szCs w:val="24"/>
        </w:rPr>
      </w:pPr>
      <w:r w:rsidRPr="009D3405">
        <w:rPr>
          <w:sz w:val="24"/>
          <w:szCs w:val="24"/>
        </w:rPr>
        <w:t xml:space="preserve">Hvert hætteglas med 20 ml indeholder 20 mg </w:t>
      </w:r>
      <w:proofErr w:type="spellStart"/>
      <w:r w:rsidRPr="009D3405">
        <w:rPr>
          <w:sz w:val="24"/>
          <w:szCs w:val="24"/>
        </w:rPr>
        <w:t>idarubicinhydrochlorid</w:t>
      </w:r>
      <w:proofErr w:type="spellEnd"/>
      <w:r w:rsidRPr="009D3405">
        <w:rPr>
          <w:sz w:val="24"/>
          <w:szCs w:val="24"/>
        </w:rPr>
        <w:t>.</w:t>
      </w:r>
    </w:p>
    <w:p w:rsidR="001A148E" w:rsidRPr="009D3405" w:rsidRDefault="001A148E" w:rsidP="001A148E">
      <w:pPr>
        <w:tabs>
          <w:tab w:val="left" w:pos="851"/>
        </w:tabs>
        <w:ind w:left="851"/>
        <w:rPr>
          <w:sz w:val="24"/>
          <w:szCs w:val="24"/>
        </w:rPr>
      </w:pPr>
    </w:p>
    <w:p w:rsidR="001A148E" w:rsidRPr="009D3405" w:rsidRDefault="001A148E" w:rsidP="001A148E">
      <w:pPr>
        <w:tabs>
          <w:tab w:val="left" w:pos="851"/>
        </w:tabs>
        <w:ind w:left="851"/>
        <w:rPr>
          <w:sz w:val="24"/>
          <w:szCs w:val="24"/>
        </w:rPr>
      </w:pPr>
      <w:r w:rsidRPr="009D3405">
        <w:rPr>
          <w:sz w:val="24"/>
          <w:szCs w:val="24"/>
        </w:rPr>
        <w:t>Alle hjælpestoffer er anført under pkt. 6.1.</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3.</w:t>
      </w:r>
      <w:r w:rsidRPr="00C84483">
        <w:rPr>
          <w:b/>
          <w:sz w:val="24"/>
          <w:szCs w:val="24"/>
        </w:rPr>
        <w:tab/>
        <w:t>LÆGEMIDDELFORM</w:t>
      </w:r>
    </w:p>
    <w:p w:rsidR="001A148E" w:rsidRPr="00521B48" w:rsidRDefault="001A148E" w:rsidP="001A148E">
      <w:pPr>
        <w:tabs>
          <w:tab w:val="left" w:pos="851"/>
        </w:tabs>
        <w:ind w:left="851"/>
        <w:rPr>
          <w:sz w:val="24"/>
          <w:szCs w:val="24"/>
        </w:rPr>
      </w:pPr>
      <w:r>
        <w:rPr>
          <w:sz w:val="24"/>
          <w:szCs w:val="24"/>
        </w:rPr>
        <w:t>Injektionsvæske, opløsning</w:t>
      </w:r>
    </w:p>
    <w:p w:rsidR="001A148E" w:rsidRPr="00521B48" w:rsidRDefault="001A148E" w:rsidP="001A148E">
      <w:pPr>
        <w:tabs>
          <w:tab w:val="left" w:pos="851"/>
        </w:tabs>
        <w:ind w:left="851"/>
        <w:rPr>
          <w:sz w:val="24"/>
          <w:szCs w:val="24"/>
        </w:rPr>
      </w:pPr>
    </w:p>
    <w:p w:rsidR="001A148E" w:rsidRPr="00521B48" w:rsidRDefault="001A148E" w:rsidP="001A148E">
      <w:pPr>
        <w:tabs>
          <w:tab w:val="left" w:pos="851"/>
        </w:tabs>
        <w:ind w:left="851"/>
        <w:rPr>
          <w:sz w:val="24"/>
          <w:szCs w:val="24"/>
        </w:rPr>
      </w:pPr>
      <w:r w:rsidRPr="00521B48">
        <w:rPr>
          <w:sz w:val="24"/>
          <w:szCs w:val="24"/>
        </w:rPr>
        <w:t>Klar</w:t>
      </w:r>
      <w:r>
        <w:rPr>
          <w:sz w:val="24"/>
          <w:szCs w:val="24"/>
        </w:rPr>
        <w:t>,</w:t>
      </w:r>
      <w:r w:rsidRPr="00521B48">
        <w:rPr>
          <w:sz w:val="24"/>
          <w:szCs w:val="24"/>
        </w:rPr>
        <w:t xml:space="preserve"> orangerødlig opløsning uden synlige suspenderede partikler.</w:t>
      </w:r>
    </w:p>
    <w:p w:rsidR="001A148E" w:rsidRPr="00521B48" w:rsidRDefault="001A148E" w:rsidP="001A148E">
      <w:pPr>
        <w:tabs>
          <w:tab w:val="left" w:pos="851"/>
        </w:tabs>
        <w:ind w:left="851"/>
        <w:rPr>
          <w:sz w:val="24"/>
          <w:szCs w:val="24"/>
        </w:rPr>
      </w:pPr>
      <w:r w:rsidRPr="00521B48">
        <w:rPr>
          <w:sz w:val="24"/>
          <w:szCs w:val="24"/>
        </w:rPr>
        <w:t>pH: 3-4,5.</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4.</w:t>
      </w:r>
      <w:r w:rsidRPr="00C84483">
        <w:rPr>
          <w:b/>
          <w:sz w:val="24"/>
          <w:szCs w:val="24"/>
        </w:rPr>
        <w:tab/>
        <w:t>KLINISKE OPLYSNINGER</w:t>
      </w:r>
    </w:p>
    <w:p w:rsidR="001A148E" w:rsidRPr="00C84483" w:rsidRDefault="001A148E" w:rsidP="001A148E">
      <w:pPr>
        <w:tabs>
          <w:tab w:val="left" w:pos="851"/>
        </w:tabs>
        <w:ind w:left="851"/>
        <w:rPr>
          <w:b/>
          <w:sz w:val="24"/>
          <w:szCs w:val="24"/>
        </w:rPr>
      </w:pPr>
    </w:p>
    <w:p w:rsidR="001A148E" w:rsidRPr="00C84483" w:rsidRDefault="001A148E" w:rsidP="001A148E">
      <w:pPr>
        <w:tabs>
          <w:tab w:val="left" w:pos="851"/>
        </w:tabs>
        <w:ind w:left="851" w:hanging="851"/>
        <w:rPr>
          <w:b/>
          <w:sz w:val="24"/>
          <w:szCs w:val="24"/>
          <w:u w:val="single"/>
        </w:rPr>
      </w:pPr>
      <w:r w:rsidRPr="00C84483">
        <w:rPr>
          <w:b/>
          <w:sz w:val="24"/>
          <w:szCs w:val="24"/>
        </w:rPr>
        <w:t>4.1</w:t>
      </w:r>
      <w:r w:rsidRPr="00C84483">
        <w:rPr>
          <w:b/>
          <w:sz w:val="24"/>
          <w:szCs w:val="24"/>
        </w:rPr>
        <w:tab/>
        <w:t xml:space="preserve">Terapeutiske </w:t>
      </w:r>
      <w:r w:rsidR="00D35789">
        <w:rPr>
          <w:b/>
          <w:sz w:val="24"/>
          <w:szCs w:val="24"/>
        </w:rPr>
        <w:t>indikationer</w:t>
      </w:r>
    </w:p>
    <w:p w:rsidR="001A148E" w:rsidRPr="00521B48" w:rsidRDefault="001A148E" w:rsidP="001A148E">
      <w:pPr>
        <w:tabs>
          <w:tab w:val="left" w:pos="851"/>
        </w:tabs>
        <w:ind w:left="851"/>
        <w:rPr>
          <w:sz w:val="24"/>
          <w:szCs w:val="24"/>
        </w:rPr>
      </w:pPr>
      <w:proofErr w:type="spellStart"/>
      <w:r w:rsidRPr="00521B48">
        <w:rPr>
          <w:sz w:val="24"/>
          <w:szCs w:val="24"/>
        </w:rPr>
        <w:t>Cytotoksisk</w:t>
      </w:r>
      <w:proofErr w:type="spellEnd"/>
      <w:r w:rsidRPr="00521B48">
        <w:rPr>
          <w:sz w:val="24"/>
          <w:szCs w:val="24"/>
        </w:rPr>
        <w:t xml:space="preserve"> og </w:t>
      </w:r>
      <w:proofErr w:type="spellStart"/>
      <w:r w:rsidRPr="00521B48">
        <w:rPr>
          <w:sz w:val="24"/>
          <w:szCs w:val="24"/>
        </w:rPr>
        <w:t>antimitotisk</w:t>
      </w:r>
      <w:proofErr w:type="spellEnd"/>
      <w:r w:rsidRPr="00521B48">
        <w:rPr>
          <w:sz w:val="24"/>
          <w:szCs w:val="24"/>
        </w:rPr>
        <w:t xml:space="preserve"> stof.</w:t>
      </w:r>
    </w:p>
    <w:p w:rsidR="001A148E" w:rsidRPr="00521B48" w:rsidRDefault="001A148E" w:rsidP="001A148E">
      <w:pPr>
        <w:tabs>
          <w:tab w:val="left" w:pos="851"/>
        </w:tabs>
        <w:ind w:left="851"/>
        <w:rPr>
          <w:sz w:val="24"/>
          <w:szCs w:val="24"/>
        </w:rPr>
      </w:pPr>
    </w:p>
    <w:p w:rsidR="00D35789" w:rsidRPr="00521B48" w:rsidRDefault="00D35789" w:rsidP="00D35789">
      <w:pPr>
        <w:tabs>
          <w:tab w:val="left" w:pos="851"/>
        </w:tabs>
        <w:ind w:left="851"/>
        <w:rPr>
          <w:sz w:val="24"/>
          <w:szCs w:val="24"/>
          <w:u w:val="single"/>
        </w:rPr>
      </w:pPr>
      <w:r w:rsidRPr="00521B48">
        <w:rPr>
          <w:sz w:val="24"/>
          <w:szCs w:val="24"/>
          <w:u w:val="single"/>
        </w:rPr>
        <w:t>Voksne</w:t>
      </w:r>
    </w:p>
    <w:p w:rsidR="00D35789" w:rsidRPr="003B27C6" w:rsidRDefault="00D35789" w:rsidP="00D35789">
      <w:pPr>
        <w:pStyle w:val="Listeafsnit"/>
        <w:numPr>
          <w:ilvl w:val="0"/>
          <w:numId w:val="6"/>
        </w:numPr>
        <w:tabs>
          <w:tab w:val="left" w:pos="851"/>
        </w:tabs>
        <w:ind w:left="1134" w:hanging="283"/>
        <w:rPr>
          <w:sz w:val="24"/>
          <w:szCs w:val="24"/>
        </w:rPr>
      </w:pPr>
      <w:r w:rsidRPr="003B27C6">
        <w:rPr>
          <w:sz w:val="24"/>
          <w:szCs w:val="24"/>
        </w:rPr>
        <w:t xml:space="preserve">Til behandling af akut </w:t>
      </w:r>
      <w:proofErr w:type="spellStart"/>
      <w:r w:rsidRPr="003B27C6">
        <w:rPr>
          <w:sz w:val="24"/>
          <w:szCs w:val="24"/>
        </w:rPr>
        <w:t>myeloid</w:t>
      </w:r>
      <w:proofErr w:type="spellEnd"/>
      <w:r w:rsidRPr="003B27C6">
        <w:rPr>
          <w:sz w:val="24"/>
          <w:szCs w:val="24"/>
        </w:rPr>
        <w:t xml:space="preserve"> leukæmi (også kendt som AML), til remissionsinduktion i ubehandlede patienter eller til remissionsinduktion i recidiverende eller refraktære patienter.</w:t>
      </w:r>
    </w:p>
    <w:p w:rsidR="00D35789" w:rsidRPr="003B27C6" w:rsidRDefault="00D35789" w:rsidP="00D35789">
      <w:pPr>
        <w:pStyle w:val="Listeafsnit"/>
        <w:numPr>
          <w:ilvl w:val="0"/>
          <w:numId w:val="6"/>
        </w:numPr>
        <w:tabs>
          <w:tab w:val="left" w:pos="851"/>
        </w:tabs>
        <w:ind w:left="1134" w:hanging="283"/>
        <w:rPr>
          <w:sz w:val="24"/>
          <w:szCs w:val="24"/>
        </w:rPr>
      </w:pPr>
      <w:r w:rsidRPr="003B27C6">
        <w:rPr>
          <w:sz w:val="24"/>
          <w:szCs w:val="24"/>
        </w:rPr>
        <w:t xml:space="preserve">Til </w:t>
      </w:r>
      <w:proofErr w:type="spellStart"/>
      <w:r w:rsidRPr="003B27C6">
        <w:rPr>
          <w:sz w:val="24"/>
          <w:szCs w:val="24"/>
        </w:rPr>
        <w:t>andetvalgsbehandling</w:t>
      </w:r>
      <w:proofErr w:type="spellEnd"/>
      <w:r w:rsidRPr="003B27C6">
        <w:rPr>
          <w:sz w:val="24"/>
          <w:szCs w:val="24"/>
        </w:rPr>
        <w:t xml:space="preserve"> af recidiverende akut </w:t>
      </w:r>
      <w:proofErr w:type="spellStart"/>
      <w:r w:rsidRPr="003B27C6">
        <w:rPr>
          <w:sz w:val="24"/>
          <w:szCs w:val="24"/>
        </w:rPr>
        <w:t>lymfoblastær</w:t>
      </w:r>
      <w:proofErr w:type="spellEnd"/>
      <w:r w:rsidRPr="003B27C6">
        <w:rPr>
          <w:sz w:val="24"/>
          <w:szCs w:val="24"/>
        </w:rPr>
        <w:t xml:space="preserve"> leukæmi (ALL).</w:t>
      </w:r>
    </w:p>
    <w:p w:rsidR="00D35789" w:rsidRDefault="00D35789" w:rsidP="00D35789">
      <w:pPr>
        <w:rPr>
          <w:sz w:val="24"/>
          <w:szCs w:val="24"/>
        </w:rPr>
      </w:pPr>
    </w:p>
    <w:p w:rsidR="00D35789" w:rsidRDefault="00D35789" w:rsidP="00D35789">
      <w:pPr>
        <w:rPr>
          <w:sz w:val="24"/>
          <w:szCs w:val="24"/>
        </w:rPr>
      </w:pPr>
    </w:p>
    <w:p w:rsidR="00D35789" w:rsidRPr="00521B48" w:rsidRDefault="00D35789" w:rsidP="00D35789">
      <w:pPr>
        <w:rPr>
          <w:sz w:val="24"/>
          <w:szCs w:val="24"/>
        </w:rPr>
      </w:pPr>
    </w:p>
    <w:p w:rsidR="00D35789" w:rsidRPr="00521B48" w:rsidRDefault="00D35789" w:rsidP="00D35789">
      <w:pPr>
        <w:tabs>
          <w:tab w:val="left" w:pos="851"/>
        </w:tabs>
        <w:ind w:left="851"/>
        <w:rPr>
          <w:sz w:val="24"/>
          <w:szCs w:val="24"/>
          <w:u w:val="single"/>
        </w:rPr>
      </w:pPr>
      <w:r w:rsidRPr="00521B48">
        <w:rPr>
          <w:sz w:val="24"/>
          <w:szCs w:val="24"/>
          <w:u w:val="single"/>
        </w:rPr>
        <w:t>Børn</w:t>
      </w:r>
    </w:p>
    <w:p w:rsidR="00D35789" w:rsidRPr="003B27C6" w:rsidRDefault="00D35789" w:rsidP="00D35789">
      <w:pPr>
        <w:pStyle w:val="Listeafsnit"/>
        <w:numPr>
          <w:ilvl w:val="0"/>
          <w:numId w:val="6"/>
        </w:numPr>
        <w:tabs>
          <w:tab w:val="left" w:pos="851"/>
        </w:tabs>
        <w:ind w:left="1134" w:hanging="283"/>
        <w:rPr>
          <w:sz w:val="24"/>
          <w:szCs w:val="24"/>
        </w:rPr>
      </w:pPr>
      <w:r w:rsidRPr="003B27C6">
        <w:rPr>
          <w:sz w:val="24"/>
          <w:szCs w:val="24"/>
        </w:rPr>
        <w:t xml:space="preserve">Til førstevalgsbehandling af akut </w:t>
      </w:r>
      <w:proofErr w:type="spellStart"/>
      <w:r w:rsidRPr="003B27C6">
        <w:rPr>
          <w:sz w:val="24"/>
          <w:szCs w:val="24"/>
        </w:rPr>
        <w:t>myeloid</w:t>
      </w:r>
      <w:proofErr w:type="spellEnd"/>
      <w:r w:rsidRPr="003B27C6">
        <w:rPr>
          <w:sz w:val="24"/>
          <w:szCs w:val="24"/>
        </w:rPr>
        <w:t xml:space="preserve"> leukæmi (AML), i kombination med </w:t>
      </w:r>
      <w:proofErr w:type="spellStart"/>
      <w:r w:rsidRPr="003B27C6">
        <w:rPr>
          <w:sz w:val="24"/>
          <w:szCs w:val="24"/>
        </w:rPr>
        <w:t>cytarabin</w:t>
      </w:r>
      <w:proofErr w:type="spellEnd"/>
      <w:r w:rsidRPr="003B27C6">
        <w:rPr>
          <w:sz w:val="24"/>
          <w:szCs w:val="24"/>
        </w:rPr>
        <w:t>, til remissionsinduktion.</w:t>
      </w:r>
    </w:p>
    <w:p w:rsidR="00D35789" w:rsidRPr="003B27C6" w:rsidRDefault="00D35789" w:rsidP="00D35789">
      <w:pPr>
        <w:pStyle w:val="Listeafsnit"/>
        <w:numPr>
          <w:ilvl w:val="0"/>
          <w:numId w:val="6"/>
        </w:numPr>
        <w:tabs>
          <w:tab w:val="left" w:pos="851"/>
        </w:tabs>
        <w:ind w:left="1134" w:hanging="283"/>
        <w:rPr>
          <w:sz w:val="24"/>
          <w:szCs w:val="24"/>
        </w:rPr>
      </w:pPr>
      <w:r w:rsidRPr="003B27C6">
        <w:rPr>
          <w:sz w:val="24"/>
          <w:szCs w:val="24"/>
        </w:rPr>
        <w:t xml:space="preserve">Til </w:t>
      </w:r>
      <w:proofErr w:type="spellStart"/>
      <w:r w:rsidRPr="003B27C6">
        <w:rPr>
          <w:sz w:val="24"/>
          <w:szCs w:val="24"/>
        </w:rPr>
        <w:t>andetvalgsbehandling</w:t>
      </w:r>
      <w:proofErr w:type="spellEnd"/>
      <w:r w:rsidRPr="003B27C6">
        <w:rPr>
          <w:sz w:val="24"/>
          <w:szCs w:val="24"/>
        </w:rPr>
        <w:t xml:space="preserve"> af recidiverende akut </w:t>
      </w:r>
      <w:proofErr w:type="spellStart"/>
      <w:r w:rsidRPr="003B27C6">
        <w:rPr>
          <w:sz w:val="24"/>
          <w:szCs w:val="24"/>
        </w:rPr>
        <w:t>lymfoblastær</w:t>
      </w:r>
      <w:proofErr w:type="spellEnd"/>
      <w:r w:rsidRPr="003B27C6">
        <w:rPr>
          <w:sz w:val="24"/>
          <w:szCs w:val="24"/>
        </w:rPr>
        <w:t xml:space="preserve"> leukæmi (ALL).</w:t>
      </w:r>
    </w:p>
    <w:p w:rsidR="001A148E" w:rsidRPr="00521B48" w:rsidRDefault="001A148E" w:rsidP="001A148E">
      <w:pPr>
        <w:tabs>
          <w:tab w:val="left" w:pos="851"/>
        </w:tabs>
        <w:ind w:left="851"/>
        <w:rPr>
          <w:sz w:val="24"/>
          <w:szCs w:val="24"/>
        </w:rPr>
      </w:pPr>
    </w:p>
    <w:p w:rsidR="001A148E" w:rsidRPr="00521B48" w:rsidRDefault="001A148E" w:rsidP="001A148E">
      <w:pPr>
        <w:tabs>
          <w:tab w:val="left" w:pos="851"/>
        </w:tabs>
        <w:ind w:left="851"/>
        <w:rPr>
          <w:sz w:val="24"/>
          <w:szCs w:val="24"/>
        </w:rPr>
      </w:pPr>
      <w:proofErr w:type="spellStart"/>
      <w:r>
        <w:rPr>
          <w:sz w:val="24"/>
          <w:szCs w:val="24"/>
        </w:rPr>
        <w:t>Idarubicinhydrochlorid</w:t>
      </w:r>
      <w:proofErr w:type="spellEnd"/>
      <w:r>
        <w:rPr>
          <w:sz w:val="24"/>
          <w:szCs w:val="24"/>
        </w:rPr>
        <w:t xml:space="preserve"> "</w:t>
      </w:r>
      <w:proofErr w:type="spellStart"/>
      <w:r>
        <w:rPr>
          <w:sz w:val="24"/>
          <w:szCs w:val="24"/>
        </w:rPr>
        <w:t>Accord</w:t>
      </w:r>
      <w:proofErr w:type="spellEnd"/>
      <w:r>
        <w:rPr>
          <w:sz w:val="24"/>
          <w:szCs w:val="24"/>
        </w:rPr>
        <w:t>"</w:t>
      </w:r>
      <w:r w:rsidRPr="00521B48">
        <w:rPr>
          <w:sz w:val="24"/>
          <w:szCs w:val="24"/>
        </w:rPr>
        <w:t xml:space="preserve"> kan anvendes i kombination med kemoterapiregimer med andre </w:t>
      </w:r>
      <w:proofErr w:type="spellStart"/>
      <w:r w:rsidRPr="00521B48">
        <w:rPr>
          <w:sz w:val="24"/>
          <w:szCs w:val="24"/>
        </w:rPr>
        <w:t>cytotoksiske</w:t>
      </w:r>
      <w:proofErr w:type="spellEnd"/>
      <w:r w:rsidRPr="00521B48">
        <w:rPr>
          <w:sz w:val="24"/>
          <w:szCs w:val="24"/>
        </w:rPr>
        <w:t xml:space="preserve"> stoffer (se pkt. 4.2).</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35789">
        <w:rPr>
          <w:b/>
          <w:sz w:val="24"/>
          <w:szCs w:val="24"/>
        </w:rPr>
        <w:t>administration</w:t>
      </w:r>
    </w:p>
    <w:p w:rsidR="001A148E" w:rsidRPr="003B27C6" w:rsidRDefault="001A148E" w:rsidP="001A148E">
      <w:pPr>
        <w:tabs>
          <w:tab w:val="left" w:pos="851"/>
        </w:tabs>
        <w:ind w:left="851"/>
        <w:rPr>
          <w:sz w:val="24"/>
          <w:szCs w:val="24"/>
        </w:rPr>
      </w:pPr>
    </w:p>
    <w:p w:rsidR="001A148E" w:rsidRPr="003B27C6" w:rsidRDefault="001A148E" w:rsidP="001A148E">
      <w:pPr>
        <w:tabs>
          <w:tab w:val="left" w:pos="851"/>
        </w:tabs>
        <w:ind w:left="851"/>
        <w:rPr>
          <w:b/>
          <w:sz w:val="24"/>
          <w:szCs w:val="24"/>
        </w:rPr>
      </w:pPr>
      <w:r w:rsidRPr="003B27C6">
        <w:rPr>
          <w:b/>
          <w:sz w:val="24"/>
          <w:szCs w:val="24"/>
        </w:rPr>
        <w:t>Dosering</w:t>
      </w:r>
    </w:p>
    <w:p w:rsidR="001A148E" w:rsidRPr="003B27C6" w:rsidRDefault="001A148E" w:rsidP="001A148E">
      <w:pPr>
        <w:tabs>
          <w:tab w:val="left" w:pos="851"/>
        </w:tabs>
        <w:ind w:left="851"/>
        <w:rPr>
          <w:sz w:val="24"/>
          <w:szCs w:val="24"/>
        </w:rPr>
      </w:pPr>
      <w:r w:rsidRPr="003B27C6">
        <w:rPr>
          <w:sz w:val="24"/>
          <w:szCs w:val="24"/>
        </w:rPr>
        <w:t>Dosering er sædvanligvis beregnet på baggrund af kroppens overfladeareal (mg/m</w:t>
      </w:r>
      <w:r w:rsidRPr="003B27C6">
        <w:rPr>
          <w:sz w:val="24"/>
          <w:szCs w:val="24"/>
          <w:vertAlign w:val="superscript"/>
        </w:rPr>
        <w:t>2</w:t>
      </w:r>
      <w:r w:rsidRPr="003B27C6">
        <w:rPr>
          <w:sz w:val="24"/>
          <w:szCs w:val="24"/>
        </w:rPr>
        <w:t>). Til intravenøs brug.</w:t>
      </w:r>
    </w:p>
    <w:p w:rsidR="001A148E" w:rsidRPr="003B27C6" w:rsidRDefault="001A148E" w:rsidP="001A148E">
      <w:pPr>
        <w:tabs>
          <w:tab w:val="left" w:pos="851"/>
        </w:tabs>
        <w:ind w:left="851"/>
        <w:rPr>
          <w:sz w:val="24"/>
          <w:szCs w:val="24"/>
        </w:rPr>
      </w:pPr>
    </w:p>
    <w:p w:rsidR="001A148E" w:rsidRPr="003B27C6" w:rsidRDefault="001A148E" w:rsidP="001A148E">
      <w:pPr>
        <w:tabs>
          <w:tab w:val="left" w:pos="851"/>
        </w:tabs>
        <w:ind w:left="851"/>
        <w:rPr>
          <w:iCs/>
          <w:sz w:val="24"/>
          <w:szCs w:val="24"/>
          <w:u w:val="single"/>
        </w:rPr>
      </w:pPr>
      <w:r w:rsidRPr="003B27C6">
        <w:rPr>
          <w:sz w:val="24"/>
          <w:szCs w:val="24"/>
          <w:u w:val="single"/>
        </w:rPr>
        <w:t xml:space="preserve">Akut </w:t>
      </w:r>
      <w:proofErr w:type="spellStart"/>
      <w:r w:rsidRPr="003B27C6">
        <w:rPr>
          <w:sz w:val="24"/>
          <w:szCs w:val="24"/>
          <w:u w:val="single"/>
        </w:rPr>
        <w:t>myeloid</w:t>
      </w:r>
      <w:proofErr w:type="spellEnd"/>
      <w:r w:rsidRPr="003B27C6">
        <w:rPr>
          <w:sz w:val="24"/>
          <w:szCs w:val="24"/>
          <w:u w:val="single"/>
        </w:rPr>
        <w:t xml:space="preserve"> leukæmi (AML)</w:t>
      </w:r>
    </w:p>
    <w:p w:rsidR="001A148E" w:rsidRDefault="001A148E" w:rsidP="001A148E">
      <w:pPr>
        <w:tabs>
          <w:tab w:val="left" w:pos="851"/>
        </w:tabs>
        <w:ind w:left="851"/>
        <w:rPr>
          <w:sz w:val="24"/>
          <w:szCs w:val="24"/>
        </w:rPr>
      </w:pPr>
    </w:p>
    <w:p w:rsidR="001A148E" w:rsidRPr="008D0158" w:rsidRDefault="001A148E" w:rsidP="001A148E">
      <w:pPr>
        <w:tabs>
          <w:tab w:val="left" w:pos="851"/>
        </w:tabs>
        <w:ind w:left="851"/>
        <w:rPr>
          <w:i/>
          <w:sz w:val="24"/>
          <w:szCs w:val="24"/>
        </w:rPr>
      </w:pPr>
      <w:r w:rsidRPr="008D0158">
        <w:rPr>
          <w:i/>
          <w:sz w:val="24"/>
          <w:szCs w:val="24"/>
        </w:rPr>
        <w:t>Voksne</w:t>
      </w:r>
    </w:p>
    <w:p w:rsidR="001A148E" w:rsidRPr="003B27C6" w:rsidRDefault="001A148E" w:rsidP="001A148E">
      <w:pPr>
        <w:tabs>
          <w:tab w:val="left" w:pos="851"/>
        </w:tabs>
        <w:ind w:left="851"/>
        <w:rPr>
          <w:sz w:val="24"/>
          <w:szCs w:val="24"/>
        </w:rPr>
      </w:pPr>
      <w:r w:rsidRPr="003B27C6">
        <w:rPr>
          <w:sz w:val="24"/>
          <w:szCs w:val="24"/>
        </w:rPr>
        <w:t xml:space="preserve">Ved akut </w:t>
      </w:r>
      <w:proofErr w:type="spellStart"/>
      <w:r w:rsidRPr="003B27C6">
        <w:rPr>
          <w:sz w:val="24"/>
          <w:szCs w:val="24"/>
        </w:rPr>
        <w:t>myeloid</w:t>
      </w:r>
      <w:proofErr w:type="spellEnd"/>
      <w:r w:rsidRPr="003B27C6">
        <w:rPr>
          <w:sz w:val="24"/>
          <w:szCs w:val="24"/>
        </w:rPr>
        <w:t xml:space="preserve"> leukæmi hos voksne er den anbefalede dosis 12 mg/m</w:t>
      </w:r>
      <w:r w:rsidRPr="003B27C6">
        <w:rPr>
          <w:sz w:val="24"/>
          <w:szCs w:val="24"/>
          <w:vertAlign w:val="superscript"/>
        </w:rPr>
        <w:t>2</w:t>
      </w:r>
      <w:r w:rsidRPr="003B27C6">
        <w:rPr>
          <w:sz w:val="24"/>
          <w:szCs w:val="24"/>
        </w:rPr>
        <w:t xml:space="preserve"> intravenøst daglig i 3 dage i kombination med </w:t>
      </w:r>
      <w:proofErr w:type="spellStart"/>
      <w:r w:rsidRPr="003B27C6">
        <w:rPr>
          <w:sz w:val="24"/>
          <w:szCs w:val="24"/>
        </w:rPr>
        <w:t>cytarabin</w:t>
      </w:r>
      <w:proofErr w:type="spellEnd"/>
      <w:r w:rsidRPr="003B27C6">
        <w:rPr>
          <w:sz w:val="24"/>
          <w:szCs w:val="24"/>
        </w:rPr>
        <w:t xml:space="preserve">. En anden dosisplan, der kan anvendes til behandling af akut </w:t>
      </w:r>
      <w:proofErr w:type="spellStart"/>
      <w:r w:rsidRPr="003B27C6">
        <w:rPr>
          <w:sz w:val="24"/>
          <w:szCs w:val="24"/>
        </w:rPr>
        <w:t>myeloid</w:t>
      </w:r>
      <w:proofErr w:type="spellEnd"/>
      <w:r w:rsidRPr="003B27C6">
        <w:rPr>
          <w:sz w:val="24"/>
          <w:szCs w:val="24"/>
        </w:rPr>
        <w:t xml:space="preserve"> leukæmi som enkeltstof eller i kombinationsterapi, er 8 mg/m</w:t>
      </w:r>
      <w:r w:rsidRPr="003B27C6">
        <w:rPr>
          <w:sz w:val="24"/>
          <w:szCs w:val="24"/>
          <w:vertAlign w:val="superscript"/>
        </w:rPr>
        <w:t>2</w:t>
      </w:r>
      <w:r w:rsidRPr="003B27C6">
        <w:rPr>
          <w:sz w:val="24"/>
          <w:szCs w:val="24"/>
        </w:rPr>
        <w:t xml:space="preserve"> intravenøst daglig i 5 dage.</w:t>
      </w:r>
    </w:p>
    <w:p w:rsidR="001A148E" w:rsidRPr="003B27C6" w:rsidRDefault="001A148E" w:rsidP="001A148E">
      <w:pPr>
        <w:tabs>
          <w:tab w:val="left" w:pos="851"/>
        </w:tabs>
        <w:ind w:left="851"/>
        <w:rPr>
          <w:sz w:val="24"/>
          <w:szCs w:val="24"/>
        </w:rPr>
      </w:pPr>
    </w:p>
    <w:p w:rsidR="001A148E" w:rsidRPr="008D0158" w:rsidRDefault="001A148E" w:rsidP="001A148E">
      <w:pPr>
        <w:tabs>
          <w:tab w:val="left" w:pos="851"/>
        </w:tabs>
        <w:ind w:left="851"/>
        <w:rPr>
          <w:i/>
          <w:sz w:val="24"/>
          <w:szCs w:val="24"/>
        </w:rPr>
      </w:pPr>
      <w:r w:rsidRPr="008D0158">
        <w:rPr>
          <w:i/>
          <w:sz w:val="24"/>
          <w:szCs w:val="24"/>
        </w:rPr>
        <w:t>Børn</w:t>
      </w:r>
    </w:p>
    <w:p w:rsidR="001A148E" w:rsidRPr="003B27C6" w:rsidRDefault="001A148E" w:rsidP="001A148E">
      <w:pPr>
        <w:tabs>
          <w:tab w:val="left" w:pos="851"/>
        </w:tabs>
        <w:ind w:left="851"/>
        <w:rPr>
          <w:sz w:val="24"/>
          <w:szCs w:val="24"/>
        </w:rPr>
      </w:pPr>
      <w:r w:rsidRPr="003B27C6">
        <w:rPr>
          <w:sz w:val="24"/>
          <w:szCs w:val="24"/>
        </w:rPr>
        <w:t>Det anbefalede dosisinterval er 10-12 mg/m</w:t>
      </w:r>
      <w:r w:rsidRPr="003B27C6">
        <w:rPr>
          <w:sz w:val="24"/>
          <w:szCs w:val="24"/>
          <w:vertAlign w:val="superscript"/>
        </w:rPr>
        <w:t>2</w:t>
      </w:r>
      <w:r w:rsidRPr="003B27C6">
        <w:rPr>
          <w:sz w:val="24"/>
          <w:szCs w:val="24"/>
        </w:rPr>
        <w:t xml:space="preserve"> intravenøst daglig i 3 dage i kombination med </w:t>
      </w:r>
      <w:proofErr w:type="spellStart"/>
      <w:r w:rsidRPr="003B27C6">
        <w:rPr>
          <w:sz w:val="24"/>
          <w:szCs w:val="24"/>
        </w:rPr>
        <w:t>cytarabin</w:t>
      </w:r>
      <w:proofErr w:type="spellEnd"/>
      <w:r w:rsidRPr="003B27C6">
        <w:rPr>
          <w:sz w:val="24"/>
          <w:szCs w:val="24"/>
        </w:rPr>
        <w:t>.</w:t>
      </w:r>
    </w:p>
    <w:p w:rsidR="001A148E" w:rsidRPr="003B27C6" w:rsidRDefault="001A148E" w:rsidP="001A148E">
      <w:pPr>
        <w:tabs>
          <w:tab w:val="left" w:pos="851"/>
        </w:tabs>
        <w:ind w:left="851"/>
        <w:rPr>
          <w:sz w:val="24"/>
          <w:szCs w:val="24"/>
        </w:rPr>
      </w:pPr>
    </w:p>
    <w:p w:rsidR="001A148E" w:rsidRPr="003B27C6" w:rsidRDefault="001A148E" w:rsidP="001A148E">
      <w:pPr>
        <w:tabs>
          <w:tab w:val="left" w:pos="851"/>
        </w:tabs>
        <w:ind w:left="851"/>
        <w:rPr>
          <w:iCs/>
          <w:sz w:val="24"/>
          <w:szCs w:val="24"/>
          <w:u w:val="single"/>
        </w:rPr>
      </w:pPr>
      <w:r w:rsidRPr="003B27C6">
        <w:rPr>
          <w:sz w:val="24"/>
          <w:szCs w:val="24"/>
          <w:u w:val="single"/>
        </w:rPr>
        <w:t xml:space="preserve">Akut </w:t>
      </w:r>
      <w:proofErr w:type="spellStart"/>
      <w:r w:rsidRPr="003B27C6">
        <w:rPr>
          <w:sz w:val="24"/>
          <w:szCs w:val="24"/>
          <w:u w:val="single"/>
        </w:rPr>
        <w:t>lymfocytisk</w:t>
      </w:r>
      <w:proofErr w:type="spellEnd"/>
      <w:r w:rsidRPr="003B27C6">
        <w:rPr>
          <w:sz w:val="24"/>
          <w:szCs w:val="24"/>
          <w:u w:val="single"/>
        </w:rPr>
        <w:t xml:space="preserve"> leukæmi (ALL)</w:t>
      </w:r>
    </w:p>
    <w:p w:rsidR="001A148E" w:rsidRDefault="001A148E" w:rsidP="001A148E">
      <w:pPr>
        <w:tabs>
          <w:tab w:val="left" w:pos="851"/>
        </w:tabs>
        <w:ind w:left="851"/>
        <w:rPr>
          <w:sz w:val="24"/>
          <w:szCs w:val="24"/>
        </w:rPr>
      </w:pPr>
    </w:p>
    <w:p w:rsidR="001A148E" w:rsidRPr="008D0158" w:rsidRDefault="001A148E" w:rsidP="001A148E">
      <w:pPr>
        <w:tabs>
          <w:tab w:val="left" w:pos="851"/>
        </w:tabs>
        <w:ind w:left="851"/>
        <w:rPr>
          <w:i/>
          <w:sz w:val="24"/>
          <w:szCs w:val="24"/>
        </w:rPr>
      </w:pPr>
      <w:r w:rsidRPr="008D0158">
        <w:rPr>
          <w:i/>
          <w:sz w:val="24"/>
          <w:szCs w:val="24"/>
        </w:rPr>
        <w:t>Voksne</w:t>
      </w:r>
    </w:p>
    <w:p w:rsidR="001A148E" w:rsidRPr="003B27C6" w:rsidRDefault="001A148E" w:rsidP="001A148E">
      <w:pPr>
        <w:tabs>
          <w:tab w:val="left" w:pos="851"/>
        </w:tabs>
        <w:ind w:left="851"/>
        <w:rPr>
          <w:sz w:val="24"/>
          <w:szCs w:val="24"/>
        </w:rPr>
      </w:pPr>
      <w:r w:rsidRPr="003B27C6">
        <w:rPr>
          <w:sz w:val="24"/>
          <w:szCs w:val="24"/>
        </w:rPr>
        <w:t>Som enkeltstof er den foreslåede dosis 12 mg/m</w:t>
      </w:r>
      <w:r w:rsidRPr="003B27C6">
        <w:rPr>
          <w:sz w:val="24"/>
          <w:szCs w:val="24"/>
          <w:vertAlign w:val="superscript"/>
        </w:rPr>
        <w:t>2</w:t>
      </w:r>
      <w:r w:rsidRPr="003B27C6">
        <w:rPr>
          <w:sz w:val="24"/>
          <w:szCs w:val="24"/>
        </w:rPr>
        <w:t xml:space="preserve"> intravenøst daglig i 3 dage.</w:t>
      </w:r>
    </w:p>
    <w:p w:rsidR="001A148E" w:rsidRPr="003B27C6" w:rsidRDefault="001A148E" w:rsidP="001A148E">
      <w:pPr>
        <w:tabs>
          <w:tab w:val="left" w:pos="851"/>
        </w:tabs>
        <w:ind w:left="851"/>
        <w:rPr>
          <w:sz w:val="24"/>
          <w:szCs w:val="24"/>
        </w:rPr>
      </w:pPr>
    </w:p>
    <w:p w:rsidR="001A148E" w:rsidRPr="008D0158" w:rsidRDefault="001A148E" w:rsidP="001A148E">
      <w:pPr>
        <w:tabs>
          <w:tab w:val="left" w:pos="851"/>
        </w:tabs>
        <w:ind w:left="851"/>
        <w:rPr>
          <w:i/>
          <w:sz w:val="24"/>
          <w:szCs w:val="24"/>
        </w:rPr>
      </w:pPr>
      <w:r w:rsidRPr="008D0158">
        <w:rPr>
          <w:i/>
          <w:sz w:val="24"/>
          <w:szCs w:val="24"/>
        </w:rPr>
        <w:t>Børn</w:t>
      </w:r>
    </w:p>
    <w:p w:rsidR="001A148E" w:rsidRPr="003B27C6" w:rsidRDefault="001A148E" w:rsidP="001A148E">
      <w:pPr>
        <w:tabs>
          <w:tab w:val="left" w:pos="851"/>
        </w:tabs>
        <w:ind w:left="851"/>
        <w:rPr>
          <w:sz w:val="24"/>
          <w:szCs w:val="24"/>
        </w:rPr>
      </w:pPr>
      <w:r w:rsidRPr="003B27C6">
        <w:rPr>
          <w:sz w:val="24"/>
          <w:szCs w:val="24"/>
        </w:rPr>
        <w:t>Som enkeltstof er den foreslåede dosis 10 mg/m</w:t>
      </w:r>
      <w:r w:rsidRPr="003B27C6">
        <w:rPr>
          <w:sz w:val="24"/>
          <w:szCs w:val="24"/>
          <w:vertAlign w:val="superscript"/>
        </w:rPr>
        <w:t>2</w:t>
      </w:r>
      <w:r w:rsidRPr="003B27C6">
        <w:rPr>
          <w:sz w:val="24"/>
          <w:szCs w:val="24"/>
        </w:rPr>
        <w:t xml:space="preserve"> intravenøst daglig i 3 dage</w:t>
      </w:r>
    </w:p>
    <w:p w:rsidR="001A148E" w:rsidRPr="003B27C6" w:rsidRDefault="001A148E" w:rsidP="001A148E">
      <w:pPr>
        <w:tabs>
          <w:tab w:val="left" w:pos="851"/>
        </w:tabs>
        <w:ind w:left="851"/>
        <w:rPr>
          <w:sz w:val="24"/>
          <w:szCs w:val="24"/>
        </w:rPr>
      </w:pPr>
    </w:p>
    <w:p w:rsidR="001A148E" w:rsidRPr="003B27C6" w:rsidRDefault="001A148E" w:rsidP="001A148E">
      <w:pPr>
        <w:tabs>
          <w:tab w:val="left" w:pos="851"/>
        </w:tabs>
        <w:ind w:left="851"/>
        <w:rPr>
          <w:sz w:val="24"/>
          <w:szCs w:val="24"/>
        </w:rPr>
      </w:pPr>
      <w:r w:rsidRPr="003B27C6">
        <w:rPr>
          <w:sz w:val="24"/>
          <w:szCs w:val="24"/>
        </w:rPr>
        <w:t>Bemærk: Dette er kun generelle retningslinjer. Se individuelle protokoller for nøjagtig dosering.</w:t>
      </w:r>
    </w:p>
    <w:p w:rsidR="001A148E" w:rsidRPr="003B27C6" w:rsidRDefault="001A148E" w:rsidP="001A148E">
      <w:pPr>
        <w:tabs>
          <w:tab w:val="left" w:pos="851"/>
        </w:tabs>
        <w:ind w:left="851"/>
        <w:rPr>
          <w:sz w:val="24"/>
          <w:szCs w:val="24"/>
        </w:rPr>
      </w:pPr>
    </w:p>
    <w:p w:rsidR="001A148E" w:rsidRPr="003B27C6" w:rsidRDefault="001A148E" w:rsidP="001A148E">
      <w:pPr>
        <w:tabs>
          <w:tab w:val="left" w:pos="851"/>
        </w:tabs>
        <w:ind w:left="851"/>
        <w:rPr>
          <w:sz w:val="24"/>
          <w:szCs w:val="24"/>
        </w:rPr>
      </w:pPr>
      <w:r w:rsidRPr="003B27C6">
        <w:rPr>
          <w:sz w:val="24"/>
          <w:szCs w:val="24"/>
        </w:rPr>
        <w:t xml:space="preserve">Alle ovennævnte doseringsregimer bør tage højde for patientens hæmatologiske status og dosering af andre </w:t>
      </w:r>
      <w:proofErr w:type="spellStart"/>
      <w:r w:rsidRPr="003B27C6">
        <w:rPr>
          <w:sz w:val="24"/>
          <w:szCs w:val="24"/>
        </w:rPr>
        <w:t>cytotoksiske</w:t>
      </w:r>
      <w:proofErr w:type="spellEnd"/>
      <w:r w:rsidRPr="003B27C6">
        <w:rPr>
          <w:sz w:val="24"/>
          <w:szCs w:val="24"/>
        </w:rPr>
        <w:t xml:space="preserve"> lægemidler, når anvendt i kombination hermed.</w:t>
      </w:r>
    </w:p>
    <w:p w:rsidR="001A148E" w:rsidRPr="003B27C6" w:rsidRDefault="001A148E" w:rsidP="001A148E">
      <w:pPr>
        <w:tabs>
          <w:tab w:val="left" w:pos="851"/>
        </w:tabs>
        <w:ind w:left="851"/>
        <w:rPr>
          <w:sz w:val="24"/>
          <w:szCs w:val="24"/>
        </w:rPr>
      </w:pPr>
    </w:p>
    <w:p w:rsidR="001A148E" w:rsidRPr="008D0158" w:rsidRDefault="001A148E" w:rsidP="001A148E">
      <w:pPr>
        <w:tabs>
          <w:tab w:val="left" w:pos="851"/>
        </w:tabs>
        <w:ind w:left="851"/>
        <w:rPr>
          <w:b/>
          <w:sz w:val="24"/>
          <w:szCs w:val="24"/>
        </w:rPr>
      </w:pPr>
      <w:r w:rsidRPr="008D0158">
        <w:rPr>
          <w:b/>
          <w:sz w:val="24"/>
          <w:szCs w:val="24"/>
        </w:rPr>
        <w:t>Administration</w:t>
      </w:r>
    </w:p>
    <w:p w:rsidR="001A148E" w:rsidRPr="003B27C6" w:rsidRDefault="001A148E" w:rsidP="001A148E">
      <w:pPr>
        <w:tabs>
          <w:tab w:val="left" w:pos="851"/>
        </w:tabs>
        <w:ind w:left="851"/>
        <w:rPr>
          <w:sz w:val="24"/>
          <w:szCs w:val="24"/>
        </w:rPr>
      </w:pPr>
      <w:r w:rsidRPr="003B27C6">
        <w:rPr>
          <w:sz w:val="24"/>
          <w:szCs w:val="24"/>
        </w:rPr>
        <w:t xml:space="preserve">Intravenøs administration af </w:t>
      </w:r>
      <w:proofErr w:type="spellStart"/>
      <w:r w:rsidRPr="003B27C6">
        <w:rPr>
          <w:sz w:val="24"/>
          <w:szCs w:val="24"/>
        </w:rPr>
        <w:t>idarubicin</w:t>
      </w:r>
      <w:proofErr w:type="spellEnd"/>
      <w:r w:rsidRPr="003B27C6">
        <w:rPr>
          <w:sz w:val="24"/>
          <w:szCs w:val="24"/>
        </w:rPr>
        <w:t xml:space="preserve"> bør udføres meget omhyggeligt. Det anbefales, at </w:t>
      </w:r>
      <w:proofErr w:type="spellStart"/>
      <w:r w:rsidRPr="003B27C6">
        <w:rPr>
          <w:sz w:val="24"/>
          <w:szCs w:val="24"/>
        </w:rPr>
        <w:t>idarubicin</w:t>
      </w:r>
      <w:proofErr w:type="spellEnd"/>
      <w:r w:rsidRPr="003B27C6">
        <w:rPr>
          <w:sz w:val="24"/>
          <w:szCs w:val="24"/>
        </w:rPr>
        <w:t xml:space="preserve"> administreres over en periode på 5 til 10 minutter via en infusionsslange med en </w:t>
      </w:r>
      <w:proofErr w:type="spellStart"/>
      <w:r w:rsidRPr="003B27C6">
        <w:rPr>
          <w:sz w:val="24"/>
          <w:szCs w:val="24"/>
        </w:rPr>
        <w:t>fritløbende</w:t>
      </w:r>
      <w:proofErr w:type="spellEnd"/>
      <w:r w:rsidRPr="003B27C6">
        <w:rPr>
          <w:sz w:val="24"/>
          <w:szCs w:val="24"/>
        </w:rPr>
        <w:t xml:space="preserve"> intravenøs infusion af 0,9 % </w:t>
      </w:r>
      <w:proofErr w:type="spellStart"/>
      <w:r w:rsidRPr="003B27C6">
        <w:rPr>
          <w:sz w:val="24"/>
          <w:szCs w:val="24"/>
        </w:rPr>
        <w:t>natriumchlorid</w:t>
      </w:r>
      <w:proofErr w:type="spellEnd"/>
      <w:r w:rsidRPr="003B27C6">
        <w:rPr>
          <w:sz w:val="24"/>
          <w:szCs w:val="24"/>
        </w:rPr>
        <w:t xml:space="preserve">. Denne teknik mindsker risikoen for </w:t>
      </w:r>
      <w:proofErr w:type="spellStart"/>
      <w:r w:rsidRPr="003B27C6">
        <w:rPr>
          <w:sz w:val="24"/>
          <w:szCs w:val="24"/>
        </w:rPr>
        <w:t>tromboflebitis</w:t>
      </w:r>
      <w:proofErr w:type="spellEnd"/>
      <w:r w:rsidRPr="003B27C6">
        <w:rPr>
          <w:sz w:val="24"/>
          <w:szCs w:val="24"/>
        </w:rPr>
        <w:t xml:space="preserve"> eller perivenøs </w:t>
      </w:r>
      <w:proofErr w:type="spellStart"/>
      <w:r w:rsidRPr="003B27C6">
        <w:rPr>
          <w:sz w:val="24"/>
          <w:szCs w:val="24"/>
        </w:rPr>
        <w:t>ekstravasation</w:t>
      </w:r>
      <w:proofErr w:type="spellEnd"/>
      <w:r w:rsidRPr="003B27C6">
        <w:rPr>
          <w:sz w:val="24"/>
          <w:szCs w:val="24"/>
        </w:rPr>
        <w:t xml:space="preserve">, som kan føre til alvorlig lokal cellulitis, </w:t>
      </w:r>
      <w:proofErr w:type="spellStart"/>
      <w:r w:rsidRPr="003B27C6">
        <w:rPr>
          <w:sz w:val="24"/>
          <w:szCs w:val="24"/>
        </w:rPr>
        <w:t>vesikation</w:t>
      </w:r>
      <w:proofErr w:type="spellEnd"/>
      <w:r w:rsidRPr="003B27C6">
        <w:rPr>
          <w:sz w:val="24"/>
          <w:szCs w:val="24"/>
        </w:rPr>
        <w:t xml:space="preserve"> og vævsnekrose. Direkte intravenøs injektion anbefales ikke på grund af risikoen for </w:t>
      </w:r>
      <w:proofErr w:type="spellStart"/>
      <w:r w:rsidRPr="003B27C6">
        <w:rPr>
          <w:sz w:val="24"/>
          <w:szCs w:val="24"/>
        </w:rPr>
        <w:t>ekstravasation</w:t>
      </w:r>
      <w:proofErr w:type="spellEnd"/>
      <w:r w:rsidRPr="003B27C6">
        <w:rPr>
          <w:sz w:val="24"/>
          <w:szCs w:val="24"/>
        </w:rPr>
        <w:t>, som kan forekomme selv om en passende blodmængde aspireres i kanylen.</w:t>
      </w:r>
    </w:p>
    <w:p w:rsidR="001A148E" w:rsidRDefault="001A148E" w:rsidP="001A148E">
      <w:pPr>
        <w:tabs>
          <w:tab w:val="left" w:pos="851"/>
        </w:tabs>
        <w:ind w:left="851"/>
        <w:rPr>
          <w:sz w:val="24"/>
          <w:szCs w:val="24"/>
        </w:rPr>
      </w:pPr>
    </w:p>
    <w:p w:rsidR="00D35789" w:rsidRDefault="00D35789" w:rsidP="001A148E">
      <w:pPr>
        <w:tabs>
          <w:tab w:val="left" w:pos="851"/>
        </w:tabs>
        <w:ind w:left="851"/>
        <w:rPr>
          <w:sz w:val="24"/>
          <w:szCs w:val="24"/>
        </w:rPr>
      </w:pPr>
    </w:p>
    <w:p w:rsidR="00D35789" w:rsidRPr="00C84483" w:rsidRDefault="00D35789"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4.3</w:t>
      </w:r>
      <w:r w:rsidRPr="00C84483">
        <w:rPr>
          <w:b/>
          <w:sz w:val="24"/>
          <w:szCs w:val="24"/>
        </w:rPr>
        <w:tab/>
        <w:t>Kontraindikationer</w:t>
      </w:r>
    </w:p>
    <w:p w:rsidR="00D35789" w:rsidRPr="004C1753" w:rsidRDefault="001A148E" w:rsidP="00D35789">
      <w:pPr>
        <w:tabs>
          <w:tab w:val="left" w:pos="1134"/>
        </w:tabs>
        <w:ind w:left="1134" w:hanging="283"/>
        <w:rPr>
          <w:sz w:val="24"/>
          <w:szCs w:val="24"/>
        </w:rPr>
      </w:pPr>
      <w:r>
        <w:rPr>
          <w:sz w:val="24"/>
          <w:szCs w:val="24"/>
        </w:rPr>
        <w:t>-</w:t>
      </w:r>
      <w:r>
        <w:rPr>
          <w:sz w:val="24"/>
          <w:szCs w:val="24"/>
        </w:rPr>
        <w:tab/>
      </w:r>
      <w:r w:rsidR="00D35789" w:rsidRPr="004C1753">
        <w:rPr>
          <w:sz w:val="24"/>
          <w:szCs w:val="24"/>
        </w:rPr>
        <w:t xml:space="preserve">Overfølsomhed over for </w:t>
      </w:r>
      <w:proofErr w:type="spellStart"/>
      <w:r w:rsidR="00D35789" w:rsidRPr="004C1753">
        <w:rPr>
          <w:sz w:val="24"/>
          <w:szCs w:val="24"/>
        </w:rPr>
        <w:t>idarubicin</w:t>
      </w:r>
      <w:proofErr w:type="spellEnd"/>
      <w:r w:rsidR="00D35789" w:rsidRPr="004C1753">
        <w:rPr>
          <w:sz w:val="24"/>
          <w:szCs w:val="24"/>
        </w:rPr>
        <w:t xml:space="preserve"> eller over for et eller flere af hj</w:t>
      </w:r>
      <w:r w:rsidR="00D35789">
        <w:rPr>
          <w:sz w:val="24"/>
          <w:szCs w:val="24"/>
        </w:rPr>
        <w:t>ælpestofferne anført i pkt. 6.1</w:t>
      </w:r>
    </w:p>
    <w:p w:rsidR="00D35789" w:rsidRPr="004C1753" w:rsidRDefault="00D35789" w:rsidP="00D35789">
      <w:pPr>
        <w:tabs>
          <w:tab w:val="left" w:pos="1134"/>
        </w:tabs>
        <w:ind w:left="1134" w:hanging="283"/>
        <w:rPr>
          <w:sz w:val="24"/>
          <w:szCs w:val="24"/>
        </w:rPr>
      </w:pPr>
      <w:r>
        <w:rPr>
          <w:sz w:val="24"/>
          <w:szCs w:val="24"/>
        </w:rPr>
        <w:t>-</w:t>
      </w:r>
      <w:r>
        <w:rPr>
          <w:sz w:val="24"/>
          <w:szCs w:val="24"/>
        </w:rPr>
        <w:tab/>
      </w:r>
      <w:r w:rsidRPr="004C1753">
        <w:rPr>
          <w:sz w:val="24"/>
          <w:szCs w:val="24"/>
        </w:rPr>
        <w:t xml:space="preserve">Overfølsomhed over for </w:t>
      </w:r>
      <w:proofErr w:type="spellStart"/>
      <w:r w:rsidRPr="004C1753">
        <w:rPr>
          <w:sz w:val="24"/>
          <w:szCs w:val="24"/>
        </w:rPr>
        <w:t>antracykliner</w:t>
      </w:r>
      <w:proofErr w:type="spellEnd"/>
      <w:r w:rsidRPr="004C1753">
        <w:rPr>
          <w:sz w:val="24"/>
          <w:szCs w:val="24"/>
        </w:rPr>
        <w:t xml:space="preserve"> eller </w:t>
      </w:r>
      <w:proofErr w:type="spellStart"/>
      <w:r w:rsidRPr="004C1753">
        <w:rPr>
          <w:sz w:val="24"/>
          <w:szCs w:val="24"/>
        </w:rPr>
        <w:t>antracenedioner</w:t>
      </w:r>
      <w:proofErr w:type="spellEnd"/>
    </w:p>
    <w:p w:rsidR="00D35789" w:rsidRPr="004C1753" w:rsidRDefault="00D35789" w:rsidP="00D35789">
      <w:pPr>
        <w:tabs>
          <w:tab w:val="left" w:pos="1134"/>
        </w:tabs>
        <w:ind w:left="1134" w:hanging="283"/>
        <w:rPr>
          <w:sz w:val="24"/>
          <w:szCs w:val="24"/>
        </w:rPr>
      </w:pPr>
      <w:r>
        <w:rPr>
          <w:sz w:val="24"/>
          <w:szCs w:val="24"/>
        </w:rPr>
        <w:t>-</w:t>
      </w:r>
      <w:r>
        <w:rPr>
          <w:sz w:val="24"/>
          <w:szCs w:val="24"/>
        </w:rPr>
        <w:tab/>
      </w:r>
      <w:r w:rsidRPr="004C1753">
        <w:rPr>
          <w:sz w:val="24"/>
          <w:szCs w:val="24"/>
        </w:rPr>
        <w:t>Alvorligt nedsat leverfunktion</w:t>
      </w:r>
    </w:p>
    <w:p w:rsidR="00D35789" w:rsidRDefault="00D35789" w:rsidP="00D35789">
      <w:pPr>
        <w:tabs>
          <w:tab w:val="left" w:pos="1134"/>
        </w:tabs>
        <w:ind w:left="1134" w:hanging="283"/>
        <w:rPr>
          <w:sz w:val="24"/>
          <w:szCs w:val="24"/>
        </w:rPr>
      </w:pPr>
      <w:r>
        <w:rPr>
          <w:sz w:val="24"/>
          <w:szCs w:val="24"/>
        </w:rPr>
        <w:t>-</w:t>
      </w:r>
      <w:r>
        <w:rPr>
          <w:sz w:val="24"/>
          <w:szCs w:val="24"/>
        </w:rPr>
        <w:tab/>
      </w:r>
      <w:r w:rsidRPr="004C1753">
        <w:rPr>
          <w:sz w:val="24"/>
          <w:szCs w:val="24"/>
        </w:rPr>
        <w:t>Alvorligt nedsat nyrefunktion</w:t>
      </w:r>
    </w:p>
    <w:p w:rsidR="00D35789" w:rsidRPr="004C1753" w:rsidRDefault="00D35789" w:rsidP="00D35789">
      <w:pPr>
        <w:tabs>
          <w:tab w:val="left" w:pos="1134"/>
        </w:tabs>
        <w:ind w:left="1134" w:hanging="283"/>
        <w:rPr>
          <w:sz w:val="24"/>
          <w:szCs w:val="24"/>
        </w:rPr>
      </w:pPr>
      <w:r>
        <w:rPr>
          <w:sz w:val="24"/>
          <w:szCs w:val="24"/>
        </w:rPr>
        <w:t>-</w:t>
      </w:r>
      <w:r>
        <w:rPr>
          <w:sz w:val="24"/>
          <w:szCs w:val="24"/>
        </w:rPr>
        <w:tab/>
        <w:t>Ukontrollerede infektioner</w:t>
      </w:r>
    </w:p>
    <w:p w:rsidR="00D35789" w:rsidRPr="004C1753" w:rsidRDefault="00D35789" w:rsidP="00D35789">
      <w:pPr>
        <w:tabs>
          <w:tab w:val="left" w:pos="1134"/>
        </w:tabs>
        <w:ind w:left="1134" w:hanging="283"/>
        <w:rPr>
          <w:sz w:val="24"/>
          <w:szCs w:val="24"/>
        </w:rPr>
      </w:pPr>
      <w:r>
        <w:rPr>
          <w:sz w:val="24"/>
          <w:szCs w:val="24"/>
        </w:rPr>
        <w:t>-</w:t>
      </w:r>
      <w:r>
        <w:rPr>
          <w:sz w:val="24"/>
          <w:szCs w:val="24"/>
        </w:rPr>
        <w:tab/>
      </w:r>
      <w:r w:rsidRPr="004C1753">
        <w:rPr>
          <w:sz w:val="24"/>
          <w:szCs w:val="24"/>
        </w:rPr>
        <w:t xml:space="preserve">Svær </w:t>
      </w:r>
      <w:proofErr w:type="spellStart"/>
      <w:r w:rsidRPr="004C1753">
        <w:rPr>
          <w:sz w:val="24"/>
          <w:szCs w:val="24"/>
        </w:rPr>
        <w:t>kardiomyopati</w:t>
      </w:r>
      <w:proofErr w:type="spellEnd"/>
    </w:p>
    <w:p w:rsidR="00D35789" w:rsidRPr="004C1753" w:rsidRDefault="00D35789" w:rsidP="00D35789">
      <w:pPr>
        <w:tabs>
          <w:tab w:val="left" w:pos="1134"/>
        </w:tabs>
        <w:ind w:left="1134" w:hanging="283"/>
        <w:rPr>
          <w:sz w:val="24"/>
          <w:szCs w:val="24"/>
        </w:rPr>
      </w:pPr>
      <w:r>
        <w:rPr>
          <w:sz w:val="24"/>
          <w:szCs w:val="24"/>
        </w:rPr>
        <w:t>-</w:t>
      </w:r>
      <w:r>
        <w:rPr>
          <w:sz w:val="24"/>
          <w:szCs w:val="24"/>
        </w:rPr>
        <w:tab/>
      </w:r>
      <w:r w:rsidRPr="004C1753">
        <w:rPr>
          <w:sz w:val="24"/>
          <w:szCs w:val="24"/>
        </w:rPr>
        <w:t>Nyligt myokardieinfarkt</w:t>
      </w:r>
    </w:p>
    <w:p w:rsidR="00D35789" w:rsidRPr="004C1753" w:rsidRDefault="00D35789" w:rsidP="00D35789">
      <w:pPr>
        <w:tabs>
          <w:tab w:val="left" w:pos="1134"/>
        </w:tabs>
        <w:ind w:left="1134" w:hanging="283"/>
        <w:rPr>
          <w:sz w:val="24"/>
          <w:szCs w:val="24"/>
        </w:rPr>
      </w:pPr>
      <w:r>
        <w:rPr>
          <w:sz w:val="24"/>
          <w:szCs w:val="24"/>
        </w:rPr>
        <w:t>-</w:t>
      </w:r>
      <w:r>
        <w:rPr>
          <w:sz w:val="24"/>
          <w:szCs w:val="24"/>
        </w:rPr>
        <w:tab/>
      </w:r>
      <w:r w:rsidRPr="004C1753">
        <w:rPr>
          <w:sz w:val="24"/>
          <w:szCs w:val="24"/>
        </w:rPr>
        <w:t xml:space="preserve">Alvorlige </w:t>
      </w:r>
      <w:proofErr w:type="spellStart"/>
      <w:r w:rsidRPr="004C1753">
        <w:rPr>
          <w:sz w:val="24"/>
          <w:szCs w:val="24"/>
        </w:rPr>
        <w:t>arytmier</w:t>
      </w:r>
      <w:proofErr w:type="spellEnd"/>
    </w:p>
    <w:p w:rsidR="00D35789" w:rsidRPr="004C1753" w:rsidRDefault="00D35789" w:rsidP="00D35789">
      <w:pPr>
        <w:tabs>
          <w:tab w:val="left" w:pos="1134"/>
        </w:tabs>
        <w:ind w:left="1134" w:hanging="283"/>
        <w:rPr>
          <w:sz w:val="24"/>
          <w:szCs w:val="24"/>
        </w:rPr>
      </w:pPr>
      <w:r>
        <w:rPr>
          <w:sz w:val="24"/>
          <w:szCs w:val="24"/>
        </w:rPr>
        <w:t>-</w:t>
      </w:r>
      <w:r>
        <w:rPr>
          <w:sz w:val="24"/>
          <w:szCs w:val="24"/>
        </w:rPr>
        <w:tab/>
      </w:r>
      <w:r w:rsidRPr="004C1753">
        <w:rPr>
          <w:sz w:val="24"/>
          <w:szCs w:val="24"/>
        </w:rPr>
        <w:t xml:space="preserve">Vedvarende </w:t>
      </w:r>
      <w:proofErr w:type="spellStart"/>
      <w:r w:rsidRPr="004C1753">
        <w:rPr>
          <w:sz w:val="24"/>
          <w:szCs w:val="24"/>
        </w:rPr>
        <w:t>myelosuppression</w:t>
      </w:r>
      <w:proofErr w:type="spellEnd"/>
    </w:p>
    <w:p w:rsidR="00D35789" w:rsidRPr="004C1753" w:rsidRDefault="00D35789" w:rsidP="00D35789">
      <w:pPr>
        <w:tabs>
          <w:tab w:val="left" w:pos="1134"/>
        </w:tabs>
        <w:ind w:left="1134" w:hanging="283"/>
        <w:rPr>
          <w:sz w:val="24"/>
          <w:szCs w:val="24"/>
        </w:rPr>
      </w:pPr>
      <w:r>
        <w:rPr>
          <w:sz w:val="24"/>
          <w:szCs w:val="24"/>
        </w:rPr>
        <w:t>-</w:t>
      </w:r>
      <w:r>
        <w:rPr>
          <w:sz w:val="24"/>
          <w:szCs w:val="24"/>
        </w:rPr>
        <w:tab/>
      </w:r>
      <w:r w:rsidRPr="004C1753">
        <w:rPr>
          <w:sz w:val="24"/>
          <w:szCs w:val="24"/>
        </w:rPr>
        <w:t xml:space="preserve">Tidligere behandling med maksimale kumulative doser af </w:t>
      </w:r>
      <w:proofErr w:type="spellStart"/>
      <w:r w:rsidRPr="004C1753">
        <w:rPr>
          <w:sz w:val="24"/>
          <w:szCs w:val="24"/>
        </w:rPr>
        <w:t>idarubicin</w:t>
      </w:r>
      <w:proofErr w:type="spellEnd"/>
      <w:r w:rsidRPr="004C1753">
        <w:rPr>
          <w:sz w:val="24"/>
          <w:szCs w:val="24"/>
        </w:rPr>
        <w:t xml:space="preserve"> og/eller andre </w:t>
      </w:r>
      <w:proofErr w:type="spellStart"/>
      <w:r w:rsidRPr="004C1753">
        <w:rPr>
          <w:sz w:val="24"/>
          <w:szCs w:val="24"/>
        </w:rPr>
        <w:t>antracykliner</w:t>
      </w:r>
      <w:proofErr w:type="spellEnd"/>
      <w:r w:rsidRPr="004C1753">
        <w:rPr>
          <w:sz w:val="24"/>
          <w:szCs w:val="24"/>
        </w:rPr>
        <w:t xml:space="preserve"> o</w:t>
      </w:r>
      <w:r>
        <w:rPr>
          <w:sz w:val="24"/>
          <w:szCs w:val="24"/>
        </w:rPr>
        <w:t xml:space="preserve">g </w:t>
      </w:r>
      <w:proofErr w:type="spellStart"/>
      <w:r>
        <w:rPr>
          <w:sz w:val="24"/>
          <w:szCs w:val="24"/>
        </w:rPr>
        <w:t>antracenedioner</w:t>
      </w:r>
      <w:proofErr w:type="spellEnd"/>
      <w:r>
        <w:rPr>
          <w:sz w:val="24"/>
          <w:szCs w:val="24"/>
        </w:rPr>
        <w:t xml:space="preserve"> (se pkt. 4.4)</w:t>
      </w:r>
    </w:p>
    <w:p w:rsidR="00D35789" w:rsidRPr="004C1753" w:rsidRDefault="00D35789" w:rsidP="00D35789">
      <w:pPr>
        <w:tabs>
          <w:tab w:val="left" w:pos="1134"/>
        </w:tabs>
        <w:ind w:left="1134" w:hanging="283"/>
        <w:rPr>
          <w:sz w:val="24"/>
          <w:szCs w:val="24"/>
        </w:rPr>
      </w:pPr>
      <w:r>
        <w:rPr>
          <w:sz w:val="24"/>
          <w:szCs w:val="24"/>
        </w:rPr>
        <w:t>-</w:t>
      </w:r>
      <w:r>
        <w:rPr>
          <w:sz w:val="24"/>
          <w:szCs w:val="24"/>
        </w:rPr>
        <w:tab/>
      </w:r>
      <w:r w:rsidRPr="004C1753">
        <w:rPr>
          <w:sz w:val="24"/>
          <w:szCs w:val="24"/>
        </w:rPr>
        <w:t>Amning bør stoppes under behandling med dette lægemiddel (se pkt. 4.6).</w:t>
      </w:r>
    </w:p>
    <w:p w:rsidR="001A148E" w:rsidRPr="00C84483" w:rsidRDefault="001A148E" w:rsidP="00D35789">
      <w:pPr>
        <w:tabs>
          <w:tab w:val="left" w:pos="1134"/>
        </w:tabs>
        <w:ind w:left="1134" w:hanging="283"/>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A148E" w:rsidRDefault="001A148E" w:rsidP="001A148E">
      <w:pPr>
        <w:tabs>
          <w:tab w:val="left" w:pos="851"/>
        </w:tabs>
        <w:ind w:left="851"/>
        <w:rPr>
          <w:bCs/>
          <w:sz w:val="24"/>
          <w:szCs w:val="24"/>
          <w:u w:val="single"/>
        </w:rPr>
      </w:pPr>
    </w:p>
    <w:p w:rsidR="00D35789" w:rsidRPr="006442C0" w:rsidRDefault="00D35789" w:rsidP="00D35789">
      <w:pPr>
        <w:tabs>
          <w:tab w:val="left" w:pos="851"/>
        </w:tabs>
        <w:ind w:left="851"/>
        <w:rPr>
          <w:bCs/>
          <w:iCs/>
          <w:sz w:val="24"/>
          <w:szCs w:val="24"/>
          <w:u w:val="single"/>
        </w:rPr>
      </w:pPr>
      <w:r w:rsidRPr="006442C0">
        <w:rPr>
          <w:bCs/>
          <w:sz w:val="24"/>
          <w:szCs w:val="24"/>
          <w:u w:val="single"/>
        </w:rPr>
        <w:t>Generelt</w:t>
      </w:r>
    </w:p>
    <w:p w:rsidR="00D35789" w:rsidRDefault="00D35789" w:rsidP="00D35789">
      <w:pPr>
        <w:tabs>
          <w:tab w:val="left" w:pos="851"/>
        </w:tabs>
        <w:ind w:left="851"/>
        <w:rPr>
          <w:bCs/>
          <w:sz w:val="24"/>
          <w:szCs w:val="24"/>
        </w:rPr>
      </w:pPr>
      <w:proofErr w:type="spellStart"/>
      <w:r w:rsidRPr="006442C0">
        <w:rPr>
          <w:bCs/>
          <w:sz w:val="24"/>
          <w:szCs w:val="24"/>
        </w:rPr>
        <w:t>Idarubicin</w:t>
      </w:r>
      <w:proofErr w:type="spellEnd"/>
      <w:r w:rsidRPr="006442C0">
        <w:rPr>
          <w:bCs/>
          <w:sz w:val="24"/>
          <w:szCs w:val="24"/>
        </w:rPr>
        <w:t xml:space="preserve"> bør kun anvendes, når behandlingen forestås af læger med særligt kendskab til </w:t>
      </w:r>
      <w:proofErr w:type="spellStart"/>
      <w:r w:rsidRPr="006442C0">
        <w:rPr>
          <w:bCs/>
          <w:sz w:val="24"/>
          <w:szCs w:val="24"/>
        </w:rPr>
        <w:t>cytoksisk</w:t>
      </w:r>
      <w:proofErr w:type="spellEnd"/>
      <w:r w:rsidRPr="006442C0">
        <w:rPr>
          <w:bCs/>
          <w:sz w:val="24"/>
          <w:szCs w:val="24"/>
        </w:rPr>
        <w:t xml:space="preserve"> kemoterapi. </w:t>
      </w:r>
    </w:p>
    <w:p w:rsidR="00D35789" w:rsidRDefault="00D35789" w:rsidP="00D35789">
      <w:pPr>
        <w:tabs>
          <w:tab w:val="left" w:pos="851"/>
        </w:tabs>
        <w:ind w:left="851"/>
        <w:rPr>
          <w:bCs/>
          <w:sz w:val="24"/>
          <w:szCs w:val="24"/>
        </w:rPr>
      </w:pPr>
    </w:p>
    <w:p w:rsidR="00D35789" w:rsidRPr="006442C0" w:rsidRDefault="00D35789" w:rsidP="00D35789">
      <w:pPr>
        <w:tabs>
          <w:tab w:val="left" w:pos="851"/>
        </w:tabs>
        <w:ind w:left="851"/>
        <w:rPr>
          <w:bCs/>
          <w:i/>
          <w:iCs/>
          <w:sz w:val="24"/>
          <w:szCs w:val="24"/>
          <w:u w:val="single"/>
        </w:rPr>
      </w:pPr>
      <w:r w:rsidRPr="006442C0">
        <w:rPr>
          <w:bCs/>
          <w:sz w:val="24"/>
          <w:szCs w:val="24"/>
        </w:rPr>
        <w:t>Dette sikrer, at en hurtig og effektiv behandling af svære komplikationer i forbindelse med disse lidelser og/eller behandling af dem (f.eks. blødning, alvorlige infektioner) kan udføres.</w:t>
      </w:r>
    </w:p>
    <w:p w:rsidR="00D35789" w:rsidRPr="006442C0" w:rsidRDefault="00D35789" w:rsidP="00D35789">
      <w:pPr>
        <w:tabs>
          <w:tab w:val="left" w:pos="851"/>
        </w:tabs>
        <w:ind w:left="851"/>
        <w:rPr>
          <w:bCs/>
          <w:sz w:val="24"/>
          <w:szCs w:val="24"/>
        </w:rPr>
      </w:pPr>
    </w:p>
    <w:p w:rsidR="00D35789" w:rsidRPr="006442C0" w:rsidRDefault="00D35789" w:rsidP="00D35789">
      <w:pPr>
        <w:tabs>
          <w:tab w:val="left" w:pos="851"/>
        </w:tabs>
        <w:ind w:left="851"/>
        <w:rPr>
          <w:bCs/>
          <w:sz w:val="24"/>
          <w:szCs w:val="24"/>
        </w:rPr>
      </w:pPr>
      <w:r w:rsidRPr="006442C0">
        <w:rPr>
          <w:bCs/>
          <w:sz w:val="24"/>
          <w:szCs w:val="24"/>
        </w:rPr>
        <w:t xml:space="preserve">Patienterne skal være kommet sig helt over akutte toksiske symptomer efter tidligere </w:t>
      </w:r>
      <w:proofErr w:type="spellStart"/>
      <w:r w:rsidRPr="006442C0">
        <w:rPr>
          <w:bCs/>
          <w:sz w:val="24"/>
          <w:szCs w:val="24"/>
        </w:rPr>
        <w:t>cytostatikabehandling</w:t>
      </w:r>
      <w:proofErr w:type="spellEnd"/>
      <w:r w:rsidRPr="006442C0">
        <w:rPr>
          <w:bCs/>
          <w:sz w:val="24"/>
          <w:szCs w:val="24"/>
        </w:rPr>
        <w:t xml:space="preserve"> (f.eks. </w:t>
      </w:r>
      <w:proofErr w:type="spellStart"/>
      <w:r w:rsidRPr="006442C0">
        <w:rPr>
          <w:bCs/>
          <w:sz w:val="24"/>
          <w:szCs w:val="24"/>
        </w:rPr>
        <w:t>stomatitis</w:t>
      </w:r>
      <w:proofErr w:type="spellEnd"/>
      <w:r w:rsidRPr="006442C0">
        <w:rPr>
          <w:bCs/>
          <w:sz w:val="24"/>
          <w:szCs w:val="24"/>
        </w:rPr>
        <w:t xml:space="preserve">, </w:t>
      </w:r>
      <w:proofErr w:type="spellStart"/>
      <w:r w:rsidRPr="006442C0">
        <w:rPr>
          <w:bCs/>
          <w:sz w:val="24"/>
          <w:szCs w:val="24"/>
        </w:rPr>
        <w:t>neutropeni</w:t>
      </w:r>
      <w:proofErr w:type="spellEnd"/>
      <w:r w:rsidRPr="006442C0">
        <w:rPr>
          <w:bCs/>
          <w:sz w:val="24"/>
          <w:szCs w:val="24"/>
        </w:rPr>
        <w:t xml:space="preserve">, </w:t>
      </w:r>
      <w:proofErr w:type="spellStart"/>
      <w:r w:rsidRPr="006442C0">
        <w:rPr>
          <w:bCs/>
          <w:sz w:val="24"/>
          <w:szCs w:val="24"/>
        </w:rPr>
        <w:t>trombocytopeni</w:t>
      </w:r>
      <w:proofErr w:type="spellEnd"/>
      <w:r w:rsidRPr="006442C0">
        <w:rPr>
          <w:bCs/>
          <w:sz w:val="24"/>
          <w:szCs w:val="24"/>
        </w:rPr>
        <w:t xml:space="preserve"> og almene infektioner), før behandling med </w:t>
      </w:r>
      <w:proofErr w:type="spellStart"/>
      <w:r w:rsidRPr="006442C0">
        <w:rPr>
          <w:bCs/>
          <w:sz w:val="24"/>
          <w:szCs w:val="24"/>
        </w:rPr>
        <w:t>idarubicin</w:t>
      </w:r>
      <w:proofErr w:type="spellEnd"/>
      <w:r w:rsidRPr="006442C0">
        <w:rPr>
          <w:bCs/>
          <w:sz w:val="24"/>
          <w:szCs w:val="24"/>
        </w:rPr>
        <w:t xml:space="preserve"> påbegyndes.</w:t>
      </w:r>
    </w:p>
    <w:p w:rsidR="00D35789" w:rsidRPr="006442C0" w:rsidRDefault="00D35789" w:rsidP="00D35789">
      <w:pPr>
        <w:tabs>
          <w:tab w:val="left" w:pos="851"/>
        </w:tabs>
        <w:ind w:left="851"/>
        <w:rPr>
          <w:bCs/>
          <w:sz w:val="24"/>
          <w:szCs w:val="24"/>
        </w:rPr>
      </w:pPr>
    </w:p>
    <w:p w:rsidR="00D35789" w:rsidRPr="006442C0" w:rsidRDefault="00D35789" w:rsidP="00D35789">
      <w:pPr>
        <w:tabs>
          <w:tab w:val="left" w:pos="851"/>
        </w:tabs>
        <w:ind w:left="851"/>
        <w:rPr>
          <w:bCs/>
          <w:iCs/>
          <w:sz w:val="24"/>
          <w:szCs w:val="24"/>
          <w:u w:val="single"/>
        </w:rPr>
      </w:pPr>
      <w:r w:rsidRPr="006442C0">
        <w:rPr>
          <w:bCs/>
          <w:sz w:val="24"/>
          <w:szCs w:val="24"/>
          <w:u w:val="single"/>
        </w:rPr>
        <w:t>Hjertefunktion</w:t>
      </w:r>
    </w:p>
    <w:p w:rsidR="00D35789" w:rsidRPr="006442C0" w:rsidRDefault="00D35789" w:rsidP="00D35789">
      <w:pPr>
        <w:tabs>
          <w:tab w:val="left" w:pos="851"/>
        </w:tabs>
        <w:ind w:left="851"/>
        <w:rPr>
          <w:bCs/>
          <w:sz w:val="24"/>
          <w:szCs w:val="24"/>
        </w:rPr>
      </w:pPr>
      <w:proofErr w:type="spellStart"/>
      <w:r w:rsidRPr="006442C0">
        <w:rPr>
          <w:bCs/>
          <w:sz w:val="24"/>
          <w:szCs w:val="24"/>
        </w:rPr>
        <w:t>Kardiotoksicitet</w:t>
      </w:r>
      <w:proofErr w:type="spellEnd"/>
      <w:r w:rsidRPr="006442C0">
        <w:rPr>
          <w:bCs/>
          <w:sz w:val="24"/>
          <w:szCs w:val="24"/>
        </w:rPr>
        <w:t xml:space="preserve"> er en kendt risiko ved </w:t>
      </w:r>
      <w:proofErr w:type="spellStart"/>
      <w:r w:rsidRPr="006442C0">
        <w:rPr>
          <w:bCs/>
          <w:sz w:val="24"/>
          <w:szCs w:val="24"/>
        </w:rPr>
        <w:t>antracyklinbehandling</w:t>
      </w:r>
      <w:proofErr w:type="spellEnd"/>
      <w:r w:rsidRPr="006442C0">
        <w:rPr>
          <w:bCs/>
          <w:sz w:val="24"/>
          <w:szCs w:val="24"/>
        </w:rPr>
        <w:t>. Dette kan manifestere sig som tidlige (dvs. akutte) eller sene (dvs. forsinkede) hændelser.</w:t>
      </w:r>
    </w:p>
    <w:p w:rsidR="00D35789" w:rsidRPr="006442C0" w:rsidRDefault="00D35789" w:rsidP="00D35789">
      <w:pPr>
        <w:tabs>
          <w:tab w:val="left" w:pos="851"/>
        </w:tabs>
        <w:ind w:left="851"/>
        <w:rPr>
          <w:bCs/>
          <w:sz w:val="24"/>
          <w:szCs w:val="24"/>
        </w:rPr>
      </w:pPr>
    </w:p>
    <w:p w:rsidR="00D35789" w:rsidRPr="006442C0" w:rsidRDefault="00D35789" w:rsidP="00D35789">
      <w:pPr>
        <w:tabs>
          <w:tab w:val="left" w:pos="851"/>
        </w:tabs>
        <w:ind w:left="851"/>
        <w:rPr>
          <w:bCs/>
          <w:i/>
          <w:iCs/>
          <w:sz w:val="24"/>
          <w:szCs w:val="24"/>
        </w:rPr>
      </w:pPr>
      <w:r w:rsidRPr="006442C0">
        <w:rPr>
          <w:bCs/>
          <w:i/>
          <w:sz w:val="24"/>
          <w:szCs w:val="24"/>
        </w:rPr>
        <w:t>Tidlige (akutte) hændelser</w:t>
      </w:r>
    </w:p>
    <w:p w:rsidR="00D35789" w:rsidRPr="006442C0" w:rsidRDefault="00D35789" w:rsidP="00D35789">
      <w:pPr>
        <w:tabs>
          <w:tab w:val="left" w:pos="851"/>
        </w:tabs>
        <w:ind w:left="851"/>
        <w:rPr>
          <w:bCs/>
          <w:sz w:val="24"/>
          <w:szCs w:val="24"/>
        </w:rPr>
      </w:pPr>
      <w:r w:rsidRPr="006442C0">
        <w:rPr>
          <w:bCs/>
          <w:sz w:val="24"/>
          <w:szCs w:val="24"/>
        </w:rPr>
        <w:t xml:space="preserve">Tidlig </w:t>
      </w:r>
      <w:proofErr w:type="spellStart"/>
      <w:r w:rsidRPr="006442C0">
        <w:rPr>
          <w:bCs/>
          <w:sz w:val="24"/>
          <w:szCs w:val="24"/>
        </w:rPr>
        <w:t>kardiotoksicitet</w:t>
      </w:r>
      <w:proofErr w:type="spellEnd"/>
      <w:r w:rsidRPr="006442C0">
        <w:rPr>
          <w:bCs/>
          <w:sz w:val="24"/>
          <w:szCs w:val="24"/>
        </w:rPr>
        <w:t xml:space="preserve"> forårsaget af </w:t>
      </w:r>
      <w:proofErr w:type="spellStart"/>
      <w:r w:rsidRPr="006442C0">
        <w:rPr>
          <w:bCs/>
          <w:sz w:val="24"/>
          <w:szCs w:val="24"/>
        </w:rPr>
        <w:t>idarubicin</w:t>
      </w:r>
      <w:proofErr w:type="spellEnd"/>
      <w:r w:rsidRPr="006442C0">
        <w:rPr>
          <w:bCs/>
          <w:sz w:val="24"/>
          <w:szCs w:val="24"/>
        </w:rPr>
        <w:t xml:space="preserve"> består </w:t>
      </w:r>
      <w:proofErr w:type="spellStart"/>
      <w:r w:rsidRPr="006442C0">
        <w:rPr>
          <w:bCs/>
          <w:sz w:val="24"/>
          <w:szCs w:val="24"/>
        </w:rPr>
        <w:t>hovedsagligt</w:t>
      </w:r>
      <w:proofErr w:type="spellEnd"/>
      <w:r w:rsidRPr="006442C0">
        <w:rPr>
          <w:bCs/>
          <w:sz w:val="24"/>
          <w:szCs w:val="24"/>
        </w:rPr>
        <w:t xml:space="preserve"> af </w:t>
      </w:r>
      <w:proofErr w:type="spellStart"/>
      <w:r w:rsidRPr="006442C0">
        <w:rPr>
          <w:bCs/>
          <w:sz w:val="24"/>
          <w:szCs w:val="24"/>
        </w:rPr>
        <w:t>sinustakykardi</w:t>
      </w:r>
      <w:proofErr w:type="spellEnd"/>
      <w:r w:rsidRPr="006442C0">
        <w:rPr>
          <w:bCs/>
          <w:sz w:val="24"/>
          <w:szCs w:val="24"/>
        </w:rPr>
        <w:t xml:space="preserve"> og/eller EKG</w:t>
      </w:r>
      <w:r>
        <w:rPr>
          <w:bCs/>
          <w:sz w:val="24"/>
          <w:szCs w:val="24"/>
        </w:rPr>
        <w:t>-</w:t>
      </w:r>
      <w:r w:rsidRPr="006442C0">
        <w:rPr>
          <w:bCs/>
          <w:sz w:val="24"/>
          <w:szCs w:val="24"/>
        </w:rPr>
        <w:t xml:space="preserve">ændringer, såsom ikke specifik ST-T-segmentændring. Der er også rapporteret </w:t>
      </w:r>
      <w:proofErr w:type="spellStart"/>
      <w:r w:rsidRPr="006442C0">
        <w:rPr>
          <w:bCs/>
          <w:sz w:val="24"/>
          <w:szCs w:val="24"/>
        </w:rPr>
        <w:t>takyarytmi</w:t>
      </w:r>
      <w:proofErr w:type="spellEnd"/>
      <w:r w:rsidRPr="006442C0">
        <w:rPr>
          <w:bCs/>
          <w:sz w:val="24"/>
          <w:szCs w:val="24"/>
        </w:rPr>
        <w:t xml:space="preserve">, herunder </w:t>
      </w:r>
      <w:proofErr w:type="spellStart"/>
      <w:r w:rsidRPr="006442C0">
        <w:rPr>
          <w:bCs/>
          <w:sz w:val="24"/>
          <w:szCs w:val="24"/>
        </w:rPr>
        <w:t>ventrikulær</w:t>
      </w:r>
      <w:proofErr w:type="spellEnd"/>
      <w:r w:rsidRPr="006442C0">
        <w:rPr>
          <w:bCs/>
          <w:sz w:val="24"/>
          <w:szCs w:val="24"/>
        </w:rPr>
        <w:t xml:space="preserve"> </w:t>
      </w:r>
      <w:proofErr w:type="spellStart"/>
      <w:r w:rsidRPr="006442C0">
        <w:rPr>
          <w:bCs/>
          <w:sz w:val="24"/>
          <w:szCs w:val="24"/>
        </w:rPr>
        <w:t>ekstrasystoli</w:t>
      </w:r>
      <w:proofErr w:type="spellEnd"/>
      <w:r w:rsidRPr="006442C0">
        <w:rPr>
          <w:bCs/>
          <w:sz w:val="24"/>
          <w:szCs w:val="24"/>
        </w:rPr>
        <w:t xml:space="preserve"> og </w:t>
      </w:r>
      <w:proofErr w:type="spellStart"/>
      <w:r w:rsidRPr="006442C0">
        <w:rPr>
          <w:bCs/>
          <w:sz w:val="24"/>
          <w:szCs w:val="24"/>
        </w:rPr>
        <w:t>ventrikulær</w:t>
      </w:r>
      <w:proofErr w:type="spellEnd"/>
      <w:r w:rsidRPr="006442C0">
        <w:rPr>
          <w:bCs/>
          <w:sz w:val="24"/>
          <w:szCs w:val="24"/>
        </w:rPr>
        <w:t xml:space="preserve"> </w:t>
      </w:r>
      <w:proofErr w:type="spellStart"/>
      <w:r w:rsidRPr="006442C0">
        <w:rPr>
          <w:bCs/>
          <w:sz w:val="24"/>
          <w:szCs w:val="24"/>
        </w:rPr>
        <w:t>takykardi</w:t>
      </w:r>
      <w:proofErr w:type="spellEnd"/>
      <w:r w:rsidRPr="006442C0">
        <w:rPr>
          <w:bCs/>
          <w:sz w:val="24"/>
          <w:szCs w:val="24"/>
        </w:rPr>
        <w:t xml:space="preserve">, bradykardi </w:t>
      </w:r>
      <w:r>
        <w:rPr>
          <w:bCs/>
          <w:sz w:val="24"/>
          <w:szCs w:val="24"/>
        </w:rPr>
        <w:t>såvel som</w:t>
      </w:r>
      <w:r w:rsidRPr="006442C0">
        <w:rPr>
          <w:bCs/>
          <w:sz w:val="24"/>
          <w:szCs w:val="24"/>
        </w:rPr>
        <w:t xml:space="preserve"> </w:t>
      </w:r>
      <w:proofErr w:type="spellStart"/>
      <w:r w:rsidRPr="006442C0">
        <w:rPr>
          <w:bCs/>
          <w:sz w:val="24"/>
          <w:szCs w:val="24"/>
        </w:rPr>
        <w:t>atrioventrikulært</w:t>
      </w:r>
      <w:proofErr w:type="spellEnd"/>
      <w:r w:rsidRPr="006442C0">
        <w:rPr>
          <w:bCs/>
          <w:sz w:val="24"/>
          <w:szCs w:val="24"/>
        </w:rPr>
        <w:t xml:space="preserve"> blok og grenblok. Disse hændelser forudsiger sædvanligvis ikke efterfølgende udvikling af forsinket </w:t>
      </w:r>
      <w:proofErr w:type="spellStart"/>
      <w:r w:rsidRPr="006442C0">
        <w:rPr>
          <w:bCs/>
          <w:sz w:val="24"/>
          <w:szCs w:val="24"/>
        </w:rPr>
        <w:t>kardiotoksicitet</w:t>
      </w:r>
      <w:proofErr w:type="spellEnd"/>
      <w:r w:rsidRPr="006442C0">
        <w:rPr>
          <w:bCs/>
          <w:sz w:val="24"/>
          <w:szCs w:val="24"/>
        </w:rPr>
        <w:t xml:space="preserve">. De er sjældent af klinisk betydning og </w:t>
      </w:r>
      <w:r>
        <w:rPr>
          <w:bCs/>
          <w:sz w:val="24"/>
          <w:szCs w:val="24"/>
        </w:rPr>
        <w:t>er</w:t>
      </w:r>
      <w:r w:rsidRPr="006442C0">
        <w:rPr>
          <w:bCs/>
          <w:sz w:val="24"/>
          <w:szCs w:val="24"/>
        </w:rPr>
        <w:t xml:space="preserve"> generelt ikke </w:t>
      </w:r>
      <w:r>
        <w:rPr>
          <w:bCs/>
          <w:sz w:val="24"/>
          <w:szCs w:val="24"/>
        </w:rPr>
        <w:t>årsagen</w:t>
      </w:r>
      <w:r w:rsidRPr="006442C0">
        <w:rPr>
          <w:bCs/>
          <w:sz w:val="24"/>
          <w:szCs w:val="24"/>
        </w:rPr>
        <w:t xml:space="preserve"> til </w:t>
      </w:r>
      <w:proofErr w:type="spellStart"/>
      <w:r>
        <w:rPr>
          <w:bCs/>
          <w:sz w:val="24"/>
          <w:szCs w:val="24"/>
        </w:rPr>
        <w:t>seponering</w:t>
      </w:r>
      <w:proofErr w:type="spellEnd"/>
      <w:r w:rsidRPr="006442C0">
        <w:rPr>
          <w:bCs/>
          <w:sz w:val="24"/>
          <w:szCs w:val="24"/>
        </w:rPr>
        <w:t xml:space="preserve"> af </w:t>
      </w:r>
      <w:proofErr w:type="spellStart"/>
      <w:r w:rsidRPr="006442C0">
        <w:rPr>
          <w:bCs/>
          <w:sz w:val="24"/>
          <w:szCs w:val="24"/>
        </w:rPr>
        <w:t>idarubicinbehandling</w:t>
      </w:r>
      <w:proofErr w:type="spellEnd"/>
      <w:r w:rsidRPr="006442C0">
        <w:rPr>
          <w:bCs/>
          <w:sz w:val="24"/>
          <w:szCs w:val="24"/>
        </w:rPr>
        <w:t>.</w:t>
      </w:r>
    </w:p>
    <w:p w:rsidR="00D35789" w:rsidRPr="006442C0" w:rsidRDefault="00D35789" w:rsidP="00D35789">
      <w:pPr>
        <w:tabs>
          <w:tab w:val="left" w:pos="851"/>
        </w:tabs>
        <w:ind w:left="851"/>
        <w:rPr>
          <w:bCs/>
          <w:sz w:val="24"/>
          <w:szCs w:val="24"/>
        </w:rPr>
      </w:pPr>
    </w:p>
    <w:p w:rsidR="00D35789" w:rsidRPr="006442C0" w:rsidRDefault="00D35789" w:rsidP="00D35789">
      <w:pPr>
        <w:tabs>
          <w:tab w:val="left" w:pos="851"/>
        </w:tabs>
        <w:ind w:left="851"/>
        <w:rPr>
          <w:bCs/>
          <w:i/>
          <w:iCs/>
          <w:sz w:val="24"/>
          <w:szCs w:val="24"/>
        </w:rPr>
      </w:pPr>
      <w:r w:rsidRPr="006442C0">
        <w:rPr>
          <w:bCs/>
          <w:i/>
          <w:sz w:val="24"/>
          <w:szCs w:val="24"/>
        </w:rPr>
        <w:t>Sene (forsinkede) hændelser</w:t>
      </w:r>
    </w:p>
    <w:p w:rsidR="00D35789" w:rsidRPr="006442C0" w:rsidRDefault="00D35789" w:rsidP="00D35789">
      <w:pPr>
        <w:tabs>
          <w:tab w:val="left" w:pos="851"/>
        </w:tabs>
        <w:ind w:left="851"/>
        <w:rPr>
          <w:bCs/>
          <w:sz w:val="24"/>
          <w:szCs w:val="24"/>
        </w:rPr>
      </w:pPr>
      <w:r w:rsidRPr="006442C0">
        <w:rPr>
          <w:bCs/>
          <w:sz w:val="24"/>
          <w:szCs w:val="24"/>
        </w:rPr>
        <w:t xml:space="preserve">Forsinket </w:t>
      </w:r>
      <w:proofErr w:type="spellStart"/>
      <w:r w:rsidRPr="006442C0">
        <w:rPr>
          <w:bCs/>
          <w:sz w:val="24"/>
          <w:szCs w:val="24"/>
        </w:rPr>
        <w:t>kardiotoksicitet</w:t>
      </w:r>
      <w:proofErr w:type="spellEnd"/>
      <w:r w:rsidRPr="006442C0">
        <w:rPr>
          <w:bCs/>
          <w:sz w:val="24"/>
          <w:szCs w:val="24"/>
        </w:rPr>
        <w:t xml:space="preserve"> udvikles sædvanligvis sent i behandlingsforløbet eller inden for 2-3 måneder efter </w:t>
      </w:r>
      <w:proofErr w:type="spellStart"/>
      <w:r>
        <w:rPr>
          <w:bCs/>
          <w:sz w:val="24"/>
          <w:szCs w:val="24"/>
        </w:rPr>
        <w:t>seponering</w:t>
      </w:r>
      <w:proofErr w:type="spellEnd"/>
      <w:r w:rsidRPr="006442C0">
        <w:rPr>
          <w:bCs/>
          <w:sz w:val="24"/>
          <w:szCs w:val="24"/>
        </w:rPr>
        <w:t xml:space="preserve"> af behandlingen. Der er også rapporteret om sene hændelser adskillige måneder eller år efter afsluttet behandling. Forsinket </w:t>
      </w:r>
      <w:proofErr w:type="spellStart"/>
      <w:r w:rsidRPr="006442C0">
        <w:rPr>
          <w:bCs/>
          <w:sz w:val="24"/>
          <w:szCs w:val="24"/>
        </w:rPr>
        <w:t>kardiomyopati</w:t>
      </w:r>
      <w:proofErr w:type="spellEnd"/>
      <w:r w:rsidRPr="006442C0">
        <w:rPr>
          <w:bCs/>
          <w:sz w:val="24"/>
          <w:szCs w:val="24"/>
        </w:rPr>
        <w:t xml:space="preserve"> manifesterer sig ved nedsat venstre ventrikels uddrivningsfraktion (LVEF) og/eller symptomer på kronisk hjerteinsufficiens, såsom dyspnø, lungeødem, sænkningsødem, </w:t>
      </w:r>
      <w:proofErr w:type="spellStart"/>
      <w:r w:rsidRPr="006442C0">
        <w:rPr>
          <w:bCs/>
          <w:sz w:val="24"/>
          <w:szCs w:val="24"/>
        </w:rPr>
        <w:t>kardiomegali</w:t>
      </w:r>
      <w:proofErr w:type="spellEnd"/>
      <w:r w:rsidRPr="006442C0">
        <w:rPr>
          <w:bCs/>
          <w:sz w:val="24"/>
          <w:szCs w:val="24"/>
        </w:rPr>
        <w:t xml:space="preserve">, </w:t>
      </w:r>
      <w:proofErr w:type="spellStart"/>
      <w:r w:rsidRPr="006442C0">
        <w:rPr>
          <w:bCs/>
          <w:sz w:val="24"/>
          <w:szCs w:val="24"/>
        </w:rPr>
        <w:t>hepatomegali</w:t>
      </w:r>
      <w:proofErr w:type="spellEnd"/>
      <w:r w:rsidRPr="006442C0">
        <w:rPr>
          <w:bCs/>
          <w:sz w:val="24"/>
          <w:szCs w:val="24"/>
        </w:rPr>
        <w:t xml:space="preserve">, </w:t>
      </w:r>
      <w:proofErr w:type="spellStart"/>
      <w:r w:rsidRPr="006442C0">
        <w:rPr>
          <w:bCs/>
          <w:sz w:val="24"/>
          <w:szCs w:val="24"/>
        </w:rPr>
        <w:t>oliguri</w:t>
      </w:r>
      <w:proofErr w:type="spellEnd"/>
      <w:r w:rsidRPr="006442C0">
        <w:rPr>
          <w:bCs/>
          <w:sz w:val="24"/>
          <w:szCs w:val="24"/>
        </w:rPr>
        <w:t xml:space="preserve">, </w:t>
      </w:r>
      <w:proofErr w:type="spellStart"/>
      <w:r w:rsidRPr="006442C0">
        <w:rPr>
          <w:bCs/>
          <w:sz w:val="24"/>
          <w:szCs w:val="24"/>
        </w:rPr>
        <w:t>ascites</w:t>
      </w:r>
      <w:proofErr w:type="spellEnd"/>
      <w:r w:rsidRPr="006442C0">
        <w:rPr>
          <w:bCs/>
          <w:sz w:val="24"/>
          <w:szCs w:val="24"/>
        </w:rPr>
        <w:t xml:space="preserve">, </w:t>
      </w:r>
      <w:proofErr w:type="spellStart"/>
      <w:r w:rsidRPr="006442C0">
        <w:rPr>
          <w:bCs/>
          <w:sz w:val="24"/>
          <w:szCs w:val="24"/>
        </w:rPr>
        <w:t>pleuraeffusion</w:t>
      </w:r>
      <w:proofErr w:type="spellEnd"/>
      <w:r w:rsidRPr="006442C0">
        <w:rPr>
          <w:bCs/>
          <w:sz w:val="24"/>
          <w:szCs w:val="24"/>
        </w:rPr>
        <w:t xml:space="preserve"> og galoprytme. Der er også rapporteret om </w:t>
      </w:r>
      <w:proofErr w:type="spellStart"/>
      <w:r w:rsidRPr="006442C0">
        <w:rPr>
          <w:bCs/>
          <w:sz w:val="24"/>
          <w:szCs w:val="24"/>
        </w:rPr>
        <w:t>subakutte</w:t>
      </w:r>
      <w:proofErr w:type="spellEnd"/>
      <w:r w:rsidRPr="006442C0">
        <w:rPr>
          <w:bCs/>
          <w:sz w:val="24"/>
          <w:szCs w:val="24"/>
        </w:rPr>
        <w:t xml:space="preserve"> hændelser som </w:t>
      </w:r>
      <w:proofErr w:type="spellStart"/>
      <w:r w:rsidRPr="006442C0">
        <w:rPr>
          <w:bCs/>
          <w:sz w:val="24"/>
          <w:szCs w:val="24"/>
        </w:rPr>
        <w:t>perikardit</w:t>
      </w:r>
      <w:proofErr w:type="spellEnd"/>
      <w:r w:rsidRPr="006442C0">
        <w:rPr>
          <w:bCs/>
          <w:sz w:val="24"/>
          <w:szCs w:val="24"/>
        </w:rPr>
        <w:t>/</w:t>
      </w:r>
      <w:proofErr w:type="spellStart"/>
      <w:r w:rsidRPr="006442C0">
        <w:rPr>
          <w:bCs/>
          <w:sz w:val="24"/>
          <w:szCs w:val="24"/>
        </w:rPr>
        <w:t>myokardit</w:t>
      </w:r>
      <w:proofErr w:type="spellEnd"/>
      <w:r w:rsidRPr="006442C0">
        <w:rPr>
          <w:bCs/>
          <w:sz w:val="24"/>
          <w:szCs w:val="24"/>
        </w:rPr>
        <w:t xml:space="preserve">. Livstruende kronisk hjerteinsufficiens er den mest alvorlige form for </w:t>
      </w:r>
      <w:proofErr w:type="spellStart"/>
      <w:r w:rsidRPr="006442C0">
        <w:rPr>
          <w:bCs/>
          <w:sz w:val="24"/>
          <w:szCs w:val="24"/>
        </w:rPr>
        <w:t>antracyklininduceret</w:t>
      </w:r>
      <w:proofErr w:type="spellEnd"/>
      <w:r w:rsidRPr="006442C0">
        <w:rPr>
          <w:bCs/>
          <w:sz w:val="24"/>
          <w:szCs w:val="24"/>
        </w:rPr>
        <w:t xml:space="preserve"> </w:t>
      </w:r>
      <w:proofErr w:type="spellStart"/>
      <w:r w:rsidRPr="006442C0">
        <w:rPr>
          <w:bCs/>
          <w:sz w:val="24"/>
          <w:szCs w:val="24"/>
        </w:rPr>
        <w:t>kardiomyopati</w:t>
      </w:r>
      <w:proofErr w:type="spellEnd"/>
      <w:r w:rsidRPr="006442C0">
        <w:rPr>
          <w:bCs/>
          <w:sz w:val="24"/>
          <w:szCs w:val="24"/>
        </w:rPr>
        <w:t xml:space="preserve"> og repræsenterer den kumulative dosisbegrænsende toksicitet for lægemidlet. </w:t>
      </w:r>
    </w:p>
    <w:p w:rsidR="001A148E" w:rsidRPr="006442C0" w:rsidRDefault="001A148E" w:rsidP="001A148E">
      <w:pPr>
        <w:tabs>
          <w:tab w:val="left" w:pos="851"/>
        </w:tabs>
        <w:ind w:left="851"/>
        <w:rPr>
          <w:bCs/>
          <w:sz w:val="24"/>
          <w:szCs w:val="24"/>
        </w:rPr>
      </w:pPr>
    </w:p>
    <w:p w:rsidR="00D35789" w:rsidRPr="006442C0" w:rsidRDefault="00D35789" w:rsidP="00D35789">
      <w:pPr>
        <w:tabs>
          <w:tab w:val="left" w:pos="851"/>
        </w:tabs>
        <w:ind w:left="851"/>
        <w:rPr>
          <w:bCs/>
          <w:sz w:val="24"/>
          <w:szCs w:val="24"/>
        </w:rPr>
      </w:pPr>
      <w:r w:rsidRPr="006442C0">
        <w:rPr>
          <w:bCs/>
          <w:sz w:val="24"/>
          <w:szCs w:val="24"/>
        </w:rPr>
        <w:t xml:space="preserve">Der er ikke defineret en kumulativ dosisbegrænsning for </w:t>
      </w:r>
      <w:proofErr w:type="spellStart"/>
      <w:r w:rsidRPr="006442C0">
        <w:rPr>
          <w:bCs/>
          <w:sz w:val="24"/>
          <w:szCs w:val="24"/>
        </w:rPr>
        <w:t>idarubicin</w:t>
      </w:r>
      <w:r>
        <w:rPr>
          <w:bCs/>
          <w:sz w:val="24"/>
          <w:szCs w:val="24"/>
        </w:rPr>
        <w:t>hydrochlorid</w:t>
      </w:r>
      <w:proofErr w:type="spellEnd"/>
      <w:r w:rsidRPr="006442C0">
        <w:rPr>
          <w:bCs/>
          <w:sz w:val="24"/>
          <w:szCs w:val="24"/>
        </w:rPr>
        <w:t xml:space="preserve"> indgivet intravenøst</w:t>
      </w:r>
      <w:r>
        <w:rPr>
          <w:bCs/>
          <w:sz w:val="24"/>
          <w:szCs w:val="24"/>
        </w:rPr>
        <w:t xml:space="preserve"> eller oralt</w:t>
      </w:r>
      <w:r w:rsidRPr="006442C0">
        <w:rPr>
          <w:bCs/>
          <w:sz w:val="24"/>
          <w:szCs w:val="24"/>
        </w:rPr>
        <w:t xml:space="preserve">. Imidlertid er der set </w:t>
      </w:r>
      <w:proofErr w:type="spellStart"/>
      <w:r w:rsidRPr="006442C0">
        <w:rPr>
          <w:bCs/>
          <w:sz w:val="24"/>
          <w:szCs w:val="24"/>
        </w:rPr>
        <w:t>idarubicinrelateret</w:t>
      </w:r>
      <w:proofErr w:type="spellEnd"/>
      <w:r w:rsidRPr="006442C0">
        <w:rPr>
          <w:bCs/>
          <w:sz w:val="24"/>
          <w:szCs w:val="24"/>
        </w:rPr>
        <w:t xml:space="preserve"> </w:t>
      </w:r>
      <w:proofErr w:type="spellStart"/>
      <w:r w:rsidRPr="006442C0">
        <w:rPr>
          <w:bCs/>
          <w:sz w:val="24"/>
          <w:szCs w:val="24"/>
        </w:rPr>
        <w:t>kardiomyopati</w:t>
      </w:r>
      <w:proofErr w:type="spellEnd"/>
      <w:r w:rsidRPr="006442C0">
        <w:rPr>
          <w:bCs/>
          <w:sz w:val="24"/>
          <w:szCs w:val="24"/>
        </w:rPr>
        <w:t xml:space="preserve"> hos 5 % af de patienter, som blev behandlet med kumulative intravenøse doser på 150 til 290 mg/m</w:t>
      </w:r>
      <w:r w:rsidRPr="006442C0">
        <w:rPr>
          <w:bCs/>
          <w:sz w:val="24"/>
          <w:szCs w:val="24"/>
          <w:vertAlign w:val="superscript"/>
        </w:rPr>
        <w:t>2</w:t>
      </w:r>
      <w:r w:rsidRPr="006442C0">
        <w:rPr>
          <w:bCs/>
          <w:sz w:val="24"/>
          <w:szCs w:val="24"/>
        </w:rPr>
        <w:t xml:space="preserve">. De tilgængelige data for patienter, der er behandlet med </w:t>
      </w:r>
      <w:proofErr w:type="spellStart"/>
      <w:r w:rsidRPr="006442C0">
        <w:rPr>
          <w:bCs/>
          <w:sz w:val="24"/>
          <w:szCs w:val="24"/>
        </w:rPr>
        <w:t>idarubicin</w:t>
      </w:r>
      <w:r>
        <w:rPr>
          <w:bCs/>
          <w:sz w:val="24"/>
          <w:szCs w:val="24"/>
        </w:rPr>
        <w:t>hydrochlorid</w:t>
      </w:r>
      <w:proofErr w:type="spellEnd"/>
      <w:r w:rsidRPr="006442C0">
        <w:rPr>
          <w:bCs/>
          <w:sz w:val="24"/>
          <w:szCs w:val="24"/>
        </w:rPr>
        <w:t xml:space="preserve"> </w:t>
      </w:r>
      <w:r>
        <w:rPr>
          <w:bCs/>
          <w:sz w:val="24"/>
          <w:szCs w:val="24"/>
        </w:rPr>
        <w:t xml:space="preserve">peroralt i </w:t>
      </w:r>
      <w:r w:rsidRPr="006442C0">
        <w:rPr>
          <w:bCs/>
          <w:sz w:val="24"/>
          <w:szCs w:val="24"/>
        </w:rPr>
        <w:t>kumulative doser på i alt op til 400 mg/m</w:t>
      </w:r>
      <w:r w:rsidRPr="006442C0">
        <w:rPr>
          <w:bCs/>
          <w:sz w:val="24"/>
          <w:szCs w:val="24"/>
          <w:vertAlign w:val="superscript"/>
        </w:rPr>
        <w:t>2</w:t>
      </w:r>
      <w:r w:rsidRPr="006442C0">
        <w:rPr>
          <w:bCs/>
          <w:sz w:val="24"/>
          <w:szCs w:val="24"/>
        </w:rPr>
        <w:t xml:space="preserve"> antyder, at der er en </w:t>
      </w:r>
      <w:r>
        <w:rPr>
          <w:bCs/>
          <w:sz w:val="24"/>
          <w:szCs w:val="24"/>
        </w:rPr>
        <w:t>lav</w:t>
      </w:r>
      <w:r w:rsidRPr="006442C0">
        <w:rPr>
          <w:bCs/>
          <w:sz w:val="24"/>
          <w:szCs w:val="24"/>
        </w:rPr>
        <w:t xml:space="preserve"> mulighed for </w:t>
      </w:r>
      <w:proofErr w:type="spellStart"/>
      <w:r w:rsidRPr="006442C0">
        <w:rPr>
          <w:bCs/>
          <w:sz w:val="24"/>
          <w:szCs w:val="24"/>
        </w:rPr>
        <w:t>kardiotoksicitet</w:t>
      </w:r>
      <w:proofErr w:type="spellEnd"/>
      <w:r w:rsidRPr="006442C0">
        <w:rPr>
          <w:bCs/>
          <w:sz w:val="24"/>
          <w:szCs w:val="24"/>
        </w:rPr>
        <w:t>.</w:t>
      </w:r>
    </w:p>
    <w:p w:rsidR="00D35789" w:rsidRPr="006442C0" w:rsidRDefault="00D35789" w:rsidP="00D35789">
      <w:pPr>
        <w:tabs>
          <w:tab w:val="left" w:pos="851"/>
        </w:tabs>
        <w:ind w:left="851"/>
        <w:rPr>
          <w:bCs/>
          <w:sz w:val="24"/>
          <w:szCs w:val="24"/>
        </w:rPr>
      </w:pPr>
    </w:p>
    <w:p w:rsidR="00D35789" w:rsidRPr="006442C0" w:rsidRDefault="00D35789" w:rsidP="00D35789">
      <w:pPr>
        <w:tabs>
          <w:tab w:val="left" w:pos="851"/>
        </w:tabs>
        <w:ind w:left="851"/>
        <w:rPr>
          <w:bCs/>
          <w:sz w:val="24"/>
          <w:szCs w:val="24"/>
        </w:rPr>
      </w:pPr>
      <w:r w:rsidRPr="006442C0">
        <w:rPr>
          <w:bCs/>
          <w:sz w:val="24"/>
          <w:szCs w:val="24"/>
        </w:rPr>
        <w:t xml:space="preserve">Hjertefunktionen skal vurderes inden </w:t>
      </w:r>
      <w:r>
        <w:rPr>
          <w:bCs/>
          <w:sz w:val="24"/>
          <w:szCs w:val="24"/>
        </w:rPr>
        <w:t xml:space="preserve">patienter starter på </w:t>
      </w:r>
      <w:r w:rsidRPr="006442C0">
        <w:rPr>
          <w:bCs/>
          <w:sz w:val="24"/>
          <w:szCs w:val="24"/>
        </w:rPr>
        <w:t xml:space="preserve">behandling med </w:t>
      </w:r>
      <w:proofErr w:type="spellStart"/>
      <w:r w:rsidRPr="006442C0">
        <w:rPr>
          <w:bCs/>
          <w:sz w:val="24"/>
          <w:szCs w:val="24"/>
        </w:rPr>
        <w:t>idarubicin</w:t>
      </w:r>
      <w:proofErr w:type="spellEnd"/>
      <w:r w:rsidRPr="006442C0">
        <w:rPr>
          <w:bCs/>
          <w:sz w:val="24"/>
          <w:szCs w:val="24"/>
        </w:rPr>
        <w:t xml:space="preserve"> og skal monitoreres nøje under behandlingen for at minimere risikoen for </w:t>
      </w:r>
      <w:r>
        <w:rPr>
          <w:bCs/>
          <w:sz w:val="24"/>
          <w:szCs w:val="24"/>
        </w:rPr>
        <w:t>at pådrage sig svær</w:t>
      </w:r>
      <w:r w:rsidRPr="006442C0">
        <w:rPr>
          <w:bCs/>
          <w:sz w:val="24"/>
          <w:szCs w:val="24"/>
        </w:rPr>
        <w:t xml:space="preserve"> </w:t>
      </w:r>
      <w:r>
        <w:rPr>
          <w:bCs/>
          <w:sz w:val="24"/>
          <w:szCs w:val="24"/>
        </w:rPr>
        <w:t xml:space="preserve">nedsat </w:t>
      </w:r>
      <w:r w:rsidRPr="006442C0">
        <w:rPr>
          <w:bCs/>
          <w:sz w:val="24"/>
          <w:szCs w:val="24"/>
        </w:rPr>
        <w:t>hjerte</w:t>
      </w:r>
      <w:r>
        <w:rPr>
          <w:bCs/>
          <w:sz w:val="24"/>
          <w:szCs w:val="24"/>
        </w:rPr>
        <w:t>funktion</w:t>
      </w:r>
      <w:r w:rsidRPr="006442C0">
        <w:rPr>
          <w:bCs/>
          <w:sz w:val="24"/>
          <w:szCs w:val="24"/>
        </w:rPr>
        <w:t xml:space="preserve">. Risikoen kan </w:t>
      </w:r>
      <w:r>
        <w:rPr>
          <w:bCs/>
          <w:sz w:val="24"/>
          <w:szCs w:val="24"/>
        </w:rPr>
        <w:t>formindskes via</w:t>
      </w:r>
      <w:r w:rsidRPr="006442C0">
        <w:rPr>
          <w:bCs/>
          <w:sz w:val="24"/>
          <w:szCs w:val="24"/>
        </w:rPr>
        <w:t xml:space="preserve"> regelmæssig overvågning af venstre ventrikels uddrivningsfraktion (LVEF) under behandling</w:t>
      </w:r>
      <w:r>
        <w:rPr>
          <w:bCs/>
          <w:sz w:val="24"/>
          <w:szCs w:val="24"/>
        </w:rPr>
        <w:t>sforløbet</w:t>
      </w:r>
      <w:r w:rsidRPr="006442C0">
        <w:rPr>
          <w:bCs/>
          <w:sz w:val="24"/>
          <w:szCs w:val="24"/>
        </w:rPr>
        <w:t xml:space="preserve">, med hurtig </w:t>
      </w:r>
      <w:proofErr w:type="spellStart"/>
      <w:r>
        <w:rPr>
          <w:bCs/>
          <w:sz w:val="24"/>
          <w:szCs w:val="24"/>
        </w:rPr>
        <w:t>seponering</w:t>
      </w:r>
      <w:proofErr w:type="spellEnd"/>
      <w:r w:rsidRPr="006442C0">
        <w:rPr>
          <w:bCs/>
          <w:sz w:val="24"/>
          <w:szCs w:val="24"/>
        </w:rPr>
        <w:t xml:space="preserve"> af </w:t>
      </w:r>
      <w:proofErr w:type="spellStart"/>
      <w:r w:rsidRPr="006442C0">
        <w:rPr>
          <w:bCs/>
          <w:sz w:val="24"/>
          <w:szCs w:val="24"/>
        </w:rPr>
        <w:t>idarubicin</w:t>
      </w:r>
      <w:proofErr w:type="spellEnd"/>
      <w:r w:rsidRPr="006442C0">
        <w:rPr>
          <w:bCs/>
          <w:sz w:val="24"/>
          <w:szCs w:val="24"/>
        </w:rPr>
        <w:t xml:space="preserve"> ved det første tegn på nedsat funktion. De</w:t>
      </w:r>
      <w:r>
        <w:rPr>
          <w:bCs/>
          <w:sz w:val="24"/>
          <w:szCs w:val="24"/>
        </w:rPr>
        <w:t>n</w:t>
      </w:r>
      <w:r w:rsidRPr="006442C0">
        <w:rPr>
          <w:bCs/>
          <w:sz w:val="24"/>
          <w:szCs w:val="24"/>
        </w:rPr>
        <w:t xml:space="preserve"> mest </w:t>
      </w:r>
      <w:r>
        <w:rPr>
          <w:bCs/>
          <w:sz w:val="24"/>
          <w:szCs w:val="24"/>
        </w:rPr>
        <w:t>hensigtsmæssige</w:t>
      </w:r>
      <w:r w:rsidRPr="006442C0">
        <w:rPr>
          <w:bCs/>
          <w:sz w:val="24"/>
          <w:szCs w:val="24"/>
        </w:rPr>
        <w:t xml:space="preserve"> metode til gentagen vurdering af hjertefunktionen (evaluering af LVEF) omfatter </w:t>
      </w:r>
      <w:r>
        <w:rPr>
          <w:bCs/>
          <w:sz w:val="24"/>
          <w:szCs w:val="24"/>
        </w:rPr>
        <w:t xml:space="preserve">MUGA-scanning (Multiple </w:t>
      </w:r>
      <w:proofErr w:type="spellStart"/>
      <w:r>
        <w:rPr>
          <w:bCs/>
          <w:sz w:val="24"/>
          <w:szCs w:val="24"/>
        </w:rPr>
        <w:t>Gated</w:t>
      </w:r>
      <w:proofErr w:type="spellEnd"/>
      <w:r>
        <w:rPr>
          <w:bCs/>
          <w:sz w:val="24"/>
          <w:szCs w:val="24"/>
        </w:rPr>
        <w:t xml:space="preserve"> </w:t>
      </w:r>
      <w:proofErr w:type="spellStart"/>
      <w:r>
        <w:rPr>
          <w:bCs/>
          <w:sz w:val="24"/>
          <w:szCs w:val="24"/>
        </w:rPr>
        <w:t>Acquisition</w:t>
      </w:r>
      <w:proofErr w:type="spellEnd"/>
      <w:r>
        <w:rPr>
          <w:bCs/>
          <w:sz w:val="24"/>
          <w:szCs w:val="24"/>
        </w:rPr>
        <w:t>)</w:t>
      </w:r>
      <w:r w:rsidRPr="006442C0">
        <w:rPr>
          <w:bCs/>
          <w:sz w:val="24"/>
          <w:szCs w:val="24"/>
        </w:rPr>
        <w:t xml:space="preserve"> eller ekkokardiografi</w:t>
      </w:r>
      <w:r>
        <w:rPr>
          <w:bCs/>
          <w:sz w:val="24"/>
          <w:szCs w:val="24"/>
        </w:rPr>
        <w:t xml:space="preserve"> (ECHO)</w:t>
      </w:r>
      <w:r w:rsidRPr="006442C0">
        <w:rPr>
          <w:bCs/>
          <w:sz w:val="24"/>
          <w:szCs w:val="24"/>
        </w:rPr>
        <w:t xml:space="preserve">. Det anbefales at vurdere hjertefunktionen ved baseline </w:t>
      </w:r>
      <w:r>
        <w:rPr>
          <w:bCs/>
          <w:sz w:val="24"/>
          <w:szCs w:val="24"/>
        </w:rPr>
        <w:t>med</w:t>
      </w:r>
      <w:r w:rsidRPr="006442C0">
        <w:rPr>
          <w:bCs/>
          <w:sz w:val="24"/>
          <w:szCs w:val="24"/>
        </w:rPr>
        <w:t xml:space="preserve"> EKG og enten</w:t>
      </w:r>
      <w:r>
        <w:rPr>
          <w:bCs/>
          <w:sz w:val="24"/>
          <w:szCs w:val="24"/>
        </w:rPr>
        <w:t xml:space="preserve"> MUGA-scanning </w:t>
      </w:r>
      <w:r w:rsidRPr="006442C0">
        <w:rPr>
          <w:bCs/>
          <w:sz w:val="24"/>
          <w:szCs w:val="24"/>
        </w:rPr>
        <w:t xml:space="preserve">eller ekkokardiografi, især hos patienter med risikofaktorer for øget </w:t>
      </w:r>
      <w:proofErr w:type="spellStart"/>
      <w:r w:rsidRPr="006442C0">
        <w:rPr>
          <w:bCs/>
          <w:sz w:val="24"/>
          <w:szCs w:val="24"/>
        </w:rPr>
        <w:t>kardiotoksicitet</w:t>
      </w:r>
      <w:proofErr w:type="spellEnd"/>
      <w:r w:rsidRPr="006442C0">
        <w:rPr>
          <w:bCs/>
          <w:sz w:val="24"/>
          <w:szCs w:val="24"/>
        </w:rPr>
        <w:t xml:space="preserve">. </w:t>
      </w:r>
    </w:p>
    <w:p w:rsidR="00D35789" w:rsidRPr="006442C0" w:rsidRDefault="00D35789" w:rsidP="00D35789">
      <w:pPr>
        <w:tabs>
          <w:tab w:val="left" w:pos="851"/>
        </w:tabs>
        <w:ind w:left="851"/>
        <w:rPr>
          <w:bCs/>
          <w:sz w:val="24"/>
          <w:szCs w:val="24"/>
        </w:rPr>
      </w:pPr>
      <w:r w:rsidRPr="006442C0">
        <w:rPr>
          <w:bCs/>
          <w:sz w:val="24"/>
          <w:szCs w:val="24"/>
        </w:rPr>
        <w:t xml:space="preserve">Gentagne </w:t>
      </w:r>
      <w:r>
        <w:rPr>
          <w:bCs/>
          <w:sz w:val="24"/>
          <w:szCs w:val="24"/>
        </w:rPr>
        <w:t>MUGA</w:t>
      </w:r>
      <w:r w:rsidRPr="006442C0">
        <w:rPr>
          <w:bCs/>
          <w:sz w:val="24"/>
          <w:szCs w:val="24"/>
        </w:rPr>
        <w:t xml:space="preserve"> eller ekkokardiografiske bestemmelser af LVEF </w:t>
      </w:r>
      <w:r>
        <w:rPr>
          <w:bCs/>
          <w:sz w:val="24"/>
          <w:szCs w:val="24"/>
        </w:rPr>
        <w:t>skal</w:t>
      </w:r>
      <w:r w:rsidRPr="006442C0">
        <w:rPr>
          <w:bCs/>
          <w:sz w:val="24"/>
          <w:szCs w:val="24"/>
        </w:rPr>
        <w:t xml:space="preserve"> udføres, især ved behandling med høje, kumulative </w:t>
      </w:r>
      <w:proofErr w:type="spellStart"/>
      <w:r w:rsidRPr="006442C0">
        <w:rPr>
          <w:bCs/>
          <w:sz w:val="24"/>
          <w:szCs w:val="24"/>
        </w:rPr>
        <w:t>antracyklindoser</w:t>
      </w:r>
      <w:proofErr w:type="spellEnd"/>
      <w:r w:rsidRPr="006442C0">
        <w:rPr>
          <w:bCs/>
          <w:sz w:val="24"/>
          <w:szCs w:val="24"/>
        </w:rPr>
        <w:t>. Samme teknik til vurdering af LVEF bør anvendes under hele opfølgningen.</w:t>
      </w:r>
    </w:p>
    <w:p w:rsidR="001A148E" w:rsidRPr="006442C0" w:rsidRDefault="001A148E" w:rsidP="001A148E">
      <w:pPr>
        <w:tabs>
          <w:tab w:val="left" w:pos="851"/>
        </w:tabs>
        <w:ind w:left="851"/>
        <w:rPr>
          <w:bCs/>
          <w:sz w:val="24"/>
          <w:szCs w:val="24"/>
        </w:rPr>
      </w:pPr>
    </w:p>
    <w:p w:rsidR="00D35789" w:rsidRPr="006442C0" w:rsidRDefault="00D35789" w:rsidP="00D35789">
      <w:pPr>
        <w:tabs>
          <w:tab w:val="left" w:pos="851"/>
        </w:tabs>
        <w:ind w:left="851"/>
        <w:rPr>
          <w:bCs/>
          <w:sz w:val="24"/>
          <w:szCs w:val="24"/>
        </w:rPr>
      </w:pPr>
      <w:r w:rsidRPr="006442C0">
        <w:rPr>
          <w:bCs/>
          <w:sz w:val="24"/>
          <w:szCs w:val="24"/>
        </w:rPr>
        <w:t xml:space="preserve">Risikofaktorer for </w:t>
      </w:r>
      <w:proofErr w:type="spellStart"/>
      <w:r w:rsidRPr="006442C0">
        <w:rPr>
          <w:bCs/>
          <w:sz w:val="24"/>
          <w:szCs w:val="24"/>
        </w:rPr>
        <w:t>kardiotoksicitet</w:t>
      </w:r>
      <w:proofErr w:type="spellEnd"/>
      <w:r w:rsidRPr="006442C0">
        <w:rPr>
          <w:bCs/>
          <w:sz w:val="24"/>
          <w:szCs w:val="24"/>
        </w:rPr>
        <w:t xml:space="preserve"> omfatter aktiv eller latent </w:t>
      </w:r>
      <w:proofErr w:type="spellStart"/>
      <w:r w:rsidRPr="006442C0">
        <w:rPr>
          <w:bCs/>
          <w:sz w:val="24"/>
          <w:szCs w:val="24"/>
        </w:rPr>
        <w:t>kardiovaskulær</w:t>
      </w:r>
      <w:proofErr w:type="spellEnd"/>
      <w:r w:rsidRPr="006442C0">
        <w:rPr>
          <w:bCs/>
          <w:sz w:val="24"/>
          <w:szCs w:val="24"/>
        </w:rPr>
        <w:t xml:space="preserve"> sygdom, tidligere eller samtidig </w:t>
      </w:r>
      <w:proofErr w:type="spellStart"/>
      <w:r w:rsidRPr="006442C0">
        <w:rPr>
          <w:bCs/>
          <w:sz w:val="24"/>
          <w:szCs w:val="24"/>
        </w:rPr>
        <w:t>mediastinal</w:t>
      </w:r>
      <w:proofErr w:type="spellEnd"/>
      <w:r w:rsidRPr="006442C0">
        <w:rPr>
          <w:bCs/>
          <w:sz w:val="24"/>
          <w:szCs w:val="24"/>
        </w:rPr>
        <w:t>/</w:t>
      </w:r>
      <w:proofErr w:type="spellStart"/>
      <w:r w:rsidRPr="006442C0">
        <w:rPr>
          <w:bCs/>
          <w:sz w:val="24"/>
          <w:szCs w:val="24"/>
        </w:rPr>
        <w:t>perikardiel</w:t>
      </w:r>
      <w:proofErr w:type="spellEnd"/>
      <w:r w:rsidRPr="006442C0">
        <w:rPr>
          <w:bCs/>
          <w:sz w:val="24"/>
          <w:szCs w:val="24"/>
        </w:rPr>
        <w:t xml:space="preserve"> strålebehandling, tidligere behandling med andre </w:t>
      </w:r>
      <w:proofErr w:type="spellStart"/>
      <w:r w:rsidRPr="006442C0">
        <w:rPr>
          <w:bCs/>
          <w:sz w:val="24"/>
          <w:szCs w:val="24"/>
        </w:rPr>
        <w:t>antracykliner</w:t>
      </w:r>
      <w:proofErr w:type="spellEnd"/>
      <w:r w:rsidRPr="006442C0">
        <w:rPr>
          <w:bCs/>
          <w:sz w:val="24"/>
          <w:szCs w:val="24"/>
        </w:rPr>
        <w:t xml:space="preserve"> eller </w:t>
      </w:r>
      <w:proofErr w:type="spellStart"/>
      <w:r w:rsidRPr="006442C0">
        <w:rPr>
          <w:bCs/>
          <w:sz w:val="24"/>
          <w:szCs w:val="24"/>
        </w:rPr>
        <w:t>antracenedioner</w:t>
      </w:r>
      <w:proofErr w:type="spellEnd"/>
      <w:r w:rsidRPr="006442C0">
        <w:rPr>
          <w:bCs/>
          <w:sz w:val="24"/>
          <w:szCs w:val="24"/>
        </w:rPr>
        <w:t xml:space="preserve"> samt samtidig brug af lægemidler med hæmmende virkning på </w:t>
      </w:r>
      <w:proofErr w:type="spellStart"/>
      <w:r w:rsidRPr="006442C0">
        <w:rPr>
          <w:bCs/>
          <w:sz w:val="24"/>
          <w:szCs w:val="24"/>
        </w:rPr>
        <w:t>hjertekontraktiliteten</w:t>
      </w:r>
      <w:proofErr w:type="spellEnd"/>
      <w:r w:rsidRPr="006442C0">
        <w:rPr>
          <w:bCs/>
          <w:sz w:val="24"/>
          <w:szCs w:val="24"/>
        </w:rPr>
        <w:t xml:space="preserve"> eller </w:t>
      </w:r>
      <w:proofErr w:type="spellStart"/>
      <w:r w:rsidRPr="006442C0">
        <w:rPr>
          <w:bCs/>
          <w:sz w:val="24"/>
          <w:szCs w:val="24"/>
        </w:rPr>
        <w:t>kardiotoksiske</w:t>
      </w:r>
      <w:proofErr w:type="spellEnd"/>
      <w:r w:rsidRPr="006442C0">
        <w:rPr>
          <w:bCs/>
          <w:sz w:val="24"/>
          <w:szCs w:val="24"/>
        </w:rPr>
        <w:t xml:space="preserve"> lægemidler (f.eks. </w:t>
      </w:r>
      <w:proofErr w:type="spellStart"/>
      <w:r w:rsidRPr="006442C0">
        <w:rPr>
          <w:bCs/>
          <w:sz w:val="24"/>
          <w:szCs w:val="24"/>
        </w:rPr>
        <w:t>trastuzumab</w:t>
      </w:r>
      <w:proofErr w:type="spellEnd"/>
      <w:r w:rsidRPr="006442C0">
        <w:rPr>
          <w:bCs/>
          <w:sz w:val="24"/>
          <w:szCs w:val="24"/>
        </w:rPr>
        <w:t xml:space="preserve">). </w:t>
      </w:r>
      <w:proofErr w:type="spellStart"/>
      <w:r w:rsidRPr="006442C0">
        <w:rPr>
          <w:bCs/>
          <w:sz w:val="24"/>
          <w:szCs w:val="24"/>
        </w:rPr>
        <w:t>Antracykliner</w:t>
      </w:r>
      <w:proofErr w:type="spellEnd"/>
      <w:r w:rsidRPr="006442C0">
        <w:rPr>
          <w:bCs/>
          <w:sz w:val="24"/>
          <w:szCs w:val="24"/>
        </w:rPr>
        <w:t xml:space="preserve">, herunder </w:t>
      </w:r>
      <w:proofErr w:type="spellStart"/>
      <w:r w:rsidRPr="006442C0">
        <w:rPr>
          <w:bCs/>
          <w:sz w:val="24"/>
          <w:szCs w:val="24"/>
        </w:rPr>
        <w:t>idarubicin</w:t>
      </w:r>
      <w:proofErr w:type="spellEnd"/>
      <w:r w:rsidRPr="006442C0">
        <w:rPr>
          <w:bCs/>
          <w:sz w:val="24"/>
          <w:szCs w:val="24"/>
        </w:rPr>
        <w:t xml:space="preserve">, bør ikke administreres i kombination med andre </w:t>
      </w:r>
      <w:proofErr w:type="spellStart"/>
      <w:r w:rsidRPr="006442C0">
        <w:rPr>
          <w:bCs/>
          <w:sz w:val="24"/>
          <w:szCs w:val="24"/>
        </w:rPr>
        <w:t>kardiotoksiske</w:t>
      </w:r>
      <w:proofErr w:type="spellEnd"/>
      <w:r w:rsidRPr="006442C0">
        <w:rPr>
          <w:bCs/>
          <w:sz w:val="24"/>
          <w:szCs w:val="24"/>
        </w:rPr>
        <w:t xml:space="preserve"> lægemidler, medmindre patientens hjertefunktion monitoreres omhyggeligt (se pkt. 4.5). Patienter, som bliver behandlet med </w:t>
      </w:r>
      <w:proofErr w:type="spellStart"/>
      <w:r w:rsidRPr="006442C0">
        <w:rPr>
          <w:bCs/>
          <w:sz w:val="24"/>
          <w:szCs w:val="24"/>
        </w:rPr>
        <w:t>antracykliner</w:t>
      </w:r>
      <w:proofErr w:type="spellEnd"/>
      <w:r w:rsidRPr="006442C0">
        <w:rPr>
          <w:bCs/>
          <w:sz w:val="24"/>
          <w:szCs w:val="24"/>
        </w:rPr>
        <w:t xml:space="preserve"> efter afsluttet behandling med andre </w:t>
      </w:r>
      <w:proofErr w:type="spellStart"/>
      <w:r w:rsidRPr="006442C0">
        <w:rPr>
          <w:bCs/>
          <w:sz w:val="24"/>
          <w:szCs w:val="24"/>
        </w:rPr>
        <w:t>kardiotoksiske</w:t>
      </w:r>
      <w:proofErr w:type="spellEnd"/>
      <w:r w:rsidRPr="006442C0">
        <w:rPr>
          <w:bCs/>
          <w:sz w:val="24"/>
          <w:szCs w:val="24"/>
        </w:rPr>
        <w:t xml:space="preserve"> lægemidler, især dem med lang halveringstid, herunder </w:t>
      </w:r>
      <w:proofErr w:type="spellStart"/>
      <w:r w:rsidRPr="006442C0">
        <w:rPr>
          <w:bCs/>
          <w:sz w:val="24"/>
          <w:szCs w:val="24"/>
        </w:rPr>
        <w:t>trastuzumab</w:t>
      </w:r>
      <w:proofErr w:type="spellEnd"/>
      <w:r w:rsidRPr="006442C0">
        <w:rPr>
          <w:bCs/>
          <w:sz w:val="24"/>
          <w:szCs w:val="24"/>
        </w:rPr>
        <w:t xml:space="preserve">, kan også have forøget risiko for udvikling af </w:t>
      </w:r>
      <w:proofErr w:type="spellStart"/>
      <w:r w:rsidRPr="006442C0">
        <w:rPr>
          <w:bCs/>
          <w:sz w:val="24"/>
          <w:szCs w:val="24"/>
        </w:rPr>
        <w:t>kardiotoksicitet</w:t>
      </w:r>
      <w:proofErr w:type="spellEnd"/>
      <w:r w:rsidRPr="006442C0">
        <w:rPr>
          <w:bCs/>
          <w:sz w:val="24"/>
          <w:szCs w:val="24"/>
        </w:rPr>
        <w:t xml:space="preserve">. </w:t>
      </w:r>
      <w:r>
        <w:rPr>
          <w:bCs/>
          <w:sz w:val="24"/>
          <w:szCs w:val="24"/>
        </w:rPr>
        <w:t>Den indberettede h</w:t>
      </w:r>
      <w:r w:rsidRPr="006442C0">
        <w:rPr>
          <w:bCs/>
          <w:sz w:val="24"/>
          <w:szCs w:val="24"/>
        </w:rPr>
        <w:t xml:space="preserve">alveringstiden for </w:t>
      </w:r>
      <w:proofErr w:type="spellStart"/>
      <w:r w:rsidRPr="006442C0">
        <w:rPr>
          <w:bCs/>
          <w:sz w:val="24"/>
          <w:szCs w:val="24"/>
        </w:rPr>
        <w:t>trastuzumab</w:t>
      </w:r>
      <w:proofErr w:type="spellEnd"/>
      <w:r w:rsidRPr="006442C0">
        <w:rPr>
          <w:bCs/>
          <w:sz w:val="24"/>
          <w:szCs w:val="24"/>
        </w:rPr>
        <w:t xml:space="preserve"> er </w:t>
      </w:r>
      <w:r>
        <w:rPr>
          <w:bCs/>
          <w:sz w:val="24"/>
          <w:szCs w:val="24"/>
        </w:rPr>
        <w:t>variabel. Aktivstoffet</w:t>
      </w:r>
      <w:r w:rsidRPr="006442C0">
        <w:rPr>
          <w:bCs/>
          <w:sz w:val="24"/>
          <w:szCs w:val="24"/>
        </w:rPr>
        <w:t xml:space="preserve"> kan forblive i kredsløbet i op til 7 </w:t>
      </w:r>
      <w:r>
        <w:rPr>
          <w:bCs/>
          <w:sz w:val="24"/>
          <w:szCs w:val="24"/>
        </w:rPr>
        <w:t>måneder</w:t>
      </w:r>
      <w:r w:rsidRPr="006442C0">
        <w:rPr>
          <w:bCs/>
          <w:sz w:val="24"/>
          <w:szCs w:val="24"/>
        </w:rPr>
        <w:t xml:space="preserve">. </w:t>
      </w:r>
      <w:proofErr w:type="spellStart"/>
      <w:r w:rsidRPr="006442C0">
        <w:rPr>
          <w:bCs/>
          <w:sz w:val="24"/>
          <w:szCs w:val="24"/>
        </w:rPr>
        <w:t>Antracyklinbaseret</w:t>
      </w:r>
      <w:proofErr w:type="spellEnd"/>
      <w:r w:rsidRPr="006442C0">
        <w:rPr>
          <w:bCs/>
          <w:sz w:val="24"/>
          <w:szCs w:val="24"/>
        </w:rPr>
        <w:t xml:space="preserve"> terapi </w:t>
      </w:r>
      <w:r>
        <w:rPr>
          <w:bCs/>
          <w:sz w:val="24"/>
          <w:szCs w:val="24"/>
        </w:rPr>
        <w:t>skal</w:t>
      </w:r>
      <w:r w:rsidRPr="006442C0">
        <w:rPr>
          <w:bCs/>
          <w:sz w:val="24"/>
          <w:szCs w:val="24"/>
        </w:rPr>
        <w:t xml:space="preserve"> derfor undgås i op til </w:t>
      </w:r>
      <w:r>
        <w:rPr>
          <w:bCs/>
          <w:sz w:val="24"/>
          <w:szCs w:val="24"/>
        </w:rPr>
        <w:t>7 måneder</w:t>
      </w:r>
      <w:r w:rsidRPr="006442C0">
        <w:rPr>
          <w:bCs/>
          <w:sz w:val="24"/>
          <w:szCs w:val="24"/>
        </w:rPr>
        <w:t xml:space="preserve"> efter </w:t>
      </w:r>
      <w:proofErr w:type="spellStart"/>
      <w:r>
        <w:rPr>
          <w:bCs/>
          <w:sz w:val="24"/>
          <w:szCs w:val="24"/>
        </w:rPr>
        <w:t>seponering</w:t>
      </w:r>
      <w:proofErr w:type="spellEnd"/>
      <w:r>
        <w:rPr>
          <w:bCs/>
          <w:sz w:val="24"/>
          <w:szCs w:val="24"/>
        </w:rPr>
        <w:t xml:space="preserve"> af</w:t>
      </w:r>
      <w:r w:rsidRPr="006442C0">
        <w:rPr>
          <w:bCs/>
          <w:sz w:val="24"/>
          <w:szCs w:val="24"/>
        </w:rPr>
        <w:t xml:space="preserve"> </w:t>
      </w:r>
      <w:proofErr w:type="spellStart"/>
      <w:r w:rsidRPr="006442C0">
        <w:rPr>
          <w:bCs/>
          <w:sz w:val="24"/>
          <w:szCs w:val="24"/>
        </w:rPr>
        <w:t>trastuzumab</w:t>
      </w:r>
      <w:proofErr w:type="spellEnd"/>
      <w:r w:rsidRPr="006442C0">
        <w:rPr>
          <w:bCs/>
          <w:sz w:val="24"/>
          <w:szCs w:val="24"/>
        </w:rPr>
        <w:t xml:space="preserve">, hvis muligt. </w:t>
      </w:r>
      <w:r>
        <w:rPr>
          <w:bCs/>
          <w:sz w:val="24"/>
          <w:szCs w:val="24"/>
        </w:rPr>
        <w:t>Hvis dette ikke er muligt, skal</w:t>
      </w:r>
      <w:r w:rsidRPr="006442C0">
        <w:rPr>
          <w:bCs/>
          <w:sz w:val="24"/>
          <w:szCs w:val="24"/>
        </w:rPr>
        <w:t xml:space="preserve"> </w:t>
      </w:r>
      <w:r>
        <w:rPr>
          <w:bCs/>
          <w:sz w:val="24"/>
          <w:szCs w:val="24"/>
        </w:rPr>
        <w:t xml:space="preserve">patientens </w:t>
      </w:r>
      <w:r w:rsidRPr="006442C0">
        <w:rPr>
          <w:bCs/>
          <w:sz w:val="24"/>
          <w:szCs w:val="24"/>
        </w:rPr>
        <w:t xml:space="preserve">hjertefunktion </w:t>
      </w:r>
      <w:r>
        <w:rPr>
          <w:bCs/>
          <w:sz w:val="24"/>
          <w:szCs w:val="24"/>
        </w:rPr>
        <w:t xml:space="preserve">monitoreres </w:t>
      </w:r>
      <w:r w:rsidRPr="006442C0">
        <w:rPr>
          <w:bCs/>
          <w:sz w:val="24"/>
          <w:szCs w:val="24"/>
        </w:rPr>
        <w:t>omhyggeligt.</w:t>
      </w:r>
    </w:p>
    <w:p w:rsidR="00D35789" w:rsidRPr="006442C0" w:rsidRDefault="00D35789" w:rsidP="00D35789">
      <w:pPr>
        <w:tabs>
          <w:tab w:val="left" w:pos="851"/>
        </w:tabs>
        <w:ind w:left="851"/>
        <w:rPr>
          <w:bCs/>
          <w:sz w:val="24"/>
          <w:szCs w:val="24"/>
        </w:rPr>
      </w:pPr>
    </w:p>
    <w:p w:rsidR="00D35789" w:rsidRPr="006442C0" w:rsidRDefault="00D35789" w:rsidP="00D35789">
      <w:pPr>
        <w:tabs>
          <w:tab w:val="left" w:pos="851"/>
        </w:tabs>
        <w:ind w:left="851"/>
        <w:rPr>
          <w:bCs/>
          <w:sz w:val="24"/>
          <w:szCs w:val="24"/>
        </w:rPr>
      </w:pPr>
      <w:r w:rsidRPr="006442C0">
        <w:rPr>
          <w:bCs/>
          <w:sz w:val="24"/>
          <w:szCs w:val="24"/>
        </w:rPr>
        <w:t xml:space="preserve">Hjertefunktionen skal monitoreres </w:t>
      </w:r>
      <w:r>
        <w:rPr>
          <w:bCs/>
          <w:sz w:val="24"/>
          <w:szCs w:val="24"/>
        </w:rPr>
        <w:t xml:space="preserve">særdeles </w:t>
      </w:r>
      <w:r w:rsidRPr="006442C0">
        <w:rPr>
          <w:bCs/>
          <w:sz w:val="24"/>
          <w:szCs w:val="24"/>
        </w:rPr>
        <w:t xml:space="preserve">omhyggeligt hos patienter, som får høje kumulative doser og hos patienter med risikofaktorer. </w:t>
      </w:r>
      <w:r>
        <w:rPr>
          <w:bCs/>
          <w:sz w:val="24"/>
          <w:szCs w:val="24"/>
        </w:rPr>
        <w:t xml:space="preserve">Der kan dog opstå </w:t>
      </w:r>
      <w:proofErr w:type="spellStart"/>
      <w:r>
        <w:rPr>
          <w:bCs/>
          <w:sz w:val="24"/>
          <w:szCs w:val="24"/>
        </w:rPr>
        <w:t>k</w:t>
      </w:r>
      <w:r w:rsidRPr="006442C0">
        <w:rPr>
          <w:bCs/>
          <w:sz w:val="24"/>
          <w:szCs w:val="24"/>
        </w:rPr>
        <w:t>ardiotoksicitet</w:t>
      </w:r>
      <w:proofErr w:type="spellEnd"/>
      <w:r w:rsidRPr="006442C0">
        <w:rPr>
          <w:bCs/>
          <w:sz w:val="24"/>
          <w:szCs w:val="24"/>
        </w:rPr>
        <w:t xml:space="preserve"> </w:t>
      </w:r>
      <w:r>
        <w:rPr>
          <w:bCs/>
          <w:sz w:val="24"/>
          <w:szCs w:val="24"/>
        </w:rPr>
        <w:t>med</w:t>
      </w:r>
      <w:r w:rsidRPr="006442C0">
        <w:rPr>
          <w:bCs/>
          <w:sz w:val="24"/>
          <w:szCs w:val="24"/>
        </w:rPr>
        <w:t xml:space="preserve"> </w:t>
      </w:r>
      <w:proofErr w:type="spellStart"/>
      <w:r w:rsidRPr="006442C0">
        <w:rPr>
          <w:bCs/>
          <w:sz w:val="24"/>
          <w:szCs w:val="24"/>
        </w:rPr>
        <w:t>idarubicin</w:t>
      </w:r>
      <w:proofErr w:type="spellEnd"/>
      <w:r w:rsidRPr="006442C0">
        <w:rPr>
          <w:bCs/>
          <w:sz w:val="24"/>
          <w:szCs w:val="24"/>
        </w:rPr>
        <w:t xml:space="preserve"> ved lavere kumulative doser </w:t>
      </w:r>
      <w:r>
        <w:rPr>
          <w:bCs/>
          <w:sz w:val="24"/>
          <w:szCs w:val="24"/>
        </w:rPr>
        <w:t>uanset</w:t>
      </w:r>
      <w:r w:rsidRPr="006442C0">
        <w:rPr>
          <w:bCs/>
          <w:sz w:val="24"/>
          <w:szCs w:val="24"/>
        </w:rPr>
        <w:t xml:space="preserve"> tilstedeværelse af </w:t>
      </w:r>
      <w:proofErr w:type="spellStart"/>
      <w:r>
        <w:rPr>
          <w:bCs/>
          <w:sz w:val="24"/>
          <w:szCs w:val="24"/>
        </w:rPr>
        <w:t>kardio</w:t>
      </w:r>
      <w:r w:rsidRPr="006442C0">
        <w:rPr>
          <w:bCs/>
          <w:sz w:val="24"/>
          <w:szCs w:val="24"/>
        </w:rPr>
        <w:t>risikofaktorer</w:t>
      </w:r>
      <w:proofErr w:type="spellEnd"/>
      <w:r w:rsidRPr="006442C0">
        <w:rPr>
          <w:bCs/>
          <w:sz w:val="24"/>
          <w:szCs w:val="24"/>
        </w:rPr>
        <w:t>.</w:t>
      </w:r>
    </w:p>
    <w:p w:rsidR="001A148E" w:rsidRPr="006442C0" w:rsidRDefault="001A148E" w:rsidP="001A148E">
      <w:pPr>
        <w:tabs>
          <w:tab w:val="left" w:pos="851"/>
        </w:tabs>
        <w:ind w:left="851"/>
        <w:rPr>
          <w:bCs/>
          <w:sz w:val="24"/>
          <w:szCs w:val="24"/>
        </w:rPr>
      </w:pPr>
    </w:p>
    <w:p w:rsidR="00D35789" w:rsidRPr="006442C0" w:rsidRDefault="00D35789" w:rsidP="00D35789">
      <w:pPr>
        <w:tabs>
          <w:tab w:val="left" w:pos="851"/>
        </w:tabs>
        <w:ind w:left="851"/>
        <w:rPr>
          <w:bCs/>
          <w:sz w:val="24"/>
          <w:szCs w:val="24"/>
        </w:rPr>
      </w:pPr>
      <w:r w:rsidRPr="006442C0">
        <w:rPr>
          <w:bCs/>
          <w:sz w:val="24"/>
          <w:szCs w:val="24"/>
        </w:rPr>
        <w:t xml:space="preserve">Hos spædbørn og børn kan der </w:t>
      </w:r>
      <w:r>
        <w:rPr>
          <w:bCs/>
          <w:sz w:val="24"/>
          <w:szCs w:val="24"/>
        </w:rPr>
        <w:t xml:space="preserve">tilsyneladende </w:t>
      </w:r>
      <w:r w:rsidRPr="006442C0">
        <w:rPr>
          <w:bCs/>
          <w:sz w:val="24"/>
          <w:szCs w:val="24"/>
        </w:rPr>
        <w:t xml:space="preserve">forekomme større modtagelighed for </w:t>
      </w:r>
      <w:proofErr w:type="spellStart"/>
      <w:r w:rsidRPr="006442C0">
        <w:rPr>
          <w:bCs/>
          <w:sz w:val="24"/>
          <w:szCs w:val="24"/>
        </w:rPr>
        <w:t>antracyklininduceret</w:t>
      </w:r>
      <w:proofErr w:type="spellEnd"/>
      <w:r w:rsidRPr="006442C0">
        <w:rPr>
          <w:bCs/>
          <w:sz w:val="24"/>
          <w:szCs w:val="24"/>
        </w:rPr>
        <w:t xml:space="preserve"> </w:t>
      </w:r>
      <w:proofErr w:type="spellStart"/>
      <w:r w:rsidRPr="006442C0">
        <w:rPr>
          <w:bCs/>
          <w:sz w:val="24"/>
          <w:szCs w:val="24"/>
        </w:rPr>
        <w:t>kardiotoksicitet</w:t>
      </w:r>
      <w:proofErr w:type="spellEnd"/>
      <w:r w:rsidRPr="006442C0">
        <w:rPr>
          <w:bCs/>
          <w:sz w:val="24"/>
          <w:szCs w:val="24"/>
        </w:rPr>
        <w:t xml:space="preserve">, og </w:t>
      </w:r>
      <w:r>
        <w:rPr>
          <w:bCs/>
          <w:sz w:val="24"/>
          <w:szCs w:val="24"/>
        </w:rPr>
        <w:t xml:space="preserve">der skal udføres evaluering af </w:t>
      </w:r>
      <w:r w:rsidRPr="006442C0">
        <w:rPr>
          <w:bCs/>
          <w:sz w:val="24"/>
          <w:szCs w:val="24"/>
        </w:rPr>
        <w:t xml:space="preserve">hjertefunktionen over en længere periode. </w:t>
      </w:r>
    </w:p>
    <w:p w:rsidR="00D35789" w:rsidRPr="006442C0" w:rsidRDefault="00D35789" w:rsidP="00D35789">
      <w:pPr>
        <w:tabs>
          <w:tab w:val="left" w:pos="851"/>
        </w:tabs>
        <w:ind w:left="851"/>
        <w:rPr>
          <w:bCs/>
          <w:sz w:val="24"/>
          <w:szCs w:val="24"/>
        </w:rPr>
      </w:pPr>
    </w:p>
    <w:p w:rsidR="00D35789" w:rsidRPr="006442C0" w:rsidRDefault="00D35789" w:rsidP="00D35789">
      <w:pPr>
        <w:tabs>
          <w:tab w:val="left" w:pos="851"/>
        </w:tabs>
        <w:ind w:left="851"/>
        <w:rPr>
          <w:bCs/>
          <w:sz w:val="24"/>
          <w:szCs w:val="24"/>
        </w:rPr>
      </w:pPr>
      <w:r>
        <w:rPr>
          <w:bCs/>
          <w:sz w:val="24"/>
          <w:szCs w:val="24"/>
        </w:rPr>
        <w:t>Det er muligt, at t</w:t>
      </w:r>
      <w:r w:rsidRPr="006442C0">
        <w:rPr>
          <w:bCs/>
          <w:sz w:val="24"/>
          <w:szCs w:val="24"/>
        </w:rPr>
        <w:t xml:space="preserve">oksiciteten af </w:t>
      </w:r>
      <w:proofErr w:type="spellStart"/>
      <w:r w:rsidRPr="006442C0">
        <w:rPr>
          <w:bCs/>
          <w:sz w:val="24"/>
          <w:szCs w:val="24"/>
        </w:rPr>
        <w:t>idarubicin</w:t>
      </w:r>
      <w:proofErr w:type="spellEnd"/>
      <w:r w:rsidRPr="006442C0">
        <w:rPr>
          <w:bCs/>
          <w:sz w:val="24"/>
          <w:szCs w:val="24"/>
        </w:rPr>
        <w:t xml:space="preserve"> og andre </w:t>
      </w:r>
      <w:proofErr w:type="spellStart"/>
      <w:r w:rsidRPr="006442C0">
        <w:rPr>
          <w:bCs/>
          <w:sz w:val="24"/>
          <w:szCs w:val="24"/>
        </w:rPr>
        <w:t>antracykliner</w:t>
      </w:r>
      <w:proofErr w:type="spellEnd"/>
      <w:r w:rsidRPr="006442C0">
        <w:rPr>
          <w:bCs/>
          <w:sz w:val="24"/>
          <w:szCs w:val="24"/>
        </w:rPr>
        <w:t xml:space="preserve"> eller </w:t>
      </w:r>
      <w:proofErr w:type="spellStart"/>
      <w:r w:rsidRPr="006442C0">
        <w:rPr>
          <w:bCs/>
          <w:sz w:val="24"/>
          <w:szCs w:val="24"/>
        </w:rPr>
        <w:t>antracenedioner</w:t>
      </w:r>
      <w:proofErr w:type="spellEnd"/>
      <w:r w:rsidRPr="006442C0">
        <w:rPr>
          <w:bCs/>
          <w:sz w:val="24"/>
          <w:szCs w:val="24"/>
        </w:rPr>
        <w:t xml:space="preserve"> er additiv. </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r w:rsidRPr="00332457">
        <w:rPr>
          <w:bCs/>
          <w:sz w:val="24"/>
          <w:szCs w:val="24"/>
          <w:u w:val="single"/>
        </w:rPr>
        <w:t>Hæmatologisk toksicitet</w:t>
      </w:r>
    </w:p>
    <w:p w:rsidR="001A148E" w:rsidRPr="006442C0" w:rsidRDefault="001A148E" w:rsidP="001A148E">
      <w:pPr>
        <w:tabs>
          <w:tab w:val="left" w:pos="851"/>
        </w:tabs>
        <w:ind w:left="851"/>
        <w:rPr>
          <w:bCs/>
          <w:sz w:val="24"/>
          <w:szCs w:val="24"/>
        </w:rPr>
      </w:pPr>
      <w:proofErr w:type="spellStart"/>
      <w:r w:rsidRPr="006442C0">
        <w:rPr>
          <w:bCs/>
          <w:sz w:val="24"/>
          <w:szCs w:val="24"/>
        </w:rPr>
        <w:t>Idarubicin</w:t>
      </w:r>
      <w:proofErr w:type="spellEnd"/>
      <w:r w:rsidRPr="006442C0">
        <w:rPr>
          <w:bCs/>
          <w:sz w:val="24"/>
          <w:szCs w:val="24"/>
        </w:rPr>
        <w:t xml:space="preserve"> er en potent hæmmer af knoglemarven. Alle patienter, som får terapeutiske doser af </w:t>
      </w:r>
      <w:proofErr w:type="spellStart"/>
      <w:r w:rsidRPr="006442C0">
        <w:rPr>
          <w:bCs/>
          <w:sz w:val="24"/>
          <w:szCs w:val="24"/>
        </w:rPr>
        <w:t>idarubicin</w:t>
      </w:r>
      <w:proofErr w:type="spellEnd"/>
      <w:r w:rsidRPr="006442C0">
        <w:rPr>
          <w:bCs/>
          <w:sz w:val="24"/>
          <w:szCs w:val="24"/>
        </w:rPr>
        <w:t xml:space="preserve">, får alvorlig knoglemarvssuppression. </w:t>
      </w:r>
    </w:p>
    <w:p w:rsidR="001A148E" w:rsidRPr="006442C0" w:rsidRDefault="001A148E" w:rsidP="001A148E">
      <w:pPr>
        <w:tabs>
          <w:tab w:val="left" w:pos="851"/>
        </w:tabs>
        <w:ind w:left="851"/>
        <w:rPr>
          <w:bCs/>
          <w:sz w:val="24"/>
          <w:szCs w:val="24"/>
        </w:rPr>
      </w:pPr>
    </w:p>
    <w:p w:rsidR="001A148E" w:rsidRPr="006442C0" w:rsidRDefault="001A148E" w:rsidP="001A148E">
      <w:pPr>
        <w:tabs>
          <w:tab w:val="left" w:pos="851"/>
        </w:tabs>
        <w:ind w:left="851"/>
        <w:rPr>
          <w:bCs/>
          <w:sz w:val="24"/>
          <w:szCs w:val="24"/>
        </w:rPr>
      </w:pPr>
      <w:r w:rsidRPr="006442C0">
        <w:rPr>
          <w:bCs/>
          <w:sz w:val="24"/>
          <w:szCs w:val="24"/>
        </w:rPr>
        <w:t xml:space="preserve">Før og under hver behandlingscyklus med </w:t>
      </w:r>
      <w:proofErr w:type="spellStart"/>
      <w:r w:rsidRPr="006442C0">
        <w:rPr>
          <w:bCs/>
          <w:sz w:val="24"/>
          <w:szCs w:val="24"/>
        </w:rPr>
        <w:t>idarubicin</w:t>
      </w:r>
      <w:proofErr w:type="spellEnd"/>
      <w:r w:rsidRPr="006442C0">
        <w:rPr>
          <w:bCs/>
          <w:sz w:val="24"/>
          <w:szCs w:val="24"/>
        </w:rPr>
        <w:t xml:space="preserve"> bør blodbilledet monitoreres, herunder </w:t>
      </w:r>
      <w:proofErr w:type="spellStart"/>
      <w:r w:rsidRPr="006442C0">
        <w:rPr>
          <w:bCs/>
          <w:sz w:val="24"/>
          <w:szCs w:val="24"/>
        </w:rPr>
        <w:t>differentialtælling</w:t>
      </w:r>
      <w:proofErr w:type="spellEnd"/>
      <w:r w:rsidRPr="006442C0">
        <w:rPr>
          <w:bCs/>
          <w:sz w:val="24"/>
          <w:szCs w:val="24"/>
        </w:rPr>
        <w:t xml:space="preserve"> af hvide blodlegemer. </w:t>
      </w:r>
    </w:p>
    <w:p w:rsidR="001A148E" w:rsidRPr="006442C0" w:rsidRDefault="001A148E" w:rsidP="001A148E">
      <w:pPr>
        <w:tabs>
          <w:tab w:val="left" w:pos="851"/>
        </w:tabs>
        <w:ind w:left="851"/>
        <w:rPr>
          <w:bCs/>
          <w:sz w:val="24"/>
          <w:szCs w:val="24"/>
        </w:rPr>
      </w:pPr>
    </w:p>
    <w:p w:rsidR="001A148E" w:rsidRPr="006442C0" w:rsidRDefault="001A148E" w:rsidP="001A148E">
      <w:pPr>
        <w:tabs>
          <w:tab w:val="left" w:pos="851"/>
        </w:tabs>
        <w:ind w:left="851"/>
        <w:rPr>
          <w:bCs/>
          <w:sz w:val="24"/>
          <w:szCs w:val="24"/>
        </w:rPr>
      </w:pPr>
      <w:proofErr w:type="spellStart"/>
      <w:r w:rsidRPr="006442C0">
        <w:rPr>
          <w:bCs/>
          <w:sz w:val="24"/>
          <w:szCs w:val="24"/>
        </w:rPr>
        <w:t>Leukopeni</w:t>
      </w:r>
      <w:proofErr w:type="spellEnd"/>
      <w:r w:rsidRPr="006442C0">
        <w:rPr>
          <w:bCs/>
          <w:sz w:val="24"/>
          <w:szCs w:val="24"/>
        </w:rPr>
        <w:t xml:space="preserve"> og/eller </w:t>
      </w:r>
      <w:proofErr w:type="spellStart"/>
      <w:r w:rsidRPr="006442C0">
        <w:rPr>
          <w:bCs/>
          <w:sz w:val="24"/>
          <w:szCs w:val="24"/>
        </w:rPr>
        <w:t>granulocytopeni</w:t>
      </w:r>
      <w:proofErr w:type="spellEnd"/>
      <w:r w:rsidRPr="006442C0">
        <w:rPr>
          <w:bCs/>
          <w:sz w:val="24"/>
          <w:szCs w:val="24"/>
        </w:rPr>
        <w:t xml:space="preserve"> (</w:t>
      </w:r>
      <w:proofErr w:type="spellStart"/>
      <w:r w:rsidRPr="006442C0">
        <w:rPr>
          <w:bCs/>
          <w:sz w:val="24"/>
          <w:szCs w:val="24"/>
        </w:rPr>
        <w:t>neutropeni</w:t>
      </w:r>
      <w:proofErr w:type="spellEnd"/>
      <w:r w:rsidRPr="006442C0">
        <w:rPr>
          <w:bCs/>
          <w:sz w:val="24"/>
          <w:szCs w:val="24"/>
        </w:rPr>
        <w:t xml:space="preserve">) er den mest dominerende manifestation af </w:t>
      </w:r>
      <w:proofErr w:type="spellStart"/>
      <w:r w:rsidRPr="006442C0">
        <w:rPr>
          <w:bCs/>
          <w:sz w:val="24"/>
          <w:szCs w:val="24"/>
        </w:rPr>
        <w:t>idarubicins</w:t>
      </w:r>
      <w:proofErr w:type="spellEnd"/>
      <w:r w:rsidRPr="006442C0">
        <w:rPr>
          <w:bCs/>
          <w:sz w:val="24"/>
          <w:szCs w:val="24"/>
        </w:rPr>
        <w:t xml:space="preserve"> hæmatologiske toksicitet og er den mest almindelige akutte dosisbegrænsende toksicitet ved dette lægemiddel. </w:t>
      </w:r>
    </w:p>
    <w:p w:rsidR="001A148E" w:rsidRPr="006442C0" w:rsidRDefault="001A148E" w:rsidP="001A148E">
      <w:pPr>
        <w:tabs>
          <w:tab w:val="left" w:pos="851"/>
        </w:tabs>
        <w:ind w:left="851"/>
        <w:rPr>
          <w:bCs/>
          <w:sz w:val="24"/>
          <w:szCs w:val="24"/>
        </w:rPr>
      </w:pPr>
    </w:p>
    <w:p w:rsidR="001A148E" w:rsidRPr="006442C0" w:rsidRDefault="001A148E" w:rsidP="001A148E">
      <w:pPr>
        <w:tabs>
          <w:tab w:val="left" w:pos="851"/>
        </w:tabs>
        <w:ind w:left="851"/>
        <w:rPr>
          <w:bCs/>
          <w:sz w:val="24"/>
          <w:szCs w:val="24"/>
        </w:rPr>
      </w:pPr>
      <w:proofErr w:type="spellStart"/>
      <w:r w:rsidRPr="006442C0">
        <w:rPr>
          <w:bCs/>
          <w:sz w:val="24"/>
          <w:szCs w:val="24"/>
        </w:rPr>
        <w:t>Leukopeni</w:t>
      </w:r>
      <w:proofErr w:type="spellEnd"/>
      <w:r w:rsidRPr="006442C0">
        <w:rPr>
          <w:bCs/>
          <w:sz w:val="24"/>
          <w:szCs w:val="24"/>
        </w:rPr>
        <w:t xml:space="preserve"> og </w:t>
      </w:r>
      <w:proofErr w:type="spellStart"/>
      <w:r w:rsidRPr="006442C0">
        <w:rPr>
          <w:bCs/>
          <w:sz w:val="24"/>
          <w:szCs w:val="24"/>
        </w:rPr>
        <w:t>neutropeni</w:t>
      </w:r>
      <w:proofErr w:type="spellEnd"/>
      <w:r w:rsidRPr="006442C0">
        <w:rPr>
          <w:bCs/>
          <w:sz w:val="24"/>
          <w:szCs w:val="24"/>
        </w:rPr>
        <w:t xml:space="preserve"> er sædvanligvis alvorlig. Desuden kan der også ses </w:t>
      </w:r>
      <w:proofErr w:type="spellStart"/>
      <w:r w:rsidRPr="006442C0">
        <w:rPr>
          <w:bCs/>
          <w:sz w:val="24"/>
          <w:szCs w:val="24"/>
        </w:rPr>
        <w:t>trombocytopeni</w:t>
      </w:r>
      <w:proofErr w:type="spellEnd"/>
      <w:r w:rsidRPr="006442C0">
        <w:rPr>
          <w:bCs/>
          <w:sz w:val="24"/>
          <w:szCs w:val="24"/>
        </w:rPr>
        <w:t xml:space="preserve"> og anæmi. </w:t>
      </w:r>
      <w:proofErr w:type="spellStart"/>
      <w:r w:rsidRPr="006442C0">
        <w:rPr>
          <w:bCs/>
          <w:sz w:val="24"/>
          <w:szCs w:val="24"/>
        </w:rPr>
        <w:t>Neutrofile</w:t>
      </w:r>
      <w:proofErr w:type="spellEnd"/>
      <w:r w:rsidRPr="006442C0">
        <w:rPr>
          <w:bCs/>
          <w:sz w:val="24"/>
          <w:szCs w:val="24"/>
        </w:rPr>
        <w:t xml:space="preserve"> celler og </w:t>
      </w:r>
      <w:proofErr w:type="spellStart"/>
      <w:r w:rsidRPr="006442C0">
        <w:rPr>
          <w:bCs/>
          <w:sz w:val="24"/>
          <w:szCs w:val="24"/>
        </w:rPr>
        <w:t>trombocytter</w:t>
      </w:r>
      <w:proofErr w:type="spellEnd"/>
      <w:r w:rsidRPr="006442C0">
        <w:rPr>
          <w:bCs/>
          <w:sz w:val="24"/>
          <w:szCs w:val="24"/>
        </w:rPr>
        <w:t xml:space="preserve"> når sædvanligvis nadir 10-14 dage efter lægemiddeladministration, men normaliseres i de fleste tilfælde i løbet af den tredje uge. I fasen med alvorlig knoglemarvssuppression, er der rapporteret om dødsfald på grund af infektioner og/eller </w:t>
      </w:r>
      <w:proofErr w:type="spellStart"/>
      <w:r w:rsidRPr="006442C0">
        <w:rPr>
          <w:bCs/>
          <w:sz w:val="24"/>
          <w:szCs w:val="24"/>
        </w:rPr>
        <w:t>hæmoragi</w:t>
      </w:r>
      <w:proofErr w:type="spellEnd"/>
      <w:r w:rsidRPr="006442C0">
        <w:rPr>
          <w:bCs/>
          <w:sz w:val="24"/>
          <w:szCs w:val="24"/>
        </w:rPr>
        <w:t xml:space="preserve">. </w:t>
      </w:r>
    </w:p>
    <w:p w:rsidR="001A148E" w:rsidRPr="006442C0" w:rsidRDefault="001A148E" w:rsidP="001A148E">
      <w:pPr>
        <w:tabs>
          <w:tab w:val="left" w:pos="851"/>
        </w:tabs>
        <w:ind w:left="851"/>
        <w:rPr>
          <w:bCs/>
          <w:sz w:val="24"/>
          <w:szCs w:val="24"/>
        </w:rPr>
      </w:pPr>
    </w:p>
    <w:p w:rsidR="001A148E" w:rsidRPr="006442C0" w:rsidRDefault="001A148E" w:rsidP="001A148E">
      <w:pPr>
        <w:tabs>
          <w:tab w:val="left" w:pos="851"/>
        </w:tabs>
        <w:ind w:left="851"/>
        <w:rPr>
          <w:bCs/>
          <w:sz w:val="24"/>
          <w:szCs w:val="24"/>
        </w:rPr>
      </w:pPr>
      <w:r w:rsidRPr="006442C0">
        <w:rPr>
          <w:bCs/>
          <w:sz w:val="24"/>
          <w:szCs w:val="24"/>
        </w:rPr>
        <w:t>De kliniske konsekvenser af alvorlig knoglemarvssuppression omfatter feber, infektioner, sepsis/</w:t>
      </w:r>
      <w:proofErr w:type="spellStart"/>
      <w:r w:rsidRPr="006442C0">
        <w:rPr>
          <w:bCs/>
          <w:sz w:val="24"/>
          <w:szCs w:val="24"/>
        </w:rPr>
        <w:t>septikæmi</w:t>
      </w:r>
      <w:proofErr w:type="spellEnd"/>
      <w:r w:rsidRPr="006442C0">
        <w:rPr>
          <w:bCs/>
          <w:sz w:val="24"/>
          <w:szCs w:val="24"/>
        </w:rPr>
        <w:t xml:space="preserve">, septisk chok, </w:t>
      </w:r>
      <w:proofErr w:type="spellStart"/>
      <w:r w:rsidRPr="006442C0">
        <w:rPr>
          <w:bCs/>
          <w:sz w:val="24"/>
          <w:szCs w:val="24"/>
        </w:rPr>
        <w:t>hæmoragi</w:t>
      </w:r>
      <w:proofErr w:type="spellEnd"/>
      <w:r w:rsidRPr="006442C0">
        <w:rPr>
          <w:bCs/>
          <w:sz w:val="24"/>
          <w:szCs w:val="24"/>
        </w:rPr>
        <w:t xml:space="preserve">, </w:t>
      </w:r>
      <w:proofErr w:type="spellStart"/>
      <w:r w:rsidRPr="006442C0">
        <w:rPr>
          <w:bCs/>
          <w:sz w:val="24"/>
          <w:szCs w:val="24"/>
        </w:rPr>
        <w:t>vævshypoksi</w:t>
      </w:r>
      <w:proofErr w:type="spellEnd"/>
      <w:r w:rsidRPr="006442C0">
        <w:rPr>
          <w:bCs/>
          <w:sz w:val="24"/>
          <w:szCs w:val="24"/>
        </w:rPr>
        <w:t xml:space="preserve"> eller dødsfald. Hvis der opstår febril </w:t>
      </w:r>
      <w:proofErr w:type="spellStart"/>
      <w:r w:rsidRPr="006442C0">
        <w:rPr>
          <w:bCs/>
          <w:sz w:val="24"/>
          <w:szCs w:val="24"/>
        </w:rPr>
        <w:t>neutropeni</w:t>
      </w:r>
      <w:proofErr w:type="spellEnd"/>
      <w:r w:rsidRPr="006442C0">
        <w:rPr>
          <w:bCs/>
          <w:sz w:val="24"/>
          <w:szCs w:val="24"/>
        </w:rPr>
        <w:t>, anbefales det at behandle med IV-antibiotika.</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r w:rsidRPr="00332457">
        <w:rPr>
          <w:bCs/>
          <w:sz w:val="24"/>
          <w:szCs w:val="24"/>
          <w:u w:val="single"/>
        </w:rPr>
        <w:t>Sekundær leukæmi</w:t>
      </w:r>
    </w:p>
    <w:p w:rsidR="001A148E" w:rsidRPr="006442C0" w:rsidRDefault="001A148E" w:rsidP="001A148E">
      <w:pPr>
        <w:tabs>
          <w:tab w:val="left" w:pos="851"/>
        </w:tabs>
        <w:ind w:left="851"/>
        <w:rPr>
          <w:bCs/>
          <w:sz w:val="24"/>
          <w:szCs w:val="24"/>
        </w:rPr>
      </w:pPr>
      <w:r w:rsidRPr="006442C0">
        <w:rPr>
          <w:bCs/>
          <w:sz w:val="24"/>
          <w:szCs w:val="24"/>
        </w:rPr>
        <w:t xml:space="preserve">Sekundær leukæmi, med eller uden en præleukæmisk fase, er rapporteret hos patienter behandlet med </w:t>
      </w:r>
      <w:proofErr w:type="spellStart"/>
      <w:r w:rsidRPr="006442C0">
        <w:rPr>
          <w:bCs/>
          <w:sz w:val="24"/>
          <w:szCs w:val="24"/>
        </w:rPr>
        <w:t>antracykliner</w:t>
      </w:r>
      <w:proofErr w:type="spellEnd"/>
      <w:r w:rsidRPr="006442C0">
        <w:rPr>
          <w:bCs/>
          <w:sz w:val="24"/>
          <w:szCs w:val="24"/>
        </w:rPr>
        <w:t xml:space="preserve">, herunder </w:t>
      </w:r>
      <w:proofErr w:type="spellStart"/>
      <w:r w:rsidRPr="006442C0">
        <w:rPr>
          <w:bCs/>
          <w:sz w:val="24"/>
          <w:szCs w:val="24"/>
        </w:rPr>
        <w:t>idarubicin</w:t>
      </w:r>
      <w:proofErr w:type="spellEnd"/>
      <w:r w:rsidRPr="006442C0">
        <w:rPr>
          <w:bCs/>
          <w:sz w:val="24"/>
          <w:szCs w:val="24"/>
        </w:rPr>
        <w:t xml:space="preserve">. Sekundær leukæmi er mere almindelig, når sådanne lægemidler gives i kombination med DNA-ødelæggende </w:t>
      </w:r>
      <w:proofErr w:type="spellStart"/>
      <w:r w:rsidRPr="006442C0">
        <w:rPr>
          <w:bCs/>
          <w:sz w:val="24"/>
          <w:szCs w:val="24"/>
        </w:rPr>
        <w:t>antineoplastiske</w:t>
      </w:r>
      <w:proofErr w:type="spellEnd"/>
      <w:r w:rsidRPr="006442C0">
        <w:rPr>
          <w:bCs/>
          <w:sz w:val="24"/>
          <w:szCs w:val="24"/>
        </w:rPr>
        <w:t xml:space="preserve"> midler, når patienterne er blevet kraftigt præmedicineret med </w:t>
      </w:r>
      <w:proofErr w:type="spellStart"/>
      <w:r w:rsidRPr="006442C0">
        <w:rPr>
          <w:bCs/>
          <w:sz w:val="24"/>
          <w:szCs w:val="24"/>
        </w:rPr>
        <w:t>cytostatika</w:t>
      </w:r>
      <w:proofErr w:type="spellEnd"/>
      <w:r w:rsidRPr="006442C0">
        <w:rPr>
          <w:bCs/>
          <w:sz w:val="24"/>
          <w:szCs w:val="24"/>
        </w:rPr>
        <w:t xml:space="preserve">, eller ved dosiseskalering af </w:t>
      </w:r>
      <w:proofErr w:type="spellStart"/>
      <w:r w:rsidRPr="006442C0">
        <w:rPr>
          <w:bCs/>
          <w:sz w:val="24"/>
          <w:szCs w:val="24"/>
        </w:rPr>
        <w:t>antracyklin</w:t>
      </w:r>
      <w:proofErr w:type="spellEnd"/>
      <w:r w:rsidRPr="006442C0">
        <w:rPr>
          <w:bCs/>
          <w:sz w:val="24"/>
          <w:szCs w:val="24"/>
        </w:rPr>
        <w:t xml:space="preserve">. Disse typer leukæmi kan have en latenstid på 1-3 år.  </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proofErr w:type="spellStart"/>
      <w:r w:rsidRPr="00332457">
        <w:rPr>
          <w:bCs/>
          <w:sz w:val="24"/>
          <w:szCs w:val="24"/>
          <w:u w:val="single"/>
        </w:rPr>
        <w:t>Gastrointestinal</w:t>
      </w:r>
      <w:proofErr w:type="spellEnd"/>
      <w:r w:rsidRPr="00332457">
        <w:rPr>
          <w:bCs/>
          <w:sz w:val="24"/>
          <w:szCs w:val="24"/>
          <w:u w:val="single"/>
        </w:rPr>
        <w:t xml:space="preserve"> påvirkning</w:t>
      </w:r>
    </w:p>
    <w:p w:rsidR="001A148E" w:rsidRPr="006442C0" w:rsidRDefault="001A148E" w:rsidP="001A148E">
      <w:pPr>
        <w:tabs>
          <w:tab w:val="left" w:pos="851"/>
        </w:tabs>
        <w:ind w:left="851"/>
        <w:rPr>
          <w:bCs/>
          <w:sz w:val="24"/>
          <w:szCs w:val="24"/>
        </w:rPr>
      </w:pPr>
      <w:proofErr w:type="spellStart"/>
      <w:r w:rsidRPr="006442C0">
        <w:rPr>
          <w:bCs/>
          <w:sz w:val="24"/>
          <w:szCs w:val="24"/>
        </w:rPr>
        <w:t>Idarubicin</w:t>
      </w:r>
      <w:proofErr w:type="spellEnd"/>
      <w:r w:rsidRPr="006442C0">
        <w:rPr>
          <w:bCs/>
          <w:sz w:val="24"/>
          <w:szCs w:val="24"/>
        </w:rPr>
        <w:t xml:space="preserve"> er </w:t>
      </w:r>
      <w:proofErr w:type="spellStart"/>
      <w:r w:rsidRPr="006442C0">
        <w:rPr>
          <w:bCs/>
          <w:sz w:val="24"/>
          <w:szCs w:val="24"/>
        </w:rPr>
        <w:t>emetisk</w:t>
      </w:r>
      <w:proofErr w:type="spellEnd"/>
      <w:r w:rsidRPr="006442C0">
        <w:rPr>
          <w:bCs/>
          <w:sz w:val="24"/>
          <w:szCs w:val="24"/>
        </w:rPr>
        <w:t xml:space="preserve">. </w:t>
      </w:r>
      <w:proofErr w:type="spellStart"/>
      <w:r w:rsidRPr="006442C0">
        <w:rPr>
          <w:bCs/>
          <w:sz w:val="24"/>
          <w:szCs w:val="24"/>
        </w:rPr>
        <w:t>Mucositis</w:t>
      </w:r>
      <w:proofErr w:type="spellEnd"/>
      <w:r w:rsidRPr="006442C0">
        <w:rPr>
          <w:bCs/>
          <w:sz w:val="24"/>
          <w:szCs w:val="24"/>
        </w:rPr>
        <w:t xml:space="preserve"> (hovedsagelig </w:t>
      </w:r>
      <w:proofErr w:type="spellStart"/>
      <w:r w:rsidRPr="006442C0">
        <w:rPr>
          <w:bCs/>
          <w:sz w:val="24"/>
          <w:szCs w:val="24"/>
        </w:rPr>
        <w:t>stomatitis</w:t>
      </w:r>
      <w:proofErr w:type="spellEnd"/>
      <w:r w:rsidRPr="006442C0">
        <w:rPr>
          <w:bCs/>
          <w:sz w:val="24"/>
          <w:szCs w:val="24"/>
        </w:rPr>
        <w:t xml:space="preserve">, sjældnere </w:t>
      </w:r>
      <w:proofErr w:type="spellStart"/>
      <w:r w:rsidRPr="006442C0">
        <w:rPr>
          <w:bCs/>
          <w:sz w:val="24"/>
          <w:szCs w:val="24"/>
        </w:rPr>
        <w:t>øsofagit</w:t>
      </w:r>
      <w:proofErr w:type="spellEnd"/>
      <w:r w:rsidRPr="006442C0">
        <w:rPr>
          <w:bCs/>
          <w:sz w:val="24"/>
          <w:szCs w:val="24"/>
        </w:rPr>
        <w:t xml:space="preserve">) forekommer generelt tidligt efter administration af </w:t>
      </w:r>
      <w:proofErr w:type="spellStart"/>
      <w:r w:rsidRPr="006442C0">
        <w:rPr>
          <w:bCs/>
          <w:sz w:val="24"/>
          <w:szCs w:val="24"/>
        </w:rPr>
        <w:t>idarubicin</w:t>
      </w:r>
      <w:proofErr w:type="spellEnd"/>
      <w:r w:rsidRPr="006442C0">
        <w:rPr>
          <w:bCs/>
          <w:sz w:val="24"/>
          <w:szCs w:val="24"/>
        </w:rPr>
        <w:t xml:space="preserve"> og kan i alvorlige tilfælde udvikles til </w:t>
      </w:r>
      <w:proofErr w:type="spellStart"/>
      <w:r w:rsidRPr="006442C0">
        <w:rPr>
          <w:bCs/>
          <w:sz w:val="24"/>
          <w:szCs w:val="24"/>
        </w:rPr>
        <w:t>ulceration</w:t>
      </w:r>
      <w:proofErr w:type="spellEnd"/>
      <w:r w:rsidRPr="006442C0">
        <w:rPr>
          <w:bCs/>
          <w:sz w:val="24"/>
          <w:szCs w:val="24"/>
        </w:rPr>
        <w:t xml:space="preserve"> af slimhinden i løbet af få dage. De fleste patienter oplever bedring i 3. behandlingsuge.</w:t>
      </w:r>
    </w:p>
    <w:p w:rsidR="001A148E" w:rsidRPr="006442C0" w:rsidRDefault="001A148E" w:rsidP="001A148E">
      <w:pPr>
        <w:tabs>
          <w:tab w:val="left" w:pos="851"/>
        </w:tabs>
        <w:ind w:left="851"/>
        <w:rPr>
          <w:bCs/>
          <w:sz w:val="24"/>
          <w:szCs w:val="24"/>
        </w:rPr>
      </w:pPr>
    </w:p>
    <w:p w:rsidR="001A148E" w:rsidRPr="006442C0" w:rsidRDefault="001A148E" w:rsidP="001A148E">
      <w:pPr>
        <w:tabs>
          <w:tab w:val="left" w:pos="851"/>
        </w:tabs>
        <w:ind w:left="851"/>
        <w:rPr>
          <w:bCs/>
          <w:sz w:val="24"/>
          <w:szCs w:val="24"/>
        </w:rPr>
      </w:pPr>
      <w:r w:rsidRPr="006442C0">
        <w:rPr>
          <w:bCs/>
          <w:sz w:val="24"/>
          <w:szCs w:val="24"/>
        </w:rPr>
        <w:t xml:space="preserve">Der er lejlighedsvis set episoder med alvorlige </w:t>
      </w:r>
      <w:proofErr w:type="spellStart"/>
      <w:r w:rsidRPr="006442C0">
        <w:rPr>
          <w:bCs/>
          <w:sz w:val="24"/>
          <w:szCs w:val="24"/>
        </w:rPr>
        <w:t>gastrointestinale</w:t>
      </w:r>
      <w:proofErr w:type="spellEnd"/>
      <w:r w:rsidRPr="006442C0">
        <w:rPr>
          <w:bCs/>
          <w:sz w:val="24"/>
          <w:szCs w:val="24"/>
        </w:rPr>
        <w:t xml:space="preserve"> bivirkninger (som perforering eller blødning) hos patienter, der får oral </w:t>
      </w:r>
      <w:proofErr w:type="spellStart"/>
      <w:r w:rsidRPr="006442C0">
        <w:rPr>
          <w:bCs/>
          <w:sz w:val="24"/>
          <w:szCs w:val="24"/>
        </w:rPr>
        <w:t>idarubicin</w:t>
      </w:r>
      <w:proofErr w:type="spellEnd"/>
      <w:r w:rsidRPr="006442C0">
        <w:rPr>
          <w:bCs/>
          <w:sz w:val="24"/>
          <w:szCs w:val="24"/>
        </w:rPr>
        <w:t xml:space="preserve">. Disse patienter havde akut leukæmi eller har haft andre patologier i anamnesen eller har fået medicin, som er kendt for at give </w:t>
      </w:r>
      <w:proofErr w:type="spellStart"/>
      <w:r w:rsidRPr="006442C0">
        <w:rPr>
          <w:bCs/>
          <w:sz w:val="24"/>
          <w:szCs w:val="24"/>
        </w:rPr>
        <w:t>gastrointestinale</w:t>
      </w:r>
      <w:proofErr w:type="spellEnd"/>
      <w:r w:rsidRPr="006442C0">
        <w:rPr>
          <w:bCs/>
          <w:sz w:val="24"/>
          <w:szCs w:val="24"/>
        </w:rPr>
        <w:t xml:space="preserve"> komplikationer. Hos patienter med aktiv </w:t>
      </w:r>
      <w:proofErr w:type="spellStart"/>
      <w:r w:rsidRPr="006442C0">
        <w:rPr>
          <w:bCs/>
          <w:sz w:val="24"/>
          <w:szCs w:val="24"/>
        </w:rPr>
        <w:t>gastrointestinal</w:t>
      </w:r>
      <w:proofErr w:type="spellEnd"/>
      <w:r w:rsidRPr="006442C0">
        <w:rPr>
          <w:bCs/>
          <w:sz w:val="24"/>
          <w:szCs w:val="24"/>
        </w:rPr>
        <w:t xml:space="preserve"> sygdom, som har en øget risiko for blødning og/eller perforering, må lægen overveje fordelen af behandling med oral </w:t>
      </w:r>
      <w:proofErr w:type="spellStart"/>
      <w:r w:rsidRPr="006442C0">
        <w:rPr>
          <w:bCs/>
          <w:sz w:val="24"/>
          <w:szCs w:val="24"/>
        </w:rPr>
        <w:t>idarubicin</w:t>
      </w:r>
      <w:proofErr w:type="spellEnd"/>
      <w:r w:rsidRPr="006442C0">
        <w:rPr>
          <w:bCs/>
          <w:sz w:val="24"/>
          <w:szCs w:val="24"/>
        </w:rPr>
        <w:t xml:space="preserve"> mod risikoen.</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r w:rsidRPr="00332457">
        <w:rPr>
          <w:bCs/>
          <w:sz w:val="24"/>
          <w:szCs w:val="24"/>
          <w:u w:val="single"/>
        </w:rPr>
        <w:t>Lever og nyrefunktion</w:t>
      </w:r>
    </w:p>
    <w:p w:rsidR="001A148E" w:rsidRPr="006442C0" w:rsidRDefault="001A148E" w:rsidP="001A148E">
      <w:pPr>
        <w:tabs>
          <w:tab w:val="left" w:pos="851"/>
        </w:tabs>
        <w:ind w:left="851"/>
        <w:rPr>
          <w:bCs/>
          <w:sz w:val="24"/>
          <w:szCs w:val="24"/>
        </w:rPr>
      </w:pPr>
      <w:r w:rsidRPr="006442C0">
        <w:rPr>
          <w:bCs/>
          <w:sz w:val="24"/>
          <w:szCs w:val="24"/>
        </w:rPr>
        <w:t xml:space="preserve">Da nedsat lever- og nyrefunktion kan påvirke dispositionen af </w:t>
      </w:r>
      <w:proofErr w:type="spellStart"/>
      <w:r w:rsidRPr="006442C0">
        <w:rPr>
          <w:bCs/>
          <w:sz w:val="24"/>
          <w:szCs w:val="24"/>
        </w:rPr>
        <w:t>idarubicin</w:t>
      </w:r>
      <w:proofErr w:type="spellEnd"/>
      <w:r w:rsidRPr="006442C0">
        <w:rPr>
          <w:bCs/>
          <w:sz w:val="24"/>
          <w:szCs w:val="24"/>
        </w:rPr>
        <w:t xml:space="preserve">, bør lever- og nyrefunktionen derfor evalueres med konventionelle kliniske laboratorieundersøgelser (med serumbilirubin og </w:t>
      </w:r>
      <w:proofErr w:type="spellStart"/>
      <w:r w:rsidRPr="006442C0">
        <w:rPr>
          <w:bCs/>
          <w:sz w:val="24"/>
          <w:szCs w:val="24"/>
        </w:rPr>
        <w:t>serumcreatinin</w:t>
      </w:r>
      <w:proofErr w:type="spellEnd"/>
      <w:r w:rsidRPr="006442C0">
        <w:rPr>
          <w:bCs/>
          <w:sz w:val="24"/>
          <w:szCs w:val="24"/>
        </w:rPr>
        <w:t xml:space="preserve"> som indikatorer) før og under behandlingen. I en række kliniske fase III-forsøg var behandling med </w:t>
      </w:r>
      <w:proofErr w:type="spellStart"/>
      <w:r w:rsidRPr="006442C0">
        <w:rPr>
          <w:bCs/>
          <w:sz w:val="24"/>
          <w:szCs w:val="24"/>
        </w:rPr>
        <w:t>idarubicin</w:t>
      </w:r>
      <w:proofErr w:type="spellEnd"/>
      <w:r w:rsidRPr="006442C0">
        <w:rPr>
          <w:bCs/>
          <w:sz w:val="24"/>
          <w:szCs w:val="24"/>
        </w:rPr>
        <w:t xml:space="preserve"> kontraindiceret, hvis bilirubin og/eller </w:t>
      </w:r>
      <w:proofErr w:type="spellStart"/>
      <w:r w:rsidRPr="006442C0">
        <w:rPr>
          <w:bCs/>
          <w:sz w:val="24"/>
          <w:szCs w:val="24"/>
        </w:rPr>
        <w:t>serumkreatininniveauerne</w:t>
      </w:r>
      <w:proofErr w:type="spellEnd"/>
      <w:r w:rsidRPr="006442C0">
        <w:rPr>
          <w:bCs/>
          <w:sz w:val="24"/>
          <w:szCs w:val="24"/>
        </w:rPr>
        <w:t xml:space="preserve"> oversteg 2,0 mg/dl. For andre </w:t>
      </w:r>
      <w:proofErr w:type="spellStart"/>
      <w:r w:rsidRPr="006442C0">
        <w:rPr>
          <w:bCs/>
          <w:sz w:val="24"/>
          <w:szCs w:val="24"/>
        </w:rPr>
        <w:t>antracykliner</w:t>
      </w:r>
      <w:proofErr w:type="spellEnd"/>
      <w:r w:rsidRPr="006442C0">
        <w:rPr>
          <w:bCs/>
          <w:sz w:val="24"/>
          <w:szCs w:val="24"/>
        </w:rPr>
        <w:t xml:space="preserve"> anvendes generelt en 50 % dosisreduktion, hvis bilirubinniveauerne er i et område mellem 1,2-2,0 mg/dl.</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r w:rsidRPr="00332457">
        <w:rPr>
          <w:bCs/>
          <w:sz w:val="24"/>
          <w:szCs w:val="24"/>
          <w:u w:val="single"/>
        </w:rPr>
        <w:t>Reaktioner på injektionsstedet</w:t>
      </w:r>
    </w:p>
    <w:p w:rsidR="001A148E" w:rsidRPr="006442C0" w:rsidRDefault="001A148E" w:rsidP="001A148E">
      <w:pPr>
        <w:tabs>
          <w:tab w:val="left" w:pos="851"/>
        </w:tabs>
        <w:ind w:left="851"/>
        <w:rPr>
          <w:bCs/>
          <w:sz w:val="24"/>
          <w:szCs w:val="24"/>
        </w:rPr>
      </w:pPr>
      <w:r w:rsidRPr="006442C0">
        <w:rPr>
          <w:bCs/>
          <w:sz w:val="24"/>
          <w:szCs w:val="24"/>
        </w:rPr>
        <w:t xml:space="preserve">Injektion i små blodkar eller tidligere injektioner i samme vene kan føre til </w:t>
      </w:r>
      <w:proofErr w:type="spellStart"/>
      <w:r w:rsidRPr="006442C0">
        <w:rPr>
          <w:bCs/>
          <w:sz w:val="24"/>
          <w:szCs w:val="24"/>
        </w:rPr>
        <w:t>flebosklerose</w:t>
      </w:r>
      <w:proofErr w:type="spellEnd"/>
      <w:r w:rsidRPr="006442C0">
        <w:rPr>
          <w:bCs/>
          <w:sz w:val="24"/>
          <w:szCs w:val="24"/>
        </w:rPr>
        <w:t xml:space="preserve">. Ved at følge den anbefalede administrationsprocedure kan risikoen for </w:t>
      </w:r>
      <w:proofErr w:type="spellStart"/>
      <w:r w:rsidRPr="006442C0">
        <w:rPr>
          <w:bCs/>
          <w:sz w:val="24"/>
          <w:szCs w:val="24"/>
        </w:rPr>
        <w:t>flebitis</w:t>
      </w:r>
      <w:proofErr w:type="spellEnd"/>
      <w:r w:rsidRPr="006442C0">
        <w:rPr>
          <w:bCs/>
          <w:sz w:val="24"/>
          <w:szCs w:val="24"/>
        </w:rPr>
        <w:t>/</w:t>
      </w:r>
      <w:proofErr w:type="spellStart"/>
      <w:r w:rsidRPr="006442C0">
        <w:rPr>
          <w:bCs/>
          <w:sz w:val="24"/>
          <w:szCs w:val="24"/>
        </w:rPr>
        <w:t>tromboflebit</w:t>
      </w:r>
      <w:proofErr w:type="spellEnd"/>
      <w:r w:rsidRPr="006442C0">
        <w:rPr>
          <w:bCs/>
          <w:sz w:val="24"/>
          <w:szCs w:val="24"/>
        </w:rPr>
        <w:t xml:space="preserve"> minimeres på injektionsstedet.</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proofErr w:type="spellStart"/>
      <w:r w:rsidRPr="00332457">
        <w:rPr>
          <w:bCs/>
          <w:sz w:val="24"/>
          <w:szCs w:val="24"/>
          <w:u w:val="single"/>
        </w:rPr>
        <w:t>Ekstravasation</w:t>
      </w:r>
      <w:proofErr w:type="spellEnd"/>
    </w:p>
    <w:p w:rsidR="001A148E" w:rsidRPr="006442C0" w:rsidRDefault="001A148E" w:rsidP="001A148E">
      <w:pPr>
        <w:tabs>
          <w:tab w:val="left" w:pos="851"/>
        </w:tabs>
        <w:ind w:left="851"/>
        <w:rPr>
          <w:bCs/>
          <w:sz w:val="24"/>
          <w:szCs w:val="24"/>
        </w:rPr>
      </w:pPr>
      <w:proofErr w:type="spellStart"/>
      <w:r w:rsidRPr="006442C0">
        <w:rPr>
          <w:bCs/>
          <w:sz w:val="24"/>
          <w:szCs w:val="24"/>
        </w:rPr>
        <w:t>Ekstravasation</w:t>
      </w:r>
      <w:proofErr w:type="spellEnd"/>
      <w:r w:rsidRPr="006442C0">
        <w:rPr>
          <w:bCs/>
          <w:sz w:val="24"/>
          <w:szCs w:val="24"/>
        </w:rPr>
        <w:t xml:space="preserve"> af </w:t>
      </w:r>
      <w:proofErr w:type="spellStart"/>
      <w:r w:rsidRPr="006442C0">
        <w:rPr>
          <w:bCs/>
          <w:sz w:val="24"/>
          <w:szCs w:val="24"/>
        </w:rPr>
        <w:t>idarubicin</w:t>
      </w:r>
      <w:proofErr w:type="spellEnd"/>
      <w:r w:rsidRPr="006442C0">
        <w:rPr>
          <w:bCs/>
          <w:sz w:val="24"/>
          <w:szCs w:val="24"/>
        </w:rPr>
        <w:t xml:space="preserve"> ved intravenøs injektion kan forårsage lokal smerte, alvorlig vævsbeskadigelse (blæredannelse, alvorlig </w:t>
      </w:r>
      <w:proofErr w:type="spellStart"/>
      <w:r w:rsidRPr="006442C0">
        <w:rPr>
          <w:bCs/>
          <w:sz w:val="24"/>
          <w:szCs w:val="24"/>
        </w:rPr>
        <w:t>cellulit</w:t>
      </w:r>
      <w:proofErr w:type="spellEnd"/>
      <w:r w:rsidRPr="006442C0">
        <w:rPr>
          <w:bCs/>
          <w:sz w:val="24"/>
          <w:szCs w:val="24"/>
        </w:rPr>
        <w:t xml:space="preserve">) og nekrose. Ved tegn eller symptomer på </w:t>
      </w:r>
      <w:proofErr w:type="spellStart"/>
      <w:r w:rsidRPr="006442C0">
        <w:rPr>
          <w:bCs/>
          <w:sz w:val="24"/>
          <w:szCs w:val="24"/>
        </w:rPr>
        <w:t>ekstravasation</w:t>
      </w:r>
      <w:proofErr w:type="spellEnd"/>
      <w:r w:rsidRPr="006442C0">
        <w:rPr>
          <w:bCs/>
          <w:sz w:val="24"/>
          <w:szCs w:val="24"/>
        </w:rPr>
        <w:t xml:space="preserve"> under intravenøs administration af </w:t>
      </w:r>
      <w:proofErr w:type="spellStart"/>
      <w:r w:rsidRPr="006442C0">
        <w:rPr>
          <w:bCs/>
          <w:sz w:val="24"/>
          <w:szCs w:val="24"/>
        </w:rPr>
        <w:t>idarubicin</w:t>
      </w:r>
      <w:proofErr w:type="spellEnd"/>
      <w:r w:rsidRPr="006442C0">
        <w:rPr>
          <w:bCs/>
          <w:sz w:val="24"/>
          <w:szCs w:val="24"/>
        </w:rPr>
        <w:t xml:space="preserve"> skal lægemiddelinfusionen omgående stoppes.</w:t>
      </w:r>
    </w:p>
    <w:p w:rsidR="001A148E" w:rsidRPr="006442C0" w:rsidRDefault="001A148E" w:rsidP="001A148E">
      <w:pPr>
        <w:tabs>
          <w:tab w:val="left" w:pos="851"/>
        </w:tabs>
        <w:ind w:left="851"/>
        <w:rPr>
          <w:bCs/>
          <w:sz w:val="24"/>
          <w:szCs w:val="24"/>
        </w:rPr>
      </w:pPr>
    </w:p>
    <w:p w:rsidR="001A148E" w:rsidRPr="006442C0" w:rsidRDefault="001A148E" w:rsidP="001A148E">
      <w:pPr>
        <w:tabs>
          <w:tab w:val="left" w:pos="851"/>
        </w:tabs>
        <w:ind w:left="851"/>
        <w:rPr>
          <w:bCs/>
          <w:sz w:val="24"/>
          <w:szCs w:val="24"/>
        </w:rPr>
      </w:pPr>
      <w:r w:rsidRPr="006442C0">
        <w:rPr>
          <w:bCs/>
          <w:sz w:val="24"/>
          <w:szCs w:val="24"/>
        </w:rPr>
        <w:t xml:space="preserve">I tilfælde med </w:t>
      </w:r>
      <w:proofErr w:type="spellStart"/>
      <w:r w:rsidRPr="006442C0">
        <w:rPr>
          <w:bCs/>
          <w:sz w:val="24"/>
          <w:szCs w:val="24"/>
        </w:rPr>
        <w:t>ekstravastation</w:t>
      </w:r>
      <w:proofErr w:type="spellEnd"/>
      <w:r w:rsidRPr="006442C0">
        <w:rPr>
          <w:bCs/>
          <w:sz w:val="24"/>
          <w:szCs w:val="24"/>
        </w:rPr>
        <w:t xml:space="preserve"> kan </w:t>
      </w:r>
      <w:proofErr w:type="spellStart"/>
      <w:r w:rsidRPr="006442C0">
        <w:rPr>
          <w:bCs/>
          <w:sz w:val="24"/>
          <w:szCs w:val="24"/>
        </w:rPr>
        <w:t>dexrazoxan</w:t>
      </w:r>
      <w:proofErr w:type="spellEnd"/>
      <w:r w:rsidRPr="006442C0">
        <w:rPr>
          <w:bCs/>
          <w:sz w:val="24"/>
          <w:szCs w:val="24"/>
        </w:rPr>
        <w:t xml:space="preserve"> anvendes til at forhindre eller reducere vævsbeskadigelse.</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r w:rsidRPr="00332457">
        <w:rPr>
          <w:bCs/>
          <w:sz w:val="24"/>
          <w:szCs w:val="24"/>
          <w:u w:val="single"/>
        </w:rPr>
        <w:t xml:space="preserve">Tumorlysesyndrom </w:t>
      </w:r>
    </w:p>
    <w:p w:rsidR="001A148E" w:rsidRPr="006442C0" w:rsidRDefault="001A148E" w:rsidP="001A148E">
      <w:pPr>
        <w:tabs>
          <w:tab w:val="left" w:pos="851"/>
        </w:tabs>
        <w:ind w:left="851"/>
        <w:rPr>
          <w:bCs/>
          <w:sz w:val="24"/>
          <w:szCs w:val="24"/>
        </w:rPr>
      </w:pPr>
      <w:proofErr w:type="spellStart"/>
      <w:r w:rsidRPr="006442C0">
        <w:rPr>
          <w:bCs/>
          <w:sz w:val="24"/>
          <w:szCs w:val="24"/>
        </w:rPr>
        <w:t>Idarubicin</w:t>
      </w:r>
      <w:proofErr w:type="spellEnd"/>
      <w:r w:rsidRPr="006442C0">
        <w:rPr>
          <w:bCs/>
          <w:sz w:val="24"/>
          <w:szCs w:val="24"/>
        </w:rPr>
        <w:t xml:space="preserve"> kan inducere </w:t>
      </w:r>
      <w:proofErr w:type="spellStart"/>
      <w:r w:rsidRPr="006442C0">
        <w:rPr>
          <w:bCs/>
          <w:sz w:val="24"/>
          <w:szCs w:val="24"/>
        </w:rPr>
        <w:t>hyperurikæmi</w:t>
      </w:r>
      <w:proofErr w:type="spellEnd"/>
      <w:r w:rsidRPr="006442C0">
        <w:rPr>
          <w:bCs/>
          <w:sz w:val="24"/>
          <w:szCs w:val="24"/>
        </w:rPr>
        <w:t xml:space="preserve"> pga. den omfattende </w:t>
      </w:r>
      <w:proofErr w:type="spellStart"/>
      <w:r w:rsidRPr="006442C0">
        <w:rPr>
          <w:bCs/>
          <w:sz w:val="24"/>
          <w:szCs w:val="24"/>
        </w:rPr>
        <w:t>purin-katabolisme</w:t>
      </w:r>
      <w:proofErr w:type="spellEnd"/>
      <w:r w:rsidRPr="006442C0">
        <w:rPr>
          <w:bCs/>
          <w:sz w:val="24"/>
          <w:szCs w:val="24"/>
        </w:rPr>
        <w:t xml:space="preserve"> som følge af kraftigt henfald af neoplastiske celler (tumorlysesyndrom). Urinsyreindhold i blodet, kalium, calcium, </w:t>
      </w:r>
      <w:proofErr w:type="spellStart"/>
      <w:r w:rsidRPr="006442C0">
        <w:rPr>
          <w:bCs/>
          <w:sz w:val="24"/>
          <w:szCs w:val="24"/>
        </w:rPr>
        <w:t>phosphat</w:t>
      </w:r>
      <w:proofErr w:type="spellEnd"/>
      <w:r w:rsidRPr="006442C0">
        <w:rPr>
          <w:bCs/>
          <w:sz w:val="24"/>
          <w:szCs w:val="24"/>
        </w:rPr>
        <w:t xml:space="preserve"> og </w:t>
      </w:r>
      <w:proofErr w:type="spellStart"/>
      <w:r w:rsidRPr="006442C0">
        <w:rPr>
          <w:bCs/>
          <w:sz w:val="24"/>
          <w:szCs w:val="24"/>
        </w:rPr>
        <w:t>kreatinin</w:t>
      </w:r>
      <w:proofErr w:type="spellEnd"/>
      <w:r w:rsidRPr="006442C0">
        <w:rPr>
          <w:bCs/>
          <w:sz w:val="24"/>
          <w:szCs w:val="24"/>
        </w:rPr>
        <w:t xml:space="preserve"> bør evalueres efter initialbehandling. Tumorlysesyndrom kan minimeres ved væsketilførsel, </w:t>
      </w:r>
      <w:proofErr w:type="spellStart"/>
      <w:r w:rsidRPr="006442C0">
        <w:rPr>
          <w:bCs/>
          <w:sz w:val="24"/>
          <w:szCs w:val="24"/>
        </w:rPr>
        <w:t>alkalisering</w:t>
      </w:r>
      <w:proofErr w:type="spellEnd"/>
      <w:r w:rsidRPr="006442C0">
        <w:rPr>
          <w:bCs/>
          <w:sz w:val="24"/>
          <w:szCs w:val="24"/>
        </w:rPr>
        <w:t xml:space="preserve"> af urin og profylaktisk behandling med </w:t>
      </w:r>
      <w:proofErr w:type="spellStart"/>
      <w:r w:rsidRPr="006442C0">
        <w:rPr>
          <w:bCs/>
          <w:sz w:val="24"/>
          <w:szCs w:val="24"/>
        </w:rPr>
        <w:t>allopurinol</w:t>
      </w:r>
      <w:proofErr w:type="spellEnd"/>
      <w:r w:rsidRPr="006442C0">
        <w:rPr>
          <w:bCs/>
          <w:sz w:val="24"/>
          <w:szCs w:val="24"/>
        </w:rPr>
        <w:t xml:space="preserve"> for at forhindre </w:t>
      </w:r>
      <w:proofErr w:type="spellStart"/>
      <w:r w:rsidRPr="006442C0">
        <w:rPr>
          <w:bCs/>
          <w:sz w:val="24"/>
          <w:szCs w:val="24"/>
        </w:rPr>
        <w:t>hyperurikæmi</w:t>
      </w:r>
      <w:proofErr w:type="spellEnd"/>
      <w:r w:rsidRPr="006442C0">
        <w:rPr>
          <w:bCs/>
          <w:sz w:val="24"/>
          <w:szCs w:val="24"/>
        </w:rPr>
        <w:t>.</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proofErr w:type="spellStart"/>
      <w:r w:rsidRPr="00332457">
        <w:rPr>
          <w:bCs/>
          <w:sz w:val="24"/>
          <w:szCs w:val="24"/>
          <w:u w:val="single"/>
        </w:rPr>
        <w:t>Immunosuppressive</w:t>
      </w:r>
      <w:proofErr w:type="spellEnd"/>
      <w:r w:rsidRPr="00332457">
        <w:rPr>
          <w:bCs/>
          <w:sz w:val="24"/>
          <w:szCs w:val="24"/>
          <w:u w:val="single"/>
        </w:rPr>
        <w:t xml:space="preserve"> virkninger/øget modtagelighed for infektioner</w:t>
      </w:r>
    </w:p>
    <w:p w:rsidR="001A148E" w:rsidRPr="006442C0" w:rsidRDefault="001A148E" w:rsidP="001A148E">
      <w:pPr>
        <w:tabs>
          <w:tab w:val="left" w:pos="851"/>
        </w:tabs>
        <w:ind w:left="851"/>
        <w:rPr>
          <w:bCs/>
          <w:sz w:val="24"/>
          <w:szCs w:val="24"/>
        </w:rPr>
      </w:pPr>
      <w:r w:rsidRPr="006442C0">
        <w:rPr>
          <w:bCs/>
          <w:sz w:val="24"/>
          <w:szCs w:val="24"/>
        </w:rPr>
        <w:t xml:space="preserve">Administration af levende eller levende svækkede vacciner (som gul feber) til patienter, der er immunkompromitterede pga. kemoterapeutika, herunder </w:t>
      </w:r>
      <w:proofErr w:type="spellStart"/>
      <w:r w:rsidRPr="006442C0">
        <w:rPr>
          <w:bCs/>
          <w:sz w:val="24"/>
          <w:szCs w:val="24"/>
        </w:rPr>
        <w:t>idarubicin</w:t>
      </w:r>
      <w:proofErr w:type="spellEnd"/>
      <w:r w:rsidRPr="006442C0">
        <w:rPr>
          <w:bCs/>
          <w:sz w:val="24"/>
          <w:szCs w:val="24"/>
        </w:rPr>
        <w:t xml:space="preserve">, kan medføre alvorlige eller fatale infektioner. Patienter, der bliver behandlet med </w:t>
      </w:r>
      <w:proofErr w:type="spellStart"/>
      <w:r w:rsidRPr="006442C0">
        <w:rPr>
          <w:bCs/>
          <w:sz w:val="24"/>
          <w:szCs w:val="24"/>
        </w:rPr>
        <w:t>idarubicin</w:t>
      </w:r>
      <w:proofErr w:type="spellEnd"/>
      <w:r w:rsidRPr="006442C0">
        <w:rPr>
          <w:bCs/>
          <w:sz w:val="24"/>
          <w:szCs w:val="24"/>
        </w:rPr>
        <w:t>, bør ikke vaccineres med en levende vaccine. Uskadeliggjorte eller inaktiverede vacciner kan anvendes, men patientens immunrespons på denne type vaccine kan dog være nedsat.</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r w:rsidRPr="00332457">
        <w:rPr>
          <w:bCs/>
          <w:sz w:val="24"/>
          <w:szCs w:val="24"/>
          <w:u w:val="single"/>
        </w:rPr>
        <w:t>Det reproduktive system</w:t>
      </w:r>
    </w:p>
    <w:p w:rsidR="001A148E" w:rsidRPr="006442C0" w:rsidRDefault="001A148E" w:rsidP="001A148E">
      <w:pPr>
        <w:tabs>
          <w:tab w:val="left" w:pos="851"/>
        </w:tabs>
        <w:ind w:left="851"/>
        <w:rPr>
          <w:bCs/>
          <w:sz w:val="24"/>
          <w:szCs w:val="24"/>
        </w:rPr>
      </w:pPr>
      <w:r w:rsidRPr="006442C0">
        <w:rPr>
          <w:bCs/>
          <w:sz w:val="24"/>
          <w:szCs w:val="24"/>
        </w:rPr>
        <w:t xml:space="preserve">Mænd, der er i behandling med </w:t>
      </w:r>
      <w:proofErr w:type="spellStart"/>
      <w:r w:rsidRPr="006442C0">
        <w:rPr>
          <w:bCs/>
          <w:sz w:val="24"/>
          <w:szCs w:val="24"/>
        </w:rPr>
        <w:t>idarubicinhydrochlorid</w:t>
      </w:r>
      <w:proofErr w:type="spellEnd"/>
      <w:r w:rsidRPr="006442C0">
        <w:rPr>
          <w:bCs/>
          <w:sz w:val="24"/>
          <w:szCs w:val="24"/>
        </w:rPr>
        <w:t xml:space="preserve">, tilrådes at anvende sikker antikonception under behandlingen. Hvis det er relevant og tilgængeligt, bør der søges rådgivning om opbevaring af sæd på grund af irreversibel </w:t>
      </w:r>
      <w:proofErr w:type="spellStart"/>
      <w:r w:rsidRPr="006442C0">
        <w:rPr>
          <w:bCs/>
          <w:sz w:val="24"/>
          <w:szCs w:val="24"/>
        </w:rPr>
        <w:t>infertilitet</w:t>
      </w:r>
      <w:proofErr w:type="spellEnd"/>
      <w:r w:rsidRPr="006442C0">
        <w:rPr>
          <w:bCs/>
          <w:sz w:val="24"/>
          <w:szCs w:val="24"/>
        </w:rPr>
        <w:t xml:space="preserve"> forårsaget af behandling (se pkt. 4.6).</w:t>
      </w:r>
    </w:p>
    <w:p w:rsidR="001A148E" w:rsidRPr="006442C0" w:rsidRDefault="001A148E" w:rsidP="001A148E">
      <w:pPr>
        <w:tabs>
          <w:tab w:val="left" w:pos="851"/>
        </w:tabs>
        <w:ind w:left="851"/>
        <w:rPr>
          <w:bCs/>
          <w:sz w:val="24"/>
          <w:szCs w:val="24"/>
        </w:rPr>
      </w:pPr>
    </w:p>
    <w:p w:rsidR="001A148E" w:rsidRPr="00332457" w:rsidRDefault="001A148E" w:rsidP="001A148E">
      <w:pPr>
        <w:tabs>
          <w:tab w:val="left" w:pos="851"/>
        </w:tabs>
        <w:ind w:left="851"/>
        <w:rPr>
          <w:bCs/>
          <w:iCs/>
          <w:sz w:val="24"/>
          <w:szCs w:val="24"/>
          <w:u w:val="single"/>
        </w:rPr>
      </w:pPr>
      <w:r w:rsidRPr="00332457">
        <w:rPr>
          <w:bCs/>
          <w:sz w:val="24"/>
          <w:szCs w:val="24"/>
          <w:u w:val="single"/>
        </w:rPr>
        <w:t>Andet</w:t>
      </w:r>
    </w:p>
    <w:p w:rsidR="001A148E" w:rsidRPr="006442C0" w:rsidRDefault="001A148E" w:rsidP="001A148E">
      <w:pPr>
        <w:tabs>
          <w:tab w:val="left" w:pos="851"/>
        </w:tabs>
        <w:ind w:left="851"/>
        <w:rPr>
          <w:bCs/>
          <w:sz w:val="24"/>
          <w:szCs w:val="24"/>
        </w:rPr>
      </w:pPr>
      <w:r w:rsidRPr="006442C0">
        <w:rPr>
          <w:bCs/>
          <w:sz w:val="24"/>
          <w:szCs w:val="24"/>
        </w:rPr>
        <w:t xml:space="preserve">Som ved andre </w:t>
      </w:r>
      <w:proofErr w:type="spellStart"/>
      <w:r w:rsidRPr="006442C0">
        <w:rPr>
          <w:bCs/>
          <w:sz w:val="24"/>
          <w:szCs w:val="24"/>
        </w:rPr>
        <w:t>cytostatika</w:t>
      </w:r>
      <w:proofErr w:type="spellEnd"/>
      <w:r w:rsidRPr="006442C0">
        <w:rPr>
          <w:bCs/>
          <w:sz w:val="24"/>
          <w:szCs w:val="24"/>
        </w:rPr>
        <w:t xml:space="preserve"> er der set enkelte tilfælde af </w:t>
      </w:r>
      <w:proofErr w:type="spellStart"/>
      <w:r w:rsidRPr="006442C0">
        <w:rPr>
          <w:bCs/>
          <w:sz w:val="24"/>
          <w:szCs w:val="24"/>
        </w:rPr>
        <w:t>tromboflebit</w:t>
      </w:r>
      <w:proofErr w:type="spellEnd"/>
      <w:r w:rsidRPr="006442C0">
        <w:rPr>
          <w:bCs/>
          <w:sz w:val="24"/>
          <w:szCs w:val="24"/>
        </w:rPr>
        <w:t xml:space="preserve"> og </w:t>
      </w:r>
      <w:proofErr w:type="spellStart"/>
      <w:r w:rsidRPr="006442C0">
        <w:rPr>
          <w:bCs/>
          <w:sz w:val="24"/>
          <w:szCs w:val="24"/>
        </w:rPr>
        <w:t>tromboembolifænomen</w:t>
      </w:r>
      <w:proofErr w:type="spellEnd"/>
      <w:r w:rsidRPr="006442C0">
        <w:rPr>
          <w:bCs/>
          <w:sz w:val="24"/>
          <w:szCs w:val="24"/>
        </w:rPr>
        <w:t xml:space="preserve">, herunder </w:t>
      </w:r>
      <w:proofErr w:type="spellStart"/>
      <w:r w:rsidRPr="006442C0">
        <w:rPr>
          <w:bCs/>
          <w:sz w:val="24"/>
          <w:szCs w:val="24"/>
        </w:rPr>
        <w:t>lungeemboli</w:t>
      </w:r>
      <w:proofErr w:type="spellEnd"/>
      <w:r w:rsidRPr="006442C0">
        <w:rPr>
          <w:bCs/>
          <w:sz w:val="24"/>
          <w:szCs w:val="24"/>
        </w:rPr>
        <w:t xml:space="preserve">, ved brug af </w:t>
      </w:r>
      <w:proofErr w:type="spellStart"/>
      <w:r w:rsidRPr="006442C0">
        <w:rPr>
          <w:bCs/>
          <w:sz w:val="24"/>
          <w:szCs w:val="24"/>
        </w:rPr>
        <w:t>idarubicin</w:t>
      </w:r>
      <w:proofErr w:type="spellEnd"/>
      <w:r w:rsidRPr="006442C0">
        <w:rPr>
          <w:bCs/>
          <w:sz w:val="24"/>
          <w:szCs w:val="24"/>
        </w:rPr>
        <w:t>.</w:t>
      </w:r>
    </w:p>
    <w:p w:rsidR="001A148E" w:rsidRPr="006442C0" w:rsidRDefault="001A148E" w:rsidP="001A148E">
      <w:pPr>
        <w:tabs>
          <w:tab w:val="left" w:pos="851"/>
        </w:tabs>
        <w:ind w:left="851"/>
        <w:rPr>
          <w:bCs/>
          <w:sz w:val="24"/>
          <w:szCs w:val="24"/>
        </w:rPr>
      </w:pPr>
    </w:p>
    <w:p w:rsidR="00D35789" w:rsidRDefault="00D35789" w:rsidP="00D35789">
      <w:pPr>
        <w:tabs>
          <w:tab w:val="left" w:pos="851"/>
        </w:tabs>
        <w:ind w:left="851"/>
        <w:rPr>
          <w:bCs/>
          <w:sz w:val="24"/>
          <w:szCs w:val="24"/>
        </w:rPr>
      </w:pPr>
      <w:r w:rsidRPr="006442C0">
        <w:rPr>
          <w:bCs/>
          <w:sz w:val="24"/>
          <w:szCs w:val="24"/>
        </w:rPr>
        <w:t>Lægemidlet kan forårsage rødlig farvning af urinen i 1-2 dage efter indgift, og patienter bør gøres opmærksomme på dette faktum.</w:t>
      </w:r>
    </w:p>
    <w:p w:rsidR="00D35789" w:rsidRDefault="00D35789" w:rsidP="00D35789">
      <w:pPr>
        <w:tabs>
          <w:tab w:val="left" w:pos="851"/>
        </w:tabs>
        <w:ind w:left="851"/>
        <w:rPr>
          <w:bCs/>
          <w:sz w:val="24"/>
          <w:szCs w:val="24"/>
        </w:rPr>
      </w:pPr>
    </w:p>
    <w:p w:rsidR="00D35789" w:rsidRPr="00477077" w:rsidRDefault="00D35789" w:rsidP="00D35789">
      <w:pPr>
        <w:ind w:left="851"/>
        <w:rPr>
          <w:sz w:val="24"/>
          <w:szCs w:val="24"/>
          <w:lang w:eastAsia="da-DK"/>
        </w:rPr>
      </w:pPr>
      <w:r w:rsidRPr="00477077">
        <w:rPr>
          <w:sz w:val="24"/>
          <w:szCs w:val="24"/>
        </w:rPr>
        <w:t>Natrium</w:t>
      </w:r>
    </w:p>
    <w:p w:rsidR="00D35789" w:rsidRPr="009F395E" w:rsidRDefault="00D35789" w:rsidP="00D35789">
      <w:pPr>
        <w:autoSpaceDE w:val="0"/>
        <w:autoSpaceDN w:val="0"/>
        <w:adjustRightInd w:val="0"/>
        <w:ind w:left="851"/>
        <w:rPr>
          <w:bCs/>
          <w:sz w:val="24"/>
          <w:szCs w:val="24"/>
        </w:rPr>
      </w:pPr>
      <w:r w:rsidRPr="00477077">
        <w:rPr>
          <w:sz w:val="24"/>
          <w:szCs w:val="24"/>
        </w:rPr>
        <w:t>Dette lægemiddel indeholder mindre end 1 mmol (23 mg) natrium pr. hætteglas, dvs. det er i det væsentlige natriumfrit.</w:t>
      </w:r>
    </w:p>
    <w:p w:rsidR="001A148E" w:rsidRPr="006442C0" w:rsidRDefault="001A148E" w:rsidP="001A148E">
      <w:pPr>
        <w:tabs>
          <w:tab w:val="left" w:pos="851"/>
        </w:tabs>
        <w:ind w:left="851"/>
        <w:rPr>
          <w:bCs/>
          <w:sz w:val="24"/>
          <w:szCs w:val="24"/>
        </w:rPr>
      </w:pPr>
    </w:p>
    <w:p w:rsidR="00D35789" w:rsidRPr="00D35789" w:rsidRDefault="001A148E" w:rsidP="00D3578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35789" w:rsidRPr="00A7120F" w:rsidRDefault="00D35789" w:rsidP="00D35789">
      <w:pPr>
        <w:tabs>
          <w:tab w:val="left" w:pos="851"/>
        </w:tabs>
        <w:ind w:left="851"/>
        <w:rPr>
          <w:sz w:val="24"/>
          <w:szCs w:val="24"/>
        </w:rPr>
      </w:pPr>
      <w:proofErr w:type="spellStart"/>
      <w:r w:rsidRPr="00A7120F">
        <w:rPr>
          <w:sz w:val="24"/>
          <w:szCs w:val="24"/>
        </w:rPr>
        <w:t>Idarubicin</w:t>
      </w:r>
      <w:proofErr w:type="spellEnd"/>
      <w:r w:rsidRPr="00A7120F">
        <w:rPr>
          <w:sz w:val="24"/>
          <w:szCs w:val="24"/>
        </w:rPr>
        <w:t xml:space="preserve"> er en potent knoglemarvshæmmer, og kombinationsbehandling med andre kemoterapeutika med tilsvarende virkning kan forvente at inducere additiv knoglemarvshæmmende effekt (se pkt. 4.4). </w:t>
      </w:r>
    </w:p>
    <w:p w:rsidR="00D35789" w:rsidRPr="00A7120F" w:rsidRDefault="00D35789" w:rsidP="00D35789">
      <w:pPr>
        <w:tabs>
          <w:tab w:val="left" w:pos="851"/>
        </w:tabs>
        <w:ind w:left="851"/>
        <w:rPr>
          <w:sz w:val="24"/>
          <w:szCs w:val="24"/>
        </w:rPr>
      </w:pPr>
    </w:p>
    <w:p w:rsidR="00D35789" w:rsidRPr="00A7120F" w:rsidRDefault="00D35789" w:rsidP="00D35789">
      <w:pPr>
        <w:tabs>
          <w:tab w:val="left" w:pos="851"/>
        </w:tabs>
        <w:ind w:left="851"/>
        <w:rPr>
          <w:sz w:val="24"/>
          <w:szCs w:val="24"/>
        </w:rPr>
      </w:pPr>
      <w:r w:rsidRPr="00A7120F">
        <w:rPr>
          <w:sz w:val="24"/>
          <w:szCs w:val="24"/>
        </w:rPr>
        <w:t xml:space="preserve">Samtidig anvendelse af lægemidler, der ændrer nyre- eller leverfunktionen, kan påvirke </w:t>
      </w:r>
      <w:proofErr w:type="spellStart"/>
      <w:r w:rsidRPr="00A7120F">
        <w:rPr>
          <w:sz w:val="24"/>
          <w:szCs w:val="24"/>
        </w:rPr>
        <w:t>idarubicins</w:t>
      </w:r>
      <w:proofErr w:type="spellEnd"/>
      <w:r w:rsidRPr="00A7120F">
        <w:rPr>
          <w:sz w:val="24"/>
          <w:szCs w:val="24"/>
        </w:rPr>
        <w:t xml:space="preserve"> metabolisme, farmakokinetik og terapeutisk effekt og/eller toksicitet (se pkt. 4.4).</w:t>
      </w:r>
    </w:p>
    <w:p w:rsidR="00D35789" w:rsidRDefault="00D35789" w:rsidP="00D35789">
      <w:pPr>
        <w:tabs>
          <w:tab w:val="left" w:pos="851"/>
        </w:tabs>
        <w:ind w:left="851"/>
        <w:rPr>
          <w:sz w:val="24"/>
          <w:szCs w:val="24"/>
        </w:rPr>
      </w:pPr>
    </w:p>
    <w:p w:rsidR="00D35789" w:rsidRDefault="00D35789" w:rsidP="00D35789">
      <w:pPr>
        <w:tabs>
          <w:tab w:val="left" w:pos="851"/>
        </w:tabs>
        <w:ind w:left="851"/>
        <w:rPr>
          <w:sz w:val="24"/>
          <w:szCs w:val="24"/>
        </w:rPr>
      </w:pPr>
      <w:r w:rsidRPr="00A7120F">
        <w:rPr>
          <w:sz w:val="24"/>
          <w:szCs w:val="24"/>
        </w:rPr>
        <w:t xml:space="preserve">Samtidig behandling med </w:t>
      </w:r>
      <w:proofErr w:type="spellStart"/>
      <w:r w:rsidRPr="00A7120F">
        <w:rPr>
          <w:sz w:val="24"/>
          <w:szCs w:val="24"/>
        </w:rPr>
        <w:t>idarubicin</w:t>
      </w:r>
      <w:proofErr w:type="spellEnd"/>
      <w:r w:rsidRPr="00A7120F">
        <w:rPr>
          <w:sz w:val="24"/>
          <w:szCs w:val="24"/>
        </w:rPr>
        <w:t xml:space="preserve"> i kombinationskemoterapi og andre potentielle </w:t>
      </w:r>
      <w:proofErr w:type="spellStart"/>
      <w:r w:rsidRPr="00A7120F">
        <w:rPr>
          <w:sz w:val="24"/>
          <w:szCs w:val="24"/>
        </w:rPr>
        <w:t>kardiotoksiske</w:t>
      </w:r>
      <w:proofErr w:type="spellEnd"/>
      <w:r w:rsidRPr="00A7120F">
        <w:rPr>
          <w:sz w:val="24"/>
          <w:szCs w:val="24"/>
        </w:rPr>
        <w:t xml:space="preserve"> stoffer, såvel som den samtidige behandling med andre </w:t>
      </w:r>
      <w:proofErr w:type="spellStart"/>
      <w:r w:rsidRPr="00A7120F">
        <w:rPr>
          <w:sz w:val="24"/>
          <w:szCs w:val="24"/>
        </w:rPr>
        <w:t>kardioaktive</w:t>
      </w:r>
      <w:proofErr w:type="spellEnd"/>
      <w:r w:rsidRPr="00A7120F">
        <w:rPr>
          <w:sz w:val="24"/>
          <w:szCs w:val="24"/>
        </w:rPr>
        <w:t xml:space="preserve"> lægemidler (f.eks. calciumkanalblokkere) kræver monitorering af hjertefunktionen under hele behandlingen.</w:t>
      </w:r>
    </w:p>
    <w:p w:rsidR="00D35789" w:rsidRPr="00A7120F" w:rsidRDefault="00D35789" w:rsidP="00D35789">
      <w:pPr>
        <w:tabs>
          <w:tab w:val="left" w:pos="851"/>
        </w:tabs>
        <w:ind w:left="851"/>
        <w:rPr>
          <w:sz w:val="24"/>
          <w:szCs w:val="24"/>
        </w:rPr>
      </w:pPr>
    </w:p>
    <w:p w:rsidR="00D35789" w:rsidRPr="00A7120F" w:rsidRDefault="00D35789" w:rsidP="00D35789">
      <w:pPr>
        <w:tabs>
          <w:tab w:val="left" w:pos="851"/>
        </w:tabs>
        <w:ind w:left="851"/>
        <w:rPr>
          <w:sz w:val="24"/>
          <w:szCs w:val="24"/>
        </w:rPr>
      </w:pPr>
      <w:r w:rsidRPr="00A7120F">
        <w:rPr>
          <w:sz w:val="24"/>
          <w:szCs w:val="24"/>
        </w:rPr>
        <w:t xml:space="preserve">Additiv </w:t>
      </w:r>
      <w:proofErr w:type="spellStart"/>
      <w:r w:rsidRPr="00A7120F">
        <w:rPr>
          <w:sz w:val="24"/>
          <w:szCs w:val="24"/>
        </w:rPr>
        <w:t>myelosuppression</w:t>
      </w:r>
      <w:proofErr w:type="spellEnd"/>
      <w:r w:rsidRPr="00A7120F">
        <w:rPr>
          <w:sz w:val="24"/>
          <w:szCs w:val="24"/>
        </w:rPr>
        <w:t xml:space="preserve"> kan forekomme, når strålebehandling samtidig gives med eller inden for 2-3 uger før behandling med </w:t>
      </w:r>
      <w:proofErr w:type="spellStart"/>
      <w:r w:rsidRPr="00A7120F">
        <w:rPr>
          <w:sz w:val="24"/>
          <w:szCs w:val="24"/>
        </w:rPr>
        <w:t>idarubicin</w:t>
      </w:r>
      <w:proofErr w:type="spellEnd"/>
      <w:r w:rsidRPr="00A7120F">
        <w:rPr>
          <w:sz w:val="24"/>
          <w:szCs w:val="24"/>
        </w:rPr>
        <w:t>.</w:t>
      </w:r>
    </w:p>
    <w:p w:rsidR="00D35789" w:rsidRPr="00A7120F" w:rsidRDefault="00D35789" w:rsidP="00D35789">
      <w:pPr>
        <w:rPr>
          <w:sz w:val="24"/>
          <w:szCs w:val="24"/>
        </w:rPr>
      </w:pPr>
    </w:p>
    <w:p w:rsidR="00D35789" w:rsidRPr="00A7120F" w:rsidRDefault="00D35789" w:rsidP="00D35789">
      <w:pPr>
        <w:tabs>
          <w:tab w:val="left" w:pos="851"/>
        </w:tabs>
        <w:ind w:left="851"/>
        <w:rPr>
          <w:sz w:val="24"/>
          <w:szCs w:val="24"/>
        </w:rPr>
      </w:pPr>
      <w:r w:rsidRPr="00477077">
        <w:rPr>
          <w:sz w:val="24"/>
          <w:szCs w:val="24"/>
        </w:rPr>
        <w:t>Samtidig brug af levende, svækkede vacciner (fx gul feber) frarådes pga. r</w:t>
      </w:r>
      <w:r w:rsidRPr="00477077">
        <w:rPr>
          <w:sz w:val="24"/>
          <w:szCs w:val="24"/>
          <w:lang w:val="nb-NO"/>
        </w:rPr>
        <w:t xml:space="preserve">isiko for mulig fatal systematisk sygdom. </w:t>
      </w:r>
      <w:r w:rsidRPr="00A7120F">
        <w:rPr>
          <w:sz w:val="24"/>
          <w:szCs w:val="24"/>
        </w:rPr>
        <w:t>Risikoen er forhøjet hos personer, som allerede er immunsupprimerede af deres underliggende sygdom.</w:t>
      </w:r>
    </w:p>
    <w:p w:rsidR="00D35789" w:rsidRPr="00A7120F" w:rsidRDefault="00D35789" w:rsidP="00D35789">
      <w:pPr>
        <w:tabs>
          <w:tab w:val="left" w:pos="851"/>
        </w:tabs>
        <w:ind w:left="851"/>
        <w:rPr>
          <w:sz w:val="24"/>
          <w:szCs w:val="24"/>
        </w:rPr>
      </w:pPr>
    </w:p>
    <w:p w:rsidR="00D35789" w:rsidRPr="00A7120F" w:rsidRDefault="00D35789" w:rsidP="00D35789">
      <w:pPr>
        <w:tabs>
          <w:tab w:val="left" w:pos="851"/>
        </w:tabs>
        <w:ind w:left="851"/>
        <w:rPr>
          <w:sz w:val="24"/>
          <w:szCs w:val="24"/>
        </w:rPr>
      </w:pPr>
      <w:r w:rsidRPr="00A7120F">
        <w:rPr>
          <w:sz w:val="24"/>
          <w:szCs w:val="24"/>
        </w:rPr>
        <w:t>En inaktiveret vaccine bør anvendes, hvis tilgængelig.</w:t>
      </w:r>
    </w:p>
    <w:p w:rsidR="00D35789" w:rsidRPr="00A7120F" w:rsidRDefault="00D35789" w:rsidP="00D35789">
      <w:pPr>
        <w:tabs>
          <w:tab w:val="left" w:pos="851"/>
        </w:tabs>
        <w:ind w:left="851"/>
        <w:rPr>
          <w:sz w:val="24"/>
          <w:szCs w:val="24"/>
        </w:rPr>
      </w:pPr>
    </w:p>
    <w:p w:rsidR="00D35789" w:rsidRPr="00A7120F" w:rsidRDefault="00D35789" w:rsidP="00D35789">
      <w:pPr>
        <w:tabs>
          <w:tab w:val="left" w:pos="851"/>
        </w:tabs>
        <w:ind w:left="851"/>
        <w:rPr>
          <w:sz w:val="24"/>
          <w:szCs w:val="24"/>
        </w:rPr>
      </w:pPr>
      <w:r w:rsidRPr="00A7120F">
        <w:rPr>
          <w:sz w:val="24"/>
          <w:szCs w:val="24"/>
        </w:rPr>
        <w:t xml:space="preserve">Ved kombination af orale </w:t>
      </w:r>
      <w:proofErr w:type="spellStart"/>
      <w:r w:rsidRPr="00A7120F">
        <w:rPr>
          <w:sz w:val="24"/>
          <w:szCs w:val="24"/>
        </w:rPr>
        <w:t>antikoagulantia</w:t>
      </w:r>
      <w:proofErr w:type="spellEnd"/>
      <w:r w:rsidRPr="00A7120F">
        <w:rPr>
          <w:sz w:val="24"/>
          <w:szCs w:val="24"/>
        </w:rPr>
        <w:t xml:space="preserve"> og kemoterapi mod cancer kræves hyppigere monitorering af INR (International </w:t>
      </w:r>
      <w:proofErr w:type="spellStart"/>
      <w:r w:rsidRPr="00A7120F">
        <w:rPr>
          <w:sz w:val="24"/>
          <w:szCs w:val="24"/>
        </w:rPr>
        <w:t>Normalised</w:t>
      </w:r>
      <w:proofErr w:type="spellEnd"/>
      <w:r w:rsidRPr="00A7120F">
        <w:rPr>
          <w:sz w:val="24"/>
          <w:szCs w:val="24"/>
        </w:rPr>
        <w:t xml:space="preserve"> Ratio), da risikoen for en interaktion ikke kan udelukkes.</w:t>
      </w:r>
    </w:p>
    <w:p w:rsidR="00D35789" w:rsidRPr="00A7120F" w:rsidRDefault="00D35789" w:rsidP="00D35789">
      <w:pPr>
        <w:tabs>
          <w:tab w:val="left" w:pos="851"/>
        </w:tabs>
        <w:ind w:left="851"/>
        <w:rPr>
          <w:sz w:val="24"/>
          <w:szCs w:val="24"/>
        </w:rPr>
      </w:pPr>
    </w:p>
    <w:p w:rsidR="00D35789" w:rsidRPr="00A7120F" w:rsidRDefault="00D35789" w:rsidP="00D35789">
      <w:pPr>
        <w:tabs>
          <w:tab w:val="left" w:pos="851"/>
        </w:tabs>
        <w:ind w:left="851"/>
        <w:rPr>
          <w:sz w:val="24"/>
          <w:szCs w:val="24"/>
        </w:rPr>
      </w:pPr>
      <w:proofErr w:type="spellStart"/>
      <w:r w:rsidRPr="00A7120F">
        <w:rPr>
          <w:sz w:val="24"/>
          <w:szCs w:val="24"/>
        </w:rPr>
        <w:t>Ciclosporin</w:t>
      </w:r>
      <w:proofErr w:type="spellEnd"/>
      <w:r w:rsidRPr="00A7120F">
        <w:rPr>
          <w:sz w:val="24"/>
          <w:szCs w:val="24"/>
        </w:rPr>
        <w:t xml:space="preserve"> A: Samtidig anvendelse af </w:t>
      </w:r>
      <w:proofErr w:type="spellStart"/>
      <w:r w:rsidRPr="00A7120F">
        <w:rPr>
          <w:sz w:val="24"/>
          <w:szCs w:val="24"/>
        </w:rPr>
        <w:t>ciclosporin</w:t>
      </w:r>
      <w:proofErr w:type="spellEnd"/>
      <w:r w:rsidRPr="00A7120F">
        <w:rPr>
          <w:sz w:val="24"/>
          <w:szCs w:val="24"/>
        </w:rPr>
        <w:t xml:space="preserve"> A som eneste </w:t>
      </w:r>
      <w:proofErr w:type="spellStart"/>
      <w:r w:rsidRPr="00A7120F">
        <w:rPr>
          <w:sz w:val="24"/>
          <w:szCs w:val="24"/>
        </w:rPr>
        <w:t>kemosensibilisator</w:t>
      </w:r>
      <w:proofErr w:type="spellEnd"/>
      <w:r w:rsidRPr="00A7120F">
        <w:rPr>
          <w:sz w:val="24"/>
          <w:szCs w:val="24"/>
        </w:rPr>
        <w:t xml:space="preserve"> øgede markant </w:t>
      </w:r>
      <w:proofErr w:type="spellStart"/>
      <w:r w:rsidRPr="00A7120F">
        <w:rPr>
          <w:sz w:val="24"/>
          <w:szCs w:val="24"/>
        </w:rPr>
        <w:t>idarubicin</w:t>
      </w:r>
      <w:proofErr w:type="spellEnd"/>
      <w:r w:rsidRPr="00A7120F">
        <w:rPr>
          <w:sz w:val="24"/>
          <w:szCs w:val="24"/>
        </w:rPr>
        <w:t xml:space="preserve"> AUC (1,78 gange) og </w:t>
      </w:r>
      <w:proofErr w:type="spellStart"/>
      <w:r w:rsidRPr="00A7120F">
        <w:rPr>
          <w:sz w:val="24"/>
          <w:szCs w:val="24"/>
        </w:rPr>
        <w:t>idarubicinol</w:t>
      </w:r>
      <w:proofErr w:type="spellEnd"/>
      <w:r w:rsidRPr="00A7120F">
        <w:rPr>
          <w:sz w:val="24"/>
          <w:szCs w:val="24"/>
        </w:rPr>
        <w:t xml:space="preserve"> AUC (2,46 gange) hos patienter med akut leukæmi. Den kliniske relevans for denne interaktion er ukendt.</w:t>
      </w:r>
    </w:p>
    <w:p w:rsidR="00D35789" w:rsidRPr="00A7120F" w:rsidRDefault="00D35789" w:rsidP="00D35789">
      <w:pPr>
        <w:tabs>
          <w:tab w:val="left" w:pos="851"/>
        </w:tabs>
        <w:ind w:left="851"/>
        <w:rPr>
          <w:sz w:val="24"/>
          <w:szCs w:val="24"/>
        </w:rPr>
      </w:pPr>
    </w:p>
    <w:p w:rsidR="00D35789" w:rsidRPr="00A7120F" w:rsidRDefault="00D35789" w:rsidP="00D35789">
      <w:pPr>
        <w:tabs>
          <w:tab w:val="left" w:pos="851"/>
        </w:tabs>
        <w:ind w:left="851"/>
        <w:rPr>
          <w:sz w:val="24"/>
          <w:szCs w:val="24"/>
        </w:rPr>
      </w:pPr>
      <w:r w:rsidRPr="00A7120F">
        <w:rPr>
          <w:sz w:val="24"/>
          <w:szCs w:val="24"/>
        </w:rPr>
        <w:t>En dosisjustering kan blive relevant hos nogle patienter.</w:t>
      </w:r>
    </w:p>
    <w:p w:rsidR="001A148E" w:rsidRPr="00C84483" w:rsidRDefault="001A148E" w:rsidP="001A148E">
      <w:pPr>
        <w:tabs>
          <w:tab w:val="left" w:pos="851"/>
        </w:tabs>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4.6</w:t>
      </w:r>
      <w:r w:rsidRPr="00C84483">
        <w:rPr>
          <w:b/>
          <w:sz w:val="24"/>
          <w:szCs w:val="24"/>
        </w:rPr>
        <w:tab/>
      </w:r>
      <w:r w:rsidR="00D35789">
        <w:rPr>
          <w:b/>
          <w:sz w:val="24"/>
          <w:szCs w:val="24"/>
        </w:rPr>
        <w:t>fertilitet, g</w:t>
      </w:r>
      <w:r w:rsidRPr="00C84483">
        <w:rPr>
          <w:b/>
          <w:sz w:val="24"/>
          <w:szCs w:val="24"/>
        </w:rPr>
        <w:t>raviditet og amning</w:t>
      </w:r>
    </w:p>
    <w:p w:rsidR="001A148E" w:rsidRDefault="001A148E" w:rsidP="001A148E">
      <w:pPr>
        <w:ind w:left="851"/>
        <w:rPr>
          <w:sz w:val="24"/>
          <w:szCs w:val="24"/>
          <w:u w:val="single"/>
        </w:rPr>
      </w:pPr>
    </w:p>
    <w:p w:rsidR="001A148E" w:rsidRPr="00B35B62" w:rsidRDefault="001A148E" w:rsidP="001A148E">
      <w:pPr>
        <w:tabs>
          <w:tab w:val="left" w:pos="851"/>
        </w:tabs>
        <w:ind w:left="851"/>
        <w:rPr>
          <w:iCs/>
          <w:sz w:val="24"/>
          <w:szCs w:val="24"/>
          <w:u w:val="single"/>
        </w:rPr>
      </w:pPr>
      <w:r w:rsidRPr="00B35B62">
        <w:rPr>
          <w:sz w:val="24"/>
          <w:szCs w:val="24"/>
          <w:u w:val="single"/>
        </w:rPr>
        <w:t>Fertilitet</w:t>
      </w:r>
    </w:p>
    <w:p w:rsidR="001A148E" w:rsidRPr="00B35B62" w:rsidRDefault="001A148E" w:rsidP="001A148E">
      <w:pPr>
        <w:tabs>
          <w:tab w:val="left" w:pos="851"/>
        </w:tabs>
        <w:ind w:left="851"/>
        <w:rPr>
          <w:sz w:val="24"/>
          <w:szCs w:val="24"/>
        </w:rPr>
      </w:pPr>
      <w:proofErr w:type="spellStart"/>
      <w:r w:rsidRPr="00B35B62">
        <w:rPr>
          <w:sz w:val="24"/>
          <w:szCs w:val="24"/>
        </w:rPr>
        <w:t>Idarubicin</w:t>
      </w:r>
      <w:proofErr w:type="spellEnd"/>
      <w:r w:rsidRPr="00B35B62">
        <w:rPr>
          <w:sz w:val="24"/>
          <w:szCs w:val="24"/>
        </w:rPr>
        <w:t xml:space="preserve"> kan forårsage kromosomskader i humane spermatozoer. Derfor bør mænd, som er i behandling med </w:t>
      </w:r>
      <w:proofErr w:type="spellStart"/>
      <w:r w:rsidRPr="00B35B62">
        <w:rPr>
          <w:sz w:val="24"/>
          <w:szCs w:val="24"/>
        </w:rPr>
        <w:t>idarubicin</w:t>
      </w:r>
      <w:proofErr w:type="spellEnd"/>
      <w:r w:rsidRPr="00B35B62">
        <w:rPr>
          <w:sz w:val="24"/>
          <w:szCs w:val="24"/>
        </w:rPr>
        <w:t xml:space="preserve">, anvende sikker </w:t>
      </w:r>
      <w:proofErr w:type="spellStart"/>
      <w:r w:rsidRPr="00B35B62">
        <w:rPr>
          <w:sz w:val="24"/>
          <w:szCs w:val="24"/>
        </w:rPr>
        <w:t>kontraception</w:t>
      </w:r>
      <w:proofErr w:type="spellEnd"/>
      <w:r w:rsidRPr="00B35B62">
        <w:rPr>
          <w:sz w:val="24"/>
          <w:szCs w:val="24"/>
        </w:rPr>
        <w:t xml:space="preserve"> i op til 3 måneder efter endt behandling (se pkt. 4.4).</w:t>
      </w:r>
    </w:p>
    <w:p w:rsidR="001A148E" w:rsidRPr="00B35B62" w:rsidRDefault="001A148E" w:rsidP="001A148E">
      <w:pPr>
        <w:tabs>
          <w:tab w:val="left" w:pos="851"/>
        </w:tabs>
        <w:ind w:left="851"/>
        <w:rPr>
          <w:i/>
          <w:iCs/>
          <w:sz w:val="24"/>
          <w:szCs w:val="24"/>
        </w:rPr>
      </w:pPr>
    </w:p>
    <w:p w:rsidR="00D35789" w:rsidRPr="00B35B62" w:rsidRDefault="00D35789" w:rsidP="00D35789">
      <w:pPr>
        <w:tabs>
          <w:tab w:val="left" w:pos="851"/>
        </w:tabs>
        <w:ind w:left="851"/>
        <w:rPr>
          <w:iCs/>
          <w:sz w:val="24"/>
          <w:szCs w:val="24"/>
          <w:u w:val="single"/>
        </w:rPr>
      </w:pPr>
      <w:r w:rsidRPr="00B35B62">
        <w:rPr>
          <w:sz w:val="24"/>
          <w:szCs w:val="24"/>
          <w:u w:val="single"/>
        </w:rPr>
        <w:t>Graviditet</w:t>
      </w:r>
    </w:p>
    <w:p w:rsidR="00D35789" w:rsidRDefault="00D35789" w:rsidP="00D35789">
      <w:pPr>
        <w:tabs>
          <w:tab w:val="left" w:pos="851"/>
        </w:tabs>
        <w:ind w:left="851"/>
        <w:rPr>
          <w:sz w:val="24"/>
          <w:szCs w:val="24"/>
        </w:rPr>
      </w:pPr>
      <w:proofErr w:type="spellStart"/>
      <w:r w:rsidRPr="00B35B62">
        <w:rPr>
          <w:sz w:val="24"/>
          <w:szCs w:val="24"/>
        </w:rPr>
        <w:t>Idarubicins</w:t>
      </w:r>
      <w:proofErr w:type="spellEnd"/>
      <w:r w:rsidRPr="00B35B62">
        <w:rPr>
          <w:sz w:val="24"/>
          <w:szCs w:val="24"/>
        </w:rPr>
        <w:t xml:space="preserve"> embryotoksiske potentiale er påvist i både </w:t>
      </w:r>
      <w:r w:rsidRPr="00B35B62">
        <w:rPr>
          <w:i/>
          <w:sz w:val="24"/>
          <w:szCs w:val="24"/>
        </w:rPr>
        <w:t xml:space="preserve">in </w:t>
      </w:r>
      <w:proofErr w:type="spellStart"/>
      <w:r w:rsidRPr="00B35B62">
        <w:rPr>
          <w:i/>
          <w:sz w:val="24"/>
          <w:szCs w:val="24"/>
        </w:rPr>
        <w:t>vitro</w:t>
      </w:r>
      <w:proofErr w:type="spellEnd"/>
      <w:r w:rsidRPr="00B35B62">
        <w:rPr>
          <w:i/>
          <w:sz w:val="24"/>
          <w:szCs w:val="24"/>
        </w:rPr>
        <w:t>-</w:t>
      </w:r>
      <w:r w:rsidRPr="00B35B62">
        <w:rPr>
          <w:sz w:val="24"/>
          <w:szCs w:val="24"/>
        </w:rPr>
        <w:t xml:space="preserve"> og </w:t>
      </w:r>
      <w:r w:rsidRPr="00B35B62">
        <w:rPr>
          <w:i/>
          <w:sz w:val="24"/>
          <w:szCs w:val="24"/>
        </w:rPr>
        <w:t xml:space="preserve">in </w:t>
      </w:r>
      <w:proofErr w:type="spellStart"/>
      <w:r w:rsidRPr="00B35B62">
        <w:rPr>
          <w:i/>
          <w:sz w:val="24"/>
          <w:szCs w:val="24"/>
        </w:rPr>
        <w:t>vivo</w:t>
      </w:r>
      <w:proofErr w:type="spellEnd"/>
      <w:r w:rsidRPr="00B35B62">
        <w:rPr>
          <w:i/>
          <w:sz w:val="24"/>
          <w:szCs w:val="24"/>
        </w:rPr>
        <w:t>-</w:t>
      </w:r>
      <w:r w:rsidRPr="00B35B62">
        <w:rPr>
          <w:sz w:val="24"/>
          <w:szCs w:val="24"/>
        </w:rPr>
        <w:t xml:space="preserve">undersøgelser. Der er dog ikke nogen tilstrækkelige eller velkontrollerede undersøgelser af gravide kvinder. Kvinder i den fertile alder bør rådgives om ikke at blive gravide under behandlingen og bør anvende sikker </w:t>
      </w:r>
      <w:proofErr w:type="spellStart"/>
      <w:r w:rsidRPr="00B35B62">
        <w:rPr>
          <w:sz w:val="24"/>
          <w:szCs w:val="24"/>
        </w:rPr>
        <w:t>kontraception</w:t>
      </w:r>
      <w:proofErr w:type="spellEnd"/>
      <w:r w:rsidRPr="00B35B62">
        <w:rPr>
          <w:sz w:val="24"/>
          <w:szCs w:val="24"/>
        </w:rPr>
        <w:t xml:space="preserve"> under behandlingen</w:t>
      </w:r>
      <w:r>
        <w:rPr>
          <w:sz w:val="24"/>
          <w:szCs w:val="24"/>
        </w:rPr>
        <w:t xml:space="preserve"> som foreslået af lægen</w:t>
      </w:r>
      <w:r w:rsidRPr="00B35B62">
        <w:rPr>
          <w:sz w:val="24"/>
          <w:szCs w:val="24"/>
        </w:rPr>
        <w:t xml:space="preserve">. </w:t>
      </w:r>
    </w:p>
    <w:p w:rsidR="00D35789" w:rsidRDefault="00D35789" w:rsidP="001A148E">
      <w:pPr>
        <w:tabs>
          <w:tab w:val="left" w:pos="851"/>
        </w:tabs>
        <w:ind w:left="851"/>
        <w:rPr>
          <w:sz w:val="24"/>
          <w:szCs w:val="24"/>
        </w:rPr>
      </w:pPr>
    </w:p>
    <w:p w:rsidR="001A148E" w:rsidRPr="00B35B62" w:rsidRDefault="001A148E" w:rsidP="001A148E">
      <w:pPr>
        <w:tabs>
          <w:tab w:val="left" w:pos="851"/>
        </w:tabs>
        <w:ind w:left="851"/>
        <w:rPr>
          <w:sz w:val="24"/>
          <w:szCs w:val="24"/>
        </w:rPr>
      </w:pPr>
      <w:proofErr w:type="spellStart"/>
      <w:r w:rsidRPr="00B35B62">
        <w:rPr>
          <w:sz w:val="24"/>
          <w:szCs w:val="24"/>
        </w:rPr>
        <w:t>Idarubicin</w:t>
      </w:r>
      <w:proofErr w:type="spellEnd"/>
      <w:r w:rsidRPr="00B35B62">
        <w:rPr>
          <w:sz w:val="24"/>
          <w:szCs w:val="24"/>
        </w:rPr>
        <w:t xml:space="preserve"> bør kun anvendes under graviditet, hvis den potentielle fordel for moderen opvejer den potentielle risiko for fostret. Patienten skal underrettes om den potentielle risiko for fostret. Hvis det er hensigtsmæssigt og tilgængeligt, bør patienter, der ønsker at få børn efter behandlingens afslutning, modtage genetisk rådgivning først.</w:t>
      </w:r>
    </w:p>
    <w:p w:rsidR="001A148E" w:rsidRPr="00B35B62" w:rsidRDefault="001A148E" w:rsidP="001A148E">
      <w:pPr>
        <w:tabs>
          <w:tab w:val="left" w:pos="851"/>
        </w:tabs>
        <w:ind w:left="851"/>
        <w:rPr>
          <w:sz w:val="24"/>
          <w:szCs w:val="24"/>
          <w:u w:val="single"/>
        </w:rPr>
      </w:pPr>
    </w:p>
    <w:p w:rsidR="001A148E" w:rsidRPr="00B35B62" w:rsidRDefault="001A148E" w:rsidP="001A148E">
      <w:pPr>
        <w:tabs>
          <w:tab w:val="left" w:pos="851"/>
        </w:tabs>
        <w:ind w:left="851"/>
        <w:rPr>
          <w:iCs/>
          <w:sz w:val="24"/>
          <w:szCs w:val="24"/>
          <w:u w:val="single"/>
        </w:rPr>
      </w:pPr>
      <w:r w:rsidRPr="00B35B62">
        <w:rPr>
          <w:sz w:val="24"/>
          <w:szCs w:val="24"/>
          <w:u w:val="single"/>
        </w:rPr>
        <w:t>Amning</w:t>
      </w:r>
    </w:p>
    <w:p w:rsidR="001A148E" w:rsidRPr="00B35B62" w:rsidRDefault="001A148E" w:rsidP="001A148E">
      <w:pPr>
        <w:tabs>
          <w:tab w:val="left" w:pos="851"/>
        </w:tabs>
        <w:ind w:left="851"/>
        <w:rPr>
          <w:sz w:val="24"/>
          <w:szCs w:val="24"/>
        </w:rPr>
      </w:pPr>
      <w:r w:rsidRPr="00B35B62">
        <w:rPr>
          <w:sz w:val="24"/>
          <w:szCs w:val="24"/>
        </w:rPr>
        <w:t xml:space="preserve">Det vides ikke, om </w:t>
      </w:r>
      <w:proofErr w:type="spellStart"/>
      <w:r w:rsidRPr="00B35B62">
        <w:rPr>
          <w:sz w:val="24"/>
          <w:szCs w:val="24"/>
        </w:rPr>
        <w:t>idarubicin</w:t>
      </w:r>
      <w:proofErr w:type="spellEnd"/>
      <w:r w:rsidRPr="00B35B62">
        <w:rPr>
          <w:sz w:val="24"/>
          <w:szCs w:val="24"/>
        </w:rPr>
        <w:t xml:space="preserve"> eller dets metabolitter udskilles i modermælk. Mødre bør ikke amme under behandling med </w:t>
      </w:r>
      <w:proofErr w:type="spellStart"/>
      <w:r w:rsidRPr="00B35B62">
        <w:rPr>
          <w:sz w:val="24"/>
          <w:szCs w:val="24"/>
        </w:rPr>
        <w:t>idarubicinhydrochlorid</w:t>
      </w:r>
      <w:proofErr w:type="spellEnd"/>
      <w:r w:rsidRPr="00B35B62">
        <w:rPr>
          <w:sz w:val="24"/>
          <w:szCs w:val="24"/>
        </w:rPr>
        <w:t>.</w:t>
      </w:r>
    </w:p>
    <w:p w:rsidR="001A148E" w:rsidRPr="00B35B62" w:rsidRDefault="001A148E" w:rsidP="001A148E">
      <w:pPr>
        <w:tabs>
          <w:tab w:val="left" w:pos="851"/>
        </w:tabs>
        <w:ind w:left="851"/>
        <w:rPr>
          <w:sz w:val="24"/>
          <w:szCs w:val="24"/>
          <w:u w:val="single"/>
        </w:rPr>
      </w:pPr>
    </w:p>
    <w:p w:rsidR="001A148E" w:rsidRPr="00C84483" w:rsidRDefault="001A148E" w:rsidP="001A148E">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D35789">
        <w:rPr>
          <w:b/>
          <w:sz w:val="24"/>
          <w:szCs w:val="24"/>
        </w:rPr>
        <w:t>og</w:t>
      </w:r>
      <w:r w:rsidRPr="00C84483">
        <w:rPr>
          <w:b/>
          <w:sz w:val="24"/>
          <w:szCs w:val="24"/>
        </w:rPr>
        <w:t xml:space="preserve"> betjene maskiner</w:t>
      </w:r>
    </w:p>
    <w:p w:rsidR="001A148E" w:rsidRPr="00FB1887" w:rsidRDefault="001A148E" w:rsidP="001A148E">
      <w:pPr>
        <w:ind w:left="851"/>
        <w:rPr>
          <w:sz w:val="24"/>
          <w:szCs w:val="24"/>
        </w:rPr>
      </w:pPr>
      <w:r w:rsidRPr="00FB1887">
        <w:rPr>
          <w:sz w:val="24"/>
          <w:szCs w:val="24"/>
        </w:rPr>
        <w:t>Ikke mærkning.</w:t>
      </w:r>
    </w:p>
    <w:p w:rsidR="001A148E" w:rsidRPr="000F6A9A" w:rsidRDefault="001A148E" w:rsidP="001A148E">
      <w:pPr>
        <w:tabs>
          <w:tab w:val="left" w:pos="851"/>
        </w:tabs>
        <w:ind w:left="851"/>
        <w:rPr>
          <w:sz w:val="24"/>
          <w:szCs w:val="24"/>
        </w:rPr>
      </w:pPr>
      <w:r w:rsidRPr="000F6A9A">
        <w:rPr>
          <w:sz w:val="24"/>
          <w:szCs w:val="24"/>
        </w:rPr>
        <w:t xml:space="preserve">Virkningen af </w:t>
      </w:r>
      <w:proofErr w:type="spellStart"/>
      <w:r w:rsidRPr="000F6A9A">
        <w:rPr>
          <w:sz w:val="24"/>
          <w:szCs w:val="24"/>
        </w:rPr>
        <w:t>idarubicin</w:t>
      </w:r>
      <w:proofErr w:type="spellEnd"/>
      <w:r w:rsidRPr="000F6A9A">
        <w:rPr>
          <w:sz w:val="24"/>
          <w:szCs w:val="24"/>
        </w:rPr>
        <w:t xml:space="preserve"> på evnen til at føre motorkøretøj eller betjene maskiner er ikke blevet systematisk evalueret.</w:t>
      </w:r>
    </w:p>
    <w:p w:rsidR="001A148E" w:rsidRDefault="001A148E" w:rsidP="001A148E">
      <w:pPr>
        <w:tabs>
          <w:tab w:val="left" w:pos="851"/>
        </w:tabs>
        <w:ind w:left="851"/>
        <w:rPr>
          <w:sz w:val="24"/>
          <w:szCs w:val="24"/>
        </w:rPr>
      </w:pPr>
    </w:p>
    <w:p w:rsidR="00D35789" w:rsidRPr="00C84483" w:rsidRDefault="00D35789"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4.8</w:t>
      </w:r>
      <w:r w:rsidRPr="00C84483">
        <w:rPr>
          <w:b/>
          <w:sz w:val="24"/>
          <w:szCs w:val="24"/>
        </w:rPr>
        <w:tab/>
        <w:t>Bivirkninger</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sz w:val="24"/>
          <w:szCs w:val="24"/>
          <w:u w:val="single"/>
        </w:rPr>
      </w:pPr>
      <w:r w:rsidRPr="00BB6FE5">
        <w:rPr>
          <w:sz w:val="24"/>
          <w:szCs w:val="24"/>
          <w:u w:val="single"/>
        </w:rPr>
        <w:t>Liste over bivirkninger</w:t>
      </w:r>
    </w:p>
    <w:p w:rsidR="001A148E" w:rsidRPr="00BB6FE5" w:rsidRDefault="001A148E" w:rsidP="001A148E">
      <w:pPr>
        <w:autoSpaceDE w:val="0"/>
        <w:autoSpaceDN w:val="0"/>
        <w:ind w:left="851"/>
        <w:rPr>
          <w:sz w:val="24"/>
          <w:szCs w:val="24"/>
        </w:rPr>
      </w:pPr>
      <w:r w:rsidRPr="00BB6FE5">
        <w:rPr>
          <w:sz w:val="24"/>
          <w:szCs w:val="24"/>
        </w:rPr>
        <w:t>Bivirkningerne er opdelt efter følgende hyppigheder: Meget almindelig (</w:t>
      </w:r>
      <w:r w:rsidRPr="00BB6FE5">
        <w:rPr>
          <w:sz w:val="24"/>
          <w:szCs w:val="24"/>
          <w:cs/>
        </w:rPr>
        <w:t xml:space="preserve">≥ </w:t>
      </w:r>
      <w:r w:rsidRPr="00BB6FE5">
        <w:rPr>
          <w:sz w:val="24"/>
          <w:szCs w:val="24"/>
        </w:rPr>
        <w:t>1/10), almindelig (</w:t>
      </w:r>
      <w:r w:rsidRPr="00BB6FE5">
        <w:rPr>
          <w:sz w:val="24"/>
          <w:szCs w:val="24"/>
          <w:cs/>
        </w:rPr>
        <w:t xml:space="preserve">≥ </w:t>
      </w:r>
      <w:r w:rsidRPr="00BB6FE5">
        <w:rPr>
          <w:sz w:val="24"/>
          <w:szCs w:val="24"/>
        </w:rPr>
        <w:t>1/100 til &lt; 1/10), ikke almindelig (</w:t>
      </w:r>
      <w:r w:rsidRPr="00BB6FE5">
        <w:rPr>
          <w:sz w:val="24"/>
          <w:szCs w:val="24"/>
          <w:cs/>
        </w:rPr>
        <w:t xml:space="preserve">≥ </w:t>
      </w:r>
      <w:r w:rsidRPr="00BB6FE5">
        <w:rPr>
          <w:sz w:val="24"/>
          <w:szCs w:val="24"/>
        </w:rPr>
        <w:t>1/1.000 til &lt; 1/100), sjælden (</w:t>
      </w:r>
      <w:r w:rsidRPr="00BB6FE5">
        <w:rPr>
          <w:sz w:val="24"/>
          <w:szCs w:val="24"/>
          <w:cs/>
        </w:rPr>
        <w:t xml:space="preserve">≥ </w:t>
      </w:r>
      <w:r w:rsidRPr="00BB6FE5">
        <w:rPr>
          <w:sz w:val="24"/>
          <w:szCs w:val="24"/>
        </w:rPr>
        <w:t>1/10.000 til &lt; 1/1.000), meget sjælden (&lt; 1/10.000), ikke kendte (kan ikke estimeres ud fra forhåndenværende data).</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b/>
          <w:bCs/>
          <w:sz w:val="24"/>
          <w:szCs w:val="24"/>
        </w:rPr>
      </w:pPr>
      <w:r w:rsidRPr="00BB6FE5">
        <w:rPr>
          <w:b/>
          <w:sz w:val="24"/>
          <w:szCs w:val="24"/>
        </w:rPr>
        <w:t>Inf</w:t>
      </w:r>
      <w:r>
        <w:rPr>
          <w:b/>
          <w:sz w:val="24"/>
          <w:szCs w:val="24"/>
        </w:rPr>
        <w:t>ektioner og parasitære sygdomme</w:t>
      </w:r>
    </w:p>
    <w:p w:rsidR="001A148E" w:rsidRPr="00BB6FE5" w:rsidRDefault="001A148E" w:rsidP="001A148E">
      <w:pPr>
        <w:autoSpaceDE w:val="0"/>
        <w:autoSpaceDN w:val="0"/>
        <w:ind w:left="851"/>
        <w:rPr>
          <w:sz w:val="24"/>
          <w:szCs w:val="24"/>
        </w:rPr>
      </w:pPr>
      <w:r w:rsidRPr="00BB6FE5">
        <w:rPr>
          <w:sz w:val="24"/>
          <w:szCs w:val="24"/>
          <w:u w:val="single"/>
        </w:rPr>
        <w:t>Meget almindelig</w:t>
      </w:r>
      <w:r w:rsidRPr="00BB6FE5">
        <w:rPr>
          <w:sz w:val="24"/>
          <w:szCs w:val="24"/>
        </w:rPr>
        <w:t>: Infektioner</w:t>
      </w:r>
    </w:p>
    <w:p w:rsidR="001A148E" w:rsidRPr="00BB6FE5" w:rsidRDefault="001A148E" w:rsidP="001A148E">
      <w:pPr>
        <w:autoSpaceDE w:val="0"/>
        <w:autoSpaceDN w:val="0"/>
        <w:ind w:left="851"/>
        <w:rPr>
          <w:sz w:val="24"/>
          <w:szCs w:val="24"/>
        </w:rPr>
      </w:pPr>
      <w:r w:rsidRPr="00BB6FE5">
        <w:rPr>
          <w:sz w:val="24"/>
          <w:szCs w:val="24"/>
          <w:u w:val="single"/>
        </w:rPr>
        <w:t>Ikke almindelig</w:t>
      </w:r>
      <w:r w:rsidRPr="00BB6FE5">
        <w:rPr>
          <w:sz w:val="24"/>
          <w:szCs w:val="24"/>
        </w:rPr>
        <w:t xml:space="preserve">: Sepsis, </w:t>
      </w:r>
      <w:proofErr w:type="spellStart"/>
      <w:r w:rsidRPr="00BB6FE5">
        <w:rPr>
          <w:sz w:val="24"/>
          <w:szCs w:val="24"/>
        </w:rPr>
        <w:t>septikæmi</w:t>
      </w:r>
      <w:proofErr w:type="spellEnd"/>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b/>
          <w:bCs/>
          <w:sz w:val="24"/>
          <w:szCs w:val="24"/>
        </w:rPr>
      </w:pPr>
      <w:r w:rsidRPr="00BB6FE5">
        <w:rPr>
          <w:b/>
          <w:sz w:val="24"/>
          <w:szCs w:val="24"/>
        </w:rPr>
        <w:t>Benigne, maligne og uspecificerede tumorer (inkl. cyster og polypper)</w:t>
      </w:r>
    </w:p>
    <w:p w:rsidR="001A148E" w:rsidRPr="00BB6FE5" w:rsidRDefault="001A148E" w:rsidP="001A148E">
      <w:pPr>
        <w:autoSpaceDE w:val="0"/>
        <w:autoSpaceDN w:val="0"/>
        <w:ind w:left="851"/>
        <w:rPr>
          <w:sz w:val="24"/>
          <w:szCs w:val="24"/>
        </w:rPr>
      </w:pPr>
      <w:r w:rsidRPr="00BB6FE5">
        <w:rPr>
          <w:sz w:val="24"/>
          <w:szCs w:val="24"/>
          <w:u w:val="single"/>
        </w:rPr>
        <w:t>Ikke almindelig</w:t>
      </w:r>
      <w:r w:rsidRPr="00BB6FE5">
        <w:rPr>
          <w:sz w:val="24"/>
          <w:szCs w:val="24"/>
        </w:rPr>
        <w:t xml:space="preserve">: Sekundære </w:t>
      </w:r>
      <w:proofErr w:type="spellStart"/>
      <w:r w:rsidRPr="00BB6FE5">
        <w:rPr>
          <w:sz w:val="24"/>
          <w:szCs w:val="24"/>
        </w:rPr>
        <w:t>leukæmier</w:t>
      </w:r>
      <w:proofErr w:type="spellEnd"/>
      <w:r w:rsidRPr="00BB6FE5">
        <w:rPr>
          <w:sz w:val="24"/>
          <w:szCs w:val="24"/>
        </w:rPr>
        <w:t xml:space="preserve"> (akut </w:t>
      </w:r>
      <w:proofErr w:type="spellStart"/>
      <w:r w:rsidRPr="00BB6FE5">
        <w:rPr>
          <w:sz w:val="24"/>
          <w:szCs w:val="24"/>
        </w:rPr>
        <w:t>myeloid</w:t>
      </w:r>
      <w:proofErr w:type="spellEnd"/>
      <w:r w:rsidRPr="00BB6FE5">
        <w:rPr>
          <w:sz w:val="24"/>
          <w:szCs w:val="24"/>
        </w:rPr>
        <w:t xml:space="preserve"> leukæmi og </w:t>
      </w:r>
      <w:proofErr w:type="spellStart"/>
      <w:r w:rsidRPr="00BB6FE5">
        <w:rPr>
          <w:sz w:val="24"/>
          <w:szCs w:val="24"/>
        </w:rPr>
        <w:t>myelodysplastisk</w:t>
      </w:r>
      <w:proofErr w:type="spellEnd"/>
      <w:r w:rsidRPr="00BB6FE5">
        <w:rPr>
          <w:sz w:val="24"/>
          <w:szCs w:val="24"/>
        </w:rPr>
        <w:t xml:space="preserve"> syndrom) </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b/>
          <w:bCs/>
          <w:sz w:val="24"/>
          <w:szCs w:val="24"/>
        </w:rPr>
      </w:pPr>
      <w:r w:rsidRPr="00BB6FE5">
        <w:rPr>
          <w:b/>
          <w:sz w:val="24"/>
          <w:szCs w:val="24"/>
        </w:rPr>
        <w:t>Blod og lymfesystem</w:t>
      </w:r>
    </w:p>
    <w:p w:rsidR="001A148E" w:rsidRPr="00BB6FE5" w:rsidRDefault="001A148E" w:rsidP="001A148E">
      <w:pPr>
        <w:autoSpaceDE w:val="0"/>
        <w:autoSpaceDN w:val="0"/>
        <w:ind w:left="851"/>
        <w:rPr>
          <w:sz w:val="24"/>
          <w:szCs w:val="24"/>
        </w:rPr>
      </w:pPr>
      <w:r w:rsidRPr="00BB6FE5">
        <w:rPr>
          <w:sz w:val="24"/>
          <w:szCs w:val="24"/>
          <w:u w:val="single"/>
        </w:rPr>
        <w:t>Meget almindelig</w:t>
      </w:r>
      <w:r w:rsidRPr="00BB6FE5">
        <w:rPr>
          <w:sz w:val="24"/>
          <w:szCs w:val="24"/>
        </w:rPr>
        <w:t xml:space="preserve">: Anæmi, svær </w:t>
      </w:r>
      <w:proofErr w:type="spellStart"/>
      <w:r w:rsidRPr="00BB6FE5">
        <w:rPr>
          <w:sz w:val="24"/>
          <w:szCs w:val="24"/>
        </w:rPr>
        <w:t>leukopeni</w:t>
      </w:r>
      <w:proofErr w:type="spellEnd"/>
      <w:r w:rsidRPr="00BB6FE5">
        <w:rPr>
          <w:sz w:val="24"/>
          <w:szCs w:val="24"/>
        </w:rPr>
        <w:t xml:space="preserve"> og </w:t>
      </w:r>
      <w:proofErr w:type="spellStart"/>
      <w:r w:rsidRPr="00BB6FE5">
        <w:rPr>
          <w:sz w:val="24"/>
          <w:szCs w:val="24"/>
        </w:rPr>
        <w:t>neutropeni</w:t>
      </w:r>
      <w:proofErr w:type="spellEnd"/>
      <w:r w:rsidRPr="00BB6FE5">
        <w:rPr>
          <w:sz w:val="24"/>
          <w:szCs w:val="24"/>
        </w:rPr>
        <w:t xml:space="preserve">, </w:t>
      </w:r>
      <w:proofErr w:type="spellStart"/>
      <w:r w:rsidRPr="00BB6FE5">
        <w:rPr>
          <w:sz w:val="24"/>
          <w:szCs w:val="24"/>
        </w:rPr>
        <w:t>trombocytopeni</w:t>
      </w:r>
      <w:proofErr w:type="spellEnd"/>
    </w:p>
    <w:p w:rsidR="001A148E" w:rsidRPr="00BB6FE5" w:rsidRDefault="001A148E" w:rsidP="001A148E">
      <w:pPr>
        <w:autoSpaceDE w:val="0"/>
        <w:autoSpaceDN w:val="0"/>
        <w:ind w:left="851"/>
        <w:rPr>
          <w:sz w:val="24"/>
          <w:szCs w:val="24"/>
        </w:rPr>
      </w:pPr>
      <w:r w:rsidRPr="00BB6FE5">
        <w:rPr>
          <w:sz w:val="24"/>
          <w:szCs w:val="24"/>
          <w:u w:val="single"/>
        </w:rPr>
        <w:t>Ikke kendte:</w:t>
      </w:r>
      <w:r w:rsidRPr="00BB6FE5">
        <w:rPr>
          <w:sz w:val="24"/>
          <w:szCs w:val="24"/>
        </w:rPr>
        <w:t xml:space="preserve"> </w:t>
      </w:r>
      <w:proofErr w:type="spellStart"/>
      <w:r w:rsidRPr="00BB6FE5">
        <w:rPr>
          <w:sz w:val="24"/>
          <w:szCs w:val="24"/>
        </w:rPr>
        <w:t>Pancytopeni</w:t>
      </w:r>
      <w:proofErr w:type="spellEnd"/>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b/>
          <w:bCs/>
          <w:sz w:val="24"/>
          <w:szCs w:val="24"/>
        </w:rPr>
      </w:pPr>
      <w:r w:rsidRPr="00BB6FE5">
        <w:rPr>
          <w:b/>
          <w:sz w:val="24"/>
          <w:szCs w:val="24"/>
        </w:rPr>
        <w:t>Immunsystemet</w:t>
      </w:r>
    </w:p>
    <w:p w:rsidR="001A148E" w:rsidRPr="00BB6FE5" w:rsidRDefault="001A148E" w:rsidP="001A148E">
      <w:pPr>
        <w:autoSpaceDE w:val="0"/>
        <w:autoSpaceDN w:val="0"/>
        <w:ind w:left="851"/>
        <w:rPr>
          <w:sz w:val="24"/>
          <w:szCs w:val="24"/>
        </w:rPr>
      </w:pPr>
      <w:r w:rsidRPr="00BB6FE5">
        <w:rPr>
          <w:sz w:val="24"/>
          <w:szCs w:val="24"/>
          <w:u w:val="single"/>
        </w:rPr>
        <w:t>Meget sjælden</w:t>
      </w:r>
      <w:r w:rsidRPr="00BB6FE5">
        <w:rPr>
          <w:sz w:val="24"/>
          <w:szCs w:val="24"/>
        </w:rPr>
        <w:t>: Anafylaksi</w:t>
      </w:r>
    </w:p>
    <w:p w:rsidR="001A148E" w:rsidRPr="00BB6FE5" w:rsidRDefault="001A148E" w:rsidP="001A148E">
      <w:pPr>
        <w:autoSpaceDE w:val="0"/>
        <w:autoSpaceDN w:val="0"/>
        <w:ind w:left="851"/>
        <w:rPr>
          <w:b/>
          <w:bCs/>
          <w:sz w:val="24"/>
          <w:szCs w:val="24"/>
        </w:rPr>
      </w:pPr>
    </w:p>
    <w:p w:rsidR="001A148E" w:rsidRPr="00BB6FE5" w:rsidRDefault="001A148E" w:rsidP="001A148E">
      <w:pPr>
        <w:autoSpaceDE w:val="0"/>
        <w:autoSpaceDN w:val="0"/>
        <w:ind w:left="851"/>
        <w:rPr>
          <w:b/>
          <w:bCs/>
          <w:sz w:val="24"/>
          <w:szCs w:val="24"/>
        </w:rPr>
      </w:pPr>
      <w:r w:rsidRPr="00BB6FE5">
        <w:rPr>
          <w:b/>
          <w:sz w:val="24"/>
          <w:szCs w:val="24"/>
        </w:rPr>
        <w:t>Det endokrine system</w:t>
      </w:r>
    </w:p>
    <w:p w:rsidR="001A148E" w:rsidRPr="00BB6FE5" w:rsidRDefault="001A148E" w:rsidP="001A148E">
      <w:pPr>
        <w:autoSpaceDE w:val="0"/>
        <w:autoSpaceDN w:val="0"/>
        <w:ind w:left="851"/>
        <w:rPr>
          <w:sz w:val="24"/>
          <w:szCs w:val="24"/>
        </w:rPr>
      </w:pPr>
      <w:r w:rsidRPr="00BB6FE5">
        <w:rPr>
          <w:sz w:val="24"/>
          <w:szCs w:val="24"/>
          <w:u w:val="single"/>
        </w:rPr>
        <w:t>Meget almindelig</w:t>
      </w:r>
      <w:r w:rsidRPr="00BB6FE5">
        <w:rPr>
          <w:sz w:val="24"/>
          <w:szCs w:val="24"/>
        </w:rPr>
        <w:t>: Anoreksi</w:t>
      </w:r>
    </w:p>
    <w:p w:rsidR="001A148E" w:rsidRPr="00BB6FE5" w:rsidRDefault="001A148E" w:rsidP="001A148E">
      <w:pPr>
        <w:autoSpaceDE w:val="0"/>
        <w:autoSpaceDN w:val="0"/>
        <w:ind w:left="851"/>
        <w:rPr>
          <w:sz w:val="24"/>
          <w:szCs w:val="24"/>
        </w:rPr>
      </w:pPr>
      <w:r w:rsidRPr="00BB6FE5">
        <w:rPr>
          <w:sz w:val="24"/>
          <w:szCs w:val="24"/>
          <w:u w:val="single"/>
        </w:rPr>
        <w:t>Ikke almindelig</w:t>
      </w:r>
      <w:r w:rsidRPr="00BB6FE5">
        <w:rPr>
          <w:sz w:val="24"/>
          <w:szCs w:val="24"/>
        </w:rPr>
        <w:t>: Dehydrering</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b/>
          <w:sz w:val="24"/>
          <w:szCs w:val="24"/>
        </w:rPr>
      </w:pPr>
      <w:r w:rsidRPr="00BB6FE5">
        <w:rPr>
          <w:b/>
          <w:sz w:val="24"/>
          <w:szCs w:val="24"/>
        </w:rPr>
        <w:t>Metabolisme og ernæring</w:t>
      </w:r>
    </w:p>
    <w:p w:rsidR="001A148E" w:rsidRPr="00BB6FE5" w:rsidRDefault="001A148E" w:rsidP="001A148E">
      <w:pPr>
        <w:autoSpaceDE w:val="0"/>
        <w:autoSpaceDN w:val="0"/>
        <w:ind w:left="851"/>
        <w:rPr>
          <w:sz w:val="24"/>
          <w:szCs w:val="24"/>
        </w:rPr>
      </w:pPr>
      <w:r w:rsidRPr="00BB6FE5">
        <w:rPr>
          <w:sz w:val="24"/>
          <w:szCs w:val="24"/>
          <w:u w:val="single"/>
        </w:rPr>
        <w:t>Ikke almindelig</w:t>
      </w:r>
      <w:r w:rsidRPr="00BB6FE5">
        <w:rPr>
          <w:sz w:val="24"/>
          <w:szCs w:val="24"/>
        </w:rPr>
        <w:t xml:space="preserve">:  </w:t>
      </w:r>
      <w:proofErr w:type="spellStart"/>
      <w:r w:rsidRPr="00BB6FE5">
        <w:rPr>
          <w:sz w:val="24"/>
          <w:szCs w:val="24"/>
        </w:rPr>
        <w:t>Hyperurikæmi</w:t>
      </w:r>
      <w:proofErr w:type="spellEnd"/>
    </w:p>
    <w:p w:rsidR="001A148E" w:rsidRPr="00BB6FE5" w:rsidRDefault="001A148E" w:rsidP="001A148E">
      <w:pPr>
        <w:autoSpaceDE w:val="0"/>
        <w:autoSpaceDN w:val="0"/>
        <w:ind w:left="851"/>
        <w:rPr>
          <w:sz w:val="24"/>
          <w:szCs w:val="24"/>
        </w:rPr>
      </w:pPr>
      <w:r w:rsidRPr="00BB6FE5">
        <w:rPr>
          <w:sz w:val="24"/>
          <w:szCs w:val="24"/>
          <w:u w:val="single"/>
        </w:rPr>
        <w:t>Ikke kendte</w:t>
      </w:r>
      <w:r w:rsidRPr="00BB6FE5">
        <w:rPr>
          <w:sz w:val="24"/>
          <w:szCs w:val="24"/>
        </w:rPr>
        <w:t>: Tumorlysesyndrom</w:t>
      </w:r>
    </w:p>
    <w:p w:rsidR="001A148E" w:rsidRPr="00BB6FE5" w:rsidRDefault="001A148E" w:rsidP="001A148E">
      <w:pPr>
        <w:autoSpaceDE w:val="0"/>
        <w:autoSpaceDN w:val="0"/>
        <w:ind w:left="851"/>
        <w:rPr>
          <w:b/>
          <w:bCs/>
          <w:sz w:val="24"/>
          <w:szCs w:val="24"/>
        </w:rPr>
      </w:pPr>
    </w:p>
    <w:p w:rsidR="001A148E" w:rsidRPr="00BB6FE5" w:rsidRDefault="001A148E" w:rsidP="001A148E">
      <w:pPr>
        <w:autoSpaceDE w:val="0"/>
        <w:autoSpaceDN w:val="0"/>
        <w:ind w:left="851"/>
        <w:rPr>
          <w:b/>
          <w:bCs/>
          <w:sz w:val="24"/>
          <w:szCs w:val="24"/>
        </w:rPr>
      </w:pPr>
      <w:r w:rsidRPr="00BB6FE5">
        <w:rPr>
          <w:b/>
          <w:sz w:val="24"/>
          <w:szCs w:val="24"/>
        </w:rPr>
        <w:t>Nervesystemet</w:t>
      </w:r>
    </w:p>
    <w:p w:rsidR="001A148E" w:rsidRPr="00BB6FE5" w:rsidRDefault="001A148E" w:rsidP="001A148E">
      <w:pPr>
        <w:autoSpaceDE w:val="0"/>
        <w:autoSpaceDN w:val="0"/>
        <w:ind w:left="851"/>
        <w:rPr>
          <w:sz w:val="24"/>
          <w:szCs w:val="24"/>
        </w:rPr>
      </w:pPr>
      <w:r w:rsidRPr="00BB6FE5">
        <w:rPr>
          <w:sz w:val="24"/>
          <w:szCs w:val="24"/>
          <w:u w:val="single"/>
        </w:rPr>
        <w:t>Sjælden</w:t>
      </w:r>
      <w:r w:rsidRPr="00BB6FE5">
        <w:rPr>
          <w:sz w:val="24"/>
          <w:szCs w:val="24"/>
        </w:rPr>
        <w:t xml:space="preserve">: Cerebral blødning </w:t>
      </w:r>
    </w:p>
    <w:p w:rsidR="001A148E" w:rsidRPr="00BB6FE5" w:rsidRDefault="001A148E" w:rsidP="001A148E">
      <w:pPr>
        <w:autoSpaceDE w:val="0"/>
        <w:autoSpaceDN w:val="0"/>
        <w:ind w:left="851"/>
        <w:rPr>
          <w:b/>
          <w:bCs/>
          <w:sz w:val="24"/>
          <w:szCs w:val="24"/>
        </w:rPr>
      </w:pPr>
    </w:p>
    <w:p w:rsidR="001A148E" w:rsidRPr="00BB6FE5" w:rsidRDefault="001A148E" w:rsidP="001A148E">
      <w:pPr>
        <w:autoSpaceDE w:val="0"/>
        <w:autoSpaceDN w:val="0"/>
        <w:ind w:left="851"/>
        <w:rPr>
          <w:b/>
          <w:bCs/>
          <w:sz w:val="24"/>
          <w:szCs w:val="24"/>
        </w:rPr>
      </w:pPr>
      <w:r w:rsidRPr="00BB6FE5">
        <w:rPr>
          <w:b/>
          <w:sz w:val="24"/>
          <w:szCs w:val="24"/>
        </w:rPr>
        <w:t>Hjerte</w:t>
      </w:r>
    </w:p>
    <w:p w:rsidR="001A148E" w:rsidRPr="00BB6FE5" w:rsidRDefault="001A148E" w:rsidP="001A148E">
      <w:pPr>
        <w:autoSpaceDE w:val="0"/>
        <w:autoSpaceDN w:val="0"/>
        <w:ind w:left="851"/>
        <w:rPr>
          <w:sz w:val="24"/>
          <w:szCs w:val="24"/>
        </w:rPr>
      </w:pPr>
      <w:r w:rsidRPr="00BB6FE5">
        <w:rPr>
          <w:sz w:val="24"/>
          <w:szCs w:val="24"/>
          <w:u w:val="single"/>
        </w:rPr>
        <w:t>Almindelig</w:t>
      </w:r>
      <w:r w:rsidRPr="00BB6FE5">
        <w:rPr>
          <w:sz w:val="24"/>
          <w:szCs w:val="24"/>
        </w:rPr>
        <w:t xml:space="preserve">: Bradykardi, sinus </w:t>
      </w:r>
      <w:proofErr w:type="spellStart"/>
      <w:r w:rsidRPr="00BB6FE5">
        <w:rPr>
          <w:sz w:val="24"/>
          <w:szCs w:val="24"/>
        </w:rPr>
        <w:t>takykardi</w:t>
      </w:r>
      <w:proofErr w:type="spellEnd"/>
      <w:r w:rsidRPr="00BB6FE5">
        <w:rPr>
          <w:sz w:val="24"/>
          <w:szCs w:val="24"/>
        </w:rPr>
        <w:t xml:space="preserve">, </w:t>
      </w:r>
      <w:proofErr w:type="spellStart"/>
      <w:r w:rsidRPr="00BB6FE5">
        <w:rPr>
          <w:sz w:val="24"/>
          <w:szCs w:val="24"/>
        </w:rPr>
        <w:t>takyarytmi</w:t>
      </w:r>
      <w:proofErr w:type="spellEnd"/>
      <w:r w:rsidRPr="00BB6FE5">
        <w:rPr>
          <w:sz w:val="24"/>
          <w:szCs w:val="24"/>
        </w:rPr>
        <w:t xml:space="preserve">, asymptomatiske reduktioner i venstre ventrikels uddrivningsfraktion, </w:t>
      </w:r>
      <w:proofErr w:type="spellStart"/>
      <w:r w:rsidRPr="00BB6FE5">
        <w:rPr>
          <w:sz w:val="24"/>
          <w:szCs w:val="24"/>
        </w:rPr>
        <w:t>kongestivt</w:t>
      </w:r>
      <w:proofErr w:type="spellEnd"/>
      <w:r w:rsidRPr="00BB6FE5">
        <w:rPr>
          <w:sz w:val="24"/>
          <w:szCs w:val="24"/>
        </w:rPr>
        <w:t xml:space="preserve"> hjertesvigt, </w:t>
      </w:r>
      <w:proofErr w:type="spellStart"/>
      <w:r w:rsidRPr="00BB6FE5">
        <w:rPr>
          <w:sz w:val="24"/>
          <w:szCs w:val="24"/>
        </w:rPr>
        <w:t>kardiomyopati</w:t>
      </w:r>
      <w:proofErr w:type="spellEnd"/>
      <w:r w:rsidRPr="00BB6FE5">
        <w:rPr>
          <w:sz w:val="24"/>
          <w:szCs w:val="24"/>
        </w:rPr>
        <w:t xml:space="preserve"> (se pkt. 4.4 i forhold til associerede tegn og symptomer)</w:t>
      </w:r>
    </w:p>
    <w:p w:rsidR="001A148E" w:rsidRPr="00BB6FE5" w:rsidRDefault="001A148E" w:rsidP="001A148E">
      <w:pPr>
        <w:autoSpaceDE w:val="0"/>
        <w:autoSpaceDN w:val="0"/>
        <w:ind w:left="851"/>
        <w:rPr>
          <w:sz w:val="24"/>
          <w:szCs w:val="24"/>
        </w:rPr>
      </w:pPr>
      <w:r w:rsidRPr="00BB6FE5">
        <w:rPr>
          <w:sz w:val="24"/>
          <w:szCs w:val="24"/>
          <w:u w:val="single"/>
        </w:rPr>
        <w:t>Ikke almindelig</w:t>
      </w:r>
      <w:r w:rsidRPr="00BB6FE5">
        <w:rPr>
          <w:sz w:val="24"/>
          <w:szCs w:val="24"/>
        </w:rPr>
        <w:t>: EKG-</w:t>
      </w:r>
      <w:proofErr w:type="spellStart"/>
      <w:r w:rsidRPr="00BB6FE5">
        <w:rPr>
          <w:sz w:val="24"/>
          <w:szCs w:val="24"/>
        </w:rPr>
        <w:t>abnormaliteter</w:t>
      </w:r>
      <w:proofErr w:type="spellEnd"/>
      <w:r w:rsidRPr="00BB6FE5">
        <w:rPr>
          <w:sz w:val="24"/>
          <w:szCs w:val="24"/>
        </w:rPr>
        <w:t xml:space="preserve"> (f.eks. ikke-specifikke ST-segmentforandringer), myokardieinfarkt</w:t>
      </w:r>
    </w:p>
    <w:p w:rsidR="001A148E" w:rsidRPr="00BB6FE5" w:rsidRDefault="001A148E" w:rsidP="001A148E">
      <w:pPr>
        <w:autoSpaceDE w:val="0"/>
        <w:autoSpaceDN w:val="0"/>
        <w:ind w:left="851"/>
        <w:rPr>
          <w:sz w:val="24"/>
          <w:szCs w:val="24"/>
        </w:rPr>
      </w:pPr>
      <w:r w:rsidRPr="00BB6FE5">
        <w:rPr>
          <w:sz w:val="24"/>
          <w:szCs w:val="24"/>
          <w:u w:val="single"/>
        </w:rPr>
        <w:t>Meget sjælden</w:t>
      </w:r>
      <w:r w:rsidRPr="00BB6FE5">
        <w:rPr>
          <w:sz w:val="24"/>
          <w:szCs w:val="24"/>
        </w:rPr>
        <w:t xml:space="preserve">: </w:t>
      </w:r>
      <w:proofErr w:type="spellStart"/>
      <w:r w:rsidRPr="00BB6FE5">
        <w:rPr>
          <w:sz w:val="24"/>
          <w:szCs w:val="24"/>
        </w:rPr>
        <w:t>Pericarditis</w:t>
      </w:r>
      <w:proofErr w:type="spellEnd"/>
      <w:r w:rsidRPr="00BB6FE5">
        <w:rPr>
          <w:sz w:val="24"/>
          <w:szCs w:val="24"/>
        </w:rPr>
        <w:t xml:space="preserve">, </w:t>
      </w:r>
      <w:proofErr w:type="spellStart"/>
      <w:r w:rsidRPr="00BB6FE5">
        <w:rPr>
          <w:sz w:val="24"/>
          <w:szCs w:val="24"/>
        </w:rPr>
        <w:t>myokarditis</w:t>
      </w:r>
      <w:proofErr w:type="spellEnd"/>
      <w:r w:rsidRPr="00BB6FE5">
        <w:rPr>
          <w:sz w:val="24"/>
          <w:szCs w:val="24"/>
        </w:rPr>
        <w:t xml:space="preserve">, </w:t>
      </w:r>
      <w:proofErr w:type="spellStart"/>
      <w:r w:rsidRPr="00BB6FE5">
        <w:rPr>
          <w:sz w:val="24"/>
          <w:szCs w:val="24"/>
        </w:rPr>
        <w:t>atrioventrikulær</w:t>
      </w:r>
      <w:proofErr w:type="spellEnd"/>
      <w:r w:rsidRPr="00BB6FE5">
        <w:rPr>
          <w:sz w:val="24"/>
          <w:szCs w:val="24"/>
        </w:rPr>
        <w:t xml:space="preserve"> blok og grenblok</w:t>
      </w:r>
    </w:p>
    <w:p w:rsidR="001A148E" w:rsidRPr="00BB6FE5" w:rsidRDefault="001A148E" w:rsidP="001A148E">
      <w:pPr>
        <w:autoSpaceDE w:val="0"/>
        <w:autoSpaceDN w:val="0"/>
        <w:ind w:left="851"/>
        <w:rPr>
          <w:b/>
          <w:bCs/>
          <w:sz w:val="24"/>
          <w:szCs w:val="24"/>
        </w:rPr>
      </w:pPr>
    </w:p>
    <w:p w:rsidR="001A148E" w:rsidRPr="00BB6FE5" w:rsidRDefault="001A148E" w:rsidP="001A148E">
      <w:pPr>
        <w:autoSpaceDE w:val="0"/>
        <w:autoSpaceDN w:val="0"/>
        <w:ind w:left="851"/>
        <w:rPr>
          <w:b/>
          <w:bCs/>
          <w:sz w:val="24"/>
          <w:szCs w:val="24"/>
        </w:rPr>
      </w:pPr>
      <w:proofErr w:type="spellStart"/>
      <w:r w:rsidRPr="00BB6FE5">
        <w:rPr>
          <w:b/>
          <w:sz w:val="24"/>
          <w:szCs w:val="24"/>
        </w:rPr>
        <w:t>Vaskulære</w:t>
      </w:r>
      <w:proofErr w:type="spellEnd"/>
      <w:r w:rsidRPr="00BB6FE5">
        <w:rPr>
          <w:b/>
          <w:sz w:val="24"/>
          <w:szCs w:val="24"/>
        </w:rPr>
        <w:t xml:space="preserve"> sygdomme</w:t>
      </w:r>
    </w:p>
    <w:p w:rsidR="001A148E" w:rsidRPr="00BB6FE5" w:rsidRDefault="001A148E" w:rsidP="001A148E">
      <w:pPr>
        <w:autoSpaceDE w:val="0"/>
        <w:autoSpaceDN w:val="0"/>
        <w:ind w:left="851"/>
        <w:rPr>
          <w:sz w:val="24"/>
          <w:szCs w:val="24"/>
        </w:rPr>
      </w:pPr>
      <w:r w:rsidRPr="00BB6FE5">
        <w:rPr>
          <w:sz w:val="24"/>
          <w:szCs w:val="24"/>
          <w:u w:val="single"/>
        </w:rPr>
        <w:t>Almindelig</w:t>
      </w:r>
      <w:r w:rsidRPr="00BB6FE5">
        <w:rPr>
          <w:sz w:val="24"/>
          <w:szCs w:val="24"/>
        </w:rPr>
        <w:t xml:space="preserve">: Blødninger, lokal </w:t>
      </w:r>
      <w:proofErr w:type="spellStart"/>
      <w:r w:rsidRPr="00BB6FE5">
        <w:rPr>
          <w:sz w:val="24"/>
          <w:szCs w:val="24"/>
        </w:rPr>
        <w:t>flebitis</w:t>
      </w:r>
      <w:proofErr w:type="spellEnd"/>
      <w:r w:rsidRPr="00BB6FE5">
        <w:rPr>
          <w:sz w:val="24"/>
          <w:szCs w:val="24"/>
        </w:rPr>
        <w:t xml:space="preserve">, </w:t>
      </w:r>
      <w:proofErr w:type="spellStart"/>
      <w:r w:rsidRPr="00BB6FE5">
        <w:rPr>
          <w:sz w:val="24"/>
          <w:szCs w:val="24"/>
        </w:rPr>
        <w:t>tromboflebitis</w:t>
      </w:r>
      <w:proofErr w:type="spellEnd"/>
    </w:p>
    <w:p w:rsidR="001A148E" w:rsidRPr="00BB6FE5" w:rsidRDefault="001A148E" w:rsidP="001A148E">
      <w:pPr>
        <w:autoSpaceDE w:val="0"/>
        <w:autoSpaceDN w:val="0"/>
        <w:ind w:left="851"/>
        <w:rPr>
          <w:sz w:val="24"/>
          <w:szCs w:val="24"/>
        </w:rPr>
      </w:pPr>
      <w:r w:rsidRPr="00BB6FE5">
        <w:rPr>
          <w:sz w:val="24"/>
          <w:szCs w:val="24"/>
          <w:u w:val="single"/>
        </w:rPr>
        <w:t>Ikke almindelig</w:t>
      </w:r>
      <w:r>
        <w:rPr>
          <w:sz w:val="24"/>
          <w:szCs w:val="24"/>
        </w:rPr>
        <w:t xml:space="preserve">: </w:t>
      </w:r>
      <w:proofErr w:type="spellStart"/>
      <w:r>
        <w:rPr>
          <w:sz w:val="24"/>
          <w:szCs w:val="24"/>
        </w:rPr>
        <w:t>Shock</w:t>
      </w:r>
      <w:proofErr w:type="spellEnd"/>
    </w:p>
    <w:p w:rsidR="001A148E" w:rsidRPr="00BB6FE5" w:rsidRDefault="001A148E" w:rsidP="001A148E">
      <w:pPr>
        <w:autoSpaceDE w:val="0"/>
        <w:autoSpaceDN w:val="0"/>
        <w:ind w:left="851"/>
        <w:rPr>
          <w:sz w:val="24"/>
          <w:szCs w:val="24"/>
        </w:rPr>
      </w:pPr>
      <w:r w:rsidRPr="00BB6FE5">
        <w:rPr>
          <w:sz w:val="24"/>
          <w:szCs w:val="24"/>
          <w:u w:val="single"/>
        </w:rPr>
        <w:t>Meget sjælden</w:t>
      </w:r>
      <w:r w:rsidRPr="00BB6FE5">
        <w:rPr>
          <w:sz w:val="24"/>
          <w:szCs w:val="24"/>
        </w:rPr>
        <w:t xml:space="preserve">: </w:t>
      </w:r>
      <w:proofErr w:type="spellStart"/>
      <w:r w:rsidRPr="00BB6FE5">
        <w:rPr>
          <w:sz w:val="24"/>
          <w:szCs w:val="24"/>
        </w:rPr>
        <w:t>Tromboembolis</w:t>
      </w:r>
      <w:proofErr w:type="spellEnd"/>
      <w:r w:rsidRPr="00BB6FE5">
        <w:rPr>
          <w:sz w:val="24"/>
          <w:szCs w:val="24"/>
        </w:rPr>
        <w:t>, rødme</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b/>
          <w:bCs/>
          <w:sz w:val="24"/>
          <w:szCs w:val="24"/>
        </w:rPr>
      </w:pPr>
      <w:r w:rsidRPr="00BB6FE5">
        <w:rPr>
          <w:b/>
          <w:sz w:val="24"/>
          <w:szCs w:val="24"/>
        </w:rPr>
        <w:t>Mave-tarm-kanalen</w:t>
      </w:r>
    </w:p>
    <w:p w:rsidR="001A148E" w:rsidRPr="00BB6FE5" w:rsidRDefault="001A148E" w:rsidP="001A148E">
      <w:pPr>
        <w:autoSpaceDE w:val="0"/>
        <w:autoSpaceDN w:val="0"/>
        <w:ind w:left="851"/>
        <w:rPr>
          <w:sz w:val="24"/>
          <w:szCs w:val="24"/>
        </w:rPr>
      </w:pPr>
      <w:r w:rsidRPr="00BB6FE5">
        <w:rPr>
          <w:sz w:val="24"/>
          <w:szCs w:val="24"/>
          <w:u w:val="single"/>
        </w:rPr>
        <w:t>Meget almindelig</w:t>
      </w:r>
      <w:r w:rsidRPr="00BB6FE5">
        <w:rPr>
          <w:sz w:val="24"/>
          <w:szCs w:val="24"/>
        </w:rPr>
        <w:t xml:space="preserve">: Kvalme, opkastning, </w:t>
      </w:r>
      <w:proofErr w:type="spellStart"/>
      <w:r w:rsidRPr="00BB6FE5">
        <w:rPr>
          <w:sz w:val="24"/>
          <w:szCs w:val="24"/>
        </w:rPr>
        <w:t>mukosit</w:t>
      </w:r>
      <w:proofErr w:type="spellEnd"/>
      <w:r w:rsidRPr="00BB6FE5">
        <w:rPr>
          <w:sz w:val="24"/>
          <w:szCs w:val="24"/>
        </w:rPr>
        <w:t>/</w:t>
      </w:r>
      <w:proofErr w:type="spellStart"/>
      <w:r w:rsidRPr="00BB6FE5">
        <w:rPr>
          <w:sz w:val="24"/>
          <w:szCs w:val="24"/>
        </w:rPr>
        <w:t>stomatitis</w:t>
      </w:r>
      <w:proofErr w:type="spellEnd"/>
      <w:r w:rsidRPr="00BB6FE5">
        <w:rPr>
          <w:sz w:val="24"/>
          <w:szCs w:val="24"/>
        </w:rPr>
        <w:t>, diarré, mavesmerter eller brændende fornemmelse</w:t>
      </w:r>
    </w:p>
    <w:p w:rsidR="001A148E" w:rsidRPr="00BB6FE5" w:rsidRDefault="001A148E" w:rsidP="001A148E">
      <w:pPr>
        <w:autoSpaceDE w:val="0"/>
        <w:autoSpaceDN w:val="0"/>
        <w:ind w:left="851"/>
        <w:rPr>
          <w:sz w:val="24"/>
          <w:szCs w:val="24"/>
        </w:rPr>
      </w:pPr>
      <w:r w:rsidRPr="00BB6FE5">
        <w:rPr>
          <w:sz w:val="24"/>
          <w:szCs w:val="24"/>
          <w:u w:val="single"/>
        </w:rPr>
        <w:t>Almindelig</w:t>
      </w:r>
      <w:r w:rsidRPr="00BB6FE5">
        <w:rPr>
          <w:sz w:val="24"/>
          <w:szCs w:val="24"/>
        </w:rPr>
        <w:t xml:space="preserve">: </w:t>
      </w:r>
      <w:proofErr w:type="spellStart"/>
      <w:r w:rsidRPr="00BB6FE5">
        <w:rPr>
          <w:sz w:val="24"/>
          <w:szCs w:val="24"/>
        </w:rPr>
        <w:t>Gastrointestinal</w:t>
      </w:r>
      <w:proofErr w:type="spellEnd"/>
      <w:r w:rsidRPr="00BB6FE5">
        <w:rPr>
          <w:sz w:val="24"/>
          <w:szCs w:val="24"/>
        </w:rPr>
        <w:t xml:space="preserve"> blødning, mavesmerter</w:t>
      </w:r>
    </w:p>
    <w:p w:rsidR="001A148E" w:rsidRPr="00BB6FE5" w:rsidRDefault="001A148E" w:rsidP="001A148E">
      <w:pPr>
        <w:autoSpaceDE w:val="0"/>
        <w:autoSpaceDN w:val="0"/>
        <w:ind w:left="851"/>
        <w:rPr>
          <w:sz w:val="24"/>
          <w:szCs w:val="24"/>
        </w:rPr>
      </w:pPr>
      <w:r w:rsidRPr="00BB6FE5">
        <w:rPr>
          <w:sz w:val="24"/>
          <w:szCs w:val="24"/>
          <w:u w:val="single"/>
        </w:rPr>
        <w:t>Ikke almindelig</w:t>
      </w:r>
      <w:r w:rsidRPr="00BB6FE5">
        <w:rPr>
          <w:sz w:val="24"/>
          <w:szCs w:val="24"/>
        </w:rPr>
        <w:t xml:space="preserve">: </w:t>
      </w:r>
      <w:proofErr w:type="spellStart"/>
      <w:r w:rsidRPr="00BB6FE5">
        <w:rPr>
          <w:sz w:val="24"/>
          <w:szCs w:val="24"/>
        </w:rPr>
        <w:t>Øsofagitis</w:t>
      </w:r>
      <w:proofErr w:type="spellEnd"/>
      <w:r w:rsidRPr="00BB6FE5">
        <w:rPr>
          <w:sz w:val="24"/>
          <w:szCs w:val="24"/>
        </w:rPr>
        <w:t xml:space="preserve">, colitis (inklusive svær </w:t>
      </w:r>
      <w:proofErr w:type="spellStart"/>
      <w:r w:rsidRPr="00BB6FE5">
        <w:rPr>
          <w:sz w:val="24"/>
          <w:szCs w:val="24"/>
        </w:rPr>
        <w:t>enterocolitis</w:t>
      </w:r>
      <w:proofErr w:type="spellEnd"/>
      <w:r w:rsidRPr="00BB6FE5">
        <w:rPr>
          <w:sz w:val="24"/>
          <w:szCs w:val="24"/>
        </w:rPr>
        <w:t>/</w:t>
      </w:r>
      <w:proofErr w:type="spellStart"/>
      <w:r w:rsidRPr="00BB6FE5">
        <w:rPr>
          <w:sz w:val="24"/>
          <w:szCs w:val="24"/>
        </w:rPr>
        <w:t>neutropenisk</w:t>
      </w:r>
      <w:proofErr w:type="spellEnd"/>
      <w:r w:rsidRPr="00BB6FE5">
        <w:rPr>
          <w:sz w:val="24"/>
          <w:szCs w:val="24"/>
        </w:rPr>
        <w:t xml:space="preserve"> </w:t>
      </w:r>
      <w:proofErr w:type="spellStart"/>
      <w:r w:rsidRPr="00BB6FE5">
        <w:rPr>
          <w:sz w:val="24"/>
          <w:szCs w:val="24"/>
        </w:rPr>
        <w:t>enterocolitis</w:t>
      </w:r>
      <w:proofErr w:type="spellEnd"/>
      <w:r w:rsidRPr="00BB6FE5">
        <w:rPr>
          <w:sz w:val="24"/>
          <w:szCs w:val="24"/>
        </w:rPr>
        <w:t xml:space="preserve"> med perforation)</w:t>
      </w:r>
    </w:p>
    <w:p w:rsidR="001A148E" w:rsidRDefault="001A148E" w:rsidP="00D35789">
      <w:pPr>
        <w:autoSpaceDE w:val="0"/>
        <w:autoSpaceDN w:val="0"/>
        <w:ind w:left="851"/>
        <w:rPr>
          <w:sz w:val="24"/>
          <w:szCs w:val="24"/>
        </w:rPr>
      </w:pPr>
      <w:r w:rsidRPr="00BB6FE5">
        <w:rPr>
          <w:sz w:val="24"/>
          <w:szCs w:val="24"/>
          <w:u w:val="single"/>
        </w:rPr>
        <w:t>Meget sjælden</w:t>
      </w:r>
      <w:r w:rsidRPr="00BB6FE5">
        <w:rPr>
          <w:sz w:val="24"/>
          <w:szCs w:val="24"/>
        </w:rPr>
        <w:t>: Gastriske erosioner eller sår</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b/>
          <w:bCs/>
          <w:sz w:val="24"/>
          <w:szCs w:val="24"/>
        </w:rPr>
      </w:pPr>
      <w:r w:rsidRPr="00BB6FE5">
        <w:rPr>
          <w:b/>
          <w:sz w:val="24"/>
          <w:szCs w:val="24"/>
        </w:rPr>
        <w:t>Lever og galdeveje</w:t>
      </w:r>
    </w:p>
    <w:p w:rsidR="001A148E" w:rsidRPr="00BB6FE5" w:rsidRDefault="001A148E" w:rsidP="001A148E">
      <w:pPr>
        <w:autoSpaceDE w:val="0"/>
        <w:autoSpaceDN w:val="0"/>
        <w:ind w:left="851"/>
        <w:rPr>
          <w:sz w:val="24"/>
          <w:szCs w:val="24"/>
        </w:rPr>
      </w:pPr>
      <w:r w:rsidRPr="00BB6FE5">
        <w:rPr>
          <w:sz w:val="24"/>
          <w:szCs w:val="24"/>
          <w:u w:val="single"/>
        </w:rPr>
        <w:t>Almindelig</w:t>
      </w:r>
      <w:r w:rsidRPr="00BB6FE5">
        <w:rPr>
          <w:sz w:val="24"/>
          <w:szCs w:val="24"/>
        </w:rPr>
        <w:t>: Stigning i leverenzymer og bilirubin</w:t>
      </w:r>
    </w:p>
    <w:p w:rsidR="001A148E" w:rsidRPr="00BB6FE5" w:rsidRDefault="001A148E" w:rsidP="001A148E">
      <w:pPr>
        <w:autoSpaceDE w:val="0"/>
        <w:autoSpaceDN w:val="0"/>
        <w:ind w:left="851"/>
        <w:rPr>
          <w:b/>
          <w:bCs/>
          <w:sz w:val="24"/>
          <w:szCs w:val="24"/>
        </w:rPr>
      </w:pPr>
    </w:p>
    <w:p w:rsidR="001A148E" w:rsidRPr="00BB6FE5" w:rsidRDefault="001A148E" w:rsidP="001A148E">
      <w:pPr>
        <w:autoSpaceDE w:val="0"/>
        <w:autoSpaceDN w:val="0"/>
        <w:ind w:left="851"/>
        <w:rPr>
          <w:b/>
          <w:bCs/>
          <w:sz w:val="24"/>
          <w:szCs w:val="24"/>
        </w:rPr>
      </w:pPr>
      <w:r w:rsidRPr="00BB6FE5">
        <w:rPr>
          <w:b/>
          <w:sz w:val="24"/>
          <w:szCs w:val="24"/>
        </w:rPr>
        <w:t>Hud og subkutane væv</w:t>
      </w:r>
    </w:p>
    <w:p w:rsidR="001A148E" w:rsidRPr="00BB6FE5" w:rsidRDefault="001A148E" w:rsidP="001A148E">
      <w:pPr>
        <w:autoSpaceDE w:val="0"/>
        <w:autoSpaceDN w:val="0"/>
        <w:ind w:left="851"/>
        <w:rPr>
          <w:sz w:val="24"/>
          <w:szCs w:val="24"/>
        </w:rPr>
      </w:pPr>
      <w:r w:rsidRPr="00BB6FE5">
        <w:rPr>
          <w:sz w:val="24"/>
          <w:szCs w:val="24"/>
          <w:u w:val="single"/>
        </w:rPr>
        <w:t>Meget almindelig</w:t>
      </w:r>
      <w:r w:rsidRPr="00BB6FE5">
        <w:rPr>
          <w:sz w:val="24"/>
          <w:szCs w:val="24"/>
        </w:rPr>
        <w:t xml:space="preserve">: </w:t>
      </w:r>
      <w:proofErr w:type="spellStart"/>
      <w:r w:rsidRPr="00BB6FE5">
        <w:rPr>
          <w:sz w:val="24"/>
          <w:szCs w:val="24"/>
        </w:rPr>
        <w:t>Alopeci</w:t>
      </w:r>
      <w:proofErr w:type="spellEnd"/>
    </w:p>
    <w:p w:rsidR="001A148E" w:rsidRPr="00BB6FE5" w:rsidRDefault="001A148E" w:rsidP="001A148E">
      <w:pPr>
        <w:autoSpaceDE w:val="0"/>
        <w:autoSpaceDN w:val="0"/>
        <w:ind w:left="851"/>
        <w:rPr>
          <w:sz w:val="24"/>
          <w:szCs w:val="24"/>
        </w:rPr>
      </w:pPr>
      <w:r w:rsidRPr="00BB6FE5">
        <w:rPr>
          <w:sz w:val="24"/>
          <w:szCs w:val="24"/>
          <w:u w:val="single"/>
        </w:rPr>
        <w:t>Almindelig</w:t>
      </w:r>
      <w:r w:rsidRPr="00BB6FE5">
        <w:rPr>
          <w:sz w:val="24"/>
          <w:szCs w:val="24"/>
        </w:rPr>
        <w:t xml:space="preserve">: Hududslæt, kløe, overfølsomhed af strålebehandlet hud (”radiation </w:t>
      </w:r>
      <w:proofErr w:type="spellStart"/>
      <w:r w:rsidRPr="00BB6FE5">
        <w:rPr>
          <w:sz w:val="24"/>
          <w:szCs w:val="24"/>
        </w:rPr>
        <w:t>recall</w:t>
      </w:r>
      <w:proofErr w:type="spellEnd"/>
      <w:r w:rsidRPr="00BB6FE5">
        <w:rPr>
          <w:sz w:val="24"/>
          <w:szCs w:val="24"/>
        </w:rPr>
        <w:t xml:space="preserve"> </w:t>
      </w:r>
      <w:proofErr w:type="spellStart"/>
      <w:r w:rsidRPr="00BB6FE5">
        <w:rPr>
          <w:sz w:val="24"/>
          <w:szCs w:val="24"/>
        </w:rPr>
        <w:t>reaction</w:t>
      </w:r>
      <w:proofErr w:type="spellEnd"/>
      <w:r w:rsidRPr="00BB6FE5">
        <w:rPr>
          <w:sz w:val="24"/>
          <w:szCs w:val="24"/>
        </w:rPr>
        <w:t>”)</w:t>
      </w:r>
    </w:p>
    <w:p w:rsidR="001A148E" w:rsidRPr="00BB6FE5" w:rsidRDefault="001A148E" w:rsidP="001A148E">
      <w:pPr>
        <w:autoSpaceDE w:val="0"/>
        <w:autoSpaceDN w:val="0"/>
        <w:ind w:left="851"/>
        <w:rPr>
          <w:sz w:val="24"/>
          <w:szCs w:val="24"/>
        </w:rPr>
      </w:pPr>
      <w:r w:rsidRPr="00BB6FE5">
        <w:rPr>
          <w:sz w:val="24"/>
          <w:szCs w:val="24"/>
          <w:u w:val="single"/>
        </w:rPr>
        <w:t>Ikke almindelig</w:t>
      </w:r>
      <w:r w:rsidRPr="00BB6FE5">
        <w:rPr>
          <w:sz w:val="24"/>
          <w:szCs w:val="24"/>
        </w:rPr>
        <w:t xml:space="preserve">: </w:t>
      </w:r>
      <w:proofErr w:type="spellStart"/>
      <w:r w:rsidRPr="00BB6FE5">
        <w:rPr>
          <w:sz w:val="24"/>
          <w:szCs w:val="24"/>
        </w:rPr>
        <w:t>Hyperpigmentering</w:t>
      </w:r>
      <w:proofErr w:type="spellEnd"/>
      <w:r w:rsidRPr="00BB6FE5">
        <w:rPr>
          <w:sz w:val="24"/>
          <w:szCs w:val="24"/>
        </w:rPr>
        <w:t xml:space="preserve"> af hud og negle, </w:t>
      </w:r>
      <w:proofErr w:type="spellStart"/>
      <w:r w:rsidRPr="00BB6FE5">
        <w:rPr>
          <w:sz w:val="24"/>
          <w:szCs w:val="24"/>
        </w:rPr>
        <w:t>urticaria</w:t>
      </w:r>
      <w:proofErr w:type="spellEnd"/>
      <w:r w:rsidRPr="00BB6FE5">
        <w:rPr>
          <w:sz w:val="24"/>
          <w:szCs w:val="24"/>
        </w:rPr>
        <w:t>, cellulitis (muligvis alvorlig), vævsnekrose</w:t>
      </w:r>
    </w:p>
    <w:p w:rsidR="001A148E" w:rsidRPr="00BB6FE5" w:rsidRDefault="001A148E" w:rsidP="001A148E">
      <w:pPr>
        <w:autoSpaceDE w:val="0"/>
        <w:autoSpaceDN w:val="0"/>
        <w:ind w:left="851"/>
        <w:rPr>
          <w:sz w:val="24"/>
          <w:szCs w:val="24"/>
        </w:rPr>
      </w:pPr>
      <w:r w:rsidRPr="00BB6FE5">
        <w:rPr>
          <w:sz w:val="24"/>
          <w:szCs w:val="24"/>
          <w:u w:val="single"/>
        </w:rPr>
        <w:t>Meget sjælden</w:t>
      </w:r>
      <w:r w:rsidRPr="00BB6FE5">
        <w:rPr>
          <w:sz w:val="24"/>
          <w:szCs w:val="24"/>
        </w:rPr>
        <w:t xml:space="preserve">: </w:t>
      </w:r>
      <w:proofErr w:type="spellStart"/>
      <w:r w:rsidRPr="00BB6FE5">
        <w:rPr>
          <w:sz w:val="24"/>
          <w:szCs w:val="24"/>
        </w:rPr>
        <w:t>Akral</w:t>
      </w:r>
      <w:proofErr w:type="spellEnd"/>
      <w:r w:rsidRPr="00BB6FE5">
        <w:rPr>
          <w:sz w:val="24"/>
          <w:szCs w:val="24"/>
        </w:rPr>
        <w:t xml:space="preserve"> </w:t>
      </w:r>
      <w:proofErr w:type="spellStart"/>
      <w:r w:rsidRPr="00BB6FE5">
        <w:rPr>
          <w:sz w:val="24"/>
          <w:szCs w:val="24"/>
        </w:rPr>
        <w:t>erytem</w:t>
      </w:r>
      <w:proofErr w:type="spellEnd"/>
    </w:p>
    <w:p w:rsidR="001A148E" w:rsidRPr="00BB6FE5" w:rsidRDefault="001A148E" w:rsidP="001A148E">
      <w:pPr>
        <w:autoSpaceDE w:val="0"/>
        <w:autoSpaceDN w:val="0"/>
        <w:ind w:left="851"/>
        <w:rPr>
          <w:sz w:val="24"/>
          <w:szCs w:val="24"/>
        </w:rPr>
      </w:pPr>
      <w:r w:rsidRPr="00BB6FE5">
        <w:rPr>
          <w:sz w:val="24"/>
          <w:szCs w:val="24"/>
          <w:u w:val="single"/>
        </w:rPr>
        <w:t>Ikke kendte</w:t>
      </w:r>
      <w:r w:rsidRPr="00BB6FE5">
        <w:rPr>
          <w:sz w:val="24"/>
          <w:szCs w:val="24"/>
        </w:rPr>
        <w:t>: Lokal reaktion</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b/>
          <w:bCs/>
          <w:sz w:val="24"/>
          <w:szCs w:val="24"/>
        </w:rPr>
      </w:pPr>
      <w:r w:rsidRPr="00BB6FE5">
        <w:rPr>
          <w:b/>
          <w:sz w:val="24"/>
          <w:szCs w:val="24"/>
        </w:rPr>
        <w:t>Nyrer og urinveje</w:t>
      </w:r>
    </w:p>
    <w:p w:rsidR="001A148E" w:rsidRPr="00BB6FE5" w:rsidRDefault="001A148E" w:rsidP="001A148E">
      <w:pPr>
        <w:autoSpaceDE w:val="0"/>
        <w:autoSpaceDN w:val="0"/>
        <w:ind w:left="851"/>
        <w:rPr>
          <w:sz w:val="24"/>
          <w:szCs w:val="24"/>
        </w:rPr>
      </w:pPr>
      <w:r w:rsidRPr="00BB6FE5">
        <w:rPr>
          <w:sz w:val="24"/>
          <w:szCs w:val="24"/>
          <w:u w:val="single"/>
        </w:rPr>
        <w:t>Meget almindelig</w:t>
      </w:r>
      <w:r w:rsidRPr="00BB6FE5">
        <w:rPr>
          <w:sz w:val="24"/>
          <w:szCs w:val="24"/>
        </w:rPr>
        <w:t>: Rødfarvning af urin i 1-2 dage efter behandling</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b/>
          <w:bCs/>
          <w:sz w:val="24"/>
          <w:szCs w:val="24"/>
        </w:rPr>
      </w:pPr>
      <w:r w:rsidRPr="00BB6FE5">
        <w:rPr>
          <w:b/>
          <w:sz w:val="24"/>
          <w:szCs w:val="24"/>
        </w:rPr>
        <w:t>Almene symptomer og reaktioner på administrationsstedet</w:t>
      </w:r>
    </w:p>
    <w:p w:rsidR="001A148E" w:rsidRPr="00BB6FE5" w:rsidRDefault="001A148E" w:rsidP="001A148E">
      <w:pPr>
        <w:autoSpaceDE w:val="0"/>
        <w:autoSpaceDN w:val="0"/>
        <w:ind w:left="851"/>
        <w:rPr>
          <w:sz w:val="24"/>
          <w:szCs w:val="24"/>
        </w:rPr>
      </w:pPr>
      <w:r w:rsidRPr="00BB6FE5">
        <w:rPr>
          <w:sz w:val="24"/>
          <w:szCs w:val="24"/>
          <w:u w:val="single"/>
        </w:rPr>
        <w:t>Meget almindelig</w:t>
      </w:r>
      <w:r w:rsidRPr="00BB6FE5">
        <w:rPr>
          <w:sz w:val="24"/>
          <w:szCs w:val="24"/>
        </w:rPr>
        <w:t>: Feber, hovedpine, kulderystelser</w:t>
      </w:r>
    </w:p>
    <w:p w:rsidR="001A148E" w:rsidRDefault="001A148E" w:rsidP="001A148E">
      <w:pPr>
        <w:autoSpaceDE w:val="0"/>
        <w:autoSpaceDN w:val="0"/>
        <w:ind w:left="851"/>
        <w:rPr>
          <w:sz w:val="24"/>
          <w:szCs w:val="24"/>
        </w:rPr>
      </w:pPr>
    </w:p>
    <w:p w:rsidR="001A148E" w:rsidRPr="00BB6FE5" w:rsidRDefault="001A148E" w:rsidP="001A148E">
      <w:pPr>
        <w:autoSpaceDE w:val="0"/>
        <w:autoSpaceDN w:val="0"/>
        <w:ind w:left="851"/>
        <w:rPr>
          <w:sz w:val="24"/>
          <w:szCs w:val="24"/>
        </w:rPr>
      </w:pPr>
    </w:p>
    <w:p w:rsidR="001A148E" w:rsidRPr="00F83D65" w:rsidRDefault="001A148E" w:rsidP="001A148E">
      <w:pPr>
        <w:autoSpaceDE w:val="0"/>
        <w:autoSpaceDN w:val="0"/>
        <w:ind w:left="851"/>
        <w:rPr>
          <w:b/>
          <w:sz w:val="24"/>
          <w:szCs w:val="24"/>
        </w:rPr>
      </w:pPr>
      <w:r w:rsidRPr="00F83D65">
        <w:rPr>
          <w:b/>
          <w:sz w:val="24"/>
          <w:szCs w:val="24"/>
        </w:rPr>
        <w:t>Beskrivelse af udvalgte bivirkninger</w:t>
      </w:r>
    </w:p>
    <w:p w:rsidR="001A148E" w:rsidRPr="00BB6FE5" w:rsidRDefault="001A148E" w:rsidP="001A148E">
      <w:pPr>
        <w:autoSpaceDE w:val="0"/>
        <w:autoSpaceDN w:val="0"/>
        <w:ind w:left="851"/>
        <w:rPr>
          <w:i/>
          <w:sz w:val="24"/>
          <w:szCs w:val="24"/>
          <w:u w:val="single"/>
        </w:rPr>
      </w:pPr>
    </w:p>
    <w:p w:rsidR="001A148E" w:rsidRPr="00BB6FE5" w:rsidRDefault="001A148E" w:rsidP="001A148E">
      <w:pPr>
        <w:autoSpaceDE w:val="0"/>
        <w:autoSpaceDN w:val="0"/>
        <w:ind w:left="851"/>
        <w:rPr>
          <w:iCs/>
          <w:sz w:val="24"/>
          <w:szCs w:val="24"/>
          <w:u w:val="single"/>
        </w:rPr>
      </w:pPr>
      <w:proofErr w:type="spellStart"/>
      <w:r w:rsidRPr="00BB6FE5">
        <w:rPr>
          <w:sz w:val="24"/>
          <w:szCs w:val="24"/>
          <w:u w:val="single"/>
        </w:rPr>
        <w:t>Hæmatopoietisk</w:t>
      </w:r>
      <w:proofErr w:type="spellEnd"/>
      <w:r w:rsidRPr="00BB6FE5">
        <w:rPr>
          <w:sz w:val="24"/>
          <w:szCs w:val="24"/>
          <w:u w:val="single"/>
        </w:rPr>
        <w:t xml:space="preserve"> system</w:t>
      </w:r>
    </w:p>
    <w:p w:rsidR="001A148E" w:rsidRPr="00BB6FE5" w:rsidRDefault="001A148E" w:rsidP="001A148E">
      <w:pPr>
        <w:autoSpaceDE w:val="0"/>
        <w:autoSpaceDN w:val="0"/>
        <w:ind w:left="851"/>
        <w:rPr>
          <w:sz w:val="24"/>
          <w:szCs w:val="24"/>
        </w:rPr>
      </w:pPr>
      <w:r w:rsidRPr="00BB6FE5">
        <w:rPr>
          <w:sz w:val="24"/>
          <w:szCs w:val="24"/>
        </w:rPr>
        <w:t xml:space="preserve">Den mest udtalte bivirkning ved behandling med </w:t>
      </w:r>
      <w:proofErr w:type="spellStart"/>
      <w:r w:rsidRPr="00BB6FE5">
        <w:rPr>
          <w:sz w:val="24"/>
          <w:szCs w:val="24"/>
        </w:rPr>
        <w:t>idarubicin</w:t>
      </w:r>
      <w:proofErr w:type="spellEnd"/>
      <w:r w:rsidRPr="00BB6FE5">
        <w:rPr>
          <w:sz w:val="24"/>
          <w:szCs w:val="24"/>
        </w:rPr>
        <w:t xml:space="preserve"> er udtalt knoglemarvsdepression. Dette er dog nødvendigt for </w:t>
      </w:r>
      <w:proofErr w:type="spellStart"/>
      <w:r w:rsidRPr="00BB6FE5">
        <w:rPr>
          <w:sz w:val="24"/>
          <w:szCs w:val="24"/>
        </w:rPr>
        <w:t>eradikation</w:t>
      </w:r>
      <w:proofErr w:type="spellEnd"/>
      <w:r w:rsidRPr="00BB6FE5">
        <w:rPr>
          <w:sz w:val="24"/>
          <w:szCs w:val="24"/>
        </w:rPr>
        <w:t xml:space="preserve"> af leukæmiske celler (se pkt. 4.4).</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iCs/>
          <w:sz w:val="24"/>
          <w:szCs w:val="24"/>
          <w:u w:val="single"/>
        </w:rPr>
      </w:pPr>
      <w:proofErr w:type="spellStart"/>
      <w:r w:rsidRPr="00BB6FE5">
        <w:rPr>
          <w:sz w:val="24"/>
          <w:szCs w:val="24"/>
          <w:u w:val="single"/>
        </w:rPr>
        <w:t>Kardiotoksicitet</w:t>
      </w:r>
      <w:proofErr w:type="spellEnd"/>
    </w:p>
    <w:p w:rsidR="001A148E" w:rsidRPr="00BB6FE5" w:rsidRDefault="001A148E" w:rsidP="001A148E">
      <w:pPr>
        <w:autoSpaceDE w:val="0"/>
        <w:autoSpaceDN w:val="0"/>
        <w:ind w:left="851"/>
        <w:rPr>
          <w:sz w:val="24"/>
          <w:szCs w:val="24"/>
        </w:rPr>
      </w:pPr>
      <w:r w:rsidRPr="00BB6FE5">
        <w:rPr>
          <w:sz w:val="24"/>
          <w:szCs w:val="24"/>
        </w:rPr>
        <w:t xml:space="preserve">Livstruende hjertesvigt er den alvorligste form for </w:t>
      </w:r>
      <w:proofErr w:type="spellStart"/>
      <w:r w:rsidRPr="00BB6FE5">
        <w:rPr>
          <w:sz w:val="24"/>
          <w:szCs w:val="24"/>
        </w:rPr>
        <w:t>antracyklininduceret</w:t>
      </w:r>
      <w:proofErr w:type="spellEnd"/>
      <w:r w:rsidRPr="00BB6FE5">
        <w:rPr>
          <w:sz w:val="24"/>
          <w:szCs w:val="24"/>
        </w:rPr>
        <w:t xml:space="preserve"> </w:t>
      </w:r>
      <w:proofErr w:type="spellStart"/>
      <w:r w:rsidRPr="00BB6FE5">
        <w:rPr>
          <w:sz w:val="24"/>
          <w:szCs w:val="24"/>
        </w:rPr>
        <w:t>kardiomyopati</w:t>
      </w:r>
      <w:proofErr w:type="spellEnd"/>
      <w:r w:rsidRPr="00BB6FE5">
        <w:rPr>
          <w:sz w:val="24"/>
          <w:szCs w:val="24"/>
        </w:rPr>
        <w:t xml:space="preserve"> og repræsenterer den kumulative dosisbegrænsende lægemiddeltoksicitet (se pkt. 4.4).</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sz w:val="24"/>
          <w:szCs w:val="24"/>
        </w:rPr>
      </w:pPr>
      <w:r w:rsidRPr="00BB6FE5">
        <w:rPr>
          <w:sz w:val="24"/>
          <w:szCs w:val="24"/>
          <w:u w:val="single"/>
        </w:rPr>
        <w:t>Mave-tarm-kanalen</w:t>
      </w:r>
    </w:p>
    <w:p w:rsidR="001A148E" w:rsidRPr="00BB6FE5" w:rsidRDefault="001A148E" w:rsidP="001A148E">
      <w:pPr>
        <w:autoSpaceDE w:val="0"/>
        <w:autoSpaceDN w:val="0"/>
        <w:ind w:left="851"/>
        <w:rPr>
          <w:sz w:val="24"/>
          <w:szCs w:val="24"/>
        </w:rPr>
      </w:pPr>
      <w:proofErr w:type="spellStart"/>
      <w:r w:rsidRPr="00BB6FE5">
        <w:rPr>
          <w:sz w:val="24"/>
          <w:szCs w:val="24"/>
        </w:rPr>
        <w:t>Stomatitis</w:t>
      </w:r>
      <w:proofErr w:type="spellEnd"/>
      <w:r w:rsidRPr="00BB6FE5">
        <w:rPr>
          <w:sz w:val="24"/>
          <w:szCs w:val="24"/>
        </w:rPr>
        <w:t xml:space="preserve"> og i alvorlige tilfælde </w:t>
      </w:r>
      <w:proofErr w:type="spellStart"/>
      <w:r w:rsidRPr="00BB6FE5">
        <w:rPr>
          <w:sz w:val="24"/>
          <w:szCs w:val="24"/>
        </w:rPr>
        <w:t>ulcerationer</w:t>
      </w:r>
      <w:proofErr w:type="spellEnd"/>
      <w:r w:rsidRPr="00BB6FE5">
        <w:rPr>
          <w:sz w:val="24"/>
          <w:szCs w:val="24"/>
        </w:rPr>
        <w:t xml:space="preserve"> af slimhinden, dehydrering forårsaget af svær opkastning og diarré; risiko for perforering af kolon osv.</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sz w:val="24"/>
          <w:szCs w:val="24"/>
        </w:rPr>
      </w:pPr>
      <w:r w:rsidRPr="00BB6FE5">
        <w:rPr>
          <w:sz w:val="24"/>
          <w:szCs w:val="24"/>
          <w:u w:val="single"/>
        </w:rPr>
        <w:t>Reaktioner på administrationsstedet</w:t>
      </w:r>
    </w:p>
    <w:p w:rsidR="001A148E" w:rsidRPr="00BB6FE5" w:rsidRDefault="001A148E" w:rsidP="001A148E">
      <w:pPr>
        <w:autoSpaceDE w:val="0"/>
        <w:autoSpaceDN w:val="0"/>
        <w:ind w:left="851"/>
        <w:rPr>
          <w:sz w:val="24"/>
          <w:szCs w:val="24"/>
        </w:rPr>
      </w:pPr>
      <w:proofErr w:type="spellStart"/>
      <w:r w:rsidRPr="00BB6FE5">
        <w:rPr>
          <w:sz w:val="24"/>
          <w:szCs w:val="24"/>
        </w:rPr>
        <w:t>Phlebitis</w:t>
      </w:r>
      <w:proofErr w:type="spellEnd"/>
      <w:r w:rsidRPr="00BB6FE5">
        <w:rPr>
          <w:sz w:val="24"/>
          <w:szCs w:val="24"/>
        </w:rPr>
        <w:t>/</w:t>
      </w:r>
      <w:proofErr w:type="spellStart"/>
      <w:r w:rsidRPr="00BB6FE5">
        <w:rPr>
          <w:sz w:val="24"/>
          <w:szCs w:val="24"/>
        </w:rPr>
        <w:t>trombophlebitis</w:t>
      </w:r>
      <w:proofErr w:type="spellEnd"/>
      <w:r w:rsidRPr="00BB6FE5">
        <w:rPr>
          <w:sz w:val="24"/>
          <w:szCs w:val="24"/>
        </w:rPr>
        <w:t xml:space="preserve"> og forebyggende forholdsregler diskuteret i pkt. 4.2 i produktresuméet; utilsigtet </w:t>
      </w:r>
      <w:proofErr w:type="spellStart"/>
      <w:r w:rsidRPr="00BB6FE5">
        <w:rPr>
          <w:sz w:val="24"/>
          <w:szCs w:val="24"/>
        </w:rPr>
        <w:t>paravenøs</w:t>
      </w:r>
      <w:proofErr w:type="spellEnd"/>
      <w:r w:rsidRPr="00BB6FE5">
        <w:rPr>
          <w:sz w:val="24"/>
          <w:szCs w:val="24"/>
        </w:rPr>
        <w:t xml:space="preserve"> infiltration kan forårsage smerte, svær cellulitis og vævsnekrose.</w:t>
      </w:r>
    </w:p>
    <w:p w:rsidR="001A148E" w:rsidRPr="00BB6FE5" w:rsidRDefault="001A148E" w:rsidP="001A148E">
      <w:pPr>
        <w:autoSpaceDE w:val="0"/>
        <w:autoSpaceDN w:val="0"/>
        <w:ind w:left="851"/>
        <w:rPr>
          <w:sz w:val="24"/>
          <w:szCs w:val="24"/>
        </w:rPr>
      </w:pPr>
    </w:p>
    <w:p w:rsidR="001A148E" w:rsidRDefault="001A148E" w:rsidP="001A148E">
      <w:pPr>
        <w:autoSpaceDE w:val="0"/>
        <w:autoSpaceDN w:val="0"/>
        <w:ind w:left="851"/>
        <w:rPr>
          <w:sz w:val="24"/>
          <w:szCs w:val="24"/>
          <w:u w:val="single"/>
        </w:rPr>
      </w:pPr>
      <w:r w:rsidRPr="00BB6FE5">
        <w:rPr>
          <w:sz w:val="24"/>
          <w:szCs w:val="24"/>
          <w:u w:val="single"/>
        </w:rPr>
        <w:t>Andre bivirkninger</w:t>
      </w:r>
    </w:p>
    <w:p w:rsidR="001A148E" w:rsidRPr="00F83D65" w:rsidRDefault="001A148E" w:rsidP="001A148E">
      <w:pPr>
        <w:autoSpaceDE w:val="0"/>
        <w:autoSpaceDN w:val="0"/>
        <w:ind w:left="851"/>
        <w:rPr>
          <w:sz w:val="24"/>
          <w:szCs w:val="24"/>
        </w:rPr>
      </w:pPr>
      <w:proofErr w:type="spellStart"/>
      <w:r w:rsidRPr="00F83D65">
        <w:rPr>
          <w:sz w:val="24"/>
          <w:szCs w:val="24"/>
        </w:rPr>
        <w:t>Hyperurikæmi</w:t>
      </w:r>
      <w:proofErr w:type="spellEnd"/>
    </w:p>
    <w:p w:rsidR="001A148E" w:rsidRPr="00BB6FE5" w:rsidRDefault="001A148E" w:rsidP="001A148E">
      <w:pPr>
        <w:autoSpaceDE w:val="0"/>
        <w:autoSpaceDN w:val="0"/>
        <w:ind w:left="851"/>
        <w:rPr>
          <w:sz w:val="24"/>
          <w:szCs w:val="24"/>
        </w:rPr>
      </w:pPr>
      <w:r w:rsidRPr="00BB6FE5">
        <w:rPr>
          <w:sz w:val="24"/>
          <w:szCs w:val="24"/>
        </w:rPr>
        <w:t xml:space="preserve">Forebyggelse af symptomer ved hydrering, </w:t>
      </w:r>
      <w:proofErr w:type="spellStart"/>
      <w:r w:rsidRPr="00BB6FE5">
        <w:rPr>
          <w:sz w:val="24"/>
          <w:szCs w:val="24"/>
        </w:rPr>
        <w:t>alkalinisering</w:t>
      </w:r>
      <w:proofErr w:type="spellEnd"/>
      <w:r w:rsidRPr="00BB6FE5">
        <w:rPr>
          <w:sz w:val="24"/>
          <w:szCs w:val="24"/>
        </w:rPr>
        <w:t xml:space="preserve"> af urinen og profylakse med </w:t>
      </w:r>
      <w:proofErr w:type="spellStart"/>
      <w:r w:rsidRPr="00BB6FE5">
        <w:rPr>
          <w:sz w:val="24"/>
          <w:szCs w:val="24"/>
        </w:rPr>
        <w:t>allupurinol</w:t>
      </w:r>
      <w:proofErr w:type="spellEnd"/>
      <w:r w:rsidRPr="00BB6FE5">
        <w:rPr>
          <w:sz w:val="24"/>
          <w:szCs w:val="24"/>
        </w:rPr>
        <w:t xml:space="preserve"> kan minimere de potentielle komplikationer forbundet med tumorlysesyndrom.</w:t>
      </w:r>
    </w:p>
    <w:p w:rsidR="001A148E" w:rsidRPr="00BB6FE5" w:rsidRDefault="001A148E" w:rsidP="001A148E">
      <w:pPr>
        <w:autoSpaceDE w:val="0"/>
        <w:autoSpaceDN w:val="0"/>
        <w:ind w:left="851"/>
        <w:rPr>
          <w:sz w:val="24"/>
          <w:szCs w:val="24"/>
        </w:rPr>
      </w:pPr>
    </w:p>
    <w:p w:rsidR="001A148E" w:rsidRPr="00BB6FE5" w:rsidRDefault="001A148E" w:rsidP="001A148E">
      <w:pPr>
        <w:autoSpaceDE w:val="0"/>
        <w:autoSpaceDN w:val="0"/>
        <w:ind w:left="851"/>
        <w:rPr>
          <w:sz w:val="24"/>
          <w:szCs w:val="24"/>
          <w:u w:val="single"/>
        </w:rPr>
      </w:pPr>
      <w:r w:rsidRPr="00BB6FE5">
        <w:rPr>
          <w:sz w:val="24"/>
          <w:szCs w:val="24"/>
          <w:u w:val="single"/>
        </w:rPr>
        <w:t>Pædiatrisk population</w:t>
      </w:r>
    </w:p>
    <w:p w:rsidR="001A148E" w:rsidRDefault="001A148E" w:rsidP="00D35789">
      <w:pPr>
        <w:autoSpaceDE w:val="0"/>
        <w:autoSpaceDN w:val="0"/>
        <w:ind w:left="851"/>
        <w:rPr>
          <w:sz w:val="24"/>
          <w:szCs w:val="24"/>
        </w:rPr>
      </w:pPr>
      <w:r w:rsidRPr="00BB6FE5">
        <w:rPr>
          <w:sz w:val="24"/>
          <w:szCs w:val="24"/>
        </w:rPr>
        <w:t xml:space="preserve">Bivirkninger er ens hos voksne og børn undtagen en større modtagelighed for </w:t>
      </w:r>
      <w:proofErr w:type="spellStart"/>
      <w:r w:rsidRPr="00BB6FE5">
        <w:rPr>
          <w:sz w:val="24"/>
          <w:szCs w:val="24"/>
        </w:rPr>
        <w:t>antracyklin</w:t>
      </w:r>
      <w:proofErr w:type="spellEnd"/>
      <w:r w:rsidRPr="00BB6FE5">
        <w:rPr>
          <w:sz w:val="24"/>
          <w:szCs w:val="24"/>
        </w:rPr>
        <w:t xml:space="preserve">-induceret </w:t>
      </w:r>
      <w:proofErr w:type="spellStart"/>
      <w:r w:rsidRPr="00BB6FE5">
        <w:rPr>
          <w:sz w:val="24"/>
          <w:szCs w:val="24"/>
        </w:rPr>
        <w:t>kardiotoksicitet</w:t>
      </w:r>
      <w:proofErr w:type="spellEnd"/>
      <w:r w:rsidRPr="00BB6FE5">
        <w:rPr>
          <w:sz w:val="24"/>
          <w:szCs w:val="24"/>
        </w:rPr>
        <w:t xml:space="preserve"> hos børn (se pkt. 4.4).</w:t>
      </w:r>
    </w:p>
    <w:p w:rsidR="001A148E" w:rsidRPr="00BB6FE5" w:rsidRDefault="001A148E" w:rsidP="001A148E">
      <w:pPr>
        <w:autoSpaceDE w:val="0"/>
        <w:autoSpaceDN w:val="0"/>
        <w:ind w:left="851"/>
        <w:rPr>
          <w:sz w:val="24"/>
          <w:szCs w:val="24"/>
        </w:rPr>
      </w:pPr>
    </w:p>
    <w:p w:rsidR="001A148E" w:rsidRDefault="001A148E" w:rsidP="001A148E">
      <w:pPr>
        <w:autoSpaceDE w:val="0"/>
        <w:autoSpaceDN w:val="0"/>
        <w:ind w:left="851"/>
        <w:rPr>
          <w:sz w:val="24"/>
          <w:szCs w:val="24"/>
          <w:u w:val="single"/>
          <w:lang w:eastAsia="da-DK"/>
        </w:rPr>
      </w:pPr>
      <w:r>
        <w:rPr>
          <w:sz w:val="24"/>
          <w:szCs w:val="24"/>
          <w:u w:val="single"/>
          <w:lang w:eastAsia="da-DK"/>
        </w:rPr>
        <w:t>Indberetning af formodede bivirkninger</w:t>
      </w:r>
    </w:p>
    <w:p w:rsidR="001A148E" w:rsidRDefault="001A148E" w:rsidP="001A148E">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D35789">
        <w:rPr>
          <w:sz w:val="24"/>
          <w:szCs w:val="24"/>
          <w:lang w:eastAsia="da-DK"/>
        </w:rPr>
        <w:t>S</w:t>
      </w:r>
      <w:r>
        <w:rPr>
          <w:sz w:val="24"/>
          <w:szCs w:val="24"/>
          <w:lang w:eastAsia="da-DK"/>
        </w:rPr>
        <w:t>undhedsperson</w:t>
      </w:r>
      <w:r w:rsidR="00D35789">
        <w:rPr>
          <w:sz w:val="24"/>
          <w:szCs w:val="24"/>
          <w:lang w:eastAsia="da-DK"/>
        </w:rPr>
        <w:t>er</w:t>
      </w:r>
      <w:r>
        <w:rPr>
          <w:sz w:val="24"/>
          <w:szCs w:val="24"/>
          <w:lang w:eastAsia="da-DK"/>
        </w:rPr>
        <w:t xml:space="preserve"> anmodes om at indberette alle formodede bivirkninger via:</w:t>
      </w:r>
    </w:p>
    <w:p w:rsidR="001A148E" w:rsidRDefault="001A148E" w:rsidP="001A148E">
      <w:pPr>
        <w:ind w:left="851"/>
        <w:rPr>
          <w:sz w:val="24"/>
          <w:szCs w:val="24"/>
          <w:lang w:eastAsia="da-DK"/>
        </w:rPr>
      </w:pPr>
    </w:p>
    <w:p w:rsidR="001A148E" w:rsidRPr="005D2EC8" w:rsidRDefault="001A148E" w:rsidP="001A148E">
      <w:pPr>
        <w:ind w:left="851"/>
        <w:rPr>
          <w:sz w:val="24"/>
          <w:szCs w:val="24"/>
          <w:lang w:eastAsia="da-DK"/>
        </w:rPr>
      </w:pPr>
      <w:r w:rsidRPr="005D2EC8">
        <w:rPr>
          <w:sz w:val="24"/>
          <w:szCs w:val="24"/>
          <w:lang w:eastAsia="da-DK"/>
        </w:rPr>
        <w:t>Lægemiddelstyrelsen</w:t>
      </w:r>
    </w:p>
    <w:p w:rsidR="001A148E" w:rsidRPr="005D2EC8" w:rsidRDefault="001A148E" w:rsidP="001A148E">
      <w:pPr>
        <w:ind w:left="851"/>
        <w:rPr>
          <w:sz w:val="24"/>
          <w:szCs w:val="24"/>
          <w:lang w:eastAsia="da-DK"/>
        </w:rPr>
      </w:pPr>
      <w:r w:rsidRPr="005D2EC8">
        <w:rPr>
          <w:sz w:val="24"/>
          <w:szCs w:val="24"/>
          <w:lang w:eastAsia="da-DK"/>
        </w:rPr>
        <w:t>Axel Heides Gade 1</w:t>
      </w:r>
    </w:p>
    <w:p w:rsidR="001A148E" w:rsidRPr="005D2EC8" w:rsidRDefault="001A148E" w:rsidP="001A148E">
      <w:pPr>
        <w:ind w:left="851"/>
        <w:rPr>
          <w:sz w:val="24"/>
          <w:szCs w:val="24"/>
          <w:lang w:eastAsia="da-DK"/>
        </w:rPr>
      </w:pPr>
      <w:r w:rsidRPr="005D2EC8">
        <w:rPr>
          <w:sz w:val="24"/>
          <w:szCs w:val="24"/>
          <w:lang w:eastAsia="da-DK"/>
        </w:rPr>
        <w:t>DK-2300 København S</w:t>
      </w:r>
    </w:p>
    <w:p w:rsidR="001A148E" w:rsidRPr="004C2288" w:rsidRDefault="001A148E" w:rsidP="00FB13DC">
      <w:pPr>
        <w:ind w:left="851"/>
        <w:rPr>
          <w:sz w:val="24"/>
          <w:szCs w:val="24"/>
          <w:lang w:eastAsia="da-DK"/>
        </w:rPr>
      </w:pPr>
      <w:r w:rsidRPr="004C2288">
        <w:rPr>
          <w:sz w:val="24"/>
          <w:szCs w:val="24"/>
          <w:lang w:eastAsia="da-DK"/>
        </w:rPr>
        <w:t xml:space="preserve">Websted: </w:t>
      </w:r>
      <w:hyperlink r:id="rId8" w:history="1">
        <w:r w:rsidRPr="004C2288">
          <w:rPr>
            <w:rStyle w:val="Hyperlink"/>
            <w:sz w:val="24"/>
            <w:szCs w:val="24"/>
            <w:lang w:eastAsia="da-DK"/>
          </w:rPr>
          <w:t>www.meldenbivirkning.dk</w:t>
        </w:r>
      </w:hyperlink>
    </w:p>
    <w:p w:rsidR="001A148E" w:rsidRPr="004C2288" w:rsidRDefault="001A148E" w:rsidP="001A148E">
      <w:pPr>
        <w:ind w:left="851"/>
        <w:rPr>
          <w:sz w:val="24"/>
          <w:szCs w:val="24"/>
          <w:lang w:eastAsia="da-DK"/>
        </w:rPr>
      </w:pPr>
    </w:p>
    <w:p w:rsidR="001A148E" w:rsidRPr="00C84483" w:rsidRDefault="001A148E" w:rsidP="001A148E">
      <w:pPr>
        <w:tabs>
          <w:tab w:val="left" w:pos="851"/>
        </w:tabs>
        <w:ind w:left="851" w:hanging="851"/>
        <w:rPr>
          <w:b/>
          <w:sz w:val="24"/>
          <w:szCs w:val="24"/>
        </w:rPr>
      </w:pPr>
      <w:r w:rsidRPr="00C84483">
        <w:rPr>
          <w:b/>
          <w:sz w:val="24"/>
          <w:szCs w:val="24"/>
        </w:rPr>
        <w:t>4.9</w:t>
      </w:r>
      <w:r w:rsidRPr="00C84483">
        <w:rPr>
          <w:b/>
          <w:sz w:val="24"/>
          <w:szCs w:val="24"/>
        </w:rPr>
        <w:tab/>
        <w:t>Overdosering</w:t>
      </w:r>
    </w:p>
    <w:p w:rsidR="001A148E" w:rsidRPr="00AB162F" w:rsidRDefault="001A148E" w:rsidP="001A148E">
      <w:pPr>
        <w:tabs>
          <w:tab w:val="left" w:pos="851"/>
        </w:tabs>
        <w:ind w:left="851"/>
        <w:rPr>
          <w:sz w:val="24"/>
          <w:szCs w:val="24"/>
        </w:rPr>
      </w:pPr>
      <w:r w:rsidRPr="00AB162F">
        <w:rPr>
          <w:sz w:val="24"/>
          <w:szCs w:val="24"/>
        </w:rPr>
        <w:t xml:space="preserve">Meget høje doser </w:t>
      </w:r>
      <w:proofErr w:type="spellStart"/>
      <w:r w:rsidRPr="00AB162F">
        <w:rPr>
          <w:sz w:val="24"/>
          <w:szCs w:val="24"/>
        </w:rPr>
        <w:t>idarubicin</w:t>
      </w:r>
      <w:proofErr w:type="spellEnd"/>
      <w:r w:rsidRPr="00AB162F">
        <w:rPr>
          <w:sz w:val="24"/>
          <w:szCs w:val="24"/>
        </w:rPr>
        <w:t xml:space="preserve"> kan forventes at forårsage akut </w:t>
      </w:r>
      <w:proofErr w:type="spellStart"/>
      <w:r w:rsidRPr="00AB162F">
        <w:rPr>
          <w:sz w:val="24"/>
          <w:szCs w:val="24"/>
        </w:rPr>
        <w:t>myokardietoksicitet</w:t>
      </w:r>
      <w:proofErr w:type="spellEnd"/>
      <w:r w:rsidRPr="00AB162F">
        <w:rPr>
          <w:sz w:val="24"/>
          <w:szCs w:val="24"/>
        </w:rPr>
        <w:t xml:space="preserve"> inden for 24 timer og alvorlig </w:t>
      </w:r>
      <w:proofErr w:type="spellStart"/>
      <w:r w:rsidRPr="00AB162F">
        <w:rPr>
          <w:sz w:val="24"/>
          <w:szCs w:val="24"/>
        </w:rPr>
        <w:t>myelosuppression</w:t>
      </w:r>
      <w:proofErr w:type="spellEnd"/>
      <w:r w:rsidRPr="00AB162F">
        <w:rPr>
          <w:sz w:val="24"/>
          <w:szCs w:val="24"/>
        </w:rPr>
        <w:t xml:space="preserve"> i løbet af 1-2 uger. Der er med </w:t>
      </w:r>
      <w:proofErr w:type="spellStart"/>
      <w:r w:rsidRPr="00AB162F">
        <w:rPr>
          <w:sz w:val="24"/>
          <w:szCs w:val="24"/>
        </w:rPr>
        <w:t>antracykliner</w:t>
      </w:r>
      <w:proofErr w:type="spellEnd"/>
      <w:r w:rsidRPr="00AB162F">
        <w:rPr>
          <w:sz w:val="24"/>
          <w:szCs w:val="24"/>
        </w:rPr>
        <w:t xml:space="preserve"> set forsinket hjertesvigt i op til flere måneder efter overdosis.</w:t>
      </w:r>
    </w:p>
    <w:p w:rsidR="001A148E" w:rsidRPr="00AB162F" w:rsidRDefault="001A148E" w:rsidP="001A148E">
      <w:pPr>
        <w:tabs>
          <w:tab w:val="left" w:pos="851"/>
        </w:tabs>
        <w:ind w:left="851"/>
        <w:rPr>
          <w:sz w:val="24"/>
          <w:szCs w:val="24"/>
        </w:rPr>
      </w:pPr>
      <w:r w:rsidRPr="00AB162F">
        <w:rPr>
          <w:sz w:val="24"/>
          <w:szCs w:val="24"/>
        </w:rPr>
        <w:t>Patienter</w:t>
      </w:r>
      <w:r>
        <w:rPr>
          <w:sz w:val="24"/>
          <w:szCs w:val="24"/>
        </w:rPr>
        <w:t>,</w:t>
      </w:r>
      <w:r w:rsidRPr="00AB162F">
        <w:rPr>
          <w:sz w:val="24"/>
          <w:szCs w:val="24"/>
        </w:rPr>
        <w:t xml:space="preserve"> som behandles oralt med </w:t>
      </w:r>
      <w:proofErr w:type="spellStart"/>
      <w:r w:rsidRPr="00AB162F">
        <w:rPr>
          <w:sz w:val="24"/>
          <w:szCs w:val="24"/>
        </w:rPr>
        <w:t>idarubicin</w:t>
      </w:r>
      <w:proofErr w:type="spellEnd"/>
      <w:r>
        <w:rPr>
          <w:sz w:val="24"/>
          <w:szCs w:val="24"/>
        </w:rPr>
        <w:t>,</w:t>
      </w:r>
      <w:r w:rsidRPr="00AB162F">
        <w:rPr>
          <w:sz w:val="24"/>
          <w:szCs w:val="24"/>
        </w:rPr>
        <w:t xml:space="preserve"> bør observeres for mulig </w:t>
      </w:r>
      <w:proofErr w:type="spellStart"/>
      <w:r w:rsidRPr="00AB162F">
        <w:rPr>
          <w:sz w:val="24"/>
          <w:szCs w:val="24"/>
        </w:rPr>
        <w:t>gastrointestinal</w:t>
      </w:r>
      <w:proofErr w:type="spellEnd"/>
      <w:r w:rsidRPr="00AB162F">
        <w:rPr>
          <w:sz w:val="24"/>
          <w:szCs w:val="24"/>
        </w:rPr>
        <w:t xml:space="preserve"> blødning og alvorlig beskadigelse af </w:t>
      </w:r>
      <w:proofErr w:type="spellStart"/>
      <w:r w:rsidRPr="00AB162F">
        <w:rPr>
          <w:sz w:val="24"/>
          <w:szCs w:val="24"/>
        </w:rPr>
        <w:t>gastrointestinalkanalen</w:t>
      </w:r>
      <w:proofErr w:type="spellEnd"/>
      <w:r w:rsidRPr="00AB162F">
        <w:rPr>
          <w:sz w:val="24"/>
          <w:szCs w:val="24"/>
        </w:rPr>
        <w:t>.</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4.10</w:t>
      </w:r>
      <w:r w:rsidRPr="00C84483">
        <w:rPr>
          <w:b/>
          <w:sz w:val="24"/>
          <w:szCs w:val="24"/>
        </w:rPr>
        <w:tab/>
        <w:t>Udlevering</w:t>
      </w:r>
    </w:p>
    <w:p w:rsidR="001A148E" w:rsidRPr="00C84483" w:rsidRDefault="001A148E" w:rsidP="001A148E">
      <w:pPr>
        <w:tabs>
          <w:tab w:val="left" w:pos="851"/>
        </w:tabs>
        <w:ind w:left="851"/>
        <w:rPr>
          <w:sz w:val="24"/>
          <w:szCs w:val="24"/>
        </w:rPr>
      </w:pPr>
      <w:r>
        <w:rPr>
          <w:sz w:val="24"/>
          <w:szCs w:val="24"/>
        </w:rPr>
        <w:t>A</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1A148E" w:rsidRPr="00501E68" w:rsidRDefault="001A148E" w:rsidP="001A148E">
      <w:pPr>
        <w:tabs>
          <w:tab w:val="left" w:pos="851"/>
        </w:tabs>
        <w:ind w:left="851"/>
        <w:rPr>
          <w:sz w:val="24"/>
          <w:szCs w:val="24"/>
        </w:rPr>
      </w:pPr>
      <w:r w:rsidRPr="00501E68">
        <w:rPr>
          <w:sz w:val="24"/>
          <w:szCs w:val="24"/>
        </w:rPr>
        <w:t xml:space="preserve">ATC-kode: L 01 DB 06. </w:t>
      </w:r>
      <w:proofErr w:type="spellStart"/>
      <w:r w:rsidRPr="00501E68">
        <w:rPr>
          <w:sz w:val="24"/>
          <w:szCs w:val="24"/>
        </w:rPr>
        <w:t>Cytotoksiske</w:t>
      </w:r>
      <w:proofErr w:type="spellEnd"/>
      <w:r w:rsidRPr="00501E68">
        <w:rPr>
          <w:sz w:val="24"/>
          <w:szCs w:val="24"/>
        </w:rPr>
        <w:t xml:space="preserve"> antibiotika. </w:t>
      </w:r>
      <w:proofErr w:type="spellStart"/>
      <w:r w:rsidRPr="00501E68">
        <w:rPr>
          <w:sz w:val="24"/>
          <w:szCs w:val="24"/>
        </w:rPr>
        <w:t>Anthracycliner</w:t>
      </w:r>
      <w:proofErr w:type="spellEnd"/>
      <w:r w:rsidRPr="00501E68">
        <w:rPr>
          <w:sz w:val="24"/>
          <w:szCs w:val="24"/>
        </w:rPr>
        <w:t xml:space="preserve"> og beslægtede stoffer</w:t>
      </w:r>
      <w:r>
        <w:rPr>
          <w:sz w:val="24"/>
          <w:szCs w:val="24"/>
        </w:rPr>
        <w:t>.</w:t>
      </w:r>
    </w:p>
    <w:p w:rsidR="001A148E" w:rsidRPr="00C84483" w:rsidRDefault="001A148E" w:rsidP="001A148E">
      <w:pPr>
        <w:tabs>
          <w:tab w:val="left" w:pos="851"/>
        </w:tabs>
        <w:ind w:left="851"/>
        <w:rPr>
          <w:sz w:val="24"/>
          <w:szCs w:val="24"/>
        </w:rPr>
      </w:pPr>
    </w:p>
    <w:p w:rsidR="001A148E" w:rsidRPr="00C84483" w:rsidRDefault="001A148E" w:rsidP="001A148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35789" w:rsidRDefault="00D35789" w:rsidP="001A148E">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501E68">
        <w:rPr>
          <w:sz w:val="24"/>
          <w:szCs w:val="24"/>
        </w:rPr>
        <w:t>Cytotoksiske</w:t>
      </w:r>
      <w:proofErr w:type="spellEnd"/>
      <w:r w:rsidRPr="00501E68">
        <w:rPr>
          <w:sz w:val="24"/>
          <w:szCs w:val="24"/>
        </w:rPr>
        <w:t xml:space="preserve"> antibiotika. </w:t>
      </w:r>
      <w:proofErr w:type="spellStart"/>
      <w:r w:rsidRPr="00501E68">
        <w:rPr>
          <w:sz w:val="24"/>
          <w:szCs w:val="24"/>
        </w:rPr>
        <w:t>Anthracycliner</w:t>
      </w:r>
      <w:proofErr w:type="spellEnd"/>
      <w:r w:rsidRPr="00501E68">
        <w:rPr>
          <w:sz w:val="24"/>
          <w:szCs w:val="24"/>
        </w:rPr>
        <w:t xml:space="preserve"> og beslægtede stoffer</w:t>
      </w:r>
      <w:r>
        <w:rPr>
          <w:sz w:val="24"/>
          <w:szCs w:val="24"/>
        </w:rPr>
        <w:t>.</w:t>
      </w:r>
      <w:r>
        <w:rPr>
          <w:sz w:val="24"/>
          <w:szCs w:val="24"/>
        </w:rPr>
        <w:t xml:space="preserve"> </w:t>
      </w:r>
      <w:r w:rsidRPr="00501E68">
        <w:rPr>
          <w:sz w:val="24"/>
          <w:szCs w:val="24"/>
        </w:rPr>
        <w:t>ATC-kode: L 01 DB 06.</w:t>
      </w:r>
    </w:p>
    <w:p w:rsidR="00D35789" w:rsidRDefault="00D35789" w:rsidP="001A148E">
      <w:pPr>
        <w:tabs>
          <w:tab w:val="left" w:pos="851"/>
        </w:tabs>
        <w:ind w:left="851"/>
        <w:rPr>
          <w:bCs/>
          <w:sz w:val="24"/>
          <w:szCs w:val="24"/>
        </w:rPr>
      </w:pPr>
    </w:p>
    <w:p w:rsidR="001A148E" w:rsidRPr="00F25E18" w:rsidRDefault="001A148E" w:rsidP="001A148E">
      <w:pPr>
        <w:tabs>
          <w:tab w:val="left" w:pos="851"/>
        </w:tabs>
        <w:ind w:left="851"/>
        <w:rPr>
          <w:bCs/>
          <w:sz w:val="24"/>
          <w:szCs w:val="24"/>
        </w:rPr>
      </w:pPr>
      <w:proofErr w:type="spellStart"/>
      <w:r w:rsidRPr="00F25E18">
        <w:rPr>
          <w:bCs/>
          <w:sz w:val="24"/>
          <w:szCs w:val="24"/>
        </w:rPr>
        <w:t>Idarubicin</w:t>
      </w:r>
      <w:proofErr w:type="spellEnd"/>
      <w:r w:rsidRPr="00F25E18">
        <w:rPr>
          <w:bCs/>
          <w:sz w:val="24"/>
          <w:szCs w:val="24"/>
        </w:rPr>
        <w:t xml:space="preserve"> er et DNA-</w:t>
      </w:r>
      <w:proofErr w:type="spellStart"/>
      <w:r w:rsidRPr="00F25E18">
        <w:rPr>
          <w:bCs/>
          <w:sz w:val="24"/>
          <w:szCs w:val="24"/>
        </w:rPr>
        <w:t>interkalerende</w:t>
      </w:r>
      <w:proofErr w:type="spellEnd"/>
      <w:r w:rsidRPr="00F25E18">
        <w:rPr>
          <w:bCs/>
          <w:sz w:val="24"/>
          <w:szCs w:val="24"/>
        </w:rPr>
        <w:t xml:space="preserve"> </w:t>
      </w:r>
      <w:proofErr w:type="spellStart"/>
      <w:r w:rsidRPr="00F25E18">
        <w:rPr>
          <w:bCs/>
          <w:sz w:val="24"/>
          <w:szCs w:val="24"/>
        </w:rPr>
        <w:t>antracyklin</w:t>
      </w:r>
      <w:proofErr w:type="spellEnd"/>
      <w:r w:rsidRPr="00F25E18">
        <w:rPr>
          <w:bCs/>
          <w:sz w:val="24"/>
          <w:szCs w:val="24"/>
        </w:rPr>
        <w:t xml:space="preserve">, der interagerer med enzymet </w:t>
      </w:r>
      <w:proofErr w:type="spellStart"/>
      <w:r w:rsidRPr="00F25E18">
        <w:rPr>
          <w:bCs/>
          <w:sz w:val="24"/>
          <w:szCs w:val="24"/>
        </w:rPr>
        <w:t>topoisomerase</w:t>
      </w:r>
      <w:proofErr w:type="spellEnd"/>
      <w:r w:rsidRPr="00F25E18">
        <w:rPr>
          <w:bCs/>
          <w:sz w:val="24"/>
          <w:szCs w:val="24"/>
        </w:rPr>
        <w:t xml:space="preserve"> II og har en hæmmende effekt på nukleinsyresyntesen. Modifikationen af position 4 af </w:t>
      </w:r>
      <w:proofErr w:type="spellStart"/>
      <w:r w:rsidRPr="00F25E18">
        <w:rPr>
          <w:bCs/>
          <w:sz w:val="24"/>
          <w:szCs w:val="24"/>
        </w:rPr>
        <w:t>antracyklinstrukturen</w:t>
      </w:r>
      <w:proofErr w:type="spellEnd"/>
      <w:r w:rsidRPr="00F25E18">
        <w:rPr>
          <w:bCs/>
          <w:sz w:val="24"/>
          <w:szCs w:val="24"/>
        </w:rPr>
        <w:t xml:space="preserve"> giver stoffet en høj </w:t>
      </w:r>
      <w:proofErr w:type="spellStart"/>
      <w:r w:rsidRPr="00F25E18">
        <w:rPr>
          <w:bCs/>
          <w:sz w:val="24"/>
          <w:szCs w:val="24"/>
        </w:rPr>
        <w:t>lipofilicitet</w:t>
      </w:r>
      <w:proofErr w:type="spellEnd"/>
      <w:r w:rsidRPr="00F25E18">
        <w:rPr>
          <w:bCs/>
          <w:sz w:val="24"/>
          <w:szCs w:val="24"/>
        </w:rPr>
        <w:t xml:space="preserve">, som resulterer i en forøget frekvens af cellulær optagelse sammenlignet med </w:t>
      </w:r>
      <w:proofErr w:type="spellStart"/>
      <w:r w:rsidRPr="00F25E18">
        <w:rPr>
          <w:bCs/>
          <w:sz w:val="24"/>
          <w:szCs w:val="24"/>
        </w:rPr>
        <w:t>doxorubicin</w:t>
      </w:r>
      <w:proofErr w:type="spellEnd"/>
      <w:r w:rsidRPr="00F25E18">
        <w:rPr>
          <w:bCs/>
          <w:sz w:val="24"/>
          <w:szCs w:val="24"/>
        </w:rPr>
        <w:t xml:space="preserve"> og </w:t>
      </w:r>
      <w:proofErr w:type="spellStart"/>
      <w:r w:rsidRPr="00F25E18">
        <w:rPr>
          <w:bCs/>
          <w:sz w:val="24"/>
          <w:szCs w:val="24"/>
        </w:rPr>
        <w:t>daunorubicin</w:t>
      </w:r>
      <w:proofErr w:type="spellEnd"/>
      <w:r w:rsidRPr="00F25E18">
        <w:rPr>
          <w:bCs/>
          <w:sz w:val="24"/>
          <w:szCs w:val="24"/>
        </w:rPr>
        <w:t xml:space="preserve">. </w:t>
      </w:r>
      <w:proofErr w:type="spellStart"/>
      <w:r w:rsidRPr="00F25E18">
        <w:rPr>
          <w:bCs/>
          <w:sz w:val="24"/>
          <w:szCs w:val="24"/>
        </w:rPr>
        <w:t>Idarubicin</w:t>
      </w:r>
      <w:proofErr w:type="spellEnd"/>
      <w:r w:rsidRPr="00F25E18">
        <w:rPr>
          <w:bCs/>
          <w:sz w:val="24"/>
          <w:szCs w:val="24"/>
        </w:rPr>
        <w:t xml:space="preserve"> har vist sig at have en højere styrke mht. </w:t>
      </w:r>
      <w:proofErr w:type="spellStart"/>
      <w:r w:rsidRPr="00F25E18">
        <w:rPr>
          <w:bCs/>
          <w:sz w:val="24"/>
          <w:szCs w:val="24"/>
        </w:rPr>
        <w:t>daunorubicin</w:t>
      </w:r>
      <w:proofErr w:type="spellEnd"/>
      <w:r w:rsidRPr="00F25E18">
        <w:rPr>
          <w:bCs/>
          <w:sz w:val="24"/>
          <w:szCs w:val="24"/>
        </w:rPr>
        <w:t xml:space="preserve"> og til at være et effektivt stof mod </w:t>
      </w:r>
      <w:proofErr w:type="spellStart"/>
      <w:r w:rsidRPr="00F25E18">
        <w:rPr>
          <w:bCs/>
          <w:sz w:val="24"/>
          <w:szCs w:val="24"/>
        </w:rPr>
        <w:t>murin</w:t>
      </w:r>
      <w:proofErr w:type="spellEnd"/>
      <w:r w:rsidRPr="00F25E18">
        <w:rPr>
          <w:bCs/>
          <w:sz w:val="24"/>
          <w:szCs w:val="24"/>
        </w:rPr>
        <w:t xml:space="preserve"> leukæmivirus og </w:t>
      </w:r>
      <w:proofErr w:type="spellStart"/>
      <w:r w:rsidRPr="00F25E18">
        <w:rPr>
          <w:bCs/>
          <w:sz w:val="24"/>
          <w:szCs w:val="24"/>
        </w:rPr>
        <w:t>lymfomer</w:t>
      </w:r>
      <w:proofErr w:type="spellEnd"/>
      <w:r w:rsidRPr="00F25E18">
        <w:rPr>
          <w:bCs/>
          <w:sz w:val="24"/>
          <w:szCs w:val="24"/>
        </w:rPr>
        <w:t xml:space="preserve">, både ved intravenøs administration og ved oral indtagelse. </w:t>
      </w:r>
      <w:r w:rsidRPr="00F25E18">
        <w:rPr>
          <w:bCs/>
          <w:i/>
          <w:sz w:val="24"/>
          <w:szCs w:val="24"/>
        </w:rPr>
        <w:t xml:space="preserve">In </w:t>
      </w:r>
      <w:proofErr w:type="spellStart"/>
      <w:r w:rsidRPr="00F25E18">
        <w:rPr>
          <w:bCs/>
          <w:i/>
          <w:sz w:val="24"/>
          <w:szCs w:val="24"/>
        </w:rPr>
        <w:t>vitro</w:t>
      </w:r>
      <w:proofErr w:type="spellEnd"/>
      <w:r w:rsidRPr="00F25E18">
        <w:rPr>
          <w:bCs/>
          <w:sz w:val="24"/>
          <w:szCs w:val="24"/>
        </w:rPr>
        <w:t xml:space="preserve">-studier af humane og </w:t>
      </w:r>
      <w:proofErr w:type="spellStart"/>
      <w:r w:rsidRPr="00F25E18">
        <w:rPr>
          <w:bCs/>
          <w:sz w:val="24"/>
          <w:szCs w:val="24"/>
        </w:rPr>
        <w:t>murine</w:t>
      </w:r>
      <w:proofErr w:type="spellEnd"/>
      <w:r w:rsidRPr="00F25E18">
        <w:rPr>
          <w:bCs/>
          <w:sz w:val="24"/>
          <w:szCs w:val="24"/>
        </w:rPr>
        <w:t xml:space="preserve"> </w:t>
      </w:r>
      <w:proofErr w:type="spellStart"/>
      <w:r w:rsidRPr="00F25E18">
        <w:rPr>
          <w:bCs/>
          <w:sz w:val="24"/>
          <w:szCs w:val="24"/>
        </w:rPr>
        <w:t>antracyklinresistente</w:t>
      </w:r>
      <w:proofErr w:type="spellEnd"/>
      <w:r w:rsidRPr="00F25E18">
        <w:rPr>
          <w:bCs/>
          <w:sz w:val="24"/>
          <w:szCs w:val="24"/>
        </w:rPr>
        <w:t xml:space="preserve"> celler har vist en lavere grad af krydsresistens over for </w:t>
      </w:r>
      <w:proofErr w:type="spellStart"/>
      <w:r w:rsidRPr="00F25E18">
        <w:rPr>
          <w:bCs/>
          <w:sz w:val="24"/>
          <w:szCs w:val="24"/>
        </w:rPr>
        <w:t>idarubicin</w:t>
      </w:r>
      <w:proofErr w:type="spellEnd"/>
      <w:r w:rsidRPr="00F25E18">
        <w:rPr>
          <w:bCs/>
          <w:sz w:val="24"/>
          <w:szCs w:val="24"/>
        </w:rPr>
        <w:t xml:space="preserve"> sammenlignet med </w:t>
      </w:r>
      <w:proofErr w:type="spellStart"/>
      <w:r w:rsidRPr="00F25E18">
        <w:rPr>
          <w:bCs/>
          <w:sz w:val="24"/>
          <w:szCs w:val="24"/>
        </w:rPr>
        <w:t>doxorubicin</w:t>
      </w:r>
      <w:proofErr w:type="spellEnd"/>
      <w:r w:rsidRPr="00F25E18">
        <w:rPr>
          <w:bCs/>
          <w:sz w:val="24"/>
          <w:szCs w:val="24"/>
        </w:rPr>
        <w:t xml:space="preserve"> og </w:t>
      </w:r>
      <w:proofErr w:type="spellStart"/>
      <w:r w:rsidRPr="00F25E18">
        <w:rPr>
          <w:bCs/>
          <w:sz w:val="24"/>
          <w:szCs w:val="24"/>
        </w:rPr>
        <w:t>daunorubicin</w:t>
      </w:r>
      <w:proofErr w:type="spellEnd"/>
      <w:r w:rsidRPr="00F25E18">
        <w:rPr>
          <w:bCs/>
          <w:sz w:val="24"/>
          <w:szCs w:val="24"/>
        </w:rPr>
        <w:t xml:space="preserve">. </w:t>
      </w:r>
      <w:proofErr w:type="spellStart"/>
      <w:r w:rsidRPr="00F25E18">
        <w:rPr>
          <w:bCs/>
          <w:sz w:val="24"/>
          <w:szCs w:val="24"/>
        </w:rPr>
        <w:t>Kardiotoksicitetsstudier</w:t>
      </w:r>
      <w:proofErr w:type="spellEnd"/>
      <w:r w:rsidRPr="00F25E18">
        <w:rPr>
          <w:bCs/>
          <w:sz w:val="24"/>
          <w:szCs w:val="24"/>
        </w:rPr>
        <w:t xml:space="preserve"> hos dyr har indikeret, at </w:t>
      </w:r>
      <w:proofErr w:type="spellStart"/>
      <w:r w:rsidRPr="00F25E18">
        <w:rPr>
          <w:bCs/>
          <w:sz w:val="24"/>
          <w:szCs w:val="24"/>
        </w:rPr>
        <w:t>idarubicin</w:t>
      </w:r>
      <w:proofErr w:type="spellEnd"/>
      <w:r w:rsidRPr="00F25E18">
        <w:rPr>
          <w:bCs/>
          <w:sz w:val="24"/>
          <w:szCs w:val="24"/>
        </w:rPr>
        <w:t xml:space="preserve"> har et bedre terapeutisk indeks end </w:t>
      </w:r>
      <w:proofErr w:type="spellStart"/>
      <w:r w:rsidRPr="00F25E18">
        <w:rPr>
          <w:bCs/>
          <w:sz w:val="24"/>
          <w:szCs w:val="24"/>
        </w:rPr>
        <w:t>daunorubicin</w:t>
      </w:r>
      <w:proofErr w:type="spellEnd"/>
      <w:r w:rsidRPr="00F25E18">
        <w:rPr>
          <w:bCs/>
          <w:sz w:val="24"/>
          <w:szCs w:val="24"/>
        </w:rPr>
        <w:t xml:space="preserve"> og </w:t>
      </w:r>
      <w:proofErr w:type="spellStart"/>
      <w:r w:rsidRPr="00F25E18">
        <w:rPr>
          <w:bCs/>
          <w:sz w:val="24"/>
          <w:szCs w:val="24"/>
        </w:rPr>
        <w:t>doxorubicin</w:t>
      </w:r>
      <w:proofErr w:type="spellEnd"/>
      <w:r w:rsidRPr="00F25E18">
        <w:rPr>
          <w:bCs/>
          <w:sz w:val="24"/>
          <w:szCs w:val="24"/>
        </w:rPr>
        <w:t xml:space="preserve">. Hovedmetabolitten, </w:t>
      </w:r>
      <w:proofErr w:type="spellStart"/>
      <w:r w:rsidRPr="00F25E18">
        <w:rPr>
          <w:bCs/>
          <w:sz w:val="24"/>
          <w:szCs w:val="24"/>
        </w:rPr>
        <w:t>idarubicinol</w:t>
      </w:r>
      <w:proofErr w:type="spellEnd"/>
      <w:r w:rsidRPr="00F25E18">
        <w:rPr>
          <w:bCs/>
          <w:sz w:val="24"/>
          <w:szCs w:val="24"/>
        </w:rPr>
        <w:t xml:space="preserve">, har i </w:t>
      </w:r>
      <w:r w:rsidRPr="00F25E18">
        <w:rPr>
          <w:bCs/>
          <w:i/>
          <w:sz w:val="24"/>
          <w:szCs w:val="24"/>
        </w:rPr>
        <w:t xml:space="preserve">in </w:t>
      </w:r>
      <w:proofErr w:type="spellStart"/>
      <w:r w:rsidRPr="00F25E18">
        <w:rPr>
          <w:bCs/>
          <w:i/>
          <w:sz w:val="24"/>
          <w:szCs w:val="24"/>
        </w:rPr>
        <w:t>vitro</w:t>
      </w:r>
      <w:proofErr w:type="spellEnd"/>
      <w:r w:rsidRPr="00F25E18">
        <w:rPr>
          <w:bCs/>
          <w:sz w:val="24"/>
          <w:szCs w:val="24"/>
        </w:rPr>
        <w:t xml:space="preserve">- og </w:t>
      </w:r>
      <w:r w:rsidRPr="00F25E18">
        <w:rPr>
          <w:bCs/>
          <w:i/>
          <w:sz w:val="24"/>
          <w:szCs w:val="24"/>
        </w:rPr>
        <w:t xml:space="preserve">in </w:t>
      </w:r>
      <w:proofErr w:type="spellStart"/>
      <w:r w:rsidRPr="00F25E18">
        <w:rPr>
          <w:bCs/>
          <w:i/>
          <w:sz w:val="24"/>
          <w:szCs w:val="24"/>
        </w:rPr>
        <w:t>vivo</w:t>
      </w:r>
      <w:proofErr w:type="spellEnd"/>
      <w:r w:rsidRPr="00F25E18">
        <w:rPr>
          <w:bCs/>
          <w:sz w:val="24"/>
          <w:szCs w:val="24"/>
        </w:rPr>
        <w:t xml:space="preserve">-studier vist </w:t>
      </w:r>
      <w:proofErr w:type="spellStart"/>
      <w:r w:rsidRPr="00F25E18">
        <w:rPr>
          <w:bCs/>
          <w:sz w:val="24"/>
          <w:szCs w:val="24"/>
        </w:rPr>
        <w:t>antitumoral</w:t>
      </w:r>
      <w:proofErr w:type="spellEnd"/>
      <w:r w:rsidRPr="00F25E18">
        <w:rPr>
          <w:bCs/>
          <w:sz w:val="24"/>
          <w:szCs w:val="24"/>
        </w:rPr>
        <w:t xml:space="preserve"> aktivitet i eksperimentelle modeller. Hos rotten er </w:t>
      </w:r>
      <w:proofErr w:type="spellStart"/>
      <w:r w:rsidRPr="00F25E18">
        <w:rPr>
          <w:bCs/>
          <w:sz w:val="24"/>
          <w:szCs w:val="24"/>
        </w:rPr>
        <w:t>idarubicinol</w:t>
      </w:r>
      <w:proofErr w:type="spellEnd"/>
      <w:r w:rsidRPr="00F25E18">
        <w:rPr>
          <w:bCs/>
          <w:sz w:val="24"/>
          <w:szCs w:val="24"/>
        </w:rPr>
        <w:t xml:space="preserve">, når administreret i samme doser som det oprindelige lægemiddel, tydeligt mindre </w:t>
      </w:r>
      <w:proofErr w:type="spellStart"/>
      <w:r w:rsidRPr="00F25E18">
        <w:rPr>
          <w:bCs/>
          <w:sz w:val="24"/>
          <w:szCs w:val="24"/>
        </w:rPr>
        <w:t>cardiotoksisk</w:t>
      </w:r>
      <w:proofErr w:type="spellEnd"/>
      <w:r w:rsidRPr="00F25E18">
        <w:rPr>
          <w:bCs/>
          <w:sz w:val="24"/>
          <w:szCs w:val="24"/>
        </w:rPr>
        <w:t xml:space="preserve"> end </w:t>
      </w:r>
      <w:proofErr w:type="spellStart"/>
      <w:r w:rsidRPr="00F25E18">
        <w:rPr>
          <w:bCs/>
          <w:sz w:val="24"/>
          <w:szCs w:val="24"/>
        </w:rPr>
        <w:t>idarubicin</w:t>
      </w:r>
      <w:proofErr w:type="spellEnd"/>
      <w:r w:rsidRPr="00F25E18">
        <w:rPr>
          <w:bCs/>
          <w:sz w:val="24"/>
          <w:szCs w:val="24"/>
        </w:rPr>
        <w:t>.</w:t>
      </w:r>
    </w:p>
    <w:p w:rsidR="001A148E" w:rsidRPr="00F25E18"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A148E" w:rsidRPr="00D43DD8" w:rsidRDefault="001A148E" w:rsidP="001A148E">
      <w:pPr>
        <w:tabs>
          <w:tab w:val="left" w:pos="851"/>
        </w:tabs>
        <w:ind w:left="851"/>
        <w:rPr>
          <w:sz w:val="24"/>
          <w:szCs w:val="24"/>
        </w:rPr>
      </w:pPr>
      <w:r w:rsidRPr="00D43DD8">
        <w:rPr>
          <w:sz w:val="24"/>
          <w:szCs w:val="24"/>
        </w:rPr>
        <w:t>Efter oral administration af 10 til 60 mg/m</w:t>
      </w:r>
      <w:r w:rsidRPr="00D43DD8">
        <w:rPr>
          <w:sz w:val="24"/>
          <w:szCs w:val="24"/>
          <w:vertAlign w:val="superscript"/>
        </w:rPr>
        <w:t>2</w:t>
      </w:r>
      <w:r w:rsidRPr="00D43DD8">
        <w:rPr>
          <w:sz w:val="24"/>
          <w:szCs w:val="24"/>
        </w:rPr>
        <w:t xml:space="preserve"> </w:t>
      </w:r>
      <w:proofErr w:type="spellStart"/>
      <w:r w:rsidRPr="00D43DD8">
        <w:rPr>
          <w:sz w:val="24"/>
          <w:szCs w:val="24"/>
        </w:rPr>
        <w:t>idarubicin</w:t>
      </w:r>
      <w:proofErr w:type="spellEnd"/>
      <w:r w:rsidRPr="00D43DD8">
        <w:rPr>
          <w:sz w:val="24"/>
          <w:szCs w:val="24"/>
        </w:rPr>
        <w:t xml:space="preserve"> til voksne blev </w:t>
      </w:r>
      <w:proofErr w:type="spellStart"/>
      <w:r w:rsidRPr="00D43DD8">
        <w:rPr>
          <w:sz w:val="24"/>
          <w:szCs w:val="24"/>
        </w:rPr>
        <w:t>idarubicin</w:t>
      </w:r>
      <w:proofErr w:type="spellEnd"/>
      <w:r w:rsidRPr="00D43DD8">
        <w:rPr>
          <w:sz w:val="24"/>
          <w:szCs w:val="24"/>
        </w:rPr>
        <w:t xml:space="preserve"> hurtigt absorberet med de maksimale plasmakoncentrationer på 4-12,65 </w:t>
      </w:r>
      <w:proofErr w:type="spellStart"/>
      <w:r w:rsidRPr="00D43DD8">
        <w:rPr>
          <w:sz w:val="24"/>
          <w:szCs w:val="24"/>
        </w:rPr>
        <w:t>ng</w:t>
      </w:r>
      <w:proofErr w:type="spellEnd"/>
      <w:r w:rsidRPr="00D43DD8">
        <w:rPr>
          <w:sz w:val="24"/>
          <w:szCs w:val="24"/>
        </w:rPr>
        <w:t xml:space="preserve">/ml opnået på 1 til 4 timer efter dosering. Den terminale halveringstid var 12,7 ± 6,0 timer (gennemsnit ± SD). Efter intravenøs administration af </w:t>
      </w:r>
      <w:proofErr w:type="spellStart"/>
      <w:r w:rsidRPr="00D43DD8">
        <w:rPr>
          <w:sz w:val="24"/>
          <w:szCs w:val="24"/>
        </w:rPr>
        <w:t>idarubicin</w:t>
      </w:r>
      <w:proofErr w:type="spellEnd"/>
      <w:r w:rsidRPr="00D43DD8">
        <w:rPr>
          <w:sz w:val="24"/>
          <w:szCs w:val="24"/>
        </w:rPr>
        <w:t xml:space="preserve"> til voksne var den terminale halveringstid 13,9 ± 5,9 timer, svarende til den der blev observeret efter oral administration.</w:t>
      </w:r>
    </w:p>
    <w:p w:rsidR="001A148E" w:rsidRPr="00D43DD8" w:rsidRDefault="001A148E" w:rsidP="001A148E">
      <w:pPr>
        <w:tabs>
          <w:tab w:val="left" w:pos="851"/>
        </w:tabs>
        <w:ind w:left="851"/>
        <w:rPr>
          <w:sz w:val="24"/>
          <w:szCs w:val="24"/>
        </w:rPr>
      </w:pPr>
    </w:p>
    <w:p w:rsidR="001A148E" w:rsidRPr="00D43DD8" w:rsidRDefault="001A148E" w:rsidP="001A148E">
      <w:pPr>
        <w:tabs>
          <w:tab w:val="left" w:pos="851"/>
        </w:tabs>
        <w:ind w:left="851"/>
        <w:rPr>
          <w:sz w:val="24"/>
          <w:szCs w:val="24"/>
        </w:rPr>
      </w:pPr>
      <w:r w:rsidRPr="00D43DD8">
        <w:rPr>
          <w:sz w:val="24"/>
          <w:szCs w:val="24"/>
        </w:rPr>
        <w:t xml:space="preserve">Efter </w:t>
      </w:r>
      <w:proofErr w:type="spellStart"/>
      <w:r w:rsidRPr="00D43DD8">
        <w:rPr>
          <w:sz w:val="24"/>
          <w:szCs w:val="24"/>
        </w:rPr>
        <w:t>i.v</w:t>
      </w:r>
      <w:proofErr w:type="spellEnd"/>
      <w:r w:rsidRPr="00D43DD8">
        <w:rPr>
          <w:sz w:val="24"/>
          <w:szCs w:val="24"/>
        </w:rPr>
        <w:t xml:space="preserve">.-administration </w:t>
      </w:r>
      <w:proofErr w:type="spellStart"/>
      <w:r w:rsidRPr="00D43DD8">
        <w:rPr>
          <w:sz w:val="24"/>
          <w:szCs w:val="24"/>
        </w:rPr>
        <w:t>metaboliseres</w:t>
      </w:r>
      <w:proofErr w:type="spellEnd"/>
      <w:r w:rsidRPr="00D43DD8">
        <w:rPr>
          <w:sz w:val="24"/>
          <w:szCs w:val="24"/>
        </w:rPr>
        <w:t xml:space="preserve"> </w:t>
      </w:r>
      <w:proofErr w:type="spellStart"/>
      <w:r w:rsidRPr="00D43DD8">
        <w:rPr>
          <w:sz w:val="24"/>
          <w:szCs w:val="24"/>
        </w:rPr>
        <w:t>idarubicin</w:t>
      </w:r>
      <w:proofErr w:type="spellEnd"/>
      <w:r w:rsidRPr="00D43DD8">
        <w:rPr>
          <w:sz w:val="24"/>
          <w:szCs w:val="24"/>
        </w:rPr>
        <w:t xml:space="preserve"> i stor udstrækning til den aktive metabolit, </w:t>
      </w:r>
      <w:proofErr w:type="spellStart"/>
      <w:r w:rsidRPr="00D43DD8">
        <w:rPr>
          <w:sz w:val="24"/>
          <w:szCs w:val="24"/>
        </w:rPr>
        <w:t>idarubicinol</w:t>
      </w:r>
      <w:proofErr w:type="spellEnd"/>
      <w:r w:rsidRPr="00D43DD8">
        <w:rPr>
          <w:sz w:val="24"/>
          <w:szCs w:val="24"/>
        </w:rPr>
        <w:t xml:space="preserve">, som elimineres langsomt med en plasmahalveringstid på 41-69 timer. Lægemidlet udskilles gennem nyrerne og med galden, hovedsagelig som </w:t>
      </w:r>
      <w:proofErr w:type="spellStart"/>
      <w:r w:rsidRPr="00D43DD8">
        <w:rPr>
          <w:sz w:val="24"/>
          <w:szCs w:val="24"/>
        </w:rPr>
        <w:t>idarubicinol</w:t>
      </w:r>
      <w:proofErr w:type="spellEnd"/>
      <w:r w:rsidRPr="00D43DD8">
        <w:rPr>
          <w:sz w:val="24"/>
          <w:szCs w:val="24"/>
        </w:rPr>
        <w:t>.</w:t>
      </w:r>
    </w:p>
    <w:p w:rsidR="001A148E" w:rsidRPr="00D43DD8" w:rsidRDefault="001A148E" w:rsidP="001A148E">
      <w:pPr>
        <w:tabs>
          <w:tab w:val="left" w:pos="851"/>
        </w:tabs>
        <w:ind w:left="851"/>
        <w:rPr>
          <w:sz w:val="24"/>
          <w:szCs w:val="24"/>
        </w:rPr>
      </w:pPr>
    </w:p>
    <w:p w:rsidR="001A148E" w:rsidRPr="00D43DD8" w:rsidRDefault="001A148E" w:rsidP="001A148E">
      <w:pPr>
        <w:tabs>
          <w:tab w:val="left" w:pos="851"/>
        </w:tabs>
        <w:ind w:left="851"/>
        <w:rPr>
          <w:sz w:val="24"/>
          <w:szCs w:val="24"/>
        </w:rPr>
      </w:pPr>
      <w:r w:rsidRPr="00D43DD8">
        <w:rPr>
          <w:sz w:val="24"/>
          <w:szCs w:val="24"/>
        </w:rPr>
        <w:t xml:space="preserve">Studier af cellulære (kerneholdige celler og blodceller i knoglemarven) lægemiddelkoncentrationer hos patienter med leukæmi har vist, at maksimale cellulære </w:t>
      </w:r>
      <w:proofErr w:type="spellStart"/>
      <w:r w:rsidRPr="00D43DD8">
        <w:rPr>
          <w:sz w:val="24"/>
          <w:szCs w:val="24"/>
        </w:rPr>
        <w:t>idarubicinkoncentrationer</w:t>
      </w:r>
      <w:proofErr w:type="spellEnd"/>
      <w:r w:rsidRPr="00D43DD8">
        <w:rPr>
          <w:sz w:val="24"/>
          <w:szCs w:val="24"/>
        </w:rPr>
        <w:t xml:space="preserve"> nås få minutter efter injektion.</w:t>
      </w:r>
    </w:p>
    <w:p w:rsidR="001A148E" w:rsidRPr="00D43DD8" w:rsidRDefault="001A148E" w:rsidP="001A148E">
      <w:pPr>
        <w:tabs>
          <w:tab w:val="left" w:pos="851"/>
        </w:tabs>
        <w:ind w:left="851"/>
        <w:rPr>
          <w:sz w:val="24"/>
          <w:szCs w:val="24"/>
        </w:rPr>
      </w:pPr>
    </w:p>
    <w:p w:rsidR="001A148E" w:rsidRPr="00D43DD8" w:rsidRDefault="001A148E" w:rsidP="001A148E">
      <w:pPr>
        <w:tabs>
          <w:tab w:val="left" w:pos="851"/>
        </w:tabs>
        <w:ind w:left="851"/>
        <w:rPr>
          <w:sz w:val="24"/>
          <w:szCs w:val="24"/>
        </w:rPr>
      </w:pPr>
      <w:proofErr w:type="spellStart"/>
      <w:r w:rsidRPr="00D43DD8">
        <w:rPr>
          <w:sz w:val="24"/>
          <w:szCs w:val="24"/>
        </w:rPr>
        <w:t>Idarubicin</w:t>
      </w:r>
      <w:proofErr w:type="spellEnd"/>
      <w:r w:rsidRPr="00D43DD8">
        <w:rPr>
          <w:sz w:val="24"/>
          <w:szCs w:val="24"/>
        </w:rPr>
        <w:t xml:space="preserve">- og </w:t>
      </w:r>
      <w:proofErr w:type="spellStart"/>
      <w:r w:rsidRPr="00D43DD8">
        <w:rPr>
          <w:sz w:val="24"/>
          <w:szCs w:val="24"/>
        </w:rPr>
        <w:t>idarubicinolkoncentrationer</w:t>
      </w:r>
      <w:proofErr w:type="spellEnd"/>
      <w:r w:rsidRPr="00D43DD8">
        <w:rPr>
          <w:sz w:val="24"/>
          <w:szCs w:val="24"/>
        </w:rPr>
        <w:t xml:space="preserve"> i kerneholdige celler og blodceller i knoglemarven er mere end hundrede gange så høje som plasmakoncentrationerne. </w:t>
      </w:r>
      <w:proofErr w:type="spellStart"/>
      <w:r w:rsidRPr="00D43DD8">
        <w:rPr>
          <w:sz w:val="24"/>
          <w:szCs w:val="24"/>
        </w:rPr>
        <w:t>Idarubicins</w:t>
      </w:r>
      <w:proofErr w:type="spellEnd"/>
      <w:r w:rsidRPr="00D43DD8">
        <w:rPr>
          <w:sz w:val="24"/>
          <w:szCs w:val="24"/>
        </w:rPr>
        <w:t xml:space="preserve"> eliminationshastighed i plasma og celler var næsten sammenlignelig med den terminale halveringstid på ca. 15 timer. </w:t>
      </w:r>
      <w:proofErr w:type="spellStart"/>
      <w:r w:rsidRPr="00D43DD8">
        <w:rPr>
          <w:sz w:val="24"/>
          <w:szCs w:val="24"/>
        </w:rPr>
        <w:t>Idarubicinols</w:t>
      </w:r>
      <w:proofErr w:type="spellEnd"/>
      <w:r w:rsidRPr="00D43DD8">
        <w:rPr>
          <w:sz w:val="24"/>
          <w:szCs w:val="24"/>
        </w:rPr>
        <w:t xml:space="preserve"> terminale halveringstid i celler var ca. 72 timer.</w:t>
      </w:r>
    </w:p>
    <w:p w:rsidR="001A148E" w:rsidRPr="00D43DD8" w:rsidRDefault="001A148E" w:rsidP="001A148E">
      <w:pPr>
        <w:tabs>
          <w:tab w:val="left" w:pos="851"/>
        </w:tabs>
        <w:ind w:left="851"/>
        <w:rPr>
          <w:sz w:val="24"/>
          <w:szCs w:val="24"/>
        </w:rPr>
      </w:pPr>
    </w:p>
    <w:p w:rsidR="001A148E" w:rsidRPr="00D43DD8" w:rsidRDefault="001A148E" w:rsidP="001A148E">
      <w:pPr>
        <w:tabs>
          <w:tab w:val="left" w:pos="851"/>
        </w:tabs>
        <w:ind w:left="851"/>
        <w:rPr>
          <w:sz w:val="24"/>
          <w:szCs w:val="24"/>
          <w:u w:val="single"/>
        </w:rPr>
      </w:pPr>
      <w:r w:rsidRPr="00D43DD8">
        <w:rPr>
          <w:sz w:val="24"/>
          <w:szCs w:val="24"/>
          <w:u w:val="single"/>
        </w:rPr>
        <w:t>Pædiatrisk population</w:t>
      </w:r>
    </w:p>
    <w:p w:rsidR="001A148E" w:rsidRPr="00D43DD8" w:rsidRDefault="001A148E" w:rsidP="001A148E">
      <w:pPr>
        <w:tabs>
          <w:tab w:val="left" w:pos="851"/>
        </w:tabs>
        <w:ind w:left="851"/>
        <w:rPr>
          <w:sz w:val="24"/>
          <w:szCs w:val="24"/>
        </w:rPr>
      </w:pPr>
      <w:proofErr w:type="spellStart"/>
      <w:r w:rsidRPr="00D43DD8">
        <w:rPr>
          <w:sz w:val="24"/>
          <w:szCs w:val="24"/>
        </w:rPr>
        <w:t>Farmakokinetiske</w:t>
      </w:r>
      <w:proofErr w:type="spellEnd"/>
      <w:r w:rsidRPr="00D43DD8">
        <w:rPr>
          <w:sz w:val="24"/>
          <w:szCs w:val="24"/>
        </w:rPr>
        <w:t xml:space="preserve"> målinger hos 7 pædiatriske patienter, der blev behandlet med intravenøs </w:t>
      </w:r>
      <w:proofErr w:type="spellStart"/>
      <w:r w:rsidRPr="00D43DD8">
        <w:rPr>
          <w:sz w:val="24"/>
          <w:szCs w:val="24"/>
        </w:rPr>
        <w:t>idarubicin</w:t>
      </w:r>
      <w:proofErr w:type="spellEnd"/>
      <w:r w:rsidRPr="00D43DD8">
        <w:rPr>
          <w:sz w:val="24"/>
          <w:szCs w:val="24"/>
        </w:rPr>
        <w:t xml:space="preserve"> i doser på 15-40 mg/m</w:t>
      </w:r>
      <w:r w:rsidRPr="00D43DD8">
        <w:rPr>
          <w:sz w:val="24"/>
          <w:szCs w:val="24"/>
          <w:vertAlign w:val="superscript"/>
        </w:rPr>
        <w:t>2</w:t>
      </w:r>
      <w:r w:rsidRPr="00D43DD8">
        <w:rPr>
          <w:sz w:val="24"/>
          <w:szCs w:val="24"/>
        </w:rPr>
        <w:t xml:space="preserve"> i 3 dage, viste en median halveringstid på 8,5 timer (interval: 3,6-26,4 timer) for </w:t>
      </w:r>
      <w:proofErr w:type="spellStart"/>
      <w:r w:rsidRPr="00D43DD8">
        <w:rPr>
          <w:sz w:val="24"/>
          <w:szCs w:val="24"/>
        </w:rPr>
        <w:t>idarubicin</w:t>
      </w:r>
      <w:proofErr w:type="spellEnd"/>
      <w:r w:rsidRPr="00D43DD8">
        <w:rPr>
          <w:sz w:val="24"/>
          <w:szCs w:val="24"/>
        </w:rPr>
        <w:t xml:space="preserve">. Den aktive metabolit </w:t>
      </w:r>
      <w:proofErr w:type="spellStart"/>
      <w:r w:rsidRPr="00D43DD8">
        <w:rPr>
          <w:sz w:val="24"/>
          <w:szCs w:val="24"/>
        </w:rPr>
        <w:t>idarubicinol</w:t>
      </w:r>
      <w:proofErr w:type="spellEnd"/>
      <w:r w:rsidRPr="00D43DD8">
        <w:rPr>
          <w:sz w:val="24"/>
          <w:szCs w:val="24"/>
        </w:rPr>
        <w:t xml:space="preserve"> blev akkumuleret under de 3 dages behandling og udviste en median halveringstid på 43,7 timer (interval: 27,8 -131 timer). </w:t>
      </w:r>
    </w:p>
    <w:p w:rsidR="001A148E" w:rsidRPr="00D43DD8" w:rsidRDefault="001A148E" w:rsidP="001A148E">
      <w:pPr>
        <w:tabs>
          <w:tab w:val="left" w:pos="851"/>
        </w:tabs>
        <w:ind w:left="851"/>
        <w:rPr>
          <w:sz w:val="24"/>
          <w:szCs w:val="24"/>
        </w:rPr>
      </w:pPr>
    </w:p>
    <w:p w:rsidR="001A148E" w:rsidRPr="00D43DD8" w:rsidRDefault="001A148E" w:rsidP="001A148E">
      <w:pPr>
        <w:tabs>
          <w:tab w:val="left" w:pos="851"/>
        </w:tabs>
        <w:ind w:left="851"/>
        <w:rPr>
          <w:sz w:val="24"/>
          <w:szCs w:val="24"/>
        </w:rPr>
      </w:pPr>
      <w:r w:rsidRPr="00D43DD8">
        <w:rPr>
          <w:sz w:val="24"/>
          <w:szCs w:val="24"/>
        </w:rPr>
        <w:t xml:space="preserve">I et andet studie, hvor 15 pædiatriske patienter blev behandlet med oral </w:t>
      </w:r>
      <w:proofErr w:type="spellStart"/>
      <w:r w:rsidRPr="00D43DD8">
        <w:rPr>
          <w:sz w:val="24"/>
          <w:szCs w:val="24"/>
        </w:rPr>
        <w:t>idarubicin</w:t>
      </w:r>
      <w:proofErr w:type="spellEnd"/>
      <w:r w:rsidRPr="00D43DD8">
        <w:rPr>
          <w:sz w:val="24"/>
          <w:szCs w:val="24"/>
        </w:rPr>
        <w:t xml:space="preserve"> i doser på 30-50 mg/m</w:t>
      </w:r>
      <w:r w:rsidRPr="00D43DD8">
        <w:rPr>
          <w:sz w:val="24"/>
          <w:szCs w:val="24"/>
          <w:vertAlign w:val="superscript"/>
        </w:rPr>
        <w:t>2</w:t>
      </w:r>
      <w:r w:rsidRPr="00D43DD8">
        <w:rPr>
          <w:sz w:val="24"/>
          <w:szCs w:val="24"/>
        </w:rPr>
        <w:t xml:space="preserve"> i 3 dage, var </w:t>
      </w:r>
      <w:proofErr w:type="spellStart"/>
      <w:r w:rsidRPr="00D43DD8">
        <w:rPr>
          <w:sz w:val="24"/>
          <w:szCs w:val="24"/>
        </w:rPr>
        <w:t>idarubicins</w:t>
      </w:r>
      <w:proofErr w:type="spellEnd"/>
      <w:r w:rsidRPr="00D43DD8">
        <w:rPr>
          <w:sz w:val="24"/>
          <w:szCs w:val="24"/>
        </w:rPr>
        <w:t xml:space="preserve"> maksimale plasmakoncentration 10,6 </w:t>
      </w:r>
      <w:proofErr w:type="spellStart"/>
      <w:r w:rsidRPr="00D43DD8">
        <w:rPr>
          <w:sz w:val="24"/>
          <w:szCs w:val="24"/>
        </w:rPr>
        <w:t>ng</w:t>
      </w:r>
      <w:proofErr w:type="spellEnd"/>
      <w:r w:rsidRPr="00D43DD8">
        <w:rPr>
          <w:sz w:val="24"/>
          <w:szCs w:val="24"/>
        </w:rPr>
        <w:t xml:space="preserve">/ml (interval: 2,7-16,7 </w:t>
      </w:r>
      <w:proofErr w:type="spellStart"/>
      <w:r w:rsidRPr="00D43DD8">
        <w:rPr>
          <w:sz w:val="24"/>
          <w:szCs w:val="24"/>
        </w:rPr>
        <w:t>ng</w:t>
      </w:r>
      <w:proofErr w:type="spellEnd"/>
      <w:r w:rsidRPr="00D43DD8">
        <w:rPr>
          <w:sz w:val="24"/>
          <w:szCs w:val="24"/>
        </w:rPr>
        <w:t>/ml ved en dosis på 40 mg/m</w:t>
      </w:r>
      <w:r w:rsidRPr="00D43DD8">
        <w:rPr>
          <w:sz w:val="24"/>
          <w:szCs w:val="24"/>
          <w:vertAlign w:val="superscript"/>
        </w:rPr>
        <w:t>2</w:t>
      </w:r>
      <w:r w:rsidRPr="00D43DD8">
        <w:rPr>
          <w:sz w:val="24"/>
          <w:szCs w:val="24"/>
        </w:rPr>
        <w:t xml:space="preserve">). Median halveringstid af </w:t>
      </w:r>
      <w:proofErr w:type="spellStart"/>
      <w:r w:rsidRPr="00D43DD8">
        <w:rPr>
          <w:sz w:val="24"/>
          <w:szCs w:val="24"/>
        </w:rPr>
        <w:t>idarubicin</w:t>
      </w:r>
      <w:proofErr w:type="spellEnd"/>
      <w:r w:rsidRPr="00D43DD8">
        <w:rPr>
          <w:sz w:val="24"/>
          <w:szCs w:val="24"/>
        </w:rPr>
        <w:t xml:space="preserve"> var 9,2 timer (interval: 6,4-25,5 timer). </w:t>
      </w:r>
    </w:p>
    <w:p w:rsidR="001A148E" w:rsidRPr="00D43DD8" w:rsidRDefault="001A148E" w:rsidP="001A148E">
      <w:pPr>
        <w:tabs>
          <w:tab w:val="left" w:pos="851"/>
        </w:tabs>
        <w:ind w:left="851"/>
        <w:rPr>
          <w:sz w:val="24"/>
          <w:szCs w:val="24"/>
        </w:rPr>
      </w:pPr>
      <w:r w:rsidRPr="00D43DD8">
        <w:rPr>
          <w:sz w:val="24"/>
          <w:szCs w:val="24"/>
        </w:rPr>
        <w:t xml:space="preserve">Der sås signifikant akkumulering af </w:t>
      </w:r>
      <w:proofErr w:type="spellStart"/>
      <w:r w:rsidRPr="00D43DD8">
        <w:rPr>
          <w:sz w:val="24"/>
          <w:szCs w:val="24"/>
        </w:rPr>
        <w:t>idarubicinol</w:t>
      </w:r>
      <w:proofErr w:type="spellEnd"/>
      <w:r w:rsidRPr="00D43DD8">
        <w:rPr>
          <w:sz w:val="24"/>
          <w:szCs w:val="24"/>
        </w:rPr>
        <w:t xml:space="preserve"> i 3-dages behandlingsperioden. Den observerede halveringstid for </w:t>
      </w:r>
      <w:proofErr w:type="spellStart"/>
      <w:r w:rsidRPr="00D43DD8">
        <w:rPr>
          <w:sz w:val="24"/>
          <w:szCs w:val="24"/>
        </w:rPr>
        <w:t>idarubicin</w:t>
      </w:r>
      <w:proofErr w:type="spellEnd"/>
      <w:r w:rsidRPr="00D43DD8">
        <w:rPr>
          <w:sz w:val="24"/>
          <w:szCs w:val="24"/>
        </w:rPr>
        <w:t xml:space="preserve">, efter </w:t>
      </w:r>
      <w:proofErr w:type="spellStart"/>
      <w:r w:rsidRPr="00D43DD8">
        <w:rPr>
          <w:sz w:val="24"/>
          <w:szCs w:val="24"/>
        </w:rPr>
        <w:t>i.v</w:t>
      </w:r>
      <w:proofErr w:type="spellEnd"/>
      <w:r w:rsidRPr="00D43DD8">
        <w:rPr>
          <w:sz w:val="24"/>
          <w:szCs w:val="24"/>
        </w:rPr>
        <w:t>. administration hos pædiatriske patienter, svarer til den for oral administration hos pædiatriske patienter.</w:t>
      </w:r>
    </w:p>
    <w:p w:rsidR="001A148E" w:rsidRPr="00D43DD8" w:rsidRDefault="001A148E" w:rsidP="001A148E">
      <w:pPr>
        <w:tabs>
          <w:tab w:val="left" w:pos="851"/>
        </w:tabs>
        <w:ind w:left="851"/>
        <w:rPr>
          <w:sz w:val="24"/>
          <w:szCs w:val="24"/>
        </w:rPr>
      </w:pPr>
    </w:p>
    <w:p w:rsidR="001A148E" w:rsidRPr="00D43DD8" w:rsidRDefault="001A148E" w:rsidP="001A148E">
      <w:pPr>
        <w:tabs>
          <w:tab w:val="left" w:pos="851"/>
        </w:tabs>
        <w:ind w:left="851"/>
        <w:rPr>
          <w:sz w:val="24"/>
          <w:szCs w:val="24"/>
        </w:rPr>
      </w:pPr>
      <w:r w:rsidRPr="00D43DD8">
        <w:rPr>
          <w:sz w:val="24"/>
          <w:szCs w:val="24"/>
        </w:rPr>
        <w:t xml:space="preserve">Da </w:t>
      </w:r>
      <w:proofErr w:type="spellStart"/>
      <w:r w:rsidRPr="00D43DD8">
        <w:rPr>
          <w:sz w:val="24"/>
          <w:szCs w:val="24"/>
        </w:rPr>
        <w:t>idarubicin</w:t>
      </w:r>
      <w:proofErr w:type="spellEnd"/>
      <w:r w:rsidRPr="00D43DD8">
        <w:rPr>
          <w:sz w:val="24"/>
          <w:szCs w:val="24"/>
        </w:rPr>
        <w:t xml:space="preserve"> </w:t>
      </w:r>
      <w:proofErr w:type="spellStart"/>
      <w:r w:rsidRPr="00D43DD8">
        <w:rPr>
          <w:sz w:val="24"/>
          <w:szCs w:val="24"/>
        </w:rPr>
        <w:t>C</w:t>
      </w:r>
      <w:r w:rsidRPr="00D43DD8">
        <w:rPr>
          <w:sz w:val="24"/>
          <w:szCs w:val="24"/>
          <w:vertAlign w:val="subscript"/>
        </w:rPr>
        <w:t>max</w:t>
      </w:r>
      <w:proofErr w:type="spellEnd"/>
      <w:r w:rsidRPr="00D43DD8">
        <w:rPr>
          <w:sz w:val="24"/>
          <w:szCs w:val="24"/>
        </w:rPr>
        <w:t xml:space="preserve"> efter oral administration er den samme hos børn og voksne, tyder det på, at der ikke er forskel på absorptionskinetik hos børn og voksne.</w:t>
      </w:r>
    </w:p>
    <w:p w:rsidR="001A148E" w:rsidRPr="00D43DD8" w:rsidRDefault="001A148E" w:rsidP="001A148E">
      <w:pPr>
        <w:tabs>
          <w:tab w:val="left" w:pos="851"/>
        </w:tabs>
        <w:ind w:left="851"/>
        <w:rPr>
          <w:sz w:val="24"/>
          <w:szCs w:val="24"/>
        </w:rPr>
      </w:pPr>
    </w:p>
    <w:p w:rsidR="001A148E" w:rsidRPr="00D43DD8" w:rsidRDefault="001A148E" w:rsidP="001A148E">
      <w:pPr>
        <w:tabs>
          <w:tab w:val="left" w:pos="851"/>
        </w:tabs>
        <w:ind w:left="851"/>
        <w:rPr>
          <w:sz w:val="24"/>
          <w:szCs w:val="24"/>
        </w:rPr>
      </w:pPr>
      <w:r w:rsidRPr="00D43DD8">
        <w:rPr>
          <w:sz w:val="24"/>
          <w:szCs w:val="24"/>
        </w:rPr>
        <w:t xml:space="preserve">Efter både oral og intravenøs administration er </w:t>
      </w:r>
      <w:proofErr w:type="spellStart"/>
      <w:r w:rsidRPr="00D43DD8">
        <w:rPr>
          <w:sz w:val="24"/>
          <w:szCs w:val="24"/>
        </w:rPr>
        <w:t>idarubicins</w:t>
      </w:r>
      <w:proofErr w:type="spellEnd"/>
      <w:r w:rsidRPr="00D43DD8">
        <w:rPr>
          <w:sz w:val="24"/>
          <w:szCs w:val="24"/>
        </w:rPr>
        <w:t xml:space="preserve"> halveringstid forskellig hos børn og voksne:</w:t>
      </w:r>
    </w:p>
    <w:p w:rsidR="001A148E" w:rsidRPr="00D43DD8" w:rsidRDefault="001A148E" w:rsidP="001A148E">
      <w:pPr>
        <w:tabs>
          <w:tab w:val="left" w:pos="851"/>
        </w:tabs>
        <w:ind w:left="851"/>
        <w:rPr>
          <w:sz w:val="24"/>
          <w:szCs w:val="24"/>
        </w:rPr>
      </w:pPr>
    </w:p>
    <w:p w:rsidR="001A148E" w:rsidRPr="00D43DD8" w:rsidRDefault="001A148E" w:rsidP="001A148E">
      <w:pPr>
        <w:tabs>
          <w:tab w:val="left" w:pos="851"/>
        </w:tabs>
        <w:ind w:left="851"/>
        <w:rPr>
          <w:sz w:val="24"/>
          <w:szCs w:val="24"/>
        </w:rPr>
      </w:pPr>
      <w:proofErr w:type="spellStart"/>
      <w:r w:rsidRPr="00D43DD8">
        <w:rPr>
          <w:sz w:val="24"/>
          <w:szCs w:val="24"/>
        </w:rPr>
        <w:t>Totalclearance</w:t>
      </w:r>
      <w:proofErr w:type="spellEnd"/>
      <w:r w:rsidRPr="00D43DD8">
        <w:rPr>
          <w:sz w:val="24"/>
          <w:szCs w:val="24"/>
        </w:rPr>
        <w:t xml:space="preserve"> på 30-107,9 l/time/m</w:t>
      </w:r>
      <w:r w:rsidRPr="00D43DD8">
        <w:rPr>
          <w:sz w:val="24"/>
          <w:szCs w:val="24"/>
          <w:vertAlign w:val="superscript"/>
        </w:rPr>
        <w:t>2</w:t>
      </w:r>
      <w:r w:rsidRPr="00D43DD8">
        <w:rPr>
          <w:sz w:val="24"/>
          <w:szCs w:val="24"/>
        </w:rPr>
        <w:t xml:space="preserve"> hos voksne er højere end </w:t>
      </w:r>
      <w:proofErr w:type="spellStart"/>
      <w:r w:rsidRPr="00D43DD8">
        <w:rPr>
          <w:sz w:val="24"/>
          <w:szCs w:val="24"/>
        </w:rPr>
        <w:t>totalclearance</w:t>
      </w:r>
      <w:proofErr w:type="spellEnd"/>
      <w:r w:rsidRPr="00D43DD8">
        <w:rPr>
          <w:sz w:val="24"/>
          <w:szCs w:val="24"/>
        </w:rPr>
        <w:t xml:space="preserve"> på </w:t>
      </w:r>
      <w:r w:rsidRPr="00D43DD8">
        <w:rPr>
          <w:sz w:val="24"/>
          <w:szCs w:val="24"/>
        </w:rPr>
        <w:br/>
        <w:t>18-33 l/time/m</w:t>
      </w:r>
      <w:r w:rsidRPr="00D43DD8">
        <w:rPr>
          <w:sz w:val="24"/>
          <w:szCs w:val="24"/>
          <w:vertAlign w:val="superscript"/>
        </w:rPr>
        <w:t xml:space="preserve">2 </w:t>
      </w:r>
      <w:r w:rsidRPr="00D43DD8">
        <w:rPr>
          <w:sz w:val="24"/>
          <w:szCs w:val="24"/>
        </w:rPr>
        <w:t xml:space="preserve">hos den pædiatriske population. Selvom </w:t>
      </w:r>
      <w:proofErr w:type="spellStart"/>
      <w:r w:rsidRPr="00D43DD8">
        <w:rPr>
          <w:sz w:val="24"/>
          <w:szCs w:val="24"/>
        </w:rPr>
        <w:t>idarubicin</w:t>
      </w:r>
      <w:proofErr w:type="spellEnd"/>
      <w:r w:rsidRPr="00D43DD8">
        <w:rPr>
          <w:sz w:val="24"/>
          <w:szCs w:val="24"/>
        </w:rPr>
        <w:t xml:space="preserve"> har et meget stort fordelingsvolumen hos både voksne og børn, som tyder på stor vævsbinding, kan den kortere halveringstid og lavere </w:t>
      </w:r>
      <w:proofErr w:type="spellStart"/>
      <w:r w:rsidRPr="00D43DD8">
        <w:rPr>
          <w:sz w:val="24"/>
          <w:szCs w:val="24"/>
        </w:rPr>
        <w:t>totalclearance</w:t>
      </w:r>
      <w:proofErr w:type="spellEnd"/>
      <w:r w:rsidRPr="00D43DD8">
        <w:rPr>
          <w:sz w:val="24"/>
          <w:szCs w:val="24"/>
        </w:rPr>
        <w:t xml:space="preserve"> ikke udelukkende forklares ved det tilsyneladende mindre distributionsvolumen hos børn sammenlignet med voksne.</w:t>
      </w:r>
    </w:p>
    <w:p w:rsidR="001A148E" w:rsidRPr="00D43DD8"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5.3</w:t>
      </w:r>
      <w:r w:rsidRPr="00C84483">
        <w:rPr>
          <w:b/>
          <w:sz w:val="24"/>
          <w:szCs w:val="24"/>
        </w:rPr>
        <w:tab/>
      </w:r>
      <w:r w:rsidR="00D35789">
        <w:rPr>
          <w:b/>
          <w:sz w:val="24"/>
          <w:szCs w:val="24"/>
        </w:rPr>
        <w:t>Non-</w:t>
      </w:r>
      <w:r w:rsidRPr="00C84483">
        <w:rPr>
          <w:b/>
          <w:sz w:val="24"/>
          <w:szCs w:val="24"/>
        </w:rPr>
        <w:t>kliniske sikkerhedsdata</w:t>
      </w:r>
    </w:p>
    <w:p w:rsidR="001A148E" w:rsidRPr="0090644D" w:rsidRDefault="001A148E" w:rsidP="001A148E">
      <w:pPr>
        <w:tabs>
          <w:tab w:val="left" w:pos="851"/>
        </w:tabs>
        <w:ind w:left="851"/>
        <w:rPr>
          <w:sz w:val="24"/>
          <w:szCs w:val="24"/>
        </w:rPr>
      </w:pPr>
      <w:r w:rsidRPr="0090644D">
        <w:rPr>
          <w:sz w:val="24"/>
          <w:szCs w:val="24"/>
        </w:rPr>
        <w:t xml:space="preserve">LD50 (middelværdier) af intravenøs </w:t>
      </w:r>
      <w:proofErr w:type="spellStart"/>
      <w:r w:rsidRPr="0090644D">
        <w:rPr>
          <w:sz w:val="24"/>
          <w:szCs w:val="24"/>
        </w:rPr>
        <w:t>idarubicin</w:t>
      </w:r>
      <w:proofErr w:type="spellEnd"/>
      <w:r w:rsidRPr="0090644D">
        <w:rPr>
          <w:sz w:val="24"/>
          <w:szCs w:val="24"/>
        </w:rPr>
        <w:t xml:space="preserve"> var 4,4 mg/kg hos mus, 2,9 mg/kg hos rotter og ca. 1,0 mg/kg hos hunde. Efter en enkelt intravenøs administration var det væsentlige målorgan blod- og lymfesystemet og i hundenes tilfælde også det </w:t>
      </w:r>
      <w:proofErr w:type="spellStart"/>
      <w:r w:rsidRPr="0090644D">
        <w:rPr>
          <w:sz w:val="24"/>
          <w:szCs w:val="24"/>
        </w:rPr>
        <w:t>gastrointestinale</w:t>
      </w:r>
      <w:proofErr w:type="spellEnd"/>
      <w:r w:rsidRPr="0090644D">
        <w:rPr>
          <w:sz w:val="24"/>
          <w:szCs w:val="24"/>
        </w:rPr>
        <w:t xml:space="preserve"> system. De toksiske effekter hos rotter og hunde er blevet undersøgt efter gentagen intravenøs administration af </w:t>
      </w:r>
      <w:proofErr w:type="spellStart"/>
      <w:r w:rsidRPr="0090644D">
        <w:rPr>
          <w:sz w:val="24"/>
          <w:szCs w:val="24"/>
        </w:rPr>
        <w:t>idarubicin</w:t>
      </w:r>
      <w:proofErr w:type="spellEnd"/>
      <w:r w:rsidRPr="0090644D">
        <w:rPr>
          <w:sz w:val="24"/>
          <w:szCs w:val="24"/>
        </w:rPr>
        <w:t xml:space="preserve">. Målorganerne for intravenøs </w:t>
      </w:r>
      <w:proofErr w:type="spellStart"/>
      <w:r w:rsidRPr="0090644D">
        <w:rPr>
          <w:sz w:val="24"/>
          <w:szCs w:val="24"/>
        </w:rPr>
        <w:t>idarubicin</w:t>
      </w:r>
      <w:proofErr w:type="spellEnd"/>
      <w:r w:rsidRPr="0090644D">
        <w:rPr>
          <w:sz w:val="24"/>
          <w:szCs w:val="24"/>
        </w:rPr>
        <w:t xml:space="preserve"> hos de ovennævnte dyrearter var blod- og lymfesystem, mavetarmkanalen, nyrer, lever og kvindelige og mandlige kønsorganer.</w:t>
      </w:r>
    </w:p>
    <w:p w:rsidR="001A148E" w:rsidRPr="0090644D" w:rsidRDefault="001A148E" w:rsidP="001A148E">
      <w:pPr>
        <w:tabs>
          <w:tab w:val="left" w:pos="851"/>
        </w:tabs>
        <w:ind w:left="851"/>
        <w:rPr>
          <w:sz w:val="24"/>
          <w:szCs w:val="24"/>
        </w:rPr>
      </w:pPr>
    </w:p>
    <w:p w:rsidR="001A148E" w:rsidRPr="0090644D" w:rsidRDefault="001A148E" w:rsidP="001A148E">
      <w:pPr>
        <w:tabs>
          <w:tab w:val="left" w:pos="851"/>
        </w:tabs>
        <w:ind w:left="851"/>
        <w:rPr>
          <w:sz w:val="24"/>
          <w:szCs w:val="24"/>
        </w:rPr>
      </w:pPr>
      <w:r w:rsidRPr="0090644D">
        <w:rPr>
          <w:sz w:val="24"/>
          <w:szCs w:val="24"/>
        </w:rPr>
        <w:t xml:space="preserve">I relation til hjertet, viser </w:t>
      </w:r>
      <w:proofErr w:type="spellStart"/>
      <w:r w:rsidRPr="0090644D">
        <w:rPr>
          <w:sz w:val="24"/>
          <w:szCs w:val="24"/>
        </w:rPr>
        <w:t>kardiotoksicitets</w:t>
      </w:r>
      <w:proofErr w:type="spellEnd"/>
      <w:r w:rsidRPr="0090644D">
        <w:rPr>
          <w:sz w:val="24"/>
          <w:szCs w:val="24"/>
        </w:rPr>
        <w:t xml:space="preserve">- og </w:t>
      </w:r>
      <w:proofErr w:type="spellStart"/>
      <w:r w:rsidRPr="0090644D">
        <w:rPr>
          <w:sz w:val="24"/>
          <w:szCs w:val="24"/>
        </w:rPr>
        <w:t>subakutte</w:t>
      </w:r>
      <w:proofErr w:type="spellEnd"/>
      <w:r w:rsidRPr="0090644D">
        <w:rPr>
          <w:sz w:val="24"/>
          <w:szCs w:val="24"/>
        </w:rPr>
        <w:t xml:space="preserve"> undersøgelser, at intravenøs </w:t>
      </w:r>
      <w:proofErr w:type="spellStart"/>
      <w:r w:rsidRPr="0090644D">
        <w:rPr>
          <w:sz w:val="24"/>
          <w:szCs w:val="24"/>
        </w:rPr>
        <w:t>idarubicin</w:t>
      </w:r>
      <w:proofErr w:type="spellEnd"/>
      <w:r w:rsidRPr="0090644D">
        <w:rPr>
          <w:sz w:val="24"/>
          <w:szCs w:val="24"/>
        </w:rPr>
        <w:t xml:space="preserve"> kun var mildt til moderat </w:t>
      </w:r>
      <w:proofErr w:type="spellStart"/>
      <w:r w:rsidRPr="0090644D">
        <w:rPr>
          <w:sz w:val="24"/>
          <w:szCs w:val="24"/>
        </w:rPr>
        <w:t>kardiotoksisk</w:t>
      </w:r>
      <w:proofErr w:type="spellEnd"/>
      <w:r w:rsidRPr="0090644D">
        <w:rPr>
          <w:sz w:val="24"/>
          <w:szCs w:val="24"/>
        </w:rPr>
        <w:t xml:space="preserve"> i dødelige doser, hvorimod </w:t>
      </w:r>
      <w:proofErr w:type="spellStart"/>
      <w:r w:rsidRPr="0090644D">
        <w:rPr>
          <w:sz w:val="24"/>
          <w:szCs w:val="24"/>
        </w:rPr>
        <w:t>doxorubicin</w:t>
      </w:r>
      <w:proofErr w:type="spellEnd"/>
      <w:r w:rsidRPr="0090644D">
        <w:rPr>
          <w:sz w:val="24"/>
          <w:szCs w:val="24"/>
        </w:rPr>
        <w:t xml:space="preserve"> og </w:t>
      </w:r>
      <w:proofErr w:type="spellStart"/>
      <w:r w:rsidRPr="0090644D">
        <w:rPr>
          <w:sz w:val="24"/>
          <w:szCs w:val="24"/>
        </w:rPr>
        <w:t>daunorubicin</w:t>
      </w:r>
      <w:proofErr w:type="spellEnd"/>
      <w:r w:rsidRPr="0090644D">
        <w:rPr>
          <w:sz w:val="24"/>
          <w:szCs w:val="24"/>
        </w:rPr>
        <w:t xml:space="preserve"> forårsager udpræget </w:t>
      </w:r>
      <w:proofErr w:type="spellStart"/>
      <w:r w:rsidRPr="0090644D">
        <w:rPr>
          <w:sz w:val="24"/>
          <w:szCs w:val="24"/>
        </w:rPr>
        <w:t>myokardiel</w:t>
      </w:r>
      <w:proofErr w:type="spellEnd"/>
      <w:r w:rsidRPr="0090644D">
        <w:rPr>
          <w:sz w:val="24"/>
          <w:szCs w:val="24"/>
        </w:rPr>
        <w:t xml:space="preserve"> svækkelse selv i ikke-dødelige doser.</w:t>
      </w:r>
    </w:p>
    <w:p w:rsidR="001A148E" w:rsidRPr="0090644D" w:rsidRDefault="001A148E" w:rsidP="001A148E">
      <w:pPr>
        <w:tabs>
          <w:tab w:val="left" w:pos="851"/>
        </w:tabs>
        <w:ind w:left="851"/>
        <w:rPr>
          <w:sz w:val="24"/>
          <w:szCs w:val="24"/>
        </w:rPr>
      </w:pPr>
    </w:p>
    <w:p w:rsidR="001A148E" w:rsidRPr="00C84483" w:rsidRDefault="001A148E" w:rsidP="001A148E">
      <w:pPr>
        <w:tabs>
          <w:tab w:val="left" w:pos="851"/>
        </w:tabs>
        <w:ind w:left="851"/>
        <w:rPr>
          <w:sz w:val="24"/>
          <w:szCs w:val="24"/>
        </w:rPr>
      </w:pPr>
      <w:proofErr w:type="spellStart"/>
      <w:r w:rsidRPr="0090644D">
        <w:rPr>
          <w:sz w:val="24"/>
          <w:szCs w:val="24"/>
        </w:rPr>
        <w:t>Idarubicin</w:t>
      </w:r>
      <w:proofErr w:type="spellEnd"/>
      <w:r w:rsidRPr="0090644D">
        <w:rPr>
          <w:sz w:val="24"/>
          <w:szCs w:val="24"/>
        </w:rPr>
        <w:t xml:space="preserve"> var genotoksisk i de fleste af </w:t>
      </w:r>
      <w:r w:rsidRPr="0090644D">
        <w:rPr>
          <w:i/>
          <w:sz w:val="24"/>
          <w:szCs w:val="24"/>
        </w:rPr>
        <w:t xml:space="preserve">in </w:t>
      </w:r>
      <w:proofErr w:type="spellStart"/>
      <w:r w:rsidRPr="0090644D">
        <w:rPr>
          <w:i/>
          <w:sz w:val="24"/>
          <w:szCs w:val="24"/>
        </w:rPr>
        <w:t>vitro</w:t>
      </w:r>
      <w:proofErr w:type="spellEnd"/>
      <w:r w:rsidRPr="0090644D">
        <w:rPr>
          <w:sz w:val="24"/>
          <w:szCs w:val="24"/>
        </w:rPr>
        <w:t xml:space="preserve"> eller </w:t>
      </w:r>
      <w:r w:rsidRPr="0090644D">
        <w:rPr>
          <w:i/>
          <w:sz w:val="24"/>
          <w:szCs w:val="24"/>
        </w:rPr>
        <w:t xml:space="preserve">in </w:t>
      </w:r>
      <w:proofErr w:type="spellStart"/>
      <w:r w:rsidRPr="0090644D">
        <w:rPr>
          <w:i/>
          <w:sz w:val="24"/>
          <w:szCs w:val="24"/>
        </w:rPr>
        <w:t>vivo</w:t>
      </w:r>
      <w:proofErr w:type="spellEnd"/>
      <w:r w:rsidRPr="0090644D">
        <w:rPr>
          <w:i/>
          <w:sz w:val="24"/>
          <w:szCs w:val="24"/>
        </w:rPr>
        <w:t xml:space="preserve"> </w:t>
      </w:r>
      <w:r w:rsidRPr="0090644D">
        <w:rPr>
          <w:sz w:val="24"/>
          <w:szCs w:val="24"/>
        </w:rPr>
        <w:t>undersøgelserne</w:t>
      </w:r>
      <w:r w:rsidRPr="0090644D">
        <w:rPr>
          <w:i/>
          <w:sz w:val="24"/>
          <w:szCs w:val="24"/>
        </w:rPr>
        <w:t>.</w:t>
      </w:r>
      <w:r w:rsidRPr="0090644D">
        <w:rPr>
          <w:sz w:val="24"/>
          <w:szCs w:val="24"/>
        </w:rPr>
        <w:t xml:space="preserve"> Intravenøs </w:t>
      </w:r>
      <w:proofErr w:type="spellStart"/>
      <w:r w:rsidRPr="0090644D">
        <w:rPr>
          <w:sz w:val="24"/>
          <w:szCs w:val="24"/>
        </w:rPr>
        <w:t>idarubicin</w:t>
      </w:r>
      <w:proofErr w:type="spellEnd"/>
      <w:r w:rsidRPr="0090644D">
        <w:rPr>
          <w:sz w:val="24"/>
          <w:szCs w:val="24"/>
        </w:rPr>
        <w:t xml:space="preserve"> var toksisk for de reproduktive organer og embryotoksisk og </w:t>
      </w:r>
      <w:proofErr w:type="spellStart"/>
      <w:r w:rsidRPr="0090644D">
        <w:rPr>
          <w:sz w:val="24"/>
          <w:szCs w:val="24"/>
        </w:rPr>
        <w:t>teratogent</w:t>
      </w:r>
      <w:proofErr w:type="spellEnd"/>
      <w:r w:rsidRPr="0090644D">
        <w:rPr>
          <w:sz w:val="24"/>
          <w:szCs w:val="24"/>
        </w:rPr>
        <w:t xml:space="preserve"> hos rotter. Der blev ikke påvist nogen bemærkelsesværdige effekter hos hverken mødre eller afkom af rotter, der blev tildelt doser på op til 0,2 mg/kg/dag i de </w:t>
      </w:r>
      <w:proofErr w:type="spellStart"/>
      <w:r w:rsidRPr="0090644D">
        <w:rPr>
          <w:sz w:val="24"/>
          <w:szCs w:val="24"/>
        </w:rPr>
        <w:t>perinatale</w:t>
      </w:r>
      <w:proofErr w:type="spellEnd"/>
      <w:r w:rsidRPr="0090644D">
        <w:rPr>
          <w:sz w:val="24"/>
          <w:szCs w:val="24"/>
        </w:rPr>
        <w:t xml:space="preserve"> og </w:t>
      </w:r>
      <w:proofErr w:type="spellStart"/>
      <w:r w:rsidRPr="0090644D">
        <w:rPr>
          <w:sz w:val="24"/>
          <w:szCs w:val="24"/>
        </w:rPr>
        <w:t>postnatale</w:t>
      </w:r>
      <w:proofErr w:type="spellEnd"/>
      <w:r w:rsidRPr="0090644D">
        <w:rPr>
          <w:sz w:val="24"/>
          <w:szCs w:val="24"/>
        </w:rPr>
        <w:t xml:space="preserve"> perioder. Det vides ikke, om stoffet udskilles i human modermælk. Ligesom med andre </w:t>
      </w:r>
      <w:proofErr w:type="spellStart"/>
      <w:r w:rsidRPr="0090644D">
        <w:rPr>
          <w:sz w:val="24"/>
          <w:szCs w:val="24"/>
        </w:rPr>
        <w:t>antracykliner</w:t>
      </w:r>
      <w:proofErr w:type="spellEnd"/>
      <w:r w:rsidRPr="0090644D">
        <w:rPr>
          <w:sz w:val="24"/>
          <w:szCs w:val="24"/>
        </w:rPr>
        <w:t xml:space="preserve"> og </w:t>
      </w:r>
      <w:proofErr w:type="spellStart"/>
      <w:r w:rsidRPr="0090644D">
        <w:rPr>
          <w:sz w:val="24"/>
          <w:szCs w:val="24"/>
        </w:rPr>
        <w:t>cytostatika</w:t>
      </w:r>
      <w:proofErr w:type="spellEnd"/>
      <w:r w:rsidRPr="0090644D">
        <w:rPr>
          <w:sz w:val="24"/>
          <w:szCs w:val="24"/>
        </w:rPr>
        <w:t xml:space="preserve"> er intravenøs </w:t>
      </w:r>
      <w:proofErr w:type="spellStart"/>
      <w:r w:rsidRPr="0090644D">
        <w:rPr>
          <w:sz w:val="24"/>
          <w:szCs w:val="24"/>
        </w:rPr>
        <w:t>idarubicin</w:t>
      </w:r>
      <w:proofErr w:type="spellEnd"/>
      <w:r w:rsidRPr="0090644D">
        <w:rPr>
          <w:sz w:val="24"/>
          <w:szCs w:val="24"/>
        </w:rPr>
        <w:t xml:space="preserve"> kræftfremkaldende hos rotter. I et tolerancestudie hos hunde blev hudnekrose som følge af </w:t>
      </w:r>
      <w:proofErr w:type="spellStart"/>
      <w:r w:rsidRPr="0090644D">
        <w:rPr>
          <w:sz w:val="24"/>
          <w:szCs w:val="24"/>
        </w:rPr>
        <w:t>ekstravasation</w:t>
      </w:r>
      <w:proofErr w:type="spellEnd"/>
      <w:r w:rsidRPr="0090644D">
        <w:rPr>
          <w:sz w:val="24"/>
          <w:szCs w:val="24"/>
        </w:rPr>
        <w:t xml:space="preserve"> observeret</w:t>
      </w:r>
      <w:r>
        <w:rPr>
          <w:sz w:val="24"/>
          <w:szCs w:val="24"/>
        </w:rPr>
        <w:t>.</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A148E" w:rsidRPr="00BA09F1"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6.1</w:t>
      </w:r>
      <w:r w:rsidRPr="00C84483">
        <w:rPr>
          <w:b/>
          <w:sz w:val="24"/>
          <w:szCs w:val="24"/>
        </w:rPr>
        <w:tab/>
        <w:t>Hjælpestoffer</w:t>
      </w:r>
    </w:p>
    <w:p w:rsidR="001A148E" w:rsidRPr="0090644D" w:rsidRDefault="001A148E" w:rsidP="001A148E">
      <w:pPr>
        <w:tabs>
          <w:tab w:val="left" w:pos="851"/>
        </w:tabs>
        <w:ind w:left="851"/>
        <w:rPr>
          <w:bCs/>
          <w:sz w:val="24"/>
          <w:szCs w:val="24"/>
        </w:rPr>
      </w:pPr>
      <w:r w:rsidRPr="0090644D">
        <w:rPr>
          <w:bCs/>
          <w:sz w:val="24"/>
          <w:szCs w:val="24"/>
        </w:rPr>
        <w:t>Glycerol</w:t>
      </w:r>
    </w:p>
    <w:p w:rsidR="001A148E" w:rsidRPr="0090644D" w:rsidRDefault="001A148E" w:rsidP="001A148E">
      <w:pPr>
        <w:tabs>
          <w:tab w:val="left" w:pos="851"/>
        </w:tabs>
        <w:ind w:left="851"/>
        <w:rPr>
          <w:bCs/>
          <w:sz w:val="24"/>
          <w:szCs w:val="24"/>
        </w:rPr>
      </w:pPr>
      <w:r w:rsidRPr="0090644D">
        <w:rPr>
          <w:bCs/>
          <w:sz w:val="24"/>
          <w:szCs w:val="24"/>
        </w:rPr>
        <w:t>Saltsyre, koncentreret</w:t>
      </w:r>
    </w:p>
    <w:p w:rsidR="001A148E" w:rsidRPr="0090644D" w:rsidRDefault="001A148E" w:rsidP="001A148E">
      <w:pPr>
        <w:tabs>
          <w:tab w:val="left" w:pos="851"/>
        </w:tabs>
        <w:ind w:left="851"/>
        <w:rPr>
          <w:bCs/>
          <w:sz w:val="24"/>
          <w:szCs w:val="24"/>
        </w:rPr>
      </w:pPr>
      <w:r w:rsidRPr="0090644D">
        <w:rPr>
          <w:bCs/>
          <w:sz w:val="24"/>
          <w:szCs w:val="24"/>
        </w:rPr>
        <w:t>Natriumhydroxid (til justering af pH)</w:t>
      </w:r>
    </w:p>
    <w:p w:rsidR="001A148E" w:rsidRDefault="001A148E" w:rsidP="001A148E">
      <w:pPr>
        <w:tabs>
          <w:tab w:val="left" w:pos="851"/>
        </w:tabs>
        <w:ind w:left="851"/>
        <w:rPr>
          <w:bCs/>
          <w:sz w:val="24"/>
          <w:szCs w:val="24"/>
        </w:rPr>
      </w:pPr>
      <w:r w:rsidRPr="0090644D">
        <w:rPr>
          <w:bCs/>
          <w:sz w:val="24"/>
          <w:szCs w:val="24"/>
        </w:rPr>
        <w:t>Vand til injektionsvæsker</w:t>
      </w:r>
    </w:p>
    <w:p w:rsidR="001A148E" w:rsidRPr="0090644D" w:rsidRDefault="001A148E" w:rsidP="001A148E">
      <w:pPr>
        <w:tabs>
          <w:tab w:val="left" w:pos="851"/>
        </w:tabs>
        <w:ind w:left="851"/>
        <w:rPr>
          <w:bCs/>
          <w:sz w:val="24"/>
          <w:szCs w:val="24"/>
        </w:rPr>
      </w:pPr>
    </w:p>
    <w:p w:rsidR="001A148E" w:rsidRPr="00C84483" w:rsidRDefault="001A148E" w:rsidP="001A148E">
      <w:pPr>
        <w:tabs>
          <w:tab w:val="left" w:pos="851"/>
        </w:tabs>
        <w:ind w:left="851" w:hanging="851"/>
        <w:rPr>
          <w:b/>
          <w:sz w:val="24"/>
          <w:szCs w:val="24"/>
        </w:rPr>
      </w:pPr>
      <w:r w:rsidRPr="00C84483">
        <w:rPr>
          <w:b/>
          <w:sz w:val="24"/>
          <w:szCs w:val="24"/>
        </w:rPr>
        <w:t>6.2</w:t>
      </w:r>
      <w:r w:rsidRPr="00C84483">
        <w:rPr>
          <w:b/>
          <w:sz w:val="24"/>
          <w:szCs w:val="24"/>
        </w:rPr>
        <w:tab/>
        <w:t>Uforligeligheder</w:t>
      </w:r>
    </w:p>
    <w:p w:rsidR="001A148E" w:rsidRPr="000C7BAB" w:rsidRDefault="001A148E" w:rsidP="001A148E">
      <w:pPr>
        <w:tabs>
          <w:tab w:val="left" w:pos="851"/>
        </w:tabs>
        <w:ind w:left="851"/>
        <w:rPr>
          <w:sz w:val="24"/>
          <w:szCs w:val="24"/>
        </w:rPr>
      </w:pPr>
      <w:proofErr w:type="spellStart"/>
      <w:r w:rsidRPr="000C7BAB">
        <w:rPr>
          <w:sz w:val="24"/>
          <w:szCs w:val="24"/>
        </w:rPr>
        <w:t>Idarubicin</w:t>
      </w:r>
      <w:proofErr w:type="spellEnd"/>
      <w:r w:rsidRPr="000C7BAB">
        <w:rPr>
          <w:sz w:val="24"/>
          <w:szCs w:val="24"/>
        </w:rPr>
        <w:t xml:space="preserve"> må ikke have længere tids kontakt med en alkalisk opløsning, da dette kan medføre nedbrydning af lægemidlet. </w:t>
      </w:r>
      <w:proofErr w:type="spellStart"/>
      <w:r w:rsidRPr="000C7BAB">
        <w:rPr>
          <w:sz w:val="24"/>
          <w:szCs w:val="24"/>
        </w:rPr>
        <w:t>Idarubicinhydrochlorid</w:t>
      </w:r>
      <w:proofErr w:type="spellEnd"/>
      <w:r w:rsidRPr="000C7BAB">
        <w:rPr>
          <w:sz w:val="24"/>
          <w:szCs w:val="24"/>
        </w:rPr>
        <w:t xml:space="preserve"> må ikke blandes med </w:t>
      </w:r>
      <w:proofErr w:type="spellStart"/>
      <w:r w:rsidRPr="000C7BAB">
        <w:rPr>
          <w:sz w:val="24"/>
          <w:szCs w:val="24"/>
        </w:rPr>
        <w:t>heparin</w:t>
      </w:r>
      <w:proofErr w:type="spellEnd"/>
      <w:r w:rsidRPr="000C7BAB">
        <w:rPr>
          <w:sz w:val="24"/>
          <w:szCs w:val="24"/>
        </w:rPr>
        <w:t>, da dette kan medføre udfældning. Dette lægemiddel må ikke blandes med andre lægemidler end dem, der er anført under pkt. 6.6.</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6.3</w:t>
      </w:r>
      <w:r w:rsidRPr="00C84483">
        <w:rPr>
          <w:b/>
          <w:sz w:val="24"/>
          <w:szCs w:val="24"/>
        </w:rPr>
        <w:tab/>
        <w:t>Opbevaringstid</w:t>
      </w:r>
    </w:p>
    <w:p w:rsidR="001A148E" w:rsidRDefault="00BE4F21" w:rsidP="001A148E">
      <w:pPr>
        <w:tabs>
          <w:tab w:val="left" w:pos="851"/>
        </w:tabs>
        <w:spacing w:line="240" w:lineRule="atLeast"/>
        <w:ind w:left="851"/>
        <w:rPr>
          <w:sz w:val="24"/>
          <w:szCs w:val="24"/>
        </w:rPr>
      </w:pPr>
      <w:r>
        <w:rPr>
          <w:sz w:val="24"/>
          <w:szCs w:val="24"/>
        </w:rPr>
        <w:t>3</w:t>
      </w:r>
      <w:r w:rsidR="001A148E">
        <w:rPr>
          <w:sz w:val="24"/>
          <w:szCs w:val="24"/>
        </w:rPr>
        <w:t xml:space="preserve"> år.</w:t>
      </w:r>
    </w:p>
    <w:p w:rsidR="001A148E" w:rsidRDefault="001A148E" w:rsidP="001A148E">
      <w:pPr>
        <w:tabs>
          <w:tab w:val="left" w:pos="851"/>
        </w:tabs>
        <w:spacing w:line="240" w:lineRule="atLeast"/>
        <w:ind w:left="851"/>
        <w:rPr>
          <w:sz w:val="24"/>
          <w:szCs w:val="24"/>
        </w:rPr>
      </w:pPr>
    </w:p>
    <w:p w:rsidR="001A148E" w:rsidRPr="000C7BAB" w:rsidRDefault="001A148E" w:rsidP="001A148E">
      <w:pPr>
        <w:tabs>
          <w:tab w:val="left" w:pos="851"/>
        </w:tabs>
        <w:spacing w:line="240" w:lineRule="atLeast"/>
        <w:ind w:left="851"/>
        <w:rPr>
          <w:sz w:val="24"/>
          <w:szCs w:val="24"/>
        </w:rPr>
      </w:pPr>
      <w:r w:rsidRPr="000C7BAB">
        <w:rPr>
          <w:sz w:val="24"/>
          <w:szCs w:val="24"/>
        </w:rPr>
        <w:t>Efter åbning skal indholdet anvendes med det samme.</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A148E" w:rsidRDefault="001A148E" w:rsidP="001A148E">
      <w:pPr>
        <w:tabs>
          <w:tab w:val="left" w:pos="851"/>
        </w:tabs>
        <w:ind w:left="851"/>
        <w:rPr>
          <w:sz w:val="24"/>
          <w:szCs w:val="24"/>
        </w:rPr>
      </w:pPr>
      <w:r w:rsidRPr="000C7BAB">
        <w:rPr>
          <w:sz w:val="24"/>
          <w:szCs w:val="24"/>
        </w:rPr>
        <w:t>Opbevares i</w:t>
      </w:r>
      <w:r>
        <w:rPr>
          <w:sz w:val="24"/>
          <w:szCs w:val="24"/>
        </w:rPr>
        <w:t xml:space="preserve"> køleskab (2 °C - 8 °C).</w:t>
      </w:r>
    </w:p>
    <w:p w:rsidR="001A148E" w:rsidRPr="000C7BAB" w:rsidRDefault="001A148E" w:rsidP="001A148E">
      <w:pPr>
        <w:tabs>
          <w:tab w:val="left" w:pos="851"/>
        </w:tabs>
        <w:ind w:left="851"/>
        <w:rPr>
          <w:sz w:val="24"/>
          <w:szCs w:val="24"/>
        </w:rPr>
      </w:pPr>
      <w:r w:rsidRPr="000C7BAB">
        <w:rPr>
          <w:sz w:val="24"/>
          <w:szCs w:val="24"/>
        </w:rPr>
        <w:t>Opbevares i den originale emballage for at beskytte mod lys.</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A148E" w:rsidRDefault="001A148E" w:rsidP="001A148E">
      <w:pPr>
        <w:tabs>
          <w:tab w:val="left" w:pos="851"/>
        </w:tabs>
        <w:ind w:left="851"/>
        <w:rPr>
          <w:sz w:val="24"/>
          <w:szCs w:val="24"/>
        </w:rPr>
      </w:pPr>
      <w:proofErr w:type="gramStart"/>
      <w:r w:rsidRPr="002933FE">
        <w:rPr>
          <w:sz w:val="24"/>
          <w:szCs w:val="24"/>
        </w:rPr>
        <w:t>Farveløst type</w:t>
      </w:r>
      <w:proofErr w:type="gramEnd"/>
      <w:r w:rsidRPr="002933FE">
        <w:rPr>
          <w:sz w:val="24"/>
          <w:szCs w:val="24"/>
        </w:rPr>
        <w:t xml:space="preserve"> I hætteglas med </w:t>
      </w:r>
      <w:proofErr w:type="spellStart"/>
      <w:r w:rsidRPr="002933FE">
        <w:rPr>
          <w:sz w:val="24"/>
          <w:szCs w:val="24"/>
        </w:rPr>
        <w:t>chlorobutylgummiprop</w:t>
      </w:r>
      <w:proofErr w:type="spellEnd"/>
      <w:r w:rsidRPr="002933FE">
        <w:rPr>
          <w:sz w:val="24"/>
          <w:szCs w:val="24"/>
        </w:rPr>
        <w:t>, forseglet med en aluminiumshætte med en orange flip-</w:t>
      </w:r>
      <w:proofErr w:type="spellStart"/>
      <w:r w:rsidRPr="002933FE">
        <w:rPr>
          <w:sz w:val="24"/>
          <w:szCs w:val="24"/>
        </w:rPr>
        <w:t>off</w:t>
      </w:r>
      <w:proofErr w:type="spellEnd"/>
      <w:r w:rsidRPr="002933FE">
        <w:rPr>
          <w:sz w:val="24"/>
          <w:szCs w:val="24"/>
        </w:rPr>
        <w:t xml:space="preserve"> hætte i plastik.</w:t>
      </w:r>
    </w:p>
    <w:p w:rsidR="001A148E" w:rsidRDefault="001A148E" w:rsidP="001A148E">
      <w:pPr>
        <w:tabs>
          <w:tab w:val="left" w:pos="851"/>
        </w:tabs>
        <w:ind w:left="851"/>
        <w:rPr>
          <w:sz w:val="24"/>
          <w:szCs w:val="24"/>
        </w:rPr>
      </w:pPr>
    </w:p>
    <w:p w:rsidR="001A148E" w:rsidRPr="002933FE" w:rsidRDefault="001A148E" w:rsidP="001A148E">
      <w:pPr>
        <w:tabs>
          <w:tab w:val="left" w:pos="851"/>
        </w:tabs>
        <w:ind w:left="851"/>
        <w:rPr>
          <w:b/>
          <w:bCs/>
          <w:sz w:val="24"/>
          <w:szCs w:val="24"/>
          <w:u w:val="single"/>
        </w:rPr>
      </w:pPr>
      <w:r w:rsidRPr="002933FE">
        <w:rPr>
          <w:sz w:val="24"/>
          <w:szCs w:val="24"/>
          <w:u w:val="single"/>
        </w:rPr>
        <w:t>Pakningsstørrelser</w:t>
      </w:r>
    </w:p>
    <w:p w:rsidR="001A148E" w:rsidRPr="002933FE" w:rsidRDefault="001A148E" w:rsidP="001A148E">
      <w:pPr>
        <w:tabs>
          <w:tab w:val="left" w:pos="851"/>
        </w:tabs>
        <w:ind w:left="851"/>
        <w:rPr>
          <w:sz w:val="24"/>
          <w:szCs w:val="24"/>
        </w:rPr>
      </w:pPr>
      <w:r w:rsidRPr="002933FE">
        <w:rPr>
          <w:sz w:val="24"/>
          <w:szCs w:val="24"/>
        </w:rPr>
        <w:t>1 hætteglas med 5 ml injektionsvæske, opløsning.</w:t>
      </w:r>
    </w:p>
    <w:p w:rsidR="001A148E" w:rsidRPr="002933FE" w:rsidRDefault="001A148E" w:rsidP="001A148E">
      <w:pPr>
        <w:tabs>
          <w:tab w:val="left" w:pos="851"/>
        </w:tabs>
        <w:ind w:left="851"/>
        <w:rPr>
          <w:sz w:val="24"/>
          <w:szCs w:val="24"/>
        </w:rPr>
      </w:pPr>
      <w:r w:rsidRPr="002933FE">
        <w:rPr>
          <w:sz w:val="24"/>
          <w:szCs w:val="24"/>
        </w:rPr>
        <w:t>1 hætteglas med 10 ml injektionsvæske, opløsning.</w:t>
      </w:r>
    </w:p>
    <w:p w:rsidR="001A148E" w:rsidRPr="002933FE" w:rsidRDefault="001A148E" w:rsidP="001A148E">
      <w:pPr>
        <w:tabs>
          <w:tab w:val="left" w:pos="851"/>
        </w:tabs>
        <w:ind w:left="851"/>
        <w:rPr>
          <w:sz w:val="24"/>
          <w:szCs w:val="24"/>
        </w:rPr>
      </w:pPr>
      <w:r w:rsidRPr="002933FE">
        <w:rPr>
          <w:sz w:val="24"/>
          <w:szCs w:val="24"/>
        </w:rPr>
        <w:t>1 hætteglas med 20 ml injektionsvæske, opløsning.</w:t>
      </w:r>
    </w:p>
    <w:p w:rsidR="001A148E" w:rsidRPr="002933FE" w:rsidRDefault="001A148E" w:rsidP="001A148E">
      <w:pPr>
        <w:tabs>
          <w:tab w:val="left" w:pos="851"/>
        </w:tabs>
        <w:ind w:left="851"/>
        <w:rPr>
          <w:sz w:val="24"/>
          <w:szCs w:val="24"/>
        </w:rPr>
      </w:pPr>
    </w:p>
    <w:p w:rsidR="001A148E" w:rsidRPr="002933FE" w:rsidRDefault="001A148E" w:rsidP="001A148E">
      <w:pPr>
        <w:tabs>
          <w:tab w:val="left" w:pos="851"/>
        </w:tabs>
        <w:ind w:left="851"/>
        <w:rPr>
          <w:sz w:val="24"/>
          <w:szCs w:val="24"/>
        </w:rPr>
      </w:pPr>
      <w:r w:rsidRPr="002933FE">
        <w:rPr>
          <w:sz w:val="24"/>
          <w:szCs w:val="24"/>
        </w:rPr>
        <w:t>Ikke alle pakningsstørrelser er nødvendigvis markedsført.</w:t>
      </w:r>
    </w:p>
    <w:p w:rsidR="001A148E" w:rsidRPr="002933FE"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35789">
        <w:rPr>
          <w:b/>
          <w:sz w:val="24"/>
          <w:szCs w:val="24"/>
        </w:rPr>
        <w:t>bortskaffelse</w:t>
      </w:r>
      <w:r w:rsidRPr="00C84483">
        <w:rPr>
          <w:b/>
          <w:sz w:val="24"/>
          <w:szCs w:val="24"/>
        </w:rPr>
        <w:t xml:space="preserve"> og anden håndtering</w:t>
      </w:r>
    </w:p>
    <w:p w:rsidR="001A148E" w:rsidRPr="00422D3F" w:rsidRDefault="001A148E" w:rsidP="001A148E">
      <w:pPr>
        <w:ind w:left="851"/>
        <w:rPr>
          <w:sz w:val="24"/>
          <w:szCs w:val="24"/>
        </w:rPr>
      </w:pPr>
      <w:proofErr w:type="spellStart"/>
      <w:r>
        <w:rPr>
          <w:sz w:val="24"/>
          <w:szCs w:val="24"/>
        </w:rPr>
        <w:t>Idarubicinhydrochlorid</w:t>
      </w:r>
      <w:proofErr w:type="spellEnd"/>
      <w:r>
        <w:rPr>
          <w:sz w:val="24"/>
          <w:szCs w:val="24"/>
        </w:rPr>
        <w:t xml:space="preserve"> "</w:t>
      </w:r>
      <w:proofErr w:type="spellStart"/>
      <w:r>
        <w:rPr>
          <w:sz w:val="24"/>
          <w:szCs w:val="24"/>
        </w:rPr>
        <w:t>Accord</w:t>
      </w:r>
      <w:proofErr w:type="spellEnd"/>
      <w:r>
        <w:rPr>
          <w:sz w:val="24"/>
          <w:szCs w:val="24"/>
        </w:rPr>
        <w:t>"</w:t>
      </w:r>
      <w:r w:rsidRPr="00422D3F">
        <w:rPr>
          <w:sz w:val="24"/>
          <w:szCs w:val="24"/>
        </w:rPr>
        <w:t xml:space="preserve"> opløsning må kun indgives intravenøst ​​via en infusionsslange med en </w:t>
      </w:r>
      <w:proofErr w:type="spellStart"/>
      <w:r w:rsidRPr="00422D3F">
        <w:rPr>
          <w:sz w:val="24"/>
          <w:szCs w:val="24"/>
        </w:rPr>
        <w:t>fritløbende</w:t>
      </w:r>
      <w:proofErr w:type="spellEnd"/>
      <w:r w:rsidRPr="00422D3F">
        <w:rPr>
          <w:sz w:val="24"/>
          <w:szCs w:val="24"/>
        </w:rPr>
        <w:t xml:space="preserve"> intravenøs infusion af 0,9 % </w:t>
      </w:r>
      <w:proofErr w:type="spellStart"/>
      <w:r w:rsidRPr="00422D3F">
        <w:rPr>
          <w:sz w:val="24"/>
          <w:szCs w:val="24"/>
        </w:rPr>
        <w:t>natriumchlorid</w:t>
      </w:r>
      <w:proofErr w:type="spellEnd"/>
      <w:r w:rsidRPr="00422D3F">
        <w:rPr>
          <w:sz w:val="24"/>
          <w:szCs w:val="24"/>
        </w:rPr>
        <w:t xml:space="preserve"> over en periode på 5 til 10 minutter.</w:t>
      </w:r>
    </w:p>
    <w:p w:rsidR="001A148E" w:rsidRPr="00422D3F" w:rsidRDefault="001A148E" w:rsidP="001A148E">
      <w:pPr>
        <w:ind w:left="851"/>
        <w:rPr>
          <w:sz w:val="24"/>
          <w:szCs w:val="24"/>
        </w:rPr>
      </w:pPr>
      <w:r w:rsidRPr="00422D3F">
        <w:rPr>
          <w:sz w:val="24"/>
          <w:szCs w:val="24"/>
        </w:rPr>
        <w:t xml:space="preserve">Denne fremgangsmåde mindsker risikoen for </w:t>
      </w:r>
      <w:proofErr w:type="spellStart"/>
      <w:r w:rsidRPr="00422D3F">
        <w:rPr>
          <w:sz w:val="24"/>
          <w:szCs w:val="24"/>
        </w:rPr>
        <w:t>tromboflebitis</w:t>
      </w:r>
      <w:proofErr w:type="spellEnd"/>
      <w:r w:rsidRPr="00422D3F">
        <w:rPr>
          <w:sz w:val="24"/>
          <w:szCs w:val="24"/>
        </w:rPr>
        <w:t xml:space="preserve"> og perivenøs </w:t>
      </w:r>
      <w:proofErr w:type="spellStart"/>
      <w:r w:rsidRPr="00422D3F">
        <w:rPr>
          <w:sz w:val="24"/>
          <w:szCs w:val="24"/>
        </w:rPr>
        <w:t>ekstravasation</w:t>
      </w:r>
      <w:proofErr w:type="spellEnd"/>
      <w:r w:rsidRPr="00422D3F">
        <w:rPr>
          <w:sz w:val="24"/>
          <w:szCs w:val="24"/>
        </w:rPr>
        <w:t xml:space="preserve">, som kan føre til alvorlig lokal cellulitis og nekrose. </w:t>
      </w:r>
      <w:proofErr w:type="spellStart"/>
      <w:r w:rsidRPr="00422D3F">
        <w:rPr>
          <w:sz w:val="24"/>
          <w:szCs w:val="24"/>
        </w:rPr>
        <w:t>Phlebosclerosis</w:t>
      </w:r>
      <w:proofErr w:type="spellEnd"/>
      <w:r w:rsidRPr="00422D3F">
        <w:rPr>
          <w:sz w:val="24"/>
          <w:szCs w:val="24"/>
        </w:rPr>
        <w:t xml:space="preserve"> kan skyldes injektion i små vener eller gentagne injektioner i samme vene.</w:t>
      </w:r>
    </w:p>
    <w:p w:rsidR="001A148E" w:rsidRPr="00422D3F" w:rsidRDefault="001A148E" w:rsidP="001A148E">
      <w:pPr>
        <w:ind w:left="851"/>
        <w:rPr>
          <w:sz w:val="24"/>
          <w:szCs w:val="24"/>
        </w:rPr>
      </w:pPr>
    </w:p>
    <w:p w:rsidR="001A148E" w:rsidRPr="00422D3F" w:rsidRDefault="001A148E" w:rsidP="001A148E">
      <w:pPr>
        <w:ind w:left="851"/>
        <w:rPr>
          <w:sz w:val="24"/>
          <w:szCs w:val="24"/>
        </w:rPr>
      </w:pPr>
      <w:r w:rsidRPr="00422D3F">
        <w:rPr>
          <w:sz w:val="24"/>
          <w:szCs w:val="24"/>
        </w:rPr>
        <w:t>De følgende forsigtighedsregler er fastlagt pga. det aktive stofs toksicitet.</w:t>
      </w:r>
    </w:p>
    <w:p w:rsidR="001A148E" w:rsidRPr="002933FE" w:rsidRDefault="001A148E" w:rsidP="001A148E">
      <w:pPr>
        <w:pStyle w:val="Listeafsnit"/>
        <w:numPr>
          <w:ilvl w:val="0"/>
          <w:numId w:val="6"/>
        </w:numPr>
        <w:ind w:left="1134" w:hanging="283"/>
        <w:rPr>
          <w:sz w:val="24"/>
          <w:szCs w:val="24"/>
        </w:rPr>
      </w:pPr>
      <w:r w:rsidRPr="002933FE">
        <w:rPr>
          <w:sz w:val="24"/>
          <w:szCs w:val="24"/>
        </w:rPr>
        <w:t xml:space="preserve">Lægemidlet må kun håndteres af personer, som er trænet i håndtering af </w:t>
      </w:r>
      <w:proofErr w:type="spellStart"/>
      <w:r w:rsidRPr="002933FE">
        <w:rPr>
          <w:sz w:val="24"/>
          <w:szCs w:val="24"/>
        </w:rPr>
        <w:t>cytostatika</w:t>
      </w:r>
      <w:proofErr w:type="spellEnd"/>
      <w:r w:rsidRPr="002933FE">
        <w:rPr>
          <w:sz w:val="24"/>
          <w:szCs w:val="24"/>
        </w:rPr>
        <w:t>.</w:t>
      </w:r>
    </w:p>
    <w:p w:rsidR="001A148E" w:rsidRPr="002933FE" w:rsidRDefault="001A148E" w:rsidP="001A148E">
      <w:pPr>
        <w:pStyle w:val="Listeafsnit"/>
        <w:numPr>
          <w:ilvl w:val="0"/>
          <w:numId w:val="6"/>
        </w:numPr>
        <w:ind w:left="1134" w:hanging="283"/>
        <w:rPr>
          <w:sz w:val="24"/>
          <w:szCs w:val="24"/>
        </w:rPr>
      </w:pPr>
      <w:r w:rsidRPr="002933FE">
        <w:rPr>
          <w:sz w:val="24"/>
          <w:szCs w:val="24"/>
        </w:rPr>
        <w:t>Gravide kvinder skal udelukkes fra at arbejde med dette lægemiddel.</w:t>
      </w:r>
    </w:p>
    <w:p w:rsidR="001A148E" w:rsidRPr="002933FE" w:rsidRDefault="001A148E" w:rsidP="001A148E">
      <w:pPr>
        <w:pStyle w:val="Listeafsnit"/>
        <w:numPr>
          <w:ilvl w:val="0"/>
          <w:numId w:val="6"/>
        </w:numPr>
        <w:ind w:left="1134" w:hanging="283"/>
        <w:rPr>
          <w:sz w:val="24"/>
          <w:szCs w:val="24"/>
        </w:rPr>
      </w:pPr>
      <w:r w:rsidRPr="002933FE">
        <w:rPr>
          <w:sz w:val="24"/>
          <w:szCs w:val="24"/>
        </w:rPr>
        <w:t>Personer, der håndterer dette lægemiddel, skal bære beskyttende beklædning: briller, overtrækstøj, engangshandsker og -masker.</w:t>
      </w:r>
    </w:p>
    <w:p w:rsidR="001A148E" w:rsidRPr="002933FE" w:rsidRDefault="001A148E" w:rsidP="001A148E">
      <w:pPr>
        <w:pStyle w:val="Listeafsnit"/>
        <w:numPr>
          <w:ilvl w:val="0"/>
          <w:numId w:val="6"/>
        </w:numPr>
        <w:ind w:left="1134" w:hanging="283"/>
        <w:rPr>
          <w:sz w:val="24"/>
          <w:szCs w:val="24"/>
        </w:rPr>
      </w:pPr>
      <w:r w:rsidRPr="002933FE">
        <w:rPr>
          <w:sz w:val="24"/>
          <w:szCs w:val="24"/>
        </w:rPr>
        <w:t xml:space="preserve">Der skal etableres et arbejdsområde med en overflade, der er beskyttet med absorberende papir, der er plastbelagt på den ene side </w:t>
      </w:r>
    </w:p>
    <w:p w:rsidR="001A148E" w:rsidRPr="002933FE" w:rsidRDefault="001A148E" w:rsidP="001A148E">
      <w:pPr>
        <w:pStyle w:val="Listeafsnit"/>
        <w:numPr>
          <w:ilvl w:val="0"/>
          <w:numId w:val="6"/>
        </w:numPr>
        <w:ind w:left="1134" w:hanging="283"/>
        <w:rPr>
          <w:sz w:val="24"/>
          <w:szCs w:val="24"/>
        </w:rPr>
      </w:pPr>
      <w:r w:rsidRPr="002933FE">
        <w:rPr>
          <w:sz w:val="24"/>
          <w:szCs w:val="24"/>
        </w:rPr>
        <w:t>Alle genstande, der anvendes til administration eller rengøring, inklusive handsker, skal lægges i en særlig beholder til højrisikoaffald beregnet til forbrænding ved høje temperaturer.</w:t>
      </w:r>
    </w:p>
    <w:p w:rsidR="001A148E" w:rsidRPr="00422D3F" w:rsidRDefault="001A148E" w:rsidP="001A148E">
      <w:pPr>
        <w:ind w:left="851"/>
        <w:rPr>
          <w:sz w:val="24"/>
          <w:szCs w:val="24"/>
        </w:rPr>
      </w:pPr>
    </w:p>
    <w:p w:rsidR="001A148E" w:rsidRPr="00422D3F" w:rsidRDefault="001A148E" w:rsidP="001A148E">
      <w:pPr>
        <w:ind w:left="851"/>
        <w:rPr>
          <w:sz w:val="24"/>
          <w:szCs w:val="24"/>
        </w:rPr>
      </w:pPr>
      <w:r w:rsidRPr="00422D3F">
        <w:rPr>
          <w:sz w:val="24"/>
          <w:szCs w:val="24"/>
        </w:rPr>
        <w:t xml:space="preserve">Spild eller lækage behandles med 1 % </w:t>
      </w:r>
      <w:proofErr w:type="spellStart"/>
      <w:r w:rsidRPr="00422D3F">
        <w:rPr>
          <w:sz w:val="24"/>
          <w:szCs w:val="24"/>
        </w:rPr>
        <w:t>natriumhypokloritopløsning</w:t>
      </w:r>
      <w:proofErr w:type="spellEnd"/>
      <w:r w:rsidRPr="00422D3F">
        <w:rPr>
          <w:sz w:val="24"/>
          <w:szCs w:val="24"/>
        </w:rPr>
        <w:t xml:space="preserve">, og derefter med vand. </w:t>
      </w:r>
    </w:p>
    <w:p w:rsidR="001A148E" w:rsidRPr="00422D3F" w:rsidRDefault="001A148E" w:rsidP="001A148E">
      <w:pPr>
        <w:ind w:left="851"/>
        <w:rPr>
          <w:sz w:val="24"/>
          <w:szCs w:val="24"/>
        </w:rPr>
      </w:pPr>
      <w:r w:rsidRPr="00422D3F">
        <w:rPr>
          <w:sz w:val="24"/>
          <w:szCs w:val="24"/>
        </w:rPr>
        <w:t>Artikler brugt til rengøring skal bortskaffes som angivet ovenfor.</w:t>
      </w:r>
    </w:p>
    <w:p w:rsidR="001A148E" w:rsidRPr="00422D3F" w:rsidRDefault="001A148E" w:rsidP="001A148E">
      <w:pPr>
        <w:ind w:left="851"/>
        <w:rPr>
          <w:sz w:val="24"/>
          <w:szCs w:val="24"/>
        </w:rPr>
      </w:pPr>
    </w:p>
    <w:p w:rsidR="001A148E" w:rsidRPr="00422D3F" w:rsidRDefault="001A148E" w:rsidP="001A148E">
      <w:pPr>
        <w:ind w:left="851"/>
        <w:rPr>
          <w:sz w:val="24"/>
          <w:szCs w:val="24"/>
        </w:rPr>
      </w:pPr>
      <w:r w:rsidRPr="00422D3F">
        <w:rPr>
          <w:sz w:val="24"/>
          <w:szCs w:val="24"/>
        </w:rPr>
        <w:t>Utilsigtet kontakt med øjne og hud skal behandles straks med skylning med rigeligt vand, sæbe og vand eller natriumbikarbonatopløsning. Det kan være nødvendigt at søge lægehjælp. Al ubrugt opløsning skal bortskaffes.</w:t>
      </w:r>
    </w:p>
    <w:p w:rsidR="001A148E" w:rsidRPr="00422D3F" w:rsidRDefault="001A148E" w:rsidP="001A148E">
      <w:pPr>
        <w:ind w:left="851"/>
        <w:rPr>
          <w:sz w:val="24"/>
          <w:szCs w:val="24"/>
        </w:rPr>
      </w:pPr>
    </w:p>
    <w:p w:rsidR="001A148E" w:rsidRPr="00422D3F" w:rsidRDefault="001A148E" w:rsidP="001A148E">
      <w:pPr>
        <w:ind w:left="851"/>
        <w:rPr>
          <w:sz w:val="24"/>
          <w:szCs w:val="24"/>
        </w:rPr>
      </w:pPr>
      <w:r w:rsidRPr="00422D3F">
        <w:rPr>
          <w:sz w:val="24"/>
          <w:szCs w:val="24"/>
        </w:rPr>
        <w:t xml:space="preserve">Ikke anvendt lægemiddel samt affald heraf og alle de materialer, der blev anvendt til </w:t>
      </w:r>
      <w:proofErr w:type="spellStart"/>
      <w:r w:rsidRPr="00422D3F">
        <w:rPr>
          <w:sz w:val="24"/>
          <w:szCs w:val="24"/>
        </w:rPr>
        <w:t>rekonstituering</w:t>
      </w:r>
      <w:proofErr w:type="spellEnd"/>
      <w:r w:rsidRPr="00422D3F">
        <w:rPr>
          <w:sz w:val="24"/>
          <w:szCs w:val="24"/>
        </w:rPr>
        <w:t xml:space="preserve">, fortynding og administration, skal bortskaffes i henhold til hospitalets procedure for </w:t>
      </w:r>
      <w:proofErr w:type="spellStart"/>
      <w:r w:rsidRPr="00422D3F">
        <w:rPr>
          <w:sz w:val="24"/>
          <w:szCs w:val="24"/>
        </w:rPr>
        <w:t>cytotoksiske</w:t>
      </w:r>
      <w:proofErr w:type="spellEnd"/>
      <w:r w:rsidRPr="00422D3F">
        <w:rPr>
          <w:sz w:val="24"/>
          <w:szCs w:val="24"/>
        </w:rPr>
        <w:t xml:space="preserve"> stoffer og i henhold til lokale retningslinjer for farligt affald.</w:t>
      </w:r>
    </w:p>
    <w:p w:rsidR="001A148E" w:rsidRPr="00C84483" w:rsidRDefault="001A148E" w:rsidP="001A148E">
      <w:pPr>
        <w:tabs>
          <w:tab w:val="left" w:pos="851"/>
        </w:tabs>
        <w:ind w:left="851"/>
        <w:jc w:val="both"/>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B13DC" w:rsidRPr="004C2288" w:rsidRDefault="00FB13DC" w:rsidP="001A148E">
      <w:pPr>
        <w:tabs>
          <w:tab w:val="left" w:pos="851"/>
        </w:tabs>
        <w:ind w:left="851"/>
        <w:rPr>
          <w:sz w:val="24"/>
          <w:szCs w:val="24"/>
        </w:rPr>
      </w:pPr>
      <w:proofErr w:type="spellStart"/>
      <w:r w:rsidRPr="004C2288">
        <w:rPr>
          <w:sz w:val="24"/>
          <w:szCs w:val="24"/>
        </w:rPr>
        <w:t>Accord</w:t>
      </w:r>
      <w:proofErr w:type="spellEnd"/>
      <w:r w:rsidRPr="004C2288">
        <w:rPr>
          <w:sz w:val="24"/>
          <w:szCs w:val="24"/>
        </w:rPr>
        <w:t xml:space="preserve"> Healthcare B.V.</w:t>
      </w:r>
    </w:p>
    <w:p w:rsidR="00FB13DC" w:rsidRPr="004C2288" w:rsidRDefault="00FB13DC" w:rsidP="001A148E">
      <w:pPr>
        <w:tabs>
          <w:tab w:val="left" w:pos="851"/>
        </w:tabs>
        <w:ind w:left="851"/>
        <w:rPr>
          <w:sz w:val="24"/>
          <w:szCs w:val="24"/>
        </w:rPr>
      </w:pPr>
      <w:proofErr w:type="spellStart"/>
      <w:r w:rsidRPr="004C2288">
        <w:rPr>
          <w:sz w:val="24"/>
          <w:szCs w:val="24"/>
        </w:rPr>
        <w:t>Winthontlaan</w:t>
      </w:r>
      <w:proofErr w:type="spellEnd"/>
      <w:r w:rsidRPr="004C2288">
        <w:rPr>
          <w:sz w:val="24"/>
          <w:szCs w:val="24"/>
        </w:rPr>
        <w:t xml:space="preserve"> 200</w:t>
      </w:r>
    </w:p>
    <w:p w:rsidR="00FB13DC" w:rsidRPr="004C2288" w:rsidRDefault="00FB13DC" w:rsidP="001A148E">
      <w:pPr>
        <w:tabs>
          <w:tab w:val="left" w:pos="851"/>
        </w:tabs>
        <w:ind w:left="851"/>
        <w:rPr>
          <w:sz w:val="24"/>
          <w:szCs w:val="24"/>
        </w:rPr>
      </w:pPr>
      <w:r w:rsidRPr="004C2288">
        <w:rPr>
          <w:sz w:val="24"/>
          <w:szCs w:val="24"/>
        </w:rPr>
        <w:t>3526 KV Utrecht</w:t>
      </w:r>
    </w:p>
    <w:p w:rsidR="001A148E" w:rsidRPr="00E533CC" w:rsidRDefault="00FB13DC" w:rsidP="001A148E">
      <w:pPr>
        <w:tabs>
          <w:tab w:val="left" w:pos="851"/>
        </w:tabs>
        <w:ind w:left="851"/>
        <w:rPr>
          <w:sz w:val="24"/>
          <w:szCs w:val="24"/>
        </w:rPr>
      </w:pPr>
      <w:r>
        <w:rPr>
          <w:sz w:val="24"/>
          <w:szCs w:val="24"/>
        </w:rPr>
        <w:t>Holland</w:t>
      </w:r>
    </w:p>
    <w:p w:rsidR="001A148E" w:rsidRPr="00E533CC"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35789">
        <w:rPr>
          <w:b/>
          <w:sz w:val="24"/>
          <w:szCs w:val="24"/>
        </w:rPr>
        <w:t>-</w:t>
      </w:r>
      <w:r w:rsidRPr="00C84483">
        <w:rPr>
          <w:b/>
          <w:sz w:val="24"/>
          <w:szCs w:val="24"/>
        </w:rPr>
        <w:t>NUMRE)</w:t>
      </w:r>
    </w:p>
    <w:p w:rsidR="001A148E" w:rsidRPr="00FB1887" w:rsidRDefault="001A148E" w:rsidP="001A148E">
      <w:pPr>
        <w:tabs>
          <w:tab w:val="left" w:pos="851"/>
          <w:tab w:val="left" w:pos="2268"/>
        </w:tabs>
        <w:spacing w:line="240" w:lineRule="atLeast"/>
        <w:ind w:left="851"/>
        <w:rPr>
          <w:sz w:val="24"/>
          <w:szCs w:val="24"/>
        </w:rPr>
      </w:pPr>
      <w:r w:rsidRPr="00FB1887">
        <w:rPr>
          <w:sz w:val="24"/>
          <w:szCs w:val="24"/>
        </w:rPr>
        <w:t>5</w:t>
      </w:r>
      <w:r>
        <w:rPr>
          <w:sz w:val="24"/>
          <w:szCs w:val="24"/>
        </w:rPr>
        <w:t xml:space="preserve"> mg/5 ml: </w:t>
      </w:r>
      <w:r>
        <w:rPr>
          <w:sz w:val="24"/>
          <w:szCs w:val="24"/>
        </w:rPr>
        <w:tab/>
        <w:t>57740</w:t>
      </w:r>
    </w:p>
    <w:p w:rsidR="001A148E" w:rsidRDefault="001A148E" w:rsidP="001A148E">
      <w:pPr>
        <w:tabs>
          <w:tab w:val="left" w:pos="851"/>
          <w:tab w:val="left" w:pos="2268"/>
        </w:tabs>
        <w:spacing w:line="240" w:lineRule="atLeast"/>
        <w:ind w:left="851"/>
        <w:rPr>
          <w:sz w:val="24"/>
          <w:szCs w:val="24"/>
        </w:rPr>
      </w:pPr>
      <w:r>
        <w:rPr>
          <w:sz w:val="24"/>
          <w:szCs w:val="24"/>
        </w:rPr>
        <w:t>10 mg/10 ml:</w:t>
      </w:r>
      <w:r>
        <w:rPr>
          <w:sz w:val="24"/>
          <w:szCs w:val="24"/>
        </w:rPr>
        <w:tab/>
        <w:t>57741</w:t>
      </w:r>
    </w:p>
    <w:p w:rsidR="001A148E" w:rsidRPr="00FB1887" w:rsidRDefault="001A148E" w:rsidP="001A148E">
      <w:pPr>
        <w:tabs>
          <w:tab w:val="left" w:pos="851"/>
          <w:tab w:val="left" w:pos="2268"/>
        </w:tabs>
        <w:spacing w:line="240" w:lineRule="atLeast"/>
        <w:ind w:left="851"/>
        <w:rPr>
          <w:sz w:val="24"/>
          <w:szCs w:val="24"/>
        </w:rPr>
      </w:pPr>
      <w:r>
        <w:rPr>
          <w:sz w:val="24"/>
          <w:szCs w:val="24"/>
        </w:rPr>
        <w:t>20 mg/20 ml:</w:t>
      </w:r>
      <w:r>
        <w:rPr>
          <w:sz w:val="24"/>
          <w:szCs w:val="24"/>
        </w:rPr>
        <w:tab/>
        <w:t>57742</w:t>
      </w:r>
    </w:p>
    <w:p w:rsidR="001A148E" w:rsidRPr="00C84483" w:rsidRDefault="001A148E" w:rsidP="001A148E">
      <w:pPr>
        <w:tabs>
          <w:tab w:val="left" w:pos="851"/>
        </w:tabs>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A148E" w:rsidRPr="00C84483" w:rsidRDefault="001A148E" w:rsidP="001A148E">
      <w:pPr>
        <w:tabs>
          <w:tab w:val="left" w:pos="851"/>
        </w:tabs>
        <w:ind w:left="851"/>
        <w:rPr>
          <w:sz w:val="24"/>
          <w:szCs w:val="24"/>
        </w:rPr>
      </w:pPr>
      <w:r>
        <w:rPr>
          <w:sz w:val="24"/>
          <w:szCs w:val="24"/>
        </w:rPr>
        <w:t>11. januar 2017</w:t>
      </w:r>
    </w:p>
    <w:p w:rsidR="001A148E" w:rsidRPr="00C84483" w:rsidRDefault="001A148E" w:rsidP="001A148E">
      <w:pPr>
        <w:tabs>
          <w:tab w:val="left" w:pos="851"/>
        </w:tabs>
        <w:ind w:left="851"/>
        <w:rPr>
          <w:sz w:val="24"/>
          <w:szCs w:val="24"/>
        </w:rPr>
      </w:pPr>
    </w:p>
    <w:p w:rsidR="001A148E" w:rsidRPr="00C84483" w:rsidRDefault="001A148E" w:rsidP="001A148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A148E" w:rsidRPr="00C84483" w:rsidRDefault="00D35789" w:rsidP="001A148E">
      <w:pPr>
        <w:tabs>
          <w:tab w:val="left" w:pos="851"/>
        </w:tabs>
        <w:ind w:left="851"/>
        <w:rPr>
          <w:sz w:val="24"/>
          <w:szCs w:val="24"/>
        </w:rPr>
      </w:pPr>
      <w:r>
        <w:rPr>
          <w:sz w:val="24"/>
          <w:szCs w:val="24"/>
        </w:rPr>
        <w:t>22. juni 2023</w:t>
      </w:r>
    </w:p>
    <w:p w:rsidR="001A148E" w:rsidRPr="00E218B6" w:rsidRDefault="001A148E" w:rsidP="001A148E"/>
    <w:p w:rsidR="001A148E" w:rsidRPr="00FE3890" w:rsidRDefault="001A148E" w:rsidP="001A148E"/>
    <w:p w:rsidR="009260DE" w:rsidRPr="001A148E" w:rsidRDefault="009260DE" w:rsidP="001A148E"/>
    <w:sectPr w:rsidR="009260DE" w:rsidRPr="001A148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48E" w:rsidRDefault="001A148E">
      <w:r>
        <w:separator/>
      </w:r>
    </w:p>
  </w:endnote>
  <w:endnote w:type="continuationSeparator" w:id="0">
    <w:p w:rsidR="001A148E" w:rsidRDefault="001A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D35789" w:rsidP="00C42586">
    <w:pPr>
      <w:pStyle w:val="Sidefod"/>
      <w:tabs>
        <w:tab w:val="clear" w:pos="4819"/>
        <w:tab w:val="left" w:pos="8505"/>
      </w:tabs>
      <w:rPr>
        <w:i/>
        <w:sz w:val="18"/>
        <w:szCs w:val="18"/>
      </w:rPr>
    </w:pPr>
    <w:proofErr w:type="spellStart"/>
    <w:r w:rsidRPr="00D35789">
      <w:rPr>
        <w:i/>
        <w:sz w:val="18"/>
        <w:szCs w:val="18"/>
      </w:rPr>
      <w:t>Idarubicinhydrochlorid</w:t>
    </w:r>
    <w:proofErr w:type="spellEnd"/>
    <w:r w:rsidRPr="00D35789">
      <w:rPr>
        <w:i/>
        <w:sz w:val="18"/>
        <w:szCs w:val="18"/>
      </w:rPr>
      <w:t xml:space="preserve"> </w:t>
    </w:r>
    <w:proofErr w:type="spellStart"/>
    <w:r w:rsidRPr="00D35789">
      <w:rPr>
        <w:i/>
        <w:sz w:val="18"/>
        <w:szCs w:val="18"/>
      </w:rPr>
      <w:t>Accord</w:t>
    </w:r>
    <w:proofErr w:type="spellEnd"/>
    <w:r w:rsidRPr="00D35789">
      <w:rPr>
        <w:i/>
        <w:sz w:val="18"/>
        <w:szCs w:val="18"/>
      </w:rPr>
      <w:t>, injektionsvæske, opløsning 1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48E" w:rsidRDefault="001A148E">
      <w:r>
        <w:separator/>
      </w:r>
    </w:p>
  </w:footnote>
  <w:footnote w:type="continuationSeparator" w:id="0">
    <w:p w:rsidR="001A148E" w:rsidRDefault="001A1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1FCC"/>
    <w:multiLevelType w:val="hybridMultilevel"/>
    <w:tmpl w:val="5AF4BFF4"/>
    <w:lvl w:ilvl="0" w:tplc="7EEEEBC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8E"/>
    <w:rsid w:val="000259B9"/>
    <w:rsid w:val="00041491"/>
    <w:rsid w:val="00050D16"/>
    <w:rsid w:val="00074F2A"/>
    <w:rsid w:val="000A1CA8"/>
    <w:rsid w:val="000A466B"/>
    <w:rsid w:val="000B058C"/>
    <w:rsid w:val="000E4EE6"/>
    <w:rsid w:val="001454E2"/>
    <w:rsid w:val="001A148E"/>
    <w:rsid w:val="001C6EAA"/>
    <w:rsid w:val="00206CE8"/>
    <w:rsid w:val="0021526C"/>
    <w:rsid w:val="00283A2B"/>
    <w:rsid w:val="002B30AD"/>
    <w:rsid w:val="002C2C01"/>
    <w:rsid w:val="003A29AE"/>
    <w:rsid w:val="003A32D7"/>
    <w:rsid w:val="003B4074"/>
    <w:rsid w:val="003C769A"/>
    <w:rsid w:val="003F1838"/>
    <w:rsid w:val="0045746C"/>
    <w:rsid w:val="004707AF"/>
    <w:rsid w:val="0049104B"/>
    <w:rsid w:val="004C2288"/>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44342"/>
    <w:rsid w:val="009C7BA3"/>
    <w:rsid w:val="009D1F5A"/>
    <w:rsid w:val="00B003BF"/>
    <w:rsid w:val="00B373D7"/>
    <w:rsid w:val="00BE4F21"/>
    <w:rsid w:val="00C36276"/>
    <w:rsid w:val="00C42586"/>
    <w:rsid w:val="00C60CCD"/>
    <w:rsid w:val="00C84483"/>
    <w:rsid w:val="00C95551"/>
    <w:rsid w:val="00CB20D7"/>
    <w:rsid w:val="00D020B0"/>
    <w:rsid w:val="00D11748"/>
    <w:rsid w:val="00D136D1"/>
    <w:rsid w:val="00D35789"/>
    <w:rsid w:val="00D366CF"/>
    <w:rsid w:val="00E108AA"/>
    <w:rsid w:val="00E135CD"/>
    <w:rsid w:val="00E31812"/>
    <w:rsid w:val="00E3749A"/>
    <w:rsid w:val="00E7437F"/>
    <w:rsid w:val="00E865B8"/>
    <w:rsid w:val="00EC0B9B"/>
    <w:rsid w:val="00ED5E9F"/>
    <w:rsid w:val="00F66D4F"/>
    <w:rsid w:val="00FB13D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83A69"/>
  <w15:chartTrackingRefBased/>
  <w15:docId w15:val="{52DDF367-5318-4034-859D-49E1F472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1A148E"/>
    <w:rPr>
      <w:color w:val="0000FF"/>
      <w:u w:val="single"/>
    </w:rPr>
  </w:style>
  <w:style w:type="paragraph" w:styleId="Listeafsnit">
    <w:name w:val="List Paragraph"/>
    <w:basedOn w:val="Normal"/>
    <w:uiPriority w:val="34"/>
    <w:qFormat/>
    <w:rsid w:val="001A1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13</Pages>
  <Words>3864</Words>
  <Characters>26355</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2021033225_x000d_
SPC opdat. pkt. 4.3, 4.4, 4.5, 4.8 + QRD</dc:description>
  <cp:lastModifiedBy>Marianne Ott Jensen</cp:lastModifiedBy>
  <cp:revision>3</cp:revision>
  <cp:lastPrinted>2012-08-22T08:53:00Z</cp:lastPrinted>
  <dcterms:created xsi:type="dcterms:W3CDTF">2023-06-20T09:24:00Z</dcterms:created>
  <dcterms:modified xsi:type="dcterms:W3CDTF">2023-06-20T09:36:00Z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