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90FB15" w14:textId="77777777" w:rsidR="00114971" w:rsidRPr="00110F7D" w:rsidRDefault="00114971" w:rsidP="00114971">
      <w:pPr>
        <w:rPr>
          <w:sz w:val="24"/>
          <w:szCs w:val="24"/>
        </w:rPr>
      </w:pPr>
      <w:bookmarkStart w:id="0" w:name="_GoBack"/>
      <w:bookmarkEnd w:id="0"/>
      <w:r w:rsidRPr="00110F7D">
        <w:rPr>
          <w:noProof/>
          <w:sz w:val="24"/>
          <w:szCs w:val="24"/>
        </w:rPr>
        <w:drawing>
          <wp:inline distT="0" distB="0" distL="0" distR="0" wp14:anchorId="42DC85C0" wp14:editId="2103F097">
            <wp:extent cx="2430780" cy="683657"/>
            <wp:effectExtent l="0" t="0" r="7620" b="2540"/>
            <wp:docPr id="3"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h\AppData\Local\Microsoft\Windows\Temporary Internet Files\Content.Outlook\3DQ1N8R9\LMST_auto_st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698" cy="693759"/>
                    </a:xfrm>
                    <a:prstGeom prst="rect">
                      <a:avLst/>
                    </a:prstGeom>
                    <a:noFill/>
                    <a:ln>
                      <a:noFill/>
                    </a:ln>
                  </pic:spPr>
                </pic:pic>
              </a:graphicData>
            </a:graphic>
          </wp:inline>
        </w:drawing>
      </w:r>
    </w:p>
    <w:p w14:paraId="33FD3523" w14:textId="77777777" w:rsidR="00114971" w:rsidRPr="00110F7D" w:rsidRDefault="00114971" w:rsidP="00114971">
      <w:pPr>
        <w:rPr>
          <w:sz w:val="24"/>
          <w:szCs w:val="24"/>
        </w:rPr>
      </w:pPr>
    </w:p>
    <w:p w14:paraId="13EC57C2" w14:textId="1E382ACE" w:rsidR="00114971" w:rsidRPr="00110F7D" w:rsidRDefault="00901068" w:rsidP="00114971">
      <w:pPr>
        <w:jc w:val="right"/>
        <w:rPr>
          <w:b/>
          <w:sz w:val="24"/>
          <w:szCs w:val="24"/>
          <w:lang w:val="en-GB"/>
        </w:rPr>
      </w:pPr>
      <w:r>
        <w:rPr>
          <w:b/>
          <w:sz w:val="24"/>
          <w:szCs w:val="24"/>
          <w:lang w:val="en-US"/>
        </w:rPr>
        <w:t>7 February 2025</w:t>
      </w:r>
    </w:p>
    <w:p w14:paraId="6CEF715C" w14:textId="77777777" w:rsidR="00114971" w:rsidRPr="00110F7D" w:rsidRDefault="00114971" w:rsidP="00114971">
      <w:pPr>
        <w:rPr>
          <w:sz w:val="24"/>
          <w:szCs w:val="24"/>
          <w:lang w:val="en-GB"/>
        </w:rPr>
      </w:pPr>
    </w:p>
    <w:p w14:paraId="38DCC5FE" w14:textId="77777777" w:rsidR="00114971" w:rsidRPr="00110F7D" w:rsidRDefault="00114971" w:rsidP="00114971">
      <w:pPr>
        <w:rPr>
          <w:sz w:val="24"/>
          <w:szCs w:val="24"/>
          <w:lang w:val="en-GB"/>
        </w:rPr>
      </w:pPr>
    </w:p>
    <w:p w14:paraId="08A46696" w14:textId="77777777" w:rsidR="00114971" w:rsidRPr="00110F7D" w:rsidRDefault="00114971" w:rsidP="00114971">
      <w:pPr>
        <w:rPr>
          <w:sz w:val="24"/>
          <w:szCs w:val="24"/>
          <w:lang w:val="en-GB"/>
        </w:rPr>
      </w:pPr>
    </w:p>
    <w:p w14:paraId="26003CA5" w14:textId="77777777" w:rsidR="00114971" w:rsidRPr="00110F7D" w:rsidRDefault="00114971" w:rsidP="00114971">
      <w:pPr>
        <w:jc w:val="center"/>
        <w:rPr>
          <w:b/>
          <w:sz w:val="24"/>
          <w:szCs w:val="24"/>
          <w:lang w:val="en-GB"/>
        </w:rPr>
      </w:pPr>
      <w:r w:rsidRPr="00110F7D">
        <w:rPr>
          <w:b/>
          <w:sz w:val="24"/>
          <w:szCs w:val="24"/>
          <w:lang w:val="en-GB"/>
        </w:rPr>
        <w:t>SUMMARY OF PRODUCT CHARACTERISTICS</w:t>
      </w:r>
    </w:p>
    <w:p w14:paraId="72234999" w14:textId="77777777" w:rsidR="00114971" w:rsidRPr="00110F7D" w:rsidRDefault="00114971" w:rsidP="00114971">
      <w:pPr>
        <w:jc w:val="center"/>
        <w:rPr>
          <w:sz w:val="24"/>
          <w:szCs w:val="24"/>
          <w:lang w:val="en-GB"/>
        </w:rPr>
      </w:pPr>
    </w:p>
    <w:p w14:paraId="4ECB739C" w14:textId="77777777" w:rsidR="00114971" w:rsidRPr="00110F7D" w:rsidRDefault="00114971" w:rsidP="00114971">
      <w:pPr>
        <w:jc w:val="center"/>
        <w:rPr>
          <w:b/>
          <w:sz w:val="24"/>
          <w:szCs w:val="24"/>
          <w:lang w:val="en-GB"/>
        </w:rPr>
      </w:pPr>
      <w:r w:rsidRPr="00110F7D">
        <w:rPr>
          <w:b/>
          <w:sz w:val="24"/>
          <w:szCs w:val="24"/>
          <w:lang w:val="en-GB"/>
        </w:rPr>
        <w:t>for</w:t>
      </w:r>
    </w:p>
    <w:p w14:paraId="6E1EF96B" w14:textId="77777777" w:rsidR="00114971" w:rsidRPr="00110F7D" w:rsidRDefault="00114971" w:rsidP="00114971">
      <w:pPr>
        <w:jc w:val="center"/>
        <w:rPr>
          <w:sz w:val="24"/>
          <w:szCs w:val="24"/>
          <w:lang w:val="en-GB"/>
        </w:rPr>
      </w:pPr>
    </w:p>
    <w:p w14:paraId="35535E3B" w14:textId="0BD7D62F" w:rsidR="00114971" w:rsidRPr="00110F7D" w:rsidRDefault="00202CD2" w:rsidP="00114971">
      <w:pPr>
        <w:jc w:val="center"/>
        <w:rPr>
          <w:b/>
          <w:sz w:val="24"/>
          <w:szCs w:val="24"/>
          <w:lang w:val="en-US"/>
        </w:rPr>
      </w:pPr>
      <w:proofErr w:type="spellStart"/>
      <w:r w:rsidRPr="00110F7D">
        <w:rPr>
          <w:b/>
          <w:sz w:val="24"/>
          <w:szCs w:val="24"/>
          <w:lang w:val="en-US"/>
        </w:rPr>
        <w:t>Illuccix</w:t>
      </w:r>
      <w:proofErr w:type="spellEnd"/>
      <w:r w:rsidRPr="00110F7D">
        <w:rPr>
          <w:b/>
          <w:sz w:val="24"/>
          <w:szCs w:val="24"/>
          <w:lang w:val="en-US"/>
        </w:rPr>
        <w:t>, kit for radiopharmaceutical preparation</w:t>
      </w:r>
    </w:p>
    <w:p w14:paraId="5A52C7B0" w14:textId="77777777" w:rsidR="00114971" w:rsidRPr="00110F7D" w:rsidRDefault="00114971" w:rsidP="00114971">
      <w:pPr>
        <w:jc w:val="both"/>
        <w:rPr>
          <w:sz w:val="24"/>
          <w:szCs w:val="24"/>
          <w:lang w:val="en-US"/>
        </w:rPr>
      </w:pPr>
    </w:p>
    <w:p w14:paraId="34C38501" w14:textId="77777777" w:rsidR="00114971" w:rsidRPr="00110F7D" w:rsidRDefault="00114971" w:rsidP="00114971">
      <w:pPr>
        <w:tabs>
          <w:tab w:val="left" w:pos="851"/>
        </w:tabs>
        <w:jc w:val="both"/>
        <w:rPr>
          <w:sz w:val="24"/>
          <w:szCs w:val="24"/>
          <w:lang w:val="en-US"/>
        </w:rPr>
      </w:pPr>
    </w:p>
    <w:p w14:paraId="4BD23794" w14:textId="77777777" w:rsidR="00114971" w:rsidRPr="00110F7D" w:rsidRDefault="00114971" w:rsidP="00114971">
      <w:pPr>
        <w:tabs>
          <w:tab w:val="left" w:pos="851"/>
        </w:tabs>
        <w:ind w:left="851" w:hanging="851"/>
        <w:rPr>
          <w:sz w:val="24"/>
          <w:szCs w:val="24"/>
          <w:lang w:val="en-US"/>
        </w:rPr>
      </w:pPr>
      <w:r w:rsidRPr="00110F7D">
        <w:rPr>
          <w:b/>
          <w:sz w:val="24"/>
          <w:szCs w:val="24"/>
          <w:lang w:val="en-US"/>
        </w:rPr>
        <w:t>1.</w:t>
      </w:r>
      <w:r w:rsidRPr="00110F7D">
        <w:rPr>
          <w:b/>
          <w:sz w:val="24"/>
          <w:szCs w:val="24"/>
          <w:lang w:val="en-US"/>
        </w:rPr>
        <w:tab/>
        <w:t>NAME OF THE MEDICINAL PRODUCT</w:t>
      </w:r>
    </w:p>
    <w:p w14:paraId="5AAAF5CA" w14:textId="0E2D99D0" w:rsidR="00114971" w:rsidRPr="00110F7D" w:rsidRDefault="00202CD2" w:rsidP="00114971">
      <w:pPr>
        <w:tabs>
          <w:tab w:val="left" w:pos="851"/>
        </w:tabs>
        <w:ind w:left="851"/>
        <w:rPr>
          <w:sz w:val="24"/>
          <w:szCs w:val="24"/>
          <w:lang w:val="en-US"/>
        </w:rPr>
      </w:pPr>
      <w:proofErr w:type="spellStart"/>
      <w:r w:rsidRPr="00110F7D">
        <w:rPr>
          <w:sz w:val="24"/>
          <w:szCs w:val="24"/>
          <w:lang w:val="en-US"/>
        </w:rPr>
        <w:t>Illuccix</w:t>
      </w:r>
      <w:proofErr w:type="spellEnd"/>
    </w:p>
    <w:p w14:paraId="6BA43C18" w14:textId="77777777" w:rsidR="00114971" w:rsidRPr="00110F7D" w:rsidRDefault="00114971" w:rsidP="00114971">
      <w:pPr>
        <w:tabs>
          <w:tab w:val="left" w:pos="851"/>
        </w:tabs>
        <w:ind w:left="851"/>
        <w:rPr>
          <w:sz w:val="24"/>
          <w:szCs w:val="24"/>
          <w:lang w:val="en-US"/>
        </w:rPr>
      </w:pPr>
    </w:p>
    <w:p w14:paraId="16A24C46" w14:textId="77777777" w:rsidR="00114971" w:rsidRPr="00110F7D" w:rsidRDefault="00114971" w:rsidP="00114971">
      <w:pPr>
        <w:ind w:left="851" w:hanging="851"/>
        <w:rPr>
          <w:b/>
          <w:sz w:val="24"/>
          <w:szCs w:val="24"/>
          <w:lang w:val="en-US"/>
        </w:rPr>
      </w:pPr>
      <w:r w:rsidRPr="00110F7D">
        <w:rPr>
          <w:b/>
          <w:sz w:val="24"/>
          <w:szCs w:val="24"/>
          <w:lang w:val="en-US"/>
        </w:rPr>
        <w:t>2.</w:t>
      </w:r>
      <w:r w:rsidRPr="00110F7D">
        <w:rPr>
          <w:b/>
          <w:sz w:val="24"/>
          <w:szCs w:val="24"/>
          <w:lang w:val="en-US"/>
        </w:rPr>
        <w:tab/>
        <w:t>QUALITATIVE AND QUANTITATIVE COMPOSITION</w:t>
      </w:r>
    </w:p>
    <w:p w14:paraId="717AB253" w14:textId="77777777" w:rsidR="00652442" w:rsidRPr="00110F7D" w:rsidRDefault="00652442" w:rsidP="00CC5520">
      <w:pPr>
        <w:ind w:left="851"/>
        <w:rPr>
          <w:sz w:val="24"/>
          <w:szCs w:val="24"/>
          <w:lang w:val="en-US"/>
        </w:rPr>
      </w:pPr>
      <w:r w:rsidRPr="00110F7D">
        <w:rPr>
          <w:sz w:val="24"/>
          <w:szCs w:val="24"/>
          <w:lang w:val="en-US"/>
        </w:rPr>
        <w:t xml:space="preserve">The vial of powder for solution for injection contains 25 micrograms of </w:t>
      </w:r>
      <w:proofErr w:type="spellStart"/>
      <w:r w:rsidRPr="00110F7D">
        <w:rPr>
          <w:sz w:val="24"/>
          <w:szCs w:val="24"/>
          <w:lang w:val="en-US"/>
        </w:rPr>
        <w:t>gozetotide</w:t>
      </w:r>
      <w:proofErr w:type="spellEnd"/>
      <w:r w:rsidRPr="00110F7D">
        <w:rPr>
          <w:sz w:val="24"/>
          <w:szCs w:val="24"/>
          <w:lang w:val="en-US"/>
        </w:rPr>
        <w:t xml:space="preserve"> (as trifluoroacetate salt).</w:t>
      </w:r>
    </w:p>
    <w:p w14:paraId="0B180A66" w14:textId="77777777" w:rsidR="00652442" w:rsidRPr="00110F7D" w:rsidRDefault="00652442" w:rsidP="00CC5520">
      <w:pPr>
        <w:ind w:left="851"/>
        <w:rPr>
          <w:sz w:val="24"/>
          <w:szCs w:val="24"/>
          <w:lang w:val="en-US"/>
        </w:rPr>
      </w:pPr>
    </w:p>
    <w:p w14:paraId="3453A26E" w14:textId="77777777" w:rsidR="00652442" w:rsidRPr="00110F7D" w:rsidRDefault="00652442" w:rsidP="00CC5520">
      <w:pPr>
        <w:ind w:left="851"/>
        <w:rPr>
          <w:sz w:val="24"/>
          <w:szCs w:val="24"/>
          <w:lang w:val="en-US"/>
        </w:rPr>
      </w:pPr>
      <w:r w:rsidRPr="00110F7D">
        <w:rPr>
          <w:sz w:val="24"/>
          <w:szCs w:val="24"/>
          <w:lang w:val="en-US"/>
        </w:rPr>
        <w:t>The radionuclide is not part of the kit.</w:t>
      </w:r>
    </w:p>
    <w:p w14:paraId="078B125B" w14:textId="77777777" w:rsidR="00652442" w:rsidRPr="00110F7D" w:rsidRDefault="00652442" w:rsidP="00CC5520">
      <w:pPr>
        <w:ind w:left="851"/>
        <w:rPr>
          <w:sz w:val="24"/>
          <w:szCs w:val="24"/>
          <w:u w:val="single"/>
          <w:lang w:val="en-US"/>
        </w:rPr>
      </w:pPr>
    </w:p>
    <w:p w14:paraId="7D4BEFF7" w14:textId="77777777" w:rsidR="00652442" w:rsidRPr="00110F7D" w:rsidRDefault="00652442" w:rsidP="00CC5520">
      <w:pPr>
        <w:ind w:left="851"/>
        <w:rPr>
          <w:sz w:val="24"/>
          <w:szCs w:val="24"/>
          <w:lang w:val="en-US"/>
        </w:rPr>
      </w:pPr>
      <w:r w:rsidRPr="00110F7D">
        <w:rPr>
          <w:sz w:val="24"/>
          <w:szCs w:val="24"/>
          <w:u w:val="single"/>
          <w:lang w:val="en-US"/>
        </w:rPr>
        <w:t>Excipient with known effect</w:t>
      </w:r>
    </w:p>
    <w:p w14:paraId="6541DECC" w14:textId="77777777" w:rsidR="00652442" w:rsidRPr="00110F7D" w:rsidRDefault="00652442" w:rsidP="00CC5520">
      <w:pPr>
        <w:ind w:left="851"/>
        <w:rPr>
          <w:sz w:val="24"/>
          <w:szCs w:val="24"/>
          <w:lang w:val="en-US"/>
        </w:rPr>
      </w:pPr>
    </w:p>
    <w:p w14:paraId="2B0D32EB" w14:textId="77777777" w:rsidR="00652442" w:rsidRPr="00110F7D" w:rsidRDefault="00652442" w:rsidP="00CC5520">
      <w:pPr>
        <w:ind w:left="851"/>
        <w:rPr>
          <w:noProof/>
          <w:sz w:val="24"/>
          <w:szCs w:val="24"/>
          <w:lang w:val="en-US"/>
        </w:rPr>
      </w:pPr>
      <w:r w:rsidRPr="00110F7D">
        <w:rPr>
          <w:sz w:val="24"/>
          <w:szCs w:val="24"/>
          <w:lang w:val="en-US"/>
        </w:rPr>
        <w:t xml:space="preserve">The vial of solvent contains </w:t>
      </w:r>
      <w:r w:rsidRPr="00110F7D">
        <w:rPr>
          <w:noProof/>
          <w:sz w:val="24"/>
          <w:szCs w:val="24"/>
          <w:lang w:val="en-US"/>
        </w:rPr>
        <w:t>42</w:t>
      </w:r>
      <w:r w:rsidRPr="00110F7D">
        <w:rPr>
          <w:sz w:val="24"/>
          <w:szCs w:val="24"/>
          <w:lang w:val="en-US"/>
        </w:rPr>
        <w:t xml:space="preserve"> mg of sodium.</w:t>
      </w:r>
    </w:p>
    <w:p w14:paraId="3467300C" w14:textId="77777777" w:rsidR="00652442" w:rsidRPr="00110F7D" w:rsidRDefault="00652442" w:rsidP="00CC5520">
      <w:pPr>
        <w:ind w:left="851"/>
        <w:rPr>
          <w:sz w:val="24"/>
          <w:szCs w:val="24"/>
          <w:lang w:val="en-US"/>
        </w:rPr>
      </w:pPr>
    </w:p>
    <w:p w14:paraId="75AB0B8E" w14:textId="77777777" w:rsidR="00652442" w:rsidRPr="00110F7D" w:rsidRDefault="00652442" w:rsidP="00CC5520">
      <w:pPr>
        <w:ind w:left="851"/>
        <w:rPr>
          <w:noProof/>
          <w:sz w:val="24"/>
          <w:szCs w:val="24"/>
          <w:lang w:val="en-US"/>
        </w:rPr>
      </w:pPr>
      <w:r w:rsidRPr="00110F7D">
        <w:rPr>
          <w:sz w:val="24"/>
          <w:szCs w:val="24"/>
          <w:lang w:val="en-US"/>
        </w:rPr>
        <w:t>For the full list of excipients, see section 6.1.</w:t>
      </w:r>
    </w:p>
    <w:p w14:paraId="2F73AFE3" w14:textId="77777777" w:rsidR="00114971" w:rsidRPr="00110F7D" w:rsidRDefault="00114971" w:rsidP="00114971">
      <w:pPr>
        <w:tabs>
          <w:tab w:val="left" w:pos="851"/>
        </w:tabs>
        <w:ind w:left="851"/>
        <w:rPr>
          <w:sz w:val="24"/>
          <w:szCs w:val="24"/>
          <w:lang w:val="en-US"/>
        </w:rPr>
      </w:pPr>
    </w:p>
    <w:p w14:paraId="042F556F" w14:textId="77777777" w:rsidR="00114971" w:rsidRPr="00110F7D" w:rsidRDefault="00114971" w:rsidP="00114971">
      <w:pPr>
        <w:tabs>
          <w:tab w:val="left" w:pos="851"/>
        </w:tabs>
        <w:ind w:left="851" w:hanging="851"/>
        <w:rPr>
          <w:b/>
          <w:sz w:val="24"/>
          <w:szCs w:val="24"/>
          <w:lang w:val="en-US"/>
        </w:rPr>
      </w:pPr>
      <w:r w:rsidRPr="00110F7D">
        <w:rPr>
          <w:b/>
          <w:sz w:val="24"/>
          <w:szCs w:val="24"/>
          <w:lang w:val="en-US"/>
        </w:rPr>
        <w:t>3.</w:t>
      </w:r>
      <w:r w:rsidRPr="00110F7D">
        <w:rPr>
          <w:b/>
          <w:sz w:val="24"/>
          <w:szCs w:val="24"/>
          <w:lang w:val="en-US"/>
        </w:rPr>
        <w:tab/>
        <w:t>PHARMACEUTICAL FORM</w:t>
      </w:r>
    </w:p>
    <w:p w14:paraId="4C04434D" w14:textId="77777777" w:rsidR="00652442" w:rsidRPr="00110F7D" w:rsidRDefault="00652442" w:rsidP="00CC5520">
      <w:pPr>
        <w:ind w:left="851"/>
        <w:rPr>
          <w:sz w:val="24"/>
          <w:szCs w:val="24"/>
          <w:lang w:val="en-US"/>
        </w:rPr>
      </w:pPr>
      <w:r w:rsidRPr="00110F7D">
        <w:rPr>
          <w:sz w:val="24"/>
          <w:szCs w:val="24"/>
          <w:lang w:val="en-US"/>
        </w:rPr>
        <w:t>Kit for radiopharmaceutical preparation containing:</w:t>
      </w:r>
    </w:p>
    <w:p w14:paraId="5A96BF75" w14:textId="77777777" w:rsidR="00652442" w:rsidRPr="00110F7D" w:rsidRDefault="00652442" w:rsidP="00110F7D">
      <w:pPr>
        <w:pStyle w:val="Listeafsnit"/>
        <w:numPr>
          <w:ilvl w:val="0"/>
          <w:numId w:val="16"/>
        </w:numPr>
        <w:spacing w:before="0" w:after="0"/>
        <w:ind w:left="1276" w:hanging="425"/>
        <w:jc w:val="left"/>
        <w:rPr>
          <w:rFonts w:ascii="Times New Roman" w:hAnsi="Times New Roman"/>
          <w:sz w:val="24"/>
          <w:szCs w:val="24"/>
          <w:lang w:val="en-GB"/>
        </w:rPr>
      </w:pPr>
      <w:r w:rsidRPr="00110F7D">
        <w:rPr>
          <w:rFonts w:ascii="Times New Roman" w:hAnsi="Times New Roman"/>
          <w:sz w:val="24"/>
          <w:szCs w:val="24"/>
          <w:lang w:val="en-GB"/>
        </w:rPr>
        <w:t>One vial of powder for solution for injection: the vial contains a white lyophilised powder.</w:t>
      </w:r>
    </w:p>
    <w:p w14:paraId="643BC737" w14:textId="77777777" w:rsidR="00652442" w:rsidRPr="00110F7D" w:rsidRDefault="00652442" w:rsidP="00110F7D">
      <w:pPr>
        <w:pStyle w:val="Listeafsnit"/>
        <w:numPr>
          <w:ilvl w:val="0"/>
          <w:numId w:val="16"/>
        </w:numPr>
        <w:spacing w:before="0" w:after="0"/>
        <w:ind w:left="1276" w:hanging="425"/>
        <w:jc w:val="left"/>
        <w:rPr>
          <w:rFonts w:ascii="Times New Roman" w:hAnsi="Times New Roman"/>
          <w:sz w:val="24"/>
          <w:szCs w:val="24"/>
          <w:lang w:val="en-GB"/>
        </w:rPr>
      </w:pPr>
      <w:r w:rsidRPr="00110F7D">
        <w:rPr>
          <w:rFonts w:ascii="Times New Roman" w:hAnsi="Times New Roman"/>
          <w:sz w:val="24"/>
          <w:szCs w:val="24"/>
          <w:lang w:val="en-GB"/>
        </w:rPr>
        <w:t>One vial of solvent: the vial contains a clear, colourless solution.</w:t>
      </w:r>
    </w:p>
    <w:p w14:paraId="64566F68" w14:textId="77777777" w:rsidR="00652442" w:rsidRPr="00110F7D" w:rsidRDefault="00652442" w:rsidP="00110F7D">
      <w:pPr>
        <w:pStyle w:val="Listeafsnit"/>
        <w:numPr>
          <w:ilvl w:val="0"/>
          <w:numId w:val="16"/>
        </w:numPr>
        <w:spacing w:before="0" w:after="0"/>
        <w:ind w:left="1276" w:hanging="425"/>
        <w:jc w:val="left"/>
        <w:rPr>
          <w:rFonts w:ascii="Times New Roman" w:hAnsi="Times New Roman"/>
          <w:sz w:val="24"/>
          <w:szCs w:val="24"/>
          <w:lang w:val="en-GB"/>
        </w:rPr>
      </w:pPr>
      <w:r w:rsidRPr="00110F7D">
        <w:rPr>
          <w:rFonts w:ascii="Times New Roman" w:hAnsi="Times New Roman"/>
          <w:sz w:val="24"/>
          <w:szCs w:val="24"/>
          <w:lang w:val="en-GB"/>
        </w:rPr>
        <w:t>One empty vial: the vial is sterile, vacuum sealed and used for the radiolabelling of the kit.</w:t>
      </w:r>
    </w:p>
    <w:p w14:paraId="62FCCE3B" w14:textId="77777777" w:rsidR="00652442" w:rsidRPr="00110F7D" w:rsidRDefault="00652442" w:rsidP="00CC5520">
      <w:pPr>
        <w:ind w:left="851"/>
        <w:rPr>
          <w:sz w:val="24"/>
          <w:szCs w:val="24"/>
          <w:lang w:val="en-GB"/>
        </w:rPr>
      </w:pPr>
    </w:p>
    <w:p w14:paraId="1780AB64" w14:textId="77777777" w:rsidR="00652442" w:rsidRPr="00110F7D" w:rsidRDefault="00652442" w:rsidP="00CC5520">
      <w:pPr>
        <w:ind w:left="851"/>
        <w:rPr>
          <w:sz w:val="24"/>
          <w:szCs w:val="24"/>
          <w:lang w:val="en-US"/>
        </w:rPr>
      </w:pPr>
      <w:r w:rsidRPr="00110F7D">
        <w:rPr>
          <w:sz w:val="24"/>
          <w:szCs w:val="24"/>
          <w:lang w:val="en-US"/>
        </w:rPr>
        <w:t xml:space="preserve">For </w:t>
      </w:r>
      <w:proofErr w:type="spellStart"/>
      <w:r w:rsidRPr="00110F7D">
        <w:rPr>
          <w:sz w:val="24"/>
          <w:szCs w:val="24"/>
          <w:lang w:val="en-US"/>
        </w:rPr>
        <w:t>radiolabelling</w:t>
      </w:r>
      <w:proofErr w:type="spellEnd"/>
      <w:r w:rsidRPr="00110F7D">
        <w:rPr>
          <w:sz w:val="24"/>
          <w:szCs w:val="24"/>
          <w:lang w:val="en-US"/>
        </w:rPr>
        <w:t xml:space="preserve"> with gallium (</w:t>
      </w:r>
      <w:r w:rsidRPr="00110F7D">
        <w:rPr>
          <w:sz w:val="24"/>
          <w:szCs w:val="24"/>
          <w:vertAlign w:val="superscript"/>
          <w:lang w:val="en-US"/>
        </w:rPr>
        <w:t>68</w:t>
      </w:r>
      <w:r w:rsidRPr="00110F7D">
        <w:rPr>
          <w:sz w:val="24"/>
          <w:szCs w:val="24"/>
          <w:lang w:val="en-US"/>
        </w:rPr>
        <w:t>Ga) chloride solution.</w:t>
      </w:r>
    </w:p>
    <w:p w14:paraId="769B39C9" w14:textId="77777777" w:rsidR="00114971" w:rsidRPr="00110F7D" w:rsidRDefault="00114971" w:rsidP="00114971">
      <w:pPr>
        <w:tabs>
          <w:tab w:val="left" w:pos="851"/>
        </w:tabs>
        <w:ind w:left="851"/>
        <w:rPr>
          <w:sz w:val="24"/>
          <w:szCs w:val="24"/>
          <w:lang w:val="en-US"/>
        </w:rPr>
      </w:pPr>
    </w:p>
    <w:p w14:paraId="3C04D6B2" w14:textId="77777777" w:rsidR="00114971" w:rsidRPr="00110F7D" w:rsidRDefault="00114971" w:rsidP="00114971">
      <w:pPr>
        <w:tabs>
          <w:tab w:val="left" w:pos="851"/>
        </w:tabs>
        <w:ind w:left="851"/>
        <w:rPr>
          <w:sz w:val="24"/>
          <w:szCs w:val="24"/>
          <w:lang w:val="en-US"/>
        </w:rPr>
      </w:pPr>
    </w:p>
    <w:p w14:paraId="20AD3C1D" w14:textId="77777777" w:rsidR="00114971" w:rsidRPr="00110F7D" w:rsidRDefault="00114971" w:rsidP="00114971">
      <w:pPr>
        <w:ind w:left="851" w:hanging="851"/>
        <w:rPr>
          <w:b/>
          <w:sz w:val="24"/>
          <w:szCs w:val="24"/>
          <w:lang w:val="en-US"/>
        </w:rPr>
      </w:pPr>
      <w:r w:rsidRPr="00110F7D">
        <w:rPr>
          <w:b/>
          <w:sz w:val="24"/>
          <w:szCs w:val="24"/>
          <w:lang w:val="en-US"/>
        </w:rPr>
        <w:t>4.</w:t>
      </w:r>
      <w:r w:rsidRPr="00110F7D">
        <w:rPr>
          <w:b/>
          <w:sz w:val="24"/>
          <w:szCs w:val="24"/>
          <w:lang w:val="en-US"/>
        </w:rPr>
        <w:tab/>
        <w:t>CLINICAL PARTICULARS</w:t>
      </w:r>
    </w:p>
    <w:p w14:paraId="30E7E905" w14:textId="77777777" w:rsidR="00114971" w:rsidRPr="00110F7D" w:rsidRDefault="00114971" w:rsidP="00114971">
      <w:pPr>
        <w:tabs>
          <w:tab w:val="left" w:pos="851"/>
        </w:tabs>
        <w:ind w:left="851"/>
        <w:rPr>
          <w:sz w:val="24"/>
          <w:szCs w:val="24"/>
          <w:lang w:val="en-US"/>
        </w:rPr>
      </w:pPr>
    </w:p>
    <w:p w14:paraId="4BE33F68" w14:textId="77777777" w:rsidR="00114971" w:rsidRPr="00110F7D" w:rsidRDefault="00114971" w:rsidP="00114971">
      <w:pPr>
        <w:ind w:left="851" w:hanging="851"/>
        <w:rPr>
          <w:b/>
          <w:sz w:val="24"/>
          <w:szCs w:val="24"/>
          <w:u w:val="single"/>
          <w:lang w:val="en-US"/>
        </w:rPr>
      </w:pPr>
      <w:r w:rsidRPr="00110F7D">
        <w:rPr>
          <w:b/>
          <w:sz w:val="24"/>
          <w:szCs w:val="24"/>
          <w:lang w:val="en-US"/>
        </w:rPr>
        <w:t>4.1</w:t>
      </w:r>
      <w:r w:rsidRPr="00110F7D">
        <w:rPr>
          <w:b/>
          <w:sz w:val="24"/>
          <w:szCs w:val="24"/>
          <w:lang w:val="en-US"/>
        </w:rPr>
        <w:tab/>
        <w:t>Therapeutic indications</w:t>
      </w:r>
    </w:p>
    <w:p w14:paraId="13D369A2" w14:textId="77777777" w:rsidR="00652442" w:rsidRPr="00110F7D" w:rsidRDefault="00652442" w:rsidP="00CC5520">
      <w:pPr>
        <w:ind w:left="851"/>
        <w:rPr>
          <w:noProof/>
          <w:sz w:val="24"/>
          <w:szCs w:val="24"/>
          <w:lang w:val="en-US"/>
        </w:rPr>
      </w:pPr>
      <w:r w:rsidRPr="00110F7D">
        <w:rPr>
          <w:noProof/>
          <w:sz w:val="24"/>
          <w:szCs w:val="24"/>
          <w:lang w:val="en-US"/>
        </w:rPr>
        <w:t>This medicinal product is for diagnostic use only.</w:t>
      </w:r>
    </w:p>
    <w:p w14:paraId="308828D8" w14:textId="77777777" w:rsidR="00652442" w:rsidRPr="00110F7D" w:rsidRDefault="00652442" w:rsidP="00CC5520">
      <w:pPr>
        <w:ind w:left="851"/>
        <w:rPr>
          <w:noProof/>
          <w:sz w:val="24"/>
          <w:szCs w:val="24"/>
          <w:lang w:val="en-US"/>
        </w:rPr>
      </w:pPr>
    </w:p>
    <w:p w14:paraId="7293BAC3" w14:textId="77777777" w:rsidR="00652442" w:rsidRPr="00110F7D" w:rsidRDefault="00652442" w:rsidP="00CC5520">
      <w:pPr>
        <w:ind w:left="851"/>
        <w:rPr>
          <w:sz w:val="24"/>
          <w:szCs w:val="24"/>
          <w:lang w:val="en-US"/>
        </w:rPr>
      </w:pPr>
      <w:bookmarkStart w:id="1" w:name="_Hlk31437092"/>
      <w:proofErr w:type="spellStart"/>
      <w:r w:rsidRPr="00110F7D">
        <w:rPr>
          <w:sz w:val="24"/>
          <w:szCs w:val="24"/>
          <w:lang w:val="en-US"/>
        </w:rPr>
        <w:t>Illuccix</w:t>
      </w:r>
      <w:proofErr w:type="spellEnd"/>
      <w:r w:rsidRPr="00110F7D">
        <w:rPr>
          <w:sz w:val="24"/>
          <w:szCs w:val="24"/>
          <w:lang w:val="en-US"/>
        </w:rPr>
        <w:t xml:space="preserve">, after </w:t>
      </w:r>
      <w:proofErr w:type="spellStart"/>
      <w:r w:rsidRPr="00110F7D">
        <w:rPr>
          <w:sz w:val="24"/>
          <w:szCs w:val="24"/>
          <w:lang w:val="en-US"/>
        </w:rPr>
        <w:t>radiolabelling</w:t>
      </w:r>
      <w:proofErr w:type="spellEnd"/>
      <w:r w:rsidRPr="00110F7D">
        <w:rPr>
          <w:sz w:val="24"/>
          <w:szCs w:val="24"/>
          <w:lang w:val="en-US"/>
        </w:rPr>
        <w:t xml:space="preserve"> with gallium-68, is indicated for detection of prostate-specific membrane antigen (PSMA)-positive lesions with positron emission tomography (PET) in adults with prostate cancer (</w:t>
      </w:r>
      <w:proofErr w:type="spellStart"/>
      <w:r w:rsidRPr="00110F7D">
        <w:rPr>
          <w:sz w:val="24"/>
          <w:szCs w:val="24"/>
          <w:lang w:val="en-US"/>
        </w:rPr>
        <w:t>PCa</w:t>
      </w:r>
      <w:proofErr w:type="spellEnd"/>
      <w:r w:rsidRPr="00110F7D">
        <w:rPr>
          <w:sz w:val="24"/>
          <w:szCs w:val="24"/>
          <w:lang w:val="en-US"/>
        </w:rPr>
        <w:t>) in the following clinical settings:</w:t>
      </w:r>
      <w:bookmarkEnd w:id="1"/>
    </w:p>
    <w:p w14:paraId="2870B1F1" w14:textId="77777777" w:rsidR="00652442" w:rsidRPr="00110F7D" w:rsidRDefault="00652442" w:rsidP="00110F7D">
      <w:pPr>
        <w:pStyle w:val="Listeafsnit"/>
        <w:numPr>
          <w:ilvl w:val="0"/>
          <w:numId w:val="17"/>
        </w:numPr>
        <w:spacing w:before="0" w:after="0"/>
        <w:ind w:left="1276" w:hanging="425"/>
        <w:jc w:val="left"/>
        <w:rPr>
          <w:rFonts w:ascii="Times New Roman" w:hAnsi="Times New Roman"/>
          <w:sz w:val="24"/>
          <w:szCs w:val="24"/>
          <w:lang w:val="en-GB"/>
        </w:rPr>
      </w:pPr>
      <w:r w:rsidRPr="00110F7D">
        <w:rPr>
          <w:rFonts w:ascii="Times New Roman" w:hAnsi="Times New Roman"/>
          <w:sz w:val="24"/>
          <w:szCs w:val="24"/>
          <w:lang w:val="en-GB"/>
        </w:rPr>
        <w:t xml:space="preserve">Primary staging of patients with high-risk </w:t>
      </w:r>
      <w:proofErr w:type="spellStart"/>
      <w:r w:rsidRPr="00110F7D">
        <w:rPr>
          <w:rFonts w:ascii="Times New Roman" w:hAnsi="Times New Roman"/>
          <w:sz w:val="24"/>
          <w:szCs w:val="24"/>
          <w:lang w:val="en-GB"/>
        </w:rPr>
        <w:t>PCa</w:t>
      </w:r>
      <w:proofErr w:type="spellEnd"/>
      <w:r w:rsidRPr="00110F7D">
        <w:rPr>
          <w:rFonts w:ascii="Times New Roman" w:hAnsi="Times New Roman"/>
          <w:sz w:val="24"/>
          <w:szCs w:val="24"/>
          <w:lang w:val="en-GB"/>
        </w:rPr>
        <w:t xml:space="preserve"> prior to primary curative therapy.</w:t>
      </w:r>
    </w:p>
    <w:p w14:paraId="066741FF" w14:textId="77777777" w:rsidR="00652442" w:rsidRPr="00110F7D" w:rsidRDefault="00652442" w:rsidP="00110F7D">
      <w:pPr>
        <w:pStyle w:val="Listeafsnit"/>
        <w:numPr>
          <w:ilvl w:val="0"/>
          <w:numId w:val="17"/>
        </w:numPr>
        <w:spacing w:before="0" w:after="0"/>
        <w:ind w:left="1276" w:hanging="425"/>
        <w:jc w:val="left"/>
        <w:rPr>
          <w:rFonts w:ascii="Times New Roman" w:hAnsi="Times New Roman"/>
          <w:sz w:val="24"/>
          <w:szCs w:val="24"/>
          <w:lang w:val="en-GB"/>
        </w:rPr>
      </w:pPr>
      <w:r w:rsidRPr="00110F7D">
        <w:rPr>
          <w:rFonts w:ascii="Times New Roman" w:hAnsi="Times New Roman"/>
          <w:sz w:val="24"/>
          <w:szCs w:val="24"/>
          <w:lang w:val="en-GB"/>
        </w:rPr>
        <w:lastRenderedPageBreak/>
        <w:t xml:space="preserve">Suspected recurrent </w:t>
      </w:r>
      <w:proofErr w:type="spellStart"/>
      <w:r w:rsidRPr="00110F7D">
        <w:rPr>
          <w:rFonts w:ascii="Times New Roman" w:hAnsi="Times New Roman"/>
          <w:sz w:val="24"/>
          <w:szCs w:val="24"/>
          <w:lang w:val="en-GB"/>
        </w:rPr>
        <w:t>PCa</w:t>
      </w:r>
      <w:proofErr w:type="spellEnd"/>
      <w:r w:rsidRPr="00110F7D">
        <w:rPr>
          <w:rFonts w:ascii="Times New Roman" w:hAnsi="Times New Roman"/>
          <w:sz w:val="24"/>
          <w:szCs w:val="24"/>
          <w:lang w:val="en-GB"/>
        </w:rPr>
        <w:t xml:space="preserve"> in patients with increasing levels of serum prostate-specific antigen (PSA) after primary curative therapy.</w:t>
      </w:r>
    </w:p>
    <w:p w14:paraId="425B8623" w14:textId="77777777" w:rsidR="00652442" w:rsidRPr="00110F7D" w:rsidRDefault="00652442" w:rsidP="00110F7D">
      <w:pPr>
        <w:pStyle w:val="Listeafsnit"/>
        <w:numPr>
          <w:ilvl w:val="0"/>
          <w:numId w:val="17"/>
        </w:numPr>
        <w:spacing w:before="0" w:after="0"/>
        <w:ind w:left="1276" w:hanging="425"/>
        <w:jc w:val="left"/>
        <w:rPr>
          <w:rFonts w:ascii="Times New Roman" w:hAnsi="Times New Roman"/>
          <w:sz w:val="24"/>
          <w:szCs w:val="24"/>
          <w:lang w:val="en-GB"/>
        </w:rPr>
      </w:pPr>
      <w:r w:rsidRPr="00110F7D">
        <w:rPr>
          <w:rFonts w:ascii="Times New Roman" w:hAnsi="Times New Roman"/>
          <w:sz w:val="24"/>
          <w:szCs w:val="24"/>
          <w:lang w:val="en-GB"/>
        </w:rPr>
        <w:t>Identification of patients with PSMA-positive progressive metastatic castration-resistant prostate cancer (</w:t>
      </w:r>
      <w:proofErr w:type="spellStart"/>
      <w:r w:rsidRPr="00110F7D">
        <w:rPr>
          <w:rFonts w:ascii="Times New Roman" w:hAnsi="Times New Roman"/>
          <w:sz w:val="24"/>
          <w:szCs w:val="24"/>
          <w:lang w:val="en-GB"/>
        </w:rPr>
        <w:t>mCRPC</w:t>
      </w:r>
      <w:proofErr w:type="spellEnd"/>
      <w:r w:rsidRPr="00110F7D">
        <w:rPr>
          <w:rFonts w:ascii="Times New Roman" w:hAnsi="Times New Roman"/>
          <w:sz w:val="24"/>
          <w:szCs w:val="24"/>
          <w:lang w:val="en-GB"/>
        </w:rPr>
        <w:t>) for whom PSMA-targeted therapy is indicated (see section 4.4).</w:t>
      </w:r>
    </w:p>
    <w:p w14:paraId="069AE9B1" w14:textId="77777777" w:rsidR="00114971" w:rsidRPr="00110F7D" w:rsidRDefault="00114971" w:rsidP="00114971">
      <w:pPr>
        <w:tabs>
          <w:tab w:val="left" w:pos="851"/>
        </w:tabs>
        <w:ind w:left="851"/>
        <w:rPr>
          <w:sz w:val="24"/>
          <w:szCs w:val="24"/>
          <w:lang w:val="en-US"/>
        </w:rPr>
      </w:pPr>
    </w:p>
    <w:p w14:paraId="0003D6EA" w14:textId="77777777" w:rsidR="00114971" w:rsidRPr="00110F7D" w:rsidRDefault="00114971" w:rsidP="00114971">
      <w:pPr>
        <w:tabs>
          <w:tab w:val="left" w:pos="851"/>
        </w:tabs>
        <w:ind w:left="851" w:hanging="851"/>
        <w:rPr>
          <w:sz w:val="24"/>
          <w:szCs w:val="24"/>
          <w:lang w:val="en-US"/>
        </w:rPr>
      </w:pPr>
      <w:r w:rsidRPr="00110F7D">
        <w:rPr>
          <w:b/>
          <w:sz w:val="24"/>
          <w:szCs w:val="24"/>
          <w:lang w:val="en-US"/>
        </w:rPr>
        <w:t>4.2</w:t>
      </w:r>
      <w:r w:rsidRPr="00110F7D">
        <w:rPr>
          <w:b/>
          <w:sz w:val="24"/>
          <w:szCs w:val="24"/>
          <w:lang w:val="en-US"/>
        </w:rPr>
        <w:tab/>
        <w:t>Posology and method of administration</w:t>
      </w:r>
    </w:p>
    <w:p w14:paraId="38253C81" w14:textId="77777777" w:rsidR="00652442" w:rsidRPr="00110F7D" w:rsidRDefault="00652442" w:rsidP="00CC5520">
      <w:pPr>
        <w:ind w:left="851"/>
        <w:rPr>
          <w:sz w:val="24"/>
          <w:szCs w:val="24"/>
          <w:lang w:val="en-US" w:eastAsia="fr-FR"/>
        </w:rPr>
      </w:pPr>
      <w:r w:rsidRPr="00110F7D">
        <w:rPr>
          <w:sz w:val="24"/>
          <w:szCs w:val="24"/>
          <w:lang w:val="en-US" w:eastAsia="fr-FR"/>
        </w:rPr>
        <w:t xml:space="preserve">This medicinal product should only be administered by trained healthcare professionals with technical expertise in using and handling nuclear medicine imaging agents and only in a designated nuclear medicine facility. </w:t>
      </w:r>
      <w:r w:rsidRPr="00110F7D">
        <w:rPr>
          <w:sz w:val="24"/>
          <w:szCs w:val="24"/>
          <w:lang w:val="en-US"/>
        </w:rPr>
        <w:t>PET/CT images should only be interpreted by readers trained in the interpretation of PET/CT images with gallium (</w:t>
      </w:r>
      <w:r w:rsidRPr="00110F7D">
        <w:rPr>
          <w:sz w:val="24"/>
          <w:szCs w:val="24"/>
          <w:vertAlign w:val="superscript"/>
          <w:lang w:val="en-US"/>
        </w:rPr>
        <w:t>68</w:t>
      </w:r>
      <w:r w:rsidRPr="00110F7D">
        <w:rPr>
          <w:sz w:val="24"/>
          <w:szCs w:val="24"/>
          <w:lang w:val="en-US"/>
        </w:rPr>
        <w:t>Ga) (see section 4.4).</w:t>
      </w:r>
    </w:p>
    <w:p w14:paraId="078EE32E" w14:textId="77777777" w:rsidR="00652442" w:rsidRPr="00110F7D" w:rsidRDefault="00652442" w:rsidP="00CC5520">
      <w:pPr>
        <w:ind w:left="851"/>
        <w:rPr>
          <w:sz w:val="24"/>
          <w:szCs w:val="24"/>
          <w:u w:val="single"/>
          <w:lang w:val="en-US" w:eastAsia="en-US"/>
        </w:rPr>
      </w:pPr>
    </w:p>
    <w:p w14:paraId="0FAE05AD" w14:textId="77777777" w:rsidR="00652442" w:rsidRPr="00110F7D" w:rsidRDefault="00652442" w:rsidP="00CC5520">
      <w:pPr>
        <w:ind w:left="851"/>
        <w:rPr>
          <w:sz w:val="24"/>
          <w:szCs w:val="24"/>
          <w:u w:val="single"/>
          <w:lang w:val="en-US"/>
        </w:rPr>
      </w:pPr>
      <w:r w:rsidRPr="00110F7D">
        <w:rPr>
          <w:sz w:val="24"/>
          <w:szCs w:val="24"/>
          <w:u w:val="single"/>
          <w:lang w:val="en-US"/>
        </w:rPr>
        <w:t>Posology</w:t>
      </w:r>
    </w:p>
    <w:p w14:paraId="221C6689" w14:textId="77777777" w:rsidR="00652442" w:rsidRPr="00110F7D" w:rsidRDefault="00652442" w:rsidP="00CC5520">
      <w:pPr>
        <w:ind w:left="851"/>
        <w:rPr>
          <w:sz w:val="24"/>
          <w:szCs w:val="24"/>
          <w:u w:val="single"/>
          <w:lang w:val="en-US"/>
        </w:rPr>
      </w:pPr>
    </w:p>
    <w:p w14:paraId="36966173" w14:textId="77777777" w:rsidR="00652442" w:rsidRPr="00110F7D" w:rsidRDefault="00652442" w:rsidP="00CC5520">
      <w:pPr>
        <w:ind w:left="851"/>
        <w:rPr>
          <w:sz w:val="24"/>
          <w:szCs w:val="24"/>
          <w:lang w:val="en-US"/>
        </w:rPr>
      </w:pPr>
      <w:r w:rsidRPr="00110F7D">
        <w:rPr>
          <w:sz w:val="24"/>
          <w:szCs w:val="24"/>
          <w:lang w:val="en-US"/>
        </w:rPr>
        <w:t>Adults</w:t>
      </w:r>
    </w:p>
    <w:p w14:paraId="42253DC9" w14:textId="77777777" w:rsidR="00652442" w:rsidRPr="00110F7D" w:rsidRDefault="00652442" w:rsidP="00CC5520">
      <w:pPr>
        <w:ind w:left="851"/>
        <w:rPr>
          <w:sz w:val="24"/>
          <w:szCs w:val="24"/>
          <w:lang w:val="en-US"/>
        </w:rPr>
      </w:pPr>
      <w:r w:rsidRPr="00110F7D">
        <w:rPr>
          <w:sz w:val="24"/>
          <w:szCs w:val="24"/>
          <w:lang w:val="en-US"/>
        </w:rPr>
        <w:t xml:space="preserve">The recommended injected activity is 1.8–2.2 </w:t>
      </w:r>
      <w:proofErr w:type="spellStart"/>
      <w:r w:rsidRPr="00110F7D">
        <w:rPr>
          <w:sz w:val="24"/>
          <w:szCs w:val="24"/>
          <w:lang w:val="en-US"/>
        </w:rPr>
        <w:t>MBq</w:t>
      </w:r>
      <w:proofErr w:type="spellEnd"/>
      <w:r w:rsidRPr="00110F7D">
        <w:rPr>
          <w:sz w:val="24"/>
          <w:szCs w:val="24"/>
          <w:lang w:val="en-US"/>
        </w:rPr>
        <w:t xml:space="preserve"> per kilogram of body weight (corresponding to 126 to 154 </w:t>
      </w:r>
      <w:proofErr w:type="spellStart"/>
      <w:r w:rsidRPr="00110F7D">
        <w:rPr>
          <w:sz w:val="24"/>
          <w:szCs w:val="24"/>
          <w:lang w:val="en-US"/>
        </w:rPr>
        <w:t>MBq</w:t>
      </w:r>
      <w:proofErr w:type="spellEnd"/>
      <w:r w:rsidRPr="00110F7D">
        <w:rPr>
          <w:sz w:val="24"/>
          <w:szCs w:val="24"/>
          <w:lang w:val="en-US"/>
        </w:rPr>
        <w:t xml:space="preserve"> for an adult weighing 70 kg) with a minimum dose of 111 </w:t>
      </w:r>
      <w:proofErr w:type="spellStart"/>
      <w:r w:rsidRPr="00110F7D">
        <w:rPr>
          <w:sz w:val="24"/>
          <w:szCs w:val="24"/>
          <w:lang w:val="en-US"/>
        </w:rPr>
        <w:t>MBq</w:t>
      </w:r>
      <w:proofErr w:type="spellEnd"/>
      <w:r w:rsidRPr="00110F7D">
        <w:rPr>
          <w:sz w:val="24"/>
          <w:szCs w:val="24"/>
          <w:lang w:val="en-US"/>
        </w:rPr>
        <w:t xml:space="preserve"> up to a maximum dose of 259 </w:t>
      </w:r>
      <w:proofErr w:type="spellStart"/>
      <w:r w:rsidRPr="00110F7D">
        <w:rPr>
          <w:sz w:val="24"/>
          <w:szCs w:val="24"/>
          <w:lang w:val="en-US"/>
        </w:rPr>
        <w:t>MBq</w:t>
      </w:r>
      <w:proofErr w:type="spellEnd"/>
      <w:r w:rsidRPr="00110F7D">
        <w:rPr>
          <w:sz w:val="24"/>
          <w:szCs w:val="24"/>
          <w:lang w:val="en-US"/>
        </w:rPr>
        <w:t>.</w:t>
      </w:r>
    </w:p>
    <w:p w14:paraId="29C02D06" w14:textId="77777777" w:rsidR="00652442" w:rsidRPr="00110F7D" w:rsidRDefault="00652442" w:rsidP="00CC5520">
      <w:pPr>
        <w:ind w:left="851"/>
        <w:rPr>
          <w:sz w:val="24"/>
          <w:szCs w:val="24"/>
          <w:lang w:val="en-US"/>
        </w:rPr>
      </w:pPr>
    </w:p>
    <w:p w14:paraId="4C8C1353" w14:textId="77777777" w:rsidR="00652442" w:rsidRPr="00110F7D" w:rsidRDefault="00652442" w:rsidP="00CC5520">
      <w:pPr>
        <w:ind w:left="851"/>
        <w:rPr>
          <w:sz w:val="24"/>
          <w:szCs w:val="24"/>
          <w:lang w:val="en-US"/>
        </w:rPr>
      </w:pPr>
      <w:r w:rsidRPr="00110F7D">
        <w:rPr>
          <w:sz w:val="24"/>
          <w:szCs w:val="24"/>
          <w:lang w:val="en-US"/>
        </w:rPr>
        <w:t>Special populations</w:t>
      </w:r>
    </w:p>
    <w:p w14:paraId="34CE3051" w14:textId="77777777" w:rsidR="00652442" w:rsidRPr="00110F7D" w:rsidRDefault="00652442" w:rsidP="00CC5520">
      <w:pPr>
        <w:ind w:left="851"/>
        <w:rPr>
          <w:i/>
          <w:iCs/>
          <w:sz w:val="24"/>
          <w:szCs w:val="24"/>
          <w:lang w:val="en-US"/>
        </w:rPr>
      </w:pPr>
      <w:r w:rsidRPr="00110F7D">
        <w:rPr>
          <w:i/>
          <w:iCs/>
          <w:sz w:val="24"/>
          <w:szCs w:val="24"/>
          <w:lang w:val="en-US"/>
        </w:rPr>
        <w:t>Elderly</w:t>
      </w:r>
    </w:p>
    <w:p w14:paraId="6520731B" w14:textId="77777777" w:rsidR="00652442" w:rsidRPr="00110F7D" w:rsidRDefault="00652442" w:rsidP="00CC5520">
      <w:pPr>
        <w:ind w:left="851"/>
        <w:rPr>
          <w:sz w:val="24"/>
          <w:szCs w:val="24"/>
          <w:lang w:val="en-US"/>
        </w:rPr>
      </w:pPr>
      <w:r w:rsidRPr="00110F7D">
        <w:rPr>
          <w:sz w:val="24"/>
          <w:szCs w:val="24"/>
          <w:lang w:val="en-US"/>
        </w:rPr>
        <w:t>No dose adjustment is required.</w:t>
      </w:r>
    </w:p>
    <w:p w14:paraId="28ECD14A" w14:textId="77777777" w:rsidR="00652442" w:rsidRPr="00110F7D" w:rsidRDefault="00652442" w:rsidP="00CC5520">
      <w:pPr>
        <w:ind w:left="851"/>
        <w:rPr>
          <w:sz w:val="24"/>
          <w:szCs w:val="24"/>
          <w:lang w:val="en-US"/>
        </w:rPr>
      </w:pPr>
    </w:p>
    <w:p w14:paraId="2025CEBD" w14:textId="77777777" w:rsidR="00652442" w:rsidRPr="00110F7D" w:rsidRDefault="00652442" w:rsidP="00CC5520">
      <w:pPr>
        <w:ind w:left="851"/>
        <w:rPr>
          <w:i/>
          <w:iCs/>
          <w:sz w:val="24"/>
          <w:szCs w:val="24"/>
          <w:lang w:val="en-US"/>
        </w:rPr>
      </w:pPr>
      <w:r w:rsidRPr="00110F7D">
        <w:rPr>
          <w:i/>
          <w:iCs/>
          <w:sz w:val="24"/>
          <w:szCs w:val="24"/>
          <w:lang w:val="en-US"/>
        </w:rPr>
        <w:t>Renal impairment</w:t>
      </w:r>
    </w:p>
    <w:p w14:paraId="6578EDBE" w14:textId="77777777" w:rsidR="00652442" w:rsidRPr="00110F7D" w:rsidRDefault="00652442" w:rsidP="00CC5520">
      <w:pPr>
        <w:ind w:left="851"/>
        <w:rPr>
          <w:sz w:val="24"/>
          <w:szCs w:val="24"/>
          <w:lang w:val="en-US"/>
        </w:rPr>
      </w:pPr>
      <w:r w:rsidRPr="00110F7D">
        <w:rPr>
          <w:sz w:val="24"/>
          <w:szCs w:val="24"/>
          <w:lang w:val="en-US"/>
        </w:rPr>
        <w:t>There are no data with gallium (</w:t>
      </w:r>
      <w:r w:rsidRPr="00110F7D">
        <w:rPr>
          <w:sz w:val="24"/>
          <w:szCs w:val="24"/>
          <w:vertAlign w:val="superscript"/>
          <w:lang w:val="en-US"/>
        </w:rPr>
        <w:t>68</w:t>
      </w:r>
      <w:r w:rsidRPr="00110F7D">
        <w:rPr>
          <w:sz w:val="24"/>
          <w:szCs w:val="24"/>
          <w:lang w:val="en-US"/>
        </w:rPr>
        <w:t xml:space="preserve">Ga) </w:t>
      </w:r>
      <w:proofErr w:type="spellStart"/>
      <w:r w:rsidRPr="00110F7D">
        <w:rPr>
          <w:sz w:val="24"/>
          <w:szCs w:val="24"/>
          <w:lang w:val="en-US"/>
        </w:rPr>
        <w:t>gozetotide</w:t>
      </w:r>
      <w:proofErr w:type="spellEnd"/>
      <w:r w:rsidRPr="00110F7D">
        <w:rPr>
          <w:sz w:val="24"/>
          <w:szCs w:val="24"/>
          <w:lang w:val="en-US"/>
        </w:rPr>
        <w:t xml:space="preserve"> in patients with moderate to severe/end-stage renal impairment. No dose adjustment is considered necessary in patients with renal impairment (see section 5.2).</w:t>
      </w:r>
    </w:p>
    <w:p w14:paraId="6B457DFE" w14:textId="77777777" w:rsidR="00652442" w:rsidRPr="00110F7D" w:rsidRDefault="00652442" w:rsidP="00CC5520">
      <w:pPr>
        <w:ind w:left="851"/>
        <w:rPr>
          <w:sz w:val="24"/>
          <w:szCs w:val="24"/>
          <w:lang w:val="en-US"/>
        </w:rPr>
      </w:pPr>
      <w:bookmarkStart w:id="2" w:name="_Hlk31436560"/>
    </w:p>
    <w:bookmarkEnd w:id="2"/>
    <w:p w14:paraId="63FF6FA9" w14:textId="77777777" w:rsidR="00652442" w:rsidRPr="00110F7D" w:rsidRDefault="00652442" w:rsidP="00CC5520">
      <w:pPr>
        <w:ind w:left="851"/>
        <w:rPr>
          <w:sz w:val="24"/>
          <w:szCs w:val="24"/>
          <w:lang w:val="en-US"/>
        </w:rPr>
      </w:pPr>
      <w:r w:rsidRPr="00110F7D">
        <w:rPr>
          <w:i/>
          <w:iCs/>
          <w:sz w:val="24"/>
          <w:szCs w:val="24"/>
          <w:lang w:val="en-US"/>
        </w:rPr>
        <w:t>Hepatic impairment</w:t>
      </w:r>
    </w:p>
    <w:p w14:paraId="596B7FEF" w14:textId="77777777" w:rsidR="00652442" w:rsidRPr="00110F7D" w:rsidRDefault="00652442" w:rsidP="00CC5520">
      <w:pPr>
        <w:ind w:left="851"/>
        <w:rPr>
          <w:sz w:val="24"/>
          <w:szCs w:val="24"/>
          <w:lang w:val="en-US"/>
        </w:rPr>
      </w:pPr>
      <w:r w:rsidRPr="00110F7D">
        <w:rPr>
          <w:sz w:val="24"/>
          <w:szCs w:val="24"/>
          <w:lang w:val="en-US"/>
        </w:rPr>
        <w:t>No dose adjustment is required in patients with hepatic impairment (see section 5.2).</w:t>
      </w:r>
    </w:p>
    <w:p w14:paraId="0C17CFFD" w14:textId="77777777" w:rsidR="00652442" w:rsidRPr="00110F7D" w:rsidRDefault="00652442" w:rsidP="00CC5520">
      <w:pPr>
        <w:ind w:left="851"/>
        <w:rPr>
          <w:sz w:val="24"/>
          <w:szCs w:val="24"/>
          <w:lang w:val="en-US"/>
        </w:rPr>
      </w:pPr>
    </w:p>
    <w:p w14:paraId="0892E06D" w14:textId="77777777" w:rsidR="00652442" w:rsidRPr="00110F7D" w:rsidRDefault="00652442" w:rsidP="00CC5520">
      <w:pPr>
        <w:ind w:left="851"/>
        <w:rPr>
          <w:bCs/>
          <w:i/>
          <w:iCs/>
          <w:sz w:val="24"/>
          <w:szCs w:val="24"/>
          <w:lang w:val="en-US"/>
        </w:rPr>
      </w:pPr>
      <w:r w:rsidRPr="00110F7D">
        <w:rPr>
          <w:bCs/>
          <w:i/>
          <w:iCs/>
          <w:sz w:val="24"/>
          <w:szCs w:val="24"/>
          <w:lang w:val="en-US"/>
        </w:rPr>
        <w:t>Paediatric population</w:t>
      </w:r>
    </w:p>
    <w:p w14:paraId="05B85BF7" w14:textId="77777777" w:rsidR="00652442" w:rsidRPr="00110F7D" w:rsidRDefault="00652442" w:rsidP="00CC5520">
      <w:pPr>
        <w:ind w:left="851"/>
        <w:rPr>
          <w:sz w:val="24"/>
          <w:szCs w:val="24"/>
          <w:lang w:val="en-US"/>
        </w:rPr>
      </w:pPr>
      <w:r w:rsidRPr="00110F7D">
        <w:rPr>
          <w:sz w:val="24"/>
          <w:szCs w:val="24"/>
          <w:lang w:val="en-US"/>
        </w:rPr>
        <w:t xml:space="preserve">There is no relevant use of </w:t>
      </w:r>
      <w:r w:rsidRPr="00110F7D">
        <w:rPr>
          <w:noProof/>
          <w:sz w:val="24"/>
          <w:szCs w:val="24"/>
          <w:lang w:val="en-US"/>
        </w:rPr>
        <w:t>Illuccix</w:t>
      </w:r>
      <w:r w:rsidRPr="00110F7D">
        <w:rPr>
          <w:sz w:val="24"/>
          <w:szCs w:val="24"/>
          <w:lang w:val="en-US"/>
        </w:rPr>
        <w:t xml:space="preserve"> in the paediatric population.</w:t>
      </w:r>
    </w:p>
    <w:p w14:paraId="0CACC636" w14:textId="77777777" w:rsidR="00652442" w:rsidRPr="00110F7D" w:rsidRDefault="00652442" w:rsidP="00CC5520">
      <w:pPr>
        <w:ind w:left="851"/>
        <w:rPr>
          <w:bCs/>
          <w:iCs/>
          <w:sz w:val="24"/>
          <w:szCs w:val="24"/>
          <w:lang w:val="en-US"/>
        </w:rPr>
      </w:pPr>
    </w:p>
    <w:p w14:paraId="5B3CB0ED" w14:textId="77777777" w:rsidR="00652442" w:rsidRPr="00110F7D" w:rsidRDefault="00652442" w:rsidP="00CC5520">
      <w:pPr>
        <w:ind w:left="851"/>
        <w:rPr>
          <w:sz w:val="24"/>
          <w:szCs w:val="24"/>
          <w:u w:val="single"/>
          <w:lang w:val="en-US"/>
        </w:rPr>
      </w:pPr>
      <w:r w:rsidRPr="00110F7D">
        <w:rPr>
          <w:sz w:val="24"/>
          <w:szCs w:val="24"/>
          <w:u w:val="single"/>
          <w:lang w:val="en-US"/>
        </w:rPr>
        <w:t>Method of administration</w:t>
      </w:r>
    </w:p>
    <w:p w14:paraId="425C4D7D" w14:textId="77777777" w:rsidR="00652442" w:rsidRPr="00110F7D" w:rsidRDefault="00652442" w:rsidP="00CC5520">
      <w:pPr>
        <w:ind w:left="851"/>
        <w:rPr>
          <w:sz w:val="24"/>
          <w:szCs w:val="24"/>
          <w:u w:val="single"/>
          <w:lang w:val="en-US"/>
        </w:rPr>
      </w:pPr>
    </w:p>
    <w:p w14:paraId="6A1582A2" w14:textId="77777777" w:rsidR="00652442" w:rsidRPr="00110F7D" w:rsidRDefault="00652442" w:rsidP="00CC5520">
      <w:pPr>
        <w:ind w:left="851"/>
        <w:rPr>
          <w:sz w:val="24"/>
          <w:szCs w:val="24"/>
          <w:lang w:val="en-US"/>
        </w:rPr>
      </w:pPr>
      <w:r w:rsidRPr="00110F7D">
        <w:rPr>
          <w:noProof/>
          <w:sz w:val="24"/>
          <w:szCs w:val="24"/>
          <w:lang w:val="en-US"/>
        </w:rPr>
        <w:t>This medicinal product is for intravenous and multidose use. It should be reconstituted and radiolabelled before administration to the patient</w:t>
      </w:r>
      <w:r w:rsidRPr="00110F7D">
        <w:rPr>
          <w:sz w:val="24"/>
          <w:szCs w:val="24"/>
          <w:lang w:val="en-US"/>
        </w:rPr>
        <w:t>.</w:t>
      </w:r>
    </w:p>
    <w:p w14:paraId="564172F7" w14:textId="77777777" w:rsidR="00652442" w:rsidRPr="00110F7D" w:rsidRDefault="00652442" w:rsidP="00CC5520">
      <w:pPr>
        <w:ind w:left="851"/>
        <w:rPr>
          <w:sz w:val="24"/>
          <w:szCs w:val="24"/>
          <w:lang w:val="en-US"/>
        </w:rPr>
      </w:pPr>
    </w:p>
    <w:p w14:paraId="27E46013" w14:textId="77777777" w:rsidR="00652442" w:rsidRPr="00110F7D" w:rsidRDefault="00652442" w:rsidP="00CC5520">
      <w:pPr>
        <w:ind w:left="851"/>
        <w:rPr>
          <w:sz w:val="24"/>
          <w:szCs w:val="24"/>
          <w:lang w:val="en-US"/>
        </w:rPr>
      </w:pPr>
      <w:r w:rsidRPr="00110F7D">
        <w:rPr>
          <w:sz w:val="24"/>
          <w:szCs w:val="24"/>
          <w:lang w:val="en-US"/>
        </w:rPr>
        <w:t xml:space="preserve">After reconstitution and </w:t>
      </w:r>
      <w:proofErr w:type="spellStart"/>
      <w:r w:rsidRPr="00110F7D">
        <w:rPr>
          <w:sz w:val="24"/>
          <w:szCs w:val="24"/>
          <w:lang w:val="en-US"/>
        </w:rPr>
        <w:t>radiolabelling</w:t>
      </w:r>
      <w:proofErr w:type="spellEnd"/>
      <w:r w:rsidRPr="00110F7D">
        <w:rPr>
          <w:sz w:val="24"/>
          <w:szCs w:val="24"/>
          <w:lang w:val="en-US"/>
        </w:rPr>
        <w:t>, gallium (</w:t>
      </w:r>
      <w:r w:rsidRPr="00110F7D">
        <w:rPr>
          <w:sz w:val="24"/>
          <w:szCs w:val="24"/>
          <w:vertAlign w:val="superscript"/>
          <w:lang w:val="en-US"/>
        </w:rPr>
        <w:t>68</w:t>
      </w:r>
      <w:r w:rsidRPr="00110F7D">
        <w:rPr>
          <w:sz w:val="24"/>
          <w:szCs w:val="24"/>
          <w:lang w:val="en-US"/>
        </w:rPr>
        <w:t xml:space="preserve">Ga) </w:t>
      </w:r>
      <w:proofErr w:type="spellStart"/>
      <w:r w:rsidRPr="00110F7D">
        <w:rPr>
          <w:sz w:val="24"/>
          <w:szCs w:val="24"/>
          <w:lang w:val="en-US"/>
        </w:rPr>
        <w:t>gozetotide</w:t>
      </w:r>
      <w:proofErr w:type="spellEnd"/>
      <w:r w:rsidRPr="00110F7D">
        <w:rPr>
          <w:sz w:val="24"/>
          <w:szCs w:val="24"/>
          <w:lang w:val="en-US"/>
        </w:rPr>
        <w:t xml:space="preserve"> solution for injection should be administered as a slow single intravenous bolus followed by an intravenous flush of sterile sodium chloride 9 mg/ml (0.9%) solution for injection to ensure full delivery of the dose. Local extravasation resulting in inadvertent radiation exposure to the patient and imaging artefacts should be avoided. The speed of administration depends on the venous tolerability to low pH solution, which is mainly dependent on the blood flow of the vein used for the injection.</w:t>
      </w:r>
    </w:p>
    <w:p w14:paraId="7F46736B" w14:textId="77777777" w:rsidR="00652442" w:rsidRPr="00110F7D" w:rsidRDefault="00652442" w:rsidP="00CC5520">
      <w:pPr>
        <w:ind w:left="851"/>
        <w:rPr>
          <w:sz w:val="24"/>
          <w:szCs w:val="24"/>
          <w:lang w:val="en-US"/>
        </w:rPr>
      </w:pPr>
    </w:p>
    <w:p w14:paraId="4CC6CAC1" w14:textId="77777777" w:rsidR="00652442" w:rsidRPr="00110F7D" w:rsidRDefault="00652442" w:rsidP="00CC5520">
      <w:pPr>
        <w:ind w:left="851"/>
        <w:rPr>
          <w:sz w:val="24"/>
          <w:szCs w:val="24"/>
          <w:lang w:val="en-US"/>
        </w:rPr>
      </w:pPr>
      <w:r w:rsidRPr="00110F7D">
        <w:rPr>
          <w:sz w:val="24"/>
          <w:szCs w:val="24"/>
          <w:lang w:val="en-US"/>
        </w:rPr>
        <w:t>The radioactivity of gallium (</w:t>
      </w:r>
      <w:r w:rsidRPr="00110F7D">
        <w:rPr>
          <w:sz w:val="24"/>
          <w:szCs w:val="24"/>
          <w:vertAlign w:val="superscript"/>
          <w:lang w:val="en-US"/>
        </w:rPr>
        <w:t>68</w:t>
      </w:r>
      <w:r w:rsidRPr="00110F7D">
        <w:rPr>
          <w:sz w:val="24"/>
          <w:szCs w:val="24"/>
          <w:lang w:val="en-US"/>
        </w:rPr>
        <w:t xml:space="preserve">Ga) </w:t>
      </w:r>
      <w:proofErr w:type="spellStart"/>
      <w:r w:rsidRPr="00110F7D">
        <w:rPr>
          <w:sz w:val="24"/>
          <w:szCs w:val="24"/>
          <w:lang w:val="en-US"/>
        </w:rPr>
        <w:t>gozetotide</w:t>
      </w:r>
      <w:proofErr w:type="spellEnd"/>
      <w:r w:rsidRPr="00110F7D">
        <w:rPr>
          <w:sz w:val="24"/>
          <w:szCs w:val="24"/>
          <w:lang w:val="en-US"/>
        </w:rPr>
        <w:t xml:space="preserve"> solution for injection in the syringe should be measured with a dose calibrator immediately before and after administration to the patient. </w:t>
      </w:r>
      <w:r w:rsidRPr="00110F7D">
        <w:rPr>
          <w:sz w:val="24"/>
          <w:szCs w:val="24"/>
          <w:lang w:val="en-US" w:eastAsia="fr-FR"/>
        </w:rPr>
        <w:t>The dose calibrator must be calibrated and comply with international standards.</w:t>
      </w:r>
    </w:p>
    <w:p w14:paraId="015D23C3" w14:textId="77777777" w:rsidR="00652442" w:rsidRPr="00110F7D" w:rsidRDefault="00652442" w:rsidP="00CC5520">
      <w:pPr>
        <w:ind w:left="851"/>
        <w:rPr>
          <w:sz w:val="24"/>
          <w:szCs w:val="24"/>
          <w:lang w:val="en-US"/>
        </w:rPr>
      </w:pPr>
    </w:p>
    <w:p w14:paraId="6D31948D" w14:textId="77777777" w:rsidR="00652442" w:rsidRPr="00110F7D" w:rsidRDefault="00652442" w:rsidP="00CC5520">
      <w:pPr>
        <w:ind w:left="851"/>
        <w:rPr>
          <w:sz w:val="24"/>
          <w:szCs w:val="24"/>
          <w:lang w:val="en-US"/>
        </w:rPr>
      </w:pPr>
      <w:r w:rsidRPr="00110F7D">
        <w:rPr>
          <w:sz w:val="24"/>
          <w:szCs w:val="24"/>
          <w:lang w:val="en-US"/>
        </w:rPr>
        <w:t>For patient preparation, see section 4.4.</w:t>
      </w:r>
    </w:p>
    <w:p w14:paraId="221CE594" w14:textId="77777777" w:rsidR="00652442" w:rsidRPr="00110F7D" w:rsidRDefault="00652442" w:rsidP="00CC5520">
      <w:pPr>
        <w:ind w:left="851"/>
        <w:rPr>
          <w:sz w:val="24"/>
          <w:szCs w:val="24"/>
          <w:lang w:val="en-US"/>
        </w:rPr>
      </w:pPr>
    </w:p>
    <w:p w14:paraId="49A023A0" w14:textId="77777777" w:rsidR="00652442" w:rsidRPr="00110F7D" w:rsidRDefault="00652442" w:rsidP="00CC5520">
      <w:pPr>
        <w:ind w:left="851"/>
        <w:rPr>
          <w:sz w:val="24"/>
          <w:szCs w:val="24"/>
          <w:lang w:val="en-US"/>
        </w:rPr>
      </w:pPr>
      <w:r w:rsidRPr="00110F7D">
        <w:rPr>
          <w:sz w:val="24"/>
          <w:szCs w:val="24"/>
          <w:lang w:val="en-US"/>
        </w:rPr>
        <w:t xml:space="preserve">For instructions on reconstitution and </w:t>
      </w:r>
      <w:proofErr w:type="spellStart"/>
      <w:r w:rsidRPr="00110F7D">
        <w:rPr>
          <w:sz w:val="24"/>
          <w:szCs w:val="24"/>
          <w:lang w:val="en-US"/>
        </w:rPr>
        <w:t>radiolabelling</w:t>
      </w:r>
      <w:proofErr w:type="spellEnd"/>
      <w:r w:rsidRPr="00110F7D">
        <w:rPr>
          <w:sz w:val="24"/>
          <w:szCs w:val="24"/>
          <w:lang w:val="en-US"/>
        </w:rPr>
        <w:t xml:space="preserve"> of the medicinal product before administration, see section 12.</w:t>
      </w:r>
    </w:p>
    <w:p w14:paraId="1F838832" w14:textId="77777777" w:rsidR="00652442" w:rsidRPr="00110F7D" w:rsidRDefault="00652442" w:rsidP="00CC5520">
      <w:pPr>
        <w:ind w:left="851"/>
        <w:rPr>
          <w:sz w:val="24"/>
          <w:szCs w:val="24"/>
          <w:lang w:val="en-US"/>
        </w:rPr>
      </w:pPr>
    </w:p>
    <w:p w14:paraId="140C9C31" w14:textId="77777777" w:rsidR="00652442" w:rsidRPr="00110F7D" w:rsidRDefault="00652442" w:rsidP="00CC5520">
      <w:pPr>
        <w:ind w:left="851"/>
        <w:rPr>
          <w:i/>
          <w:iCs/>
          <w:sz w:val="24"/>
          <w:szCs w:val="24"/>
          <w:lang w:val="en-US"/>
        </w:rPr>
      </w:pPr>
      <w:r w:rsidRPr="00110F7D">
        <w:rPr>
          <w:i/>
          <w:iCs/>
          <w:sz w:val="24"/>
          <w:szCs w:val="24"/>
          <w:lang w:val="en-US"/>
        </w:rPr>
        <w:t>Image acquisition</w:t>
      </w:r>
    </w:p>
    <w:p w14:paraId="42D0B5DA" w14:textId="77777777" w:rsidR="00652442" w:rsidRPr="00110F7D" w:rsidRDefault="00652442" w:rsidP="00CC5520">
      <w:pPr>
        <w:ind w:left="851"/>
        <w:rPr>
          <w:sz w:val="24"/>
          <w:szCs w:val="24"/>
          <w:lang w:val="en-US"/>
        </w:rPr>
      </w:pPr>
      <w:r w:rsidRPr="00110F7D">
        <w:rPr>
          <w:sz w:val="24"/>
          <w:szCs w:val="24"/>
          <w:lang w:val="en-US"/>
        </w:rPr>
        <w:t>The patient should be positioned supine with arms above the head whenever possible. A low-dose Computed Tomography (CT) or Magnetic Resonance Imaging (MRI) scan should be obtained for attenuation correction and anatomic correlation. PET scanning should begin 60 min after the intravenous administration of gallium (</w:t>
      </w:r>
      <w:r w:rsidRPr="00110F7D">
        <w:rPr>
          <w:sz w:val="24"/>
          <w:szCs w:val="24"/>
          <w:vertAlign w:val="superscript"/>
          <w:lang w:val="en-US"/>
        </w:rPr>
        <w:t>68</w:t>
      </w:r>
      <w:r w:rsidRPr="00110F7D">
        <w:rPr>
          <w:sz w:val="24"/>
          <w:szCs w:val="24"/>
          <w:lang w:val="en-US"/>
        </w:rPr>
        <w:t xml:space="preserve">Ga) </w:t>
      </w:r>
      <w:proofErr w:type="spellStart"/>
      <w:r w:rsidRPr="00110F7D">
        <w:rPr>
          <w:sz w:val="24"/>
          <w:szCs w:val="24"/>
          <w:lang w:val="en-US"/>
        </w:rPr>
        <w:t>gozetotide</w:t>
      </w:r>
      <w:proofErr w:type="spellEnd"/>
      <w:r w:rsidRPr="00110F7D">
        <w:rPr>
          <w:sz w:val="24"/>
          <w:szCs w:val="24"/>
          <w:lang w:val="en-US"/>
        </w:rPr>
        <w:t xml:space="preserve"> solution for injection, with an acceptable range of 50 to 100 min.</w:t>
      </w:r>
    </w:p>
    <w:p w14:paraId="5BDD52EC" w14:textId="77777777" w:rsidR="00652442" w:rsidRPr="00110F7D" w:rsidRDefault="00652442" w:rsidP="00CC5520">
      <w:pPr>
        <w:ind w:left="851"/>
        <w:rPr>
          <w:sz w:val="24"/>
          <w:szCs w:val="24"/>
          <w:lang w:val="en-US"/>
        </w:rPr>
      </w:pPr>
    </w:p>
    <w:p w14:paraId="54C302B2" w14:textId="77777777" w:rsidR="00652442" w:rsidRPr="00110F7D" w:rsidRDefault="00652442" w:rsidP="00CC5520">
      <w:pPr>
        <w:ind w:left="851"/>
        <w:rPr>
          <w:sz w:val="24"/>
          <w:szCs w:val="24"/>
          <w:lang w:val="en-US"/>
        </w:rPr>
      </w:pPr>
      <w:r w:rsidRPr="00110F7D">
        <w:rPr>
          <w:sz w:val="24"/>
          <w:szCs w:val="24"/>
          <w:lang w:val="en-US"/>
        </w:rPr>
        <w:t>The interval between intravenous administration of gallium (</w:t>
      </w:r>
      <w:r w:rsidRPr="00110F7D">
        <w:rPr>
          <w:sz w:val="24"/>
          <w:szCs w:val="24"/>
          <w:vertAlign w:val="superscript"/>
          <w:lang w:val="en-US"/>
        </w:rPr>
        <w:t>68</w:t>
      </w:r>
      <w:r w:rsidRPr="00110F7D">
        <w:rPr>
          <w:sz w:val="24"/>
          <w:szCs w:val="24"/>
          <w:lang w:val="en-US"/>
        </w:rPr>
        <w:t xml:space="preserve">Ga) </w:t>
      </w:r>
      <w:proofErr w:type="spellStart"/>
      <w:r w:rsidRPr="00110F7D">
        <w:rPr>
          <w:sz w:val="24"/>
          <w:szCs w:val="24"/>
          <w:lang w:val="en-US"/>
        </w:rPr>
        <w:t>gozetotide</w:t>
      </w:r>
      <w:proofErr w:type="spellEnd"/>
      <w:r w:rsidRPr="00110F7D">
        <w:rPr>
          <w:sz w:val="24"/>
          <w:szCs w:val="24"/>
          <w:lang w:val="en-US"/>
        </w:rPr>
        <w:t xml:space="preserve"> solution for injection and imaging should be recorded. PET must include a whole-body acquisition from the mid-thigh to the vertex as to exploit the reduced gallium (</w:t>
      </w:r>
      <w:r w:rsidRPr="00110F7D">
        <w:rPr>
          <w:sz w:val="24"/>
          <w:szCs w:val="24"/>
          <w:vertAlign w:val="superscript"/>
          <w:lang w:val="en-US"/>
        </w:rPr>
        <w:t>68</w:t>
      </w:r>
      <w:r w:rsidRPr="00110F7D">
        <w:rPr>
          <w:sz w:val="24"/>
          <w:szCs w:val="24"/>
          <w:lang w:val="en-US"/>
        </w:rPr>
        <w:t xml:space="preserve">Ga) </w:t>
      </w:r>
      <w:proofErr w:type="spellStart"/>
      <w:r w:rsidRPr="00110F7D">
        <w:rPr>
          <w:sz w:val="24"/>
          <w:szCs w:val="24"/>
          <w:lang w:val="en-US"/>
        </w:rPr>
        <w:t>gozetotide</w:t>
      </w:r>
      <w:proofErr w:type="spellEnd"/>
      <w:r w:rsidRPr="00110F7D">
        <w:rPr>
          <w:sz w:val="24"/>
          <w:szCs w:val="24"/>
          <w:lang w:val="en-US"/>
        </w:rPr>
        <w:t xml:space="preserve"> ligand activity in the urinary bladder after pre-scan voiding.</w:t>
      </w:r>
    </w:p>
    <w:p w14:paraId="584B5422" w14:textId="77777777" w:rsidR="00652442" w:rsidRPr="00110F7D" w:rsidRDefault="00652442" w:rsidP="00CC5520">
      <w:pPr>
        <w:ind w:left="851"/>
        <w:rPr>
          <w:sz w:val="24"/>
          <w:szCs w:val="24"/>
          <w:lang w:val="en-US"/>
        </w:rPr>
      </w:pPr>
    </w:p>
    <w:p w14:paraId="5CE784A6" w14:textId="77777777" w:rsidR="00652442" w:rsidRPr="00110F7D" w:rsidRDefault="00652442" w:rsidP="00CC5520">
      <w:pPr>
        <w:ind w:left="851"/>
        <w:rPr>
          <w:sz w:val="24"/>
          <w:szCs w:val="24"/>
          <w:lang w:val="en-US"/>
        </w:rPr>
      </w:pPr>
      <w:r w:rsidRPr="00110F7D">
        <w:rPr>
          <w:sz w:val="24"/>
          <w:szCs w:val="24"/>
          <w:lang w:val="en-US"/>
        </w:rPr>
        <w:t>Acquisition should proceed from the lower end of the axial field of view cranially, in a three-dimensional (3D) mode with an acquisition time of usually 2-4 min per bed position. Overall, PET coverage should be identical to the anatomical CT scan range. Typically, total scan time is between 20-30 minutes.</w:t>
      </w:r>
    </w:p>
    <w:p w14:paraId="38D8CE83" w14:textId="77777777" w:rsidR="00652442" w:rsidRPr="00110F7D" w:rsidRDefault="00652442" w:rsidP="00CC5520">
      <w:pPr>
        <w:ind w:left="851"/>
        <w:rPr>
          <w:bCs/>
          <w:sz w:val="24"/>
          <w:szCs w:val="24"/>
          <w:lang w:val="en-US"/>
        </w:rPr>
      </w:pPr>
    </w:p>
    <w:p w14:paraId="70775B3E" w14:textId="77777777" w:rsidR="00652442" w:rsidRPr="00110F7D" w:rsidRDefault="00652442" w:rsidP="00CC5520">
      <w:pPr>
        <w:ind w:left="851"/>
        <w:rPr>
          <w:i/>
          <w:iCs/>
          <w:sz w:val="24"/>
          <w:szCs w:val="24"/>
          <w:lang w:val="en-US"/>
        </w:rPr>
      </w:pPr>
      <w:r w:rsidRPr="00110F7D">
        <w:rPr>
          <w:i/>
          <w:iCs/>
          <w:sz w:val="24"/>
          <w:szCs w:val="24"/>
          <w:lang w:val="en-US"/>
        </w:rPr>
        <w:t>Image reconstruction</w:t>
      </w:r>
    </w:p>
    <w:p w14:paraId="2DF449B1" w14:textId="77777777" w:rsidR="00652442" w:rsidRPr="00110F7D" w:rsidRDefault="00652442" w:rsidP="00CC5520">
      <w:pPr>
        <w:ind w:left="851"/>
        <w:rPr>
          <w:sz w:val="24"/>
          <w:szCs w:val="24"/>
          <w:lang w:val="en-US"/>
        </w:rPr>
      </w:pPr>
      <w:r w:rsidRPr="00110F7D">
        <w:rPr>
          <w:sz w:val="24"/>
          <w:szCs w:val="24"/>
          <w:lang w:val="en-US"/>
        </w:rPr>
        <w:t>Image acquisition should be performed in 3D acquisition mode with appropriate data corrections; the CT or MRI scan may be used for attenuation correction. PET reconstruction should be performed with and without attenuation correction to identify potential artefacts caused by the correction algorithm.</w:t>
      </w:r>
    </w:p>
    <w:p w14:paraId="12EEF39B" w14:textId="77777777" w:rsidR="00114971" w:rsidRPr="00110F7D" w:rsidRDefault="00114971" w:rsidP="00114971">
      <w:pPr>
        <w:tabs>
          <w:tab w:val="left" w:pos="851"/>
        </w:tabs>
        <w:ind w:left="851"/>
        <w:rPr>
          <w:sz w:val="24"/>
          <w:szCs w:val="24"/>
          <w:lang w:val="en-US"/>
        </w:rPr>
      </w:pPr>
    </w:p>
    <w:p w14:paraId="74043605" w14:textId="77777777" w:rsidR="00114971" w:rsidRPr="00110F7D" w:rsidRDefault="00114971" w:rsidP="00114971">
      <w:pPr>
        <w:tabs>
          <w:tab w:val="left" w:pos="851"/>
        </w:tabs>
        <w:ind w:left="851" w:hanging="851"/>
        <w:rPr>
          <w:b/>
          <w:sz w:val="24"/>
          <w:szCs w:val="24"/>
          <w:lang w:val="en-US"/>
        </w:rPr>
      </w:pPr>
      <w:r w:rsidRPr="00110F7D">
        <w:rPr>
          <w:b/>
          <w:sz w:val="24"/>
          <w:szCs w:val="24"/>
          <w:lang w:val="en-US"/>
        </w:rPr>
        <w:t>4.3</w:t>
      </w:r>
      <w:r w:rsidRPr="00110F7D">
        <w:rPr>
          <w:b/>
          <w:sz w:val="24"/>
          <w:szCs w:val="24"/>
          <w:lang w:val="en-US"/>
        </w:rPr>
        <w:tab/>
        <w:t>Contraindications</w:t>
      </w:r>
    </w:p>
    <w:p w14:paraId="1A5CC10A" w14:textId="77777777" w:rsidR="00652442" w:rsidRPr="00110F7D" w:rsidRDefault="00652442" w:rsidP="00CC5520">
      <w:pPr>
        <w:ind w:left="851"/>
        <w:rPr>
          <w:sz w:val="24"/>
          <w:szCs w:val="24"/>
          <w:lang w:val="en-US"/>
        </w:rPr>
      </w:pPr>
      <w:r w:rsidRPr="00110F7D">
        <w:rPr>
          <w:sz w:val="24"/>
          <w:szCs w:val="24"/>
          <w:lang w:val="en-US"/>
        </w:rPr>
        <w:t>Hypersensitivity to the active substance, to any of the excipients listed in section 6.1 or to any of the components of the labelled radiopharmaceutical.</w:t>
      </w:r>
    </w:p>
    <w:p w14:paraId="729B36FF" w14:textId="77777777" w:rsidR="00114971" w:rsidRPr="00110F7D" w:rsidRDefault="00114971" w:rsidP="00114971">
      <w:pPr>
        <w:tabs>
          <w:tab w:val="left" w:pos="851"/>
        </w:tabs>
        <w:ind w:left="851"/>
        <w:rPr>
          <w:sz w:val="24"/>
          <w:szCs w:val="24"/>
          <w:lang w:val="en-US"/>
        </w:rPr>
      </w:pPr>
    </w:p>
    <w:p w14:paraId="4799C6AD" w14:textId="77777777" w:rsidR="00114971" w:rsidRPr="00110F7D" w:rsidRDefault="00114971" w:rsidP="00114971">
      <w:pPr>
        <w:tabs>
          <w:tab w:val="left" w:pos="851"/>
        </w:tabs>
        <w:rPr>
          <w:b/>
          <w:sz w:val="24"/>
          <w:szCs w:val="24"/>
          <w:lang w:val="en-GB"/>
        </w:rPr>
      </w:pPr>
      <w:r w:rsidRPr="00110F7D">
        <w:rPr>
          <w:b/>
          <w:sz w:val="24"/>
          <w:szCs w:val="24"/>
          <w:lang w:val="en-GB"/>
        </w:rPr>
        <w:t>4.4</w:t>
      </w:r>
      <w:r w:rsidRPr="00110F7D">
        <w:rPr>
          <w:b/>
          <w:sz w:val="24"/>
          <w:szCs w:val="24"/>
          <w:lang w:val="en-GB"/>
        </w:rPr>
        <w:tab/>
        <w:t>Special warnings and precautions for use</w:t>
      </w:r>
    </w:p>
    <w:p w14:paraId="7B84F61A" w14:textId="77777777" w:rsidR="00110F7D" w:rsidRDefault="00110F7D" w:rsidP="00CC5520">
      <w:pPr>
        <w:ind w:left="851"/>
        <w:rPr>
          <w:sz w:val="24"/>
          <w:szCs w:val="24"/>
          <w:lang w:val="en-GB"/>
        </w:rPr>
      </w:pPr>
    </w:p>
    <w:p w14:paraId="41E96148" w14:textId="24F23917" w:rsidR="00652442" w:rsidRPr="00110F7D" w:rsidRDefault="00652442" w:rsidP="00CC5520">
      <w:pPr>
        <w:ind w:left="851"/>
        <w:rPr>
          <w:sz w:val="24"/>
          <w:szCs w:val="24"/>
          <w:u w:val="single"/>
          <w:lang w:val="en-US"/>
        </w:rPr>
      </w:pPr>
      <w:r w:rsidRPr="00110F7D">
        <w:rPr>
          <w:sz w:val="24"/>
          <w:szCs w:val="24"/>
          <w:u w:val="single"/>
          <w:lang w:val="en-US"/>
        </w:rPr>
        <w:t>Potential for hypersensitivity or anaphylactic reactions</w:t>
      </w:r>
    </w:p>
    <w:p w14:paraId="3145D157" w14:textId="77777777" w:rsidR="00652442" w:rsidRPr="00110F7D" w:rsidRDefault="00652442" w:rsidP="00CC5520">
      <w:pPr>
        <w:ind w:left="851"/>
        <w:rPr>
          <w:sz w:val="24"/>
          <w:szCs w:val="24"/>
          <w:lang w:val="en-US"/>
        </w:rPr>
      </w:pPr>
    </w:p>
    <w:p w14:paraId="5E7CBA57" w14:textId="77777777" w:rsidR="00652442" w:rsidRPr="00110F7D" w:rsidRDefault="00652442" w:rsidP="00CC5520">
      <w:pPr>
        <w:ind w:left="851"/>
        <w:rPr>
          <w:sz w:val="24"/>
          <w:szCs w:val="24"/>
          <w:lang w:val="en-US"/>
        </w:rPr>
      </w:pPr>
      <w:r w:rsidRPr="00110F7D">
        <w:rPr>
          <w:sz w:val="24"/>
          <w:szCs w:val="24"/>
          <w:lang w:val="en-US"/>
        </w:rPr>
        <w:t>If hypersensitivity or anaphylactic reactions occur, the administration of the medicinal product must be discontinued immediately and intravenous treatment initiated, if necessary. To enable immediate action in emergencies, the necessary medicinal products and equipment such as endotracheal tube and ventilator must be immediately available.</w:t>
      </w:r>
    </w:p>
    <w:p w14:paraId="72057D3C" w14:textId="77777777" w:rsidR="00652442" w:rsidRPr="00110F7D" w:rsidRDefault="00652442" w:rsidP="00CC5520">
      <w:pPr>
        <w:ind w:left="851"/>
        <w:rPr>
          <w:i/>
          <w:iCs/>
          <w:sz w:val="24"/>
          <w:szCs w:val="24"/>
          <w:lang w:val="en-US"/>
        </w:rPr>
      </w:pPr>
    </w:p>
    <w:p w14:paraId="57A25AA3" w14:textId="77777777" w:rsidR="00652442" w:rsidRPr="00110F7D" w:rsidRDefault="00652442" w:rsidP="00CC5520">
      <w:pPr>
        <w:ind w:left="851"/>
        <w:rPr>
          <w:sz w:val="24"/>
          <w:szCs w:val="24"/>
          <w:u w:val="single"/>
          <w:lang w:val="en-US"/>
        </w:rPr>
      </w:pPr>
      <w:r w:rsidRPr="00110F7D">
        <w:rPr>
          <w:sz w:val="24"/>
          <w:szCs w:val="24"/>
          <w:u w:val="single"/>
          <w:lang w:val="en-US"/>
        </w:rPr>
        <w:t>Individual benefit/risk justification</w:t>
      </w:r>
    </w:p>
    <w:p w14:paraId="0A7BF22A" w14:textId="77777777" w:rsidR="00652442" w:rsidRPr="00110F7D" w:rsidRDefault="00652442" w:rsidP="00CC5520">
      <w:pPr>
        <w:ind w:left="851"/>
        <w:rPr>
          <w:sz w:val="24"/>
          <w:szCs w:val="24"/>
          <w:lang w:val="en-US"/>
        </w:rPr>
      </w:pPr>
    </w:p>
    <w:p w14:paraId="5005EBA8" w14:textId="77777777" w:rsidR="00652442" w:rsidRPr="00110F7D" w:rsidRDefault="00652442" w:rsidP="00CC5520">
      <w:pPr>
        <w:ind w:left="851"/>
        <w:rPr>
          <w:sz w:val="24"/>
          <w:szCs w:val="24"/>
          <w:lang w:val="en-US"/>
        </w:rPr>
      </w:pPr>
      <w:r w:rsidRPr="00110F7D">
        <w:rPr>
          <w:sz w:val="24"/>
          <w:szCs w:val="24"/>
          <w:lang w:val="en-US"/>
        </w:rPr>
        <w:t>For each patient, the radiation exposure must be justifiable by the likely benefit. The activity administered should, in every case, be as low as reasonably achievable to obtain the required diagnostic information.</w:t>
      </w:r>
    </w:p>
    <w:p w14:paraId="0E2E60EE" w14:textId="77777777" w:rsidR="00652442" w:rsidRPr="00110F7D" w:rsidRDefault="00652442" w:rsidP="00CC5520">
      <w:pPr>
        <w:ind w:left="851"/>
        <w:rPr>
          <w:sz w:val="24"/>
          <w:szCs w:val="24"/>
          <w:lang w:val="en-US" w:bidi="en-US"/>
        </w:rPr>
      </w:pPr>
    </w:p>
    <w:p w14:paraId="24493639" w14:textId="77777777" w:rsidR="00652442" w:rsidRPr="00110F7D" w:rsidRDefault="00652442" w:rsidP="00CC5520">
      <w:pPr>
        <w:ind w:left="851"/>
        <w:rPr>
          <w:sz w:val="24"/>
          <w:szCs w:val="24"/>
          <w:lang w:val="en-US" w:bidi="en-US"/>
        </w:rPr>
      </w:pPr>
      <w:r w:rsidRPr="00110F7D">
        <w:rPr>
          <w:sz w:val="24"/>
          <w:szCs w:val="24"/>
          <w:lang w:val="en-US" w:bidi="en-US"/>
        </w:rPr>
        <w:t xml:space="preserve">To date, no outcome data exist to inform subsequent management of patients with high risk disease when PSMA PET/CT is </w:t>
      </w:r>
      <w:proofErr w:type="spellStart"/>
      <w:r w:rsidRPr="00110F7D">
        <w:rPr>
          <w:sz w:val="24"/>
          <w:szCs w:val="24"/>
          <w:lang w:val="en-US" w:bidi="en-US"/>
        </w:rPr>
        <w:t>utilised</w:t>
      </w:r>
      <w:proofErr w:type="spellEnd"/>
      <w:r w:rsidRPr="00110F7D">
        <w:rPr>
          <w:sz w:val="24"/>
          <w:szCs w:val="24"/>
          <w:lang w:val="en-US" w:bidi="en-US"/>
        </w:rPr>
        <w:t xml:space="preserve"> for primary staging.</w:t>
      </w:r>
    </w:p>
    <w:p w14:paraId="27B1DF2F" w14:textId="77777777" w:rsidR="00652442" w:rsidRPr="00110F7D" w:rsidRDefault="00652442" w:rsidP="00CC5520">
      <w:pPr>
        <w:ind w:left="851"/>
        <w:rPr>
          <w:sz w:val="24"/>
          <w:szCs w:val="24"/>
          <w:lang w:val="en-US" w:bidi="en-US"/>
        </w:rPr>
      </w:pPr>
    </w:p>
    <w:p w14:paraId="6DCBC392" w14:textId="77777777" w:rsidR="00652442" w:rsidRPr="00110F7D" w:rsidRDefault="00652442" w:rsidP="00CC5520">
      <w:pPr>
        <w:ind w:left="851"/>
        <w:rPr>
          <w:sz w:val="24"/>
          <w:szCs w:val="24"/>
          <w:lang w:val="en-US" w:bidi="en-US"/>
        </w:rPr>
      </w:pPr>
      <w:r w:rsidRPr="00110F7D">
        <w:rPr>
          <w:sz w:val="24"/>
          <w:szCs w:val="24"/>
          <w:lang w:val="en-US" w:bidi="en-US"/>
        </w:rPr>
        <w:lastRenderedPageBreak/>
        <w:t>Experience of use of gallium (</w:t>
      </w:r>
      <w:r w:rsidRPr="00110F7D">
        <w:rPr>
          <w:sz w:val="24"/>
          <w:szCs w:val="24"/>
          <w:vertAlign w:val="superscript"/>
          <w:lang w:val="en-US" w:bidi="en-US"/>
        </w:rPr>
        <w:t>68</w:t>
      </w:r>
      <w:r w:rsidRPr="00110F7D">
        <w:rPr>
          <w:sz w:val="24"/>
          <w:szCs w:val="24"/>
          <w:lang w:val="en-US" w:bidi="en-US"/>
        </w:rPr>
        <w:t xml:space="preserve">Ga) </w:t>
      </w:r>
      <w:proofErr w:type="spellStart"/>
      <w:r w:rsidRPr="00110F7D">
        <w:rPr>
          <w:sz w:val="24"/>
          <w:szCs w:val="24"/>
          <w:lang w:val="en-US" w:bidi="en-US"/>
        </w:rPr>
        <w:t>gozetotide</w:t>
      </w:r>
      <w:proofErr w:type="spellEnd"/>
      <w:r w:rsidRPr="00110F7D">
        <w:rPr>
          <w:sz w:val="24"/>
          <w:szCs w:val="24"/>
          <w:lang w:val="en-US" w:bidi="en-US"/>
        </w:rPr>
        <w:t xml:space="preserve"> PET for selection of patients for PSMA based therapy is limited to patients with progressive metastatic castration-resistant prostate cancer (</w:t>
      </w:r>
      <w:proofErr w:type="spellStart"/>
      <w:r w:rsidRPr="00110F7D">
        <w:rPr>
          <w:sz w:val="24"/>
          <w:szCs w:val="24"/>
          <w:lang w:val="en-US" w:bidi="en-US"/>
        </w:rPr>
        <w:t>mCRPC</w:t>
      </w:r>
      <w:proofErr w:type="spellEnd"/>
      <w:r w:rsidRPr="00110F7D">
        <w:rPr>
          <w:sz w:val="24"/>
          <w:szCs w:val="24"/>
          <w:lang w:val="en-US" w:bidi="en-US"/>
        </w:rPr>
        <w:t xml:space="preserve">) who have been treated with androgen receptor (AR) pathway inhibition and </w:t>
      </w:r>
      <w:proofErr w:type="spellStart"/>
      <w:r w:rsidRPr="00110F7D">
        <w:rPr>
          <w:sz w:val="24"/>
          <w:szCs w:val="24"/>
          <w:lang w:val="en-US" w:bidi="en-US"/>
        </w:rPr>
        <w:t>taxane</w:t>
      </w:r>
      <w:proofErr w:type="spellEnd"/>
      <w:r w:rsidRPr="00110F7D">
        <w:rPr>
          <w:sz w:val="24"/>
          <w:szCs w:val="24"/>
          <w:lang w:val="en-US" w:bidi="en-US"/>
        </w:rPr>
        <w:t>-based chemotherapy, and for the selection of patients for treatment with</w:t>
      </w:r>
      <w:r w:rsidRPr="00110F7D">
        <w:rPr>
          <w:sz w:val="24"/>
          <w:szCs w:val="24"/>
          <w:lang w:val="en-US"/>
        </w:rPr>
        <w:t xml:space="preserve"> lutetium (</w:t>
      </w:r>
      <w:r w:rsidRPr="00110F7D">
        <w:rPr>
          <w:sz w:val="24"/>
          <w:szCs w:val="24"/>
          <w:vertAlign w:val="superscript"/>
          <w:lang w:val="en-US"/>
        </w:rPr>
        <w:t>177</w:t>
      </w:r>
      <w:r w:rsidRPr="00110F7D">
        <w:rPr>
          <w:sz w:val="24"/>
          <w:szCs w:val="24"/>
          <w:lang w:val="en-US"/>
        </w:rPr>
        <w:t xml:space="preserve">Lu) </w:t>
      </w:r>
      <w:proofErr w:type="spellStart"/>
      <w:r w:rsidRPr="00110F7D">
        <w:rPr>
          <w:sz w:val="24"/>
          <w:szCs w:val="24"/>
          <w:lang w:val="en-US"/>
        </w:rPr>
        <w:t>vipivotide</w:t>
      </w:r>
      <w:proofErr w:type="spellEnd"/>
      <w:r w:rsidRPr="00110F7D">
        <w:rPr>
          <w:sz w:val="24"/>
          <w:szCs w:val="24"/>
          <w:lang w:val="en-US"/>
        </w:rPr>
        <w:t xml:space="preserve"> tetraxetan</w:t>
      </w:r>
      <w:r w:rsidRPr="00110F7D">
        <w:rPr>
          <w:sz w:val="24"/>
          <w:szCs w:val="24"/>
          <w:lang w:val="en-US" w:bidi="en-US"/>
        </w:rPr>
        <w:t xml:space="preserve">. Benefit risk ratio may not be </w:t>
      </w:r>
      <w:proofErr w:type="spellStart"/>
      <w:r w:rsidRPr="00110F7D">
        <w:rPr>
          <w:sz w:val="24"/>
          <w:szCs w:val="24"/>
          <w:lang w:val="en-US" w:bidi="en-US"/>
        </w:rPr>
        <w:t>generalisable</w:t>
      </w:r>
      <w:proofErr w:type="spellEnd"/>
      <w:r w:rsidRPr="00110F7D">
        <w:rPr>
          <w:sz w:val="24"/>
          <w:szCs w:val="24"/>
          <w:lang w:val="en-US" w:bidi="en-US"/>
        </w:rPr>
        <w:t xml:space="preserve"> to other types of PSMA based therapy and patients with </w:t>
      </w:r>
      <w:proofErr w:type="spellStart"/>
      <w:r w:rsidRPr="00110F7D">
        <w:rPr>
          <w:sz w:val="24"/>
          <w:szCs w:val="24"/>
          <w:lang w:val="en-US" w:bidi="en-US"/>
        </w:rPr>
        <w:t>mCRPC</w:t>
      </w:r>
      <w:proofErr w:type="spellEnd"/>
      <w:r w:rsidRPr="00110F7D">
        <w:rPr>
          <w:sz w:val="24"/>
          <w:szCs w:val="24"/>
          <w:lang w:val="en-US" w:bidi="en-US"/>
        </w:rPr>
        <w:t xml:space="preserve"> with different prior treatments.</w:t>
      </w:r>
    </w:p>
    <w:p w14:paraId="3D1AAC67" w14:textId="77777777" w:rsidR="00652442" w:rsidRPr="00110F7D" w:rsidRDefault="00652442" w:rsidP="00CC5520">
      <w:pPr>
        <w:ind w:left="851"/>
        <w:rPr>
          <w:sz w:val="24"/>
          <w:szCs w:val="24"/>
          <w:lang w:val="en-US" w:bidi="en-US"/>
        </w:rPr>
      </w:pPr>
    </w:p>
    <w:p w14:paraId="4354C8B4" w14:textId="77777777" w:rsidR="00652442" w:rsidRPr="00110F7D" w:rsidRDefault="00652442" w:rsidP="00CC5520">
      <w:pPr>
        <w:ind w:left="851"/>
        <w:rPr>
          <w:sz w:val="24"/>
          <w:szCs w:val="24"/>
          <w:u w:val="single"/>
          <w:lang w:val="en-US"/>
        </w:rPr>
      </w:pPr>
      <w:r w:rsidRPr="00110F7D">
        <w:rPr>
          <w:sz w:val="24"/>
          <w:szCs w:val="24"/>
          <w:u w:val="single"/>
          <w:lang w:val="en-US"/>
        </w:rPr>
        <w:t>Radiation risk</w:t>
      </w:r>
    </w:p>
    <w:p w14:paraId="26A480B4" w14:textId="77777777" w:rsidR="00652442" w:rsidRPr="00110F7D" w:rsidRDefault="00652442" w:rsidP="00CC5520">
      <w:pPr>
        <w:ind w:left="851"/>
        <w:rPr>
          <w:sz w:val="24"/>
          <w:szCs w:val="24"/>
          <w:lang w:val="en-US" w:bidi="en-US"/>
        </w:rPr>
      </w:pPr>
    </w:p>
    <w:p w14:paraId="0FEA2EAB" w14:textId="77777777" w:rsidR="00652442" w:rsidRPr="00110F7D" w:rsidRDefault="00652442" w:rsidP="00CC5520">
      <w:pPr>
        <w:ind w:left="851"/>
        <w:rPr>
          <w:sz w:val="24"/>
          <w:szCs w:val="24"/>
          <w:lang w:val="en-US"/>
        </w:rPr>
      </w:pPr>
      <w:r w:rsidRPr="00110F7D">
        <w:rPr>
          <w:sz w:val="24"/>
          <w:szCs w:val="24"/>
          <w:lang w:val="en-US"/>
        </w:rPr>
        <w:t>Gallium (</w:t>
      </w:r>
      <w:r w:rsidRPr="00110F7D">
        <w:rPr>
          <w:sz w:val="24"/>
          <w:szCs w:val="24"/>
          <w:vertAlign w:val="superscript"/>
          <w:lang w:val="en-US"/>
        </w:rPr>
        <w:t>68</w:t>
      </w:r>
      <w:r w:rsidRPr="00110F7D">
        <w:rPr>
          <w:sz w:val="24"/>
          <w:szCs w:val="24"/>
          <w:lang w:val="en-US"/>
        </w:rPr>
        <w:t xml:space="preserve">Ga) </w:t>
      </w:r>
      <w:proofErr w:type="spellStart"/>
      <w:r w:rsidRPr="00110F7D">
        <w:rPr>
          <w:sz w:val="24"/>
          <w:szCs w:val="24"/>
          <w:lang w:val="en-US"/>
        </w:rPr>
        <w:t>gozetotide</w:t>
      </w:r>
      <w:proofErr w:type="spellEnd"/>
      <w:r w:rsidRPr="00110F7D">
        <w:rPr>
          <w:sz w:val="24"/>
          <w:szCs w:val="24"/>
          <w:lang w:val="en-US"/>
        </w:rPr>
        <w:t xml:space="preserve"> contributes to the patient’s overall long</w:t>
      </w:r>
      <w:r w:rsidRPr="00110F7D">
        <w:rPr>
          <w:sz w:val="24"/>
          <w:szCs w:val="24"/>
          <w:lang w:val="en-US"/>
        </w:rPr>
        <w:noBreakHyphen/>
        <w:t xml:space="preserve">term cumulative radiation exposure, which is associated with an increased risk of cancer. Safe handling, reconstitution and </w:t>
      </w:r>
      <w:proofErr w:type="spellStart"/>
      <w:r w:rsidRPr="00110F7D">
        <w:rPr>
          <w:sz w:val="24"/>
          <w:szCs w:val="24"/>
          <w:lang w:val="en-US"/>
        </w:rPr>
        <w:t>radiolabelling</w:t>
      </w:r>
      <w:proofErr w:type="spellEnd"/>
      <w:r w:rsidRPr="00110F7D">
        <w:rPr>
          <w:sz w:val="24"/>
          <w:szCs w:val="24"/>
          <w:lang w:val="en-US"/>
        </w:rPr>
        <w:t xml:space="preserve"> procedures should be ensured to protect patients and healthcare professionals from unintentional radiation exposure (see sections 6.6 and 12).</w:t>
      </w:r>
    </w:p>
    <w:p w14:paraId="260D0F38" w14:textId="77777777" w:rsidR="00652442" w:rsidRPr="00110F7D" w:rsidRDefault="00652442" w:rsidP="00CC5520">
      <w:pPr>
        <w:ind w:left="851"/>
        <w:rPr>
          <w:sz w:val="24"/>
          <w:szCs w:val="24"/>
          <w:lang w:val="en-US"/>
        </w:rPr>
      </w:pPr>
    </w:p>
    <w:p w14:paraId="5E0D9A8E" w14:textId="77777777" w:rsidR="00652442" w:rsidRPr="00110F7D" w:rsidRDefault="00652442" w:rsidP="00CC5520">
      <w:pPr>
        <w:ind w:left="851"/>
        <w:rPr>
          <w:sz w:val="24"/>
          <w:szCs w:val="24"/>
          <w:u w:val="single"/>
          <w:lang w:val="en-US"/>
        </w:rPr>
      </w:pPr>
      <w:r w:rsidRPr="00110F7D">
        <w:rPr>
          <w:sz w:val="24"/>
          <w:szCs w:val="24"/>
          <w:u w:val="single"/>
          <w:lang w:val="en-US"/>
        </w:rPr>
        <w:t>Renal impairment</w:t>
      </w:r>
    </w:p>
    <w:p w14:paraId="4AEF10CD" w14:textId="77777777" w:rsidR="00652442" w:rsidRPr="00110F7D" w:rsidRDefault="00652442" w:rsidP="00CC5520">
      <w:pPr>
        <w:ind w:left="851"/>
        <w:rPr>
          <w:sz w:val="24"/>
          <w:szCs w:val="24"/>
          <w:lang w:val="en-US"/>
        </w:rPr>
      </w:pPr>
    </w:p>
    <w:p w14:paraId="506472CC" w14:textId="77777777" w:rsidR="00652442" w:rsidRPr="00110F7D" w:rsidRDefault="00652442" w:rsidP="00CC5520">
      <w:pPr>
        <w:ind w:left="851"/>
        <w:rPr>
          <w:sz w:val="24"/>
          <w:szCs w:val="24"/>
          <w:lang w:val="en-US"/>
        </w:rPr>
      </w:pPr>
      <w:r w:rsidRPr="00110F7D">
        <w:rPr>
          <w:sz w:val="24"/>
          <w:szCs w:val="24"/>
          <w:lang w:val="en-US"/>
        </w:rPr>
        <w:t>Careful consideration of the benefit/risk ratio in patients with moderate to severe/end-stage renal impairment is required since there are no data (see section 4.2).</w:t>
      </w:r>
    </w:p>
    <w:p w14:paraId="3894CC49" w14:textId="77777777" w:rsidR="00652442" w:rsidRPr="00110F7D" w:rsidRDefault="00652442" w:rsidP="00CC5520">
      <w:pPr>
        <w:ind w:left="851"/>
        <w:rPr>
          <w:sz w:val="24"/>
          <w:szCs w:val="24"/>
          <w:lang w:val="en-US"/>
        </w:rPr>
      </w:pPr>
    </w:p>
    <w:p w14:paraId="3F6DCDA2" w14:textId="77777777" w:rsidR="00652442" w:rsidRPr="00110F7D" w:rsidRDefault="00652442" w:rsidP="00CC5520">
      <w:pPr>
        <w:ind w:left="851"/>
        <w:rPr>
          <w:sz w:val="24"/>
          <w:szCs w:val="24"/>
          <w:u w:val="single"/>
          <w:lang w:val="en-US"/>
        </w:rPr>
      </w:pPr>
      <w:r w:rsidRPr="00110F7D">
        <w:rPr>
          <w:sz w:val="24"/>
          <w:szCs w:val="24"/>
          <w:u w:val="single"/>
          <w:lang w:val="en-US"/>
        </w:rPr>
        <w:t>Paediatric population</w:t>
      </w:r>
    </w:p>
    <w:p w14:paraId="727693C5" w14:textId="77777777" w:rsidR="00652442" w:rsidRPr="00110F7D" w:rsidRDefault="00652442" w:rsidP="00CC5520">
      <w:pPr>
        <w:ind w:left="851"/>
        <w:rPr>
          <w:sz w:val="24"/>
          <w:szCs w:val="24"/>
          <w:lang w:val="en-US"/>
        </w:rPr>
      </w:pPr>
    </w:p>
    <w:p w14:paraId="4A0FD730" w14:textId="77777777" w:rsidR="00652442" w:rsidRPr="00110F7D" w:rsidRDefault="00652442" w:rsidP="00CC5520">
      <w:pPr>
        <w:ind w:left="851"/>
        <w:rPr>
          <w:sz w:val="24"/>
          <w:szCs w:val="24"/>
          <w:lang w:val="en-US"/>
        </w:rPr>
      </w:pPr>
      <w:r w:rsidRPr="00110F7D">
        <w:rPr>
          <w:sz w:val="24"/>
          <w:szCs w:val="24"/>
          <w:lang w:val="en-US"/>
        </w:rPr>
        <w:t>For information on use in the paediatric population, see section 4.2.</w:t>
      </w:r>
    </w:p>
    <w:p w14:paraId="5CBF388F" w14:textId="77777777" w:rsidR="00652442" w:rsidRPr="00110F7D" w:rsidRDefault="00652442" w:rsidP="00CC5520">
      <w:pPr>
        <w:ind w:left="851"/>
        <w:rPr>
          <w:sz w:val="24"/>
          <w:szCs w:val="24"/>
          <w:lang w:val="en-US"/>
        </w:rPr>
      </w:pPr>
    </w:p>
    <w:p w14:paraId="2EE9A3E9" w14:textId="77777777" w:rsidR="00652442" w:rsidRPr="00110F7D" w:rsidRDefault="00652442" w:rsidP="00CC5520">
      <w:pPr>
        <w:ind w:left="851"/>
        <w:rPr>
          <w:sz w:val="24"/>
          <w:szCs w:val="24"/>
          <w:u w:val="single"/>
          <w:lang w:val="en-US"/>
        </w:rPr>
      </w:pPr>
      <w:r w:rsidRPr="00110F7D">
        <w:rPr>
          <w:sz w:val="24"/>
          <w:szCs w:val="24"/>
          <w:u w:val="single"/>
          <w:lang w:val="en-US"/>
        </w:rPr>
        <w:t>Patient preparation</w:t>
      </w:r>
    </w:p>
    <w:p w14:paraId="5441F2F1" w14:textId="77777777" w:rsidR="00652442" w:rsidRPr="00110F7D" w:rsidRDefault="00652442" w:rsidP="00CC5520">
      <w:pPr>
        <w:ind w:left="851"/>
        <w:rPr>
          <w:sz w:val="24"/>
          <w:szCs w:val="24"/>
          <w:lang w:val="en-US"/>
        </w:rPr>
      </w:pPr>
    </w:p>
    <w:p w14:paraId="0111E477" w14:textId="77777777" w:rsidR="00652442" w:rsidRPr="00110F7D" w:rsidRDefault="00652442" w:rsidP="00CC5520">
      <w:pPr>
        <w:ind w:left="851"/>
        <w:rPr>
          <w:sz w:val="24"/>
          <w:szCs w:val="24"/>
          <w:lang w:val="en-US"/>
        </w:rPr>
      </w:pPr>
      <w:r w:rsidRPr="00110F7D">
        <w:rPr>
          <w:sz w:val="24"/>
          <w:szCs w:val="24"/>
          <w:lang w:val="en-US"/>
        </w:rPr>
        <w:t>In order to obtain images of best quality and to reduce the radiation exposure, patients should be encouraged to drink sufficient amounts (with e.g. oral intake of 500 mL of water 2 hours prior to acquisition), and to empty their bladder prior to and after the PET examination.</w:t>
      </w:r>
    </w:p>
    <w:p w14:paraId="267665B3" w14:textId="77777777" w:rsidR="00652442" w:rsidRPr="00110F7D" w:rsidRDefault="00652442" w:rsidP="00CC5520">
      <w:pPr>
        <w:ind w:left="851"/>
        <w:rPr>
          <w:sz w:val="24"/>
          <w:szCs w:val="24"/>
          <w:lang w:val="en-US"/>
        </w:rPr>
      </w:pPr>
    </w:p>
    <w:p w14:paraId="27284DE9" w14:textId="77777777" w:rsidR="00652442" w:rsidRPr="00D27234" w:rsidRDefault="00652442" w:rsidP="00CC5520">
      <w:pPr>
        <w:ind w:left="851"/>
        <w:rPr>
          <w:sz w:val="24"/>
          <w:szCs w:val="24"/>
          <w:u w:val="single"/>
          <w:lang w:val="en-US"/>
        </w:rPr>
      </w:pPr>
      <w:r w:rsidRPr="00D27234">
        <w:rPr>
          <w:sz w:val="24"/>
          <w:szCs w:val="24"/>
          <w:u w:val="single"/>
          <w:lang w:val="en-US"/>
        </w:rPr>
        <w:t>Interpretation of gallium (</w:t>
      </w:r>
      <w:r w:rsidRPr="00D27234">
        <w:rPr>
          <w:sz w:val="24"/>
          <w:szCs w:val="24"/>
          <w:u w:val="single"/>
          <w:vertAlign w:val="superscript"/>
          <w:lang w:val="en-US"/>
        </w:rPr>
        <w:t>68</w:t>
      </w:r>
      <w:r w:rsidRPr="00D27234">
        <w:rPr>
          <w:sz w:val="24"/>
          <w:szCs w:val="24"/>
          <w:u w:val="single"/>
          <w:lang w:val="en-US"/>
        </w:rPr>
        <w:t xml:space="preserve">Ga) </w:t>
      </w:r>
      <w:proofErr w:type="spellStart"/>
      <w:r w:rsidRPr="00D27234">
        <w:rPr>
          <w:sz w:val="24"/>
          <w:szCs w:val="24"/>
          <w:u w:val="single"/>
          <w:lang w:val="en-US"/>
        </w:rPr>
        <w:t>gozetotide</w:t>
      </w:r>
      <w:proofErr w:type="spellEnd"/>
      <w:r w:rsidRPr="00D27234">
        <w:rPr>
          <w:sz w:val="24"/>
          <w:szCs w:val="24"/>
          <w:u w:val="single"/>
          <w:lang w:val="en-US"/>
        </w:rPr>
        <w:t xml:space="preserve"> PET images</w:t>
      </w:r>
    </w:p>
    <w:p w14:paraId="5041A65E" w14:textId="77777777" w:rsidR="00652442" w:rsidRPr="00110F7D" w:rsidRDefault="00652442" w:rsidP="00CC5520">
      <w:pPr>
        <w:ind w:left="851"/>
        <w:rPr>
          <w:sz w:val="24"/>
          <w:szCs w:val="24"/>
          <w:lang w:val="en-US" w:eastAsia="fr-FR"/>
        </w:rPr>
      </w:pPr>
    </w:p>
    <w:p w14:paraId="0198479F" w14:textId="77777777" w:rsidR="00652442" w:rsidRPr="00110F7D" w:rsidRDefault="00652442" w:rsidP="00CC5520">
      <w:pPr>
        <w:ind w:left="851"/>
        <w:rPr>
          <w:sz w:val="24"/>
          <w:szCs w:val="24"/>
          <w:lang w:val="en-US" w:eastAsia="en-US"/>
        </w:rPr>
      </w:pPr>
      <w:r w:rsidRPr="00110F7D">
        <w:rPr>
          <w:sz w:val="24"/>
          <w:szCs w:val="24"/>
          <w:lang w:val="en-US" w:eastAsia="fr-FR"/>
        </w:rPr>
        <w:t xml:space="preserve">PET images with gallium </w:t>
      </w:r>
      <w:r w:rsidRPr="00110F7D">
        <w:rPr>
          <w:sz w:val="24"/>
          <w:szCs w:val="24"/>
          <w:lang w:val="en-US"/>
        </w:rPr>
        <w:t>(</w:t>
      </w:r>
      <w:r w:rsidRPr="00110F7D">
        <w:rPr>
          <w:sz w:val="24"/>
          <w:szCs w:val="24"/>
          <w:vertAlign w:val="superscript"/>
          <w:lang w:val="en-US"/>
        </w:rPr>
        <w:t>68</w:t>
      </w:r>
      <w:r w:rsidRPr="00110F7D">
        <w:rPr>
          <w:sz w:val="24"/>
          <w:szCs w:val="24"/>
          <w:lang w:val="en-US"/>
        </w:rPr>
        <w:t xml:space="preserve">Ga) </w:t>
      </w:r>
      <w:proofErr w:type="spellStart"/>
      <w:r w:rsidRPr="00110F7D">
        <w:rPr>
          <w:sz w:val="24"/>
          <w:szCs w:val="24"/>
          <w:lang w:val="en-US" w:eastAsia="fr-FR"/>
        </w:rPr>
        <w:t>gozetotide</w:t>
      </w:r>
      <w:proofErr w:type="spellEnd"/>
      <w:r w:rsidRPr="00110F7D">
        <w:rPr>
          <w:sz w:val="24"/>
          <w:szCs w:val="24"/>
          <w:lang w:val="en-US" w:eastAsia="fr-FR"/>
        </w:rPr>
        <w:t xml:space="preserve"> should be interpreted by visual assessment. </w:t>
      </w:r>
      <w:r w:rsidRPr="00110F7D">
        <w:rPr>
          <w:sz w:val="24"/>
          <w:szCs w:val="24"/>
          <w:lang w:val="en-US"/>
        </w:rPr>
        <w:t>Suspicion of malignant lesions is based on gallium (</w:t>
      </w:r>
      <w:r w:rsidRPr="00110F7D">
        <w:rPr>
          <w:sz w:val="24"/>
          <w:szCs w:val="24"/>
          <w:vertAlign w:val="superscript"/>
          <w:lang w:val="en-US"/>
        </w:rPr>
        <w:t>68</w:t>
      </w:r>
      <w:r w:rsidRPr="00110F7D">
        <w:rPr>
          <w:sz w:val="24"/>
          <w:szCs w:val="24"/>
          <w:lang w:val="en-US"/>
        </w:rPr>
        <w:t xml:space="preserve">Ga) </w:t>
      </w:r>
      <w:proofErr w:type="spellStart"/>
      <w:r w:rsidRPr="00110F7D">
        <w:rPr>
          <w:sz w:val="24"/>
          <w:szCs w:val="24"/>
          <w:lang w:val="en-US"/>
        </w:rPr>
        <w:t>gozetotide</w:t>
      </w:r>
      <w:proofErr w:type="spellEnd"/>
      <w:r w:rsidRPr="00110F7D">
        <w:rPr>
          <w:sz w:val="24"/>
          <w:szCs w:val="24"/>
          <w:lang w:val="en-US"/>
        </w:rPr>
        <w:t xml:space="preserve"> uptake in comparison with tissue background.</w:t>
      </w:r>
    </w:p>
    <w:p w14:paraId="4A0043ED" w14:textId="77777777" w:rsidR="00652442" w:rsidRPr="00110F7D" w:rsidRDefault="00652442" w:rsidP="00CC5520">
      <w:pPr>
        <w:ind w:left="851"/>
        <w:rPr>
          <w:sz w:val="24"/>
          <w:szCs w:val="24"/>
          <w:lang w:val="en-US"/>
        </w:rPr>
      </w:pPr>
    </w:p>
    <w:p w14:paraId="073AB88A" w14:textId="77777777" w:rsidR="00652442" w:rsidRPr="00110F7D" w:rsidRDefault="00652442" w:rsidP="00CC5520">
      <w:pPr>
        <w:ind w:left="851"/>
        <w:rPr>
          <w:sz w:val="24"/>
          <w:szCs w:val="24"/>
          <w:lang w:val="en-US"/>
        </w:rPr>
      </w:pPr>
      <w:r w:rsidRPr="00110F7D">
        <w:rPr>
          <w:sz w:val="24"/>
          <w:szCs w:val="24"/>
          <w:lang w:val="en-US"/>
        </w:rPr>
        <w:t>Gallium (</w:t>
      </w:r>
      <w:r w:rsidRPr="00110F7D">
        <w:rPr>
          <w:sz w:val="24"/>
          <w:szCs w:val="24"/>
          <w:vertAlign w:val="superscript"/>
          <w:lang w:val="en-US"/>
        </w:rPr>
        <w:t>68</w:t>
      </w:r>
      <w:r w:rsidRPr="00110F7D">
        <w:rPr>
          <w:sz w:val="24"/>
          <w:szCs w:val="24"/>
          <w:lang w:val="en-US"/>
        </w:rPr>
        <w:t xml:space="preserve">Ga) </w:t>
      </w:r>
      <w:proofErr w:type="spellStart"/>
      <w:r w:rsidRPr="00110F7D">
        <w:rPr>
          <w:sz w:val="24"/>
          <w:szCs w:val="24"/>
          <w:lang w:val="en-US"/>
        </w:rPr>
        <w:t>gozetotide</w:t>
      </w:r>
      <w:proofErr w:type="spellEnd"/>
      <w:r w:rsidRPr="00110F7D">
        <w:rPr>
          <w:sz w:val="24"/>
          <w:szCs w:val="24"/>
          <w:lang w:val="en-US"/>
        </w:rPr>
        <w:t xml:space="preserve"> uptake is not specific to prostate cancer and may occur in normal tissues (see section 5.2), other types of cancers and non-malignant processes, potentially leading to false positive findings. Moderate to high physiological PSMA uptake is noted in the kidneys, lacrimal glands, liver, salivary glands and urinary bladder wall. False positive findings include, but are not limited to, renal cell carcinoma, hepatocellular carcinoma, breast cancer, lung cancer, benign bone diseases (e.g. Paget’s disease), pulmonary sarcoidosis/granulomatosis, gliomas, meningiomas, paragangliomas and neurofibromas. Ganglia can mimic lymph nodes.</w:t>
      </w:r>
    </w:p>
    <w:p w14:paraId="72C6321D" w14:textId="77777777" w:rsidR="00652442" w:rsidRPr="00110F7D" w:rsidRDefault="00652442" w:rsidP="00CC5520">
      <w:pPr>
        <w:ind w:left="851"/>
        <w:rPr>
          <w:sz w:val="24"/>
          <w:szCs w:val="24"/>
          <w:lang w:val="en-US"/>
        </w:rPr>
      </w:pPr>
    </w:p>
    <w:p w14:paraId="387D7447" w14:textId="77777777" w:rsidR="00652442" w:rsidRPr="00110F7D" w:rsidRDefault="00652442" w:rsidP="00CC5520">
      <w:pPr>
        <w:ind w:left="851"/>
        <w:rPr>
          <w:sz w:val="24"/>
          <w:szCs w:val="24"/>
          <w:lang w:val="en-US"/>
        </w:rPr>
      </w:pPr>
      <w:r w:rsidRPr="00110F7D">
        <w:rPr>
          <w:sz w:val="24"/>
          <w:szCs w:val="24"/>
          <w:lang w:val="en-US"/>
        </w:rPr>
        <w:t>The diagnostic performance of gallium (</w:t>
      </w:r>
      <w:r w:rsidRPr="00110F7D">
        <w:rPr>
          <w:sz w:val="24"/>
          <w:szCs w:val="24"/>
          <w:vertAlign w:val="superscript"/>
          <w:lang w:val="en-US"/>
        </w:rPr>
        <w:t>68</w:t>
      </w:r>
      <w:r w:rsidRPr="00110F7D">
        <w:rPr>
          <w:sz w:val="24"/>
          <w:szCs w:val="24"/>
          <w:lang w:val="en-US"/>
        </w:rPr>
        <w:t xml:space="preserve">Ga) </w:t>
      </w:r>
      <w:proofErr w:type="spellStart"/>
      <w:r w:rsidRPr="00110F7D">
        <w:rPr>
          <w:sz w:val="24"/>
          <w:szCs w:val="24"/>
          <w:lang w:val="en-US"/>
        </w:rPr>
        <w:t>gozetotide</w:t>
      </w:r>
      <w:proofErr w:type="spellEnd"/>
      <w:r w:rsidRPr="00110F7D">
        <w:rPr>
          <w:sz w:val="24"/>
          <w:szCs w:val="24"/>
          <w:lang w:val="en-US"/>
        </w:rPr>
        <w:t xml:space="preserve"> may be affected by serum PSA levels, androgen-receptor-targeting treatments, disease stage and size of malignant lymph nodes (see section 5.1).</w:t>
      </w:r>
    </w:p>
    <w:p w14:paraId="3FE29771" w14:textId="77777777" w:rsidR="00652442" w:rsidRPr="00110F7D" w:rsidRDefault="00652442" w:rsidP="00CC5520">
      <w:pPr>
        <w:ind w:left="851"/>
        <w:rPr>
          <w:sz w:val="24"/>
          <w:szCs w:val="24"/>
          <w:lang w:val="en-US"/>
        </w:rPr>
      </w:pPr>
    </w:p>
    <w:p w14:paraId="72D8A71C" w14:textId="77777777" w:rsidR="00652442" w:rsidRPr="00110F7D" w:rsidRDefault="00652442" w:rsidP="00CC5520">
      <w:pPr>
        <w:ind w:left="851"/>
        <w:rPr>
          <w:sz w:val="24"/>
          <w:szCs w:val="24"/>
          <w:lang w:val="en-US"/>
        </w:rPr>
      </w:pPr>
      <w:r w:rsidRPr="00110F7D">
        <w:rPr>
          <w:sz w:val="24"/>
          <w:szCs w:val="24"/>
          <w:lang w:val="en-US"/>
        </w:rPr>
        <w:t>Gallium (</w:t>
      </w:r>
      <w:r w:rsidRPr="00110F7D">
        <w:rPr>
          <w:sz w:val="24"/>
          <w:szCs w:val="24"/>
          <w:vertAlign w:val="superscript"/>
          <w:lang w:val="en-US"/>
        </w:rPr>
        <w:t>68</w:t>
      </w:r>
      <w:r w:rsidRPr="00110F7D">
        <w:rPr>
          <w:sz w:val="24"/>
          <w:szCs w:val="24"/>
          <w:lang w:val="en-US"/>
        </w:rPr>
        <w:t xml:space="preserve">Ga) </w:t>
      </w:r>
      <w:proofErr w:type="spellStart"/>
      <w:r w:rsidRPr="00110F7D">
        <w:rPr>
          <w:sz w:val="24"/>
          <w:szCs w:val="24"/>
          <w:lang w:val="en-US"/>
        </w:rPr>
        <w:t>gozetotide</w:t>
      </w:r>
      <w:proofErr w:type="spellEnd"/>
      <w:r w:rsidRPr="00110F7D">
        <w:rPr>
          <w:sz w:val="24"/>
          <w:szCs w:val="24"/>
          <w:lang w:val="en-US"/>
        </w:rPr>
        <w:t xml:space="preserve"> PET images should be interpreted only by readers appropriately trained in the interpretation of PET images with gallium (</w:t>
      </w:r>
      <w:r w:rsidRPr="00110F7D">
        <w:rPr>
          <w:sz w:val="24"/>
          <w:szCs w:val="24"/>
          <w:vertAlign w:val="superscript"/>
          <w:lang w:val="en-US"/>
        </w:rPr>
        <w:t>68</w:t>
      </w:r>
      <w:r w:rsidRPr="00110F7D">
        <w:rPr>
          <w:sz w:val="24"/>
          <w:szCs w:val="24"/>
          <w:lang w:val="en-US"/>
        </w:rPr>
        <w:t xml:space="preserve">Ga) </w:t>
      </w:r>
      <w:proofErr w:type="spellStart"/>
      <w:r w:rsidRPr="00110F7D">
        <w:rPr>
          <w:sz w:val="24"/>
          <w:szCs w:val="24"/>
          <w:lang w:val="en-US"/>
        </w:rPr>
        <w:t>gozetotide</w:t>
      </w:r>
      <w:proofErr w:type="spellEnd"/>
      <w:r w:rsidRPr="00110F7D">
        <w:rPr>
          <w:sz w:val="24"/>
          <w:szCs w:val="24"/>
          <w:lang w:val="en-US"/>
        </w:rPr>
        <w:t xml:space="preserve">. Findings on </w:t>
      </w:r>
      <w:r w:rsidRPr="00110F7D">
        <w:rPr>
          <w:sz w:val="24"/>
          <w:szCs w:val="24"/>
          <w:lang w:val="en-US"/>
        </w:rPr>
        <w:lastRenderedPageBreak/>
        <w:t>gallium (</w:t>
      </w:r>
      <w:r w:rsidRPr="00110F7D">
        <w:rPr>
          <w:sz w:val="24"/>
          <w:szCs w:val="24"/>
          <w:vertAlign w:val="superscript"/>
          <w:lang w:val="en-US"/>
        </w:rPr>
        <w:t>68</w:t>
      </w:r>
      <w:r w:rsidRPr="00110F7D">
        <w:rPr>
          <w:sz w:val="24"/>
          <w:szCs w:val="24"/>
          <w:lang w:val="en-US"/>
        </w:rPr>
        <w:t xml:space="preserve">Ga) </w:t>
      </w:r>
      <w:proofErr w:type="spellStart"/>
      <w:r w:rsidRPr="00110F7D">
        <w:rPr>
          <w:sz w:val="24"/>
          <w:szCs w:val="24"/>
          <w:lang w:val="en-US"/>
        </w:rPr>
        <w:t>gozetotide</w:t>
      </w:r>
      <w:proofErr w:type="spellEnd"/>
      <w:r w:rsidRPr="00110F7D">
        <w:rPr>
          <w:sz w:val="24"/>
          <w:szCs w:val="24"/>
          <w:lang w:val="en-US"/>
        </w:rPr>
        <w:t xml:space="preserve"> PET images should always be interpreted in conjunction with and be confirmed by other diagnostic methods (including histopathology) before subsequent change in patient management is initiated.</w:t>
      </w:r>
    </w:p>
    <w:p w14:paraId="7C8FCDF0" w14:textId="77777777" w:rsidR="00652442" w:rsidRPr="00110F7D" w:rsidRDefault="00652442" w:rsidP="00CC5520">
      <w:pPr>
        <w:ind w:left="851"/>
        <w:rPr>
          <w:sz w:val="24"/>
          <w:szCs w:val="24"/>
          <w:lang w:val="en-US"/>
        </w:rPr>
      </w:pPr>
    </w:p>
    <w:p w14:paraId="33DC5844" w14:textId="77777777" w:rsidR="00652442" w:rsidRPr="00110F7D" w:rsidRDefault="00652442" w:rsidP="00CC5520">
      <w:pPr>
        <w:ind w:left="851"/>
        <w:rPr>
          <w:sz w:val="24"/>
          <w:szCs w:val="24"/>
          <w:lang w:val="en-US"/>
        </w:rPr>
      </w:pPr>
      <w:r w:rsidRPr="00110F7D">
        <w:rPr>
          <w:sz w:val="24"/>
          <w:szCs w:val="24"/>
          <w:lang w:val="en-US"/>
        </w:rPr>
        <w:t>If acquired, contrast-enhanced CT shall not be used for attenuation correction, since iodine content may induce wrong attenuation correction.</w:t>
      </w:r>
    </w:p>
    <w:p w14:paraId="2732E7B8" w14:textId="77777777" w:rsidR="00652442" w:rsidRPr="00110F7D" w:rsidRDefault="00652442" w:rsidP="00CC5520">
      <w:pPr>
        <w:ind w:left="851"/>
        <w:rPr>
          <w:sz w:val="24"/>
          <w:szCs w:val="24"/>
          <w:lang w:val="en-US"/>
        </w:rPr>
      </w:pPr>
    </w:p>
    <w:p w14:paraId="66F04E77" w14:textId="77777777" w:rsidR="00652442" w:rsidRPr="00D27234" w:rsidRDefault="00652442" w:rsidP="00CC5520">
      <w:pPr>
        <w:ind w:left="851"/>
        <w:rPr>
          <w:sz w:val="24"/>
          <w:szCs w:val="24"/>
          <w:u w:val="single"/>
          <w:lang w:val="en-US"/>
        </w:rPr>
      </w:pPr>
      <w:r w:rsidRPr="00D27234">
        <w:rPr>
          <w:sz w:val="24"/>
          <w:szCs w:val="24"/>
          <w:u w:val="single"/>
          <w:lang w:val="en-US"/>
        </w:rPr>
        <w:t>After the procedure</w:t>
      </w:r>
    </w:p>
    <w:p w14:paraId="2BFF1628" w14:textId="77777777" w:rsidR="00652442" w:rsidRPr="00110F7D" w:rsidRDefault="00652442" w:rsidP="00CC5520">
      <w:pPr>
        <w:ind w:left="851"/>
        <w:rPr>
          <w:sz w:val="24"/>
          <w:szCs w:val="24"/>
          <w:lang w:val="en-US"/>
        </w:rPr>
      </w:pPr>
    </w:p>
    <w:p w14:paraId="7401B7B9" w14:textId="77777777" w:rsidR="00652442" w:rsidRPr="00110F7D" w:rsidRDefault="00652442" w:rsidP="00CC5520">
      <w:pPr>
        <w:ind w:left="851"/>
        <w:rPr>
          <w:sz w:val="24"/>
          <w:szCs w:val="24"/>
          <w:lang w:val="en-US"/>
        </w:rPr>
      </w:pPr>
      <w:r w:rsidRPr="00110F7D">
        <w:rPr>
          <w:sz w:val="24"/>
          <w:szCs w:val="24"/>
          <w:lang w:val="en-US"/>
        </w:rPr>
        <w:t>Close contact with infants and pregnant women should be restricted during the initial 2 hours following the injection.</w:t>
      </w:r>
    </w:p>
    <w:p w14:paraId="00F22115" w14:textId="77777777" w:rsidR="00652442" w:rsidRPr="00110F7D" w:rsidRDefault="00652442" w:rsidP="00CC5520">
      <w:pPr>
        <w:ind w:left="851"/>
        <w:rPr>
          <w:sz w:val="24"/>
          <w:szCs w:val="24"/>
          <w:lang w:val="en-US"/>
        </w:rPr>
      </w:pPr>
    </w:p>
    <w:p w14:paraId="63EBD341" w14:textId="77777777" w:rsidR="00652442" w:rsidRPr="00110F7D" w:rsidRDefault="00652442" w:rsidP="00CC5520">
      <w:pPr>
        <w:ind w:left="851"/>
        <w:rPr>
          <w:sz w:val="24"/>
          <w:szCs w:val="24"/>
          <w:lang w:val="en-US"/>
        </w:rPr>
      </w:pPr>
      <w:r w:rsidRPr="00110F7D">
        <w:rPr>
          <w:sz w:val="24"/>
          <w:szCs w:val="24"/>
          <w:lang w:val="en-US"/>
        </w:rPr>
        <w:t>The patient should be encouraged to drink sufficient amounts of water and void as often as possible during the first hours post scan to reduce unnecessary radiation exposure, especially to the bladder.</w:t>
      </w:r>
    </w:p>
    <w:p w14:paraId="69146065" w14:textId="77777777" w:rsidR="00652442" w:rsidRPr="00110F7D" w:rsidRDefault="00652442" w:rsidP="00CC5520">
      <w:pPr>
        <w:ind w:left="851"/>
        <w:rPr>
          <w:sz w:val="24"/>
          <w:szCs w:val="24"/>
          <w:lang w:val="en-US"/>
        </w:rPr>
      </w:pPr>
    </w:p>
    <w:p w14:paraId="4DC2EAB1" w14:textId="77777777" w:rsidR="00652442" w:rsidRPr="00D27234" w:rsidRDefault="00652442" w:rsidP="00CC5520">
      <w:pPr>
        <w:ind w:left="851"/>
        <w:rPr>
          <w:sz w:val="24"/>
          <w:szCs w:val="24"/>
          <w:u w:val="single"/>
          <w:lang w:val="en-US"/>
        </w:rPr>
      </w:pPr>
      <w:r w:rsidRPr="00D27234">
        <w:rPr>
          <w:sz w:val="24"/>
          <w:szCs w:val="24"/>
          <w:u w:val="single"/>
          <w:lang w:val="en-US"/>
        </w:rPr>
        <w:t>Specific warnings</w:t>
      </w:r>
    </w:p>
    <w:p w14:paraId="49B266A3" w14:textId="77777777" w:rsidR="00652442" w:rsidRPr="00110F7D" w:rsidRDefault="00652442" w:rsidP="00CC5520">
      <w:pPr>
        <w:ind w:left="851"/>
        <w:rPr>
          <w:i/>
          <w:iCs/>
          <w:sz w:val="24"/>
          <w:szCs w:val="24"/>
          <w:lang w:val="en-US"/>
        </w:rPr>
      </w:pPr>
    </w:p>
    <w:p w14:paraId="5C1848FD" w14:textId="77777777" w:rsidR="00652442" w:rsidRPr="00110F7D" w:rsidRDefault="00652442" w:rsidP="00CC5520">
      <w:pPr>
        <w:ind w:left="851"/>
        <w:rPr>
          <w:i/>
          <w:iCs/>
          <w:sz w:val="24"/>
          <w:szCs w:val="24"/>
          <w:lang w:val="en-US"/>
        </w:rPr>
      </w:pPr>
      <w:r w:rsidRPr="00110F7D">
        <w:rPr>
          <w:i/>
          <w:iCs/>
          <w:sz w:val="24"/>
          <w:szCs w:val="24"/>
          <w:lang w:val="en-US"/>
        </w:rPr>
        <w:t>Sodium content</w:t>
      </w:r>
    </w:p>
    <w:p w14:paraId="2AB50095" w14:textId="77777777" w:rsidR="00652442" w:rsidRPr="00110F7D" w:rsidRDefault="00652442" w:rsidP="00CC5520">
      <w:pPr>
        <w:ind w:left="851"/>
        <w:rPr>
          <w:sz w:val="24"/>
          <w:szCs w:val="24"/>
          <w:lang w:val="en-US"/>
        </w:rPr>
      </w:pPr>
      <w:r w:rsidRPr="00110F7D">
        <w:rPr>
          <w:sz w:val="24"/>
          <w:szCs w:val="24"/>
          <w:lang w:val="en-US"/>
        </w:rPr>
        <w:t>This medicinal product contains up to 42 mg sodium per dose, equivalent to 2.1% of the WHO recommended maximum daily intake of 2 g sodium for an adult.</w:t>
      </w:r>
    </w:p>
    <w:p w14:paraId="7CE41277" w14:textId="77777777" w:rsidR="00652442" w:rsidRPr="00110F7D" w:rsidRDefault="00652442" w:rsidP="00CC5520">
      <w:pPr>
        <w:ind w:left="851"/>
        <w:rPr>
          <w:sz w:val="24"/>
          <w:szCs w:val="24"/>
          <w:lang w:val="en-US"/>
        </w:rPr>
      </w:pPr>
    </w:p>
    <w:p w14:paraId="54A5643A" w14:textId="77777777" w:rsidR="00652442" w:rsidRPr="00110F7D" w:rsidRDefault="00652442" w:rsidP="00CC5520">
      <w:pPr>
        <w:ind w:left="851"/>
        <w:rPr>
          <w:i/>
          <w:iCs/>
          <w:sz w:val="24"/>
          <w:szCs w:val="24"/>
          <w:lang w:val="en-US"/>
        </w:rPr>
      </w:pPr>
      <w:r w:rsidRPr="00110F7D">
        <w:rPr>
          <w:i/>
          <w:iCs/>
          <w:sz w:val="24"/>
          <w:szCs w:val="24"/>
          <w:lang w:val="en-US"/>
        </w:rPr>
        <w:t>Acidic pH and extravasation</w:t>
      </w:r>
    </w:p>
    <w:p w14:paraId="6802EECB" w14:textId="77777777" w:rsidR="00652442" w:rsidRPr="00110F7D" w:rsidRDefault="00652442" w:rsidP="00CC5520">
      <w:pPr>
        <w:ind w:left="851"/>
        <w:rPr>
          <w:sz w:val="24"/>
          <w:szCs w:val="24"/>
          <w:lang w:val="en-US"/>
        </w:rPr>
      </w:pPr>
      <w:r w:rsidRPr="00110F7D">
        <w:rPr>
          <w:sz w:val="24"/>
          <w:szCs w:val="24"/>
          <w:lang w:val="en-US"/>
        </w:rPr>
        <w:t>Low pH of gallium (</w:t>
      </w:r>
      <w:r w:rsidRPr="00110F7D">
        <w:rPr>
          <w:sz w:val="24"/>
          <w:szCs w:val="24"/>
          <w:vertAlign w:val="superscript"/>
          <w:lang w:val="en-US"/>
        </w:rPr>
        <w:t>68</w:t>
      </w:r>
      <w:r w:rsidRPr="00110F7D">
        <w:rPr>
          <w:sz w:val="24"/>
          <w:szCs w:val="24"/>
          <w:lang w:val="en-US"/>
        </w:rPr>
        <w:t xml:space="preserve">Ga) </w:t>
      </w:r>
      <w:proofErr w:type="spellStart"/>
      <w:r w:rsidRPr="00110F7D">
        <w:rPr>
          <w:sz w:val="24"/>
          <w:szCs w:val="24"/>
          <w:lang w:val="en-US"/>
        </w:rPr>
        <w:t>gozetotide</w:t>
      </w:r>
      <w:proofErr w:type="spellEnd"/>
      <w:r w:rsidRPr="00110F7D">
        <w:rPr>
          <w:sz w:val="24"/>
          <w:szCs w:val="24"/>
          <w:lang w:val="en-US"/>
        </w:rPr>
        <w:t xml:space="preserve"> may lead to injection site reactions after administration. Accidental extravasation may cause local irritation, due to the acidic pH of the solution. Cases of extravasation should be managed as per institutional guidelines.</w:t>
      </w:r>
    </w:p>
    <w:p w14:paraId="538FC6E6" w14:textId="77777777" w:rsidR="00652442" w:rsidRPr="00110F7D" w:rsidRDefault="00652442" w:rsidP="00CC5520">
      <w:pPr>
        <w:ind w:left="851"/>
        <w:rPr>
          <w:sz w:val="24"/>
          <w:szCs w:val="24"/>
          <w:lang w:val="en-US"/>
        </w:rPr>
      </w:pPr>
    </w:p>
    <w:p w14:paraId="4DCE47A3" w14:textId="77777777" w:rsidR="00652442" w:rsidRPr="00110F7D" w:rsidRDefault="00652442" w:rsidP="00CC5520">
      <w:pPr>
        <w:ind w:left="851"/>
        <w:rPr>
          <w:sz w:val="24"/>
          <w:szCs w:val="24"/>
          <w:lang w:val="en-US"/>
        </w:rPr>
      </w:pPr>
      <w:r w:rsidRPr="00110F7D">
        <w:rPr>
          <w:sz w:val="24"/>
          <w:szCs w:val="24"/>
          <w:lang w:val="en-US"/>
        </w:rPr>
        <w:t>Precautions with respect to environmental hazard are in section 6.6.</w:t>
      </w:r>
    </w:p>
    <w:p w14:paraId="3531F717" w14:textId="77777777" w:rsidR="00114971" w:rsidRPr="00110F7D" w:rsidRDefault="00114971" w:rsidP="00114971">
      <w:pPr>
        <w:tabs>
          <w:tab w:val="left" w:pos="851"/>
        </w:tabs>
        <w:ind w:left="851"/>
        <w:rPr>
          <w:sz w:val="24"/>
          <w:szCs w:val="24"/>
          <w:lang w:val="en-US"/>
        </w:rPr>
      </w:pPr>
    </w:p>
    <w:p w14:paraId="58E0F968" w14:textId="77777777" w:rsidR="00114971" w:rsidRPr="00110F7D" w:rsidRDefault="00114971" w:rsidP="00114971">
      <w:pPr>
        <w:ind w:left="851" w:hanging="851"/>
        <w:rPr>
          <w:b/>
          <w:sz w:val="24"/>
          <w:szCs w:val="24"/>
          <w:lang w:val="en-GB"/>
        </w:rPr>
      </w:pPr>
      <w:r w:rsidRPr="00110F7D">
        <w:rPr>
          <w:b/>
          <w:sz w:val="24"/>
          <w:szCs w:val="24"/>
          <w:lang w:val="en-GB"/>
        </w:rPr>
        <w:t>4.5</w:t>
      </w:r>
      <w:r w:rsidRPr="00110F7D">
        <w:rPr>
          <w:b/>
          <w:sz w:val="24"/>
          <w:szCs w:val="24"/>
          <w:lang w:val="en-GB"/>
        </w:rPr>
        <w:tab/>
        <w:t>Interaction with other medicinal products and other forms of interaction</w:t>
      </w:r>
    </w:p>
    <w:p w14:paraId="4714DD71" w14:textId="77777777" w:rsidR="00652442" w:rsidRPr="00110F7D" w:rsidRDefault="00652442" w:rsidP="00CC5520">
      <w:pPr>
        <w:ind w:left="851"/>
        <w:rPr>
          <w:sz w:val="24"/>
          <w:szCs w:val="24"/>
          <w:lang w:val="en-US"/>
        </w:rPr>
      </w:pPr>
      <w:r w:rsidRPr="00110F7D">
        <w:rPr>
          <w:sz w:val="24"/>
          <w:szCs w:val="24"/>
          <w:lang w:val="en-US"/>
        </w:rPr>
        <w:t xml:space="preserve">No interaction studies have been performed. Given the micro-dose administered, and given that significant </w:t>
      </w:r>
      <w:bookmarkStart w:id="3" w:name="_Hlk31436483"/>
      <w:r w:rsidRPr="00110F7D">
        <w:rPr>
          <w:sz w:val="24"/>
          <w:szCs w:val="24"/>
          <w:lang w:val="en-US"/>
        </w:rPr>
        <w:t>hep</w:t>
      </w:r>
      <w:r w:rsidRPr="00110F7D">
        <w:rPr>
          <w:rStyle w:val="normaltextrun"/>
          <w:sz w:val="24"/>
          <w:szCs w:val="24"/>
          <w:shd w:val="clear" w:color="auto" w:fill="FFFFFF"/>
          <w:lang w:val="en-US"/>
        </w:rPr>
        <w:t xml:space="preserve">atic metabolism is unlikely, </w:t>
      </w:r>
      <w:bookmarkEnd w:id="3"/>
      <w:r w:rsidRPr="00110F7D">
        <w:rPr>
          <w:rStyle w:val="normaltextrun"/>
          <w:sz w:val="24"/>
          <w:szCs w:val="24"/>
          <w:shd w:val="clear" w:color="auto" w:fill="FFFFFF"/>
          <w:lang w:val="en-US"/>
        </w:rPr>
        <w:t xml:space="preserve">the risk of </w:t>
      </w:r>
      <w:r w:rsidRPr="00110F7D">
        <w:rPr>
          <w:rStyle w:val="contextualspellingandgrammarerror"/>
          <w:sz w:val="24"/>
          <w:szCs w:val="24"/>
          <w:shd w:val="clear" w:color="auto" w:fill="FFFFFF"/>
          <w:lang w:val="en-US"/>
        </w:rPr>
        <w:t>clinically</w:t>
      </w:r>
      <w:r w:rsidRPr="00110F7D">
        <w:rPr>
          <w:rStyle w:val="normaltextrun"/>
          <w:sz w:val="24"/>
          <w:szCs w:val="24"/>
          <w:shd w:val="clear" w:color="auto" w:fill="FFFFFF"/>
          <w:lang w:val="en-US"/>
        </w:rPr>
        <w:t xml:space="preserve"> significant pharmacokinetic drug interactions is very low. The reduction in signal from the urinary bladder seen with the concomitant administration of </w:t>
      </w:r>
      <w:bookmarkStart w:id="4" w:name="_Hlk32823439"/>
      <w:r w:rsidRPr="00110F7D">
        <w:rPr>
          <w:rStyle w:val="normaltextrun"/>
          <w:sz w:val="24"/>
          <w:szCs w:val="24"/>
          <w:shd w:val="clear" w:color="auto" w:fill="FFFFFF"/>
          <w:lang w:val="en-US"/>
        </w:rPr>
        <w:t>furosemide</w:t>
      </w:r>
      <w:bookmarkEnd w:id="4"/>
      <w:r w:rsidRPr="00110F7D">
        <w:rPr>
          <w:rStyle w:val="normaltextrun"/>
          <w:sz w:val="24"/>
          <w:szCs w:val="24"/>
          <w:shd w:val="clear" w:color="auto" w:fill="FFFFFF"/>
          <w:lang w:val="en-US"/>
        </w:rPr>
        <w:t xml:space="preserve">, suggested that the use of furosemide and possibly </w:t>
      </w:r>
      <w:bookmarkStart w:id="5" w:name="_Hlk32823464"/>
      <w:r w:rsidRPr="00110F7D">
        <w:rPr>
          <w:rStyle w:val="normaltextrun"/>
          <w:sz w:val="24"/>
          <w:szCs w:val="24"/>
          <w:shd w:val="clear" w:color="auto" w:fill="FFFFFF"/>
          <w:lang w:val="en-US"/>
        </w:rPr>
        <w:t>other diuretics</w:t>
      </w:r>
      <w:bookmarkEnd w:id="5"/>
      <w:r w:rsidRPr="00110F7D">
        <w:rPr>
          <w:rStyle w:val="normaltextrun"/>
          <w:sz w:val="24"/>
          <w:szCs w:val="24"/>
          <w:shd w:val="clear" w:color="auto" w:fill="FFFFFF"/>
          <w:lang w:val="en-US"/>
        </w:rPr>
        <w:t>, could reduce the scatter severity in gallium (</w:t>
      </w:r>
      <w:r w:rsidRPr="00110F7D">
        <w:rPr>
          <w:rStyle w:val="normaltextrun"/>
          <w:sz w:val="24"/>
          <w:szCs w:val="24"/>
          <w:shd w:val="clear" w:color="auto" w:fill="FFFFFF"/>
          <w:vertAlign w:val="superscript"/>
          <w:lang w:val="en-US"/>
        </w:rPr>
        <w:t>68</w:t>
      </w:r>
      <w:r w:rsidRPr="00110F7D">
        <w:rPr>
          <w:rStyle w:val="normaltextrun"/>
          <w:sz w:val="24"/>
          <w:szCs w:val="24"/>
          <w:shd w:val="clear" w:color="auto" w:fill="FFFFFF"/>
          <w:lang w:val="en-US"/>
        </w:rPr>
        <w:t xml:space="preserve">Ga) </w:t>
      </w:r>
      <w:proofErr w:type="spellStart"/>
      <w:r w:rsidRPr="00110F7D">
        <w:rPr>
          <w:rStyle w:val="normaltextrun"/>
          <w:sz w:val="24"/>
          <w:szCs w:val="24"/>
          <w:shd w:val="clear" w:color="auto" w:fill="FFFFFF"/>
          <w:lang w:val="en-US"/>
        </w:rPr>
        <w:t>gozetotide</w:t>
      </w:r>
      <w:proofErr w:type="spellEnd"/>
      <w:r w:rsidRPr="00110F7D">
        <w:rPr>
          <w:rStyle w:val="normaltextrun"/>
          <w:sz w:val="24"/>
          <w:szCs w:val="24"/>
          <w:shd w:val="clear" w:color="auto" w:fill="FFFFFF"/>
          <w:lang w:val="en-US"/>
        </w:rPr>
        <w:t xml:space="preserve"> PET.</w:t>
      </w:r>
    </w:p>
    <w:p w14:paraId="56850140" w14:textId="77777777" w:rsidR="00114971" w:rsidRPr="00110F7D" w:rsidRDefault="00114971" w:rsidP="00114971">
      <w:pPr>
        <w:tabs>
          <w:tab w:val="left" w:pos="851"/>
        </w:tabs>
        <w:ind w:left="851"/>
        <w:rPr>
          <w:sz w:val="24"/>
          <w:szCs w:val="24"/>
          <w:lang w:val="en-US"/>
        </w:rPr>
      </w:pPr>
    </w:p>
    <w:p w14:paraId="478DCA44" w14:textId="77777777" w:rsidR="00114971" w:rsidRPr="00110F7D" w:rsidRDefault="00114971" w:rsidP="00114971">
      <w:pPr>
        <w:tabs>
          <w:tab w:val="left" w:pos="851"/>
        </w:tabs>
        <w:ind w:left="851" w:hanging="851"/>
        <w:rPr>
          <w:b/>
          <w:sz w:val="24"/>
          <w:szCs w:val="24"/>
          <w:lang w:val="en-US"/>
        </w:rPr>
      </w:pPr>
      <w:bookmarkStart w:id="6" w:name="_Hlk115703834"/>
      <w:r w:rsidRPr="00110F7D">
        <w:rPr>
          <w:b/>
          <w:sz w:val="24"/>
          <w:szCs w:val="24"/>
          <w:lang w:val="en-US"/>
        </w:rPr>
        <w:t>4.6</w:t>
      </w:r>
      <w:r w:rsidRPr="00110F7D">
        <w:rPr>
          <w:b/>
          <w:sz w:val="24"/>
          <w:szCs w:val="24"/>
          <w:lang w:val="en-US"/>
        </w:rPr>
        <w:tab/>
        <w:t>Fertility, pregnancy and lactation</w:t>
      </w:r>
    </w:p>
    <w:bookmarkEnd w:id="6"/>
    <w:p w14:paraId="29055E02" w14:textId="77777777" w:rsidR="00D27234" w:rsidRDefault="00D27234" w:rsidP="00CC5520">
      <w:pPr>
        <w:autoSpaceDE w:val="0"/>
        <w:autoSpaceDN w:val="0"/>
        <w:adjustRightInd w:val="0"/>
        <w:ind w:left="851"/>
        <w:rPr>
          <w:sz w:val="24"/>
          <w:szCs w:val="24"/>
          <w:u w:val="single"/>
          <w:lang w:val="en-US"/>
        </w:rPr>
      </w:pPr>
    </w:p>
    <w:p w14:paraId="6FBAEBAE" w14:textId="11D4BA8D" w:rsidR="00652442" w:rsidRPr="00110F7D" w:rsidRDefault="00652442" w:rsidP="00CC5520">
      <w:pPr>
        <w:autoSpaceDE w:val="0"/>
        <w:autoSpaceDN w:val="0"/>
        <w:adjustRightInd w:val="0"/>
        <w:ind w:left="851"/>
        <w:rPr>
          <w:sz w:val="24"/>
          <w:szCs w:val="24"/>
          <w:u w:val="single"/>
          <w:lang w:val="en-US"/>
        </w:rPr>
      </w:pPr>
      <w:r w:rsidRPr="00110F7D">
        <w:rPr>
          <w:sz w:val="24"/>
          <w:szCs w:val="24"/>
          <w:u w:val="single"/>
          <w:lang w:val="en-US"/>
        </w:rPr>
        <w:t>Pregnancy</w:t>
      </w:r>
    </w:p>
    <w:p w14:paraId="70F06154" w14:textId="77777777" w:rsidR="00652442" w:rsidRPr="00110F7D" w:rsidRDefault="00652442" w:rsidP="00CC5520">
      <w:pPr>
        <w:ind w:left="851"/>
        <w:rPr>
          <w:sz w:val="24"/>
          <w:szCs w:val="24"/>
          <w:lang w:val="en-US"/>
        </w:rPr>
      </w:pPr>
    </w:p>
    <w:p w14:paraId="50D2BBBD" w14:textId="77777777" w:rsidR="00652442" w:rsidRPr="00110F7D" w:rsidRDefault="00652442" w:rsidP="00CC5520">
      <w:pPr>
        <w:ind w:left="851"/>
        <w:rPr>
          <w:sz w:val="24"/>
          <w:szCs w:val="24"/>
          <w:lang w:val="en-US"/>
        </w:rPr>
      </w:pPr>
      <w:r w:rsidRPr="00110F7D">
        <w:rPr>
          <w:sz w:val="24"/>
          <w:szCs w:val="24"/>
          <w:lang w:val="en-US"/>
        </w:rPr>
        <w:t>Gallium (</w:t>
      </w:r>
      <w:r w:rsidRPr="00110F7D">
        <w:rPr>
          <w:sz w:val="24"/>
          <w:szCs w:val="24"/>
          <w:vertAlign w:val="superscript"/>
          <w:lang w:val="en-US"/>
        </w:rPr>
        <w:t>68</w:t>
      </w:r>
      <w:r w:rsidRPr="00110F7D">
        <w:rPr>
          <w:sz w:val="24"/>
          <w:szCs w:val="24"/>
          <w:lang w:val="en-US"/>
        </w:rPr>
        <w:t xml:space="preserve">Ga) </w:t>
      </w:r>
      <w:proofErr w:type="spellStart"/>
      <w:r w:rsidRPr="00110F7D">
        <w:rPr>
          <w:sz w:val="24"/>
          <w:szCs w:val="24"/>
          <w:lang w:val="en-US"/>
        </w:rPr>
        <w:t>gozetotide</w:t>
      </w:r>
      <w:proofErr w:type="spellEnd"/>
      <w:r w:rsidRPr="00110F7D">
        <w:rPr>
          <w:sz w:val="24"/>
          <w:szCs w:val="24"/>
          <w:lang w:val="en-US"/>
        </w:rPr>
        <w:t xml:space="preserve"> is not indicated for use in females. There are no data on the use of gallium (</w:t>
      </w:r>
      <w:r w:rsidRPr="00110F7D">
        <w:rPr>
          <w:sz w:val="24"/>
          <w:szCs w:val="24"/>
          <w:vertAlign w:val="superscript"/>
          <w:lang w:val="en-US"/>
        </w:rPr>
        <w:t>68</w:t>
      </w:r>
      <w:r w:rsidRPr="00110F7D">
        <w:rPr>
          <w:sz w:val="24"/>
          <w:szCs w:val="24"/>
          <w:lang w:val="en-US"/>
        </w:rPr>
        <w:t xml:space="preserve">Ga) </w:t>
      </w:r>
      <w:proofErr w:type="spellStart"/>
      <w:r w:rsidRPr="00110F7D">
        <w:rPr>
          <w:sz w:val="24"/>
          <w:szCs w:val="24"/>
          <w:lang w:val="en-US"/>
        </w:rPr>
        <w:t>gozetotide</w:t>
      </w:r>
      <w:proofErr w:type="spellEnd"/>
      <w:r w:rsidRPr="00110F7D">
        <w:rPr>
          <w:sz w:val="24"/>
          <w:szCs w:val="24"/>
          <w:lang w:val="en-US"/>
        </w:rPr>
        <w:t xml:space="preserve"> in females. Reproductive toxicity studies in animals have not been conducted with gallium (</w:t>
      </w:r>
      <w:r w:rsidRPr="00110F7D">
        <w:rPr>
          <w:sz w:val="24"/>
          <w:szCs w:val="24"/>
          <w:vertAlign w:val="superscript"/>
          <w:lang w:val="en-US"/>
        </w:rPr>
        <w:t>68</w:t>
      </w:r>
      <w:r w:rsidRPr="00110F7D">
        <w:rPr>
          <w:sz w:val="24"/>
          <w:szCs w:val="24"/>
          <w:lang w:val="en-US"/>
        </w:rPr>
        <w:t xml:space="preserve">Ga) </w:t>
      </w:r>
      <w:proofErr w:type="spellStart"/>
      <w:r w:rsidRPr="00110F7D">
        <w:rPr>
          <w:sz w:val="24"/>
          <w:szCs w:val="24"/>
          <w:lang w:val="en-US"/>
        </w:rPr>
        <w:t>gozetotide</w:t>
      </w:r>
      <w:proofErr w:type="spellEnd"/>
      <w:r w:rsidRPr="00110F7D">
        <w:rPr>
          <w:sz w:val="24"/>
          <w:szCs w:val="24"/>
          <w:lang w:val="en-US"/>
        </w:rPr>
        <w:t>. However, all radiopharmaceuticals, including gallium (</w:t>
      </w:r>
      <w:r w:rsidRPr="00110F7D">
        <w:rPr>
          <w:sz w:val="24"/>
          <w:szCs w:val="24"/>
          <w:vertAlign w:val="superscript"/>
          <w:lang w:val="en-US"/>
        </w:rPr>
        <w:t>68</w:t>
      </w:r>
      <w:r w:rsidRPr="00110F7D">
        <w:rPr>
          <w:sz w:val="24"/>
          <w:szCs w:val="24"/>
          <w:lang w:val="en-US"/>
        </w:rPr>
        <w:t xml:space="preserve">Ga) </w:t>
      </w:r>
      <w:proofErr w:type="spellStart"/>
      <w:r w:rsidRPr="00110F7D">
        <w:rPr>
          <w:sz w:val="24"/>
          <w:szCs w:val="24"/>
          <w:lang w:val="en-US"/>
        </w:rPr>
        <w:t>gozetotide</w:t>
      </w:r>
      <w:proofErr w:type="spellEnd"/>
      <w:r w:rsidRPr="00110F7D">
        <w:rPr>
          <w:sz w:val="24"/>
          <w:szCs w:val="24"/>
          <w:lang w:val="en-US"/>
        </w:rPr>
        <w:t xml:space="preserve">, have the potential to cause </w:t>
      </w:r>
      <w:proofErr w:type="spellStart"/>
      <w:r w:rsidRPr="00110F7D">
        <w:rPr>
          <w:sz w:val="24"/>
          <w:szCs w:val="24"/>
          <w:lang w:val="en-US"/>
        </w:rPr>
        <w:t>foetal</w:t>
      </w:r>
      <w:proofErr w:type="spellEnd"/>
      <w:r w:rsidRPr="00110F7D">
        <w:rPr>
          <w:sz w:val="24"/>
          <w:szCs w:val="24"/>
          <w:lang w:val="en-US"/>
        </w:rPr>
        <w:t xml:space="preserve"> harm.</w:t>
      </w:r>
    </w:p>
    <w:p w14:paraId="3F7934FA" w14:textId="77777777" w:rsidR="00652442" w:rsidRPr="00110F7D" w:rsidRDefault="00652442" w:rsidP="00CC5520">
      <w:pPr>
        <w:ind w:left="851"/>
        <w:rPr>
          <w:sz w:val="24"/>
          <w:szCs w:val="24"/>
          <w:lang w:val="en-US"/>
        </w:rPr>
      </w:pPr>
    </w:p>
    <w:p w14:paraId="27F22334" w14:textId="77777777" w:rsidR="00652442" w:rsidRPr="00110F7D" w:rsidRDefault="00652442" w:rsidP="00CC5520">
      <w:pPr>
        <w:ind w:left="851"/>
        <w:rPr>
          <w:sz w:val="24"/>
          <w:szCs w:val="24"/>
          <w:u w:val="single"/>
          <w:lang w:val="en-US"/>
        </w:rPr>
      </w:pPr>
      <w:r w:rsidRPr="00110F7D">
        <w:rPr>
          <w:sz w:val="24"/>
          <w:szCs w:val="24"/>
          <w:u w:val="single"/>
          <w:lang w:val="en-US"/>
        </w:rPr>
        <w:t>Breast-feeding</w:t>
      </w:r>
    </w:p>
    <w:p w14:paraId="0F3D4734" w14:textId="77777777" w:rsidR="00652442" w:rsidRPr="00110F7D" w:rsidRDefault="00652442" w:rsidP="00CC5520">
      <w:pPr>
        <w:ind w:left="851"/>
        <w:rPr>
          <w:sz w:val="24"/>
          <w:szCs w:val="24"/>
          <w:u w:val="single"/>
          <w:lang w:val="en-US"/>
        </w:rPr>
      </w:pPr>
    </w:p>
    <w:p w14:paraId="3CE14A0B" w14:textId="77777777" w:rsidR="00652442" w:rsidRPr="00110F7D" w:rsidRDefault="00652442" w:rsidP="00CC5520">
      <w:pPr>
        <w:ind w:left="851"/>
        <w:rPr>
          <w:bCs/>
          <w:sz w:val="24"/>
          <w:szCs w:val="24"/>
          <w:u w:val="single"/>
          <w:lang w:val="en-US"/>
        </w:rPr>
      </w:pPr>
      <w:r w:rsidRPr="00110F7D">
        <w:rPr>
          <w:bCs/>
          <w:sz w:val="24"/>
          <w:szCs w:val="24"/>
          <w:lang w:val="en-US"/>
        </w:rPr>
        <w:t>Gallium (</w:t>
      </w:r>
      <w:r w:rsidRPr="00110F7D">
        <w:rPr>
          <w:bCs/>
          <w:sz w:val="24"/>
          <w:szCs w:val="24"/>
          <w:vertAlign w:val="superscript"/>
          <w:lang w:val="en-US"/>
        </w:rPr>
        <w:t>68</w:t>
      </w:r>
      <w:r w:rsidRPr="00110F7D">
        <w:rPr>
          <w:bCs/>
          <w:sz w:val="24"/>
          <w:szCs w:val="24"/>
          <w:lang w:val="en-US"/>
        </w:rPr>
        <w:t xml:space="preserve">Ga) </w:t>
      </w:r>
      <w:proofErr w:type="spellStart"/>
      <w:r w:rsidRPr="00110F7D">
        <w:rPr>
          <w:bCs/>
          <w:sz w:val="24"/>
          <w:szCs w:val="24"/>
          <w:lang w:val="en-US"/>
        </w:rPr>
        <w:t>gozetotide</w:t>
      </w:r>
      <w:proofErr w:type="spellEnd"/>
      <w:r w:rsidRPr="00110F7D">
        <w:rPr>
          <w:bCs/>
          <w:sz w:val="24"/>
          <w:szCs w:val="24"/>
          <w:lang w:val="en-US"/>
        </w:rPr>
        <w:t xml:space="preserve"> is not indicated for use in females. There are no data on the effects of gallium (</w:t>
      </w:r>
      <w:r w:rsidRPr="00110F7D">
        <w:rPr>
          <w:bCs/>
          <w:sz w:val="24"/>
          <w:szCs w:val="24"/>
          <w:vertAlign w:val="superscript"/>
          <w:lang w:val="en-US"/>
        </w:rPr>
        <w:t>68</w:t>
      </w:r>
      <w:r w:rsidRPr="00110F7D">
        <w:rPr>
          <w:bCs/>
          <w:sz w:val="24"/>
          <w:szCs w:val="24"/>
          <w:lang w:val="en-US"/>
        </w:rPr>
        <w:t xml:space="preserve">Ga) </w:t>
      </w:r>
      <w:proofErr w:type="spellStart"/>
      <w:r w:rsidRPr="00110F7D">
        <w:rPr>
          <w:bCs/>
          <w:sz w:val="24"/>
          <w:szCs w:val="24"/>
          <w:lang w:val="en-US"/>
        </w:rPr>
        <w:t>gozetotide</w:t>
      </w:r>
      <w:proofErr w:type="spellEnd"/>
      <w:r w:rsidRPr="00110F7D">
        <w:rPr>
          <w:bCs/>
          <w:sz w:val="24"/>
          <w:szCs w:val="24"/>
          <w:lang w:val="en-US"/>
        </w:rPr>
        <w:t xml:space="preserve"> on the breast-fed newborn/infant or on milk </w:t>
      </w:r>
      <w:r w:rsidRPr="00110F7D">
        <w:rPr>
          <w:bCs/>
          <w:sz w:val="24"/>
          <w:szCs w:val="24"/>
          <w:lang w:val="en-US"/>
        </w:rPr>
        <w:lastRenderedPageBreak/>
        <w:t>production. Lactation studies have not been conducted in animals with gallium (</w:t>
      </w:r>
      <w:r w:rsidRPr="00110F7D">
        <w:rPr>
          <w:bCs/>
          <w:sz w:val="24"/>
          <w:szCs w:val="24"/>
          <w:vertAlign w:val="superscript"/>
          <w:lang w:val="en-US"/>
        </w:rPr>
        <w:t>68</w:t>
      </w:r>
      <w:r w:rsidRPr="00110F7D">
        <w:rPr>
          <w:bCs/>
          <w:sz w:val="24"/>
          <w:szCs w:val="24"/>
          <w:lang w:val="en-US"/>
        </w:rPr>
        <w:t xml:space="preserve">Ga) </w:t>
      </w:r>
      <w:proofErr w:type="spellStart"/>
      <w:r w:rsidRPr="00110F7D">
        <w:rPr>
          <w:bCs/>
          <w:sz w:val="24"/>
          <w:szCs w:val="24"/>
          <w:lang w:val="en-US"/>
        </w:rPr>
        <w:t>gozetotide</w:t>
      </w:r>
      <w:proofErr w:type="spellEnd"/>
      <w:r w:rsidRPr="00110F7D">
        <w:rPr>
          <w:bCs/>
          <w:sz w:val="24"/>
          <w:szCs w:val="24"/>
          <w:lang w:val="en-US"/>
        </w:rPr>
        <w:t>.</w:t>
      </w:r>
    </w:p>
    <w:p w14:paraId="29E24BA8" w14:textId="77777777" w:rsidR="00652442" w:rsidRPr="00110F7D" w:rsidRDefault="00652442" w:rsidP="00CC5520">
      <w:pPr>
        <w:ind w:left="851"/>
        <w:rPr>
          <w:sz w:val="24"/>
          <w:szCs w:val="24"/>
          <w:lang w:val="en-US"/>
        </w:rPr>
      </w:pPr>
    </w:p>
    <w:p w14:paraId="697D46B1" w14:textId="77777777" w:rsidR="00652442" w:rsidRPr="00110F7D" w:rsidRDefault="00652442" w:rsidP="00CC5520">
      <w:pPr>
        <w:autoSpaceDE w:val="0"/>
        <w:autoSpaceDN w:val="0"/>
        <w:adjustRightInd w:val="0"/>
        <w:ind w:left="851"/>
        <w:rPr>
          <w:sz w:val="24"/>
          <w:szCs w:val="24"/>
          <w:u w:val="single"/>
          <w:lang w:val="en-US"/>
        </w:rPr>
      </w:pPr>
      <w:bookmarkStart w:id="7" w:name="_Hlk33684609"/>
      <w:r w:rsidRPr="00110F7D">
        <w:rPr>
          <w:sz w:val="24"/>
          <w:szCs w:val="24"/>
          <w:u w:val="single"/>
          <w:lang w:val="en-US"/>
        </w:rPr>
        <w:t>Fertility</w:t>
      </w:r>
    </w:p>
    <w:p w14:paraId="060DEC44" w14:textId="77777777" w:rsidR="00652442" w:rsidRPr="00110F7D" w:rsidRDefault="00652442" w:rsidP="00CC5520">
      <w:pPr>
        <w:ind w:left="851"/>
        <w:rPr>
          <w:sz w:val="24"/>
          <w:szCs w:val="24"/>
          <w:lang w:val="en-US"/>
        </w:rPr>
      </w:pPr>
    </w:p>
    <w:p w14:paraId="5F2D98C2" w14:textId="77777777" w:rsidR="00652442" w:rsidRPr="00110F7D" w:rsidRDefault="00652442" w:rsidP="00CC5520">
      <w:pPr>
        <w:ind w:left="851"/>
        <w:rPr>
          <w:sz w:val="24"/>
          <w:szCs w:val="24"/>
          <w:lang w:val="en-US"/>
        </w:rPr>
      </w:pPr>
      <w:r w:rsidRPr="00110F7D">
        <w:rPr>
          <w:sz w:val="24"/>
          <w:szCs w:val="24"/>
          <w:lang w:val="en-US"/>
        </w:rPr>
        <w:t>There are no data on the effect of gallium (</w:t>
      </w:r>
      <w:r w:rsidRPr="00110F7D">
        <w:rPr>
          <w:sz w:val="24"/>
          <w:szCs w:val="24"/>
          <w:vertAlign w:val="superscript"/>
          <w:lang w:val="en-US"/>
        </w:rPr>
        <w:t>68</w:t>
      </w:r>
      <w:r w:rsidRPr="00110F7D">
        <w:rPr>
          <w:sz w:val="24"/>
          <w:szCs w:val="24"/>
          <w:lang w:val="en-US"/>
        </w:rPr>
        <w:t xml:space="preserve">Ga) </w:t>
      </w:r>
      <w:proofErr w:type="spellStart"/>
      <w:r w:rsidRPr="00110F7D">
        <w:rPr>
          <w:sz w:val="24"/>
          <w:szCs w:val="24"/>
          <w:lang w:val="en-US"/>
        </w:rPr>
        <w:t>gozetotide</w:t>
      </w:r>
      <w:proofErr w:type="spellEnd"/>
      <w:r w:rsidRPr="00110F7D">
        <w:rPr>
          <w:sz w:val="24"/>
          <w:szCs w:val="24"/>
          <w:lang w:val="en-US"/>
        </w:rPr>
        <w:t xml:space="preserve"> on human fertility.</w:t>
      </w:r>
      <w:bookmarkEnd w:id="7"/>
    </w:p>
    <w:p w14:paraId="73743F81" w14:textId="77777777" w:rsidR="00114971" w:rsidRPr="00110F7D" w:rsidRDefault="00114971" w:rsidP="00114971">
      <w:pPr>
        <w:tabs>
          <w:tab w:val="left" w:pos="851"/>
        </w:tabs>
        <w:ind w:left="851"/>
        <w:rPr>
          <w:sz w:val="24"/>
          <w:szCs w:val="24"/>
          <w:lang w:val="en-US"/>
        </w:rPr>
      </w:pPr>
    </w:p>
    <w:p w14:paraId="4DB53FB5" w14:textId="77777777" w:rsidR="00114971" w:rsidRPr="00110F7D" w:rsidRDefault="00114971" w:rsidP="00114971">
      <w:pPr>
        <w:tabs>
          <w:tab w:val="left" w:pos="851"/>
        </w:tabs>
        <w:ind w:left="851" w:hanging="851"/>
        <w:rPr>
          <w:b/>
          <w:sz w:val="24"/>
          <w:szCs w:val="24"/>
          <w:lang w:val="en-GB"/>
        </w:rPr>
      </w:pPr>
      <w:r w:rsidRPr="00110F7D">
        <w:rPr>
          <w:b/>
          <w:sz w:val="24"/>
          <w:szCs w:val="24"/>
          <w:lang w:val="en-GB"/>
        </w:rPr>
        <w:t>4.7</w:t>
      </w:r>
      <w:r w:rsidRPr="00110F7D">
        <w:rPr>
          <w:b/>
          <w:sz w:val="24"/>
          <w:szCs w:val="24"/>
          <w:lang w:val="en-GB"/>
        </w:rPr>
        <w:tab/>
        <w:t>Effects on ability to drive and use machines</w:t>
      </w:r>
    </w:p>
    <w:p w14:paraId="7E203614" w14:textId="77777777" w:rsidR="00D27234" w:rsidRDefault="00D27234" w:rsidP="00CC5520">
      <w:pPr>
        <w:ind w:left="851"/>
        <w:rPr>
          <w:sz w:val="24"/>
          <w:szCs w:val="24"/>
          <w:lang w:val="en-GB"/>
        </w:rPr>
      </w:pPr>
      <w:r>
        <w:rPr>
          <w:sz w:val="24"/>
          <w:szCs w:val="24"/>
          <w:lang w:val="en-GB"/>
        </w:rPr>
        <w:t>No traffic warning.</w:t>
      </w:r>
    </w:p>
    <w:p w14:paraId="76BF4EF6" w14:textId="007E08B2" w:rsidR="00652442" w:rsidRPr="00110F7D" w:rsidRDefault="00652442" w:rsidP="00CC5520">
      <w:pPr>
        <w:ind w:left="851"/>
        <w:rPr>
          <w:sz w:val="24"/>
          <w:szCs w:val="24"/>
          <w:lang w:val="en-US"/>
        </w:rPr>
      </w:pPr>
      <w:r w:rsidRPr="00110F7D">
        <w:rPr>
          <w:sz w:val="24"/>
          <w:szCs w:val="24"/>
          <w:lang w:val="en-US"/>
        </w:rPr>
        <w:t>Gallium (</w:t>
      </w:r>
      <w:r w:rsidRPr="00110F7D">
        <w:rPr>
          <w:sz w:val="24"/>
          <w:szCs w:val="24"/>
          <w:vertAlign w:val="superscript"/>
          <w:lang w:val="en-US"/>
        </w:rPr>
        <w:t>68</w:t>
      </w:r>
      <w:r w:rsidRPr="00110F7D">
        <w:rPr>
          <w:sz w:val="24"/>
          <w:szCs w:val="24"/>
          <w:lang w:val="en-US"/>
        </w:rPr>
        <w:t xml:space="preserve">Ga) </w:t>
      </w:r>
      <w:proofErr w:type="spellStart"/>
      <w:r w:rsidRPr="00110F7D">
        <w:rPr>
          <w:sz w:val="24"/>
          <w:szCs w:val="24"/>
          <w:lang w:val="en-US"/>
        </w:rPr>
        <w:t>gozetotide</w:t>
      </w:r>
      <w:proofErr w:type="spellEnd"/>
      <w:r w:rsidRPr="00110F7D">
        <w:rPr>
          <w:sz w:val="24"/>
          <w:szCs w:val="24"/>
          <w:lang w:val="en-US"/>
        </w:rPr>
        <w:t xml:space="preserve"> has no or negligible influence on the ability to drive and use machines.</w:t>
      </w:r>
    </w:p>
    <w:p w14:paraId="3D422FF1" w14:textId="77777777" w:rsidR="00114971" w:rsidRPr="00110F7D" w:rsidRDefault="00114971" w:rsidP="00114971">
      <w:pPr>
        <w:tabs>
          <w:tab w:val="left" w:pos="851"/>
        </w:tabs>
        <w:ind w:left="851"/>
        <w:rPr>
          <w:sz w:val="24"/>
          <w:szCs w:val="24"/>
          <w:lang w:val="en-US"/>
        </w:rPr>
      </w:pPr>
    </w:p>
    <w:p w14:paraId="2F35FA82" w14:textId="77777777" w:rsidR="00114971" w:rsidRPr="00110F7D" w:rsidRDefault="00114971" w:rsidP="00114971">
      <w:pPr>
        <w:tabs>
          <w:tab w:val="left" w:pos="851"/>
        </w:tabs>
        <w:ind w:left="851" w:hanging="851"/>
        <w:rPr>
          <w:b/>
          <w:sz w:val="24"/>
          <w:szCs w:val="24"/>
          <w:lang w:val="en-US"/>
        </w:rPr>
      </w:pPr>
      <w:r w:rsidRPr="00110F7D">
        <w:rPr>
          <w:b/>
          <w:sz w:val="24"/>
          <w:szCs w:val="24"/>
          <w:lang w:val="en-US"/>
        </w:rPr>
        <w:t>4.8</w:t>
      </w:r>
      <w:r w:rsidRPr="00110F7D">
        <w:rPr>
          <w:b/>
          <w:sz w:val="24"/>
          <w:szCs w:val="24"/>
          <w:lang w:val="en-US"/>
        </w:rPr>
        <w:tab/>
        <w:t>Undesirable effects</w:t>
      </w:r>
    </w:p>
    <w:p w14:paraId="6902211A" w14:textId="77777777" w:rsidR="00D27234" w:rsidRDefault="00D27234" w:rsidP="00CC5520">
      <w:pPr>
        <w:autoSpaceDE w:val="0"/>
        <w:autoSpaceDN w:val="0"/>
        <w:adjustRightInd w:val="0"/>
        <w:ind w:left="851"/>
        <w:rPr>
          <w:sz w:val="24"/>
          <w:szCs w:val="24"/>
          <w:u w:val="single"/>
          <w:lang w:val="en-US"/>
        </w:rPr>
      </w:pPr>
    </w:p>
    <w:p w14:paraId="7E27D38F" w14:textId="34C79DEB" w:rsidR="00652442" w:rsidRPr="00110F7D" w:rsidRDefault="00652442" w:rsidP="00CC5520">
      <w:pPr>
        <w:autoSpaceDE w:val="0"/>
        <w:autoSpaceDN w:val="0"/>
        <w:adjustRightInd w:val="0"/>
        <w:ind w:left="851"/>
        <w:rPr>
          <w:sz w:val="24"/>
          <w:szCs w:val="24"/>
          <w:u w:val="single"/>
          <w:lang w:val="en-US"/>
        </w:rPr>
      </w:pPr>
      <w:r w:rsidRPr="00110F7D">
        <w:rPr>
          <w:sz w:val="24"/>
          <w:szCs w:val="24"/>
          <w:u w:val="single"/>
          <w:lang w:val="en-US"/>
        </w:rPr>
        <w:t>Summary of the safety profile</w:t>
      </w:r>
    </w:p>
    <w:p w14:paraId="58EC0544" w14:textId="77777777" w:rsidR="00652442" w:rsidRPr="00110F7D" w:rsidRDefault="00652442" w:rsidP="00CC5520">
      <w:pPr>
        <w:autoSpaceDE w:val="0"/>
        <w:autoSpaceDN w:val="0"/>
        <w:adjustRightInd w:val="0"/>
        <w:ind w:left="851"/>
        <w:rPr>
          <w:sz w:val="24"/>
          <w:szCs w:val="24"/>
          <w:u w:val="single"/>
          <w:lang w:val="en-US"/>
        </w:rPr>
      </w:pPr>
    </w:p>
    <w:p w14:paraId="7192E654" w14:textId="77777777" w:rsidR="00652442" w:rsidRPr="00110F7D" w:rsidRDefault="00652442" w:rsidP="00CC5520">
      <w:pPr>
        <w:ind w:left="851"/>
        <w:rPr>
          <w:sz w:val="24"/>
          <w:szCs w:val="24"/>
          <w:lang w:val="en-US"/>
        </w:rPr>
      </w:pPr>
      <w:r w:rsidRPr="00110F7D">
        <w:rPr>
          <w:sz w:val="24"/>
          <w:szCs w:val="24"/>
          <w:lang w:val="en-US"/>
        </w:rPr>
        <w:t>The radiation dose with gallium (</w:t>
      </w:r>
      <w:r w:rsidRPr="00110F7D">
        <w:rPr>
          <w:sz w:val="24"/>
          <w:szCs w:val="24"/>
          <w:vertAlign w:val="superscript"/>
          <w:lang w:val="en-US"/>
        </w:rPr>
        <w:t>68</w:t>
      </w:r>
      <w:r w:rsidRPr="00110F7D">
        <w:rPr>
          <w:sz w:val="24"/>
          <w:szCs w:val="24"/>
          <w:lang w:val="en-US"/>
        </w:rPr>
        <w:t xml:space="preserve">Ga) </w:t>
      </w:r>
      <w:proofErr w:type="spellStart"/>
      <w:r w:rsidRPr="00110F7D">
        <w:rPr>
          <w:sz w:val="24"/>
          <w:szCs w:val="24"/>
          <w:lang w:val="en-US"/>
        </w:rPr>
        <w:t>gozetotide</w:t>
      </w:r>
      <w:proofErr w:type="spellEnd"/>
      <w:r w:rsidRPr="00110F7D">
        <w:rPr>
          <w:sz w:val="24"/>
          <w:szCs w:val="24"/>
          <w:lang w:val="en-US"/>
        </w:rPr>
        <w:t xml:space="preserve"> PET/CT is the combination of the radiation exposure from the radiopharmaceutical and the CT.</w:t>
      </w:r>
    </w:p>
    <w:p w14:paraId="2B9B228C" w14:textId="77777777" w:rsidR="00652442" w:rsidRPr="00110F7D" w:rsidRDefault="00652442" w:rsidP="00CC5520">
      <w:pPr>
        <w:ind w:left="851"/>
        <w:rPr>
          <w:sz w:val="24"/>
          <w:szCs w:val="24"/>
          <w:lang w:val="en-US"/>
        </w:rPr>
      </w:pPr>
    </w:p>
    <w:p w14:paraId="79891C6A" w14:textId="77777777" w:rsidR="00652442" w:rsidRPr="00110F7D" w:rsidRDefault="00652442" w:rsidP="00CC5520">
      <w:pPr>
        <w:ind w:left="851"/>
        <w:rPr>
          <w:sz w:val="24"/>
          <w:szCs w:val="24"/>
          <w:lang w:val="en-US"/>
        </w:rPr>
      </w:pPr>
      <w:r w:rsidRPr="00110F7D">
        <w:rPr>
          <w:sz w:val="24"/>
          <w:szCs w:val="24"/>
          <w:lang w:val="en-US"/>
        </w:rPr>
        <w:t xml:space="preserve">Exposure to </w:t>
      </w:r>
      <w:proofErr w:type="spellStart"/>
      <w:r w:rsidRPr="00110F7D">
        <w:rPr>
          <w:sz w:val="24"/>
          <w:szCs w:val="24"/>
          <w:lang w:val="en-US"/>
        </w:rPr>
        <w:t>ionising</w:t>
      </w:r>
      <w:proofErr w:type="spellEnd"/>
      <w:r w:rsidRPr="00110F7D">
        <w:rPr>
          <w:sz w:val="24"/>
          <w:szCs w:val="24"/>
          <w:lang w:val="en-US"/>
        </w:rPr>
        <w:t xml:space="preserve"> radiation is linked with cancer induction and a potential for development of hereditary defects. As the effective dose is 3 mSv when the maximal recommended activity of 2.2 </w:t>
      </w:r>
      <w:proofErr w:type="spellStart"/>
      <w:r w:rsidRPr="00110F7D">
        <w:rPr>
          <w:sz w:val="24"/>
          <w:szCs w:val="24"/>
          <w:lang w:val="en-US"/>
        </w:rPr>
        <w:t>MBq</w:t>
      </w:r>
      <w:proofErr w:type="spellEnd"/>
      <w:r w:rsidRPr="00110F7D">
        <w:rPr>
          <w:sz w:val="24"/>
          <w:szCs w:val="24"/>
          <w:lang w:val="en-US"/>
        </w:rPr>
        <w:t xml:space="preserve"> per kilogram of body weight is administrated these adverse reactions are expected to occur with a low probability.</w:t>
      </w:r>
    </w:p>
    <w:p w14:paraId="1C13FA42" w14:textId="77777777" w:rsidR="00652442" w:rsidRPr="00110F7D" w:rsidRDefault="00652442" w:rsidP="00CC5520">
      <w:pPr>
        <w:ind w:left="851"/>
        <w:rPr>
          <w:sz w:val="24"/>
          <w:szCs w:val="24"/>
          <w:lang w:val="en-US"/>
        </w:rPr>
      </w:pPr>
    </w:p>
    <w:p w14:paraId="4574713F" w14:textId="77777777" w:rsidR="00652442" w:rsidRPr="00110F7D" w:rsidRDefault="00652442" w:rsidP="00CC5520">
      <w:pPr>
        <w:autoSpaceDE w:val="0"/>
        <w:autoSpaceDN w:val="0"/>
        <w:adjustRightInd w:val="0"/>
        <w:ind w:left="851"/>
        <w:rPr>
          <w:sz w:val="24"/>
          <w:szCs w:val="24"/>
          <w:u w:val="single"/>
          <w:lang w:val="en-US"/>
        </w:rPr>
      </w:pPr>
      <w:r w:rsidRPr="00110F7D">
        <w:rPr>
          <w:sz w:val="24"/>
          <w:szCs w:val="24"/>
          <w:u w:val="single"/>
          <w:lang w:val="en-US"/>
        </w:rPr>
        <w:t>Tabulated list of adverse reactions</w:t>
      </w:r>
    </w:p>
    <w:p w14:paraId="1F294B5D" w14:textId="77777777" w:rsidR="00652442" w:rsidRPr="00110F7D" w:rsidRDefault="00652442" w:rsidP="00CC5520">
      <w:pPr>
        <w:ind w:left="851"/>
        <w:rPr>
          <w:sz w:val="24"/>
          <w:szCs w:val="24"/>
          <w:lang w:val="en-US"/>
        </w:rPr>
      </w:pPr>
    </w:p>
    <w:p w14:paraId="0E3D0196" w14:textId="3DCFB121" w:rsidR="00652442" w:rsidRPr="00110F7D" w:rsidRDefault="00652442" w:rsidP="00CC5520">
      <w:pPr>
        <w:ind w:left="851"/>
        <w:rPr>
          <w:sz w:val="24"/>
          <w:szCs w:val="24"/>
          <w:lang w:val="en-US"/>
        </w:rPr>
      </w:pPr>
      <w:r w:rsidRPr="00110F7D">
        <w:rPr>
          <w:sz w:val="24"/>
          <w:szCs w:val="24"/>
          <w:lang w:val="en-US"/>
        </w:rPr>
        <w:t xml:space="preserve">The following list of adverse reactions is based on experience from clinical trials (677 subjects). Adverse reactions are displayed by system organ class and frequency in </w:t>
      </w:r>
      <w:r w:rsidRPr="00110F7D">
        <w:rPr>
          <w:color w:val="2B579A"/>
          <w:sz w:val="24"/>
          <w:szCs w:val="24"/>
          <w:shd w:val="clear" w:color="auto" w:fill="E6E6E6"/>
        </w:rPr>
        <w:fldChar w:fldCharType="begin"/>
      </w:r>
      <w:r w:rsidRPr="00110F7D">
        <w:rPr>
          <w:sz w:val="24"/>
          <w:szCs w:val="24"/>
          <w:lang w:val="en-US"/>
        </w:rPr>
        <w:instrText xml:space="preserve"> REF _Ref103077413 \h  \* MERGEFORMAT </w:instrText>
      </w:r>
      <w:r w:rsidRPr="00110F7D">
        <w:rPr>
          <w:color w:val="2B579A"/>
          <w:sz w:val="24"/>
          <w:szCs w:val="24"/>
          <w:shd w:val="clear" w:color="auto" w:fill="E6E6E6"/>
        </w:rPr>
      </w:r>
      <w:r w:rsidRPr="00110F7D">
        <w:rPr>
          <w:color w:val="2B579A"/>
          <w:sz w:val="24"/>
          <w:szCs w:val="24"/>
          <w:shd w:val="clear" w:color="auto" w:fill="E6E6E6"/>
        </w:rPr>
        <w:fldChar w:fldCharType="separate"/>
      </w:r>
      <w:r w:rsidR="00C47B20" w:rsidRPr="00C47B20">
        <w:rPr>
          <w:sz w:val="24"/>
          <w:szCs w:val="24"/>
          <w:lang w:val="en-US"/>
        </w:rPr>
        <w:t xml:space="preserve">Table </w:t>
      </w:r>
      <w:r w:rsidR="00C47B20" w:rsidRPr="00C47B20">
        <w:rPr>
          <w:noProof/>
          <w:sz w:val="24"/>
          <w:szCs w:val="24"/>
          <w:lang w:val="en-US"/>
        </w:rPr>
        <w:t>1</w:t>
      </w:r>
      <w:r w:rsidRPr="00110F7D">
        <w:rPr>
          <w:color w:val="2B579A"/>
          <w:sz w:val="24"/>
          <w:szCs w:val="24"/>
          <w:shd w:val="clear" w:color="auto" w:fill="E6E6E6"/>
        </w:rPr>
        <w:fldChar w:fldCharType="end"/>
      </w:r>
      <w:r w:rsidRPr="00110F7D">
        <w:rPr>
          <w:sz w:val="24"/>
          <w:szCs w:val="24"/>
          <w:lang w:val="en-US"/>
        </w:rPr>
        <w:t xml:space="preserve"> and defined as very common (≥1/10), common (≥1/100 to &lt;1/10), uncommon (≥1/1</w:t>
      </w:r>
      <w:bookmarkStart w:id="8" w:name="_Hlk169858169"/>
      <w:r w:rsidRPr="00110F7D">
        <w:rPr>
          <w:sz w:val="24"/>
          <w:szCs w:val="24"/>
          <w:lang w:val="en-US"/>
        </w:rPr>
        <w:t> </w:t>
      </w:r>
      <w:bookmarkEnd w:id="8"/>
      <w:r w:rsidRPr="00110F7D">
        <w:rPr>
          <w:sz w:val="24"/>
          <w:szCs w:val="24"/>
          <w:lang w:val="en-US"/>
        </w:rPr>
        <w:t>000 to &lt;1/100), rare (≥1/10 000 to &lt;1/1 000), very rare (&lt;1/10 000) and not known (cannot be estimated from the available data).</w:t>
      </w:r>
    </w:p>
    <w:p w14:paraId="55727FF4" w14:textId="77777777" w:rsidR="00652442" w:rsidRPr="00110F7D" w:rsidRDefault="00652442" w:rsidP="00CC5520">
      <w:pPr>
        <w:ind w:left="851"/>
        <w:rPr>
          <w:sz w:val="24"/>
          <w:szCs w:val="24"/>
          <w:lang w:val="en-US"/>
        </w:rPr>
      </w:pPr>
    </w:p>
    <w:p w14:paraId="24A390C7" w14:textId="7BCDA390" w:rsidR="00652442" w:rsidRPr="00110F7D" w:rsidRDefault="00652442" w:rsidP="00652442">
      <w:pPr>
        <w:rPr>
          <w:b/>
          <w:bCs/>
          <w:sz w:val="24"/>
          <w:szCs w:val="24"/>
          <w:lang w:val="en-US"/>
        </w:rPr>
      </w:pPr>
      <w:bookmarkStart w:id="9" w:name="_Ref103077413"/>
      <w:r w:rsidRPr="00110F7D">
        <w:rPr>
          <w:b/>
          <w:bCs/>
          <w:sz w:val="24"/>
          <w:szCs w:val="24"/>
          <w:lang w:val="en-US"/>
        </w:rPr>
        <w:t xml:space="preserve">Table </w:t>
      </w:r>
      <w:r w:rsidRPr="00110F7D">
        <w:rPr>
          <w:sz w:val="24"/>
          <w:szCs w:val="24"/>
        </w:rPr>
        <w:fldChar w:fldCharType="begin"/>
      </w:r>
      <w:r w:rsidRPr="00110F7D">
        <w:rPr>
          <w:b/>
          <w:bCs/>
          <w:sz w:val="24"/>
          <w:szCs w:val="24"/>
          <w:lang w:val="en-US"/>
        </w:rPr>
        <w:instrText xml:space="preserve"> SEQ Table \* ARABIC </w:instrText>
      </w:r>
      <w:r w:rsidRPr="00110F7D">
        <w:rPr>
          <w:sz w:val="24"/>
          <w:szCs w:val="24"/>
        </w:rPr>
        <w:fldChar w:fldCharType="separate"/>
      </w:r>
      <w:r w:rsidR="00C47B20">
        <w:rPr>
          <w:b/>
          <w:bCs/>
          <w:noProof/>
          <w:sz w:val="24"/>
          <w:szCs w:val="24"/>
          <w:lang w:val="en-US"/>
        </w:rPr>
        <w:t>1</w:t>
      </w:r>
      <w:r w:rsidRPr="00110F7D">
        <w:rPr>
          <w:sz w:val="24"/>
          <w:szCs w:val="24"/>
        </w:rPr>
        <w:fldChar w:fldCharType="end"/>
      </w:r>
      <w:bookmarkEnd w:id="9"/>
      <w:r w:rsidRPr="00110F7D">
        <w:rPr>
          <w:b/>
          <w:bCs/>
          <w:sz w:val="24"/>
          <w:szCs w:val="24"/>
          <w:lang w:val="en-US"/>
        </w:rPr>
        <w:t>: Adverse reactions by system organ class and frequency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7"/>
        <w:gridCol w:w="3738"/>
        <w:gridCol w:w="2213"/>
      </w:tblGrid>
      <w:tr w:rsidR="00652442" w:rsidRPr="00110F7D" w14:paraId="704C5159" w14:textId="77777777" w:rsidTr="00CC5520">
        <w:trPr>
          <w:tblHeader/>
        </w:trPr>
        <w:tc>
          <w:tcPr>
            <w:tcW w:w="1909" w:type="pct"/>
            <w:tcBorders>
              <w:top w:val="single" w:sz="4" w:space="0" w:color="auto"/>
              <w:left w:val="single" w:sz="4" w:space="0" w:color="auto"/>
              <w:bottom w:val="single" w:sz="4" w:space="0" w:color="auto"/>
              <w:right w:val="single" w:sz="4" w:space="0" w:color="auto"/>
            </w:tcBorders>
            <w:hideMark/>
          </w:tcPr>
          <w:p w14:paraId="31F5F3AB" w14:textId="77777777" w:rsidR="00652442" w:rsidRPr="00110F7D" w:rsidRDefault="00652442" w:rsidP="00D27234">
            <w:pPr>
              <w:rPr>
                <w:b/>
                <w:sz w:val="24"/>
                <w:szCs w:val="24"/>
              </w:rPr>
            </w:pPr>
            <w:proofErr w:type="spellStart"/>
            <w:r w:rsidRPr="00110F7D">
              <w:rPr>
                <w:b/>
                <w:sz w:val="24"/>
                <w:szCs w:val="24"/>
              </w:rPr>
              <w:t>MedDRA</w:t>
            </w:r>
            <w:proofErr w:type="spellEnd"/>
            <w:r w:rsidRPr="00110F7D">
              <w:rPr>
                <w:b/>
                <w:sz w:val="24"/>
                <w:szCs w:val="24"/>
              </w:rPr>
              <w:t xml:space="preserve"> system organ class</w:t>
            </w:r>
          </w:p>
        </w:tc>
        <w:tc>
          <w:tcPr>
            <w:tcW w:w="1941" w:type="pct"/>
            <w:tcBorders>
              <w:top w:val="single" w:sz="4" w:space="0" w:color="auto"/>
              <w:left w:val="single" w:sz="4" w:space="0" w:color="auto"/>
              <w:bottom w:val="single" w:sz="4" w:space="0" w:color="auto"/>
              <w:right w:val="single" w:sz="4" w:space="0" w:color="auto"/>
            </w:tcBorders>
            <w:hideMark/>
          </w:tcPr>
          <w:p w14:paraId="4391A4A3" w14:textId="77777777" w:rsidR="00652442" w:rsidRPr="00110F7D" w:rsidRDefault="00652442" w:rsidP="00D27234">
            <w:pPr>
              <w:rPr>
                <w:b/>
                <w:sz w:val="24"/>
                <w:szCs w:val="24"/>
              </w:rPr>
            </w:pPr>
            <w:proofErr w:type="spellStart"/>
            <w:r w:rsidRPr="00110F7D">
              <w:rPr>
                <w:b/>
                <w:sz w:val="24"/>
                <w:szCs w:val="24"/>
              </w:rPr>
              <w:t>Adverse</w:t>
            </w:r>
            <w:proofErr w:type="spellEnd"/>
            <w:r w:rsidRPr="00110F7D">
              <w:rPr>
                <w:b/>
                <w:sz w:val="24"/>
                <w:szCs w:val="24"/>
              </w:rPr>
              <w:t xml:space="preserve"> </w:t>
            </w:r>
            <w:proofErr w:type="spellStart"/>
            <w:r w:rsidRPr="00110F7D">
              <w:rPr>
                <w:b/>
                <w:sz w:val="24"/>
                <w:szCs w:val="24"/>
              </w:rPr>
              <w:t>reactions</w:t>
            </w:r>
            <w:proofErr w:type="spellEnd"/>
          </w:p>
        </w:tc>
        <w:tc>
          <w:tcPr>
            <w:tcW w:w="1149" w:type="pct"/>
            <w:tcBorders>
              <w:top w:val="single" w:sz="4" w:space="0" w:color="auto"/>
              <w:left w:val="single" w:sz="4" w:space="0" w:color="auto"/>
              <w:bottom w:val="single" w:sz="4" w:space="0" w:color="auto"/>
              <w:right w:val="single" w:sz="4" w:space="0" w:color="auto"/>
            </w:tcBorders>
            <w:hideMark/>
          </w:tcPr>
          <w:p w14:paraId="4565DFED" w14:textId="77777777" w:rsidR="00652442" w:rsidRPr="00110F7D" w:rsidRDefault="00652442" w:rsidP="00D27234">
            <w:pPr>
              <w:rPr>
                <w:b/>
                <w:sz w:val="24"/>
                <w:szCs w:val="24"/>
              </w:rPr>
            </w:pPr>
            <w:proofErr w:type="spellStart"/>
            <w:r w:rsidRPr="00110F7D">
              <w:rPr>
                <w:b/>
                <w:sz w:val="24"/>
                <w:szCs w:val="24"/>
              </w:rPr>
              <w:t>Frequency</w:t>
            </w:r>
            <w:proofErr w:type="spellEnd"/>
          </w:p>
        </w:tc>
      </w:tr>
      <w:tr w:rsidR="00652442" w:rsidRPr="00110F7D" w14:paraId="198DD9AB" w14:textId="77777777" w:rsidTr="00CC5520">
        <w:tc>
          <w:tcPr>
            <w:tcW w:w="1909" w:type="pct"/>
            <w:tcBorders>
              <w:top w:val="single" w:sz="4" w:space="0" w:color="auto"/>
              <w:left w:val="single" w:sz="4" w:space="0" w:color="auto"/>
              <w:bottom w:val="single" w:sz="4" w:space="0" w:color="auto"/>
              <w:right w:val="single" w:sz="4" w:space="0" w:color="auto"/>
            </w:tcBorders>
            <w:hideMark/>
          </w:tcPr>
          <w:p w14:paraId="3AD9C3C3" w14:textId="77777777" w:rsidR="00652442" w:rsidRPr="00110F7D" w:rsidRDefault="00652442" w:rsidP="00D27234">
            <w:pPr>
              <w:rPr>
                <w:sz w:val="24"/>
                <w:szCs w:val="24"/>
              </w:rPr>
            </w:pPr>
            <w:proofErr w:type="spellStart"/>
            <w:r w:rsidRPr="00110F7D">
              <w:rPr>
                <w:sz w:val="24"/>
                <w:szCs w:val="24"/>
              </w:rPr>
              <w:t>Metabolism</w:t>
            </w:r>
            <w:proofErr w:type="spellEnd"/>
            <w:r w:rsidRPr="00110F7D">
              <w:rPr>
                <w:sz w:val="24"/>
                <w:szCs w:val="24"/>
              </w:rPr>
              <w:t xml:space="preserve"> and </w:t>
            </w:r>
            <w:proofErr w:type="spellStart"/>
            <w:r w:rsidRPr="00110F7D">
              <w:rPr>
                <w:sz w:val="24"/>
                <w:szCs w:val="24"/>
              </w:rPr>
              <w:t>nutrition</w:t>
            </w:r>
            <w:proofErr w:type="spellEnd"/>
            <w:r w:rsidRPr="00110F7D">
              <w:rPr>
                <w:sz w:val="24"/>
                <w:szCs w:val="24"/>
              </w:rPr>
              <w:t xml:space="preserve"> </w:t>
            </w:r>
            <w:proofErr w:type="spellStart"/>
            <w:r w:rsidRPr="00110F7D">
              <w:rPr>
                <w:sz w:val="24"/>
                <w:szCs w:val="24"/>
              </w:rPr>
              <w:t>disorders</w:t>
            </w:r>
            <w:proofErr w:type="spellEnd"/>
          </w:p>
        </w:tc>
        <w:tc>
          <w:tcPr>
            <w:tcW w:w="1941" w:type="pct"/>
            <w:tcBorders>
              <w:top w:val="single" w:sz="4" w:space="0" w:color="auto"/>
              <w:left w:val="single" w:sz="4" w:space="0" w:color="auto"/>
              <w:bottom w:val="single" w:sz="4" w:space="0" w:color="auto"/>
              <w:right w:val="single" w:sz="4" w:space="0" w:color="auto"/>
            </w:tcBorders>
            <w:hideMark/>
          </w:tcPr>
          <w:p w14:paraId="4F37D034" w14:textId="77777777" w:rsidR="00652442" w:rsidRPr="00110F7D" w:rsidRDefault="00652442" w:rsidP="00D27234">
            <w:pPr>
              <w:rPr>
                <w:sz w:val="24"/>
                <w:szCs w:val="24"/>
              </w:rPr>
            </w:pPr>
            <w:r w:rsidRPr="00110F7D">
              <w:rPr>
                <w:sz w:val="24"/>
                <w:szCs w:val="24"/>
              </w:rPr>
              <w:t xml:space="preserve">Transient </w:t>
            </w:r>
            <w:proofErr w:type="spellStart"/>
            <w:r w:rsidRPr="00110F7D">
              <w:rPr>
                <w:sz w:val="24"/>
                <w:szCs w:val="24"/>
              </w:rPr>
              <w:t>hyperamylasaemia</w:t>
            </w:r>
            <w:proofErr w:type="spellEnd"/>
          </w:p>
        </w:tc>
        <w:tc>
          <w:tcPr>
            <w:tcW w:w="1149" w:type="pct"/>
            <w:tcBorders>
              <w:top w:val="single" w:sz="4" w:space="0" w:color="auto"/>
              <w:left w:val="single" w:sz="4" w:space="0" w:color="auto"/>
              <w:bottom w:val="single" w:sz="4" w:space="0" w:color="auto"/>
              <w:right w:val="single" w:sz="4" w:space="0" w:color="auto"/>
            </w:tcBorders>
            <w:hideMark/>
          </w:tcPr>
          <w:p w14:paraId="2B3B35DB" w14:textId="77777777" w:rsidR="00652442" w:rsidRPr="00110F7D" w:rsidRDefault="00652442" w:rsidP="00D27234">
            <w:pPr>
              <w:rPr>
                <w:sz w:val="24"/>
                <w:szCs w:val="24"/>
              </w:rPr>
            </w:pPr>
            <w:r w:rsidRPr="00110F7D">
              <w:rPr>
                <w:sz w:val="24"/>
                <w:szCs w:val="24"/>
              </w:rPr>
              <w:t>Rare</w:t>
            </w:r>
          </w:p>
        </w:tc>
      </w:tr>
      <w:tr w:rsidR="00652442" w:rsidRPr="00110F7D" w14:paraId="6DFFE597" w14:textId="77777777" w:rsidTr="00CC5520">
        <w:tc>
          <w:tcPr>
            <w:tcW w:w="1909" w:type="pct"/>
            <w:tcBorders>
              <w:top w:val="single" w:sz="4" w:space="0" w:color="auto"/>
              <w:left w:val="single" w:sz="4" w:space="0" w:color="auto"/>
              <w:bottom w:val="single" w:sz="4" w:space="0" w:color="auto"/>
              <w:right w:val="single" w:sz="4" w:space="0" w:color="auto"/>
            </w:tcBorders>
            <w:hideMark/>
          </w:tcPr>
          <w:p w14:paraId="71E4370E" w14:textId="77777777" w:rsidR="00652442" w:rsidRPr="00110F7D" w:rsidRDefault="00652442" w:rsidP="00D27234">
            <w:pPr>
              <w:rPr>
                <w:sz w:val="24"/>
                <w:szCs w:val="24"/>
              </w:rPr>
            </w:pPr>
            <w:proofErr w:type="spellStart"/>
            <w:r w:rsidRPr="00110F7D">
              <w:rPr>
                <w:sz w:val="24"/>
                <w:szCs w:val="24"/>
              </w:rPr>
              <w:t>Gastrointestinal</w:t>
            </w:r>
            <w:proofErr w:type="spellEnd"/>
            <w:r w:rsidRPr="00110F7D">
              <w:rPr>
                <w:sz w:val="24"/>
                <w:szCs w:val="24"/>
              </w:rPr>
              <w:t xml:space="preserve"> </w:t>
            </w:r>
            <w:proofErr w:type="spellStart"/>
            <w:r w:rsidRPr="00110F7D">
              <w:rPr>
                <w:sz w:val="24"/>
                <w:szCs w:val="24"/>
              </w:rPr>
              <w:t>disorders</w:t>
            </w:r>
            <w:proofErr w:type="spellEnd"/>
          </w:p>
        </w:tc>
        <w:tc>
          <w:tcPr>
            <w:tcW w:w="1941" w:type="pct"/>
            <w:tcBorders>
              <w:top w:val="single" w:sz="4" w:space="0" w:color="auto"/>
              <w:left w:val="single" w:sz="4" w:space="0" w:color="auto"/>
              <w:bottom w:val="single" w:sz="4" w:space="0" w:color="auto"/>
              <w:right w:val="single" w:sz="4" w:space="0" w:color="auto"/>
            </w:tcBorders>
            <w:hideMark/>
          </w:tcPr>
          <w:p w14:paraId="5B210E4B" w14:textId="77777777" w:rsidR="00652442" w:rsidRPr="00110F7D" w:rsidRDefault="00652442" w:rsidP="00D27234">
            <w:pPr>
              <w:rPr>
                <w:sz w:val="24"/>
                <w:szCs w:val="24"/>
              </w:rPr>
            </w:pPr>
            <w:proofErr w:type="spellStart"/>
            <w:r w:rsidRPr="00110F7D">
              <w:rPr>
                <w:sz w:val="24"/>
                <w:szCs w:val="24"/>
              </w:rPr>
              <w:t>Constipation</w:t>
            </w:r>
            <w:proofErr w:type="spellEnd"/>
          </w:p>
        </w:tc>
        <w:tc>
          <w:tcPr>
            <w:tcW w:w="1149" w:type="pct"/>
            <w:tcBorders>
              <w:top w:val="single" w:sz="4" w:space="0" w:color="auto"/>
              <w:left w:val="single" w:sz="4" w:space="0" w:color="auto"/>
              <w:bottom w:val="single" w:sz="4" w:space="0" w:color="auto"/>
              <w:right w:val="single" w:sz="4" w:space="0" w:color="auto"/>
            </w:tcBorders>
            <w:hideMark/>
          </w:tcPr>
          <w:p w14:paraId="1E2E36FA" w14:textId="77777777" w:rsidR="00652442" w:rsidRPr="00110F7D" w:rsidRDefault="00652442" w:rsidP="00D27234">
            <w:pPr>
              <w:rPr>
                <w:sz w:val="24"/>
                <w:szCs w:val="24"/>
              </w:rPr>
            </w:pPr>
            <w:r w:rsidRPr="00110F7D">
              <w:rPr>
                <w:sz w:val="24"/>
                <w:szCs w:val="24"/>
              </w:rPr>
              <w:t>Rare</w:t>
            </w:r>
          </w:p>
        </w:tc>
      </w:tr>
      <w:tr w:rsidR="00652442" w:rsidRPr="00110F7D" w14:paraId="352CC3EA" w14:textId="77777777" w:rsidTr="00CC5520">
        <w:tc>
          <w:tcPr>
            <w:tcW w:w="1909" w:type="pct"/>
            <w:tcBorders>
              <w:top w:val="single" w:sz="4" w:space="0" w:color="auto"/>
              <w:left w:val="single" w:sz="4" w:space="0" w:color="auto"/>
              <w:bottom w:val="single" w:sz="4" w:space="0" w:color="auto"/>
              <w:right w:val="single" w:sz="4" w:space="0" w:color="auto"/>
            </w:tcBorders>
            <w:hideMark/>
          </w:tcPr>
          <w:p w14:paraId="0D17CAB8" w14:textId="77777777" w:rsidR="00652442" w:rsidRPr="00110F7D" w:rsidRDefault="00652442" w:rsidP="00D27234">
            <w:pPr>
              <w:rPr>
                <w:sz w:val="24"/>
                <w:szCs w:val="24"/>
                <w:lang w:val="en-US"/>
              </w:rPr>
            </w:pPr>
            <w:r w:rsidRPr="00110F7D">
              <w:rPr>
                <w:sz w:val="24"/>
                <w:szCs w:val="24"/>
                <w:lang w:val="en-US"/>
              </w:rPr>
              <w:t>General disorders and administration site conditions</w:t>
            </w:r>
          </w:p>
        </w:tc>
        <w:tc>
          <w:tcPr>
            <w:tcW w:w="1941" w:type="pct"/>
            <w:tcBorders>
              <w:top w:val="single" w:sz="4" w:space="0" w:color="auto"/>
              <w:left w:val="single" w:sz="4" w:space="0" w:color="auto"/>
              <w:bottom w:val="single" w:sz="4" w:space="0" w:color="auto"/>
              <w:right w:val="single" w:sz="4" w:space="0" w:color="auto"/>
            </w:tcBorders>
            <w:hideMark/>
          </w:tcPr>
          <w:p w14:paraId="64C8A7DE" w14:textId="77777777" w:rsidR="00652442" w:rsidRPr="00110F7D" w:rsidRDefault="00652442" w:rsidP="00D27234">
            <w:pPr>
              <w:rPr>
                <w:sz w:val="24"/>
                <w:szCs w:val="24"/>
              </w:rPr>
            </w:pPr>
            <w:proofErr w:type="spellStart"/>
            <w:r w:rsidRPr="00110F7D">
              <w:rPr>
                <w:sz w:val="24"/>
                <w:szCs w:val="24"/>
              </w:rPr>
              <w:t>Asthenia</w:t>
            </w:r>
            <w:proofErr w:type="spellEnd"/>
            <w:r w:rsidRPr="00110F7D">
              <w:rPr>
                <w:sz w:val="24"/>
                <w:szCs w:val="24"/>
              </w:rPr>
              <w:t xml:space="preserve">, </w:t>
            </w:r>
            <w:proofErr w:type="spellStart"/>
            <w:r w:rsidRPr="00110F7D">
              <w:rPr>
                <w:sz w:val="24"/>
                <w:szCs w:val="24"/>
              </w:rPr>
              <w:t>injection</w:t>
            </w:r>
            <w:proofErr w:type="spellEnd"/>
            <w:r w:rsidRPr="00110F7D">
              <w:rPr>
                <w:sz w:val="24"/>
                <w:szCs w:val="24"/>
              </w:rPr>
              <w:t xml:space="preserve"> site </w:t>
            </w:r>
            <w:proofErr w:type="spellStart"/>
            <w:r w:rsidRPr="00110F7D">
              <w:rPr>
                <w:sz w:val="24"/>
                <w:szCs w:val="24"/>
              </w:rPr>
              <w:t>reaction</w:t>
            </w:r>
            <w:proofErr w:type="spellEnd"/>
            <w:r w:rsidRPr="00110F7D">
              <w:rPr>
                <w:sz w:val="24"/>
                <w:szCs w:val="24"/>
              </w:rPr>
              <w:t>*</w:t>
            </w:r>
          </w:p>
        </w:tc>
        <w:tc>
          <w:tcPr>
            <w:tcW w:w="1149" w:type="pct"/>
            <w:tcBorders>
              <w:top w:val="single" w:sz="4" w:space="0" w:color="auto"/>
              <w:left w:val="single" w:sz="4" w:space="0" w:color="auto"/>
              <w:bottom w:val="single" w:sz="4" w:space="0" w:color="auto"/>
              <w:right w:val="single" w:sz="4" w:space="0" w:color="auto"/>
            </w:tcBorders>
            <w:hideMark/>
          </w:tcPr>
          <w:p w14:paraId="00DCE43E" w14:textId="77777777" w:rsidR="00652442" w:rsidRPr="00110F7D" w:rsidRDefault="00652442" w:rsidP="00D27234">
            <w:pPr>
              <w:rPr>
                <w:sz w:val="24"/>
                <w:szCs w:val="24"/>
              </w:rPr>
            </w:pPr>
            <w:r w:rsidRPr="00110F7D">
              <w:rPr>
                <w:sz w:val="24"/>
                <w:szCs w:val="24"/>
              </w:rPr>
              <w:t>Rare</w:t>
            </w:r>
          </w:p>
        </w:tc>
      </w:tr>
    </w:tbl>
    <w:p w14:paraId="1164B3FD" w14:textId="77777777" w:rsidR="00652442" w:rsidRPr="00110F7D" w:rsidRDefault="00652442" w:rsidP="00652442">
      <w:pPr>
        <w:rPr>
          <w:sz w:val="24"/>
          <w:szCs w:val="24"/>
          <w:lang w:val="en-GB" w:eastAsia="en-US"/>
        </w:rPr>
      </w:pPr>
      <w:r w:rsidRPr="00110F7D">
        <w:rPr>
          <w:sz w:val="24"/>
          <w:szCs w:val="24"/>
          <w:lang w:val="en-US"/>
        </w:rPr>
        <w:t xml:space="preserve">*such as injection site </w:t>
      </w:r>
      <w:proofErr w:type="spellStart"/>
      <w:r w:rsidRPr="00110F7D">
        <w:rPr>
          <w:sz w:val="24"/>
          <w:szCs w:val="24"/>
          <w:lang w:val="en-US"/>
        </w:rPr>
        <w:t>haematoma</w:t>
      </w:r>
      <w:proofErr w:type="spellEnd"/>
      <w:r w:rsidRPr="00110F7D">
        <w:rPr>
          <w:sz w:val="24"/>
          <w:szCs w:val="24"/>
          <w:lang w:val="en-US"/>
        </w:rPr>
        <w:t>, injection site warmth, injection site pruritus (see section 4.4).</w:t>
      </w:r>
    </w:p>
    <w:p w14:paraId="5F59B6EE" w14:textId="77777777" w:rsidR="00652442" w:rsidRPr="00110F7D" w:rsidRDefault="00652442" w:rsidP="00652442">
      <w:pPr>
        <w:rPr>
          <w:sz w:val="24"/>
          <w:szCs w:val="24"/>
          <w:u w:val="single"/>
          <w:lang w:val="en-US"/>
        </w:rPr>
      </w:pPr>
    </w:p>
    <w:p w14:paraId="0FCBABA2" w14:textId="77777777" w:rsidR="00652442" w:rsidRPr="00110F7D" w:rsidRDefault="00652442" w:rsidP="00CC5520">
      <w:pPr>
        <w:autoSpaceDE w:val="0"/>
        <w:autoSpaceDN w:val="0"/>
        <w:adjustRightInd w:val="0"/>
        <w:ind w:left="851"/>
        <w:rPr>
          <w:sz w:val="24"/>
          <w:szCs w:val="24"/>
          <w:u w:val="single"/>
          <w:lang w:val="en-US"/>
        </w:rPr>
      </w:pPr>
      <w:r w:rsidRPr="00110F7D">
        <w:rPr>
          <w:sz w:val="24"/>
          <w:szCs w:val="24"/>
          <w:u w:val="single"/>
          <w:lang w:val="en-US"/>
        </w:rPr>
        <w:t>Reporting of suspected adverse reactions</w:t>
      </w:r>
    </w:p>
    <w:p w14:paraId="136D0D37" w14:textId="77777777" w:rsidR="00D27234" w:rsidRDefault="00652442" w:rsidP="00CC5520">
      <w:pPr>
        <w:autoSpaceDE w:val="0"/>
        <w:autoSpaceDN w:val="0"/>
        <w:adjustRightInd w:val="0"/>
        <w:ind w:left="851"/>
        <w:rPr>
          <w:sz w:val="24"/>
          <w:szCs w:val="24"/>
          <w:lang w:val="en-US"/>
        </w:rPr>
      </w:pPr>
      <w:r w:rsidRPr="00110F7D">
        <w:rPr>
          <w:sz w:val="24"/>
          <w:szCs w:val="24"/>
          <w:lang w:val="en-US"/>
        </w:rPr>
        <w:t xml:space="preserve">Reporting suspected adverse reactions after </w:t>
      </w:r>
      <w:proofErr w:type="spellStart"/>
      <w:r w:rsidRPr="00110F7D">
        <w:rPr>
          <w:sz w:val="24"/>
          <w:szCs w:val="24"/>
          <w:lang w:val="en-US"/>
        </w:rPr>
        <w:t>authorisation</w:t>
      </w:r>
      <w:proofErr w:type="spellEnd"/>
      <w:r w:rsidRPr="00110F7D">
        <w:rPr>
          <w:sz w:val="24"/>
          <w:szCs w:val="24"/>
          <w:lang w:val="en-US"/>
        </w:rPr>
        <w:t xml:space="preserve"> of the medicinal product is important. It allows continued monitoring of the benefit/risk balance of the medicinal product. Healthcare professionals are asked to report any suspected adverse reactions via </w:t>
      </w:r>
      <w:proofErr w:type="spellStart"/>
      <w:r w:rsidRPr="00110F7D">
        <w:rPr>
          <w:sz w:val="24"/>
          <w:szCs w:val="24"/>
          <w:lang w:val="en-US"/>
        </w:rPr>
        <w:t>Lægemiddelstyrelsen</w:t>
      </w:r>
      <w:proofErr w:type="spellEnd"/>
      <w:r w:rsidRPr="00110F7D">
        <w:rPr>
          <w:sz w:val="24"/>
          <w:szCs w:val="24"/>
          <w:lang w:val="en-US"/>
        </w:rPr>
        <w:t xml:space="preserve">, </w:t>
      </w:r>
    </w:p>
    <w:p w14:paraId="0724D4BC" w14:textId="77777777" w:rsidR="00D27234" w:rsidRDefault="00652442" w:rsidP="00CC5520">
      <w:pPr>
        <w:autoSpaceDE w:val="0"/>
        <w:autoSpaceDN w:val="0"/>
        <w:adjustRightInd w:val="0"/>
        <w:ind w:left="851"/>
        <w:rPr>
          <w:sz w:val="24"/>
          <w:szCs w:val="24"/>
        </w:rPr>
      </w:pPr>
      <w:r w:rsidRPr="00D27234">
        <w:rPr>
          <w:sz w:val="24"/>
          <w:szCs w:val="24"/>
        </w:rPr>
        <w:t xml:space="preserve">Axel Heides Gade 1, </w:t>
      </w:r>
    </w:p>
    <w:p w14:paraId="03D685BC" w14:textId="77777777" w:rsidR="00D27234" w:rsidRDefault="00652442" w:rsidP="00CC5520">
      <w:pPr>
        <w:autoSpaceDE w:val="0"/>
        <w:autoSpaceDN w:val="0"/>
        <w:adjustRightInd w:val="0"/>
        <w:ind w:left="851"/>
        <w:rPr>
          <w:sz w:val="24"/>
          <w:szCs w:val="24"/>
        </w:rPr>
      </w:pPr>
      <w:r w:rsidRPr="00D27234">
        <w:rPr>
          <w:sz w:val="24"/>
          <w:szCs w:val="24"/>
        </w:rPr>
        <w:t xml:space="preserve">DK-2300 København S, </w:t>
      </w:r>
    </w:p>
    <w:p w14:paraId="4D39E3C8" w14:textId="2B01EC64" w:rsidR="00652442" w:rsidRPr="00901068" w:rsidRDefault="00652442" w:rsidP="00CC5520">
      <w:pPr>
        <w:autoSpaceDE w:val="0"/>
        <w:autoSpaceDN w:val="0"/>
        <w:adjustRightInd w:val="0"/>
        <w:ind w:left="851"/>
        <w:rPr>
          <w:sz w:val="24"/>
          <w:szCs w:val="24"/>
          <w:lang w:val="en-US"/>
        </w:rPr>
      </w:pPr>
      <w:proofErr w:type="spellStart"/>
      <w:r w:rsidRPr="00901068">
        <w:rPr>
          <w:sz w:val="24"/>
          <w:szCs w:val="24"/>
          <w:lang w:val="en-US"/>
        </w:rPr>
        <w:t>Websted</w:t>
      </w:r>
      <w:proofErr w:type="spellEnd"/>
      <w:r w:rsidRPr="00901068">
        <w:rPr>
          <w:sz w:val="24"/>
          <w:szCs w:val="24"/>
          <w:lang w:val="en-US"/>
        </w:rPr>
        <w:t xml:space="preserve">: </w:t>
      </w:r>
      <w:hyperlink r:id="rId8" w:history="1">
        <w:r w:rsidRPr="00901068">
          <w:rPr>
            <w:rStyle w:val="Hyperlink"/>
            <w:sz w:val="24"/>
            <w:szCs w:val="24"/>
            <w:lang w:val="en-US"/>
          </w:rPr>
          <w:t>www.meldenbivirkning.dk</w:t>
        </w:r>
      </w:hyperlink>
      <w:r w:rsidRPr="00901068">
        <w:rPr>
          <w:sz w:val="24"/>
          <w:szCs w:val="24"/>
          <w:lang w:val="en-US"/>
        </w:rPr>
        <w:t>.</w:t>
      </w:r>
    </w:p>
    <w:p w14:paraId="2F3AD892" w14:textId="77777777" w:rsidR="00114971" w:rsidRPr="00901068" w:rsidRDefault="00114971" w:rsidP="00114971">
      <w:pPr>
        <w:pStyle w:val="Sidehoved"/>
        <w:tabs>
          <w:tab w:val="clear" w:pos="4819"/>
          <w:tab w:val="clear" w:pos="9638"/>
          <w:tab w:val="left" w:pos="851"/>
        </w:tabs>
        <w:ind w:left="851"/>
        <w:rPr>
          <w:szCs w:val="24"/>
          <w:lang w:val="en-US"/>
        </w:rPr>
      </w:pPr>
    </w:p>
    <w:p w14:paraId="7F932490" w14:textId="77777777" w:rsidR="00114971" w:rsidRPr="00110F7D" w:rsidRDefault="00114971" w:rsidP="00114971">
      <w:pPr>
        <w:tabs>
          <w:tab w:val="left" w:pos="851"/>
        </w:tabs>
        <w:ind w:left="851" w:hanging="851"/>
        <w:rPr>
          <w:b/>
          <w:sz w:val="24"/>
          <w:szCs w:val="24"/>
          <w:lang w:val="en-US"/>
        </w:rPr>
      </w:pPr>
      <w:r w:rsidRPr="00110F7D">
        <w:rPr>
          <w:b/>
          <w:sz w:val="24"/>
          <w:szCs w:val="24"/>
          <w:lang w:val="en-US"/>
        </w:rPr>
        <w:t>4.9</w:t>
      </w:r>
      <w:r w:rsidRPr="00110F7D">
        <w:rPr>
          <w:b/>
          <w:sz w:val="24"/>
          <w:szCs w:val="24"/>
          <w:lang w:val="en-US"/>
        </w:rPr>
        <w:tab/>
        <w:t>Overdose</w:t>
      </w:r>
    </w:p>
    <w:p w14:paraId="3801ECEA" w14:textId="77777777" w:rsidR="00652442" w:rsidRPr="00110F7D" w:rsidRDefault="00652442" w:rsidP="00CC5520">
      <w:pPr>
        <w:ind w:left="851"/>
        <w:rPr>
          <w:sz w:val="24"/>
          <w:szCs w:val="24"/>
          <w:lang w:val="en-US"/>
        </w:rPr>
      </w:pPr>
      <w:r w:rsidRPr="00110F7D">
        <w:rPr>
          <w:sz w:val="24"/>
          <w:szCs w:val="24"/>
          <w:lang w:val="en-US"/>
        </w:rPr>
        <w:t>No case of overdose has been reported.</w:t>
      </w:r>
    </w:p>
    <w:p w14:paraId="3CEA9D42" w14:textId="77777777" w:rsidR="00652442" w:rsidRPr="00110F7D" w:rsidRDefault="00652442" w:rsidP="00CC5520">
      <w:pPr>
        <w:ind w:left="851"/>
        <w:rPr>
          <w:sz w:val="24"/>
          <w:szCs w:val="24"/>
          <w:lang w:val="en-US"/>
        </w:rPr>
      </w:pPr>
    </w:p>
    <w:p w14:paraId="0F9FB510" w14:textId="77777777" w:rsidR="00652442" w:rsidRPr="00110F7D" w:rsidRDefault="00652442" w:rsidP="00CC5520">
      <w:pPr>
        <w:ind w:left="851"/>
        <w:rPr>
          <w:sz w:val="24"/>
          <w:szCs w:val="24"/>
          <w:lang w:val="en-US"/>
        </w:rPr>
      </w:pPr>
      <w:r w:rsidRPr="00110F7D">
        <w:rPr>
          <w:sz w:val="24"/>
          <w:szCs w:val="24"/>
          <w:lang w:val="en-US"/>
        </w:rPr>
        <w:t>In the event of administration of a radiation overdose with gallium (</w:t>
      </w:r>
      <w:r w:rsidRPr="00110F7D">
        <w:rPr>
          <w:sz w:val="24"/>
          <w:szCs w:val="24"/>
          <w:vertAlign w:val="superscript"/>
          <w:lang w:val="en-US"/>
        </w:rPr>
        <w:t>68</w:t>
      </w:r>
      <w:r w:rsidRPr="00110F7D">
        <w:rPr>
          <w:sz w:val="24"/>
          <w:szCs w:val="24"/>
          <w:lang w:val="en-US"/>
        </w:rPr>
        <w:t xml:space="preserve">Ga) </w:t>
      </w:r>
      <w:proofErr w:type="spellStart"/>
      <w:r w:rsidRPr="00110F7D">
        <w:rPr>
          <w:sz w:val="24"/>
          <w:szCs w:val="24"/>
          <w:lang w:val="en-US"/>
        </w:rPr>
        <w:t>gozetotide</w:t>
      </w:r>
      <w:proofErr w:type="spellEnd"/>
      <w:r w:rsidRPr="00110F7D">
        <w:rPr>
          <w:sz w:val="24"/>
          <w:szCs w:val="24"/>
          <w:lang w:val="en-US"/>
        </w:rPr>
        <w:t xml:space="preserve"> solution for injection, the absorbed dose to the patient should be reduced where possible by increasing the elimination of the radionuclide from the body by forced diuresis and frequent micturition.</w:t>
      </w:r>
    </w:p>
    <w:p w14:paraId="414D9B7E" w14:textId="77777777" w:rsidR="00114971" w:rsidRPr="00110F7D" w:rsidRDefault="00114971" w:rsidP="00114971">
      <w:pPr>
        <w:tabs>
          <w:tab w:val="left" w:pos="851"/>
        </w:tabs>
        <w:ind w:left="851"/>
        <w:rPr>
          <w:sz w:val="24"/>
          <w:szCs w:val="24"/>
          <w:lang w:val="en-US"/>
        </w:rPr>
      </w:pPr>
    </w:p>
    <w:p w14:paraId="59530B23" w14:textId="77777777" w:rsidR="00114971" w:rsidRPr="00110F7D" w:rsidRDefault="00114971" w:rsidP="00114971">
      <w:pPr>
        <w:tabs>
          <w:tab w:val="left" w:pos="851"/>
        </w:tabs>
        <w:ind w:left="851"/>
        <w:rPr>
          <w:sz w:val="24"/>
          <w:szCs w:val="24"/>
          <w:lang w:val="en-US"/>
        </w:rPr>
      </w:pPr>
    </w:p>
    <w:p w14:paraId="61DF19CD" w14:textId="77777777" w:rsidR="00114971" w:rsidRPr="00110F7D" w:rsidRDefault="00114971" w:rsidP="00114971">
      <w:pPr>
        <w:tabs>
          <w:tab w:val="left" w:pos="851"/>
        </w:tabs>
        <w:rPr>
          <w:b/>
          <w:sz w:val="24"/>
          <w:szCs w:val="24"/>
          <w:lang w:val="en-US"/>
        </w:rPr>
      </w:pPr>
      <w:r w:rsidRPr="00110F7D">
        <w:rPr>
          <w:b/>
          <w:sz w:val="24"/>
          <w:szCs w:val="24"/>
          <w:lang w:val="en-US"/>
        </w:rPr>
        <w:t>5.</w:t>
      </w:r>
      <w:r w:rsidRPr="00110F7D">
        <w:rPr>
          <w:b/>
          <w:sz w:val="24"/>
          <w:szCs w:val="24"/>
          <w:lang w:val="en-US"/>
        </w:rPr>
        <w:tab/>
        <w:t>PHARMACOLOGICAL PROPERTIES</w:t>
      </w:r>
    </w:p>
    <w:p w14:paraId="46EDB061" w14:textId="77777777" w:rsidR="00114971" w:rsidRPr="00110F7D" w:rsidRDefault="00114971" w:rsidP="00114971">
      <w:pPr>
        <w:tabs>
          <w:tab w:val="left" w:pos="851"/>
        </w:tabs>
        <w:ind w:left="851"/>
        <w:rPr>
          <w:sz w:val="24"/>
          <w:szCs w:val="24"/>
          <w:lang w:val="en-US"/>
        </w:rPr>
      </w:pPr>
    </w:p>
    <w:p w14:paraId="27944A16" w14:textId="77777777" w:rsidR="00114971" w:rsidRPr="00110F7D" w:rsidRDefault="00114971" w:rsidP="00114971">
      <w:pPr>
        <w:tabs>
          <w:tab w:val="left" w:pos="851"/>
        </w:tabs>
        <w:ind w:left="851" w:hanging="851"/>
        <w:rPr>
          <w:b/>
          <w:sz w:val="24"/>
          <w:szCs w:val="24"/>
          <w:lang w:val="en-US"/>
        </w:rPr>
      </w:pPr>
      <w:r w:rsidRPr="00110F7D">
        <w:rPr>
          <w:b/>
          <w:sz w:val="24"/>
          <w:szCs w:val="24"/>
          <w:lang w:val="en-US"/>
        </w:rPr>
        <w:t>5.1</w:t>
      </w:r>
      <w:r w:rsidRPr="00110F7D">
        <w:rPr>
          <w:b/>
          <w:sz w:val="24"/>
          <w:szCs w:val="24"/>
          <w:lang w:val="en-US"/>
        </w:rPr>
        <w:tab/>
        <w:t>Pharmacodynamic properties</w:t>
      </w:r>
      <w:r w:rsidRPr="00110F7D">
        <w:rPr>
          <w:b/>
          <w:sz w:val="24"/>
          <w:szCs w:val="24"/>
          <w:lang w:val="en-US"/>
        </w:rPr>
        <w:tab/>
      </w:r>
    </w:p>
    <w:p w14:paraId="254FA379" w14:textId="77777777" w:rsidR="00652442" w:rsidRPr="00110F7D" w:rsidRDefault="00652442" w:rsidP="00CC5520">
      <w:pPr>
        <w:ind w:left="851"/>
        <w:rPr>
          <w:sz w:val="24"/>
          <w:szCs w:val="24"/>
          <w:lang w:val="en-US"/>
        </w:rPr>
      </w:pPr>
      <w:r w:rsidRPr="00110F7D">
        <w:rPr>
          <w:sz w:val="24"/>
          <w:szCs w:val="24"/>
          <w:lang w:val="en-US"/>
        </w:rPr>
        <w:t>Pharmacotherapeutic group: Diagnostic radiopharmaceuticals, other diagnostic radiopharmaceuticals for tumour detection, ATC code: V09IX14</w:t>
      </w:r>
    </w:p>
    <w:p w14:paraId="7B3F2588" w14:textId="77777777" w:rsidR="00652442" w:rsidRPr="00110F7D" w:rsidRDefault="00652442" w:rsidP="00CC5520">
      <w:pPr>
        <w:ind w:left="851"/>
        <w:rPr>
          <w:sz w:val="24"/>
          <w:szCs w:val="24"/>
          <w:lang w:val="en-US"/>
        </w:rPr>
      </w:pPr>
    </w:p>
    <w:p w14:paraId="408FC4AC" w14:textId="77777777" w:rsidR="00652442" w:rsidRPr="00110F7D" w:rsidRDefault="00652442" w:rsidP="00CC5520">
      <w:pPr>
        <w:ind w:left="851"/>
        <w:rPr>
          <w:sz w:val="24"/>
          <w:szCs w:val="24"/>
          <w:u w:val="single"/>
          <w:lang w:val="en-US"/>
        </w:rPr>
      </w:pPr>
      <w:r w:rsidRPr="00110F7D">
        <w:rPr>
          <w:sz w:val="24"/>
          <w:szCs w:val="24"/>
          <w:u w:val="single"/>
          <w:lang w:val="en-US"/>
        </w:rPr>
        <w:t>Mechanism of action</w:t>
      </w:r>
    </w:p>
    <w:p w14:paraId="6678D479" w14:textId="77777777" w:rsidR="00652442" w:rsidRPr="00110F7D" w:rsidRDefault="00652442" w:rsidP="00CC5520">
      <w:pPr>
        <w:ind w:left="851"/>
        <w:rPr>
          <w:sz w:val="24"/>
          <w:szCs w:val="24"/>
          <w:u w:val="single"/>
          <w:lang w:val="en-US"/>
        </w:rPr>
      </w:pPr>
    </w:p>
    <w:p w14:paraId="447C0591" w14:textId="77777777" w:rsidR="00652442" w:rsidRPr="00110F7D" w:rsidRDefault="00652442" w:rsidP="00CC5520">
      <w:pPr>
        <w:ind w:left="851"/>
        <w:rPr>
          <w:sz w:val="24"/>
          <w:szCs w:val="24"/>
          <w:lang w:val="en-US"/>
        </w:rPr>
      </w:pPr>
      <w:r w:rsidRPr="00110F7D">
        <w:rPr>
          <w:sz w:val="24"/>
          <w:szCs w:val="24"/>
          <w:shd w:val="clear" w:color="auto" w:fill="FFFFFF"/>
          <w:lang w:val="en-US"/>
        </w:rPr>
        <w:t>Gallium (</w:t>
      </w:r>
      <w:r w:rsidRPr="00110F7D">
        <w:rPr>
          <w:sz w:val="24"/>
          <w:szCs w:val="24"/>
          <w:shd w:val="clear" w:color="auto" w:fill="FFFFFF"/>
          <w:vertAlign w:val="superscript"/>
          <w:lang w:val="en-US"/>
        </w:rPr>
        <w:t>68</w:t>
      </w:r>
      <w:r w:rsidRPr="00110F7D">
        <w:rPr>
          <w:sz w:val="24"/>
          <w:szCs w:val="24"/>
          <w:shd w:val="clear" w:color="auto" w:fill="FFFFFF"/>
          <w:lang w:val="en-US"/>
        </w:rPr>
        <w:t xml:space="preserve">Ga) </w:t>
      </w:r>
      <w:proofErr w:type="spellStart"/>
      <w:r w:rsidRPr="00110F7D">
        <w:rPr>
          <w:sz w:val="24"/>
          <w:szCs w:val="24"/>
          <w:shd w:val="clear" w:color="auto" w:fill="FFFFFF"/>
          <w:lang w:val="en-US"/>
        </w:rPr>
        <w:t>gozetotide</w:t>
      </w:r>
      <w:proofErr w:type="spellEnd"/>
      <w:r w:rsidRPr="00110F7D">
        <w:rPr>
          <w:sz w:val="24"/>
          <w:szCs w:val="24"/>
          <w:shd w:val="clear" w:color="auto" w:fill="FFFFFF"/>
          <w:lang w:val="en-US"/>
        </w:rPr>
        <w:t xml:space="preserve"> binds specifically to the prostate-specific membrane antigen (PSMA), i.e., to the cells that express PSMA, including malignant prostate cancer cells, which overexpress PSMA. Gallium-68 is a radionuclide with an emission yield that allows PET imaging. Based on the intensity of the signals, PET images obtained with gallium (</w:t>
      </w:r>
      <w:r w:rsidRPr="00110F7D">
        <w:rPr>
          <w:sz w:val="24"/>
          <w:szCs w:val="24"/>
          <w:shd w:val="clear" w:color="auto" w:fill="FFFFFF"/>
          <w:vertAlign w:val="superscript"/>
          <w:lang w:val="en-US"/>
        </w:rPr>
        <w:t>68</w:t>
      </w:r>
      <w:r w:rsidRPr="00110F7D">
        <w:rPr>
          <w:sz w:val="24"/>
          <w:szCs w:val="24"/>
          <w:shd w:val="clear" w:color="auto" w:fill="FFFFFF"/>
          <w:lang w:val="en-US"/>
        </w:rPr>
        <w:t xml:space="preserve">Ga) </w:t>
      </w:r>
      <w:proofErr w:type="spellStart"/>
      <w:r w:rsidRPr="00110F7D">
        <w:rPr>
          <w:sz w:val="24"/>
          <w:szCs w:val="24"/>
          <w:shd w:val="clear" w:color="auto" w:fill="FFFFFF"/>
          <w:lang w:val="en-US"/>
        </w:rPr>
        <w:t>gozetotide</w:t>
      </w:r>
      <w:proofErr w:type="spellEnd"/>
      <w:r w:rsidRPr="00110F7D">
        <w:rPr>
          <w:sz w:val="24"/>
          <w:szCs w:val="24"/>
          <w:shd w:val="clear" w:color="auto" w:fill="FFFFFF"/>
          <w:lang w:val="en-US"/>
        </w:rPr>
        <w:t xml:space="preserve"> indicate the presence of PSMA protein in tissues.</w:t>
      </w:r>
    </w:p>
    <w:p w14:paraId="64EE5CD2" w14:textId="77777777" w:rsidR="00652442" w:rsidRPr="00110F7D" w:rsidRDefault="00652442" w:rsidP="00CC5520">
      <w:pPr>
        <w:ind w:left="851"/>
        <w:rPr>
          <w:sz w:val="24"/>
          <w:szCs w:val="24"/>
          <w:lang w:val="en-US"/>
        </w:rPr>
      </w:pPr>
    </w:p>
    <w:p w14:paraId="276BD9A1" w14:textId="77777777" w:rsidR="00652442" w:rsidRPr="00110F7D" w:rsidRDefault="00652442" w:rsidP="00CC5520">
      <w:pPr>
        <w:ind w:left="851"/>
        <w:rPr>
          <w:sz w:val="24"/>
          <w:szCs w:val="24"/>
          <w:u w:val="single"/>
          <w:lang w:val="en-US"/>
        </w:rPr>
      </w:pPr>
      <w:r w:rsidRPr="00110F7D">
        <w:rPr>
          <w:sz w:val="24"/>
          <w:szCs w:val="24"/>
          <w:u w:val="single"/>
          <w:lang w:val="en-US"/>
        </w:rPr>
        <w:t>Pharmacodynamic effects</w:t>
      </w:r>
    </w:p>
    <w:p w14:paraId="6F88BA32" w14:textId="77777777" w:rsidR="00652442" w:rsidRPr="00110F7D" w:rsidRDefault="00652442" w:rsidP="00CC5520">
      <w:pPr>
        <w:ind w:left="851"/>
        <w:rPr>
          <w:sz w:val="24"/>
          <w:szCs w:val="24"/>
          <w:lang w:val="en-US"/>
        </w:rPr>
      </w:pPr>
    </w:p>
    <w:p w14:paraId="6B5BFFA8" w14:textId="77777777" w:rsidR="00652442" w:rsidRPr="00110F7D" w:rsidRDefault="00652442" w:rsidP="00CC5520">
      <w:pPr>
        <w:ind w:left="851"/>
        <w:rPr>
          <w:sz w:val="24"/>
          <w:szCs w:val="24"/>
          <w:lang w:val="en-US"/>
        </w:rPr>
      </w:pPr>
      <w:r w:rsidRPr="00110F7D">
        <w:rPr>
          <w:sz w:val="24"/>
          <w:szCs w:val="24"/>
          <w:lang w:val="en-US"/>
        </w:rPr>
        <w:t>At the chemical concentrations used for diagnostic examinations, gallium (</w:t>
      </w:r>
      <w:r w:rsidRPr="00110F7D">
        <w:rPr>
          <w:sz w:val="24"/>
          <w:szCs w:val="24"/>
          <w:vertAlign w:val="superscript"/>
          <w:lang w:val="en-US"/>
        </w:rPr>
        <w:t>68</w:t>
      </w:r>
      <w:r w:rsidRPr="00110F7D">
        <w:rPr>
          <w:sz w:val="24"/>
          <w:szCs w:val="24"/>
          <w:lang w:val="en-US"/>
        </w:rPr>
        <w:t xml:space="preserve">Ga) </w:t>
      </w:r>
      <w:proofErr w:type="spellStart"/>
      <w:r w:rsidRPr="00110F7D">
        <w:rPr>
          <w:sz w:val="24"/>
          <w:szCs w:val="24"/>
          <w:lang w:val="en-US"/>
        </w:rPr>
        <w:t>gozetotide</w:t>
      </w:r>
      <w:proofErr w:type="spellEnd"/>
      <w:r w:rsidRPr="00110F7D">
        <w:rPr>
          <w:sz w:val="24"/>
          <w:szCs w:val="24"/>
          <w:lang w:val="en-US"/>
        </w:rPr>
        <w:t xml:space="preserve"> does not appear to have any pharmacodynamic activity.</w:t>
      </w:r>
    </w:p>
    <w:p w14:paraId="436BB4A9" w14:textId="77777777" w:rsidR="00652442" w:rsidRPr="00110F7D" w:rsidRDefault="00652442" w:rsidP="00CC5520">
      <w:pPr>
        <w:ind w:left="851"/>
        <w:rPr>
          <w:sz w:val="24"/>
          <w:szCs w:val="24"/>
          <w:lang w:val="en-US"/>
        </w:rPr>
      </w:pPr>
    </w:p>
    <w:p w14:paraId="15FE8F23" w14:textId="77777777" w:rsidR="00652442" w:rsidRPr="00110F7D" w:rsidRDefault="00652442" w:rsidP="00CC5520">
      <w:pPr>
        <w:ind w:left="851"/>
        <w:rPr>
          <w:sz w:val="24"/>
          <w:szCs w:val="24"/>
          <w:u w:val="single"/>
          <w:lang w:val="en-US"/>
        </w:rPr>
      </w:pPr>
      <w:r w:rsidRPr="00110F7D">
        <w:rPr>
          <w:sz w:val="24"/>
          <w:szCs w:val="24"/>
          <w:u w:val="single"/>
          <w:lang w:val="en-US"/>
        </w:rPr>
        <w:t>Clinical efficacy and safety</w:t>
      </w:r>
    </w:p>
    <w:p w14:paraId="61C60017" w14:textId="77777777" w:rsidR="00652442" w:rsidRPr="00110F7D" w:rsidRDefault="00652442" w:rsidP="00CC5520">
      <w:pPr>
        <w:ind w:left="851"/>
        <w:rPr>
          <w:sz w:val="24"/>
          <w:szCs w:val="24"/>
          <w:lang w:val="en-US"/>
        </w:rPr>
      </w:pPr>
    </w:p>
    <w:p w14:paraId="03FE4C0C" w14:textId="77777777" w:rsidR="00652442" w:rsidRPr="00110F7D" w:rsidRDefault="00652442" w:rsidP="00CC5520">
      <w:pPr>
        <w:ind w:left="851"/>
        <w:rPr>
          <w:rStyle w:val="eop"/>
          <w:sz w:val="24"/>
          <w:szCs w:val="24"/>
          <w:lang w:val="en-GB"/>
        </w:rPr>
      </w:pPr>
      <w:r w:rsidRPr="00110F7D">
        <w:rPr>
          <w:rStyle w:val="eop"/>
          <w:sz w:val="24"/>
          <w:szCs w:val="24"/>
          <w:lang w:val="en-GB"/>
        </w:rPr>
        <w:t>The key evidence of diagnostic efficacy derives from the below mentioned studies for:</w:t>
      </w:r>
    </w:p>
    <w:p w14:paraId="4DB82C18" w14:textId="77777777" w:rsidR="00652442" w:rsidRPr="00110F7D" w:rsidRDefault="00652442" w:rsidP="00CC5520">
      <w:pPr>
        <w:ind w:left="851"/>
        <w:rPr>
          <w:rStyle w:val="eop"/>
          <w:sz w:val="24"/>
          <w:szCs w:val="24"/>
          <w:lang w:val="en-GB"/>
        </w:rPr>
      </w:pPr>
    </w:p>
    <w:p w14:paraId="2D80765A" w14:textId="77777777" w:rsidR="00652442" w:rsidRPr="00110F7D" w:rsidRDefault="00652442" w:rsidP="00CC5520">
      <w:pPr>
        <w:ind w:left="851"/>
        <w:rPr>
          <w:rStyle w:val="eop"/>
          <w:b/>
          <w:bCs/>
          <w:sz w:val="24"/>
          <w:szCs w:val="24"/>
          <w:lang w:val="en-GB"/>
        </w:rPr>
      </w:pPr>
      <w:r w:rsidRPr="00110F7D">
        <w:rPr>
          <w:rStyle w:val="eop"/>
          <w:b/>
          <w:bCs/>
          <w:sz w:val="24"/>
          <w:szCs w:val="24"/>
          <w:lang w:val="en-GB"/>
        </w:rPr>
        <w:t>Primary staging of patients with high-risk prostate cancer prior to primary curative therapy</w:t>
      </w:r>
    </w:p>
    <w:p w14:paraId="3449282C" w14:textId="77777777" w:rsidR="00652442" w:rsidRPr="00110F7D" w:rsidRDefault="00652442" w:rsidP="00CC5520">
      <w:pPr>
        <w:ind w:left="851"/>
        <w:rPr>
          <w:rStyle w:val="eop"/>
          <w:sz w:val="24"/>
          <w:szCs w:val="24"/>
          <w:lang w:val="en-GB"/>
        </w:rPr>
      </w:pPr>
    </w:p>
    <w:p w14:paraId="7596F2C7" w14:textId="77777777" w:rsidR="00652442" w:rsidRPr="00110F7D" w:rsidRDefault="00652442" w:rsidP="00CC5520">
      <w:pPr>
        <w:ind w:left="851"/>
        <w:rPr>
          <w:rStyle w:val="eop"/>
          <w:sz w:val="24"/>
          <w:szCs w:val="24"/>
          <w:lang w:val="en-GB"/>
        </w:rPr>
      </w:pPr>
      <w:r w:rsidRPr="00110F7D">
        <w:rPr>
          <w:rStyle w:val="eop"/>
          <w:sz w:val="24"/>
          <w:szCs w:val="24"/>
          <w:lang w:val="en-GB"/>
        </w:rPr>
        <w:t xml:space="preserve">A large primary staging prospective, multicentre, single-arm, Phase 3 study (Hope et al., 2021) was performed at 2 institutions: UCLA (NCT03368547) and UCSF (NCT02611882 and NCT02919111) in 764 men (median [interquartile range] age: 69 [63-73] years) with intermediate to high-risk prostate cancer, and 277 of 764 (36%) subsequently underwent prostatectomy with lymph node dissection (efficacy analysis cohort). The study assessed diagnostic accuracy of </w:t>
      </w:r>
      <w:bookmarkStart w:id="10" w:name="_Hlk170377592"/>
      <w:r w:rsidRPr="00110F7D">
        <w:rPr>
          <w:rStyle w:val="eop"/>
          <w:sz w:val="24"/>
          <w:szCs w:val="24"/>
          <w:lang w:val="en-GB"/>
        </w:rPr>
        <w:t>gallium (</w:t>
      </w:r>
      <w:r w:rsidRPr="00110F7D">
        <w:rPr>
          <w:rStyle w:val="eop"/>
          <w:sz w:val="24"/>
          <w:szCs w:val="24"/>
          <w:vertAlign w:val="superscript"/>
          <w:lang w:val="en-GB"/>
        </w:rPr>
        <w:t>68</w:t>
      </w:r>
      <w:r w:rsidRPr="00110F7D">
        <w:rPr>
          <w:rStyle w:val="eop"/>
          <w:sz w:val="24"/>
          <w:szCs w:val="24"/>
          <w:lang w:val="en-GB"/>
        </w:rPr>
        <w:t xml:space="preserve">Ga) </w:t>
      </w:r>
      <w:proofErr w:type="spellStart"/>
      <w:r w:rsidRPr="00110F7D">
        <w:rPr>
          <w:rStyle w:val="eop"/>
          <w:sz w:val="24"/>
          <w:szCs w:val="24"/>
          <w:lang w:val="en-GB"/>
        </w:rPr>
        <w:t>gozetotide</w:t>
      </w:r>
      <w:bookmarkEnd w:id="10"/>
      <w:proofErr w:type="spellEnd"/>
      <w:r w:rsidRPr="00110F7D">
        <w:rPr>
          <w:rStyle w:val="eop"/>
          <w:sz w:val="24"/>
          <w:szCs w:val="24"/>
          <w:lang w:val="en-GB"/>
        </w:rPr>
        <w:t xml:space="preserve"> PET/CT imaging for the detection of pelvic nodal metastases compared with histopathology at time of radical prostatectomy and pelvic lymph node dissection (PLND). All patients underwent a single gallium (</w:t>
      </w:r>
      <w:r w:rsidRPr="00110F7D">
        <w:rPr>
          <w:rStyle w:val="eop"/>
          <w:sz w:val="24"/>
          <w:szCs w:val="24"/>
          <w:vertAlign w:val="superscript"/>
          <w:lang w:val="en-GB"/>
        </w:rPr>
        <w:t>68</w:t>
      </w:r>
      <w:r w:rsidRPr="00110F7D">
        <w:rPr>
          <w:rStyle w:val="eop"/>
          <w:sz w:val="24"/>
          <w:szCs w:val="24"/>
          <w:lang w:val="en-GB"/>
        </w:rPr>
        <w:t xml:space="preserve">Ga) </w:t>
      </w:r>
      <w:proofErr w:type="spellStart"/>
      <w:r w:rsidRPr="00110F7D">
        <w:rPr>
          <w:rStyle w:val="eop"/>
          <w:sz w:val="24"/>
          <w:szCs w:val="24"/>
          <w:lang w:val="en-GB"/>
        </w:rPr>
        <w:t>gozetotide</w:t>
      </w:r>
      <w:proofErr w:type="spellEnd"/>
      <w:r w:rsidRPr="00110F7D">
        <w:rPr>
          <w:rStyle w:val="eop"/>
          <w:sz w:val="24"/>
          <w:szCs w:val="24"/>
          <w:lang w:val="en-GB"/>
        </w:rPr>
        <w:t xml:space="preserve"> injection with target injected activity of 185 </w:t>
      </w:r>
      <w:proofErr w:type="spellStart"/>
      <w:r w:rsidRPr="00110F7D">
        <w:rPr>
          <w:rStyle w:val="eop"/>
          <w:sz w:val="24"/>
          <w:szCs w:val="24"/>
          <w:lang w:val="en-GB"/>
        </w:rPr>
        <w:t>MBq</w:t>
      </w:r>
      <w:proofErr w:type="spellEnd"/>
      <w:r w:rsidRPr="00110F7D">
        <w:rPr>
          <w:rStyle w:val="eop"/>
          <w:sz w:val="24"/>
          <w:szCs w:val="24"/>
          <w:lang w:val="en-GB"/>
        </w:rPr>
        <w:t xml:space="preserve"> (allowed range: 111-259 </w:t>
      </w:r>
      <w:proofErr w:type="spellStart"/>
      <w:r w:rsidRPr="00110F7D">
        <w:rPr>
          <w:rStyle w:val="eop"/>
          <w:sz w:val="24"/>
          <w:szCs w:val="24"/>
          <w:lang w:val="en-GB"/>
        </w:rPr>
        <w:t>MBq</w:t>
      </w:r>
      <w:proofErr w:type="spellEnd"/>
      <w:r w:rsidRPr="00110F7D">
        <w:rPr>
          <w:rStyle w:val="eop"/>
          <w:sz w:val="24"/>
          <w:szCs w:val="24"/>
          <w:lang w:val="en-GB"/>
        </w:rPr>
        <w:t xml:space="preserve">), and patients received a mean (SD) of 196 (35) </w:t>
      </w:r>
      <w:proofErr w:type="spellStart"/>
      <w:r w:rsidRPr="00110F7D">
        <w:rPr>
          <w:rStyle w:val="eop"/>
          <w:sz w:val="24"/>
          <w:szCs w:val="24"/>
          <w:lang w:val="en-GB"/>
        </w:rPr>
        <w:t>MBq</w:t>
      </w:r>
      <w:proofErr w:type="spellEnd"/>
      <w:r w:rsidRPr="00110F7D">
        <w:rPr>
          <w:rStyle w:val="eop"/>
          <w:sz w:val="24"/>
          <w:szCs w:val="24"/>
          <w:lang w:val="en-GB"/>
        </w:rPr>
        <w:t>. The primary end points of the study were the sensitivity, specificity, positive predictive value (PPV), and negative predictive value (NPV) of gallium (</w:t>
      </w:r>
      <w:r w:rsidRPr="00110F7D">
        <w:rPr>
          <w:rStyle w:val="eop"/>
          <w:sz w:val="24"/>
          <w:szCs w:val="24"/>
          <w:vertAlign w:val="superscript"/>
          <w:lang w:val="en-GB"/>
        </w:rPr>
        <w:t>68</w:t>
      </w:r>
      <w:r w:rsidRPr="00110F7D">
        <w:rPr>
          <w:rStyle w:val="eop"/>
          <w:sz w:val="24"/>
          <w:szCs w:val="24"/>
          <w:lang w:val="en-GB"/>
        </w:rPr>
        <w:t xml:space="preserve">Ga) </w:t>
      </w:r>
      <w:proofErr w:type="spellStart"/>
      <w:r w:rsidRPr="00110F7D">
        <w:rPr>
          <w:rStyle w:val="eop"/>
          <w:sz w:val="24"/>
          <w:szCs w:val="24"/>
          <w:lang w:val="en-GB"/>
        </w:rPr>
        <w:t>gozetotide</w:t>
      </w:r>
      <w:proofErr w:type="spellEnd"/>
      <w:r w:rsidRPr="00110F7D">
        <w:rPr>
          <w:rStyle w:val="eop"/>
          <w:sz w:val="24"/>
          <w:szCs w:val="24"/>
          <w:lang w:val="en-GB"/>
        </w:rPr>
        <w:t xml:space="preserve"> PET/CT imaging for the detection of regional nodal metastases compared with pathology at radical prostatectomy on a per-patient basis using nodal regional correlation (left, right, other). A total of 75 of 277 patients (27%) had regional pelvic node metastasis found on pathology (pN1). On a per-patient level, the sensitivity, specificity, PPV, and NPV of gallium (</w:t>
      </w:r>
      <w:r w:rsidRPr="00110F7D">
        <w:rPr>
          <w:rStyle w:val="eop"/>
          <w:sz w:val="24"/>
          <w:szCs w:val="24"/>
          <w:vertAlign w:val="superscript"/>
          <w:lang w:val="en-GB"/>
        </w:rPr>
        <w:t>68</w:t>
      </w:r>
      <w:r w:rsidRPr="00110F7D">
        <w:rPr>
          <w:rStyle w:val="eop"/>
          <w:sz w:val="24"/>
          <w:szCs w:val="24"/>
          <w:lang w:val="en-GB"/>
        </w:rPr>
        <w:t xml:space="preserve">Ga) </w:t>
      </w:r>
      <w:proofErr w:type="spellStart"/>
      <w:r w:rsidRPr="00110F7D">
        <w:rPr>
          <w:rStyle w:val="eop"/>
          <w:sz w:val="24"/>
          <w:szCs w:val="24"/>
          <w:lang w:val="en-GB"/>
        </w:rPr>
        <w:t>gozetotide</w:t>
      </w:r>
      <w:proofErr w:type="spellEnd"/>
      <w:r w:rsidRPr="00110F7D">
        <w:rPr>
          <w:rStyle w:val="eop"/>
          <w:sz w:val="24"/>
          <w:szCs w:val="24"/>
          <w:lang w:val="en-GB"/>
        </w:rPr>
        <w:t xml:space="preserve"> PET/CT based on the majority reads were 40% (95% CI: 34, 46), 95% (95% CI: 92, 97), 75% (95% CI: 70, 80), and 81% (95% CI: 76, 85), respectively.</w:t>
      </w:r>
    </w:p>
    <w:p w14:paraId="3AECB17B" w14:textId="77777777" w:rsidR="00652442" w:rsidRPr="00110F7D" w:rsidRDefault="00652442" w:rsidP="00CC5520">
      <w:pPr>
        <w:ind w:left="851"/>
        <w:rPr>
          <w:rStyle w:val="eop"/>
          <w:sz w:val="24"/>
          <w:szCs w:val="24"/>
          <w:lang w:val="en-GB"/>
        </w:rPr>
      </w:pPr>
    </w:p>
    <w:p w14:paraId="256198D2" w14:textId="77777777" w:rsidR="00652442" w:rsidRPr="00110F7D" w:rsidRDefault="00652442" w:rsidP="00CC5520">
      <w:pPr>
        <w:ind w:left="851"/>
        <w:rPr>
          <w:rStyle w:val="eop"/>
          <w:sz w:val="24"/>
          <w:szCs w:val="24"/>
          <w:lang w:val="en-GB"/>
        </w:rPr>
      </w:pPr>
      <w:r w:rsidRPr="00110F7D">
        <w:rPr>
          <w:rStyle w:val="eop"/>
          <w:sz w:val="24"/>
          <w:szCs w:val="24"/>
          <w:lang w:val="en-GB"/>
        </w:rPr>
        <w:t>On a per-region level, inter-reader agreement was substantial for right-sided nodes (κ = 0.61; 95% CI, 0.55-0.67) and left-sided nodes (κ = 0.66; 95% CI, 0.60-0.71). For other nodes, there was moderate inter-reader agreement (κ = 0.52; 95% CI, 0.46-0.58).</w:t>
      </w:r>
    </w:p>
    <w:p w14:paraId="2C3081AA" w14:textId="77777777" w:rsidR="00652442" w:rsidRPr="00110F7D" w:rsidRDefault="00652442" w:rsidP="00CC5520">
      <w:pPr>
        <w:ind w:left="851"/>
        <w:rPr>
          <w:rStyle w:val="eop"/>
          <w:sz w:val="24"/>
          <w:szCs w:val="24"/>
          <w:lang w:val="en-GB"/>
        </w:rPr>
      </w:pPr>
    </w:p>
    <w:p w14:paraId="5BEB1446" w14:textId="6977A130" w:rsidR="00652442" w:rsidRPr="00110F7D" w:rsidRDefault="00652442" w:rsidP="00CC5520">
      <w:pPr>
        <w:ind w:left="851"/>
        <w:rPr>
          <w:rStyle w:val="eop"/>
          <w:sz w:val="24"/>
          <w:szCs w:val="24"/>
          <w:lang w:val="en-GB"/>
        </w:rPr>
      </w:pPr>
      <w:r w:rsidRPr="00110F7D">
        <w:rPr>
          <w:rStyle w:val="eop"/>
          <w:sz w:val="24"/>
          <w:szCs w:val="24"/>
          <w:lang w:val="nl-NL"/>
        </w:rPr>
        <w:t xml:space="preserve">In van Kalmthout et al. </w:t>
      </w:r>
      <w:r w:rsidRPr="00110F7D">
        <w:rPr>
          <w:rStyle w:val="eop"/>
          <w:sz w:val="24"/>
          <w:szCs w:val="24"/>
          <w:lang w:val="en-GB"/>
        </w:rPr>
        <w:t>(2020), 103 adult male patients with biopsy-proven prostate cancer and intermediate- and high-risk features indicated for extended pelvic lymph node dissection (</w:t>
      </w:r>
      <w:proofErr w:type="spellStart"/>
      <w:r w:rsidRPr="00110F7D">
        <w:rPr>
          <w:rStyle w:val="eop"/>
          <w:sz w:val="24"/>
          <w:szCs w:val="24"/>
          <w:lang w:val="en-GB"/>
        </w:rPr>
        <w:t>ePLND</w:t>
      </w:r>
      <w:proofErr w:type="spellEnd"/>
      <w:r w:rsidRPr="00110F7D">
        <w:rPr>
          <w:rStyle w:val="eop"/>
          <w:sz w:val="24"/>
          <w:szCs w:val="24"/>
          <w:lang w:val="en-GB"/>
        </w:rPr>
        <w:t>) underwent gallium (</w:t>
      </w:r>
      <w:r w:rsidRPr="00110F7D">
        <w:rPr>
          <w:rStyle w:val="eop"/>
          <w:sz w:val="24"/>
          <w:szCs w:val="24"/>
          <w:vertAlign w:val="superscript"/>
          <w:lang w:val="en-GB"/>
        </w:rPr>
        <w:t>68</w:t>
      </w:r>
      <w:r w:rsidRPr="00110F7D">
        <w:rPr>
          <w:rStyle w:val="eop"/>
          <w:sz w:val="24"/>
          <w:szCs w:val="24"/>
          <w:lang w:val="en-GB"/>
        </w:rPr>
        <w:t xml:space="preserve">Ga) </w:t>
      </w:r>
      <w:proofErr w:type="spellStart"/>
      <w:r w:rsidRPr="00110F7D">
        <w:rPr>
          <w:rStyle w:val="eop"/>
          <w:sz w:val="24"/>
          <w:szCs w:val="24"/>
          <w:lang w:val="en-GB"/>
        </w:rPr>
        <w:t>gozetotide</w:t>
      </w:r>
      <w:proofErr w:type="spellEnd"/>
      <w:r w:rsidRPr="00110F7D">
        <w:rPr>
          <w:rStyle w:val="eop"/>
          <w:sz w:val="24"/>
          <w:szCs w:val="24"/>
          <w:lang w:val="en-GB"/>
        </w:rPr>
        <w:t xml:space="preserve"> PET/CT imaging. PET/CT scans were read by two independent blinded readers and </w:t>
      </w:r>
      <w:proofErr w:type="spellStart"/>
      <w:r w:rsidRPr="00110F7D">
        <w:rPr>
          <w:rStyle w:val="eop"/>
          <w:sz w:val="24"/>
          <w:szCs w:val="24"/>
          <w:lang w:val="en-GB"/>
        </w:rPr>
        <w:t>ePLND</w:t>
      </w:r>
      <w:proofErr w:type="spellEnd"/>
      <w:r w:rsidRPr="00110F7D">
        <w:rPr>
          <w:rStyle w:val="eop"/>
          <w:sz w:val="24"/>
          <w:szCs w:val="24"/>
          <w:lang w:val="en-GB"/>
        </w:rPr>
        <w:t xml:space="preserve"> was the histopathology reference standard for 96 out of 103 (93%) patients. Patient-based sensitivity, specificity, PPV and NPV of gallium (</w:t>
      </w:r>
      <w:r w:rsidRPr="00110F7D">
        <w:rPr>
          <w:rStyle w:val="eop"/>
          <w:sz w:val="24"/>
          <w:szCs w:val="24"/>
          <w:vertAlign w:val="superscript"/>
          <w:lang w:val="en-GB"/>
        </w:rPr>
        <w:t>68</w:t>
      </w:r>
      <w:r w:rsidRPr="00110F7D">
        <w:rPr>
          <w:rStyle w:val="eop"/>
          <w:sz w:val="24"/>
          <w:szCs w:val="24"/>
          <w:lang w:val="en-GB"/>
        </w:rPr>
        <w:t xml:space="preserve">Ga) </w:t>
      </w:r>
      <w:proofErr w:type="spellStart"/>
      <w:r w:rsidRPr="00110F7D">
        <w:rPr>
          <w:rStyle w:val="eop"/>
          <w:sz w:val="24"/>
          <w:szCs w:val="24"/>
          <w:lang w:val="en-GB"/>
        </w:rPr>
        <w:t>gozetotide</w:t>
      </w:r>
      <w:proofErr w:type="spellEnd"/>
      <w:r w:rsidRPr="00110F7D">
        <w:rPr>
          <w:rStyle w:val="eop"/>
          <w:sz w:val="24"/>
          <w:szCs w:val="24"/>
          <w:lang w:val="en-GB"/>
        </w:rPr>
        <w:t xml:space="preserve"> PET/CT imaging to detect lymph node metastasis (LNM) are summarised in </w:t>
      </w:r>
      <w:r w:rsidRPr="00110F7D">
        <w:rPr>
          <w:rStyle w:val="eop"/>
          <w:sz w:val="24"/>
          <w:szCs w:val="24"/>
          <w:lang w:val="en-GB"/>
        </w:rPr>
        <w:fldChar w:fldCharType="begin"/>
      </w:r>
      <w:r w:rsidRPr="00110F7D">
        <w:rPr>
          <w:rStyle w:val="eop"/>
          <w:sz w:val="24"/>
          <w:szCs w:val="24"/>
          <w:lang w:val="en-GB"/>
        </w:rPr>
        <w:instrText xml:space="preserve"> REF _Ref170368570 \h  \* MERGEFORMAT </w:instrText>
      </w:r>
      <w:r w:rsidRPr="00110F7D">
        <w:rPr>
          <w:rStyle w:val="eop"/>
          <w:sz w:val="24"/>
          <w:szCs w:val="24"/>
          <w:lang w:val="en-GB"/>
        </w:rPr>
      </w:r>
      <w:r w:rsidRPr="00110F7D">
        <w:rPr>
          <w:rStyle w:val="eop"/>
          <w:sz w:val="24"/>
          <w:szCs w:val="24"/>
          <w:lang w:val="en-GB"/>
        </w:rPr>
        <w:fldChar w:fldCharType="separate"/>
      </w:r>
      <w:r w:rsidR="00C47B20" w:rsidRPr="00C47B20">
        <w:rPr>
          <w:rFonts w:eastAsia="Calibri"/>
          <w:iCs/>
          <w:color w:val="000000"/>
          <w:sz w:val="24"/>
          <w:szCs w:val="24"/>
          <w:lang w:val="en-GB" w:eastAsia="en-US"/>
        </w:rPr>
        <w:t xml:space="preserve">Table </w:t>
      </w:r>
      <w:r w:rsidR="00C47B20" w:rsidRPr="00C47B20">
        <w:rPr>
          <w:sz w:val="24"/>
          <w:szCs w:val="24"/>
          <w:lang w:val="en-GB"/>
        </w:rPr>
        <w:t>2</w:t>
      </w:r>
      <w:r w:rsidRPr="00110F7D">
        <w:rPr>
          <w:rStyle w:val="eop"/>
          <w:sz w:val="24"/>
          <w:szCs w:val="24"/>
          <w:lang w:val="en-GB"/>
        </w:rPr>
        <w:fldChar w:fldCharType="end"/>
      </w:r>
      <w:r w:rsidRPr="00110F7D">
        <w:rPr>
          <w:rStyle w:val="eop"/>
          <w:sz w:val="24"/>
          <w:szCs w:val="24"/>
          <w:lang w:val="en-GB"/>
        </w:rPr>
        <w:t>.</w:t>
      </w:r>
    </w:p>
    <w:p w14:paraId="6475A023" w14:textId="77777777" w:rsidR="00652442" w:rsidRPr="00110F7D" w:rsidRDefault="00652442" w:rsidP="00CC5520">
      <w:pPr>
        <w:ind w:left="851"/>
        <w:rPr>
          <w:rStyle w:val="eop"/>
          <w:sz w:val="24"/>
          <w:szCs w:val="24"/>
          <w:lang w:val="en-GB"/>
        </w:rPr>
      </w:pPr>
    </w:p>
    <w:p w14:paraId="0F8D4F56" w14:textId="041463E8" w:rsidR="00652442" w:rsidRPr="00110F7D" w:rsidRDefault="00652442" w:rsidP="00652442">
      <w:pPr>
        <w:pStyle w:val="Billedtekst"/>
        <w:spacing w:after="0" w:line="260" w:lineRule="exact"/>
        <w:rPr>
          <w:rStyle w:val="eop"/>
          <w:rFonts w:ascii="Times New Roman" w:hAnsi="Times New Roman"/>
          <w:szCs w:val="24"/>
          <w:lang w:val="en-GB"/>
        </w:rPr>
      </w:pPr>
      <w:bookmarkStart w:id="11" w:name="_Ref170368570"/>
      <w:r w:rsidRPr="00110F7D">
        <w:rPr>
          <w:rFonts w:ascii="Times New Roman" w:hAnsi="Times New Roman"/>
          <w:szCs w:val="24"/>
          <w:lang w:val="en-GB"/>
        </w:rPr>
        <w:t xml:space="preserve">Table </w:t>
      </w:r>
      <w:r w:rsidRPr="00110F7D">
        <w:rPr>
          <w:rFonts w:ascii="Times New Roman" w:hAnsi="Times New Roman"/>
          <w:szCs w:val="24"/>
        </w:rPr>
        <w:fldChar w:fldCharType="begin"/>
      </w:r>
      <w:r w:rsidRPr="00110F7D">
        <w:rPr>
          <w:rFonts w:ascii="Times New Roman" w:hAnsi="Times New Roman"/>
          <w:szCs w:val="24"/>
          <w:lang w:val="en-GB"/>
        </w:rPr>
        <w:instrText xml:space="preserve"> SEQ Table \* ARABIC </w:instrText>
      </w:r>
      <w:r w:rsidRPr="00110F7D">
        <w:rPr>
          <w:rFonts w:ascii="Times New Roman" w:hAnsi="Times New Roman"/>
          <w:szCs w:val="24"/>
        </w:rPr>
        <w:fldChar w:fldCharType="separate"/>
      </w:r>
      <w:r w:rsidR="00C47B20">
        <w:rPr>
          <w:rFonts w:ascii="Times New Roman" w:hAnsi="Times New Roman"/>
          <w:noProof/>
          <w:szCs w:val="24"/>
          <w:lang w:val="en-GB"/>
        </w:rPr>
        <w:t>2</w:t>
      </w:r>
      <w:r w:rsidRPr="00110F7D">
        <w:rPr>
          <w:rFonts w:ascii="Times New Roman" w:hAnsi="Times New Roman"/>
          <w:szCs w:val="24"/>
        </w:rPr>
        <w:fldChar w:fldCharType="end"/>
      </w:r>
      <w:bookmarkEnd w:id="11"/>
      <w:r w:rsidRPr="00110F7D">
        <w:rPr>
          <w:rFonts w:ascii="Times New Roman" w:hAnsi="Times New Roman"/>
          <w:szCs w:val="24"/>
          <w:lang w:val="en-GB"/>
        </w:rPr>
        <w:t xml:space="preserve">: </w:t>
      </w:r>
      <w:r w:rsidRPr="00110F7D">
        <w:rPr>
          <w:rStyle w:val="eop"/>
          <w:rFonts w:ascii="Times New Roman" w:hAnsi="Times New Roman"/>
          <w:szCs w:val="24"/>
          <w:lang w:val="en-GB"/>
        </w:rPr>
        <w:t>Efficacy results in primary staging in patients with biopsy-proven prostate cancer</w:t>
      </w:r>
    </w:p>
    <w:tbl>
      <w:tblPr>
        <w:tblStyle w:val="Tabel-Gitter"/>
        <w:tblW w:w="5000" w:type="pct"/>
        <w:tblInd w:w="0" w:type="dxa"/>
        <w:tblLook w:val="04A0" w:firstRow="1" w:lastRow="0" w:firstColumn="1" w:lastColumn="0" w:noHBand="0" w:noVBand="1"/>
      </w:tblPr>
      <w:tblGrid>
        <w:gridCol w:w="4814"/>
        <w:gridCol w:w="4814"/>
      </w:tblGrid>
      <w:tr w:rsidR="00652442" w:rsidRPr="00110F7D" w14:paraId="27C78404" w14:textId="77777777" w:rsidTr="00CC5520">
        <w:trPr>
          <w:trHeight w:val="96"/>
        </w:trPr>
        <w:tc>
          <w:tcPr>
            <w:tcW w:w="2500" w:type="pct"/>
            <w:tcBorders>
              <w:top w:val="single" w:sz="4" w:space="0" w:color="auto"/>
              <w:left w:val="single" w:sz="4" w:space="0" w:color="auto"/>
              <w:bottom w:val="single" w:sz="4" w:space="0" w:color="auto"/>
              <w:right w:val="single" w:sz="4" w:space="0" w:color="auto"/>
            </w:tcBorders>
          </w:tcPr>
          <w:p w14:paraId="3B2949F1" w14:textId="77777777" w:rsidR="00652442" w:rsidRPr="00110F7D" w:rsidRDefault="00652442" w:rsidP="00D27234">
            <w:pPr>
              <w:pStyle w:val="paragraph"/>
              <w:spacing w:before="0" w:beforeAutospacing="0" w:after="0" w:afterAutospacing="0"/>
              <w:textAlignment w:val="baseline"/>
              <w:rPr>
                <w:rStyle w:val="eop"/>
                <w:b/>
                <w:bCs/>
                <w:lang w:val="en-GB"/>
              </w:rPr>
            </w:pPr>
          </w:p>
        </w:tc>
        <w:tc>
          <w:tcPr>
            <w:tcW w:w="2500" w:type="pct"/>
            <w:tcBorders>
              <w:top w:val="single" w:sz="4" w:space="0" w:color="auto"/>
              <w:left w:val="single" w:sz="4" w:space="0" w:color="auto"/>
              <w:bottom w:val="single" w:sz="4" w:space="0" w:color="auto"/>
              <w:right w:val="single" w:sz="4" w:space="0" w:color="auto"/>
            </w:tcBorders>
            <w:hideMark/>
          </w:tcPr>
          <w:p w14:paraId="3A068921" w14:textId="77777777" w:rsidR="00652442" w:rsidRPr="00110F7D" w:rsidRDefault="00652442" w:rsidP="00D27234">
            <w:pPr>
              <w:pStyle w:val="paragraph"/>
              <w:spacing w:before="0" w:beforeAutospacing="0" w:after="0" w:afterAutospacing="0"/>
              <w:jc w:val="center"/>
              <w:textAlignment w:val="baseline"/>
              <w:rPr>
                <w:rStyle w:val="eop"/>
                <w:b/>
                <w:bCs/>
                <w:lang w:val="en-GB"/>
              </w:rPr>
            </w:pPr>
            <w:r w:rsidRPr="00110F7D">
              <w:rPr>
                <w:rStyle w:val="eop"/>
                <w:b/>
                <w:bCs/>
                <w:lang w:val="en-GB"/>
              </w:rPr>
              <w:t>Patient-based N=96</w:t>
            </w:r>
            <w:r w:rsidRPr="00110F7D">
              <w:rPr>
                <w:rStyle w:val="eop"/>
                <w:b/>
                <w:bCs/>
                <w:vertAlign w:val="superscript"/>
                <w:lang w:val="en-GB"/>
              </w:rPr>
              <w:t>1</w:t>
            </w:r>
          </w:p>
        </w:tc>
      </w:tr>
      <w:tr w:rsidR="00652442" w:rsidRPr="00110F7D" w14:paraId="20FB1D12" w14:textId="77777777" w:rsidTr="00CC5520">
        <w:tc>
          <w:tcPr>
            <w:tcW w:w="2500" w:type="pct"/>
            <w:tcBorders>
              <w:top w:val="single" w:sz="4" w:space="0" w:color="auto"/>
              <w:left w:val="single" w:sz="4" w:space="0" w:color="auto"/>
              <w:bottom w:val="single" w:sz="4" w:space="0" w:color="auto"/>
              <w:right w:val="single" w:sz="4" w:space="0" w:color="auto"/>
            </w:tcBorders>
            <w:hideMark/>
          </w:tcPr>
          <w:p w14:paraId="2C205CCE" w14:textId="77777777" w:rsidR="00652442" w:rsidRPr="00110F7D" w:rsidRDefault="00652442" w:rsidP="00D27234">
            <w:pPr>
              <w:pStyle w:val="paragraph"/>
              <w:spacing w:before="0" w:beforeAutospacing="0" w:after="0" w:afterAutospacing="0"/>
              <w:textAlignment w:val="baseline"/>
              <w:rPr>
                <w:rStyle w:val="eop"/>
                <w:lang w:val="en-GB"/>
              </w:rPr>
            </w:pPr>
            <w:r w:rsidRPr="00110F7D">
              <w:rPr>
                <w:rStyle w:val="eop"/>
                <w:lang w:val="en-GB"/>
              </w:rPr>
              <w:t>Sensitivity (95% CI)</w:t>
            </w:r>
          </w:p>
        </w:tc>
        <w:tc>
          <w:tcPr>
            <w:tcW w:w="2500" w:type="pct"/>
            <w:tcBorders>
              <w:top w:val="single" w:sz="4" w:space="0" w:color="auto"/>
              <w:left w:val="single" w:sz="4" w:space="0" w:color="auto"/>
              <w:bottom w:val="single" w:sz="4" w:space="0" w:color="auto"/>
              <w:right w:val="single" w:sz="4" w:space="0" w:color="auto"/>
            </w:tcBorders>
            <w:hideMark/>
          </w:tcPr>
          <w:p w14:paraId="70950C05" w14:textId="77777777" w:rsidR="00652442" w:rsidRPr="00110F7D" w:rsidRDefault="00652442" w:rsidP="00D27234">
            <w:pPr>
              <w:pStyle w:val="paragraph"/>
              <w:spacing w:before="0" w:beforeAutospacing="0" w:after="0" w:afterAutospacing="0"/>
              <w:jc w:val="center"/>
              <w:textAlignment w:val="baseline"/>
              <w:rPr>
                <w:rStyle w:val="eop"/>
                <w:lang w:val="en-GB"/>
              </w:rPr>
            </w:pPr>
            <w:r w:rsidRPr="00110F7D">
              <w:rPr>
                <w:rStyle w:val="eop"/>
                <w:lang w:val="en-GB"/>
              </w:rPr>
              <w:t>42% (27, 58)</w:t>
            </w:r>
          </w:p>
        </w:tc>
      </w:tr>
      <w:tr w:rsidR="00652442" w:rsidRPr="00110F7D" w14:paraId="198A7C6E" w14:textId="77777777" w:rsidTr="00CC5520">
        <w:tc>
          <w:tcPr>
            <w:tcW w:w="2500" w:type="pct"/>
            <w:tcBorders>
              <w:top w:val="single" w:sz="4" w:space="0" w:color="auto"/>
              <w:left w:val="single" w:sz="4" w:space="0" w:color="auto"/>
              <w:bottom w:val="single" w:sz="4" w:space="0" w:color="auto"/>
              <w:right w:val="single" w:sz="4" w:space="0" w:color="auto"/>
            </w:tcBorders>
            <w:hideMark/>
          </w:tcPr>
          <w:p w14:paraId="5C96FBC0" w14:textId="77777777" w:rsidR="00652442" w:rsidRPr="00110F7D" w:rsidRDefault="00652442" w:rsidP="00D27234">
            <w:pPr>
              <w:pStyle w:val="paragraph"/>
              <w:spacing w:before="0" w:beforeAutospacing="0" w:after="0" w:afterAutospacing="0"/>
              <w:textAlignment w:val="baseline"/>
              <w:rPr>
                <w:rStyle w:val="eop"/>
                <w:lang w:val="en-GB"/>
              </w:rPr>
            </w:pPr>
            <w:r w:rsidRPr="00110F7D">
              <w:rPr>
                <w:rStyle w:val="eop"/>
                <w:lang w:val="en-GB"/>
              </w:rPr>
              <w:t>Specificity (95% CI)</w:t>
            </w:r>
          </w:p>
        </w:tc>
        <w:tc>
          <w:tcPr>
            <w:tcW w:w="2500" w:type="pct"/>
            <w:tcBorders>
              <w:top w:val="single" w:sz="4" w:space="0" w:color="auto"/>
              <w:left w:val="single" w:sz="4" w:space="0" w:color="auto"/>
              <w:bottom w:val="single" w:sz="4" w:space="0" w:color="auto"/>
              <w:right w:val="single" w:sz="4" w:space="0" w:color="auto"/>
            </w:tcBorders>
            <w:hideMark/>
          </w:tcPr>
          <w:p w14:paraId="2744E824" w14:textId="77777777" w:rsidR="00652442" w:rsidRPr="00110F7D" w:rsidRDefault="00652442" w:rsidP="00D27234">
            <w:pPr>
              <w:pStyle w:val="paragraph"/>
              <w:spacing w:before="0" w:beforeAutospacing="0" w:after="0" w:afterAutospacing="0"/>
              <w:jc w:val="center"/>
              <w:textAlignment w:val="baseline"/>
              <w:rPr>
                <w:rStyle w:val="eop"/>
                <w:lang w:val="en-GB"/>
              </w:rPr>
            </w:pPr>
            <w:r w:rsidRPr="00110F7D">
              <w:rPr>
                <w:rStyle w:val="eop"/>
                <w:lang w:val="en-GB"/>
              </w:rPr>
              <w:t>91% (79, 97)</w:t>
            </w:r>
          </w:p>
        </w:tc>
      </w:tr>
      <w:tr w:rsidR="00652442" w:rsidRPr="00110F7D" w14:paraId="793E99E0" w14:textId="77777777" w:rsidTr="00CC5520">
        <w:tc>
          <w:tcPr>
            <w:tcW w:w="2500" w:type="pct"/>
            <w:tcBorders>
              <w:top w:val="single" w:sz="4" w:space="0" w:color="auto"/>
              <w:left w:val="single" w:sz="4" w:space="0" w:color="auto"/>
              <w:bottom w:val="single" w:sz="4" w:space="0" w:color="auto"/>
              <w:right w:val="single" w:sz="4" w:space="0" w:color="auto"/>
            </w:tcBorders>
            <w:hideMark/>
          </w:tcPr>
          <w:p w14:paraId="70D44925" w14:textId="77777777" w:rsidR="00652442" w:rsidRPr="00110F7D" w:rsidRDefault="00652442" w:rsidP="00D27234">
            <w:pPr>
              <w:pStyle w:val="paragraph"/>
              <w:spacing w:before="0" w:beforeAutospacing="0" w:after="0" w:afterAutospacing="0"/>
              <w:textAlignment w:val="baseline"/>
              <w:rPr>
                <w:rStyle w:val="eop"/>
                <w:lang w:val="en-GB"/>
              </w:rPr>
            </w:pPr>
            <w:r w:rsidRPr="00110F7D">
              <w:rPr>
                <w:rStyle w:val="eop"/>
                <w:lang w:val="en-GB"/>
              </w:rPr>
              <w:t>PPV</w:t>
            </w:r>
          </w:p>
        </w:tc>
        <w:tc>
          <w:tcPr>
            <w:tcW w:w="2500" w:type="pct"/>
            <w:tcBorders>
              <w:top w:val="single" w:sz="4" w:space="0" w:color="auto"/>
              <w:left w:val="single" w:sz="4" w:space="0" w:color="auto"/>
              <w:bottom w:val="single" w:sz="4" w:space="0" w:color="auto"/>
              <w:right w:val="single" w:sz="4" w:space="0" w:color="auto"/>
            </w:tcBorders>
            <w:hideMark/>
          </w:tcPr>
          <w:p w14:paraId="1B0711B2" w14:textId="77777777" w:rsidR="00652442" w:rsidRPr="00110F7D" w:rsidRDefault="00652442" w:rsidP="00D27234">
            <w:pPr>
              <w:pStyle w:val="paragraph"/>
              <w:spacing w:before="0" w:beforeAutospacing="0" w:after="0" w:afterAutospacing="0"/>
              <w:jc w:val="center"/>
              <w:textAlignment w:val="baseline"/>
              <w:rPr>
                <w:rStyle w:val="eop"/>
                <w:lang w:val="en-GB"/>
              </w:rPr>
            </w:pPr>
            <w:r w:rsidRPr="00110F7D">
              <w:rPr>
                <w:rStyle w:val="eop"/>
                <w:lang w:val="en-GB"/>
              </w:rPr>
              <w:t>77% (54, 91)</w:t>
            </w:r>
          </w:p>
        </w:tc>
      </w:tr>
      <w:tr w:rsidR="00652442" w:rsidRPr="00110F7D" w14:paraId="48035FD9" w14:textId="77777777" w:rsidTr="00CC5520">
        <w:tc>
          <w:tcPr>
            <w:tcW w:w="2500" w:type="pct"/>
            <w:tcBorders>
              <w:top w:val="single" w:sz="4" w:space="0" w:color="auto"/>
              <w:left w:val="single" w:sz="4" w:space="0" w:color="auto"/>
              <w:bottom w:val="single" w:sz="4" w:space="0" w:color="auto"/>
              <w:right w:val="single" w:sz="4" w:space="0" w:color="auto"/>
            </w:tcBorders>
            <w:hideMark/>
          </w:tcPr>
          <w:p w14:paraId="71A219C3" w14:textId="77777777" w:rsidR="00652442" w:rsidRPr="00110F7D" w:rsidRDefault="00652442" w:rsidP="00D27234">
            <w:pPr>
              <w:pStyle w:val="paragraph"/>
              <w:spacing w:before="0" w:beforeAutospacing="0" w:after="0" w:afterAutospacing="0"/>
              <w:textAlignment w:val="baseline"/>
              <w:rPr>
                <w:rStyle w:val="eop"/>
                <w:lang w:val="en-GB"/>
              </w:rPr>
            </w:pPr>
            <w:r w:rsidRPr="00110F7D">
              <w:rPr>
                <w:rStyle w:val="eop"/>
                <w:lang w:val="en-GB"/>
              </w:rPr>
              <w:t>NPV</w:t>
            </w:r>
          </w:p>
        </w:tc>
        <w:tc>
          <w:tcPr>
            <w:tcW w:w="2500" w:type="pct"/>
            <w:tcBorders>
              <w:top w:val="single" w:sz="4" w:space="0" w:color="auto"/>
              <w:left w:val="single" w:sz="4" w:space="0" w:color="auto"/>
              <w:bottom w:val="single" w:sz="4" w:space="0" w:color="auto"/>
              <w:right w:val="single" w:sz="4" w:space="0" w:color="auto"/>
            </w:tcBorders>
            <w:hideMark/>
          </w:tcPr>
          <w:p w14:paraId="72C3438D" w14:textId="77777777" w:rsidR="00652442" w:rsidRPr="00110F7D" w:rsidRDefault="00652442" w:rsidP="00D27234">
            <w:pPr>
              <w:pStyle w:val="paragraph"/>
              <w:spacing w:before="0" w:beforeAutospacing="0" w:after="0" w:afterAutospacing="0"/>
              <w:jc w:val="center"/>
              <w:textAlignment w:val="baseline"/>
              <w:rPr>
                <w:rStyle w:val="eop"/>
                <w:lang w:val="en-GB"/>
              </w:rPr>
            </w:pPr>
            <w:r w:rsidRPr="00110F7D">
              <w:rPr>
                <w:rStyle w:val="eop"/>
                <w:lang w:val="en-GB"/>
              </w:rPr>
              <w:t>68% (56, 78)</w:t>
            </w:r>
          </w:p>
        </w:tc>
      </w:tr>
    </w:tbl>
    <w:p w14:paraId="4480E9C3" w14:textId="77777777" w:rsidR="00652442" w:rsidRPr="00110F7D" w:rsidRDefault="00652442" w:rsidP="00652442">
      <w:pPr>
        <w:pStyle w:val="paragraph"/>
        <w:spacing w:before="0" w:beforeAutospacing="0" w:after="0" w:afterAutospacing="0"/>
        <w:textAlignment w:val="baseline"/>
        <w:rPr>
          <w:rStyle w:val="eop"/>
          <w:lang w:val="en-GB"/>
        </w:rPr>
      </w:pPr>
      <w:r w:rsidRPr="00110F7D">
        <w:rPr>
          <w:rStyle w:val="eop"/>
          <w:vertAlign w:val="superscript"/>
          <w:lang w:val="en-GB"/>
        </w:rPr>
        <w:t>1</w:t>
      </w:r>
      <w:r w:rsidRPr="00110F7D">
        <w:rPr>
          <w:rStyle w:val="eop"/>
          <w:lang w:val="en-GB"/>
        </w:rPr>
        <w:t xml:space="preserve"> Evaluable population</w:t>
      </w:r>
    </w:p>
    <w:p w14:paraId="2094C731" w14:textId="77777777" w:rsidR="00652442" w:rsidRPr="00110F7D" w:rsidRDefault="00652442" w:rsidP="00652442">
      <w:pPr>
        <w:pStyle w:val="paragraph"/>
        <w:spacing w:before="0" w:beforeAutospacing="0" w:after="0" w:afterAutospacing="0"/>
        <w:textAlignment w:val="baseline"/>
        <w:rPr>
          <w:rStyle w:val="eop"/>
          <w:lang w:val="en-GB"/>
        </w:rPr>
      </w:pPr>
    </w:p>
    <w:p w14:paraId="06AA651E" w14:textId="77777777" w:rsidR="00652442" w:rsidRPr="00110F7D" w:rsidRDefault="00652442" w:rsidP="00CC5520">
      <w:pPr>
        <w:pStyle w:val="paragraph"/>
        <w:spacing w:before="0" w:beforeAutospacing="0" w:after="0" w:afterAutospacing="0"/>
        <w:ind w:left="851"/>
        <w:textAlignment w:val="baseline"/>
        <w:rPr>
          <w:rStyle w:val="eop"/>
          <w:lang w:val="en-GB"/>
        </w:rPr>
      </w:pPr>
      <w:r w:rsidRPr="00110F7D">
        <w:rPr>
          <w:rStyle w:val="eop"/>
          <w:lang w:val="en-GB"/>
        </w:rPr>
        <w:t>Inter-reader agreement was κ = 0.67 for the 2 independent blinded readers. Of the 67 LNM analysed, 26 were detected by gallium (</w:t>
      </w:r>
      <w:r w:rsidRPr="00110F7D">
        <w:rPr>
          <w:rStyle w:val="eop"/>
          <w:vertAlign w:val="superscript"/>
          <w:lang w:val="en-GB"/>
        </w:rPr>
        <w:t>68</w:t>
      </w:r>
      <w:r w:rsidRPr="00110F7D">
        <w:rPr>
          <w:rStyle w:val="eop"/>
          <w:lang w:val="en-GB"/>
        </w:rPr>
        <w:t xml:space="preserve">Ga) </w:t>
      </w:r>
      <w:proofErr w:type="spellStart"/>
      <w:r w:rsidRPr="00110F7D">
        <w:rPr>
          <w:rStyle w:val="eop"/>
          <w:lang w:val="en-GB"/>
        </w:rPr>
        <w:t>gozetotide</w:t>
      </w:r>
      <w:proofErr w:type="spellEnd"/>
      <w:r w:rsidRPr="00110F7D">
        <w:rPr>
          <w:rStyle w:val="eop"/>
          <w:lang w:val="en-GB"/>
        </w:rPr>
        <w:t xml:space="preserve"> PET/CT, resulting in 38.8% node-based sensitivity. Median diameter of the metastatic deposit in these detected LNM was 7 mm (range: 0.3-35). The PET reading missed 41 LNM with a median metastatic deposit of 3.0 mm (range: 0.5 to 35.0).</w:t>
      </w:r>
    </w:p>
    <w:p w14:paraId="51F5D9DC" w14:textId="77777777" w:rsidR="00652442" w:rsidRPr="00110F7D" w:rsidRDefault="00652442" w:rsidP="00CC5520">
      <w:pPr>
        <w:pStyle w:val="paragraph"/>
        <w:spacing w:before="0" w:beforeAutospacing="0" w:after="0" w:afterAutospacing="0"/>
        <w:ind w:left="851"/>
        <w:textAlignment w:val="baseline"/>
        <w:rPr>
          <w:rStyle w:val="eop"/>
          <w:lang w:val="en-GB"/>
        </w:rPr>
      </w:pPr>
    </w:p>
    <w:p w14:paraId="5FB39BF8" w14:textId="77777777" w:rsidR="00652442" w:rsidRPr="00110F7D" w:rsidRDefault="00652442" w:rsidP="00CC5520">
      <w:pPr>
        <w:pStyle w:val="paragraph"/>
        <w:spacing w:before="0" w:beforeAutospacing="0" w:after="0" w:afterAutospacing="0"/>
        <w:ind w:left="851"/>
        <w:textAlignment w:val="baseline"/>
        <w:rPr>
          <w:rStyle w:val="eop"/>
          <w:b/>
          <w:bCs/>
          <w:lang w:val="en-GB"/>
        </w:rPr>
      </w:pPr>
      <w:r w:rsidRPr="00110F7D">
        <w:rPr>
          <w:rStyle w:val="eop"/>
          <w:b/>
          <w:bCs/>
          <w:lang w:val="en-GB"/>
        </w:rPr>
        <w:t>Suspected recurrent prostate cancer in patients with increasing levels of serum PSA after primary curative therapy</w:t>
      </w:r>
    </w:p>
    <w:p w14:paraId="08736B23" w14:textId="77777777" w:rsidR="00652442" w:rsidRPr="00110F7D" w:rsidRDefault="00652442" w:rsidP="00CC5520">
      <w:pPr>
        <w:pStyle w:val="paragraph"/>
        <w:spacing w:before="0" w:beforeAutospacing="0" w:after="0" w:afterAutospacing="0"/>
        <w:ind w:left="851"/>
        <w:textAlignment w:val="baseline"/>
      </w:pPr>
    </w:p>
    <w:p w14:paraId="4EE1E2B9" w14:textId="77777777" w:rsidR="00652442" w:rsidRPr="00110F7D" w:rsidRDefault="00652442" w:rsidP="00CC5520">
      <w:pPr>
        <w:pStyle w:val="paragraph"/>
        <w:spacing w:before="0" w:beforeAutospacing="0" w:after="0" w:afterAutospacing="0"/>
        <w:ind w:left="851"/>
        <w:textAlignment w:val="baseline"/>
        <w:rPr>
          <w:rStyle w:val="eop"/>
        </w:rPr>
      </w:pPr>
      <w:r w:rsidRPr="00110F7D">
        <w:rPr>
          <w:rStyle w:val="eop"/>
          <w:lang w:val="en-GB"/>
        </w:rPr>
        <w:t>PSMA-BCR study (</w:t>
      </w:r>
      <w:proofErr w:type="spellStart"/>
      <w:r w:rsidRPr="00110F7D">
        <w:rPr>
          <w:rStyle w:val="eop"/>
          <w:lang w:val="en-GB"/>
        </w:rPr>
        <w:t>Fendler</w:t>
      </w:r>
      <w:proofErr w:type="spellEnd"/>
      <w:r w:rsidRPr="00110F7D">
        <w:rPr>
          <w:rStyle w:val="eop"/>
          <w:lang w:val="en-GB"/>
        </w:rPr>
        <w:t xml:space="preserve"> et al., 2019) was a single-arm, prospective study that enrolled 635 adult male patients with a median age of 69 years (44-95 years) with biochemical recurrence (BCR) after radical prostatectomy (n=262; 41%), radiation therapy (n=169; 27%), or both (n=204; 32%).</w:t>
      </w:r>
      <w:r w:rsidRPr="00110F7D">
        <w:rPr>
          <w:lang w:val="en-GB"/>
        </w:rPr>
        <w:t xml:space="preserve"> </w:t>
      </w:r>
      <w:r w:rsidRPr="00110F7D">
        <w:rPr>
          <w:rStyle w:val="eop"/>
          <w:lang w:val="en-GB"/>
        </w:rPr>
        <w:t>BCR was defined by serum PSA of ≥0.2 ng/mL more than 6 weeks after prostatectomy or by an increase in serum PSA of at least 2 ng/mL above nadir after definitive radiotherapy. Patients had median PSA level of 2.1 ng/mL above nadir after radiation therapy (range: 0.1-1154 ng/mL).</w:t>
      </w:r>
    </w:p>
    <w:p w14:paraId="4AC3B836" w14:textId="77777777" w:rsidR="00652442" w:rsidRPr="00110F7D" w:rsidRDefault="00652442" w:rsidP="00CC5520">
      <w:pPr>
        <w:pStyle w:val="paragraph"/>
        <w:spacing w:before="0" w:beforeAutospacing="0" w:after="0" w:afterAutospacing="0"/>
        <w:ind w:left="851"/>
        <w:textAlignment w:val="baseline"/>
      </w:pPr>
      <w:r w:rsidRPr="00110F7D">
        <w:rPr>
          <w:lang w:val="en-GB"/>
        </w:rPr>
        <w:t>In the efficacy cohort, 223 patients (35.1%) had information on composite reference standard (CRS), i.e., a combination of follow-up data from histopathologic analysis (primary endpoint), imaging (CT, MRI and/or bone scan), and serial serum PSA at a median duration of 9 months. Histopathology alone as a reference standard (SOT) was available for 93 patients (14.6%). PET/CT scans were read by 3 independent readers blinded to clinical information other than the type of primary therapy and most recent serum PSA level.</w:t>
      </w:r>
    </w:p>
    <w:p w14:paraId="517EC3C3" w14:textId="77777777" w:rsidR="00652442" w:rsidRPr="00110F7D" w:rsidRDefault="00652442" w:rsidP="00CC5520">
      <w:pPr>
        <w:pStyle w:val="paragraph"/>
        <w:spacing w:before="0" w:beforeAutospacing="0" w:after="0" w:afterAutospacing="0"/>
        <w:ind w:left="851"/>
        <w:textAlignment w:val="baseline"/>
        <w:rPr>
          <w:lang w:val="en-GB"/>
        </w:rPr>
      </w:pPr>
    </w:p>
    <w:p w14:paraId="0728E902" w14:textId="77777777" w:rsidR="00652442" w:rsidRPr="00110F7D" w:rsidRDefault="00652442" w:rsidP="00CC5520">
      <w:pPr>
        <w:pStyle w:val="paragraph"/>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ind w:left="851"/>
        <w:textAlignment w:val="baseline"/>
        <w:rPr>
          <w:lang w:val="en-GB"/>
        </w:rPr>
      </w:pPr>
      <w:r w:rsidRPr="00110F7D">
        <w:rPr>
          <w:lang w:val="en-GB"/>
        </w:rPr>
        <w:t>Detection of PSMA-positive lesions occurred in 475 of 635 (75%) patients receiving gallium (</w:t>
      </w:r>
      <w:r w:rsidRPr="00110F7D">
        <w:rPr>
          <w:vertAlign w:val="superscript"/>
          <w:lang w:val="en-GB"/>
        </w:rPr>
        <w:t>68</w:t>
      </w:r>
      <w:r w:rsidRPr="00110F7D">
        <w:rPr>
          <w:lang w:val="en-GB"/>
        </w:rPr>
        <w:t xml:space="preserve">Ga) </w:t>
      </w:r>
      <w:proofErr w:type="spellStart"/>
      <w:r w:rsidRPr="00110F7D">
        <w:rPr>
          <w:lang w:val="en-GB"/>
        </w:rPr>
        <w:t>gozetotide</w:t>
      </w:r>
      <w:proofErr w:type="spellEnd"/>
      <w:r w:rsidRPr="00110F7D">
        <w:rPr>
          <w:lang w:val="en-GB"/>
        </w:rPr>
        <w:t xml:space="preserve"> and higher detection rate (DR) were observed in the patients with higher initial PSA levels ranging from 38% (n=136) in patients with PSA&lt;0.5 ng/mL to 97% (n=173) in patients with PSA≥5.0 ng/</w:t>
      </w:r>
      <w:proofErr w:type="spellStart"/>
      <w:r w:rsidRPr="00110F7D">
        <w:rPr>
          <w:lang w:val="en-GB"/>
        </w:rPr>
        <w:t>mL.</w:t>
      </w:r>
      <w:proofErr w:type="spellEnd"/>
    </w:p>
    <w:p w14:paraId="477FAB0C" w14:textId="77777777" w:rsidR="00652442" w:rsidRPr="00110F7D" w:rsidRDefault="00652442" w:rsidP="00CC5520">
      <w:pPr>
        <w:pStyle w:val="paragraph"/>
        <w:spacing w:before="0" w:beforeAutospacing="0" w:after="0" w:afterAutospacing="0"/>
        <w:ind w:left="851"/>
        <w:textAlignment w:val="baseline"/>
        <w:rPr>
          <w:lang w:val="en-GB"/>
        </w:rPr>
      </w:pPr>
    </w:p>
    <w:p w14:paraId="07D1C37B" w14:textId="31AEA22F" w:rsidR="00652442" w:rsidRPr="00110F7D" w:rsidRDefault="00652442" w:rsidP="00CC5520">
      <w:pPr>
        <w:pStyle w:val="paragraph"/>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ind w:left="851"/>
        <w:textAlignment w:val="baseline"/>
        <w:rPr>
          <w:lang w:val="en-GB"/>
        </w:rPr>
      </w:pPr>
      <w:r w:rsidRPr="00110F7D">
        <w:rPr>
          <w:lang w:val="en-GB"/>
        </w:rPr>
        <w:lastRenderedPageBreak/>
        <w:t xml:space="preserve">Diagnostic performance on patient basis (at any location) and by reference standard are presented in </w:t>
      </w:r>
      <w:r w:rsidRPr="00110F7D">
        <w:rPr>
          <w:lang w:val="en-GB"/>
        </w:rPr>
        <w:fldChar w:fldCharType="begin"/>
      </w:r>
      <w:r w:rsidRPr="00110F7D">
        <w:rPr>
          <w:lang w:val="en-GB"/>
        </w:rPr>
        <w:instrText xml:space="preserve"> REF _Ref170113761 \h  \* MERGEFORMAT </w:instrText>
      </w:r>
      <w:r w:rsidRPr="00110F7D">
        <w:rPr>
          <w:lang w:val="en-GB"/>
        </w:rPr>
      </w:r>
      <w:r w:rsidRPr="00110F7D">
        <w:rPr>
          <w:lang w:val="en-GB"/>
        </w:rPr>
        <w:fldChar w:fldCharType="separate"/>
      </w:r>
      <w:r w:rsidR="00C47B20" w:rsidRPr="00C47B20">
        <w:rPr>
          <w:lang w:val="en-GB"/>
        </w:rPr>
        <w:t>Table 3</w:t>
      </w:r>
      <w:r w:rsidRPr="00110F7D">
        <w:rPr>
          <w:lang w:val="en-GB"/>
        </w:rPr>
        <w:fldChar w:fldCharType="end"/>
      </w:r>
      <w:r w:rsidRPr="00110F7D">
        <w:rPr>
          <w:lang w:val="en-GB"/>
        </w:rPr>
        <w:t>.</w:t>
      </w:r>
    </w:p>
    <w:p w14:paraId="1544EA2D" w14:textId="77777777" w:rsidR="00652442" w:rsidRPr="00110F7D" w:rsidRDefault="00652442" w:rsidP="00CC5520">
      <w:pPr>
        <w:pStyle w:val="paragraph"/>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beforeAutospacing="0" w:after="0" w:afterAutospacing="0"/>
        <w:ind w:left="851"/>
        <w:textAlignment w:val="baseline"/>
        <w:rPr>
          <w:lang w:val="en-GB"/>
        </w:rPr>
      </w:pPr>
    </w:p>
    <w:p w14:paraId="0FD8856F" w14:textId="3B149239" w:rsidR="00652442" w:rsidRPr="00110F7D" w:rsidRDefault="00652442" w:rsidP="00652442">
      <w:pPr>
        <w:rPr>
          <w:b/>
          <w:bCs/>
          <w:sz w:val="24"/>
          <w:szCs w:val="24"/>
          <w:lang w:val="en-GB"/>
        </w:rPr>
      </w:pPr>
      <w:bookmarkStart w:id="12" w:name="_Ref170113761"/>
      <w:r w:rsidRPr="00110F7D">
        <w:rPr>
          <w:b/>
          <w:bCs/>
          <w:sz w:val="24"/>
          <w:szCs w:val="24"/>
          <w:lang w:val="en-US"/>
        </w:rPr>
        <w:t xml:space="preserve">Table </w:t>
      </w:r>
      <w:r w:rsidRPr="00110F7D">
        <w:rPr>
          <w:sz w:val="24"/>
          <w:szCs w:val="24"/>
        </w:rPr>
        <w:fldChar w:fldCharType="begin"/>
      </w:r>
      <w:r w:rsidRPr="00110F7D">
        <w:rPr>
          <w:b/>
          <w:bCs/>
          <w:sz w:val="24"/>
          <w:szCs w:val="24"/>
          <w:lang w:val="en-US"/>
        </w:rPr>
        <w:instrText xml:space="preserve"> SEQ Table \* ARABIC </w:instrText>
      </w:r>
      <w:r w:rsidRPr="00110F7D">
        <w:rPr>
          <w:sz w:val="24"/>
          <w:szCs w:val="24"/>
        </w:rPr>
        <w:fldChar w:fldCharType="separate"/>
      </w:r>
      <w:r w:rsidR="00C47B20">
        <w:rPr>
          <w:b/>
          <w:bCs/>
          <w:noProof/>
          <w:sz w:val="24"/>
          <w:szCs w:val="24"/>
          <w:lang w:val="en-US"/>
        </w:rPr>
        <w:t>3</w:t>
      </w:r>
      <w:r w:rsidRPr="00110F7D">
        <w:rPr>
          <w:sz w:val="24"/>
          <w:szCs w:val="24"/>
        </w:rPr>
        <w:fldChar w:fldCharType="end"/>
      </w:r>
      <w:bookmarkEnd w:id="12"/>
      <w:r w:rsidRPr="00110F7D">
        <w:rPr>
          <w:b/>
          <w:bCs/>
          <w:sz w:val="24"/>
          <w:szCs w:val="24"/>
          <w:lang w:val="en-US"/>
        </w:rPr>
        <w:t>: Diagnostic performance of gallium (</w:t>
      </w:r>
      <w:r w:rsidRPr="00110F7D">
        <w:rPr>
          <w:b/>
          <w:bCs/>
          <w:sz w:val="24"/>
          <w:szCs w:val="24"/>
          <w:vertAlign w:val="superscript"/>
          <w:lang w:val="en-US"/>
        </w:rPr>
        <w:t>68</w:t>
      </w:r>
      <w:r w:rsidRPr="00110F7D">
        <w:rPr>
          <w:b/>
          <w:bCs/>
          <w:sz w:val="24"/>
          <w:szCs w:val="24"/>
          <w:lang w:val="en-US"/>
        </w:rPr>
        <w:t xml:space="preserve">Ga) </w:t>
      </w:r>
      <w:proofErr w:type="spellStart"/>
      <w:r w:rsidRPr="00110F7D">
        <w:rPr>
          <w:b/>
          <w:bCs/>
          <w:sz w:val="24"/>
          <w:szCs w:val="24"/>
          <w:lang w:val="en-US"/>
        </w:rPr>
        <w:t>gozetotide</w:t>
      </w:r>
      <w:proofErr w:type="spellEnd"/>
      <w:r w:rsidRPr="00110F7D">
        <w:rPr>
          <w:b/>
          <w:bCs/>
          <w:sz w:val="24"/>
          <w:szCs w:val="24"/>
          <w:lang w:val="en-US"/>
        </w:rPr>
        <w:t xml:space="preserve"> in BCR patients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39"/>
        <w:gridCol w:w="3339"/>
        <w:gridCol w:w="3050"/>
      </w:tblGrid>
      <w:tr w:rsidR="00652442" w:rsidRPr="00110F7D" w14:paraId="4AD2756B" w14:textId="77777777" w:rsidTr="00CC5520">
        <w:trPr>
          <w:trHeight w:val="714"/>
        </w:trPr>
        <w:tc>
          <w:tcPr>
            <w:tcW w:w="1682" w:type="pct"/>
            <w:tcBorders>
              <w:top w:val="single" w:sz="4" w:space="0" w:color="auto"/>
              <w:left w:val="single" w:sz="4" w:space="0" w:color="auto"/>
              <w:bottom w:val="single" w:sz="4" w:space="0" w:color="auto"/>
              <w:right w:val="single" w:sz="4" w:space="0" w:color="auto"/>
            </w:tcBorders>
          </w:tcPr>
          <w:p w14:paraId="0083B8F0" w14:textId="77777777" w:rsidR="00652442" w:rsidRPr="00110F7D" w:rsidRDefault="00652442" w:rsidP="00D27234">
            <w:pPr>
              <w:tabs>
                <w:tab w:val="left" w:pos="1304"/>
              </w:tabs>
              <w:kinsoku w:val="0"/>
              <w:overflowPunct w:val="0"/>
              <w:autoSpaceDE w:val="0"/>
              <w:autoSpaceDN w:val="0"/>
              <w:adjustRightInd w:val="0"/>
              <w:rPr>
                <w:sz w:val="24"/>
                <w:szCs w:val="24"/>
                <w:lang w:val="en-US" w:eastAsia="fr-FR" w:bidi="hi-IN"/>
              </w:rPr>
            </w:pPr>
          </w:p>
        </w:tc>
        <w:tc>
          <w:tcPr>
            <w:tcW w:w="1734" w:type="pct"/>
            <w:tcBorders>
              <w:top w:val="single" w:sz="4" w:space="0" w:color="auto"/>
              <w:left w:val="single" w:sz="4" w:space="0" w:color="auto"/>
              <w:bottom w:val="single" w:sz="4" w:space="0" w:color="auto"/>
              <w:right w:val="single" w:sz="4" w:space="0" w:color="auto"/>
            </w:tcBorders>
            <w:hideMark/>
          </w:tcPr>
          <w:p w14:paraId="585A78D9" w14:textId="77777777" w:rsidR="00652442" w:rsidRPr="00110F7D" w:rsidRDefault="00652442" w:rsidP="00D27234">
            <w:pPr>
              <w:tabs>
                <w:tab w:val="left" w:pos="1304"/>
              </w:tabs>
              <w:kinsoku w:val="0"/>
              <w:overflowPunct w:val="0"/>
              <w:autoSpaceDE w:val="0"/>
              <w:autoSpaceDN w:val="0"/>
              <w:adjustRightInd w:val="0"/>
              <w:ind w:left="377" w:right="369"/>
              <w:jc w:val="center"/>
              <w:rPr>
                <w:b/>
                <w:bCs/>
                <w:spacing w:val="-2"/>
                <w:sz w:val="24"/>
                <w:szCs w:val="24"/>
                <w:lang w:eastAsia="fr-FR" w:bidi="hi-IN"/>
              </w:rPr>
            </w:pPr>
            <w:proofErr w:type="spellStart"/>
            <w:r w:rsidRPr="00110F7D">
              <w:rPr>
                <w:b/>
                <w:bCs/>
                <w:spacing w:val="-2"/>
                <w:sz w:val="24"/>
                <w:szCs w:val="24"/>
                <w:lang w:eastAsia="fr-FR" w:bidi="hi-IN"/>
              </w:rPr>
              <w:t>Composite</w:t>
            </w:r>
            <w:proofErr w:type="spellEnd"/>
          </w:p>
          <w:p w14:paraId="21DAF660" w14:textId="77777777" w:rsidR="00652442" w:rsidRPr="00110F7D" w:rsidRDefault="00652442" w:rsidP="00D27234">
            <w:pPr>
              <w:tabs>
                <w:tab w:val="left" w:pos="1304"/>
              </w:tabs>
              <w:kinsoku w:val="0"/>
              <w:overflowPunct w:val="0"/>
              <w:autoSpaceDE w:val="0"/>
              <w:autoSpaceDN w:val="0"/>
              <w:adjustRightInd w:val="0"/>
              <w:ind w:left="377" w:right="369"/>
              <w:jc w:val="center"/>
              <w:rPr>
                <w:b/>
                <w:bCs/>
                <w:spacing w:val="-2"/>
                <w:sz w:val="24"/>
                <w:szCs w:val="24"/>
                <w:vertAlign w:val="superscript"/>
                <w:lang w:eastAsia="fr-FR" w:bidi="hi-IN"/>
              </w:rPr>
            </w:pPr>
            <w:r w:rsidRPr="00110F7D">
              <w:rPr>
                <w:b/>
                <w:bCs/>
                <w:sz w:val="24"/>
                <w:szCs w:val="24"/>
                <w:lang w:eastAsia="fr-FR" w:bidi="hi-IN"/>
              </w:rPr>
              <w:t>reference</w:t>
            </w:r>
            <w:r w:rsidRPr="00110F7D">
              <w:rPr>
                <w:b/>
                <w:bCs/>
                <w:spacing w:val="-14"/>
                <w:sz w:val="24"/>
                <w:szCs w:val="24"/>
                <w:lang w:eastAsia="fr-FR" w:bidi="hi-IN"/>
              </w:rPr>
              <w:t xml:space="preserve"> </w:t>
            </w:r>
            <w:r w:rsidRPr="00110F7D">
              <w:rPr>
                <w:b/>
                <w:bCs/>
                <w:sz w:val="24"/>
                <w:szCs w:val="24"/>
                <w:lang w:eastAsia="fr-FR" w:bidi="hi-IN"/>
              </w:rPr>
              <w:t xml:space="preserve">standard </w:t>
            </w:r>
            <w:r w:rsidRPr="00110F7D">
              <w:rPr>
                <w:b/>
                <w:bCs/>
                <w:spacing w:val="-2"/>
                <w:sz w:val="24"/>
                <w:szCs w:val="24"/>
                <w:lang w:eastAsia="fr-FR" w:bidi="hi-IN"/>
              </w:rPr>
              <w:t>N=223</w:t>
            </w:r>
            <w:r w:rsidRPr="00110F7D">
              <w:rPr>
                <w:b/>
                <w:bCs/>
                <w:spacing w:val="-2"/>
                <w:sz w:val="24"/>
                <w:szCs w:val="24"/>
                <w:vertAlign w:val="superscript"/>
                <w:lang w:eastAsia="fr-FR" w:bidi="hi-IN"/>
              </w:rPr>
              <w:t>1</w:t>
            </w:r>
          </w:p>
        </w:tc>
        <w:tc>
          <w:tcPr>
            <w:tcW w:w="1584" w:type="pct"/>
            <w:tcBorders>
              <w:top w:val="single" w:sz="4" w:space="0" w:color="auto"/>
              <w:left w:val="single" w:sz="4" w:space="0" w:color="auto"/>
              <w:bottom w:val="single" w:sz="4" w:space="0" w:color="auto"/>
              <w:right w:val="single" w:sz="4" w:space="0" w:color="auto"/>
            </w:tcBorders>
            <w:hideMark/>
          </w:tcPr>
          <w:p w14:paraId="682A8223" w14:textId="77777777" w:rsidR="00652442" w:rsidRPr="00110F7D" w:rsidRDefault="00652442" w:rsidP="00D27234">
            <w:pPr>
              <w:tabs>
                <w:tab w:val="left" w:pos="1304"/>
              </w:tabs>
              <w:kinsoku w:val="0"/>
              <w:overflowPunct w:val="0"/>
              <w:autoSpaceDE w:val="0"/>
              <w:autoSpaceDN w:val="0"/>
              <w:adjustRightInd w:val="0"/>
              <w:ind w:left="293" w:right="291"/>
              <w:jc w:val="center"/>
              <w:rPr>
                <w:b/>
                <w:bCs/>
                <w:spacing w:val="-2"/>
                <w:sz w:val="24"/>
                <w:szCs w:val="24"/>
                <w:lang w:eastAsia="fr-FR" w:bidi="hi-IN"/>
              </w:rPr>
            </w:pPr>
            <w:proofErr w:type="spellStart"/>
            <w:r w:rsidRPr="00110F7D">
              <w:rPr>
                <w:b/>
                <w:bCs/>
                <w:spacing w:val="-2"/>
                <w:sz w:val="24"/>
                <w:szCs w:val="24"/>
                <w:lang w:eastAsia="fr-FR" w:bidi="hi-IN"/>
              </w:rPr>
              <w:t>Histopathology</w:t>
            </w:r>
            <w:proofErr w:type="spellEnd"/>
          </w:p>
          <w:p w14:paraId="41CF5A92" w14:textId="77777777" w:rsidR="00652442" w:rsidRPr="00110F7D" w:rsidRDefault="00652442" w:rsidP="00D27234">
            <w:pPr>
              <w:tabs>
                <w:tab w:val="left" w:pos="1304"/>
              </w:tabs>
              <w:kinsoku w:val="0"/>
              <w:overflowPunct w:val="0"/>
              <w:autoSpaceDE w:val="0"/>
              <w:autoSpaceDN w:val="0"/>
              <w:adjustRightInd w:val="0"/>
              <w:ind w:left="293" w:right="287"/>
              <w:jc w:val="center"/>
              <w:rPr>
                <w:b/>
                <w:bCs/>
                <w:spacing w:val="-2"/>
                <w:sz w:val="24"/>
                <w:szCs w:val="24"/>
                <w:vertAlign w:val="superscript"/>
                <w:lang w:eastAsia="fr-FR" w:bidi="hi-IN"/>
              </w:rPr>
            </w:pPr>
            <w:r w:rsidRPr="00110F7D">
              <w:rPr>
                <w:b/>
                <w:bCs/>
                <w:sz w:val="24"/>
                <w:szCs w:val="24"/>
                <w:lang w:eastAsia="fr-FR" w:bidi="hi-IN"/>
              </w:rPr>
              <w:t>reference</w:t>
            </w:r>
            <w:r w:rsidRPr="00110F7D">
              <w:rPr>
                <w:b/>
                <w:bCs/>
                <w:spacing w:val="-14"/>
                <w:sz w:val="24"/>
                <w:szCs w:val="24"/>
                <w:lang w:eastAsia="fr-FR" w:bidi="hi-IN"/>
              </w:rPr>
              <w:t xml:space="preserve"> </w:t>
            </w:r>
            <w:r w:rsidRPr="00110F7D">
              <w:rPr>
                <w:b/>
                <w:bCs/>
                <w:sz w:val="24"/>
                <w:szCs w:val="24"/>
                <w:lang w:eastAsia="fr-FR" w:bidi="hi-IN"/>
              </w:rPr>
              <w:t xml:space="preserve">standard </w:t>
            </w:r>
            <w:r w:rsidRPr="00110F7D">
              <w:rPr>
                <w:b/>
                <w:bCs/>
                <w:spacing w:val="-2"/>
                <w:sz w:val="24"/>
                <w:szCs w:val="24"/>
                <w:lang w:eastAsia="fr-FR" w:bidi="hi-IN"/>
              </w:rPr>
              <w:t>N=93</w:t>
            </w:r>
            <w:r w:rsidRPr="00110F7D">
              <w:rPr>
                <w:b/>
                <w:bCs/>
                <w:spacing w:val="-2"/>
                <w:sz w:val="24"/>
                <w:szCs w:val="24"/>
                <w:vertAlign w:val="superscript"/>
                <w:lang w:eastAsia="fr-FR" w:bidi="hi-IN"/>
              </w:rPr>
              <w:t>1</w:t>
            </w:r>
          </w:p>
        </w:tc>
      </w:tr>
      <w:tr w:rsidR="00652442" w:rsidRPr="00110F7D" w14:paraId="782DA174" w14:textId="77777777" w:rsidTr="00CC5520">
        <w:trPr>
          <w:trHeight w:val="251"/>
        </w:trPr>
        <w:tc>
          <w:tcPr>
            <w:tcW w:w="1682" w:type="pct"/>
            <w:tcBorders>
              <w:top w:val="single" w:sz="4" w:space="0" w:color="auto"/>
              <w:left w:val="single" w:sz="4" w:space="0" w:color="auto"/>
              <w:bottom w:val="single" w:sz="4" w:space="0" w:color="auto"/>
              <w:right w:val="single" w:sz="4" w:space="0" w:color="auto"/>
            </w:tcBorders>
            <w:hideMark/>
          </w:tcPr>
          <w:p w14:paraId="06EF76AC" w14:textId="77777777" w:rsidR="00652442" w:rsidRPr="00110F7D" w:rsidRDefault="00652442" w:rsidP="00D27234">
            <w:pPr>
              <w:tabs>
                <w:tab w:val="left" w:pos="1304"/>
              </w:tabs>
              <w:kinsoku w:val="0"/>
              <w:overflowPunct w:val="0"/>
              <w:autoSpaceDE w:val="0"/>
              <w:autoSpaceDN w:val="0"/>
              <w:adjustRightInd w:val="0"/>
              <w:ind w:left="107"/>
              <w:rPr>
                <w:sz w:val="24"/>
                <w:szCs w:val="24"/>
                <w:lang w:eastAsia="fr-FR" w:bidi="hi-IN"/>
              </w:rPr>
            </w:pPr>
            <w:proofErr w:type="spellStart"/>
            <w:r w:rsidRPr="00110F7D">
              <w:rPr>
                <w:sz w:val="24"/>
                <w:szCs w:val="24"/>
                <w:lang w:eastAsia="fr-FR" w:bidi="hi-IN"/>
              </w:rPr>
              <w:t>Sensitivity</w:t>
            </w:r>
            <w:proofErr w:type="spellEnd"/>
            <w:r w:rsidRPr="00110F7D">
              <w:rPr>
                <w:sz w:val="24"/>
                <w:szCs w:val="24"/>
                <w:lang w:eastAsia="fr-FR" w:bidi="hi-IN"/>
              </w:rPr>
              <w:t xml:space="preserve"> per-patient (95% CI)</w:t>
            </w:r>
          </w:p>
        </w:tc>
        <w:tc>
          <w:tcPr>
            <w:tcW w:w="1734" w:type="pct"/>
            <w:tcBorders>
              <w:top w:val="single" w:sz="4" w:space="0" w:color="auto"/>
              <w:left w:val="single" w:sz="4" w:space="0" w:color="auto"/>
              <w:bottom w:val="single" w:sz="4" w:space="0" w:color="auto"/>
              <w:right w:val="single" w:sz="4" w:space="0" w:color="auto"/>
            </w:tcBorders>
            <w:hideMark/>
          </w:tcPr>
          <w:p w14:paraId="2BA84E12" w14:textId="77777777" w:rsidR="00652442" w:rsidRPr="00110F7D" w:rsidRDefault="00652442" w:rsidP="00D27234">
            <w:pPr>
              <w:tabs>
                <w:tab w:val="left" w:pos="1304"/>
              </w:tabs>
              <w:kinsoku w:val="0"/>
              <w:overflowPunct w:val="0"/>
              <w:autoSpaceDE w:val="0"/>
              <w:autoSpaceDN w:val="0"/>
              <w:adjustRightInd w:val="0"/>
              <w:ind w:left="377" w:right="371"/>
              <w:jc w:val="center"/>
              <w:rPr>
                <w:spacing w:val="-6"/>
                <w:sz w:val="24"/>
                <w:szCs w:val="24"/>
                <w:lang w:eastAsia="fr-FR" w:bidi="hi-IN"/>
              </w:rPr>
            </w:pPr>
            <w:r w:rsidRPr="00110F7D">
              <w:rPr>
                <w:spacing w:val="-6"/>
                <w:sz w:val="24"/>
                <w:szCs w:val="24"/>
                <w:lang w:eastAsia="fr-FR" w:bidi="hi-IN"/>
              </w:rPr>
              <w:t>NA</w:t>
            </w:r>
          </w:p>
        </w:tc>
        <w:tc>
          <w:tcPr>
            <w:tcW w:w="1584" w:type="pct"/>
            <w:tcBorders>
              <w:top w:val="single" w:sz="4" w:space="0" w:color="auto"/>
              <w:left w:val="single" w:sz="4" w:space="0" w:color="auto"/>
              <w:bottom w:val="single" w:sz="4" w:space="0" w:color="auto"/>
              <w:right w:val="single" w:sz="4" w:space="0" w:color="auto"/>
            </w:tcBorders>
            <w:hideMark/>
          </w:tcPr>
          <w:p w14:paraId="72C7DB1B" w14:textId="77777777" w:rsidR="00652442" w:rsidRPr="00110F7D" w:rsidRDefault="00652442" w:rsidP="00D27234">
            <w:pPr>
              <w:tabs>
                <w:tab w:val="left" w:pos="1304"/>
              </w:tabs>
              <w:kinsoku w:val="0"/>
              <w:overflowPunct w:val="0"/>
              <w:autoSpaceDE w:val="0"/>
              <w:autoSpaceDN w:val="0"/>
              <w:adjustRightInd w:val="0"/>
              <w:ind w:left="293" w:right="289"/>
              <w:jc w:val="center"/>
              <w:rPr>
                <w:sz w:val="24"/>
                <w:szCs w:val="24"/>
                <w:lang w:eastAsia="fr-FR" w:bidi="hi-IN"/>
              </w:rPr>
            </w:pPr>
            <w:r w:rsidRPr="00110F7D">
              <w:rPr>
                <w:sz w:val="24"/>
                <w:szCs w:val="24"/>
                <w:lang w:eastAsia="fr-FR" w:bidi="hi-IN"/>
              </w:rPr>
              <w:t>92% (84, 96)</w:t>
            </w:r>
          </w:p>
        </w:tc>
      </w:tr>
      <w:tr w:rsidR="00652442" w:rsidRPr="00110F7D" w14:paraId="6C6924F9" w14:textId="77777777" w:rsidTr="00CC5520">
        <w:trPr>
          <w:trHeight w:val="253"/>
        </w:trPr>
        <w:tc>
          <w:tcPr>
            <w:tcW w:w="1682" w:type="pct"/>
            <w:tcBorders>
              <w:top w:val="single" w:sz="4" w:space="0" w:color="auto"/>
              <w:left w:val="single" w:sz="4" w:space="0" w:color="auto"/>
              <w:bottom w:val="single" w:sz="4" w:space="0" w:color="auto"/>
              <w:right w:val="single" w:sz="4" w:space="0" w:color="auto"/>
            </w:tcBorders>
            <w:hideMark/>
          </w:tcPr>
          <w:p w14:paraId="0997C8B8" w14:textId="77777777" w:rsidR="00652442" w:rsidRPr="00110F7D" w:rsidRDefault="00652442" w:rsidP="00D27234">
            <w:pPr>
              <w:tabs>
                <w:tab w:val="left" w:pos="1304"/>
              </w:tabs>
              <w:kinsoku w:val="0"/>
              <w:overflowPunct w:val="0"/>
              <w:autoSpaceDE w:val="0"/>
              <w:autoSpaceDN w:val="0"/>
              <w:adjustRightInd w:val="0"/>
              <w:ind w:left="107"/>
              <w:rPr>
                <w:sz w:val="24"/>
                <w:szCs w:val="24"/>
                <w:lang w:eastAsia="fr-FR" w:bidi="hi-IN"/>
              </w:rPr>
            </w:pPr>
            <w:proofErr w:type="spellStart"/>
            <w:r w:rsidRPr="00110F7D">
              <w:rPr>
                <w:sz w:val="24"/>
                <w:szCs w:val="24"/>
                <w:lang w:eastAsia="fr-FR" w:bidi="hi-IN"/>
              </w:rPr>
              <w:t>Sensitivity</w:t>
            </w:r>
            <w:proofErr w:type="spellEnd"/>
            <w:r w:rsidRPr="00110F7D">
              <w:rPr>
                <w:sz w:val="24"/>
                <w:szCs w:val="24"/>
                <w:lang w:eastAsia="fr-FR" w:bidi="hi-IN"/>
              </w:rPr>
              <w:t xml:space="preserve"> per-region (95% CI)</w:t>
            </w:r>
          </w:p>
        </w:tc>
        <w:tc>
          <w:tcPr>
            <w:tcW w:w="1734" w:type="pct"/>
            <w:tcBorders>
              <w:top w:val="single" w:sz="4" w:space="0" w:color="auto"/>
              <w:left w:val="single" w:sz="4" w:space="0" w:color="auto"/>
              <w:bottom w:val="single" w:sz="4" w:space="0" w:color="auto"/>
              <w:right w:val="single" w:sz="4" w:space="0" w:color="auto"/>
            </w:tcBorders>
            <w:hideMark/>
          </w:tcPr>
          <w:p w14:paraId="1EFBEBC6" w14:textId="77777777" w:rsidR="00652442" w:rsidRPr="00110F7D" w:rsidRDefault="00652442" w:rsidP="00D27234">
            <w:pPr>
              <w:tabs>
                <w:tab w:val="left" w:pos="1304"/>
              </w:tabs>
              <w:kinsoku w:val="0"/>
              <w:overflowPunct w:val="0"/>
              <w:autoSpaceDE w:val="0"/>
              <w:autoSpaceDN w:val="0"/>
              <w:adjustRightInd w:val="0"/>
              <w:ind w:left="377" w:right="371"/>
              <w:jc w:val="center"/>
              <w:rPr>
                <w:spacing w:val="-6"/>
                <w:sz w:val="24"/>
                <w:szCs w:val="24"/>
                <w:lang w:eastAsia="fr-FR" w:bidi="hi-IN"/>
              </w:rPr>
            </w:pPr>
            <w:r w:rsidRPr="00110F7D">
              <w:rPr>
                <w:spacing w:val="-6"/>
                <w:sz w:val="24"/>
                <w:szCs w:val="24"/>
                <w:lang w:eastAsia="fr-FR" w:bidi="hi-IN"/>
              </w:rPr>
              <w:t>NA</w:t>
            </w:r>
          </w:p>
        </w:tc>
        <w:tc>
          <w:tcPr>
            <w:tcW w:w="1584" w:type="pct"/>
            <w:tcBorders>
              <w:top w:val="single" w:sz="4" w:space="0" w:color="auto"/>
              <w:left w:val="single" w:sz="4" w:space="0" w:color="auto"/>
              <w:bottom w:val="single" w:sz="4" w:space="0" w:color="auto"/>
              <w:right w:val="single" w:sz="4" w:space="0" w:color="auto"/>
            </w:tcBorders>
            <w:hideMark/>
          </w:tcPr>
          <w:p w14:paraId="4190D5DC" w14:textId="77777777" w:rsidR="00652442" w:rsidRPr="00110F7D" w:rsidRDefault="00652442" w:rsidP="00D27234">
            <w:pPr>
              <w:tabs>
                <w:tab w:val="left" w:pos="1304"/>
              </w:tabs>
              <w:kinsoku w:val="0"/>
              <w:overflowPunct w:val="0"/>
              <w:autoSpaceDE w:val="0"/>
              <w:autoSpaceDN w:val="0"/>
              <w:adjustRightInd w:val="0"/>
              <w:ind w:left="293" w:right="289"/>
              <w:jc w:val="center"/>
              <w:rPr>
                <w:sz w:val="24"/>
                <w:szCs w:val="24"/>
                <w:lang w:eastAsia="fr-FR" w:bidi="hi-IN"/>
              </w:rPr>
            </w:pPr>
            <w:r w:rsidRPr="00110F7D">
              <w:rPr>
                <w:sz w:val="24"/>
                <w:szCs w:val="24"/>
                <w:lang w:eastAsia="fr-FR" w:bidi="hi-IN"/>
              </w:rPr>
              <w:t>90% (82, 95)</w:t>
            </w:r>
          </w:p>
        </w:tc>
      </w:tr>
      <w:tr w:rsidR="00652442" w:rsidRPr="00110F7D" w14:paraId="10753CC9" w14:textId="77777777" w:rsidTr="00CC5520">
        <w:trPr>
          <w:trHeight w:val="251"/>
        </w:trPr>
        <w:tc>
          <w:tcPr>
            <w:tcW w:w="1682" w:type="pct"/>
            <w:tcBorders>
              <w:top w:val="single" w:sz="4" w:space="0" w:color="auto"/>
              <w:left w:val="single" w:sz="4" w:space="0" w:color="auto"/>
              <w:bottom w:val="single" w:sz="4" w:space="0" w:color="auto"/>
              <w:right w:val="single" w:sz="4" w:space="0" w:color="auto"/>
            </w:tcBorders>
            <w:hideMark/>
          </w:tcPr>
          <w:p w14:paraId="18BC4C4F" w14:textId="77777777" w:rsidR="00652442" w:rsidRPr="00110F7D" w:rsidRDefault="00652442" w:rsidP="00D27234">
            <w:pPr>
              <w:tabs>
                <w:tab w:val="left" w:pos="1304"/>
              </w:tabs>
              <w:kinsoku w:val="0"/>
              <w:overflowPunct w:val="0"/>
              <w:autoSpaceDE w:val="0"/>
              <w:autoSpaceDN w:val="0"/>
              <w:adjustRightInd w:val="0"/>
              <w:ind w:left="107"/>
              <w:rPr>
                <w:sz w:val="24"/>
                <w:szCs w:val="24"/>
                <w:lang w:eastAsia="fr-FR" w:bidi="hi-IN"/>
              </w:rPr>
            </w:pPr>
            <w:r w:rsidRPr="00110F7D">
              <w:rPr>
                <w:sz w:val="24"/>
                <w:szCs w:val="24"/>
                <w:lang w:eastAsia="fr-FR" w:bidi="hi-IN"/>
              </w:rPr>
              <w:t>PPV per-patient (95% CI)</w:t>
            </w:r>
          </w:p>
        </w:tc>
        <w:tc>
          <w:tcPr>
            <w:tcW w:w="1734" w:type="pct"/>
            <w:tcBorders>
              <w:top w:val="single" w:sz="4" w:space="0" w:color="auto"/>
              <w:left w:val="single" w:sz="4" w:space="0" w:color="auto"/>
              <w:bottom w:val="single" w:sz="4" w:space="0" w:color="auto"/>
              <w:right w:val="single" w:sz="4" w:space="0" w:color="auto"/>
            </w:tcBorders>
            <w:hideMark/>
          </w:tcPr>
          <w:p w14:paraId="0AC84340" w14:textId="77777777" w:rsidR="00652442" w:rsidRPr="00110F7D" w:rsidRDefault="00652442" w:rsidP="00D27234">
            <w:pPr>
              <w:tabs>
                <w:tab w:val="left" w:pos="1304"/>
              </w:tabs>
              <w:kinsoku w:val="0"/>
              <w:overflowPunct w:val="0"/>
              <w:autoSpaceDE w:val="0"/>
              <w:autoSpaceDN w:val="0"/>
              <w:adjustRightInd w:val="0"/>
              <w:ind w:left="377" w:right="372"/>
              <w:jc w:val="center"/>
              <w:rPr>
                <w:sz w:val="24"/>
                <w:szCs w:val="24"/>
                <w:lang w:eastAsia="fr-FR" w:bidi="hi-IN"/>
              </w:rPr>
            </w:pPr>
            <w:r w:rsidRPr="00110F7D">
              <w:rPr>
                <w:sz w:val="24"/>
                <w:szCs w:val="24"/>
                <w:lang w:eastAsia="fr-FR" w:bidi="hi-IN"/>
              </w:rPr>
              <w:t>92% (88, 95)</w:t>
            </w:r>
          </w:p>
        </w:tc>
        <w:tc>
          <w:tcPr>
            <w:tcW w:w="1584" w:type="pct"/>
            <w:tcBorders>
              <w:top w:val="single" w:sz="4" w:space="0" w:color="auto"/>
              <w:left w:val="single" w:sz="4" w:space="0" w:color="auto"/>
              <w:bottom w:val="single" w:sz="4" w:space="0" w:color="auto"/>
              <w:right w:val="single" w:sz="4" w:space="0" w:color="auto"/>
            </w:tcBorders>
            <w:hideMark/>
          </w:tcPr>
          <w:p w14:paraId="3FC8ABD7" w14:textId="77777777" w:rsidR="00652442" w:rsidRPr="00110F7D" w:rsidRDefault="00652442" w:rsidP="00D27234">
            <w:pPr>
              <w:tabs>
                <w:tab w:val="left" w:pos="1304"/>
              </w:tabs>
              <w:kinsoku w:val="0"/>
              <w:overflowPunct w:val="0"/>
              <w:autoSpaceDE w:val="0"/>
              <w:autoSpaceDN w:val="0"/>
              <w:adjustRightInd w:val="0"/>
              <w:ind w:left="293" w:right="289"/>
              <w:jc w:val="center"/>
              <w:rPr>
                <w:sz w:val="24"/>
                <w:szCs w:val="24"/>
                <w:lang w:eastAsia="fr-FR" w:bidi="hi-IN"/>
              </w:rPr>
            </w:pPr>
            <w:r w:rsidRPr="00110F7D">
              <w:rPr>
                <w:sz w:val="24"/>
                <w:szCs w:val="24"/>
                <w:lang w:eastAsia="fr-FR" w:bidi="hi-IN"/>
              </w:rPr>
              <w:t>84% (75, 90)</w:t>
            </w:r>
          </w:p>
        </w:tc>
      </w:tr>
      <w:tr w:rsidR="00652442" w:rsidRPr="00110F7D" w14:paraId="153A6E71" w14:textId="77777777" w:rsidTr="00CC5520">
        <w:trPr>
          <w:trHeight w:val="253"/>
        </w:trPr>
        <w:tc>
          <w:tcPr>
            <w:tcW w:w="1682" w:type="pct"/>
            <w:tcBorders>
              <w:top w:val="single" w:sz="4" w:space="0" w:color="auto"/>
              <w:left w:val="single" w:sz="4" w:space="0" w:color="auto"/>
              <w:bottom w:val="single" w:sz="4" w:space="0" w:color="auto"/>
              <w:right w:val="single" w:sz="4" w:space="0" w:color="auto"/>
            </w:tcBorders>
            <w:hideMark/>
          </w:tcPr>
          <w:p w14:paraId="7CA9B126" w14:textId="77777777" w:rsidR="00652442" w:rsidRPr="00110F7D" w:rsidRDefault="00652442" w:rsidP="00D27234">
            <w:pPr>
              <w:tabs>
                <w:tab w:val="left" w:pos="1304"/>
              </w:tabs>
              <w:kinsoku w:val="0"/>
              <w:overflowPunct w:val="0"/>
              <w:autoSpaceDE w:val="0"/>
              <w:autoSpaceDN w:val="0"/>
              <w:adjustRightInd w:val="0"/>
              <w:ind w:left="107"/>
              <w:rPr>
                <w:sz w:val="24"/>
                <w:szCs w:val="24"/>
                <w:lang w:eastAsia="fr-FR" w:bidi="hi-IN"/>
              </w:rPr>
            </w:pPr>
            <w:r w:rsidRPr="00110F7D">
              <w:rPr>
                <w:sz w:val="24"/>
                <w:szCs w:val="24"/>
                <w:lang w:eastAsia="fr-FR" w:bidi="hi-IN"/>
              </w:rPr>
              <w:t>PPV per-region (95% CI)</w:t>
            </w:r>
          </w:p>
        </w:tc>
        <w:tc>
          <w:tcPr>
            <w:tcW w:w="1734" w:type="pct"/>
            <w:tcBorders>
              <w:top w:val="single" w:sz="4" w:space="0" w:color="auto"/>
              <w:left w:val="single" w:sz="4" w:space="0" w:color="auto"/>
              <w:bottom w:val="single" w:sz="4" w:space="0" w:color="auto"/>
              <w:right w:val="single" w:sz="4" w:space="0" w:color="auto"/>
            </w:tcBorders>
            <w:hideMark/>
          </w:tcPr>
          <w:p w14:paraId="14FDFF9C" w14:textId="77777777" w:rsidR="00652442" w:rsidRPr="00110F7D" w:rsidRDefault="00652442" w:rsidP="00D27234">
            <w:pPr>
              <w:tabs>
                <w:tab w:val="left" w:pos="1304"/>
              </w:tabs>
              <w:kinsoku w:val="0"/>
              <w:overflowPunct w:val="0"/>
              <w:autoSpaceDE w:val="0"/>
              <w:autoSpaceDN w:val="0"/>
              <w:adjustRightInd w:val="0"/>
              <w:ind w:left="377" w:right="372"/>
              <w:jc w:val="center"/>
              <w:rPr>
                <w:sz w:val="24"/>
                <w:szCs w:val="24"/>
                <w:lang w:eastAsia="fr-FR" w:bidi="hi-IN"/>
              </w:rPr>
            </w:pPr>
            <w:r w:rsidRPr="00110F7D">
              <w:rPr>
                <w:sz w:val="24"/>
                <w:szCs w:val="24"/>
                <w:lang w:eastAsia="fr-FR" w:bidi="hi-IN"/>
              </w:rPr>
              <w:t>92% (88, 95)</w:t>
            </w:r>
          </w:p>
        </w:tc>
        <w:tc>
          <w:tcPr>
            <w:tcW w:w="1584" w:type="pct"/>
            <w:tcBorders>
              <w:top w:val="single" w:sz="4" w:space="0" w:color="auto"/>
              <w:left w:val="single" w:sz="4" w:space="0" w:color="auto"/>
              <w:bottom w:val="single" w:sz="4" w:space="0" w:color="auto"/>
              <w:right w:val="single" w:sz="4" w:space="0" w:color="auto"/>
            </w:tcBorders>
            <w:hideMark/>
          </w:tcPr>
          <w:p w14:paraId="6F43C070" w14:textId="77777777" w:rsidR="00652442" w:rsidRPr="00110F7D" w:rsidRDefault="00652442" w:rsidP="00D27234">
            <w:pPr>
              <w:tabs>
                <w:tab w:val="left" w:pos="1304"/>
              </w:tabs>
              <w:kinsoku w:val="0"/>
              <w:overflowPunct w:val="0"/>
              <w:autoSpaceDE w:val="0"/>
              <w:autoSpaceDN w:val="0"/>
              <w:adjustRightInd w:val="0"/>
              <w:ind w:left="293" w:right="289"/>
              <w:jc w:val="center"/>
              <w:rPr>
                <w:sz w:val="24"/>
                <w:szCs w:val="24"/>
                <w:lang w:eastAsia="fr-FR" w:bidi="hi-IN"/>
              </w:rPr>
            </w:pPr>
            <w:r w:rsidRPr="00110F7D">
              <w:rPr>
                <w:sz w:val="24"/>
                <w:szCs w:val="24"/>
                <w:lang w:eastAsia="fr-FR" w:bidi="hi-IN"/>
              </w:rPr>
              <w:t>84% (76, 91)</w:t>
            </w:r>
          </w:p>
        </w:tc>
      </w:tr>
      <w:tr w:rsidR="00652442" w:rsidRPr="00110F7D" w14:paraId="3EE4183A" w14:textId="77777777" w:rsidTr="00CC5520">
        <w:trPr>
          <w:trHeight w:val="230"/>
        </w:trPr>
        <w:tc>
          <w:tcPr>
            <w:tcW w:w="5000" w:type="pct"/>
            <w:gridSpan w:val="3"/>
            <w:tcBorders>
              <w:top w:val="single" w:sz="4" w:space="0" w:color="auto"/>
              <w:left w:val="nil"/>
              <w:bottom w:val="nil"/>
              <w:right w:val="nil"/>
            </w:tcBorders>
            <w:hideMark/>
          </w:tcPr>
          <w:p w14:paraId="7DABB24C" w14:textId="77777777" w:rsidR="00652442" w:rsidRPr="00110F7D" w:rsidRDefault="00652442" w:rsidP="00D27234">
            <w:pPr>
              <w:tabs>
                <w:tab w:val="left" w:pos="1304"/>
              </w:tabs>
              <w:kinsoku w:val="0"/>
              <w:overflowPunct w:val="0"/>
              <w:autoSpaceDE w:val="0"/>
              <w:autoSpaceDN w:val="0"/>
              <w:adjustRightInd w:val="0"/>
              <w:ind w:left="107"/>
              <w:rPr>
                <w:sz w:val="24"/>
                <w:szCs w:val="24"/>
                <w:lang w:eastAsia="fr-FR" w:bidi="hi-IN"/>
              </w:rPr>
            </w:pPr>
            <w:r w:rsidRPr="00110F7D">
              <w:rPr>
                <w:sz w:val="24"/>
                <w:szCs w:val="24"/>
                <w:vertAlign w:val="superscript"/>
                <w:lang w:eastAsia="fr-FR" w:bidi="hi-IN"/>
              </w:rPr>
              <w:t>1</w:t>
            </w:r>
            <w:r w:rsidRPr="00110F7D">
              <w:rPr>
                <w:spacing w:val="80"/>
                <w:w w:val="150"/>
                <w:sz w:val="24"/>
                <w:szCs w:val="24"/>
                <w:lang w:eastAsia="fr-FR" w:bidi="hi-IN"/>
              </w:rPr>
              <w:t xml:space="preserve"> </w:t>
            </w:r>
            <w:proofErr w:type="spellStart"/>
            <w:r w:rsidRPr="00110F7D">
              <w:rPr>
                <w:sz w:val="24"/>
                <w:szCs w:val="24"/>
                <w:lang w:eastAsia="fr-FR" w:bidi="hi-IN"/>
              </w:rPr>
              <w:t>Evaluable</w:t>
            </w:r>
            <w:proofErr w:type="spellEnd"/>
            <w:r w:rsidRPr="00110F7D">
              <w:rPr>
                <w:sz w:val="24"/>
                <w:szCs w:val="24"/>
                <w:lang w:eastAsia="fr-FR" w:bidi="hi-IN"/>
              </w:rPr>
              <w:t xml:space="preserve"> population</w:t>
            </w:r>
          </w:p>
        </w:tc>
      </w:tr>
    </w:tbl>
    <w:p w14:paraId="4F824468" w14:textId="77777777" w:rsidR="00652442" w:rsidRPr="00110F7D" w:rsidRDefault="00652442" w:rsidP="00652442">
      <w:pPr>
        <w:pStyle w:val="paragraph"/>
        <w:spacing w:before="0" w:beforeAutospacing="0" w:after="0" w:afterAutospacing="0"/>
        <w:textAlignment w:val="baseline"/>
        <w:rPr>
          <w:lang w:val="en-GB"/>
        </w:rPr>
      </w:pPr>
    </w:p>
    <w:p w14:paraId="538733BB" w14:textId="77777777" w:rsidR="00652442" w:rsidRPr="00110F7D" w:rsidRDefault="00652442" w:rsidP="00CC5520">
      <w:pPr>
        <w:ind w:left="851"/>
        <w:rPr>
          <w:sz w:val="24"/>
          <w:szCs w:val="24"/>
          <w:lang w:val="en-GB"/>
        </w:rPr>
      </w:pPr>
      <w:r w:rsidRPr="00110F7D">
        <w:rPr>
          <w:sz w:val="24"/>
          <w:szCs w:val="24"/>
          <w:lang w:val="en-GB"/>
        </w:rPr>
        <w:t>Gallium (</w:t>
      </w:r>
      <w:r w:rsidRPr="00110F7D">
        <w:rPr>
          <w:sz w:val="24"/>
          <w:szCs w:val="24"/>
          <w:vertAlign w:val="superscript"/>
          <w:lang w:val="en-GB"/>
        </w:rPr>
        <w:t>68</w:t>
      </w:r>
      <w:r w:rsidRPr="00110F7D">
        <w:rPr>
          <w:sz w:val="24"/>
          <w:szCs w:val="24"/>
          <w:lang w:val="en-GB"/>
        </w:rPr>
        <w:t xml:space="preserve">Ga) </w:t>
      </w:r>
      <w:proofErr w:type="spellStart"/>
      <w:r w:rsidRPr="00110F7D">
        <w:rPr>
          <w:sz w:val="24"/>
          <w:szCs w:val="24"/>
          <w:lang w:val="en-GB"/>
        </w:rPr>
        <w:t>gozetotide</w:t>
      </w:r>
      <w:proofErr w:type="spellEnd"/>
      <w:r w:rsidRPr="00110F7D">
        <w:rPr>
          <w:sz w:val="24"/>
          <w:szCs w:val="24"/>
          <w:lang w:val="en-GB"/>
        </w:rPr>
        <w:t xml:space="preserve"> PET resulted in a relevant impact on patient management in more than half of patients undergoing PET scan for localisation of biochemically recurrent prostate cancer (</w:t>
      </w:r>
      <w:proofErr w:type="spellStart"/>
      <w:r w:rsidRPr="00110F7D">
        <w:rPr>
          <w:sz w:val="24"/>
          <w:szCs w:val="24"/>
          <w:lang w:val="en-GB"/>
        </w:rPr>
        <w:t>Fendler</w:t>
      </w:r>
      <w:proofErr w:type="spellEnd"/>
      <w:r w:rsidRPr="00110F7D">
        <w:rPr>
          <w:sz w:val="24"/>
          <w:szCs w:val="24"/>
          <w:lang w:val="en-GB"/>
        </w:rPr>
        <w:t xml:space="preserve"> et al., 2020).</w:t>
      </w:r>
    </w:p>
    <w:p w14:paraId="04D860A2" w14:textId="77777777" w:rsidR="00652442" w:rsidRPr="00110F7D" w:rsidRDefault="00652442" w:rsidP="00CC5520">
      <w:pPr>
        <w:ind w:left="851"/>
        <w:rPr>
          <w:sz w:val="24"/>
          <w:szCs w:val="24"/>
          <w:lang w:val="en-GB"/>
        </w:rPr>
      </w:pPr>
    </w:p>
    <w:p w14:paraId="7BFFD634" w14:textId="77777777" w:rsidR="00652442" w:rsidRPr="00110F7D" w:rsidRDefault="00652442" w:rsidP="00CC5520">
      <w:pPr>
        <w:ind w:left="851"/>
        <w:rPr>
          <w:b/>
          <w:bCs/>
          <w:sz w:val="24"/>
          <w:szCs w:val="24"/>
          <w:lang w:val="en-GB"/>
        </w:rPr>
      </w:pPr>
      <w:r w:rsidRPr="00110F7D">
        <w:rPr>
          <w:b/>
          <w:bCs/>
          <w:sz w:val="24"/>
          <w:szCs w:val="24"/>
          <w:lang w:val="en-GB"/>
        </w:rPr>
        <w:t xml:space="preserve">Identification of patients with PSMA-positive progressive </w:t>
      </w:r>
      <w:proofErr w:type="spellStart"/>
      <w:r w:rsidRPr="00110F7D">
        <w:rPr>
          <w:b/>
          <w:bCs/>
          <w:sz w:val="24"/>
          <w:szCs w:val="24"/>
          <w:lang w:val="en-GB"/>
        </w:rPr>
        <w:t>mCRPC</w:t>
      </w:r>
      <w:proofErr w:type="spellEnd"/>
      <w:r w:rsidRPr="00110F7D">
        <w:rPr>
          <w:b/>
          <w:bCs/>
          <w:sz w:val="24"/>
          <w:szCs w:val="24"/>
          <w:lang w:val="en-GB"/>
        </w:rPr>
        <w:t xml:space="preserve"> for whom PSMA-targeted therapy is indicated</w:t>
      </w:r>
    </w:p>
    <w:p w14:paraId="20C9814D" w14:textId="77777777" w:rsidR="00652442" w:rsidRPr="00110F7D" w:rsidRDefault="00652442" w:rsidP="00CC5520">
      <w:pPr>
        <w:ind w:left="851"/>
        <w:rPr>
          <w:sz w:val="24"/>
          <w:szCs w:val="24"/>
          <w:u w:val="single"/>
          <w:lang w:val="en-GB"/>
        </w:rPr>
      </w:pPr>
    </w:p>
    <w:p w14:paraId="6D723CEA" w14:textId="77777777" w:rsidR="00652442" w:rsidRPr="00110F7D" w:rsidRDefault="00652442" w:rsidP="00CC5520">
      <w:pPr>
        <w:ind w:left="851"/>
        <w:rPr>
          <w:sz w:val="24"/>
          <w:szCs w:val="24"/>
          <w:lang w:val="en-GB"/>
        </w:rPr>
      </w:pPr>
      <w:r w:rsidRPr="00110F7D">
        <w:rPr>
          <w:sz w:val="24"/>
          <w:szCs w:val="24"/>
          <w:lang w:val="en-GB"/>
        </w:rPr>
        <w:t>VISION study (NCT03511664) was a prospective, randomised, multicentre, open-label Phase III study using gallium (</w:t>
      </w:r>
      <w:r w:rsidRPr="00110F7D">
        <w:rPr>
          <w:sz w:val="24"/>
          <w:szCs w:val="24"/>
          <w:vertAlign w:val="superscript"/>
          <w:lang w:val="en-GB"/>
        </w:rPr>
        <w:t>68</w:t>
      </w:r>
      <w:r w:rsidRPr="00110F7D">
        <w:rPr>
          <w:sz w:val="24"/>
          <w:szCs w:val="24"/>
          <w:lang w:val="en-GB"/>
        </w:rPr>
        <w:t xml:space="preserve">Ga) </w:t>
      </w:r>
      <w:proofErr w:type="spellStart"/>
      <w:r w:rsidRPr="00110F7D">
        <w:rPr>
          <w:sz w:val="24"/>
          <w:szCs w:val="24"/>
          <w:lang w:val="en-GB"/>
        </w:rPr>
        <w:t>gozetotide</w:t>
      </w:r>
      <w:proofErr w:type="spellEnd"/>
      <w:r w:rsidRPr="00110F7D">
        <w:rPr>
          <w:sz w:val="24"/>
          <w:szCs w:val="24"/>
          <w:lang w:val="en-GB"/>
        </w:rPr>
        <w:t xml:space="preserve"> PET scan at screening to evaluate PSMA positivity of 1003 adult male patients with prostate cancer lesions and select patients to therapy with lutetium (</w:t>
      </w:r>
      <w:r w:rsidRPr="00110F7D">
        <w:rPr>
          <w:sz w:val="24"/>
          <w:szCs w:val="24"/>
          <w:vertAlign w:val="superscript"/>
          <w:lang w:val="en-GB"/>
        </w:rPr>
        <w:t>177</w:t>
      </w:r>
      <w:r w:rsidRPr="00110F7D">
        <w:rPr>
          <w:sz w:val="24"/>
          <w:szCs w:val="24"/>
          <w:lang w:val="en-GB"/>
        </w:rPr>
        <w:t xml:space="preserve">Lu) </w:t>
      </w:r>
      <w:proofErr w:type="spellStart"/>
      <w:r w:rsidRPr="00110F7D">
        <w:rPr>
          <w:sz w:val="24"/>
          <w:szCs w:val="24"/>
          <w:lang w:val="en-GB"/>
        </w:rPr>
        <w:t>vipivotide</w:t>
      </w:r>
      <w:proofErr w:type="spellEnd"/>
      <w:r w:rsidRPr="00110F7D">
        <w:rPr>
          <w:sz w:val="24"/>
          <w:szCs w:val="24"/>
          <w:lang w:val="en-GB"/>
        </w:rPr>
        <w:t xml:space="preserve"> tetraxetan. Imaging criteria was that it allowed patients with PSMA-positive </w:t>
      </w:r>
      <w:proofErr w:type="spellStart"/>
      <w:r w:rsidRPr="00110F7D">
        <w:rPr>
          <w:sz w:val="24"/>
          <w:szCs w:val="24"/>
          <w:lang w:val="en-GB"/>
        </w:rPr>
        <w:t>mCRPC</w:t>
      </w:r>
      <w:proofErr w:type="spellEnd"/>
      <w:r w:rsidRPr="00110F7D">
        <w:rPr>
          <w:sz w:val="24"/>
          <w:szCs w:val="24"/>
          <w:lang w:val="en-GB"/>
        </w:rPr>
        <w:t xml:space="preserve"> to receive life-extending therapy on the basis of only one PET scan plus conventional imaging with a central reader defining PSMA positivity on the basis of this single PET scan. Improved overall survival and radiographic progression-free survival were reported in the PSMA-targeted therapy arm.</w:t>
      </w:r>
    </w:p>
    <w:p w14:paraId="5297C3F5" w14:textId="77777777" w:rsidR="00652442" w:rsidRPr="00110F7D" w:rsidRDefault="00652442" w:rsidP="00CC5520">
      <w:pPr>
        <w:ind w:left="851"/>
        <w:rPr>
          <w:sz w:val="24"/>
          <w:szCs w:val="24"/>
          <w:u w:val="single"/>
          <w:lang w:val="en-GB"/>
        </w:rPr>
      </w:pPr>
    </w:p>
    <w:p w14:paraId="23457E06" w14:textId="77777777" w:rsidR="00652442" w:rsidRPr="00110F7D" w:rsidRDefault="00652442" w:rsidP="00CC5520">
      <w:pPr>
        <w:ind w:left="851"/>
        <w:rPr>
          <w:sz w:val="24"/>
          <w:szCs w:val="24"/>
          <w:u w:val="single"/>
          <w:lang w:val="en-US"/>
        </w:rPr>
      </w:pPr>
      <w:r w:rsidRPr="00110F7D">
        <w:rPr>
          <w:sz w:val="24"/>
          <w:szCs w:val="24"/>
          <w:u w:val="single"/>
          <w:lang w:val="en-US"/>
        </w:rPr>
        <w:t>Paediatric population</w:t>
      </w:r>
    </w:p>
    <w:p w14:paraId="3C0074DC" w14:textId="77777777" w:rsidR="00652442" w:rsidRPr="00110F7D" w:rsidRDefault="00652442" w:rsidP="00CC5520">
      <w:pPr>
        <w:ind w:left="851"/>
        <w:rPr>
          <w:sz w:val="24"/>
          <w:szCs w:val="24"/>
          <w:u w:val="single"/>
          <w:lang w:val="en-US"/>
        </w:rPr>
      </w:pPr>
    </w:p>
    <w:p w14:paraId="788FFD1A" w14:textId="77777777" w:rsidR="00652442" w:rsidRPr="00110F7D" w:rsidRDefault="00652442" w:rsidP="00CC5520">
      <w:pPr>
        <w:ind w:left="851"/>
        <w:rPr>
          <w:rStyle w:val="eop"/>
          <w:b/>
          <w:bCs/>
          <w:sz w:val="24"/>
          <w:szCs w:val="24"/>
          <w:lang w:val="en-US"/>
        </w:rPr>
      </w:pPr>
      <w:r w:rsidRPr="00110F7D">
        <w:rPr>
          <w:rFonts w:eastAsia="SimSun"/>
          <w:sz w:val="24"/>
          <w:szCs w:val="24"/>
          <w:lang w:val="en-US"/>
        </w:rPr>
        <w:t xml:space="preserve">The European Medicines Agency has waived the obligation to submit the results of studies with </w:t>
      </w:r>
      <w:proofErr w:type="spellStart"/>
      <w:r w:rsidRPr="00110F7D">
        <w:rPr>
          <w:rFonts w:eastAsia="SimSun"/>
          <w:sz w:val="24"/>
          <w:szCs w:val="24"/>
          <w:lang w:val="en-US"/>
        </w:rPr>
        <w:t>Illuccix</w:t>
      </w:r>
      <w:proofErr w:type="spellEnd"/>
      <w:r w:rsidRPr="00110F7D">
        <w:rPr>
          <w:rFonts w:eastAsia="SimSun"/>
          <w:sz w:val="24"/>
          <w:szCs w:val="24"/>
          <w:lang w:val="en-US"/>
        </w:rPr>
        <w:t xml:space="preserve"> in all subsets of the paediatric population in the </w:t>
      </w:r>
      <w:proofErr w:type="spellStart"/>
      <w:r w:rsidRPr="00110F7D">
        <w:rPr>
          <w:rFonts w:eastAsia="SimSun"/>
          <w:sz w:val="24"/>
          <w:szCs w:val="24"/>
          <w:lang w:val="en-US"/>
        </w:rPr>
        <w:t>visualisation</w:t>
      </w:r>
      <w:proofErr w:type="spellEnd"/>
      <w:r w:rsidRPr="00110F7D">
        <w:rPr>
          <w:rFonts w:eastAsia="SimSun"/>
          <w:sz w:val="24"/>
          <w:szCs w:val="24"/>
          <w:lang w:val="en-US"/>
        </w:rPr>
        <w:t xml:space="preserve"> of prostate specific membrane antigen in prostate cancer</w:t>
      </w:r>
      <w:r w:rsidRPr="00110F7D">
        <w:rPr>
          <w:noProof/>
          <w:sz w:val="24"/>
          <w:szCs w:val="24"/>
          <w:lang w:val="en-US"/>
        </w:rPr>
        <w:t>.</w:t>
      </w:r>
    </w:p>
    <w:p w14:paraId="1989E8B3" w14:textId="77777777" w:rsidR="00114971" w:rsidRPr="00110F7D" w:rsidRDefault="00114971" w:rsidP="00114971">
      <w:pPr>
        <w:tabs>
          <w:tab w:val="left" w:pos="851"/>
        </w:tabs>
        <w:ind w:left="851"/>
        <w:rPr>
          <w:sz w:val="24"/>
          <w:szCs w:val="24"/>
          <w:lang w:val="en-US"/>
        </w:rPr>
      </w:pPr>
    </w:p>
    <w:p w14:paraId="5AB0E2BB" w14:textId="04BB5950" w:rsidR="00114971" w:rsidRPr="00110F7D" w:rsidRDefault="00114971" w:rsidP="00114971">
      <w:pPr>
        <w:tabs>
          <w:tab w:val="left" w:pos="851"/>
        </w:tabs>
        <w:ind w:left="851" w:hanging="851"/>
        <w:rPr>
          <w:b/>
          <w:sz w:val="24"/>
          <w:szCs w:val="24"/>
          <w:lang w:val="en-US"/>
        </w:rPr>
      </w:pPr>
      <w:r w:rsidRPr="00110F7D">
        <w:rPr>
          <w:b/>
          <w:sz w:val="24"/>
          <w:szCs w:val="24"/>
          <w:lang w:val="en-US"/>
        </w:rPr>
        <w:t>5.2</w:t>
      </w:r>
      <w:r w:rsidRPr="00110F7D">
        <w:rPr>
          <w:b/>
          <w:sz w:val="24"/>
          <w:szCs w:val="24"/>
          <w:lang w:val="en-US"/>
        </w:rPr>
        <w:tab/>
        <w:t>Pharmacokinetic properties</w:t>
      </w:r>
    </w:p>
    <w:p w14:paraId="5EF5A090" w14:textId="77777777" w:rsidR="00652442" w:rsidRPr="00110F7D" w:rsidRDefault="00652442" w:rsidP="00CC5520">
      <w:pPr>
        <w:ind w:left="851"/>
        <w:rPr>
          <w:sz w:val="24"/>
          <w:szCs w:val="24"/>
          <w:lang w:val="en-US"/>
        </w:rPr>
      </w:pPr>
      <w:r w:rsidRPr="00110F7D">
        <w:rPr>
          <w:sz w:val="24"/>
          <w:szCs w:val="24"/>
          <w:lang w:val="en-US"/>
        </w:rPr>
        <w:t>Pharmacokinetic properties are derived from blood/plasma and urinary clearance of gallium (</w:t>
      </w:r>
      <w:r w:rsidRPr="00110F7D">
        <w:rPr>
          <w:sz w:val="24"/>
          <w:szCs w:val="24"/>
          <w:vertAlign w:val="superscript"/>
          <w:lang w:val="en-US"/>
        </w:rPr>
        <w:t>68</w:t>
      </w:r>
      <w:r w:rsidRPr="00110F7D">
        <w:rPr>
          <w:sz w:val="24"/>
          <w:szCs w:val="24"/>
          <w:lang w:val="en-US"/>
        </w:rPr>
        <w:t xml:space="preserve">Ga) </w:t>
      </w:r>
      <w:proofErr w:type="spellStart"/>
      <w:r w:rsidRPr="00110F7D">
        <w:rPr>
          <w:sz w:val="24"/>
          <w:szCs w:val="24"/>
          <w:lang w:val="en-US"/>
        </w:rPr>
        <w:t>gozetotide</w:t>
      </w:r>
      <w:proofErr w:type="spellEnd"/>
      <w:r w:rsidRPr="00110F7D">
        <w:rPr>
          <w:sz w:val="24"/>
          <w:szCs w:val="24"/>
          <w:lang w:val="en-US"/>
        </w:rPr>
        <w:t xml:space="preserve"> from a single clinical study (Jamar, et al., 2016) in 3 subjects.</w:t>
      </w:r>
    </w:p>
    <w:p w14:paraId="101D8BC2" w14:textId="77777777" w:rsidR="00652442" w:rsidRPr="00110F7D" w:rsidRDefault="00652442" w:rsidP="00CC5520">
      <w:pPr>
        <w:ind w:left="851"/>
        <w:rPr>
          <w:sz w:val="24"/>
          <w:szCs w:val="24"/>
          <w:lang w:val="en-US"/>
        </w:rPr>
      </w:pPr>
    </w:p>
    <w:p w14:paraId="588743FA" w14:textId="77777777" w:rsidR="00652442" w:rsidRPr="00110F7D" w:rsidRDefault="00652442" w:rsidP="00CC5520">
      <w:pPr>
        <w:ind w:left="851"/>
        <w:rPr>
          <w:sz w:val="24"/>
          <w:szCs w:val="24"/>
          <w:u w:val="single"/>
          <w:lang w:val="en-US"/>
        </w:rPr>
      </w:pPr>
      <w:r w:rsidRPr="00110F7D">
        <w:rPr>
          <w:sz w:val="24"/>
          <w:szCs w:val="24"/>
          <w:u w:val="single"/>
          <w:lang w:val="en-US"/>
        </w:rPr>
        <w:t>Distribution</w:t>
      </w:r>
    </w:p>
    <w:p w14:paraId="5847B7FE" w14:textId="77777777" w:rsidR="00652442" w:rsidRPr="00110F7D" w:rsidRDefault="00652442" w:rsidP="00CC5520">
      <w:pPr>
        <w:ind w:left="851"/>
        <w:rPr>
          <w:sz w:val="24"/>
          <w:szCs w:val="24"/>
          <w:u w:val="single"/>
          <w:lang w:val="en-US"/>
        </w:rPr>
      </w:pPr>
    </w:p>
    <w:p w14:paraId="526A73DF" w14:textId="77777777" w:rsidR="00652442" w:rsidRPr="00110F7D" w:rsidRDefault="00652442" w:rsidP="00CC5520">
      <w:pPr>
        <w:ind w:left="851"/>
        <w:rPr>
          <w:rFonts w:eastAsia="SimSun"/>
          <w:sz w:val="24"/>
          <w:szCs w:val="24"/>
          <w:lang w:val="en-US"/>
        </w:rPr>
      </w:pPr>
      <w:r w:rsidRPr="00110F7D">
        <w:rPr>
          <w:sz w:val="24"/>
          <w:szCs w:val="24"/>
          <w:shd w:val="clear" w:color="auto" w:fill="FFFFFF"/>
          <w:lang w:val="en-US"/>
        </w:rPr>
        <w:t>Gallium (</w:t>
      </w:r>
      <w:r w:rsidRPr="00110F7D">
        <w:rPr>
          <w:sz w:val="24"/>
          <w:szCs w:val="24"/>
          <w:vertAlign w:val="superscript"/>
          <w:lang w:val="en-US"/>
        </w:rPr>
        <w:t>68</w:t>
      </w:r>
      <w:r w:rsidRPr="00110F7D">
        <w:rPr>
          <w:sz w:val="24"/>
          <w:szCs w:val="24"/>
          <w:shd w:val="clear" w:color="auto" w:fill="FFFFFF"/>
          <w:lang w:val="en-US"/>
        </w:rPr>
        <w:t xml:space="preserve">Ga) </w:t>
      </w:r>
      <w:proofErr w:type="spellStart"/>
      <w:r w:rsidRPr="00110F7D">
        <w:rPr>
          <w:sz w:val="24"/>
          <w:szCs w:val="24"/>
          <w:shd w:val="clear" w:color="auto" w:fill="FFFFFF"/>
          <w:lang w:val="en-US"/>
        </w:rPr>
        <w:t>gozetotide</w:t>
      </w:r>
      <w:proofErr w:type="spellEnd"/>
      <w:r w:rsidRPr="00110F7D">
        <w:rPr>
          <w:sz w:val="24"/>
          <w:szCs w:val="24"/>
          <w:shd w:val="clear" w:color="auto" w:fill="FFFFFF"/>
          <w:lang w:val="en-US"/>
        </w:rPr>
        <w:t xml:space="preserve"> </w:t>
      </w:r>
      <w:r w:rsidRPr="00110F7D">
        <w:rPr>
          <w:rFonts w:eastAsia="SimSun"/>
          <w:sz w:val="24"/>
          <w:szCs w:val="24"/>
          <w:lang w:val="en-US"/>
        </w:rPr>
        <w:t>biodistribution in normal organs is relatively rapid, which accounts for the recommended 60 min interval (acceptable range 50 to 100 min) for uptake time between injection of the tracer and PET imaging.</w:t>
      </w:r>
    </w:p>
    <w:p w14:paraId="58EC21BB" w14:textId="77777777" w:rsidR="00652442" w:rsidRPr="00110F7D" w:rsidRDefault="00652442" w:rsidP="00CC5520">
      <w:pPr>
        <w:ind w:left="851"/>
        <w:rPr>
          <w:sz w:val="24"/>
          <w:szCs w:val="24"/>
          <w:lang w:val="en-US"/>
        </w:rPr>
      </w:pPr>
    </w:p>
    <w:p w14:paraId="75D6D61A" w14:textId="77777777" w:rsidR="00652442" w:rsidRPr="00110F7D" w:rsidRDefault="00652442" w:rsidP="00CC5520">
      <w:pPr>
        <w:ind w:left="851"/>
        <w:rPr>
          <w:sz w:val="24"/>
          <w:szCs w:val="24"/>
          <w:u w:val="single"/>
          <w:lang w:val="en-US"/>
        </w:rPr>
      </w:pPr>
      <w:r w:rsidRPr="00110F7D">
        <w:rPr>
          <w:sz w:val="24"/>
          <w:szCs w:val="24"/>
          <w:u w:val="single"/>
          <w:lang w:val="en-US"/>
        </w:rPr>
        <w:t>Organ uptake</w:t>
      </w:r>
    </w:p>
    <w:p w14:paraId="4DE0951C" w14:textId="77777777" w:rsidR="00652442" w:rsidRPr="00110F7D" w:rsidRDefault="00652442" w:rsidP="00CC5520">
      <w:pPr>
        <w:ind w:left="851"/>
        <w:rPr>
          <w:sz w:val="24"/>
          <w:szCs w:val="24"/>
          <w:lang w:val="en-US"/>
        </w:rPr>
      </w:pPr>
    </w:p>
    <w:p w14:paraId="3BC54224" w14:textId="77777777" w:rsidR="00652442" w:rsidRPr="00110F7D" w:rsidRDefault="00652442" w:rsidP="00CC5520">
      <w:pPr>
        <w:ind w:left="851"/>
        <w:rPr>
          <w:rFonts w:eastAsia="SimSun"/>
          <w:sz w:val="24"/>
          <w:szCs w:val="24"/>
          <w:lang w:val="en-US"/>
        </w:rPr>
      </w:pPr>
      <w:r w:rsidRPr="00110F7D">
        <w:rPr>
          <w:sz w:val="24"/>
          <w:szCs w:val="24"/>
          <w:lang w:val="en-US"/>
        </w:rPr>
        <w:t>Gallium (</w:t>
      </w:r>
      <w:r w:rsidRPr="00110F7D">
        <w:rPr>
          <w:sz w:val="24"/>
          <w:szCs w:val="24"/>
          <w:vertAlign w:val="superscript"/>
          <w:lang w:val="en-US"/>
        </w:rPr>
        <w:t>68</w:t>
      </w:r>
      <w:r w:rsidRPr="00110F7D">
        <w:rPr>
          <w:rFonts w:eastAsia="SimSun"/>
          <w:sz w:val="24"/>
          <w:szCs w:val="24"/>
          <w:lang w:val="en-US"/>
        </w:rPr>
        <w:t xml:space="preserve">Ga) </w:t>
      </w:r>
      <w:proofErr w:type="spellStart"/>
      <w:r w:rsidRPr="00110F7D">
        <w:rPr>
          <w:rFonts w:eastAsia="SimSun"/>
          <w:sz w:val="24"/>
          <w:szCs w:val="24"/>
          <w:lang w:val="en-US"/>
        </w:rPr>
        <w:t>gozetotide</w:t>
      </w:r>
      <w:proofErr w:type="spellEnd"/>
      <w:r w:rsidRPr="00110F7D">
        <w:rPr>
          <w:rFonts w:eastAsia="SimSun"/>
          <w:sz w:val="24"/>
          <w:szCs w:val="24"/>
          <w:lang w:val="en-US"/>
        </w:rPr>
        <w:t xml:space="preserve"> is preferentially taken up into prostate cancer cells with overexpressed PSMA. Significant off-target tissue uptake was highest for the kidneys, urinary bladder wall, lacrimal glands, salivary glands, small bowel, spleen and liver with </w:t>
      </w:r>
      <w:r w:rsidRPr="00110F7D">
        <w:rPr>
          <w:rFonts w:eastAsia="SimSun"/>
          <w:sz w:val="24"/>
          <w:szCs w:val="24"/>
          <w:lang w:val="en-US"/>
        </w:rPr>
        <w:lastRenderedPageBreak/>
        <w:t xml:space="preserve">mean absorbed doses between 0.456 and 0.022 </w:t>
      </w:r>
      <w:proofErr w:type="spellStart"/>
      <w:r w:rsidRPr="00110F7D">
        <w:rPr>
          <w:rFonts w:eastAsia="SimSun"/>
          <w:sz w:val="24"/>
          <w:szCs w:val="24"/>
          <w:lang w:val="en-US"/>
        </w:rPr>
        <w:t>mGy</w:t>
      </w:r>
      <w:proofErr w:type="spellEnd"/>
      <w:r w:rsidRPr="00110F7D">
        <w:rPr>
          <w:rFonts w:eastAsia="SimSun"/>
          <w:sz w:val="24"/>
          <w:szCs w:val="24"/>
          <w:lang w:val="en-US"/>
        </w:rPr>
        <w:t>/</w:t>
      </w:r>
      <w:proofErr w:type="spellStart"/>
      <w:r w:rsidRPr="00110F7D">
        <w:rPr>
          <w:rFonts w:eastAsia="SimSun"/>
          <w:sz w:val="24"/>
          <w:szCs w:val="24"/>
          <w:lang w:val="en-US"/>
        </w:rPr>
        <w:t>MBq</w:t>
      </w:r>
      <w:proofErr w:type="spellEnd"/>
      <w:r w:rsidRPr="00110F7D">
        <w:rPr>
          <w:rFonts w:eastAsia="SimSun"/>
          <w:sz w:val="24"/>
          <w:szCs w:val="24"/>
          <w:lang w:val="en-US"/>
        </w:rPr>
        <w:t xml:space="preserve"> in decreasing order, with the first 2 organs indicating that the primary route of excretion is via the urinary tract.</w:t>
      </w:r>
    </w:p>
    <w:p w14:paraId="1987394B" w14:textId="77777777" w:rsidR="00652442" w:rsidRPr="00110F7D" w:rsidRDefault="00652442" w:rsidP="00CC5520">
      <w:pPr>
        <w:ind w:left="851"/>
        <w:rPr>
          <w:strike/>
          <w:sz w:val="24"/>
          <w:szCs w:val="24"/>
          <w:lang w:val="en-US"/>
        </w:rPr>
      </w:pPr>
    </w:p>
    <w:p w14:paraId="73ADC065" w14:textId="77777777" w:rsidR="00652442" w:rsidRPr="00110F7D" w:rsidRDefault="00652442" w:rsidP="00CC5520">
      <w:pPr>
        <w:ind w:left="851"/>
        <w:rPr>
          <w:sz w:val="24"/>
          <w:szCs w:val="24"/>
          <w:u w:val="single"/>
          <w:lang w:val="en-US"/>
        </w:rPr>
      </w:pPr>
      <w:r w:rsidRPr="00110F7D">
        <w:rPr>
          <w:sz w:val="24"/>
          <w:szCs w:val="24"/>
          <w:u w:val="single"/>
          <w:lang w:val="en-US"/>
        </w:rPr>
        <w:t>Biotransformation</w:t>
      </w:r>
    </w:p>
    <w:p w14:paraId="6BBACDD6" w14:textId="77777777" w:rsidR="00652442" w:rsidRPr="00110F7D" w:rsidRDefault="00652442" w:rsidP="00CC5520">
      <w:pPr>
        <w:ind w:left="851"/>
        <w:rPr>
          <w:sz w:val="24"/>
          <w:szCs w:val="24"/>
          <w:lang w:val="en-US"/>
        </w:rPr>
      </w:pPr>
      <w:r w:rsidRPr="00110F7D">
        <w:rPr>
          <w:sz w:val="24"/>
          <w:szCs w:val="24"/>
          <w:lang w:val="en-US"/>
        </w:rPr>
        <w:t xml:space="preserve">Based on </w:t>
      </w:r>
      <w:r w:rsidRPr="00110F7D">
        <w:rPr>
          <w:i/>
          <w:iCs/>
          <w:sz w:val="24"/>
          <w:szCs w:val="24"/>
          <w:lang w:val="en-US"/>
        </w:rPr>
        <w:t>in vitro</w:t>
      </w:r>
      <w:r w:rsidRPr="00110F7D">
        <w:rPr>
          <w:sz w:val="24"/>
          <w:szCs w:val="24"/>
          <w:lang w:val="en-US"/>
        </w:rPr>
        <w:t xml:space="preserve"> data, gallium (</w:t>
      </w:r>
      <w:r w:rsidRPr="00110F7D">
        <w:rPr>
          <w:sz w:val="24"/>
          <w:szCs w:val="24"/>
          <w:vertAlign w:val="superscript"/>
          <w:lang w:val="en-US"/>
        </w:rPr>
        <w:t>68</w:t>
      </w:r>
      <w:r w:rsidRPr="00110F7D">
        <w:rPr>
          <w:sz w:val="24"/>
          <w:szCs w:val="24"/>
          <w:lang w:val="en-US"/>
        </w:rPr>
        <w:t xml:space="preserve">Ga) </w:t>
      </w:r>
      <w:proofErr w:type="spellStart"/>
      <w:r w:rsidRPr="00110F7D">
        <w:rPr>
          <w:sz w:val="24"/>
          <w:szCs w:val="24"/>
          <w:lang w:val="en-US"/>
        </w:rPr>
        <w:t>gozetotide</w:t>
      </w:r>
      <w:proofErr w:type="spellEnd"/>
      <w:r w:rsidRPr="00110F7D">
        <w:rPr>
          <w:sz w:val="24"/>
          <w:szCs w:val="24"/>
          <w:lang w:val="en-US"/>
        </w:rPr>
        <w:t xml:space="preserve"> undergoes negligible hepatic and renal metabolism.</w:t>
      </w:r>
    </w:p>
    <w:p w14:paraId="7877815A" w14:textId="77777777" w:rsidR="00652442" w:rsidRPr="00110F7D" w:rsidRDefault="00652442" w:rsidP="00CC5520">
      <w:pPr>
        <w:ind w:left="851"/>
        <w:rPr>
          <w:strike/>
          <w:sz w:val="24"/>
          <w:szCs w:val="24"/>
          <w:lang w:val="en-US"/>
        </w:rPr>
      </w:pPr>
    </w:p>
    <w:p w14:paraId="1BAA4838" w14:textId="77777777" w:rsidR="00652442" w:rsidRPr="00110F7D" w:rsidRDefault="00652442" w:rsidP="00CC5520">
      <w:pPr>
        <w:ind w:left="851"/>
        <w:rPr>
          <w:sz w:val="24"/>
          <w:szCs w:val="24"/>
          <w:u w:val="single"/>
          <w:lang w:val="en-US"/>
        </w:rPr>
      </w:pPr>
      <w:r w:rsidRPr="00110F7D">
        <w:rPr>
          <w:sz w:val="24"/>
          <w:szCs w:val="24"/>
          <w:u w:val="single"/>
          <w:lang w:val="en-US"/>
        </w:rPr>
        <w:t>Elimination</w:t>
      </w:r>
    </w:p>
    <w:p w14:paraId="6EA13CD2" w14:textId="77777777" w:rsidR="00652442" w:rsidRPr="00110F7D" w:rsidRDefault="00652442" w:rsidP="00CC5520">
      <w:pPr>
        <w:ind w:left="851"/>
        <w:rPr>
          <w:rFonts w:eastAsia="SimSun"/>
          <w:sz w:val="24"/>
          <w:szCs w:val="24"/>
          <w:lang w:val="en-US"/>
        </w:rPr>
      </w:pPr>
    </w:p>
    <w:p w14:paraId="3AA73222" w14:textId="77777777" w:rsidR="00652442" w:rsidRPr="00110F7D" w:rsidRDefault="00652442" w:rsidP="00CC5520">
      <w:pPr>
        <w:ind w:left="851"/>
        <w:rPr>
          <w:rFonts w:eastAsia="SimSun"/>
          <w:sz w:val="24"/>
          <w:szCs w:val="24"/>
          <w:lang w:val="en-US"/>
        </w:rPr>
      </w:pPr>
      <w:r w:rsidRPr="00110F7D">
        <w:rPr>
          <w:rFonts w:eastAsia="SimSun"/>
          <w:sz w:val="24"/>
          <w:szCs w:val="24"/>
          <w:lang w:val="en-US"/>
        </w:rPr>
        <w:t>Renal uptake of gallium (</w:t>
      </w:r>
      <w:r w:rsidRPr="00110F7D">
        <w:rPr>
          <w:sz w:val="24"/>
          <w:szCs w:val="24"/>
          <w:vertAlign w:val="superscript"/>
          <w:lang w:val="en-US"/>
        </w:rPr>
        <w:t>68</w:t>
      </w:r>
      <w:r w:rsidRPr="00110F7D">
        <w:rPr>
          <w:rFonts w:eastAsia="SimSun"/>
          <w:sz w:val="24"/>
          <w:szCs w:val="24"/>
          <w:lang w:val="en-US"/>
        </w:rPr>
        <w:t xml:space="preserve">Ga) </w:t>
      </w:r>
      <w:proofErr w:type="spellStart"/>
      <w:r w:rsidRPr="00110F7D">
        <w:rPr>
          <w:rFonts w:eastAsia="SimSun"/>
          <w:sz w:val="24"/>
          <w:szCs w:val="24"/>
          <w:lang w:val="en-US"/>
        </w:rPr>
        <w:t>gozetotide</w:t>
      </w:r>
      <w:proofErr w:type="spellEnd"/>
      <w:r w:rsidRPr="00110F7D">
        <w:rPr>
          <w:rFonts w:eastAsia="SimSun"/>
          <w:sz w:val="24"/>
          <w:szCs w:val="24"/>
          <w:lang w:val="en-US"/>
        </w:rPr>
        <w:t xml:space="preserve"> indicated the route of excretion of the radiotracer via the renal pathway. </w:t>
      </w:r>
      <w:r w:rsidRPr="00110F7D">
        <w:rPr>
          <w:sz w:val="24"/>
          <w:szCs w:val="24"/>
          <w:lang w:val="en-US"/>
        </w:rPr>
        <w:t>About 43% of the activity of gallium (</w:t>
      </w:r>
      <w:r w:rsidRPr="00110F7D">
        <w:rPr>
          <w:sz w:val="24"/>
          <w:szCs w:val="24"/>
          <w:vertAlign w:val="superscript"/>
          <w:lang w:val="en-US"/>
        </w:rPr>
        <w:t>68</w:t>
      </w:r>
      <w:r w:rsidRPr="00110F7D">
        <w:rPr>
          <w:rStyle w:val="normaltextrun"/>
          <w:sz w:val="24"/>
          <w:szCs w:val="24"/>
          <w:shd w:val="clear" w:color="auto" w:fill="FFFFFF"/>
          <w:lang w:val="en-US"/>
        </w:rPr>
        <w:t xml:space="preserve">Ga) </w:t>
      </w:r>
      <w:proofErr w:type="spellStart"/>
      <w:r w:rsidRPr="00110F7D">
        <w:rPr>
          <w:rStyle w:val="normaltextrun"/>
          <w:sz w:val="24"/>
          <w:szCs w:val="24"/>
          <w:shd w:val="clear" w:color="auto" w:fill="FFFFFF"/>
          <w:lang w:val="en-US"/>
        </w:rPr>
        <w:t>gozetotide</w:t>
      </w:r>
      <w:proofErr w:type="spellEnd"/>
      <w:r w:rsidRPr="00110F7D">
        <w:rPr>
          <w:rStyle w:val="normaltextrun"/>
          <w:sz w:val="24"/>
          <w:szCs w:val="24"/>
          <w:shd w:val="clear" w:color="auto" w:fill="FFFFFF"/>
          <w:lang w:val="en-US"/>
        </w:rPr>
        <w:t xml:space="preserve"> </w:t>
      </w:r>
      <w:r w:rsidRPr="00110F7D">
        <w:rPr>
          <w:sz w:val="24"/>
          <w:szCs w:val="24"/>
          <w:lang w:val="en-US"/>
        </w:rPr>
        <w:t>is eliminated from the body by urine within 3 hours post-injection.</w:t>
      </w:r>
    </w:p>
    <w:p w14:paraId="3B3B2748" w14:textId="77777777" w:rsidR="00652442" w:rsidRPr="00110F7D" w:rsidRDefault="00652442" w:rsidP="00CC5520">
      <w:pPr>
        <w:ind w:left="851"/>
        <w:rPr>
          <w:sz w:val="24"/>
          <w:szCs w:val="24"/>
          <w:lang w:val="en-US"/>
        </w:rPr>
      </w:pPr>
    </w:p>
    <w:p w14:paraId="675EC255" w14:textId="77777777" w:rsidR="00652442" w:rsidRPr="00110F7D" w:rsidRDefault="00652442" w:rsidP="00CC5520">
      <w:pPr>
        <w:ind w:left="851"/>
        <w:rPr>
          <w:sz w:val="24"/>
          <w:szCs w:val="24"/>
          <w:u w:val="single"/>
          <w:lang w:val="en-US"/>
        </w:rPr>
      </w:pPr>
      <w:r w:rsidRPr="00110F7D">
        <w:rPr>
          <w:sz w:val="24"/>
          <w:szCs w:val="24"/>
          <w:u w:val="single"/>
          <w:lang w:val="en-US"/>
        </w:rPr>
        <w:t>Half-life</w:t>
      </w:r>
    </w:p>
    <w:p w14:paraId="3952142A" w14:textId="77777777" w:rsidR="00652442" w:rsidRPr="00110F7D" w:rsidRDefault="00652442" w:rsidP="00CC5520">
      <w:pPr>
        <w:ind w:left="851"/>
        <w:rPr>
          <w:sz w:val="24"/>
          <w:szCs w:val="24"/>
          <w:lang w:val="en-US"/>
        </w:rPr>
      </w:pPr>
    </w:p>
    <w:p w14:paraId="1CDC6E92" w14:textId="77777777" w:rsidR="00652442" w:rsidRPr="00110F7D" w:rsidRDefault="00652442" w:rsidP="00CC5520">
      <w:pPr>
        <w:ind w:left="851"/>
        <w:rPr>
          <w:sz w:val="24"/>
          <w:szCs w:val="24"/>
          <w:lang w:val="en-US"/>
        </w:rPr>
      </w:pPr>
      <w:r w:rsidRPr="00110F7D">
        <w:rPr>
          <w:sz w:val="24"/>
          <w:szCs w:val="24"/>
          <w:lang w:val="en-US"/>
        </w:rPr>
        <w:t>Based on the gallium (</w:t>
      </w:r>
      <w:r w:rsidRPr="00110F7D">
        <w:rPr>
          <w:sz w:val="24"/>
          <w:szCs w:val="24"/>
          <w:vertAlign w:val="superscript"/>
          <w:lang w:val="en-US"/>
        </w:rPr>
        <w:t>68</w:t>
      </w:r>
      <w:r w:rsidRPr="00110F7D">
        <w:rPr>
          <w:sz w:val="24"/>
          <w:szCs w:val="24"/>
          <w:lang w:val="en-US"/>
        </w:rPr>
        <w:t xml:space="preserve">Ga) </w:t>
      </w:r>
      <w:proofErr w:type="spellStart"/>
      <w:r w:rsidRPr="00110F7D">
        <w:rPr>
          <w:sz w:val="24"/>
          <w:szCs w:val="24"/>
          <w:lang w:val="en-US"/>
        </w:rPr>
        <w:t>gozetotide</w:t>
      </w:r>
      <w:proofErr w:type="spellEnd"/>
      <w:r w:rsidRPr="00110F7D">
        <w:rPr>
          <w:sz w:val="24"/>
          <w:szCs w:val="24"/>
          <w:lang w:val="en-US"/>
        </w:rPr>
        <w:t xml:space="preserve"> biological and terminal half-life in blood of 4.4 h and on the gallium-68 physical half-life of 68 minutes, the resulting gallium (</w:t>
      </w:r>
      <w:r w:rsidRPr="00110F7D">
        <w:rPr>
          <w:sz w:val="24"/>
          <w:szCs w:val="24"/>
          <w:vertAlign w:val="superscript"/>
          <w:lang w:val="en-US"/>
        </w:rPr>
        <w:t>68</w:t>
      </w:r>
      <w:r w:rsidRPr="00110F7D">
        <w:rPr>
          <w:sz w:val="24"/>
          <w:szCs w:val="24"/>
          <w:lang w:val="en-US"/>
        </w:rPr>
        <w:t xml:space="preserve">Ga) </w:t>
      </w:r>
      <w:proofErr w:type="spellStart"/>
      <w:r w:rsidRPr="00110F7D">
        <w:rPr>
          <w:sz w:val="24"/>
          <w:szCs w:val="24"/>
          <w:lang w:val="en-US"/>
        </w:rPr>
        <w:t>gozetotide</w:t>
      </w:r>
      <w:proofErr w:type="spellEnd"/>
      <w:r w:rsidRPr="00110F7D">
        <w:rPr>
          <w:sz w:val="24"/>
          <w:szCs w:val="24"/>
          <w:lang w:val="en-US"/>
        </w:rPr>
        <w:t xml:space="preserve"> effective half-life is 54 minutes.</w:t>
      </w:r>
    </w:p>
    <w:p w14:paraId="4F8A8C50" w14:textId="77777777" w:rsidR="00652442" w:rsidRPr="00110F7D" w:rsidRDefault="00652442" w:rsidP="00CC5520">
      <w:pPr>
        <w:ind w:left="851"/>
        <w:rPr>
          <w:sz w:val="24"/>
          <w:szCs w:val="24"/>
          <w:lang w:val="en-US"/>
        </w:rPr>
      </w:pPr>
    </w:p>
    <w:p w14:paraId="1135B886" w14:textId="77777777" w:rsidR="00652442" w:rsidRPr="00110F7D" w:rsidRDefault="00652442" w:rsidP="00CC5520">
      <w:pPr>
        <w:ind w:left="851"/>
        <w:rPr>
          <w:sz w:val="24"/>
          <w:szCs w:val="24"/>
          <w:u w:val="single"/>
          <w:lang w:val="en-US"/>
        </w:rPr>
      </w:pPr>
      <w:r w:rsidRPr="00110F7D">
        <w:rPr>
          <w:sz w:val="24"/>
          <w:szCs w:val="24"/>
          <w:u w:val="single"/>
          <w:lang w:val="en-US"/>
        </w:rPr>
        <w:t>Renal/Hepatic impairment</w:t>
      </w:r>
    </w:p>
    <w:p w14:paraId="54F4AFE4" w14:textId="77777777" w:rsidR="00652442" w:rsidRPr="00110F7D" w:rsidRDefault="00652442" w:rsidP="00CC5520">
      <w:pPr>
        <w:ind w:left="851"/>
        <w:rPr>
          <w:sz w:val="24"/>
          <w:szCs w:val="24"/>
          <w:lang w:val="en-US"/>
        </w:rPr>
      </w:pPr>
    </w:p>
    <w:p w14:paraId="4A0C950B" w14:textId="77777777" w:rsidR="00652442" w:rsidRPr="00110F7D" w:rsidRDefault="00652442" w:rsidP="00CC5520">
      <w:pPr>
        <w:ind w:left="851"/>
        <w:rPr>
          <w:sz w:val="24"/>
          <w:szCs w:val="24"/>
          <w:lang w:val="en-US"/>
        </w:rPr>
      </w:pPr>
      <w:r w:rsidRPr="00110F7D">
        <w:rPr>
          <w:sz w:val="24"/>
          <w:szCs w:val="24"/>
          <w:lang w:val="en-US"/>
        </w:rPr>
        <w:t xml:space="preserve">The pharmacokinetics in patients with renal or hepatic impairment have not been </w:t>
      </w:r>
      <w:proofErr w:type="spellStart"/>
      <w:r w:rsidRPr="00110F7D">
        <w:rPr>
          <w:sz w:val="24"/>
          <w:szCs w:val="24"/>
          <w:lang w:val="en-US"/>
        </w:rPr>
        <w:t>characterised</w:t>
      </w:r>
      <w:proofErr w:type="spellEnd"/>
      <w:r w:rsidRPr="00110F7D">
        <w:rPr>
          <w:sz w:val="24"/>
          <w:szCs w:val="24"/>
          <w:lang w:val="en-US"/>
        </w:rPr>
        <w:t>. However, gallium (</w:t>
      </w:r>
      <w:r w:rsidRPr="00110F7D">
        <w:rPr>
          <w:sz w:val="24"/>
          <w:szCs w:val="24"/>
          <w:vertAlign w:val="superscript"/>
          <w:lang w:val="en-US"/>
        </w:rPr>
        <w:t>68</w:t>
      </w:r>
      <w:r w:rsidRPr="00110F7D">
        <w:rPr>
          <w:sz w:val="24"/>
          <w:szCs w:val="24"/>
          <w:lang w:val="en-US"/>
        </w:rPr>
        <w:t xml:space="preserve">Ga) </w:t>
      </w:r>
      <w:proofErr w:type="spellStart"/>
      <w:r w:rsidRPr="00110F7D">
        <w:rPr>
          <w:sz w:val="24"/>
          <w:szCs w:val="24"/>
          <w:lang w:val="en-US"/>
        </w:rPr>
        <w:t>gozetotide</w:t>
      </w:r>
      <w:proofErr w:type="spellEnd"/>
      <w:r w:rsidRPr="00110F7D">
        <w:rPr>
          <w:sz w:val="24"/>
          <w:szCs w:val="24"/>
          <w:lang w:val="en-US"/>
        </w:rPr>
        <w:t xml:space="preserve"> pharmacokinetics are not expected to be affected by renal or hepatic impairment to any clinically relevant extent (see section 4.2).</w:t>
      </w:r>
    </w:p>
    <w:p w14:paraId="789E9BA3" w14:textId="77777777" w:rsidR="00114971" w:rsidRPr="00110F7D" w:rsidRDefault="00114971" w:rsidP="00114971">
      <w:pPr>
        <w:tabs>
          <w:tab w:val="left" w:pos="851"/>
        </w:tabs>
        <w:ind w:left="851"/>
        <w:rPr>
          <w:sz w:val="24"/>
          <w:szCs w:val="24"/>
          <w:lang w:val="en-US"/>
        </w:rPr>
      </w:pPr>
    </w:p>
    <w:p w14:paraId="77C5A2DD" w14:textId="77777777" w:rsidR="00114971" w:rsidRPr="00110F7D" w:rsidRDefault="00114971" w:rsidP="00114971">
      <w:pPr>
        <w:tabs>
          <w:tab w:val="left" w:pos="851"/>
        </w:tabs>
        <w:ind w:left="851" w:hanging="851"/>
        <w:rPr>
          <w:b/>
          <w:sz w:val="24"/>
          <w:szCs w:val="24"/>
          <w:lang w:val="en-US"/>
        </w:rPr>
      </w:pPr>
      <w:r w:rsidRPr="00110F7D">
        <w:rPr>
          <w:b/>
          <w:sz w:val="24"/>
          <w:szCs w:val="24"/>
          <w:lang w:val="en-US"/>
        </w:rPr>
        <w:t>5.3</w:t>
      </w:r>
      <w:r w:rsidRPr="00110F7D">
        <w:rPr>
          <w:b/>
          <w:sz w:val="24"/>
          <w:szCs w:val="24"/>
          <w:lang w:val="en-US"/>
        </w:rPr>
        <w:tab/>
        <w:t>Preclinical safety data</w:t>
      </w:r>
    </w:p>
    <w:p w14:paraId="791F7614" w14:textId="77777777" w:rsidR="00652442" w:rsidRPr="00110F7D" w:rsidRDefault="00652442" w:rsidP="00CC5520">
      <w:pPr>
        <w:ind w:left="851"/>
        <w:rPr>
          <w:sz w:val="24"/>
          <w:szCs w:val="24"/>
          <w:lang w:val="en-US"/>
        </w:rPr>
      </w:pPr>
      <w:r w:rsidRPr="00110F7D">
        <w:rPr>
          <w:sz w:val="24"/>
          <w:szCs w:val="24"/>
          <w:lang w:val="en-US"/>
        </w:rPr>
        <w:t xml:space="preserve">A toxicological study in rats has demonstrated that with a single intravenous injection of 86 µg </w:t>
      </w:r>
      <w:proofErr w:type="spellStart"/>
      <w:r w:rsidRPr="00110F7D">
        <w:rPr>
          <w:sz w:val="24"/>
          <w:szCs w:val="24"/>
          <w:lang w:val="en-US"/>
        </w:rPr>
        <w:t>gozetotide</w:t>
      </w:r>
      <w:proofErr w:type="spellEnd"/>
      <w:r w:rsidRPr="00110F7D">
        <w:rPr>
          <w:sz w:val="24"/>
          <w:szCs w:val="24"/>
          <w:lang w:val="en-US"/>
        </w:rPr>
        <w:t xml:space="preserve"> per kg body weight no adverse effects were observed. Based on the highest anticipated clinical dose of 25 </w:t>
      </w:r>
      <w:r w:rsidRPr="00110F7D">
        <w:rPr>
          <w:sz w:val="24"/>
          <w:szCs w:val="24"/>
        </w:rPr>
        <w:t>μ</w:t>
      </w:r>
      <w:r w:rsidRPr="00110F7D">
        <w:rPr>
          <w:sz w:val="24"/>
          <w:szCs w:val="24"/>
          <w:lang w:val="en-US"/>
        </w:rPr>
        <w:t xml:space="preserve">g </w:t>
      </w:r>
      <w:proofErr w:type="spellStart"/>
      <w:r w:rsidRPr="00110F7D">
        <w:rPr>
          <w:sz w:val="24"/>
          <w:szCs w:val="24"/>
          <w:lang w:val="en-US"/>
        </w:rPr>
        <w:t>gozetotide</w:t>
      </w:r>
      <w:proofErr w:type="spellEnd"/>
      <w:r w:rsidRPr="00110F7D">
        <w:rPr>
          <w:sz w:val="24"/>
          <w:szCs w:val="24"/>
          <w:lang w:val="en-US"/>
        </w:rPr>
        <w:t xml:space="preserve"> (0.5 </w:t>
      </w:r>
      <w:r w:rsidRPr="00110F7D">
        <w:rPr>
          <w:sz w:val="24"/>
          <w:szCs w:val="24"/>
        </w:rPr>
        <w:t>μ</w:t>
      </w:r>
      <w:r w:rsidRPr="00110F7D">
        <w:rPr>
          <w:sz w:val="24"/>
          <w:szCs w:val="24"/>
          <w:lang w:val="en-US"/>
        </w:rPr>
        <w:t xml:space="preserve">g/kg; based on 50 kg adult) and the NOAEL of </w:t>
      </w:r>
      <w:proofErr w:type="spellStart"/>
      <w:r w:rsidRPr="00110F7D">
        <w:rPr>
          <w:sz w:val="24"/>
          <w:szCs w:val="24"/>
          <w:lang w:val="en-US"/>
        </w:rPr>
        <w:t>gozetotide</w:t>
      </w:r>
      <w:proofErr w:type="spellEnd"/>
      <w:r w:rsidRPr="00110F7D">
        <w:rPr>
          <w:sz w:val="24"/>
          <w:szCs w:val="24"/>
          <w:lang w:val="en-US"/>
        </w:rPr>
        <w:t xml:space="preserve"> in the rat of 86 </w:t>
      </w:r>
      <w:r w:rsidRPr="00110F7D">
        <w:rPr>
          <w:sz w:val="24"/>
          <w:szCs w:val="24"/>
        </w:rPr>
        <w:t>μ</w:t>
      </w:r>
      <w:r w:rsidRPr="00110F7D">
        <w:rPr>
          <w:sz w:val="24"/>
          <w:szCs w:val="24"/>
          <w:lang w:val="en-US"/>
        </w:rPr>
        <w:t>g/kg, a safety margin of 28-fold was obtained based on body surface area.</w:t>
      </w:r>
    </w:p>
    <w:p w14:paraId="4701C3B1" w14:textId="77777777" w:rsidR="00652442" w:rsidRPr="00110F7D" w:rsidRDefault="00652442" w:rsidP="00CC5520">
      <w:pPr>
        <w:ind w:left="851"/>
        <w:rPr>
          <w:sz w:val="24"/>
          <w:szCs w:val="24"/>
          <w:lang w:val="en-US"/>
        </w:rPr>
      </w:pPr>
    </w:p>
    <w:p w14:paraId="29BD42D5" w14:textId="77777777" w:rsidR="00652442" w:rsidRPr="00110F7D" w:rsidRDefault="00652442" w:rsidP="00CC5520">
      <w:pPr>
        <w:ind w:left="851"/>
        <w:rPr>
          <w:sz w:val="24"/>
          <w:szCs w:val="24"/>
          <w:lang w:val="en-US"/>
        </w:rPr>
      </w:pPr>
      <w:r w:rsidRPr="00110F7D">
        <w:rPr>
          <w:sz w:val="24"/>
          <w:szCs w:val="24"/>
          <w:lang w:val="en-US"/>
        </w:rPr>
        <w:t>Mutagenicity and long-term carcinogenicity studies have not been carried out.</w:t>
      </w:r>
    </w:p>
    <w:p w14:paraId="5CB99D93" w14:textId="77777777" w:rsidR="00652442" w:rsidRPr="00110F7D" w:rsidRDefault="00652442" w:rsidP="00CC5520">
      <w:pPr>
        <w:ind w:left="851"/>
        <w:rPr>
          <w:sz w:val="24"/>
          <w:szCs w:val="24"/>
          <w:lang w:val="en-US"/>
        </w:rPr>
      </w:pPr>
    </w:p>
    <w:p w14:paraId="57DEF315" w14:textId="77777777" w:rsidR="00652442" w:rsidRPr="00110F7D" w:rsidRDefault="00652442" w:rsidP="00CC5520">
      <w:pPr>
        <w:ind w:left="851"/>
        <w:rPr>
          <w:sz w:val="24"/>
          <w:szCs w:val="24"/>
          <w:lang w:val="en-US"/>
        </w:rPr>
      </w:pPr>
      <w:r w:rsidRPr="00110F7D">
        <w:rPr>
          <w:sz w:val="24"/>
          <w:szCs w:val="24"/>
          <w:lang w:val="en-US"/>
        </w:rPr>
        <w:t>No reproductive or developmental toxicity studies have been performed.</w:t>
      </w:r>
    </w:p>
    <w:p w14:paraId="23402EFD" w14:textId="77777777" w:rsidR="00114971" w:rsidRPr="00110F7D" w:rsidRDefault="00114971" w:rsidP="00114971">
      <w:pPr>
        <w:tabs>
          <w:tab w:val="left" w:pos="851"/>
        </w:tabs>
        <w:ind w:left="851"/>
        <w:rPr>
          <w:sz w:val="24"/>
          <w:szCs w:val="24"/>
          <w:lang w:val="en-US"/>
        </w:rPr>
      </w:pPr>
    </w:p>
    <w:p w14:paraId="70576045" w14:textId="77777777" w:rsidR="00114971" w:rsidRPr="00110F7D" w:rsidRDefault="00114971" w:rsidP="00114971">
      <w:pPr>
        <w:tabs>
          <w:tab w:val="left" w:pos="851"/>
        </w:tabs>
        <w:ind w:left="851"/>
        <w:rPr>
          <w:sz w:val="24"/>
          <w:szCs w:val="24"/>
          <w:lang w:val="en-US"/>
        </w:rPr>
      </w:pPr>
    </w:p>
    <w:p w14:paraId="63153864" w14:textId="77777777" w:rsidR="00114971" w:rsidRPr="00110F7D" w:rsidRDefault="00114971" w:rsidP="00114971">
      <w:pPr>
        <w:ind w:left="851" w:hanging="851"/>
        <w:rPr>
          <w:b/>
          <w:sz w:val="24"/>
          <w:szCs w:val="24"/>
          <w:lang w:val="en-US"/>
        </w:rPr>
      </w:pPr>
      <w:r w:rsidRPr="00110F7D">
        <w:rPr>
          <w:b/>
          <w:sz w:val="24"/>
          <w:szCs w:val="24"/>
          <w:lang w:val="en-US"/>
        </w:rPr>
        <w:t>6.</w:t>
      </w:r>
      <w:r w:rsidRPr="00110F7D">
        <w:rPr>
          <w:b/>
          <w:sz w:val="24"/>
          <w:szCs w:val="24"/>
          <w:lang w:val="en-US"/>
        </w:rPr>
        <w:tab/>
        <w:t>PHARMACEUTICAL PARTICULARS</w:t>
      </w:r>
    </w:p>
    <w:p w14:paraId="402141F3" w14:textId="77777777" w:rsidR="00114971" w:rsidRPr="00110F7D" w:rsidRDefault="00114971" w:rsidP="00114971">
      <w:pPr>
        <w:tabs>
          <w:tab w:val="left" w:pos="851"/>
        </w:tabs>
        <w:ind w:left="851"/>
        <w:rPr>
          <w:sz w:val="24"/>
          <w:szCs w:val="24"/>
          <w:lang w:val="en-US"/>
        </w:rPr>
      </w:pPr>
    </w:p>
    <w:p w14:paraId="56EBD726" w14:textId="77777777" w:rsidR="00114971" w:rsidRPr="00110F7D" w:rsidRDefault="00114971" w:rsidP="00114971">
      <w:pPr>
        <w:ind w:left="851" w:hanging="851"/>
        <w:rPr>
          <w:b/>
          <w:sz w:val="24"/>
          <w:szCs w:val="24"/>
          <w:lang w:val="en-US"/>
        </w:rPr>
      </w:pPr>
      <w:r w:rsidRPr="00110F7D">
        <w:rPr>
          <w:b/>
          <w:sz w:val="24"/>
          <w:szCs w:val="24"/>
          <w:lang w:val="en-US"/>
        </w:rPr>
        <w:t>6.1</w:t>
      </w:r>
      <w:r w:rsidRPr="00110F7D">
        <w:rPr>
          <w:b/>
          <w:sz w:val="24"/>
          <w:szCs w:val="24"/>
          <w:lang w:val="en-US"/>
        </w:rPr>
        <w:tab/>
        <w:t>List of excipients</w:t>
      </w:r>
    </w:p>
    <w:p w14:paraId="0EB931C5" w14:textId="77777777" w:rsidR="00D27234" w:rsidRDefault="00D27234" w:rsidP="00CC5520">
      <w:pPr>
        <w:ind w:left="851"/>
        <w:rPr>
          <w:sz w:val="24"/>
          <w:szCs w:val="24"/>
          <w:u w:val="single"/>
          <w:lang w:val="en-US"/>
        </w:rPr>
      </w:pPr>
    </w:p>
    <w:p w14:paraId="3620595E" w14:textId="225E1786" w:rsidR="00652442" w:rsidRPr="00110F7D" w:rsidRDefault="00652442" w:rsidP="00CC5520">
      <w:pPr>
        <w:ind w:left="851"/>
        <w:rPr>
          <w:sz w:val="24"/>
          <w:szCs w:val="24"/>
          <w:u w:val="single"/>
          <w:lang w:val="en-US"/>
        </w:rPr>
      </w:pPr>
      <w:r w:rsidRPr="00110F7D">
        <w:rPr>
          <w:sz w:val="24"/>
          <w:szCs w:val="24"/>
          <w:u w:val="single"/>
          <w:lang w:val="en-US"/>
        </w:rPr>
        <w:t>Powder for solution for injection</w:t>
      </w:r>
    </w:p>
    <w:p w14:paraId="3B7690BF" w14:textId="77777777" w:rsidR="00652442" w:rsidRPr="00110F7D" w:rsidRDefault="00652442" w:rsidP="00CC5520">
      <w:pPr>
        <w:ind w:left="851"/>
        <w:rPr>
          <w:sz w:val="24"/>
          <w:szCs w:val="24"/>
          <w:lang w:val="en-US"/>
        </w:rPr>
      </w:pPr>
      <w:r w:rsidRPr="00110F7D">
        <w:rPr>
          <w:noProof/>
          <w:sz w:val="24"/>
          <w:szCs w:val="24"/>
          <w:lang w:val="en-US"/>
        </w:rPr>
        <w:t>D-</w:t>
      </w:r>
      <w:r w:rsidRPr="00110F7D">
        <w:rPr>
          <w:sz w:val="24"/>
          <w:szCs w:val="24"/>
          <w:lang w:val="en-US"/>
        </w:rPr>
        <w:t>Mannose</w:t>
      </w:r>
    </w:p>
    <w:p w14:paraId="4E9BC780" w14:textId="77777777" w:rsidR="00652442" w:rsidRPr="00110F7D" w:rsidRDefault="00652442" w:rsidP="00CC5520">
      <w:pPr>
        <w:ind w:left="851"/>
        <w:rPr>
          <w:sz w:val="24"/>
          <w:szCs w:val="24"/>
          <w:lang w:val="en-US"/>
        </w:rPr>
      </w:pPr>
    </w:p>
    <w:p w14:paraId="49416AB7" w14:textId="77777777" w:rsidR="00652442" w:rsidRPr="00110F7D" w:rsidRDefault="00652442" w:rsidP="00CC5520">
      <w:pPr>
        <w:ind w:left="851"/>
        <w:rPr>
          <w:sz w:val="24"/>
          <w:szCs w:val="24"/>
          <w:u w:val="single"/>
          <w:lang w:val="en-US"/>
        </w:rPr>
      </w:pPr>
      <w:r w:rsidRPr="00110F7D">
        <w:rPr>
          <w:sz w:val="24"/>
          <w:szCs w:val="24"/>
          <w:u w:val="single"/>
          <w:lang w:val="en-US"/>
        </w:rPr>
        <w:t xml:space="preserve">Solvent </w:t>
      </w:r>
    </w:p>
    <w:p w14:paraId="5B604511" w14:textId="77777777" w:rsidR="00652442" w:rsidRPr="00110F7D" w:rsidRDefault="00652442" w:rsidP="00CC5520">
      <w:pPr>
        <w:ind w:left="851"/>
        <w:rPr>
          <w:sz w:val="24"/>
          <w:szCs w:val="24"/>
          <w:lang w:val="en-US"/>
        </w:rPr>
      </w:pPr>
      <w:r w:rsidRPr="00110F7D">
        <w:rPr>
          <w:sz w:val="24"/>
          <w:szCs w:val="24"/>
          <w:lang w:val="en-US"/>
        </w:rPr>
        <w:t>Water for injections</w:t>
      </w:r>
    </w:p>
    <w:p w14:paraId="174693A4" w14:textId="77777777" w:rsidR="00652442" w:rsidRPr="00110F7D" w:rsidRDefault="00652442" w:rsidP="00CC5520">
      <w:pPr>
        <w:ind w:left="851"/>
        <w:rPr>
          <w:sz w:val="24"/>
          <w:szCs w:val="24"/>
          <w:lang w:val="en-US"/>
        </w:rPr>
      </w:pPr>
      <w:r w:rsidRPr="00110F7D">
        <w:rPr>
          <w:sz w:val="24"/>
          <w:szCs w:val="24"/>
          <w:lang w:val="en-US"/>
        </w:rPr>
        <w:t>Sodium acetate anhydrous</w:t>
      </w:r>
    </w:p>
    <w:p w14:paraId="099AB4BA" w14:textId="77777777" w:rsidR="00652442" w:rsidRPr="00110F7D" w:rsidRDefault="00652442" w:rsidP="00CC5520">
      <w:pPr>
        <w:ind w:left="851"/>
        <w:rPr>
          <w:sz w:val="24"/>
          <w:szCs w:val="24"/>
          <w:lang w:val="en-US"/>
        </w:rPr>
      </w:pPr>
      <w:r w:rsidRPr="00110F7D">
        <w:rPr>
          <w:sz w:val="24"/>
          <w:szCs w:val="24"/>
          <w:lang w:val="en-US"/>
        </w:rPr>
        <w:t>Hydrochloric acid</w:t>
      </w:r>
    </w:p>
    <w:p w14:paraId="7B086FF8" w14:textId="3A386786" w:rsidR="00110C04" w:rsidRDefault="00110C04">
      <w:pPr>
        <w:rPr>
          <w:sz w:val="24"/>
          <w:szCs w:val="24"/>
          <w:lang w:val="en-US"/>
        </w:rPr>
      </w:pPr>
      <w:r>
        <w:rPr>
          <w:sz w:val="24"/>
          <w:szCs w:val="24"/>
          <w:lang w:val="en-US"/>
        </w:rPr>
        <w:br w:type="page"/>
      </w:r>
    </w:p>
    <w:p w14:paraId="20E842D1" w14:textId="77777777" w:rsidR="00114971" w:rsidRPr="00110F7D" w:rsidRDefault="00114971" w:rsidP="00114971">
      <w:pPr>
        <w:tabs>
          <w:tab w:val="left" w:pos="851"/>
        </w:tabs>
        <w:ind w:left="851"/>
        <w:rPr>
          <w:sz w:val="24"/>
          <w:szCs w:val="24"/>
          <w:lang w:val="en-US"/>
        </w:rPr>
      </w:pPr>
    </w:p>
    <w:p w14:paraId="0DBC6639" w14:textId="77777777" w:rsidR="00114971" w:rsidRPr="00110F7D" w:rsidRDefault="00114971" w:rsidP="00114971">
      <w:pPr>
        <w:ind w:left="851" w:hanging="851"/>
        <w:rPr>
          <w:b/>
          <w:sz w:val="24"/>
          <w:szCs w:val="24"/>
          <w:lang w:val="en-US"/>
        </w:rPr>
      </w:pPr>
      <w:r w:rsidRPr="00110F7D">
        <w:rPr>
          <w:b/>
          <w:sz w:val="24"/>
          <w:szCs w:val="24"/>
          <w:lang w:val="en-US"/>
        </w:rPr>
        <w:t>6.2</w:t>
      </w:r>
      <w:r w:rsidRPr="00110F7D">
        <w:rPr>
          <w:b/>
          <w:sz w:val="24"/>
          <w:szCs w:val="24"/>
          <w:lang w:val="en-US"/>
        </w:rPr>
        <w:tab/>
        <w:t>Incompatibilities</w:t>
      </w:r>
    </w:p>
    <w:p w14:paraId="2857EF3D" w14:textId="77777777" w:rsidR="00652442" w:rsidRPr="00110F7D" w:rsidRDefault="00652442" w:rsidP="00CC5520">
      <w:pPr>
        <w:ind w:left="851"/>
        <w:rPr>
          <w:sz w:val="24"/>
          <w:szCs w:val="24"/>
          <w:lang w:val="en-US"/>
        </w:rPr>
      </w:pPr>
      <w:r w:rsidRPr="00110F7D">
        <w:rPr>
          <w:sz w:val="24"/>
          <w:szCs w:val="24"/>
          <w:lang w:val="en-US"/>
        </w:rPr>
        <w:t>This medicinal product must not be mixed with other medicinal products except those mentioned in section 12.</w:t>
      </w:r>
    </w:p>
    <w:p w14:paraId="12538318" w14:textId="77777777" w:rsidR="00114971" w:rsidRPr="00110F7D" w:rsidRDefault="00114971" w:rsidP="00114971">
      <w:pPr>
        <w:tabs>
          <w:tab w:val="left" w:pos="851"/>
        </w:tabs>
        <w:ind w:left="851"/>
        <w:rPr>
          <w:sz w:val="24"/>
          <w:szCs w:val="24"/>
          <w:lang w:val="en-US"/>
        </w:rPr>
      </w:pPr>
    </w:p>
    <w:p w14:paraId="28D8F986" w14:textId="77777777" w:rsidR="00114971" w:rsidRPr="00110F7D" w:rsidRDefault="00114971" w:rsidP="00114971">
      <w:pPr>
        <w:ind w:left="851" w:hanging="851"/>
        <w:rPr>
          <w:b/>
          <w:sz w:val="24"/>
          <w:szCs w:val="24"/>
          <w:lang w:val="en-US"/>
        </w:rPr>
      </w:pPr>
      <w:r w:rsidRPr="00110F7D">
        <w:rPr>
          <w:b/>
          <w:sz w:val="24"/>
          <w:szCs w:val="24"/>
          <w:lang w:val="en-US"/>
        </w:rPr>
        <w:t>6.3</w:t>
      </w:r>
      <w:r w:rsidRPr="00110F7D">
        <w:rPr>
          <w:b/>
          <w:sz w:val="24"/>
          <w:szCs w:val="24"/>
          <w:lang w:val="en-US"/>
        </w:rPr>
        <w:tab/>
        <w:t>Shelf life</w:t>
      </w:r>
    </w:p>
    <w:p w14:paraId="665167F6" w14:textId="77777777" w:rsidR="00652442" w:rsidRPr="00110F7D" w:rsidRDefault="00652442" w:rsidP="00CC5520">
      <w:pPr>
        <w:ind w:left="851"/>
        <w:rPr>
          <w:bCs/>
          <w:sz w:val="24"/>
          <w:szCs w:val="24"/>
          <w:lang w:val="en-US"/>
        </w:rPr>
      </w:pPr>
      <w:r w:rsidRPr="00110F7D">
        <w:rPr>
          <w:sz w:val="24"/>
          <w:szCs w:val="24"/>
          <w:u w:val="single"/>
          <w:lang w:val="en-US"/>
        </w:rPr>
        <w:t>Kit</w:t>
      </w:r>
      <w:r w:rsidRPr="00110F7D">
        <w:rPr>
          <w:bCs/>
          <w:sz w:val="24"/>
          <w:szCs w:val="24"/>
          <w:lang w:val="en-US"/>
        </w:rPr>
        <w:t>: 2 years.</w:t>
      </w:r>
    </w:p>
    <w:p w14:paraId="5C0E2653" w14:textId="77777777" w:rsidR="00652442" w:rsidRPr="00110F7D" w:rsidRDefault="00652442" w:rsidP="00CC5520">
      <w:pPr>
        <w:ind w:left="851"/>
        <w:rPr>
          <w:bCs/>
          <w:sz w:val="24"/>
          <w:szCs w:val="24"/>
          <w:lang w:val="en-US"/>
        </w:rPr>
      </w:pPr>
    </w:p>
    <w:p w14:paraId="25E135D1" w14:textId="77268EBD" w:rsidR="00652442" w:rsidRPr="00110F7D" w:rsidRDefault="00652442" w:rsidP="00CC5520">
      <w:pPr>
        <w:ind w:left="851"/>
        <w:rPr>
          <w:sz w:val="24"/>
          <w:szCs w:val="24"/>
          <w:lang w:val="en-US"/>
        </w:rPr>
      </w:pPr>
      <w:r w:rsidRPr="00110F7D">
        <w:rPr>
          <w:sz w:val="24"/>
          <w:szCs w:val="24"/>
          <w:u w:val="single"/>
          <w:lang w:val="en-US"/>
        </w:rPr>
        <w:t xml:space="preserve">After </w:t>
      </w:r>
      <w:proofErr w:type="spellStart"/>
      <w:r w:rsidRPr="00110F7D">
        <w:rPr>
          <w:sz w:val="24"/>
          <w:szCs w:val="24"/>
          <w:u w:val="single"/>
          <w:lang w:val="en-US"/>
        </w:rPr>
        <w:t>radiolabelling</w:t>
      </w:r>
      <w:proofErr w:type="spellEnd"/>
      <w:r w:rsidRPr="00110F7D">
        <w:rPr>
          <w:bCs/>
          <w:sz w:val="24"/>
          <w:szCs w:val="24"/>
          <w:lang w:val="en-US"/>
        </w:rPr>
        <w:t xml:space="preserve">: 2 hours. </w:t>
      </w:r>
      <w:r w:rsidRPr="00110F7D">
        <w:rPr>
          <w:sz w:val="24"/>
          <w:szCs w:val="24"/>
          <w:lang w:val="en-US"/>
        </w:rPr>
        <w:t>Do not store above 25</w:t>
      </w:r>
      <w:r w:rsidR="00A35A3F">
        <w:rPr>
          <w:sz w:val="24"/>
          <w:szCs w:val="24"/>
          <w:lang w:val="en-US"/>
        </w:rPr>
        <w:t xml:space="preserve"> </w:t>
      </w:r>
      <w:r w:rsidRPr="00110F7D">
        <w:rPr>
          <w:sz w:val="24"/>
          <w:szCs w:val="24"/>
          <w:lang w:val="en-US"/>
        </w:rPr>
        <w:t xml:space="preserve">°C nor freeze the solution after </w:t>
      </w:r>
      <w:proofErr w:type="spellStart"/>
      <w:r w:rsidRPr="00110F7D">
        <w:rPr>
          <w:sz w:val="24"/>
          <w:szCs w:val="24"/>
          <w:lang w:val="en-US"/>
        </w:rPr>
        <w:t>radiolabelling</w:t>
      </w:r>
      <w:proofErr w:type="spellEnd"/>
      <w:r w:rsidRPr="00110F7D">
        <w:rPr>
          <w:sz w:val="24"/>
          <w:szCs w:val="24"/>
          <w:lang w:val="en-US"/>
        </w:rPr>
        <w:t>.</w:t>
      </w:r>
    </w:p>
    <w:p w14:paraId="4BDA4979" w14:textId="77777777" w:rsidR="00652442" w:rsidRPr="00110F7D" w:rsidRDefault="00652442" w:rsidP="00CC5520">
      <w:pPr>
        <w:ind w:left="851"/>
        <w:rPr>
          <w:sz w:val="24"/>
          <w:szCs w:val="24"/>
          <w:lang w:val="en-US"/>
        </w:rPr>
      </w:pPr>
    </w:p>
    <w:p w14:paraId="104189CA" w14:textId="77777777" w:rsidR="00652442" w:rsidRPr="00110F7D" w:rsidRDefault="00652442" w:rsidP="00CC5520">
      <w:pPr>
        <w:ind w:left="851"/>
        <w:rPr>
          <w:sz w:val="24"/>
          <w:szCs w:val="24"/>
          <w:lang w:val="en-US"/>
        </w:rPr>
      </w:pPr>
      <w:r w:rsidRPr="00110F7D">
        <w:rPr>
          <w:sz w:val="24"/>
          <w:szCs w:val="24"/>
          <w:lang w:val="en-US"/>
        </w:rPr>
        <w:t xml:space="preserve">From a microbiological point of view, once reconstituted and </w:t>
      </w:r>
      <w:proofErr w:type="spellStart"/>
      <w:r w:rsidRPr="00110F7D">
        <w:rPr>
          <w:sz w:val="24"/>
          <w:szCs w:val="24"/>
          <w:lang w:val="en-US"/>
        </w:rPr>
        <w:t>radiolabelled</w:t>
      </w:r>
      <w:proofErr w:type="spellEnd"/>
      <w:r w:rsidRPr="00110F7D">
        <w:rPr>
          <w:sz w:val="24"/>
          <w:szCs w:val="24"/>
          <w:lang w:val="en-US"/>
        </w:rPr>
        <w:t>, the product should be used immediately. If not used immediately, in-use storage times and conditions prior to use are the responsibility of the user.</w:t>
      </w:r>
    </w:p>
    <w:p w14:paraId="62201C8C" w14:textId="77777777" w:rsidR="00114971" w:rsidRPr="00110F7D" w:rsidRDefault="00114971" w:rsidP="00114971">
      <w:pPr>
        <w:tabs>
          <w:tab w:val="left" w:pos="851"/>
        </w:tabs>
        <w:ind w:left="851"/>
        <w:rPr>
          <w:sz w:val="24"/>
          <w:szCs w:val="24"/>
          <w:lang w:val="en-US"/>
        </w:rPr>
      </w:pPr>
    </w:p>
    <w:p w14:paraId="04F41801" w14:textId="77777777" w:rsidR="00114971" w:rsidRPr="00110F7D" w:rsidRDefault="00114971" w:rsidP="00114971">
      <w:pPr>
        <w:ind w:left="851" w:hanging="851"/>
        <w:rPr>
          <w:b/>
          <w:sz w:val="24"/>
          <w:szCs w:val="24"/>
          <w:lang w:val="en-US"/>
        </w:rPr>
      </w:pPr>
      <w:r w:rsidRPr="00110F7D">
        <w:rPr>
          <w:b/>
          <w:sz w:val="24"/>
          <w:szCs w:val="24"/>
          <w:lang w:val="en-US"/>
        </w:rPr>
        <w:t>6.4</w:t>
      </w:r>
      <w:r w:rsidRPr="00110F7D">
        <w:rPr>
          <w:b/>
          <w:sz w:val="24"/>
          <w:szCs w:val="24"/>
          <w:lang w:val="en-US"/>
        </w:rPr>
        <w:tab/>
        <w:t>Special precautions for storage</w:t>
      </w:r>
    </w:p>
    <w:p w14:paraId="20A5B054" w14:textId="0F1C9332" w:rsidR="00652442" w:rsidRPr="00110F7D" w:rsidRDefault="00652442" w:rsidP="00CC5520">
      <w:pPr>
        <w:ind w:left="851"/>
        <w:rPr>
          <w:sz w:val="24"/>
          <w:szCs w:val="24"/>
          <w:lang w:val="en-US"/>
        </w:rPr>
      </w:pPr>
      <w:r w:rsidRPr="00110F7D">
        <w:rPr>
          <w:sz w:val="24"/>
          <w:szCs w:val="24"/>
          <w:lang w:val="en-US"/>
        </w:rPr>
        <w:t>Before reconstitution, store in a refrigerator (2</w:t>
      </w:r>
      <w:r w:rsidR="00A35A3F">
        <w:rPr>
          <w:sz w:val="24"/>
          <w:szCs w:val="24"/>
          <w:lang w:val="en-US"/>
        </w:rPr>
        <w:t xml:space="preserve"> </w:t>
      </w:r>
      <w:r w:rsidRPr="00110F7D">
        <w:rPr>
          <w:rFonts w:eastAsia="Symbol"/>
          <w:sz w:val="24"/>
          <w:szCs w:val="24"/>
          <w:lang w:val="en-US"/>
        </w:rPr>
        <w:t>°</w:t>
      </w:r>
      <w:r w:rsidRPr="00110F7D">
        <w:rPr>
          <w:sz w:val="24"/>
          <w:szCs w:val="24"/>
          <w:lang w:val="en-US"/>
        </w:rPr>
        <w:t>C – 8</w:t>
      </w:r>
      <w:r w:rsidR="00A35A3F">
        <w:rPr>
          <w:sz w:val="24"/>
          <w:szCs w:val="24"/>
          <w:lang w:val="en-US"/>
        </w:rPr>
        <w:t xml:space="preserve"> </w:t>
      </w:r>
      <w:r w:rsidRPr="00110F7D">
        <w:rPr>
          <w:rFonts w:eastAsia="Symbol"/>
          <w:sz w:val="24"/>
          <w:szCs w:val="24"/>
          <w:lang w:val="en-US"/>
        </w:rPr>
        <w:t>°</w:t>
      </w:r>
      <w:r w:rsidRPr="00110F7D">
        <w:rPr>
          <w:sz w:val="24"/>
          <w:szCs w:val="24"/>
          <w:lang w:val="en-US"/>
        </w:rPr>
        <w:t>C).</w:t>
      </w:r>
    </w:p>
    <w:p w14:paraId="0F6A5678" w14:textId="77777777" w:rsidR="00652442" w:rsidRPr="00110F7D" w:rsidRDefault="00652442" w:rsidP="00CC5520">
      <w:pPr>
        <w:ind w:left="851"/>
        <w:rPr>
          <w:sz w:val="24"/>
          <w:szCs w:val="24"/>
          <w:lang w:val="en-US"/>
        </w:rPr>
      </w:pPr>
    </w:p>
    <w:p w14:paraId="7D83E5CC" w14:textId="77777777" w:rsidR="00652442" w:rsidRPr="00110F7D" w:rsidRDefault="00652442" w:rsidP="00CC5520">
      <w:pPr>
        <w:ind w:left="851"/>
        <w:rPr>
          <w:sz w:val="24"/>
          <w:szCs w:val="24"/>
          <w:lang w:val="en-US"/>
        </w:rPr>
      </w:pPr>
      <w:r w:rsidRPr="00110F7D">
        <w:rPr>
          <w:sz w:val="24"/>
          <w:szCs w:val="24"/>
          <w:lang w:val="en-US"/>
        </w:rPr>
        <w:t>Store in the original package in order to protect from light.</w:t>
      </w:r>
    </w:p>
    <w:p w14:paraId="4813C9C1" w14:textId="77777777" w:rsidR="00652442" w:rsidRPr="00110F7D" w:rsidRDefault="00652442" w:rsidP="00CC5520">
      <w:pPr>
        <w:ind w:left="851"/>
        <w:rPr>
          <w:sz w:val="24"/>
          <w:szCs w:val="24"/>
          <w:lang w:val="en-US"/>
        </w:rPr>
      </w:pPr>
    </w:p>
    <w:p w14:paraId="3A2FDAB0" w14:textId="77777777" w:rsidR="00652442" w:rsidRPr="00110F7D" w:rsidRDefault="00652442" w:rsidP="00CC5520">
      <w:pPr>
        <w:ind w:left="851"/>
        <w:rPr>
          <w:sz w:val="24"/>
          <w:szCs w:val="24"/>
          <w:lang w:val="en-US"/>
        </w:rPr>
      </w:pPr>
      <w:r w:rsidRPr="00110F7D">
        <w:rPr>
          <w:sz w:val="24"/>
          <w:szCs w:val="24"/>
          <w:lang w:val="en-US"/>
        </w:rPr>
        <w:t xml:space="preserve">For storage conditions after reconstitution and </w:t>
      </w:r>
      <w:proofErr w:type="spellStart"/>
      <w:r w:rsidRPr="00110F7D">
        <w:rPr>
          <w:sz w:val="24"/>
          <w:szCs w:val="24"/>
          <w:lang w:val="en-US"/>
        </w:rPr>
        <w:t>radiolabelling</w:t>
      </w:r>
      <w:proofErr w:type="spellEnd"/>
      <w:r w:rsidRPr="00110F7D">
        <w:rPr>
          <w:sz w:val="24"/>
          <w:szCs w:val="24"/>
          <w:lang w:val="en-US"/>
        </w:rPr>
        <w:t xml:space="preserve"> of the medicinal product, see section 6.3.</w:t>
      </w:r>
    </w:p>
    <w:p w14:paraId="58E56927" w14:textId="77777777" w:rsidR="00652442" w:rsidRPr="00110F7D" w:rsidRDefault="00652442" w:rsidP="00CC5520">
      <w:pPr>
        <w:ind w:left="851"/>
        <w:rPr>
          <w:sz w:val="24"/>
          <w:szCs w:val="24"/>
          <w:lang w:val="en-US"/>
        </w:rPr>
      </w:pPr>
    </w:p>
    <w:p w14:paraId="73FFE77D" w14:textId="77777777" w:rsidR="00652442" w:rsidRPr="00110F7D" w:rsidRDefault="00652442" w:rsidP="00CC5520">
      <w:pPr>
        <w:ind w:left="851"/>
        <w:rPr>
          <w:sz w:val="24"/>
          <w:szCs w:val="24"/>
          <w:lang w:val="en-US"/>
        </w:rPr>
      </w:pPr>
      <w:r w:rsidRPr="00110F7D">
        <w:rPr>
          <w:sz w:val="24"/>
          <w:szCs w:val="24"/>
          <w:lang w:val="en-US"/>
        </w:rPr>
        <w:t>Storage of radiopharmaceuticals should be in accordance with national regulation on radioactive materials.</w:t>
      </w:r>
    </w:p>
    <w:p w14:paraId="5A04E469" w14:textId="77777777" w:rsidR="00114971" w:rsidRPr="00110F7D" w:rsidRDefault="00114971" w:rsidP="00114971">
      <w:pPr>
        <w:tabs>
          <w:tab w:val="left" w:pos="851"/>
        </w:tabs>
        <w:ind w:left="851"/>
        <w:rPr>
          <w:sz w:val="24"/>
          <w:szCs w:val="24"/>
          <w:lang w:val="en-US"/>
        </w:rPr>
      </w:pPr>
    </w:p>
    <w:p w14:paraId="08BB8629" w14:textId="77777777" w:rsidR="00114971" w:rsidRPr="00110F7D" w:rsidRDefault="00114971" w:rsidP="00114971">
      <w:pPr>
        <w:ind w:left="851" w:hanging="851"/>
        <w:rPr>
          <w:b/>
          <w:sz w:val="24"/>
          <w:szCs w:val="24"/>
          <w:lang w:val="en-US"/>
        </w:rPr>
      </w:pPr>
      <w:r w:rsidRPr="00110F7D">
        <w:rPr>
          <w:b/>
          <w:sz w:val="24"/>
          <w:szCs w:val="24"/>
          <w:lang w:val="en-US"/>
        </w:rPr>
        <w:t>6.5</w:t>
      </w:r>
      <w:r w:rsidRPr="00110F7D">
        <w:rPr>
          <w:b/>
          <w:sz w:val="24"/>
          <w:szCs w:val="24"/>
          <w:lang w:val="en-US"/>
        </w:rPr>
        <w:tab/>
        <w:t>Nature and contents of container</w:t>
      </w:r>
    </w:p>
    <w:p w14:paraId="5042D955" w14:textId="77777777" w:rsidR="00652442" w:rsidRPr="00110F7D" w:rsidRDefault="00652442" w:rsidP="00CC5520">
      <w:pPr>
        <w:ind w:left="851"/>
        <w:rPr>
          <w:sz w:val="24"/>
          <w:szCs w:val="24"/>
          <w:lang w:val="en-US"/>
        </w:rPr>
      </w:pPr>
      <w:proofErr w:type="spellStart"/>
      <w:r w:rsidRPr="00110F7D">
        <w:rPr>
          <w:sz w:val="24"/>
          <w:szCs w:val="24"/>
          <w:lang w:val="en-US"/>
        </w:rPr>
        <w:t>Illuccix</w:t>
      </w:r>
      <w:proofErr w:type="spellEnd"/>
      <w:r w:rsidRPr="00110F7D">
        <w:rPr>
          <w:sz w:val="24"/>
          <w:szCs w:val="24"/>
          <w:lang w:val="en-US"/>
        </w:rPr>
        <w:t xml:space="preserve"> is supplied as a kit for radiopharmaceutical preparation of gallium (</w:t>
      </w:r>
      <w:r w:rsidRPr="00110F7D">
        <w:rPr>
          <w:sz w:val="24"/>
          <w:szCs w:val="24"/>
          <w:vertAlign w:val="superscript"/>
          <w:lang w:val="en-US"/>
        </w:rPr>
        <w:t>68</w:t>
      </w:r>
      <w:r w:rsidRPr="00110F7D">
        <w:rPr>
          <w:sz w:val="24"/>
          <w:szCs w:val="24"/>
          <w:lang w:val="en-US"/>
        </w:rPr>
        <w:t xml:space="preserve">Ga) </w:t>
      </w:r>
      <w:proofErr w:type="spellStart"/>
      <w:r w:rsidRPr="00110F7D">
        <w:rPr>
          <w:sz w:val="24"/>
          <w:szCs w:val="24"/>
          <w:lang w:val="en-US"/>
        </w:rPr>
        <w:t>gozetotide</w:t>
      </w:r>
      <w:proofErr w:type="spellEnd"/>
      <w:r w:rsidRPr="00110F7D">
        <w:rPr>
          <w:sz w:val="24"/>
          <w:szCs w:val="24"/>
          <w:lang w:val="en-US"/>
        </w:rPr>
        <w:t xml:space="preserve"> solution for injection.</w:t>
      </w:r>
    </w:p>
    <w:p w14:paraId="2F9880ED" w14:textId="77777777" w:rsidR="00652442" w:rsidRPr="00110F7D" w:rsidRDefault="00652442" w:rsidP="00CC5520">
      <w:pPr>
        <w:ind w:left="851"/>
        <w:rPr>
          <w:sz w:val="24"/>
          <w:szCs w:val="24"/>
          <w:lang w:val="en-US"/>
        </w:rPr>
      </w:pPr>
    </w:p>
    <w:p w14:paraId="0896BEEC" w14:textId="77777777" w:rsidR="00652442" w:rsidRPr="00110F7D" w:rsidRDefault="00652442" w:rsidP="00CC5520">
      <w:pPr>
        <w:ind w:left="851"/>
        <w:rPr>
          <w:sz w:val="24"/>
          <w:szCs w:val="24"/>
          <w:lang w:val="en-US"/>
        </w:rPr>
      </w:pPr>
      <w:r w:rsidRPr="00110F7D">
        <w:rPr>
          <w:sz w:val="24"/>
          <w:szCs w:val="24"/>
          <w:lang w:val="en-US"/>
        </w:rPr>
        <w:t xml:space="preserve">For use with Eckert &amp; Ziegler </w:t>
      </w:r>
      <w:proofErr w:type="spellStart"/>
      <w:r w:rsidRPr="00110F7D">
        <w:rPr>
          <w:sz w:val="24"/>
          <w:szCs w:val="24"/>
          <w:lang w:val="en-US"/>
        </w:rPr>
        <w:t>GalliaPharm</w:t>
      </w:r>
      <w:proofErr w:type="spellEnd"/>
      <w:r w:rsidRPr="00110F7D">
        <w:rPr>
          <w:sz w:val="24"/>
          <w:szCs w:val="24"/>
          <w:lang w:val="en-US"/>
        </w:rPr>
        <w:t xml:space="preserve"> </w:t>
      </w:r>
      <w:r w:rsidRPr="00110F7D">
        <w:rPr>
          <w:sz w:val="24"/>
          <w:szCs w:val="24"/>
          <w:lang w:val="en-US" w:eastAsia="fr-FR"/>
        </w:rPr>
        <w:t xml:space="preserve">germanium-68/gallium-68 </w:t>
      </w:r>
      <w:r w:rsidRPr="00110F7D">
        <w:rPr>
          <w:sz w:val="24"/>
          <w:szCs w:val="24"/>
          <w:lang w:val="en-US"/>
        </w:rPr>
        <w:t>(</w:t>
      </w:r>
      <w:r w:rsidRPr="00110F7D">
        <w:rPr>
          <w:sz w:val="24"/>
          <w:szCs w:val="24"/>
          <w:vertAlign w:val="superscript"/>
          <w:lang w:val="en-US"/>
        </w:rPr>
        <w:t>68</w:t>
      </w:r>
      <w:r w:rsidRPr="00110F7D">
        <w:rPr>
          <w:sz w:val="24"/>
          <w:szCs w:val="24"/>
          <w:lang w:val="en-US"/>
        </w:rPr>
        <w:t>Ge/</w:t>
      </w:r>
      <w:r w:rsidRPr="00110F7D">
        <w:rPr>
          <w:sz w:val="24"/>
          <w:szCs w:val="24"/>
          <w:vertAlign w:val="superscript"/>
          <w:lang w:val="en-US"/>
        </w:rPr>
        <w:t>68</w:t>
      </w:r>
      <w:r w:rsidRPr="00110F7D">
        <w:rPr>
          <w:sz w:val="24"/>
          <w:szCs w:val="24"/>
          <w:lang w:val="en-US"/>
        </w:rPr>
        <w:t>Ga) generator, the box contains:</w:t>
      </w:r>
    </w:p>
    <w:p w14:paraId="1A270767" w14:textId="77777777" w:rsidR="00652442" w:rsidRPr="00D27234" w:rsidRDefault="00652442" w:rsidP="00D27234">
      <w:pPr>
        <w:pStyle w:val="Listeafsnit"/>
        <w:numPr>
          <w:ilvl w:val="0"/>
          <w:numId w:val="18"/>
        </w:numPr>
        <w:spacing w:before="0" w:after="0"/>
        <w:ind w:left="1276" w:hanging="425"/>
        <w:jc w:val="left"/>
        <w:rPr>
          <w:rFonts w:ascii="Times New Roman" w:hAnsi="Times New Roman"/>
          <w:sz w:val="24"/>
          <w:szCs w:val="24"/>
          <w:lang w:val="en-GB"/>
        </w:rPr>
      </w:pPr>
      <w:r w:rsidRPr="00D27234">
        <w:rPr>
          <w:rFonts w:ascii="Times New Roman" w:hAnsi="Times New Roman"/>
          <w:sz w:val="24"/>
          <w:szCs w:val="24"/>
          <w:lang w:val="en-GB"/>
        </w:rPr>
        <w:t xml:space="preserve">One vial of powder for solution for injection: the vial contains 25 micrograms of </w:t>
      </w:r>
      <w:proofErr w:type="spellStart"/>
      <w:r w:rsidRPr="00D27234">
        <w:rPr>
          <w:rFonts w:ascii="Times New Roman" w:hAnsi="Times New Roman"/>
          <w:sz w:val="24"/>
          <w:szCs w:val="24"/>
          <w:lang w:val="en-GB"/>
        </w:rPr>
        <w:t>gozetotide</w:t>
      </w:r>
      <w:proofErr w:type="spellEnd"/>
      <w:r w:rsidRPr="00D27234">
        <w:rPr>
          <w:rFonts w:ascii="Times New Roman" w:hAnsi="Times New Roman"/>
          <w:sz w:val="24"/>
          <w:szCs w:val="24"/>
          <w:lang w:val="en-GB"/>
        </w:rPr>
        <w:t>.</w:t>
      </w:r>
    </w:p>
    <w:p w14:paraId="6653BF93" w14:textId="77777777" w:rsidR="00652442" w:rsidRPr="00D27234" w:rsidRDefault="00652442" w:rsidP="00D27234">
      <w:pPr>
        <w:pStyle w:val="Listeafsnit"/>
        <w:numPr>
          <w:ilvl w:val="0"/>
          <w:numId w:val="18"/>
        </w:numPr>
        <w:spacing w:before="0" w:after="0"/>
        <w:ind w:left="1276" w:hanging="425"/>
        <w:jc w:val="left"/>
        <w:rPr>
          <w:rFonts w:ascii="Times New Roman" w:hAnsi="Times New Roman"/>
          <w:sz w:val="24"/>
          <w:szCs w:val="24"/>
          <w:lang w:val="en-GB"/>
        </w:rPr>
      </w:pPr>
      <w:r w:rsidRPr="00D27234">
        <w:rPr>
          <w:rFonts w:ascii="Times New Roman" w:hAnsi="Times New Roman"/>
          <w:sz w:val="24"/>
          <w:szCs w:val="24"/>
          <w:lang w:val="en-GB"/>
        </w:rPr>
        <w:t>One vial of solvent containing 2.5 mL of a</w:t>
      </w:r>
      <w:r w:rsidRPr="00D27234">
        <w:rPr>
          <w:rFonts w:ascii="Times New Roman" w:hAnsi="Times New Roman"/>
          <w:noProof/>
          <w:sz w:val="24"/>
          <w:szCs w:val="24"/>
          <w:lang w:val="en-GB"/>
        </w:rPr>
        <w:t>cetate</w:t>
      </w:r>
      <w:r w:rsidRPr="00D27234">
        <w:rPr>
          <w:rFonts w:ascii="Times New Roman" w:hAnsi="Times New Roman"/>
          <w:sz w:val="24"/>
          <w:szCs w:val="24"/>
          <w:lang w:val="en-GB"/>
        </w:rPr>
        <w:t xml:space="preserve"> buffer</w:t>
      </w:r>
      <w:r w:rsidRPr="00D27234">
        <w:rPr>
          <w:rFonts w:ascii="Times New Roman" w:hAnsi="Times New Roman"/>
          <w:noProof/>
          <w:sz w:val="24"/>
          <w:szCs w:val="24"/>
          <w:lang w:val="en-GB"/>
        </w:rPr>
        <w:t>.</w:t>
      </w:r>
    </w:p>
    <w:p w14:paraId="35E95D58" w14:textId="77777777" w:rsidR="00652442" w:rsidRPr="00D27234" w:rsidRDefault="00652442" w:rsidP="00D27234">
      <w:pPr>
        <w:pStyle w:val="Listeafsnit"/>
        <w:numPr>
          <w:ilvl w:val="0"/>
          <w:numId w:val="18"/>
        </w:numPr>
        <w:spacing w:before="0" w:after="0"/>
        <w:ind w:left="1276" w:hanging="425"/>
        <w:jc w:val="left"/>
        <w:rPr>
          <w:rFonts w:ascii="Times New Roman" w:hAnsi="Times New Roman"/>
          <w:sz w:val="24"/>
          <w:szCs w:val="24"/>
          <w:lang w:val="en-GB"/>
        </w:rPr>
      </w:pPr>
      <w:r w:rsidRPr="00D27234">
        <w:rPr>
          <w:rFonts w:ascii="Times New Roman" w:hAnsi="Times New Roman"/>
          <w:sz w:val="24"/>
          <w:szCs w:val="24"/>
          <w:lang w:val="en-GB"/>
        </w:rPr>
        <w:t>One empty vial, sterile, vacuum-sealed.</w:t>
      </w:r>
    </w:p>
    <w:p w14:paraId="54AEC4DF" w14:textId="77777777" w:rsidR="00652442" w:rsidRPr="00D27234" w:rsidRDefault="00652442" w:rsidP="00D27234">
      <w:pPr>
        <w:pStyle w:val="Listeafsnit"/>
        <w:numPr>
          <w:ilvl w:val="0"/>
          <w:numId w:val="18"/>
        </w:numPr>
        <w:spacing w:before="0" w:after="0"/>
        <w:ind w:left="1276" w:hanging="425"/>
        <w:jc w:val="left"/>
        <w:rPr>
          <w:rFonts w:ascii="Times New Roman" w:hAnsi="Times New Roman"/>
          <w:noProof/>
          <w:sz w:val="24"/>
          <w:szCs w:val="24"/>
          <w:lang w:val="en-GB"/>
        </w:rPr>
      </w:pPr>
      <w:r w:rsidRPr="00D27234">
        <w:rPr>
          <w:rFonts w:ascii="Times New Roman" w:hAnsi="Times New Roman"/>
          <w:noProof/>
          <w:sz w:val="24"/>
          <w:szCs w:val="24"/>
          <w:lang w:val="en-GB"/>
        </w:rPr>
        <w:t>Label for radiolabelled product shielding.</w:t>
      </w:r>
    </w:p>
    <w:p w14:paraId="4FC378ED" w14:textId="77777777" w:rsidR="00652442" w:rsidRPr="00D27234" w:rsidRDefault="00652442" w:rsidP="00CC5520">
      <w:pPr>
        <w:ind w:left="851"/>
        <w:rPr>
          <w:sz w:val="24"/>
          <w:szCs w:val="24"/>
          <w:lang w:val="en-GB"/>
        </w:rPr>
      </w:pPr>
    </w:p>
    <w:p w14:paraId="1902F4BE" w14:textId="77777777" w:rsidR="00652442" w:rsidRPr="00110F7D" w:rsidRDefault="00652442" w:rsidP="00CC5520">
      <w:pPr>
        <w:ind w:left="851"/>
        <w:rPr>
          <w:sz w:val="24"/>
          <w:szCs w:val="24"/>
          <w:lang w:val="en-US"/>
        </w:rPr>
      </w:pPr>
      <w:r w:rsidRPr="00110F7D">
        <w:rPr>
          <w:sz w:val="24"/>
          <w:szCs w:val="24"/>
          <w:lang w:val="en-US"/>
        </w:rPr>
        <w:t xml:space="preserve">For use with IRE </w:t>
      </w:r>
      <w:proofErr w:type="spellStart"/>
      <w:r w:rsidRPr="00110F7D">
        <w:rPr>
          <w:sz w:val="24"/>
          <w:szCs w:val="24"/>
          <w:lang w:val="en-US"/>
        </w:rPr>
        <w:t>ELiT</w:t>
      </w:r>
      <w:proofErr w:type="spellEnd"/>
      <w:r w:rsidRPr="00110F7D">
        <w:rPr>
          <w:sz w:val="24"/>
          <w:szCs w:val="24"/>
          <w:lang w:val="en-US"/>
        </w:rPr>
        <w:t xml:space="preserve"> Galli Ad </w:t>
      </w:r>
      <w:r w:rsidRPr="00110F7D">
        <w:rPr>
          <w:sz w:val="24"/>
          <w:szCs w:val="24"/>
          <w:lang w:val="en-US" w:eastAsia="fr-FR"/>
        </w:rPr>
        <w:t xml:space="preserve">germanium-68/gallium-68 </w:t>
      </w:r>
      <w:r w:rsidRPr="00110F7D">
        <w:rPr>
          <w:sz w:val="24"/>
          <w:szCs w:val="24"/>
          <w:lang w:val="en-US"/>
        </w:rPr>
        <w:t>(</w:t>
      </w:r>
      <w:r w:rsidRPr="00110F7D">
        <w:rPr>
          <w:sz w:val="24"/>
          <w:szCs w:val="24"/>
          <w:vertAlign w:val="superscript"/>
          <w:lang w:val="en-US"/>
        </w:rPr>
        <w:t>68</w:t>
      </w:r>
      <w:r w:rsidRPr="00110F7D">
        <w:rPr>
          <w:sz w:val="24"/>
          <w:szCs w:val="24"/>
          <w:lang w:val="en-US"/>
        </w:rPr>
        <w:t>Ge/</w:t>
      </w:r>
      <w:r w:rsidRPr="00110F7D">
        <w:rPr>
          <w:sz w:val="24"/>
          <w:szCs w:val="24"/>
          <w:vertAlign w:val="superscript"/>
          <w:lang w:val="en-US"/>
        </w:rPr>
        <w:t>68</w:t>
      </w:r>
      <w:r w:rsidRPr="00110F7D">
        <w:rPr>
          <w:sz w:val="24"/>
          <w:szCs w:val="24"/>
          <w:lang w:val="en-US"/>
        </w:rPr>
        <w:t>Ga) generator, the box contains:</w:t>
      </w:r>
    </w:p>
    <w:p w14:paraId="2173CBEE" w14:textId="77777777" w:rsidR="00652442" w:rsidRPr="00D27234" w:rsidRDefault="00652442" w:rsidP="00D27234">
      <w:pPr>
        <w:pStyle w:val="Listeafsnit"/>
        <w:numPr>
          <w:ilvl w:val="0"/>
          <w:numId w:val="19"/>
        </w:numPr>
        <w:spacing w:before="0" w:after="0"/>
        <w:ind w:left="1276" w:hanging="425"/>
        <w:jc w:val="left"/>
        <w:rPr>
          <w:rFonts w:ascii="Times New Roman" w:hAnsi="Times New Roman"/>
          <w:sz w:val="24"/>
          <w:szCs w:val="24"/>
          <w:lang w:val="en-GB"/>
        </w:rPr>
      </w:pPr>
      <w:r w:rsidRPr="00D27234">
        <w:rPr>
          <w:rFonts w:ascii="Times New Roman" w:hAnsi="Times New Roman"/>
          <w:sz w:val="24"/>
          <w:szCs w:val="24"/>
          <w:lang w:val="en-GB"/>
        </w:rPr>
        <w:t xml:space="preserve">One vial of powder for solution for injection: the vial contains 25 micrograms of </w:t>
      </w:r>
      <w:proofErr w:type="spellStart"/>
      <w:r w:rsidRPr="00D27234">
        <w:rPr>
          <w:rFonts w:ascii="Times New Roman" w:hAnsi="Times New Roman"/>
          <w:sz w:val="24"/>
          <w:szCs w:val="24"/>
          <w:lang w:val="en-GB"/>
        </w:rPr>
        <w:t>gozetotide</w:t>
      </w:r>
      <w:proofErr w:type="spellEnd"/>
      <w:r w:rsidRPr="00D27234">
        <w:rPr>
          <w:rFonts w:ascii="Times New Roman" w:hAnsi="Times New Roman"/>
          <w:sz w:val="24"/>
          <w:szCs w:val="24"/>
          <w:lang w:val="en-GB"/>
        </w:rPr>
        <w:t>.</w:t>
      </w:r>
    </w:p>
    <w:p w14:paraId="7263380F" w14:textId="77777777" w:rsidR="00652442" w:rsidRPr="00D27234" w:rsidRDefault="00652442" w:rsidP="00D27234">
      <w:pPr>
        <w:pStyle w:val="Listeafsnit"/>
        <w:numPr>
          <w:ilvl w:val="0"/>
          <w:numId w:val="19"/>
        </w:numPr>
        <w:spacing w:before="0" w:after="0"/>
        <w:ind w:left="1276" w:hanging="425"/>
        <w:jc w:val="left"/>
        <w:rPr>
          <w:rFonts w:ascii="Times New Roman" w:hAnsi="Times New Roman"/>
          <w:sz w:val="24"/>
          <w:szCs w:val="24"/>
          <w:lang w:val="en-GB"/>
        </w:rPr>
      </w:pPr>
      <w:r w:rsidRPr="00D27234">
        <w:rPr>
          <w:rFonts w:ascii="Times New Roman" w:hAnsi="Times New Roman"/>
          <w:sz w:val="24"/>
          <w:szCs w:val="24"/>
          <w:lang w:val="en-GB"/>
        </w:rPr>
        <w:t>One vial of solvent containing 6.4 mL of a</w:t>
      </w:r>
      <w:r w:rsidRPr="00D27234">
        <w:rPr>
          <w:rFonts w:ascii="Times New Roman" w:hAnsi="Times New Roman"/>
          <w:noProof/>
          <w:sz w:val="24"/>
          <w:szCs w:val="24"/>
          <w:lang w:val="en-GB"/>
        </w:rPr>
        <w:t>cetate</w:t>
      </w:r>
      <w:r w:rsidRPr="00D27234">
        <w:rPr>
          <w:rFonts w:ascii="Times New Roman" w:hAnsi="Times New Roman"/>
          <w:sz w:val="24"/>
          <w:szCs w:val="24"/>
          <w:lang w:val="en-GB"/>
        </w:rPr>
        <w:t xml:space="preserve"> buffer</w:t>
      </w:r>
      <w:r w:rsidRPr="00D27234">
        <w:rPr>
          <w:rFonts w:ascii="Times New Roman" w:hAnsi="Times New Roman"/>
          <w:noProof/>
          <w:sz w:val="24"/>
          <w:szCs w:val="24"/>
          <w:lang w:val="en-GB"/>
        </w:rPr>
        <w:t>.</w:t>
      </w:r>
    </w:p>
    <w:p w14:paraId="636A860B" w14:textId="77777777" w:rsidR="00652442" w:rsidRPr="00D27234" w:rsidRDefault="00652442" w:rsidP="00D27234">
      <w:pPr>
        <w:pStyle w:val="Listeafsnit"/>
        <w:numPr>
          <w:ilvl w:val="0"/>
          <w:numId w:val="19"/>
        </w:numPr>
        <w:spacing w:before="0" w:after="0"/>
        <w:ind w:left="1276" w:hanging="425"/>
        <w:jc w:val="left"/>
        <w:rPr>
          <w:rFonts w:ascii="Times New Roman" w:hAnsi="Times New Roman"/>
          <w:sz w:val="24"/>
          <w:szCs w:val="24"/>
          <w:lang w:val="en-GB"/>
        </w:rPr>
      </w:pPr>
      <w:r w:rsidRPr="00D27234">
        <w:rPr>
          <w:rFonts w:ascii="Times New Roman" w:hAnsi="Times New Roman"/>
          <w:sz w:val="24"/>
          <w:szCs w:val="24"/>
          <w:lang w:val="en-GB"/>
        </w:rPr>
        <w:t>One empty vial, sterile, vacuum-sealed.</w:t>
      </w:r>
    </w:p>
    <w:p w14:paraId="08A531BC" w14:textId="77777777" w:rsidR="00652442" w:rsidRPr="00D27234" w:rsidRDefault="00652442" w:rsidP="00D27234">
      <w:pPr>
        <w:pStyle w:val="Listeafsnit"/>
        <w:numPr>
          <w:ilvl w:val="0"/>
          <w:numId w:val="19"/>
        </w:numPr>
        <w:spacing w:before="0" w:after="0"/>
        <w:ind w:left="1276" w:hanging="425"/>
        <w:jc w:val="left"/>
        <w:rPr>
          <w:rFonts w:ascii="Times New Roman" w:hAnsi="Times New Roman"/>
          <w:sz w:val="24"/>
          <w:szCs w:val="24"/>
          <w:lang w:val="en-GB"/>
        </w:rPr>
      </w:pPr>
      <w:r w:rsidRPr="00D27234">
        <w:rPr>
          <w:rFonts w:ascii="Times New Roman" w:hAnsi="Times New Roman"/>
          <w:noProof/>
          <w:sz w:val="24"/>
          <w:szCs w:val="24"/>
          <w:lang w:val="en-GB"/>
        </w:rPr>
        <w:t>Label for radiolabelled product shielding.</w:t>
      </w:r>
    </w:p>
    <w:p w14:paraId="4471B5B0" w14:textId="77777777" w:rsidR="00652442" w:rsidRPr="00110F7D" w:rsidRDefault="00652442" w:rsidP="00CC5520">
      <w:pPr>
        <w:ind w:left="851"/>
        <w:rPr>
          <w:sz w:val="24"/>
          <w:szCs w:val="24"/>
          <w:lang w:val="en-GB"/>
        </w:rPr>
      </w:pPr>
    </w:p>
    <w:p w14:paraId="59540A36" w14:textId="77777777" w:rsidR="00652442" w:rsidRPr="00110F7D" w:rsidRDefault="00652442" w:rsidP="00CC5520">
      <w:pPr>
        <w:ind w:left="851"/>
        <w:rPr>
          <w:noProof/>
          <w:sz w:val="24"/>
          <w:szCs w:val="24"/>
          <w:lang w:val="en-US"/>
        </w:rPr>
      </w:pPr>
      <w:r w:rsidRPr="00110F7D">
        <w:rPr>
          <w:sz w:val="24"/>
          <w:szCs w:val="24"/>
          <w:lang w:val="en-US"/>
        </w:rPr>
        <w:t xml:space="preserve">Each vial is a 10 mL capacity glass vial made of type I closed with a rubber stopper and </w:t>
      </w:r>
      <w:r w:rsidRPr="00110F7D">
        <w:rPr>
          <w:noProof/>
          <w:sz w:val="24"/>
          <w:szCs w:val="24"/>
          <w:lang w:val="en-US"/>
        </w:rPr>
        <w:t xml:space="preserve">sealed with a </w:t>
      </w:r>
      <w:proofErr w:type="spellStart"/>
      <w:r w:rsidRPr="00110F7D">
        <w:rPr>
          <w:sz w:val="24"/>
          <w:szCs w:val="24"/>
          <w:lang w:val="en-US"/>
        </w:rPr>
        <w:t>coloured</w:t>
      </w:r>
      <w:proofErr w:type="spellEnd"/>
      <w:r w:rsidRPr="00110F7D">
        <w:rPr>
          <w:noProof/>
          <w:sz w:val="24"/>
          <w:szCs w:val="24"/>
          <w:lang w:val="en-US"/>
        </w:rPr>
        <w:t xml:space="preserve"> cap</w:t>
      </w:r>
      <w:r w:rsidRPr="00110F7D">
        <w:rPr>
          <w:sz w:val="24"/>
          <w:szCs w:val="24"/>
          <w:lang w:val="en-US"/>
        </w:rPr>
        <w:t>.</w:t>
      </w:r>
    </w:p>
    <w:p w14:paraId="08189B54" w14:textId="77777777" w:rsidR="00652442" w:rsidRPr="00110F7D" w:rsidRDefault="00652442" w:rsidP="00CC5520">
      <w:pPr>
        <w:ind w:left="851"/>
        <w:rPr>
          <w:sz w:val="24"/>
          <w:szCs w:val="24"/>
          <w:lang w:val="en-US"/>
        </w:rPr>
      </w:pPr>
    </w:p>
    <w:p w14:paraId="330B9399" w14:textId="77777777" w:rsidR="00652442" w:rsidRPr="00110F7D" w:rsidRDefault="00652442" w:rsidP="00CC5520">
      <w:pPr>
        <w:ind w:left="851"/>
        <w:rPr>
          <w:sz w:val="24"/>
          <w:szCs w:val="24"/>
          <w:lang w:val="en-US"/>
        </w:rPr>
      </w:pPr>
      <w:r w:rsidRPr="00110F7D">
        <w:rPr>
          <w:sz w:val="24"/>
          <w:szCs w:val="24"/>
          <w:lang w:val="en-US"/>
        </w:rPr>
        <w:t>Not all pack sizes may be marketed.</w:t>
      </w:r>
    </w:p>
    <w:p w14:paraId="04A956A0" w14:textId="77777777" w:rsidR="00114971" w:rsidRPr="00110F7D" w:rsidRDefault="00114971" w:rsidP="00114971">
      <w:pPr>
        <w:tabs>
          <w:tab w:val="left" w:pos="851"/>
        </w:tabs>
        <w:ind w:left="851"/>
        <w:rPr>
          <w:sz w:val="24"/>
          <w:szCs w:val="24"/>
          <w:lang w:val="en-US"/>
        </w:rPr>
      </w:pPr>
    </w:p>
    <w:p w14:paraId="6F6CF9C2" w14:textId="77777777" w:rsidR="00114971" w:rsidRPr="00110F7D" w:rsidRDefault="00114971" w:rsidP="00114971">
      <w:pPr>
        <w:ind w:left="851" w:hanging="851"/>
        <w:rPr>
          <w:b/>
          <w:sz w:val="24"/>
          <w:szCs w:val="24"/>
          <w:lang w:val="en-GB"/>
        </w:rPr>
      </w:pPr>
      <w:r w:rsidRPr="00110F7D">
        <w:rPr>
          <w:b/>
          <w:sz w:val="24"/>
          <w:szCs w:val="24"/>
          <w:lang w:val="en-GB"/>
        </w:rPr>
        <w:t>6.6</w:t>
      </w:r>
      <w:r w:rsidRPr="00110F7D">
        <w:rPr>
          <w:b/>
          <w:sz w:val="24"/>
          <w:szCs w:val="24"/>
          <w:lang w:val="en-GB"/>
        </w:rPr>
        <w:tab/>
        <w:t>Special precautions for disposal and other handling</w:t>
      </w:r>
    </w:p>
    <w:p w14:paraId="28DFF5F2" w14:textId="77777777" w:rsidR="00D27234" w:rsidRDefault="00D27234" w:rsidP="00CC5520">
      <w:pPr>
        <w:ind w:left="851"/>
        <w:rPr>
          <w:sz w:val="24"/>
          <w:szCs w:val="24"/>
          <w:u w:val="single"/>
          <w:lang w:val="en-GB"/>
        </w:rPr>
      </w:pPr>
    </w:p>
    <w:p w14:paraId="1B0627DD" w14:textId="4C3BB01C" w:rsidR="00652442" w:rsidRPr="00110F7D" w:rsidRDefault="00652442" w:rsidP="00CC5520">
      <w:pPr>
        <w:ind w:left="851"/>
        <w:rPr>
          <w:sz w:val="24"/>
          <w:szCs w:val="24"/>
          <w:u w:val="single"/>
          <w:lang w:val="en-US"/>
        </w:rPr>
      </w:pPr>
      <w:r w:rsidRPr="00110F7D">
        <w:rPr>
          <w:sz w:val="24"/>
          <w:szCs w:val="24"/>
          <w:u w:val="single"/>
          <w:lang w:val="en-US"/>
        </w:rPr>
        <w:t>General warning</w:t>
      </w:r>
    </w:p>
    <w:p w14:paraId="563408C0" w14:textId="77777777" w:rsidR="00652442" w:rsidRPr="00110F7D" w:rsidRDefault="00652442" w:rsidP="00CC5520">
      <w:pPr>
        <w:ind w:left="851"/>
        <w:rPr>
          <w:sz w:val="24"/>
          <w:szCs w:val="24"/>
          <w:lang w:val="en-US"/>
        </w:rPr>
      </w:pPr>
    </w:p>
    <w:p w14:paraId="254081D2" w14:textId="77777777" w:rsidR="00652442" w:rsidRPr="00110F7D" w:rsidRDefault="00652442" w:rsidP="00CC5520">
      <w:pPr>
        <w:ind w:left="851"/>
        <w:rPr>
          <w:sz w:val="24"/>
          <w:szCs w:val="24"/>
          <w:lang w:val="en-US"/>
        </w:rPr>
      </w:pPr>
      <w:r w:rsidRPr="00110F7D">
        <w:rPr>
          <w:sz w:val="24"/>
          <w:szCs w:val="24"/>
          <w:lang w:val="en-US"/>
        </w:rPr>
        <w:t xml:space="preserve">Radiopharmaceuticals should be received, used and administered only by </w:t>
      </w:r>
      <w:proofErr w:type="spellStart"/>
      <w:r w:rsidRPr="00110F7D">
        <w:rPr>
          <w:sz w:val="24"/>
          <w:szCs w:val="24"/>
          <w:lang w:val="en-US"/>
        </w:rPr>
        <w:t>authorised</w:t>
      </w:r>
      <w:proofErr w:type="spellEnd"/>
      <w:r w:rsidRPr="00110F7D">
        <w:rPr>
          <w:sz w:val="24"/>
          <w:szCs w:val="24"/>
          <w:lang w:val="en-US"/>
        </w:rPr>
        <w:t xml:space="preserve"> persons in designated clinical settings. Their receipt, storage, use, transfer and disposal are subject to the regulations and/or appropriate </w:t>
      </w:r>
      <w:proofErr w:type="spellStart"/>
      <w:r w:rsidRPr="00110F7D">
        <w:rPr>
          <w:sz w:val="24"/>
          <w:szCs w:val="24"/>
          <w:lang w:val="en-US"/>
        </w:rPr>
        <w:t>licences</w:t>
      </w:r>
      <w:proofErr w:type="spellEnd"/>
      <w:r w:rsidRPr="00110F7D">
        <w:rPr>
          <w:sz w:val="24"/>
          <w:szCs w:val="24"/>
          <w:lang w:val="en-US"/>
        </w:rPr>
        <w:t xml:space="preserve"> of the competent official </w:t>
      </w:r>
      <w:proofErr w:type="spellStart"/>
      <w:r w:rsidRPr="00110F7D">
        <w:rPr>
          <w:sz w:val="24"/>
          <w:szCs w:val="24"/>
          <w:lang w:val="en-US"/>
        </w:rPr>
        <w:t>organisation</w:t>
      </w:r>
      <w:proofErr w:type="spellEnd"/>
      <w:r w:rsidRPr="00110F7D">
        <w:rPr>
          <w:sz w:val="24"/>
          <w:szCs w:val="24"/>
          <w:lang w:val="en-US"/>
        </w:rPr>
        <w:t>.</w:t>
      </w:r>
    </w:p>
    <w:p w14:paraId="36C1277C" w14:textId="77777777" w:rsidR="00652442" w:rsidRPr="00110F7D" w:rsidRDefault="00652442" w:rsidP="00CC5520">
      <w:pPr>
        <w:ind w:left="851"/>
        <w:rPr>
          <w:sz w:val="24"/>
          <w:szCs w:val="24"/>
          <w:lang w:val="en-US"/>
        </w:rPr>
      </w:pPr>
    </w:p>
    <w:p w14:paraId="2B14A3DA" w14:textId="77777777" w:rsidR="00652442" w:rsidRPr="00110F7D" w:rsidRDefault="00652442" w:rsidP="00CC5520">
      <w:pPr>
        <w:ind w:left="851"/>
        <w:rPr>
          <w:sz w:val="24"/>
          <w:szCs w:val="24"/>
          <w:lang w:val="en-US"/>
        </w:rPr>
      </w:pPr>
      <w:r w:rsidRPr="00110F7D">
        <w:rPr>
          <w:sz w:val="24"/>
          <w:szCs w:val="24"/>
          <w:lang w:val="en-US"/>
        </w:rPr>
        <w:t>Radiopharmaceuticals should be prepared in a manner which satisfies both radiation safety and pharmaceutical quality requirements. Appropriate aseptic precautions should be taken.</w:t>
      </w:r>
    </w:p>
    <w:p w14:paraId="51DEB9F0" w14:textId="77777777" w:rsidR="00652442" w:rsidRPr="00110F7D" w:rsidRDefault="00652442" w:rsidP="00CC5520">
      <w:pPr>
        <w:ind w:left="851"/>
        <w:rPr>
          <w:sz w:val="24"/>
          <w:szCs w:val="24"/>
          <w:lang w:val="en-US"/>
        </w:rPr>
      </w:pPr>
    </w:p>
    <w:p w14:paraId="688FFA8F" w14:textId="77777777" w:rsidR="00652442" w:rsidRPr="00110F7D" w:rsidRDefault="00652442" w:rsidP="00CC5520">
      <w:pPr>
        <w:ind w:left="851"/>
        <w:rPr>
          <w:sz w:val="24"/>
          <w:szCs w:val="24"/>
          <w:lang w:val="en-US"/>
        </w:rPr>
      </w:pPr>
      <w:r w:rsidRPr="00110F7D">
        <w:rPr>
          <w:sz w:val="24"/>
          <w:szCs w:val="24"/>
          <w:lang w:val="en-US"/>
        </w:rPr>
        <w:t>The contents of the vials are intended only for use in the preparation of gallium (</w:t>
      </w:r>
      <w:r w:rsidRPr="00110F7D">
        <w:rPr>
          <w:sz w:val="24"/>
          <w:szCs w:val="24"/>
          <w:vertAlign w:val="superscript"/>
          <w:lang w:val="en-US"/>
        </w:rPr>
        <w:t>68</w:t>
      </w:r>
      <w:r w:rsidRPr="00110F7D">
        <w:rPr>
          <w:sz w:val="24"/>
          <w:szCs w:val="24"/>
          <w:lang w:val="en-US"/>
        </w:rPr>
        <w:t xml:space="preserve">Ga) </w:t>
      </w:r>
      <w:proofErr w:type="spellStart"/>
      <w:r w:rsidRPr="00110F7D">
        <w:rPr>
          <w:sz w:val="24"/>
          <w:szCs w:val="24"/>
          <w:lang w:val="en-US"/>
        </w:rPr>
        <w:t>gozetotide</w:t>
      </w:r>
      <w:proofErr w:type="spellEnd"/>
      <w:r w:rsidRPr="00110F7D">
        <w:rPr>
          <w:sz w:val="24"/>
          <w:szCs w:val="24"/>
          <w:lang w:val="en-US"/>
        </w:rPr>
        <w:t xml:space="preserve"> solution for injection and are not to be administrated directly to the patient without first undergoing the preparative procedure (see section 12).</w:t>
      </w:r>
    </w:p>
    <w:p w14:paraId="768C4000" w14:textId="77777777" w:rsidR="00652442" w:rsidRPr="00110F7D" w:rsidRDefault="00652442" w:rsidP="00CC5520">
      <w:pPr>
        <w:ind w:left="851"/>
        <w:rPr>
          <w:sz w:val="24"/>
          <w:szCs w:val="24"/>
          <w:lang w:val="en-US"/>
        </w:rPr>
      </w:pPr>
    </w:p>
    <w:p w14:paraId="7D802A18" w14:textId="77777777" w:rsidR="00652442" w:rsidRPr="00110F7D" w:rsidRDefault="00652442" w:rsidP="00CC5520">
      <w:pPr>
        <w:ind w:left="851"/>
        <w:rPr>
          <w:sz w:val="24"/>
          <w:szCs w:val="24"/>
          <w:u w:val="single"/>
          <w:lang w:val="en-US"/>
        </w:rPr>
      </w:pPr>
      <w:r w:rsidRPr="00110F7D">
        <w:rPr>
          <w:sz w:val="24"/>
          <w:szCs w:val="24"/>
          <w:u w:val="single"/>
          <w:lang w:val="en-US" w:eastAsia="fr-FR"/>
        </w:rPr>
        <w:t>Precautions to be taken before handling or administration of the medicinal product</w:t>
      </w:r>
    </w:p>
    <w:p w14:paraId="38DBE2B7" w14:textId="77777777" w:rsidR="00652442" w:rsidRPr="00110F7D" w:rsidRDefault="00652442" w:rsidP="00CC5520">
      <w:pPr>
        <w:ind w:left="851"/>
        <w:rPr>
          <w:sz w:val="24"/>
          <w:szCs w:val="24"/>
          <w:lang w:val="en-US"/>
        </w:rPr>
      </w:pPr>
    </w:p>
    <w:p w14:paraId="66955407" w14:textId="77777777" w:rsidR="00652442" w:rsidRPr="00110F7D" w:rsidRDefault="00652442" w:rsidP="00CC5520">
      <w:pPr>
        <w:ind w:left="851"/>
        <w:rPr>
          <w:sz w:val="24"/>
          <w:szCs w:val="24"/>
          <w:lang w:val="en-US"/>
        </w:rPr>
      </w:pPr>
      <w:r w:rsidRPr="00110F7D">
        <w:rPr>
          <w:sz w:val="24"/>
          <w:szCs w:val="24"/>
          <w:lang w:val="en-US"/>
        </w:rPr>
        <w:t xml:space="preserve">The content of the kit before reconstitution and </w:t>
      </w:r>
      <w:proofErr w:type="spellStart"/>
      <w:r w:rsidRPr="00110F7D">
        <w:rPr>
          <w:sz w:val="24"/>
          <w:szCs w:val="24"/>
          <w:lang w:val="en-US"/>
        </w:rPr>
        <w:t>radiolabelling</w:t>
      </w:r>
      <w:proofErr w:type="spellEnd"/>
      <w:r w:rsidRPr="00110F7D">
        <w:rPr>
          <w:sz w:val="24"/>
          <w:szCs w:val="24"/>
          <w:lang w:val="en-US"/>
        </w:rPr>
        <w:t xml:space="preserve"> is not radioactive. However, after gallium (</w:t>
      </w:r>
      <w:r w:rsidRPr="00110F7D">
        <w:rPr>
          <w:sz w:val="24"/>
          <w:szCs w:val="24"/>
          <w:vertAlign w:val="superscript"/>
          <w:lang w:val="en-US"/>
        </w:rPr>
        <w:t>68</w:t>
      </w:r>
      <w:r w:rsidRPr="00110F7D">
        <w:rPr>
          <w:sz w:val="24"/>
          <w:szCs w:val="24"/>
          <w:lang w:val="en-US"/>
        </w:rPr>
        <w:t>Ga) chloride Ph. Eur. is added, adequate shielding of the final preparation must be maintained.</w:t>
      </w:r>
    </w:p>
    <w:p w14:paraId="09C590AD" w14:textId="77777777" w:rsidR="00652442" w:rsidRPr="00110F7D" w:rsidRDefault="00652442" w:rsidP="00CC5520">
      <w:pPr>
        <w:ind w:left="851"/>
        <w:rPr>
          <w:sz w:val="24"/>
          <w:szCs w:val="24"/>
          <w:lang w:val="en-US"/>
        </w:rPr>
      </w:pPr>
    </w:p>
    <w:p w14:paraId="7B4BE12F" w14:textId="77777777" w:rsidR="00652442" w:rsidRPr="00110F7D" w:rsidRDefault="00652442" w:rsidP="00CC5520">
      <w:pPr>
        <w:tabs>
          <w:tab w:val="left" w:pos="1304"/>
        </w:tabs>
        <w:autoSpaceDE w:val="0"/>
        <w:autoSpaceDN w:val="0"/>
        <w:adjustRightInd w:val="0"/>
        <w:ind w:left="851"/>
        <w:rPr>
          <w:sz w:val="24"/>
          <w:szCs w:val="24"/>
          <w:lang w:val="en-US"/>
        </w:rPr>
      </w:pPr>
      <w:r w:rsidRPr="00110F7D">
        <w:rPr>
          <w:sz w:val="24"/>
          <w:szCs w:val="24"/>
          <w:lang w:val="en-US"/>
        </w:rPr>
        <w:t xml:space="preserve">After reconstitution and </w:t>
      </w:r>
      <w:proofErr w:type="spellStart"/>
      <w:r w:rsidRPr="00110F7D">
        <w:rPr>
          <w:sz w:val="24"/>
          <w:szCs w:val="24"/>
          <w:lang w:val="en-US"/>
        </w:rPr>
        <w:t>radiolabelling</w:t>
      </w:r>
      <w:proofErr w:type="spellEnd"/>
      <w:r w:rsidRPr="00110F7D">
        <w:rPr>
          <w:sz w:val="24"/>
          <w:szCs w:val="24"/>
          <w:lang w:val="en-US"/>
        </w:rPr>
        <w:t xml:space="preserve">, </w:t>
      </w:r>
      <w:proofErr w:type="spellStart"/>
      <w:r w:rsidRPr="00110F7D">
        <w:rPr>
          <w:sz w:val="24"/>
          <w:szCs w:val="24"/>
          <w:lang w:val="en-US"/>
        </w:rPr>
        <w:t>Illuccix</w:t>
      </w:r>
      <w:proofErr w:type="spellEnd"/>
      <w:r w:rsidRPr="00110F7D">
        <w:rPr>
          <w:sz w:val="24"/>
          <w:szCs w:val="24"/>
          <w:lang w:val="en-US"/>
        </w:rPr>
        <w:t xml:space="preserve"> contains a sterile solution for injection of gallium (</w:t>
      </w:r>
      <w:r w:rsidRPr="00110F7D">
        <w:rPr>
          <w:sz w:val="24"/>
          <w:szCs w:val="24"/>
          <w:vertAlign w:val="superscript"/>
          <w:lang w:val="en-US"/>
        </w:rPr>
        <w:t>68</w:t>
      </w:r>
      <w:r w:rsidRPr="00110F7D">
        <w:rPr>
          <w:sz w:val="24"/>
          <w:szCs w:val="24"/>
          <w:lang w:val="en-US"/>
        </w:rPr>
        <w:t xml:space="preserve">Ga) </w:t>
      </w:r>
      <w:proofErr w:type="spellStart"/>
      <w:r w:rsidRPr="00110F7D">
        <w:rPr>
          <w:sz w:val="24"/>
          <w:szCs w:val="24"/>
          <w:lang w:val="en-US"/>
        </w:rPr>
        <w:t>gozetotide</w:t>
      </w:r>
      <w:proofErr w:type="spellEnd"/>
      <w:r w:rsidRPr="00110F7D">
        <w:rPr>
          <w:sz w:val="24"/>
          <w:szCs w:val="24"/>
          <w:lang w:val="en-US"/>
        </w:rPr>
        <w:t xml:space="preserve"> at an activity of up to 1 315 </w:t>
      </w:r>
      <w:proofErr w:type="spellStart"/>
      <w:r w:rsidRPr="00110F7D">
        <w:rPr>
          <w:sz w:val="24"/>
          <w:szCs w:val="24"/>
          <w:lang w:val="en-US"/>
        </w:rPr>
        <w:t>MBq</w:t>
      </w:r>
      <w:proofErr w:type="spellEnd"/>
      <w:r w:rsidRPr="00110F7D">
        <w:rPr>
          <w:sz w:val="24"/>
          <w:szCs w:val="24"/>
          <w:lang w:val="en-US"/>
        </w:rPr>
        <w:t>. The gallium (</w:t>
      </w:r>
      <w:r w:rsidRPr="00110F7D">
        <w:rPr>
          <w:sz w:val="24"/>
          <w:szCs w:val="24"/>
          <w:vertAlign w:val="superscript"/>
          <w:lang w:val="en-US"/>
        </w:rPr>
        <w:t>68</w:t>
      </w:r>
      <w:r w:rsidRPr="00110F7D">
        <w:rPr>
          <w:sz w:val="24"/>
          <w:szCs w:val="24"/>
          <w:lang w:val="en-US"/>
        </w:rPr>
        <w:t xml:space="preserve">Ga) </w:t>
      </w:r>
      <w:proofErr w:type="spellStart"/>
      <w:r w:rsidRPr="00110F7D">
        <w:rPr>
          <w:sz w:val="24"/>
          <w:szCs w:val="24"/>
          <w:lang w:val="en-US"/>
        </w:rPr>
        <w:t>gozetotide</w:t>
      </w:r>
      <w:proofErr w:type="spellEnd"/>
      <w:r w:rsidRPr="00110F7D">
        <w:rPr>
          <w:sz w:val="24"/>
          <w:szCs w:val="24"/>
          <w:lang w:val="en-US"/>
        </w:rPr>
        <w:t xml:space="preserve"> solution for injection also contains hydrochloric acid derived from the gallium-68 chloride solution.</w:t>
      </w:r>
    </w:p>
    <w:p w14:paraId="290ACBF3" w14:textId="77777777" w:rsidR="00652442" w:rsidRPr="00110F7D" w:rsidRDefault="00652442" w:rsidP="00CC5520">
      <w:pPr>
        <w:ind w:left="851"/>
        <w:rPr>
          <w:sz w:val="24"/>
          <w:szCs w:val="24"/>
          <w:lang w:val="en-US"/>
        </w:rPr>
      </w:pPr>
    </w:p>
    <w:p w14:paraId="1E3EF721" w14:textId="77777777" w:rsidR="00652442" w:rsidRPr="00110F7D" w:rsidRDefault="00652442" w:rsidP="00CC5520">
      <w:pPr>
        <w:ind w:left="851"/>
        <w:rPr>
          <w:sz w:val="24"/>
          <w:szCs w:val="24"/>
          <w:lang w:val="en-US"/>
        </w:rPr>
      </w:pPr>
      <w:r w:rsidRPr="00110F7D">
        <w:rPr>
          <w:sz w:val="24"/>
          <w:szCs w:val="24"/>
          <w:lang w:val="en-US"/>
        </w:rPr>
        <w:t>Gallium (</w:t>
      </w:r>
      <w:r w:rsidRPr="00110F7D">
        <w:rPr>
          <w:sz w:val="24"/>
          <w:szCs w:val="24"/>
          <w:vertAlign w:val="superscript"/>
          <w:lang w:val="en-US"/>
        </w:rPr>
        <w:t>68</w:t>
      </w:r>
      <w:r w:rsidRPr="00110F7D">
        <w:rPr>
          <w:sz w:val="24"/>
          <w:szCs w:val="24"/>
          <w:lang w:val="en-US"/>
        </w:rPr>
        <w:t xml:space="preserve">Ga) </w:t>
      </w:r>
      <w:proofErr w:type="spellStart"/>
      <w:r w:rsidRPr="00110F7D">
        <w:rPr>
          <w:sz w:val="24"/>
          <w:szCs w:val="24"/>
          <w:lang w:val="en-US"/>
        </w:rPr>
        <w:t>gozetotide</w:t>
      </w:r>
      <w:proofErr w:type="spellEnd"/>
      <w:r w:rsidRPr="00110F7D">
        <w:rPr>
          <w:sz w:val="24"/>
          <w:szCs w:val="24"/>
          <w:lang w:val="en-US"/>
        </w:rPr>
        <w:t xml:space="preserve"> is a sterile, clear, </w:t>
      </w:r>
      <w:proofErr w:type="spellStart"/>
      <w:r w:rsidRPr="00110F7D">
        <w:rPr>
          <w:sz w:val="24"/>
          <w:szCs w:val="24"/>
          <w:lang w:val="en-US"/>
        </w:rPr>
        <w:t>colourless</w:t>
      </w:r>
      <w:proofErr w:type="spellEnd"/>
      <w:r w:rsidRPr="00110F7D">
        <w:rPr>
          <w:sz w:val="24"/>
          <w:szCs w:val="24"/>
          <w:lang w:val="en-US"/>
        </w:rPr>
        <w:t xml:space="preserve"> solution for intravenous administration, practically free from visible particles and with pH between 4.0 to 5.0.</w:t>
      </w:r>
    </w:p>
    <w:p w14:paraId="709B7C43" w14:textId="77777777" w:rsidR="00652442" w:rsidRPr="00110F7D" w:rsidRDefault="00652442" w:rsidP="00CC5520">
      <w:pPr>
        <w:ind w:left="851"/>
        <w:rPr>
          <w:sz w:val="24"/>
          <w:szCs w:val="24"/>
          <w:lang w:val="en-US"/>
        </w:rPr>
      </w:pPr>
    </w:p>
    <w:p w14:paraId="17FAF6ED" w14:textId="77777777" w:rsidR="00652442" w:rsidRPr="00110F7D" w:rsidRDefault="00652442" w:rsidP="00CC5520">
      <w:pPr>
        <w:tabs>
          <w:tab w:val="left" w:pos="1304"/>
        </w:tabs>
        <w:autoSpaceDE w:val="0"/>
        <w:autoSpaceDN w:val="0"/>
        <w:adjustRightInd w:val="0"/>
        <w:ind w:left="851"/>
        <w:rPr>
          <w:sz w:val="24"/>
          <w:szCs w:val="24"/>
          <w:lang w:val="en-US"/>
        </w:rPr>
      </w:pPr>
      <w:r w:rsidRPr="00110F7D">
        <w:rPr>
          <w:sz w:val="24"/>
          <w:szCs w:val="24"/>
          <w:lang w:val="en-US"/>
        </w:rPr>
        <w:t>Appropriate aseptic precautions should be taken when withdrawing and administering gallium (</w:t>
      </w:r>
      <w:r w:rsidRPr="00110F7D">
        <w:rPr>
          <w:sz w:val="24"/>
          <w:szCs w:val="24"/>
          <w:vertAlign w:val="superscript"/>
          <w:lang w:val="en-US"/>
        </w:rPr>
        <w:t>68</w:t>
      </w:r>
      <w:r w:rsidRPr="00110F7D">
        <w:rPr>
          <w:sz w:val="24"/>
          <w:szCs w:val="24"/>
          <w:lang w:val="en-US"/>
        </w:rPr>
        <w:t xml:space="preserve">Ga) </w:t>
      </w:r>
      <w:proofErr w:type="spellStart"/>
      <w:r w:rsidRPr="00110F7D">
        <w:rPr>
          <w:sz w:val="24"/>
          <w:szCs w:val="24"/>
          <w:lang w:val="en-US"/>
        </w:rPr>
        <w:t>gozetotide</w:t>
      </w:r>
      <w:proofErr w:type="spellEnd"/>
      <w:r w:rsidRPr="00110F7D">
        <w:rPr>
          <w:sz w:val="24"/>
          <w:szCs w:val="24"/>
          <w:lang w:val="en-US"/>
        </w:rPr>
        <w:t xml:space="preserve"> solution for injection.</w:t>
      </w:r>
    </w:p>
    <w:p w14:paraId="11DF9AD2" w14:textId="77777777" w:rsidR="00652442" w:rsidRPr="00110F7D" w:rsidRDefault="00652442" w:rsidP="00CC5520">
      <w:pPr>
        <w:tabs>
          <w:tab w:val="left" w:pos="1304"/>
        </w:tabs>
        <w:autoSpaceDE w:val="0"/>
        <w:autoSpaceDN w:val="0"/>
        <w:adjustRightInd w:val="0"/>
        <w:ind w:left="851"/>
        <w:rPr>
          <w:sz w:val="24"/>
          <w:szCs w:val="24"/>
          <w:lang w:val="en-US"/>
        </w:rPr>
      </w:pPr>
    </w:p>
    <w:p w14:paraId="4A433105" w14:textId="77777777" w:rsidR="00652442" w:rsidRPr="00110F7D" w:rsidRDefault="00652442" w:rsidP="00CC5520">
      <w:pPr>
        <w:ind w:left="851"/>
        <w:rPr>
          <w:sz w:val="24"/>
          <w:szCs w:val="24"/>
          <w:lang w:val="en-US"/>
        </w:rPr>
      </w:pPr>
      <w:r w:rsidRPr="00110F7D">
        <w:rPr>
          <w:sz w:val="24"/>
          <w:szCs w:val="24"/>
          <w:lang w:val="en-US"/>
        </w:rPr>
        <w:t xml:space="preserve">Administration procedures should be carried out in a way to </w:t>
      </w:r>
      <w:proofErr w:type="spellStart"/>
      <w:r w:rsidRPr="00110F7D">
        <w:rPr>
          <w:sz w:val="24"/>
          <w:szCs w:val="24"/>
          <w:lang w:val="en-US"/>
        </w:rPr>
        <w:t>minimise</w:t>
      </w:r>
      <w:proofErr w:type="spellEnd"/>
      <w:r w:rsidRPr="00110F7D">
        <w:rPr>
          <w:sz w:val="24"/>
          <w:szCs w:val="24"/>
          <w:lang w:val="en-US"/>
        </w:rPr>
        <w:t xml:space="preserve"> risk of contamination of the medicinal product and irradiation of the operators. Adequate shielding is mandatory.</w:t>
      </w:r>
    </w:p>
    <w:p w14:paraId="0EBC78A4" w14:textId="77777777" w:rsidR="00652442" w:rsidRPr="00110F7D" w:rsidRDefault="00652442" w:rsidP="00CC5520">
      <w:pPr>
        <w:ind w:left="851"/>
        <w:rPr>
          <w:sz w:val="24"/>
          <w:szCs w:val="24"/>
          <w:lang w:val="en-US"/>
        </w:rPr>
      </w:pPr>
    </w:p>
    <w:p w14:paraId="6F6CEDAA" w14:textId="77777777" w:rsidR="00652442" w:rsidRPr="00110F7D" w:rsidRDefault="00652442" w:rsidP="00CC5520">
      <w:pPr>
        <w:ind w:left="851"/>
        <w:rPr>
          <w:sz w:val="24"/>
          <w:szCs w:val="24"/>
          <w:lang w:val="en-US"/>
        </w:rPr>
      </w:pPr>
      <w:r w:rsidRPr="00110F7D">
        <w:rPr>
          <w:sz w:val="24"/>
          <w:szCs w:val="24"/>
          <w:lang w:val="en-US"/>
        </w:rPr>
        <w:t>If at any time in the preparation of this medicinal product the integrity of the vials is compromised, it should not be used.</w:t>
      </w:r>
    </w:p>
    <w:p w14:paraId="40E6748A" w14:textId="77777777" w:rsidR="00652442" w:rsidRPr="00110F7D" w:rsidRDefault="00652442" w:rsidP="00CC5520">
      <w:pPr>
        <w:ind w:left="851"/>
        <w:rPr>
          <w:sz w:val="24"/>
          <w:szCs w:val="24"/>
          <w:lang w:val="en-US"/>
        </w:rPr>
      </w:pPr>
    </w:p>
    <w:p w14:paraId="6411AD9E" w14:textId="77777777" w:rsidR="00652442" w:rsidRPr="00110F7D" w:rsidRDefault="00652442" w:rsidP="00CC5520">
      <w:pPr>
        <w:ind w:left="851"/>
        <w:rPr>
          <w:sz w:val="24"/>
          <w:szCs w:val="24"/>
          <w:lang w:val="en-US"/>
        </w:rPr>
      </w:pPr>
      <w:r w:rsidRPr="00110F7D">
        <w:rPr>
          <w:sz w:val="24"/>
          <w:szCs w:val="24"/>
          <w:lang w:val="en-US"/>
        </w:rPr>
        <w:t>The administration of radiopharmaceuticals creates risks for other persons from external radiation or contamination from spill of urine, vomiting etc. Radiation protection precautions in accordance with national regulations must therefore be taken.</w:t>
      </w:r>
    </w:p>
    <w:p w14:paraId="153E7E49" w14:textId="77777777" w:rsidR="00652442" w:rsidRPr="00110F7D" w:rsidRDefault="00652442" w:rsidP="00CC5520">
      <w:pPr>
        <w:ind w:left="851"/>
        <w:rPr>
          <w:sz w:val="24"/>
          <w:szCs w:val="24"/>
          <w:lang w:val="en-US"/>
        </w:rPr>
      </w:pPr>
    </w:p>
    <w:p w14:paraId="197F81FA" w14:textId="77777777" w:rsidR="00652442" w:rsidRPr="00110F7D" w:rsidRDefault="00652442" w:rsidP="00CC5520">
      <w:pPr>
        <w:ind w:left="851"/>
        <w:rPr>
          <w:sz w:val="24"/>
          <w:szCs w:val="24"/>
          <w:lang w:val="en-US"/>
        </w:rPr>
      </w:pPr>
      <w:r w:rsidRPr="00110F7D">
        <w:rPr>
          <w:sz w:val="24"/>
          <w:szCs w:val="24"/>
          <w:lang w:val="en-US"/>
        </w:rPr>
        <w:t xml:space="preserve">For instructions on reconstitution and </w:t>
      </w:r>
      <w:proofErr w:type="spellStart"/>
      <w:r w:rsidRPr="00110F7D">
        <w:rPr>
          <w:sz w:val="24"/>
          <w:szCs w:val="24"/>
          <w:lang w:val="en-US"/>
        </w:rPr>
        <w:t>radiolabelling</w:t>
      </w:r>
      <w:proofErr w:type="spellEnd"/>
      <w:r w:rsidRPr="00110F7D">
        <w:rPr>
          <w:sz w:val="24"/>
          <w:szCs w:val="24"/>
          <w:lang w:val="en-US"/>
        </w:rPr>
        <w:t xml:space="preserve"> of the medicinal product before administration, see section 12.</w:t>
      </w:r>
    </w:p>
    <w:p w14:paraId="4BAA03ED" w14:textId="77777777" w:rsidR="00652442" w:rsidRPr="00110F7D" w:rsidRDefault="00652442" w:rsidP="00CC5520">
      <w:pPr>
        <w:ind w:left="851"/>
        <w:rPr>
          <w:sz w:val="24"/>
          <w:szCs w:val="24"/>
          <w:lang w:val="en-US"/>
        </w:rPr>
      </w:pPr>
    </w:p>
    <w:p w14:paraId="5465661A" w14:textId="77777777" w:rsidR="00652442" w:rsidRPr="00110F7D" w:rsidRDefault="00652442" w:rsidP="00CC5520">
      <w:pPr>
        <w:ind w:left="851"/>
        <w:rPr>
          <w:sz w:val="24"/>
          <w:szCs w:val="24"/>
          <w:lang w:val="en-US"/>
        </w:rPr>
      </w:pPr>
      <w:r w:rsidRPr="00110F7D">
        <w:rPr>
          <w:sz w:val="24"/>
          <w:szCs w:val="24"/>
          <w:lang w:val="en-US"/>
        </w:rPr>
        <w:t>Any unused medicinal product or waste material should be disposed of in accordance with local requirements.</w:t>
      </w:r>
    </w:p>
    <w:p w14:paraId="702C6832" w14:textId="77777777" w:rsidR="00114971" w:rsidRPr="00110F7D" w:rsidRDefault="00114971" w:rsidP="00114971">
      <w:pPr>
        <w:tabs>
          <w:tab w:val="left" w:pos="851"/>
        </w:tabs>
        <w:ind w:left="851"/>
        <w:jc w:val="both"/>
        <w:rPr>
          <w:sz w:val="24"/>
          <w:szCs w:val="24"/>
          <w:lang w:val="en-US"/>
        </w:rPr>
      </w:pPr>
    </w:p>
    <w:p w14:paraId="72A63BCC" w14:textId="77777777" w:rsidR="00114971" w:rsidRPr="00901068" w:rsidRDefault="00114971" w:rsidP="00114971">
      <w:pPr>
        <w:tabs>
          <w:tab w:val="left" w:pos="851"/>
        </w:tabs>
        <w:ind w:left="851" w:hanging="851"/>
        <w:jc w:val="both"/>
        <w:rPr>
          <w:b/>
          <w:sz w:val="24"/>
          <w:szCs w:val="24"/>
          <w:lang w:val="en-US"/>
        </w:rPr>
      </w:pPr>
      <w:r w:rsidRPr="00110F7D">
        <w:rPr>
          <w:b/>
          <w:sz w:val="24"/>
          <w:szCs w:val="24"/>
          <w:lang w:val="en-US"/>
        </w:rPr>
        <w:lastRenderedPageBreak/>
        <w:t>7.</w:t>
      </w:r>
      <w:r w:rsidRPr="00110F7D">
        <w:rPr>
          <w:b/>
          <w:sz w:val="24"/>
          <w:szCs w:val="24"/>
          <w:lang w:val="en-US"/>
        </w:rPr>
        <w:tab/>
        <w:t>MARKETING AUTHORISATION HOLD</w:t>
      </w:r>
      <w:r w:rsidRPr="00901068">
        <w:rPr>
          <w:b/>
          <w:sz w:val="24"/>
          <w:szCs w:val="24"/>
          <w:lang w:val="en-US"/>
        </w:rPr>
        <w:t>ER</w:t>
      </w:r>
    </w:p>
    <w:p w14:paraId="6135B050" w14:textId="77777777" w:rsidR="00652442" w:rsidRPr="00901068" w:rsidRDefault="00652442" w:rsidP="00CC5520">
      <w:pPr>
        <w:ind w:left="851"/>
        <w:rPr>
          <w:sz w:val="24"/>
          <w:szCs w:val="24"/>
          <w:lang w:val="en-US"/>
        </w:rPr>
      </w:pPr>
      <w:r w:rsidRPr="00901068">
        <w:rPr>
          <w:sz w:val="24"/>
          <w:szCs w:val="24"/>
          <w:lang w:val="en-US"/>
        </w:rPr>
        <w:t>TELIX INNOVATIONS S.A.</w:t>
      </w:r>
    </w:p>
    <w:p w14:paraId="63B9DF2D" w14:textId="77777777" w:rsidR="00652442" w:rsidRPr="00901068" w:rsidRDefault="00652442" w:rsidP="00CC5520">
      <w:pPr>
        <w:ind w:left="851"/>
        <w:rPr>
          <w:sz w:val="24"/>
          <w:szCs w:val="24"/>
          <w:lang w:val="en-US"/>
        </w:rPr>
      </w:pPr>
      <w:r w:rsidRPr="00901068">
        <w:rPr>
          <w:sz w:val="24"/>
          <w:szCs w:val="24"/>
          <w:lang w:val="en-US"/>
        </w:rPr>
        <w:t xml:space="preserve">Rue de </w:t>
      </w:r>
      <w:proofErr w:type="spellStart"/>
      <w:r w:rsidRPr="00901068">
        <w:rPr>
          <w:sz w:val="24"/>
          <w:szCs w:val="24"/>
          <w:lang w:val="en-US"/>
        </w:rPr>
        <w:t>Hermée</w:t>
      </w:r>
      <w:proofErr w:type="spellEnd"/>
      <w:r w:rsidRPr="00901068">
        <w:rPr>
          <w:sz w:val="24"/>
          <w:szCs w:val="24"/>
          <w:lang w:val="en-US"/>
        </w:rPr>
        <w:t>, 255</w:t>
      </w:r>
    </w:p>
    <w:p w14:paraId="6CB3B3B0" w14:textId="77777777" w:rsidR="00652442" w:rsidRPr="00901068" w:rsidRDefault="00652442" w:rsidP="00CC5520">
      <w:pPr>
        <w:ind w:left="851"/>
        <w:rPr>
          <w:sz w:val="24"/>
          <w:szCs w:val="24"/>
          <w:lang w:val="en-US"/>
        </w:rPr>
      </w:pPr>
      <w:r w:rsidRPr="00901068">
        <w:rPr>
          <w:sz w:val="24"/>
          <w:szCs w:val="24"/>
          <w:lang w:val="en-US"/>
        </w:rPr>
        <w:t xml:space="preserve">4040 </w:t>
      </w:r>
      <w:proofErr w:type="spellStart"/>
      <w:r w:rsidRPr="00901068">
        <w:rPr>
          <w:sz w:val="24"/>
          <w:szCs w:val="24"/>
          <w:lang w:val="en-US"/>
        </w:rPr>
        <w:t>Herstal</w:t>
      </w:r>
      <w:proofErr w:type="spellEnd"/>
    </w:p>
    <w:p w14:paraId="450147D2" w14:textId="77777777" w:rsidR="00652442" w:rsidRPr="00901068" w:rsidRDefault="00652442" w:rsidP="00CC5520">
      <w:pPr>
        <w:ind w:left="851"/>
        <w:rPr>
          <w:sz w:val="24"/>
          <w:szCs w:val="24"/>
          <w:lang w:val="en-US"/>
        </w:rPr>
      </w:pPr>
      <w:r w:rsidRPr="00901068">
        <w:rPr>
          <w:sz w:val="24"/>
          <w:szCs w:val="24"/>
          <w:lang w:val="en-US"/>
        </w:rPr>
        <w:t>Belgium</w:t>
      </w:r>
    </w:p>
    <w:p w14:paraId="6D5DB133" w14:textId="77777777" w:rsidR="00114971" w:rsidRPr="00110F7D" w:rsidRDefault="00114971" w:rsidP="00114971">
      <w:pPr>
        <w:tabs>
          <w:tab w:val="left" w:pos="851"/>
        </w:tabs>
        <w:ind w:left="851"/>
        <w:jc w:val="both"/>
        <w:rPr>
          <w:sz w:val="24"/>
          <w:szCs w:val="24"/>
          <w:lang w:val="en-US"/>
        </w:rPr>
      </w:pPr>
    </w:p>
    <w:p w14:paraId="3E63DEC6" w14:textId="77777777" w:rsidR="00114971" w:rsidRPr="00110F7D" w:rsidRDefault="00114971" w:rsidP="00114971">
      <w:pPr>
        <w:ind w:left="851" w:hanging="851"/>
        <w:jc w:val="both"/>
        <w:rPr>
          <w:b/>
          <w:sz w:val="24"/>
          <w:szCs w:val="24"/>
          <w:lang w:val="en-US"/>
        </w:rPr>
      </w:pPr>
      <w:r w:rsidRPr="00110F7D">
        <w:rPr>
          <w:b/>
          <w:sz w:val="24"/>
          <w:szCs w:val="24"/>
          <w:lang w:val="en-US"/>
        </w:rPr>
        <w:t>8.</w:t>
      </w:r>
      <w:r w:rsidRPr="00110F7D">
        <w:rPr>
          <w:b/>
          <w:sz w:val="24"/>
          <w:szCs w:val="24"/>
          <w:lang w:val="en-US"/>
        </w:rPr>
        <w:tab/>
        <w:t>MARKETING AUTHORISATION NUMBER(S)</w:t>
      </w:r>
    </w:p>
    <w:p w14:paraId="1866257A" w14:textId="3451028E" w:rsidR="00114971" w:rsidRPr="00110F7D" w:rsidRDefault="00CC5520" w:rsidP="00114971">
      <w:pPr>
        <w:tabs>
          <w:tab w:val="left" w:pos="851"/>
        </w:tabs>
        <w:ind w:left="851"/>
        <w:jc w:val="both"/>
        <w:rPr>
          <w:sz w:val="24"/>
          <w:szCs w:val="24"/>
          <w:lang w:val="en-US"/>
        </w:rPr>
      </w:pPr>
      <w:r w:rsidRPr="00110F7D">
        <w:rPr>
          <w:sz w:val="24"/>
          <w:szCs w:val="24"/>
          <w:lang w:val="en-US"/>
        </w:rPr>
        <w:t>69607</w:t>
      </w:r>
    </w:p>
    <w:p w14:paraId="21B8811B" w14:textId="77777777" w:rsidR="00114971" w:rsidRPr="00110F7D" w:rsidRDefault="00114971" w:rsidP="00114971">
      <w:pPr>
        <w:tabs>
          <w:tab w:val="left" w:pos="851"/>
        </w:tabs>
        <w:ind w:left="851"/>
        <w:jc w:val="both"/>
        <w:rPr>
          <w:sz w:val="24"/>
          <w:szCs w:val="24"/>
          <w:lang w:val="en-US"/>
        </w:rPr>
      </w:pPr>
    </w:p>
    <w:p w14:paraId="3E3D9CBC" w14:textId="77777777" w:rsidR="00114971" w:rsidRPr="00110F7D" w:rsidRDefault="00114971" w:rsidP="00114971">
      <w:pPr>
        <w:tabs>
          <w:tab w:val="left" w:pos="851"/>
        </w:tabs>
        <w:jc w:val="both"/>
        <w:rPr>
          <w:sz w:val="24"/>
          <w:szCs w:val="24"/>
          <w:lang w:val="en-US"/>
        </w:rPr>
      </w:pPr>
      <w:r w:rsidRPr="00110F7D">
        <w:rPr>
          <w:b/>
          <w:sz w:val="24"/>
          <w:szCs w:val="24"/>
          <w:lang w:val="en-GB"/>
        </w:rPr>
        <w:t>9.</w:t>
      </w:r>
      <w:r w:rsidRPr="00110F7D">
        <w:rPr>
          <w:b/>
          <w:sz w:val="24"/>
          <w:szCs w:val="24"/>
          <w:lang w:val="en-GB"/>
        </w:rPr>
        <w:tab/>
        <w:t>DATE OF FIRST AUTHORISATION</w:t>
      </w:r>
    </w:p>
    <w:p w14:paraId="5CB2AD6A" w14:textId="136539A9" w:rsidR="00114971" w:rsidRPr="00110F7D" w:rsidRDefault="00901068" w:rsidP="00114971">
      <w:pPr>
        <w:ind w:left="851"/>
        <w:jc w:val="both"/>
        <w:rPr>
          <w:sz w:val="24"/>
          <w:szCs w:val="24"/>
          <w:lang w:val="en-GB"/>
        </w:rPr>
      </w:pPr>
      <w:r>
        <w:rPr>
          <w:sz w:val="24"/>
          <w:szCs w:val="24"/>
          <w:lang w:val="en-US"/>
        </w:rPr>
        <w:t>7 February 2025</w:t>
      </w:r>
    </w:p>
    <w:p w14:paraId="4DB3A289" w14:textId="77777777" w:rsidR="00114971" w:rsidRPr="00110F7D" w:rsidRDefault="00114971" w:rsidP="00114971">
      <w:pPr>
        <w:tabs>
          <w:tab w:val="left" w:pos="851"/>
        </w:tabs>
        <w:ind w:left="851"/>
        <w:jc w:val="both"/>
        <w:rPr>
          <w:sz w:val="24"/>
          <w:szCs w:val="24"/>
          <w:lang w:val="en-GB"/>
        </w:rPr>
      </w:pPr>
    </w:p>
    <w:p w14:paraId="7F6F323D" w14:textId="77777777" w:rsidR="00114971" w:rsidRPr="00110F7D" w:rsidRDefault="00114971" w:rsidP="00114971">
      <w:pPr>
        <w:tabs>
          <w:tab w:val="left" w:pos="851"/>
        </w:tabs>
        <w:jc w:val="both"/>
        <w:rPr>
          <w:sz w:val="24"/>
          <w:szCs w:val="24"/>
          <w:lang w:val="en-GB"/>
        </w:rPr>
      </w:pPr>
      <w:r w:rsidRPr="00110F7D">
        <w:rPr>
          <w:b/>
          <w:sz w:val="24"/>
          <w:szCs w:val="24"/>
          <w:lang w:val="en-GB"/>
        </w:rPr>
        <w:t>10.</w:t>
      </w:r>
      <w:r w:rsidRPr="00110F7D">
        <w:rPr>
          <w:b/>
          <w:sz w:val="24"/>
          <w:szCs w:val="24"/>
          <w:lang w:val="en-GB"/>
        </w:rPr>
        <w:tab/>
        <w:t>DATE OF REVISION OF THE TEXT</w:t>
      </w:r>
    </w:p>
    <w:p w14:paraId="67E75182" w14:textId="1A3204BA" w:rsidR="00114971" w:rsidRPr="00110F7D" w:rsidRDefault="00CC5520" w:rsidP="00114971">
      <w:pPr>
        <w:tabs>
          <w:tab w:val="left" w:pos="851"/>
        </w:tabs>
        <w:ind w:left="851"/>
        <w:jc w:val="both"/>
        <w:rPr>
          <w:sz w:val="24"/>
          <w:szCs w:val="24"/>
          <w:lang w:val="en-GB"/>
        </w:rPr>
      </w:pPr>
      <w:r w:rsidRPr="00D27234">
        <w:rPr>
          <w:sz w:val="24"/>
          <w:szCs w:val="24"/>
          <w:lang w:val="en-US"/>
        </w:rPr>
        <w:t>-</w:t>
      </w:r>
    </w:p>
    <w:p w14:paraId="302ED21A" w14:textId="77777777" w:rsidR="00114971" w:rsidRPr="00110F7D" w:rsidRDefault="00114971" w:rsidP="00114971">
      <w:pPr>
        <w:tabs>
          <w:tab w:val="left" w:pos="851"/>
        </w:tabs>
        <w:ind w:left="851"/>
        <w:jc w:val="both"/>
        <w:rPr>
          <w:sz w:val="24"/>
          <w:szCs w:val="24"/>
          <w:lang w:val="en-GB"/>
        </w:rPr>
      </w:pPr>
    </w:p>
    <w:p w14:paraId="0F3EFC2D" w14:textId="77777777" w:rsidR="00114971" w:rsidRPr="00110F7D" w:rsidRDefault="00114971" w:rsidP="00114971">
      <w:pPr>
        <w:tabs>
          <w:tab w:val="left" w:pos="851"/>
        </w:tabs>
        <w:jc w:val="both"/>
        <w:rPr>
          <w:b/>
          <w:sz w:val="24"/>
          <w:szCs w:val="24"/>
          <w:lang w:val="en-GB"/>
        </w:rPr>
      </w:pPr>
      <w:r w:rsidRPr="00110F7D">
        <w:rPr>
          <w:b/>
          <w:sz w:val="24"/>
          <w:szCs w:val="24"/>
          <w:lang w:val="en-GB"/>
        </w:rPr>
        <w:t>11.</w:t>
      </w:r>
      <w:r w:rsidRPr="00110F7D">
        <w:rPr>
          <w:b/>
          <w:sz w:val="24"/>
          <w:szCs w:val="24"/>
          <w:lang w:val="en-GB"/>
        </w:rPr>
        <w:tab/>
        <w:t>DOSIMETRY</w:t>
      </w:r>
    </w:p>
    <w:p w14:paraId="1540459C" w14:textId="77777777" w:rsidR="00CC5520" w:rsidRPr="00D27234" w:rsidRDefault="00CC5520" w:rsidP="00CC5520">
      <w:pPr>
        <w:ind w:left="851"/>
        <w:rPr>
          <w:sz w:val="24"/>
          <w:szCs w:val="24"/>
          <w:lang w:val="en-US"/>
        </w:rPr>
      </w:pPr>
      <w:r w:rsidRPr="00110F7D">
        <w:rPr>
          <w:sz w:val="24"/>
          <w:szCs w:val="24"/>
          <w:lang w:val="en-US"/>
        </w:rPr>
        <w:t>Gallium-68</w:t>
      </w:r>
      <w:r w:rsidRPr="00110F7D">
        <w:rPr>
          <w:color w:val="000000" w:themeColor="text1"/>
          <w:sz w:val="24"/>
          <w:szCs w:val="24"/>
          <w:lang w:val="en-US"/>
        </w:rPr>
        <w:t xml:space="preserve"> is produced by means of a germanium-68/galium-68 (</w:t>
      </w:r>
      <w:r w:rsidRPr="00110F7D">
        <w:rPr>
          <w:color w:val="000000" w:themeColor="text1"/>
          <w:sz w:val="24"/>
          <w:szCs w:val="24"/>
          <w:vertAlign w:val="superscript"/>
          <w:lang w:val="en-US"/>
        </w:rPr>
        <w:t>68</w:t>
      </w:r>
      <w:r w:rsidRPr="00110F7D">
        <w:rPr>
          <w:color w:val="000000" w:themeColor="text1"/>
          <w:sz w:val="24"/>
          <w:szCs w:val="24"/>
          <w:lang w:val="en-US"/>
        </w:rPr>
        <w:t>Ge/</w:t>
      </w:r>
      <w:r w:rsidRPr="00110F7D">
        <w:rPr>
          <w:color w:val="000000" w:themeColor="text1"/>
          <w:sz w:val="24"/>
          <w:szCs w:val="24"/>
          <w:vertAlign w:val="superscript"/>
          <w:lang w:val="en-US"/>
        </w:rPr>
        <w:t>68</w:t>
      </w:r>
      <w:r w:rsidRPr="00110F7D">
        <w:rPr>
          <w:color w:val="000000" w:themeColor="text1"/>
          <w:sz w:val="24"/>
          <w:szCs w:val="24"/>
          <w:lang w:val="en-US"/>
        </w:rPr>
        <w:t xml:space="preserve">Ga) generator and decays with a half-life of 68 min to stable zinc-68. </w:t>
      </w:r>
      <w:r w:rsidRPr="00D27234">
        <w:rPr>
          <w:color w:val="000000" w:themeColor="text1"/>
          <w:sz w:val="24"/>
          <w:szCs w:val="24"/>
          <w:lang w:val="en-US"/>
        </w:rPr>
        <w:t>Gallium-68</w:t>
      </w:r>
      <w:r w:rsidRPr="00D27234">
        <w:rPr>
          <w:sz w:val="24"/>
          <w:szCs w:val="24"/>
          <w:lang w:val="en-US"/>
        </w:rPr>
        <w:t xml:space="preserve"> decays as follows:</w:t>
      </w:r>
    </w:p>
    <w:p w14:paraId="5DBB3EC6" w14:textId="77777777" w:rsidR="00CC5520" w:rsidRPr="00D27234" w:rsidRDefault="00CC5520" w:rsidP="00D27234">
      <w:pPr>
        <w:pStyle w:val="Listeafsnit"/>
        <w:numPr>
          <w:ilvl w:val="0"/>
          <w:numId w:val="20"/>
        </w:numPr>
        <w:spacing w:before="0" w:after="0"/>
        <w:ind w:left="1276" w:hanging="425"/>
        <w:jc w:val="left"/>
        <w:rPr>
          <w:rFonts w:ascii="Times New Roman" w:hAnsi="Times New Roman"/>
          <w:sz w:val="24"/>
          <w:szCs w:val="24"/>
          <w:lang w:val="en-GB"/>
        </w:rPr>
      </w:pPr>
      <w:r w:rsidRPr="00D27234">
        <w:rPr>
          <w:rFonts w:ascii="Times New Roman" w:hAnsi="Times New Roman"/>
          <w:sz w:val="24"/>
          <w:szCs w:val="24"/>
          <w:lang w:val="en-GB"/>
        </w:rPr>
        <w:t>89% through positron emission with a mean energy of 836 keV followed by photonic annihilation radiations of 511 keV (178%),</w:t>
      </w:r>
    </w:p>
    <w:p w14:paraId="7364083F" w14:textId="77777777" w:rsidR="00CC5520" w:rsidRPr="00D27234" w:rsidRDefault="00CC5520" w:rsidP="00D27234">
      <w:pPr>
        <w:pStyle w:val="Listeafsnit"/>
        <w:numPr>
          <w:ilvl w:val="0"/>
          <w:numId w:val="20"/>
        </w:numPr>
        <w:spacing w:before="0" w:after="0"/>
        <w:ind w:left="1276" w:hanging="425"/>
        <w:jc w:val="left"/>
        <w:rPr>
          <w:rFonts w:ascii="Times New Roman" w:hAnsi="Times New Roman"/>
          <w:sz w:val="24"/>
          <w:szCs w:val="24"/>
          <w:lang w:val="en-GB"/>
        </w:rPr>
      </w:pPr>
      <w:r w:rsidRPr="00D27234">
        <w:rPr>
          <w:rFonts w:ascii="Times New Roman" w:hAnsi="Times New Roman"/>
          <w:sz w:val="24"/>
          <w:szCs w:val="24"/>
          <w:lang w:val="en-GB"/>
        </w:rPr>
        <w:t>10% through orbital electron capture (X-ray or Auger emissions),</w:t>
      </w:r>
    </w:p>
    <w:p w14:paraId="5F9D3C51" w14:textId="77777777" w:rsidR="00CC5520" w:rsidRPr="00D27234" w:rsidRDefault="00CC5520" w:rsidP="00D27234">
      <w:pPr>
        <w:pStyle w:val="Listeafsnit"/>
        <w:numPr>
          <w:ilvl w:val="0"/>
          <w:numId w:val="20"/>
        </w:numPr>
        <w:spacing w:before="0" w:after="0"/>
        <w:ind w:left="1276" w:hanging="425"/>
        <w:jc w:val="left"/>
        <w:rPr>
          <w:rFonts w:ascii="Times New Roman" w:hAnsi="Times New Roman"/>
          <w:sz w:val="24"/>
          <w:szCs w:val="24"/>
          <w:lang w:val="en-GB"/>
        </w:rPr>
      </w:pPr>
      <w:r w:rsidRPr="00D27234">
        <w:rPr>
          <w:rFonts w:ascii="Times New Roman" w:hAnsi="Times New Roman"/>
          <w:sz w:val="24"/>
          <w:szCs w:val="24"/>
          <w:lang w:val="en-GB"/>
        </w:rPr>
        <w:t>3% through 13 gamma transitions from 5 excited levels.</w:t>
      </w:r>
    </w:p>
    <w:p w14:paraId="2E1FCAC4" w14:textId="77777777" w:rsidR="00CC5520" w:rsidRPr="00110F7D" w:rsidRDefault="00CC5520" w:rsidP="00CC5520">
      <w:pPr>
        <w:ind w:left="851"/>
        <w:rPr>
          <w:sz w:val="24"/>
          <w:szCs w:val="24"/>
          <w:lang w:val="en-GB"/>
        </w:rPr>
      </w:pPr>
    </w:p>
    <w:p w14:paraId="14B284CB" w14:textId="03627E05" w:rsidR="00CC5520" w:rsidRPr="00110F7D" w:rsidRDefault="00CC5520" w:rsidP="00CC5520">
      <w:pPr>
        <w:ind w:left="851"/>
        <w:rPr>
          <w:color w:val="000000" w:themeColor="text1"/>
          <w:sz w:val="24"/>
          <w:szCs w:val="24"/>
          <w:lang w:val="en-US"/>
        </w:rPr>
      </w:pPr>
      <w:r w:rsidRPr="00110F7D">
        <w:rPr>
          <w:sz w:val="24"/>
          <w:szCs w:val="24"/>
          <w:lang w:val="en-US"/>
        </w:rPr>
        <w:t>Estimated radiation absorbed doses per injection activity for organs and tissues of adult patients following an intravenous bolus of gallium (</w:t>
      </w:r>
      <w:r w:rsidRPr="00110F7D">
        <w:rPr>
          <w:sz w:val="24"/>
          <w:szCs w:val="24"/>
          <w:vertAlign w:val="superscript"/>
          <w:lang w:val="en-US"/>
        </w:rPr>
        <w:t>68</w:t>
      </w:r>
      <w:r w:rsidRPr="00110F7D">
        <w:rPr>
          <w:sz w:val="24"/>
          <w:szCs w:val="24"/>
          <w:lang w:val="en-US"/>
        </w:rPr>
        <w:t xml:space="preserve">Ga) </w:t>
      </w:r>
      <w:proofErr w:type="spellStart"/>
      <w:r w:rsidRPr="00110F7D">
        <w:rPr>
          <w:sz w:val="24"/>
          <w:szCs w:val="24"/>
          <w:lang w:val="en-US"/>
        </w:rPr>
        <w:t>gozetotide</w:t>
      </w:r>
      <w:proofErr w:type="spellEnd"/>
      <w:r w:rsidRPr="00110F7D">
        <w:rPr>
          <w:sz w:val="24"/>
          <w:szCs w:val="24"/>
          <w:lang w:val="en-US"/>
        </w:rPr>
        <w:t xml:space="preserve"> solution for injection, studied in Phase I study, are shown in </w:t>
      </w:r>
      <w:r w:rsidRPr="00110F7D">
        <w:rPr>
          <w:color w:val="2B579A"/>
          <w:sz w:val="24"/>
          <w:szCs w:val="24"/>
          <w:shd w:val="clear" w:color="auto" w:fill="E6E6E6"/>
        </w:rPr>
        <w:fldChar w:fldCharType="begin"/>
      </w:r>
      <w:r w:rsidRPr="00110F7D">
        <w:rPr>
          <w:sz w:val="24"/>
          <w:szCs w:val="24"/>
          <w:lang w:val="en-US"/>
        </w:rPr>
        <w:instrText xml:space="preserve"> REF _Ref102120474 \h  \* MERGEFORMAT </w:instrText>
      </w:r>
      <w:r w:rsidRPr="00110F7D">
        <w:rPr>
          <w:color w:val="2B579A"/>
          <w:sz w:val="24"/>
          <w:szCs w:val="24"/>
          <w:shd w:val="clear" w:color="auto" w:fill="E6E6E6"/>
        </w:rPr>
      </w:r>
      <w:r w:rsidRPr="00110F7D">
        <w:rPr>
          <w:color w:val="2B579A"/>
          <w:sz w:val="24"/>
          <w:szCs w:val="24"/>
          <w:shd w:val="clear" w:color="auto" w:fill="E6E6E6"/>
        </w:rPr>
        <w:fldChar w:fldCharType="separate"/>
      </w:r>
      <w:r w:rsidR="00C47B20" w:rsidRPr="00C47B20">
        <w:rPr>
          <w:sz w:val="24"/>
          <w:szCs w:val="24"/>
          <w:lang w:val="en-US"/>
        </w:rPr>
        <w:t>Table 4</w:t>
      </w:r>
      <w:r w:rsidRPr="00110F7D">
        <w:rPr>
          <w:color w:val="2B579A"/>
          <w:sz w:val="24"/>
          <w:szCs w:val="24"/>
          <w:shd w:val="clear" w:color="auto" w:fill="E6E6E6"/>
        </w:rPr>
        <w:fldChar w:fldCharType="end"/>
      </w:r>
      <w:r w:rsidRPr="00110F7D">
        <w:rPr>
          <w:sz w:val="24"/>
          <w:szCs w:val="24"/>
          <w:lang w:val="en-US"/>
        </w:rPr>
        <w:t>.</w:t>
      </w:r>
      <w:r w:rsidRPr="00110F7D">
        <w:rPr>
          <w:color w:val="000000" w:themeColor="text1"/>
          <w:sz w:val="24"/>
          <w:szCs w:val="24"/>
          <w:lang w:val="en-US"/>
        </w:rPr>
        <w:t xml:space="preserve"> The software OLINDA-EXM was used to calculate absorbed organ doses according to the Committee on Medical Internal Radiation Dose (MIRD) methodology, and effective dose according to ICRP (International Commission on Radiological Protection) Publication 103.</w:t>
      </w:r>
    </w:p>
    <w:p w14:paraId="1F9D0D14" w14:textId="77777777" w:rsidR="00CC5520" w:rsidRPr="00110F7D" w:rsidRDefault="00CC5520" w:rsidP="00CC5520">
      <w:pPr>
        <w:ind w:left="851"/>
        <w:rPr>
          <w:sz w:val="24"/>
          <w:szCs w:val="24"/>
          <w:lang w:val="en-US"/>
        </w:rPr>
      </w:pPr>
    </w:p>
    <w:p w14:paraId="670B8DFB" w14:textId="77777777" w:rsidR="00CC5520" w:rsidRPr="00110F7D" w:rsidRDefault="00CC5520" w:rsidP="00CC5520">
      <w:pPr>
        <w:ind w:left="851"/>
        <w:rPr>
          <w:sz w:val="24"/>
          <w:szCs w:val="24"/>
          <w:lang w:val="en-US"/>
        </w:rPr>
      </w:pPr>
      <w:r w:rsidRPr="00110F7D">
        <w:rPr>
          <w:sz w:val="24"/>
          <w:szCs w:val="24"/>
          <w:lang w:val="en-US"/>
        </w:rPr>
        <w:t>The kidneys were the organs receiving the highest absorbed dose. Additional organs with higher dose were urinary bladder, small intestines, and salivary glands.</w:t>
      </w:r>
    </w:p>
    <w:p w14:paraId="4152CE98" w14:textId="77777777" w:rsidR="00CC5520" w:rsidRPr="00110F7D" w:rsidRDefault="00CC5520" w:rsidP="00CC5520">
      <w:pPr>
        <w:ind w:left="851"/>
        <w:rPr>
          <w:sz w:val="24"/>
          <w:szCs w:val="24"/>
          <w:lang w:val="en-US"/>
        </w:rPr>
      </w:pPr>
    </w:p>
    <w:p w14:paraId="20CC7317" w14:textId="7CCD6B82" w:rsidR="00CC5520" w:rsidRPr="00110F7D" w:rsidRDefault="00CC5520" w:rsidP="00CC5520">
      <w:pPr>
        <w:rPr>
          <w:b/>
          <w:bCs/>
          <w:sz w:val="24"/>
          <w:szCs w:val="24"/>
          <w:lang w:val="en-US"/>
        </w:rPr>
      </w:pPr>
      <w:bookmarkStart w:id="13" w:name="_Ref102120474"/>
      <w:r w:rsidRPr="00110F7D">
        <w:rPr>
          <w:b/>
          <w:bCs/>
          <w:sz w:val="24"/>
          <w:szCs w:val="24"/>
          <w:lang w:val="en-US"/>
        </w:rPr>
        <w:t xml:space="preserve">Table </w:t>
      </w:r>
      <w:r w:rsidRPr="00110F7D">
        <w:rPr>
          <w:sz w:val="24"/>
          <w:szCs w:val="24"/>
        </w:rPr>
        <w:fldChar w:fldCharType="begin"/>
      </w:r>
      <w:r w:rsidRPr="00110F7D">
        <w:rPr>
          <w:b/>
          <w:bCs/>
          <w:sz w:val="24"/>
          <w:szCs w:val="24"/>
          <w:lang w:val="en-US"/>
        </w:rPr>
        <w:instrText xml:space="preserve"> SEQ Table \* ARABIC </w:instrText>
      </w:r>
      <w:r w:rsidRPr="00110F7D">
        <w:rPr>
          <w:sz w:val="24"/>
          <w:szCs w:val="24"/>
        </w:rPr>
        <w:fldChar w:fldCharType="separate"/>
      </w:r>
      <w:r w:rsidR="00C47B20">
        <w:rPr>
          <w:b/>
          <w:bCs/>
          <w:noProof/>
          <w:sz w:val="24"/>
          <w:szCs w:val="24"/>
          <w:lang w:val="en-US"/>
        </w:rPr>
        <w:t>4</w:t>
      </w:r>
      <w:r w:rsidRPr="00110F7D">
        <w:rPr>
          <w:sz w:val="24"/>
          <w:szCs w:val="24"/>
        </w:rPr>
        <w:fldChar w:fldCharType="end"/>
      </w:r>
      <w:bookmarkEnd w:id="13"/>
      <w:r w:rsidRPr="00110F7D">
        <w:rPr>
          <w:b/>
          <w:bCs/>
          <w:sz w:val="24"/>
          <w:szCs w:val="24"/>
          <w:lang w:val="en-US"/>
        </w:rPr>
        <w:t>: Estimated mean radiation absorbed dose per injection activity in selected organs and tissues of adults after a gallium (</w:t>
      </w:r>
      <w:r w:rsidRPr="00110F7D">
        <w:rPr>
          <w:b/>
          <w:bCs/>
          <w:sz w:val="24"/>
          <w:szCs w:val="24"/>
          <w:vertAlign w:val="superscript"/>
          <w:lang w:val="en-US"/>
        </w:rPr>
        <w:t>68</w:t>
      </w:r>
      <w:r w:rsidRPr="00110F7D">
        <w:rPr>
          <w:b/>
          <w:bCs/>
          <w:sz w:val="24"/>
          <w:szCs w:val="24"/>
          <w:lang w:val="en-US"/>
        </w:rPr>
        <w:t xml:space="preserve">Ga) </w:t>
      </w:r>
      <w:proofErr w:type="spellStart"/>
      <w:r w:rsidRPr="00110F7D">
        <w:rPr>
          <w:b/>
          <w:bCs/>
          <w:sz w:val="24"/>
          <w:szCs w:val="24"/>
          <w:lang w:val="en-US"/>
        </w:rPr>
        <w:t>gozetotide</w:t>
      </w:r>
      <w:proofErr w:type="spellEnd"/>
      <w:r w:rsidRPr="00110F7D">
        <w:rPr>
          <w:b/>
          <w:bCs/>
          <w:sz w:val="24"/>
          <w:szCs w:val="24"/>
          <w:lang w:val="en-US"/>
        </w:rPr>
        <w:t xml:space="preserve"> dose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9"/>
        <w:gridCol w:w="5719"/>
      </w:tblGrid>
      <w:tr w:rsidR="00CC5520" w:rsidRPr="00901068" w14:paraId="5DBFAC25" w14:textId="77777777" w:rsidTr="00CC5520">
        <w:trPr>
          <w:trHeight w:val="660"/>
        </w:trPr>
        <w:tc>
          <w:tcPr>
            <w:tcW w:w="203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hideMark/>
          </w:tcPr>
          <w:p w14:paraId="5E67F2F9" w14:textId="77777777" w:rsidR="00CC5520" w:rsidRPr="00110F7D" w:rsidRDefault="00CC5520">
            <w:pPr>
              <w:rPr>
                <w:b/>
                <w:bCs/>
                <w:sz w:val="24"/>
                <w:szCs w:val="24"/>
              </w:rPr>
            </w:pPr>
            <w:proofErr w:type="spellStart"/>
            <w:r w:rsidRPr="00110F7D">
              <w:rPr>
                <w:b/>
                <w:bCs/>
                <w:sz w:val="24"/>
                <w:szCs w:val="24"/>
              </w:rPr>
              <w:t>Adults</w:t>
            </w:r>
            <w:proofErr w:type="spellEnd"/>
            <w:r w:rsidRPr="00110F7D">
              <w:rPr>
                <w:b/>
                <w:bCs/>
                <w:sz w:val="24"/>
                <w:szCs w:val="24"/>
              </w:rPr>
              <w:t xml:space="preserve"> Organ/</w:t>
            </w:r>
            <w:proofErr w:type="spellStart"/>
            <w:r w:rsidRPr="00110F7D">
              <w:rPr>
                <w:b/>
                <w:bCs/>
                <w:sz w:val="24"/>
                <w:szCs w:val="24"/>
              </w:rPr>
              <w:t>Tissue</w:t>
            </w:r>
            <w:proofErr w:type="spellEnd"/>
          </w:p>
        </w:tc>
        <w:tc>
          <w:tcPr>
            <w:tcW w:w="297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hideMark/>
          </w:tcPr>
          <w:p w14:paraId="54E12E72" w14:textId="77777777" w:rsidR="00CC5520" w:rsidRPr="00110F7D" w:rsidRDefault="00CC5520">
            <w:pPr>
              <w:jc w:val="center"/>
              <w:rPr>
                <w:b/>
                <w:bCs/>
                <w:sz w:val="24"/>
                <w:szCs w:val="24"/>
                <w:lang w:val="en-US"/>
              </w:rPr>
            </w:pPr>
            <w:r w:rsidRPr="00110F7D">
              <w:rPr>
                <w:b/>
                <w:bCs/>
                <w:sz w:val="24"/>
                <w:szCs w:val="24"/>
                <w:lang w:val="en-US"/>
              </w:rPr>
              <w:t>Estimated Mean Radiation Absorbed Dose per Injection Activity (</w:t>
            </w:r>
            <w:proofErr w:type="spellStart"/>
            <w:r w:rsidRPr="00110F7D">
              <w:rPr>
                <w:b/>
                <w:bCs/>
                <w:sz w:val="24"/>
                <w:szCs w:val="24"/>
                <w:lang w:val="en-US"/>
              </w:rPr>
              <w:t>mGy</w:t>
            </w:r>
            <w:proofErr w:type="spellEnd"/>
            <w:r w:rsidRPr="00110F7D">
              <w:rPr>
                <w:b/>
                <w:bCs/>
                <w:sz w:val="24"/>
                <w:szCs w:val="24"/>
                <w:lang w:val="en-US"/>
              </w:rPr>
              <w:t>/</w:t>
            </w:r>
            <w:proofErr w:type="spellStart"/>
            <w:r w:rsidRPr="00110F7D">
              <w:rPr>
                <w:b/>
                <w:bCs/>
                <w:sz w:val="24"/>
                <w:szCs w:val="24"/>
                <w:lang w:val="en-US"/>
              </w:rPr>
              <w:t>MBq</w:t>
            </w:r>
            <w:proofErr w:type="spellEnd"/>
            <w:r w:rsidRPr="00110F7D">
              <w:rPr>
                <w:b/>
                <w:bCs/>
                <w:sz w:val="24"/>
                <w:szCs w:val="24"/>
                <w:lang w:val="en-US"/>
              </w:rPr>
              <w:t>)</w:t>
            </w:r>
          </w:p>
        </w:tc>
      </w:tr>
      <w:tr w:rsidR="00CC5520" w:rsidRPr="00110F7D" w14:paraId="54061086" w14:textId="77777777" w:rsidTr="00CC5520">
        <w:trPr>
          <w:trHeight w:val="300"/>
        </w:trPr>
        <w:tc>
          <w:tcPr>
            <w:tcW w:w="203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hideMark/>
          </w:tcPr>
          <w:p w14:paraId="1D3BF464" w14:textId="77777777" w:rsidR="00CC5520" w:rsidRPr="00110F7D" w:rsidRDefault="00CC5520">
            <w:pPr>
              <w:rPr>
                <w:sz w:val="24"/>
                <w:szCs w:val="24"/>
              </w:rPr>
            </w:pPr>
            <w:proofErr w:type="spellStart"/>
            <w:r w:rsidRPr="00110F7D">
              <w:rPr>
                <w:sz w:val="24"/>
                <w:szCs w:val="24"/>
              </w:rPr>
              <w:t>Adrenals</w:t>
            </w:r>
            <w:proofErr w:type="spellEnd"/>
          </w:p>
        </w:tc>
        <w:tc>
          <w:tcPr>
            <w:tcW w:w="297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hideMark/>
          </w:tcPr>
          <w:p w14:paraId="201B57DA" w14:textId="77777777" w:rsidR="00CC5520" w:rsidRPr="00110F7D" w:rsidRDefault="00CC5520">
            <w:pPr>
              <w:jc w:val="center"/>
              <w:rPr>
                <w:color w:val="000000" w:themeColor="text1"/>
                <w:sz w:val="24"/>
                <w:szCs w:val="24"/>
              </w:rPr>
            </w:pPr>
            <w:r w:rsidRPr="00110F7D">
              <w:rPr>
                <w:color w:val="000000" w:themeColor="text1"/>
                <w:sz w:val="24"/>
                <w:szCs w:val="24"/>
              </w:rPr>
              <w:t>0.012</w:t>
            </w:r>
          </w:p>
        </w:tc>
      </w:tr>
      <w:tr w:rsidR="00CC5520" w:rsidRPr="00110F7D" w14:paraId="6C0909CD" w14:textId="77777777" w:rsidTr="00CC5520">
        <w:trPr>
          <w:trHeight w:val="300"/>
        </w:trPr>
        <w:tc>
          <w:tcPr>
            <w:tcW w:w="203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hideMark/>
          </w:tcPr>
          <w:p w14:paraId="07B4C5B7" w14:textId="77777777" w:rsidR="00CC5520" w:rsidRPr="00110F7D" w:rsidRDefault="00CC5520">
            <w:pPr>
              <w:rPr>
                <w:sz w:val="24"/>
                <w:szCs w:val="24"/>
              </w:rPr>
            </w:pPr>
            <w:r w:rsidRPr="00110F7D">
              <w:rPr>
                <w:sz w:val="24"/>
                <w:szCs w:val="24"/>
              </w:rPr>
              <w:t>Brain</w:t>
            </w:r>
          </w:p>
        </w:tc>
        <w:tc>
          <w:tcPr>
            <w:tcW w:w="297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hideMark/>
          </w:tcPr>
          <w:p w14:paraId="3D11B993" w14:textId="77777777" w:rsidR="00CC5520" w:rsidRPr="00110F7D" w:rsidRDefault="00CC5520">
            <w:pPr>
              <w:jc w:val="center"/>
              <w:rPr>
                <w:color w:val="000000" w:themeColor="text1"/>
                <w:sz w:val="24"/>
                <w:szCs w:val="24"/>
              </w:rPr>
            </w:pPr>
            <w:r w:rsidRPr="00110F7D">
              <w:rPr>
                <w:color w:val="000000" w:themeColor="text1"/>
                <w:sz w:val="24"/>
                <w:szCs w:val="24"/>
              </w:rPr>
              <w:t>0.001</w:t>
            </w:r>
          </w:p>
        </w:tc>
      </w:tr>
      <w:tr w:rsidR="00CC5520" w:rsidRPr="00110F7D" w14:paraId="25591927" w14:textId="77777777" w:rsidTr="00CC5520">
        <w:trPr>
          <w:trHeight w:val="300"/>
        </w:trPr>
        <w:tc>
          <w:tcPr>
            <w:tcW w:w="203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hideMark/>
          </w:tcPr>
          <w:p w14:paraId="31C9EFAA" w14:textId="77777777" w:rsidR="00CC5520" w:rsidRPr="00110F7D" w:rsidRDefault="00CC5520">
            <w:pPr>
              <w:rPr>
                <w:sz w:val="24"/>
                <w:szCs w:val="24"/>
              </w:rPr>
            </w:pPr>
            <w:proofErr w:type="spellStart"/>
            <w:r w:rsidRPr="00110F7D">
              <w:rPr>
                <w:sz w:val="24"/>
                <w:szCs w:val="24"/>
              </w:rPr>
              <w:t>Breasts</w:t>
            </w:r>
            <w:proofErr w:type="spellEnd"/>
          </w:p>
        </w:tc>
        <w:tc>
          <w:tcPr>
            <w:tcW w:w="297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hideMark/>
          </w:tcPr>
          <w:p w14:paraId="2AFC1FB4" w14:textId="77777777" w:rsidR="00CC5520" w:rsidRPr="00110F7D" w:rsidRDefault="00CC5520">
            <w:pPr>
              <w:jc w:val="center"/>
              <w:rPr>
                <w:color w:val="000000" w:themeColor="text1"/>
                <w:sz w:val="24"/>
                <w:szCs w:val="24"/>
              </w:rPr>
            </w:pPr>
            <w:r w:rsidRPr="00110F7D">
              <w:rPr>
                <w:color w:val="000000" w:themeColor="text1"/>
                <w:sz w:val="24"/>
                <w:szCs w:val="24"/>
              </w:rPr>
              <w:t>0.006</w:t>
            </w:r>
          </w:p>
        </w:tc>
      </w:tr>
      <w:tr w:rsidR="00CC5520" w:rsidRPr="00110F7D" w14:paraId="4189FAA9" w14:textId="77777777" w:rsidTr="00CC5520">
        <w:trPr>
          <w:trHeight w:val="300"/>
        </w:trPr>
        <w:tc>
          <w:tcPr>
            <w:tcW w:w="203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hideMark/>
          </w:tcPr>
          <w:p w14:paraId="6626C20F" w14:textId="77777777" w:rsidR="00CC5520" w:rsidRPr="00110F7D" w:rsidRDefault="00CC5520">
            <w:pPr>
              <w:rPr>
                <w:sz w:val="24"/>
                <w:szCs w:val="24"/>
              </w:rPr>
            </w:pPr>
            <w:proofErr w:type="spellStart"/>
            <w:r w:rsidRPr="00110F7D">
              <w:rPr>
                <w:sz w:val="24"/>
                <w:szCs w:val="24"/>
              </w:rPr>
              <w:t>Gallbladder</w:t>
            </w:r>
            <w:proofErr w:type="spellEnd"/>
          </w:p>
        </w:tc>
        <w:tc>
          <w:tcPr>
            <w:tcW w:w="297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hideMark/>
          </w:tcPr>
          <w:p w14:paraId="77EFB1EE" w14:textId="77777777" w:rsidR="00CC5520" w:rsidRPr="00110F7D" w:rsidRDefault="00CC5520">
            <w:pPr>
              <w:jc w:val="center"/>
              <w:rPr>
                <w:color w:val="000000" w:themeColor="text1"/>
                <w:sz w:val="24"/>
                <w:szCs w:val="24"/>
              </w:rPr>
            </w:pPr>
            <w:r w:rsidRPr="00110F7D">
              <w:rPr>
                <w:color w:val="000000" w:themeColor="text1"/>
                <w:sz w:val="24"/>
                <w:szCs w:val="24"/>
              </w:rPr>
              <w:t>0.012</w:t>
            </w:r>
          </w:p>
        </w:tc>
      </w:tr>
      <w:tr w:rsidR="00CC5520" w:rsidRPr="00110F7D" w14:paraId="72ACD3EB" w14:textId="77777777" w:rsidTr="00CC5520">
        <w:trPr>
          <w:trHeight w:val="300"/>
        </w:trPr>
        <w:tc>
          <w:tcPr>
            <w:tcW w:w="203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hideMark/>
          </w:tcPr>
          <w:p w14:paraId="65620154" w14:textId="77777777" w:rsidR="00CC5520" w:rsidRPr="00110F7D" w:rsidRDefault="00CC5520">
            <w:pPr>
              <w:rPr>
                <w:sz w:val="24"/>
                <w:szCs w:val="24"/>
              </w:rPr>
            </w:pPr>
            <w:r w:rsidRPr="00110F7D">
              <w:rPr>
                <w:sz w:val="24"/>
                <w:szCs w:val="24"/>
              </w:rPr>
              <w:t>Heart</w:t>
            </w:r>
          </w:p>
        </w:tc>
        <w:tc>
          <w:tcPr>
            <w:tcW w:w="297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hideMark/>
          </w:tcPr>
          <w:p w14:paraId="7BD9EED8" w14:textId="77777777" w:rsidR="00CC5520" w:rsidRPr="00110F7D" w:rsidRDefault="00CC5520">
            <w:pPr>
              <w:jc w:val="center"/>
              <w:rPr>
                <w:color w:val="000000" w:themeColor="text1"/>
                <w:sz w:val="24"/>
                <w:szCs w:val="24"/>
              </w:rPr>
            </w:pPr>
            <w:r w:rsidRPr="00110F7D">
              <w:rPr>
                <w:color w:val="000000" w:themeColor="text1"/>
                <w:sz w:val="24"/>
                <w:szCs w:val="24"/>
              </w:rPr>
              <w:t>0.013</w:t>
            </w:r>
          </w:p>
        </w:tc>
      </w:tr>
      <w:tr w:rsidR="00CC5520" w:rsidRPr="00110F7D" w14:paraId="40C5EAC5" w14:textId="77777777" w:rsidTr="00CC5520">
        <w:trPr>
          <w:trHeight w:val="300"/>
        </w:trPr>
        <w:tc>
          <w:tcPr>
            <w:tcW w:w="203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hideMark/>
          </w:tcPr>
          <w:p w14:paraId="6B4ADD86" w14:textId="77777777" w:rsidR="00CC5520" w:rsidRPr="00110F7D" w:rsidRDefault="00CC5520">
            <w:pPr>
              <w:rPr>
                <w:sz w:val="24"/>
                <w:szCs w:val="24"/>
              </w:rPr>
            </w:pPr>
            <w:proofErr w:type="spellStart"/>
            <w:r w:rsidRPr="00110F7D">
              <w:rPr>
                <w:sz w:val="24"/>
                <w:szCs w:val="24"/>
              </w:rPr>
              <w:t>Kidneys</w:t>
            </w:r>
            <w:proofErr w:type="spellEnd"/>
          </w:p>
        </w:tc>
        <w:tc>
          <w:tcPr>
            <w:tcW w:w="297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hideMark/>
          </w:tcPr>
          <w:p w14:paraId="322140F6" w14:textId="77777777" w:rsidR="00CC5520" w:rsidRPr="00110F7D" w:rsidRDefault="00CC5520">
            <w:pPr>
              <w:jc w:val="center"/>
              <w:rPr>
                <w:color w:val="000000" w:themeColor="text1"/>
                <w:sz w:val="24"/>
                <w:szCs w:val="24"/>
              </w:rPr>
            </w:pPr>
            <w:r w:rsidRPr="00110F7D">
              <w:rPr>
                <w:color w:val="000000" w:themeColor="text1"/>
                <w:sz w:val="24"/>
                <w:szCs w:val="24"/>
              </w:rPr>
              <w:t>0.456</w:t>
            </w:r>
          </w:p>
        </w:tc>
      </w:tr>
      <w:tr w:rsidR="00CC5520" w:rsidRPr="00110F7D" w14:paraId="5C5F75FA" w14:textId="77777777" w:rsidTr="00CC5520">
        <w:trPr>
          <w:trHeight w:val="300"/>
        </w:trPr>
        <w:tc>
          <w:tcPr>
            <w:tcW w:w="203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hideMark/>
          </w:tcPr>
          <w:p w14:paraId="03CC5366" w14:textId="77777777" w:rsidR="00CC5520" w:rsidRPr="00110F7D" w:rsidRDefault="00CC5520">
            <w:pPr>
              <w:rPr>
                <w:sz w:val="24"/>
                <w:szCs w:val="24"/>
              </w:rPr>
            </w:pPr>
            <w:r w:rsidRPr="00110F7D">
              <w:rPr>
                <w:sz w:val="24"/>
                <w:szCs w:val="24"/>
              </w:rPr>
              <w:t>Liver</w:t>
            </w:r>
          </w:p>
        </w:tc>
        <w:tc>
          <w:tcPr>
            <w:tcW w:w="297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hideMark/>
          </w:tcPr>
          <w:p w14:paraId="50A81CA3" w14:textId="77777777" w:rsidR="00CC5520" w:rsidRPr="00110F7D" w:rsidRDefault="00CC5520">
            <w:pPr>
              <w:jc w:val="center"/>
              <w:rPr>
                <w:color w:val="000000" w:themeColor="text1"/>
                <w:sz w:val="24"/>
                <w:szCs w:val="24"/>
              </w:rPr>
            </w:pPr>
            <w:r w:rsidRPr="00110F7D">
              <w:rPr>
                <w:color w:val="000000" w:themeColor="text1"/>
                <w:sz w:val="24"/>
                <w:szCs w:val="24"/>
              </w:rPr>
              <w:t>0.022</w:t>
            </w:r>
          </w:p>
        </w:tc>
      </w:tr>
      <w:tr w:rsidR="00CC5520" w:rsidRPr="00110F7D" w14:paraId="3317A2C8" w14:textId="77777777" w:rsidTr="00CC5520">
        <w:trPr>
          <w:trHeight w:val="300"/>
        </w:trPr>
        <w:tc>
          <w:tcPr>
            <w:tcW w:w="203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hideMark/>
          </w:tcPr>
          <w:p w14:paraId="553DCCB7" w14:textId="77777777" w:rsidR="00CC5520" w:rsidRPr="00110F7D" w:rsidRDefault="00CC5520">
            <w:pPr>
              <w:rPr>
                <w:sz w:val="24"/>
                <w:szCs w:val="24"/>
              </w:rPr>
            </w:pPr>
            <w:proofErr w:type="spellStart"/>
            <w:r w:rsidRPr="00110F7D">
              <w:rPr>
                <w:sz w:val="24"/>
                <w:szCs w:val="24"/>
              </w:rPr>
              <w:t>Lower</w:t>
            </w:r>
            <w:proofErr w:type="spellEnd"/>
            <w:r w:rsidRPr="00110F7D">
              <w:rPr>
                <w:sz w:val="24"/>
                <w:szCs w:val="24"/>
              </w:rPr>
              <w:t xml:space="preserve"> </w:t>
            </w:r>
            <w:proofErr w:type="spellStart"/>
            <w:r w:rsidRPr="00110F7D">
              <w:rPr>
                <w:sz w:val="24"/>
                <w:szCs w:val="24"/>
              </w:rPr>
              <w:t>colon</w:t>
            </w:r>
            <w:proofErr w:type="spellEnd"/>
          </w:p>
        </w:tc>
        <w:tc>
          <w:tcPr>
            <w:tcW w:w="297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hideMark/>
          </w:tcPr>
          <w:p w14:paraId="3EE35A9A" w14:textId="77777777" w:rsidR="00CC5520" w:rsidRPr="00110F7D" w:rsidRDefault="00CC5520">
            <w:pPr>
              <w:jc w:val="center"/>
              <w:rPr>
                <w:color w:val="000000" w:themeColor="text1"/>
                <w:sz w:val="24"/>
                <w:szCs w:val="24"/>
              </w:rPr>
            </w:pPr>
            <w:r w:rsidRPr="00110F7D">
              <w:rPr>
                <w:color w:val="000000" w:themeColor="text1"/>
                <w:sz w:val="24"/>
                <w:szCs w:val="24"/>
              </w:rPr>
              <w:t>0.010</w:t>
            </w:r>
          </w:p>
        </w:tc>
      </w:tr>
      <w:tr w:rsidR="00CC5520" w:rsidRPr="00110F7D" w14:paraId="6D0FEAA2" w14:textId="77777777" w:rsidTr="00CC5520">
        <w:trPr>
          <w:trHeight w:val="300"/>
        </w:trPr>
        <w:tc>
          <w:tcPr>
            <w:tcW w:w="203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hideMark/>
          </w:tcPr>
          <w:p w14:paraId="2CCCAE85" w14:textId="77777777" w:rsidR="00CC5520" w:rsidRPr="00110F7D" w:rsidRDefault="00CC5520">
            <w:pPr>
              <w:rPr>
                <w:sz w:val="24"/>
                <w:szCs w:val="24"/>
              </w:rPr>
            </w:pPr>
            <w:r w:rsidRPr="00110F7D">
              <w:rPr>
                <w:sz w:val="24"/>
                <w:szCs w:val="24"/>
              </w:rPr>
              <w:t>Lungs</w:t>
            </w:r>
          </w:p>
        </w:tc>
        <w:tc>
          <w:tcPr>
            <w:tcW w:w="297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hideMark/>
          </w:tcPr>
          <w:p w14:paraId="434FF251" w14:textId="77777777" w:rsidR="00CC5520" w:rsidRPr="00110F7D" w:rsidRDefault="00CC5520">
            <w:pPr>
              <w:jc w:val="center"/>
              <w:rPr>
                <w:color w:val="000000" w:themeColor="text1"/>
                <w:sz w:val="24"/>
                <w:szCs w:val="24"/>
              </w:rPr>
            </w:pPr>
            <w:r w:rsidRPr="00110F7D">
              <w:rPr>
                <w:color w:val="000000" w:themeColor="text1"/>
                <w:sz w:val="24"/>
                <w:szCs w:val="24"/>
              </w:rPr>
              <w:t>0.008</w:t>
            </w:r>
          </w:p>
        </w:tc>
      </w:tr>
      <w:tr w:rsidR="00CC5520" w:rsidRPr="00110F7D" w14:paraId="45A2D8EC" w14:textId="77777777" w:rsidTr="00CC5520">
        <w:trPr>
          <w:trHeight w:val="300"/>
        </w:trPr>
        <w:tc>
          <w:tcPr>
            <w:tcW w:w="203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hideMark/>
          </w:tcPr>
          <w:p w14:paraId="16A9478F" w14:textId="77777777" w:rsidR="00CC5520" w:rsidRPr="00110F7D" w:rsidRDefault="00CC5520">
            <w:pPr>
              <w:rPr>
                <w:sz w:val="24"/>
                <w:szCs w:val="24"/>
              </w:rPr>
            </w:pPr>
            <w:proofErr w:type="spellStart"/>
            <w:r w:rsidRPr="00110F7D">
              <w:rPr>
                <w:sz w:val="24"/>
                <w:szCs w:val="24"/>
              </w:rPr>
              <w:t>Muscle</w:t>
            </w:r>
            <w:proofErr w:type="spellEnd"/>
          </w:p>
        </w:tc>
        <w:tc>
          <w:tcPr>
            <w:tcW w:w="297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hideMark/>
          </w:tcPr>
          <w:p w14:paraId="772AF26B" w14:textId="77777777" w:rsidR="00CC5520" w:rsidRPr="00110F7D" w:rsidRDefault="00CC5520">
            <w:pPr>
              <w:jc w:val="center"/>
              <w:rPr>
                <w:color w:val="000000" w:themeColor="text1"/>
                <w:sz w:val="24"/>
                <w:szCs w:val="24"/>
              </w:rPr>
            </w:pPr>
            <w:r w:rsidRPr="00110F7D">
              <w:rPr>
                <w:color w:val="000000" w:themeColor="text1"/>
                <w:sz w:val="24"/>
                <w:szCs w:val="24"/>
              </w:rPr>
              <w:t>0.008</w:t>
            </w:r>
          </w:p>
        </w:tc>
      </w:tr>
      <w:tr w:rsidR="00CC5520" w:rsidRPr="00110F7D" w14:paraId="1A6F4FFD" w14:textId="77777777" w:rsidTr="00CC5520">
        <w:trPr>
          <w:trHeight w:val="300"/>
        </w:trPr>
        <w:tc>
          <w:tcPr>
            <w:tcW w:w="203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hideMark/>
          </w:tcPr>
          <w:p w14:paraId="1368BEDD" w14:textId="77777777" w:rsidR="00CC5520" w:rsidRPr="00110F7D" w:rsidRDefault="00CC5520">
            <w:pPr>
              <w:rPr>
                <w:sz w:val="24"/>
                <w:szCs w:val="24"/>
              </w:rPr>
            </w:pPr>
            <w:proofErr w:type="spellStart"/>
            <w:r w:rsidRPr="00110F7D">
              <w:rPr>
                <w:sz w:val="24"/>
                <w:szCs w:val="24"/>
              </w:rPr>
              <w:t>Osteogenic</w:t>
            </w:r>
            <w:proofErr w:type="spellEnd"/>
            <w:r w:rsidRPr="00110F7D">
              <w:rPr>
                <w:sz w:val="24"/>
                <w:szCs w:val="24"/>
              </w:rPr>
              <w:t xml:space="preserve"> </w:t>
            </w:r>
            <w:proofErr w:type="spellStart"/>
            <w:r w:rsidRPr="00110F7D">
              <w:rPr>
                <w:sz w:val="24"/>
                <w:szCs w:val="24"/>
              </w:rPr>
              <w:t>cells</w:t>
            </w:r>
            <w:proofErr w:type="spellEnd"/>
          </w:p>
        </w:tc>
        <w:tc>
          <w:tcPr>
            <w:tcW w:w="297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hideMark/>
          </w:tcPr>
          <w:p w14:paraId="346ED1B1" w14:textId="77777777" w:rsidR="00CC5520" w:rsidRPr="00110F7D" w:rsidRDefault="00CC5520">
            <w:pPr>
              <w:jc w:val="center"/>
              <w:rPr>
                <w:color w:val="000000" w:themeColor="text1"/>
                <w:sz w:val="24"/>
                <w:szCs w:val="24"/>
              </w:rPr>
            </w:pPr>
            <w:r w:rsidRPr="00110F7D">
              <w:rPr>
                <w:color w:val="000000" w:themeColor="text1"/>
                <w:sz w:val="24"/>
                <w:szCs w:val="24"/>
              </w:rPr>
              <w:t>0.013</w:t>
            </w:r>
          </w:p>
        </w:tc>
      </w:tr>
      <w:tr w:rsidR="00CC5520" w:rsidRPr="00110F7D" w14:paraId="109DC503" w14:textId="77777777" w:rsidTr="00CC5520">
        <w:trPr>
          <w:trHeight w:val="300"/>
        </w:trPr>
        <w:tc>
          <w:tcPr>
            <w:tcW w:w="203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hideMark/>
          </w:tcPr>
          <w:p w14:paraId="3B5C6AD6" w14:textId="77777777" w:rsidR="00CC5520" w:rsidRPr="00110F7D" w:rsidRDefault="00CC5520">
            <w:pPr>
              <w:rPr>
                <w:sz w:val="24"/>
                <w:szCs w:val="24"/>
              </w:rPr>
            </w:pPr>
            <w:r w:rsidRPr="00110F7D">
              <w:rPr>
                <w:sz w:val="24"/>
                <w:szCs w:val="24"/>
              </w:rPr>
              <w:t>Pancreas</w:t>
            </w:r>
          </w:p>
        </w:tc>
        <w:tc>
          <w:tcPr>
            <w:tcW w:w="297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hideMark/>
          </w:tcPr>
          <w:p w14:paraId="637B69FC" w14:textId="77777777" w:rsidR="00CC5520" w:rsidRPr="00110F7D" w:rsidRDefault="00CC5520">
            <w:pPr>
              <w:jc w:val="center"/>
              <w:rPr>
                <w:color w:val="000000" w:themeColor="text1"/>
                <w:sz w:val="24"/>
                <w:szCs w:val="24"/>
              </w:rPr>
            </w:pPr>
            <w:r w:rsidRPr="00110F7D">
              <w:rPr>
                <w:color w:val="000000" w:themeColor="text1"/>
                <w:sz w:val="24"/>
                <w:szCs w:val="24"/>
              </w:rPr>
              <w:t>0.011</w:t>
            </w:r>
          </w:p>
        </w:tc>
      </w:tr>
      <w:tr w:rsidR="00CC5520" w:rsidRPr="00110F7D" w14:paraId="382756A2" w14:textId="77777777" w:rsidTr="00CC5520">
        <w:trPr>
          <w:trHeight w:val="300"/>
        </w:trPr>
        <w:tc>
          <w:tcPr>
            <w:tcW w:w="203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hideMark/>
          </w:tcPr>
          <w:p w14:paraId="0F9BBD1D" w14:textId="77777777" w:rsidR="00CC5520" w:rsidRPr="00110F7D" w:rsidRDefault="00CC5520">
            <w:pPr>
              <w:rPr>
                <w:sz w:val="24"/>
                <w:szCs w:val="24"/>
              </w:rPr>
            </w:pPr>
            <w:r w:rsidRPr="00110F7D">
              <w:rPr>
                <w:sz w:val="24"/>
                <w:szCs w:val="24"/>
              </w:rPr>
              <w:lastRenderedPageBreak/>
              <w:t xml:space="preserve">Red </w:t>
            </w:r>
            <w:proofErr w:type="spellStart"/>
            <w:r w:rsidRPr="00110F7D">
              <w:rPr>
                <w:sz w:val="24"/>
                <w:szCs w:val="24"/>
              </w:rPr>
              <w:t>marrow</w:t>
            </w:r>
            <w:proofErr w:type="spellEnd"/>
          </w:p>
        </w:tc>
        <w:tc>
          <w:tcPr>
            <w:tcW w:w="297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hideMark/>
          </w:tcPr>
          <w:p w14:paraId="64B2BDC7" w14:textId="77777777" w:rsidR="00CC5520" w:rsidRPr="00110F7D" w:rsidRDefault="00CC5520">
            <w:pPr>
              <w:jc w:val="center"/>
              <w:rPr>
                <w:color w:val="000000" w:themeColor="text1"/>
                <w:sz w:val="24"/>
                <w:szCs w:val="24"/>
              </w:rPr>
            </w:pPr>
            <w:r w:rsidRPr="00110F7D">
              <w:rPr>
                <w:color w:val="000000" w:themeColor="text1"/>
                <w:sz w:val="24"/>
                <w:szCs w:val="24"/>
              </w:rPr>
              <w:t>0.012</w:t>
            </w:r>
          </w:p>
        </w:tc>
      </w:tr>
      <w:tr w:rsidR="00CC5520" w:rsidRPr="00110F7D" w14:paraId="2E70B952" w14:textId="77777777" w:rsidTr="00CC5520">
        <w:trPr>
          <w:trHeight w:val="300"/>
        </w:trPr>
        <w:tc>
          <w:tcPr>
            <w:tcW w:w="203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hideMark/>
          </w:tcPr>
          <w:p w14:paraId="58334870" w14:textId="77777777" w:rsidR="00CC5520" w:rsidRPr="00110F7D" w:rsidRDefault="00CC5520">
            <w:pPr>
              <w:rPr>
                <w:sz w:val="24"/>
                <w:szCs w:val="24"/>
              </w:rPr>
            </w:pPr>
            <w:proofErr w:type="spellStart"/>
            <w:r w:rsidRPr="00110F7D">
              <w:rPr>
                <w:sz w:val="24"/>
                <w:szCs w:val="24"/>
              </w:rPr>
              <w:t>Salivary</w:t>
            </w:r>
            <w:proofErr w:type="spellEnd"/>
            <w:r w:rsidRPr="00110F7D">
              <w:rPr>
                <w:sz w:val="24"/>
                <w:szCs w:val="24"/>
              </w:rPr>
              <w:t xml:space="preserve"> </w:t>
            </w:r>
            <w:proofErr w:type="spellStart"/>
            <w:r w:rsidRPr="00110F7D">
              <w:rPr>
                <w:sz w:val="24"/>
                <w:szCs w:val="24"/>
              </w:rPr>
              <w:t>glands</w:t>
            </w:r>
            <w:proofErr w:type="spellEnd"/>
          </w:p>
        </w:tc>
        <w:tc>
          <w:tcPr>
            <w:tcW w:w="297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hideMark/>
          </w:tcPr>
          <w:p w14:paraId="426EC462" w14:textId="77777777" w:rsidR="00CC5520" w:rsidRPr="00110F7D" w:rsidRDefault="00CC5520">
            <w:pPr>
              <w:jc w:val="center"/>
              <w:rPr>
                <w:color w:val="000000" w:themeColor="text1"/>
                <w:sz w:val="24"/>
                <w:szCs w:val="24"/>
              </w:rPr>
            </w:pPr>
            <w:r w:rsidRPr="00110F7D">
              <w:rPr>
                <w:color w:val="000000" w:themeColor="text1"/>
                <w:sz w:val="24"/>
                <w:szCs w:val="24"/>
              </w:rPr>
              <w:t>0.096</w:t>
            </w:r>
          </w:p>
        </w:tc>
      </w:tr>
      <w:tr w:rsidR="00CC5520" w:rsidRPr="00110F7D" w14:paraId="0D1EFBA9" w14:textId="77777777" w:rsidTr="00CC5520">
        <w:trPr>
          <w:trHeight w:val="300"/>
        </w:trPr>
        <w:tc>
          <w:tcPr>
            <w:tcW w:w="203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hideMark/>
          </w:tcPr>
          <w:p w14:paraId="358250D6" w14:textId="77777777" w:rsidR="00CC5520" w:rsidRPr="00110F7D" w:rsidRDefault="00CC5520">
            <w:pPr>
              <w:rPr>
                <w:sz w:val="24"/>
                <w:szCs w:val="24"/>
              </w:rPr>
            </w:pPr>
            <w:r w:rsidRPr="00110F7D">
              <w:rPr>
                <w:sz w:val="24"/>
                <w:szCs w:val="24"/>
              </w:rPr>
              <w:t>Skin</w:t>
            </w:r>
          </w:p>
        </w:tc>
        <w:tc>
          <w:tcPr>
            <w:tcW w:w="297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hideMark/>
          </w:tcPr>
          <w:p w14:paraId="6363F79C" w14:textId="77777777" w:rsidR="00CC5520" w:rsidRPr="00110F7D" w:rsidRDefault="00CC5520">
            <w:pPr>
              <w:jc w:val="center"/>
              <w:rPr>
                <w:color w:val="000000" w:themeColor="text1"/>
                <w:sz w:val="24"/>
                <w:szCs w:val="24"/>
              </w:rPr>
            </w:pPr>
            <w:r w:rsidRPr="00110F7D">
              <w:rPr>
                <w:color w:val="000000" w:themeColor="text1"/>
                <w:sz w:val="24"/>
                <w:szCs w:val="24"/>
              </w:rPr>
              <w:t>0.006</w:t>
            </w:r>
          </w:p>
        </w:tc>
      </w:tr>
      <w:tr w:rsidR="00CC5520" w:rsidRPr="00110F7D" w14:paraId="55010FDC" w14:textId="77777777" w:rsidTr="00CC5520">
        <w:trPr>
          <w:trHeight w:val="300"/>
        </w:trPr>
        <w:tc>
          <w:tcPr>
            <w:tcW w:w="203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hideMark/>
          </w:tcPr>
          <w:p w14:paraId="78A929A7" w14:textId="77777777" w:rsidR="00CC5520" w:rsidRPr="00110F7D" w:rsidRDefault="00CC5520">
            <w:pPr>
              <w:rPr>
                <w:sz w:val="24"/>
                <w:szCs w:val="24"/>
              </w:rPr>
            </w:pPr>
            <w:r w:rsidRPr="00110F7D">
              <w:rPr>
                <w:sz w:val="24"/>
                <w:szCs w:val="24"/>
              </w:rPr>
              <w:t xml:space="preserve">Small </w:t>
            </w:r>
            <w:proofErr w:type="spellStart"/>
            <w:r w:rsidRPr="00110F7D">
              <w:rPr>
                <w:sz w:val="24"/>
                <w:szCs w:val="24"/>
              </w:rPr>
              <w:t>intestine</w:t>
            </w:r>
            <w:proofErr w:type="spellEnd"/>
          </w:p>
        </w:tc>
        <w:tc>
          <w:tcPr>
            <w:tcW w:w="297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hideMark/>
          </w:tcPr>
          <w:p w14:paraId="0CAFF2C4" w14:textId="77777777" w:rsidR="00CC5520" w:rsidRPr="00110F7D" w:rsidRDefault="00CC5520">
            <w:pPr>
              <w:jc w:val="center"/>
              <w:rPr>
                <w:color w:val="000000" w:themeColor="text1"/>
                <w:sz w:val="24"/>
                <w:szCs w:val="24"/>
              </w:rPr>
            </w:pPr>
            <w:r w:rsidRPr="00110F7D">
              <w:rPr>
                <w:color w:val="000000" w:themeColor="text1"/>
                <w:sz w:val="24"/>
                <w:szCs w:val="24"/>
              </w:rPr>
              <w:t>0.057</w:t>
            </w:r>
          </w:p>
        </w:tc>
      </w:tr>
      <w:tr w:rsidR="00CC5520" w:rsidRPr="00110F7D" w14:paraId="7C544EE7" w14:textId="77777777" w:rsidTr="00CC5520">
        <w:trPr>
          <w:trHeight w:val="300"/>
        </w:trPr>
        <w:tc>
          <w:tcPr>
            <w:tcW w:w="203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hideMark/>
          </w:tcPr>
          <w:p w14:paraId="24CA4FC7" w14:textId="77777777" w:rsidR="00CC5520" w:rsidRPr="00110F7D" w:rsidRDefault="00CC5520">
            <w:pPr>
              <w:rPr>
                <w:sz w:val="24"/>
                <w:szCs w:val="24"/>
              </w:rPr>
            </w:pPr>
            <w:r w:rsidRPr="00110F7D">
              <w:rPr>
                <w:sz w:val="24"/>
                <w:szCs w:val="24"/>
              </w:rPr>
              <w:t>Spleen</w:t>
            </w:r>
          </w:p>
        </w:tc>
        <w:tc>
          <w:tcPr>
            <w:tcW w:w="297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hideMark/>
          </w:tcPr>
          <w:p w14:paraId="00634B81" w14:textId="77777777" w:rsidR="00CC5520" w:rsidRPr="00110F7D" w:rsidRDefault="00CC5520">
            <w:pPr>
              <w:jc w:val="center"/>
              <w:rPr>
                <w:color w:val="000000" w:themeColor="text1"/>
                <w:sz w:val="24"/>
                <w:szCs w:val="24"/>
              </w:rPr>
            </w:pPr>
            <w:r w:rsidRPr="00110F7D">
              <w:rPr>
                <w:color w:val="000000" w:themeColor="text1"/>
                <w:sz w:val="24"/>
                <w:szCs w:val="24"/>
              </w:rPr>
              <w:t>0.037</w:t>
            </w:r>
          </w:p>
        </w:tc>
      </w:tr>
      <w:tr w:rsidR="00CC5520" w:rsidRPr="00110F7D" w14:paraId="4B8A03D2" w14:textId="77777777" w:rsidTr="00CC5520">
        <w:trPr>
          <w:trHeight w:val="300"/>
        </w:trPr>
        <w:tc>
          <w:tcPr>
            <w:tcW w:w="203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hideMark/>
          </w:tcPr>
          <w:p w14:paraId="4963F937" w14:textId="77777777" w:rsidR="00CC5520" w:rsidRPr="00110F7D" w:rsidRDefault="00CC5520">
            <w:pPr>
              <w:rPr>
                <w:sz w:val="24"/>
                <w:szCs w:val="24"/>
              </w:rPr>
            </w:pPr>
            <w:proofErr w:type="spellStart"/>
            <w:r w:rsidRPr="00110F7D">
              <w:rPr>
                <w:sz w:val="24"/>
                <w:szCs w:val="24"/>
              </w:rPr>
              <w:t>Stomach</w:t>
            </w:r>
            <w:proofErr w:type="spellEnd"/>
          </w:p>
        </w:tc>
        <w:tc>
          <w:tcPr>
            <w:tcW w:w="297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hideMark/>
          </w:tcPr>
          <w:p w14:paraId="1B5CA09A" w14:textId="77777777" w:rsidR="00CC5520" w:rsidRPr="00110F7D" w:rsidRDefault="00CC5520">
            <w:pPr>
              <w:jc w:val="center"/>
              <w:rPr>
                <w:color w:val="000000" w:themeColor="text1"/>
                <w:sz w:val="24"/>
                <w:szCs w:val="24"/>
              </w:rPr>
            </w:pPr>
            <w:r w:rsidRPr="00110F7D">
              <w:rPr>
                <w:color w:val="000000" w:themeColor="text1"/>
                <w:sz w:val="24"/>
                <w:szCs w:val="24"/>
              </w:rPr>
              <w:t>0.009</w:t>
            </w:r>
          </w:p>
        </w:tc>
      </w:tr>
      <w:tr w:rsidR="00CC5520" w:rsidRPr="00110F7D" w14:paraId="3CA9DD8F" w14:textId="77777777" w:rsidTr="00CC5520">
        <w:trPr>
          <w:trHeight w:val="300"/>
        </w:trPr>
        <w:tc>
          <w:tcPr>
            <w:tcW w:w="203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hideMark/>
          </w:tcPr>
          <w:p w14:paraId="08C15AE5" w14:textId="77777777" w:rsidR="00CC5520" w:rsidRPr="00110F7D" w:rsidRDefault="00CC5520">
            <w:pPr>
              <w:rPr>
                <w:sz w:val="24"/>
                <w:szCs w:val="24"/>
              </w:rPr>
            </w:pPr>
            <w:r w:rsidRPr="00110F7D">
              <w:rPr>
                <w:sz w:val="24"/>
                <w:szCs w:val="24"/>
              </w:rPr>
              <w:t>Testes</w:t>
            </w:r>
          </w:p>
        </w:tc>
        <w:tc>
          <w:tcPr>
            <w:tcW w:w="297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hideMark/>
          </w:tcPr>
          <w:p w14:paraId="7CC8C13B" w14:textId="77777777" w:rsidR="00CC5520" w:rsidRPr="00110F7D" w:rsidRDefault="00CC5520">
            <w:pPr>
              <w:jc w:val="center"/>
              <w:rPr>
                <w:color w:val="000000" w:themeColor="text1"/>
                <w:sz w:val="24"/>
                <w:szCs w:val="24"/>
              </w:rPr>
            </w:pPr>
            <w:r w:rsidRPr="00110F7D">
              <w:rPr>
                <w:color w:val="000000" w:themeColor="text1"/>
                <w:sz w:val="24"/>
                <w:szCs w:val="24"/>
              </w:rPr>
              <w:t>0.007</w:t>
            </w:r>
          </w:p>
        </w:tc>
      </w:tr>
      <w:tr w:rsidR="00CC5520" w:rsidRPr="00110F7D" w14:paraId="096D463A" w14:textId="77777777" w:rsidTr="00CC5520">
        <w:trPr>
          <w:trHeight w:val="300"/>
        </w:trPr>
        <w:tc>
          <w:tcPr>
            <w:tcW w:w="203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hideMark/>
          </w:tcPr>
          <w:p w14:paraId="5BA58ACB" w14:textId="77777777" w:rsidR="00CC5520" w:rsidRPr="00110F7D" w:rsidRDefault="00CC5520">
            <w:pPr>
              <w:rPr>
                <w:sz w:val="24"/>
                <w:szCs w:val="24"/>
              </w:rPr>
            </w:pPr>
            <w:proofErr w:type="spellStart"/>
            <w:r w:rsidRPr="00110F7D">
              <w:rPr>
                <w:sz w:val="24"/>
                <w:szCs w:val="24"/>
              </w:rPr>
              <w:t>Thymus</w:t>
            </w:r>
            <w:proofErr w:type="spellEnd"/>
          </w:p>
        </w:tc>
        <w:tc>
          <w:tcPr>
            <w:tcW w:w="297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hideMark/>
          </w:tcPr>
          <w:p w14:paraId="78CA7166" w14:textId="77777777" w:rsidR="00CC5520" w:rsidRPr="00110F7D" w:rsidRDefault="00CC5520">
            <w:pPr>
              <w:jc w:val="center"/>
              <w:rPr>
                <w:color w:val="000000" w:themeColor="text1"/>
                <w:sz w:val="24"/>
                <w:szCs w:val="24"/>
              </w:rPr>
            </w:pPr>
            <w:r w:rsidRPr="00110F7D">
              <w:rPr>
                <w:color w:val="000000" w:themeColor="text1"/>
                <w:sz w:val="24"/>
                <w:szCs w:val="24"/>
              </w:rPr>
              <w:t>0.007</w:t>
            </w:r>
          </w:p>
        </w:tc>
      </w:tr>
      <w:tr w:rsidR="00CC5520" w:rsidRPr="00110F7D" w14:paraId="4D94D963" w14:textId="77777777" w:rsidTr="00CC5520">
        <w:trPr>
          <w:trHeight w:val="300"/>
        </w:trPr>
        <w:tc>
          <w:tcPr>
            <w:tcW w:w="203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hideMark/>
          </w:tcPr>
          <w:p w14:paraId="402BCF66" w14:textId="77777777" w:rsidR="00CC5520" w:rsidRPr="00110F7D" w:rsidRDefault="00CC5520">
            <w:pPr>
              <w:rPr>
                <w:sz w:val="24"/>
                <w:szCs w:val="24"/>
              </w:rPr>
            </w:pPr>
            <w:proofErr w:type="spellStart"/>
            <w:r w:rsidRPr="00110F7D">
              <w:rPr>
                <w:sz w:val="24"/>
                <w:szCs w:val="24"/>
              </w:rPr>
              <w:t>Thyroid</w:t>
            </w:r>
            <w:proofErr w:type="spellEnd"/>
          </w:p>
        </w:tc>
        <w:tc>
          <w:tcPr>
            <w:tcW w:w="297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hideMark/>
          </w:tcPr>
          <w:p w14:paraId="6BC05BF6" w14:textId="77777777" w:rsidR="00CC5520" w:rsidRPr="00110F7D" w:rsidRDefault="00CC5520">
            <w:pPr>
              <w:jc w:val="center"/>
              <w:rPr>
                <w:color w:val="000000" w:themeColor="text1"/>
                <w:sz w:val="24"/>
                <w:szCs w:val="24"/>
              </w:rPr>
            </w:pPr>
            <w:r w:rsidRPr="00110F7D">
              <w:rPr>
                <w:color w:val="000000" w:themeColor="text1"/>
                <w:sz w:val="24"/>
                <w:szCs w:val="24"/>
              </w:rPr>
              <w:t>0.007</w:t>
            </w:r>
          </w:p>
        </w:tc>
      </w:tr>
      <w:tr w:rsidR="00CC5520" w:rsidRPr="00110F7D" w14:paraId="29342070" w14:textId="77777777" w:rsidTr="00CC5520">
        <w:trPr>
          <w:trHeight w:val="315"/>
        </w:trPr>
        <w:tc>
          <w:tcPr>
            <w:tcW w:w="203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hideMark/>
          </w:tcPr>
          <w:p w14:paraId="62648FE4" w14:textId="77777777" w:rsidR="00CC5520" w:rsidRPr="00110F7D" w:rsidRDefault="00CC5520">
            <w:pPr>
              <w:rPr>
                <w:sz w:val="24"/>
                <w:szCs w:val="24"/>
              </w:rPr>
            </w:pPr>
            <w:r w:rsidRPr="00110F7D">
              <w:rPr>
                <w:sz w:val="24"/>
                <w:szCs w:val="24"/>
              </w:rPr>
              <w:t>Total body</w:t>
            </w:r>
          </w:p>
        </w:tc>
        <w:tc>
          <w:tcPr>
            <w:tcW w:w="297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hideMark/>
          </w:tcPr>
          <w:p w14:paraId="46F1115E" w14:textId="77777777" w:rsidR="00CC5520" w:rsidRPr="00110F7D" w:rsidRDefault="00CC5520">
            <w:pPr>
              <w:jc w:val="center"/>
              <w:rPr>
                <w:color w:val="000000" w:themeColor="text1"/>
                <w:sz w:val="24"/>
                <w:szCs w:val="24"/>
              </w:rPr>
            </w:pPr>
            <w:r w:rsidRPr="00110F7D">
              <w:rPr>
                <w:color w:val="000000" w:themeColor="text1"/>
                <w:sz w:val="24"/>
                <w:szCs w:val="24"/>
              </w:rPr>
              <w:t>0.011</w:t>
            </w:r>
          </w:p>
        </w:tc>
      </w:tr>
      <w:tr w:rsidR="00CC5520" w:rsidRPr="00110F7D" w14:paraId="3314DDDF" w14:textId="77777777" w:rsidTr="00CC5520">
        <w:trPr>
          <w:trHeight w:val="300"/>
        </w:trPr>
        <w:tc>
          <w:tcPr>
            <w:tcW w:w="203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hideMark/>
          </w:tcPr>
          <w:p w14:paraId="4FCD21A2" w14:textId="77777777" w:rsidR="00CC5520" w:rsidRPr="00110F7D" w:rsidRDefault="00CC5520">
            <w:pPr>
              <w:rPr>
                <w:sz w:val="24"/>
                <w:szCs w:val="24"/>
              </w:rPr>
            </w:pPr>
            <w:r w:rsidRPr="00110F7D">
              <w:rPr>
                <w:sz w:val="24"/>
                <w:szCs w:val="24"/>
              </w:rPr>
              <w:t xml:space="preserve">Upper </w:t>
            </w:r>
            <w:proofErr w:type="spellStart"/>
            <w:r w:rsidRPr="00110F7D">
              <w:rPr>
                <w:sz w:val="24"/>
                <w:szCs w:val="24"/>
              </w:rPr>
              <w:t>Colon</w:t>
            </w:r>
            <w:proofErr w:type="spellEnd"/>
          </w:p>
        </w:tc>
        <w:tc>
          <w:tcPr>
            <w:tcW w:w="297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hideMark/>
          </w:tcPr>
          <w:p w14:paraId="0B901F7E" w14:textId="77777777" w:rsidR="00CC5520" w:rsidRPr="00110F7D" w:rsidRDefault="00CC5520">
            <w:pPr>
              <w:jc w:val="center"/>
              <w:rPr>
                <w:color w:val="000000" w:themeColor="text1"/>
                <w:sz w:val="24"/>
                <w:szCs w:val="24"/>
              </w:rPr>
            </w:pPr>
            <w:r w:rsidRPr="00110F7D">
              <w:rPr>
                <w:color w:val="000000" w:themeColor="text1"/>
                <w:sz w:val="24"/>
                <w:szCs w:val="24"/>
              </w:rPr>
              <w:t>0.013</w:t>
            </w:r>
          </w:p>
        </w:tc>
      </w:tr>
      <w:tr w:rsidR="00CC5520" w:rsidRPr="00110F7D" w14:paraId="52A2F40F" w14:textId="77777777" w:rsidTr="00CC5520">
        <w:trPr>
          <w:trHeight w:val="300"/>
        </w:trPr>
        <w:tc>
          <w:tcPr>
            <w:tcW w:w="2030" w:type="pct"/>
            <w:tcBorders>
              <w:top w:val="single" w:sz="4" w:space="0" w:color="auto"/>
              <w:left w:val="single" w:sz="4" w:space="0" w:color="auto"/>
              <w:bottom w:val="single" w:sz="12" w:space="0" w:color="auto"/>
              <w:right w:val="single" w:sz="4" w:space="0" w:color="auto"/>
            </w:tcBorders>
            <w:tcMar>
              <w:top w:w="0" w:type="dxa"/>
              <w:left w:w="70" w:type="dxa"/>
              <w:bottom w:w="0" w:type="dxa"/>
              <w:right w:w="70" w:type="dxa"/>
            </w:tcMar>
            <w:vAlign w:val="bottom"/>
            <w:hideMark/>
          </w:tcPr>
          <w:p w14:paraId="42907739" w14:textId="77777777" w:rsidR="00CC5520" w:rsidRPr="00110F7D" w:rsidRDefault="00CC5520">
            <w:pPr>
              <w:rPr>
                <w:sz w:val="24"/>
                <w:szCs w:val="24"/>
              </w:rPr>
            </w:pPr>
            <w:proofErr w:type="spellStart"/>
            <w:r w:rsidRPr="00110F7D">
              <w:rPr>
                <w:sz w:val="24"/>
                <w:szCs w:val="24"/>
              </w:rPr>
              <w:t>Urinary</w:t>
            </w:r>
            <w:proofErr w:type="spellEnd"/>
            <w:r w:rsidRPr="00110F7D">
              <w:rPr>
                <w:sz w:val="24"/>
                <w:szCs w:val="24"/>
              </w:rPr>
              <w:t xml:space="preserve"> </w:t>
            </w:r>
            <w:proofErr w:type="spellStart"/>
            <w:r w:rsidRPr="00110F7D">
              <w:rPr>
                <w:sz w:val="24"/>
                <w:szCs w:val="24"/>
              </w:rPr>
              <w:t>bladder</w:t>
            </w:r>
            <w:proofErr w:type="spellEnd"/>
          </w:p>
        </w:tc>
        <w:tc>
          <w:tcPr>
            <w:tcW w:w="2970" w:type="pct"/>
            <w:tcBorders>
              <w:top w:val="single" w:sz="4" w:space="0" w:color="auto"/>
              <w:left w:val="single" w:sz="4" w:space="0" w:color="auto"/>
              <w:bottom w:val="single" w:sz="12" w:space="0" w:color="auto"/>
              <w:right w:val="single" w:sz="4" w:space="0" w:color="auto"/>
            </w:tcBorders>
            <w:tcMar>
              <w:top w:w="0" w:type="dxa"/>
              <w:left w:w="70" w:type="dxa"/>
              <w:bottom w:w="0" w:type="dxa"/>
              <w:right w:w="70" w:type="dxa"/>
            </w:tcMar>
            <w:vAlign w:val="bottom"/>
            <w:hideMark/>
          </w:tcPr>
          <w:p w14:paraId="3B3A9CED" w14:textId="77777777" w:rsidR="00CC5520" w:rsidRPr="00110F7D" w:rsidRDefault="00CC5520">
            <w:pPr>
              <w:jc w:val="center"/>
              <w:rPr>
                <w:color w:val="000000" w:themeColor="text1"/>
                <w:sz w:val="24"/>
                <w:szCs w:val="24"/>
              </w:rPr>
            </w:pPr>
            <w:r w:rsidRPr="00110F7D">
              <w:rPr>
                <w:color w:val="000000" w:themeColor="text1"/>
                <w:sz w:val="24"/>
                <w:szCs w:val="24"/>
              </w:rPr>
              <w:t>0.112</w:t>
            </w:r>
          </w:p>
        </w:tc>
      </w:tr>
      <w:tr w:rsidR="00CC5520" w:rsidRPr="00110F7D" w14:paraId="00E47216" w14:textId="77777777" w:rsidTr="00CC5520">
        <w:trPr>
          <w:trHeight w:val="315"/>
        </w:trPr>
        <w:tc>
          <w:tcPr>
            <w:tcW w:w="2030" w:type="pct"/>
            <w:tcBorders>
              <w:top w:val="single" w:sz="12" w:space="0" w:color="auto"/>
              <w:left w:val="single" w:sz="12" w:space="0" w:color="auto"/>
              <w:bottom w:val="single" w:sz="12" w:space="0" w:color="auto"/>
              <w:right w:val="single" w:sz="4" w:space="0" w:color="auto"/>
            </w:tcBorders>
            <w:tcMar>
              <w:top w:w="0" w:type="dxa"/>
              <w:left w:w="70" w:type="dxa"/>
              <w:bottom w:w="0" w:type="dxa"/>
              <w:right w:w="70" w:type="dxa"/>
            </w:tcMar>
            <w:vAlign w:val="bottom"/>
            <w:hideMark/>
          </w:tcPr>
          <w:p w14:paraId="5079B39F" w14:textId="77777777" w:rsidR="00CC5520" w:rsidRPr="00110F7D" w:rsidRDefault="00CC5520">
            <w:pPr>
              <w:rPr>
                <w:sz w:val="24"/>
                <w:szCs w:val="24"/>
              </w:rPr>
            </w:pPr>
            <w:proofErr w:type="spellStart"/>
            <w:r w:rsidRPr="00110F7D">
              <w:rPr>
                <w:sz w:val="24"/>
                <w:szCs w:val="24"/>
              </w:rPr>
              <w:t>Effective</w:t>
            </w:r>
            <w:proofErr w:type="spellEnd"/>
            <w:r w:rsidRPr="00110F7D">
              <w:rPr>
                <w:sz w:val="24"/>
                <w:szCs w:val="24"/>
              </w:rPr>
              <w:t xml:space="preserve"> </w:t>
            </w:r>
            <w:proofErr w:type="spellStart"/>
            <w:r w:rsidRPr="00110F7D">
              <w:rPr>
                <w:sz w:val="24"/>
                <w:szCs w:val="24"/>
              </w:rPr>
              <w:t>dose</w:t>
            </w:r>
            <w:proofErr w:type="spellEnd"/>
            <w:r w:rsidRPr="00110F7D">
              <w:rPr>
                <w:sz w:val="24"/>
                <w:szCs w:val="24"/>
              </w:rPr>
              <w:t xml:space="preserve"> (mSv/MBq)</w:t>
            </w:r>
          </w:p>
        </w:tc>
        <w:tc>
          <w:tcPr>
            <w:tcW w:w="2970" w:type="pct"/>
            <w:tcBorders>
              <w:top w:val="single" w:sz="12" w:space="0" w:color="auto"/>
              <w:left w:val="single" w:sz="4" w:space="0" w:color="auto"/>
              <w:bottom w:val="single" w:sz="12" w:space="0" w:color="auto"/>
              <w:right w:val="single" w:sz="12" w:space="0" w:color="auto"/>
            </w:tcBorders>
            <w:tcMar>
              <w:top w:w="0" w:type="dxa"/>
              <w:left w:w="70" w:type="dxa"/>
              <w:bottom w:w="0" w:type="dxa"/>
              <w:right w:w="70" w:type="dxa"/>
            </w:tcMar>
            <w:vAlign w:val="bottom"/>
            <w:hideMark/>
          </w:tcPr>
          <w:p w14:paraId="67ECC23C" w14:textId="77777777" w:rsidR="00CC5520" w:rsidRPr="00110F7D" w:rsidRDefault="00CC5520">
            <w:pPr>
              <w:jc w:val="center"/>
              <w:rPr>
                <w:b/>
                <w:bCs/>
                <w:color w:val="000000" w:themeColor="text1"/>
                <w:sz w:val="24"/>
                <w:szCs w:val="24"/>
              </w:rPr>
            </w:pPr>
            <w:r w:rsidRPr="00110F7D">
              <w:rPr>
                <w:b/>
                <w:bCs/>
                <w:color w:val="000000" w:themeColor="text1"/>
                <w:sz w:val="24"/>
                <w:szCs w:val="24"/>
              </w:rPr>
              <w:t>0.0162</w:t>
            </w:r>
          </w:p>
        </w:tc>
      </w:tr>
    </w:tbl>
    <w:p w14:paraId="56F953E3" w14:textId="77777777" w:rsidR="00CC5520" w:rsidRPr="00110F7D" w:rsidRDefault="00CC5520" w:rsidP="00CC5520">
      <w:pPr>
        <w:rPr>
          <w:sz w:val="24"/>
          <w:szCs w:val="24"/>
          <w:lang w:val="en-GB" w:eastAsia="en-US"/>
        </w:rPr>
      </w:pPr>
    </w:p>
    <w:p w14:paraId="36141783" w14:textId="77777777" w:rsidR="00CC5520" w:rsidRPr="00110F7D" w:rsidRDefault="00CC5520" w:rsidP="00CC5520">
      <w:pPr>
        <w:ind w:left="851"/>
        <w:rPr>
          <w:sz w:val="24"/>
          <w:szCs w:val="24"/>
          <w:lang w:val="en-US"/>
        </w:rPr>
      </w:pPr>
      <w:r w:rsidRPr="00110F7D">
        <w:rPr>
          <w:sz w:val="24"/>
          <w:szCs w:val="24"/>
          <w:lang w:val="en-US"/>
        </w:rPr>
        <w:t xml:space="preserve">The effective dose resulting from the administration of a 2.2 </w:t>
      </w:r>
      <w:proofErr w:type="spellStart"/>
      <w:r w:rsidRPr="00110F7D">
        <w:rPr>
          <w:sz w:val="24"/>
          <w:szCs w:val="24"/>
          <w:lang w:val="en-US"/>
        </w:rPr>
        <w:t>MBq</w:t>
      </w:r>
      <w:proofErr w:type="spellEnd"/>
      <w:r w:rsidRPr="00110F7D">
        <w:rPr>
          <w:sz w:val="24"/>
          <w:szCs w:val="24"/>
          <w:lang w:val="en-US"/>
        </w:rPr>
        <w:t xml:space="preserve"> per kilogram of body weight is about 3 mSv (</w:t>
      </w:r>
      <w:proofErr w:type="spellStart"/>
      <w:r w:rsidRPr="00110F7D">
        <w:rPr>
          <w:sz w:val="24"/>
          <w:szCs w:val="24"/>
          <w:lang w:val="en-US"/>
        </w:rPr>
        <w:t>Fendler</w:t>
      </w:r>
      <w:proofErr w:type="spellEnd"/>
      <w:r w:rsidRPr="00110F7D">
        <w:rPr>
          <w:sz w:val="24"/>
          <w:szCs w:val="24"/>
          <w:lang w:val="en-US"/>
        </w:rPr>
        <w:t xml:space="preserve"> et al., 2017).</w:t>
      </w:r>
    </w:p>
    <w:p w14:paraId="3BD6DF0C" w14:textId="77777777" w:rsidR="00CC5520" w:rsidRPr="00110F7D" w:rsidRDefault="00CC5520" w:rsidP="00CC5520">
      <w:pPr>
        <w:ind w:left="851"/>
        <w:rPr>
          <w:sz w:val="24"/>
          <w:szCs w:val="24"/>
          <w:lang w:val="en-US"/>
        </w:rPr>
      </w:pPr>
    </w:p>
    <w:p w14:paraId="3D379CC3" w14:textId="77777777" w:rsidR="00CC5520" w:rsidRPr="00110F7D" w:rsidRDefault="00CC5520" w:rsidP="00CC5520">
      <w:pPr>
        <w:ind w:left="851"/>
        <w:rPr>
          <w:sz w:val="24"/>
          <w:szCs w:val="24"/>
          <w:lang w:val="en-US"/>
        </w:rPr>
      </w:pPr>
      <w:r w:rsidRPr="00110F7D">
        <w:rPr>
          <w:sz w:val="24"/>
          <w:szCs w:val="24"/>
          <w:lang w:val="en-US"/>
        </w:rPr>
        <w:t xml:space="preserve">For an administered activity of 185 </w:t>
      </w:r>
      <w:proofErr w:type="spellStart"/>
      <w:r w:rsidRPr="00110F7D">
        <w:rPr>
          <w:sz w:val="24"/>
          <w:szCs w:val="24"/>
          <w:lang w:val="en-US"/>
        </w:rPr>
        <w:t>MBq</w:t>
      </w:r>
      <w:proofErr w:type="spellEnd"/>
      <w:r w:rsidRPr="00110F7D">
        <w:rPr>
          <w:sz w:val="24"/>
          <w:szCs w:val="24"/>
          <w:lang w:val="en-US"/>
        </w:rPr>
        <w:t xml:space="preserve">, the typical radiation dose to the target organs is 84, 21, 18 and 11 </w:t>
      </w:r>
      <w:proofErr w:type="spellStart"/>
      <w:r w:rsidRPr="00110F7D">
        <w:rPr>
          <w:sz w:val="24"/>
          <w:szCs w:val="24"/>
          <w:lang w:val="en-US"/>
        </w:rPr>
        <w:t>mGy</w:t>
      </w:r>
      <w:proofErr w:type="spellEnd"/>
      <w:r w:rsidRPr="00110F7D">
        <w:rPr>
          <w:sz w:val="24"/>
          <w:szCs w:val="24"/>
          <w:lang w:val="en-US"/>
        </w:rPr>
        <w:t xml:space="preserve"> for the kidneys, urinary bladder, salivary glands and small intestine, respectively.</w:t>
      </w:r>
    </w:p>
    <w:p w14:paraId="50825953" w14:textId="77777777" w:rsidR="00114971" w:rsidRPr="00110F7D" w:rsidRDefault="00114971" w:rsidP="00114971">
      <w:pPr>
        <w:tabs>
          <w:tab w:val="left" w:pos="851"/>
        </w:tabs>
        <w:ind w:left="851"/>
        <w:jc w:val="both"/>
        <w:rPr>
          <w:sz w:val="24"/>
          <w:szCs w:val="24"/>
          <w:lang w:val="en-GB"/>
        </w:rPr>
      </w:pPr>
    </w:p>
    <w:p w14:paraId="33A99EB1" w14:textId="77777777" w:rsidR="00114971" w:rsidRPr="00110F7D" w:rsidRDefault="00114971" w:rsidP="00114971">
      <w:pPr>
        <w:tabs>
          <w:tab w:val="left" w:pos="851"/>
        </w:tabs>
        <w:jc w:val="both"/>
        <w:rPr>
          <w:b/>
          <w:sz w:val="24"/>
          <w:szCs w:val="24"/>
          <w:lang w:val="en-US"/>
        </w:rPr>
      </w:pPr>
      <w:r w:rsidRPr="00110F7D">
        <w:rPr>
          <w:b/>
          <w:sz w:val="24"/>
          <w:szCs w:val="24"/>
          <w:lang w:val="en-GB"/>
        </w:rPr>
        <w:t>12.</w:t>
      </w:r>
      <w:r w:rsidRPr="00110F7D">
        <w:rPr>
          <w:b/>
          <w:sz w:val="24"/>
          <w:szCs w:val="24"/>
          <w:lang w:val="en-GB"/>
        </w:rPr>
        <w:tab/>
        <w:t>INSTRUCTION</w:t>
      </w:r>
      <w:r w:rsidRPr="00110F7D">
        <w:rPr>
          <w:b/>
          <w:sz w:val="24"/>
          <w:szCs w:val="24"/>
          <w:lang w:val="en-US"/>
        </w:rPr>
        <w:t>S FOR PREPARATION OF RADIOPHARMACEUTICALS</w:t>
      </w:r>
    </w:p>
    <w:p w14:paraId="3636DCA7" w14:textId="77777777" w:rsidR="00D27234" w:rsidRDefault="00D27234" w:rsidP="00CC5520">
      <w:pPr>
        <w:ind w:left="851"/>
        <w:rPr>
          <w:sz w:val="24"/>
          <w:szCs w:val="24"/>
          <w:lang w:val="en-US"/>
        </w:rPr>
      </w:pPr>
    </w:p>
    <w:p w14:paraId="7CDE5CC0" w14:textId="75937D32" w:rsidR="00CC5520" w:rsidRPr="00D27234" w:rsidRDefault="00CC5520" w:rsidP="00CC5520">
      <w:pPr>
        <w:ind w:left="851"/>
        <w:rPr>
          <w:sz w:val="24"/>
          <w:szCs w:val="24"/>
          <w:u w:val="single"/>
          <w:lang w:val="en-US"/>
        </w:rPr>
      </w:pPr>
      <w:r w:rsidRPr="00D27234">
        <w:rPr>
          <w:sz w:val="24"/>
          <w:szCs w:val="24"/>
          <w:u w:val="single"/>
          <w:lang w:val="en-US"/>
        </w:rPr>
        <w:t>Method of preparation</w:t>
      </w:r>
    </w:p>
    <w:p w14:paraId="79993339" w14:textId="77777777" w:rsidR="00CC5520" w:rsidRPr="00110F7D" w:rsidRDefault="00CC5520" w:rsidP="00CC5520">
      <w:pPr>
        <w:ind w:left="851"/>
        <w:rPr>
          <w:bCs/>
          <w:sz w:val="24"/>
          <w:szCs w:val="24"/>
          <w:lang w:val="en-US"/>
        </w:rPr>
      </w:pPr>
    </w:p>
    <w:p w14:paraId="054F0D1E" w14:textId="77777777" w:rsidR="00CC5520" w:rsidRPr="00D27234" w:rsidRDefault="00CC5520" w:rsidP="00CC5520">
      <w:pPr>
        <w:ind w:left="851"/>
        <w:rPr>
          <w:i/>
          <w:iCs/>
          <w:sz w:val="24"/>
          <w:szCs w:val="24"/>
          <w:u w:val="single"/>
          <w:lang w:val="en-US"/>
        </w:rPr>
      </w:pPr>
      <w:r w:rsidRPr="00D27234">
        <w:rPr>
          <w:i/>
          <w:iCs/>
          <w:sz w:val="24"/>
          <w:szCs w:val="24"/>
          <w:u w:val="single"/>
          <w:lang w:val="en-US"/>
        </w:rPr>
        <w:t xml:space="preserve">Step 1: Reconstitution and </w:t>
      </w:r>
      <w:proofErr w:type="spellStart"/>
      <w:r w:rsidRPr="00D27234">
        <w:rPr>
          <w:i/>
          <w:iCs/>
          <w:sz w:val="24"/>
          <w:szCs w:val="24"/>
          <w:u w:val="single"/>
          <w:lang w:val="en-US"/>
        </w:rPr>
        <w:t>radiolabelling</w:t>
      </w:r>
      <w:proofErr w:type="spellEnd"/>
    </w:p>
    <w:p w14:paraId="44B6F1AB" w14:textId="77777777" w:rsidR="00CC5520" w:rsidRPr="00110F7D" w:rsidRDefault="00CC5520" w:rsidP="00CC5520">
      <w:pPr>
        <w:ind w:left="851"/>
        <w:rPr>
          <w:sz w:val="24"/>
          <w:szCs w:val="24"/>
          <w:lang w:val="en-US"/>
        </w:rPr>
      </w:pPr>
    </w:p>
    <w:p w14:paraId="396208AF" w14:textId="77777777" w:rsidR="00CC5520" w:rsidRPr="00110F7D" w:rsidRDefault="00CC5520" w:rsidP="00CC5520">
      <w:pPr>
        <w:ind w:left="851"/>
        <w:rPr>
          <w:sz w:val="24"/>
          <w:szCs w:val="24"/>
          <w:lang w:val="en-US"/>
        </w:rPr>
      </w:pPr>
      <w:proofErr w:type="spellStart"/>
      <w:r w:rsidRPr="00110F7D">
        <w:rPr>
          <w:sz w:val="24"/>
          <w:szCs w:val="24"/>
          <w:lang w:val="en-US"/>
        </w:rPr>
        <w:t>Illuccix</w:t>
      </w:r>
      <w:proofErr w:type="spellEnd"/>
      <w:r w:rsidRPr="00110F7D">
        <w:rPr>
          <w:sz w:val="24"/>
          <w:szCs w:val="24"/>
          <w:lang w:val="en-US"/>
        </w:rPr>
        <w:t xml:space="preserve"> allows the direct preparation of gallium (</w:t>
      </w:r>
      <w:r w:rsidRPr="00110F7D">
        <w:rPr>
          <w:sz w:val="24"/>
          <w:szCs w:val="24"/>
          <w:vertAlign w:val="superscript"/>
          <w:lang w:val="en-US"/>
        </w:rPr>
        <w:t>68</w:t>
      </w:r>
      <w:r w:rsidRPr="00110F7D">
        <w:rPr>
          <w:sz w:val="24"/>
          <w:szCs w:val="24"/>
          <w:lang w:val="en-US"/>
        </w:rPr>
        <w:t xml:space="preserve">Ga) </w:t>
      </w:r>
      <w:proofErr w:type="spellStart"/>
      <w:r w:rsidRPr="00110F7D">
        <w:rPr>
          <w:sz w:val="24"/>
          <w:szCs w:val="24"/>
          <w:lang w:val="en-US"/>
        </w:rPr>
        <w:t>gozetotide</w:t>
      </w:r>
      <w:proofErr w:type="spellEnd"/>
      <w:r w:rsidRPr="00110F7D">
        <w:rPr>
          <w:sz w:val="24"/>
          <w:szCs w:val="24"/>
          <w:lang w:val="en-US"/>
        </w:rPr>
        <w:t xml:space="preserve"> solution for injection with the eluate from one of the following generators (see below for specific instructions for use with each generator):</w:t>
      </w:r>
    </w:p>
    <w:p w14:paraId="00F3FA12" w14:textId="77777777" w:rsidR="00CC5520" w:rsidRPr="00D27234" w:rsidRDefault="00CC5520" w:rsidP="00D27234">
      <w:pPr>
        <w:pStyle w:val="Listeafsnit"/>
        <w:numPr>
          <w:ilvl w:val="0"/>
          <w:numId w:val="21"/>
        </w:numPr>
        <w:spacing w:before="0" w:after="0"/>
        <w:ind w:left="1276" w:hanging="425"/>
        <w:jc w:val="left"/>
        <w:rPr>
          <w:rFonts w:ascii="Times New Roman" w:hAnsi="Times New Roman"/>
          <w:sz w:val="24"/>
          <w:szCs w:val="24"/>
          <w:lang w:val="de-DE"/>
        </w:rPr>
      </w:pPr>
      <w:r w:rsidRPr="00D27234">
        <w:rPr>
          <w:rFonts w:ascii="Times New Roman" w:hAnsi="Times New Roman"/>
          <w:sz w:val="24"/>
          <w:szCs w:val="24"/>
          <w:lang w:val="de-DE"/>
        </w:rPr>
        <w:t xml:space="preserve">Eckert &amp; Ziegler </w:t>
      </w:r>
      <w:proofErr w:type="spellStart"/>
      <w:r w:rsidRPr="00D27234">
        <w:rPr>
          <w:rFonts w:ascii="Times New Roman" w:hAnsi="Times New Roman"/>
          <w:sz w:val="24"/>
          <w:szCs w:val="24"/>
          <w:lang w:val="de-DE"/>
        </w:rPr>
        <w:t>GalliaPharm</w:t>
      </w:r>
      <w:proofErr w:type="spellEnd"/>
      <w:r w:rsidRPr="00D27234">
        <w:rPr>
          <w:rFonts w:ascii="Times New Roman" w:hAnsi="Times New Roman"/>
          <w:sz w:val="24"/>
          <w:szCs w:val="24"/>
          <w:lang w:val="de-DE"/>
        </w:rPr>
        <w:t xml:space="preserve"> germanium-68/gallium-68 (</w:t>
      </w:r>
      <w:r w:rsidRPr="00D27234">
        <w:rPr>
          <w:rFonts w:ascii="Times New Roman" w:hAnsi="Times New Roman"/>
          <w:sz w:val="24"/>
          <w:szCs w:val="24"/>
          <w:vertAlign w:val="superscript"/>
          <w:lang w:val="de-DE"/>
        </w:rPr>
        <w:t>68</w:t>
      </w:r>
      <w:r w:rsidRPr="00D27234">
        <w:rPr>
          <w:rFonts w:ascii="Times New Roman" w:hAnsi="Times New Roman"/>
          <w:sz w:val="24"/>
          <w:szCs w:val="24"/>
          <w:lang w:val="de-DE"/>
        </w:rPr>
        <w:t>Ge/</w:t>
      </w:r>
      <w:r w:rsidRPr="00D27234">
        <w:rPr>
          <w:rFonts w:ascii="Times New Roman" w:hAnsi="Times New Roman"/>
          <w:sz w:val="24"/>
          <w:szCs w:val="24"/>
          <w:vertAlign w:val="superscript"/>
          <w:lang w:val="de-DE"/>
        </w:rPr>
        <w:t>68</w:t>
      </w:r>
      <w:r w:rsidRPr="00D27234">
        <w:rPr>
          <w:rFonts w:ascii="Times New Roman" w:hAnsi="Times New Roman"/>
          <w:sz w:val="24"/>
          <w:szCs w:val="24"/>
          <w:lang w:val="de-DE"/>
        </w:rPr>
        <w:t xml:space="preserve">Ga) </w:t>
      </w:r>
      <w:proofErr w:type="spellStart"/>
      <w:r w:rsidRPr="00D27234">
        <w:rPr>
          <w:rFonts w:ascii="Times New Roman" w:hAnsi="Times New Roman"/>
          <w:sz w:val="24"/>
          <w:szCs w:val="24"/>
          <w:lang w:val="de-DE"/>
        </w:rPr>
        <w:t>generator</w:t>
      </w:r>
      <w:proofErr w:type="spellEnd"/>
    </w:p>
    <w:p w14:paraId="2ACD2582" w14:textId="77777777" w:rsidR="00CC5520" w:rsidRPr="00D27234" w:rsidRDefault="00CC5520" w:rsidP="00D27234">
      <w:pPr>
        <w:pStyle w:val="Listeafsnit"/>
        <w:numPr>
          <w:ilvl w:val="0"/>
          <w:numId w:val="21"/>
        </w:numPr>
        <w:spacing w:before="0" w:after="0"/>
        <w:ind w:left="1276" w:hanging="425"/>
        <w:jc w:val="left"/>
        <w:rPr>
          <w:rFonts w:ascii="Times New Roman" w:hAnsi="Times New Roman"/>
          <w:sz w:val="24"/>
          <w:szCs w:val="24"/>
          <w:lang w:val="it-IT"/>
        </w:rPr>
      </w:pPr>
      <w:r w:rsidRPr="00D27234">
        <w:rPr>
          <w:rFonts w:ascii="Times New Roman" w:hAnsi="Times New Roman"/>
          <w:sz w:val="24"/>
          <w:szCs w:val="24"/>
          <w:lang w:val="it-IT"/>
        </w:rPr>
        <w:t>IRE-ELiT Galli Ad germanium-68/gallium-68 (</w:t>
      </w:r>
      <w:r w:rsidRPr="00D27234">
        <w:rPr>
          <w:rFonts w:ascii="Times New Roman" w:hAnsi="Times New Roman"/>
          <w:sz w:val="24"/>
          <w:szCs w:val="24"/>
          <w:vertAlign w:val="superscript"/>
          <w:lang w:val="it-IT"/>
        </w:rPr>
        <w:t>68</w:t>
      </w:r>
      <w:r w:rsidRPr="00D27234">
        <w:rPr>
          <w:rFonts w:ascii="Times New Roman" w:hAnsi="Times New Roman"/>
          <w:sz w:val="24"/>
          <w:szCs w:val="24"/>
          <w:lang w:val="it-IT"/>
        </w:rPr>
        <w:t>Ge/</w:t>
      </w:r>
      <w:r w:rsidRPr="00D27234">
        <w:rPr>
          <w:rFonts w:ascii="Times New Roman" w:hAnsi="Times New Roman"/>
          <w:sz w:val="24"/>
          <w:szCs w:val="24"/>
          <w:vertAlign w:val="superscript"/>
          <w:lang w:val="it-IT"/>
        </w:rPr>
        <w:t>68</w:t>
      </w:r>
      <w:r w:rsidRPr="00D27234">
        <w:rPr>
          <w:rFonts w:ascii="Times New Roman" w:hAnsi="Times New Roman"/>
          <w:sz w:val="24"/>
          <w:szCs w:val="24"/>
          <w:lang w:val="it-IT"/>
        </w:rPr>
        <w:t>Ga) generator</w:t>
      </w:r>
    </w:p>
    <w:p w14:paraId="1B24C312" w14:textId="77777777" w:rsidR="00CC5520" w:rsidRPr="00110F7D" w:rsidRDefault="00CC5520" w:rsidP="00CC5520">
      <w:pPr>
        <w:ind w:left="851"/>
        <w:rPr>
          <w:sz w:val="24"/>
          <w:szCs w:val="24"/>
          <w:lang w:val="it-IT"/>
        </w:rPr>
      </w:pPr>
    </w:p>
    <w:p w14:paraId="6C5C5C85" w14:textId="77777777" w:rsidR="00CC5520" w:rsidRPr="00110F7D" w:rsidRDefault="00CC5520" w:rsidP="00CC5520">
      <w:pPr>
        <w:ind w:left="851"/>
        <w:rPr>
          <w:sz w:val="24"/>
          <w:szCs w:val="24"/>
          <w:lang w:val="en-GB"/>
        </w:rPr>
      </w:pPr>
      <w:r w:rsidRPr="00110F7D">
        <w:rPr>
          <w:sz w:val="24"/>
          <w:szCs w:val="24"/>
          <w:lang w:val="en-US"/>
        </w:rPr>
        <w:t>Gallium (</w:t>
      </w:r>
      <w:r w:rsidRPr="00110F7D">
        <w:rPr>
          <w:sz w:val="24"/>
          <w:szCs w:val="24"/>
          <w:vertAlign w:val="superscript"/>
          <w:lang w:val="en-US"/>
        </w:rPr>
        <w:t>68</w:t>
      </w:r>
      <w:r w:rsidRPr="00110F7D">
        <w:rPr>
          <w:sz w:val="24"/>
          <w:szCs w:val="24"/>
          <w:lang w:val="en-US"/>
        </w:rPr>
        <w:t>Ga) chloride solution eluate from generator complies with the requirements of the Ph. Eur. monograph 2464, gallium (</w:t>
      </w:r>
      <w:r w:rsidRPr="00110F7D">
        <w:rPr>
          <w:sz w:val="24"/>
          <w:szCs w:val="24"/>
          <w:vertAlign w:val="superscript"/>
          <w:lang w:val="en-US"/>
        </w:rPr>
        <w:t>68</w:t>
      </w:r>
      <w:r w:rsidRPr="00110F7D">
        <w:rPr>
          <w:sz w:val="24"/>
          <w:szCs w:val="24"/>
          <w:lang w:val="en-US"/>
        </w:rPr>
        <w:t xml:space="preserve">Ga) chloride solution for </w:t>
      </w:r>
      <w:proofErr w:type="spellStart"/>
      <w:r w:rsidRPr="00110F7D">
        <w:rPr>
          <w:sz w:val="24"/>
          <w:szCs w:val="24"/>
          <w:lang w:val="en-US"/>
        </w:rPr>
        <w:t>radiolabelling</w:t>
      </w:r>
      <w:proofErr w:type="spellEnd"/>
      <w:r w:rsidRPr="00110F7D">
        <w:rPr>
          <w:sz w:val="24"/>
          <w:szCs w:val="24"/>
          <w:lang w:val="en-US"/>
        </w:rPr>
        <w:t>. The instructions for use provided by the germanium-68/gallium-68 generator manufacturer should also be followed.</w:t>
      </w:r>
    </w:p>
    <w:p w14:paraId="2E564DBF" w14:textId="77777777" w:rsidR="00CC5520" w:rsidRPr="00110F7D" w:rsidRDefault="00CC5520" w:rsidP="00CC5520">
      <w:pPr>
        <w:ind w:left="851"/>
        <w:rPr>
          <w:sz w:val="24"/>
          <w:szCs w:val="24"/>
          <w:lang w:val="en-US"/>
        </w:rPr>
      </w:pPr>
    </w:p>
    <w:p w14:paraId="3FF15827" w14:textId="77777777" w:rsidR="00CC5520" w:rsidRPr="00110F7D" w:rsidRDefault="00CC5520" w:rsidP="00CC5520">
      <w:pPr>
        <w:ind w:left="851"/>
        <w:rPr>
          <w:sz w:val="24"/>
          <w:szCs w:val="24"/>
          <w:lang w:val="en-US"/>
        </w:rPr>
      </w:pPr>
      <w:r w:rsidRPr="00110F7D">
        <w:rPr>
          <w:sz w:val="24"/>
          <w:szCs w:val="24"/>
          <w:lang w:val="en-US"/>
        </w:rPr>
        <w:t>The preparation of gallium (</w:t>
      </w:r>
      <w:r w:rsidRPr="00110F7D">
        <w:rPr>
          <w:sz w:val="24"/>
          <w:szCs w:val="24"/>
          <w:vertAlign w:val="superscript"/>
          <w:lang w:val="en-US"/>
        </w:rPr>
        <w:t>68</w:t>
      </w:r>
      <w:r w:rsidRPr="00110F7D">
        <w:rPr>
          <w:sz w:val="24"/>
          <w:szCs w:val="24"/>
          <w:lang w:val="en-US"/>
        </w:rPr>
        <w:t xml:space="preserve">Ga) </w:t>
      </w:r>
      <w:proofErr w:type="spellStart"/>
      <w:r w:rsidRPr="00110F7D">
        <w:rPr>
          <w:sz w:val="24"/>
          <w:szCs w:val="24"/>
          <w:lang w:val="en-US"/>
        </w:rPr>
        <w:t>gozetotide</w:t>
      </w:r>
      <w:proofErr w:type="spellEnd"/>
      <w:r w:rsidRPr="00110F7D">
        <w:rPr>
          <w:sz w:val="24"/>
          <w:szCs w:val="24"/>
          <w:lang w:val="en-US"/>
        </w:rPr>
        <w:t xml:space="preserve"> solution for injection should be done according to the following aseptic procedure:</w:t>
      </w:r>
    </w:p>
    <w:p w14:paraId="28CF99C0" w14:textId="77777777" w:rsidR="00CC5520" w:rsidRPr="00D27234" w:rsidRDefault="00CC5520" w:rsidP="00D27234">
      <w:pPr>
        <w:pStyle w:val="Listeafsnit"/>
        <w:numPr>
          <w:ilvl w:val="0"/>
          <w:numId w:val="22"/>
        </w:numPr>
        <w:spacing w:before="0" w:after="0"/>
        <w:ind w:left="1276" w:hanging="425"/>
        <w:jc w:val="left"/>
        <w:rPr>
          <w:rFonts w:ascii="Times New Roman" w:hAnsi="Times New Roman"/>
          <w:sz w:val="24"/>
          <w:szCs w:val="24"/>
          <w:lang w:val="en-US"/>
        </w:rPr>
      </w:pPr>
      <w:r w:rsidRPr="00D27234">
        <w:rPr>
          <w:rFonts w:ascii="Times New Roman" w:hAnsi="Times New Roman"/>
          <w:sz w:val="24"/>
          <w:szCs w:val="24"/>
          <w:lang w:val="en-US"/>
        </w:rPr>
        <w:t>Use suitable shielding to reduce radiation exposure.</w:t>
      </w:r>
    </w:p>
    <w:p w14:paraId="3F4A1C76" w14:textId="77777777" w:rsidR="00CC5520" w:rsidRPr="00D27234" w:rsidRDefault="00CC5520" w:rsidP="00D27234">
      <w:pPr>
        <w:pStyle w:val="Listeafsnit"/>
        <w:numPr>
          <w:ilvl w:val="0"/>
          <w:numId w:val="22"/>
        </w:numPr>
        <w:spacing w:before="0" w:after="0"/>
        <w:ind w:left="1276" w:hanging="425"/>
        <w:jc w:val="left"/>
        <w:rPr>
          <w:rFonts w:ascii="Times New Roman" w:hAnsi="Times New Roman"/>
          <w:sz w:val="24"/>
          <w:szCs w:val="24"/>
          <w:lang w:val="en-US"/>
        </w:rPr>
      </w:pPr>
      <w:r w:rsidRPr="00D27234">
        <w:rPr>
          <w:rFonts w:ascii="Times New Roman" w:hAnsi="Times New Roman"/>
          <w:sz w:val="24"/>
          <w:szCs w:val="24"/>
          <w:lang w:val="en-US"/>
        </w:rPr>
        <w:t>Wear waterproof gloves all the time during preparation and quality control of gallium (</w:t>
      </w:r>
      <w:r w:rsidRPr="00D27234">
        <w:rPr>
          <w:rFonts w:ascii="Times New Roman" w:hAnsi="Times New Roman"/>
          <w:sz w:val="24"/>
          <w:szCs w:val="24"/>
          <w:vertAlign w:val="superscript"/>
          <w:lang w:val="en-US"/>
        </w:rPr>
        <w:t>68</w:t>
      </w:r>
      <w:r w:rsidRPr="00D27234">
        <w:rPr>
          <w:rFonts w:ascii="Times New Roman" w:hAnsi="Times New Roman"/>
          <w:sz w:val="24"/>
          <w:szCs w:val="24"/>
          <w:lang w:val="en-US"/>
        </w:rPr>
        <w:t xml:space="preserve">Ga) </w:t>
      </w:r>
      <w:proofErr w:type="spellStart"/>
      <w:r w:rsidRPr="00D27234">
        <w:rPr>
          <w:rFonts w:ascii="Times New Roman" w:hAnsi="Times New Roman"/>
          <w:sz w:val="24"/>
          <w:szCs w:val="24"/>
          <w:lang w:val="en-US"/>
        </w:rPr>
        <w:t>gozetotide</w:t>
      </w:r>
      <w:proofErr w:type="spellEnd"/>
      <w:r w:rsidRPr="00D27234">
        <w:rPr>
          <w:rFonts w:ascii="Times New Roman" w:hAnsi="Times New Roman"/>
          <w:sz w:val="24"/>
          <w:szCs w:val="24"/>
          <w:lang w:val="en-US"/>
        </w:rPr>
        <w:t>.</w:t>
      </w:r>
    </w:p>
    <w:p w14:paraId="1932C02C" w14:textId="77777777" w:rsidR="00CC5520" w:rsidRPr="00D27234" w:rsidRDefault="00CC5520" w:rsidP="00D27234">
      <w:pPr>
        <w:pStyle w:val="Listeafsnit"/>
        <w:numPr>
          <w:ilvl w:val="0"/>
          <w:numId w:val="22"/>
        </w:numPr>
        <w:spacing w:before="0" w:after="0"/>
        <w:ind w:left="1276" w:hanging="425"/>
        <w:jc w:val="left"/>
        <w:rPr>
          <w:rFonts w:ascii="Times New Roman" w:hAnsi="Times New Roman"/>
          <w:sz w:val="24"/>
          <w:szCs w:val="24"/>
          <w:lang w:val="en-US"/>
        </w:rPr>
      </w:pPr>
      <w:r w:rsidRPr="00D27234">
        <w:rPr>
          <w:rFonts w:ascii="Times New Roman" w:hAnsi="Times New Roman"/>
          <w:sz w:val="24"/>
          <w:szCs w:val="24"/>
          <w:lang w:val="en-US"/>
        </w:rPr>
        <w:t xml:space="preserve">Put the label for </w:t>
      </w:r>
      <w:proofErr w:type="spellStart"/>
      <w:r w:rsidRPr="00D27234">
        <w:rPr>
          <w:rFonts w:ascii="Times New Roman" w:hAnsi="Times New Roman"/>
          <w:sz w:val="24"/>
          <w:szCs w:val="24"/>
          <w:lang w:val="en-US"/>
        </w:rPr>
        <w:t>radiolabelled</w:t>
      </w:r>
      <w:proofErr w:type="spellEnd"/>
      <w:r w:rsidRPr="00D27234">
        <w:rPr>
          <w:rFonts w:ascii="Times New Roman" w:hAnsi="Times New Roman"/>
          <w:sz w:val="24"/>
          <w:szCs w:val="24"/>
          <w:lang w:val="en-US"/>
        </w:rPr>
        <w:t xml:space="preserve"> product on the shielding.</w:t>
      </w:r>
    </w:p>
    <w:p w14:paraId="4B0321A3" w14:textId="77777777" w:rsidR="00CC5520" w:rsidRPr="00D27234" w:rsidRDefault="00CC5520" w:rsidP="00D27234">
      <w:pPr>
        <w:pStyle w:val="Listeafsnit"/>
        <w:numPr>
          <w:ilvl w:val="0"/>
          <w:numId w:val="22"/>
        </w:numPr>
        <w:spacing w:before="0" w:after="0"/>
        <w:ind w:left="1276" w:hanging="425"/>
        <w:jc w:val="left"/>
        <w:rPr>
          <w:rFonts w:ascii="Times New Roman" w:hAnsi="Times New Roman"/>
          <w:sz w:val="24"/>
          <w:szCs w:val="24"/>
          <w:lang w:val="en-US"/>
        </w:rPr>
      </w:pPr>
      <w:r w:rsidRPr="00D27234">
        <w:rPr>
          <w:rFonts w:ascii="Times New Roman" w:hAnsi="Times New Roman"/>
          <w:sz w:val="24"/>
          <w:szCs w:val="24"/>
          <w:lang w:val="en-US"/>
        </w:rPr>
        <w:t>Remove the flip-off disc from powder vial (</w:t>
      </w:r>
      <w:proofErr w:type="spellStart"/>
      <w:r w:rsidRPr="00D27234">
        <w:rPr>
          <w:rFonts w:ascii="Times New Roman" w:hAnsi="Times New Roman"/>
          <w:sz w:val="24"/>
          <w:szCs w:val="24"/>
          <w:lang w:val="en-US"/>
        </w:rPr>
        <w:t>gozetotide</w:t>
      </w:r>
      <w:proofErr w:type="spellEnd"/>
      <w:r w:rsidRPr="00D27234">
        <w:rPr>
          <w:rFonts w:ascii="Times New Roman" w:hAnsi="Times New Roman"/>
          <w:sz w:val="24"/>
          <w:szCs w:val="24"/>
          <w:lang w:val="en-US"/>
        </w:rPr>
        <w:t>), solvent vial (acetate buffer) and empty vial, swab the top of each vial with alcohol to disinfect the surface and allow the stoppers to dry.</w:t>
      </w:r>
    </w:p>
    <w:p w14:paraId="522E5942" w14:textId="77777777" w:rsidR="00CC5520" w:rsidRPr="00D27234" w:rsidRDefault="00CC5520" w:rsidP="00D27234">
      <w:pPr>
        <w:pStyle w:val="Listeafsnit"/>
        <w:numPr>
          <w:ilvl w:val="0"/>
          <w:numId w:val="22"/>
        </w:numPr>
        <w:spacing w:before="0" w:after="0"/>
        <w:ind w:left="1276" w:hanging="425"/>
        <w:jc w:val="left"/>
        <w:rPr>
          <w:rFonts w:ascii="Times New Roman" w:hAnsi="Times New Roman"/>
          <w:sz w:val="24"/>
          <w:szCs w:val="24"/>
          <w:lang w:val="en-US"/>
        </w:rPr>
      </w:pPr>
      <w:r w:rsidRPr="00D27234">
        <w:rPr>
          <w:rFonts w:ascii="Times New Roman" w:hAnsi="Times New Roman"/>
          <w:sz w:val="24"/>
          <w:szCs w:val="24"/>
          <w:lang w:val="en-US"/>
        </w:rPr>
        <w:lastRenderedPageBreak/>
        <w:t>Use only plastic syringes for preparation and administration. Do not use syringes with rubber plungers.</w:t>
      </w:r>
    </w:p>
    <w:p w14:paraId="57231A28" w14:textId="77777777" w:rsidR="00CC5520" w:rsidRPr="00110F7D" w:rsidRDefault="00CC5520" w:rsidP="00CC5520">
      <w:pPr>
        <w:ind w:left="851"/>
        <w:rPr>
          <w:sz w:val="24"/>
          <w:szCs w:val="24"/>
          <w:lang w:val="en-US"/>
        </w:rPr>
      </w:pPr>
    </w:p>
    <w:p w14:paraId="78AF60EC" w14:textId="77777777" w:rsidR="00CC5520" w:rsidRPr="00110F7D" w:rsidRDefault="00CC5520" w:rsidP="00CC5520">
      <w:pPr>
        <w:ind w:left="851"/>
        <w:rPr>
          <w:b/>
          <w:bCs/>
          <w:sz w:val="24"/>
          <w:szCs w:val="24"/>
          <w:lang w:val="en-US"/>
        </w:rPr>
      </w:pPr>
      <w:r w:rsidRPr="00110F7D">
        <w:rPr>
          <w:b/>
          <w:bCs/>
          <w:sz w:val="24"/>
          <w:szCs w:val="24"/>
          <w:lang w:val="en-US"/>
        </w:rPr>
        <w:t xml:space="preserve">Reconstitution and </w:t>
      </w:r>
      <w:proofErr w:type="spellStart"/>
      <w:r w:rsidRPr="00110F7D">
        <w:rPr>
          <w:b/>
          <w:bCs/>
          <w:sz w:val="24"/>
          <w:szCs w:val="24"/>
          <w:lang w:val="en-US"/>
        </w:rPr>
        <w:t>radiolabelling</w:t>
      </w:r>
      <w:proofErr w:type="spellEnd"/>
      <w:r w:rsidRPr="00110F7D">
        <w:rPr>
          <w:b/>
          <w:bCs/>
          <w:sz w:val="24"/>
          <w:szCs w:val="24"/>
          <w:lang w:val="en-US"/>
        </w:rPr>
        <w:t xml:space="preserve"> with Eckert &amp; Ziegler </w:t>
      </w:r>
      <w:proofErr w:type="spellStart"/>
      <w:r w:rsidRPr="00110F7D">
        <w:rPr>
          <w:b/>
          <w:bCs/>
          <w:sz w:val="24"/>
          <w:szCs w:val="24"/>
          <w:lang w:val="en-US"/>
        </w:rPr>
        <w:t>GalliaPharm</w:t>
      </w:r>
      <w:proofErr w:type="spellEnd"/>
      <w:r w:rsidRPr="00110F7D">
        <w:rPr>
          <w:b/>
          <w:bCs/>
          <w:sz w:val="24"/>
          <w:szCs w:val="24"/>
          <w:lang w:val="en-US"/>
        </w:rPr>
        <w:t xml:space="preserve"> generator</w:t>
      </w:r>
    </w:p>
    <w:p w14:paraId="7B262941" w14:textId="77777777" w:rsidR="00CC5520" w:rsidRPr="00110F7D" w:rsidRDefault="00CC5520" w:rsidP="00CC5520">
      <w:pPr>
        <w:ind w:left="851"/>
        <w:rPr>
          <w:sz w:val="24"/>
          <w:szCs w:val="24"/>
          <w:lang w:val="en-US"/>
        </w:rPr>
      </w:pPr>
    </w:p>
    <w:p w14:paraId="020995A2" w14:textId="77777777" w:rsidR="00CC5520" w:rsidRPr="00D27234" w:rsidRDefault="00CC5520" w:rsidP="00CC5520">
      <w:pPr>
        <w:ind w:left="851"/>
        <w:rPr>
          <w:sz w:val="24"/>
          <w:szCs w:val="24"/>
          <w:u w:val="single"/>
        </w:rPr>
      </w:pPr>
      <w:proofErr w:type="spellStart"/>
      <w:r w:rsidRPr="00D27234">
        <w:rPr>
          <w:i/>
          <w:iCs/>
          <w:sz w:val="24"/>
          <w:szCs w:val="24"/>
          <w:u w:val="single"/>
        </w:rPr>
        <w:t>Reconstitution</w:t>
      </w:r>
      <w:proofErr w:type="spellEnd"/>
      <w:r w:rsidRPr="00D27234">
        <w:rPr>
          <w:i/>
          <w:iCs/>
          <w:sz w:val="24"/>
          <w:szCs w:val="24"/>
          <w:u w:val="single"/>
        </w:rPr>
        <w:t xml:space="preserve"> </w:t>
      </w:r>
      <w:r w:rsidRPr="00D27234">
        <w:rPr>
          <w:i/>
          <w:sz w:val="24"/>
          <w:szCs w:val="24"/>
          <w:u w:val="single"/>
        </w:rPr>
        <w:t xml:space="preserve">of </w:t>
      </w:r>
      <w:proofErr w:type="spellStart"/>
      <w:r w:rsidRPr="00D27234">
        <w:rPr>
          <w:i/>
          <w:sz w:val="24"/>
          <w:szCs w:val="24"/>
          <w:u w:val="single"/>
        </w:rPr>
        <w:t>powder</w:t>
      </w:r>
      <w:proofErr w:type="spellEnd"/>
      <w:r w:rsidRPr="00D27234">
        <w:rPr>
          <w:i/>
          <w:sz w:val="24"/>
          <w:szCs w:val="24"/>
          <w:u w:val="single"/>
        </w:rPr>
        <w:t xml:space="preserve"> </w:t>
      </w:r>
      <w:proofErr w:type="spellStart"/>
      <w:r w:rsidRPr="00D27234">
        <w:rPr>
          <w:i/>
          <w:sz w:val="24"/>
          <w:szCs w:val="24"/>
          <w:u w:val="single"/>
        </w:rPr>
        <w:t>vial</w:t>
      </w:r>
      <w:proofErr w:type="spellEnd"/>
    </w:p>
    <w:p w14:paraId="44BE146F" w14:textId="12280F3B" w:rsidR="00CC5520" w:rsidRPr="00CA68D2" w:rsidRDefault="00CC5520" w:rsidP="00CA68D2">
      <w:pPr>
        <w:pStyle w:val="Listeafsnit"/>
        <w:numPr>
          <w:ilvl w:val="0"/>
          <w:numId w:val="23"/>
        </w:numPr>
        <w:spacing w:before="0" w:after="0"/>
        <w:ind w:left="1276" w:hanging="425"/>
        <w:jc w:val="left"/>
        <w:rPr>
          <w:rFonts w:ascii="Times New Roman" w:hAnsi="Times New Roman"/>
          <w:sz w:val="24"/>
          <w:szCs w:val="24"/>
          <w:lang w:val="en-GB"/>
        </w:rPr>
      </w:pPr>
      <w:r w:rsidRPr="00CA68D2">
        <w:rPr>
          <w:rFonts w:ascii="Times New Roman" w:hAnsi="Times New Roman"/>
          <w:sz w:val="24"/>
          <w:szCs w:val="24"/>
          <w:lang w:val="en-US"/>
        </w:rPr>
        <w:t xml:space="preserve">Insert a sterile 10 mL syringe with a needle into the solvent vial and draw up the </w:t>
      </w:r>
      <w:r w:rsidRPr="00CA68D2">
        <w:rPr>
          <w:rFonts w:ascii="Times New Roman" w:hAnsi="Times New Roman"/>
          <w:sz w:val="24"/>
          <w:szCs w:val="24"/>
          <w:lang w:val="en-GB"/>
        </w:rPr>
        <w:t>2.5</w:t>
      </w:r>
      <w:r w:rsidR="00A35A3F">
        <w:rPr>
          <w:rFonts w:ascii="Times New Roman" w:hAnsi="Times New Roman"/>
          <w:sz w:val="24"/>
          <w:szCs w:val="24"/>
          <w:lang w:val="en-GB"/>
        </w:rPr>
        <w:t> </w:t>
      </w:r>
      <w:r w:rsidRPr="00CA68D2">
        <w:rPr>
          <w:rFonts w:ascii="Times New Roman" w:hAnsi="Times New Roman"/>
          <w:sz w:val="24"/>
          <w:szCs w:val="24"/>
          <w:lang w:val="en-GB"/>
        </w:rPr>
        <w:t>mL of acetate buffer contained in the vial.</w:t>
      </w:r>
    </w:p>
    <w:p w14:paraId="4B22C316" w14:textId="77777777" w:rsidR="00CC5520" w:rsidRPr="00CA68D2" w:rsidRDefault="00CC5520" w:rsidP="00CA68D2">
      <w:pPr>
        <w:pStyle w:val="Listeafsnit"/>
        <w:numPr>
          <w:ilvl w:val="0"/>
          <w:numId w:val="23"/>
        </w:numPr>
        <w:spacing w:before="0" w:after="0"/>
        <w:ind w:left="1276" w:hanging="425"/>
        <w:jc w:val="left"/>
        <w:rPr>
          <w:rFonts w:ascii="Times New Roman" w:hAnsi="Times New Roman"/>
          <w:sz w:val="24"/>
          <w:szCs w:val="24"/>
          <w:lang w:val="en-GB"/>
        </w:rPr>
      </w:pPr>
      <w:r w:rsidRPr="00CA68D2">
        <w:rPr>
          <w:rFonts w:ascii="Times New Roman" w:hAnsi="Times New Roman"/>
          <w:sz w:val="24"/>
          <w:szCs w:val="24"/>
          <w:lang w:val="en-GB"/>
        </w:rPr>
        <w:t>Inject the content of the 10 mL syringe into the powder vial.</w:t>
      </w:r>
    </w:p>
    <w:p w14:paraId="0FA30EE4" w14:textId="77777777" w:rsidR="00CC5520" w:rsidRPr="00CA68D2" w:rsidRDefault="00CC5520" w:rsidP="00CA68D2">
      <w:pPr>
        <w:pStyle w:val="Listeafsnit"/>
        <w:numPr>
          <w:ilvl w:val="0"/>
          <w:numId w:val="23"/>
        </w:numPr>
        <w:spacing w:before="0" w:after="0"/>
        <w:ind w:left="1276" w:hanging="425"/>
        <w:jc w:val="left"/>
        <w:rPr>
          <w:rFonts w:ascii="Times New Roman" w:hAnsi="Times New Roman"/>
          <w:sz w:val="24"/>
          <w:szCs w:val="24"/>
          <w:lang w:val="en-GB"/>
        </w:rPr>
      </w:pPr>
      <w:r w:rsidRPr="00CA68D2">
        <w:rPr>
          <w:rFonts w:ascii="Times New Roman" w:hAnsi="Times New Roman"/>
          <w:sz w:val="24"/>
          <w:szCs w:val="24"/>
          <w:lang w:val="en-GB"/>
        </w:rPr>
        <w:t>Gently swirl powder vial to ensure the product is thoroughly dissolved.</w:t>
      </w:r>
    </w:p>
    <w:p w14:paraId="7D7F09E1" w14:textId="77777777" w:rsidR="00CC5520" w:rsidRPr="00110F7D" w:rsidRDefault="00CC5520" w:rsidP="00CC5520">
      <w:pPr>
        <w:ind w:left="851"/>
        <w:rPr>
          <w:sz w:val="24"/>
          <w:szCs w:val="24"/>
          <w:lang w:val="en-GB"/>
        </w:rPr>
      </w:pPr>
    </w:p>
    <w:p w14:paraId="0DAB00C4" w14:textId="77777777" w:rsidR="00CC5520" w:rsidRPr="00D27234" w:rsidRDefault="00CC5520" w:rsidP="00CC5520">
      <w:pPr>
        <w:ind w:left="851"/>
        <w:rPr>
          <w:i/>
          <w:iCs/>
          <w:sz w:val="24"/>
          <w:szCs w:val="24"/>
          <w:u w:val="single"/>
          <w:lang w:val="en-US"/>
        </w:rPr>
      </w:pPr>
      <w:r w:rsidRPr="00D27234">
        <w:rPr>
          <w:i/>
          <w:iCs/>
          <w:sz w:val="24"/>
          <w:szCs w:val="24"/>
          <w:u w:val="single"/>
          <w:lang w:val="en-US"/>
        </w:rPr>
        <w:t>Elution of generator and collection of gallium (</w:t>
      </w:r>
      <w:r w:rsidRPr="00D27234">
        <w:rPr>
          <w:i/>
          <w:iCs/>
          <w:sz w:val="24"/>
          <w:szCs w:val="24"/>
          <w:u w:val="single"/>
          <w:vertAlign w:val="superscript"/>
          <w:lang w:val="en-US"/>
        </w:rPr>
        <w:t>68</w:t>
      </w:r>
      <w:r w:rsidRPr="00D27234">
        <w:rPr>
          <w:i/>
          <w:iCs/>
          <w:sz w:val="24"/>
          <w:szCs w:val="24"/>
          <w:u w:val="single"/>
          <w:lang w:val="en-US"/>
        </w:rPr>
        <w:t>Ga) chloride</w:t>
      </w:r>
    </w:p>
    <w:p w14:paraId="744914C6" w14:textId="77777777" w:rsidR="00CC5520" w:rsidRPr="00CA68D2" w:rsidRDefault="00CC5520" w:rsidP="00CA68D2">
      <w:pPr>
        <w:pStyle w:val="Listeafsnit"/>
        <w:numPr>
          <w:ilvl w:val="0"/>
          <w:numId w:val="24"/>
        </w:numPr>
        <w:spacing w:before="0" w:after="0"/>
        <w:ind w:left="1276" w:hanging="425"/>
        <w:jc w:val="left"/>
        <w:rPr>
          <w:rFonts w:ascii="Times New Roman" w:hAnsi="Times New Roman"/>
          <w:sz w:val="24"/>
          <w:szCs w:val="24"/>
          <w:lang w:val="en-GB"/>
        </w:rPr>
      </w:pPr>
      <w:r w:rsidRPr="00CA68D2">
        <w:rPr>
          <w:rFonts w:ascii="Times New Roman" w:hAnsi="Times New Roman"/>
          <w:sz w:val="24"/>
          <w:szCs w:val="24"/>
          <w:lang w:val="en-GB"/>
        </w:rPr>
        <w:t xml:space="preserve">Prepare a syringe containing 5 mL of sterile ultrapure 0.1M HCl provided with the </w:t>
      </w:r>
      <w:proofErr w:type="spellStart"/>
      <w:r w:rsidRPr="00CA68D2">
        <w:rPr>
          <w:rFonts w:ascii="Times New Roman" w:hAnsi="Times New Roman"/>
          <w:sz w:val="24"/>
          <w:szCs w:val="24"/>
          <w:lang w:val="en-GB"/>
        </w:rPr>
        <w:t>GalliaPharm</w:t>
      </w:r>
      <w:proofErr w:type="spellEnd"/>
      <w:r w:rsidRPr="00CA68D2">
        <w:rPr>
          <w:rFonts w:ascii="Times New Roman" w:hAnsi="Times New Roman"/>
          <w:sz w:val="24"/>
          <w:szCs w:val="24"/>
          <w:lang w:val="en-GB"/>
        </w:rPr>
        <w:t xml:space="preserve"> generator for elution.</w:t>
      </w:r>
    </w:p>
    <w:p w14:paraId="32AEEB43" w14:textId="77777777" w:rsidR="00CC5520" w:rsidRPr="00CA68D2" w:rsidRDefault="00CC5520" w:rsidP="00CA68D2">
      <w:pPr>
        <w:pStyle w:val="Listeafsnit"/>
        <w:numPr>
          <w:ilvl w:val="0"/>
          <w:numId w:val="24"/>
        </w:numPr>
        <w:spacing w:before="0" w:after="0"/>
        <w:ind w:left="1276" w:hanging="425"/>
        <w:jc w:val="left"/>
        <w:rPr>
          <w:rFonts w:ascii="Times New Roman" w:hAnsi="Times New Roman"/>
          <w:sz w:val="24"/>
          <w:szCs w:val="24"/>
          <w:lang w:val="en-GB"/>
        </w:rPr>
      </w:pPr>
      <w:r w:rsidRPr="00CA68D2">
        <w:rPr>
          <w:rFonts w:ascii="Times New Roman" w:hAnsi="Times New Roman"/>
          <w:sz w:val="24"/>
          <w:szCs w:val="24"/>
          <w:lang w:val="en-GB"/>
        </w:rPr>
        <w:t xml:space="preserve">Pierce the empty vial with a sterile needle connected to a </w:t>
      </w:r>
      <w:proofErr w:type="gramStart"/>
      <w:r w:rsidRPr="00CA68D2">
        <w:rPr>
          <w:rFonts w:ascii="Times New Roman" w:hAnsi="Times New Roman"/>
          <w:sz w:val="24"/>
          <w:szCs w:val="24"/>
          <w:lang w:val="en-GB"/>
        </w:rPr>
        <w:t>0.2 micron</w:t>
      </w:r>
      <w:proofErr w:type="gramEnd"/>
      <w:r w:rsidRPr="00CA68D2">
        <w:rPr>
          <w:rFonts w:ascii="Times New Roman" w:hAnsi="Times New Roman"/>
          <w:sz w:val="24"/>
          <w:szCs w:val="24"/>
          <w:lang w:val="en-GB"/>
        </w:rPr>
        <w:t xml:space="preserve"> sterile vented filter to maintain atmospheric pressure within the vial during the reconstitution process.</w:t>
      </w:r>
    </w:p>
    <w:p w14:paraId="7B844293" w14:textId="77777777" w:rsidR="00CC5520" w:rsidRPr="00CA68D2" w:rsidRDefault="00CC5520" w:rsidP="00CA68D2">
      <w:pPr>
        <w:pStyle w:val="Listeafsnit"/>
        <w:numPr>
          <w:ilvl w:val="0"/>
          <w:numId w:val="24"/>
        </w:numPr>
        <w:spacing w:before="0" w:after="0"/>
        <w:ind w:left="1276" w:hanging="425"/>
        <w:jc w:val="left"/>
        <w:rPr>
          <w:rFonts w:ascii="Times New Roman" w:hAnsi="Times New Roman"/>
          <w:sz w:val="24"/>
          <w:szCs w:val="24"/>
          <w:lang w:val="en-GB"/>
        </w:rPr>
      </w:pPr>
      <w:r w:rsidRPr="00CA68D2">
        <w:rPr>
          <w:rFonts w:ascii="Times New Roman" w:hAnsi="Times New Roman"/>
          <w:sz w:val="24"/>
          <w:szCs w:val="24"/>
          <w:lang w:val="en-GB"/>
        </w:rPr>
        <w:t xml:space="preserve">Connect the male </w:t>
      </w:r>
      <w:proofErr w:type="spellStart"/>
      <w:r w:rsidRPr="00CA68D2">
        <w:rPr>
          <w:rFonts w:ascii="Times New Roman" w:hAnsi="Times New Roman"/>
          <w:sz w:val="24"/>
          <w:szCs w:val="24"/>
          <w:lang w:val="en-GB"/>
        </w:rPr>
        <w:t>luer</w:t>
      </w:r>
      <w:proofErr w:type="spellEnd"/>
      <w:r w:rsidRPr="00CA68D2">
        <w:rPr>
          <w:rFonts w:ascii="Times New Roman" w:hAnsi="Times New Roman"/>
          <w:sz w:val="24"/>
          <w:szCs w:val="24"/>
          <w:lang w:val="en-GB"/>
        </w:rPr>
        <w:t xml:space="preserve"> of the outlet line of the </w:t>
      </w:r>
      <w:proofErr w:type="spellStart"/>
      <w:r w:rsidRPr="00CA68D2">
        <w:rPr>
          <w:rFonts w:ascii="Times New Roman" w:hAnsi="Times New Roman"/>
          <w:sz w:val="24"/>
          <w:szCs w:val="24"/>
          <w:lang w:val="en-GB"/>
        </w:rPr>
        <w:t>GalliaPharm</w:t>
      </w:r>
      <w:proofErr w:type="spellEnd"/>
      <w:r w:rsidRPr="00CA68D2">
        <w:rPr>
          <w:rFonts w:ascii="Times New Roman" w:hAnsi="Times New Roman"/>
          <w:sz w:val="24"/>
          <w:szCs w:val="24"/>
          <w:lang w:val="en-GB"/>
        </w:rPr>
        <w:t xml:space="preserve"> generator to a sterile needle.</w:t>
      </w:r>
    </w:p>
    <w:p w14:paraId="1BFB0E6C" w14:textId="77777777" w:rsidR="00CC5520" w:rsidRPr="00CA68D2" w:rsidRDefault="00CC5520" w:rsidP="00CA68D2">
      <w:pPr>
        <w:pStyle w:val="Listeafsnit"/>
        <w:numPr>
          <w:ilvl w:val="0"/>
          <w:numId w:val="24"/>
        </w:numPr>
        <w:spacing w:before="0" w:after="0"/>
        <w:ind w:left="1276" w:hanging="425"/>
        <w:jc w:val="left"/>
        <w:rPr>
          <w:rFonts w:ascii="Times New Roman" w:hAnsi="Times New Roman"/>
          <w:sz w:val="24"/>
          <w:szCs w:val="24"/>
          <w:lang w:val="en-GB"/>
        </w:rPr>
      </w:pPr>
      <w:r w:rsidRPr="00CA68D2">
        <w:rPr>
          <w:rFonts w:ascii="Times New Roman" w:hAnsi="Times New Roman"/>
          <w:sz w:val="24"/>
          <w:szCs w:val="24"/>
          <w:lang w:val="en-GB"/>
        </w:rPr>
        <w:t xml:space="preserve">Connect the empty vial directly to the outlet line of the </w:t>
      </w:r>
      <w:proofErr w:type="spellStart"/>
      <w:r w:rsidRPr="00CA68D2">
        <w:rPr>
          <w:rFonts w:ascii="Times New Roman" w:hAnsi="Times New Roman"/>
          <w:sz w:val="24"/>
          <w:szCs w:val="24"/>
          <w:lang w:val="en-GB"/>
        </w:rPr>
        <w:t>GalliaPharm</w:t>
      </w:r>
      <w:proofErr w:type="spellEnd"/>
      <w:r w:rsidRPr="00CA68D2">
        <w:rPr>
          <w:rFonts w:ascii="Times New Roman" w:hAnsi="Times New Roman"/>
          <w:sz w:val="24"/>
          <w:szCs w:val="24"/>
          <w:lang w:val="en-GB"/>
        </w:rPr>
        <w:t xml:space="preserve"> generator by pushing the needle through the rubber septum and place the vial in a radiation shielded container.</w:t>
      </w:r>
    </w:p>
    <w:p w14:paraId="0964F305" w14:textId="77777777" w:rsidR="00CC5520" w:rsidRPr="00CA68D2" w:rsidRDefault="00CC5520" w:rsidP="00CA68D2">
      <w:pPr>
        <w:pStyle w:val="Listeafsnit"/>
        <w:numPr>
          <w:ilvl w:val="0"/>
          <w:numId w:val="24"/>
        </w:numPr>
        <w:spacing w:before="0" w:after="0"/>
        <w:ind w:left="1276" w:hanging="425"/>
        <w:jc w:val="left"/>
        <w:rPr>
          <w:rFonts w:ascii="Times New Roman" w:hAnsi="Times New Roman"/>
          <w:sz w:val="24"/>
          <w:szCs w:val="24"/>
          <w:lang w:val="en-GB"/>
        </w:rPr>
      </w:pPr>
      <w:r w:rsidRPr="00CA68D2">
        <w:rPr>
          <w:rFonts w:ascii="Times New Roman" w:hAnsi="Times New Roman"/>
          <w:sz w:val="24"/>
          <w:szCs w:val="24"/>
          <w:lang w:val="en-GB"/>
        </w:rPr>
        <w:t xml:space="preserve">Elute the generator directly into the empty vial according to the instructions for use of the </w:t>
      </w:r>
      <w:proofErr w:type="spellStart"/>
      <w:r w:rsidRPr="00CA68D2">
        <w:rPr>
          <w:rFonts w:ascii="Times New Roman" w:hAnsi="Times New Roman"/>
          <w:sz w:val="24"/>
          <w:szCs w:val="24"/>
          <w:lang w:val="en-GB"/>
        </w:rPr>
        <w:t>GalliaPharm</w:t>
      </w:r>
      <w:proofErr w:type="spellEnd"/>
      <w:r w:rsidRPr="00CA68D2">
        <w:rPr>
          <w:rFonts w:ascii="Times New Roman" w:hAnsi="Times New Roman"/>
          <w:sz w:val="24"/>
          <w:szCs w:val="24"/>
          <w:lang w:val="en-GB"/>
        </w:rPr>
        <w:t xml:space="preserve"> generator. Perform the elution manually or by means of a pump. Collect 5 mL of eluate.</w:t>
      </w:r>
    </w:p>
    <w:p w14:paraId="00CBB99F" w14:textId="77777777" w:rsidR="00CC5520" w:rsidRPr="00CA68D2" w:rsidRDefault="00CC5520" w:rsidP="00CA68D2">
      <w:pPr>
        <w:pStyle w:val="Listeafsnit"/>
        <w:numPr>
          <w:ilvl w:val="0"/>
          <w:numId w:val="24"/>
        </w:numPr>
        <w:spacing w:before="0" w:after="0"/>
        <w:ind w:left="1276" w:hanging="425"/>
        <w:jc w:val="left"/>
        <w:rPr>
          <w:rFonts w:ascii="Times New Roman" w:hAnsi="Times New Roman"/>
          <w:sz w:val="24"/>
          <w:szCs w:val="24"/>
          <w:lang w:val="en-GB"/>
        </w:rPr>
      </w:pPr>
      <w:r w:rsidRPr="00CA68D2">
        <w:rPr>
          <w:rFonts w:ascii="Times New Roman" w:hAnsi="Times New Roman"/>
          <w:sz w:val="24"/>
          <w:szCs w:val="24"/>
          <w:lang w:val="en-GB"/>
        </w:rPr>
        <w:t>At the end of the elution, disconnect the generator from the empty vial by removing the needle from the rubber septum.</w:t>
      </w:r>
    </w:p>
    <w:p w14:paraId="229CC216" w14:textId="77777777" w:rsidR="00CC5520" w:rsidRPr="00110F7D" w:rsidRDefault="00CC5520" w:rsidP="00CC5520">
      <w:pPr>
        <w:ind w:left="851"/>
        <w:rPr>
          <w:sz w:val="24"/>
          <w:szCs w:val="24"/>
          <w:lang w:val="en-GB"/>
        </w:rPr>
      </w:pPr>
    </w:p>
    <w:p w14:paraId="72CE77BE" w14:textId="77777777" w:rsidR="00CC5520" w:rsidRPr="00CA68D2" w:rsidRDefault="00CC5520" w:rsidP="00CC5520">
      <w:pPr>
        <w:ind w:left="851"/>
        <w:rPr>
          <w:i/>
          <w:iCs/>
          <w:sz w:val="24"/>
          <w:szCs w:val="24"/>
          <w:u w:val="single"/>
        </w:rPr>
      </w:pPr>
      <w:proofErr w:type="spellStart"/>
      <w:r w:rsidRPr="00CA68D2">
        <w:rPr>
          <w:i/>
          <w:iCs/>
          <w:sz w:val="24"/>
          <w:szCs w:val="24"/>
          <w:u w:val="single"/>
        </w:rPr>
        <w:t>Radiolabelling</w:t>
      </w:r>
      <w:proofErr w:type="spellEnd"/>
    </w:p>
    <w:p w14:paraId="75D4B0BD" w14:textId="77777777" w:rsidR="00CC5520" w:rsidRPr="00CA68D2" w:rsidRDefault="00CC5520" w:rsidP="00CA68D2">
      <w:pPr>
        <w:pStyle w:val="Listeafsnit"/>
        <w:numPr>
          <w:ilvl w:val="0"/>
          <w:numId w:val="25"/>
        </w:numPr>
        <w:spacing w:before="0" w:after="0"/>
        <w:ind w:left="1276" w:hanging="425"/>
        <w:jc w:val="left"/>
        <w:rPr>
          <w:rFonts w:ascii="Times New Roman" w:hAnsi="Times New Roman"/>
          <w:sz w:val="24"/>
          <w:szCs w:val="24"/>
          <w:lang w:val="en-GB"/>
        </w:rPr>
      </w:pPr>
      <w:r w:rsidRPr="00CA68D2">
        <w:rPr>
          <w:rFonts w:ascii="Times New Roman" w:hAnsi="Times New Roman"/>
          <w:sz w:val="24"/>
          <w:szCs w:val="24"/>
          <w:lang w:val="en-GB"/>
        </w:rPr>
        <w:t xml:space="preserve">Insert a sterile 10 mL syringe with a needle into the powder vial containing the dissolved </w:t>
      </w:r>
      <w:proofErr w:type="spellStart"/>
      <w:r w:rsidRPr="00CA68D2">
        <w:rPr>
          <w:rFonts w:ascii="Times New Roman" w:hAnsi="Times New Roman"/>
          <w:sz w:val="24"/>
          <w:szCs w:val="24"/>
          <w:lang w:val="en-GB"/>
        </w:rPr>
        <w:t>gozetotide</w:t>
      </w:r>
      <w:proofErr w:type="spellEnd"/>
      <w:r w:rsidRPr="00CA68D2">
        <w:rPr>
          <w:rFonts w:ascii="Times New Roman" w:hAnsi="Times New Roman"/>
          <w:sz w:val="24"/>
          <w:szCs w:val="24"/>
          <w:lang w:val="en-GB"/>
        </w:rPr>
        <w:t xml:space="preserve"> and draw up the content of the vial.</w:t>
      </w:r>
    </w:p>
    <w:p w14:paraId="7B8D3CDD" w14:textId="77777777" w:rsidR="00CC5520" w:rsidRPr="00CA68D2" w:rsidRDefault="00CC5520" w:rsidP="00CA68D2">
      <w:pPr>
        <w:pStyle w:val="Listeafsnit"/>
        <w:numPr>
          <w:ilvl w:val="0"/>
          <w:numId w:val="25"/>
        </w:numPr>
        <w:spacing w:before="0" w:after="0"/>
        <w:ind w:left="1276" w:hanging="425"/>
        <w:jc w:val="left"/>
        <w:rPr>
          <w:rFonts w:ascii="Times New Roman" w:hAnsi="Times New Roman"/>
          <w:sz w:val="24"/>
          <w:szCs w:val="24"/>
          <w:lang w:val="en-GB"/>
        </w:rPr>
      </w:pPr>
      <w:r w:rsidRPr="00CA68D2">
        <w:rPr>
          <w:rFonts w:ascii="Times New Roman" w:hAnsi="Times New Roman"/>
          <w:sz w:val="24"/>
          <w:szCs w:val="24"/>
          <w:lang w:val="en-GB"/>
        </w:rPr>
        <w:t>Transfer the content of the 10 mL syringe to the empty vial containing the gallium (</w:t>
      </w:r>
      <w:r w:rsidRPr="00CA68D2">
        <w:rPr>
          <w:rFonts w:ascii="Times New Roman" w:hAnsi="Times New Roman"/>
          <w:sz w:val="24"/>
          <w:szCs w:val="24"/>
          <w:vertAlign w:val="superscript"/>
          <w:lang w:val="en-GB"/>
        </w:rPr>
        <w:t>68</w:t>
      </w:r>
      <w:r w:rsidRPr="00CA68D2">
        <w:rPr>
          <w:rFonts w:ascii="Times New Roman" w:hAnsi="Times New Roman"/>
          <w:sz w:val="24"/>
          <w:szCs w:val="24"/>
          <w:lang w:val="en-GB"/>
        </w:rPr>
        <w:t>Ga) chloride.</w:t>
      </w:r>
    </w:p>
    <w:p w14:paraId="7464F460" w14:textId="77777777" w:rsidR="00CC5520" w:rsidRPr="00CA68D2" w:rsidRDefault="00CC5520" w:rsidP="00CA68D2">
      <w:pPr>
        <w:pStyle w:val="Listeafsnit"/>
        <w:numPr>
          <w:ilvl w:val="0"/>
          <w:numId w:val="25"/>
        </w:numPr>
        <w:spacing w:before="0" w:after="0"/>
        <w:ind w:left="1276" w:hanging="425"/>
        <w:jc w:val="left"/>
        <w:rPr>
          <w:rFonts w:ascii="Times New Roman" w:hAnsi="Times New Roman"/>
          <w:sz w:val="24"/>
          <w:szCs w:val="24"/>
          <w:lang w:val="en-GB"/>
        </w:rPr>
      </w:pPr>
      <w:r w:rsidRPr="00CA68D2">
        <w:rPr>
          <w:rFonts w:ascii="Times New Roman" w:hAnsi="Times New Roman"/>
          <w:sz w:val="24"/>
          <w:szCs w:val="24"/>
          <w:lang w:val="en-GB"/>
        </w:rPr>
        <w:t>Wait for 5 minutes for radiolabelling to take place at room temperature.</w:t>
      </w:r>
    </w:p>
    <w:p w14:paraId="5FFFFE16" w14:textId="77777777" w:rsidR="00CC5520" w:rsidRPr="00110F7D" w:rsidRDefault="00CC5520" w:rsidP="00CC5520">
      <w:pPr>
        <w:ind w:left="851"/>
        <w:rPr>
          <w:bCs/>
          <w:sz w:val="24"/>
          <w:szCs w:val="24"/>
          <w:shd w:val="clear" w:color="auto" w:fill="E6E6E6"/>
          <w:lang w:val="en-GB"/>
        </w:rPr>
      </w:pPr>
    </w:p>
    <w:p w14:paraId="7AC36B87" w14:textId="77777777" w:rsidR="00CC5520" w:rsidRPr="00110F7D" w:rsidRDefault="00CC5520" w:rsidP="00CC5520">
      <w:pPr>
        <w:ind w:left="851"/>
        <w:rPr>
          <w:bCs/>
          <w:sz w:val="24"/>
          <w:szCs w:val="24"/>
          <w:shd w:val="clear" w:color="auto" w:fill="E6E6E6"/>
          <w:lang w:val="en-US"/>
        </w:rPr>
      </w:pPr>
      <w:r w:rsidRPr="00110F7D">
        <w:rPr>
          <w:sz w:val="24"/>
          <w:szCs w:val="24"/>
          <w:lang w:val="en-US"/>
        </w:rPr>
        <w:t xml:space="preserve">At the end of </w:t>
      </w:r>
      <w:proofErr w:type="spellStart"/>
      <w:r w:rsidRPr="00110F7D">
        <w:rPr>
          <w:sz w:val="24"/>
          <w:szCs w:val="24"/>
          <w:lang w:val="en-US"/>
        </w:rPr>
        <w:t>radiolabelling</w:t>
      </w:r>
      <w:proofErr w:type="spellEnd"/>
      <w:r w:rsidRPr="00110F7D">
        <w:rPr>
          <w:sz w:val="24"/>
          <w:szCs w:val="24"/>
          <w:lang w:val="en-US"/>
        </w:rPr>
        <w:t xml:space="preserve"> step, the vial contains 7.5 mL of gallium (</w:t>
      </w:r>
      <w:r w:rsidRPr="00110F7D">
        <w:rPr>
          <w:sz w:val="24"/>
          <w:szCs w:val="24"/>
          <w:vertAlign w:val="superscript"/>
          <w:lang w:val="en-US"/>
        </w:rPr>
        <w:t>68</w:t>
      </w:r>
      <w:r w:rsidRPr="00110F7D">
        <w:rPr>
          <w:sz w:val="24"/>
          <w:szCs w:val="24"/>
          <w:lang w:val="en-US"/>
        </w:rPr>
        <w:t xml:space="preserve">Ga) </w:t>
      </w:r>
      <w:proofErr w:type="spellStart"/>
      <w:r w:rsidRPr="00110F7D">
        <w:rPr>
          <w:sz w:val="24"/>
          <w:szCs w:val="24"/>
          <w:lang w:val="en-US"/>
        </w:rPr>
        <w:t>gozetotide</w:t>
      </w:r>
      <w:proofErr w:type="spellEnd"/>
      <w:r w:rsidRPr="00110F7D">
        <w:rPr>
          <w:sz w:val="24"/>
          <w:szCs w:val="24"/>
          <w:lang w:val="en-US"/>
        </w:rPr>
        <w:t>.</w:t>
      </w:r>
    </w:p>
    <w:p w14:paraId="36011C92" w14:textId="77777777" w:rsidR="00CC5520" w:rsidRPr="00110F7D" w:rsidRDefault="00CC5520" w:rsidP="00CC5520">
      <w:pPr>
        <w:ind w:left="851"/>
        <w:rPr>
          <w:sz w:val="24"/>
          <w:szCs w:val="24"/>
          <w:lang w:val="en-US"/>
        </w:rPr>
      </w:pPr>
    </w:p>
    <w:p w14:paraId="63B1D0B3" w14:textId="77777777" w:rsidR="00CC5520" w:rsidRPr="00110F7D" w:rsidRDefault="00CC5520" w:rsidP="00CC5520">
      <w:pPr>
        <w:ind w:left="851"/>
        <w:rPr>
          <w:sz w:val="24"/>
          <w:szCs w:val="24"/>
          <w:lang w:val="en-US"/>
        </w:rPr>
      </w:pPr>
      <w:r w:rsidRPr="00110F7D">
        <w:rPr>
          <w:sz w:val="24"/>
          <w:szCs w:val="24"/>
          <w:lang w:val="en-US"/>
        </w:rPr>
        <w:t>Then continue with Step 2.</w:t>
      </w:r>
    </w:p>
    <w:p w14:paraId="37A03DB1" w14:textId="77777777" w:rsidR="00CC5520" w:rsidRPr="00110F7D" w:rsidRDefault="00CC5520" w:rsidP="00CC5520">
      <w:pPr>
        <w:ind w:left="851"/>
        <w:rPr>
          <w:bCs/>
          <w:sz w:val="24"/>
          <w:szCs w:val="24"/>
          <w:shd w:val="clear" w:color="auto" w:fill="E6E6E6"/>
          <w:lang w:val="en-US"/>
        </w:rPr>
      </w:pPr>
    </w:p>
    <w:p w14:paraId="196B80E6" w14:textId="77777777" w:rsidR="00CC5520" w:rsidRPr="00110F7D" w:rsidRDefault="00CC5520" w:rsidP="00CC5520">
      <w:pPr>
        <w:ind w:left="851"/>
        <w:rPr>
          <w:b/>
          <w:bCs/>
          <w:sz w:val="24"/>
          <w:szCs w:val="24"/>
          <w:lang w:val="en-US"/>
        </w:rPr>
      </w:pPr>
      <w:r w:rsidRPr="00110F7D">
        <w:rPr>
          <w:b/>
          <w:bCs/>
          <w:sz w:val="24"/>
          <w:szCs w:val="24"/>
          <w:lang w:val="en-US"/>
        </w:rPr>
        <w:t xml:space="preserve">Reconstitution and </w:t>
      </w:r>
      <w:proofErr w:type="spellStart"/>
      <w:r w:rsidRPr="00110F7D">
        <w:rPr>
          <w:b/>
          <w:bCs/>
          <w:sz w:val="24"/>
          <w:szCs w:val="24"/>
          <w:lang w:val="en-US"/>
        </w:rPr>
        <w:t>radiolabelling</w:t>
      </w:r>
      <w:proofErr w:type="spellEnd"/>
      <w:r w:rsidRPr="00110F7D">
        <w:rPr>
          <w:b/>
          <w:bCs/>
          <w:sz w:val="24"/>
          <w:szCs w:val="24"/>
          <w:lang w:val="en-US"/>
        </w:rPr>
        <w:t xml:space="preserve"> with IRE </w:t>
      </w:r>
      <w:proofErr w:type="spellStart"/>
      <w:r w:rsidRPr="00110F7D">
        <w:rPr>
          <w:b/>
          <w:bCs/>
          <w:sz w:val="24"/>
          <w:szCs w:val="24"/>
          <w:lang w:val="en-US"/>
        </w:rPr>
        <w:t>ELiT</w:t>
      </w:r>
      <w:proofErr w:type="spellEnd"/>
      <w:r w:rsidRPr="00110F7D">
        <w:rPr>
          <w:b/>
          <w:bCs/>
          <w:sz w:val="24"/>
          <w:szCs w:val="24"/>
          <w:lang w:val="en-US"/>
        </w:rPr>
        <w:t xml:space="preserve"> Galli Ad generator</w:t>
      </w:r>
    </w:p>
    <w:p w14:paraId="4C3CC9FA" w14:textId="77777777" w:rsidR="00CC5520" w:rsidRPr="00CA68D2" w:rsidRDefault="00CC5520" w:rsidP="00CA68D2">
      <w:pPr>
        <w:ind w:left="851"/>
        <w:rPr>
          <w:sz w:val="24"/>
          <w:szCs w:val="24"/>
          <w:lang w:val="en-US"/>
        </w:rPr>
      </w:pPr>
    </w:p>
    <w:p w14:paraId="531D4E2A" w14:textId="77777777" w:rsidR="00CC5520" w:rsidRPr="00CA68D2" w:rsidRDefault="00CC5520" w:rsidP="00CA68D2">
      <w:pPr>
        <w:ind w:left="851"/>
        <w:rPr>
          <w:i/>
          <w:iCs/>
          <w:sz w:val="24"/>
          <w:szCs w:val="24"/>
          <w:u w:val="single"/>
        </w:rPr>
      </w:pPr>
      <w:proofErr w:type="spellStart"/>
      <w:r w:rsidRPr="00CA68D2">
        <w:rPr>
          <w:i/>
          <w:iCs/>
          <w:sz w:val="24"/>
          <w:szCs w:val="24"/>
          <w:u w:val="single"/>
        </w:rPr>
        <w:t>Reconstitution</w:t>
      </w:r>
      <w:proofErr w:type="spellEnd"/>
      <w:r w:rsidRPr="00CA68D2">
        <w:rPr>
          <w:i/>
          <w:iCs/>
          <w:sz w:val="24"/>
          <w:szCs w:val="24"/>
          <w:u w:val="single"/>
        </w:rPr>
        <w:t xml:space="preserve"> of </w:t>
      </w:r>
      <w:proofErr w:type="spellStart"/>
      <w:r w:rsidRPr="00CA68D2">
        <w:rPr>
          <w:i/>
          <w:iCs/>
          <w:sz w:val="24"/>
          <w:szCs w:val="24"/>
          <w:u w:val="single"/>
        </w:rPr>
        <w:t>powder</w:t>
      </w:r>
      <w:proofErr w:type="spellEnd"/>
      <w:r w:rsidRPr="00CA68D2">
        <w:rPr>
          <w:i/>
          <w:iCs/>
          <w:sz w:val="24"/>
          <w:szCs w:val="24"/>
          <w:u w:val="single"/>
        </w:rPr>
        <w:t xml:space="preserve"> </w:t>
      </w:r>
      <w:proofErr w:type="spellStart"/>
      <w:r w:rsidRPr="00CA68D2">
        <w:rPr>
          <w:i/>
          <w:iCs/>
          <w:sz w:val="24"/>
          <w:szCs w:val="24"/>
          <w:u w:val="single"/>
        </w:rPr>
        <w:t>vial</w:t>
      </w:r>
      <w:proofErr w:type="spellEnd"/>
    </w:p>
    <w:p w14:paraId="264C9300" w14:textId="77777777" w:rsidR="00CC5520" w:rsidRPr="00CA68D2" w:rsidRDefault="00CC5520" w:rsidP="001F7C8E">
      <w:pPr>
        <w:pStyle w:val="Listeafsnit"/>
        <w:numPr>
          <w:ilvl w:val="0"/>
          <w:numId w:val="26"/>
        </w:numPr>
        <w:spacing w:before="0" w:after="0"/>
        <w:ind w:left="1276" w:hanging="425"/>
        <w:jc w:val="left"/>
        <w:rPr>
          <w:rFonts w:ascii="Times New Roman" w:hAnsi="Times New Roman"/>
          <w:sz w:val="24"/>
          <w:szCs w:val="24"/>
          <w:lang w:val="en-US"/>
        </w:rPr>
      </w:pPr>
      <w:r w:rsidRPr="00CA68D2">
        <w:rPr>
          <w:rFonts w:ascii="Times New Roman" w:hAnsi="Times New Roman"/>
          <w:sz w:val="24"/>
          <w:szCs w:val="24"/>
          <w:lang w:val="en-US"/>
        </w:rPr>
        <w:t>Insert a sterile 10 mL syringe with a needle into the solvent vial and draw up the 6.4 mL of acetate buffer contained in the vial.</w:t>
      </w:r>
    </w:p>
    <w:p w14:paraId="62B0367F" w14:textId="77777777" w:rsidR="00CC5520" w:rsidRPr="00CA68D2" w:rsidRDefault="00CC5520" w:rsidP="001F7C8E">
      <w:pPr>
        <w:pStyle w:val="Listeafsnit"/>
        <w:numPr>
          <w:ilvl w:val="0"/>
          <w:numId w:val="26"/>
        </w:numPr>
        <w:spacing w:before="0" w:after="0"/>
        <w:ind w:left="1276" w:hanging="425"/>
        <w:jc w:val="left"/>
        <w:rPr>
          <w:rFonts w:ascii="Times New Roman" w:hAnsi="Times New Roman"/>
          <w:sz w:val="24"/>
          <w:szCs w:val="24"/>
          <w:lang w:val="en-GB"/>
        </w:rPr>
      </w:pPr>
      <w:r w:rsidRPr="00CA68D2">
        <w:rPr>
          <w:rFonts w:ascii="Times New Roman" w:hAnsi="Times New Roman"/>
          <w:sz w:val="24"/>
          <w:szCs w:val="24"/>
          <w:lang w:val="en-GB"/>
        </w:rPr>
        <w:t>Inject the content of the 10 mL syringe into the powder vial.</w:t>
      </w:r>
    </w:p>
    <w:p w14:paraId="1D279BA0" w14:textId="77777777" w:rsidR="00CC5520" w:rsidRPr="00CA68D2" w:rsidRDefault="00CC5520" w:rsidP="001F7C8E">
      <w:pPr>
        <w:pStyle w:val="Listeafsnit"/>
        <w:numPr>
          <w:ilvl w:val="0"/>
          <w:numId w:val="26"/>
        </w:numPr>
        <w:spacing w:before="0" w:after="0"/>
        <w:ind w:left="1276" w:hanging="425"/>
        <w:jc w:val="left"/>
        <w:rPr>
          <w:rFonts w:ascii="Times New Roman" w:hAnsi="Times New Roman"/>
          <w:sz w:val="24"/>
          <w:szCs w:val="24"/>
          <w:lang w:val="en-GB"/>
        </w:rPr>
      </w:pPr>
      <w:r w:rsidRPr="00CA68D2">
        <w:rPr>
          <w:rFonts w:ascii="Times New Roman" w:hAnsi="Times New Roman"/>
          <w:sz w:val="24"/>
          <w:szCs w:val="24"/>
          <w:lang w:val="en-GB"/>
        </w:rPr>
        <w:t>Gently swirl powder vial to ensure the product is thoroughly dissolved.</w:t>
      </w:r>
    </w:p>
    <w:p w14:paraId="138A1BC6" w14:textId="77777777" w:rsidR="00CC5520" w:rsidRPr="00CA68D2" w:rsidRDefault="00CC5520" w:rsidP="00CA68D2">
      <w:pPr>
        <w:ind w:left="851"/>
        <w:rPr>
          <w:bCs/>
          <w:sz w:val="24"/>
          <w:szCs w:val="24"/>
          <w:shd w:val="clear" w:color="auto" w:fill="E6E6E6"/>
          <w:lang w:val="en-GB"/>
        </w:rPr>
      </w:pPr>
    </w:p>
    <w:p w14:paraId="34583BD2" w14:textId="77777777" w:rsidR="00CC5520" w:rsidRPr="00CA68D2" w:rsidRDefault="00CC5520" w:rsidP="00CA68D2">
      <w:pPr>
        <w:ind w:left="851"/>
        <w:rPr>
          <w:i/>
          <w:iCs/>
          <w:sz w:val="24"/>
          <w:szCs w:val="24"/>
          <w:u w:val="single"/>
          <w:lang w:val="en-US"/>
        </w:rPr>
      </w:pPr>
      <w:r w:rsidRPr="00CA68D2">
        <w:rPr>
          <w:i/>
          <w:iCs/>
          <w:sz w:val="24"/>
          <w:szCs w:val="24"/>
          <w:u w:val="single"/>
          <w:lang w:val="en-US"/>
        </w:rPr>
        <w:t>Elution of generator and collection of gallium (</w:t>
      </w:r>
      <w:r w:rsidRPr="00CA68D2">
        <w:rPr>
          <w:i/>
          <w:iCs/>
          <w:sz w:val="24"/>
          <w:szCs w:val="24"/>
          <w:u w:val="single"/>
          <w:vertAlign w:val="superscript"/>
          <w:lang w:val="en-US"/>
        </w:rPr>
        <w:t>68</w:t>
      </w:r>
      <w:r w:rsidRPr="00CA68D2">
        <w:rPr>
          <w:i/>
          <w:iCs/>
          <w:sz w:val="24"/>
          <w:szCs w:val="24"/>
          <w:u w:val="single"/>
          <w:lang w:val="en-US"/>
        </w:rPr>
        <w:t>Ga) chloride</w:t>
      </w:r>
    </w:p>
    <w:p w14:paraId="37FBA64E" w14:textId="77777777" w:rsidR="00CC5520" w:rsidRPr="00CA68D2" w:rsidRDefault="00CC5520" w:rsidP="001F7C8E">
      <w:pPr>
        <w:pStyle w:val="Listeafsnit"/>
        <w:numPr>
          <w:ilvl w:val="0"/>
          <w:numId w:val="27"/>
        </w:numPr>
        <w:spacing w:before="0" w:after="0"/>
        <w:ind w:left="1276" w:hanging="425"/>
        <w:jc w:val="left"/>
        <w:rPr>
          <w:rFonts w:ascii="Times New Roman" w:hAnsi="Times New Roman"/>
          <w:sz w:val="24"/>
          <w:szCs w:val="24"/>
          <w:lang w:val="en-GB"/>
        </w:rPr>
      </w:pPr>
      <w:r w:rsidRPr="00CA68D2">
        <w:rPr>
          <w:rFonts w:ascii="Times New Roman" w:hAnsi="Times New Roman"/>
          <w:sz w:val="24"/>
          <w:szCs w:val="24"/>
          <w:lang w:val="en-GB"/>
        </w:rPr>
        <w:t xml:space="preserve">Connect the male </w:t>
      </w:r>
      <w:proofErr w:type="spellStart"/>
      <w:r w:rsidRPr="00CA68D2">
        <w:rPr>
          <w:rFonts w:ascii="Times New Roman" w:hAnsi="Times New Roman"/>
          <w:sz w:val="24"/>
          <w:szCs w:val="24"/>
          <w:lang w:val="en-GB"/>
        </w:rPr>
        <w:t>luer</w:t>
      </w:r>
      <w:proofErr w:type="spellEnd"/>
      <w:r w:rsidRPr="00CA68D2">
        <w:rPr>
          <w:rFonts w:ascii="Times New Roman" w:hAnsi="Times New Roman"/>
          <w:sz w:val="24"/>
          <w:szCs w:val="24"/>
          <w:lang w:val="en-GB"/>
        </w:rPr>
        <w:t xml:space="preserve"> of the outlet line of the Galli Ad generator to a sterile needle.</w:t>
      </w:r>
    </w:p>
    <w:p w14:paraId="4C27CEF5" w14:textId="77777777" w:rsidR="00CC5520" w:rsidRPr="00CA68D2" w:rsidRDefault="00CC5520" w:rsidP="001F7C8E">
      <w:pPr>
        <w:pStyle w:val="Listeafsnit"/>
        <w:numPr>
          <w:ilvl w:val="0"/>
          <w:numId w:val="27"/>
        </w:numPr>
        <w:spacing w:before="0" w:after="0"/>
        <w:ind w:left="1276" w:hanging="425"/>
        <w:jc w:val="left"/>
        <w:rPr>
          <w:rFonts w:ascii="Times New Roman" w:hAnsi="Times New Roman"/>
          <w:sz w:val="24"/>
          <w:szCs w:val="24"/>
          <w:lang w:val="en-GB"/>
        </w:rPr>
      </w:pPr>
      <w:r w:rsidRPr="00CA68D2">
        <w:rPr>
          <w:rFonts w:ascii="Times New Roman" w:hAnsi="Times New Roman"/>
          <w:sz w:val="24"/>
          <w:szCs w:val="24"/>
          <w:lang w:val="en-GB"/>
        </w:rPr>
        <w:t>Elute the generator directly into the empty vial according to the instructions for use of the Galli Ad generator. Collect 1.1 mL of eluate.</w:t>
      </w:r>
    </w:p>
    <w:p w14:paraId="2E3B77EE" w14:textId="77777777" w:rsidR="00CC5520" w:rsidRPr="00CA68D2" w:rsidRDefault="00CC5520" w:rsidP="001F7C8E">
      <w:pPr>
        <w:pStyle w:val="Listeafsnit"/>
        <w:numPr>
          <w:ilvl w:val="0"/>
          <w:numId w:val="27"/>
        </w:numPr>
        <w:spacing w:before="0" w:after="0"/>
        <w:ind w:left="1276" w:hanging="425"/>
        <w:jc w:val="left"/>
        <w:rPr>
          <w:rFonts w:ascii="Times New Roman" w:hAnsi="Times New Roman"/>
          <w:sz w:val="24"/>
          <w:szCs w:val="24"/>
          <w:lang w:val="en-GB"/>
        </w:rPr>
      </w:pPr>
      <w:r w:rsidRPr="00CA68D2">
        <w:rPr>
          <w:rFonts w:ascii="Times New Roman" w:hAnsi="Times New Roman"/>
          <w:sz w:val="24"/>
          <w:szCs w:val="24"/>
          <w:lang w:val="en-GB"/>
        </w:rPr>
        <w:lastRenderedPageBreak/>
        <w:t>At the end of the elution, disconnect the generator from the empty vial by removing the needle from the rubber septum.</w:t>
      </w:r>
    </w:p>
    <w:p w14:paraId="3A74A0A8" w14:textId="77777777" w:rsidR="00CC5520" w:rsidRPr="00CA68D2" w:rsidRDefault="00CC5520" w:rsidP="00CA68D2">
      <w:pPr>
        <w:ind w:left="851"/>
        <w:rPr>
          <w:sz w:val="24"/>
          <w:szCs w:val="24"/>
          <w:lang w:val="en-GB"/>
        </w:rPr>
      </w:pPr>
    </w:p>
    <w:p w14:paraId="2744138A" w14:textId="77777777" w:rsidR="00CC5520" w:rsidRPr="00CA68D2" w:rsidRDefault="00CC5520" w:rsidP="00CA68D2">
      <w:pPr>
        <w:ind w:left="851"/>
        <w:rPr>
          <w:i/>
          <w:iCs/>
          <w:sz w:val="24"/>
          <w:szCs w:val="24"/>
          <w:u w:val="single"/>
        </w:rPr>
      </w:pPr>
      <w:proofErr w:type="spellStart"/>
      <w:r w:rsidRPr="00CA68D2">
        <w:rPr>
          <w:i/>
          <w:iCs/>
          <w:sz w:val="24"/>
          <w:szCs w:val="24"/>
          <w:u w:val="single"/>
        </w:rPr>
        <w:t>Radiolabelling</w:t>
      </w:r>
      <w:proofErr w:type="spellEnd"/>
    </w:p>
    <w:p w14:paraId="79AE6C0C" w14:textId="77777777" w:rsidR="00CC5520" w:rsidRPr="00CA68D2" w:rsidRDefault="00CC5520" w:rsidP="001F7C8E">
      <w:pPr>
        <w:pStyle w:val="Listeafsnit"/>
        <w:numPr>
          <w:ilvl w:val="0"/>
          <w:numId w:val="28"/>
        </w:numPr>
        <w:spacing w:before="0" w:after="0"/>
        <w:ind w:left="1276" w:hanging="425"/>
        <w:jc w:val="left"/>
        <w:rPr>
          <w:rFonts w:ascii="Times New Roman" w:hAnsi="Times New Roman"/>
          <w:sz w:val="24"/>
          <w:szCs w:val="24"/>
          <w:lang w:val="en-GB"/>
        </w:rPr>
      </w:pPr>
      <w:r w:rsidRPr="00CA68D2">
        <w:rPr>
          <w:rFonts w:ascii="Times New Roman" w:hAnsi="Times New Roman"/>
          <w:sz w:val="24"/>
          <w:szCs w:val="24"/>
          <w:lang w:val="en-GB"/>
        </w:rPr>
        <w:t xml:space="preserve">Insert a sterile 10 mL syringe with a needle into the powder vial containing the dissolved </w:t>
      </w:r>
      <w:proofErr w:type="spellStart"/>
      <w:r w:rsidRPr="00CA68D2">
        <w:rPr>
          <w:rFonts w:ascii="Times New Roman" w:hAnsi="Times New Roman"/>
          <w:sz w:val="24"/>
          <w:szCs w:val="24"/>
          <w:lang w:val="en-GB"/>
        </w:rPr>
        <w:t>gozetotide</w:t>
      </w:r>
      <w:proofErr w:type="spellEnd"/>
      <w:r w:rsidRPr="00CA68D2">
        <w:rPr>
          <w:rFonts w:ascii="Times New Roman" w:hAnsi="Times New Roman"/>
          <w:sz w:val="24"/>
          <w:szCs w:val="24"/>
          <w:lang w:val="en-GB"/>
        </w:rPr>
        <w:t xml:space="preserve"> and draw up the content of the vial.</w:t>
      </w:r>
    </w:p>
    <w:p w14:paraId="3373FD2C" w14:textId="77777777" w:rsidR="00CC5520" w:rsidRPr="00CA68D2" w:rsidRDefault="00CC5520" w:rsidP="001F7C8E">
      <w:pPr>
        <w:pStyle w:val="Listeafsnit"/>
        <w:numPr>
          <w:ilvl w:val="0"/>
          <w:numId w:val="28"/>
        </w:numPr>
        <w:spacing w:before="0" w:after="0"/>
        <w:ind w:left="1276" w:hanging="425"/>
        <w:jc w:val="left"/>
        <w:rPr>
          <w:rFonts w:ascii="Times New Roman" w:hAnsi="Times New Roman"/>
          <w:sz w:val="24"/>
          <w:szCs w:val="24"/>
          <w:lang w:val="en-GB"/>
        </w:rPr>
      </w:pPr>
      <w:r w:rsidRPr="00CA68D2">
        <w:rPr>
          <w:rFonts w:ascii="Times New Roman" w:hAnsi="Times New Roman"/>
          <w:sz w:val="24"/>
          <w:szCs w:val="24"/>
          <w:lang w:val="en-GB"/>
        </w:rPr>
        <w:t>Transfer the content of the 10 mL syringe to the empty vial containing the gallium (</w:t>
      </w:r>
      <w:r w:rsidRPr="00CA68D2">
        <w:rPr>
          <w:rFonts w:ascii="Times New Roman" w:hAnsi="Times New Roman"/>
          <w:sz w:val="24"/>
          <w:szCs w:val="24"/>
          <w:vertAlign w:val="superscript"/>
          <w:lang w:val="en-GB"/>
        </w:rPr>
        <w:t>68</w:t>
      </w:r>
      <w:r w:rsidRPr="00CA68D2">
        <w:rPr>
          <w:rFonts w:ascii="Times New Roman" w:hAnsi="Times New Roman"/>
          <w:sz w:val="24"/>
          <w:szCs w:val="24"/>
          <w:lang w:val="en-GB"/>
        </w:rPr>
        <w:t>Ga) chloride.</w:t>
      </w:r>
    </w:p>
    <w:p w14:paraId="03C461B9" w14:textId="77777777" w:rsidR="00CC5520" w:rsidRPr="00CA68D2" w:rsidRDefault="00CC5520" w:rsidP="001F7C8E">
      <w:pPr>
        <w:pStyle w:val="Listeafsnit"/>
        <w:numPr>
          <w:ilvl w:val="0"/>
          <w:numId w:val="28"/>
        </w:numPr>
        <w:spacing w:before="0" w:after="0"/>
        <w:ind w:left="1276" w:hanging="425"/>
        <w:jc w:val="left"/>
        <w:rPr>
          <w:rFonts w:ascii="Times New Roman" w:hAnsi="Times New Roman"/>
          <w:sz w:val="24"/>
          <w:szCs w:val="24"/>
          <w:lang w:val="en-GB"/>
        </w:rPr>
      </w:pPr>
      <w:r w:rsidRPr="00CA68D2">
        <w:rPr>
          <w:rFonts w:ascii="Times New Roman" w:hAnsi="Times New Roman"/>
          <w:sz w:val="24"/>
          <w:szCs w:val="24"/>
          <w:lang w:val="en-GB"/>
        </w:rPr>
        <w:t>Wait for 5 minutes for radiolabelling to take place at room temperature.</w:t>
      </w:r>
    </w:p>
    <w:p w14:paraId="1FE5966E" w14:textId="77777777" w:rsidR="00CC5520" w:rsidRPr="00CA68D2" w:rsidRDefault="00CC5520" w:rsidP="00CA68D2">
      <w:pPr>
        <w:ind w:left="851"/>
        <w:rPr>
          <w:sz w:val="24"/>
          <w:szCs w:val="24"/>
          <w:lang w:val="en-GB"/>
        </w:rPr>
      </w:pPr>
    </w:p>
    <w:p w14:paraId="45C8B17C" w14:textId="77777777" w:rsidR="00CC5520" w:rsidRPr="00110F7D" w:rsidRDefault="00CC5520" w:rsidP="00CC5520">
      <w:pPr>
        <w:ind w:left="851"/>
        <w:rPr>
          <w:sz w:val="24"/>
          <w:szCs w:val="24"/>
          <w:lang w:val="en-US"/>
        </w:rPr>
      </w:pPr>
      <w:r w:rsidRPr="00110F7D">
        <w:rPr>
          <w:sz w:val="24"/>
          <w:szCs w:val="24"/>
          <w:lang w:val="en-US"/>
        </w:rPr>
        <w:t xml:space="preserve">At the end of </w:t>
      </w:r>
      <w:proofErr w:type="spellStart"/>
      <w:r w:rsidRPr="00110F7D">
        <w:rPr>
          <w:sz w:val="24"/>
          <w:szCs w:val="24"/>
          <w:lang w:val="en-US"/>
        </w:rPr>
        <w:t>radiolabelling</w:t>
      </w:r>
      <w:proofErr w:type="spellEnd"/>
      <w:r w:rsidRPr="00110F7D">
        <w:rPr>
          <w:sz w:val="24"/>
          <w:szCs w:val="24"/>
          <w:lang w:val="en-US"/>
        </w:rPr>
        <w:t xml:space="preserve"> step, the vial contains 7.5 mL of gallium (</w:t>
      </w:r>
      <w:r w:rsidRPr="00110F7D">
        <w:rPr>
          <w:sz w:val="24"/>
          <w:szCs w:val="24"/>
          <w:vertAlign w:val="superscript"/>
          <w:lang w:val="en-US"/>
        </w:rPr>
        <w:t>68</w:t>
      </w:r>
      <w:r w:rsidRPr="00110F7D">
        <w:rPr>
          <w:sz w:val="24"/>
          <w:szCs w:val="24"/>
          <w:lang w:val="en-US"/>
        </w:rPr>
        <w:t xml:space="preserve">Ga) </w:t>
      </w:r>
      <w:proofErr w:type="spellStart"/>
      <w:r w:rsidRPr="00110F7D">
        <w:rPr>
          <w:sz w:val="24"/>
          <w:szCs w:val="24"/>
          <w:lang w:val="en-US"/>
        </w:rPr>
        <w:t>gozetotide</w:t>
      </w:r>
      <w:proofErr w:type="spellEnd"/>
      <w:r w:rsidRPr="00110F7D">
        <w:rPr>
          <w:sz w:val="24"/>
          <w:szCs w:val="24"/>
          <w:lang w:val="en-US"/>
        </w:rPr>
        <w:t>.</w:t>
      </w:r>
    </w:p>
    <w:p w14:paraId="3F4DAC60" w14:textId="77777777" w:rsidR="00CC5520" w:rsidRPr="00110F7D" w:rsidRDefault="00CC5520" w:rsidP="00CC5520">
      <w:pPr>
        <w:ind w:left="851"/>
        <w:rPr>
          <w:sz w:val="24"/>
          <w:szCs w:val="24"/>
          <w:lang w:val="en-US"/>
        </w:rPr>
      </w:pPr>
    </w:p>
    <w:p w14:paraId="21DABFE9" w14:textId="77777777" w:rsidR="00CC5520" w:rsidRPr="00110F7D" w:rsidRDefault="00CC5520" w:rsidP="00CC5520">
      <w:pPr>
        <w:ind w:left="851"/>
        <w:rPr>
          <w:i/>
          <w:iCs/>
          <w:sz w:val="24"/>
          <w:szCs w:val="24"/>
          <w:lang w:val="en-US"/>
        </w:rPr>
      </w:pPr>
      <w:r w:rsidRPr="00110F7D">
        <w:rPr>
          <w:sz w:val="24"/>
          <w:szCs w:val="24"/>
          <w:lang w:val="en-US"/>
        </w:rPr>
        <w:t>Then continue with Step 2.</w:t>
      </w:r>
    </w:p>
    <w:p w14:paraId="600109BC" w14:textId="77777777" w:rsidR="00CC5520" w:rsidRPr="00110F7D" w:rsidRDefault="00CC5520" w:rsidP="00CC5520">
      <w:pPr>
        <w:ind w:left="851"/>
        <w:rPr>
          <w:sz w:val="24"/>
          <w:szCs w:val="24"/>
          <w:lang w:val="en-US"/>
        </w:rPr>
      </w:pPr>
    </w:p>
    <w:p w14:paraId="22DF6510" w14:textId="77777777" w:rsidR="00CC5520" w:rsidRPr="00AF647B" w:rsidRDefault="00CC5520" w:rsidP="00CC5520">
      <w:pPr>
        <w:ind w:left="851"/>
        <w:rPr>
          <w:i/>
          <w:iCs/>
          <w:sz w:val="24"/>
          <w:szCs w:val="24"/>
          <w:u w:val="single"/>
          <w:lang w:val="en-US"/>
        </w:rPr>
      </w:pPr>
      <w:r w:rsidRPr="00AF647B">
        <w:rPr>
          <w:i/>
          <w:iCs/>
          <w:sz w:val="24"/>
          <w:szCs w:val="24"/>
          <w:u w:val="single"/>
          <w:lang w:val="en-US"/>
        </w:rPr>
        <w:t xml:space="preserve">Step 2: After </w:t>
      </w:r>
      <w:proofErr w:type="spellStart"/>
      <w:r w:rsidRPr="00AF647B">
        <w:rPr>
          <w:i/>
          <w:iCs/>
          <w:sz w:val="24"/>
          <w:szCs w:val="24"/>
          <w:u w:val="single"/>
          <w:lang w:val="en-US"/>
        </w:rPr>
        <w:t>radiolabelling</w:t>
      </w:r>
      <w:proofErr w:type="spellEnd"/>
    </w:p>
    <w:p w14:paraId="6F34E2A3" w14:textId="77777777" w:rsidR="00CC5520" w:rsidRPr="00110F7D" w:rsidRDefault="00CC5520" w:rsidP="00CC5520">
      <w:pPr>
        <w:ind w:left="851"/>
        <w:rPr>
          <w:sz w:val="24"/>
          <w:szCs w:val="24"/>
          <w:lang w:val="en-US"/>
        </w:rPr>
      </w:pPr>
    </w:p>
    <w:p w14:paraId="5AE78086" w14:textId="77777777" w:rsidR="00CC5520" w:rsidRPr="00AF647B" w:rsidRDefault="00CC5520" w:rsidP="00AF647B">
      <w:pPr>
        <w:pStyle w:val="Listeafsnit"/>
        <w:numPr>
          <w:ilvl w:val="0"/>
          <w:numId w:val="29"/>
        </w:numPr>
        <w:spacing w:before="0" w:after="0"/>
        <w:ind w:left="1276" w:hanging="425"/>
        <w:jc w:val="left"/>
        <w:rPr>
          <w:rFonts w:ascii="Times New Roman" w:hAnsi="Times New Roman"/>
          <w:sz w:val="24"/>
          <w:szCs w:val="24"/>
          <w:lang w:val="en-GB" w:eastAsia="fr-FR"/>
        </w:rPr>
      </w:pPr>
      <w:r w:rsidRPr="00AF647B">
        <w:rPr>
          <w:rFonts w:ascii="Times New Roman" w:hAnsi="Times New Roman"/>
          <w:sz w:val="24"/>
          <w:szCs w:val="24"/>
          <w:lang w:val="en-GB" w:eastAsia="fr-FR"/>
        </w:rPr>
        <w:t>After 5 minutes of radiolabelling, assay the vial containing the gallium (</w:t>
      </w:r>
      <w:r w:rsidRPr="00AF647B">
        <w:rPr>
          <w:rFonts w:ascii="Times New Roman" w:hAnsi="Times New Roman"/>
          <w:sz w:val="24"/>
          <w:szCs w:val="24"/>
          <w:vertAlign w:val="superscript"/>
          <w:lang w:val="en-GB" w:eastAsia="fr-FR"/>
        </w:rPr>
        <w:t>68</w:t>
      </w:r>
      <w:r w:rsidRPr="00AF647B">
        <w:rPr>
          <w:rFonts w:ascii="Times New Roman" w:hAnsi="Times New Roman"/>
          <w:sz w:val="24"/>
          <w:szCs w:val="24"/>
          <w:lang w:val="en-GB" w:eastAsia="fr-FR"/>
        </w:rPr>
        <w:t xml:space="preserve">Ga) </w:t>
      </w:r>
      <w:proofErr w:type="spellStart"/>
      <w:r w:rsidRPr="00AF647B">
        <w:rPr>
          <w:rFonts w:ascii="Times New Roman" w:hAnsi="Times New Roman"/>
          <w:sz w:val="24"/>
          <w:szCs w:val="24"/>
          <w:lang w:val="en-GB" w:eastAsia="fr-FR"/>
        </w:rPr>
        <w:t>gozetotide</w:t>
      </w:r>
      <w:proofErr w:type="spellEnd"/>
      <w:r w:rsidRPr="00AF647B">
        <w:rPr>
          <w:rFonts w:ascii="Times New Roman" w:hAnsi="Times New Roman"/>
          <w:sz w:val="24"/>
          <w:szCs w:val="24"/>
          <w:lang w:val="en-GB" w:eastAsia="fr-FR"/>
        </w:rPr>
        <w:t xml:space="preserve"> solution for injection for total radioactivity concentration using a dose calibrator and record the result.</w:t>
      </w:r>
    </w:p>
    <w:p w14:paraId="7E3A7183" w14:textId="77777777" w:rsidR="00CC5520" w:rsidRPr="00AF647B" w:rsidRDefault="00CC5520" w:rsidP="00AF647B">
      <w:pPr>
        <w:pStyle w:val="Listeafsnit"/>
        <w:numPr>
          <w:ilvl w:val="0"/>
          <w:numId w:val="29"/>
        </w:numPr>
        <w:spacing w:before="0" w:after="0"/>
        <w:ind w:left="1276" w:hanging="425"/>
        <w:jc w:val="left"/>
        <w:rPr>
          <w:rFonts w:ascii="Times New Roman" w:hAnsi="Times New Roman"/>
          <w:sz w:val="24"/>
          <w:szCs w:val="24"/>
          <w:lang w:val="en-GB" w:eastAsia="fr-FR"/>
        </w:rPr>
      </w:pPr>
      <w:r w:rsidRPr="00AF647B">
        <w:rPr>
          <w:rFonts w:ascii="Times New Roman" w:hAnsi="Times New Roman"/>
          <w:sz w:val="24"/>
          <w:szCs w:val="24"/>
          <w:lang w:val="en-GB" w:eastAsia="fr-FR"/>
        </w:rPr>
        <w:t>Perform quality controls according to the recommended methods in order to check compliance with the specifications (see Step 3).</w:t>
      </w:r>
    </w:p>
    <w:p w14:paraId="2321B0D1" w14:textId="77777777" w:rsidR="00CC5520" w:rsidRPr="00AF647B" w:rsidRDefault="00CC5520" w:rsidP="00AF647B">
      <w:pPr>
        <w:pStyle w:val="Listeafsnit"/>
        <w:numPr>
          <w:ilvl w:val="0"/>
          <w:numId w:val="29"/>
        </w:numPr>
        <w:spacing w:before="0" w:after="0"/>
        <w:ind w:left="1276" w:hanging="425"/>
        <w:jc w:val="left"/>
        <w:rPr>
          <w:rFonts w:ascii="Times New Roman" w:hAnsi="Times New Roman"/>
          <w:sz w:val="24"/>
          <w:szCs w:val="24"/>
          <w:lang w:val="en-GB" w:eastAsia="fr-FR"/>
        </w:rPr>
      </w:pPr>
      <w:r w:rsidRPr="00AF647B">
        <w:rPr>
          <w:rFonts w:ascii="Times New Roman" w:hAnsi="Times New Roman"/>
          <w:sz w:val="24"/>
          <w:szCs w:val="24"/>
          <w:lang w:val="en-GB" w:eastAsia="fr-FR"/>
        </w:rPr>
        <w:t xml:space="preserve">Store the </w:t>
      </w:r>
      <w:proofErr w:type="spellStart"/>
      <w:r w:rsidRPr="00AF647B">
        <w:rPr>
          <w:rFonts w:ascii="Times New Roman" w:hAnsi="Times New Roman"/>
          <w:sz w:val="24"/>
          <w:szCs w:val="24"/>
          <w:lang w:val="en-GB" w:eastAsia="fr-FR"/>
        </w:rPr>
        <w:t>Illuccix</w:t>
      </w:r>
      <w:proofErr w:type="spellEnd"/>
      <w:r w:rsidRPr="00AF647B">
        <w:rPr>
          <w:rFonts w:ascii="Times New Roman" w:hAnsi="Times New Roman"/>
          <w:sz w:val="24"/>
          <w:szCs w:val="24"/>
          <w:lang w:val="en-GB" w:eastAsia="fr-FR"/>
        </w:rPr>
        <w:t xml:space="preserve"> vial containing the gallium (</w:t>
      </w:r>
      <w:r w:rsidRPr="00AF647B">
        <w:rPr>
          <w:rFonts w:ascii="Times New Roman" w:hAnsi="Times New Roman"/>
          <w:sz w:val="24"/>
          <w:szCs w:val="24"/>
          <w:vertAlign w:val="superscript"/>
          <w:lang w:val="en-GB" w:eastAsia="fr-FR"/>
        </w:rPr>
        <w:t>68</w:t>
      </w:r>
      <w:r w:rsidRPr="00AF647B">
        <w:rPr>
          <w:rFonts w:ascii="Times New Roman" w:hAnsi="Times New Roman"/>
          <w:sz w:val="24"/>
          <w:szCs w:val="24"/>
          <w:lang w:val="en-GB" w:eastAsia="fr-FR"/>
        </w:rPr>
        <w:t xml:space="preserve">Ga) </w:t>
      </w:r>
      <w:proofErr w:type="spellStart"/>
      <w:r w:rsidRPr="00AF647B">
        <w:rPr>
          <w:rFonts w:ascii="Times New Roman" w:hAnsi="Times New Roman"/>
          <w:sz w:val="24"/>
          <w:szCs w:val="24"/>
          <w:lang w:val="en-GB" w:eastAsia="fr-FR"/>
        </w:rPr>
        <w:t>gozetotide</w:t>
      </w:r>
      <w:proofErr w:type="spellEnd"/>
      <w:r w:rsidRPr="00AF647B">
        <w:rPr>
          <w:rFonts w:ascii="Times New Roman" w:hAnsi="Times New Roman"/>
          <w:sz w:val="24"/>
          <w:szCs w:val="24"/>
          <w:lang w:val="en-GB" w:eastAsia="fr-FR"/>
        </w:rPr>
        <w:t xml:space="preserve"> solution for injection upright in a lead shield container at room temperature until use.</w:t>
      </w:r>
    </w:p>
    <w:p w14:paraId="5E891013" w14:textId="77777777" w:rsidR="00CC5520" w:rsidRPr="00110F7D" w:rsidRDefault="00CC5520" w:rsidP="00CC5520">
      <w:pPr>
        <w:ind w:left="851"/>
        <w:rPr>
          <w:sz w:val="24"/>
          <w:szCs w:val="24"/>
          <w:lang w:val="en-GB" w:eastAsia="en-US"/>
        </w:rPr>
      </w:pPr>
    </w:p>
    <w:p w14:paraId="4B3A940D" w14:textId="77777777" w:rsidR="00CC5520" w:rsidRPr="00110F7D" w:rsidRDefault="00CC5520" w:rsidP="00CC5520">
      <w:pPr>
        <w:ind w:left="851"/>
        <w:rPr>
          <w:i/>
          <w:iCs/>
          <w:sz w:val="24"/>
          <w:szCs w:val="24"/>
          <w:lang w:val="en-US"/>
        </w:rPr>
      </w:pPr>
      <w:r w:rsidRPr="00110F7D">
        <w:rPr>
          <w:i/>
          <w:iCs/>
          <w:sz w:val="24"/>
          <w:szCs w:val="24"/>
          <w:lang w:val="en-US"/>
        </w:rPr>
        <w:t>Step 3: Specifications and Quality control</w:t>
      </w:r>
    </w:p>
    <w:p w14:paraId="214E86D3" w14:textId="77777777" w:rsidR="00CC5520" w:rsidRPr="00110F7D" w:rsidRDefault="00CC5520" w:rsidP="00CC5520">
      <w:pPr>
        <w:ind w:left="851"/>
        <w:rPr>
          <w:i/>
          <w:iCs/>
          <w:sz w:val="24"/>
          <w:szCs w:val="24"/>
          <w:lang w:val="en-US"/>
        </w:rPr>
      </w:pPr>
    </w:p>
    <w:p w14:paraId="5C9706CC" w14:textId="2311B7BF" w:rsidR="00CC5520" w:rsidRPr="00110F7D" w:rsidRDefault="00CC5520" w:rsidP="00CC5520">
      <w:pPr>
        <w:ind w:left="851"/>
        <w:rPr>
          <w:sz w:val="24"/>
          <w:szCs w:val="24"/>
          <w:lang w:val="en-US"/>
        </w:rPr>
      </w:pPr>
      <w:r w:rsidRPr="00110F7D">
        <w:rPr>
          <w:rFonts w:eastAsiaTheme="minorHAnsi"/>
          <w:sz w:val="24"/>
          <w:szCs w:val="24"/>
          <w:lang w:val="en-US"/>
        </w:rPr>
        <w:t>Perform the quality controls behind a lead glass shield for radioprotection purposes</w:t>
      </w:r>
      <w:r w:rsidRPr="00110F7D">
        <w:rPr>
          <w:sz w:val="24"/>
          <w:szCs w:val="24"/>
          <w:lang w:val="en-US" w:eastAsia="fr-BE"/>
        </w:rPr>
        <w:t xml:space="preserve">. The </w:t>
      </w:r>
      <w:r w:rsidRPr="00110F7D">
        <w:rPr>
          <w:sz w:val="24"/>
          <w:szCs w:val="24"/>
          <w:lang w:val="en-US"/>
        </w:rPr>
        <w:t>gallium (</w:t>
      </w:r>
      <w:r w:rsidRPr="00110F7D">
        <w:rPr>
          <w:sz w:val="24"/>
          <w:szCs w:val="24"/>
          <w:vertAlign w:val="superscript"/>
          <w:lang w:val="en-US"/>
        </w:rPr>
        <w:t>68</w:t>
      </w:r>
      <w:r w:rsidRPr="00110F7D">
        <w:rPr>
          <w:sz w:val="24"/>
          <w:szCs w:val="24"/>
          <w:lang w:val="en-US"/>
        </w:rPr>
        <w:t xml:space="preserve">Ga) </w:t>
      </w:r>
      <w:proofErr w:type="spellStart"/>
      <w:r w:rsidRPr="00110F7D">
        <w:rPr>
          <w:sz w:val="24"/>
          <w:szCs w:val="24"/>
          <w:lang w:val="en-US"/>
        </w:rPr>
        <w:t>gozetotide</w:t>
      </w:r>
      <w:proofErr w:type="spellEnd"/>
      <w:r w:rsidRPr="00110F7D">
        <w:rPr>
          <w:sz w:val="24"/>
          <w:szCs w:val="24"/>
          <w:lang w:val="en-US"/>
        </w:rPr>
        <w:t xml:space="preserve"> solution for injection should only be used if the acceptance criteria </w:t>
      </w:r>
      <w:r w:rsidRPr="00110F7D">
        <w:rPr>
          <w:rFonts w:eastAsiaTheme="minorHAnsi"/>
          <w:sz w:val="24"/>
          <w:szCs w:val="24"/>
          <w:lang w:val="en-US"/>
        </w:rPr>
        <w:t xml:space="preserve">presented in </w:t>
      </w:r>
      <w:r w:rsidRPr="00110F7D">
        <w:rPr>
          <w:rFonts w:eastAsiaTheme="minorHAnsi"/>
          <w:sz w:val="24"/>
          <w:szCs w:val="24"/>
        </w:rPr>
        <w:fldChar w:fldCharType="begin"/>
      </w:r>
      <w:r w:rsidRPr="00110F7D">
        <w:rPr>
          <w:rFonts w:eastAsiaTheme="minorHAnsi"/>
          <w:sz w:val="24"/>
          <w:szCs w:val="24"/>
          <w:lang w:val="en-US"/>
        </w:rPr>
        <w:instrText xml:space="preserve"> REF _Ref127366957 \h  \* MERGEFORMAT </w:instrText>
      </w:r>
      <w:r w:rsidRPr="00110F7D">
        <w:rPr>
          <w:rFonts w:eastAsiaTheme="minorHAnsi"/>
          <w:sz w:val="24"/>
          <w:szCs w:val="24"/>
        </w:rPr>
      </w:r>
      <w:r w:rsidRPr="00110F7D">
        <w:rPr>
          <w:rFonts w:eastAsiaTheme="minorHAnsi"/>
          <w:sz w:val="24"/>
          <w:szCs w:val="24"/>
        </w:rPr>
        <w:fldChar w:fldCharType="separate"/>
      </w:r>
      <w:r w:rsidR="00C47B20" w:rsidRPr="00C47B20">
        <w:rPr>
          <w:rFonts w:eastAsia="Calibri"/>
          <w:sz w:val="24"/>
          <w:szCs w:val="24"/>
          <w:lang w:val="en-US"/>
        </w:rPr>
        <w:t xml:space="preserve">Table </w:t>
      </w:r>
      <w:r w:rsidR="00C47B20" w:rsidRPr="00C47B20">
        <w:rPr>
          <w:sz w:val="24"/>
          <w:szCs w:val="24"/>
          <w:lang w:val="en-US"/>
        </w:rPr>
        <w:t>5</w:t>
      </w:r>
      <w:r w:rsidRPr="00110F7D">
        <w:rPr>
          <w:rFonts w:eastAsiaTheme="minorHAnsi"/>
          <w:sz w:val="24"/>
          <w:szCs w:val="24"/>
        </w:rPr>
        <w:fldChar w:fldCharType="end"/>
      </w:r>
      <w:r w:rsidRPr="00110F7D">
        <w:rPr>
          <w:rFonts w:eastAsiaTheme="minorHAnsi"/>
          <w:sz w:val="24"/>
          <w:szCs w:val="24"/>
          <w:lang w:val="en-US"/>
        </w:rPr>
        <w:t xml:space="preserve"> are met.</w:t>
      </w:r>
    </w:p>
    <w:p w14:paraId="28EC9827" w14:textId="77777777" w:rsidR="00CC5520" w:rsidRPr="00110F7D" w:rsidRDefault="00CC5520" w:rsidP="00CC5520">
      <w:pPr>
        <w:ind w:left="851"/>
        <w:rPr>
          <w:sz w:val="24"/>
          <w:szCs w:val="24"/>
          <w:lang w:val="en-US"/>
        </w:rPr>
      </w:pPr>
    </w:p>
    <w:p w14:paraId="1795D40E" w14:textId="590033F3" w:rsidR="00CC5520" w:rsidRPr="00110F7D" w:rsidRDefault="00CC5520" w:rsidP="00CC5520">
      <w:pPr>
        <w:rPr>
          <w:b/>
          <w:bCs/>
          <w:sz w:val="24"/>
          <w:szCs w:val="24"/>
          <w:lang w:val="en-US"/>
        </w:rPr>
      </w:pPr>
      <w:bookmarkStart w:id="14" w:name="_Ref127366957"/>
      <w:r w:rsidRPr="00110F7D">
        <w:rPr>
          <w:b/>
          <w:bCs/>
          <w:sz w:val="24"/>
          <w:szCs w:val="24"/>
          <w:lang w:val="en-US"/>
        </w:rPr>
        <w:t xml:space="preserve">Table </w:t>
      </w:r>
      <w:r w:rsidRPr="00110F7D">
        <w:rPr>
          <w:sz w:val="24"/>
          <w:szCs w:val="24"/>
        </w:rPr>
        <w:fldChar w:fldCharType="begin"/>
      </w:r>
      <w:r w:rsidRPr="00110F7D">
        <w:rPr>
          <w:b/>
          <w:bCs/>
          <w:sz w:val="24"/>
          <w:szCs w:val="24"/>
          <w:lang w:val="en-US"/>
        </w:rPr>
        <w:instrText xml:space="preserve"> SEQ Table \* ARABIC </w:instrText>
      </w:r>
      <w:r w:rsidRPr="00110F7D">
        <w:rPr>
          <w:sz w:val="24"/>
          <w:szCs w:val="24"/>
        </w:rPr>
        <w:fldChar w:fldCharType="separate"/>
      </w:r>
      <w:r w:rsidR="00C47B20">
        <w:rPr>
          <w:b/>
          <w:bCs/>
          <w:noProof/>
          <w:sz w:val="24"/>
          <w:szCs w:val="24"/>
          <w:lang w:val="en-US"/>
        </w:rPr>
        <w:t>5</w:t>
      </w:r>
      <w:r w:rsidRPr="00110F7D">
        <w:rPr>
          <w:sz w:val="24"/>
          <w:szCs w:val="24"/>
        </w:rPr>
        <w:fldChar w:fldCharType="end"/>
      </w:r>
      <w:bookmarkEnd w:id="14"/>
      <w:r w:rsidRPr="00110F7D">
        <w:rPr>
          <w:b/>
          <w:bCs/>
          <w:sz w:val="24"/>
          <w:szCs w:val="24"/>
          <w:lang w:val="en-US"/>
        </w:rPr>
        <w:t>: Specifications of Gallium (</w:t>
      </w:r>
      <w:r w:rsidRPr="00110F7D">
        <w:rPr>
          <w:b/>
          <w:bCs/>
          <w:sz w:val="24"/>
          <w:szCs w:val="24"/>
          <w:vertAlign w:val="superscript"/>
          <w:lang w:val="en-US"/>
        </w:rPr>
        <w:t>68</w:t>
      </w:r>
      <w:r w:rsidRPr="00110F7D">
        <w:rPr>
          <w:b/>
          <w:bCs/>
          <w:sz w:val="24"/>
          <w:szCs w:val="24"/>
          <w:lang w:val="en-US"/>
        </w:rPr>
        <w:t xml:space="preserve">Ga) </w:t>
      </w:r>
      <w:proofErr w:type="spellStart"/>
      <w:r w:rsidRPr="00110F7D">
        <w:rPr>
          <w:b/>
          <w:bCs/>
          <w:sz w:val="24"/>
          <w:szCs w:val="24"/>
          <w:lang w:val="en-US"/>
        </w:rPr>
        <w:t>gozetotide</w:t>
      </w:r>
      <w:proofErr w:type="spellEnd"/>
      <w:r w:rsidRPr="00110F7D">
        <w:rPr>
          <w:b/>
          <w:bCs/>
          <w:sz w:val="24"/>
          <w:szCs w:val="24"/>
          <w:lang w:val="en-US"/>
        </w:rPr>
        <w:t xml:space="preserve"> solution for injection</w:t>
      </w:r>
    </w:p>
    <w:tbl>
      <w:tblPr>
        <w:tblStyle w:val="Tabel-Gitter"/>
        <w:tblW w:w="5000" w:type="pct"/>
        <w:tblInd w:w="0" w:type="dxa"/>
        <w:tblLook w:val="04A0" w:firstRow="1" w:lastRow="0" w:firstColumn="1" w:lastColumn="0" w:noHBand="0" w:noVBand="1"/>
      </w:tblPr>
      <w:tblGrid>
        <w:gridCol w:w="3435"/>
        <w:gridCol w:w="2867"/>
        <w:gridCol w:w="3326"/>
      </w:tblGrid>
      <w:tr w:rsidR="00CC5520" w:rsidRPr="00110F7D" w14:paraId="0E08A94B" w14:textId="77777777" w:rsidTr="00CC5520">
        <w:tc>
          <w:tcPr>
            <w:tcW w:w="1784" w:type="pct"/>
            <w:tcBorders>
              <w:top w:val="single" w:sz="4" w:space="0" w:color="auto"/>
              <w:left w:val="single" w:sz="4" w:space="0" w:color="auto"/>
              <w:bottom w:val="single" w:sz="4" w:space="0" w:color="auto"/>
              <w:right w:val="single" w:sz="4" w:space="0" w:color="auto"/>
            </w:tcBorders>
            <w:hideMark/>
          </w:tcPr>
          <w:p w14:paraId="69F4E64A" w14:textId="77777777" w:rsidR="00CC5520" w:rsidRPr="00110F7D" w:rsidRDefault="00CC5520">
            <w:pPr>
              <w:rPr>
                <w:b/>
                <w:bCs/>
                <w:sz w:val="24"/>
                <w:szCs w:val="24"/>
                <w:lang w:eastAsia="fr-BE"/>
              </w:rPr>
            </w:pPr>
            <w:r w:rsidRPr="00110F7D">
              <w:rPr>
                <w:b/>
                <w:bCs/>
                <w:sz w:val="24"/>
                <w:szCs w:val="24"/>
                <w:lang w:eastAsia="fr-BE"/>
              </w:rPr>
              <w:t>Test</w:t>
            </w:r>
          </w:p>
        </w:tc>
        <w:tc>
          <w:tcPr>
            <w:tcW w:w="1489" w:type="pct"/>
            <w:tcBorders>
              <w:top w:val="single" w:sz="4" w:space="0" w:color="auto"/>
              <w:left w:val="single" w:sz="4" w:space="0" w:color="auto"/>
              <w:bottom w:val="single" w:sz="4" w:space="0" w:color="auto"/>
              <w:right w:val="single" w:sz="4" w:space="0" w:color="auto"/>
            </w:tcBorders>
            <w:hideMark/>
          </w:tcPr>
          <w:p w14:paraId="7333907A" w14:textId="77777777" w:rsidR="00CC5520" w:rsidRPr="00110F7D" w:rsidRDefault="00CC5520">
            <w:pPr>
              <w:rPr>
                <w:b/>
                <w:bCs/>
                <w:sz w:val="24"/>
                <w:szCs w:val="24"/>
                <w:lang w:eastAsia="fr-BE"/>
              </w:rPr>
            </w:pPr>
            <w:r w:rsidRPr="00110F7D">
              <w:rPr>
                <w:b/>
                <w:bCs/>
                <w:sz w:val="24"/>
                <w:szCs w:val="24"/>
                <w:lang w:eastAsia="fr-BE"/>
              </w:rPr>
              <w:t>Analytical method</w:t>
            </w:r>
          </w:p>
        </w:tc>
        <w:tc>
          <w:tcPr>
            <w:tcW w:w="1727" w:type="pct"/>
            <w:tcBorders>
              <w:top w:val="single" w:sz="4" w:space="0" w:color="auto"/>
              <w:left w:val="single" w:sz="4" w:space="0" w:color="auto"/>
              <w:bottom w:val="single" w:sz="4" w:space="0" w:color="auto"/>
              <w:right w:val="single" w:sz="4" w:space="0" w:color="auto"/>
            </w:tcBorders>
            <w:hideMark/>
          </w:tcPr>
          <w:p w14:paraId="1C3A923B" w14:textId="77777777" w:rsidR="00CC5520" w:rsidRPr="00110F7D" w:rsidRDefault="00CC5520">
            <w:pPr>
              <w:rPr>
                <w:b/>
                <w:bCs/>
                <w:sz w:val="24"/>
                <w:szCs w:val="24"/>
                <w:lang w:eastAsia="fr-BE"/>
              </w:rPr>
            </w:pPr>
            <w:r w:rsidRPr="00110F7D">
              <w:rPr>
                <w:b/>
                <w:bCs/>
                <w:sz w:val="24"/>
                <w:szCs w:val="24"/>
                <w:lang w:eastAsia="fr-BE"/>
              </w:rPr>
              <w:t>Acceptance criteria</w:t>
            </w:r>
          </w:p>
        </w:tc>
      </w:tr>
      <w:tr w:rsidR="00CC5520" w:rsidRPr="00901068" w14:paraId="7DC75428" w14:textId="77777777" w:rsidTr="00CC5520">
        <w:trPr>
          <w:trHeight w:val="57"/>
        </w:trPr>
        <w:tc>
          <w:tcPr>
            <w:tcW w:w="1784" w:type="pct"/>
            <w:tcBorders>
              <w:top w:val="single" w:sz="4" w:space="0" w:color="auto"/>
              <w:left w:val="single" w:sz="4" w:space="0" w:color="auto"/>
              <w:bottom w:val="single" w:sz="4" w:space="0" w:color="auto"/>
              <w:right w:val="single" w:sz="4" w:space="0" w:color="auto"/>
            </w:tcBorders>
            <w:hideMark/>
          </w:tcPr>
          <w:p w14:paraId="7D535D23" w14:textId="77777777" w:rsidR="00CC5520" w:rsidRPr="00110F7D" w:rsidRDefault="00CC5520">
            <w:pPr>
              <w:rPr>
                <w:sz w:val="24"/>
                <w:szCs w:val="24"/>
                <w:lang w:eastAsia="fr-BE"/>
              </w:rPr>
            </w:pPr>
            <w:r w:rsidRPr="00110F7D">
              <w:rPr>
                <w:sz w:val="24"/>
                <w:szCs w:val="24"/>
                <w:lang w:eastAsia="fr-BE"/>
              </w:rPr>
              <w:t>Appearance</w:t>
            </w:r>
          </w:p>
        </w:tc>
        <w:tc>
          <w:tcPr>
            <w:tcW w:w="1489" w:type="pct"/>
            <w:tcBorders>
              <w:top w:val="single" w:sz="4" w:space="0" w:color="auto"/>
              <w:left w:val="single" w:sz="4" w:space="0" w:color="auto"/>
              <w:bottom w:val="single" w:sz="4" w:space="0" w:color="auto"/>
              <w:right w:val="single" w:sz="4" w:space="0" w:color="auto"/>
            </w:tcBorders>
            <w:hideMark/>
          </w:tcPr>
          <w:p w14:paraId="0228FF14" w14:textId="77777777" w:rsidR="00CC5520" w:rsidRPr="00110F7D" w:rsidRDefault="00CC5520">
            <w:pPr>
              <w:rPr>
                <w:sz w:val="24"/>
                <w:szCs w:val="24"/>
                <w:lang w:eastAsia="fr-BE"/>
              </w:rPr>
            </w:pPr>
            <w:r w:rsidRPr="00110F7D">
              <w:rPr>
                <w:sz w:val="24"/>
                <w:szCs w:val="24"/>
                <w:lang w:eastAsia="fr-BE"/>
              </w:rPr>
              <w:t>Visual inspection</w:t>
            </w:r>
          </w:p>
        </w:tc>
        <w:tc>
          <w:tcPr>
            <w:tcW w:w="1727" w:type="pct"/>
            <w:tcBorders>
              <w:top w:val="single" w:sz="4" w:space="0" w:color="auto"/>
              <w:left w:val="single" w:sz="4" w:space="0" w:color="auto"/>
              <w:bottom w:val="single" w:sz="4" w:space="0" w:color="auto"/>
              <w:right w:val="single" w:sz="4" w:space="0" w:color="auto"/>
            </w:tcBorders>
            <w:hideMark/>
          </w:tcPr>
          <w:p w14:paraId="79CE6360" w14:textId="77777777" w:rsidR="00CC5520" w:rsidRPr="00110F7D" w:rsidRDefault="00CC5520">
            <w:pPr>
              <w:rPr>
                <w:sz w:val="24"/>
                <w:szCs w:val="24"/>
                <w:lang w:eastAsia="fr-BE"/>
              </w:rPr>
            </w:pPr>
            <w:r w:rsidRPr="00110F7D">
              <w:rPr>
                <w:sz w:val="24"/>
                <w:szCs w:val="24"/>
                <w:lang w:eastAsia="fr-BE"/>
              </w:rPr>
              <w:t>Clear, colourless solution, practically free from visible particles</w:t>
            </w:r>
          </w:p>
        </w:tc>
      </w:tr>
      <w:tr w:rsidR="00CC5520" w:rsidRPr="00110F7D" w14:paraId="0C475739" w14:textId="77777777" w:rsidTr="00CC5520">
        <w:trPr>
          <w:trHeight w:val="305"/>
        </w:trPr>
        <w:tc>
          <w:tcPr>
            <w:tcW w:w="1784" w:type="pct"/>
            <w:tcBorders>
              <w:top w:val="single" w:sz="4" w:space="0" w:color="auto"/>
              <w:left w:val="single" w:sz="4" w:space="0" w:color="auto"/>
              <w:bottom w:val="single" w:sz="4" w:space="0" w:color="auto"/>
              <w:right w:val="single" w:sz="4" w:space="0" w:color="auto"/>
            </w:tcBorders>
            <w:hideMark/>
          </w:tcPr>
          <w:p w14:paraId="62F4843B" w14:textId="77777777" w:rsidR="00CC5520" w:rsidRPr="00110F7D" w:rsidRDefault="00CC5520">
            <w:pPr>
              <w:rPr>
                <w:sz w:val="24"/>
                <w:szCs w:val="24"/>
                <w:lang w:eastAsia="fr-BE"/>
              </w:rPr>
            </w:pPr>
            <w:r w:rsidRPr="00110F7D">
              <w:rPr>
                <w:sz w:val="24"/>
                <w:szCs w:val="24"/>
                <w:lang w:eastAsia="fr-BE"/>
              </w:rPr>
              <w:t>pH</w:t>
            </w:r>
          </w:p>
        </w:tc>
        <w:tc>
          <w:tcPr>
            <w:tcW w:w="1489" w:type="pct"/>
            <w:tcBorders>
              <w:top w:val="single" w:sz="4" w:space="0" w:color="auto"/>
              <w:left w:val="single" w:sz="4" w:space="0" w:color="auto"/>
              <w:bottom w:val="single" w:sz="4" w:space="0" w:color="auto"/>
              <w:right w:val="single" w:sz="4" w:space="0" w:color="auto"/>
            </w:tcBorders>
            <w:hideMark/>
          </w:tcPr>
          <w:p w14:paraId="5981B575" w14:textId="77777777" w:rsidR="00CC5520" w:rsidRPr="00110F7D" w:rsidRDefault="00CC5520">
            <w:pPr>
              <w:rPr>
                <w:sz w:val="24"/>
                <w:szCs w:val="24"/>
                <w:lang w:eastAsia="fr-BE"/>
              </w:rPr>
            </w:pPr>
            <w:r w:rsidRPr="00110F7D">
              <w:rPr>
                <w:sz w:val="24"/>
                <w:szCs w:val="24"/>
                <w:lang w:eastAsia="fr-BE"/>
              </w:rPr>
              <w:t>pH-strips or pH-meter</w:t>
            </w:r>
          </w:p>
        </w:tc>
        <w:tc>
          <w:tcPr>
            <w:tcW w:w="1727" w:type="pct"/>
            <w:tcBorders>
              <w:top w:val="single" w:sz="4" w:space="0" w:color="auto"/>
              <w:left w:val="single" w:sz="4" w:space="0" w:color="auto"/>
              <w:bottom w:val="single" w:sz="4" w:space="0" w:color="auto"/>
              <w:right w:val="single" w:sz="4" w:space="0" w:color="auto"/>
            </w:tcBorders>
            <w:hideMark/>
          </w:tcPr>
          <w:p w14:paraId="601B242A" w14:textId="77777777" w:rsidR="00CC5520" w:rsidRPr="00110F7D" w:rsidRDefault="00CC5520">
            <w:pPr>
              <w:rPr>
                <w:sz w:val="24"/>
                <w:szCs w:val="24"/>
                <w:lang w:eastAsia="fr-BE"/>
              </w:rPr>
            </w:pPr>
            <w:r w:rsidRPr="00110F7D">
              <w:rPr>
                <w:sz w:val="24"/>
                <w:szCs w:val="24"/>
                <w:lang w:eastAsia="fr-BE"/>
              </w:rPr>
              <w:t>4.0 to 5.0</w:t>
            </w:r>
          </w:p>
        </w:tc>
      </w:tr>
      <w:tr w:rsidR="00CC5520" w:rsidRPr="00110F7D" w14:paraId="61CD3D89" w14:textId="77777777" w:rsidTr="00CC5520">
        <w:trPr>
          <w:trHeight w:val="785"/>
        </w:trPr>
        <w:tc>
          <w:tcPr>
            <w:tcW w:w="1784" w:type="pct"/>
            <w:tcBorders>
              <w:top w:val="single" w:sz="4" w:space="0" w:color="auto"/>
              <w:left w:val="single" w:sz="4" w:space="0" w:color="auto"/>
              <w:bottom w:val="single" w:sz="4" w:space="0" w:color="auto"/>
              <w:right w:val="single" w:sz="4" w:space="0" w:color="auto"/>
            </w:tcBorders>
            <w:hideMark/>
          </w:tcPr>
          <w:p w14:paraId="27E9D1C4" w14:textId="77777777" w:rsidR="00CC5520" w:rsidRPr="00110F7D" w:rsidRDefault="00CC5520">
            <w:pPr>
              <w:pStyle w:val="Listeafsnit"/>
              <w:ind w:left="0"/>
              <w:jc w:val="left"/>
              <w:rPr>
                <w:rFonts w:ascii="Times New Roman" w:eastAsia="Times New Roman" w:hAnsi="Times New Roman"/>
                <w:sz w:val="24"/>
                <w:szCs w:val="24"/>
                <w:lang w:val="en-GB" w:eastAsia="fr-BE"/>
              </w:rPr>
            </w:pPr>
            <w:r w:rsidRPr="00110F7D">
              <w:rPr>
                <w:rFonts w:ascii="Times New Roman" w:eastAsia="Times New Roman" w:hAnsi="Times New Roman"/>
                <w:sz w:val="24"/>
                <w:szCs w:val="24"/>
                <w:lang w:val="en-GB" w:eastAsia="fr-BE"/>
              </w:rPr>
              <w:t>Radiochemical purity</w:t>
            </w:r>
          </w:p>
          <w:p w14:paraId="50211E8C" w14:textId="77777777" w:rsidR="00CC5520" w:rsidRPr="00110F7D" w:rsidRDefault="00CC5520">
            <w:pPr>
              <w:pStyle w:val="Listeafsnit"/>
              <w:ind w:left="0"/>
              <w:jc w:val="left"/>
              <w:rPr>
                <w:rFonts w:ascii="Times New Roman" w:eastAsia="Times New Roman" w:hAnsi="Times New Roman"/>
                <w:sz w:val="24"/>
                <w:szCs w:val="24"/>
                <w:lang w:val="en-GB" w:eastAsia="fr-BE"/>
              </w:rPr>
            </w:pPr>
            <w:r w:rsidRPr="00110F7D">
              <w:rPr>
                <w:rFonts w:ascii="Times New Roman" w:eastAsia="Times New Roman" w:hAnsi="Times New Roman"/>
                <w:sz w:val="24"/>
                <w:szCs w:val="24"/>
                <w:lang w:val="en-GB" w:eastAsia="fr-BE"/>
              </w:rPr>
              <w:t>Free and colloidal gallium-68 species</w:t>
            </w:r>
          </w:p>
        </w:tc>
        <w:tc>
          <w:tcPr>
            <w:tcW w:w="1489" w:type="pct"/>
            <w:tcBorders>
              <w:top w:val="single" w:sz="4" w:space="0" w:color="auto"/>
              <w:left w:val="single" w:sz="4" w:space="0" w:color="auto"/>
              <w:bottom w:val="single" w:sz="4" w:space="0" w:color="auto"/>
              <w:right w:val="single" w:sz="4" w:space="0" w:color="auto"/>
            </w:tcBorders>
            <w:hideMark/>
          </w:tcPr>
          <w:p w14:paraId="219DD29A" w14:textId="77777777" w:rsidR="00CC5520" w:rsidRPr="00110F7D" w:rsidRDefault="00CC5520">
            <w:pPr>
              <w:rPr>
                <w:sz w:val="24"/>
                <w:szCs w:val="24"/>
                <w:lang w:val="en-GB" w:eastAsia="fr-BE"/>
              </w:rPr>
            </w:pPr>
            <w:r w:rsidRPr="00110F7D">
              <w:rPr>
                <w:sz w:val="24"/>
                <w:szCs w:val="24"/>
                <w:lang w:eastAsia="fr-BE"/>
              </w:rPr>
              <w:t>Instant Thin layer chromatography (iTLC, see details below)</w:t>
            </w:r>
          </w:p>
        </w:tc>
        <w:tc>
          <w:tcPr>
            <w:tcW w:w="1727" w:type="pct"/>
            <w:tcBorders>
              <w:top w:val="single" w:sz="4" w:space="0" w:color="auto"/>
              <w:left w:val="single" w:sz="4" w:space="0" w:color="auto"/>
              <w:bottom w:val="single" w:sz="4" w:space="0" w:color="auto"/>
              <w:right w:val="single" w:sz="4" w:space="0" w:color="auto"/>
            </w:tcBorders>
            <w:hideMark/>
          </w:tcPr>
          <w:p w14:paraId="3EA52D72" w14:textId="77777777" w:rsidR="00CC5520" w:rsidRPr="00110F7D" w:rsidRDefault="00CC5520">
            <w:pPr>
              <w:rPr>
                <w:sz w:val="24"/>
                <w:szCs w:val="24"/>
                <w:lang w:eastAsia="fr-BE"/>
              </w:rPr>
            </w:pPr>
            <w:r w:rsidRPr="00110F7D">
              <w:rPr>
                <w:sz w:val="24"/>
                <w:szCs w:val="24"/>
                <w:lang w:eastAsia="fr-BE"/>
              </w:rPr>
              <w:t>≤ 3%</w:t>
            </w:r>
          </w:p>
        </w:tc>
      </w:tr>
    </w:tbl>
    <w:p w14:paraId="19BEA9C8" w14:textId="77777777" w:rsidR="00CC5520" w:rsidRPr="00110F7D" w:rsidRDefault="00CC5520" w:rsidP="00CC5520">
      <w:pPr>
        <w:ind w:right="481"/>
        <w:rPr>
          <w:bCs/>
          <w:sz w:val="24"/>
          <w:szCs w:val="24"/>
          <w:lang w:val="en-GB" w:eastAsia="fr-BE"/>
        </w:rPr>
      </w:pPr>
    </w:p>
    <w:p w14:paraId="42841E8B" w14:textId="77777777" w:rsidR="00CC5520" w:rsidRPr="00110F7D" w:rsidRDefault="00CC5520" w:rsidP="00CC5520">
      <w:pPr>
        <w:ind w:left="851"/>
        <w:rPr>
          <w:sz w:val="24"/>
          <w:szCs w:val="24"/>
          <w:lang w:val="en-US" w:eastAsia="en-US"/>
        </w:rPr>
      </w:pPr>
      <w:r w:rsidRPr="00110F7D">
        <w:rPr>
          <w:sz w:val="24"/>
          <w:szCs w:val="24"/>
          <w:lang w:val="en-US"/>
        </w:rPr>
        <w:t>Determine labelling efficiency of gallium (</w:t>
      </w:r>
      <w:r w:rsidRPr="00110F7D">
        <w:rPr>
          <w:sz w:val="24"/>
          <w:szCs w:val="24"/>
          <w:vertAlign w:val="superscript"/>
          <w:lang w:val="en-US"/>
        </w:rPr>
        <w:t>68</w:t>
      </w:r>
      <w:r w:rsidRPr="00110F7D">
        <w:rPr>
          <w:sz w:val="24"/>
          <w:szCs w:val="24"/>
          <w:lang w:val="en-US"/>
        </w:rPr>
        <w:t xml:space="preserve">Ga) </w:t>
      </w:r>
      <w:proofErr w:type="spellStart"/>
      <w:r w:rsidRPr="00110F7D">
        <w:rPr>
          <w:sz w:val="24"/>
          <w:szCs w:val="24"/>
          <w:lang w:val="en-US"/>
        </w:rPr>
        <w:t>gozetotide</w:t>
      </w:r>
      <w:proofErr w:type="spellEnd"/>
      <w:r w:rsidRPr="00110F7D">
        <w:rPr>
          <w:sz w:val="24"/>
          <w:szCs w:val="24"/>
          <w:lang w:val="en-US"/>
        </w:rPr>
        <w:t xml:space="preserve"> solution for injection by performing thin layer chromatography (</w:t>
      </w:r>
      <w:proofErr w:type="spellStart"/>
      <w:r w:rsidRPr="00110F7D">
        <w:rPr>
          <w:sz w:val="24"/>
          <w:szCs w:val="24"/>
          <w:lang w:val="en-US"/>
        </w:rPr>
        <w:t>iTLC</w:t>
      </w:r>
      <w:proofErr w:type="spellEnd"/>
      <w:r w:rsidRPr="00110F7D">
        <w:rPr>
          <w:sz w:val="24"/>
          <w:szCs w:val="24"/>
          <w:lang w:val="en-US"/>
        </w:rPr>
        <w:t>).</w:t>
      </w:r>
    </w:p>
    <w:p w14:paraId="61949FDF" w14:textId="77777777" w:rsidR="00CC5520" w:rsidRPr="00110F7D" w:rsidRDefault="00CC5520" w:rsidP="00CC5520">
      <w:pPr>
        <w:ind w:left="851"/>
        <w:rPr>
          <w:sz w:val="24"/>
          <w:szCs w:val="24"/>
          <w:lang w:val="en-US"/>
        </w:rPr>
      </w:pPr>
      <w:r w:rsidRPr="00110F7D">
        <w:rPr>
          <w:sz w:val="24"/>
          <w:szCs w:val="24"/>
          <w:lang w:val="en-US"/>
        </w:rPr>
        <w:t xml:space="preserve">Perform </w:t>
      </w:r>
      <w:proofErr w:type="spellStart"/>
      <w:r w:rsidRPr="00110F7D">
        <w:rPr>
          <w:sz w:val="24"/>
          <w:szCs w:val="24"/>
          <w:lang w:val="en-US"/>
        </w:rPr>
        <w:t>iTLC</w:t>
      </w:r>
      <w:proofErr w:type="spellEnd"/>
      <w:r w:rsidRPr="00110F7D">
        <w:rPr>
          <w:sz w:val="24"/>
          <w:szCs w:val="24"/>
          <w:lang w:val="en-US"/>
        </w:rPr>
        <w:t xml:space="preserve"> using </w:t>
      </w:r>
      <w:proofErr w:type="spellStart"/>
      <w:r w:rsidRPr="00110F7D">
        <w:rPr>
          <w:sz w:val="24"/>
          <w:szCs w:val="24"/>
          <w:lang w:val="en-US"/>
        </w:rPr>
        <w:t>iTLC</w:t>
      </w:r>
      <w:proofErr w:type="spellEnd"/>
      <w:r w:rsidRPr="00110F7D">
        <w:rPr>
          <w:sz w:val="24"/>
          <w:szCs w:val="24"/>
          <w:lang w:val="en-US"/>
        </w:rPr>
        <w:t xml:space="preserve"> SG strips and using ammonium acetate 1M: Methanol (1:1 V/V) as mobile phase.</w:t>
      </w:r>
    </w:p>
    <w:p w14:paraId="1DC62500" w14:textId="77777777" w:rsidR="00CC5520" w:rsidRPr="00EC0673" w:rsidRDefault="00CC5520" w:rsidP="00EC0673">
      <w:pPr>
        <w:ind w:left="851"/>
        <w:rPr>
          <w:sz w:val="24"/>
          <w:szCs w:val="24"/>
          <w:lang w:val="en-US" w:eastAsia="fr-BE"/>
        </w:rPr>
      </w:pPr>
    </w:p>
    <w:p w14:paraId="5586358F" w14:textId="77777777" w:rsidR="00CC5520" w:rsidRPr="00EC0673" w:rsidRDefault="00CC5520" w:rsidP="00EC0673">
      <w:pPr>
        <w:ind w:left="851"/>
        <w:rPr>
          <w:i/>
          <w:iCs/>
          <w:sz w:val="24"/>
          <w:szCs w:val="24"/>
          <w:lang w:val="en-GB" w:eastAsia="fr-BE"/>
        </w:rPr>
      </w:pPr>
      <w:proofErr w:type="spellStart"/>
      <w:r w:rsidRPr="00EC0673">
        <w:rPr>
          <w:i/>
          <w:iCs/>
          <w:sz w:val="24"/>
          <w:szCs w:val="24"/>
          <w:lang w:val="en-GB" w:eastAsia="fr-BE"/>
        </w:rPr>
        <w:t>iTLC</w:t>
      </w:r>
      <w:proofErr w:type="spellEnd"/>
      <w:r w:rsidRPr="00EC0673">
        <w:rPr>
          <w:i/>
          <w:iCs/>
          <w:sz w:val="24"/>
          <w:szCs w:val="24"/>
          <w:lang w:val="en-GB" w:eastAsia="fr-BE"/>
        </w:rPr>
        <w:t xml:space="preserve"> method:</w:t>
      </w:r>
    </w:p>
    <w:p w14:paraId="18C19082" w14:textId="77777777" w:rsidR="00CC5520" w:rsidRPr="00EC0673" w:rsidRDefault="00CC5520" w:rsidP="00EC0673">
      <w:pPr>
        <w:pStyle w:val="Listeafsnit"/>
        <w:numPr>
          <w:ilvl w:val="0"/>
          <w:numId w:val="30"/>
        </w:numPr>
        <w:spacing w:before="0" w:after="0"/>
        <w:jc w:val="left"/>
        <w:rPr>
          <w:rFonts w:ascii="Times New Roman" w:hAnsi="Times New Roman"/>
          <w:sz w:val="24"/>
          <w:szCs w:val="24"/>
          <w:lang w:val="en-GB" w:eastAsia="fr-BE"/>
        </w:rPr>
      </w:pPr>
      <w:r w:rsidRPr="00EC0673">
        <w:rPr>
          <w:rFonts w:ascii="Times New Roman" w:hAnsi="Times New Roman"/>
          <w:sz w:val="24"/>
          <w:szCs w:val="24"/>
          <w:lang w:val="en-GB" w:eastAsia="fr-BE"/>
        </w:rPr>
        <w:t xml:space="preserve">Develop immediately the </w:t>
      </w:r>
      <w:proofErr w:type="spellStart"/>
      <w:r w:rsidRPr="00EC0673">
        <w:rPr>
          <w:rFonts w:ascii="Times New Roman" w:hAnsi="Times New Roman"/>
          <w:sz w:val="24"/>
          <w:szCs w:val="24"/>
          <w:lang w:val="en-GB" w:eastAsia="fr-BE"/>
        </w:rPr>
        <w:t>iTLC</w:t>
      </w:r>
      <w:proofErr w:type="spellEnd"/>
      <w:r w:rsidRPr="00EC0673">
        <w:rPr>
          <w:rFonts w:ascii="Times New Roman" w:hAnsi="Times New Roman"/>
          <w:sz w:val="24"/>
          <w:szCs w:val="24"/>
          <w:lang w:val="en-GB" w:eastAsia="fr-BE"/>
        </w:rPr>
        <w:t xml:space="preserve"> SG strip over 2/3 of the plate.</w:t>
      </w:r>
    </w:p>
    <w:p w14:paraId="54D191BC" w14:textId="77777777" w:rsidR="00CC5520" w:rsidRPr="00EC0673" w:rsidRDefault="00CC5520" w:rsidP="00EC0673">
      <w:pPr>
        <w:pStyle w:val="Listeafsnit"/>
        <w:numPr>
          <w:ilvl w:val="0"/>
          <w:numId w:val="30"/>
        </w:numPr>
        <w:spacing w:before="0" w:after="0"/>
        <w:jc w:val="left"/>
        <w:rPr>
          <w:rFonts w:ascii="Times New Roman" w:hAnsi="Times New Roman"/>
          <w:sz w:val="24"/>
          <w:szCs w:val="24"/>
          <w:lang w:val="en-GB" w:eastAsia="fr-BE"/>
        </w:rPr>
      </w:pPr>
      <w:r w:rsidRPr="00EC0673">
        <w:rPr>
          <w:rFonts w:ascii="Times New Roman" w:hAnsi="Times New Roman"/>
          <w:sz w:val="24"/>
          <w:szCs w:val="24"/>
          <w:lang w:val="en-GB" w:eastAsia="fr-BE"/>
        </w:rPr>
        <w:t>Measurement:</w:t>
      </w:r>
    </w:p>
    <w:p w14:paraId="06D0B038" w14:textId="77777777" w:rsidR="00CC5520" w:rsidRPr="00EC0673" w:rsidRDefault="00CC5520" w:rsidP="00EC0673">
      <w:pPr>
        <w:pStyle w:val="Listeafsnit"/>
        <w:numPr>
          <w:ilvl w:val="0"/>
          <w:numId w:val="32"/>
        </w:numPr>
        <w:spacing w:before="0" w:after="0"/>
        <w:jc w:val="left"/>
        <w:rPr>
          <w:rFonts w:ascii="Times New Roman" w:hAnsi="Times New Roman"/>
          <w:sz w:val="24"/>
          <w:szCs w:val="24"/>
          <w:lang w:val="en-GB" w:eastAsia="fr-BE"/>
        </w:rPr>
      </w:pPr>
      <w:r w:rsidRPr="00EC0673">
        <w:rPr>
          <w:rFonts w:ascii="Times New Roman" w:hAnsi="Times New Roman"/>
          <w:sz w:val="24"/>
          <w:szCs w:val="24"/>
          <w:lang w:val="en-GB" w:eastAsia="fr-BE"/>
        </w:rPr>
        <w:t>Cutting technique:</w:t>
      </w:r>
    </w:p>
    <w:p w14:paraId="0F04FC6F" w14:textId="77777777" w:rsidR="00CC5520" w:rsidRPr="00EC0673" w:rsidRDefault="00CC5520" w:rsidP="00EC0673">
      <w:pPr>
        <w:ind w:left="1560"/>
        <w:rPr>
          <w:sz w:val="24"/>
          <w:szCs w:val="24"/>
          <w:lang w:val="en-GB" w:eastAsia="fr-BE"/>
        </w:rPr>
      </w:pPr>
      <w:r w:rsidRPr="00EC0673">
        <w:rPr>
          <w:sz w:val="24"/>
          <w:szCs w:val="24"/>
          <w:lang w:val="en-GB" w:eastAsia="fr-BE"/>
        </w:rPr>
        <w:t>Measure each piece with the radioactivity dose calibrator.</w:t>
      </w:r>
    </w:p>
    <w:p w14:paraId="4D54E89E" w14:textId="77777777" w:rsidR="00CC5520" w:rsidRPr="00EC0673" w:rsidRDefault="00CC5520" w:rsidP="00EC0673">
      <w:pPr>
        <w:ind w:left="1560"/>
        <w:rPr>
          <w:sz w:val="24"/>
          <w:szCs w:val="24"/>
          <w:lang w:val="en-GB" w:eastAsia="fr-BE"/>
        </w:rPr>
      </w:pPr>
      <w:r w:rsidRPr="00EC0673">
        <w:rPr>
          <w:sz w:val="24"/>
          <w:szCs w:val="24"/>
          <w:lang w:val="en-GB" w:eastAsia="fr-BE"/>
        </w:rPr>
        <w:lastRenderedPageBreak/>
        <w:t>Calculate the quantity (in percent) of free and colloidal gallium-68 species in the solution using the formula:</w:t>
      </w:r>
    </w:p>
    <w:p w14:paraId="4D6CDB60" w14:textId="77777777" w:rsidR="00CC5520" w:rsidRPr="00EC0673" w:rsidRDefault="00CC5520" w:rsidP="00EC0673">
      <w:pPr>
        <w:ind w:left="851"/>
        <w:rPr>
          <w:sz w:val="24"/>
          <w:szCs w:val="24"/>
          <w:lang w:val="en-GB" w:eastAsia="fr-BE"/>
        </w:rPr>
      </w:pPr>
    </w:p>
    <w:p w14:paraId="222974AA" w14:textId="77777777" w:rsidR="00EC0673" w:rsidRPr="00A35A3F" w:rsidRDefault="00EC0673" w:rsidP="00A35A3F">
      <w:pPr>
        <w:pStyle w:val="Listeafsnit"/>
        <w:spacing w:before="0" w:after="0"/>
        <w:ind w:left="426"/>
        <w:jc w:val="left"/>
        <w:rPr>
          <w:rFonts w:ascii="Times New Roman" w:eastAsia="Times New Roman" w:hAnsi="Times New Roman"/>
          <w:sz w:val="22"/>
          <w:lang w:val="en-GB" w:eastAsia="fr-BE"/>
        </w:rPr>
      </w:pPr>
      <m:oMathPara>
        <m:oMathParaPr>
          <m:jc m:val="left"/>
        </m:oMathParaPr>
        <m:oMath>
          <m:r>
            <m:rPr>
              <m:sty m:val="p"/>
            </m:rPr>
            <w:rPr>
              <w:rFonts w:ascii="Cambria Math" w:eastAsia="Times New Roman" w:hAnsi="Cambria Math"/>
              <w:sz w:val="22"/>
              <w:lang w:val="en-GB" w:eastAsia="fr-BE"/>
            </w:rPr>
            <m:t>% Free and colloidal gallium (68Ga) species</m:t>
          </m:r>
          <m:r>
            <w:rPr>
              <w:rFonts w:ascii="Cambria Math" w:eastAsia="Times New Roman" w:hAnsi="Cambria Math"/>
              <w:sz w:val="22"/>
              <w:lang w:val="en-GB" w:eastAsia="fr-BE"/>
            </w:rPr>
            <m:t xml:space="preserve">= </m:t>
          </m:r>
          <m:f>
            <m:fPr>
              <m:ctrlPr>
                <w:rPr>
                  <w:rFonts w:ascii="Cambria Math" w:hAnsi="Cambria Math"/>
                  <w:sz w:val="22"/>
                  <w:lang w:val="en-GB" w:eastAsia="fr-BE"/>
                </w:rPr>
              </m:ctrlPr>
            </m:fPr>
            <m:num>
              <m:r>
                <m:rPr>
                  <m:sty m:val="p"/>
                </m:rPr>
                <w:rPr>
                  <w:rFonts w:ascii="Cambria Math" w:eastAsia="Times New Roman" w:hAnsi="Cambria Math"/>
                  <w:sz w:val="22"/>
                  <w:lang w:val="en-GB" w:eastAsia="fr-BE"/>
                </w:rPr>
                <m:t>Activity bottom piece</m:t>
              </m:r>
            </m:num>
            <m:den>
              <m:r>
                <m:rPr>
                  <m:sty m:val="p"/>
                </m:rPr>
                <w:rPr>
                  <w:rFonts w:ascii="Cambria Math" w:eastAsia="Times New Roman" w:hAnsi="Cambria Math"/>
                  <w:sz w:val="22"/>
                  <w:lang w:val="en-GB" w:eastAsia="fr-BE"/>
                </w:rPr>
                <m:t>Activity bottom piece+Activity top piece</m:t>
              </m:r>
            </m:den>
          </m:f>
          <m:r>
            <w:rPr>
              <w:rFonts w:ascii="Cambria Math" w:eastAsia="Times New Roman" w:hAnsi="Cambria Math"/>
              <w:sz w:val="22"/>
              <w:lang w:val="en-GB" w:eastAsia="fr-BE"/>
            </w:rPr>
            <m:t xml:space="preserve"> x 100</m:t>
          </m:r>
        </m:oMath>
      </m:oMathPara>
    </w:p>
    <w:p w14:paraId="0D554F0F" w14:textId="77777777" w:rsidR="00CC5520" w:rsidRPr="00EC0673" w:rsidRDefault="00CC5520" w:rsidP="00EC0673">
      <w:pPr>
        <w:ind w:left="851"/>
        <w:rPr>
          <w:sz w:val="24"/>
          <w:szCs w:val="24"/>
          <w:lang w:val="en-GB" w:eastAsia="fr-BE"/>
        </w:rPr>
      </w:pPr>
    </w:p>
    <w:p w14:paraId="1CC6B0A4" w14:textId="7FBA07ED" w:rsidR="00CC5520" w:rsidRPr="00110F7D" w:rsidRDefault="00EC0673" w:rsidP="00EC0673">
      <w:pPr>
        <w:ind w:left="1276" w:hanging="425"/>
        <w:rPr>
          <w:sz w:val="24"/>
          <w:szCs w:val="24"/>
          <w:lang w:val="en-GB" w:eastAsia="fr-BE"/>
        </w:rPr>
      </w:pPr>
      <w:r>
        <w:rPr>
          <w:sz w:val="24"/>
          <w:szCs w:val="24"/>
          <w:lang w:val="en-GB" w:eastAsia="fr-BE"/>
        </w:rPr>
        <w:t xml:space="preserve">b. </w:t>
      </w:r>
      <w:r>
        <w:rPr>
          <w:sz w:val="24"/>
          <w:szCs w:val="24"/>
          <w:lang w:val="en-GB" w:eastAsia="fr-BE"/>
        </w:rPr>
        <w:tab/>
      </w:r>
      <w:r w:rsidR="00CC5520" w:rsidRPr="00110F7D">
        <w:rPr>
          <w:sz w:val="24"/>
          <w:szCs w:val="24"/>
          <w:lang w:val="en-GB" w:eastAsia="fr-BE"/>
        </w:rPr>
        <w:t>Scanning technique:</w:t>
      </w:r>
    </w:p>
    <w:p w14:paraId="0D735448" w14:textId="77777777" w:rsidR="00CC5520" w:rsidRPr="00110F7D" w:rsidRDefault="00CC5520" w:rsidP="00EC0673">
      <w:pPr>
        <w:ind w:left="1276"/>
        <w:rPr>
          <w:sz w:val="24"/>
          <w:szCs w:val="24"/>
          <w:lang w:val="en-GB" w:eastAsia="fr-BE"/>
        </w:rPr>
      </w:pPr>
      <w:r w:rsidRPr="00110F7D">
        <w:rPr>
          <w:sz w:val="24"/>
          <w:szCs w:val="24"/>
          <w:lang w:val="en-GB" w:eastAsia="fr-BE"/>
        </w:rPr>
        <w:t xml:space="preserve">Scan the </w:t>
      </w:r>
      <w:proofErr w:type="spellStart"/>
      <w:r w:rsidRPr="00110F7D">
        <w:rPr>
          <w:sz w:val="24"/>
          <w:szCs w:val="24"/>
          <w:lang w:val="en-GB" w:eastAsia="fr-BE"/>
        </w:rPr>
        <w:t>iTLC</w:t>
      </w:r>
      <w:proofErr w:type="spellEnd"/>
      <w:r w:rsidRPr="00110F7D">
        <w:rPr>
          <w:sz w:val="24"/>
          <w:szCs w:val="24"/>
          <w:lang w:val="en-GB" w:eastAsia="fr-BE"/>
        </w:rPr>
        <w:t xml:space="preserve"> SG strip with a radiometric </w:t>
      </w:r>
      <w:proofErr w:type="spellStart"/>
      <w:r w:rsidRPr="00110F7D">
        <w:rPr>
          <w:sz w:val="24"/>
          <w:szCs w:val="24"/>
          <w:lang w:val="en-GB" w:eastAsia="fr-BE"/>
        </w:rPr>
        <w:t>iTLC</w:t>
      </w:r>
      <w:proofErr w:type="spellEnd"/>
      <w:r w:rsidRPr="00110F7D">
        <w:rPr>
          <w:sz w:val="24"/>
          <w:szCs w:val="24"/>
          <w:lang w:val="en-GB" w:eastAsia="fr-BE"/>
        </w:rPr>
        <w:t xml:space="preserve"> scanner.</w:t>
      </w:r>
    </w:p>
    <w:p w14:paraId="1C74F353" w14:textId="77777777" w:rsidR="00CC5520" w:rsidRPr="00110F7D" w:rsidRDefault="00CC5520" w:rsidP="00EC0673">
      <w:pPr>
        <w:ind w:left="1276"/>
        <w:rPr>
          <w:sz w:val="24"/>
          <w:szCs w:val="24"/>
          <w:lang w:val="en-GB" w:eastAsia="fr-BE"/>
        </w:rPr>
      </w:pPr>
      <w:r w:rsidRPr="00110F7D">
        <w:rPr>
          <w:sz w:val="24"/>
          <w:szCs w:val="24"/>
          <w:lang w:val="en-GB" w:eastAsia="fr-BE"/>
        </w:rPr>
        <w:t xml:space="preserve">Calculate labelling efficiency by integration of the peaks on the chromatogram. </w:t>
      </w:r>
    </w:p>
    <w:p w14:paraId="4DA76E39" w14:textId="77777777" w:rsidR="00CC5520" w:rsidRPr="00110F7D" w:rsidRDefault="00CC5520" w:rsidP="00CC5520">
      <w:pPr>
        <w:ind w:left="851"/>
        <w:rPr>
          <w:sz w:val="24"/>
          <w:szCs w:val="24"/>
          <w:lang w:val="en-GB" w:eastAsia="fr-FR"/>
        </w:rPr>
      </w:pPr>
    </w:p>
    <w:p w14:paraId="2B3C6DF4" w14:textId="77777777" w:rsidR="00CC5520" w:rsidRPr="00110F7D" w:rsidRDefault="00CC5520" w:rsidP="00CC5520">
      <w:pPr>
        <w:ind w:left="851"/>
        <w:rPr>
          <w:sz w:val="24"/>
          <w:szCs w:val="24"/>
          <w:lang w:val="en-US" w:eastAsia="fr-FR"/>
        </w:rPr>
      </w:pPr>
      <w:r w:rsidRPr="00110F7D">
        <w:rPr>
          <w:sz w:val="24"/>
          <w:szCs w:val="24"/>
          <w:lang w:val="en-US" w:eastAsia="fr-FR"/>
        </w:rPr>
        <w:t>The retention factor (Rf) specifications are:</w:t>
      </w:r>
    </w:p>
    <w:p w14:paraId="4852FD09" w14:textId="77777777" w:rsidR="00CC5520" w:rsidRPr="00EC0673" w:rsidRDefault="00CC5520" w:rsidP="00EC0673">
      <w:pPr>
        <w:pStyle w:val="Listeafsnit"/>
        <w:numPr>
          <w:ilvl w:val="0"/>
          <w:numId w:val="33"/>
        </w:numPr>
        <w:spacing w:before="0" w:after="0"/>
        <w:ind w:left="1276" w:hanging="425"/>
        <w:jc w:val="left"/>
        <w:rPr>
          <w:rFonts w:ascii="Times New Roman" w:hAnsi="Times New Roman"/>
          <w:sz w:val="24"/>
          <w:szCs w:val="24"/>
          <w:lang w:val="en-US"/>
        </w:rPr>
      </w:pPr>
      <w:r w:rsidRPr="00EC0673">
        <w:rPr>
          <w:rFonts w:ascii="Times New Roman" w:hAnsi="Times New Roman"/>
          <w:sz w:val="24"/>
          <w:szCs w:val="24"/>
          <w:lang w:val="en-US"/>
        </w:rPr>
        <w:t>Free and colloidal gallium-68 species, Rf = 0 to 0.2</w:t>
      </w:r>
    </w:p>
    <w:p w14:paraId="32C2227B" w14:textId="77777777" w:rsidR="00CC5520" w:rsidRPr="00EC0673" w:rsidRDefault="00CC5520" w:rsidP="00EC0673">
      <w:pPr>
        <w:pStyle w:val="Listeafsnit"/>
        <w:numPr>
          <w:ilvl w:val="0"/>
          <w:numId w:val="33"/>
        </w:numPr>
        <w:spacing w:before="0" w:after="0"/>
        <w:ind w:left="1276" w:hanging="425"/>
        <w:jc w:val="left"/>
        <w:rPr>
          <w:rFonts w:ascii="Times New Roman" w:hAnsi="Times New Roman"/>
          <w:sz w:val="24"/>
          <w:szCs w:val="24"/>
          <w:lang w:val="en-US"/>
        </w:rPr>
      </w:pPr>
      <w:r w:rsidRPr="00EC0673">
        <w:rPr>
          <w:rFonts w:ascii="Times New Roman" w:hAnsi="Times New Roman"/>
          <w:sz w:val="24"/>
          <w:szCs w:val="24"/>
          <w:lang w:val="en-US"/>
        </w:rPr>
        <w:t>Gallium (</w:t>
      </w:r>
      <w:r w:rsidRPr="00EC0673">
        <w:rPr>
          <w:rFonts w:ascii="Times New Roman" w:hAnsi="Times New Roman"/>
          <w:sz w:val="24"/>
          <w:szCs w:val="24"/>
          <w:vertAlign w:val="superscript"/>
          <w:lang w:val="en-US"/>
        </w:rPr>
        <w:t>68</w:t>
      </w:r>
      <w:r w:rsidRPr="00EC0673">
        <w:rPr>
          <w:rFonts w:ascii="Times New Roman" w:hAnsi="Times New Roman"/>
          <w:sz w:val="24"/>
          <w:szCs w:val="24"/>
          <w:lang w:val="en-US"/>
        </w:rPr>
        <w:t xml:space="preserve">Ga) </w:t>
      </w:r>
      <w:proofErr w:type="spellStart"/>
      <w:r w:rsidRPr="00EC0673">
        <w:rPr>
          <w:rFonts w:ascii="Times New Roman" w:hAnsi="Times New Roman"/>
          <w:sz w:val="24"/>
          <w:szCs w:val="24"/>
          <w:lang w:val="en-US"/>
        </w:rPr>
        <w:t>gozetotide</w:t>
      </w:r>
      <w:proofErr w:type="spellEnd"/>
      <w:r w:rsidRPr="00EC0673">
        <w:rPr>
          <w:rFonts w:ascii="Times New Roman" w:hAnsi="Times New Roman"/>
          <w:sz w:val="24"/>
          <w:szCs w:val="24"/>
          <w:lang w:val="en-US"/>
        </w:rPr>
        <w:t>, Rf = 0.8 to 1.0</w:t>
      </w:r>
    </w:p>
    <w:p w14:paraId="5CB184D9" w14:textId="77777777" w:rsidR="00CC5520" w:rsidRPr="00110F7D" w:rsidRDefault="00CC5520" w:rsidP="00CC5520">
      <w:pPr>
        <w:ind w:left="851"/>
        <w:rPr>
          <w:sz w:val="24"/>
          <w:szCs w:val="24"/>
          <w:lang w:val="en-GB" w:eastAsia="fr-BE"/>
        </w:rPr>
      </w:pPr>
    </w:p>
    <w:p w14:paraId="21427391" w14:textId="77777777" w:rsidR="00CC5520" w:rsidRPr="00110F7D" w:rsidRDefault="00CC5520" w:rsidP="00CC5520">
      <w:pPr>
        <w:ind w:left="851"/>
        <w:rPr>
          <w:i/>
          <w:iCs/>
          <w:sz w:val="24"/>
          <w:szCs w:val="24"/>
          <w:u w:val="single"/>
          <w:lang w:val="en-GB" w:eastAsia="en-US"/>
        </w:rPr>
      </w:pPr>
      <w:r w:rsidRPr="00110F7D">
        <w:rPr>
          <w:i/>
          <w:iCs/>
          <w:sz w:val="24"/>
          <w:szCs w:val="24"/>
          <w:u w:val="single"/>
        </w:rPr>
        <w:t>Step 4: Administration</w:t>
      </w:r>
    </w:p>
    <w:p w14:paraId="0D584963" w14:textId="77777777" w:rsidR="00CC5520" w:rsidRPr="00110F7D" w:rsidRDefault="00CC5520" w:rsidP="00CC5520">
      <w:pPr>
        <w:ind w:left="851"/>
        <w:rPr>
          <w:i/>
          <w:iCs/>
          <w:sz w:val="24"/>
          <w:szCs w:val="24"/>
          <w:u w:val="single"/>
        </w:rPr>
      </w:pPr>
    </w:p>
    <w:p w14:paraId="0F0407ED" w14:textId="77777777" w:rsidR="00CC5520" w:rsidRPr="00EC0673" w:rsidRDefault="00CC5520" w:rsidP="00EC0673">
      <w:pPr>
        <w:pStyle w:val="Listeafsnit"/>
        <w:numPr>
          <w:ilvl w:val="0"/>
          <w:numId w:val="34"/>
        </w:numPr>
        <w:spacing w:before="0" w:after="0"/>
        <w:ind w:left="1276" w:hanging="425"/>
        <w:jc w:val="left"/>
        <w:rPr>
          <w:rFonts w:ascii="Times New Roman" w:hAnsi="Times New Roman"/>
          <w:sz w:val="24"/>
          <w:szCs w:val="24"/>
          <w:lang w:val="en-US"/>
        </w:rPr>
      </w:pPr>
      <w:r w:rsidRPr="00EC0673">
        <w:rPr>
          <w:rFonts w:ascii="Times New Roman" w:hAnsi="Times New Roman"/>
          <w:sz w:val="24"/>
          <w:szCs w:val="24"/>
          <w:lang w:val="en-US"/>
        </w:rPr>
        <w:t>Aseptic technique and radiation shielding should be used when withdrawing and administering gallium (</w:t>
      </w:r>
      <w:r w:rsidRPr="00EC0673">
        <w:rPr>
          <w:rFonts w:ascii="Times New Roman" w:hAnsi="Times New Roman"/>
          <w:sz w:val="24"/>
          <w:szCs w:val="24"/>
          <w:vertAlign w:val="superscript"/>
          <w:lang w:val="en-US"/>
        </w:rPr>
        <w:t>68</w:t>
      </w:r>
      <w:r w:rsidRPr="00EC0673">
        <w:rPr>
          <w:rFonts w:ascii="Times New Roman" w:hAnsi="Times New Roman"/>
          <w:sz w:val="24"/>
          <w:szCs w:val="24"/>
          <w:lang w:val="en-US"/>
        </w:rPr>
        <w:t xml:space="preserve">Ga) </w:t>
      </w:r>
      <w:proofErr w:type="spellStart"/>
      <w:r w:rsidRPr="00EC0673">
        <w:rPr>
          <w:rFonts w:ascii="Times New Roman" w:hAnsi="Times New Roman"/>
          <w:sz w:val="24"/>
          <w:szCs w:val="24"/>
          <w:lang w:val="en-US"/>
        </w:rPr>
        <w:t>gozetotide</w:t>
      </w:r>
      <w:proofErr w:type="spellEnd"/>
      <w:r w:rsidRPr="00EC0673">
        <w:rPr>
          <w:rFonts w:ascii="Times New Roman" w:hAnsi="Times New Roman"/>
          <w:sz w:val="24"/>
          <w:szCs w:val="24"/>
          <w:lang w:val="en-US"/>
        </w:rPr>
        <w:t xml:space="preserve"> solution for injection.</w:t>
      </w:r>
    </w:p>
    <w:p w14:paraId="28B0C1FA" w14:textId="77777777" w:rsidR="00CC5520" w:rsidRPr="00EC0673" w:rsidRDefault="00CC5520" w:rsidP="00EC0673">
      <w:pPr>
        <w:pStyle w:val="Listeafsnit"/>
        <w:numPr>
          <w:ilvl w:val="0"/>
          <w:numId w:val="34"/>
        </w:numPr>
        <w:spacing w:before="0" w:after="0"/>
        <w:ind w:left="1276" w:hanging="425"/>
        <w:jc w:val="left"/>
        <w:rPr>
          <w:rFonts w:ascii="Times New Roman" w:hAnsi="Times New Roman"/>
          <w:sz w:val="24"/>
          <w:szCs w:val="24"/>
          <w:lang w:val="en-US"/>
        </w:rPr>
      </w:pPr>
      <w:r w:rsidRPr="00EC0673">
        <w:rPr>
          <w:rFonts w:ascii="Times New Roman" w:hAnsi="Times New Roman"/>
          <w:sz w:val="24"/>
          <w:szCs w:val="24"/>
          <w:lang w:val="en-US"/>
        </w:rPr>
        <w:t>Prior to use, visually inspect the prepared gallium (</w:t>
      </w:r>
      <w:r w:rsidRPr="00EC0673">
        <w:rPr>
          <w:rFonts w:ascii="Times New Roman" w:hAnsi="Times New Roman"/>
          <w:sz w:val="24"/>
          <w:szCs w:val="24"/>
          <w:vertAlign w:val="superscript"/>
          <w:lang w:val="en-US"/>
        </w:rPr>
        <w:t>68</w:t>
      </w:r>
      <w:r w:rsidRPr="00EC0673">
        <w:rPr>
          <w:rFonts w:ascii="Times New Roman" w:hAnsi="Times New Roman"/>
          <w:sz w:val="24"/>
          <w:szCs w:val="24"/>
          <w:lang w:val="en-US"/>
        </w:rPr>
        <w:t xml:space="preserve">Ga) </w:t>
      </w:r>
      <w:proofErr w:type="spellStart"/>
      <w:r w:rsidRPr="00EC0673">
        <w:rPr>
          <w:rFonts w:ascii="Times New Roman" w:hAnsi="Times New Roman"/>
          <w:sz w:val="24"/>
          <w:szCs w:val="24"/>
          <w:lang w:val="en-US"/>
        </w:rPr>
        <w:t>gozetotide</w:t>
      </w:r>
      <w:proofErr w:type="spellEnd"/>
      <w:r w:rsidRPr="00EC0673">
        <w:rPr>
          <w:rFonts w:ascii="Times New Roman" w:hAnsi="Times New Roman"/>
          <w:sz w:val="24"/>
          <w:szCs w:val="24"/>
          <w:lang w:val="en-US"/>
        </w:rPr>
        <w:t xml:space="preserve"> solution for injection behind a lead glass shield for radioprotection purposes. Only solutions that are clear, </w:t>
      </w:r>
      <w:proofErr w:type="spellStart"/>
      <w:r w:rsidRPr="00EC0673">
        <w:rPr>
          <w:rFonts w:ascii="Times New Roman" w:hAnsi="Times New Roman"/>
          <w:sz w:val="24"/>
          <w:szCs w:val="24"/>
          <w:lang w:val="en-US"/>
        </w:rPr>
        <w:t>colourless</w:t>
      </w:r>
      <w:proofErr w:type="spellEnd"/>
      <w:r w:rsidRPr="00EC0673">
        <w:rPr>
          <w:rFonts w:ascii="Times New Roman" w:hAnsi="Times New Roman"/>
          <w:sz w:val="24"/>
          <w:szCs w:val="24"/>
          <w:lang w:val="en-US"/>
        </w:rPr>
        <w:t xml:space="preserve"> and practically free from visible particles should be used.</w:t>
      </w:r>
    </w:p>
    <w:p w14:paraId="200E541C" w14:textId="77777777" w:rsidR="00CC5520" w:rsidRPr="00EC0673" w:rsidRDefault="00CC5520" w:rsidP="00EC0673">
      <w:pPr>
        <w:pStyle w:val="Listeafsnit"/>
        <w:numPr>
          <w:ilvl w:val="0"/>
          <w:numId w:val="34"/>
        </w:numPr>
        <w:spacing w:before="0" w:after="0"/>
        <w:ind w:left="1276" w:hanging="425"/>
        <w:jc w:val="left"/>
        <w:rPr>
          <w:rFonts w:ascii="Times New Roman" w:hAnsi="Times New Roman"/>
          <w:sz w:val="24"/>
          <w:szCs w:val="24"/>
          <w:lang w:val="en-US"/>
        </w:rPr>
      </w:pPr>
      <w:r w:rsidRPr="00EC0673">
        <w:rPr>
          <w:rFonts w:ascii="Times New Roman" w:hAnsi="Times New Roman"/>
          <w:sz w:val="24"/>
          <w:szCs w:val="24"/>
          <w:lang w:val="en-US"/>
        </w:rPr>
        <w:t>Using a single-dose syringe fitted with a sterile needle and protective shielding, aseptically withdraw the prepared gallium (</w:t>
      </w:r>
      <w:r w:rsidRPr="00EC0673">
        <w:rPr>
          <w:rFonts w:ascii="Times New Roman" w:hAnsi="Times New Roman"/>
          <w:sz w:val="24"/>
          <w:szCs w:val="24"/>
          <w:vertAlign w:val="superscript"/>
          <w:lang w:val="en-US"/>
        </w:rPr>
        <w:t>68</w:t>
      </w:r>
      <w:r w:rsidRPr="00EC0673">
        <w:rPr>
          <w:rFonts w:ascii="Times New Roman" w:hAnsi="Times New Roman"/>
          <w:sz w:val="24"/>
          <w:szCs w:val="24"/>
          <w:lang w:val="en-US"/>
        </w:rPr>
        <w:t xml:space="preserve">Ga) </w:t>
      </w:r>
      <w:proofErr w:type="spellStart"/>
      <w:r w:rsidRPr="00EC0673">
        <w:rPr>
          <w:rFonts w:ascii="Times New Roman" w:hAnsi="Times New Roman"/>
          <w:sz w:val="24"/>
          <w:szCs w:val="24"/>
          <w:lang w:val="en-US"/>
        </w:rPr>
        <w:t>gozetotide</w:t>
      </w:r>
      <w:proofErr w:type="spellEnd"/>
      <w:r w:rsidRPr="00EC0673">
        <w:rPr>
          <w:rFonts w:ascii="Times New Roman" w:hAnsi="Times New Roman"/>
          <w:sz w:val="24"/>
          <w:szCs w:val="24"/>
          <w:lang w:val="en-US"/>
        </w:rPr>
        <w:t xml:space="preserve"> solution for injection prior to administration.</w:t>
      </w:r>
    </w:p>
    <w:p w14:paraId="60BD8A2A" w14:textId="77777777" w:rsidR="00CC5520" w:rsidRPr="00EC0673" w:rsidRDefault="00CC5520" w:rsidP="00EC0673">
      <w:pPr>
        <w:pStyle w:val="Listeafsnit"/>
        <w:numPr>
          <w:ilvl w:val="0"/>
          <w:numId w:val="34"/>
        </w:numPr>
        <w:spacing w:before="0" w:after="0"/>
        <w:ind w:left="1276" w:hanging="425"/>
        <w:jc w:val="left"/>
        <w:rPr>
          <w:rFonts w:ascii="Times New Roman" w:hAnsi="Times New Roman"/>
          <w:sz w:val="24"/>
          <w:szCs w:val="24"/>
          <w:lang w:val="en-US"/>
        </w:rPr>
      </w:pPr>
      <w:r w:rsidRPr="00EC0673">
        <w:rPr>
          <w:rFonts w:ascii="Times New Roman" w:hAnsi="Times New Roman"/>
          <w:sz w:val="24"/>
          <w:szCs w:val="24"/>
          <w:lang w:val="en-US"/>
        </w:rPr>
        <w:t>The total radioactivity in the syringe should be verified with a dose calibrator immediately before and after gallium (</w:t>
      </w:r>
      <w:r w:rsidRPr="00EC0673">
        <w:rPr>
          <w:rFonts w:ascii="Times New Roman" w:hAnsi="Times New Roman"/>
          <w:sz w:val="24"/>
          <w:szCs w:val="24"/>
          <w:vertAlign w:val="superscript"/>
          <w:lang w:val="en-US"/>
        </w:rPr>
        <w:t>68</w:t>
      </w:r>
      <w:r w:rsidRPr="00EC0673">
        <w:rPr>
          <w:rFonts w:ascii="Times New Roman" w:hAnsi="Times New Roman"/>
          <w:sz w:val="24"/>
          <w:szCs w:val="24"/>
          <w:lang w:val="en-US"/>
        </w:rPr>
        <w:t xml:space="preserve">Ga) </w:t>
      </w:r>
      <w:proofErr w:type="spellStart"/>
      <w:r w:rsidRPr="00EC0673">
        <w:rPr>
          <w:rFonts w:ascii="Times New Roman" w:hAnsi="Times New Roman"/>
          <w:sz w:val="24"/>
          <w:szCs w:val="24"/>
          <w:lang w:val="en-US"/>
        </w:rPr>
        <w:t>gozetotide</w:t>
      </w:r>
      <w:proofErr w:type="spellEnd"/>
      <w:r w:rsidRPr="00EC0673">
        <w:rPr>
          <w:rFonts w:ascii="Times New Roman" w:hAnsi="Times New Roman"/>
          <w:sz w:val="24"/>
          <w:szCs w:val="24"/>
          <w:lang w:val="en-US"/>
        </w:rPr>
        <w:t xml:space="preserve"> solution for injection administration to the patient. The dose calibrator must be calibrated and comply with international standards.</w:t>
      </w:r>
    </w:p>
    <w:p w14:paraId="7CCC40BD" w14:textId="74166013" w:rsidR="00562EA1" w:rsidRPr="00EC0673" w:rsidRDefault="00CC5520" w:rsidP="00EC0673">
      <w:pPr>
        <w:pStyle w:val="Listeafsnit"/>
        <w:numPr>
          <w:ilvl w:val="0"/>
          <w:numId w:val="34"/>
        </w:numPr>
        <w:spacing w:before="0" w:after="0"/>
        <w:ind w:left="1276" w:hanging="425"/>
        <w:jc w:val="left"/>
        <w:rPr>
          <w:rFonts w:ascii="Times New Roman" w:hAnsi="Times New Roman"/>
          <w:sz w:val="24"/>
          <w:szCs w:val="24"/>
          <w:lang w:val="en-US"/>
        </w:rPr>
      </w:pPr>
      <w:r w:rsidRPr="00EC0673">
        <w:rPr>
          <w:rFonts w:ascii="Times New Roman" w:hAnsi="Times New Roman"/>
          <w:sz w:val="24"/>
          <w:szCs w:val="24"/>
          <w:lang w:val="en-US"/>
        </w:rPr>
        <w:t>Radioactive waste must be disposed of in accordance with relevant national regulations.</w:t>
      </w:r>
    </w:p>
    <w:sectPr w:rsidR="00562EA1" w:rsidRPr="00EC0673" w:rsidSect="004A3BF4">
      <w:headerReference w:type="even" r:id="rId9"/>
      <w:headerReference w:type="default" r:id="rId10"/>
      <w:footerReference w:type="even" r:id="rId11"/>
      <w:footerReference w:type="default" r:id="rId12"/>
      <w:headerReference w:type="first" r:id="rId13"/>
      <w:footerReference w:type="first" r:id="rId14"/>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D6E88" w14:textId="77777777" w:rsidR="00110F7D" w:rsidRDefault="00110F7D">
      <w:r>
        <w:separator/>
      </w:r>
    </w:p>
  </w:endnote>
  <w:endnote w:type="continuationSeparator" w:id="0">
    <w:p w14:paraId="54A3C0D1" w14:textId="77777777" w:rsidR="00110F7D" w:rsidRDefault="00110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FA9E2" w14:textId="77777777" w:rsidR="00110F7D" w:rsidRDefault="00110F7D">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E4C06" w14:textId="77777777" w:rsidR="00110F7D" w:rsidRDefault="00110F7D">
    <w:pPr>
      <w:pStyle w:val="Sidefod"/>
      <w:pBdr>
        <w:bottom w:val="single" w:sz="6" w:space="1" w:color="auto"/>
      </w:pBdr>
    </w:pPr>
  </w:p>
  <w:p w14:paraId="7FF779B9" w14:textId="77777777" w:rsidR="00110F7D" w:rsidRDefault="00110F7D">
    <w:pPr>
      <w:pStyle w:val="Sidefod"/>
      <w:tabs>
        <w:tab w:val="clear" w:pos="4819"/>
        <w:tab w:val="left" w:pos="8647"/>
      </w:tabs>
      <w:rPr>
        <w:i/>
        <w:snapToGrid w:val="0"/>
        <w:sz w:val="18"/>
      </w:rPr>
    </w:pPr>
  </w:p>
  <w:p w14:paraId="5405BA2C" w14:textId="5F4770B6" w:rsidR="00110F7D" w:rsidRPr="00C47B20" w:rsidRDefault="00110F7D" w:rsidP="00AC033C">
    <w:pPr>
      <w:pStyle w:val="Sidefod"/>
      <w:tabs>
        <w:tab w:val="clear" w:pos="4819"/>
        <w:tab w:val="left" w:pos="8364"/>
      </w:tabs>
      <w:rPr>
        <w:i/>
        <w:sz w:val="18"/>
        <w:lang w:val="en-US"/>
      </w:rPr>
    </w:pPr>
    <w:r>
      <w:rPr>
        <w:i/>
        <w:snapToGrid w:val="0"/>
        <w:sz w:val="18"/>
      </w:rPr>
      <w:fldChar w:fldCharType="begin"/>
    </w:r>
    <w:r w:rsidRPr="00C47B20">
      <w:rPr>
        <w:i/>
        <w:snapToGrid w:val="0"/>
        <w:sz w:val="18"/>
        <w:lang w:val="en-US"/>
      </w:rPr>
      <w:instrText xml:space="preserve"> FILENAME </w:instrText>
    </w:r>
    <w:r>
      <w:rPr>
        <w:i/>
        <w:snapToGrid w:val="0"/>
        <w:sz w:val="18"/>
      </w:rPr>
      <w:fldChar w:fldCharType="separate"/>
    </w:r>
    <w:r w:rsidR="00C47B20" w:rsidRPr="00C47B20">
      <w:rPr>
        <w:i/>
        <w:noProof/>
        <w:snapToGrid w:val="0"/>
        <w:sz w:val="18"/>
        <w:lang w:val="en-US"/>
      </w:rPr>
      <w:t>Illuccix, kit for radiopharmaceutical preparation 25 micrograms.docx</w:t>
    </w:r>
    <w:r>
      <w:rPr>
        <w:i/>
        <w:snapToGrid w:val="0"/>
        <w:sz w:val="18"/>
      </w:rPr>
      <w:fldChar w:fldCharType="end"/>
    </w:r>
    <w:r w:rsidRPr="00C47B20">
      <w:rPr>
        <w:i/>
        <w:snapToGrid w:val="0"/>
        <w:sz w:val="18"/>
        <w:lang w:val="en-US"/>
      </w:rPr>
      <w:tab/>
      <w:t xml:space="preserve">Page </w:t>
    </w:r>
    <w:r>
      <w:rPr>
        <w:i/>
        <w:snapToGrid w:val="0"/>
        <w:sz w:val="18"/>
      </w:rPr>
      <w:fldChar w:fldCharType="begin"/>
    </w:r>
    <w:r w:rsidRPr="00C47B20">
      <w:rPr>
        <w:i/>
        <w:snapToGrid w:val="0"/>
        <w:sz w:val="18"/>
        <w:lang w:val="en-US"/>
      </w:rPr>
      <w:instrText xml:space="preserve"> PAGE </w:instrText>
    </w:r>
    <w:r>
      <w:rPr>
        <w:i/>
        <w:snapToGrid w:val="0"/>
        <w:sz w:val="18"/>
      </w:rPr>
      <w:fldChar w:fldCharType="separate"/>
    </w:r>
    <w:r w:rsidRPr="00C47B20">
      <w:rPr>
        <w:i/>
        <w:noProof/>
        <w:snapToGrid w:val="0"/>
        <w:sz w:val="18"/>
        <w:lang w:val="en-US"/>
      </w:rPr>
      <w:t>1</w:t>
    </w:r>
    <w:r>
      <w:rPr>
        <w:i/>
        <w:snapToGrid w:val="0"/>
        <w:sz w:val="18"/>
      </w:rPr>
      <w:fldChar w:fldCharType="end"/>
    </w:r>
    <w:r w:rsidRPr="00C47B20">
      <w:rPr>
        <w:i/>
        <w:snapToGrid w:val="0"/>
        <w:sz w:val="18"/>
        <w:lang w:val="en-US"/>
      </w:rPr>
      <w:t xml:space="preserve"> of </w:t>
    </w:r>
    <w:r>
      <w:rPr>
        <w:i/>
        <w:snapToGrid w:val="0"/>
        <w:sz w:val="18"/>
      </w:rPr>
      <w:fldChar w:fldCharType="begin"/>
    </w:r>
    <w:r w:rsidRPr="00C47B20">
      <w:rPr>
        <w:i/>
        <w:snapToGrid w:val="0"/>
        <w:sz w:val="18"/>
        <w:lang w:val="en-US"/>
      </w:rPr>
      <w:instrText xml:space="preserve"> NUMPAGES </w:instrText>
    </w:r>
    <w:r>
      <w:rPr>
        <w:i/>
        <w:snapToGrid w:val="0"/>
        <w:sz w:val="18"/>
      </w:rPr>
      <w:fldChar w:fldCharType="separate"/>
    </w:r>
    <w:r w:rsidRPr="00C47B20">
      <w:rPr>
        <w:i/>
        <w:noProof/>
        <w:snapToGrid w:val="0"/>
        <w:sz w:val="18"/>
        <w:lang w:val="en-US"/>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DC617" w14:textId="77777777" w:rsidR="00110F7D" w:rsidRDefault="00110F7D">
    <w:pPr>
      <w:pStyle w:val="Sidefod"/>
      <w:pBdr>
        <w:bottom w:val="single" w:sz="6" w:space="1" w:color="auto"/>
      </w:pBdr>
      <w:tabs>
        <w:tab w:val="clear" w:pos="4819"/>
        <w:tab w:val="left" w:pos="8789"/>
      </w:tabs>
      <w:rPr>
        <w:i/>
        <w:snapToGrid w:val="0"/>
        <w:sz w:val="18"/>
      </w:rPr>
    </w:pPr>
  </w:p>
  <w:p w14:paraId="4A55644E" w14:textId="77777777" w:rsidR="00110F7D" w:rsidRDefault="00110F7D">
    <w:pPr>
      <w:pStyle w:val="Sidefod"/>
      <w:tabs>
        <w:tab w:val="clear" w:pos="4819"/>
        <w:tab w:val="left" w:pos="8789"/>
      </w:tabs>
      <w:rPr>
        <w:i/>
        <w:snapToGrid w:val="0"/>
        <w:sz w:val="18"/>
      </w:rPr>
    </w:pPr>
  </w:p>
  <w:p w14:paraId="48F5D93B" w14:textId="0B9E4ABD" w:rsidR="00110F7D" w:rsidRPr="00C47B20" w:rsidRDefault="00110F7D">
    <w:pPr>
      <w:pStyle w:val="Sidefod"/>
      <w:tabs>
        <w:tab w:val="clear" w:pos="4819"/>
        <w:tab w:val="left" w:pos="8647"/>
      </w:tabs>
      <w:rPr>
        <w:i/>
        <w:sz w:val="18"/>
        <w:lang w:val="en-US"/>
      </w:rPr>
    </w:pPr>
    <w:r>
      <w:rPr>
        <w:i/>
        <w:snapToGrid w:val="0"/>
        <w:sz w:val="18"/>
      </w:rPr>
      <w:fldChar w:fldCharType="begin"/>
    </w:r>
    <w:r w:rsidRPr="00C47B20">
      <w:rPr>
        <w:i/>
        <w:snapToGrid w:val="0"/>
        <w:sz w:val="18"/>
        <w:lang w:val="en-US"/>
      </w:rPr>
      <w:instrText xml:space="preserve"> FILENAME </w:instrText>
    </w:r>
    <w:r>
      <w:rPr>
        <w:i/>
        <w:snapToGrid w:val="0"/>
        <w:sz w:val="18"/>
      </w:rPr>
      <w:fldChar w:fldCharType="separate"/>
    </w:r>
    <w:r w:rsidR="00C47B20" w:rsidRPr="00C47B20">
      <w:rPr>
        <w:i/>
        <w:noProof/>
        <w:snapToGrid w:val="0"/>
        <w:sz w:val="18"/>
        <w:lang w:val="en-US"/>
      </w:rPr>
      <w:t>Illuccix, kit for radiopharmaceutical preparation 25 micrograms.docx</w:t>
    </w:r>
    <w:r>
      <w:rPr>
        <w:i/>
        <w:snapToGrid w:val="0"/>
        <w:sz w:val="18"/>
      </w:rPr>
      <w:fldChar w:fldCharType="end"/>
    </w:r>
    <w:r w:rsidRPr="00C47B20">
      <w:rPr>
        <w:i/>
        <w:snapToGrid w:val="0"/>
        <w:sz w:val="18"/>
        <w:lang w:val="en-US"/>
      </w:rPr>
      <w:tab/>
      <w:t xml:space="preserve">Page </w:t>
    </w:r>
    <w:r>
      <w:rPr>
        <w:i/>
        <w:snapToGrid w:val="0"/>
        <w:sz w:val="18"/>
      </w:rPr>
      <w:fldChar w:fldCharType="begin"/>
    </w:r>
    <w:r w:rsidRPr="00C47B20">
      <w:rPr>
        <w:i/>
        <w:snapToGrid w:val="0"/>
        <w:sz w:val="18"/>
        <w:lang w:val="en-US"/>
      </w:rPr>
      <w:instrText xml:space="preserve"> PAGE </w:instrText>
    </w:r>
    <w:r>
      <w:rPr>
        <w:i/>
        <w:snapToGrid w:val="0"/>
        <w:sz w:val="18"/>
      </w:rPr>
      <w:fldChar w:fldCharType="separate"/>
    </w:r>
    <w:r w:rsidRPr="00C47B20">
      <w:rPr>
        <w:i/>
        <w:noProof/>
        <w:snapToGrid w:val="0"/>
        <w:sz w:val="18"/>
        <w:lang w:val="en-US"/>
      </w:rPr>
      <w:t>1</w:t>
    </w:r>
    <w:r>
      <w:rPr>
        <w:i/>
        <w:snapToGrid w:val="0"/>
        <w:sz w:val="18"/>
      </w:rPr>
      <w:fldChar w:fldCharType="end"/>
    </w:r>
    <w:r w:rsidRPr="00C47B20">
      <w:rPr>
        <w:i/>
        <w:snapToGrid w:val="0"/>
        <w:sz w:val="18"/>
        <w:lang w:val="en-US"/>
      </w:rPr>
      <w:t xml:space="preserve"> of </w:t>
    </w:r>
    <w:r>
      <w:rPr>
        <w:i/>
        <w:snapToGrid w:val="0"/>
        <w:sz w:val="18"/>
      </w:rPr>
      <w:fldChar w:fldCharType="begin"/>
    </w:r>
    <w:r w:rsidRPr="00C47B20">
      <w:rPr>
        <w:i/>
        <w:snapToGrid w:val="0"/>
        <w:sz w:val="18"/>
        <w:lang w:val="en-US"/>
      </w:rPr>
      <w:instrText xml:space="preserve"> NUMPAGES </w:instrText>
    </w:r>
    <w:r>
      <w:rPr>
        <w:i/>
        <w:snapToGrid w:val="0"/>
        <w:sz w:val="18"/>
      </w:rPr>
      <w:fldChar w:fldCharType="separate"/>
    </w:r>
    <w:r w:rsidRPr="00C47B20">
      <w:rPr>
        <w:i/>
        <w:noProof/>
        <w:snapToGrid w:val="0"/>
        <w:sz w:val="18"/>
        <w:lang w:val="en-US"/>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47ECAF" w14:textId="77777777" w:rsidR="00110F7D" w:rsidRDefault="00110F7D">
      <w:r>
        <w:separator/>
      </w:r>
    </w:p>
  </w:footnote>
  <w:footnote w:type="continuationSeparator" w:id="0">
    <w:p w14:paraId="11452DA6" w14:textId="77777777" w:rsidR="00110F7D" w:rsidRDefault="00110F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E20F3" w14:textId="77777777" w:rsidR="00110F7D" w:rsidRDefault="00110F7D">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D9BA9" w14:textId="77777777" w:rsidR="00110F7D" w:rsidRDefault="00110F7D">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3F326" w14:textId="77777777" w:rsidR="00110F7D" w:rsidRDefault="00110F7D">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62B7C"/>
    <w:multiLevelType w:val="hybridMultilevel"/>
    <w:tmpl w:val="DFA669D2"/>
    <w:lvl w:ilvl="0" w:tplc="0406000F">
      <w:start w:val="1"/>
      <w:numFmt w:val="decimal"/>
      <w:lvlText w:val="%1."/>
      <w:lvlJc w:val="lef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1"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2"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3" w15:restartNumberingAfterBreak="0">
    <w:nsid w:val="07130139"/>
    <w:multiLevelType w:val="hybridMultilevel"/>
    <w:tmpl w:val="131EC2A0"/>
    <w:lvl w:ilvl="0" w:tplc="0406000F">
      <w:start w:val="1"/>
      <w:numFmt w:val="decimal"/>
      <w:lvlText w:val="%1."/>
      <w:lvlJc w:val="lef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4" w15:restartNumberingAfterBreak="0">
    <w:nsid w:val="0BE44FC0"/>
    <w:multiLevelType w:val="hybridMultilevel"/>
    <w:tmpl w:val="95F8BF56"/>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0DCC010D"/>
    <w:multiLevelType w:val="hybridMultilevel"/>
    <w:tmpl w:val="22DCAE24"/>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12015F72"/>
    <w:multiLevelType w:val="hybridMultilevel"/>
    <w:tmpl w:val="D61A662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7" w15:restartNumberingAfterBreak="0">
    <w:nsid w:val="14BC3345"/>
    <w:multiLevelType w:val="hybridMultilevel"/>
    <w:tmpl w:val="1722B1F0"/>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8"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04036E3"/>
    <w:multiLevelType w:val="hybridMultilevel"/>
    <w:tmpl w:val="E57C6D22"/>
    <w:lvl w:ilvl="0" w:tplc="0406000F">
      <w:start w:val="1"/>
      <w:numFmt w:val="decimal"/>
      <w:lvlText w:val="%1."/>
      <w:lvlJc w:val="lef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10" w15:restartNumberingAfterBreak="0">
    <w:nsid w:val="308F12C3"/>
    <w:multiLevelType w:val="hybridMultilevel"/>
    <w:tmpl w:val="EA7889E0"/>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1" w15:restartNumberingAfterBreak="0">
    <w:nsid w:val="32EA7BB4"/>
    <w:multiLevelType w:val="hybridMultilevel"/>
    <w:tmpl w:val="DD849D22"/>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2" w15:restartNumberingAfterBreak="0">
    <w:nsid w:val="36FC1A8A"/>
    <w:multiLevelType w:val="hybridMultilevel"/>
    <w:tmpl w:val="10AC0956"/>
    <w:lvl w:ilvl="0" w:tplc="2000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3E015FED"/>
    <w:multiLevelType w:val="hybridMultilevel"/>
    <w:tmpl w:val="8CE6E982"/>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4" w15:restartNumberingAfterBreak="0">
    <w:nsid w:val="3EF16D3B"/>
    <w:multiLevelType w:val="hybridMultilevel"/>
    <w:tmpl w:val="8946CBCA"/>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5" w15:restartNumberingAfterBreak="0">
    <w:nsid w:val="49B2643C"/>
    <w:multiLevelType w:val="hybridMultilevel"/>
    <w:tmpl w:val="410A6B4E"/>
    <w:lvl w:ilvl="0" w:tplc="0406000F">
      <w:start w:val="1"/>
      <w:numFmt w:val="decimal"/>
      <w:lvlText w:val="%1."/>
      <w:lvlJc w:val="lef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16" w15:restartNumberingAfterBreak="0">
    <w:nsid w:val="4FD02A95"/>
    <w:multiLevelType w:val="hybridMultilevel"/>
    <w:tmpl w:val="8EE0BFFC"/>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7" w15:restartNumberingAfterBreak="0">
    <w:nsid w:val="50261049"/>
    <w:multiLevelType w:val="hybridMultilevel"/>
    <w:tmpl w:val="E932D86A"/>
    <w:lvl w:ilvl="0" w:tplc="0406000F">
      <w:start w:val="1"/>
      <w:numFmt w:val="decimal"/>
      <w:lvlText w:val="%1."/>
      <w:lvlJc w:val="lef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18" w15:restartNumberingAfterBreak="0">
    <w:nsid w:val="51915E83"/>
    <w:multiLevelType w:val="hybridMultilevel"/>
    <w:tmpl w:val="3330327C"/>
    <w:lvl w:ilvl="0" w:tplc="0406000F">
      <w:start w:val="1"/>
      <w:numFmt w:val="decimal"/>
      <w:lvlText w:val="%1."/>
      <w:lvlJc w:val="lef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19" w15:restartNumberingAfterBreak="0">
    <w:nsid w:val="553A6685"/>
    <w:multiLevelType w:val="hybridMultilevel"/>
    <w:tmpl w:val="065C66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6CF0E6F"/>
    <w:multiLevelType w:val="hybridMultilevel"/>
    <w:tmpl w:val="BC4E9F72"/>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1" w15:restartNumberingAfterBreak="0">
    <w:nsid w:val="58A57835"/>
    <w:multiLevelType w:val="hybridMultilevel"/>
    <w:tmpl w:val="A08A7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AD614F7"/>
    <w:multiLevelType w:val="hybridMultilevel"/>
    <w:tmpl w:val="3B36041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3" w15:restartNumberingAfterBreak="0">
    <w:nsid w:val="5AE603C4"/>
    <w:multiLevelType w:val="hybridMultilevel"/>
    <w:tmpl w:val="5A80622A"/>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4" w15:restartNumberingAfterBreak="0">
    <w:nsid w:val="5B0B7DE0"/>
    <w:multiLevelType w:val="hybridMultilevel"/>
    <w:tmpl w:val="A9D8635C"/>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5"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26" w15:restartNumberingAfterBreak="0">
    <w:nsid w:val="6DD26CA4"/>
    <w:multiLevelType w:val="hybridMultilevel"/>
    <w:tmpl w:val="54802D04"/>
    <w:lvl w:ilvl="0" w:tplc="0406000F">
      <w:start w:val="1"/>
      <w:numFmt w:val="decimal"/>
      <w:lvlText w:val="%1."/>
      <w:lvlJc w:val="lef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27" w15:restartNumberingAfterBreak="0">
    <w:nsid w:val="6E37723F"/>
    <w:multiLevelType w:val="hybridMultilevel"/>
    <w:tmpl w:val="64D0E910"/>
    <w:lvl w:ilvl="0" w:tplc="0406000F">
      <w:start w:val="1"/>
      <w:numFmt w:val="decimal"/>
      <w:lvlText w:val="%1."/>
      <w:lvlJc w:val="lef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28" w15:restartNumberingAfterBreak="0">
    <w:nsid w:val="71BA4B8C"/>
    <w:multiLevelType w:val="hybridMultilevel"/>
    <w:tmpl w:val="19B46256"/>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9" w15:restartNumberingAfterBreak="0">
    <w:nsid w:val="730150E1"/>
    <w:multiLevelType w:val="hybridMultilevel"/>
    <w:tmpl w:val="8EE0BFF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76C70693"/>
    <w:multiLevelType w:val="hybridMultilevel"/>
    <w:tmpl w:val="4804351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76FF6F16"/>
    <w:multiLevelType w:val="hybridMultilevel"/>
    <w:tmpl w:val="CF7436EE"/>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2" w15:restartNumberingAfterBreak="0">
    <w:nsid w:val="77263771"/>
    <w:multiLevelType w:val="hybridMultilevel"/>
    <w:tmpl w:val="42C02704"/>
    <w:lvl w:ilvl="0" w:tplc="20000019">
      <w:start w:val="1"/>
      <w:numFmt w:val="lowerLetter"/>
      <w:lvlText w:val="%1."/>
      <w:lvlJc w:val="lef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num w:numId="1">
    <w:abstractNumId w:val="8"/>
  </w:num>
  <w:num w:numId="2">
    <w:abstractNumId w:val="1"/>
  </w:num>
  <w:num w:numId="3">
    <w:abstractNumId w:val="25"/>
  </w:num>
  <w:num w:numId="4">
    <w:abstractNumId w:val="2"/>
  </w:num>
  <w:num w:numId="5">
    <w:abstractNumId w:val="22"/>
  </w:num>
  <w:num w:numId="6">
    <w:abstractNumId w:val="21"/>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5"/>
  </w:num>
  <w:num w:numId="18">
    <w:abstractNumId w:val="24"/>
  </w:num>
  <w:num w:numId="19">
    <w:abstractNumId w:val="20"/>
  </w:num>
  <w:num w:numId="20">
    <w:abstractNumId w:val="11"/>
  </w:num>
  <w:num w:numId="21">
    <w:abstractNumId w:val="28"/>
  </w:num>
  <w:num w:numId="22">
    <w:abstractNumId w:val="23"/>
  </w:num>
  <w:num w:numId="23">
    <w:abstractNumId w:val="18"/>
  </w:num>
  <w:num w:numId="24">
    <w:abstractNumId w:val="26"/>
  </w:num>
  <w:num w:numId="25">
    <w:abstractNumId w:val="9"/>
  </w:num>
  <w:num w:numId="26">
    <w:abstractNumId w:val="0"/>
  </w:num>
  <w:num w:numId="27">
    <w:abstractNumId w:val="15"/>
  </w:num>
  <w:num w:numId="28">
    <w:abstractNumId w:val="17"/>
  </w:num>
  <w:num w:numId="29">
    <w:abstractNumId w:val="3"/>
  </w:num>
  <w:num w:numId="30">
    <w:abstractNumId w:val="27"/>
  </w:num>
  <w:num w:numId="31">
    <w:abstractNumId w:val="6"/>
  </w:num>
  <w:num w:numId="32">
    <w:abstractNumId w:val="32"/>
  </w:num>
  <w:num w:numId="33">
    <w:abstractNumId w:val="13"/>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314"/>
    <w:rsid w:val="000B20D0"/>
    <w:rsid w:val="000C3846"/>
    <w:rsid w:val="000C6218"/>
    <w:rsid w:val="000D3C9D"/>
    <w:rsid w:val="000F0D47"/>
    <w:rsid w:val="00110C04"/>
    <w:rsid w:val="00110F7D"/>
    <w:rsid w:val="00114971"/>
    <w:rsid w:val="001242DE"/>
    <w:rsid w:val="00180A12"/>
    <w:rsid w:val="001F7C8E"/>
    <w:rsid w:val="00202CD2"/>
    <w:rsid w:val="00214CF4"/>
    <w:rsid w:val="00281F03"/>
    <w:rsid w:val="0029458A"/>
    <w:rsid w:val="002B27C5"/>
    <w:rsid w:val="002D09ED"/>
    <w:rsid w:val="003511C5"/>
    <w:rsid w:val="00373B55"/>
    <w:rsid w:val="003D727E"/>
    <w:rsid w:val="003E0341"/>
    <w:rsid w:val="003E3402"/>
    <w:rsid w:val="003F4736"/>
    <w:rsid w:val="00401B49"/>
    <w:rsid w:val="004A3BF4"/>
    <w:rsid w:val="004A3E29"/>
    <w:rsid w:val="004A5DB3"/>
    <w:rsid w:val="005152D9"/>
    <w:rsid w:val="00520597"/>
    <w:rsid w:val="00533AD4"/>
    <w:rsid w:val="00534849"/>
    <w:rsid w:val="00555702"/>
    <w:rsid w:val="00560102"/>
    <w:rsid w:val="00562EA1"/>
    <w:rsid w:val="005A720E"/>
    <w:rsid w:val="00617BB8"/>
    <w:rsid w:val="00652442"/>
    <w:rsid w:val="00683267"/>
    <w:rsid w:val="00705CF5"/>
    <w:rsid w:val="007C3623"/>
    <w:rsid w:val="007C5D2A"/>
    <w:rsid w:val="007F1E00"/>
    <w:rsid w:val="008058C9"/>
    <w:rsid w:val="008400E3"/>
    <w:rsid w:val="00864538"/>
    <w:rsid w:val="00873B4F"/>
    <w:rsid w:val="008E51AE"/>
    <w:rsid w:val="00901068"/>
    <w:rsid w:val="00944A88"/>
    <w:rsid w:val="009925C9"/>
    <w:rsid w:val="00A14FFF"/>
    <w:rsid w:val="00A179D0"/>
    <w:rsid w:val="00A358A3"/>
    <w:rsid w:val="00A35A3F"/>
    <w:rsid w:val="00A85D26"/>
    <w:rsid w:val="00A9153A"/>
    <w:rsid w:val="00AC033C"/>
    <w:rsid w:val="00AF647B"/>
    <w:rsid w:val="00BB3240"/>
    <w:rsid w:val="00C3571D"/>
    <w:rsid w:val="00C47B20"/>
    <w:rsid w:val="00C54F0B"/>
    <w:rsid w:val="00C6264D"/>
    <w:rsid w:val="00CA68D2"/>
    <w:rsid w:val="00CB1423"/>
    <w:rsid w:val="00CC5520"/>
    <w:rsid w:val="00D02508"/>
    <w:rsid w:val="00D27234"/>
    <w:rsid w:val="00D778CC"/>
    <w:rsid w:val="00D82FE9"/>
    <w:rsid w:val="00D97B77"/>
    <w:rsid w:val="00DB6A85"/>
    <w:rsid w:val="00DC5A0A"/>
    <w:rsid w:val="00E1290F"/>
    <w:rsid w:val="00E36A80"/>
    <w:rsid w:val="00EB21D7"/>
    <w:rsid w:val="00EC0673"/>
    <w:rsid w:val="00ED2314"/>
    <w:rsid w:val="00EE3EB7"/>
    <w:rsid w:val="00F57E1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B4614"/>
  <w15:chartTrackingRefBased/>
  <w15:docId w15:val="{A4269BCC-0BB0-40F9-B53E-E4310974B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character" w:customStyle="1" w:styleId="ListeafsnitTegn">
    <w:name w:val="Listeafsnit Tegn"/>
    <w:link w:val="Listeafsnit"/>
    <w:uiPriority w:val="34"/>
    <w:locked/>
    <w:rsid w:val="00652442"/>
    <w:rPr>
      <w:rFonts w:ascii="Palatino Linotype" w:eastAsia="Calibri" w:hAnsi="Palatino Linotype"/>
      <w:sz w:val="14"/>
      <w:szCs w:val="22"/>
      <w:lang w:val="pt-PT" w:eastAsia="en-US"/>
    </w:rPr>
  </w:style>
  <w:style w:type="paragraph" w:styleId="Listeafsnit">
    <w:name w:val="List Paragraph"/>
    <w:basedOn w:val="Normal"/>
    <w:link w:val="ListeafsnitTegn"/>
    <w:uiPriority w:val="34"/>
    <w:qFormat/>
    <w:rsid w:val="00652442"/>
    <w:pPr>
      <w:spacing w:before="60" w:after="60"/>
      <w:ind w:left="720"/>
      <w:contextualSpacing/>
      <w:jc w:val="both"/>
    </w:pPr>
    <w:rPr>
      <w:rFonts w:ascii="Palatino Linotype" w:eastAsia="Calibri" w:hAnsi="Palatino Linotype"/>
      <w:sz w:val="14"/>
      <w:szCs w:val="22"/>
      <w:lang w:val="pt-PT" w:eastAsia="en-US"/>
    </w:rPr>
  </w:style>
  <w:style w:type="character" w:customStyle="1" w:styleId="normaltextrun">
    <w:name w:val="normaltextrun"/>
    <w:rsid w:val="00652442"/>
  </w:style>
  <w:style w:type="character" w:customStyle="1" w:styleId="contextualspellingandgrammarerror">
    <w:name w:val="contextualspellingandgrammarerror"/>
    <w:rsid w:val="00652442"/>
  </w:style>
  <w:style w:type="character" w:styleId="Hyperlink">
    <w:name w:val="Hyperlink"/>
    <w:semiHidden/>
    <w:unhideWhenUsed/>
    <w:rsid w:val="00652442"/>
    <w:rPr>
      <w:color w:val="0000FF"/>
      <w:u w:val="single"/>
    </w:rPr>
  </w:style>
  <w:style w:type="paragraph" w:styleId="Billedtekst">
    <w:name w:val="caption"/>
    <w:basedOn w:val="Normal"/>
    <w:next w:val="Normal"/>
    <w:uiPriority w:val="35"/>
    <w:semiHidden/>
    <w:unhideWhenUsed/>
    <w:qFormat/>
    <w:rsid w:val="00652442"/>
    <w:pPr>
      <w:spacing w:after="120" w:line="276" w:lineRule="auto"/>
    </w:pPr>
    <w:rPr>
      <w:rFonts w:ascii="Times New Roman Bold" w:eastAsia="Calibri" w:hAnsi="Times New Roman Bold"/>
      <w:b/>
      <w:iCs/>
      <w:color w:val="000000"/>
      <w:sz w:val="24"/>
      <w:szCs w:val="18"/>
      <w:lang w:val="en-US" w:eastAsia="en-US"/>
    </w:rPr>
  </w:style>
  <w:style w:type="paragraph" w:customStyle="1" w:styleId="paragraph">
    <w:name w:val="paragraph"/>
    <w:basedOn w:val="Normal"/>
    <w:rsid w:val="00652442"/>
    <w:pPr>
      <w:spacing w:before="100" w:beforeAutospacing="1" w:after="100" w:afterAutospacing="1"/>
    </w:pPr>
    <w:rPr>
      <w:sz w:val="24"/>
      <w:szCs w:val="24"/>
      <w:lang w:val="fr-BE" w:eastAsia="fr-FR"/>
    </w:rPr>
  </w:style>
  <w:style w:type="character" w:customStyle="1" w:styleId="eop">
    <w:name w:val="eop"/>
    <w:rsid w:val="00652442"/>
  </w:style>
  <w:style w:type="table" w:styleId="Tabel-Gitter">
    <w:name w:val="Table Grid"/>
    <w:basedOn w:val="Tabel-Normal"/>
    <w:rsid w:val="00652442"/>
    <w:rPr>
      <w:lang w:val="fr-BE" w:eastAsia="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632668">
      <w:bodyDiv w:val="1"/>
      <w:marLeft w:val="0"/>
      <w:marRight w:val="0"/>
      <w:marTop w:val="0"/>
      <w:marBottom w:val="0"/>
      <w:divBdr>
        <w:top w:val="none" w:sz="0" w:space="0" w:color="auto"/>
        <w:left w:val="none" w:sz="0" w:space="0" w:color="auto"/>
        <w:bottom w:val="none" w:sz="0" w:space="0" w:color="auto"/>
        <w:right w:val="none" w:sz="0" w:space="0" w:color="auto"/>
      </w:divBdr>
    </w:div>
    <w:div w:id="216284395">
      <w:bodyDiv w:val="1"/>
      <w:marLeft w:val="0"/>
      <w:marRight w:val="0"/>
      <w:marTop w:val="0"/>
      <w:marBottom w:val="0"/>
      <w:divBdr>
        <w:top w:val="none" w:sz="0" w:space="0" w:color="auto"/>
        <w:left w:val="none" w:sz="0" w:space="0" w:color="auto"/>
        <w:bottom w:val="none" w:sz="0" w:space="0" w:color="auto"/>
        <w:right w:val="none" w:sz="0" w:space="0" w:color="auto"/>
      </w:divBdr>
    </w:div>
    <w:div w:id="268008399">
      <w:bodyDiv w:val="1"/>
      <w:marLeft w:val="0"/>
      <w:marRight w:val="0"/>
      <w:marTop w:val="0"/>
      <w:marBottom w:val="0"/>
      <w:divBdr>
        <w:top w:val="none" w:sz="0" w:space="0" w:color="auto"/>
        <w:left w:val="none" w:sz="0" w:space="0" w:color="auto"/>
        <w:bottom w:val="none" w:sz="0" w:space="0" w:color="auto"/>
        <w:right w:val="none" w:sz="0" w:space="0" w:color="auto"/>
      </w:divBdr>
    </w:div>
    <w:div w:id="277104037">
      <w:bodyDiv w:val="1"/>
      <w:marLeft w:val="0"/>
      <w:marRight w:val="0"/>
      <w:marTop w:val="0"/>
      <w:marBottom w:val="0"/>
      <w:divBdr>
        <w:top w:val="none" w:sz="0" w:space="0" w:color="auto"/>
        <w:left w:val="none" w:sz="0" w:space="0" w:color="auto"/>
        <w:bottom w:val="none" w:sz="0" w:space="0" w:color="auto"/>
        <w:right w:val="none" w:sz="0" w:space="0" w:color="auto"/>
      </w:divBdr>
    </w:div>
    <w:div w:id="289290027">
      <w:bodyDiv w:val="1"/>
      <w:marLeft w:val="0"/>
      <w:marRight w:val="0"/>
      <w:marTop w:val="0"/>
      <w:marBottom w:val="0"/>
      <w:divBdr>
        <w:top w:val="none" w:sz="0" w:space="0" w:color="auto"/>
        <w:left w:val="none" w:sz="0" w:space="0" w:color="auto"/>
        <w:bottom w:val="none" w:sz="0" w:space="0" w:color="auto"/>
        <w:right w:val="none" w:sz="0" w:space="0" w:color="auto"/>
      </w:divBdr>
    </w:div>
    <w:div w:id="292954552">
      <w:bodyDiv w:val="1"/>
      <w:marLeft w:val="0"/>
      <w:marRight w:val="0"/>
      <w:marTop w:val="0"/>
      <w:marBottom w:val="0"/>
      <w:divBdr>
        <w:top w:val="none" w:sz="0" w:space="0" w:color="auto"/>
        <w:left w:val="none" w:sz="0" w:space="0" w:color="auto"/>
        <w:bottom w:val="none" w:sz="0" w:space="0" w:color="auto"/>
        <w:right w:val="none" w:sz="0" w:space="0" w:color="auto"/>
      </w:divBdr>
    </w:div>
    <w:div w:id="363021013">
      <w:bodyDiv w:val="1"/>
      <w:marLeft w:val="0"/>
      <w:marRight w:val="0"/>
      <w:marTop w:val="0"/>
      <w:marBottom w:val="0"/>
      <w:divBdr>
        <w:top w:val="none" w:sz="0" w:space="0" w:color="auto"/>
        <w:left w:val="none" w:sz="0" w:space="0" w:color="auto"/>
        <w:bottom w:val="none" w:sz="0" w:space="0" w:color="auto"/>
        <w:right w:val="none" w:sz="0" w:space="0" w:color="auto"/>
      </w:divBdr>
    </w:div>
    <w:div w:id="441344114">
      <w:bodyDiv w:val="1"/>
      <w:marLeft w:val="0"/>
      <w:marRight w:val="0"/>
      <w:marTop w:val="0"/>
      <w:marBottom w:val="0"/>
      <w:divBdr>
        <w:top w:val="none" w:sz="0" w:space="0" w:color="auto"/>
        <w:left w:val="none" w:sz="0" w:space="0" w:color="auto"/>
        <w:bottom w:val="none" w:sz="0" w:space="0" w:color="auto"/>
        <w:right w:val="none" w:sz="0" w:space="0" w:color="auto"/>
      </w:divBdr>
    </w:div>
    <w:div w:id="443036880">
      <w:bodyDiv w:val="1"/>
      <w:marLeft w:val="0"/>
      <w:marRight w:val="0"/>
      <w:marTop w:val="0"/>
      <w:marBottom w:val="0"/>
      <w:divBdr>
        <w:top w:val="none" w:sz="0" w:space="0" w:color="auto"/>
        <w:left w:val="none" w:sz="0" w:space="0" w:color="auto"/>
        <w:bottom w:val="none" w:sz="0" w:space="0" w:color="auto"/>
        <w:right w:val="none" w:sz="0" w:space="0" w:color="auto"/>
      </w:divBdr>
    </w:div>
    <w:div w:id="474644407">
      <w:bodyDiv w:val="1"/>
      <w:marLeft w:val="0"/>
      <w:marRight w:val="0"/>
      <w:marTop w:val="0"/>
      <w:marBottom w:val="0"/>
      <w:divBdr>
        <w:top w:val="none" w:sz="0" w:space="0" w:color="auto"/>
        <w:left w:val="none" w:sz="0" w:space="0" w:color="auto"/>
        <w:bottom w:val="none" w:sz="0" w:space="0" w:color="auto"/>
        <w:right w:val="none" w:sz="0" w:space="0" w:color="auto"/>
      </w:divBdr>
    </w:div>
    <w:div w:id="535586096">
      <w:bodyDiv w:val="1"/>
      <w:marLeft w:val="0"/>
      <w:marRight w:val="0"/>
      <w:marTop w:val="0"/>
      <w:marBottom w:val="0"/>
      <w:divBdr>
        <w:top w:val="none" w:sz="0" w:space="0" w:color="auto"/>
        <w:left w:val="none" w:sz="0" w:space="0" w:color="auto"/>
        <w:bottom w:val="none" w:sz="0" w:space="0" w:color="auto"/>
        <w:right w:val="none" w:sz="0" w:space="0" w:color="auto"/>
      </w:divBdr>
    </w:div>
    <w:div w:id="576742376">
      <w:bodyDiv w:val="1"/>
      <w:marLeft w:val="0"/>
      <w:marRight w:val="0"/>
      <w:marTop w:val="0"/>
      <w:marBottom w:val="0"/>
      <w:divBdr>
        <w:top w:val="none" w:sz="0" w:space="0" w:color="auto"/>
        <w:left w:val="none" w:sz="0" w:space="0" w:color="auto"/>
        <w:bottom w:val="none" w:sz="0" w:space="0" w:color="auto"/>
        <w:right w:val="none" w:sz="0" w:space="0" w:color="auto"/>
      </w:divBdr>
    </w:div>
    <w:div w:id="715279751">
      <w:bodyDiv w:val="1"/>
      <w:marLeft w:val="0"/>
      <w:marRight w:val="0"/>
      <w:marTop w:val="0"/>
      <w:marBottom w:val="0"/>
      <w:divBdr>
        <w:top w:val="none" w:sz="0" w:space="0" w:color="auto"/>
        <w:left w:val="none" w:sz="0" w:space="0" w:color="auto"/>
        <w:bottom w:val="none" w:sz="0" w:space="0" w:color="auto"/>
        <w:right w:val="none" w:sz="0" w:space="0" w:color="auto"/>
      </w:divBdr>
    </w:div>
    <w:div w:id="829060508">
      <w:bodyDiv w:val="1"/>
      <w:marLeft w:val="0"/>
      <w:marRight w:val="0"/>
      <w:marTop w:val="0"/>
      <w:marBottom w:val="0"/>
      <w:divBdr>
        <w:top w:val="none" w:sz="0" w:space="0" w:color="auto"/>
        <w:left w:val="none" w:sz="0" w:space="0" w:color="auto"/>
        <w:bottom w:val="none" w:sz="0" w:space="0" w:color="auto"/>
        <w:right w:val="none" w:sz="0" w:space="0" w:color="auto"/>
      </w:divBdr>
    </w:div>
    <w:div w:id="852382324">
      <w:bodyDiv w:val="1"/>
      <w:marLeft w:val="0"/>
      <w:marRight w:val="0"/>
      <w:marTop w:val="0"/>
      <w:marBottom w:val="0"/>
      <w:divBdr>
        <w:top w:val="none" w:sz="0" w:space="0" w:color="auto"/>
        <w:left w:val="none" w:sz="0" w:space="0" w:color="auto"/>
        <w:bottom w:val="none" w:sz="0" w:space="0" w:color="auto"/>
        <w:right w:val="none" w:sz="0" w:space="0" w:color="auto"/>
      </w:divBdr>
    </w:div>
    <w:div w:id="990409500">
      <w:bodyDiv w:val="1"/>
      <w:marLeft w:val="0"/>
      <w:marRight w:val="0"/>
      <w:marTop w:val="0"/>
      <w:marBottom w:val="0"/>
      <w:divBdr>
        <w:top w:val="none" w:sz="0" w:space="0" w:color="auto"/>
        <w:left w:val="none" w:sz="0" w:space="0" w:color="auto"/>
        <w:bottom w:val="none" w:sz="0" w:space="0" w:color="auto"/>
        <w:right w:val="none" w:sz="0" w:space="0" w:color="auto"/>
      </w:divBdr>
    </w:div>
    <w:div w:id="1050348697">
      <w:bodyDiv w:val="1"/>
      <w:marLeft w:val="0"/>
      <w:marRight w:val="0"/>
      <w:marTop w:val="0"/>
      <w:marBottom w:val="0"/>
      <w:divBdr>
        <w:top w:val="none" w:sz="0" w:space="0" w:color="auto"/>
        <w:left w:val="none" w:sz="0" w:space="0" w:color="auto"/>
        <w:bottom w:val="none" w:sz="0" w:space="0" w:color="auto"/>
        <w:right w:val="none" w:sz="0" w:space="0" w:color="auto"/>
      </w:divBdr>
    </w:div>
    <w:div w:id="1263535738">
      <w:bodyDiv w:val="1"/>
      <w:marLeft w:val="0"/>
      <w:marRight w:val="0"/>
      <w:marTop w:val="0"/>
      <w:marBottom w:val="0"/>
      <w:divBdr>
        <w:top w:val="none" w:sz="0" w:space="0" w:color="auto"/>
        <w:left w:val="none" w:sz="0" w:space="0" w:color="auto"/>
        <w:bottom w:val="none" w:sz="0" w:space="0" w:color="auto"/>
        <w:right w:val="none" w:sz="0" w:space="0" w:color="auto"/>
      </w:divBdr>
    </w:div>
    <w:div w:id="1322151217">
      <w:bodyDiv w:val="1"/>
      <w:marLeft w:val="0"/>
      <w:marRight w:val="0"/>
      <w:marTop w:val="0"/>
      <w:marBottom w:val="0"/>
      <w:divBdr>
        <w:top w:val="none" w:sz="0" w:space="0" w:color="auto"/>
        <w:left w:val="none" w:sz="0" w:space="0" w:color="auto"/>
        <w:bottom w:val="none" w:sz="0" w:space="0" w:color="auto"/>
        <w:right w:val="none" w:sz="0" w:space="0" w:color="auto"/>
      </w:divBdr>
    </w:div>
    <w:div w:id="1511523173">
      <w:bodyDiv w:val="1"/>
      <w:marLeft w:val="0"/>
      <w:marRight w:val="0"/>
      <w:marTop w:val="0"/>
      <w:marBottom w:val="0"/>
      <w:divBdr>
        <w:top w:val="none" w:sz="0" w:space="0" w:color="auto"/>
        <w:left w:val="none" w:sz="0" w:space="0" w:color="auto"/>
        <w:bottom w:val="none" w:sz="0" w:space="0" w:color="auto"/>
        <w:right w:val="none" w:sz="0" w:space="0" w:color="auto"/>
      </w:divBdr>
    </w:div>
    <w:div w:id="1521166204">
      <w:bodyDiv w:val="1"/>
      <w:marLeft w:val="0"/>
      <w:marRight w:val="0"/>
      <w:marTop w:val="0"/>
      <w:marBottom w:val="0"/>
      <w:divBdr>
        <w:top w:val="none" w:sz="0" w:space="0" w:color="auto"/>
        <w:left w:val="none" w:sz="0" w:space="0" w:color="auto"/>
        <w:bottom w:val="none" w:sz="0" w:space="0" w:color="auto"/>
        <w:right w:val="none" w:sz="0" w:space="0" w:color="auto"/>
      </w:divBdr>
    </w:div>
    <w:div w:id="1725913085">
      <w:bodyDiv w:val="1"/>
      <w:marLeft w:val="0"/>
      <w:marRight w:val="0"/>
      <w:marTop w:val="0"/>
      <w:marBottom w:val="0"/>
      <w:divBdr>
        <w:top w:val="none" w:sz="0" w:space="0" w:color="auto"/>
        <w:left w:val="none" w:sz="0" w:space="0" w:color="auto"/>
        <w:bottom w:val="none" w:sz="0" w:space="0" w:color="auto"/>
        <w:right w:val="none" w:sz="0" w:space="0" w:color="auto"/>
      </w:divBdr>
    </w:div>
    <w:div w:id="1912738313">
      <w:bodyDiv w:val="1"/>
      <w:marLeft w:val="0"/>
      <w:marRight w:val="0"/>
      <w:marTop w:val="0"/>
      <w:marBottom w:val="0"/>
      <w:divBdr>
        <w:top w:val="none" w:sz="0" w:space="0" w:color="auto"/>
        <w:left w:val="none" w:sz="0" w:space="0" w:color="auto"/>
        <w:bottom w:val="none" w:sz="0" w:space="0" w:color="auto"/>
        <w:right w:val="none" w:sz="0" w:space="0" w:color="auto"/>
      </w:divBdr>
    </w:div>
    <w:div w:id="1987053969">
      <w:bodyDiv w:val="1"/>
      <w:marLeft w:val="0"/>
      <w:marRight w:val="0"/>
      <w:marTop w:val="0"/>
      <w:marBottom w:val="0"/>
      <w:divBdr>
        <w:top w:val="none" w:sz="0" w:space="0" w:color="auto"/>
        <w:left w:val="none" w:sz="0" w:space="0" w:color="auto"/>
        <w:bottom w:val="none" w:sz="0" w:space="0" w:color="auto"/>
        <w:right w:val="none" w:sz="0" w:space="0" w:color="auto"/>
      </w:divBdr>
    </w:div>
    <w:div w:id="2026899678">
      <w:bodyDiv w:val="1"/>
      <w:marLeft w:val="0"/>
      <w:marRight w:val="0"/>
      <w:marTop w:val="0"/>
      <w:marBottom w:val="0"/>
      <w:divBdr>
        <w:top w:val="none" w:sz="0" w:space="0" w:color="auto"/>
        <w:left w:val="none" w:sz="0" w:space="0" w:color="auto"/>
        <w:bottom w:val="none" w:sz="0" w:space="0" w:color="auto"/>
        <w:right w:val="none" w:sz="0" w:space="0" w:color="auto"/>
      </w:divBdr>
    </w:div>
    <w:div w:id="207226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10-01-SKB%20SPC%20Rad%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010-01-SKB SPC Rad skabelon.dotx</Template>
  <TotalTime>108</TotalTime>
  <Pages>17</Pages>
  <Words>5535</Words>
  <Characters>32596</Characters>
  <Application>Microsoft Office Word</Application>
  <DocSecurity>0</DocSecurity>
  <Lines>271</Lines>
  <Paragraphs>76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2023051752, MT</dc:description>
  <cp:lastModifiedBy>Gitte Jørgensen</cp:lastModifiedBy>
  <cp:revision>15</cp:revision>
  <cp:lastPrinted>2006-02-24T09:31:00Z</cp:lastPrinted>
  <dcterms:created xsi:type="dcterms:W3CDTF">2025-02-07T07:40:00Z</dcterms:created>
  <dcterms:modified xsi:type="dcterms:W3CDTF">2025-02-07T13:04:00Z</dcterms:modified>
</cp:coreProperties>
</file>