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6E3" w:rsidRPr="00C84483" w:rsidRDefault="008136E3" w:rsidP="008136E3">
      <w:pPr>
        <w:rPr>
          <w:b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02BC076" wp14:editId="298329B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136E3" w:rsidRPr="00402C48" w:rsidRDefault="008136E3" w:rsidP="008136E3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402C48" w:rsidRPr="00402C48">
        <w:rPr>
          <w:szCs w:val="24"/>
          <w:lang w:eastAsia="en-US"/>
        </w:rPr>
        <w:t>29. januar 2025</w:t>
      </w:r>
    </w:p>
    <w:p w:rsidR="008136E3" w:rsidRPr="00C84483" w:rsidRDefault="008136E3" w:rsidP="008136E3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0777F1" w:rsidRDefault="000777F1" w:rsidP="008136E3">
      <w:pPr>
        <w:jc w:val="center"/>
        <w:rPr>
          <w:b/>
          <w:sz w:val="24"/>
          <w:szCs w:val="24"/>
        </w:rPr>
      </w:pPr>
    </w:p>
    <w:p w:rsidR="008136E3" w:rsidRPr="00C84483" w:rsidRDefault="008136E3" w:rsidP="008136E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8136E3" w:rsidRPr="00C84483" w:rsidRDefault="008136E3" w:rsidP="008136E3">
      <w:pPr>
        <w:jc w:val="center"/>
        <w:rPr>
          <w:b/>
          <w:sz w:val="24"/>
          <w:szCs w:val="24"/>
        </w:rPr>
      </w:pPr>
    </w:p>
    <w:p w:rsidR="008136E3" w:rsidRDefault="008136E3" w:rsidP="008136E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8136E3" w:rsidRPr="00C84483" w:rsidRDefault="008136E3" w:rsidP="008136E3">
      <w:pPr>
        <w:jc w:val="center"/>
        <w:rPr>
          <w:b/>
          <w:sz w:val="24"/>
          <w:szCs w:val="24"/>
        </w:rPr>
      </w:pPr>
    </w:p>
    <w:p w:rsidR="008136E3" w:rsidRPr="00C84483" w:rsidRDefault="005C758D" w:rsidP="008136E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Iloprost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Waymade</w:t>
      </w:r>
      <w:proofErr w:type="spellEnd"/>
      <w:r>
        <w:rPr>
          <w:b/>
          <w:sz w:val="24"/>
          <w:szCs w:val="24"/>
        </w:rPr>
        <w:t>"</w:t>
      </w:r>
      <w:r w:rsidR="008136E3">
        <w:rPr>
          <w:b/>
          <w:sz w:val="24"/>
          <w:szCs w:val="24"/>
        </w:rPr>
        <w:t>, koncentrat til infusionsvæske, opløsning 100 mikrogram/ml</w:t>
      </w:r>
    </w:p>
    <w:p w:rsidR="008136E3" w:rsidRPr="00C84483" w:rsidRDefault="008136E3" w:rsidP="008136E3">
      <w:pPr>
        <w:jc w:val="both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jc w:val="both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0.</w:t>
      </w:r>
      <w:r w:rsidRPr="004534D9">
        <w:rPr>
          <w:b/>
          <w:sz w:val="24"/>
          <w:szCs w:val="24"/>
        </w:rPr>
        <w:tab/>
        <w:t>D.SP.NR.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29956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1.</w:t>
      </w:r>
      <w:r w:rsidRPr="004534D9">
        <w:rPr>
          <w:b/>
          <w:sz w:val="24"/>
          <w:szCs w:val="24"/>
        </w:rPr>
        <w:tab/>
        <w:t>LÆGEMIDLETS NAVN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5C758D">
        <w:rPr>
          <w:sz w:val="24"/>
          <w:szCs w:val="24"/>
        </w:rPr>
        <w:t>Iloprost</w:t>
      </w:r>
      <w:proofErr w:type="spellEnd"/>
      <w:r w:rsidR="005C758D">
        <w:rPr>
          <w:sz w:val="24"/>
          <w:szCs w:val="24"/>
        </w:rPr>
        <w:t xml:space="preserve"> "</w:t>
      </w:r>
      <w:proofErr w:type="spellStart"/>
      <w:r w:rsidR="005C758D">
        <w:rPr>
          <w:sz w:val="24"/>
          <w:szCs w:val="24"/>
        </w:rPr>
        <w:t>Waymade</w:t>
      </w:r>
      <w:proofErr w:type="spellEnd"/>
      <w:r w:rsidR="005C758D">
        <w:rPr>
          <w:sz w:val="24"/>
          <w:szCs w:val="24"/>
        </w:rPr>
        <w:t>"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2.</w:t>
      </w:r>
      <w:r w:rsidRPr="004534D9">
        <w:rPr>
          <w:b/>
          <w:sz w:val="24"/>
          <w:szCs w:val="24"/>
        </w:rPr>
        <w:tab/>
        <w:t>KVALITATIV OG KVANTITATIV SAMMENSÆTNING</w:t>
      </w:r>
    </w:p>
    <w:p w:rsidR="008136E3" w:rsidRPr="004534D9" w:rsidRDefault="008136E3" w:rsidP="008136E3">
      <w:pPr>
        <w:ind w:left="851"/>
        <w:textAlignment w:val="baseline"/>
        <w:rPr>
          <w:color w:val="000000"/>
          <w:spacing w:val="1"/>
          <w:sz w:val="24"/>
          <w:szCs w:val="24"/>
        </w:rPr>
      </w:pPr>
      <w:r w:rsidRPr="004534D9">
        <w:rPr>
          <w:color w:val="000000"/>
          <w:sz w:val="24"/>
          <w:szCs w:val="24"/>
        </w:rPr>
        <w:t xml:space="preserve">En ampul på 0,5 ml indeholder 67 mikrogram </w:t>
      </w:r>
      <w:proofErr w:type="spellStart"/>
      <w:r w:rsidRPr="004534D9">
        <w:rPr>
          <w:color w:val="000000"/>
          <w:sz w:val="24"/>
          <w:szCs w:val="24"/>
        </w:rPr>
        <w:t>iloprosttrometamol</w:t>
      </w:r>
      <w:proofErr w:type="spellEnd"/>
      <w:r w:rsidRPr="004534D9">
        <w:rPr>
          <w:color w:val="000000"/>
          <w:sz w:val="24"/>
          <w:szCs w:val="24"/>
        </w:rPr>
        <w:t xml:space="preserve"> (svarende til 50 mikrogram </w:t>
      </w:r>
      <w:proofErr w:type="spellStart"/>
      <w:r w:rsidRPr="004534D9">
        <w:rPr>
          <w:color w:val="000000"/>
          <w:sz w:val="24"/>
          <w:szCs w:val="24"/>
        </w:rPr>
        <w:t>iloprost</w:t>
      </w:r>
      <w:proofErr w:type="spellEnd"/>
      <w:r w:rsidRPr="004534D9">
        <w:rPr>
          <w:color w:val="000000"/>
          <w:sz w:val="24"/>
          <w:szCs w:val="24"/>
        </w:rPr>
        <w:t>).</w:t>
      </w:r>
    </w:p>
    <w:p w:rsidR="008136E3" w:rsidRPr="004534D9" w:rsidRDefault="008136E3" w:rsidP="008136E3">
      <w:pPr>
        <w:ind w:left="851" w:hanging="851"/>
        <w:textAlignment w:val="baseline"/>
        <w:rPr>
          <w:color w:val="000000"/>
          <w:sz w:val="24"/>
          <w:szCs w:val="24"/>
          <w:u w:val="single"/>
        </w:rPr>
      </w:pPr>
    </w:p>
    <w:p w:rsidR="008136E3" w:rsidRPr="004534D9" w:rsidRDefault="008136E3" w:rsidP="008136E3">
      <w:pPr>
        <w:ind w:left="851"/>
        <w:textAlignment w:val="baseline"/>
        <w:rPr>
          <w:color w:val="000000"/>
          <w:spacing w:val="2"/>
          <w:sz w:val="24"/>
          <w:szCs w:val="24"/>
          <w:u w:val="single"/>
        </w:rPr>
      </w:pPr>
      <w:r w:rsidRPr="004534D9">
        <w:rPr>
          <w:color w:val="000000"/>
          <w:sz w:val="24"/>
          <w:szCs w:val="24"/>
          <w:u w:val="single"/>
        </w:rPr>
        <w:t>Hjælpestof</w:t>
      </w:r>
      <w:r w:rsidR="003B73CC">
        <w:rPr>
          <w:color w:val="000000"/>
          <w:sz w:val="24"/>
          <w:szCs w:val="24"/>
          <w:u w:val="single"/>
        </w:rPr>
        <w:t>fer,</w:t>
      </w:r>
      <w:r w:rsidRPr="004534D9">
        <w:rPr>
          <w:color w:val="000000"/>
          <w:sz w:val="24"/>
          <w:szCs w:val="24"/>
          <w:u w:val="single"/>
        </w:rPr>
        <w:t xml:space="preserve"> som behandleren skal være opmærksom på</w:t>
      </w:r>
    </w:p>
    <w:p w:rsidR="008136E3" w:rsidRPr="003B73CC" w:rsidRDefault="008136E3" w:rsidP="008136E3">
      <w:pPr>
        <w:ind w:left="851"/>
        <w:textAlignment w:val="baseline"/>
        <w:rPr>
          <w:color w:val="000000"/>
          <w:sz w:val="24"/>
          <w:szCs w:val="24"/>
        </w:rPr>
      </w:pPr>
      <w:proofErr w:type="spellStart"/>
      <w:r w:rsidRPr="003B73CC">
        <w:rPr>
          <w:color w:val="000000"/>
          <w:spacing w:val="2"/>
          <w:sz w:val="24"/>
          <w:szCs w:val="24"/>
        </w:rPr>
        <w:t>Ethanol</w:t>
      </w:r>
      <w:proofErr w:type="spellEnd"/>
      <w:r w:rsidRPr="003B73CC">
        <w:rPr>
          <w:color w:val="000000"/>
          <w:spacing w:val="2"/>
          <w:sz w:val="24"/>
          <w:szCs w:val="24"/>
        </w:rPr>
        <w:t xml:space="preserve"> (96 % v/v) 4,050 mg</w:t>
      </w:r>
      <w:r w:rsidR="003B73CC" w:rsidRPr="003B73CC">
        <w:rPr>
          <w:color w:val="000000"/>
          <w:spacing w:val="2"/>
          <w:sz w:val="24"/>
          <w:szCs w:val="24"/>
        </w:rPr>
        <w:t xml:space="preserve"> og</w:t>
      </w:r>
      <w:r w:rsidRPr="003B73CC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3B73CC">
        <w:rPr>
          <w:color w:val="000000"/>
          <w:spacing w:val="2"/>
          <w:sz w:val="24"/>
          <w:szCs w:val="24"/>
        </w:rPr>
        <w:t>natriumchlorid</w:t>
      </w:r>
      <w:proofErr w:type="spellEnd"/>
      <w:r w:rsidRPr="003B73CC">
        <w:rPr>
          <w:color w:val="000000"/>
          <w:spacing w:val="2"/>
          <w:sz w:val="24"/>
          <w:szCs w:val="24"/>
        </w:rPr>
        <w:t xml:space="preserve"> 4,500 mg.</w:t>
      </w:r>
    </w:p>
    <w:p w:rsidR="008136E3" w:rsidRPr="003B73CC" w:rsidRDefault="008136E3" w:rsidP="008136E3">
      <w:pPr>
        <w:ind w:left="851" w:hanging="851"/>
        <w:textAlignment w:val="baseline"/>
        <w:rPr>
          <w:color w:val="000000"/>
          <w:sz w:val="24"/>
          <w:szCs w:val="24"/>
        </w:rPr>
      </w:pPr>
    </w:p>
    <w:p w:rsidR="008136E3" w:rsidRPr="004534D9" w:rsidRDefault="008136E3" w:rsidP="008136E3">
      <w:pPr>
        <w:ind w:left="851"/>
        <w:textAlignment w:val="baseline"/>
        <w:rPr>
          <w:color w:val="000000"/>
          <w:sz w:val="24"/>
          <w:szCs w:val="24"/>
        </w:rPr>
      </w:pPr>
      <w:r w:rsidRPr="004534D9">
        <w:rPr>
          <w:color w:val="000000"/>
          <w:sz w:val="24"/>
          <w:szCs w:val="24"/>
        </w:rPr>
        <w:t xml:space="preserve">1 ml koncentrat indeholder 134 mikrogram </w:t>
      </w:r>
      <w:proofErr w:type="spellStart"/>
      <w:r w:rsidRPr="004534D9">
        <w:rPr>
          <w:color w:val="000000"/>
          <w:sz w:val="24"/>
          <w:szCs w:val="24"/>
        </w:rPr>
        <w:t>iloprosttrometamol</w:t>
      </w:r>
      <w:proofErr w:type="spellEnd"/>
      <w:r w:rsidRPr="004534D9">
        <w:rPr>
          <w:color w:val="000000"/>
          <w:sz w:val="24"/>
          <w:szCs w:val="24"/>
        </w:rPr>
        <w:t xml:space="preserve"> (svarende til 100 mikrogram </w:t>
      </w:r>
      <w:proofErr w:type="spellStart"/>
      <w:r w:rsidRPr="004534D9">
        <w:rPr>
          <w:color w:val="000000"/>
          <w:sz w:val="24"/>
          <w:szCs w:val="24"/>
        </w:rPr>
        <w:t>iloprost</w:t>
      </w:r>
      <w:proofErr w:type="spellEnd"/>
      <w:r w:rsidRPr="004534D9">
        <w:rPr>
          <w:color w:val="000000"/>
          <w:sz w:val="24"/>
          <w:szCs w:val="24"/>
        </w:rPr>
        <w:t>).</w:t>
      </w:r>
    </w:p>
    <w:p w:rsidR="008136E3" w:rsidRPr="004534D9" w:rsidRDefault="008136E3" w:rsidP="008136E3">
      <w:pPr>
        <w:ind w:left="851" w:hanging="851"/>
        <w:textAlignment w:val="baseline"/>
        <w:rPr>
          <w:color w:val="000000"/>
          <w:sz w:val="24"/>
          <w:szCs w:val="24"/>
        </w:rPr>
      </w:pPr>
    </w:p>
    <w:p w:rsidR="008136E3" w:rsidRPr="004534D9" w:rsidRDefault="008136E3" w:rsidP="008136E3">
      <w:pPr>
        <w:ind w:left="851"/>
        <w:textAlignment w:val="baseline"/>
        <w:rPr>
          <w:color w:val="000000"/>
          <w:sz w:val="24"/>
          <w:szCs w:val="24"/>
        </w:rPr>
      </w:pPr>
      <w:r w:rsidRPr="004534D9">
        <w:rPr>
          <w:color w:val="000000"/>
          <w:sz w:val="24"/>
          <w:szCs w:val="24"/>
        </w:rPr>
        <w:t xml:space="preserve">Efter fortynding er indholdet, til brug i infusionspumpe, af </w:t>
      </w:r>
      <w:proofErr w:type="spellStart"/>
      <w:r w:rsidRPr="004534D9">
        <w:rPr>
          <w:color w:val="000000"/>
          <w:sz w:val="24"/>
          <w:szCs w:val="24"/>
        </w:rPr>
        <w:t>iloprosttrometamol</w:t>
      </w:r>
      <w:proofErr w:type="spellEnd"/>
      <w:r w:rsidRPr="004534D9">
        <w:rPr>
          <w:color w:val="000000"/>
          <w:sz w:val="24"/>
          <w:szCs w:val="24"/>
        </w:rPr>
        <w:t xml:space="preserve"> pr. ml 0,268 mikrogram (svarende til 0,2 mikrogram </w:t>
      </w:r>
      <w:proofErr w:type="spellStart"/>
      <w:r w:rsidRPr="004534D9">
        <w:rPr>
          <w:color w:val="000000"/>
          <w:sz w:val="24"/>
          <w:szCs w:val="24"/>
        </w:rPr>
        <w:t>iloprost</w:t>
      </w:r>
      <w:proofErr w:type="spellEnd"/>
      <w:r w:rsidRPr="004534D9">
        <w:rPr>
          <w:color w:val="000000"/>
          <w:sz w:val="24"/>
          <w:szCs w:val="24"/>
        </w:rPr>
        <w:t>).</w:t>
      </w:r>
    </w:p>
    <w:p w:rsidR="008136E3" w:rsidRPr="004534D9" w:rsidRDefault="008136E3" w:rsidP="008136E3">
      <w:pPr>
        <w:ind w:left="851" w:hanging="851"/>
        <w:textAlignment w:val="baseline"/>
        <w:rPr>
          <w:color w:val="000000"/>
          <w:sz w:val="24"/>
          <w:szCs w:val="24"/>
        </w:rPr>
      </w:pPr>
    </w:p>
    <w:p w:rsidR="008136E3" w:rsidRPr="004534D9" w:rsidRDefault="008136E3" w:rsidP="008136E3">
      <w:pPr>
        <w:ind w:left="851"/>
        <w:textAlignment w:val="baseline"/>
        <w:rPr>
          <w:color w:val="000000"/>
          <w:sz w:val="24"/>
          <w:szCs w:val="24"/>
        </w:rPr>
      </w:pPr>
      <w:r w:rsidRPr="004534D9">
        <w:rPr>
          <w:color w:val="000000"/>
          <w:sz w:val="24"/>
          <w:szCs w:val="24"/>
        </w:rPr>
        <w:t xml:space="preserve">Efter fortynding er indholdet, til brug i injektionssprøjte, af </w:t>
      </w:r>
      <w:proofErr w:type="spellStart"/>
      <w:r w:rsidRPr="004534D9">
        <w:rPr>
          <w:color w:val="000000"/>
          <w:sz w:val="24"/>
          <w:szCs w:val="24"/>
        </w:rPr>
        <w:t>iloprosttrometamol</w:t>
      </w:r>
      <w:proofErr w:type="spellEnd"/>
      <w:r w:rsidRPr="004534D9">
        <w:rPr>
          <w:color w:val="000000"/>
          <w:sz w:val="24"/>
          <w:szCs w:val="24"/>
        </w:rPr>
        <w:t xml:space="preserve"> pr. ml 2,68 mikrogram (svarende til 2,0 mikrogram </w:t>
      </w:r>
      <w:proofErr w:type="spellStart"/>
      <w:r w:rsidRPr="004534D9">
        <w:rPr>
          <w:color w:val="000000"/>
          <w:sz w:val="24"/>
          <w:szCs w:val="24"/>
        </w:rPr>
        <w:t>iloprost</w:t>
      </w:r>
      <w:proofErr w:type="spellEnd"/>
      <w:r w:rsidRPr="004534D9">
        <w:rPr>
          <w:color w:val="000000"/>
          <w:sz w:val="24"/>
          <w:szCs w:val="24"/>
        </w:rPr>
        <w:t>).</w:t>
      </w:r>
    </w:p>
    <w:p w:rsidR="008136E3" w:rsidRPr="004534D9" w:rsidRDefault="008136E3" w:rsidP="008136E3">
      <w:pPr>
        <w:ind w:left="851" w:hanging="851"/>
        <w:textAlignment w:val="baseline"/>
        <w:rPr>
          <w:color w:val="000000"/>
          <w:sz w:val="24"/>
          <w:szCs w:val="24"/>
        </w:rPr>
      </w:pPr>
    </w:p>
    <w:p w:rsidR="008136E3" w:rsidRPr="004534D9" w:rsidRDefault="008136E3" w:rsidP="008136E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534D9">
        <w:rPr>
          <w:sz w:val="24"/>
          <w:szCs w:val="24"/>
        </w:rPr>
        <w:t>Alle hjælpestoffer er anført under pkt. 6.1.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3.</w:t>
      </w:r>
      <w:r w:rsidRPr="004534D9">
        <w:rPr>
          <w:b/>
          <w:sz w:val="24"/>
          <w:szCs w:val="24"/>
        </w:rPr>
        <w:tab/>
        <w:t>LÆGEMIDDELFORM</w:t>
      </w:r>
    </w:p>
    <w:p w:rsidR="008136E3" w:rsidRDefault="008136E3" w:rsidP="008136E3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4534D9">
        <w:rPr>
          <w:sz w:val="24"/>
          <w:szCs w:val="24"/>
        </w:rPr>
        <w:t>Koncentrat til infusionsvæske, opløsning</w:t>
      </w:r>
    </w:p>
    <w:p w:rsidR="003B73CC" w:rsidRPr="004534D9" w:rsidRDefault="003B73CC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textAlignment w:val="baseline"/>
        <w:rPr>
          <w:color w:val="000000"/>
          <w:sz w:val="24"/>
          <w:szCs w:val="24"/>
        </w:rPr>
      </w:pPr>
      <w:r w:rsidRPr="004534D9">
        <w:rPr>
          <w:color w:val="000000"/>
          <w:sz w:val="24"/>
          <w:szCs w:val="24"/>
        </w:rPr>
        <w:t xml:space="preserve">Farveløs, klar opløsning uden synlige partikler, med en pH-værdi på 7,5-8,5 og en </w:t>
      </w:r>
      <w:proofErr w:type="spellStart"/>
      <w:r w:rsidRPr="004534D9">
        <w:rPr>
          <w:color w:val="000000"/>
          <w:sz w:val="24"/>
          <w:szCs w:val="24"/>
        </w:rPr>
        <w:t>osmolalitet</w:t>
      </w:r>
      <w:proofErr w:type="spellEnd"/>
      <w:r w:rsidRPr="004534D9">
        <w:rPr>
          <w:color w:val="000000"/>
          <w:sz w:val="24"/>
          <w:szCs w:val="24"/>
        </w:rPr>
        <w:t xml:space="preserve"> på ca. 420-460 </w:t>
      </w:r>
      <w:proofErr w:type="spellStart"/>
      <w:r w:rsidRPr="004534D9">
        <w:rPr>
          <w:color w:val="000000"/>
          <w:sz w:val="24"/>
          <w:szCs w:val="24"/>
        </w:rPr>
        <w:t>mOm</w:t>
      </w:r>
      <w:proofErr w:type="spellEnd"/>
      <w:r w:rsidRPr="004534D9">
        <w:rPr>
          <w:color w:val="000000"/>
          <w:sz w:val="24"/>
          <w:szCs w:val="24"/>
        </w:rPr>
        <w:t>/kg.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4.</w:t>
      </w:r>
      <w:r w:rsidRPr="004534D9">
        <w:rPr>
          <w:b/>
          <w:sz w:val="24"/>
          <w:szCs w:val="24"/>
        </w:rPr>
        <w:tab/>
        <w:t>KLINISKE OPLYSNINGER</w:t>
      </w: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  <w:u w:val="single"/>
        </w:rPr>
      </w:pPr>
      <w:r w:rsidRPr="004534D9">
        <w:rPr>
          <w:b/>
          <w:sz w:val="24"/>
          <w:szCs w:val="24"/>
        </w:rPr>
        <w:t>4.1</w:t>
      </w:r>
      <w:r w:rsidRPr="004534D9">
        <w:rPr>
          <w:b/>
          <w:sz w:val="24"/>
          <w:szCs w:val="24"/>
        </w:rPr>
        <w:tab/>
        <w:t>Terapeutiske indikationer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lastRenderedPageBreak/>
        <w:t xml:space="preserve">Behandling af fremskreden </w:t>
      </w:r>
      <w:proofErr w:type="spellStart"/>
      <w:r w:rsidRPr="004534D9">
        <w:rPr>
          <w:sz w:val="24"/>
          <w:szCs w:val="24"/>
        </w:rPr>
        <w:t>thromboangiitis</w:t>
      </w:r>
      <w:proofErr w:type="spellEnd"/>
      <w:r w:rsidRPr="004534D9">
        <w:rPr>
          <w:sz w:val="24"/>
          <w:szCs w:val="24"/>
        </w:rPr>
        <w:t xml:space="preserve"> </w:t>
      </w:r>
      <w:proofErr w:type="spellStart"/>
      <w:r w:rsidRPr="004534D9">
        <w:rPr>
          <w:sz w:val="24"/>
          <w:szCs w:val="24"/>
        </w:rPr>
        <w:t>obliterans</w:t>
      </w:r>
      <w:proofErr w:type="spellEnd"/>
      <w:r w:rsidRPr="004534D9">
        <w:rPr>
          <w:sz w:val="24"/>
          <w:szCs w:val="24"/>
        </w:rPr>
        <w:t xml:space="preserve"> (</w:t>
      </w:r>
      <w:proofErr w:type="spellStart"/>
      <w:r w:rsidRPr="004534D9">
        <w:rPr>
          <w:sz w:val="24"/>
          <w:szCs w:val="24"/>
        </w:rPr>
        <w:t>Buergers</w:t>
      </w:r>
      <w:proofErr w:type="spellEnd"/>
      <w:r w:rsidRPr="004534D9">
        <w:rPr>
          <w:sz w:val="24"/>
          <w:szCs w:val="24"/>
        </w:rPr>
        <w:t xml:space="preserve"> sygdom) med svær ekstremitetsiskæmi i tilfælde, hvor </w:t>
      </w:r>
      <w:proofErr w:type="spellStart"/>
      <w:r w:rsidRPr="004534D9">
        <w:rPr>
          <w:sz w:val="24"/>
          <w:szCs w:val="24"/>
        </w:rPr>
        <w:t>revaskularisering</w:t>
      </w:r>
      <w:proofErr w:type="spellEnd"/>
      <w:r w:rsidRPr="004534D9">
        <w:rPr>
          <w:sz w:val="24"/>
          <w:szCs w:val="24"/>
        </w:rPr>
        <w:t xml:space="preserve"> ikke er indiceret.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Behandling af svær, kronisk ekstremitetsiskæmi (perifer arteriel </w:t>
      </w:r>
      <w:proofErr w:type="spellStart"/>
      <w:r w:rsidRPr="004534D9">
        <w:rPr>
          <w:sz w:val="24"/>
          <w:szCs w:val="24"/>
        </w:rPr>
        <w:t>okklusiv</w:t>
      </w:r>
      <w:proofErr w:type="spellEnd"/>
      <w:r w:rsidRPr="004534D9">
        <w:rPr>
          <w:sz w:val="24"/>
          <w:szCs w:val="24"/>
        </w:rPr>
        <w:t xml:space="preserve"> sygdom (PAOD) i stadium III og IV ifølge </w:t>
      </w:r>
      <w:proofErr w:type="spellStart"/>
      <w:r w:rsidRPr="004534D9">
        <w:rPr>
          <w:sz w:val="24"/>
          <w:szCs w:val="24"/>
        </w:rPr>
        <w:t>Fontaine</w:t>
      </w:r>
      <w:proofErr w:type="spellEnd"/>
      <w:r w:rsidRPr="004534D9">
        <w:rPr>
          <w:sz w:val="24"/>
          <w:szCs w:val="24"/>
        </w:rPr>
        <w:t xml:space="preserve">) i tilfælde, hvor rekonstruktiv karkirurgi eller </w:t>
      </w:r>
      <w:proofErr w:type="spellStart"/>
      <w:r w:rsidRPr="004534D9">
        <w:rPr>
          <w:sz w:val="24"/>
          <w:szCs w:val="24"/>
        </w:rPr>
        <w:t>perkutan</w:t>
      </w:r>
      <w:proofErr w:type="spellEnd"/>
      <w:r w:rsidRPr="004534D9">
        <w:rPr>
          <w:sz w:val="24"/>
          <w:szCs w:val="24"/>
        </w:rPr>
        <w:t xml:space="preserve"> </w:t>
      </w:r>
      <w:proofErr w:type="spellStart"/>
      <w:r w:rsidRPr="004534D9">
        <w:rPr>
          <w:sz w:val="24"/>
          <w:szCs w:val="24"/>
        </w:rPr>
        <w:t>transluminal</w:t>
      </w:r>
      <w:proofErr w:type="spellEnd"/>
      <w:r w:rsidRPr="004534D9">
        <w:rPr>
          <w:sz w:val="24"/>
          <w:szCs w:val="24"/>
        </w:rPr>
        <w:t xml:space="preserve"> </w:t>
      </w:r>
      <w:proofErr w:type="spellStart"/>
      <w:r w:rsidRPr="004534D9">
        <w:rPr>
          <w:sz w:val="24"/>
          <w:szCs w:val="24"/>
        </w:rPr>
        <w:t>angioplastik</w:t>
      </w:r>
      <w:proofErr w:type="spellEnd"/>
      <w:r w:rsidRPr="004534D9">
        <w:rPr>
          <w:sz w:val="24"/>
          <w:szCs w:val="24"/>
        </w:rPr>
        <w:t xml:space="preserve"> ikke er mulig.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4.2</w:t>
      </w:r>
      <w:r w:rsidRPr="004534D9">
        <w:rPr>
          <w:b/>
          <w:sz w:val="24"/>
          <w:szCs w:val="24"/>
        </w:rPr>
        <w:tab/>
      </w:r>
      <w:bookmarkStart w:id="0" w:name="_Hlk121742956"/>
      <w:r w:rsidR="00D56750" w:rsidRPr="00BA4587">
        <w:rPr>
          <w:b/>
          <w:sz w:val="24"/>
          <w:szCs w:val="24"/>
        </w:rPr>
        <w:t>Dosering og administration</w:t>
      </w:r>
      <w:bookmarkEnd w:id="0"/>
    </w:p>
    <w:p w:rsidR="008136E3" w:rsidRDefault="008136E3" w:rsidP="008136E3">
      <w:pPr>
        <w:ind w:left="851" w:hanging="851"/>
        <w:rPr>
          <w:sz w:val="24"/>
          <w:szCs w:val="24"/>
        </w:rPr>
      </w:pPr>
    </w:p>
    <w:p w:rsidR="008136E3" w:rsidRPr="000777F1" w:rsidRDefault="008136E3" w:rsidP="008136E3">
      <w:pPr>
        <w:ind w:left="851"/>
        <w:rPr>
          <w:b/>
          <w:sz w:val="24"/>
          <w:szCs w:val="24"/>
        </w:rPr>
      </w:pPr>
      <w:r w:rsidRPr="000777F1">
        <w:rPr>
          <w:b/>
          <w:sz w:val="24"/>
          <w:szCs w:val="24"/>
        </w:rPr>
        <w:t>Dosering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Administration </w:t>
      </w:r>
      <w:r w:rsidR="00B73B89">
        <w:rPr>
          <w:sz w:val="24"/>
          <w:szCs w:val="24"/>
        </w:rPr>
        <w:t xml:space="preserve">af </w:t>
      </w:r>
      <w:proofErr w:type="spellStart"/>
      <w:r w:rsidR="005C758D">
        <w:rPr>
          <w:sz w:val="24"/>
          <w:szCs w:val="24"/>
        </w:rPr>
        <w:t>Iloprost</w:t>
      </w:r>
      <w:proofErr w:type="spellEnd"/>
      <w:r w:rsidR="005C758D">
        <w:rPr>
          <w:sz w:val="24"/>
          <w:szCs w:val="24"/>
        </w:rPr>
        <w:t xml:space="preserve"> "</w:t>
      </w:r>
      <w:proofErr w:type="spellStart"/>
      <w:r w:rsidR="005C758D">
        <w:rPr>
          <w:sz w:val="24"/>
          <w:szCs w:val="24"/>
        </w:rPr>
        <w:t>Waymade</w:t>
      </w:r>
      <w:proofErr w:type="spellEnd"/>
      <w:r w:rsidR="005C758D">
        <w:rPr>
          <w:sz w:val="24"/>
          <w:szCs w:val="24"/>
        </w:rPr>
        <w:t>"</w:t>
      </w:r>
      <w:r w:rsidRPr="004534D9">
        <w:rPr>
          <w:sz w:val="24"/>
          <w:szCs w:val="24"/>
        </w:rPr>
        <w:t xml:space="preserve"> må kun udføres under observation på et hospital eller en ambulant afdeling med tilstrækkeligt udstyr.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Hos kvinder skal graviditet udelukkes, inden behandling indledes. </w:t>
      </w:r>
    </w:p>
    <w:p w:rsidR="008136E3" w:rsidRPr="004534D9" w:rsidRDefault="005C758D" w:rsidP="008136E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Waymade</w:t>
      </w:r>
      <w:proofErr w:type="spellEnd"/>
      <w:r>
        <w:rPr>
          <w:sz w:val="24"/>
          <w:szCs w:val="24"/>
        </w:rPr>
        <w:t>"</w:t>
      </w:r>
      <w:r w:rsidR="008136E3" w:rsidRPr="004534D9">
        <w:rPr>
          <w:sz w:val="24"/>
          <w:szCs w:val="24"/>
        </w:rPr>
        <w:t xml:space="preserve"> administreres efter fortynding i 6 timer </w:t>
      </w:r>
      <w:r w:rsidR="0025562F">
        <w:rPr>
          <w:sz w:val="24"/>
          <w:szCs w:val="24"/>
        </w:rPr>
        <w:t>daglig</w:t>
      </w:r>
      <w:r w:rsidR="008136E3" w:rsidRPr="004534D9">
        <w:rPr>
          <w:sz w:val="24"/>
          <w:szCs w:val="24"/>
        </w:rPr>
        <w:t xml:space="preserve"> som intravenøs infusion via en perifer vene eller et centralt venekateter, som beskrevet i pkt. 6.6. Dosis justeres i forhold til individuel </w:t>
      </w:r>
      <w:proofErr w:type="spellStart"/>
      <w:r w:rsidR="008136E3" w:rsidRPr="004534D9">
        <w:rPr>
          <w:sz w:val="24"/>
          <w:szCs w:val="24"/>
        </w:rPr>
        <w:t>tolerabilitet</w:t>
      </w:r>
      <w:proofErr w:type="spellEnd"/>
      <w:r w:rsidR="008136E3" w:rsidRPr="004534D9">
        <w:rPr>
          <w:sz w:val="24"/>
          <w:szCs w:val="24"/>
        </w:rPr>
        <w:t xml:space="preserve"> inden for et interval på 0,5 til 2,0 </w:t>
      </w:r>
      <w:proofErr w:type="spellStart"/>
      <w:r w:rsidR="008136E3" w:rsidRPr="004534D9">
        <w:rPr>
          <w:sz w:val="24"/>
          <w:szCs w:val="24"/>
        </w:rPr>
        <w:t>ng</w:t>
      </w:r>
      <w:proofErr w:type="spellEnd"/>
      <w:r w:rsidR="008136E3" w:rsidRPr="004534D9">
        <w:rPr>
          <w:sz w:val="24"/>
          <w:szCs w:val="24"/>
        </w:rPr>
        <w:t xml:space="preserve"> </w:t>
      </w:r>
      <w:proofErr w:type="spellStart"/>
      <w:r w:rsidR="008136E3" w:rsidRPr="004534D9">
        <w:rPr>
          <w:sz w:val="24"/>
          <w:szCs w:val="24"/>
        </w:rPr>
        <w:t>iloprost</w:t>
      </w:r>
      <w:proofErr w:type="spellEnd"/>
      <w:r w:rsidR="008136E3" w:rsidRPr="004534D9">
        <w:rPr>
          <w:sz w:val="24"/>
          <w:szCs w:val="24"/>
        </w:rPr>
        <w:t>/kg legemsvægt/minut.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Sterilitet sikres ved at forberede en ny infusion hver dag. Indholdet i ampullen skal blandes grundigt med opløsningsmidlet.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Den individuelt tolererede dosis fastlægges i løbet af de første 2-3 dage. Blodtryk og hjertefrekvens måles efter behov ved infusionens start og efter hver dosiseskalering. Behandlingen startes ved en infusionshastighed på 0,5 </w:t>
      </w:r>
      <w:proofErr w:type="spellStart"/>
      <w:r w:rsidRPr="004534D9">
        <w:rPr>
          <w:sz w:val="24"/>
          <w:szCs w:val="24"/>
        </w:rPr>
        <w:t>ng</w:t>
      </w:r>
      <w:proofErr w:type="spellEnd"/>
      <w:r w:rsidRPr="004534D9">
        <w:rPr>
          <w:sz w:val="24"/>
          <w:szCs w:val="24"/>
        </w:rPr>
        <w:t>/kg/minut over 30 minutter. Dosen skal herefter øges ved et interval på ca. 30 minutter i trin på 0,5 </w:t>
      </w:r>
      <w:proofErr w:type="spellStart"/>
      <w:r w:rsidRPr="004534D9">
        <w:rPr>
          <w:sz w:val="24"/>
          <w:szCs w:val="24"/>
        </w:rPr>
        <w:t>ng</w:t>
      </w:r>
      <w:proofErr w:type="spellEnd"/>
      <w:r w:rsidRPr="004534D9">
        <w:rPr>
          <w:sz w:val="24"/>
          <w:szCs w:val="24"/>
        </w:rPr>
        <w:t>/kg/minut op til maks. 2,0 </w:t>
      </w:r>
      <w:proofErr w:type="spellStart"/>
      <w:r w:rsidRPr="004534D9">
        <w:rPr>
          <w:sz w:val="24"/>
          <w:szCs w:val="24"/>
        </w:rPr>
        <w:t>ng</w:t>
      </w:r>
      <w:proofErr w:type="spellEnd"/>
      <w:r w:rsidRPr="004534D9">
        <w:rPr>
          <w:sz w:val="24"/>
          <w:szCs w:val="24"/>
        </w:rPr>
        <w:t>/kg/minut. Den præcise infusionshastighed skal beregnes ud fra legemsvægt, så der kan opnås en effektiv infusion inden for et interval på 0,5 til 2,0 </w:t>
      </w:r>
      <w:proofErr w:type="spellStart"/>
      <w:r w:rsidRPr="004534D9">
        <w:rPr>
          <w:sz w:val="24"/>
          <w:szCs w:val="24"/>
        </w:rPr>
        <w:t>ng</w:t>
      </w:r>
      <w:proofErr w:type="spellEnd"/>
      <w:r w:rsidRPr="004534D9">
        <w:rPr>
          <w:sz w:val="24"/>
          <w:szCs w:val="24"/>
        </w:rPr>
        <w:t>/kg/minut (se nedenstående skemaer vedrørende brug af infusionspumpe eller injektionssprøjte).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Afhængigt af forekommende bivirkninger såsom hovedpine, kvalme eller uhensigtsmæssig hypotension skal infusionshastigheden reduceres, indtil der opnås et tolereret dosisniveau. Hvis bivirkningerne er alvorlige, skal administration seponeres.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Behandling – generelt i 4 uger– bør fortsættes ved den tolererede dosis, der fastlægges i løbet af de første 2-3 dage.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Afhængigt af infusionsteknikken er der to forskellige måder at fortynde en ampul på. En af disse to fortyndinger er ti gange svagere i koncentration end den anden (0,2 µg/ml kontra 2 µg/ml) og må kun anvendes ved hjælp af en infusionspumpe (f.eks. </w:t>
      </w:r>
      <w:proofErr w:type="spellStart"/>
      <w:r w:rsidRPr="004534D9">
        <w:rPr>
          <w:sz w:val="24"/>
          <w:szCs w:val="24"/>
        </w:rPr>
        <w:t>Infusoma</w:t>
      </w:r>
      <w:r w:rsidR="00EB27C0">
        <w:rPr>
          <w:sz w:val="24"/>
          <w:szCs w:val="24"/>
        </w:rPr>
        <w:t>t</w:t>
      </w:r>
      <w:proofErr w:type="spellEnd"/>
      <w:r w:rsidRPr="004534D9">
        <w:rPr>
          <w:sz w:val="24"/>
          <w:szCs w:val="24"/>
        </w:rPr>
        <w:t xml:space="preserve">). I modsætning hertil administreres opløsningen med den højere koncentration vha. en injektionssprøjte (f.eks. </w:t>
      </w:r>
      <w:proofErr w:type="spellStart"/>
      <w:r w:rsidRPr="004534D9">
        <w:rPr>
          <w:sz w:val="24"/>
          <w:szCs w:val="24"/>
        </w:rPr>
        <w:t>Perfuso</w:t>
      </w:r>
      <w:r w:rsidR="00EB27C0">
        <w:rPr>
          <w:sz w:val="24"/>
          <w:szCs w:val="24"/>
        </w:rPr>
        <w:t>r</w:t>
      </w:r>
      <w:proofErr w:type="spellEnd"/>
      <w:r w:rsidRPr="004534D9">
        <w:rPr>
          <w:sz w:val="24"/>
          <w:szCs w:val="24"/>
        </w:rPr>
        <w:t>). Se vejledning for anvendelse og håndtering i pkt. 6.6.</w:t>
      </w:r>
    </w:p>
    <w:p w:rsidR="008136E3" w:rsidRPr="004534D9" w:rsidRDefault="008136E3" w:rsidP="008136E3">
      <w:pPr>
        <w:ind w:left="851" w:hanging="851"/>
        <w:rPr>
          <w:sz w:val="24"/>
          <w:szCs w:val="24"/>
          <w:u w:val="single"/>
        </w:rPr>
      </w:pPr>
    </w:p>
    <w:p w:rsidR="008136E3" w:rsidRPr="004534D9" w:rsidRDefault="008136E3" w:rsidP="008136E3">
      <w:pPr>
        <w:ind w:left="851"/>
        <w:rPr>
          <w:sz w:val="24"/>
          <w:szCs w:val="24"/>
          <w:u w:val="single"/>
        </w:rPr>
      </w:pPr>
      <w:r w:rsidRPr="004534D9">
        <w:rPr>
          <w:sz w:val="24"/>
          <w:szCs w:val="24"/>
          <w:u w:val="single"/>
        </w:rPr>
        <w:t>Infusionshastigheder [ml/time] for forskellige doser vha. infusionspumpe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Generelt administreres den brugsklare infusionsvæske intravenøst via en infusionspumpe (f.eks. </w:t>
      </w:r>
      <w:proofErr w:type="spellStart"/>
      <w:r w:rsidRPr="004534D9">
        <w:rPr>
          <w:sz w:val="24"/>
          <w:szCs w:val="24"/>
        </w:rPr>
        <w:t>Infusoma</w:t>
      </w:r>
      <w:r w:rsidR="00664B9D">
        <w:rPr>
          <w:sz w:val="24"/>
          <w:szCs w:val="24"/>
        </w:rPr>
        <w:t>t</w:t>
      </w:r>
      <w:proofErr w:type="spellEnd"/>
      <w:r w:rsidRPr="004534D9">
        <w:rPr>
          <w:sz w:val="24"/>
          <w:szCs w:val="24"/>
        </w:rPr>
        <w:t>). En vejledning for fortynding til brug i infusionspumpe findes i pkt. 6.6.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Ved en koncentration af </w:t>
      </w:r>
      <w:proofErr w:type="spellStart"/>
      <w:r w:rsidR="005C758D">
        <w:rPr>
          <w:sz w:val="24"/>
          <w:szCs w:val="24"/>
        </w:rPr>
        <w:t>Iloprost</w:t>
      </w:r>
      <w:proofErr w:type="spellEnd"/>
      <w:r w:rsidR="005C758D">
        <w:rPr>
          <w:sz w:val="24"/>
          <w:szCs w:val="24"/>
        </w:rPr>
        <w:t xml:space="preserve"> "</w:t>
      </w:r>
      <w:proofErr w:type="spellStart"/>
      <w:r w:rsidR="005C758D">
        <w:rPr>
          <w:sz w:val="24"/>
          <w:szCs w:val="24"/>
        </w:rPr>
        <w:t>Waymade</w:t>
      </w:r>
      <w:proofErr w:type="spellEnd"/>
      <w:r w:rsidR="005C758D">
        <w:rPr>
          <w:sz w:val="24"/>
          <w:szCs w:val="24"/>
        </w:rPr>
        <w:t>"</w:t>
      </w:r>
      <w:r w:rsidRPr="004534D9">
        <w:rPr>
          <w:sz w:val="24"/>
          <w:szCs w:val="24"/>
        </w:rPr>
        <w:t xml:space="preserve"> på 0,2 µg/ml skal den påkrævede infusionshastighed fastlægges i overensstemmelse med nedenstående skema for at opnå en dosis inden for intervallet 0,5 til 2,0 </w:t>
      </w:r>
      <w:proofErr w:type="spellStart"/>
      <w:r w:rsidRPr="004534D9">
        <w:rPr>
          <w:sz w:val="24"/>
          <w:szCs w:val="24"/>
        </w:rPr>
        <w:t>ng</w:t>
      </w:r>
      <w:proofErr w:type="spellEnd"/>
      <w:r w:rsidRPr="004534D9">
        <w:rPr>
          <w:sz w:val="24"/>
          <w:szCs w:val="24"/>
        </w:rPr>
        <w:t>/kg/minut.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21071D" w:rsidRDefault="008136E3" w:rsidP="0021071D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Følgende skema kan bruges til beregning af infusionshastigheden i overensstemmelse med den individuelle patients vægt og den dosis, der skal </w:t>
      </w:r>
      <w:proofErr w:type="spellStart"/>
      <w:r w:rsidRPr="004534D9">
        <w:rPr>
          <w:sz w:val="24"/>
          <w:szCs w:val="24"/>
        </w:rPr>
        <w:t>infunderes</w:t>
      </w:r>
      <w:proofErr w:type="spellEnd"/>
      <w:r w:rsidRPr="004534D9">
        <w:rPr>
          <w:sz w:val="24"/>
          <w:szCs w:val="24"/>
        </w:rPr>
        <w:t xml:space="preserve">. Fastlæg den rigtige dosis, </w:t>
      </w:r>
      <w:r w:rsidRPr="004534D9">
        <w:rPr>
          <w:sz w:val="24"/>
          <w:szCs w:val="24"/>
        </w:rPr>
        <w:lastRenderedPageBreak/>
        <w:t xml:space="preserve">så den stemmer overens med patientens faktiske legemsvægt, og juster derefter </w:t>
      </w:r>
      <w:r w:rsidR="0021071D">
        <w:rPr>
          <w:sz w:val="24"/>
          <w:szCs w:val="24"/>
        </w:rPr>
        <w:t xml:space="preserve">infusionshastigheden til måldosis i </w:t>
      </w:r>
      <w:proofErr w:type="spellStart"/>
      <w:r w:rsidR="0021071D">
        <w:rPr>
          <w:sz w:val="24"/>
          <w:szCs w:val="24"/>
        </w:rPr>
        <w:t>ng</w:t>
      </w:r>
      <w:proofErr w:type="spellEnd"/>
      <w:r w:rsidR="0021071D">
        <w:rPr>
          <w:sz w:val="24"/>
          <w:szCs w:val="24"/>
        </w:rPr>
        <w:t>/kg/minut.</w:t>
      </w:r>
    </w:p>
    <w:p w:rsidR="0021071D" w:rsidRDefault="0021071D" w:rsidP="0021071D">
      <w:pPr>
        <w:ind w:left="851" w:hanging="851"/>
        <w:rPr>
          <w:sz w:val="24"/>
          <w:szCs w:val="24"/>
        </w:rPr>
      </w:pPr>
    </w:p>
    <w:tbl>
      <w:tblPr>
        <w:tblW w:w="0" w:type="auto"/>
        <w:tblInd w:w="84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3"/>
        <w:gridCol w:w="1176"/>
        <w:gridCol w:w="1176"/>
        <w:gridCol w:w="1176"/>
        <w:gridCol w:w="1210"/>
      </w:tblGrid>
      <w:tr w:rsidR="0021071D" w:rsidTr="0021071D">
        <w:trPr>
          <w:trHeight w:val="20"/>
        </w:trPr>
        <w:tc>
          <w:tcPr>
            <w:tcW w:w="1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071D" w:rsidRDefault="002107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Legemsvægt [kg]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Infusionshastighed på 0,2 µg/ml opløsning [ml/time]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1D" w:rsidRDefault="0021071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071D" w:rsidRDefault="0021071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071D" w:rsidRDefault="0021071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71D" w:rsidRDefault="0021071D">
            <w:pPr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71D" w:rsidRDefault="0021071D">
            <w:pPr>
              <w:rPr>
                <w:b/>
                <w:sz w:val="24"/>
                <w:szCs w:val="24"/>
              </w:rPr>
            </w:pPr>
          </w:p>
        </w:tc>
      </w:tr>
      <w:tr w:rsidR="0021071D" w:rsidTr="0021071D">
        <w:trPr>
          <w:trHeight w:val="20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71D" w:rsidRDefault="0021071D">
            <w:pPr>
              <w:rPr>
                <w:b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Dosis [</w:t>
            </w:r>
            <w:proofErr w:type="spellStart"/>
            <w:r>
              <w:rPr>
                <w:b/>
                <w:sz w:val="24"/>
                <w:szCs w:val="24"/>
              </w:rPr>
              <w:t>ng</w:t>
            </w:r>
            <w:proofErr w:type="spellEnd"/>
            <w:r>
              <w:rPr>
                <w:b/>
                <w:sz w:val="24"/>
                <w:szCs w:val="24"/>
              </w:rPr>
              <w:t>/kg/min.]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071D" w:rsidRDefault="0021071D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</w:tbl>
    <w:p w:rsidR="0021071D" w:rsidRDefault="0021071D" w:rsidP="0021071D">
      <w:pPr>
        <w:ind w:left="851" w:hanging="851"/>
        <w:rPr>
          <w:sz w:val="24"/>
          <w:szCs w:val="24"/>
        </w:rPr>
      </w:pPr>
    </w:p>
    <w:p w:rsidR="0021071D" w:rsidRDefault="0021071D" w:rsidP="0021071D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Infusionshastigheder [ml/time] for forskellige doser vha. injektionssprøjte</w:t>
      </w:r>
    </w:p>
    <w:p w:rsidR="008136E3" w:rsidRPr="004534D9" w:rsidRDefault="008136E3" w:rsidP="0021071D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Der kan også bruges en injektionssprøjte med 50 ml sprøjte (f.eks. </w:t>
      </w:r>
      <w:proofErr w:type="spellStart"/>
      <w:r w:rsidRPr="004534D9">
        <w:rPr>
          <w:sz w:val="24"/>
          <w:szCs w:val="24"/>
        </w:rPr>
        <w:t>Perfusor</w:t>
      </w:r>
      <w:proofErr w:type="spellEnd"/>
      <w:r w:rsidRPr="004534D9">
        <w:rPr>
          <w:sz w:val="24"/>
          <w:szCs w:val="24"/>
        </w:rPr>
        <w:t>). En vejledning for fortynding til brug i injektionssprøjte findes i pkt. 6.6.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Ved en koncentration af </w:t>
      </w:r>
      <w:proofErr w:type="spellStart"/>
      <w:r w:rsidR="005C758D">
        <w:rPr>
          <w:sz w:val="24"/>
          <w:szCs w:val="24"/>
        </w:rPr>
        <w:t>Iloprost</w:t>
      </w:r>
      <w:proofErr w:type="spellEnd"/>
      <w:r w:rsidR="005C758D">
        <w:rPr>
          <w:sz w:val="24"/>
          <w:szCs w:val="24"/>
        </w:rPr>
        <w:t xml:space="preserve"> "</w:t>
      </w:r>
      <w:proofErr w:type="spellStart"/>
      <w:r w:rsidR="005C758D">
        <w:rPr>
          <w:sz w:val="24"/>
          <w:szCs w:val="24"/>
        </w:rPr>
        <w:t>Waymade</w:t>
      </w:r>
      <w:proofErr w:type="spellEnd"/>
      <w:r w:rsidR="005C758D">
        <w:rPr>
          <w:sz w:val="24"/>
          <w:szCs w:val="24"/>
        </w:rPr>
        <w:t>"</w:t>
      </w:r>
      <w:r w:rsidRPr="004534D9">
        <w:rPr>
          <w:sz w:val="24"/>
          <w:szCs w:val="24"/>
        </w:rPr>
        <w:t xml:space="preserve"> på 2 µg/ml skal den påkrævede infusionshastighed fastlægges i overensstemmelse med nedenstående skema for at opnå en dosis inden for intervallet 0,5 til 2,0 </w:t>
      </w:r>
      <w:proofErr w:type="spellStart"/>
      <w:r w:rsidRPr="004534D9">
        <w:rPr>
          <w:sz w:val="24"/>
          <w:szCs w:val="24"/>
        </w:rPr>
        <w:t>ng</w:t>
      </w:r>
      <w:proofErr w:type="spellEnd"/>
      <w:r w:rsidRPr="004534D9">
        <w:rPr>
          <w:sz w:val="24"/>
          <w:szCs w:val="24"/>
        </w:rPr>
        <w:t>/kg/minut.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21071D" w:rsidRDefault="008136E3" w:rsidP="0021071D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Følgende skema kan bruges til beregning af infusionshastigheden i overensstemmelse med den individuelle patients vægt og den dosis, der skal </w:t>
      </w:r>
      <w:proofErr w:type="spellStart"/>
      <w:r w:rsidRPr="004534D9">
        <w:rPr>
          <w:sz w:val="24"/>
          <w:szCs w:val="24"/>
        </w:rPr>
        <w:t>infunderes</w:t>
      </w:r>
      <w:proofErr w:type="spellEnd"/>
      <w:r w:rsidRPr="004534D9">
        <w:rPr>
          <w:sz w:val="24"/>
          <w:szCs w:val="24"/>
        </w:rPr>
        <w:t xml:space="preserve">. Fastlæg den rigtige dosis, så den stemmer overens med patientens faktiske legemsvægt, og juster derefter </w:t>
      </w:r>
      <w:r w:rsidR="0021071D">
        <w:rPr>
          <w:sz w:val="24"/>
          <w:szCs w:val="24"/>
        </w:rPr>
        <w:t xml:space="preserve">infusionshastigheden til måldosis i </w:t>
      </w:r>
      <w:proofErr w:type="spellStart"/>
      <w:r w:rsidR="0021071D">
        <w:rPr>
          <w:sz w:val="24"/>
          <w:szCs w:val="24"/>
        </w:rPr>
        <w:t>ng</w:t>
      </w:r>
      <w:proofErr w:type="spellEnd"/>
      <w:r w:rsidR="0021071D">
        <w:rPr>
          <w:sz w:val="24"/>
          <w:szCs w:val="24"/>
        </w:rPr>
        <w:t>/kg/min.</w:t>
      </w:r>
    </w:p>
    <w:p w:rsidR="0021071D" w:rsidRDefault="0021071D" w:rsidP="0021071D">
      <w:pPr>
        <w:ind w:left="851" w:hanging="851"/>
        <w:rPr>
          <w:sz w:val="24"/>
          <w:szCs w:val="24"/>
        </w:rPr>
      </w:pPr>
    </w:p>
    <w:tbl>
      <w:tblPr>
        <w:tblW w:w="0" w:type="auto"/>
        <w:tblInd w:w="84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3"/>
        <w:gridCol w:w="1176"/>
        <w:gridCol w:w="1176"/>
        <w:gridCol w:w="1176"/>
        <w:gridCol w:w="1210"/>
      </w:tblGrid>
      <w:tr w:rsidR="0021071D" w:rsidTr="0021071D">
        <w:trPr>
          <w:trHeight w:val="20"/>
        </w:trPr>
        <w:tc>
          <w:tcPr>
            <w:tcW w:w="1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1071D" w:rsidRDefault="0021071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pacing w:val="-2"/>
                <w:sz w:val="24"/>
                <w:szCs w:val="24"/>
              </w:rPr>
              <w:t>Legemsvægt</w:t>
            </w:r>
            <w:r>
              <w:rPr>
                <w:b/>
                <w:color w:val="000000"/>
                <w:sz w:val="24"/>
                <w:szCs w:val="24"/>
              </w:rPr>
              <w:t>[kg]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Infusionshastighed på 2 µg/ml opløsning [ml/time]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1D" w:rsidRDefault="0021071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071D" w:rsidRDefault="0021071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071D" w:rsidRDefault="0021071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071D" w:rsidRDefault="0021071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71D" w:rsidRDefault="0021071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21071D" w:rsidTr="0021071D">
        <w:trPr>
          <w:trHeight w:val="20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71D" w:rsidRDefault="0021071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Dosis [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/kg/min.]</w:t>
            </w:r>
          </w:p>
        </w:tc>
      </w:tr>
      <w:tr w:rsidR="0021071D" w:rsidTr="0021071D">
        <w:trPr>
          <w:trHeight w:val="70"/>
        </w:trPr>
        <w:tc>
          <w:tcPr>
            <w:tcW w:w="196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071D" w:rsidRDefault="0021071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21071D" w:rsidTr="0021071D">
        <w:trPr>
          <w:trHeight w:val="20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71D" w:rsidRDefault="0021071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</w:tbl>
    <w:p w:rsidR="0021071D" w:rsidRDefault="0021071D" w:rsidP="0021071D">
      <w:pPr>
        <w:ind w:left="851" w:hanging="851"/>
        <w:rPr>
          <w:sz w:val="24"/>
          <w:szCs w:val="24"/>
        </w:rPr>
      </w:pPr>
    </w:p>
    <w:p w:rsidR="008136E3" w:rsidRPr="004534D9" w:rsidRDefault="0021071D" w:rsidP="0021071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frarådes at give en kontinuerlig infusion over flere dage pga. risikoen for udvikling af </w:t>
      </w:r>
      <w:proofErr w:type="spellStart"/>
      <w:r w:rsidR="008136E3" w:rsidRPr="004534D9">
        <w:rPr>
          <w:sz w:val="24"/>
          <w:szCs w:val="24"/>
        </w:rPr>
        <w:t>takyfylaksi</w:t>
      </w:r>
      <w:proofErr w:type="spellEnd"/>
      <w:r w:rsidR="008136E3" w:rsidRPr="004534D9">
        <w:rPr>
          <w:sz w:val="24"/>
          <w:szCs w:val="24"/>
        </w:rPr>
        <w:t xml:space="preserve"> fra indvirkningen på </w:t>
      </w:r>
      <w:proofErr w:type="spellStart"/>
      <w:r w:rsidR="008136E3" w:rsidRPr="004534D9">
        <w:rPr>
          <w:sz w:val="24"/>
          <w:szCs w:val="24"/>
        </w:rPr>
        <w:t>trombocytter</w:t>
      </w:r>
      <w:proofErr w:type="spellEnd"/>
      <w:r w:rsidR="008136E3" w:rsidRPr="004534D9">
        <w:rPr>
          <w:sz w:val="24"/>
          <w:szCs w:val="24"/>
        </w:rPr>
        <w:t xml:space="preserve">, eller pga. risikoen for </w:t>
      </w:r>
      <w:proofErr w:type="spellStart"/>
      <w:r w:rsidR="008136E3" w:rsidRPr="004534D9">
        <w:rPr>
          <w:sz w:val="24"/>
          <w:szCs w:val="24"/>
        </w:rPr>
        <w:t>rebound-hyperaggregation</w:t>
      </w:r>
      <w:proofErr w:type="spellEnd"/>
      <w:r w:rsidR="008136E3" w:rsidRPr="004534D9">
        <w:rPr>
          <w:sz w:val="24"/>
          <w:szCs w:val="24"/>
        </w:rPr>
        <w:t xml:space="preserve"> af </w:t>
      </w:r>
      <w:proofErr w:type="spellStart"/>
      <w:r w:rsidR="008136E3" w:rsidRPr="004534D9">
        <w:rPr>
          <w:sz w:val="24"/>
          <w:szCs w:val="24"/>
        </w:rPr>
        <w:t>trombocytter</w:t>
      </w:r>
      <w:proofErr w:type="spellEnd"/>
      <w:r w:rsidR="008136E3" w:rsidRPr="004534D9">
        <w:rPr>
          <w:sz w:val="24"/>
          <w:szCs w:val="24"/>
        </w:rPr>
        <w:t xml:space="preserve"> efter behandlingens afslutning. Dags dato er der ikke indberettet kliniske komplikationer i forbindelse med disse fænomener.</w:t>
      </w:r>
    </w:p>
    <w:p w:rsidR="008136E3" w:rsidRPr="004534D9" w:rsidRDefault="008136E3" w:rsidP="008136E3">
      <w:pPr>
        <w:ind w:left="851" w:hanging="851"/>
        <w:rPr>
          <w:i/>
          <w:iCs/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i/>
          <w:sz w:val="24"/>
          <w:szCs w:val="24"/>
        </w:rPr>
        <w:lastRenderedPageBreak/>
        <w:t>Patienter med nedsat nyrefunktion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Øgede plasmaniveauer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bør tages i betragtning hos patienter med nyreinsufficiens, der kræver dialyse. Det er nødvendigt at reducere dosis til disse patienter ved at begynde med halvdelen af den anbefalede dosis.</w:t>
      </w:r>
    </w:p>
    <w:p w:rsidR="008136E3" w:rsidRPr="004534D9" w:rsidRDefault="008136E3" w:rsidP="008136E3">
      <w:pPr>
        <w:ind w:left="851" w:hanging="851"/>
        <w:rPr>
          <w:i/>
          <w:iCs/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i/>
          <w:sz w:val="24"/>
          <w:szCs w:val="24"/>
        </w:rPr>
        <w:t>Patienter med nedsat leverfunktion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Øgede plasmaniveauer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bør tages i betragtning hos patienter med cirrose. Det er nødvendigt at reducere dosis til disse patienter ved at begynde med halvdelen af den anbefalede dosis.</w:t>
      </w:r>
    </w:p>
    <w:p w:rsidR="008136E3" w:rsidRPr="004534D9" w:rsidRDefault="008136E3" w:rsidP="008136E3">
      <w:pPr>
        <w:ind w:left="851" w:hanging="851"/>
        <w:rPr>
          <w:iCs/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i/>
          <w:sz w:val="24"/>
          <w:szCs w:val="24"/>
        </w:rPr>
        <w:t>Pædiatrisk population</w:t>
      </w:r>
    </w:p>
    <w:p w:rsidR="0021071D" w:rsidRDefault="0021071D" w:rsidP="0021071D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Lægemidlet bør ikke anvendes til børn, da erfaringen med behandling af børn er utilstrækkelig. Der foreligger få, kendte rapporter.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0777F1" w:rsidRDefault="008136E3" w:rsidP="008136E3">
      <w:pPr>
        <w:ind w:left="851"/>
        <w:rPr>
          <w:b/>
          <w:sz w:val="24"/>
          <w:szCs w:val="24"/>
        </w:rPr>
      </w:pPr>
      <w:r w:rsidRPr="000777F1">
        <w:rPr>
          <w:b/>
          <w:sz w:val="24"/>
          <w:szCs w:val="24"/>
        </w:rPr>
        <w:t>Administration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Til intravenøs anvendelse.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4.3</w:t>
      </w:r>
      <w:r w:rsidRPr="004534D9">
        <w:rPr>
          <w:b/>
          <w:sz w:val="24"/>
          <w:szCs w:val="24"/>
        </w:rPr>
        <w:tab/>
        <w:t>Kontraindikationer</w:t>
      </w:r>
    </w:p>
    <w:p w:rsidR="0021071D" w:rsidRDefault="0021071D" w:rsidP="002107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>Graviditet og amning</w:t>
      </w:r>
    </w:p>
    <w:p w:rsidR="0021071D" w:rsidRDefault="0021071D" w:rsidP="002107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>Overfølsomhed over for det aktive stof eller over for et eller flere af hjælpestofferne anført i pkt. 6.1.</w:t>
      </w:r>
    </w:p>
    <w:p w:rsidR="0021071D" w:rsidRDefault="0021071D" w:rsidP="002107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Tilstande hvor indvirkningen af </w:t>
      </w:r>
      <w:proofErr w:type="spellStart"/>
      <w:r>
        <w:rPr>
          <w:color w:val="000000"/>
          <w:sz w:val="24"/>
          <w:szCs w:val="24"/>
        </w:rPr>
        <w:t>iloprost</w:t>
      </w:r>
      <w:proofErr w:type="spellEnd"/>
      <w:r>
        <w:rPr>
          <w:color w:val="000000"/>
          <w:sz w:val="24"/>
          <w:szCs w:val="24"/>
        </w:rPr>
        <w:t xml:space="preserve"> på </w:t>
      </w:r>
      <w:proofErr w:type="spellStart"/>
      <w:r>
        <w:rPr>
          <w:color w:val="000000"/>
          <w:sz w:val="24"/>
          <w:szCs w:val="24"/>
        </w:rPr>
        <w:t>trombocytter</w:t>
      </w:r>
      <w:proofErr w:type="spellEnd"/>
      <w:r>
        <w:rPr>
          <w:color w:val="000000"/>
          <w:sz w:val="24"/>
          <w:szCs w:val="24"/>
        </w:rPr>
        <w:t xml:space="preserve"> kan øge blødningsrisikoen (f.eks. ved </w:t>
      </w:r>
      <w:proofErr w:type="spellStart"/>
      <w:r>
        <w:rPr>
          <w:color w:val="000000"/>
          <w:sz w:val="24"/>
          <w:szCs w:val="24"/>
        </w:rPr>
        <w:t>floridt</w:t>
      </w:r>
      <w:proofErr w:type="spellEnd"/>
      <w:r>
        <w:rPr>
          <w:color w:val="000000"/>
          <w:sz w:val="24"/>
          <w:szCs w:val="24"/>
        </w:rPr>
        <w:t xml:space="preserve"> ulcus </w:t>
      </w:r>
      <w:proofErr w:type="spellStart"/>
      <w:r>
        <w:rPr>
          <w:color w:val="000000"/>
          <w:sz w:val="24"/>
          <w:szCs w:val="24"/>
        </w:rPr>
        <w:t>pepticum</w:t>
      </w:r>
      <w:proofErr w:type="spellEnd"/>
      <w:r>
        <w:rPr>
          <w:color w:val="000000"/>
          <w:sz w:val="24"/>
          <w:szCs w:val="24"/>
        </w:rPr>
        <w:t xml:space="preserve">, traume eller </w:t>
      </w:r>
      <w:proofErr w:type="spellStart"/>
      <w:r>
        <w:rPr>
          <w:color w:val="000000"/>
          <w:sz w:val="24"/>
          <w:szCs w:val="24"/>
        </w:rPr>
        <w:t>intrakraniel</w:t>
      </w:r>
      <w:proofErr w:type="spellEnd"/>
      <w:r>
        <w:rPr>
          <w:color w:val="000000"/>
          <w:sz w:val="24"/>
          <w:szCs w:val="24"/>
        </w:rPr>
        <w:t xml:space="preserve"> blødning)</w:t>
      </w:r>
    </w:p>
    <w:p w:rsidR="0021071D" w:rsidRDefault="0021071D" w:rsidP="002107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Svær </w:t>
      </w:r>
      <w:proofErr w:type="spellStart"/>
      <w:r>
        <w:rPr>
          <w:color w:val="000000"/>
          <w:sz w:val="24"/>
          <w:szCs w:val="24"/>
        </w:rPr>
        <w:t>koronar</w:t>
      </w:r>
      <w:proofErr w:type="spellEnd"/>
      <w:r>
        <w:rPr>
          <w:color w:val="000000"/>
          <w:sz w:val="24"/>
          <w:szCs w:val="24"/>
        </w:rPr>
        <w:t xml:space="preserve"> hjertesygdom eller ustabil angina pectoris</w:t>
      </w:r>
    </w:p>
    <w:p w:rsidR="0021071D" w:rsidRDefault="0021071D" w:rsidP="002107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Myokardieinfarkt inden for de seneste 6 måneder</w:t>
      </w:r>
    </w:p>
    <w:p w:rsidR="0021071D" w:rsidRDefault="0021071D" w:rsidP="002107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>Akut eller kronisk hjerteinsufficiens (NYHA II-IV)</w:t>
      </w:r>
    </w:p>
    <w:p w:rsidR="0021071D" w:rsidRDefault="0021071D" w:rsidP="002107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Svær </w:t>
      </w:r>
      <w:proofErr w:type="spellStart"/>
      <w:r>
        <w:rPr>
          <w:color w:val="000000"/>
          <w:sz w:val="24"/>
          <w:szCs w:val="24"/>
        </w:rPr>
        <w:t>hjertearytmi</w:t>
      </w:r>
      <w:proofErr w:type="spellEnd"/>
    </w:p>
    <w:p w:rsidR="0021071D" w:rsidRDefault="0021071D" w:rsidP="002107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Alvorlig </w:t>
      </w:r>
      <w:proofErr w:type="spellStart"/>
      <w:r>
        <w:rPr>
          <w:color w:val="000000"/>
          <w:sz w:val="24"/>
          <w:szCs w:val="24"/>
        </w:rPr>
        <w:t>arytmi</w:t>
      </w:r>
      <w:proofErr w:type="spellEnd"/>
    </w:p>
    <w:p w:rsidR="0021071D" w:rsidRDefault="0021071D" w:rsidP="002107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Formodet </w:t>
      </w:r>
      <w:proofErr w:type="spellStart"/>
      <w:r>
        <w:rPr>
          <w:color w:val="000000"/>
          <w:sz w:val="24"/>
          <w:szCs w:val="24"/>
        </w:rPr>
        <w:t>venstresidig</w:t>
      </w:r>
      <w:proofErr w:type="spellEnd"/>
      <w:r>
        <w:rPr>
          <w:color w:val="000000"/>
          <w:sz w:val="24"/>
          <w:szCs w:val="24"/>
        </w:rPr>
        <w:t xml:space="preserve"> hjerteinsufficiens</w:t>
      </w:r>
    </w:p>
    <w:p w:rsidR="0021071D" w:rsidRDefault="0021071D" w:rsidP="002107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Formodet lungeødem</w:t>
      </w:r>
    </w:p>
    <w:p w:rsidR="008136E3" w:rsidRPr="004534D9" w:rsidRDefault="008136E3" w:rsidP="008136E3">
      <w:pPr>
        <w:ind w:left="1702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4.4</w:t>
      </w:r>
      <w:r w:rsidRPr="004534D9">
        <w:rPr>
          <w:b/>
          <w:sz w:val="24"/>
          <w:szCs w:val="24"/>
        </w:rPr>
        <w:tab/>
        <w:t>Særlige advarsler og forsigtighedsregler vedrørende brugen</w:t>
      </w:r>
    </w:p>
    <w:p w:rsidR="008136E3" w:rsidRDefault="008136E3" w:rsidP="008136E3">
      <w:pPr>
        <w:ind w:left="851"/>
        <w:outlineLvl w:val="0"/>
        <w:rPr>
          <w:i/>
          <w:sz w:val="24"/>
          <w:szCs w:val="24"/>
        </w:rPr>
      </w:pPr>
    </w:p>
    <w:p w:rsidR="008136E3" w:rsidRPr="001B30BD" w:rsidRDefault="008136E3" w:rsidP="008136E3">
      <w:pPr>
        <w:ind w:left="851"/>
        <w:outlineLvl w:val="0"/>
        <w:rPr>
          <w:iCs/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Særlige advarsler</w:t>
      </w:r>
    </w:p>
    <w:p w:rsidR="008136E3" w:rsidRPr="004534D9" w:rsidRDefault="008136E3" w:rsidP="008136E3">
      <w:pPr>
        <w:ind w:left="851"/>
        <w:outlineLvl w:val="0"/>
        <w:rPr>
          <w:sz w:val="24"/>
          <w:szCs w:val="24"/>
        </w:rPr>
      </w:pPr>
      <w:r w:rsidRPr="004534D9">
        <w:rPr>
          <w:sz w:val="24"/>
          <w:szCs w:val="24"/>
        </w:rPr>
        <w:t>Operation må ikke udsættes for patienter, der har brug for hurtig amputation (f.eks. ved inficeret koldbrand).</w:t>
      </w:r>
    </w:p>
    <w:p w:rsidR="008136E3" w:rsidRPr="004534D9" w:rsidRDefault="008136E3" w:rsidP="008136E3">
      <w:pPr>
        <w:ind w:left="851" w:hanging="851"/>
        <w:outlineLvl w:val="0"/>
        <w:rPr>
          <w:sz w:val="24"/>
          <w:szCs w:val="24"/>
        </w:rPr>
      </w:pPr>
    </w:p>
    <w:p w:rsidR="008136E3" w:rsidRPr="004534D9" w:rsidRDefault="008136E3" w:rsidP="008136E3">
      <w:pPr>
        <w:ind w:left="851"/>
        <w:outlineLvl w:val="0"/>
        <w:rPr>
          <w:sz w:val="24"/>
          <w:szCs w:val="24"/>
        </w:rPr>
      </w:pPr>
      <w:r w:rsidRPr="004534D9">
        <w:rPr>
          <w:sz w:val="24"/>
          <w:szCs w:val="24"/>
        </w:rPr>
        <w:t>Patienter skal rådes til rygestop.</w:t>
      </w:r>
    </w:p>
    <w:p w:rsidR="008136E3" w:rsidRPr="004534D9" w:rsidRDefault="008136E3" w:rsidP="008136E3">
      <w:pPr>
        <w:ind w:left="851" w:hanging="851"/>
        <w:outlineLvl w:val="0"/>
        <w:rPr>
          <w:sz w:val="24"/>
          <w:szCs w:val="24"/>
        </w:rPr>
      </w:pPr>
    </w:p>
    <w:p w:rsidR="008136E3" w:rsidRPr="004534D9" w:rsidRDefault="008136E3" w:rsidP="008136E3">
      <w:pPr>
        <w:ind w:left="851"/>
        <w:outlineLvl w:val="0"/>
        <w:rPr>
          <w:sz w:val="24"/>
          <w:szCs w:val="24"/>
        </w:rPr>
      </w:pPr>
      <w:r w:rsidRPr="004534D9">
        <w:rPr>
          <w:sz w:val="24"/>
          <w:szCs w:val="24"/>
        </w:rPr>
        <w:t xml:space="preserve">Elimination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er reduceret hos patienter med nedsat leverfunktion og hos patienter med nyreinsufficiens, der kræver dialyse (se pkt. 4.2 og 5.2).</w:t>
      </w:r>
    </w:p>
    <w:p w:rsidR="008136E3" w:rsidRPr="004534D9" w:rsidRDefault="008136E3" w:rsidP="008136E3">
      <w:pPr>
        <w:ind w:left="851" w:hanging="851"/>
        <w:outlineLvl w:val="0"/>
        <w:rPr>
          <w:sz w:val="24"/>
          <w:szCs w:val="24"/>
        </w:rPr>
      </w:pPr>
    </w:p>
    <w:p w:rsidR="008136E3" w:rsidRPr="004534D9" w:rsidRDefault="008136E3" w:rsidP="008136E3">
      <w:pPr>
        <w:ind w:left="851"/>
        <w:outlineLvl w:val="0"/>
        <w:rPr>
          <w:sz w:val="24"/>
          <w:szCs w:val="24"/>
        </w:rPr>
      </w:pPr>
      <w:r w:rsidRPr="004534D9">
        <w:rPr>
          <w:sz w:val="24"/>
          <w:szCs w:val="24"/>
        </w:rPr>
        <w:t>For patienter med arteriel hypotension skal der træffes foranstaltninger for at forbygge yderligere blodtryksfald. Hjertepatienter skal observeres nøje.</w:t>
      </w:r>
    </w:p>
    <w:p w:rsidR="008136E3" w:rsidRPr="004534D9" w:rsidRDefault="008136E3" w:rsidP="008136E3">
      <w:pPr>
        <w:ind w:left="851" w:hanging="851"/>
        <w:outlineLvl w:val="0"/>
        <w:rPr>
          <w:sz w:val="24"/>
          <w:szCs w:val="24"/>
        </w:rPr>
      </w:pPr>
    </w:p>
    <w:p w:rsidR="008136E3" w:rsidRPr="004534D9" w:rsidRDefault="008136E3" w:rsidP="008136E3">
      <w:pPr>
        <w:ind w:left="851"/>
        <w:outlineLvl w:val="0"/>
        <w:rPr>
          <w:sz w:val="24"/>
          <w:szCs w:val="24"/>
        </w:rPr>
      </w:pPr>
      <w:r w:rsidRPr="004534D9">
        <w:rPr>
          <w:sz w:val="24"/>
          <w:szCs w:val="24"/>
        </w:rPr>
        <w:t xml:space="preserve">Hvis en patient rejser sig fra rygleje efter administration af </w:t>
      </w:r>
      <w:proofErr w:type="spellStart"/>
      <w:r w:rsidR="005C758D">
        <w:rPr>
          <w:sz w:val="24"/>
          <w:szCs w:val="24"/>
        </w:rPr>
        <w:t>Iloprost</w:t>
      </w:r>
      <w:proofErr w:type="spellEnd"/>
      <w:r w:rsidR="005C758D">
        <w:rPr>
          <w:sz w:val="24"/>
          <w:szCs w:val="24"/>
        </w:rPr>
        <w:t xml:space="preserve"> "</w:t>
      </w:r>
      <w:proofErr w:type="spellStart"/>
      <w:r w:rsidR="005C758D">
        <w:rPr>
          <w:sz w:val="24"/>
          <w:szCs w:val="24"/>
        </w:rPr>
        <w:t>Waymade</w:t>
      </w:r>
      <w:proofErr w:type="spellEnd"/>
      <w:r w:rsidR="005C758D">
        <w:rPr>
          <w:sz w:val="24"/>
          <w:szCs w:val="24"/>
        </w:rPr>
        <w:t>"</w:t>
      </w:r>
      <w:r w:rsidRPr="004534D9">
        <w:rPr>
          <w:sz w:val="24"/>
          <w:szCs w:val="24"/>
        </w:rPr>
        <w:t xml:space="preserve">, skal det overvejes, at der kan indtræde </w:t>
      </w:r>
      <w:proofErr w:type="spellStart"/>
      <w:r w:rsidRPr="004534D9">
        <w:rPr>
          <w:sz w:val="24"/>
          <w:szCs w:val="24"/>
        </w:rPr>
        <w:t>ortostatisk</w:t>
      </w:r>
      <w:proofErr w:type="spellEnd"/>
      <w:r w:rsidRPr="004534D9">
        <w:rPr>
          <w:sz w:val="24"/>
          <w:szCs w:val="24"/>
        </w:rPr>
        <w:t xml:space="preserve"> hypotension.</w:t>
      </w:r>
    </w:p>
    <w:p w:rsidR="008136E3" w:rsidRPr="004534D9" w:rsidRDefault="008136E3" w:rsidP="008136E3">
      <w:pPr>
        <w:ind w:left="851" w:hanging="851"/>
        <w:outlineLvl w:val="0"/>
        <w:rPr>
          <w:sz w:val="24"/>
          <w:szCs w:val="24"/>
        </w:rPr>
      </w:pPr>
    </w:p>
    <w:p w:rsidR="008136E3" w:rsidRPr="004534D9" w:rsidRDefault="008136E3" w:rsidP="008136E3">
      <w:pPr>
        <w:ind w:left="851"/>
        <w:outlineLvl w:val="0"/>
        <w:rPr>
          <w:sz w:val="24"/>
          <w:szCs w:val="24"/>
        </w:rPr>
      </w:pPr>
      <w:r w:rsidRPr="004534D9">
        <w:rPr>
          <w:sz w:val="24"/>
          <w:szCs w:val="24"/>
        </w:rPr>
        <w:t xml:space="preserve">For patienter, der har haft en </w:t>
      </w:r>
      <w:proofErr w:type="spellStart"/>
      <w:r w:rsidRPr="004534D9">
        <w:rPr>
          <w:sz w:val="24"/>
          <w:szCs w:val="24"/>
        </w:rPr>
        <w:t>cerebrovaskulær</w:t>
      </w:r>
      <w:proofErr w:type="spellEnd"/>
      <w:r w:rsidRPr="004534D9">
        <w:rPr>
          <w:sz w:val="24"/>
          <w:szCs w:val="24"/>
        </w:rPr>
        <w:t xml:space="preserve"> hændelse (f.eks. transitorisk cerebral iskæmi, slagtilfælde) inden for de seneste 3 måneder, skal der udarbejdes en omhyggelig benefit/</w:t>
      </w:r>
      <w:proofErr w:type="spellStart"/>
      <w:r w:rsidRPr="004534D9">
        <w:rPr>
          <w:sz w:val="24"/>
          <w:szCs w:val="24"/>
        </w:rPr>
        <w:t>risk</w:t>
      </w:r>
      <w:proofErr w:type="spellEnd"/>
      <w:r w:rsidRPr="004534D9">
        <w:rPr>
          <w:sz w:val="24"/>
          <w:szCs w:val="24"/>
        </w:rPr>
        <w:t>-analyse (se også pkt. 4.3).</w:t>
      </w:r>
    </w:p>
    <w:p w:rsidR="008136E3" w:rsidRPr="004534D9" w:rsidRDefault="008136E3" w:rsidP="008136E3">
      <w:pPr>
        <w:ind w:left="851" w:hanging="851"/>
        <w:outlineLvl w:val="0"/>
        <w:rPr>
          <w:sz w:val="24"/>
          <w:szCs w:val="24"/>
        </w:rPr>
      </w:pPr>
    </w:p>
    <w:p w:rsidR="008136E3" w:rsidRPr="001B30BD" w:rsidRDefault="008136E3" w:rsidP="008136E3">
      <w:pPr>
        <w:ind w:left="851"/>
        <w:outlineLvl w:val="0"/>
        <w:rPr>
          <w:iCs/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Særlige forsigtighedsregler</w:t>
      </w:r>
    </w:p>
    <w:p w:rsidR="008136E3" w:rsidRPr="004534D9" w:rsidRDefault="008136E3" w:rsidP="008136E3">
      <w:pPr>
        <w:ind w:left="851"/>
        <w:outlineLvl w:val="0"/>
        <w:rPr>
          <w:sz w:val="24"/>
          <w:szCs w:val="24"/>
        </w:rPr>
      </w:pPr>
      <w:proofErr w:type="spellStart"/>
      <w:r w:rsidRPr="004534D9">
        <w:rPr>
          <w:sz w:val="24"/>
          <w:szCs w:val="24"/>
        </w:rPr>
        <w:t>Ekstravaskulær</w:t>
      </w:r>
      <w:proofErr w:type="spellEnd"/>
      <w:r w:rsidRPr="004534D9">
        <w:rPr>
          <w:sz w:val="24"/>
          <w:szCs w:val="24"/>
        </w:rPr>
        <w:t xml:space="preserve"> infusion af ufortyndet </w:t>
      </w:r>
      <w:proofErr w:type="spellStart"/>
      <w:r w:rsidR="005C758D">
        <w:rPr>
          <w:sz w:val="24"/>
          <w:szCs w:val="24"/>
        </w:rPr>
        <w:t>Iloprost</w:t>
      </w:r>
      <w:proofErr w:type="spellEnd"/>
      <w:r w:rsidR="005C758D">
        <w:rPr>
          <w:sz w:val="24"/>
          <w:szCs w:val="24"/>
        </w:rPr>
        <w:t xml:space="preserve"> "</w:t>
      </w:r>
      <w:proofErr w:type="spellStart"/>
      <w:r w:rsidR="005C758D">
        <w:rPr>
          <w:sz w:val="24"/>
          <w:szCs w:val="24"/>
        </w:rPr>
        <w:t>Waymade</w:t>
      </w:r>
      <w:proofErr w:type="spellEnd"/>
      <w:r w:rsidR="005C758D">
        <w:rPr>
          <w:sz w:val="24"/>
          <w:szCs w:val="24"/>
        </w:rPr>
        <w:t>"</w:t>
      </w:r>
      <w:r w:rsidRPr="004534D9">
        <w:rPr>
          <w:sz w:val="24"/>
          <w:szCs w:val="24"/>
        </w:rPr>
        <w:t xml:space="preserve"> kan medføre lokale ændringer på injektionsstedet.</w:t>
      </w:r>
    </w:p>
    <w:p w:rsidR="008136E3" w:rsidRPr="004534D9" w:rsidRDefault="008136E3" w:rsidP="008136E3">
      <w:pPr>
        <w:ind w:left="851" w:hanging="851"/>
        <w:outlineLvl w:val="0"/>
        <w:rPr>
          <w:sz w:val="24"/>
          <w:szCs w:val="24"/>
        </w:rPr>
      </w:pPr>
    </w:p>
    <w:p w:rsidR="008136E3" w:rsidRPr="004534D9" w:rsidRDefault="008136E3" w:rsidP="008136E3">
      <w:pPr>
        <w:ind w:left="851"/>
        <w:outlineLvl w:val="0"/>
        <w:rPr>
          <w:sz w:val="24"/>
          <w:szCs w:val="24"/>
        </w:rPr>
      </w:pPr>
      <w:r w:rsidRPr="004534D9">
        <w:rPr>
          <w:sz w:val="24"/>
          <w:szCs w:val="24"/>
        </w:rPr>
        <w:t>Oral indtagelse eller kontakt med slimhinder skal undgås for enhver pris.</w:t>
      </w:r>
    </w:p>
    <w:p w:rsidR="008136E3" w:rsidRPr="004534D9" w:rsidRDefault="008136E3" w:rsidP="008136E3">
      <w:pPr>
        <w:ind w:left="851" w:hanging="851"/>
        <w:outlineLvl w:val="0"/>
        <w:rPr>
          <w:sz w:val="24"/>
          <w:szCs w:val="24"/>
        </w:rPr>
      </w:pPr>
    </w:p>
    <w:p w:rsidR="008136E3" w:rsidRPr="004534D9" w:rsidRDefault="008136E3" w:rsidP="008136E3">
      <w:pPr>
        <w:ind w:left="851"/>
        <w:outlineLvl w:val="0"/>
        <w:rPr>
          <w:sz w:val="24"/>
          <w:szCs w:val="24"/>
        </w:rPr>
      </w:pPr>
      <w:r w:rsidRPr="004534D9">
        <w:rPr>
          <w:sz w:val="24"/>
          <w:szCs w:val="24"/>
        </w:rPr>
        <w:t xml:space="preserve">Ved hudkontakt kan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forårsage længerevarende, smertefrit </w:t>
      </w:r>
      <w:proofErr w:type="spellStart"/>
      <w:r w:rsidRPr="004534D9">
        <w:rPr>
          <w:sz w:val="24"/>
          <w:szCs w:val="24"/>
        </w:rPr>
        <w:t>erytem</w:t>
      </w:r>
      <w:proofErr w:type="spellEnd"/>
      <w:r w:rsidRPr="004534D9">
        <w:rPr>
          <w:sz w:val="24"/>
          <w:szCs w:val="24"/>
        </w:rPr>
        <w:t>. Derfor bør der træffes passende foranstaltninger for at undgå kontakt med hud. Hvis væsken imidlertid uventet kommer i kontakt med huden, skal stedet straks vaskes med rigeligt vand eller fysiologisk saltvand.</w:t>
      </w:r>
    </w:p>
    <w:p w:rsidR="008136E3" w:rsidRPr="004534D9" w:rsidRDefault="008136E3" w:rsidP="008136E3">
      <w:pPr>
        <w:ind w:left="851" w:hanging="851"/>
        <w:outlineLvl w:val="0"/>
        <w:rPr>
          <w:sz w:val="24"/>
          <w:szCs w:val="24"/>
        </w:rPr>
      </w:pPr>
    </w:p>
    <w:p w:rsidR="0021071D" w:rsidRDefault="0021071D" w:rsidP="0021071D">
      <w:pPr>
        <w:ind w:firstLine="851"/>
        <w:outlineLvl w:val="0"/>
        <w:rPr>
          <w:i/>
          <w:iCs/>
        </w:rPr>
      </w:pPr>
      <w:r>
        <w:rPr>
          <w:i/>
        </w:rPr>
        <w:t>Information om hjælpestoffer:</w:t>
      </w:r>
    </w:p>
    <w:p w:rsidR="0021071D" w:rsidRDefault="0021071D" w:rsidP="0021071D">
      <w:pPr>
        <w:ind w:left="851"/>
        <w:outlineLvl w:val="0"/>
      </w:pPr>
      <w:r>
        <w:t xml:space="preserve">Dette lægemiddel indeholder </w:t>
      </w:r>
      <w:proofErr w:type="spellStart"/>
      <w:r>
        <w:t>ethanol</w:t>
      </w:r>
      <w:proofErr w:type="spellEnd"/>
      <w:r>
        <w:t>:</w:t>
      </w:r>
    </w:p>
    <w:p w:rsidR="0021071D" w:rsidRDefault="0021071D" w:rsidP="0021071D">
      <w:pPr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Dette lægemiddel indeholder små mængder </w:t>
      </w:r>
      <w:proofErr w:type="spellStart"/>
      <w:r>
        <w:rPr>
          <w:sz w:val="24"/>
          <w:szCs w:val="24"/>
        </w:rPr>
        <w:t>ethanol</w:t>
      </w:r>
      <w:proofErr w:type="spellEnd"/>
      <w:r>
        <w:rPr>
          <w:sz w:val="24"/>
          <w:szCs w:val="24"/>
        </w:rPr>
        <w:t>, mindre end 100 mg pr. dosis.</w:t>
      </w:r>
    </w:p>
    <w:p w:rsidR="008136E3" w:rsidRPr="004534D9" w:rsidRDefault="008136E3" w:rsidP="008136E3">
      <w:pPr>
        <w:ind w:left="851" w:hanging="851"/>
        <w:outlineLvl w:val="0"/>
        <w:rPr>
          <w:sz w:val="24"/>
          <w:szCs w:val="24"/>
        </w:rPr>
      </w:pPr>
    </w:p>
    <w:p w:rsidR="008136E3" w:rsidRPr="004534D9" w:rsidRDefault="008136E3" w:rsidP="008136E3">
      <w:pPr>
        <w:ind w:left="851"/>
        <w:outlineLvl w:val="0"/>
        <w:rPr>
          <w:sz w:val="24"/>
          <w:szCs w:val="24"/>
        </w:rPr>
      </w:pPr>
      <w:r w:rsidRPr="004534D9">
        <w:rPr>
          <w:sz w:val="24"/>
          <w:szCs w:val="24"/>
        </w:rPr>
        <w:t>Dette lægemiddel indeholder mindre end 1 mmol natrium (23 mg) pr. dosis og anses derfor i princippet for at være "natriumfrit".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4.5</w:t>
      </w:r>
      <w:r w:rsidRPr="004534D9">
        <w:rPr>
          <w:b/>
          <w:sz w:val="24"/>
          <w:szCs w:val="24"/>
        </w:rPr>
        <w:tab/>
        <w:t>Interaktion med andre lægemidler og andre former for interaktion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kan øge den </w:t>
      </w:r>
      <w:proofErr w:type="spellStart"/>
      <w:r w:rsidRPr="004534D9">
        <w:rPr>
          <w:sz w:val="24"/>
          <w:szCs w:val="24"/>
        </w:rPr>
        <w:t>antihypertensive</w:t>
      </w:r>
      <w:proofErr w:type="spellEnd"/>
      <w:r w:rsidRPr="004534D9">
        <w:rPr>
          <w:sz w:val="24"/>
          <w:szCs w:val="24"/>
        </w:rPr>
        <w:t xml:space="preserve"> virkning af beta-receptorblokkere, calciumantagonister, </w:t>
      </w:r>
      <w:proofErr w:type="spellStart"/>
      <w:r w:rsidRPr="004534D9">
        <w:rPr>
          <w:sz w:val="24"/>
          <w:szCs w:val="24"/>
        </w:rPr>
        <w:t>vasodilatatorer</w:t>
      </w:r>
      <w:proofErr w:type="spellEnd"/>
      <w:r w:rsidRPr="004534D9">
        <w:rPr>
          <w:sz w:val="24"/>
          <w:szCs w:val="24"/>
        </w:rPr>
        <w:t xml:space="preserve"> og ACE-</w:t>
      </w:r>
      <w:proofErr w:type="spellStart"/>
      <w:r w:rsidRPr="004534D9">
        <w:rPr>
          <w:sz w:val="24"/>
          <w:szCs w:val="24"/>
        </w:rPr>
        <w:t>hæmmere</w:t>
      </w:r>
      <w:proofErr w:type="spellEnd"/>
      <w:r w:rsidRPr="004534D9">
        <w:rPr>
          <w:sz w:val="24"/>
          <w:szCs w:val="24"/>
        </w:rPr>
        <w:t xml:space="preserve">. Hvis der forekommer signifikant blodtryksfald under behandlingen, kan det korrigeres ved at nedsætte </w:t>
      </w:r>
      <w:proofErr w:type="spellStart"/>
      <w:r w:rsidRPr="004534D9">
        <w:rPr>
          <w:sz w:val="24"/>
          <w:szCs w:val="24"/>
        </w:rPr>
        <w:t>iloprostdosen</w:t>
      </w:r>
      <w:proofErr w:type="spellEnd"/>
      <w:r w:rsidRPr="004534D9">
        <w:rPr>
          <w:sz w:val="24"/>
          <w:szCs w:val="24"/>
        </w:rPr>
        <w:t>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Eftersom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hæmmer </w:t>
      </w:r>
      <w:proofErr w:type="spellStart"/>
      <w:r w:rsidRPr="004534D9">
        <w:rPr>
          <w:sz w:val="24"/>
          <w:szCs w:val="24"/>
        </w:rPr>
        <w:t>trombocytfunktionen</w:t>
      </w:r>
      <w:proofErr w:type="spellEnd"/>
      <w:r w:rsidRPr="004534D9">
        <w:rPr>
          <w:sz w:val="24"/>
          <w:szCs w:val="24"/>
        </w:rPr>
        <w:t xml:space="preserve">, kan samtidig brug af </w:t>
      </w:r>
      <w:proofErr w:type="spellStart"/>
      <w:r w:rsidRPr="004534D9">
        <w:rPr>
          <w:sz w:val="24"/>
          <w:szCs w:val="24"/>
        </w:rPr>
        <w:t>antikoagulantia</w:t>
      </w:r>
      <w:proofErr w:type="spellEnd"/>
      <w:r w:rsidRPr="004534D9">
        <w:rPr>
          <w:sz w:val="24"/>
          <w:szCs w:val="24"/>
        </w:rPr>
        <w:t xml:space="preserve"> (f.eks. </w:t>
      </w:r>
      <w:proofErr w:type="spellStart"/>
      <w:r w:rsidRPr="004534D9">
        <w:rPr>
          <w:sz w:val="24"/>
          <w:szCs w:val="24"/>
        </w:rPr>
        <w:t>heparin</w:t>
      </w:r>
      <w:proofErr w:type="spellEnd"/>
      <w:r w:rsidRPr="004534D9">
        <w:rPr>
          <w:sz w:val="24"/>
          <w:szCs w:val="24"/>
        </w:rPr>
        <w:t xml:space="preserve">, </w:t>
      </w:r>
      <w:proofErr w:type="spellStart"/>
      <w:r w:rsidRPr="004534D9">
        <w:rPr>
          <w:sz w:val="24"/>
          <w:szCs w:val="24"/>
        </w:rPr>
        <w:t>coumarin</w:t>
      </w:r>
      <w:proofErr w:type="spellEnd"/>
      <w:r w:rsidRPr="004534D9">
        <w:rPr>
          <w:sz w:val="24"/>
          <w:szCs w:val="24"/>
        </w:rPr>
        <w:t xml:space="preserve"> </w:t>
      </w:r>
      <w:proofErr w:type="spellStart"/>
      <w:r w:rsidRPr="004534D9">
        <w:rPr>
          <w:sz w:val="24"/>
          <w:szCs w:val="24"/>
        </w:rPr>
        <w:t>antikoagulantia</w:t>
      </w:r>
      <w:proofErr w:type="spellEnd"/>
      <w:r w:rsidRPr="004534D9">
        <w:rPr>
          <w:sz w:val="24"/>
          <w:szCs w:val="24"/>
        </w:rPr>
        <w:t xml:space="preserve">) eller andre </w:t>
      </w:r>
      <w:proofErr w:type="spellStart"/>
      <w:r w:rsidRPr="004534D9">
        <w:rPr>
          <w:sz w:val="24"/>
          <w:szCs w:val="24"/>
        </w:rPr>
        <w:t>trombocytfunktionshæmmende</w:t>
      </w:r>
      <w:proofErr w:type="spellEnd"/>
      <w:r w:rsidRPr="004534D9">
        <w:rPr>
          <w:sz w:val="24"/>
          <w:szCs w:val="24"/>
        </w:rPr>
        <w:t xml:space="preserve"> midler (f.eks. acetylsalicylsyre, non-</w:t>
      </w:r>
      <w:proofErr w:type="spellStart"/>
      <w:r w:rsidRPr="004534D9">
        <w:rPr>
          <w:sz w:val="24"/>
          <w:szCs w:val="24"/>
        </w:rPr>
        <w:t>steroide</w:t>
      </w:r>
      <w:proofErr w:type="spellEnd"/>
      <w:r w:rsidRPr="004534D9">
        <w:rPr>
          <w:sz w:val="24"/>
          <w:szCs w:val="24"/>
        </w:rPr>
        <w:t xml:space="preserve"> antiinflammatoriske midler, </w:t>
      </w:r>
      <w:proofErr w:type="spellStart"/>
      <w:r w:rsidRPr="004534D9">
        <w:rPr>
          <w:sz w:val="24"/>
          <w:szCs w:val="24"/>
        </w:rPr>
        <w:t>phosphodiesterasehæmmere</w:t>
      </w:r>
      <w:proofErr w:type="spellEnd"/>
      <w:r w:rsidRPr="004534D9">
        <w:rPr>
          <w:sz w:val="24"/>
          <w:szCs w:val="24"/>
        </w:rPr>
        <w:t xml:space="preserve"> og nitrater såsom </w:t>
      </w:r>
      <w:proofErr w:type="spellStart"/>
      <w:r w:rsidRPr="004534D9">
        <w:rPr>
          <w:sz w:val="24"/>
          <w:szCs w:val="24"/>
        </w:rPr>
        <w:t>molsidomine</w:t>
      </w:r>
      <w:proofErr w:type="spellEnd"/>
      <w:r w:rsidRPr="004534D9">
        <w:rPr>
          <w:sz w:val="24"/>
          <w:szCs w:val="24"/>
        </w:rPr>
        <w:t xml:space="preserve">) øge blødningsrisikoen. I sådanne tilfælde skal </w:t>
      </w:r>
      <w:proofErr w:type="spellStart"/>
      <w:r w:rsidRPr="004534D9">
        <w:rPr>
          <w:sz w:val="24"/>
          <w:szCs w:val="24"/>
        </w:rPr>
        <w:t>iloprostinfusionen</w:t>
      </w:r>
      <w:proofErr w:type="spellEnd"/>
      <w:r w:rsidRPr="004534D9">
        <w:rPr>
          <w:sz w:val="24"/>
          <w:szCs w:val="24"/>
        </w:rPr>
        <w:t xml:space="preserve"> seponeres.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Under dyreforsøg var det muligt at svække </w:t>
      </w:r>
      <w:proofErr w:type="spellStart"/>
      <w:r w:rsidRPr="004534D9">
        <w:rPr>
          <w:sz w:val="24"/>
          <w:szCs w:val="24"/>
        </w:rPr>
        <w:t>iloprosts</w:t>
      </w:r>
      <w:proofErr w:type="spellEnd"/>
      <w:r w:rsidRPr="004534D9">
        <w:rPr>
          <w:sz w:val="24"/>
          <w:szCs w:val="24"/>
        </w:rPr>
        <w:t xml:space="preserve"> </w:t>
      </w:r>
      <w:proofErr w:type="spellStart"/>
      <w:r w:rsidRPr="004534D9">
        <w:rPr>
          <w:sz w:val="24"/>
          <w:szCs w:val="24"/>
        </w:rPr>
        <w:t>vasodilatatoriske</w:t>
      </w:r>
      <w:proofErr w:type="spellEnd"/>
      <w:r w:rsidRPr="004534D9">
        <w:rPr>
          <w:sz w:val="24"/>
          <w:szCs w:val="24"/>
        </w:rPr>
        <w:t xml:space="preserve"> virkning, hvis dyret blev præmedicineret med </w:t>
      </w:r>
      <w:proofErr w:type="spellStart"/>
      <w:r w:rsidRPr="004534D9">
        <w:rPr>
          <w:sz w:val="24"/>
          <w:szCs w:val="24"/>
        </w:rPr>
        <w:t>glukokortikosteroider</w:t>
      </w:r>
      <w:proofErr w:type="spellEnd"/>
      <w:r w:rsidRPr="004534D9">
        <w:rPr>
          <w:sz w:val="24"/>
          <w:szCs w:val="24"/>
        </w:rPr>
        <w:t xml:space="preserve">. Den hæmmende virkning på </w:t>
      </w:r>
      <w:proofErr w:type="spellStart"/>
      <w:r w:rsidRPr="004534D9">
        <w:rPr>
          <w:sz w:val="24"/>
          <w:szCs w:val="24"/>
        </w:rPr>
        <w:t>trombocytaggregation</w:t>
      </w:r>
      <w:proofErr w:type="spellEnd"/>
      <w:r w:rsidRPr="004534D9">
        <w:rPr>
          <w:sz w:val="24"/>
          <w:szCs w:val="24"/>
        </w:rPr>
        <w:t xml:space="preserve"> forblev dog upåvirket. Betydningen af denne virkning ved administration hos mennesker er stadig ukendt.</w:t>
      </w:r>
    </w:p>
    <w:p w:rsidR="0021071D" w:rsidRDefault="0021071D" w:rsidP="008136E3">
      <w:pPr>
        <w:ind w:left="851"/>
        <w:rPr>
          <w:sz w:val="24"/>
          <w:szCs w:val="24"/>
        </w:rPr>
      </w:pPr>
    </w:p>
    <w:p w:rsidR="0021071D" w:rsidRDefault="0021071D" w:rsidP="0021071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Intravenøs infusion af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påvirker hverken farmakokinetikken af multiple orale doser af </w:t>
      </w:r>
      <w:proofErr w:type="spellStart"/>
      <w:r>
        <w:rPr>
          <w:sz w:val="24"/>
          <w:szCs w:val="24"/>
        </w:rPr>
        <w:t>digoxin</w:t>
      </w:r>
      <w:proofErr w:type="spellEnd"/>
      <w:r>
        <w:rPr>
          <w:sz w:val="24"/>
          <w:szCs w:val="24"/>
        </w:rPr>
        <w:t xml:space="preserve"> eller farmakokinetikken af samtidigt administreret </w:t>
      </w:r>
      <w:proofErr w:type="spellStart"/>
      <w:r>
        <w:rPr>
          <w:sz w:val="24"/>
          <w:szCs w:val="24"/>
        </w:rPr>
        <w:t>vævsplasminogenaktivator</w:t>
      </w:r>
      <w:proofErr w:type="spellEnd"/>
      <w:r>
        <w:rPr>
          <w:sz w:val="24"/>
          <w:szCs w:val="24"/>
        </w:rPr>
        <w:t xml:space="preserve"> (t-PA) hos patienter.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Selvom der ikke er udført kliniske studier, har </w:t>
      </w:r>
      <w:r w:rsidRPr="004534D9">
        <w:rPr>
          <w:i/>
          <w:sz w:val="24"/>
          <w:szCs w:val="24"/>
        </w:rPr>
        <w:t xml:space="preserve">in </w:t>
      </w:r>
      <w:proofErr w:type="spellStart"/>
      <w:r w:rsidRPr="004534D9">
        <w:rPr>
          <w:i/>
          <w:sz w:val="24"/>
          <w:szCs w:val="24"/>
        </w:rPr>
        <w:t>vitro</w:t>
      </w:r>
      <w:proofErr w:type="spellEnd"/>
      <w:r w:rsidRPr="004534D9">
        <w:rPr>
          <w:sz w:val="24"/>
          <w:szCs w:val="24"/>
        </w:rPr>
        <w:t xml:space="preserve">-forskning, der undersøgte </w:t>
      </w:r>
      <w:proofErr w:type="spellStart"/>
      <w:r w:rsidRPr="004534D9">
        <w:rPr>
          <w:sz w:val="24"/>
          <w:szCs w:val="24"/>
        </w:rPr>
        <w:t>iloprosts</w:t>
      </w:r>
      <w:proofErr w:type="spellEnd"/>
      <w:r w:rsidRPr="004534D9">
        <w:rPr>
          <w:sz w:val="24"/>
          <w:szCs w:val="24"/>
        </w:rPr>
        <w:t xml:space="preserve"> hæmmende virkning på </w:t>
      </w:r>
      <w:proofErr w:type="spellStart"/>
      <w:r w:rsidRPr="004534D9">
        <w:rPr>
          <w:sz w:val="24"/>
          <w:szCs w:val="24"/>
        </w:rPr>
        <w:t>cytokrom</w:t>
      </w:r>
      <w:proofErr w:type="spellEnd"/>
      <w:r w:rsidRPr="004534D9">
        <w:rPr>
          <w:sz w:val="24"/>
          <w:szCs w:val="24"/>
        </w:rPr>
        <w:t xml:space="preserve"> P450 enzymers aktivitet, vist, at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ikke forventes at forårsage nogen relevant hæmning af lægemiddelmetabolismen via disse enzymer.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4.6</w:t>
      </w:r>
      <w:r w:rsidRPr="004534D9">
        <w:rPr>
          <w:b/>
          <w:sz w:val="24"/>
          <w:szCs w:val="24"/>
        </w:rPr>
        <w:tab/>
      </w:r>
      <w:bookmarkStart w:id="1" w:name="_Hlk121742971"/>
      <w:r w:rsidR="00D56750" w:rsidRPr="00BA4587">
        <w:rPr>
          <w:b/>
          <w:noProof/>
          <w:sz w:val="24"/>
          <w:szCs w:val="24"/>
        </w:rPr>
        <w:t>Fertilitet, g</w:t>
      </w:r>
      <w:r w:rsidR="00D56750" w:rsidRPr="00BA4587">
        <w:rPr>
          <w:b/>
          <w:sz w:val="24"/>
          <w:szCs w:val="24"/>
        </w:rPr>
        <w:t>raviditet og amning</w:t>
      </w:r>
      <w:bookmarkEnd w:id="1"/>
    </w:p>
    <w:p w:rsidR="008136E3" w:rsidRDefault="005C758D" w:rsidP="008136E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Waymade</w:t>
      </w:r>
      <w:proofErr w:type="spellEnd"/>
      <w:r>
        <w:rPr>
          <w:sz w:val="24"/>
          <w:szCs w:val="24"/>
        </w:rPr>
        <w:t>"</w:t>
      </w:r>
      <w:r w:rsidR="008136E3" w:rsidRPr="004534D9">
        <w:rPr>
          <w:sz w:val="24"/>
          <w:szCs w:val="24"/>
        </w:rPr>
        <w:t xml:space="preserve"> må ikke administreres under graviditet eller amning (se pkt. 4.3).</w:t>
      </w:r>
    </w:p>
    <w:p w:rsidR="0021071D" w:rsidRDefault="0021071D" w:rsidP="008136E3">
      <w:pPr>
        <w:ind w:left="851"/>
        <w:rPr>
          <w:sz w:val="24"/>
          <w:szCs w:val="24"/>
        </w:rPr>
      </w:pPr>
    </w:p>
    <w:p w:rsidR="0021071D" w:rsidRDefault="0021071D" w:rsidP="0021071D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Kvinder i den fertile alder/Prævention hos mænd og kvinder</w:t>
      </w:r>
    </w:p>
    <w:p w:rsidR="0021071D" w:rsidRDefault="0021071D" w:rsidP="0021071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Da risikoen ved behandling med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under graviditet er ukendt, bør kvinder i den fertile alder anvende effektiv prævention under behandling med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>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1B30BD" w:rsidRDefault="008136E3" w:rsidP="008136E3">
      <w:pPr>
        <w:ind w:left="851"/>
        <w:rPr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Graviditet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lastRenderedPageBreak/>
        <w:t xml:space="preserve">Der er ingen dokumenterede data fra anvendelse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under graviditet hos mennesker. Dyreforsøg har påvist reproduktionstoksicitet (se pkt. 5.3). Den potentielle risiko for mennesker er ukendt. </w:t>
      </w:r>
      <w:proofErr w:type="spellStart"/>
      <w:r w:rsidR="005C758D">
        <w:rPr>
          <w:sz w:val="24"/>
          <w:szCs w:val="24"/>
        </w:rPr>
        <w:t>Iloprost</w:t>
      </w:r>
      <w:proofErr w:type="spellEnd"/>
      <w:r w:rsidR="005C758D">
        <w:rPr>
          <w:sz w:val="24"/>
          <w:szCs w:val="24"/>
        </w:rPr>
        <w:t xml:space="preserve"> "</w:t>
      </w:r>
      <w:proofErr w:type="spellStart"/>
      <w:r w:rsidR="005C758D">
        <w:rPr>
          <w:sz w:val="24"/>
          <w:szCs w:val="24"/>
        </w:rPr>
        <w:t>Waymade</w:t>
      </w:r>
      <w:proofErr w:type="spellEnd"/>
      <w:r w:rsidR="005C758D">
        <w:rPr>
          <w:sz w:val="24"/>
          <w:szCs w:val="24"/>
        </w:rPr>
        <w:t>"</w:t>
      </w:r>
      <w:r w:rsidRPr="004534D9">
        <w:rPr>
          <w:sz w:val="24"/>
          <w:szCs w:val="24"/>
        </w:rPr>
        <w:t xml:space="preserve"> må ikke administreres under graviditet.</w:t>
      </w:r>
    </w:p>
    <w:p w:rsidR="008136E3" w:rsidRPr="004534D9" w:rsidRDefault="008136E3" w:rsidP="008136E3">
      <w:pPr>
        <w:ind w:left="851" w:hanging="851"/>
        <w:rPr>
          <w:i/>
          <w:iCs/>
          <w:sz w:val="24"/>
          <w:szCs w:val="24"/>
        </w:rPr>
      </w:pPr>
    </w:p>
    <w:p w:rsidR="008136E3" w:rsidRPr="001B30BD" w:rsidRDefault="008136E3" w:rsidP="008136E3">
      <w:pPr>
        <w:ind w:left="851"/>
        <w:rPr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Amning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Det er ukendt, om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udskilles i human mælk. Der udskilles ekstremt små mængder i mælken hos rotter. Der bør ikke ammes under behandling med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>.</w:t>
      </w:r>
    </w:p>
    <w:p w:rsidR="008136E3" w:rsidRDefault="008136E3" w:rsidP="008136E3">
      <w:pPr>
        <w:ind w:left="851"/>
        <w:textAlignment w:val="baseline"/>
        <w:rPr>
          <w:i/>
          <w:color w:val="000000"/>
          <w:sz w:val="24"/>
          <w:szCs w:val="24"/>
        </w:rPr>
      </w:pPr>
    </w:p>
    <w:p w:rsidR="0021071D" w:rsidRDefault="0021071D" w:rsidP="0021071D">
      <w:pPr>
        <w:ind w:left="851"/>
        <w:textAlignment w:val="baseline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Fertilitet </w:t>
      </w:r>
    </w:p>
    <w:p w:rsidR="0021071D" w:rsidRDefault="0021071D" w:rsidP="0021071D">
      <w:pPr>
        <w:ind w:left="851"/>
        <w:rPr>
          <w:sz w:val="24"/>
          <w:szCs w:val="24"/>
        </w:rPr>
      </w:pPr>
      <w:r>
        <w:rPr>
          <w:sz w:val="24"/>
          <w:szCs w:val="24"/>
        </w:rPr>
        <w:t>Dyreforsøg tyder ikke på direkte eller indirekte skadelige virkninger med hensyn til fertilitet.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4.7</w:t>
      </w:r>
      <w:r w:rsidRPr="004534D9">
        <w:rPr>
          <w:b/>
          <w:sz w:val="24"/>
          <w:szCs w:val="24"/>
        </w:rPr>
        <w:tab/>
      </w:r>
      <w:bookmarkStart w:id="2" w:name="_Hlk121750171"/>
      <w:r w:rsidR="00D56750" w:rsidRPr="00BA4587">
        <w:rPr>
          <w:b/>
          <w:sz w:val="24"/>
          <w:szCs w:val="24"/>
        </w:rPr>
        <w:t xml:space="preserve">Virkning på evnen til at føre motorkøretøj </w:t>
      </w:r>
      <w:r w:rsidR="00D56750" w:rsidRPr="00BA4587">
        <w:rPr>
          <w:b/>
          <w:noProof/>
          <w:sz w:val="24"/>
          <w:szCs w:val="24"/>
        </w:rPr>
        <w:t>og</w:t>
      </w:r>
      <w:r w:rsidR="00D56750" w:rsidRPr="00BA4587">
        <w:rPr>
          <w:b/>
          <w:sz w:val="24"/>
          <w:szCs w:val="24"/>
        </w:rPr>
        <w:t xml:space="preserve"> betjene maskiner</w:t>
      </w:r>
      <w:bookmarkEnd w:id="2"/>
    </w:p>
    <w:p w:rsidR="008136E3" w:rsidRDefault="008136E3" w:rsidP="008136E3">
      <w:pPr>
        <w:spacing w:line="260" w:lineRule="exact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Ikke mærkning.</w:t>
      </w:r>
    </w:p>
    <w:p w:rsidR="008136E3" w:rsidRPr="004534D9" w:rsidRDefault="008136E3" w:rsidP="008136E3">
      <w:pPr>
        <w:spacing w:line="260" w:lineRule="exact"/>
        <w:ind w:left="851"/>
        <w:rPr>
          <w:sz w:val="24"/>
          <w:szCs w:val="24"/>
        </w:rPr>
      </w:pPr>
      <w:r w:rsidRPr="004534D9">
        <w:rPr>
          <w:color w:val="000000"/>
          <w:sz w:val="24"/>
          <w:szCs w:val="24"/>
        </w:rPr>
        <w:t>Ikke relevant</w:t>
      </w:r>
      <w:r w:rsidRPr="004534D9">
        <w:rPr>
          <w:sz w:val="24"/>
          <w:szCs w:val="24"/>
        </w:rPr>
        <w:t>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4.8</w:t>
      </w:r>
      <w:r w:rsidRPr="004534D9">
        <w:rPr>
          <w:b/>
          <w:sz w:val="24"/>
          <w:szCs w:val="24"/>
        </w:rPr>
        <w:tab/>
        <w:t>Bivirkninger</w:t>
      </w:r>
    </w:p>
    <w:p w:rsidR="008136E3" w:rsidRDefault="008136E3" w:rsidP="008136E3">
      <w:pPr>
        <w:ind w:left="851" w:hanging="851"/>
        <w:rPr>
          <w:i/>
          <w:sz w:val="24"/>
          <w:szCs w:val="24"/>
        </w:rPr>
      </w:pPr>
    </w:p>
    <w:p w:rsidR="008136E3" w:rsidRPr="001B30BD" w:rsidRDefault="008136E3" w:rsidP="008136E3">
      <w:pPr>
        <w:ind w:left="851"/>
        <w:rPr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Resumé af sikkerhedsprofil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De mest almindelige, observerede bivirkninger (≥10 %) hos patienter, der får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i kliniske studier, er hovedpine, </w:t>
      </w:r>
      <w:proofErr w:type="spellStart"/>
      <w:r w:rsidRPr="004534D9">
        <w:rPr>
          <w:sz w:val="24"/>
          <w:szCs w:val="24"/>
        </w:rPr>
        <w:t>blussen</w:t>
      </w:r>
      <w:proofErr w:type="spellEnd"/>
      <w:r w:rsidRPr="004534D9">
        <w:rPr>
          <w:sz w:val="24"/>
          <w:szCs w:val="24"/>
        </w:rPr>
        <w:t xml:space="preserve">, kvalme, opkastning og </w:t>
      </w:r>
      <w:proofErr w:type="spellStart"/>
      <w:r w:rsidRPr="004534D9">
        <w:rPr>
          <w:sz w:val="24"/>
          <w:szCs w:val="24"/>
        </w:rPr>
        <w:t>hyperhidrose</w:t>
      </w:r>
      <w:proofErr w:type="spellEnd"/>
      <w:r w:rsidRPr="004534D9">
        <w:rPr>
          <w:sz w:val="24"/>
          <w:szCs w:val="24"/>
        </w:rPr>
        <w:t>. Disse bivirkninger sker mest sandsynligt under dosistitrering i begyndelsen af behandlingen. I de fleste tilfælde forsvinder alle disse bivirkninger hurtigt, når dosen nedsættes.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De mest alvorlige bivirkninger hos patienter, der får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, er hjerneblødning, myokardieinfarkt, </w:t>
      </w:r>
      <w:proofErr w:type="spellStart"/>
      <w:r w:rsidRPr="004534D9">
        <w:rPr>
          <w:sz w:val="24"/>
          <w:szCs w:val="24"/>
        </w:rPr>
        <w:t>lungeemboli</w:t>
      </w:r>
      <w:proofErr w:type="spellEnd"/>
      <w:r w:rsidRPr="004534D9">
        <w:rPr>
          <w:sz w:val="24"/>
          <w:szCs w:val="24"/>
        </w:rPr>
        <w:t xml:space="preserve">, hjertesvigt, konvulsioner, hypotension, </w:t>
      </w:r>
      <w:proofErr w:type="spellStart"/>
      <w:r w:rsidRPr="004534D9">
        <w:rPr>
          <w:sz w:val="24"/>
          <w:szCs w:val="24"/>
        </w:rPr>
        <w:t>takykardi</w:t>
      </w:r>
      <w:proofErr w:type="spellEnd"/>
      <w:r w:rsidRPr="004534D9">
        <w:rPr>
          <w:sz w:val="24"/>
          <w:szCs w:val="24"/>
        </w:rPr>
        <w:t>, astma, angina pectoris, dyspnø og lungeødem.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En anden gruppe bivirkninger er relateret til lokale reaktioner på infusionsstedet. F.eks. rødme og smerter på infusionsstedet eller </w:t>
      </w:r>
      <w:proofErr w:type="spellStart"/>
      <w:r w:rsidRPr="004534D9">
        <w:rPr>
          <w:sz w:val="24"/>
          <w:szCs w:val="24"/>
        </w:rPr>
        <w:t>kutan</w:t>
      </w:r>
      <w:proofErr w:type="spellEnd"/>
      <w:r w:rsidRPr="004534D9">
        <w:rPr>
          <w:sz w:val="24"/>
          <w:szCs w:val="24"/>
        </w:rPr>
        <w:t xml:space="preserve"> vasodilatation, hvilket kan forårsage stribeformet </w:t>
      </w:r>
      <w:proofErr w:type="spellStart"/>
      <w:r w:rsidRPr="004534D9">
        <w:rPr>
          <w:sz w:val="24"/>
          <w:szCs w:val="24"/>
        </w:rPr>
        <w:t>erytem</w:t>
      </w:r>
      <w:proofErr w:type="spellEnd"/>
      <w:r w:rsidRPr="004534D9">
        <w:rPr>
          <w:sz w:val="24"/>
          <w:szCs w:val="24"/>
        </w:rPr>
        <w:t xml:space="preserve"> over infusionsvenen.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Den overordnede sikkerhedsprofil for </w:t>
      </w:r>
      <w:proofErr w:type="spellStart"/>
      <w:r w:rsidR="005C758D">
        <w:rPr>
          <w:sz w:val="24"/>
          <w:szCs w:val="24"/>
        </w:rPr>
        <w:t>Iloprost</w:t>
      </w:r>
      <w:proofErr w:type="spellEnd"/>
      <w:r w:rsidR="005C758D">
        <w:rPr>
          <w:sz w:val="24"/>
          <w:szCs w:val="24"/>
        </w:rPr>
        <w:t xml:space="preserve"> "</w:t>
      </w:r>
      <w:proofErr w:type="spellStart"/>
      <w:r w:rsidR="005C758D">
        <w:rPr>
          <w:sz w:val="24"/>
          <w:szCs w:val="24"/>
        </w:rPr>
        <w:t>Waymade</w:t>
      </w:r>
      <w:proofErr w:type="spellEnd"/>
      <w:r w:rsidR="005C758D">
        <w:rPr>
          <w:sz w:val="24"/>
          <w:szCs w:val="24"/>
        </w:rPr>
        <w:t>"</w:t>
      </w:r>
      <w:r w:rsidRPr="004534D9">
        <w:rPr>
          <w:sz w:val="24"/>
          <w:szCs w:val="24"/>
        </w:rPr>
        <w:t xml:space="preserve"> er baseret på data fra overvågning efter markedsføringen og på </w:t>
      </w:r>
      <w:proofErr w:type="spellStart"/>
      <w:r w:rsidRPr="004534D9">
        <w:rPr>
          <w:sz w:val="24"/>
          <w:szCs w:val="24"/>
        </w:rPr>
        <w:t>poolede</w:t>
      </w:r>
      <w:proofErr w:type="spellEnd"/>
      <w:r w:rsidRPr="004534D9">
        <w:rPr>
          <w:sz w:val="24"/>
          <w:szCs w:val="24"/>
        </w:rPr>
        <w:t xml:space="preserve"> data fra kliniske studier. Hyppighed er baseret på den kumulative database med 3.325 patienter, der fik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i kontrollerede eller ukontrollerede kliniske studier eller i et program med særlig udleveringstilladelse, med generelt ældre og multimorbide patienter med PAOD i stadium III og IV eller patienter med </w:t>
      </w:r>
      <w:proofErr w:type="spellStart"/>
      <w:r w:rsidRPr="004534D9">
        <w:rPr>
          <w:sz w:val="24"/>
          <w:szCs w:val="24"/>
        </w:rPr>
        <w:t>thromboangioitis</w:t>
      </w:r>
      <w:proofErr w:type="spellEnd"/>
      <w:r w:rsidRPr="004534D9">
        <w:rPr>
          <w:sz w:val="24"/>
          <w:szCs w:val="24"/>
        </w:rPr>
        <w:t xml:space="preserve"> </w:t>
      </w:r>
      <w:proofErr w:type="spellStart"/>
      <w:r w:rsidRPr="004534D9">
        <w:rPr>
          <w:sz w:val="24"/>
          <w:szCs w:val="24"/>
        </w:rPr>
        <w:t>obliterans</w:t>
      </w:r>
      <w:proofErr w:type="spellEnd"/>
      <w:r w:rsidRPr="004534D9">
        <w:rPr>
          <w:sz w:val="24"/>
          <w:szCs w:val="24"/>
        </w:rPr>
        <w:t xml:space="preserve"> (TAO). Se yderligere oplysninger i skemaet.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1B30BD" w:rsidRDefault="008136E3" w:rsidP="008136E3">
      <w:pPr>
        <w:ind w:left="851"/>
        <w:rPr>
          <w:iCs/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Skema over bivirkninger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De bivirkninger, der er observeret med </w:t>
      </w:r>
      <w:proofErr w:type="spellStart"/>
      <w:r w:rsidR="005C758D">
        <w:rPr>
          <w:sz w:val="24"/>
          <w:szCs w:val="24"/>
        </w:rPr>
        <w:t>Iloprost</w:t>
      </w:r>
      <w:proofErr w:type="spellEnd"/>
      <w:r w:rsidR="005C758D">
        <w:rPr>
          <w:sz w:val="24"/>
          <w:szCs w:val="24"/>
        </w:rPr>
        <w:t xml:space="preserve"> "</w:t>
      </w:r>
      <w:proofErr w:type="spellStart"/>
      <w:r w:rsidR="005C758D">
        <w:rPr>
          <w:sz w:val="24"/>
          <w:szCs w:val="24"/>
        </w:rPr>
        <w:t>Waymade</w:t>
      </w:r>
      <w:proofErr w:type="spellEnd"/>
      <w:r w:rsidR="005C758D">
        <w:rPr>
          <w:sz w:val="24"/>
          <w:szCs w:val="24"/>
        </w:rPr>
        <w:t>"</w:t>
      </w:r>
      <w:r w:rsidRPr="004534D9">
        <w:rPr>
          <w:sz w:val="24"/>
          <w:szCs w:val="24"/>
        </w:rPr>
        <w:t xml:space="preserve">, er anført i nedenstående skema. De er organiseret efter systemorganklasser. Den mest passende </w:t>
      </w:r>
      <w:proofErr w:type="spellStart"/>
      <w:r w:rsidRPr="004534D9">
        <w:rPr>
          <w:sz w:val="24"/>
          <w:szCs w:val="24"/>
        </w:rPr>
        <w:t>MedDRA</w:t>
      </w:r>
      <w:proofErr w:type="spellEnd"/>
      <w:r w:rsidRPr="004534D9">
        <w:rPr>
          <w:sz w:val="24"/>
          <w:szCs w:val="24"/>
        </w:rPr>
        <w:t>-term er anvendt til at beskrive visse bivirkninger samt synonymer og relaterede tilstande.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Bivirkningerne fra kliniske studier er organiseret efter hyppighed. Hyppigheden er inddelt i grupper, der er defineret som følger: </w:t>
      </w:r>
      <w:r w:rsidR="001B30BD">
        <w:rPr>
          <w:sz w:val="24"/>
          <w:szCs w:val="24"/>
        </w:rPr>
        <w:t>M</w:t>
      </w:r>
      <w:r w:rsidRPr="004534D9">
        <w:rPr>
          <w:sz w:val="24"/>
          <w:szCs w:val="24"/>
        </w:rPr>
        <w:t>eget almindelig ≥ 1/10, almindelig ≥ 1/100 til &lt; 1/10, ikke almindelig ≥ 1/1.000 til &lt; 1/100, sjælden ≥ 1/10.000 til &lt; 1/10.000 eller meget sjælden (&lt; 1/1.000).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1278"/>
        <w:gridCol w:w="2471"/>
        <w:gridCol w:w="2060"/>
        <w:gridCol w:w="1149"/>
      </w:tblGrid>
      <w:tr w:rsidR="008136E3" w:rsidRPr="005C6F4A" w:rsidTr="0025562F">
        <w:trPr>
          <w:trHeight w:val="20"/>
          <w:tblHeader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b/>
                <w:sz w:val="22"/>
                <w:szCs w:val="22"/>
              </w:rPr>
            </w:pPr>
            <w:r w:rsidRPr="005C6F4A">
              <w:rPr>
                <w:b/>
                <w:sz w:val="22"/>
                <w:szCs w:val="22"/>
              </w:rPr>
              <w:lastRenderedPageBreak/>
              <w:t>Systemorganklasser (</w:t>
            </w:r>
            <w:proofErr w:type="spellStart"/>
            <w:r w:rsidRPr="005C6F4A">
              <w:rPr>
                <w:b/>
                <w:sz w:val="22"/>
                <w:szCs w:val="22"/>
              </w:rPr>
              <w:t>MedDRA</w:t>
            </w:r>
            <w:proofErr w:type="spellEnd"/>
            <w:r w:rsidRPr="005C6F4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b/>
                <w:sz w:val="22"/>
                <w:szCs w:val="22"/>
              </w:rPr>
            </w:pPr>
            <w:r w:rsidRPr="005C6F4A">
              <w:rPr>
                <w:b/>
                <w:sz w:val="22"/>
                <w:szCs w:val="22"/>
              </w:rPr>
              <w:t>Meget almindelig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b/>
                <w:sz w:val="22"/>
                <w:szCs w:val="22"/>
              </w:rPr>
            </w:pPr>
            <w:r w:rsidRPr="005C6F4A">
              <w:rPr>
                <w:b/>
                <w:sz w:val="22"/>
                <w:szCs w:val="22"/>
              </w:rPr>
              <w:t>Almindelig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b/>
                <w:sz w:val="22"/>
                <w:szCs w:val="22"/>
              </w:rPr>
            </w:pPr>
            <w:r w:rsidRPr="005C6F4A">
              <w:rPr>
                <w:b/>
                <w:sz w:val="22"/>
                <w:szCs w:val="22"/>
              </w:rPr>
              <w:t>Ikke almindelig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b/>
                <w:sz w:val="22"/>
                <w:szCs w:val="22"/>
              </w:rPr>
            </w:pPr>
            <w:r w:rsidRPr="005C6F4A">
              <w:rPr>
                <w:b/>
                <w:sz w:val="22"/>
                <w:szCs w:val="22"/>
              </w:rPr>
              <w:t>Sjælden</w:t>
            </w: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pacing w:val="-4"/>
                <w:sz w:val="22"/>
                <w:szCs w:val="22"/>
              </w:rPr>
              <w:t>Blod og lymfesystem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z w:val="22"/>
                <w:szCs w:val="22"/>
              </w:rPr>
              <w:t>Trombocytopeni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pacing w:val="-4"/>
                <w:sz w:val="22"/>
                <w:szCs w:val="22"/>
              </w:rPr>
              <w:t>Immunsystemet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Overfølsomhed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Metabolisme og ernæring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Nedsat appetit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Psykiske forstyrrelser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Apati, forvirring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Angst, depression, hallucinationer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Nervesystemet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Hovedpine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Svimmelhed/</w:t>
            </w:r>
            <w:proofErr w:type="spellStart"/>
            <w:r w:rsidRPr="005C6F4A">
              <w:rPr>
                <w:sz w:val="22"/>
                <w:szCs w:val="22"/>
              </w:rPr>
              <w:t>vertigo</w:t>
            </w:r>
            <w:proofErr w:type="spellEnd"/>
            <w:r w:rsidRPr="005C6F4A">
              <w:rPr>
                <w:sz w:val="22"/>
                <w:szCs w:val="22"/>
              </w:rPr>
              <w:t xml:space="preserve">, </w:t>
            </w:r>
            <w:proofErr w:type="spellStart"/>
            <w:r w:rsidRPr="005C6F4A">
              <w:rPr>
                <w:sz w:val="22"/>
                <w:szCs w:val="22"/>
              </w:rPr>
              <w:t>paræstesi</w:t>
            </w:r>
            <w:proofErr w:type="spellEnd"/>
            <w:r w:rsidRPr="005C6F4A">
              <w:rPr>
                <w:sz w:val="22"/>
                <w:szCs w:val="22"/>
              </w:rPr>
              <w:t>/dunkende følelse/</w:t>
            </w:r>
            <w:proofErr w:type="spellStart"/>
            <w:r w:rsidRPr="005C6F4A">
              <w:rPr>
                <w:sz w:val="22"/>
                <w:szCs w:val="22"/>
              </w:rPr>
              <w:t>hyperæstesi</w:t>
            </w:r>
            <w:proofErr w:type="spellEnd"/>
            <w:r w:rsidRPr="005C6F4A">
              <w:rPr>
                <w:sz w:val="22"/>
                <w:szCs w:val="22"/>
              </w:rPr>
              <w:t>/</w:t>
            </w:r>
          </w:p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brændende fornemmelse, rastløshed/uro, sedation, sløvhed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Krampe*</w:t>
            </w:r>
          </w:p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pacing w:val="-3"/>
                <w:sz w:val="22"/>
                <w:szCs w:val="22"/>
              </w:rPr>
              <w:t xml:space="preserve">Synkope, </w:t>
            </w:r>
            <w:proofErr w:type="spellStart"/>
            <w:r w:rsidRPr="005C6F4A">
              <w:rPr>
                <w:spacing w:val="-3"/>
                <w:sz w:val="22"/>
                <w:szCs w:val="22"/>
              </w:rPr>
              <w:t>tremor</w:t>
            </w:r>
            <w:proofErr w:type="spellEnd"/>
            <w:r w:rsidRPr="005C6F4A">
              <w:rPr>
                <w:spacing w:val="-3"/>
                <w:sz w:val="22"/>
                <w:szCs w:val="22"/>
              </w:rPr>
              <w:t>, migræne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Øjne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z w:val="22"/>
                <w:szCs w:val="22"/>
              </w:rPr>
              <w:t>Tågesyn</w:t>
            </w:r>
            <w:proofErr w:type="spellEnd"/>
            <w:r w:rsidRPr="005C6F4A">
              <w:rPr>
                <w:sz w:val="22"/>
                <w:szCs w:val="22"/>
              </w:rPr>
              <w:t>, øjenirritation, øjensmerter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Øre og labyrint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pacing w:val="-3"/>
                <w:sz w:val="22"/>
                <w:szCs w:val="22"/>
              </w:rPr>
              <w:t>Vestibulære</w:t>
            </w:r>
            <w:proofErr w:type="spellEnd"/>
            <w:r w:rsidRPr="005C6F4A">
              <w:rPr>
                <w:spacing w:val="-3"/>
                <w:sz w:val="22"/>
                <w:szCs w:val="22"/>
              </w:rPr>
              <w:t xml:space="preserve"> lidelser</w:t>
            </w: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Hjerte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z w:val="22"/>
                <w:szCs w:val="22"/>
              </w:rPr>
              <w:t>Takykardi</w:t>
            </w:r>
            <w:proofErr w:type="spellEnd"/>
            <w:r w:rsidRPr="005C6F4A">
              <w:rPr>
                <w:sz w:val="22"/>
                <w:szCs w:val="22"/>
              </w:rPr>
              <w:t>*, bradykardi, angina pectoris*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pacing w:val="-1"/>
                <w:sz w:val="22"/>
                <w:szCs w:val="22"/>
              </w:rPr>
              <w:t xml:space="preserve">Myokardieinfarkt*, hjerteinsufficiens*, </w:t>
            </w:r>
            <w:proofErr w:type="spellStart"/>
            <w:r w:rsidRPr="005C6F4A">
              <w:rPr>
                <w:spacing w:val="-1"/>
                <w:sz w:val="22"/>
                <w:szCs w:val="22"/>
              </w:rPr>
              <w:t>arytmi</w:t>
            </w:r>
            <w:proofErr w:type="spellEnd"/>
            <w:r w:rsidRPr="005C6F4A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5C6F4A">
              <w:rPr>
                <w:spacing w:val="-1"/>
                <w:sz w:val="22"/>
                <w:szCs w:val="22"/>
              </w:rPr>
              <w:t>ekstrasystoli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z w:val="22"/>
                <w:szCs w:val="22"/>
              </w:rPr>
              <w:t>Vaskulære</w:t>
            </w:r>
            <w:proofErr w:type="spellEnd"/>
            <w:r w:rsidRPr="005C6F4A">
              <w:rPr>
                <w:sz w:val="22"/>
                <w:szCs w:val="22"/>
              </w:rPr>
              <w:t xml:space="preserve"> sygdomme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z w:val="22"/>
                <w:szCs w:val="22"/>
              </w:rPr>
              <w:t>Blussen</w:t>
            </w:r>
            <w:proofErr w:type="spellEnd"/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Hypotension*, hypertension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pacing w:val="-1"/>
                <w:sz w:val="22"/>
                <w:szCs w:val="22"/>
              </w:rPr>
              <w:t>Cerebrovaskulær</w:t>
            </w:r>
            <w:proofErr w:type="spellEnd"/>
            <w:r w:rsidRPr="005C6F4A">
              <w:rPr>
                <w:spacing w:val="-1"/>
                <w:sz w:val="22"/>
                <w:szCs w:val="22"/>
              </w:rPr>
              <w:t xml:space="preserve"> </w:t>
            </w:r>
            <w:r w:rsidRPr="005C6F4A">
              <w:rPr>
                <w:sz w:val="22"/>
                <w:szCs w:val="22"/>
              </w:rPr>
              <w:t>hændelse*/cerebral iskæmi</w:t>
            </w:r>
          </w:p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z w:val="22"/>
                <w:szCs w:val="22"/>
              </w:rPr>
              <w:t>Lungeemboli</w:t>
            </w:r>
            <w:proofErr w:type="spellEnd"/>
            <w:r w:rsidRPr="005C6F4A">
              <w:rPr>
                <w:sz w:val="22"/>
                <w:szCs w:val="22"/>
              </w:rPr>
              <w:t>*</w:t>
            </w:r>
          </w:p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Dyb</w:t>
            </w:r>
            <w:r>
              <w:rPr>
                <w:sz w:val="22"/>
                <w:szCs w:val="22"/>
              </w:rPr>
              <w:t xml:space="preserve"> </w:t>
            </w:r>
            <w:r w:rsidRPr="005C6F4A">
              <w:rPr>
                <w:sz w:val="22"/>
                <w:szCs w:val="22"/>
              </w:rPr>
              <w:t>venetrombose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 xml:space="preserve">Luftveje, thorax og </w:t>
            </w:r>
            <w:proofErr w:type="spellStart"/>
            <w:r w:rsidRPr="005C6F4A">
              <w:rPr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Dyspnø*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Astma*, lungeødem*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Hoste</w:t>
            </w: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Mave-tarm-kanalen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Kvalme, opkastning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Diarré, mavebesvær/mavesmerter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 xml:space="preserve">Blodig diarré, </w:t>
            </w:r>
            <w:proofErr w:type="spellStart"/>
            <w:r w:rsidRPr="005C6F4A">
              <w:rPr>
                <w:sz w:val="22"/>
                <w:szCs w:val="22"/>
              </w:rPr>
              <w:t>rektal</w:t>
            </w:r>
            <w:proofErr w:type="spellEnd"/>
            <w:r w:rsidRPr="005C6F4A">
              <w:rPr>
                <w:sz w:val="22"/>
                <w:szCs w:val="22"/>
              </w:rPr>
              <w:t xml:space="preserve"> blødning, dyspepsi, </w:t>
            </w:r>
            <w:proofErr w:type="spellStart"/>
            <w:r w:rsidRPr="005C6F4A">
              <w:rPr>
                <w:sz w:val="22"/>
                <w:szCs w:val="22"/>
              </w:rPr>
              <w:t>rektal</w:t>
            </w:r>
            <w:proofErr w:type="spellEnd"/>
            <w:r w:rsidRPr="005C6F4A">
              <w:rPr>
                <w:sz w:val="22"/>
                <w:szCs w:val="22"/>
              </w:rPr>
              <w:t xml:space="preserve"> </w:t>
            </w:r>
            <w:proofErr w:type="spellStart"/>
            <w:r w:rsidRPr="005C6F4A">
              <w:rPr>
                <w:sz w:val="22"/>
                <w:szCs w:val="22"/>
              </w:rPr>
              <w:t>tenesmus</w:t>
            </w:r>
            <w:proofErr w:type="spellEnd"/>
            <w:r w:rsidRPr="005C6F4A">
              <w:rPr>
                <w:sz w:val="22"/>
                <w:szCs w:val="22"/>
              </w:rPr>
              <w:t xml:space="preserve">, obstipation, opstød, </w:t>
            </w:r>
            <w:proofErr w:type="spellStart"/>
            <w:r w:rsidRPr="005C6F4A">
              <w:rPr>
                <w:sz w:val="22"/>
                <w:szCs w:val="22"/>
              </w:rPr>
              <w:t>dysfagi</w:t>
            </w:r>
            <w:proofErr w:type="spellEnd"/>
            <w:r w:rsidRPr="005C6F4A">
              <w:rPr>
                <w:sz w:val="22"/>
                <w:szCs w:val="22"/>
              </w:rPr>
              <w:t xml:space="preserve">, mundtørhed, </w:t>
            </w:r>
            <w:proofErr w:type="spellStart"/>
            <w:r w:rsidRPr="005C6F4A">
              <w:rPr>
                <w:sz w:val="22"/>
                <w:szCs w:val="22"/>
              </w:rPr>
              <w:t>dysgeusi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z w:val="22"/>
                <w:szCs w:val="22"/>
              </w:rPr>
              <w:t>Proktit</w:t>
            </w:r>
            <w:proofErr w:type="spellEnd"/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Lever og galdeveje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Gulsot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Hud og subkutane væv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z w:val="22"/>
                <w:szCs w:val="22"/>
              </w:rPr>
              <w:t>Hyperhidrose</w:t>
            </w:r>
            <w:proofErr w:type="spellEnd"/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Kløe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Knogler, led, muskler og bindevæv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 xml:space="preserve">Smerter i </w:t>
            </w:r>
            <w:proofErr w:type="spellStart"/>
            <w:r w:rsidRPr="005C6F4A">
              <w:rPr>
                <w:sz w:val="22"/>
                <w:szCs w:val="22"/>
              </w:rPr>
              <w:t>masseter</w:t>
            </w:r>
            <w:proofErr w:type="spellEnd"/>
            <w:r w:rsidRPr="005C6F4A">
              <w:rPr>
                <w:sz w:val="22"/>
                <w:szCs w:val="22"/>
              </w:rPr>
              <w:t xml:space="preserve">, </w:t>
            </w:r>
            <w:proofErr w:type="spellStart"/>
            <w:r w:rsidRPr="005C6F4A">
              <w:rPr>
                <w:sz w:val="22"/>
                <w:szCs w:val="22"/>
              </w:rPr>
              <w:t>trismus</w:t>
            </w:r>
            <w:proofErr w:type="spellEnd"/>
            <w:r w:rsidRPr="005C6F4A">
              <w:rPr>
                <w:sz w:val="22"/>
                <w:szCs w:val="22"/>
              </w:rPr>
              <w:t xml:space="preserve">, myalgi, </w:t>
            </w:r>
            <w:proofErr w:type="spellStart"/>
            <w:r w:rsidRPr="005C6F4A">
              <w:rPr>
                <w:sz w:val="22"/>
                <w:szCs w:val="22"/>
              </w:rPr>
              <w:t>artralgi</w:t>
            </w:r>
            <w:proofErr w:type="spellEnd"/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Tetani/muskelspasmer</w:t>
            </w:r>
          </w:p>
          <w:p w:rsidR="008136E3" w:rsidRPr="005C6F4A" w:rsidRDefault="008136E3" w:rsidP="0025562F">
            <w:pPr>
              <w:rPr>
                <w:sz w:val="22"/>
                <w:szCs w:val="22"/>
              </w:rPr>
            </w:pPr>
            <w:proofErr w:type="spellStart"/>
            <w:r w:rsidRPr="005C6F4A">
              <w:rPr>
                <w:sz w:val="22"/>
                <w:szCs w:val="22"/>
              </w:rPr>
              <w:t>Hypertoni</w:t>
            </w:r>
            <w:proofErr w:type="spellEnd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Nyrer og urinveje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pacing w:val="-1"/>
                <w:sz w:val="22"/>
                <w:szCs w:val="22"/>
              </w:rPr>
              <w:t xml:space="preserve">Nyresmerter, smertefulde blærespasmer, </w:t>
            </w:r>
            <w:proofErr w:type="spellStart"/>
            <w:r w:rsidRPr="005C6F4A">
              <w:rPr>
                <w:spacing w:val="-1"/>
                <w:sz w:val="22"/>
                <w:szCs w:val="22"/>
              </w:rPr>
              <w:t>abnormalitet</w:t>
            </w:r>
            <w:proofErr w:type="spellEnd"/>
            <w:r w:rsidRPr="005C6F4A">
              <w:rPr>
                <w:spacing w:val="-1"/>
                <w:sz w:val="22"/>
                <w:szCs w:val="22"/>
              </w:rPr>
              <w:t xml:space="preserve"> i urinvejene, vandladningsbesvær, urinvejssygdomme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  <w:tr w:rsidR="008136E3" w:rsidRPr="005C6F4A" w:rsidTr="0025562F">
        <w:trPr>
          <w:trHeight w:val="20"/>
        </w:trPr>
        <w:tc>
          <w:tcPr>
            <w:tcW w:w="1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pacing w:val="-1"/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  <w:r w:rsidRPr="005C6F4A">
              <w:rPr>
                <w:sz w:val="22"/>
                <w:szCs w:val="22"/>
              </w:rPr>
              <w:t>Smerter, feber/forhøjet legemstemperatur, varmefølelse, asteni/utilpashed, kulderystelser, træthed, tørst, reaktion på infusionsstedet (</w:t>
            </w:r>
            <w:proofErr w:type="spellStart"/>
            <w:r w:rsidRPr="005C6F4A">
              <w:rPr>
                <w:sz w:val="22"/>
                <w:szCs w:val="22"/>
              </w:rPr>
              <w:t>erytem</w:t>
            </w:r>
            <w:proofErr w:type="spellEnd"/>
            <w:r w:rsidRPr="005C6F4A">
              <w:rPr>
                <w:sz w:val="22"/>
                <w:szCs w:val="22"/>
              </w:rPr>
              <w:t>, smerter, årebetændelse)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36E3" w:rsidRPr="005C6F4A" w:rsidRDefault="008136E3" w:rsidP="0025562F">
            <w:pPr>
              <w:rPr>
                <w:sz w:val="22"/>
                <w:szCs w:val="22"/>
              </w:rPr>
            </w:pPr>
          </w:p>
        </w:tc>
      </w:tr>
    </w:tbl>
    <w:p w:rsidR="008136E3" w:rsidRPr="004534D9" w:rsidRDefault="008136E3" w:rsidP="008136E3">
      <w:pPr>
        <w:ind w:left="851" w:hanging="851"/>
        <w:rPr>
          <w:sz w:val="24"/>
          <w:szCs w:val="24"/>
        </w:rPr>
      </w:pPr>
      <w:r w:rsidRPr="004534D9">
        <w:rPr>
          <w:sz w:val="24"/>
          <w:szCs w:val="24"/>
        </w:rPr>
        <w:t>* Der er indberettet livstruende og/eller fatale tilfælde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kan fremkalde anginaanfald, især hos patienter med koronararteriesygdom.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Der er øget blødningsrisiko for patienter, der får samtidig administration af </w:t>
      </w:r>
      <w:proofErr w:type="spellStart"/>
      <w:r w:rsidRPr="004534D9">
        <w:rPr>
          <w:sz w:val="24"/>
          <w:szCs w:val="24"/>
        </w:rPr>
        <w:t>trombocytaggregationshæmmere</w:t>
      </w:r>
      <w:proofErr w:type="spellEnd"/>
      <w:r w:rsidRPr="004534D9">
        <w:rPr>
          <w:sz w:val="24"/>
          <w:szCs w:val="24"/>
        </w:rPr>
        <w:t xml:space="preserve">, </w:t>
      </w:r>
      <w:proofErr w:type="spellStart"/>
      <w:r w:rsidRPr="004534D9">
        <w:rPr>
          <w:sz w:val="24"/>
          <w:szCs w:val="24"/>
        </w:rPr>
        <w:t>heparin</w:t>
      </w:r>
      <w:proofErr w:type="spellEnd"/>
      <w:r w:rsidRPr="004534D9">
        <w:rPr>
          <w:sz w:val="24"/>
          <w:szCs w:val="24"/>
        </w:rPr>
        <w:t xml:space="preserve"> eller </w:t>
      </w:r>
      <w:proofErr w:type="spellStart"/>
      <w:r w:rsidRPr="004534D9">
        <w:rPr>
          <w:sz w:val="24"/>
          <w:szCs w:val="24"/>
        </w:rPr>
        <w:t>coumarin</w:t>
      </w:r>
      <w:proofErr w:type="spellEnd"/>
      <w:r w:rsidRPr="004534D9">
        <w:rPr>
          <w:sz w:val="24"/>
          <w:szCs w:val="24"/>
        </w:rPr>
        <w:t xml:space="preserve"> </w:t>
      </w:r>
      <w:proofErr w:type="spellStart"/>
      <w:r w:rsidRPr="004534D9">
        <w:rPr>
          <w:sz w:val="24"/>
          <w:szCs w:val="24"/>
        </w:rPr>
        <w:t>antikoagulantia</w:t>
      </w:r>
      <w:proofErr w:type="spellEnd"/>
      <w:r w:rsidRPr="004534D9">
        <w:rPr>
          <w:sz w:val="24"/>
          <w:szCs w:val="24"/>
        </w:rPr>
        <w:t>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4534D9">
        <w:rPr>
          <w:sz w:val="24"/>
          <w:szCs w:val="24"/>
          <w:u w:val="single"/>
        </w:rPr>
        <w:t>Indberetning af formodede bivirkninger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4534D9">
        <w:rPr>
          <w:sz w:val="24"/>
          <w:szCs w:val="24"/>
        </w:rPr>
        <w:t>risk</w:t>
      </w:r>
      <w:proofErr w:type="spellEnd"/>
      <w:r w:rsidRPr="004534D9">
        <w:rPr>
          <w:sz w:val="24"/>
          <w:szCs w:val="24"/>
        </w:rPr>
        <w:t xml:space="preserve">-forholdet for lægemidlet. </w:t>
      </w:r>
      <w:r w:rsidR="001B30BD">
        <w:rPr>
          <w:sz w:val="24"/>
          <w:szCs w:val="24"/>
        </w:rPr>
        <w:t>Sundhedspersoner</w:t>
      </w:r>
      <w:r w:rsidRPr="004534D9">
        <w:rPr>
          <w:sz w:val="24"/>
          <w:szCs w:val="24"/>
        </w:rPr>
        <w:t xml:space="preserve"> anmodes om at indberette alle formodede bivirkninger via: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Lægemiddelstyrelsen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Axel Heides Gade 1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DK-2300 København S</w:t>
      </w:r>
    </w:p>
    <w:p w:rsidR="008136E3" w:rsidRPr="009D4C28" w:rsidRDefault="008136E3" w:rsidP="008136E3">
      <w:pPr>
        <w:ind w:left="851"/>
        <w:rPr>
          <w:sz w:val="24"/>
          <w:szCs w:val="24"/>
        </w:rPr>
      </w:pPr>
      <w:r w:rsidRPr="009D4C28">
        <w:rPr>
          <w:sz w:val="24"/>
          <w:szCs w:val="24"/>
        </w:rPr>
        <w:t>Websted: www.meldenbivirkning.dk</w:t>
      </w:r>
    </w:p>
    <w:p w:rsidR="008136E3" w:rsidRPr="009D4C28" w:rsidRDefault="008136E3" w:rsidP="008136E3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4.9</w:t>
      </w:r>
      <w:r w:rsidRPr="004534D9">
        <w:rPr>
          <w:b/>
          <w:sz w:val="24"/>
          <w:szCs w:val="24"/>
        </w:rPr>
        <w:tab/>
        <w:t>Overdosering</w:t>
      </w:r>
    </w:p>
    <w:p w:rsidR="001B30BD" w:rsidRDefault="001B30BD" w:rsidP="008136E3">
      <w:pPr>
        <w:ind w:left="851"/>
        <w:rPr>
          <w:i/>
          <w:sz w:val="24"/>
          <w:szCs w:val="24"/>
        </w:rPr>
      </w:pPr>
    </w:p>
    <w:p w:rsidR="008136E3" w:rsidRPr="001B30BD" w:rsidRDefault="008136E3" w:rsidP="008136E3">
      <w:pPr>
        <w:ind w:left="851"/>
        <w:rPr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Symptomer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Der kan forventes en </w:t>
      </w:r>
      <w:proofErr w:type="spellStart"/>
      <w:r w:rsidRPr="004534D9">
        <w:rPr>
          <w:sz w:val="24"/>
          <w:szCs w:val="24"/>
        </w:rPr>
        <w:t>hypotensiv</w:t>
      </w:r>
      <w:proofErr w:type="spellEnd"/>
      <w:r w:rsidRPr="004534D9">
        <w:rPr>
          <w:sz w:val="24"/>
          <w:szCs w:val="24"/>
        </w:rPr>
        <w:t xml:space="preserve"> reaktion samt hovedpine, </w:t>
      </w:r>
      <w:proofErr w:type="spellStart"/>
      <w:r w:rsidRPr="004534D9">
        <w:rPr>
          <w:sz w:val="24"/>
          <w:szCs w:val="24"/>
        </w:rPr>
        <w:t>blussen</w:t>
      </w:r>
      <w:proofErr w:type="spellEnd"/>
      <w:r w:rsidRPr="004534D9">
        <w:rPr>
          <w:sz w:val="24"/>
          <w:szCs w:val="24"/>
        </w:rPr>
        <w:t xml:space="preserve">, kvalme, opkastning og diarré. Det er også muligt, at der vil forekomme forhøjet blodtryk, bradykardi eller </w:t>
      </w:r>
      <w:proofErr w:type="spellStart"/>
      <w:r w:rsidRPr="004534D9">
        <w:rPr>
          <w:sz w:val="24"/>
          <w:szCs w:val="24"/>
        </w:rPr>
        <w:t>takykardi</w:t>
      </w:r>
      <w:proofErr w:type="spellEnd"/>
      <w:r w:rsidRPr="004534D9">
        <w:rPr>
          <w:sz w:val="24"/>
          <w:szCs w:val="24"/>
        </w:rPr>
        <w:t xml:space="preserve"> samt ekstremitets- eller rygsmerter.</w:t>
      </w:r>
    </w:p>
    <w:p w:rsidR="008136E3" w:rsidRPr="004534D9" w:rsidRDefault="008136E3" w:rsidP="008136E3">
      <w:pPr>
        <w:ind w:left="851" w:hanging="851"/>
        <w:rPr>
          <w:iCs/>
          <w:sz w:val="24"/>
          <w:szCs w:val="24"/>
        </w:rPr>
      </w:pPr>
    </w:p>
    <w:p w:rsidR="008136E3" w:rsidRPr="001B30BD" w:rsidRDefault="008136E3" w:rsidP="008136E3">
      <w:pPr>
        <w:ind w:left="851"/>
        <w:rPr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Behandling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Der er ikke nogen specifik </w:t>
      </w:r>
      <w:proofErr w:type="spellStart"/>
      <w:r w:rsidRPr="004534D9">
        <w:rPr>
          <w:sz w:val="24"/>
          <w:szCs w:val="24"/>
        </w:rPr>
        <w:t>antidot</w:t>
      </w:r>
      <w:proofErr w:type="spellEnd"/>
      <w:r w:rsidRPr="004534D9">
        <w:rPr>
          <w:sz w:val="24"/>
          <w:szCs w:val="24"/>
        </w:rPr>
        <w:t>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 xml:space="preserve">Det anbefales at seponere administration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>, overvåge patienten og anvende symptomatisk behandling.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4.10</w:t>
      </w:r>
      <w:r w:rsidRPr="004534D9">
        <w:rPr>
          <w:b/>
          <w:sz w:val="24"/>
          <w:szCs w:val="24"/>
        </w:rPr>
        <w:tab/>
        <w:t>Udlevering</w:t>
      </w:r>
    </w:p>
    <w:p w:rsidR="00FB5C99" w:rsidRDefault="00FB5C99" w:rsidP="008136E3">
      <w:pPr>
        <w:ind w:left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B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5.</w:t>
      </w:r>
      <w:r w:rsidRPr="004534D9">
        <w:rPr>
          <w:b/>
          <w:sz w:val="24"/>
          <w:szCs w:val="24"/>
        </w:rPr>
        <w:tab/>
        <w:t>FARMAKOLOGISKE EGENSKABER</w:t>
      </w:r>
    </w:p>
    <w:p w:rsidR="008136E3" w:rsidRPr="004534D9" w:rsidRDefault="008136E3" w:rsidP="00D56750">
      <w:pPr>
        <w:rPr>
          <w:sz w:val="24"/>
          <w:szCs w:val="24"/>
        </w:rPr>
      </w:pPr>
    </w:p>
    <w:p w:rsidR="008136E3" w:rsidRDefault="008136E3" w:rsidP="00D56750">
      <w:pPr>
        <w:ind w:left="851"/>
        <w:outlineLvl w:val="0"/>
        <w:rPr>
          <w:sz w:val="24"/>
          <w:szCs w:val="24"/>
        </w:rPr>
      </w:pPr>
      <w:r w:rsidRPr="004534D9">
        <w:rPr>
          <w:b/>
          <w:sz w:val="24"/>
          <w:szCs w:val="24"/>
        </w:rPr>
        <w:t>5.1</w:t>
      </w:r>
      <w:r w:rsidRPr="004534D9">
        <w:rPr>
          <w:b/>
          <w:sz w:val="24"/>
          <w:szCs w:val="24"/>
        </w:rPr>
        <w:tab/>
      </w:r>
      <w:proofErr w:type="spellStart"/>
      <w:r w:rsidRPr="004534D9">
        <w:rPr>
          <w:b/>
          <w:sz w:val="24"/>
          <w:szCs w:val="24"/>
        </w:rPr>
        <w:t>Farmakodynamiske</w:t>
      </w:r>
      <w:proofErr w:type="spellEnd"/>
      <w:r w:rsidRPr="004534D9">
        <w:rPr>
          <w:b/>
          <w:sz w:val="24"/>
          <w:szCs w:val="24"/>
        </w:rPr>
        <w:t xml:space="preserve"> egenskaber</w:t>
      </w:r>
      <w:r w:rsidR="00D56750">
        <w:rPr>
          <w:b/>
          <w:sz w:val="24"/>
          <w:szCs w:val="24"/>
        </w:rPr>
        <w:br/>
      </w:r>
      <w:r w:rsidR="00D56750">
        <w:rPr>
          <w:sz w:val="24"/>
          <w:szCs w:val="24"/>
        </w:rPr>
        <w:t>Blodplade-</w:t>
      </w:r>
      <w:proofErr w:type="spellStart"/>
      <w:r w:rsidR="00D56750" w:rsidRPr="00C861E7">
        <w:rPr>
          <w:sz w:val="24"/>
          <w:szCs w:val="24"/>
        </w:rPr>
        <w:t>aggregationshæmmere</w:t>
      </w:r>
      <w:proofErr w:type="spellEnd"/>
      <w:r w:rsidR="00D56750" w:rsidRPr="00C861E7">
        <w:rPr>
          <w:sz w:val="24"/>
          <w:szCs w:val="24"/>
        </w:rPr>
        <w:t xml:space="preserve">, eksklusive </w:t>
      </w:r>
      <w:proofErr w:type="spellStart"/>
      <w:r w:rsidR="00D56750" w:rsidRPr="00C861E7">
        <w:rPr>
          <w:sz w:val="24"/>
          <w:szCs w:val="24"/>
        </w:rPr>
        <w:t>heparin</w:t>
      </w:r>
      <w:proofErr w:type="spellEnd"/>
      <w:r w:rsidR="00D56750">
        <w:rPr>
          <w:sz w:val="24"/>
          <w:szCs w:val="24"/>
        </w:rPr>
        <w:t xml:space="preserve">, </w:t>
      </w:r>
      <w:r w:rsidR="00D56750" w:rsidRPr="00C861E7">
        <w:rPr>
          <w:sz w:val="24"/>
          <w:szCs w:val="24"/>
        </w:rPr>
        <w:t>ATC-kode: B</w:t>
      </w:r>
      <w:r w:rsidR="00D56750">
        <w:rPr>
          <w:sz w:val="24"/>
          <w:szCs w:val="24"/>
        </w:rPr>
        <w:t xml:space="preserve"> </w:t>
      </w:r>
      <w:r w:rsidR="00D56750" w:rsidRPr="00C861E7">
        <w:rPr>
          <w:sz w:val="24"/>
          <w:szCs w:val="24"/>
        </w:rPr>
        <w:t>01</w:t>
      </w:r>
      <w:r w:rsidR="00D56750">
        <w:rPr>
          <w:sz w:val="24"/>
          <w:szCs w:val="24"/>
        </w:rPr>
        <w:t xml:space="preserve"> </w:t>
      </w:r>
      <w:r w:rsidR="00D56750" w:rsidRPr="00C861E7">
        <w:rPr>
          <w:sz w:val="24"/>
          <w:szCs w:val="24"/>
        </w:rPr>
        <w:t>AC</w:t>
      </w:r>
      <w:r w:rsidR="00D56750">
        <w:rPr>
          <w:sz w:val="24"/>
          <w:szCs w:val="24"/>
        </w:rPr>
        <w:t xml:space="preserve"> </w:t>
      </w:r>
      <w:r w:rsidR="00D56750" w:rsidRPr="00C861E7">
        <w:rPr>
          <w:sz w:val="24"/>
          <w:szCs w:val="24"/>
        </w:rPr>
        <w:t>11</w:t>
      </w:r>
      <w:r w:rsidR="00D56750">
        <w:rPr>
          <w:sz w:val="24"/>
          <w:szCs w:val="24"/>
        </w:rPr>
        <w:t>.</w:t>
      </w:r>
    </w:p>
    <w:p w:rsidR="00D56750" w:rsidRPr="00D56750" w:rsidRDefault="00D56750" w:rsidP="00D56750">
      <w:pPr>
        <w:ind w:left="851"/>
        <w:outlineLvl w:val="0"/>
        <w:rPr>
          <w:sz w:val="24"/>
          <w:szCs w:val="24"/>
        </w:rPr>
      </w:pPr>
    </w:p>
    <w:p w:rsidR="008136E3" w:rsidRPr="004534D9" w:rsidRDefault="008136E3" w:rsidP="008136E3">
      <w:pPr>
        <w:numPr>
          <w:ilvl w:val="12"/>
          <w:numId w:val="0"/>
        </w:numPr>
        <w:ind w:left="851"/>
        <w:rPr>
          <w:iCs/>
          <w:sz w:val="24"/>
          <w:szCs w:val="24"/>
        </w:rPr>
      </w:pP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er en syntetisk </w:t>
      </w:r>
      <w:proofErr w:type="spellStart"/>
      <w:r w:rsidRPr="004534D9">
        <w:rPr>
          <w:sz w:val="24"/>
          <w:szCs w:val="24"/>
        </w:rPr>
        <w:t>prostacyclinanalog</w:t>
      </w:r>
      <w:proofErr w:type="spellEnd"/>
      <w:r w:rsidRPr="004534D9">
        <w:rPr>
          <w:sz w:val="24"/>
          <w:szCs w:val="24"/>
        </w:rPr>
        <w:t>. Der er observeret følgende farmakologiske virkninger:</w:t>
      </w:r>
    </w:p>
    <w:p w:rsidR="008136E3" w:rsidRPr="001B30BD" w:rsidRDefault="008136E3" w:rsidP="001B30BD">
      <w:pPr>
        <w:pStyle w:val="Listeafsnit"/>
        <w:numPr>
          <w:ilvl w:val="0"/>
          <w:numId w:val="8"/>
        </w:numPr>
        <w:ind w:left="1134" w:hanging="283"/>
        <w:rPr>
          <w:iCs/>
          <w:sz w:val="24"/>
          <w:szCs w:val="24"/>
        </w:rPr>
      </w:pPr>
      <w:r w:rsidRPr="001B30BD">
        <w:rPr>
          <w:sz w:val="24"/>
          <w:szCs w:val="24"/>
        </w:rPr>
        <w:t xml:space="preserve">Hæmning af </w:t>
      </w:r>
      <w:proofErr w:type="spellStart"/>
      <w:r w:rsidRPr="001B30BD">
        <w:rPr>
          <w:sz w:val="24"/>
          <w:szCs w:val="24"/>
        </w:rPr>
        <w:t>trombocytaggregation</w:t>
      </w:r>
      <w:proofErr w:type="spellEnd"/>
      <w:r w:rsidRPr="001B30BD">
        <w:rPr>
          <w:sz w:val="24"/>
          <w:szCs w:val="24"/>
        </w:rPr>
        <w:t xml:space="preserve">, </w:t>
      </w:r>
      <w:proofErr w:type="spellStart"/>
      <w:r w:rsidRPr="001B30BD">
        <w:rPr>
          <w:sz w:val="24"/>
          <w:szCs w:val="24"/>
        </w:rPr>
        <w:t>trombocytadhæsion</w:t>
      </w:r>
      <w:proofErr w:type="spellEnd"/>
      <w:r w:rsidRPr="001B30BD">
        <w:rPr>
          <w:sz w:val="24"/>
          <w:szCs w:val="24"/>
        </w:rPr>
        <w:t xml:space="preserve"> og ”frigivelsesreaktion”</w:t>
      </w:r>
    </w:p>
    <w:p w:rsidR="008136E3" w:rsidRPr="001B30BD" w:rsidRDefault="008136E3" w:rsidP="001B30BD">
      <w:pPr>
        <w:pStyle w:val="Listeafsnit"/>
        <w:numPr>
          <w:ilvl w:val="0"/>
          <w:numId w:val="8"/>
        </w:numPr>
        <w:ind w:left="1134" w:hanging="283"/>
        <w:rPr>
          <w:iCs/>
          <w:sz w:val="24"/>
          <w:szCs w:val="24"/>
        </w:rPr>
      </w:pPr>
      <w:r w:rsidRPr="001B30BD">
        <w:rPr>
          <w:sz w:val="24"/>
          <w:szCs w:val="24"/>
        </w:rPr>
        <w:t xml:space="preserve">Dilatation af </w:t>
      </w:r>
      <w:proofErr w:type="spellStart"/>
      <w:r w:rsidRPr="001B30BD">
        <w:rPr>
          <w:sz w:val="24"/>
          <w:szCs w:val="24"/>
        </w:rPr>
        <w:t>arterioler</w:t>
      </w:r>
      <w:proofErr w:type="spellEnd"/>
      <w:r w:rsidRPr="001B30BD">
        <w:rPr>
          <w:sz w:val="24"/>
          <w:szCs w:val="24"/>
        </w:rPr>
        <w:t xml:space="preserve"> og </w:t>
      </w:r>
      <w:proofErr w:type="spellStart"/>
      <w:r w:rsidRPr="001B30BD">
        <w:rPr>
          <w:sz w:val="24"/>
          <w:szCs w:val="24"/>
        </w:rPr>
        <w:t>venoler</w:t>
      </w:r>
      <w:proofErr w:type="spellEnd"/>
    </w:p>
    <w:p w:rsidR="008136E3" w:rsidRPr="001B30BD" w:rsidRDefault="008136E3" w:rsidP="001B30BD">
      <w:pPr>
        <w:pStyle w:val="Listeafsnit"/>
        <w:numPr>
          <w:ilvl w:val="0"/>
          <w:numId w:val="8"/>
        </w:numPr>
        <w:ind w:left="1134" w:hanging="283"/>
        <w:rPr>
          <w:iCs/>
          <w:sz w:val="24"/>
          <w:szCs w:val="24"/>
        </w:rPr>
      </w:pPr>
      <w:r w:rsidRPr="001B30BD">
        <w:rPr>
          <w:sz w:val="24"/>
          <w:szCs w:val="24"/>
        </w:rPr>
        <w:t xml:space="preserve">Øget </w:t>
      </w:r>
      <w:proofErr w:type="spellStart"/>
      <w:r w:rsidRPr="001B30BD">
        <w:rPr>
          <w:sz w:val="24"/>
          <w:szCs w:val="24"/>
        </w:rPr>
        <w:t>kapillær</w:t>
      </w:r>
      <w:proofErr w:type="spellEnd"/>
      <w:r w:rsidRPr="001B30BD">
        <w:rPr>
          <w:sz w:val="24"/>
          <w:szCs w:val="24"/>
        </w:rPr>
        <w:t xml:space="preserve"> densitet og reduktion af øget karpermeabilitet forårsaget af </w:t>
      </w:r>
      <w:proofErr w:type="spellStart"/>
      <w:r w:rsidRPr="001B30BD">
        <w:rPr>
          <w:sz w:val="24"/>
          <w:szCs w:val="24"/>
        </w:rPr>
        <w:t>mediatorer</w:t>
      </w:r>
      <w:proofErr w:type="spellEnd"/>
      <w:r w:rsidRPr="001B30BD">
        <w:rPr>
          <w:sz w:val="24"/>
          <w:szCs w:val="24"/>
        </w:rPr>
        <w:t xml:space="preserve"> såsom serotonin og histamin i mikrocirkulationen</w:t>
      </w:r>
    </w:p>
    <w:p w:rsidR="008136E3" w:rsidRPr="001B30BD" w:rsidRDefault="008136E3" w:rsidP="001B30BD">
      <w:pPr>
        <w:pStyle w:val="Listeafsnit"/>
        <w:numPr>
          <w:ilvl w:val="0"/>
          <w:numId w:val="8"/>
        </w:numPr>
        <w:ind w:left="1134" w:hanging="283"/>
        <w:rPr>
          <w:iCs/>
          <w:sz w:val="24"/>
          <w:szCs w:val="24"/>
        </w:rPr>
      </w:pPr>
      <w:r w:rsidRPr="001B30BD">
        <w:rPr>
          <w:sz w:val="24"/>
          <w:szCs w:val="24"/>
        </w:rPr>
        <w:t xml:space="preserve">Stimulation af endogen </w:t>
      </w:r>
      <w:proofErr w:type="spellStart"/>
      <w:r w:rsidRPr="001B30BD">
        <w:rPr>
          <w:sz w:val="24"/>
          <w:szCs w:val="24"/>
        </w:rPr>
        <w:t>fibrinolyse</w:t>
      </w:r>
      <w:proofErr w:type="spellEnd"/>
    </w:p>
    <w:p w:rsidR="008136E3" w:rsidRPr="001B30BD" w:rsidRDefault="008136E3" w:rsidP="001B30BD">
      <w:pPr>
        <w:pStyle w:val="Listeafsnit"/>
        <w:numPr>
          <w:ilvl w:val="0"/>
          <w:numId w:val="8"/>
        </w:numPr>
        <w:ind w:left="1134" w:hanging="283"/>
        <w:rPr>
          <w:iCs/>
          <w:sz w:val="24"/>
          <w:szCs w:val="24"/>
        </w:rPr>
      </w:pPr>
      <w:r w:rsidRPr="001B30BD">
        <w:rPr>
          <w:sz w:val="24"/>
          <w:szCs w:val="24"/>
        </w:rPr>
        <w:t xml:space="preserve">Antiinflammatoriske virkninger såsom hæmning af leukocytadhæsion efter en læsion på </w:t>
      </w:r>
      <w:proofErr w:type="spellStart"/>
      <w:r w:rsidRPr="001B30BD">
        <w:rPr>
          <w:sz w:val="24"/>
          <w:szCs w:val="24"/>
        </w:rPr>
        <w:t>endothelet</w:t>
      </w:r>
      <w:proofErr w:type="spellEnd"/>
      <w:r w:rsidRPr="001B30BD">
        <w:rPr>
          <w:sz w:val="24"/>
          <w:szCs w:val="24"/>
        </w:rPr>
        <w:t xml:space="preserve"> og af leukocytakkumulation i beskadiget væv samt reduceret frigivelse af tumornekrosefaktor.</w:t>
      </w:r>
    </w:p>
    <w:p w:rsidR="008136E3" w:rsidRPr="004534D9" w:rsidRDefault="008136E3" w:rsidP="001B30BD">
      <w:pPr>
        <w:ind w:left="1134" w:hanging="283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5.2</w:t>
      </w:r>
      <w:r w:rsidRPr="004534D9">
        <w:rPr>
          <w:b/>
          <w:sz w:val="24"/>
          <w:szCs w:val="24"/>
        </w:rPr>
        <w:tab/>
      </w:r>
      <w:proofErr w:type="spellStart"/>
      <w:r w:rsidRPr="004534D9">
        <w:rPr>
          <w:b/>
          <w:sz w:val="24"/>
          <w:szCs w:val="24"/>
        </w:rPr>
        <w:t>Farmakokinetiske</w:t>
      </w:r>
      <w:proofErr w:type="spellEnd"/>
      <w:r w:rsidRPr="004534D9">
        <w:rPr>
          <w:b/>
          <w:sz w:val="24"/>
          <w:szCs w:val="24"/>
        </w:rPr>
        <w:t xml:space="preserve"> egenskaber</w:t>
      </w:r>
    </w:p>
    <w:p w:rsidR="008136E3" w:rsidRDefault="008136E3" w:rsidP="008136E3">
      <w:pPr>
        <w:numPr>
          <w:ilvl w:val="12"/>
          <w:numId w:val="0"/>
        </w:numPr>
        <w:spacing w:line="260" w:lineRule="exact"/>
        <w:ind w:left="851" w:right="-2" w:hanging="851"/>
        <w:rPr>
          <w:i/>
          <w:sz w:val="24"/>
          <w:szCs w:val="24"/>
        </w:rPr>
      </w:pPr>
    </w:p>
    <w:p w:rsidR="008136E3" w:rsidRPr="001B30BD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lastRenderedPageBreak/>
        <w:t>Fordeling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/>
          <w:iCs/>
          <w:sz w:val="24"/>
          <w:szCs w:val="24"/>
        </w:rPr>
      </w:pPr>
      <w:proofErr w:type="spellStart"/>
      <w:r w:rsidRPr="004534D9">
        <w:rPr>
          <w:sz w:val="24"/>
          <w:szCs w:val="24"/>
        </w:rPr>
        <w:t>Steady</w:t>
      </w:r>
      <w:proofErr w:type="spellEnd"/>
      <w:r>
        <w:rPr>
          <w:sz w:val="24"/>
          <w:szCs w:val="24"/>
        </w:rPr>
        <w:t>-</w:t>
      </w:r>
      <w:r w:rsidRPr="004534D9">
        <w:rPr>
          <w:sz w:val="24"/>
          <w:szCs w:val="24"/>
        </w:rPr>
        <w:t xml:space="preserve">state-niveauet i plasma opnås så tidligt som 10-20 minutter efter start på en intravenøs infusion. Der er et lineært forhold mellem infusionshastighed og </w:t>
      </w:r>
      <w:proofErr w:type="spellStart"/>
      <w:r>
        <w:rPr>
          <w:sz w:val="24"/>
          <w:szCs w:val="24"/>
        </w:rPr>
        <w:t>steady</w:t>
      </w:r>
      <w:proofErr w:type="spellEnd"/>
      <w:r>
        <w:rPr>
          <w:sz w:val="24"/>
          <w:szCs w:val="24"/>
        </w:rPr>
        <w:t>-</w:t>
      </w:r>
      <w:r w:rsidRPr="004534D9">
        <w:rPr>
          <w:sz w:val="24"/>
          <w:szCs w:val="24"/>
        </w:rPr>
        <w:t>state</w:t>
      </w:r>
      <w:r>
        <w:rPr>
          <w:sz w:val="24"/>
          <w:szCs w:val="24"/>
        </w:rPr>
        <w:t>-</w:t>
      </w:r>
      <w:r w:rsidRPr="004534D9">
        <w:rPr>
          <w:sz w:val="24"/>
          <w:szCs w:val="24"/>
        </w:rPr>
        <w:t>niveauer i plasma. Ved en infusionshastighed på 3 </w:t>
      </w:r>
      <w:proofErr w:type="spellStart"/>
      <w:r w:rsidRPr="004534D9">
        <w:rPr>
          <w:sz w:val="24"/>
          <w:szCs w:val="24"/>
        </w:rPr>
        <w:t>ng</w:t>
      </w:r>
      <w:proofErr w:type="spellEnd"/>
      <w:r w:rsidRPr="004534D9">
        <w:rPr>
          <w:sz w:val="24"/>
          <w:szCs w:val="24"/>
        </w:rPr>
        <w:t>/kg/min opnås der et plasmaniveau på 135 ± 24 </w:t>
      </w:r>
      <w:proofErr w:type="spellStart"/>
      <w:r w:rsidRPr="004534D9">
        <w:rPr>
          <w:sz w:val="24"/>
          <w:szCs w:val="24"/>
        </w:rPr>
        <w:t>pg</w:t>
      </w:r>
      <w:proofErr w:type="spellEnd"/>
      <w:r w:rsidRPr="004534D9">
        <w:rPr>
          <w:sz w:val="24"/>
          <w:szCs w:val="24"/>
        </w:rPr>
        <w:t xml:space="preserve">/ml. Når infusionen er standset, falder koncentrationen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i plasma meget hurtigt på grund af den høje metaboliske omdannelseshastighed.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4534D9">
        <w:rPr>
          <w:sz w:val="24"/>
          <w:szCs w:val="24"/>
        </w:rPr>
        <w:t xml:space="preserve">Metabolisk </w:t>
      </w:r>
      <w:proofErr w:type="spellStart"/>
      <w:r w:rsidRPr="004534D9">
        <w:rPr>
          <w:sz w:val="24"/>
          <w:szCs w:val="24"/>
        </w:rPr>
        <w:t>clearance</w:t>
      </w:r>
      <w:proofErr w:type="spellEnd"/>
      <w:r w:rsidRPr="004534D9">
        <w:rPr>
          <w:sz w:val="24"/>
          <w:szCs w:val="24"/>
        </w:rPr>
        <w:t xml:space="preserve"> af det aktive stof fra plasma er 20 ± 5 ml/kg/min. 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4534D9">
        <w:rPr>
          <w:sz w:val="24"/>
          <w:szCs w:val="24"/>
        </w:rPr>
        <w:t xml:space="preserve">Eliminationshalveringstiden er 30 minutter, hvormed plasmakoncentrationen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falder til under 10 % af </w:t>
      </w:r>
      <w:proofErr w:type="spellStart"/>
      <w:r w:rsidRPr="004534D9">
        <w:rPr>
          <w:sz w:val="24"/>
          <w:szCs w:val="24"/>
        </w:rPr>
        <w:t>steady</w:t>
      </w:r>
      <w:proofErr w:type="spellEnd"/>
      <w:r>
        <w:rPr>
          <w:sz w:val="24"/>
          <w:szCs w:val="24"/>
        </w:rPr>
        <w:t>-</w:t>
      </w:r>
      <w:r w:rsidRPr="004534D9">
        <w:rPr>
          <w:sz w:val="24"/>
          <w:szCs w:val="24"/>
        </w:rPr>
        <w:t>state-koncentrationen så tidligt som 2 timer efter endt infusion.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4534D9">
        <w:rPr>
          <w:sz w:val="24"/>
          <w:szCs w:val="24"/>
        </w:rPr>
        <w:t xml:space="preserve">Interaktion med andre lægemidler i forhold til proteinbinding i plasma er ikke sandsynlig. Proteinbindingen (albumin)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i plasma er 60 %, og er opnås kun meget lave plasmakoncentrationer af frit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>.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4534D9">
        <w:rPr>
          <w:sz w:val="24"/>
          <w:szCs w:val="24"/>
        </w:rPr>
        <w:t xml:space="preserve">Det er også meget usandsynligt, at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påvirker andre lægemidlers biotransformation på grund af metabolismetypen og den lave absolutte dosis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>.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/>
          <w:iCs/>
          <w:sz w:val="24"/>
          <w:szCs w:val="24"/>
        </w:rPr>
      </w:pPr>
    </w:p>
    <w:p w:rsidR="008136E3" w:rsidRPr="001B30BD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Biotransformation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</w:t>
      </w:r>
      <w:proofErr w:type="spellStart"/>
      <w:r w:rsidRPr="004534D9">
        <w:rPr>
          <w:sz w:val="24"/>
          <w:szCs w:val="24"/>
        </w:rPr>
        <w:t>metaboliseres</w:t>
      </w:r>
      <w:proofErr w:type="spellEnd"/>
      <w:r w:rsidRPr="004534D9">
        <w:rPr>
          <w:sz w:val="24"/>
          <w:szCs w:val="24"/>
        </w:rPr>
        <w:t xml:space="preserve"> i vid udstrækning og hovedsageligt via β-oxidation af </w:t>
      </w:r>
      <w:proofErr w:type="spellStart"/>
      <w:r w:rsidRPr="004534D9">
        <w:rPr>
          <w:sz w:val="24"/>
          <w:szCs w:val="24"/>
        </w:rPr>
        <w:t>carboxyls</w:t>
      </w:r>
      <w:proofErr w:type="spellEnd"/>
      <w:r w:rsidRPr="004534D9">
        <w:rPr>
          <w:sz w:val="24"/>
          <w:szCs w:val="24"/>
        </w:rPr>
        <w:t xml:space="preserve"> sidekæde. Det aktive stof udskilles ikke uændret. Den vigtigste metabolit er </w:t>
      </w:r>
      <w:proofErr w:type="spellStart"/>
      <w:r w:rsidRPr="004534D9">
        <w:rPr>
          <w:sz w:val="24"/>
          <w:szCs w:val="24"/>
        </w:rPr>
        <w:t>tetranor-iloprost</w:t>
      </w:r>
      <w:proofErr w:type="spellEnd"/>
      <w:r w:rsidRPr="004534D9">
        <w:rPr>
          <w:sz w:val="24"/>
          <w:szCs w:val="24"/>
        </w:rPr>
        <w:t>, der udskilles som sådan og i konjugeret form i 4 </w:t>
      </w:r>
      <w:proofErr w:type="spellStart"/>
      <w:r w:rsidRPr="004534D9">
        <w:rPr>
          <w:sz w:val="24"/>
          <w:szCs w:val="24"/>
        </w:rPr>
        <w:t>diastereomerer</w:t>
      </w:r>
      <w:proofErr w:type="spellEnd"/>
      <w:r w:rsidRPr="004534D9">
        <w:rPr>
          <w:sz w:val="24"/>
          <w:szCs w:val="24"/>
        </w:rPr>
        <w:t xml:space="preserve"> i urinen. </w:t>
      </w:r>
      <w:proofErr w:type="spellStart"/>
      <w:r w:rsidRPr="004534D9">
        <w:rPr>
          <w:sz w:val="24"/>
          <w:szCs w:val="24"/>
        </w:rPr>
        <w:t>Tetranor-iloprost</w:t>
      </w:r>
      <w:proofErr w:type="spellEnd"/>
      <w:r w:rsidRPr="004534D9">
        <w:rPr>
          <w:sz w:val="24"/>
          <w:szCs w:val="24"/>
        </w:rPr>
        <w:t xml:space="preserve"> er ikke farmakologisk aktivt, hvilket er påvist i dyreforsøg.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/>
          <w:iCs/>
          <w:sz w:val="24"/>
          <w:szCs w:val="24"/>
        </w:rPr>
      </w:pPr>
    </w:p>
    <w:p w:rsidR="008136E3" w:rsidRPr="001B30BD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Elimination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4534D9">
        <w:rPr>
          <w:sz w:val="24"/>
          <w:szCs w:val="24"/>
        </w:rPr>
        <w:t xml:space="preserve">Hos forsøgspersoner med normal nyre- og leverfunktion er frigivelsen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efter intravenøs infusion i de fleste tilfælde karakteriseret ved en </w:t>
      </w:r>
      <w:proofErr w:type="spellStart"/>
      <w:r w:rsidRPr="004534D9">
        <w:rPr>
          <w:sz w:val="24"/>
          <w:szCs w:val="24"/>
        </w:rPr>
        <w:t>bifasisk</w:t>
      </w:r>
      <w:proofErr w:type="spellEnd"/>
      <w:r w:rsidRPr="004534D9">
        <w:rPr>
          <w:sz w:val="24"/>
          <w:szCs w:val="24"/>
        </w:rPr>
        <w:t xml:space="preserve"> profil med en gennemsnitlig halveringstid på 3 til 5 minutter og 15 til 30 minutter. Den samlede </w:t>
      </w:r>
      <w:proofErr w:type="spellStart"/>
      <w:r w:rsidRPr="004534D9">
        <w:rPr>
          <w:sz w:val="24"/>
          <w:szCs w:val="24"/>
        </w:rPr>
        <w:t>clearance</w:t>
      </w:r>
      <w:proofErr w:type="spellEnd"/>
      <w:r w:rsidRPr="004534D9">
        <w:rPr>
          <w:sz w:val="24"/>
          <w:szCs w:val="24"/>
        </w:rPr>
        <w:t xml:space="preserve">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er ca. 20 ml/min/kg, hvilket tyder på et </w:t>
      </w:r>
      <w:proofErr w:type="spellStart"/>
      <w:r w:rsidRPr="004534D9">
        <w:rPr>
          <w:sz w:val="24"/>
          <w:szCs w:val="24"/>
        </w:rPr>
        <w:t>ekstrahepatisk</w:t>
      </w:r>
      <w:proofErr w:type="spellEnd"/>
      <w:r w:rsidRPr="004534D9">
        <w:rPr>
          <w:sz w:val="24"/>
          <w:szCs w:val="24"/>
        </w:rPr>
        <w:t xml:space="preserve"> bidrag til omdannelsen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>.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4534D9">
        <w:rPr>
          <w:sz w:val="24"/>
          <w:szCs w:val="24"/>
        </w:rPr>
        <w:t xml:space="preserve">Der blev udført et massebalancestudie med </w:t>
      </w:r>
      <w:r w:rsidRPr="004534D9">
        <w:rPr>
          <w:sz w:val="24"/>
          <w:szCs w:val="24"/>
          <w:vertAlign w:val="superscript"/>
        </w:rPr>
        <w:t>3</w:t>
      </w:r>
      <w:r w:rsidRPr="004534D9">
        <w:rPr>
          <w:sz w:val="24"/>
          <w:szCs w:val="24"/>
        </w:rPr>
        <w:t xml:space="preserve">H-iloprost hos raske forsøgspersoner. Efter intravenøs infusion blev 81 % af den samlede radioaktivitet genfundet, heraf 68 % i urin og 12 % i fæces. Elimination af metabolitterne fra plasma med </w:t>
      </w:r>
      <w:proofErr w:type="spellStart"/>
      <w:r w:rsidRPr="004534D9">
        <w:rPr>
          <w:sz w:val="24"/>
          <w:szCs w:val="24"/>
        </w:rPr>
        <w:t>bifasisk</w:t>
      </w:r>
      <w:proofErr w:type="spellEnd"/>
      <w:r w:rsidRPr="004534D9">
        <w:rPr>
          <w:sz w:val="24"/>
          <w:szCs w:val="24"/>
        </w:rPr>
        <w:t xml:space="preserve"> urin og beregnede halveringstider på ca. 2-5 timer (plasma) og 2-18 timer (urin).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/>
          <w:iCs/>
          <w:sz w:val="24"/>
          <w:szCs w:val="24"/>
        </w:rPr>
      </w:pPr>
    </w:p>
    <w:p w:rsidR="008136E3" w:rsidRPr="001B30BD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  <w:r w:rsidRPr="001B30BD">
        <w:rPr>
          <w:sz w:val="24"/>
          <w:szCs w:val="24"/>
          <w:u w:val="single"/>
        </w:rPr>
        <w:t>Patientkarakteristika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</w:p>
    <w:p w:rsidR="008136E3" w:rsidRPr="001B30BD" w:rsidRDefault="008136E3" w:rsidP="008136E3">
      <w:pPr>
        <w:numPr>
          <w:ilvl w:val="12"/>
          <w:numId w:val="0"/>
        </w:numPr>
        <w:ind w:left="851" w:right="-2"/>
        <w:rPr>
          <w:i/>
          <w:iCs/>
          <w:sz w:val="24"/>
          <w:szCs w:val="24"/>
        </w:rPr>
      </w:pPr>
      <w:r w:rsidRPr="001B30BD">
        <w:rPr>
          <w:i/>
          <w:sz w:val="24"/>
          <w:szCs w:val="24"/>
        </w:rPr>
        <w:t>Nedsat nyrefunktion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4534D9">
        <w:rPr>
          <w:sz w:val="24"/>
          <w:szCs w:val="24"/>
        </w:rPr>
        <w:t xml:space="preserve">I et studie med intravenøs infusion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er det påvist, at patienter med nyresvigt i slutstadiet, som får intermitterende dialysebehandling, har en signifikant lavere </w:t>
      </w:r>
      <w:proofErr w:type="spellStart"/>
      <w:r w:rsidRPr="004534D9">
        <w:rPr>
          <w:sz w:val="24"/>
          <w:szCs w:val="24"/>
        </w:rPr>
        <w:t>clearance</w:t>
      </w:r>
      <w:proofErr w:type="spellEnd"/>
      <w:r w:rsidRPr="004534D9">
        <w:rPr>
          <w:sz w:val="24"/>
          <w:szCs w:val="24"/>
        </w:rPr>
        <w:t xml:space="preserve"> (gennemsnitlig </w:t>
      </w:r>
      <w:proofErr w:type="spellStart"/>
      <w:r w:rsidRPr="004534D9">
        <w:rPr>
          <w:sz w:val="24"/>
          <w:szCs w:val="24"/>
        </w:rPr>
        <w:t>clearance</w:t>
      </w:r>
      <w:proofErr w:type="spellEnd"/>
      <w:r w:rsidRPr="004534D9">
        <w:rPr>
          <w:sz w:val="24"/>
          <w:szCs w:val="24"/>
        </w:rPr>
        <w:t xml:space="preserve"> = 5 ± 2 ml/min/kg), end der observeres hos patienter med nyresvigt, der ikke er i intermitterende dialyse (gennemsnitlig </w:t>
      </w:r>
      <w:proofErr w:type="spellStart"/>
      <w:r w:rsidRPr="004534D9">
        <w:rPr>
          <w:sz w:val="24"/>
          <w:szCs w:val="24"/>
        </w:rPr>
        <w:t>clearance</w:t>
      </w:r>
      <w:proofErr w:type="spellEnd"/>
      <w:r w:rsidRPr="004534D9">
        <w:rPr>
          <w:sz w:val="24"/>
          <w:szCs w:val="24"/>
        </w:rPr>
        <w:t xml:space="preserve"> = 18 ± 2 ml/minut/kg).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</w:p>
    <w:p w:rsidR="008136E3" w:rsidRPr="001B30BD" w:rsidRDefault="008136E3" w:rsidP="008136E3">
      <w:pPr>
        <w:numPr>
          <w:ilvl w:val="12"/>
          <w:numId w:val="0"/>
        </w:numPr>
        <w:ind w:left="851" w:right="-2"/>
        <w:rPr>
          <w:i/>
          <w:iCs/>
          <w:sz w:val="24"/>
          <w:szCs w:val="24"/>
        </w:rPr>
      </w:pPr>
      <w:r w:rsidRPr="001B30BD">
        <w:rPr>
          <w:i/>
          <w:sz w:val="24"/>
          <w:szCs w:val="24"/>
        </w:rPr>
        <w:t>Nedsat leverfunktion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4534D9">
        <w:rPr>
          <w:sz w:val="24"/>
          <w:szCs w:val="24"/>
        </w:rPr>
        <w:t xml:space="preserve">Eftersom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</w:t>
      </w:r>
      <w:proofErr w:type="spellStart"/>
      <w:r w:rsidRPr="004534D9">
        <w:rPr>
          <w:sz w:val="24"/>
          <w:szCs w:val="24"/>
        </w:rPr>
        <w:t>metaboliseres</w:t>
      </w:r>
      <w:proofErr w:type="spellEnd"/>
      <w:r w:rsidRPr="004534D9">
        <w:rPr>
          <w:sz w:val="24"/>
          <w:szCs w:val="24"/>
        </w:rPr>
        <w:t xml:space="preserve"> i vid udstrækning i leveren, påvirkes plasmaniveauerne af lægemidlet af ændringer i leverfunktionen. I et studie med intravenøs administration blev der indhentet resultater fra 8 patienter med levercirrose. Den gennemsnitlige </w:t>
      </w:r>
      <w:proofErr w:type="spellStart"/>
      <w:r w:rsidRPr="004534D9">
        <w:rPr>
          <w:sz w:val="24"/>
          <w:szCs w:val="24"/>
        </w:rPr>
        <w:t>clearance</w:t>
      </w:r>
      <w:proofErr w:type="spellEnd"/>
      <w:r w:rsidRPr="004534D9">
        <w:rPr>
          <w:sz w:val="24"/>
          <w:szCs w:val="24"/>
        </w:rPr>
        <w:t xml:space="preserve"> af </w:t>
      </w:r>
      <w:proofErr w:type="spellStart"/>
      <w:r w:rsidRPr="004534D9">
        <w:rPr>
          <w:sz w:val="24"/>
          <w:szCs w:val="24"/>
        </w:rPr>
        <w:t>iloprost</w:t>
      </w:r>
      <w:proofErr w:type="spellEnd"/>
      <w:r w:rsidRPr="004534D9">
        <w:rPr>
          <w:sz w:val="24"/>
          <w:szCs w:val="24"/>
        </w:rPr>
        <w:t xml:space="preserve"> estimeres til 10 ml/minut/kg.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  <w:u w:val="single"/>
        </w:rPr>
      </w:pPr>
    </w:p>
    <w:p w:rsidR="008136E3" w:rsidRPr="0093179A" w:rsidRDefault="008136E3" w:rsidP="008136E3">
      <w:pPr>
        <w:numPr>
          <w:ilvl w:val="12"/>
          <w:numId w:val="0"/>
        </w:numPr>
        <w:ind w:left="851" w:right="-2"/>
        <w:rPr>
          <w:i/>
          <w:iCs/>
          <w:sz w:val="24"/>
          <w:szCs w:val="24"/>
        </w:rPr>
      </w:pPr>
      <w:r w:rsidRPr="0093179A">
        <w:rPr>
          <w:i/>
          <w:sz w:val="24"/>
          <w:szCs w:val="24"/>
        </w:rPr>
        <w:t>Alder og køn</w:t>
      </w:r>
    </w:p>
    <w:p w:rsidR="008136E3" w:rsidRPr="004534D9" w:rsidRDefault="008136E3" w:rsidP="008136E3">
      <w:pPr>
        <w:numPr>
          <w:ilvl w:val="12"/>
          <w:numId w:val="0"/>
        </w:numPr>
        <w:ind w:left="851" w:right="-2"/>
        <w:rPr>
          <w:iCs/>
          <w:sz w:val="24"/>
          <w:szCs w:val="24"/>
        </w:rPr>
      </w:pPr>
      <w:r w:rsidRPr="004534D9">
        <w:rPr>
          <w:sz w:val="24"/>
          <w:szCs w:val="24"/>
        </w:rPr>
        <w:lastRenderedPageBreak/>
        <w:t xml:space="preserve">Alder og køn har ingen klinisk signifikans med hensyn til </w:t>
      </w:r>
      <w:proofErr w:type="spellStart"/>
      <w:r w:rsidRPr="004534D9">
        <w:rPr>
          <w:sz w:val="24"/>
          <w:szCs w:val="24"/>
        </w:rPr>
        <w:t>iloprosts</w:t>
      </w:r>
      <w:proofErr w:type="spellEnd"/>
      <w:r w:rsidRPr="004534D9">
        <w:rPr>
          <w:sz w:val="24"/>
          <w:szCs w:val="24"/>
        </w:rPr>
        <w:t xml:space="preserve"> farmakokinetik.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5.3</w:t>
      </w:r>
      <w:r w:rsidRPr="004534D9">
        <w:rPr>
          <w:b/>
          <w:sz w:val="24"/>
          <w:szCs w:val="24"/>
        </w:rPr>
        <w:tab/>
      </w:r>
      <w:bookmarkStart w:id="3" w:name="_Hlk121750318"/>
      <w:r w:rsidR="00D56750" w:rsidRPr="00BA4587">
        <w:rPr>
          <w:b/>
          <w:sz w:val="24"/>
          <w:szCs w:val="24"/>
        </w:rPr>
        <w:t>Non-kliniske sikkerhedsdata</w:t>
      </w:r>
      <w:bookmarkEnd w:id="3"/>
    </w:p>
    <w:p w:rsidR="00FB5C99" w:rsidRPr="004534D9" w:rsidRDefault="00FB5C99" w:rsidP="008136E3">
      <w:pPr>
        <w:ind w:left="851" w:hanging="851"/>
        <w:rPr>
          <w:b/>
          <w:sz w:val="24"/>
          <w:szCs w:val="24"/>
        </w:rPr>
      </w:pPr>
    </w:p>
    <w:p w:rsidR="0021071D" w:rsidRDefault="0021071D" w:rsidP="0021071D">
      <w:pPr>
        <w:ind w:left="810"/>
        <w:textAlignment w:val="baseline"/>
        <w:rPr>
          <w:color w:val="000000"/>
        </w:rPr>
      </w:pPr>
      <w:r>
        <w:rPr>
          <w:color w:val="000000"/>
        </w:rPr>
        <w:t xml:space="preserve">Non-kliniske data viser ingen særlig fare for mennesker baseret på konventionelle undersøgelser af sikkerhedsfarmakologi, toksicitet ved gentagen dosering, genotoksicitet og </w:t>
      </w:r>
      <w:proofErr w:type="spellStart"/>
      <w:r>
        <w:rPr>
          <w:color w:val="000000"/>
        </w:rPr>
        <w:t>carcinogent</w:t>
      </w:r>
      <w:proofErr w:type="spellEnd"/>
      <w:r>
        <w:rPr>
          <w:color w:val="000000"/>
        </w:rPr>
        <w:t xml:space="preserve"> potentiale.  </w:t>
      </w:r>
    </w:p>
    <w:p w:rsidR="0021071D" w:rsidRDefault="0021071D" w:rsidP="0021071D">
      <w:pPr>
        <w:spacing w:line="260" w:lineRule="exact"/>
        <w:ind w:left="851"/>
        <w:rPr>
          <w:sz w:val="24"/>
          <w:szCs w:val="24"/>
        </w:rPr>
      </w:pPr>
    </w:p>
    <w:p w:rsidR="0021071D" w:rsidRDefault="0021071D" w:rsidP="0021071D">
      <w:pPr>
        <w:spacing w:line="260" w:lineRule="exact"/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Reproduktionstoksicitet</w:t>
      </w:r>
    </w:p>
    <w:p w:rsidR="0021071D" w:rsidRDefault="0021071D" w:rsidP="0021071D">
      <w:pPr>
        <w:spacing w:line="260" w:lineRule="exac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studie af embryotoksicitet hos rotter viste, at administration af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kan medføre dannelse af </w:t>
      </w:r>
      <w:proofErr w:type="spellStart"/>
      <w:r>
        <w:rPr>
          <w:sz w:val="24"/>
          <w:szCs w:val="24"/>
        </w:rPr>
        <w:t>abnormaliteter</w:t>
      </w:r>
      <w:proofErr w:type="spellEnd"/>
      <w:r>
        <w:rPr>
          <w:sz w:val="24"/>
          <w:szCs w:val="24"/>
        </w:rPr>
        <w:t xml:space="preserve"> i tæerne (reduceret vækst eller </w:t>
      </w:r>
      <w:proofErr w:type="spellStart"/>
      <w:r>
        <w:rPr>
          <w:sz w:val="24"/>
          <w:szCs w:val="24"/>
        </w:rPr>
        <w:t>netdannelse</w:t>
      </w:r>
      <w:proofErr w:type="spellEnd"/>
      <w:r>
        <w:rPr>
          <w:sz w:val="24"/>
          <w:szCs w:val="24"/>
        </w:rPr>
        <w:t xml:space="preserve"> mellem tæerne) hos fosteret. Dette fænomen skyldes sandsynligvis </w:t>
      </w:r>
      <w:proofErr w:type="spellStart"/>
      <w:r>
        <w:rPr>
          <w:sz w:val="24"/>
          <w:szCs w:val="24"/>
        </w:rPr>
        <w:t>hæmodynamiske</w:t>
      </w:r>
      <w:proofErr w:type="spellEnd"/>
      <w:r>
        <w:rPr>
          <w:sz w:val="24"/>
          <w:szCs w:val="24"/>
        </w:rPr>
        <w:t xml:space="preserve"> ændringer i cirkulationen mellem foster og placenta. De medfødte virkninger, der sås hos rotter, sås ikke hos kaniner og aber.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6.</w:t>
      </w:r>
      <w:r w:rsidRPr="004534D9">
        <w:rPr>
          <w:b/>
          <w:sz w:val="24"/>
          <w:szCs w:val="24"/>
        </w:rPr>
        <w:tab/>
        <w:t>FARMACEUTISKE OPLYSNINGER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6.1</w:t>
      </w:r>
      <w:r w:rsidRPr="004534D9">
        <w:rPr>
          <w:b/>
          <w:sz w:val="24"/>
          <w:szCs w:val="24"/>
        </w:rPr>
        <w:tab/>
        <w:t>Hjælpestoffer</w:t>
      </w:r>
    </w:p>
    <w:p w:rsidR="008136E3" w:rsidRPr="004534D9" w:rsidRDefault="008136E3" w:rsidP="008136E3">
      <w:pPr>
        <w:shd w:val="clear" w:color="auto" w:fill="FFFFFF"/>
        <w:ind w:left="851" w:right="6297"/>
        <w:rPr>
          <w:color w:val="000000"/>
          <w:spacing w:val="-1"/>
          <w:sz w:val="24"/>
          <w:szCs w:val="24"/>
        </w:rPr>
      </w:pPr>
      <w:r w:rsidRPr="004534D9">
        <w:rPr>
          <w:color w:val="000000"/>
          <w:spacing w:val="-1"/>
          <w:sz w:val="24"/>
          <w:szCs w:val="24"/>
        </w:rPr>
        <w:t>Trometamol</w:t>
      </w:r>
    </w:p>
    <w:p w:rsidR="008136E3" w:rsidRPr="004534D9" w:rsidRDefault="008136E3" w:rsidP="008136E3">
      <w:pPr>
        <w:shd w:val="clear" w:color="auto" w:fill="FFFFFF"/>
        <w:ind w:left="851" w:right="6297"/>
        <w:rPr>
          <w:color w:val="000000"/>
          <w:spacing w:val="-1"/>
          <w:sz w:val="24"/>
          <w:szCs w:val="24"/>
        </w:rPr>
      </w:pPr>
      <w:proofErr w:type="spellStart"/>
      <w:r w:rsidRPr="004534D9">
        <w:rPr>
          <w:color w:val="000000"/>
          <w:spacing w:val="-1"/>
          <w:sz w:val="24"/>
          <w:szCs w:val="24"/>
        </w:rPr>
        <w:t>Ethanol</w:t>
      </w:r>
      <w:proofErr w:type="spellEnd"/>
      <w:r w:rsidRPr="004534D9">
        <w:rPr>
          <w:color w:val="000000"/>
          <w:spacing w:val="-1"/>
          <w:sz w:val="24"/>
          <w:szCs w:val="24"/>
        </w:rPr>
        <w:t xml:space="preserve"> 96 % (v/v)</w:t>
      </w:r>
    </w:p>
    <w:p w:rsidR="008136E3" w:rsidRPr="004534D9" w:rsidRDefault="008136E3" w:rsidP="008136E3">
      <w:pPr>
        <w:shd w:val="clear" w:color="auto" w:fill="FFFFFF"/>
        <w:ind w:left="851" w:right="6297"/>
        <w:rPr>
          <w:color w:val="000000"/>
          <w:spacing w:val="-1"/>
          <w:sz w:val="24"/>
          <w:szCs w:val="24"/>
        </w:rPr>
      </w:pPr>
      <w:proofErr w:type="spellStart"/>
      <w:r w:rsidRPr="004534D9">
        <w:rPr>
          <w:color w:val="000000"/>
          <w:spacing w:val="-1"/>
          <w:sz w:val="24"/>
          <w:szCs w:val="24"/>
        </w:rPr>
        <w:t>Natriumchlorid</w:t>
      </w:r>
      <w:proofErr w:type="spellEnd"/>
    </w:p>
    <w:p w:rsidR="008136E3" w:rsidRPr="004534D9" w:rsidRDefault="008136E3" w:rsidP="008136E3">
      <w:pPr>
        <w:shd w:val="clear" w:color="auto" w:fill="FFFFFF"/>
        <w:ind w:left="851" w:right="6297"/>
        <w:rPr>
          <w:color w:val="000000"/>
          <w:sz w:val="24"/>
          <w:szCs w:val="24"/>
        </w:rPr>
      </w:pPr>
      <w:r w:rsidRPr="004534D9">
        <w:rPr>
          <w:color w:val="000000"/>
          <w:sz w:val="24"/>
          <w:szCs w:val="24"/>
        </w:rPr>
        <w:t>Saltsyre</w:t>
      </w:r>
      <w:r w:rsidRPr="004534D9">
        <w:rPr>
          <w:color w:val="ED7D31" w:themeColor="accent2"/>
          <w:sz w:val="24"/>
          <w:szCs w:val="24"/>
        </w:rPr>
        <w:t xml:space="preserve"> </w:t>
      </w:r>
      <w:r w:rsidRPr="004534D9">
        <w:rPr>
          <w:color w:val="000000"/>
          <w:sz w:val="24"/>
          <w:szCs w:val="24"/>
        </w:rPr>
        <w:t>1N</w:t>
      </w:r>
    </w:p>
    <w:p w:rsidR="008136E3" w:rsidRPr="004534D9" w:rsidRDefault="008136E3" w:rsidP="008136E3">
      <w:pPr>
        <w:ind w:left="851"/>
        <w:rPr>
          <w:color w:val="000000"/>
          <w:spacing w:val="-2"/>
          <w:sz w:val="24"/>
          <w:szCs w:val="24"/>
        </w:rPr>
      </w:pPr>
      <w:r w:rsidRPr="004534D9">
        <w:rPr>
          <w:color w:val="000000"/>
          <w:spacing w:val="-2"/>
          <w:sz w:val="24"/>
          <w:szCs w:val="24"/>
        </w:rPr>
        <w:t>Vand til injektionsvæske</w:t>
      </w:r>
      <w:r>
        <w:rPr>
          <w:color w:val="000000"/>
          <w:spacing w:val="-2"/>
          <w:sz w:val="24"/>
          <w:szCs w:val="24"/>
        </w:rPr>
        <w:t>r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6.2</w:t>
      </w:r>
      <w:r w:rsidRPr="004534D9">
        <w:rPr>
          <w:b/>
          <w:sz w:val="24"/>
          <w:szCs w:val="24"/>
        </w:rPr>
        <w:tab/>
        <w:t>Uforligeligheder</w:t>
      </w:r>
    </w:p>
    <w:p w:rsidR="00FB5C99" w:rsidRPr="004534D9" w:rsidRDefault="00FB5C99" w:rsidP="008136E3">
      <w:pPr>
        <w:ind w:left="851" w:hanging="851"/>
        <w:rPr>
          <w:b/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Dette lægemiddel må ikke blandes med andre lægemidler end dem, der er anført</w:t>
      </w:r>
      <w:r>
        <w:rPr>
          <w:sz w:val="24"/>
          <w:szCs w:val="24"/>
        </w:rPr>
        <w:t xml:space="preserve"> </w:t>
      </w:r>
      <w:r w:rsidRPr="004534D9">
        <w:rPr>
          <w:sz w:val="24"/>
          <w:szCs w:val="24"/>
        </w:rPr>
        <w:t>i pkt. 6.6. 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6.3</w:t>
      </w:r>
      <w:r w:rsidRPr="004534D9">
        <w:rPr>
          <w:b/>
          <w:sz w:val="24"/>
          <w:szCs w:val="24"/>
        </w:rPr>
        <w:tab/>
        <w:t>Opbevaringstid</w:t>
      </w:r>
    </w:p>
    <w:p w:rsidR="00FB5C99" w:rsidRPr="004534D9" w:rsidRDefault="00FB5C99" w:rsidP="008136E3">
      <w:pPr>
        <w:ind w:left="851" w:hanging="851"/>
        <w:rPr>
          <w:b/>
          <w:sz w:val="24"/>
          <w:szCs w:val="24"/>
        </w:rPr>
      </w:pPr>
    </w:p>
    <w:p w:rsidR="008136E3" w:rsidRDefault="008136E3" w:rsidP="008136E3">
      <w:pPr>
        <w:ind w:left="851" w:hanging="851"/>
        <w:rPr>
          <w:sz w:val="24"/>
          <w:szCs w:val="24"/>
        </w:rPr>
      </w:pPr>
      <w:r w:rsidRPr="004534D9">
        <w:rPr>
          <w:sz w:val="24"/>
          <w:szCs w:val="24"/>
        </w:rPr>
        <w:tab/>
      </w:r>
      <w:r w:rsidR="00FB5C99">
        <w:rPr>
          <w:sz w:val="24"/>
          <w:szCs w:val="24"/>
        </w:rPr>
        <w:t>3</w:t>
      </w:r>
      <w:r w:rsidRPr="004534D9">
        <w:rPr>
          <w:sz w:val="24"/>
          <w:szCs w:val="24"/>
        </w:rPr>
        <w:t> år</w:t>
      </w:r>
      <w:r w:rsidR="0093179A">
        <w:rPr>
          <w:sz w:val="24"/>
          <w:szCs w:val="24"/>
        </w:rPr>
        <w:t>.</w:t>
      </w:r>
    </w:p>
    <w:p w:rsidR="0093179A" w:rsidRPr="004534D9" w:rsidRDefault="0093179A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color w:val="000000"/>
          <w:sz w:val="24"/>
          <w:szCs w:val="24"/>
        </w:rPr>
      </w:pPr>
      <w:r w:rsidRPr="004534D9">
        <w:rPr>
          <w:color w:val="000000"/>
          <w:sz w:val="24"/>
          <w:szCs w:val="24"/>
        </w:rPr>
        <w:t>Ud fra et mikrobiologisk synspunkt skal produktet anvendes øjeblikkeligt efter åbning og fortynding.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6.4</w:t>
      </w:r>
      <w:r w:rsidRPr="004534D9">
        <w:rPr>
          <w:b/>
          <w:sz w:val="24"/>
          <w:szCs w:val="24"/>
        </w:rPr>
        <w:tab/>
        <w:t>Særlige opbevaringsforhold</w:t>
      </w:r>
    </w:p>
    <w:p w:rsidR="00FB5C99" w:rsidRPr="004534D9" w:rsidRDefault="00FB5C99" w:rsidP="008136E3">
      <w:pPr>
        <w:ind w:left="851" w:hanging="851"/>
        <w:rPr>
          <w:b/>
          <w:sz w:val="24"/>
          <w:szCs w:val="24"/>
        </w:rPr>
      </w:pPr>
    </w:p>
    <w:p w:rsidR="008136E3" w:rsidRDefault="008136E3" w:rsidP="008136E3">
      <w:pPr>
        <w:ind w:left="851"/>
        <w:outlineLvl w:val="0"/>
        <w:rPr>
          <w:sz w:val="24"/>
          <w:szCs w:val="24"/>
        </w:rPr>
      </w:pPr>
      <w:r w:rsidRPr="004534D9">
        <w:rPr>
          <w:sz w:val="24"/>
          <w:szCs w:val="24"/>
        </w:rPr>
        <w:t>Dette lægemiddel kræver ingen særlige forholdsregler vedrørende opbevaringen.</w:t>
      </w:r>
    </w:p>
    <w:p w:rsidR="0093179A" w:rsidRPr="004534D9" w:rsidRDefault="0093179A" w:rsidP="008136E3">
      <w:pPr>
        <w:ind w:left="851"/>
        <w:outlineLvl w:val="0"/>
        <w:rPr>
          <w:sz w:val="24"/>
          <w:szCs w:val="24"/>
        </w:rPr>
      </w:pPr>
    </w:p>
    <w:p w:rsidR="008136E3" w:rsidRPr="004534D9" w:rsidRDefault="008136E3" w:rsidP="008136E3">
      <w:pPr>
        <w:spacing w:line="287" w:lineRule="exact"/>
        <w:ind w:left="851" w:right="504"/>
        <w:textAlignment w:val="baseline"/>
        <w:rPr>
          <w:color w:val="000000"/>
          <w:sz w:val="24"/>
          <w:szCs w:val="24"/>
        </w:rPr>
      </w:pPr>
      <w:r w:rsidRPr="004534D9">
        <w:rPr>
          <w:color w:val="000000"/>
          <w:sz w:val="24"/>
          <w:szCs w:val="24"/>
        </w:rPr>
        <w:t xml:space="preserve">Opbevaringsforhold efter </w:t>
      </w:r>
      <w:proofErr w:type="spellStart"/>
      <w:r w:rsidRPr="004534D9">
        <w:rPr>
          <w:color w:val="000000"/>
          <w:sz w:val="24"/>
          <w:szCs w:val="24"/>
        </w:rPr>
        <w:t>rekonstituering</w:t>
      </w:r>
      <w:proofErr w:type="spellEnd"/>
      <w:r w:rsidRPr="004534D9">
        <w:rPr>
          <w:color w:val="000000"/>
          <w:sz w:val="24"/>
          <w:szCs w:val="24"/>
        </w:rPr>
        <w:t>, fortynding og første åbning af lægemidlet, se pkt. 6.3.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6.5</w:t>
      </w:r>
      <w:r w:rsidRPr="004534D9">
        <w:rPr>
          <w:b/>
          <w:sz w:val="24"/>
          <w:szCs w:val="24"/>
        </w:rPr>
        <w:tab/>
      </w:r>
      <w:bookmarkStart w:id="4" w:name="_Hlk121743052"/>
      <w:r w:rsidR="00D56750" w:rsidRPr="00BA4587">
        <w:rPr>
          <w:b/>
          <w:sz w:val="24"/>
          <w:szCs w:val="24"/>
        </w:rPr>
        <w:t>Emballagetype og pakningsstørrelser</w:t>
      </w:r>
      <w:bookmarkEnd w:id="4"/>
    </w:p>
    <w:p w:rsidR="00FB5C99" w:rsidRPr="004534D9" w:rsidRDefault="00FB5C99" w:rsidP="008136E3">
      <w:pPr>
        <w:ind w:left="851" w:hanging="851"/>
        <w:rPr>
          <w:b/>
          <w:sz w:val="24"/>
          <w:szCs w:val="24"/>
        </w:rPr>
      </w:pPr>
    </w:p>
    <w:p w:rsidR="008136E3" w:rsidRDefault="00F97E5D" w:rsidP="008136E3">
      <w:pPr>
        <w:ind w:left="851"/>
        <w:rPr>
          <w:sz w:val="24"/>
          <w:szCs w:val="24"/>
        </w:rPr>
      </w:pPr>
      <w:r>
        <w:rPr>
          <w:sz w:val="24"/>
          <w:szCs w:val="24"/>
        </w:rPr>
        <w:t>1 ml farveløs T</w:t>
      </w:r>
      <w:r w:rsidR="001E4249">
        <w:rPr>
          <w:sz w:val="24"/>
          <w:szCs w:val="24"/>
        </w:rPr>
        <w:t>ype I</w:t>
      </w:r>
      <w:r w:rsidR="0093179A">
        <w:rPr>
          <w:sz w:val="24"/>
          <w:szCs w:val="24"/>
        </w:rPr>
        <w:t xml:space="preserve"> glas</w:t>
      </w:r>
      <w:r w:rsidR="008136E3" w:rsidRPr="004534D9">
        <w:rPr>
          <w:sz w:val="24"/>
          <w:szCs w:val="24"/>
        </w:rPr>
        <w:t>ampul indeholdende 0,5 ml koncentrat til infusionsvæske, opløsning.</w:t>
      </w:r>
    </w:p>
    <w:p w:rsidR="001E4249" w:rsidRDefault="001E4249" w:rsidP="008136E3">
      <w:pPr>
        <w:ind w:left="851"/>
        <w:rPr>
          <w:iCs/>
          <w:sz w:val="24"/>
          <w:szCs w:val="24"/>
        </w:rPr>
      </w:pPr>
    </w:p>
    <w:p w:rsidR="001E4249" w:rsidRPr="00AB6EB6" w:rsidRDefault="001E4249" w:rsidP="001E4249">
      <w:pPr>
        <w:ind w:left="851"/>
        <w:rPr>
          <w:sz w:val="24"/>
          <w:szCs w:val="24"/>
          <w:u w:val="single"/>
        </w:rPr>
      </w:pPr>
      <w:r w:rsidRPr="00AB6EB6">
        <w:rPr>
          <w:sz w:val="24"/>
          <w:szCs w:val="24"/>
          <w:u w:val="single"/>
        </w:rPr>
        <w:t>Pakningsstørrelser</w:t>
      </w:r>
    </w:p>
    <w:p w:rsidR="008136E3" w:rsidRPr="004534D9" w:rsidRDefault="008136E3" w:rsidP="008136E3">
      <w:pPr>
        <w:ind w:left="851"/>
        <w:rPr>
          <w:iCs/>
          <w:sz w:val="24"/>
          <w:szCs w:val="24"/>
        </w:rPr>
      </w:pPr>
      <w:r w:rsidRPr="004534D9">
        <w:rPr>
          <w:sz w:val="24"/>
          <w:szCs w:val="24"/>
        </w:rPr>
        <w:t>1 ampul indeholdende 0,5 ml koncentrat til infusionsvæske, opløsning.</w:t>
      </w:r>
    </w:p>
    <w:p w:rsidR="008136E3" w:rsidRPr="004534D9" w:rsidRDefault="008136E3" w:rsidP="008136E3">
      <w:pPr>
        <w:ind w:left="851"/>
        <w:rPr>
          <w:iCs/>
          <w:sz w:val="24"/>
          <w:szCs w:val="24"/>
        </w:rPr>
      </w:pPr>
      <w:r w:rsidRPr="004534D9">
        <w:rPr>
          <w:sz w:val="24"/>
          <w:szCs w:val="24"/>
        </w:rPr>
        <w:t>5 ampuller, hver indeholdende 0,5 ml koncentrat til infusionsvæske, opløsning.</w:t>
      </w:r>
    </w:p>
    <w:p w:rsidR="008136E3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lastRenderedPageBreak/>
        <w:t>20 ampuller (4</w:t>
      </w:r>
      <w:r w:rsidR="001E4249">
        <w:rPr>
          <w:sz w:val="24"/>
          <w:szCs w:val="24"/>
        </w:rPr>
        <w:t>×</w:t>
      </w:r>
      <w:r w:rsidRPr="004534D9">
        <w:rPr>
          <w:sz w:val="24"/>
          <w:szCs w:val="24"/>
        </w:rPr>
        <w:t>5), hver indeholdende 0,5 ml koncentrat til infusionsvæske, opløsning.</w:t>
      </w:r>
    </w:p>
    <w:p w:rsidR="001E4249" w:rsidRPr="004534D9" w:rsidRDefault="001E4249" w:rsidP="008136E3">
      <w:pPr>
        <w:ind w:left="851"/>
        <w:rPr>
          <w:iCs/>
          <w:sz w:val="24"/>
          <w:szCs w:val="24"/>
        </w:rPr>
      </w:pPr>
    </w:p>
    <w:p w:rsidR="008136E3" w:rsidRPr="004534D9" w:rsidRDefault="008136E3" w:rsidP="008136E3">
      <w:pPr>
        <w:ind w:left="851"/>
        <w:rPr>
          <w:iCs/>
          <w:sz w:val="24"/>
          <w:szCs w:val="24"/>
        </w:rPr>
      </w:pPr>
      <w:r w:rsidRPr="004534D9">
        <w:rPr>
          <w:sz w:val="24"/>
          <w:szCs w:val="24"/>
        </w:rPr>
        <w:t>Ikke alle pakningsstørrelser er nødvendigvis markedsført.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Default="008136E3" w:rsidP="008136E3">
      <w:pPr>
        <w:ind w:left="851" w:hanging="851"/>
        <w:rPr>
          <w:b/>
          <w:noProof/>
          <w:sz w:val="24"/>
          <w:szCs w:val="24"/>
        </w:rPr>
      </w:pPr>
      <w:r w:rsidRPr="004534D9">
        <w:rPr>
          <w:b/>
          <w:sz w:val="24"/>
          <w:szCs w:val="24"/>
        </w:rPr>
        <w:t>6.6</w:t>
      </w:r>
      <w:r w:rsidRPr="004534D9">
        <w:rPr>
          <w:b/>
          <w:sz w:val="24"/>
          <w:szCs w:val="24"/>
        </w:rPr>
        <w:tab/>
      </w:r>
      <w:bookmarkStart w:id="5" w:name="_Hlk121754038"/>
      <w:r w:rsidR="00D56750" w:rsidRPr="00BA4587">
        <w:rPr>
          <w:b/>
          <w:noProof/>
          <w:sz w:val="24"/>
          <w:szCs w:val="24"/>
        </w:rPr>
        <w:t>Regler for bortskaffelse og anden håndtering</w:t>
      </w:r>
      <w:bookmarkEnd w:id="5"/>
    </w:p>
    <w:p w:rsidR="00FB5C99" w:rsidRPr="004534D9" w:rsidRDefault="00FB5C99" w:rsidP="008136E3">
      <w:pPr>
        <w:ind w:left="851" w:hanging="851"/>
        <w:rPr>
          <w:b/>
          <w:sz w:val="24"/>
          <w:szCs w:val="24"/>
        </w:rPr>
      </w:pPr>
    </w:p>
    <w:p w:rsidR="008136E3" w:rsidRPr="004534D9" w:rsidRDefault="005C758D" w:rsidP="008136E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Waymade</w:t>
      </w:r>
      <w:proofErr w:type="spellEnd"/>
      <w:r>
        <w:rPr>
          <w:sz w:val="24"/>
          <w:szCs w:val="24"/>
        </w:rPr>
        <w:t>"</w:t>
      </w:r>
      <w:r w:rsidR="008136E3" w:rsidRPr="004534D9">
        <w:rPr>
          <w:sz w:val="24"/>
          <w:szCs w:val="24"/>
        </w:rPr>
        <w:t xml:space="preserve"> må kun administreres efter fortynding. På grund af risikoen for farmaceutisk uforligelighed må der ikke tilsættes andre lægemidler til den forberedte infusion.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Sterilitet sikres ved at forberede en ny infusion hver dag.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Derfor bør der træffes passende foranstaltninger for at undgå kontakt med hud (se pkt. 4.4).</w:t>
      </w:r>
    </w:p>
    <w:p w:rsidR="008136E3" w:rsidRPr="004534D9" w:rsidRDefault="008136E3" w:rsidP="008136E3">
      <w:pPr>
        <w:ind w:left="851" w:hanging="851"/>
        <w:rPr>
          <w:i/>
          <w:iCs/>
          <w:sz w:val="24"/>
          <w:szCs w:val="24"/>
        </w:rPr>
      </w:pPr>
    </w:p>
    <w:p w:rsidR="008136E3" w:rsidRPr="00203C83" w:rsidRDefault="008136E3" w:rsidP="008136E3">
      <w:pPr>
        <w:ind w:left="851"/>
        <w:rPr>
          <w:sz w:val="24"/>
          <w:szCs w:val="24"/>
          <w:u w:val="single"/>
        </w:rPr>
      </w:pPr>
      <w:r w:rsidRPr="00203C83">
        <w:rPr>
          <w:sz w:val="24"/>
          <w:szCs w:val="24"/>
          <w:u w:val="single"/>
        </w:rPr>
        <w:t>Instruktioner for fortynding</w:t>
      </w: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Indholdet i ampullen og opløsningsmidlet skal blandes grundigt.</w:t>
      </w:r>
    </w:p>
    <w:p w:rsidR="008136E3" w:rsidRPr="004534D9" w:rsidRDefault="008136E3" w:rsidP="008136E3">
      <w:pPr>
        <w:ind w:left="851" w:hanging="851"/>
        <w:rPr>
          <w:sz w:val="24"/>
          <w:szCs w:val="24"/>
          <w:u w:val="single"/>
        </w:rPr>
      </w:pPr>
    </w:p>
    <w:p w:rsidR="0021071D" w:rsidRDefault="0021071D" w:rsidP="0021071D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Fortynding af </w:t>
      </w:r>
      <w:proofErr w:type="spellStart"/>
      <w:r>
        <w:rPr>
          <w:i/>
          <w:sz w:val="24"/>
          <w:szCs w:val="24"/>
        </w:rPr>
        <w:t>Iloprost</w:t>
      </w:r>
      <w:proofErr w:type="spellEnd"/>
      <w:r>
        <w:rPr>
          <w:i/>
          <w:sz w:val="24"/>
          <w:szCs w:val="24"/>
        </w:rPr>
        <w:t xml:space="preserve"> "</w:t>
      </w:r>
      <w:proofErr w:type="spellStart"/>
      <w:r>
        <w:rPr>
          <w:i/>
          <w:sz w:val="24"/>
          <w:szCs w:val="24"/>
        </w:rPr>
        <w:t>Waymade</w:t>
      </w:r>
      <w:proofErr w:type="spellEnd"/>
      <w:r>
        <w:rPr>
          <w:i/>
          <w:sz w:val="24"/>
          <w:szCs w:val="24"/>
        </w:rPr>
        <w:t>" til brug i infusionspumpe (0,2 µg/ml)</w:t>
      </w:r>
    </w:p>
    <w:p w:rsidR="0021071D" w:rsidRDefault="0021071D" w:rsidP="0021071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Til dette formål fortyndes indholdet af en ampul med 0,5 ml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Waymade</w:t>
      </w:r>
      <w:proofErr w:type="spellEnd"/>
      <w:r>
        <w:rPr>
          <w:sz w:val="24"/>
          <w:szCs w:val="24"/>
        </w:rPr>
        <w:t xml:space="preserve">" (dvs. 50 µg) med 250 ml </w:t>
      </w:r>
      <w:proofErr w:type="spellStart"/>
      <w:r>
        <w:t>natriumchloridopløsning</w:t>
      </w:r>
      <w:proofErr w:type="spellEnd"/>
      <w:r>
        <w:t xml:space="preserve"> (9 mg/ml) </w:t>
      </w:r>
      <w:r>
        <w:rPr>
          <w:sz w:val="24"/>
          <w:szCs w:val="24"/>
        </w:rPr>
        <w:t xml:space="preserve">eller en </w:t>
      </w:r>
      <w:proofErr w:type="spellStart"/>
      <w:r>
        <w:rPr>
          <w:sz w:val="24"/>
          <w:szCs w:val="24"/>
        </w:rPr>
        <w:t>glucoseopløsning</w:t>
      </w:r>
      <w:proofErr w:type="spellEnd"/>
      <w:r>
        <w:rPr>
          <w:sz w:val="24"/>
          <w:szCs w:val="24"/>
        </w:rPr>
        <w:t xml:space="preserve"> (50 mg/ml).</w:t>
      </w:r>
    </w:p>
    <w:p w:rsidR="0021071D" w:rsidRDefault="0021071D" w:rsidP="0021071D">
      <w:pPr>
        <w:ind w:left="851" w:hanging="851"/>
        <w:rPr>
          <w:sz w:val="24"/>
          <w:szCs w:val="24"/>
        </w:rPr>
      </w:pPr>
    </w:p>
    <w:p w:rsidR="0021071D" w:rsidRDefault="0021071D" w:rsidP="0021071D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Fortynding af </w:t>
      </w:r>
      <w:proofErr w:type="spellStart"/>
      <w:r>
        <w:rPr>
          <w:i/>
          <w:sz w:val="24"/>
          <w:szCs w:val="24"/>
        </w:rPr>
        <w:t>Iloprost</w:t>
      </w:r>
      <w:proofErr w:type="spellEnd"/>
      <w:r>
        <w:rPr>
          <w:i/>
          <w:sz w:val="24"/>
          <w:szCs w:val="24"/>
        </w:rPr>
        <w:t xml:space="preserve"> "</w:t>
      </w:r>
      <w:proofErr w:type="spellStart"/>
      <w:r>
        <w:rPr>
          <w:i/>
          <w:sz w:val="24"/>
          <w:szCs w:val="24"/>
        </w:rPr>
        <w:t>Waymade</w:t>
      </w:r>
      <w:proofErr w:type="spellEnd"/>
      <w:r>
        <w:rPr>
          <w:i/>
          <w:sz w:val="24"/>
          <w:szCs w:val="24"/>
        </w:rPr>
        <w:t>" til brug i injektionssprøjte (2 µg/ml)</w:t>
      </w:r>
    </w:p>
    <w:p w:rsidR="0021071D" w:rsidRDefault="0021071D" w:rsidP="0021071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dette tilfælde fortyndes indholdet af en ampul med 0,5 ml </w:t>
      </w:r>
      <w:proofErr w:type="spellStart"/>
      <w:r>
        <w:rPr>
          <w:sz w:val="24"/>
          <w:szCs w:val="24"/>
        </w:rPr>
        <w:t>Iloprost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Waymade</w:t>
      </w:r>
      <w:proofErr w:type="spellEnd"/>
      <w:r>
        <w:rPr>
          <w:sz w:val="24"/>
          <w:szCs w:val="24"/>
        </w:rPr>
        <w:t xml:space="preserve">" (dvs. 50 µg) med 25 ml </w:t>
      </w:r>
      <w:proofErr w:type="spellStart"/>
      <w:r>
        <w:t>natriumchloridopløsning</w:t>
      </w:r>
      <w:proofErr w:type="spellEnd"/>
      <w:r>
        <w:t xml:space="preserve"> (9 mg/ml) </w:t>
      </w:r>
      <w:r>
        <w:rPr>
          <w:sz w:val="24"/>
          <w:szCs w:val="24"/>
        </w:rPr>
        <w:t xml:space="preserve">eller en </w:t>
      </w:r>
      <w:proofErr w:type="spellStart"/>
      <w:r>
        <w:rPr>
          <w:sz w:val="24"/>
          <w:szCs w:val="24"/>
        </w:rPr>
        <w:t>glucoseopløsning</w:t>
      </w:r>
      <w:proofErr w:type="spellEnd"/>
      <w:r>
        <w:rPr>
          <w:sz w:val="24"/>
          <w:szCs w:val="24"/>
        </w:rPr>
        <w:t xml:space="preserve"> (50 mg/ml).</w:t>
      </w:r>
    </w:p>
    <w:p w:rsidR="008136E3" w:rsidRDefault="008136E3" w:rsidP="008136E3">
      <w:pPr>
        <w:ind w:left="851" w:hanging="851"/>
        <w:jc w:val="both"/>
        <w:rPr>
          <w:sz w:val="24"/>
          <w:szCs w:val="24"/>
        </w:rPr>
      </w:pPr>
    </w:p>
    <w:p w:rsidR="0021071D" w:rsidRPr="004534D9" w:rsidRDefault="0021071D" w:rsidP="008136E3">
      <w:pPr>
        <w:ind w:left="851" w:hanging="851"/>
        <w:jc w:val="both"/>
        <w:rPr>
          <w:sz w:val="24"/>
          <w:szCs w:val="24"/>
        </w:rPr>
      </w:pPr>
      <w:bookmarkStart w:id="6" w:name="_GoBack"/>
      <w:bookmarkEnd w:id="6"/>
    </w:p>
    <w:p w:rsidR="008136E3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7.</w:t>
      </w:r>
      <w:r w:rsidRPr="004534D9">
        <w:rPr>
          <w:b/>
          <w:sz w:val="24"/>
          <w:szCs w:val="24"/>
        </w:rPr>
        <w:tab/>
        <w:t>INDEHAVER AF MARKEDSFØRINGSTILLADELSEN</w:t>
      </w:r>
    </w:p>
    <w:p w:rsidR="00FB5C99" w:rsidRPr="004534D9" w:rsidRDefault="00FB5C99" w:rsidP="008136E3">
      <w:pPr>
        <w:ind w:left="851" w:hanging="851"/>
        <w:rPr>
          <w:b/>
          <w:sz w:val="24"/>
          <w:szCs w:val="24"/>
        </w:rPr>
      </w:pPr>
    </w:p>
    <w:p w:rsidR="004F5EFF" w:rsidRPr="004F5EFF" w:rsidRDefault="004F5EFF" w:rsidP="004F5EFF">
      <w:pPr>
        <w:ind w:left="851"/>
        <w:rPr>
          <w:sz w:val="24"/>
          <w:szCs w:val="24"/>
          <w:lang w:val="nl-NL" w:bidi="da-DK"/>
        </w:rPr>
      </w:pPr>
      <w:r w:rsidRPr="004F5EFF">
        <w:rPr>
          <w:sz w:val="24"/>
          <w:szCs w:val="24"/>
          <w:lang w:val="nl-NL" w:bidi="da-DK"/>
        </w:rPr>
        <w:t>Waymade B.V.</w:t>
      </w:r>
    </w:p>
    <w:p w:rsidR="004F5EFF" w:rsidRPr="004F5EFF" w:rsidRDefault="004F5EFF" w:rsidP="004F5EFF">
      <w:pPr>
        <w:ind w:left="851"/>
        <w:rPr>
          <w:sz w:val="24"/>
          <w:szCs w:val="24"/>
          <w:lang w:val="nl-NL" w:bidi="da-DK"/>
        </w:rPr>
      </w:pPr>
      <w:r w:rsidRPr="004F5EFF">
        <w:rPr>
          <w:sz w:val="24"/>
          <w:szCs w:val="24"/>
          <w:lang w:val="nl-NL" w:bidi="da-DK"/>
        </w:rPr>
        <w:t>Herikerbergweg 88</w:t>
      </w:r>
    </w:p>
    <w:p w:rsidR="004F5EFF" w:rsidRPr="004F5EFF" w:rsidRDefault="004F5EFF" w:rsidP="004F5EFF">
      <w:pPr>
        <w:ind w:left="851"/>
        <w:rPr>
          <w:sz w:val="24"/>
          <w:szCs w:val="24"/>
          <w:lang w:val="nl-NL" w:bidi="da-DK"/>
        </w:rPr>
      </w:pPr>
      <w:r w:rsidRPr="004F5EFF">
        <w:rPr>
          <w:sz w:val="24"/>
          <w:szCs w:val="24"/>
          <w:lang w:val="nl-NL" w:bidi="da-DK"/>
        </w:rPr>
        <w:t>1101CM Amsterdam</w:t>
      </w:r>
    </w:p>
    <w:p w:rsidR="004F5EFF" w:rsidRPr="004F5EFF" w:rsidRDefault="004F5EFF" w:rsidP="004F5EFF">
      <w:pPr>
        <w:ind w:left="851"/>
        <w:rPr>
          <w:sz w:val="24"/>
          <w:szCs w:val="24"/>
          <w:lang w:val="nl-NL" w:bidi="da-DK"/>
        </w:rPr>
      </w:pPr>
      <w:r w:rsidRPr="004F5EFF">
        <w:rPr>
          <w:sz w:val="24"/>
          <w:szCs w:val="24"/>
          <w:lang w:val="nl-NL" w:bidi="da-DK"/>
        </w:rPr>
        <w:t>Holland</w:t>
      </w:r>
    </w:p>
    <w:p w:rsidR="008136E3" w:rsidRPr="004D1141" w:rsidRDefault="008136E3" w:rsidP="008136E3">
      <w:pPr>
        <w:ind w:left="851"/>
        <w:rPr>
          <w:sz w:val="24"/>
          <w:szCs w:val="24"/>
        </w:rPr>
      </w:pPr>
    </w:p>
    <w:p w:rsidR="008136E3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8.</w:t>
      </w:r>
      <w:r w:rsidRPr="004534D9">
        <w:rPr>
          <w:b/>
          <w:sz w:val="24"/>
          <w:szCs w:val="24"/>
        </w:rPr>
        <w:tab/>
        <w:t>MARKEDSFØRINGSTILLADELSESNUMMER (</w:t>
      </w:r>
      <w:r w:rsidR="00D56750">
        <w:rPr>
          <w:b/>
          <w:sz w:val="24"/>
          <w:szCs w:val="24"/>
        </w:rPr>
        <w:t>-</w:t>
      </w:r>
      <w:r w:rsidRPr="004534D9">
        <w:rPr>
          <w:b/>
          <w:sz w:val="24"/>
          <w:szCs w:val="24"/>
        </w:rPr>
        <w:t>NUMRE)</w:t>
      </w:r>
    </w:p>
    <w:p w:rsidR="00FB5C99" w:rsidRPr="004534D9" w:rsidRDefault="00FB5C99" w:rsidP="008136E3">
      <w:pPr>
        <w:ind w:left="851" w:hanging="851"/>
        <w:rPr>
          <w:b/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 w:rsidRPr="004534D9">
        <w:rPr>
          <w:sz w:val="24"/>
          <w:szCs w:val="24"/>
        </w:rPr>
        <w:t>56613</w:t>
      </w:r>
    </w:p>
    <w:p w:rsidR="008136E3" w:rsidRPr="004534D9" w:rsidRDefault="008136E3" w:rsidP="008136E3">
      <w:pPr>
        <w:ind w:left="851" w:hanging="851"/>
        <w:jc w:val="both"/>
        <w:rPr>
          <w:sz w:val="24"/>
          <w:szCs w:val="24"/>
        </w:rPr>
      </w:pPr>
    </w:p>
    <w:p w:rsidR="008136E3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9.</w:t>
      </w:r>
      <w:r w:rsidRPr="004534D9">
        <w:rPr>
          <w:b/>
          <w:sz w:val="24"/>
          <w:szCs w:val="24"/>
        </w:rPr>
        <w:tab/>
        <w:t>DATO FOR FØRSTE MARKEDSFØRINGSTILLADELSE</w:t>
      </w:r>
    </w:p>
    <w:p w:rsidR="00FB5C99" w:rsidRPr="004534D9" w:rsidRDefault="00FB5C99" w:rsidP="008136E3">
      <w:pPr>
        <w:ind w:left="851" w:hanging="851"/>
        <w:rPr>
          <w:b/>
          <w:sz w:val="24"/>
          <w:szCs w:val="24"/>
        </w:rPr>
      </w:pPr>
    </w:p>
    <w:p w:rsidR="008136E3" w:rsidRPr="004534D9" w:rsidRDefault="008136E3" w:rsidP="008136E3">
      <w:pPr>
        <w:ind w:left="851"/>
        <w:rPr>
          <w:sz w:val="24"/>
          <w:szCs w:val="24"/>
        </w:rPr>
      </w:pPr>
      <w:r>
        <w:rPr>
          <w:sz w:val="24"/>
          <w:szCs w:val="24"/>
        </w:rPr>
        <w:t>18. juli 2017</w:t>
      </w:r>
    </w:p>
    <w:p w:rsidR="008136E3" w:rsidRPr="004534D9" w:rsidRDefault="008136E3" w:rsidP="008136E3">
      <w:pPr>
        <w:ind w:left="851" w:hanging="851"/>
        <w:rPr>
          <w:sz w:val="24"/>
          <w:szCs w:val="24"/>
        </w:rPr>
      </w:pPr>
    </w:p>
    <w:p w:rsidR="008136E3" w:rsidRDefault="008136E3" w:rsidP="008136E3">
      <w:pPr>
        <w:ind w:left="851" w:hanging="851"/>
        <w:rPr>
          <w:b/>
          <w:sz w:val="24"/>
          <w:szCs w:val="24"/>
        </w:rPr>
      </w:pPr>
      <w:r w:rsidRPr="004534D9">
        <w:rPr>
          <w:b/>
          <w:sz w:val="24"/>
          <w:szCs w:val="24"/>
        </w:rPr>
        <w:t>10.</w:t>
      </w:r>
      <w:r w:rsidRPr="004534D9">
        <w:rPr>
          <w:b/>
          <w:sz w:val="24"/>
          <w:szCs w:val="24"/>
        </w:rPr>
        <w:tab/>
        <w:t>DATO FOR ÆNDRING AF TEKSTEN</w:t>
      </w:r>
    </w:p>
    <w:p w:rsidR="00FB5C99" w:rsidRPr="004534D9" w:rsidRDefault="00FB5C99" w:rsidP="008136E3">
      <w:pPr>
        <w:ind w:left="851" w:hanging="851"/>
        <w:rPr>
          <w:b/>
          <w:sz w:val="24"/>
          <w:szCs w:val="24"/>
        </w:rPr>
      </w:pPr>
    </w:p>
    <w:p w:rsidR="009260DE" w:rsidRPr="004F5EFF" w:rsidRDefault="00402C48" w:rsidP="004F5EFF">
      <w:pPr>
        <w:ind w:left="851"/>
        <w:rPr>
          <w:sz w:val="24"/>
          <w:szCs w:val="24"/>
        </w:rPr>
      </w:pPr>
      <w:r>
        <w:rPr>
          <w:sz w:val="24"/>
          <w:szCs w:val="24"/>
        </w:rPr>
        <w:t>29. januar 2025</w:t>
      </w:r>
    </w:p>
    <w:sectPr w:rsidR="009260DE" w:rsidRPr="004F5EFF" w:rsidSect="0002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58D" w:rsidRDefault="005C758D">
      <w:r>
        <w:separator/>
      </w:r>
    </w:p>
  </w:endnote>
  <w:endnote w:type="continuationSeparator" w:id="0">
    <w:p w:rsidR="005C758D" w:rsidRDefault="005C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EB" w:rsidRDefault="000247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58D" w:rsidRDefault="005C758D">
    <w:pPr>
      <w:pStyle w:val="Sidefod"/>
      <w:pBdr>
        <w:bottom w:val="single" w:sz="6" w:space="1" w:color="auto"/>
      </w:pBdr>
    </w:pPr>
  </w:p>
  <w:p w:rsidR="005C758D" w:rsidRDefault="005C758D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5C758D" w:rsidRPr="00B373D7" w:rsidRDefault="005C758D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Iloprost Pharmanovia, koncentrat til infusionsvæske, opløsning 100 mikrogram-ml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EB" w:rsidRDefault="000247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58D" w:rsidRDefault="005C758D">
      <w:r>
        <w:separator/>
      </w:r>
    </w:p>
  </w:footnote>
  <w:footnote w:type="continuationSeparator" w:id="0">
    <w:p w:rsidR="005C758D" w:rsidRDefault="005C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EB" w:rsidRDefault="000247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EB" w:rsidRDefault="000247E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EB" w:rsidRDefault="000247E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541E8E"/>
    <w:lvl w:ilvl="0">
      <w:numFmt w:val="bullet"/>
      <w:lvlText w:val="*"/>
      <w:lvlJc w:val="left"/>
    </w:lvl>
  </w:abstractNum>
  <w:abstractNum w:abstractNumId="1" w15:restartNumberingAfterBreak="0">
    <w:nsid w:val="11D53DCB"/>
    <w:multiLevelType w:val="hybridMultilevel"/>
    <w:tmpl w:val="927E83D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7ED2089C"/>
    <w:multiLevelType w:val="hybridMultilevel"/>
    <w:tmpl w:val="10501C7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lvl w:ilvl="0">
        <w:numFmt w:val="bullet"/>
        <w:lvlText w:val="•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E3"/>
    <w:rsid w:val="000247EB"/>
    <w:rsid w:val="000259B9"/>
    <w:rsid w:val="00041491"/>
    <w:rsid w:val="00050D16"/>
    <w:rsid w:val="00074F2A"/>
    <w:rsid w:val="000777F1"/>
    <w:rsid w:val="000A1CA8"/>
    <w:rsid w:val="000A466B"/>
    <w:rsid w:val="000B058C"/>
    <w:rsid w:val="000E4EE6"/>
    <w:rsid w:val="000F5C0C"/>
    <w:rsid w:val="001454E2"/>
    <w:rsid w:val="001B30BD"/>
    <w:rsid w:val="001E4249"/>
    <w:rsid w:val="00203C83"/>
    <w:rsid w:val="00206CE8"/>
    <w:rsid w:val="0021071D"/>
    <w:rsid w:val="0021526C"/>
    <w:rsid w:val="0025562F"/>
    <w:rsid w:val="00283A2B"/>
    <w:rsid w:val="002B30AD"/>
    <w:rsid w:val="002C2C01"/>
    <w:rsid w:val="00307DA0"/>
    <w:rsid w:val="003A29AE"/>
    <w:rsid w:val="003A32D7"/>
    <w:rsid w:val="003B4074"/>
    <w:rsid w:val="003B410B"/>
    <w:rsid w:val="003B73CC"/>
    <w:rsid w:val="003C769A"/>
    <w:rsid w:val="003F1838"/>
    <w:rsid w:val="00402C48"/>
    <w:rsid w:val="0045746C"/>
    <w:rsid w:val="0049104B"/>
    <w:rsid w:val="004D1141"/>
    <w:rsid w:val="004E3B12"/>
    <w:rsid w:val="004F5EFF"/>
    <w:rsid w:val="00532310"/>
    <w:rsid w:val="00560ECC"/>
    <w:rsid w:val="00565F0F"/>
    <w:rsid w:val="00594A86"/>
    <w:rsid w:val="00596D86"/>
    <w:rsid w:val="005C758D"/>
    <w:rsid w:val="006364C0"/>
    <w:rsid w:val="00637F5A"/>
    <w:rsid w:val="006560B1"/>
    <w:rsid w:val="00664B9D"/>
    <w:rsid w:val="006756DD"/>
    <w:rsid w:val="006D0E7D"/>
    <w:rsid w:val="00737275"/>
    <w:rsid w:val="00740EEC"/>
    <w:rsid w:val="0078011A"/>
    <w:rsid w:val="00782AF4"/>
    <w:rsid w:val="00790EE7"/>
    <w:rsid w:val="007B6649"/>
    <w:rsid w:val="008136E3"/>
    <w:rsid w:val="0081546F"/>
    <w:rsid w:val="0082576E"/>
    <w:rsid w:val="008A75E3"/>
    <w:rsid w:val="00907F75"/>
    <w:rsid w:val="009260DE"/>
    <w:rsid w:val="0093179A"/>
    <w:rsid w:val="0093258A"/>
    <w:rsid w:val="009C7BA3"/>
    <w:rsid w:val="009D1F5A"/>
    <w:rsid w:val="009D4C28"/>
    <w:rsid w:val="00AD6A0C"/>
    <w:rsid w:val="00AF0A08"/>
    <w:rsid w:val="00B003BF"/>
    <w:rsid w:val="00B373D7"/>
    <w:rsid w:val="00B73B89"/>
    <w:rsid w:val="00C36276"/>
    <w:rsid w:val="00C42586"/>
    <w:rsid w:val="00C60CCD"/>
    <w:rsid w:val="00C84483"/>
    <w:rsid w:val="00C95551"/>
    <w:rsid w:val="00CA6F70"/>
    <w:rsid w:val="00CB20D7"/>
    <w:rsid w:val="00D020B0"/>
    <w:rsid w:val="00D11748"/>
    <w:rsid w:val="00D366CF"/>
    <w:rsid w:val="00D56750"/>
    <w:rsid w:val="00E108AA"/>
    <w:rsid w:val="00E31812"/>
    <w:rsid w:val="00E3749A"/>
    <w:rsid w:val="00E4607E"/>
    <w:rsid w:val="00E7437F"/>
    <w:rsid w:val="00E865B8"/>
    <w:rsid w:val="00E940E7"/>
    <w:rsid w:val="00EB27C0"/>
    <w:rsid w:val="00EC0B9B"/>
    <w:rsid w:val="00EC23C0"/>
    <w:rsid w:val="00ED5E9F"/>
    <w:rsid w:val="00F66D4F"/>
    <w:rsid w:val="00F97E5D"/>
    <w:rsid w:val="00FB5C99"/>
    <w:rsid w:val="00FB6D01"/>
    <w:rsid w:val="00F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B5BB1"/>
  <w15:chartTrackingRefBased/>
  <w15:docId w15:val="{42CCEB0C-B26A-406B-A8F6-25D46F55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8136E3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B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2956</Words>
  <Characters>19529</Characters>
  <Application>Microsoft Office Word</Application>
  <DocSecurity>0</DocSecurity>
  <Lines>162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2024044677 pkt. 4.2, 4.3, 4.4, 4.5, 4.6, 5.3, 6.6</dc:description>
  <cp:lastModifiedBy>Gitte Ronnovius</cp:lastModifiedBy>
  <cp:revision>3</cp:revision>
  <cp:lastPrinted>2012-08-22T08:53:00Z</cp:lastPrinted>
  <dcterms:created xsi:type="dcterms:W3CDTF">2025-01-27T09:27:00Z</dcterms:created>
  <dcterms:modified xsi:type="dcterms:W3CDTF">2025-01-27T09:33:00Z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