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4089" w:rsidRPr="00C84483" w:rsidRDefault="00E24089" w:rsidP="00E24089">
      <w:pPr>
        <w:rPr>
          <w:sz w:val="24"/>
          <w:szCs w:val="24"/>
        </w:rPr>
      </w:pPr>
      <w:r>
        <w:rPr>
          <w:noProof/>
          <w:sz w:val="24"/>
          <w:szCs w:val="24"/>
          <w:lang w:eastAsia="da-DK"/>
        </w:rPr>
        <w:drawing>
          <wp:inline distT="0" distB="0" distL="0" distR="0" wp14:anchorId="4996D067" wp14:editId="39C5EBFD">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E24089" w:rsidRPr="00C84483" w:rsidRDefault="00E24089" w:rsidP="00E24089">
      <w:pPr>
        <w:pStyle w:val="Titel"/>
        <w:tabs>
          <w:tab w:val="right" w:pos="9356"/>
        </w:tabs>
        <w:jc w:val="left"/>
        <w:rPr>
          <w:b w:val="0"/>
          <w:szCs w:val="24"/>
          <w:lang w:eastAsia="en-US"/>
        </w:rPr>
      </w:pPr>
    </w:p>
    <w:p w:rsidR="00E24089" w:rsidRPr="00C84483" w:rsidRDefault="00E24089" w:rsidP="00E24089">
      <w:pPr>
        <w:pStyle w:val="Titel"/>
        <w:tabs>
          <w:tab w:val="right" w:pos="9356"/>
        </w:tabs>
        <w:jc w:val="left"/>
        <w:rPr>
          <w:b w:val="0"/>
          <w:szCs w:val="24"/>
          <w:lang w:eastAsia="en-US"/>
        </w:rPr>
      </w:pPr>
      <w:r w:rsidRPr="00C84483">
        <w:rPr>
          <w:b w:val="0"/>
          <w:szCs w:val="24"/>
          <w:lang w:eastAsia="en-US"/>
        </w:rPr>
        <w:tab/>
      </w:r>
      <w:r w:rsidR="009F5CD0">
        <w:rPr>
          <w:szCs w:val="24"/>
          <w:lang w:eastAsia="en-US"/>
        </w:rPr>
        <w:t>4</w:t>
      </w:r>
      <w:r w:rsidR="007C0D0A">
        <w:rPr>
          <w:szCs w:val="24"/>
        </w:rPr>
        <w:t xml:space="preserve">. </w:t>
      </w:r>
      <w:r w:rsidR="002A08D2">
        <w:rPr>
          <w:szCs w:val="24"/>
        </w:rPr>
        <w:t>november</w:t>
      </w:r>
      <w:r w:rsidR="007C0D0A">
        <w:rPr>
          <w:szCs w:val="24"/>
        </w:rPr>
        <w:t xml:space="preserve"> </w:t>
      </w:r>
      <w:r>
        <w:rPr>
          <w:szCs w:val="24"/>
        </w:rPr>
        <w:t>20</w:t>
      </w:r>
      <w:r w:rsidR="00C30EAA">
        <w:rPr>
          <w:szCs w:val="24"/>
        </w:rPr>
        <w:t>2</w:t>
      </w:r>
      <w:r w:rsidR="009F5CD0">
        <w:rPr>
          <w:szCs w:val="24"/>
        </w:rPr>
        <w:t>4</w:t>
      </w:r>
    </w:p>
    <w:p w:rsidR="00E24089" w:rsidRPr="00C84483" w:rsidRDefault="00E24089" w:rsidP="00E24089">
      <w:pPr>
        <w:pStyle w:val="Titel"/>
        <w:jc w:val="left"/>
        <w:rPr>
          <w:b w:val="0"/>
          <w:szCs w:val="24"/>
        </w:rPr>
      </w:pPr>
    </w:p>
    <w:p w:rsidR="00E24089" w:rsidRPr="00C84483" w:rsidRDefault="00E24089" w:rsidP="00E24089">
      <w:pPr>
        <w:pStyle w:val="Titel"/>
        <w:jc w:val="left"/>
        <w:rPr>
          <w:b w:val="0"/>
          <w:szCs w:val="24"/>
        </w:rPr>
      </w:pPr>
    </w:p>
    <w:p w:rsidR="00E24089" w:rsidRPr="00C84483" w:rsidRDefault="00E24089" w:rsidP="00E24089">
      <w:pPr>
        <w:jc w:val="center"/>
        <w:rPr>
          <w:b/>
          <w:sz w:val="24"/>
          <w:szCs w:val="24"/>
        </w:rPr>
      </w:pPr>
      <w:r w:rsidRPr="00C84483">
        <w:rPr>
          <w:b/>
          <w:sz w:val="24"/>
          <w:szCs w:val="24"/>
        </w:rPr>
        <w:t>PRODUKTRESUMÉ</w:t>
      </w:r>
    </w:p>
    <w:p w:rsidR="00E24089" w:rsidRPr="00C84483" w:rsidRDefault="00E24089" w:rsidP="00E24089">
      <w:pPr>
        <w:jc w:val="center"/>
        <w:rPr>
          <w:b/>
          <w:sz w:val="24"/>
          <w:szCs w:val="24"/>
        </w:rPr>
      </w:pPr>
    </w:p>
    <w:p w:rsidR="00E24089" w:rsidRPr="00C84483" w:rsidRDefault="00E24089" w:rsidP="00E24089">
      <w:pPr>
        <w:jc w:val="center"/>
        <w:rPr>
          <w:b/>
          <w:sz w:val="24"/>
          <w:szCs w:val="24"/>
        </w:rPr>
      </w:pPr>
      <w:r w:rsidRPr="00C84483">
        <w:rPr>
          <w:b/>
          <w:sz w:val="24"/>
          <w:szCs w:val="24"/>
        </w:rPr>
        <w:t>for</w:t>
      </w:r>
    </w:p>
    <w:p w:rsidR="00E24089" w:rsidRPr="00C84483" w:rsidRDefault="00E24089" w:rsidP="00E24089">
      <w:pPr>
        <w:jc w:val="center"/>
        <w:rPr>
          <w:b/>
          <w:sz w:val="24"/>
          <w:szCs w:val="24"/>
        </w:rPr>
      </w:pPr>
    </w:p>
    <w:p w:rsidR="00E24089" w:rsidRPr="00C84483" w:rsidRDefault="007C0D0A" w:rsidP="00E24089">
      <w:pPr>
        <w:jc w:val="center"/>
        <w:rPr>
          <w:b/>
          <w:sz w:val="24"/>
          <w:szCs w:val="24"/>
        </w:rPr>
      </w:pPr>
      <w:r>
        <w:rPr>
          <w:b/>
          <w:noProof/>
          <w:szCs w:val="24"/>
        </w:rPr>
        <w:t>Iluvien</w:t>
      </w:r>
      <w:r w:rsidR="00E24089">
        <w:rPr>
          <w:b/>
          <w:sz w:val="24"/>
          <w:szCs w:val="24"/>
        </w:rPr>
        <w:t xml:space="preserve">, </w:t>
      </w:r>
      <w:proofErr w:type="spellStart"/>
      <w:r w:rsidR="00E24089">
        <w:rPr>
          <w:b/>
          <w:sz w:val="24"/>
          <w:szCs w:val="24"/>
        </w:rPr>
        <w:t>intravitreal</w:t>
      </w:r>
      <w:proofErr w:type="spellEnd"/>
      <w:r w:rsidR="00E24089">
        <w:rPr>
          <w:b/>
          <w:sz w:val="24"/>
          <w:szCs w:val="24"/>
        </w:rPr>
        <w:t xml:space="preserve"> implantat i applikator</w:t>
      </w:r>
    </w:p>
    <w:p w:rsidR="00E24089" w:rsidRPr="00C84483" w:rsidRDefault="00E24089" w:rsidP="00E24089">
      <w:pPr>
        <w:jc w:val="both"/>
        <w:rPr>
          <w:sz w:val="24"/>
          <w:szCs w:val="24"/>
        </w:rPr>
      </w:pP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0.</w:t>
      </w:r>
      <w:r w:rsidRPr="007B1EA7">
        <w:rPr>
          <w:b/>
          <w:sz w:val="24"/>
          <w:szCs w:val="24"/>
        </w:rPr>
        <w:tab/>
        <w:t>D.SP.NR.</w:t>
      </w:r>
    </w:p>
    <w:p w:rsidR="00E24089" w:rsidRPr="007B1EA7" w:rsidRDefault="00E24089" w:rsidP="00E24089">
      <w:pPr>
        <w:ind w:left="851" w:hanging="851"/>
        <w:rPr>
          <w:sz w:val="24"/>
          <w:szCs w:val="24"/>
        </w:rPr>
      </w:pPr>
      <w:r w:rsidRPr="007B1EA7">
        <w:rPr>
          <w:sz w:val="24"/>
          <w:szCs w:val="24"/>
        </w:rPr>
        <w:tab/>
        <w:t>29184</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1.</w:t>
      </w:r>
      <w:r w:rsidRPr="007B1EA7">
        <w:rPr>
          <w:b/>
          <w:sz w:val="24"/>
          <w:szCs w:val="24"/>
        </w:rPr>
        <w:tab/>
        <w:t>LÆGEMIDLETS NAVN</w:t>
      </w:r>
    </w:p>
    <w:p w:rsidR="00E24089" w:rsidRPr="00621ACA" w:rsidRDefault="00E24089" w:rsidP="00E24089">
      <w:pPr>
        <w:ind w:left="851" w:hanging="851"/>
        <w:rPr>
          <w:sz w:val="24"/>
          <w:szCs w:val="24"/>
        </w:rPr>
      </w:pPr>
      <w:r w:rsidRPr="00621ACA">
        <w:rPr>
          <w:sz w:val="24"/>
          <w:szCs w:val="24"/>
        </w:rPr>
        <w:tab/>
      </w:r>
      <w:r w:rsidR="007C0D0A">
        <w:rPr>
          <w:noProof/>
          <w:szCs w:val="24"/>
        </w:rPr>
        <w:t>Iluvien</w:t>
      </w:r>
    </w:p>
    <w:p w:rsidR="00E24089" w:rsidRPr="007B1EA7" w:rsidRDefault="00E24089" w:rsidP="00E24089">
      <w:pPr>
        <w:ind w:left="851" w:hanging="851"/>
        <w:rPr>
          <w:sz w:val="24"/>
          <w:szCs w:val="24"/>
        </w:rPr>
      </w:pPr>
      <w:r w:rsidRPr="007B1EA7">
        <w:rPr>
          <w:sz w:val="24"/>
          <w:szCs w:val="24"/>
        </w:rPr>
        <w:tab/>
      </w:r>
    </w:p>
    <w:p w:rsidR="00E24089" w:rsidRPr="007B1EA7" w:rsidRDefault="00E24089" w:rsidP="00E24089">
      <w:pPr>
        <w:ind w:left="851" w:hanging="851"/>
        <w:rPr>
          <w:b/>
          <w:sz w:val="24"/>
          <w:szCs w:val="24"/>
        </w:rPr>
      </w:pPr>
      <w:r w:rsidRPr="007B1EA7">
        <w:rPr>
          <w:b/>
          <w:sz w:val="24"/>
          <w:szCs w:val="24"/>
        </w:rPr>
        <w:t>2.</w:t>
      </w:r>
      <w:r w:rsidRPr="007B1EA7">
        <w:rPr>
          <w:b/>
          <w:sz w:val="24"/>
          <w:szCs w:val="24"/>
        </w:rPr>
        <w:tab/>
        <w:t>KVALITATIV OG KVANTITATIV SAMMENSÆTNING</w:t>
      </w:r>
    </w:p>
    <w:p w:rsidR="00E24089" w:rsidRPr="007B1EA7" w:rsidRDefault="00E24089" w:rsidP="00E24089">
      <w:pPr>
        <w:ind w:firstLine="851"/>
        <w:rPr>
          <w:sz w:val="24"/>
          <w:szCs w:val="24"/>
        </w:rPr>
      </w:pPr>
      <w:r w:rsidRPr="007B1EA7">
        <w:rPr>
          <w:sz w:val="24"/>
          <w:szCs w:val="24"/>
        </w:rPr>
        <w:t xml:space="preserve">Hvert implantat indeholder 190 mikrogram </w:t>
      </w:r>
      <w:proofErr w:type="spellStart"/>
      <w:r w:rsidRPr="007B1EA7">
        <w:rPr>
          <w:sz w:val="24"/>
          <w:szCs w:val="24"/>
        </w:rPr>
        <w:t>fluocinolonacetonid</w:t>
      </w:r>
      <w:proofErr w:type="spellEnd"/>
      <w:r w:rsidRPr="007B1EA7">
        <w:rPr>
          <w:sz w:val="24"/>
          <w:szCs w:val="24"/>
        </w:rPr>
        <w:t>.</w:t>
      </w:r>
    </w:p>
    <w:p w:rsidR="00E24089" w:rsidRDefault="00E24089" w:rsidP="00E24089">
      <w:pPr>
        <w:rPr>
          <w:sz w:val="24"/>
          <w:szCs w:val="24"/>
        </w:rPr>
      </w:pPr>
    </w:p>
    <w:p w:rsidR="00E24089" w:rsidRPr="007B1EA7" w:rsidRDefault="00E24089" w:rsidP="00E24089">
      <w:pPr>
        <w:ind w:firstLine="851"/>
        <w:rPr>
          <w:sz w:val="24"/>
          <w:szCs w:val="24"/>
        </w:rPr>
      </w:pPr>
      <w:r w:rsidRPr="007B1EA7">
        <w:rPr>
          <w:sz w:val="24"/>
          <w:szCs w:val="24"/>
        </w:rPr>
        <w:t>Alle hjælpestoffer er anført under pkt. 6.1.</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3.</w:t>
      </w:r>
      <w:r w:rsidRPr="007B1EA7">
        <w:rPr>
          <w:b/>
          <w:sz w:val="24"/>
          <w:szCs w:val="24"/>
        </w:rPr>
        <w:tab/>
        <w:t>LÆGEMIDDELFORM</w:t>
      </w:r>
    </w:p>
    <w:p w:rsidR="00E24089" w:rsidRPr="007B1EA7" w:rsidRDefault="00E24089" w:rsidP="00E24089">
      <w:pPr>
        <w:pStyle w:val="C-BodyText"/>
        <w:spacing w:before="0" w:after="0" w:line="240" w:lineRule="auto"/>
        <w:ind w:left="851" w:hanging="851"/>
        <w:rPr>
          <w:szCs w:val="24"/>
          <w:lang w:val="da-DK"/>
        </w:rPr>
      </w:pPr>
      <w:r w:rsidRPr="007B1EA7">
        <w:rPr>
          <w:szCs w:val="24"/>
          <w:lang w:val="da-DK"/>
        </w:rPr>
        <w:tab/>
      </w:r>
      <w:proofErr w:type="spellStart"/>
      <w:r w:rsidRPr="007B1EA7">
        <w:rPr>
          <w:szCs w:val="24"/>
          <w:lang w:val="da-DK"/>
        </w:rPr>
        <w:t>Intravitreal</w:t>
      </w:r>
      <w:proofErr w:type="spellEnd"/>
      <w:r w:rsidRPr="007B1EA7">
        <w:rPr>
          <w:szCs w:val="24"/>
          <w:lang w:val="da-DK"/>
        </w:rPr>
        <w:t xml:space="preserve"> implantat i applikator.</w:t>
      </w:r>
    </w:p>
    <w:p w:rsidR="00E24089" w:rsidRPr="007B1EA7" w:rsidRDefault="00E24089" w:rsidP="00E24089">
      <w:pPr>
        <w:pStyle w:val="C-BodyText"/>
        <w:spacing w:before="0" w:after="0" w:line="240" w:lineRule="auto"/>
        <w:ind w:left="851"/>
        <w:rPr>
          <w:szCs w:val="24"/>
          <w:lang w:val="da-DK"/>
        </w:rPr>
      </w:pPr>
      <w:r w:rsidRPr="007B1EA7">
        <w:rPr>
          <w:szCs w:val="24"/>
          <w:lang w:val="da-DK"/>
        </w:rPr>
        <w:t>Lysebrun cylinder, cirka 3,5 mm x 0,37 mm i størrelse.</w:t>
      </w:r>
    </w:p>
    <w:p w:rsidR="00E24089" w:rsidRPr="007B1EA7" w:rsidRDefault="00E24089" w:rsidP="00E24089">
      <w:pPr>
        <w:pStyle w:val="C-BodyText"/>
        <w:spacing w:before="0" w:after="0" w:line="240" w:lineRule="auto"/>
        <w:ind w:left="851"/>
        <w:rPr>
          <w:szCs w:val="24"/>
          <w:lang w:val="da-DK"/>
        </w:rPr>
      </w:pPr>
      <w:r w:rsidRPr="007B1EA7">
        <w:rPr>
          <w:szCs w:val="24"/>
          <w:lang w:val="da-DK"/>
        </w:rPr>
        <w:t>Implantatapplikator med 25 gauge kanyle.</w:t>
      </w:r>
    </w:p>
    <w:p w:rsidR="00E24089" w:rsidRPr="007B1EA7" w:rsidRDefault="00E24089" w:rsidP="00E24089">
      <w:pPr>
        <w:ind w:left="851" w:hanging="851"/>
        <w:rPr>
          <w:sz w:val="24"/>
          <w:szCs w:val="24"/>
        </w:rPr>
      </w:pP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4.</w:t>
      </w:r>
      <w:r w:rsidRPr="007B1EA7">
        <w:rPr>
          <w:b/>
          <w:sz w:val="24"/>
          <w:szCs w:val="24"/>
        </w:rPr>
        <w:tab/>
        <w:t>KLINISKE OPLYSNINGER</w:t>
      </w:r>
    </w:p>
    <w:p w:rsidR="00E24089" w:rsidRPr="007B1EA7" w:rsidRDefault="00E24089" w:rsidP="00E24089">
      <w:pPr>
        <w:ind w:left="851" w:hanging="851"/>
        <w:rPr>
          <w:b/>
          <w:sz w:val="24"/>
          <w:szCs w:val="24"/>
        </w:rPr>
      </w:pPr>
    </w:p>
    <w:p w:rsidR="00E24089" w:rsidRPr="007B1EA7" w:rsidRDefault="00E24089" w:rsidP="00E24089">
      <w:pPr>
        <w:ind w:left="851" w:hanging="851"/>
        <w:rPr>
          <w:b/>
          <w:sz w:val="24"/>
          <w:szCs w:val="24"/>
          <w:u w:val="single"/>
        </w:rPr>
      </w:pPr>
      <w:r w:rsidRPr="007B1EA7">
        <w:rPr>
          <w:b/>
          <w:sz w:val="24"/>
          <w:szCs w:val="24"/>
        </w:rPr>
        <w:t>4.1</w:t>
      </w:r>
      <w:r w:rsidRPr="007B1EA7">
        <w:rPr>
          <w:b/>
          <w:sz w:val="24"/>
          <w:szCs w:val="24"/>
        </w:rPr>
        <w:tab/>
        <w:t>Terapeutiske indikationer</w:t>
      </w:r>
    </w:p>
    <w:p w:rsidR="00E24089" w:rsidRDefault="007C0D0A" w:rsidP="00E24089">
      <w:pPr>
        <w:pStyle w:val="C-BodyText"/>
        <w:spacing w:before="0" w:after="0" w:line="240" w:lineRule="auto"/>
        <w:ind w:left="851"/>
        <w:rPr>
          <w:szCs w:val="24"/>
          <w:lang w:val="da-DK"/>
        </w:rPr>
      </w:pPr>
      <w:proofErr w:type="spellStart"/>
      <w:r>
        <w:rPr>
          <w:szCs w:val="24"/>
          <w:lang w:val="da-DK"/>
        </w:rPr>
        <w:t>Iluvien</w:t>
      </w:r>
      <w:proofErr w:type="spellEnd"/>
      <w:r w:rsidR="00E24089" w:rsidRPr="00621ACA">
        <w:rPr>
          <w:szCs w:val="24"/>
          <w:lang w:val="da-DK"/>
        </w:rPr>
        <w:t xml:space="preserve"> er indiceret til behandling af synsforringelse i forbindelse med kronisk diabetisk </w:t>
      </w:r>
      <w:proofErr w:type="spellStart"/>
      <w:r w:rsidR="00E24089" w:rsidRPr="00621ACA">
        <w:rPr>
          <w:szCs w:val="24"/>
          <w:lang w:val="da-DK"/>
        </w:rPr>
        <w:t>makulært</w:t>
      </w:r>
      <w:proofErr w:type="spellEnd"/>
      <w:r w:rsidR="00E24089" w:rsidRPr="00621ACA">
        <w:rPr>
          <w:szCs w:val="24"/>
          <w:lang w:val="da-DK"/>
        </w:rPr>
        <w:t xml:space="preserve"> ødem (DMO), der anses for ikke at reagere tilstrækkeligt på de tilgængelige behandlinger (se pkt. 5.1).</w:t>
      </w:r>
    </w:p>
    <w:p w:rsidR="00E24089" w:rsidRPr="00621ACA" w:rsidRDefault="00E24089" w:rsidP="00E24089">
      <w:pPr>
        <w:pStyle w:val="C-BodyText"/>
        <w:spacing w:before="0" w:after="0" w:line="240" w:lineRule="auto"/>
        <w:ind w:left="851"/>
        <w:rPr>
          <w:szCs w:val="24"/>
          <w:lang w:val="da-DK"/>
        </w:rPr>
      </w:pPr>
      <w:r w:rsidRPr="00621ACA">
        <w:rPr>
          <w:szCs w:val="24"/>
          <w:lang w:val="da-DK"/>
        </w:rPr>
        <w:t xml:space="preserve"> </w:t>
      </w:r>
    </w:p>
    <w:p w:rsidR="00E24089" w:rsidRPr="00621ACA" w:rsidRDefault="007C0D0A" w:rsidP="00E24089">
      <w:pPr>
        <w:pStyle w:val="C-BodyText"/>
        <w:spacing w:before="0" w:after="0" w:line="240" w:lineRule="auto"/>
        <w:ind w:left="851"/>
        <w:rPr>
          <w:szCs w:val="24"/>
          <w:lang w:val="da-DK"/>
        </w:rPr>
      </w:pPr>
      <w:proofErr w:type="spellStart"/>
      <w:r>
        <w:rPr>
          <w:szCs w:val="24"/>
          <w:lang w:val="da-DK"/>
        </w:rPr>
        <w:t>Iluvien</w:t>
      </w:r>
      <w:proofErr w:type="spellEnd"/>
      <w:r w:rsidR="00E24089" w:rsidRPr="00621ACA">
        <w:rPr>
          <w:szCs w:val="24"/>
          <w:lang w:val="da-DK"/>
        </w:rPr>
        <w:t xml:space="preserve"> er indiceret til forebyggelse af tilbagevendende recidiv af </w:t>
      </w:r>
      <w:bookmarkStart w:id="0" w:name="_Hlk532418017"/>
      <w:r w:rsidR="00E24089" w:rsidRPr="00621ACA">
        <w:rPr>
          <w:szCs w:val="24"/>
          <w:lang w:val="da-DK"/>
        </w:rPr>
        <w:t>ikke</w:t>
      </w:r>
      <w:r w:rsidR="00E24089" w:rsidRPr="00621ACA">
        <w:rPr>
          <w:szCs w:val="24"/>
          <w:lang w:val="da-DK"/>
        </w:rPr>
        <w:noBreakHyphen/>
        <w:t xml:space="preserve">infektiøs </w:t>
      </w:r>
      <w:proofErr w:type="spellStart"/>
      <w:r w:rsidR="00E24089" w:rsidRPr="00621ACA">
        <w:rPr>
          <w:szCs w:val="24"/>
          <w:lang w:val="da-DK"/>
        </w:rPr>
        <w:t>uveitis</w:t>
      </w:r>
      <w:proofErr w:type="spellEnd"/>
      <w:r w:rsidR="00E24089" w:rsidRPr="00621ACA">
        <w:rPr>
          <w:szCs w:val="24"/>
          <w:lang w:val="da-DK"/>
        </w:rPr>
        <w:t>, der påvirker det bagerste segment</w:t>
      </w:r>
      <w:bookmarkEnd w:id="0"/>
      <w:r w:rsidR="00E24089" w:rsidRPr="00621ACA">
        <w:rPr>
          <w:szCs w:val="24"/>
          <w:lang w:val="da-DK"/>
        </w:rPr>
        <w:t xml:space="preserve"> af øjet (se pkt. 5.1).</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4.2</w:t>
      </w:r>
      <w:r w:rsidRPr="007B1EA7">
        <w:rPr>
          <w:b/>
          <w:sz w:val="24"/>
          <w:szCs w:val="24"/>
        </w:rPr>
        <w:tab/>
        <w:t xml:space="preserve">Dosering og </w:t>
      </w:r>
      <w:r w:rsidR="00CC3F2E">
        <w:rPr>
          <w:b/>
          <w:sz w:val="24"/>
          <w:szCs w:val="24"/>
        </w:rPr>
        <w:t>administration</w:t>
      </w:r>
    </w:p>
    <w:p w:rsidR="00E24089" w:rsidRPr="00D953A4" w:rsidRDefault="00E24089" w:rsidP="00E24089">
      <w:pPr>
        <w:suppressLineNumbers/>
        <w:ind w:left="851"/>
        <w:rPr>
          <w:sz w:val="24"/>
          <w:szCs w:val="24"/>
          <w:u w:val="single"/>
        </w:rPr>
      </w:pPr>
      <w:r w:rsidRPr="00D953A4">
        <w:rPr>
          <w:sz w:val="24"/>
          <w:szCs w:val="24"/>
          <w:u w:val="single"/>
        </w:rPr>
        <w:t>Dosering</w:t>
      </w:r>
    </w:p>
    <w:p w:rsidR="00E24089" w:rsidRDefault="00E24089" w:rsidP="00E24089">
      <w:pPr>
        <w:suppressLineNumbers/>
        <w:ind w:left="851"/>
        <w:rPr>
          <w:sz w:val="24"/>
          <w:szCs w:val="24"/>
        </w:rPr>
      </w:pPr>
      <w:r w:rsidRPr="00D953A4">
        <w:rPr>
          <w:sz w:val="24"/>
          <w:szCs w:val="24"/>
        </w:rPr>
        <w:t xml:space="preserve">Den anbefalede dosis er ét </w:t>
      </w:r>
      <w:proofErr w:type="spellStart"/>
      <w:r w:rsidR="007C0D0A">
        <w:rPr>
          <w:sz w:val="24"/>
          <w:szCs w:val="24"/>
        </w:rPr>
        <w:t>Iluvien</w:t>
      </w:r>
      <w:proofErr w:type="spellEnd"/>
      <w:r w:rsidRPr="00D953A4">
        <w:rPr>
          <w:sz w:val="24"/>
          <w:szCs w:val="24"/>
        </w:rPr>
        <w:t>-implantat i det berørte øje. Samtidig behandling af begge øjne anbefales ikke (se pkt. 4.4).</w:t>
      </w:r>
    </w:p>
    <w:p w:rsidR="00E24089" w:rsidRPr="00D953A4" w:rsidRDefault="00E24089" w:rsidP="00E24089">
      <w:pPr>
        <w:suppressLineNumbers/>
        <w:ind w:left="851"/>
        <w:rPr>
          <w:sz w:val="24"/>
          <w:szCs w:val="24"/>
        </w:rPr>
      </w:pPr>
    </w:p>
    <w:p w:rsidR="00E24089" w:rsidRDefault="00E24089" w:rsidP="00E24089">
      <w:pPr>
        <w:pStyle w:val="C-BodyText"/>
        <w:spacing w:before="0" w:after="0" w:line="240" w:lineRule="auto"/>
        <w:ind w:left="851"/>
        <w:rPr>
          <w:szCs w:val="24"/>
          <w:lang w:val="da-DK"/>
        </w:rPr>
      </w:pPr>
      <w:r w:rsidRPr="00D953A4">
        <w:rPr>
          <w:szCs w:val="24"/>
          <w:lang w:val="da-DK"/>
        </w:rPr>
        <w:t xml:space="preserve">Hvert </w:t>
      </w:r>
      <w:proofErr w:type="spellStart"/>
      <w:r w:rsidR="007C0D0A">
        <w:rPr>
          <w:szCs w:val="24"/>
          <w:lang w:val="da-DK"/>
        </w:rPr>
        <w:t>Iluvien</w:t>
      </w:r>
      <w:proofErr w:type="spellEnd"/>
      <w:r w:rsidRPr="00D953A4">
        <w:rPr>
          <w:szCs w:val="24"/>
          <w:lang w:val="da-DK"/>
        </w:rPr>
        <w:t xml:space="preserve"> implantat frigør </w:t>
      </w:r>
      <w:proofErr w:type="spellStart"/>
      <w:r w:rsidRPr="00D953A4">
        <w:rPr>
          <w:szCs w:val="24"/>
          <w:lang w:val="da-DK"/>
        </w:rPr>
        <w:t>fluocinolonacetonid</w:t>
      </w:r>
      <w:proofErr w:type="spellEnd"/>
      <w:r w:rsidRPr="00D953A4">
        <w:rPr>
          <w:szCs w:val="24"/>
          <w:lang w:val="da-DK"/>
        </w:rPr>
        <w:t xml:space="preserve"> i op til 36 måneder.</w:t>
      </w:r>
    </w:p>
    <w:p w:rsidR="00E24089" w:rsidRPr="00D953A4" w:rsidRDefault="00E24089" w:rsidP="00E24089">
      <w:pPr>
        <w:pStyle w:val="C-BodyText"/>
        <w:spacing w:before="0" w:after="0" w:line="240" w:lineRule="auto"/>
        <w:ind w:left="851"/>
        <w:rPr>
          <w:szCs w:val="24"/>
          <w:lang w:val="da-DK"/>
        </w:rPr>
      </w:pPr>
    </w:p>
    <w:p w:rsidR="00E24089" w:rsidRPr="00D953A4" w:rsidRDefault="00E24089" w:rsidP="00E24089">
      <w:pPr>
        <w:pStyle w:val="C-BodyText"/>
        <w:keepNext/>
        <w:spacing w:before="0" w:after="0" w:line="240" w:lineRule="auto"/>
        <w:ind w:left="851"/>
        <w:rPr>
          <w:i/>
          <w:szCs w:val="24"/>
          <w:u w:val="single"/>
          <w:lang w:val="da-DK"/>
        </w:rPr>
      </w:pPr>
      <w:r w:rsidRPr="00D953A4">
        <w:rPr>
          <w:i/>
          <w:szCs w:val="24"/>
          <w:u w:val="single"/>
          <w:lang w:val="da-DK"/>
        </w:rPr>
        <w:lastRenderedPageBreak/>
        <w:t xml:space="preserve">Diabetisk </w:t>
      </w:r>
      <w:proofErr w:type="spellStart"/>
      <w:r w:rsidRPr="00D953A4">
        <w:rPr>
          <w:i/>
          <w:szCs w:val="24"/>
          <w:u w:val="single"/>
          <w:lang w:val="da-DK"/>
        </w:rPr>
        <w:t>makulært</w:t>
      </w:r>
      <w:proofErr w:type="spellEnd"/>
      <w:r w:rsidRPr="00D953A4">
        <w:rPr>
          <w:i/>
          <w:szCs w:val="24"/>
          <w:u w:val="single"/>
          <w:lang w:val="da-DK"/>
        </w:rPr>
        <w:t xml:space="preserve"> ødem</w:t>
      </w:r>
    </w:p>
    <w:p w:rsidR="00E24089" w:rsidRDefault="00E24089" w:rsidP="00E24089">
      <w:pPr>
        <w:pStyle w:val="C-BodyText"/>
        <w:spacing w:before="0" w:after="0" w:line="240" w:lineRule="auto"/>
        <w:ind w:left="851"/>
        <w:rPr>
          <w:szCs w:val="24"/>
          <w:lang w:val="da-DK"/>
        </w:rPr>
      </w:pPr>
      <w:r w:rsidRPr="00D953A4">
        <w:rPr>
          <w:szCs w:val="24"/>
          <w:lang w:val="da-DK"/>
        </w:rPr>
        <w:t xml:space="preserve">Der kan anvendes yderligere et implantat efter 12 måneder, hvis patienten oplever nedsat syn, eller der opstår en stigning i </w:t>
      </w:r>
      <w:proofErr w:type="spellStart"/>
      <w:r w:rsidRPr="00D953A4">
        <w:rPr>
          <w:szCs w:val="24"/>
          <w:lang w:val="da-DK"/>
        </w:rPr>
        <w:t>retinal</w:t>
      </w:r>
      <w:proofErr w:type="spellEnd"/>
      <w:r w:rsidRPr="00D953A4">
        <w:rPr>
          <w:szCs w:val="24"/>
          <w:lang w:val="da-DK"/>
        </w:rPr>
        <w:t xml:space="preserve"> tykkelse sekundært til recidiverende eller forværring af diabetisk </w:t>
      </w:r>
      <w:proofErr w:type="spellStart"/>
      <w:r w:rsidRPr="00D953A4">
        <w:rPr>
          <w:szCs w:val="24"/>
          <w:lang w:val="da-DK"/>
        </w:rPr>
        <w:t>makulært</w:t>
      </w:r>
      <w:proofErr w:type="spellEnd"/>
      <w:r w:rsidRPr="00D953A4">
        <w:rPr>
          <w:szCs w:val="24"/>
          <w:lang w:val="da-DK"/>
        </w:rPr>
        <w:t xml:space="preserve"> ødem (se pkt. 5.1).</w:t>
      </w:r>
    </w:p>
    <w:p w:rsidR="00E24089" w:rsidRPr="00D953A4" w:rsidRDefault="00E24089" w:rsidP="00E24089">
      <w:pPr>
        <w:pStyle w:val="C-BodyText"/>
        <w:spacing w:before="0" w:after="0" w:line="240" w:lineRule="auto"/>
        <w:ind w:left="851"/>
        <w:rPr>
          <w:szCs w:val="24"/>
          <w:lang w:val="da-DK"/>
        </w:rPr>
      </w:pPr>
    </w:p>
    <w:p w:rsidR="00E24089" w:rsidRDefault="00E24089" w:rsidP="00E24089">
      <w:pPr>
        <w:pStyle w:val="C-BodyText"/>
        <w:spacing w:before="0" w:after="0" w:line="240" w:lineRule="auto"/>
        <w:ind w:left="851"/>
        <w:rPr>
          <w:szCs w:val="24"/>
          <w:lang w:val="da-DK"/>
        </w:rPr>
      </w:pPr>
      <w:r w:rsidRPr="00D953A4">
        <w:rPr>
          <w:szCs w:val="24"/>
          <w:lang w:val="da-DK"/>
        </w:rPr>
        <w:t>Der bør ikke genbehandles, medmindre de potentielle fordele opvejer risiciene.</w:t>
      </w:r>
    </w:p>
    <w:p w:rsidR="00E24089" w:rsidRPr="00D953A4" w:rsidRDefault="00E24089" w:rsidP="00E24089">
      <w:pPr>
        <w:pStyle w:val="C-BodyText"/>
        <w:spacing w:before="0" w:after="0" w:line="240" w:lineRule="auto"/>
        <w:ind w:left="851"/>
        <w:rPr>
          <w:szCs w:val="24"/>
          <w:lang w:val="da-DK"/>
        </w:rPr>
      </w:pPr>
    </w:p>
    <w:p w:rsidR="00E24089" w:rsidRDefault="00E24089" w:rsidP="00E24089">
      <w:pPr>
        <w:pStyle w:val="C-BodyText"/>
        <w:spacing w:before="0" w:after="0" w:line="240" w:lineRule="auto"/>
        <w:ind w:left="851"/>
        <w:rPr>
          <w:szCs w:val="24"/>
          <w:lang w:val="da-DK"/>
        </w:rPr>
      </w:pPr>
      <w:r w:rsidRPr="00D953A4">
        <w:rPr>
          <w:szCs w:val="24"/>
          <w:lang w:val="da-DK"/>
        </w:rPr>
        <w:t xml:space="preserve">Kun patienter, der ikke har udvist tilstrækkelig respons på tidligere behandling med laserfotokoagulation eller andre tilgængelige behandlinger til diabetisk </w:t>
      </w:r>
      <w:proofErr w:type="spellStart"/>
      <w:r w:rsidRPr="00D953A4">
        <w:rPr>
          <w:szCs w:val="24"/>
          <w:lang w:val="da-DK"/>
        </w:rPr>
        <w:t>makulært</w:t>
      </w:r>
      <w:proofErr w:type="spellEnd"/>
      <w:r w:rsidRPr="00D953A4">
        <w:rPr>
          <w:szCs w:val="24"/>
          <w:lang w:val="da-DK"/>
        </w:rPr>
        <w:t xml:space="preserve"> ødem, bør behandles med </w:t>
      </w:r>
      <w:proofErr w:type="spellStart"/>
      <w:r w:rsidR="007C0D0A">
        <w:rPr>
          <w:szCs w:val="24"/>
          <w:lang w:val="da-DK"/>
        </w:rPr>
        <w:t>Iluvien</w:t>
      </w:r>
      <w:proofErr w:type="spellEnd"/>
      <w:r w:rsidRPr="00D953A4">
        <w:rPr>
          <w:szCs w:val="24"/>
          <w:lang w:val="da-DK"/>
        </w:rPr>
        <w:t xml:space="preserve">. </w:t>
      </w:r>
    </w:p>
    <w:p w:rsidR="00E24089" w:rsidRPr="00D953A4" w:rsidRDefault="00E24089" w:rsidP="00E24089">
      <w:pPr>
        <w:pStyle w:val="C-BodyText"/>
        <w:spacing w:before="0" w:after="0" w:line="240" w:lineRule="auto"/>
        <w:ind w:left="851"/>
        <w:rPr>
          <w:szCs w:val="24"/>
          <w:lang w:val="da-DK"/>
        </w:rPr>
      </w:pPr>
    </w:p>
    <w:p w:rsidR="00E24089" w:rsidRPr="00D953A4" w:rsidRDefault="00E24089" w:rsidP="00E24089">
      <w:pPr>
        <w:pStyle w:val="C-BodyText"/>
        <w:spacing w:before="0" w:after="0" w:line="240" w:lineRule="auto"/>
        <w:ind w:left="851"/>
        <w:rPr>
          <w:i/>
          <w:szCs w:val="24"/>
          <w:u w:val="single"/>
          <w:lang w:val="da-DK"/>
        </w:rPr>
      </w:pPr>
      <w:r w:rsidRPr="00D953A4">
        <w:rPr>
          <w:i/>
          <w:szCs w:val="24"/>
          <w:u w:val="single"/>
          <w:lang w:val="da-DK"/>
        </w:rPr>
        <w:t>Ikke</w:t>
      </w:r>
      <w:r w:rsidRPr="00D953A4">
        <w:rPr>
          <w:i/>
          <w:szCs w:val="24"/>
          <w:u w:val="single"/>
          <w:lang w:val="da-DK"/>
        </w:rPr>
        <w:noBreakHyphen/>
        <w:t xml:space="preserve">infektiøs </w:t>
      </w:r>
      <w:proofErr w:type="spellStart"/>
      <w:r w:rsidRPr="00D953A4">
        <w:rPr>
          <w:i/>
          <w:szCs w:val="24"/>
          <w:u w:val="single"/>
          <w:lang w:val="da-DK"/>
        </w:rPr>
        <w:t>uveitis</w:t>
      </w:r>
      <w:proofErr w:type="spellEnd"/>
      <w:r w:rsidRPr="00D953A4">
        <w:rPr>
          <w:i/>
          <w:szCs w:val="24"/>
          <w:u w:val="single"/>
          <w:lang w:val="da-DK"/>
        </w:rPr>
        <w:t>, der påvirker det bagerste segment</w:t>
      </w:r>
    </w:p>
    <w:p w:rsidR="00E24089" w:rsidRPr="00D953A4" w:rsidRDefault="00E24089" w:rsidP="00E24089">
      <w:pPr>
        <w:pStyle w:val="C-BodyText"/>
        <w:spacing w:before="0" w:after="0" w:line="240" w:lineRule="auto"/>
        <w:ind w:left="851"/>
        <w:contextualSpacing/>
        <w:rPr>
          <w:szCs w:val="24"/>
          <w:lang w:val="da-DK"/>
        </w:rPr>
      </w:pPr>
      <w:r w:rsidRPr="00D953A4">
        <w:rPr>
          <w:szCs w:val="24"/>
          <w:lang w:val="da-DK"/>
        </w:rPr>
        <w:t>Der er ingen tilgængelige data, som understøtter genbehandlingen af patienter med et ekstra implantat, ved anvendelse til forebyggelse af tilbagevendende recidiv af ikke</w:t>
      </w:r>
      <w:r w:rsidRPr="00D953A4">
        <w:rPr>
          <w:szCs w:val="24"/>
          <w:lang w:val="da-DK"/>
        </w:rPr>
        <w:noBreakHyphen/>
        <w:t xml:space="preserve">infektiøs </w:t>
      </w:r>
      <w:proofErr w:type="spellStart"/>
      <w:r w:rsidRPr="00D953A4">
        <w:rPr>
          <w:szCs w:val="24"/>
          <w:lang w:val="da-DK"/>
        </w:rPr>
        <w:t>uveitis</w:t>
      </w:r>
      <w:proofErr w:type="spellEnd"/>
      <w:r w:rsidRPr="00D953A4">
        <w:rPr>
          <w:szCs w:val="24"/>
          <w:lang w:val="da-DK"/>
        </w:rPr>
        <w:t>, der påvirker det bagerste segment af øjet.</w:t>
      </w:r>
    </w:p>
    <w:p w:rsidR="00E24089" w:rsidRPr="00D953A4" w:rsidRDefault="00E24089" w:rsidP="00E24089">
      <w:pPr>
        <w:pStyle w:val="C-BodyText"/>
        <w:spacing w:before="0" w:after="0" w:line="240" w:lineRule="auto"/>
        <w:ind w:left="851"/>
        <w:contextualSpacing/>
        <w:rPr>
          <w:szCs w:val="24"/>
          <w:lang w:val="da-DK"/>
        </w:rPr>
      </w:pPr>
    </w:p>
    <w:p w:rsidR="00E24089" w:rsidRPr="00D953A4" w:rsidRDefault="00E24089" w:rsidP="00E24089">
      <w:pPr>
        <w:pStyle w:val="C-BodyText"/>
        <w:spacing w:before="0" w:after="0" w:line="240" w:lineRule="auto"/>
        <w:ind w:left="851"/>
        <w:contextualSpacing/>
        <w:rPr>
          <w:i/>
          <w:szCs w:val="24"/>
          <w:lang w:val="da-DK"/>
        </w:rPr>
      </w:pPr>
      <w:r w:rsidRPr="00D953A4">
        <w:rPr>
          <w:i/>
          <w:szCs w:val="24"/>
          <w:lang w:val="da-DK"/>
        </w:rPr>
        <w:t>Pædiatrisk population</w:t>
      </w:r>
    </w:p>
    <w:p w:rsidR="00E24089" w:rsidRDefault="00E24089" w:rsidP="00E24089">
      <w:pPr>
        <w:pStyle w:val="C-BodyText"/>
        <w:spacing w:before="0" w:after="0" w:line="240" w:lineRule="auto"/>
        <w:ind w:left="851"/>
        <w:contextualSpacing/>
        <w:rPr>
          <w:szCs w:val="24"/>
          <w:lang w:val="da-DK"/>
        </w:rPr>
      </w:pPr>
      <w:r w:rsidRPr="00D953A4">
        <w:rPr>
          <w:szCs w:val="24"/>
          <w:lang w:val="da-DK"/>
        </w:rPr>
        <w:t xml:space="preserve">Der er ingen relevante indikationer for </w:t>
      </w:r>
      <w:proofErr w:type="spellStart"/>
      <w:r w:rsidRPr="00D953A4">
        <w:rPr>
          <w:szCs w:val="24"/>
          <w:lang w:val="da-DK"/>
        </w:rPr>
        <w:t>intravitrealt</w:t>
      </w:r>
      <w:proofErr w:type="spellEnd"/>
      <w:r w:rsidRPr="00D953A4">
        <w:rPr>
          <w:szCs w:val="24"/>
          <w:lang w:val="da-DK"/>
        </w:rPr>
        <w:t xml:space="preserve"> administreret </w:t>
      </w:r>
      <w:proofErr w:type="spellStart"/>
      <w:r w:rsidRPr="00D953A4">
        <w:rPr>
          <w:szCs w:val="24"/>
          <w:lang w:val="da-DK"/>
        </w:rPr>
        <w:t>fluocinolonacetonid</w:t>
      </w:r>
      <w:proofErr w:type="spellEnd"/>
      <w:r w:rsidRPr="00D953A4">
        <w:rPr>
          <w:szCs w:val="24"/>
          <w:lang w:val="da-DK"/>
        </w:rPr>
        <w:t xml:space="preserve"> til diabetisk </w:t>
      </w:r>
      <w:proofErr w:type="spellStart"/>
      <w:r w:rsidRPr="00D953A4">
        <w:rPr>
          <w:szCs w:val="24"/>
          <w:lang w:val="da-DK"/>
        </w:rPr>
        <w:t>makulært</w:t>
      </w:r>
      <w:proofErr w:type="spellEnd"/>
      <w:r w:rsidRPr="00D953A4">
        <w:rPr>
          <w:szCs w:val="24"/>
          <w:lang w:val="da-DK"/>
        </w:rPr>
        <w:t xml:space="preserve"> ødem i den pædiatriske population.</w:t>
      </w:r>
    </w:p>
    <w:p w:rsidR="00E24089" w:rsidRPr="00D953A4" w:rsidRDefault="00E24089" w:rsidP="00E24089">
      <w:pPr>
        <w:pStyle w:val="C-BodyText"/>
        <w:spacing w:before="0" w:after="0" w:line="240" w:lineRule="auto"/>
        <w:ind w:left="851"/>
        <w:contextualSpacing/>
        <w:rPr>
          <w:szCs w:val="24"/>
          <w:lang w:val="da-DK"/>
        </w:rPr>
      </w:pPr>
    </w:p>
    <w:p w:rsidR="00E24089" w:rsidRDefault="00E24089" w:rsidP="00E24089">
      <w:pPr>
        <w:pStyle w:val="C-BodyText"/>
        <w:spacing w:before="0" w:after="0" w:line="240" w:lineRule="auto"/>
        <w:ind w:left="851"/>
        <w:rPr>
          <w:szCs w:val="24"/>
          <w:lang w:val="da-DK"/>
        </w:rPr>
      </w:pPr>
      <w:r w:rsidRPr="00D953A4">
        <w:rPr>
          <w:szCs w:val="24"/>
          <w:lang w:val="da-DK"/>
        </w:rPr>
        <w:t xml:space="preserve">Sikkerheden og virkningen til </w:t>
      </w:r>
      <w:proofErr w:type="spellStart"/>
      <w:r w:rsidRPr="00D953A4">
        <w:rPr>
          <w:szCs w:val="24"/>
          <w:lang w:val="da-DK"/>
        </w:rPr>
        <w:t>uveitis</w:t>
      </w:r>
      <w:proofErr w:type="spellEnd"/>
      <w:r w:rsidRPr="00D953A4">
        <w:rPr>
          <w:szCs w:val="24"/>
          <w:lang w:val="da-DK"/>
        </w:rPr>
        <w:t xml:space="preserve"> hos den pædiatriske population er ikke klarlagt.</w:t>
      </w:r>
    </w:p>
    <w:p w:rsidR="00E24089" w:rsidRPr="00D953A4" w:rsidRDefault="00E24089" w:rsidP="00E24089">
      <w:pPr>
        <w:pStyle w:val="C-BodyText"/>
        <w:spacing w:before="0" w:after="0" w:line="240" w:lineRule="auto"/>
        <w:ind w:left="851"/>
        <w:rPr>
          <w:szCs w:val="24"/>
          <w:lang w:val="da-DK"/>
        </w:rPr>
      </w:pPr>
    </w:p>
    <w:p w:rsidR="00E24089" w:rsidRPr="00D953A4" w:rsidRDefault="00E24089" w:rsidP="00E24089">
      <w:pPr>
        <w:pStyle w:val="C-BodyText"/>
        <w:spacing w:before="0" w:after="0" w:line="240" w:lineRule="auto"/>
        <w:ind w:left="851"/>
        <w:contextualSpacing/>
        <w:rPr>
          <w:i/>
          <w:szCs w:val="24"/>
          <w:lang w:val="da-DK"/>
        </w:rPr>
      </w:pPr>
      <w:r w:rsidRPr="00D953A4">
        <w:rPr>
          <w:i/>
          <w:szCs w:val="24"/>
          <w:lang w:val="da-DK"/>
        </w:rPr>
        <w:t>Specielle populationer</w:t>
      </w:r>
    </w:p>
    <w:p w:rsidR="00E24089" w:rsidRPr="00D953A4" w:rsidRDefault="00E24089" w:rsidP="00E24089">
      <w:pPr>
        <w:pStyle w:val="C-BodyText"/>
        <w:spacing w:before="0" w:after="0" w:line="240" w:lineRule="auto"/>
        <w:ind w:left="851"/>
        <w:contextualSpacing/>
        <w:rPr>
          <w:szCs w:val="24"/>
          <w:lang w:val="da-DK"/>
        </w:rPr>
      </w:pPr>
      <w:r w:rsidRPr="00D953A4">
        <w:rPr>
          <w:szCs w:val="24"/>
          <w:lang w:val="da-DK"/>
        </w:rPr>
        <w:t>Der er ikke behov for justering af dosis til ældre patienter eller patienter med nyre- eller leversvækkelse.</w:t>
      </w:r>
    </w:p>
    <w:p w:rsidR="00E24089" w:rsidRPr="00D953A4" w:rsidRDefault="00E24089" w:rsidP="00E24089">
      <w:pPr>
        <w:pStyle w:val="C-BodyText"/>
        <w:spacing w:before="0" w:after="0" w:line="240" w:lineRule="auto"/>
        <w:ind w:left="851"/>
        <w:rPr>
          <w:szCs w:val="24"/>
          <w:u w:val="single"/>
          <w:lang w:val="da-DK"/>
        </w:rPr>
      </w:pPr>
    </w:p>
    <w:p w:rsidR="00E24089" w:rsidRPr="00D953A4" w:rsidRDefault="00E24089" w:rsidP="00E24089">
      <w:pPr>
        <w:pStyle w:val="C-BodyText"/>
        <w:spacing w:before="0" w:after="0" w:line="240" w:lineRule="auto"/>
        <w:ind w:left="851"/>
        <w:rPr>
          <w:szCs w:val="24"/>
          <w:lang w:val="da-DK"/>
        </w:rPr>
      </w:pPr>
      <w:r w:rsidRPr="00D953A4">
        <w:rPr>
          <w:szCs w:val="24"/>
          <w:u w:val="single"/>
          <w:lang w:val="da-DK"/>
        </w:rPr>
        <w:t xml:space="preserve">Administration </w:t>
      </w:r>
    </w:p>
    <w:p w:rsidR="00E24089" w:rsidRDefault="00E24089" w:rsidP="00E24089">
      <w:pPr>
        <w:pStyle w:val="C-BodyText"/>
        <w:spacing w:before="0" w:after="0" w:line="240" w:lineRule="auto"/>
        <w:ind w:left="851"/>
        <w:rPr>
          <w:szCs w:val="24"/>
          <w:lang w:val="da-DK"/>
        </w:rPr>
      </w:pPr>
      <w:r w:rsidRPr="00D953A4">
        <w:rPr>
          <w:szCs w:val="24"/>
          <w:lang w:val="da-DK"/>
        </w:rPr>
        <w:t>KUN TIL INTRAVITREAL ANVENDELSE.</w:t>
      </w:r>
    </w:p>
    <w:p w:rsidR="00E24089" w:rsidRPr="00D953A4" w:rsidRDefault="00E24089" w:rsidP="00E24089">
      <w:pPr>
        <w:pStyle w:val="C-BodyText"/>
        <w:spacing w:before="0" w:after="0" w:line="240" w:lineRule="auto"/>
        <w:ind w:left="851"/>
        <w:rPr>
          <w:szCs w:val="24"/>
          <w:lang w:val="da-DK"/>
        </w:rPr>
      </w:pPr>
    </w:p>
    <w:p w:rsidR="00E24089" w:rsidRDefault="007C0D0A" w:rsidP="00E24089">
      <w:pPr>
        <w:pStyle w:val="C-BodyText"/>
        <w:spacing w:before="0" w:after="0" w:line="240" w:lineRule="auto"/>
        <w:ind w:left="851"/>
        <w:rPr>
          <w:szCs w:val="24"/>
          <w:lang w:val="da-DK"/>
        </w:rPr>
      </w:pPr>
      <w:proofErr w:type="spellStart"/>
      <w:r>
        <w:rPr>
          <w:szCs w:val="24"/>
          <w:lang w:val="da-DK"/>
        </w:rPr>
        <w:t>Iluvien</w:t>
      </w:r>
      <w:proofErr w:type="spellEnd"/>
      <w:r w:rsidR="00E24089" w:rsidRPr="00D953A4">
        <w:rPr>
          <w:szCs w:val="24"/>
          <w:lang w:val="da-DK"/>
        </w:rPr>
        <w:t xml:space="preserve"> er kun beregnet til </w:t>
      </w:r>
      <w:proofErr w:type="spellStart"/>
      <w:r w:rsidR="00E24089" w:rsidRPr="00D953A4">
        <w:rPr>
          <w:szCs w:val="24"/>
          <w:lang w:val="da-DK"/>
        </w:rPr>
        <w:t>intravitreal</w:t>
      </w:r>
      <w:proofErr w:type="spellEnd"/>
      <w:r w:rsidR="00E24089" w:rsidRPr="00D953A4">
        <w:rPr>
          <w:szCs w:val="24"/>
          <w:lang w:val="da-DK"/>
        </w:rPr>
        <w:t xml:space="preserve"> anvendelse og skal indgives af en oftalmolog, der har erfaring med </w:t>
      </w:r>
      <w:proofErr w:type="spellStart"/>
      <w:r w:rsidR="00E24089" w:rsidRPr="00D953A4">
        <w:rPr>
          <w:szCs w:val="24"/>
          <w:lang w:val="da-DK"/>
        </w:rPr>
        <w:t>intravitreale</w:t>
      </w:r>
      <w:proofErr w:type="spellEnd"/>
      <w:r w:rsidR="00E24089" w:rsidRPr="00D953A4">
        <w:rPr>
          <w:szCs w:val="24"/>
          <w:lang w:val="da-DK"/>
        </w:rPr>
        <w:t xml:space="preserve"> injektioner. Den </w:t>
      </w:r>
      <w:proofErr w:type="spellStart"/>
      <w:r w:rsidR="00E24089" w:rsidRPr="00D953A4">
        <w:rPr>
          <w:szCs w:val="24"/>
          <w:lang w:val="da-DK"/>
        </w:rPr>
        <w:t>intravitreale</w:t>
      </w:r>
      <w:proofErr w:type="spellEnd"/>
      <w:r w:rsidR="00E24089" w:rsidRPr="00D953A4">
        <w:rPr>
          <w:szCs w:val="24"/>
          <w:lang w:val="da-DK"/>
        </w:rPr>
        <w:t xml:space="preserve"> injektionsprocedure skal ske under kontrollerede aseptiske forhold, hvilket omfatter anvendelse af sterile handsker, steril afdækning og et sterilt </w:t>
      </w:r>
      <w:proofErr w:type="spellStart"/>
      <w:r w:rsidR="00E24089" w:rsidRPr="00D953A4">
        <w:rPr>
          <w:szCs w:val="24"/>
          <w:lang w:val="da-DK"/>
        </w:rPr>
        <w:t>øjenlågsspekulum</w:t>
      </w:r>
      <w:proofErr w:type="spellEnd"/>
      <w:r w:rsidR="00E24089" w:rsidRPr="00D953A4">
        <w:rPr>
          <w:szCs w:val="24"/>
          <w:lang w:val="da-DK"/>
        </w:rPr>
        <w:t xml:space="preserve"> (eller tilsvarende). Der skal inden injektionen gives tilstrækkelig anæstesi og en bredspektret </w:t>
      </w:r>
      <w:proofErr w:type="spellStart"/>
      <w:r w:rsidR="00E24089" w:rsidRPr="00D953A4">
        <w:rPr>
          <w:szCs w:val="24"/>
          <w:lang w:val="da-DK"/>
        </w:rPr>
        <w:t>mikrobicide</w:t>
      </w:r>
      <w:proofErr w:type="spellEnd"/>
      <w:r w:rsidR="00E24089" w:rsidRPr="00D953A4">
        <w:rPr>
          <w:szCs w:val="24"/>
          <w:lang w:val="da-DK"/>
        </w:rPr>
        <w:t>.</w:t>
      </w:r>
    </w:p>
    <w:p w:rsidR="00E24089" w:rsidRPr="00D953A4" w:rsidRDefault="00E24089" w:rsidP="00E24089">
      <w:pPr>
        <w:pStyle w:val="C-BodyText"/>
        <w:spacing w:before="0" w:after="0" w:line="240" w:lineRule="auto"/>
        <w:ind w:left="851"/>
        <w:rPr>
          <w:szCs w:val="24"/>
          <w:lang w:val="da-DK"/>
        </w:rPr>
      </w:pPr>
    </w:p>
    <w:p w:rsidR="00E24089" w:rsidRPr="00D953A4" w:rsidRDefault="00E24089" w:rsidP="00E24089">
      <w:pPr>
        <w:pStyle w:val="C-BodyText"/>
        <w:spacing w:before="0" w:after="0" w:line="240" w:lineRule="auto"/>
        <w:ind w:left="851"/>
        <w:rPr>
          <w:szCs w:val="24"/>
          <w:lang w:val="da-DK"/>
        </w:rPr>
      </w:pPr>
      <w:r w:rsidRPr="00D953A4">
        <w:rPr>
          <w:szCs w:val="24"/>
          <w:lang w:val="da-DK"/>
        </w:rPr>
        <w:t xml:space="preserve">Injektionsproceduren for </w:t>
      </w:r>
      <w:proofErr w:type="spellStart"/>
      <w:r w:rsidR="007C0D0A">
        <w:rPr>
          <w:szCs w:val="24"/>
          <w:lang w:val="da-DK"/>
        </w:rPr>
        <w:t>Iluvien</w:t>
      </w:r>
      <w:proofErr w:type="spellEnd"/>
      <w:r w:rsidRPr="00D953A4">
        <w:rPr>
          <w:szCs w:val="24"/>
          <w:lang w:val="da-DK"/>
        </w:rPr>
        <w:t xml:space="preserve"> er følgende:</w:t>
      </w:r>
    </w:p>
    <w:p w:rsidR="00E24089" w:rsidRPr="00D953A4" w:rsidRDefault="00E24089" w:rsidP="00E24089">
      <w:pPr>
        <w:pStyle w:val="C-BodyText"/>
        <w:numPr>
          <w:ilvl w:val="0"/>
          <w:numId w:val="9"/>
        </w:numPr>
        <w:ind w:left="1276" w:hanging="425"/>
        <w:rPr>
          <w:szCs w:val="24"/>
          <w:lang w:val="da-DK"/>
        </w:rPr>
      </w:pPr>
      <w:r w:rsidRPr="00D953A4">
        <w:rPr>
          <w:szCs w:val="24"/>
          <w:lang w:val="da-DK"/>
        </w:rPr>
        <w:t>Der kan indgives antibiotikadråber præoperativt efter den behandlende oftalmologs vurdering.</w:t>
      </w:r>
    </w:p>
    <w:p w:rsidR="00E24089" w:rsidRPr="00D953A4" w:rsidRDefault="00E24089" w:rsidP="00E24089">
      <w:pPr>
        <w:pStyle w:val="C-BodyText"/>
        <w:numPr>
          <w:ilvl w:val="0"/>
          <w:numId w:val="9"/>
        </w:numPr>
        <w:ind w:left="1276" w:hanging="425"/>
        <w:rPr>
          <w:szCs w:val="24"/>
          <w:lang w:val="da-DK"/>
        </w:rPr>
      </w:pPr>
      <w:r w:rsidRPr="00D953A4">
        <w:rPr>
          <w:szCs w:val="24"/>
          <w:lang w:val="da-DK"/>
        </w:rPr>
        <w:t xml:space="preserve">Umiddelbart inden injektion indgives topisk anæstesi over injektionsstedet (den </w:t>
      </w:r>
      <w:proofErr w:type="spellStart"/>
      <w:r w:rsidRPr="00D953A4">
        <w:rPr>
          <w:szCs w:val="24"/>
          <w:lang w:val="da-DK"/>
        </w:rPr>
        <w:t>inferotemporale</w:t>
      </w:r>
      <w:proofErr w:type="spellEnd"/>
      <w:r w:rsidRPr="00D953A4">
        <w:rPr>
          <w:szCs w:val="24"/>
          <w:lang w:val="da-DK"/>
        </w:rPr>
        <w:t xml:space="preserve"> kvadrant anbefales) som én dråbe efterfulgt af enten en vatpind, der er dyppet i et </w:t>
      </w:r>
      <w:proofErr w:type="spellStart"/>
      <w:r w:rsidRPr="00D953A4">
        <w:rPr>
          <w:szCs w:val="24"/>
          <w:lang w:val="da-DK"/>
        </w:rPr>
        <w:t>anæstetikum</w:t>
      </w:r>
      <w:proofErr w:type="spellEnd"/>
      <w:r w:rsidRPr="00D953A4">
        <w:rPr>
          <w:szCs w:val="24"/>
          <w:lang w:val="da-DK"/>
        </w:rPr>
        <w:t xml:space="preserve">, eller </w:t>
      </w:r>
      <w:proofErr w:type="spellStart"/>
      <w:r w:rsidRPr="00D953A4">
        <w:rPr>
          <w:szCs w:val="24"/>
          <w:lang w:val="da-DK"/>
        </w:rPr>
        <w:t>subkonjunktival</w:t>
      </w:r>
      <w:proofErr w:type="spellEnd"/>
      <w:r w:rsidRPr="00D953A4">
        <w:rPr>
          <w:szCs w:val="24"/>
          <w:lang w:val="da-DK"/>
        </w:rPr>
        <w:t xml:space="preserve"> administration af tilstrækkelig anæstesi.</w:t>
      </w:r>
    </w:p>
    <w:p w:rsidR="00E24089" w:rsidRPr="00D953A4" w:rsidRDefault="00E24089" w:rsidP="00E24089">
      <w:pPr>
        <w:pStyle w:val="C-BodyText"/>
        <w:numPr>
          <w:ilvl w:val="0"/>
          <w:numId w:val="9"/>
        </w:numPr>
        <w:ind w:left="1276" w:hanging="425"/>
        <w:rPr>
          <w:szCs w:val="24"/>
          <w:lang w:val="da-DK"/>
        </w:rPr>
      </w:pPr>
      <w:r w:rsidRPr="00D953A4">
        <w:rPr>
          <w:szCs w:val="24"/>
          <w:lang w:val="da-DK"/>
        </w:rPr>
        <w:t xml:space="preserve">Der indgives 2-3 dråber af en tilstrækkelig mængde topisk </w:t>
      </w:r>
      <w:proofErr w:type="spellStart"/>
      <w:r w:rsidRPr="00D953A4">
        <w:rPr>
          <w:szCs w:val="24"/>
          <w:lang w:val="da-DK"/>
        </w:rPr>
        <w:t>antiseptikum</w:t>
      </w:r>
      <w:proofErr w:type="spellEnd"/>
      <w:r w:rsidRPr="00D953A4">
        <w:rPr>
          <w:szCs w:val="24"/>
          <w:lang w:val="da-DK"/>
        </w:rPr>
        <w:t xml:space="preserve"> i nederste </w:t>
      </w:r>
      <w:proofErr w:type="spellStart"/>
      <w:r w:rsidRPr="00D953A4">
        <w:rPr>
          <w:szCs w:val="24"/>
          <w:lang w:val="da-DK"/>
        </w:rPr>
        <w:t>fornix</w:t>
      </w:r>
      <w:proofErr w:type="spellEnd"/>
      <w:r w:rsidRPr="00D953A4">
        <w:rPr>
          <w:szCs w:val="24"/>
          <w:lang w:val="da-DK"/>
        </w:rPr>
        <w:t xml:space="preserve">. Øjenlågene kan afvaskes med vatpinde, der er dyppet med en tilstrækkelig mængde topisk </w:t>
      </w:r>
      <w:proofErr w:type="spellStart"/>
      <w:r w:rsidRPr="00D953A4">
        <w:rPr>
          <w:szCs w:val="24"/>
          <w:lang w:val="da-DK"/>
        </w:rPr>
        <w:t>antiseptikum</w:t>
      </w:r>
      <w:proofErr w:type="spellEnd"/>
      <w:r w:rsidRPr="00D953A4">
        <w:rPr>
          <w:szCs w:val="24"/>
          <w:lang w:val="da-DK"/>
        </w:rPr>
        <w:t xml:space="preserve">. Anbring et sterilt </w:t>
      </w:r>
      <w:proofErr w:type="spellStart"/>
      <w:r w:rsidRPr="00D953A4">
        <w:rPr>
          <w:szCs w:val="24"/>
          <w:lang w:val="da-DK"/>
        </w:rPr>
        <w:t>øjenlågsspekulum</w:t>
      </w:r>
      <w:proofErr w:type="spellEnd"/>
      <w:r w:rsidRPr="00D953A4">
        <w:rPr>
          <w:szCs w:val="24"/>
          <w:lang w:val="da-DK"/>
        </w:rPr>
        <w:t xml:space="preserve">. Få patienten til at kigge opad og før en vatpind, der er dyppet med en tilstrækkelig mængde </w:t>
      </w:r>
      <w:proofErr w:type="spellStart"/>
      <w:r w:rsidRPr="00D953A4">
        <w:rPr>
          <w:szCs w:val="24"/>
          <w:lang w:val="da-DK"/>
        </w:rPr>
        <w:t>antiseptikum</w:t>
      </w:r>
      <w:proofErr w:type="spellEnd"/>
      <w:r w:rsidRPr="00D953A4">
        <w:rPr>
          <w:szCs w:val="24"/>
          <w:lang w:val="da-DK"/>
        </w:rPr>
        <w:t xml:space="preserve">, hen over injektionsstedet. Lad det topiske </w:t>
      </w:r>
      <w:proofErr w:type="spellStart"/>
      <w:r w:rsidRPr="00D953A4">
        <w:rPr>
          <w:szCs w:val="24"/>
          <w:lang w:val="da-DK"/>
        </w:rPr>
        <w:t>antiseptikum</w:t>
      </w:r>
      <w:proofErr w:type="spellEnd"/>
      <w:r w:rsidRPr="00D953A4">
        <w:rPr>
          <w:szCs w:val="24"/>
          <w:lang w:val="da-DK"/>
        </w:rPr>
        <w:t xml:space="preserve"> tørre i 30-60 sekunder inden injektion af </w:t>
      </w:r>
      <w:proofErr w:type="spellStart"/>
      <w:r w:rsidR="007C0D0A">
        <w:rPr>
          <w:szCs w:val="24"/>
          <w:lang w:val="da-DK"/>
        </w:rPr>
        <w:t>Iluvien</w:t>
      </w:r>
      <w:proofErr w:type="spellEnd"/>
      <w:r w:rsidRPr="00D953A4">
        <w:rPr>
          <w:szCs w:val="24"/>
          <w:lang w:val="da-DK"/>
        </w:rPr>
        <w:t>.</w:t>
      </w:r>
    </w:p>
    <w:p w:rsidR="00E24089" w:rsidRPr="00D953A4" w:rsidRDefault="00E24089" w:rsidP="00E24089">
      <w:pPr>
        <w:pStyle w:val="C-BodyText"/>
        <w:numPr>
          <w:ilvl w:val="0"/>
          <w:numId w:val="9"/>
        </w:numPr>
        <w:ind w:left="1276" w:hanging="425"/>
        <w:rPr>
          <w:szCs w:val="24"/>
          <w:lang w:val="da-DK"/>
        </w:rPr>
      </w:pPr>
      <w:r w:rsidRPr="00D953A4">
        <w:rPr>
          <w:szCs w:val="24"/>
          <w:lang w:val="da-DK"/>
        </w:rPr>
        <w:t xml:space="preserve">Det udvendige af bakken må </w:t>
      </w:r>
      <w:r w:rsidRPr="00D953A4">
        <w:rPr>
          <w:b/>
          <w:i/>
          <w:szCs w:val="24"/>
          <w:lang w:val="da-DK"/>
        </w:rPr>
        <w:t>ikke</w:t>
      </w:r>
      <w:r w:rsidRPr="00D953A4">
        <w:rPr>
          <w:szCs w:val="24"/>
          <w:lang w:val="da-DK"/>
        </w:rPr>
        <w:t xml:space="preserve"> anses for at være sterilt. En assistent (</w:t>
      </w:r>
      <w:proofErr w:type="spellStart"/>
      <w:r w:rsidRPr="00D953A4">
        <w:rPr>
          <w:szCs w:val="24"/>
          <w:lang w:val="da-DK"/>
        </w:rPr>
        <w:t>usteril</w:t>
      </w:r>
      <w:proofErr w:type="spellEnd"/>
      <w:r w:rsidRPr="00D953A4">
        <w:rPr>
          <w:szCs w:val="24"/>
          <w:lang w:val="da-DK"/>
        </w:rPr>
        <w:t xml:space="preserve">) skal fjerne bakken fra æsken og undersøge bakken og låget for beskadigelse. Hvis det er </w:t>
      </w:r>
      <w:r w:rsidRPr="00D953A4">
        <w:rPr>
          <w:szCs w:val="24"/>
          <w:lang w:val="da-DK"/>
        </w:rPr>
        <w:lastRenderedPageBreak/>
        <w:t xml:space="preserve">beskadiget, må det ikke anvendes. Hvis det er i orden, kan assistenten trække låget af bakken </w:t>
      </w:r>
      <w:r w:rsidRPr="00D953A4">
        <w:rPr>
          <w:b/>
          <w:i/>
          <w:szCs w:val="24"/>
          <w:lang w:val="da-DK"/>
        </w:rPr>
        <w:t>uden at berøre den indvendige overflade</w:t>
      </w:r>
      <w:r w:rsidRPr="00D953A4">
        <w:rPr>
          <w:szCs w:val="24"/>
          <w:lang w:val="da-DK"/>
        </w:rPr>
        <w:t xml:space="preserve">. </w:t>
      </w:r>
    </w:p>
    <w:p w:rsidR="00E24089" w:rsidRPr="00D953A4" w:rsidRDefault="00E24089" w:rsidP="00E24089">
      <w:pPr>
        <w:pStyle w:val="C-BodyText"/>
        <w:numPr>
          <w:ilvl w:val="0"/>
          <w:numId w:val="9"/>
        </w:numPr>
        <w:ind w:left="1276" w:hanging="425"/>
        <w:rPr>
          <w:szCs w:val="24"/>
          <w:lang w:val="da-DK"/>
        </w:rPr>
      </w:pPr>
      <w:r w:rsidRPr="00D953A4">
        <w:rPr>
          <w:szCs w:val="24"/>
          <w:lang w:val="da-DK"/>
        </w:rPr>
        <w:t xml:space="preserve">Kontrollér visuelt, gennem den gennemsigtige rude i den </w:t>
      </w:r>
      <w:proofErr w:type="spellStart"/>
      <w:r w:rsidRPr="00D953A4">
        <w:rPr>
          <w:szCs w:val="24"/>
          <w:lang w:val="da-DK"/>
        </w:rPr>
        <w:t>forfyldte</w:t>
      </w:r>
      <w:proofErr w:type="spellEnd"/>
      <w:r w:rsidRPr="00D953A4">
        <w:rPr>
          <w:szCs w:val="24"/>
          <w:lang w:val="da-DK"/>
        </w:rPr>
        <w:t xml:space="preserve"> applikator, at der er et implantat indeni. </w:t>
      </w:r>
    </w:p>
    <w:p w:rsidR="00E24089" w:rsidRPr="00D953A4" w:rsidRDefault="00E24089" w:rsidP="00E24089">
      <w:pPr>
        <w:pStyle w:val="C-BodyText"/>
        <w:numPr>
          <w:ilvl w:val="0"/>
          <w:numId w:val="9"/>
        </w:numPr>
        <w:ind w:left="1276" w:hanging="425"/>
        <w:rPr>
          <w:szCs w:val="24"/>
          <w:lang w:val="da-DK"/>
        </w:rPr>
      </w:pPr>
      <w:bookmarkStart w:id="1" w:name="_Ref298141544"/>
      <w:r w:rsidRPr="00D953A4">
        <w:rPr>
          <w:szCs w:val="24"/>
          <w:lang w:val="da-DK"/>
        </w:rPr>
        <w:t xml:space="preserve">Fjern applikatoren fra bakken med hænder, der er beklædt med sterile handsker, </w:t>
      </w:r>
      <w:r w:rsidRPr="00D953A4">
        <w:rPr>
          <w:b/>
          <w:i/>
          <w:szCs w:val="24"/>
          <w:lang w:val="da-DK"/>
        </w:rPr>
        <w:t>idet kun den sterile overflade og applikator berøres</w:t>
      </w:r>
      <w:r w:rsidRPr="00D953A4">
        <w:rPr>
          <w:szCs w:val="24"/>
          <w:lang w:val="da-DK"/>
        </w:rPr>
        <w:t xml:space="preserve">. Beskyttelseshætten på kanylen bør ikke fjernes før </w:t>
      </w:r>
      <w:proofErr w:type="spellStart"/>
      <w:r w:rsidR="007C0D0A">
        <w:rPr>
          <w:szCs w:val="24"/>
          <w:lang w:val="da-DK"/>
        </w:rPr>
        <w:t>Iluvien</w:t>
      </w:r>
      <w:proofErr w:type="spellEnd"/>
      <w:r w:rsidRPr="00D953A4">
        <w:rPr>
          <w:szCs w:val="24"/>
          <w:lang w:val="da-DK"/>
        </w:rPr>
        <w:t xml:space="preserve"> er klar til at blive injiceret. Før injektion skal applikatorspidsen holdes horisontalt for at sikre at implantatet er korrekt placeret indeni applikatoren.</w:t>
      </w:r>
    </w:p>
    <w:bookmarkEnd w:id="1"/>
    <w:p w:rsidR="00E24089" w:rsidRPr="00D953A4" w:rsidRDefault="00E24089" w:rsidP="00E24089">
      <w:pPr>
        <w:pStyle w:val="C-BodyText"/>
        <w:numPr>
          <w:ilvl w:val="0"/>
          <w:numId w:val="9"/>
        </w:numPr>
        <w:ind w:left="1276" w:hanging="425"/>
        <w:rPr>
          <w:szCs w:val="24"/>
          <w:lang w:val="da-DK"/>
        </w:rPr>
      </w:pPr>
      <w:r w:rsidRPr="00D953A4">
        <w:rPr>
          <w:szCs w:val="24"/>
          <w:lang w:val="da-DK"/>
        </w:rPr>
        <w:t xml:space="preserve">For at reducere mængden af luft, der indgives sammen med implantatet, er administrationsproceduren inddelt i to trin. Inden injektion af kanylen i øjet, trykkes knappen ned og skubbes frem til første stop (ved de buede sorte mærker, ved siden af knap-sporet). Ved første stop, slippes knappen og den vil flytte sig op til position UP. Hvis knappen ikke kommer op til position UP, skal der ikke forsættes med denne enhed.  </w:t>
      </w:r>
    </w:p>
    <w:p w:rsidR="00E24089" w:rsidRPr="00D953A4" w:rsidRDefault="00E24089" w:rsidP="00E24089">
      <w:pPr>
        <w:pStyle w:val="C-BodyText"/>
        <w:numPr>
          <w:ilvl w:val="0"/>
          <w:numId w:val="9"/>
        </w:numPr>
        <w:ind w:left="1276" w:hanging="425"/>
        <w:rPr>
          <w:szCs w:val="24"/>
          <w:lang w:val="da-DK"/>
        </w:rPr>
      </w:pPr>
      <w:r w:rsidRPr="00D953A4">
        <w:rPr>
          <w:szCs w:val="24"/>
          <w:lang w:val="da-DK"/>
        </w:rPr>
        <w:t xml:space="preserve">Den optimale placering af implantatet er under den optiske skive og bag øjets ækvator. Mål 4 millimeter </w:t>
      </w:r>
      <w:proofErr w:type="spellStart"/>
      <w:r w:rsidRPr="00D953A4">
        <w:rPr>
          <w:szCs w:val="24"/>
          <w:lang w:val="da-DK"/>
        </w:rPr>
        <w:t>inferotemporalt</w:t>
      </w:r>
      <w:proofErr w:type="spellEnd"/>
      <w:r w:rsidRPr="00D953A4">
        <w:rPr>
          <w:szCs w:val="24"/>
          <w:lang w:val="da-DK"/>
        </w:rPr>
        <w:t xml:space="preserve"> fra limbus ved hjælp af passer.</w:t>
      </w:r>
    </w:p>
    <w:p w:rsidR="00E24089" w:rsidRPr="00D953A4" w:rsidRDefault="00E24089" w:rsidP="00E24089">
      <w:pPr>
        <w:pStyle w:val="C-BodyText"/>
        <w:numPr>
          <w:ilvl w:val="0"/>
          <w:numId w:val="9"/>
        </w:numPr>
        <w:ind w:left="1276" w:hanging="425"/>
        <w:rPr>
          <w:szCs w:val="24"/>
          <w:lang w:val="da-DK"/>
        </w:rPr>
      </w:pPr>
      <w:r w:rsidRPr="00D953A4">
        <w:rPr>
          <w:szCs w:val="24"/>
          <w:lang w:val="da-DK"/>
        </w:rPr>
        <w:t xml:space="preserve">Fjern omhyggeligt beskyttelseshætten fra kanylen og inspicer spidsen for at sikre at den ikke er bøjet.  </w:t>
      </w:r>
    </w:p>
    <w:p w:rsidR="00E24089" w:rsidRPr="00D953A4" w:rsidRDefault="00E24089" w:rsidP="00E24089">
      <w:pPr>
        <w:pStyle w:val="C-BodyText"/>
        <w:numPr>
          <w:ilvl w:val="0"/>
          <w:numId w:val="9"/>
        </w:numPr>
        <w:ind w:left="1276" w:hanging="425"/>
        <w:rPr>
          <w:szCs w:val="24"/>
          <w:lang w:val="da-DK"/>
        </w:rPr>
      </w:pPr>
      <w:r w:rsidRPr="00D953A4">
        <w:rPr>
          <w:szCs w:val="24"/>
          <w:lang w:val="da-DK"/>
        </w:rPr>
        <w:t xml:space="preserve">Flyt forsigtigt </w:t>
      </w:r>
      <w:proofErr w:type="spellStart"/>
      <w:r w:rsidRPr="00D953A4">
        <w:rPr>
          <w:szCs w:val="24"/>
          <w:lang w:val="da-DK"/>
        </w:rPr>
        <w:t>konjunktiva</w:t>
      </w:r>
      <w:proofErr w:type="spellEnd"/>
      <w:r w:rsidRPr="00D953A4">
        <w:rPr>
          <w:szCs w:val="24"/>
          <w:lang w:val="da-DK"/>
        </w:rPr>
        <w:t xml:space="preserve">, så kanylens indgangssteder ved </w:t>
      </w:r>
      <w:proofErr w:type="spellStart"/>
      <w:r w:rsidRPr="00D953A4">
        <w:rPr>
          <w:szCs w:val="24"/>
          <w:lang w:val="da-DK"/>
        </w:rPr>
        <w:t>konjunktiva</w:t>
      </w:r>
      <w:proofErr w:type="spellEnd"/>
      <w:r w:rsidRPr="00D953A4">
        <w:rPr>
          <w:szCs w:val="24"/>
          <w:lang w:val="da-DK"/>
        </w:rPr>
        <w:t xml:space="preserve"> og </w:t>
      </w:r>
      <w:proofErr w:type="spellStart"/>
      <w:r w:rsidRPr="00D953A4">
        <w:rPr>
          <w:szCs w:val="24"/>
          <w:lang w:val="da-DK"/>
        </w:rPr>
        <w:t>sclera</w:t>
      </w:r>
      <w:proofErr w:type="spellEnd"/>
      <w:r w:rsidRPr="00D953A4">
        <w:rPr>
          <w:szCs w:val="24"/>
          <w:lang w:val="da-DK"/>
        </w:rPr>
        <w:t xml:space="preserve"> ikke står på linje, når kanylen trækkes tilbage. Der skal udvises forsigtighed for at undgå kontakt mellem kanylen og øjenlågskanten eller øjenvipperne. Injicer kanylen ind i øjet. Før knappen frem ved at lade den glide fremad til enden af knap-sporet for at udløse implantatet, mens knappen er i position UP, og fjern kanylen.  Bemærk: Det skal sikres, at knappen er nået enden af sporet før kanylen fjernes.</w:t>
      </w:r>
    </w:p>
    <w:p w:rsidR="00E24089" w:rsidRPr="00D953A4" w:rsidRDefault="00E24089" w:rsidP="00E24089">
      <w:pPr>
        <w:pStyle w:val="C-BodyText"/>
        <w:numPr>
          <w:ilvl w:val="0"/>
          <w:numId w:val="9"/>
        </w:numPr>
        <w:ind w:left="1276" w:hanging="425"/>
        <w:rPr>
          <w:szCs w:val="24"/>
          <w:lang w:val="da-DK"/>
        </w:rPr>
      </w:pPr>
      <w:r w:rsidRPr="00D953A4">
        <w:rPr>
          <w:szCs w:val="24"/>
          <w:lang w:val="da-DK"/>
        </w:rPr>
        <w:t xml:space="preserve">Fjern </w:t>
      </w:r>
      <w:proofErr w:type="spellStart"/>
      <w:r w:rsidRPr="00D953A4">
        <w:rPr>
          <w:szCs w:val="24"/>
          <w:lang w:val="da-DK"/>
        </w:rPr>
        <w:t>øjenlågsspekulummet</w:t>
      </w:r>
      <w:proofErr w:type="spellEnd"/>
      <w:r w:rsidRPr="00D953A4">
        <w:rPr>
          <w:szCs w:val="24"/>
          <w:lang w:val="da-DK"/>
        </w:rPr>
        <w:t xml:space="preserve"> og brug indirekte </w:t>
      </w:r>
      <w:proofErr w:type="spellStart"/>
      <w:r w:rsidRPr="00D953A4">
        <w:rPr>
          <w:szCs w:val="24"/>
          <w:lang w:val="da-DK"/>
        </w:rPr>
        <w:t>oftalmoskopi</w:t>
      </w:r>
      <w:proofErr w:type="spellEnd"/>
      <w:r w:rsidRPr="00D953A4">
        <w:rPr>
          <w:szCs w:val="24"/>
          <w:lang w:val="da-DK"/>
        </w:rPr>
        <w:t xml:space="preserve"> til at kontrollere implantatets placering, tilstrækkelig perfusion af centrale arterie i </w:t>
      </w:r>
      <w:proofErr w:type="spellStart"/>
      <w:r w:rsidRPr="00D953A4">
        <w:rPr>
          <w:szCs w:val="24"/>
          <w:lang w:val="da-DK"/>
        </w:rPr>
        <w:t>retina</w:t>
      </w:r>
      <w:proofErr w:type="spellEnd"/>
      <w:r w:rsidRPr="00D953A4">
        <w:rPr>
          <w:szCs w:val="24"/>
          <w:lang w:val="da-DK"/>
        </w:rPr>
        <w:t xml:space="preserve">, og at der ikke er nogen andre komplikationer. </w:t>
      </w:r>
      <w:proofErr w:type="spellStart"/>
      <w:r w:rsidRPr="00D953A4">
        <w:rPr>
          <w:szCs w:val="24"/>
          <w:lang w:val="da-DK"/>
        </w:rPr>
        <w:t>Nedtrykning</w:t>
      </w:r>
      <w:proofErr w:type="spellEnd"/>
      <w:r w:rsidRPr="00D953A4">
        <w:rPr>
          <w:szCs w:val="24"/>
          <w:lang w:val="da-DK"/>
        </w:rPr>
        <w:t xml:space="preserve"> af </w:t>
      </w:r>
      <w:proofErr w:type="spellStart"/>
      <w:r w:rsidRPr="00D953A4">
        <w:rPr>
          <w:szCs w:val="24"/>
          <w:lang w:val="da-DK"/>
        </w:rPr>
        <w:t>sclera</w:t>
      </w:r>
      <w:proofErr w:type="spellEnd"/>
      <w:r w:rsidRPr="00D953A4">
        <w:rPr>
          <w:szCs w:val="24"/>
          <w:lang w:val="da-DK"/>
        </w:rPr>
        <w:t xml:space="preserve"> kan forbedre visualiseringen af implantatet. Undersøgelsen bør omfatte en kontrol af perfusionen af synsnervehovedet umiddelbart efter injektion. Direkte måling af det </w:t>
      </w:r>
      <w:proofErr w:type="spellStart"/>
      <w:r w:rsidRPr="00D953A4">
        <w:rPr>
          <w:szCs w:val="24"/>
          <w:lang w:val="da-DK"/>
        </w:rPr>
        <w:t>intraokulære</w:t>
      </w:r>
      <w:proofErr w:type="spellEnd"/>
      <w:r w:rsidRPr="00D953A4">
        <w:rPr>
          <w:szCs w:val="24"/>
          <w:lang w:val="da-DK"/>
        </w:rPr>
        <w:t xml:space="preserve"> tryk (IOP) kan gennemføres efter oftalmologens vurdering.</w:t>
      </w:r>
    </w:p>
    <w:p w:rsidR="00E24089" w:rsidRDefault="00E24089" w:rsidP="00E24089">
      <w:pPr>
        <w:pStyle w:val="C-BodyText"/>
        <w:keepNext/>
        <w:spacing w:before="0" w:after="0" w:line="240" w:lineRule="auto"/>
        <w:ind w:left="851" w:hanging="425"/>
        <w:rPr>
          <w:szCs w:val="24"/>
          <w:lang w:val="da-DK"/>
        </w:rPr>
      </w:pPr>
    </w:p>
    <w:p w:rsidR="00E24089" w:rsidRDefault="00E24089" w:rsidP="00E24089">
      <w:pPr>
        <w:pStyle w:val="C-BodyText"/>
        <w:keepNext/>
        <w:spacing w:before="0" w:after="0" w:line="240" w:lineRule="auto"/>
        <w:ind w:left="851"/>
        <w:rPr>
          <w:szCs w:val="24"/>
          <w:lang w:val="da-DK"/>
        </w:rPr>
      </w:pPr>
      <w:r w:rsidRPr="00D953A4">
        <w:rPr>
          <w:szCs w:val="24"/>
          <w:lang w:val="da-DK"/>
        </w:rPr>
        <w:t xml:space="preserve">Patienten skal efter proceduren overvåges for potentielle komplikationer, for eksempel </w:t>
      </w:r>
      <w:bookmarkStart w:id="2" w:name="_Hlk532488663"/>
      <w:proofErr w:type="spellStart"/>
      <w:r w:rsidRPr="00D953A4">
        <w:rPr>
          <w:szCs w:val="24"/>
          <w:lang w:val="da-DK"/>
        </w:rPr>
        <w:t>endoftalmitis</w:t>
      </w:r>
      <w:proofErr w:type="spellEnd"/>
      <w:r w:rsidRPr="00D953A4">
        <w:rPr>
          <w:szCs w:val="24"/>
          <w:lang w:val="da-DK"/>
        </w:rPr>
        <w:t xml:space="preserve">, </w:t>
      </w:r>
      <w:bookmarkEnd w:id="2"/>
      <w:r w:rsidRPr="00D953A4">
        <w:rPr>
          <w:szCs w:val="24"/>
          <w:lang w:val="da-DK"/>
        </w:rPr>
        <w:t xml:space="preserve">forhøjet </w:t>
      </w:r>
      <w:proofErr w:type="spellStart"/>
      <w:r w:rsidRPr="00D953A4">
        <w:rPr>
          <w:szCs w:val="24"/>
          <w:lang w:val="da-DK"/>
        </w:rPr>
        <w:t>intraokulært</w:t>
      </w:r>
      <w:proofErr w:type="spellEnd"/>
      <w:r w:rsidRPr="00D953A4">
        <w:rPr>
          <w:szCs w:val="24"/>
          <w:lang w:val="da-DK"/>
        </w:rPr>
        <w:t xml:space="preserve"> tryk, </w:t>
      </w:r>
      <w:proofErr w:type="spellStart"/>
      <w:r w:rsidRPr="00D953A4">
        <w:rPr>
          <w:szCs w:val="24"/>
          <w:lang w:val="da-DK"/>
        </w:rPr>
        <w:t>retinaløsning</w:t>
      </w:r>
      <w:proofErr w:type="spellEnd"/>
      <w:r w:rsidRPr="00D953A4">
        <w:rPr>
          <w:szCs w:val="24"/>
          <w:lang w:val="da-DK"/>
        </w:rPr>
        <w:t xml:space="preserve"> og </w:t>
      </w:r>
      <w:proofErr w:type="spellStart"/>
      <w:r w:rsidRPr="00D953A4">
        <w:rPr>
          <w:szCs w:val="24"/>
          <w:lang w:val="da-DK"/>
        </w:rPr>
        <w:t>glaslegemeblødning</w:t>
      </w:r>
      <w:proofErr w:type="spellEnd"/>
      <w:r w:rsidRPr="00D953A4">
        <w:rPr>
          <w:szCs w:val="24"/>
          <w:lang w:val="da-DK"/>
        </w:rPr>
        <w:t xml:space="preserve"> eller -løsning og </w:t>
      </w:r>
      <w:proofErr w:type="spellStart"/>
      <w:r w:rsidRPr="00D953A4">
        <w:rPr>
          <w:szCs w:val="24"/>
          <w:lang w:val="da-DK"/>
        </w:rPr>
        <w:t>okulær</w:t>
      </w:r>
      <w:proofErr w:type="spellEnd"/>
      <w:r w:rsidRPr="00D953A4">
        <w:rPr>
          <w:szCs w:val="24"/>
          <w:lang w:val="da-DK"/>
        </w:rPr>
        <w:t xml:space="preserve"> </w:t>
      </w:r>
      <w:proofErr w:type="spellStart"/>
      <w:r w:rsidRPr="00D953A4">
        <w:rPr>
          <w:szCs w:val="24"/>
          <w:lang w:val="da-DK"/>
        </w:rPr>
        <w:t>hypotoni</w:t>
      </w:r>
      <w:proofErr w:type="spellEnd"/>
      <w:r w:rsidRPr="00D953A4">
        <w:rPr>
          <w:szCs w:val="24"/>
          <w:lang w:val="da-DK"/>
        </w:rPr>
        <w:t xml:space="preserve"> (observeret op til 8 dage efter behandling). Biomikroskopi med </w:t>
      </w:r>
      <w:proofErr w:type="spellStart"/>
      <w:r w:rsidRPr="00D953A4">
        <w:rPr>
          <w:szCs w:val="24"/>
          <w:lang w:val="da-DK"/>
        </w:rPr>
        <w:t>tonometri</w:t>
      </w:r>
      <w:proofErr w:type="spellEnd"/>
      <w:r w:rsidRPr="00D953A4">
        <w:rPr>
          <w:szCs w:val="24"/>
          <w:lang w:val="da-DK"/>
        </w:rPr>
        <w:t xml:space="preserve"> bør udføres mellem 2 og 7 dage efter injektion af implantatet.</w:t>
      </w:r>
    </w:p>
    <w:p w:rsidR="00E24089" w:rsidRPr="00D953A4" w:rsidRDefault="00E24089" w:rsidP="00E24089">
      <w:pPr>
        <w:pStyle w:val="C-BodyText"/>
        <w:keepNext/>
        <w:spacing w:before="0" w:after="0" w:line="240" w:lineRule="auto"/>
        <w:ind w:left="851"/>
        <w:rPr>
          <w:szCs w:val="24"/>
          <w:lang w:val="da-DK"/>
        </w:rPr>
      </w:pPr>
    </w:p>
    <w:p w:rsidR="00E24089" w:rsidRPr="00D953A4" w:rsidRDefault="00E24089" w:rsidP="00E24089">
      <w:pPr>
        <w:pStyle w:val="C-BodyText"/>
        <w:keepNext/>
        <w:spacing w:before="0" w:after="0" w:line="240" w:lineRule="auto"/>
        <w:ind w:left="851"/>
        <w:rPr>
          <w:szCs w:val="24"/>
          <w:lang w:val="da-DK"/>
        </w:rPr>
      </w:pPr>
      <w:r w:rsidRPr="00D953A4">
        <w:rPr>
          <w:szCs w:val="24"/>
          <w:lang w:val="da-DK"/>
        </w:rPr>
        <w:t xml:space="preserve">Det anbefales, at patienten efterfølgende monitoreres mindst én gang i kvartalet for potentielle komplikationer, der skyldes den langvarige frigivelse af </w:t>
      </w:r>
      <w:proofErr w:type="spellStart"/>
      <w:r w:rsidRPr="00D953A4">
        <w:rPr>
          <w:szCs w:val="24"/>
          <w:lang w:val="da-DK"/>
        </w:rPr>
        <w:t>fluocinolonacetonid</w:t>
      </w:r>
      <w:proofErr w:type="spellEnd"/>
      <w:r w:rsidRPr="00D953A4">
        <w:rPr>
          <w:szCs w:val="24"/>
          <w:lang w:val="da-DK"/>
        </w:rPr>
        <w:t xml:space="preserve"> på cirka 36 måneder (se pkt. 4.4).</w:t>
      </w:r>
    </w:p>
    <w:p w:rsidR="00E24089" w:rsidRPr="007B1EA7" w:rsidRDefault="00E24089" w:rsidP="00E24089"/>
    <w:p w:rsidR="00E24089" w:rsidRPr="007B1EA7" w:rsidRDefault="00E24089" w:rsidP="00E24089">
      <w:pPr>
        <w:tabs>
          <w:tab w:val="left" w:pos="851"/>
        </w:tabs>
        <w:rPr>
          <w:b/>
        </w:rPr>
      </w:pPr>
      <w:r w:rsidRPr="007B1EA7">
        <w:rPr>
          <w:b/>
        </w:rPr>
        <w:t>4.3</w:t>
      </w:r>
      <w:r w:rsidRPr="007B1EA7">
        <w:rPr>
          <w:b/>
        </w:rPr>
        <w:tab/>
        <w:t>Kontraindikationer</w:t>
      </w:r>
    </w:p>
    <w:p w:rsidR="00E24089" w:rsidRPr="00140688" w:rsidRDefault="00E24089" w:rsidP="00E24089">
      <w:pPr>
        <w:pStyle w:val="C-BodyText"/>
        <w:ind w:left="851"/>
        <w:rPr>
          <w:color w:val="000000"/>
          <w:szCs w:val="24"/>
          <w:lang w:val="da-DK"/>
        </w:rPr>
      </w:pPr>
      <w:r w:rsidRPr="00140688">
        <w:rPr>
          <w:szCs w:val="24"/>
          <w:lang w:val="da-DK"/>
        </w:rPr>
        <w:t xml:space="preserve">Et </w:t>
      </w:r>
      <w:proofErr w:type="spellStart"/>
      <w:r w:rsidRPr="00140688">
        <w:rPr>
          <w:szCs w:val="24"/>
          <w:lang w:val="da-DK"/>
        </w:rPr>
        <w:t>intravitrealt</w:t>
      </w:r>
      <w:proofErr w:type="spellEnd"/>
      <w:r w:rsidRPr="00140688">
        <w:rPr>
          <w:szCs w:val="24"/>
          <w:lang w:val="da-DK"/>
        </w:rPr>
        <w:t xml:space="preserve"> </w:t>
      </w:r>
      <w:proofErr w:type="spellStart"/>
      <w:r w:rsidR="007C0D0A">
        <w:rPr>
          <w:szCs w:val="24"/>
          <w:lang w:val="da-DK"/>
        </w:rPr>
        <w:t>Iluvien</w:t>
      </w:r>
      <w:proofErr w:type="spellEnd"/>
      <w:r w:rsidRPr="00140688">
        <w:rPr>
          <w:szCs w:val="24"/>
          <w:lang w:val="da-DK"/>
        </w:rPr>
        <w:t xml:space="preserve">-implantat er kontraindiceret ved forekomst af eksisterende </w:t>
      </w:r>
      <w:proofErr w:type="spellStart"/>
      <w:r w:rsidRPr="00140688">
        <w:rPr>
          <w:szCs w:val="24"/>
          <w:lang w:val="da-DK"/>
        </w:rPr>
        <w:t>glaukom</w:t>
      </w:r>
      <w:proofErr w:type="spellEnd"/>
      <w:r w:rsidRPr="00140688">
        <w:rPr>
          <w:szCs w:val="24"/>
          <w:lang w:val="da-DK"/>
        </w:rPr>
        <w:t xml:space="preserve"> eller aktiv eller formodet </w:t>
      </w:r>
      <w:proofErr w:type="spellStart"/>
      <w:r w:rsidRPr="00140688">
        <w:rPr>
          <w:szCs w:val="24"/>
          <w:lang w:val="da-DK"/>
        </w:rPr>
        <w:t>okulær</w:t>
      </w:r>
      <w:proofErr w:type="spellEnd"/>
      <w:r w:rsidRPr="00140688">
        <w:rPr>
          <w:szCs w:val="24"/>
          <w:lang w:val="da-DK"/>
        </w:rPr>
        <w:t xml:space="preserve"> eller </w:t>
      </w:r>
      <w:proofErr w:type="spellStart"/>
      <w:r w:rsidRPr="00140688">
        <w:rPr>
          <w:szCs w:val="24"/>
          <w:lang w:val="da-DK"/>
        </w:rPr>
        <w:t>periokulær</w:t>
      </w:r>
      <w:proofErr w:type="spellEnd"/>
      <w:r w:rsidRPr="00140688">
        <w:rPr>
          <w:szCs w:val="24"/>
          <w:lang w:val="da-DK"/>
        </w:rPr>
        <w:t xml:space="preserve"> infektion, herunder de fleste virussygdomme i </w:t>
      </w:r>
      <w:proofErr w:type="spellStart"/>
      <w:r w:rsidRPr="00140688">
        <w:rPr>
          <w:szCs w:val="24"/>
          <w:lang w:val="da-DK"/>
        </w:rPr>
        <w:t>cornea</w:t>
      </w:r>
      <w:proofErr w:type="spellEnd"/>
      <w:r w:rsidRPr="00140688">
        <w:rPr>
          <w:szCs w:val="24"/>
          <w:lang w:val="da-DK"/>
        </w:rPr>
        <w:t xml:space="preserve"> og </w:t>
      </w:r>
      <w:proofErr w:type="spellStart"/>
      <w:r w:rsidRPr="00140688">
        <w:rPr>
          <w:szCs w:val="24"/>
          <w:lang w:val="da-DK"/>
        </w:rPr>
        <w:t>konjunctiva</w:t>
      </w:r>
      <w:proofErr w:type="spellEnd"/>
      <w:r w:rsidRPr="00140688">
        <w:rPr>
          <w:szCs w:val="24"/>
          <w:lang w:val="da-DK"/>
        </w:rPr>
        <w:t xml:space="preserve">, og inklusive aktiv </w:t>
      </w:r>
      <w:proofErr w:type="spellStart"/>
      <w:r w:rsidRPr="00140688">
        <w:rPr>
          <w:szCs w:val="24"/>
          <w:lang w:val="da-DK"/>
        </w:rPr>
        <w:t>epitelial</w:t>
      </w:r>
      <w:proofErr w:type="spellEnd"/>
      <w:r w:rsidRPr="00140688">
        <w:rPr>
          <w:szCs w:val="24"/>
          <w:lang w:val="da-DK"/>
        </w:rPr>
        <w:t xml:space="preserve"> herpes </w:t>
      </w:r>
      <w:proofErr w:type="spellStart"/>
      <w:r w:rsidRPr="00140688">
        <w:rPr>
          <w:szCs w:val="24"/>
          <w:lang w:val="da-DK"/>
        </w:rPr>
        <w:t>simplex-keratitis</w:t>
      </w:r>
      <w:proofErr w:type="spellEnd"/>
      <w:r w:rsidRPr="00140688">
        <w:rPr>
          <w:szCs w:val="24"/>
          <w:lang w:val="da-DK"/>
        </w:rPr>
        <w:t xml:space="preserve"> (</w:t>
      </w:r>
      <w:proofErr w:type="spellStart"/>
      <w:r w:rsidRPr="00140688">
        <w:rPr>
          <w:szCs w:val="24"/>
          <w:lang w:val="da-DK"/>
        </w:rPr>
        <w:t>dendritisk</w:t>
      </w:r>
      <w:proofErr w:type="spellEnd"/>
      <w:r w:rsidRPr="00140688">
        <w:rPr>
          <w:szCs w:val="24"/>
          <w:lang w:val="da-DK"/>
        </w:rPr>
        <w:t xml:space="preserve"> </w:t>
      </w:r>
      <w:proofErr w:type="spellStart"/>
      <w:r w:rsidRPr="00140688">
        <w:rPr>
          <w:szCs w:val="24"/>
          <w:lang w:val="da-DK"/>
        </w:rPr>
        <w:t>keratitis</w:t>
      </w:r>
      <w:proofErr w:type="spellEnd"/>
      <w:r w:rsidRPr="00140688">
        <w:rPr>
          <w:szCs w:val="24"/>
          <w:lang w:val="da-DK"/>
        </w:rPr>
        <w:t xml:space="preserve">), </w:t>
      </w:r>
      <w:proofErr w:type="spellStart"/>
      <w:r w:rsidRPr="00140688">
        <w:rPr>
          <w:szCs w:val="24"/>
          <w:lang w:val="da-DK"/>
        </w:rPr>
        <w:t>vaccinia</w:t>
      </w:r>
      <w:proofErr w:type="spellEnd"/>
      <w:r w:rsidRPr="00140688">
        <w:rPr>
          <w:szCs w:val="24"/>
          <w:lang w:val="da-DK"/>
        </w:rPr>
        <w:t xml:space="preserve">, </w:t>
      </w:r>
      <w:proofErr w:type="spellStart"/>
      <w:r w:rsidRPr="00140688">
        <w:rPr>
          <w:szCs w:val="24"/>
          <w:lang w:val="da-DK"/>
        </w:rPr>
        <w:t>varicella</w:t>
      </w:r>
      <w:proofErr w:type="spellEnd"/>
      <w:r w:rsidRPr="00140688">
        <w:rPr>
          <w:szCs w:val="24"/>
          <w:lang w:val="da-DK"/>
        </w:rPr>
        <w:t xml:space="preserve">, </w:t>
      </w:r>
      <w:proofErr w:type="spellStart"/>
      <w:r w:rsidRPr="00140688">
        <w:rPr>
          <w:szCs w:val="24"/>
          <w:lang w:val="da-DK"/>
        </w:rPr>
        <w:t>mykobakterielle</w:t>
      </w:r>
      <w:proofErr w:type="spellEnd"/>
      <w:r w:rsidRPr="00140688">
        <w:rPr>
          <w:szCs w:val="24"/>
          <w:lang w:val="da-DK"/>
        </w:rPr>
        <w:t xml:space="preserve"> infektioner og svampesygdomme.</w:t>
      </w:r>
    </w:p>
    <w:p w:rsidR="00E24089" w:rsidRPr="00140688" w:rsidRDefault="007C0D0A" w:rsidP="00E24089">
      <w:pPr>
        <w:pStyle w:val="C-BodyText"/>
        <w:ind w:left="1276" w:hanging="425"/>
        <w:rPr>
          <w:color w:val="000000"/>
          <w:szCs w:val="24"/>
          <w:lang w:val="da-DK"/>
        </w:rPr>
      </w:pPr>
      <w:proofErr w:type="spellStart"/>
      <w:r>
        <w:rPr>
          <w:color w:val="000000"/>
          <w:szCs w:val="24"/>
          <w:lang w:val="da-DK"/>
        </w:rPr>
        <w:lastRenderedPageBreak/>
        <w:t>Iluvien</w:t>
      </w:r>
      <w:proofErr w:type="spellEnd"/>
      <w:r w:rsidR="00E24089" w:rsidRPr="00140688">
        <w:rPr>
          <w:color w:val="000000"/>
          <w:szCs w:val="24"/>
          <w:lang w:val="da-DK"/>
        </w:rPr>
        <w:t xml:space="preserve"> er kontraindiceret til patienter med: </w:t>
      </w:r>
    </w:p>
    <w:p w:rsidR="00E24089" w:rsidRPr="00140688" w:rsidRDefault="00E24089" w:rsidP="00E24089">
      <w:pPr>
        <w:pStyle w:val="C-BodyText"/>
        <w:numPr>
          <w:ilvl w:val="0"/>
          <w:numId w:val="12"/>
        </w:numPr>
        <w:spacing w:after="0"/>
        <w:ind w:left="1276" w:hanging="425"/>
        <w:rPr>
          <w:noProof/>
          <w:szCs w:val="24"/>
          <w:lang w:val="da-DK"/>
        </w:rPr>
      </w:pPr>
      <w:r w:rsidRPr="00140688">
        <w:rPr>
          <w:color w:val="000000"/>
          <w:szCs w:val="24"/>
          <w:lang w:val="da-DK"/>
        </w:rPr>
        <w:t>overfølsomhed over for det aktive stof eller over for et eller flere af hjælpestofferne anført i pkt. 6.1.</w:t>
      </w:r>
    </w:p>
    <w:p w:rsidR="00E24089" w:rsidRPr="00140688" w:rsidRDefault="00E24089" w:rsidP="00E24089">
      <w:pPr>
        <w:pStyle w:val="C-BodyText"/>
        <w:numPr>
          <w:ilvl w:val="0"/>
          <w:numId w:val="12"/>
        </w:numPr>
        <w:spacing w:after="0"/>
        <w:ind w:left="1276" w:hanging="425"/>
        <w:rPr>
          <w:noProof/>
          <w:szCs w:val="24"/>
          <w:lang w:val="da-DK"/>
        </w:rPr>
      </w:pPr>
      <w:r w:rsidRPr="00140688">
        <w:rPr>
          <w:noProof/>
          <w:szCs w:val="24"/>
          <w:lang w:val="da-DK"/>
        </w:rPr>
        <w:t>infektiøs uveitis.</w:t>
      </w:r>
    </w:p>
    <w:p w:rsidR="00E24089" w:rsidRPr="00567FC5" w:rsidRDefault="00E24089" w:rsidP="00E24089">
      <w:pPr>
        <w:ind w:left="851"/>
        <w:rPr>
          <w:noProof/>
          <w:sz w:val="24"/>
          <w:szCs w:val="24"/>
        </w:rPr>
      </w:pPr>
    </w:p>
    <w:p w:rsidR="00E24089" w:rsidRPr="00F464EA" w:rsidRDefault="00E24089" w:rsidP="00E24089">
      <w:pPr>
        <w:tabs>
          <w:tab w:val="left" w:pos="851"/>
        </w:tabs>
        <w:rPr>
          <w:b/>
          <w:sz w:val="24"/>
          <w:szCs w:val="24"/>
        </w:rPr>
      </w:pPr>
      <w:r w:rsidRPr="007E7507">
        <w:rPr>
          <w:b/>
        </w:rPr>
        <w:t>4.4</w:t>
      </w:r>
      <w:r w:rsidRPr="007E7507">
        <w:rPr>
          <w:b/>
        </w:rPr>
        <w:tab/>
      </w:r>
      <w:r w:rsidRPr="00F464EA">
        <w:rPr>
          <w:b/>
          <w:sz w:val="24"/>
          <w:szCs w:val="24"/>
        </w:rPr>
        <w:t>Særlige advarsler og forsigtighedsregler vedrørende brugen</w:t>
      </w:r>
    </w:p>
    <w:p w:rsidR="00E24089" w:rsidRDefault="00E24089" w:rsidP="00E24089">
      <w:pPr>
        <w:pStyle w:val="C-BodyText"/>
        <w:spacing w:before="0" w:after="0" w:line="240" w:lineRule="auto"/>
        <w:ind w:left="851"/>
        <w:rPr>
          <w:szCs w:val="24"/>
          <w:lang w:val="da-DK"/>
        </w:rPr>
      </w:pPr>
      <w:proofErr w:type="spellStart"/>
      <w:r w:rsidRPr="00250C18">
        <w:rPr>
          <w:szCs w:val="24"/>
          <w:lang w:val="da-DK"/>
        </w:rPr>
        <w:t>Intravitreale</w:t>
      </w:r>
      <w:proofErr w:type="spellEnd"/>
      <w:r w:rsidRPr="00250C18">
        <w:rPr>
          <w:szCs w:val="24"/>
          <w:lang w:val="da-DK"/>
        </w:rPr>
        <w:t xml:space="preserve"> injektioner har været forbundet med </w:t>
      </w:r>
      <w:proofErr w:type="spellStart"/>
      <w:r w:rsidRPr="00250C18">
        <w:rPr>
          <w:szCs w:val="24"/>
          <w:lang w:val="da-DK"/>
        </w:rPr>
        <w:t>endoftalmitis</w:t>
      </w:r>
      <w:proofErr w:type="spellEnd"/>
      <w:r w:rsidRPr="00250C18">
        <w:rPr>
          <w:szCs w:val="24"/>
          <w:lang w:val="da-DK"/>
        </w:rPr>
        <w:t xml:space="preserve">, stigning eller fald i </w:t>
      </w:r>
      <w:proofErr w:type="spellStart"/>
      <w:r w:rsidRPr="00250C18">
        <w:rPr>
          <w:szCs w:val="24"/>
          <w:lang w:val="da-DK"/>
        </w:rPr>
        <w:t>intraokulært</w:t>
      </w:r>
      <w:proofErr w:type="spellEnd"/>
      <w:r w:rsidRPr="00250C18">
        <w:rPr>
          <w:szCs w:val="24"/>
          <w:lang w:val="da-DK"/>
        </w:rPr>
        <w:t xml:space="preserve"> tryk, </w:t>
      </w:r>
      <w:proofErr w:type="spellStart"/>
      <w:r w:rsidRPr="00250C18">
        <w:rPr>
          <w:szCs w:val="24"/>
          <w:lang w:val="da-DK"/>
        </w:rPr>
        <w:t>retinaløsning</w:t>
      </w:r>
      <w:proofErr w:type="spellEnd"/>
      <w:r w:rsidRPr="00250C18">
        <w:rPr>
          <w:szCs w:val="24"/>
          <w:lang w:val="da-DK"/>
        </w:rPr>
        <w:t xml:space="preserve"> og </w:t>
      </w:r>
      <w:proofErr w:type="spellStart"/>
      <w:r w:rsidRPr="00250C18">
        <w:rPr>
          <w:szCs w:val="24"/>
          <w:lang w:val="da-DK"/>
        </w:rPr>
        <w:t>glaslegemeblødning</w:t>
      </w:r>
      <w:proofErr w:type="spellEnd"/>
      <w:r w:rsidRPr="00250C18">
        <w:rPr>
          <w:szCs w:val="24"/>
          <w:lang w:val="da-DK"/>
        </w:rPr>
        <w:t xml:space="preserve"> eller -løsning. Patienten skal anmodes om straks at fortælle om eventuelle symptomer, der kan tyde på </w:t>
      </w:r>
      <w:proofErr w:type="spellStart"/>
      <w:r w:rsidRPr="00250C18">
        <w:rPr>
          <w:szCs w:val="24"/>
          <w:lang w:val="da-DK"/>
        </w:rPr>
        <w:t>endoftalmitis</w:t>
      </w:r>
      <w:proofErr w:type="spellEnd"/>
      <w:r w:rsidRPr="00250C18">
        <w:rPr>
          <w:szCs w:val="24"/>
          <w:lang w:val="da-DK"/>
        </w:rPr>
        <w:t xml:space="preserve">. Kontrol af patienten inden for 2-8 dage efter injektionen kan give mulighed for tidlig påvisning og behandling af en </w:t>
      </w:r>
      <w:proofErr w:type="spellStart"/>
      <w:r w:rsidRPr="00250C18">
        <w:rPr>
          <w:szCs w:val="24"/>
          <w:lang w:val="da-DK"/>
        </w:rPr>
        <w:t>okulær</w:t>
      </w:r>
      <w:proofErr w:type="spellEnd"/>
      <w:r w:rsidRPr="00250C18">
        <w:rPr>
          <w:szCs w:val="24"/>
          <w:lang w:val="da-DK"/>
        </w:rPr>
        <w:t xml:space="preserve"> infektion, fald eller stigning i det </w:t>
      </w:r>
      <w:proofErr w:type="spellStart"/>
      <w:r w:rsidRPr="00250C18">
        <w:rPr>
          <w:szCs w:val="24"/>
          <w:lang w:val="da-DK"/>
        </w:rPr>
        <w:t>intraokulære</w:t>
      </w:r>
      <w:proofErr w:type="spellEnd"/>
      <w:r w:rsidRPr="00250C18">
        <w:rPr>
          <w:szCs w:val="24"/>
          <w:lang w:val="da-DK"/>
        </w:rPr>
        <w:t xml:space="preserve"> tryk eller andre komplikationer. Det anbefales, at det </w:t>
      </w:r>
      <w:proofErr w:type="spellStart"/>
      <w:r w:rsidRPr="00250C18">
        <w:rPr>
          <w:szCs w:val="24"/>
          <w:lang w:val="da-DK"/>
        </w:rPr>
        <w:t>intraokulære</w:t>
      </w:r>
      <w:proofErr w:type="spellEnd"/>
      <w:r w:rsidRPr="00250C18">
        <w:rPr>
          <w:szCs w:val="24"/>
          <w:lang w:val="da-DK"/>
        </w:rPr>
        <w:t xml:space="preserve"> tryk efterfølgende kontrolleres mindst én gang i kvartalet.</w:t>
      </w:r>
    </w:p>
    <w:p w:rsidR="00E24089" w:rsidRPr="00250C18" w:rsidRDefault="00E24089" w:rsidP="00E24089">
      <w:pPr>
        <w:pStyle w:val="C-BodyText"/>
        <w:spacing w:before="0" w:after="0" w:line="240" w:lineRule="auto"/>
        <w:ind w:left="851"/>
        <w:rPr>
          <w:szCs w:val="24"/>
          <w:lang w:val="da-DK"/>
        </w:rPr>
      </w:pPr>
    </w:p>
    <w:p w:rsidR="00E24089" w:rsidRDefault="00E24089" w:rsidP="00E24089">
      <w:pPr>
        <w:pStyle w:val="C-BodyText"/>
        <w:spacing w:before="0" w:after="0" w:line="240" w:lineRule="auto"/>
        <w:ind w:left="851"/>
        <w:rPr>
          <w:szCs w:val="24"/>
          <w:lang w:val="da-DK"/>
        </w:rPr>
      </w:pPr>
      <w:r w:rsidRPr="00250C18">
        <w:rPr>
          <w:szCs w:val="24"/>
          <w:lang w:val="da-DK"/>
        </w:rPr>
        <w:t xml:space="preserve">Anvendelse af </w:t>
      </w:r>
      <w:proofErr w:type="spellStart"/>
      <w:r w:rsidRPr="00250C18">
        <w:rPr>
          <w:szCs w:val="24"/>
          <w:lang w:val="da-DK"/>
        </w:rPr>
        <w:t>intravitreale</w:t>
      </w:r>
      <w:proofErr w:type="spellEnd"/>
      <w:r w:rsidRPr="00250C18">
        <w:rPr>
          <w:szCs w:val="24"/>
          <w:lang w:val="da-DK"/>
        </w:rPr>
        <w:t xml:space="preserve"> </w:t>
      </w:r>
      <w:proofErr w:type="spellStart"/>
      <w:r w:rsidRPr="00250C18">
        <w:rPr>
          <w:szCs w:val="24"/>
          <w:lang w:val="da-DK"/>
        </w:rPr>
        <w:t>kortikosteroider</w:t>
      </w:r>
      <w:proofErr w:type="spellEnd"/>
      <w:r w:rsidRPr="00250C18">
        <w:rPr>
          <w:szCs w:val="24"/>
          <w:lang w:val="da-DK"/>
        </w:rPr>
        <w:t xml:space="preserve"> kan forårsage katarakter, øget </w:t>
      </w:r>
      <w:proofErr w:type="spellStart"/>
      <w:r w:rsidRPr="00250C18">
        <w:rPr>
          <w:szCs w:val="24"/>
          <w:lang w:val="da-DK"/>
        </w:rPr>
        <w:t>intraokulært</w:t>
      </w:r>
      <w:proofErr w:type="spellEnd"/>
      <w:r w:rsidRPr="00250C18">
        <w:rPr>
          <w:szCs w:val="24"/>
          <w:lang w:val="da-DK"/>
        </w:rPr>
        <w:t xml:space="preserve"> tryk og </w:t>
      </w:r>
      <w:proofErr w:type="spellStart"/>
      <w:r w:rsidRPr="00250C18">
        <w:rPr>
          <w:szCs w:val="24"/>
          <w:lang w:val="da-DK"/>
        </w:rPr>
        <w:t>glaukom</w:t>
      </w:r>
      <w:proofErr w:type="spellEnd"/>
      <w:r w:rsidRPr="00250C18">
        <w:rPr>
          <w:szCs w:val="24"/>
          <w:lang w:val="da-DK"/>
        </w:rPr>
        <w:t xml:space="preserve"> og kan forhøje risikoen for sekundære infektioner.   </w:t>
      </w:r>
    </w:p>
    <w:p w:rsidR="00E24089" w:rsidRPr="00250C18" w:rsidRDefault="00E24089" w:rsidP="00E24089">
      <w:pPr>
        <w:pStyle w:val="C-BodyText"/>
        <w:spacing w:before="0" w:after="0" w:line="240" w:lineRule="auto"/>
        <w:ind w:left="851"/>
        <w:rPr>
          <w:szCs w:val="24"/>
          <w:lang w:val="da-DK"/>
        </w:rPr>
      </w:pPr>
    </w:p>
    <w:p w:rsidR="00CC3F2E" w:rsidRDefault="00CC3F2E" w:rsidP="00CC3F2E">
      <w:pPr>
        <w:pStyle w:val="C-BodyText"/>
        <w:spacing w:before="0" w:after="0" w:line="240" w:lineRule="auto"/>
        <w:ind w:left="851"/>
        <w:rPr>
          <w:szCs w:val="24"/>
          <w:lang w:val="da-DK"/>
        </w:rPr>
      </w:pPr>
      <w:r w:rsidRPr="00250C18">
        <w:rPr>
          <w:szCs w:val="24"/>
          <w:lang w:val="da-DK"/>
        </w:rPr>
        <w:t xml:space="preserve">Sikkerheden og effekten af </w:t>
      </w:r>
      <w:proofErr w:type="spellStart"/>
      <w:r>
        <w:rPr>
          <w:szCs w:val="24"/>
          <w:lang w:val="da-DK"/>
        </w:rPr>
        <w:t>Iluvien</w:t>
      </w:r>
      <w:proofErr w:type="spellEnd"/>
      <w:r w:rsidRPr="00250C18">
        <w:rPr>
          <w:szCs w:val="24"/>
          <w:lang w:val="da-DK"/>
        </w:rPr>
        <w:t xml:space="preserve">, når det indgives i begge øjne samtidigt, er ikke undersøgt. Det anbefales, at implantatet ikke administreres i begge øjne ved samme besøg. Samtidig behandling af begge øjne anbefales ikke, før man kender patientens systemiske og </w:t>
      </w:r>
      <w:proofErr w:type="spellStart"/>
      <w:r w:rsidRPr="00250C18">
        <w:rPr>
          <w:szCs w:val="24"/>
          <w:lang w:val="da-DK"/>
        </w:rPr>
        <w:t>okulære</w:t>
      </w:r>
      <w:proofErr w:type="spellEnd"/>
      <w:r w:rsidRPr="00250C18">
        <w:rPr>
          <w:szCs w:val="24"/>
          <w:lang w:val="da-DK"/>
        </w:rPr>
        <w:t xml:space="preserve"> respons på det første implantat (se pkt. 4.2).  </w:t>
      </w:r>
    </w:p>
    <w:p w:rsidR="00CC3F2E" w:rsidRDefault="00CC3F2E" w:rsidP="00CC3F2E">
      <w:pPr>
        <w:pStyle w:val="C-BodyText"/>
        <w:spacing w:before="0" w:after="0" w:line="240" w:lineRule="auto"/>
        <w:ind w:left="851"/>
        <w:rPr>
          <w:szCs w:val="24"/>
          <w:lang w:val="da-DK"/>
        </w:rPr>
      </w:pPr>
    </w:p>
    <w:p w:rsidR="00CC3F2E" w:rsidRPr="00B95657" w:rsidRDefault="00CC3F2E" w:rsidP="00CC3F2E">
      <w:pPr>
        <w:pStyle w:val="C-BodyText"/>
        <w:spacing w:before="0" w:after="0"/>
        <w:ind w:left="851"/>
        <w:rPr>
          <w:szCs w:val="24"/>
          <w:u w:val="single"/>
          <w:lang w:val="da-DK"/>
        </w:rPr>
      </w:pPr>
      <w:r w:rsidRPr="00B95657">
        <w:rPr>
          <w:szCs w:val="24"/>
          <w:u w:val="single"/>
          <w:lang w:val="da-DK"/>
        </w:rPr>
        <w:t>Synsforstyrrelser</w:t>
      </w:r>
    </w:p>
    <w:p w:rsidR="00CC3F2E" w:rsidRDefault="00CC3F2E" w:rsidP="00CC3F2E">
      <w:pPr>
        <w:pStyle w:val="C-BodyText"/>
        <w:spacing w:before="0" w:after="0" w:line="240" w:lineRule="auto"/>
        <w:ind w:left="851"/>
        <w:rPr>
          <w:szCs w:val="24"/>
          <w:lang w:val="da-DK"/>
        </w:rPr>
      </w:pPr>
      <w:r w:rsidRPr="00B95657">
        <w:rPr>
          <w:szCs w:val="24"/>
          <w:lang w:val="da-DK"/>
        </w:rPr>
        <w:t xml:space="preserve">Ved brug af systemisk og </w:t>
      </w:r>
      <w:proofErr w:type="spellStart"/>
      <w:r w:rsidRPr="00B95657">
        <w:rPr>
          <w:szCs w:val="24"/>
          <w:lang w:val="da-DK"/>
        </w:rPr>
        <w:t>topikalt</w:t>
      </w:r>
      <w:proofErr w:type="spellEnd"/>
      <w:r w:rsidRPr="00B95657">
        <w:rPr>
          <w:szCs w:val="24"/>
          <w:lang w:val="da-DK"/>
        </w:rPr>
        <w:t xml:space="preserve"> </w:t>
      </w:r>
      <w:proofErr w:type="spellStart"/>
      <w:r w:rsidRPr="00B95657">
        <w:rPr>
          <w:szCs w:val="24"/>
          <w:lang w:val="da-DK"/>
        </w:rPr>
        <w:t>kortikosteroid</w:t>
      </w:r>
      <w:proofErr w:type="spellEnd"/>
      <w:r w:rsidRPr="00B95657">
        <w:rPr>
          <w:szCs w:val="24"/>
          <w:lang w:val="da-DK"/>
        </w:rPr>
        <w:t xml:space="preserve"> kan der blive indberettet synsforstyrrelser. Ved symptomer som sløret syn eller andre synsforstyrrelser bør det overvejes at henvise patienten til oftalmolog med henblik på vurdering af de mulige årsager; disse kan være grå stær, </w:t>
      </w:r>
      <w:proofErr w:type="spellStart"/>
      <w:r w:rsidRPr="00B95657">
        <w:rPr>
          <w:szCs w:val="24"/>
          <w:lang w:val="da-DK"/>
        </w:rPr>
        <w:t>glaukom</w:t>
      </w:r>
      <w:proofErr w:type="spellEnd"/>
      <w:r w:rsidRPr="00B95657">
        <w:rPr>
          <w:szCs w:val="24"/>
          <w:lang w:val="da-DK"/>
        </w:rPr>
        <w:t xml:space="preserve"> eller sjældne sygdomme såsom central serøs </w:t>
      </w:r>
      <w:proofErr w:type="spellStart"/>
      <w:r w:rsidRPr="00B95657">
        <w:rPr>
          <w:szCs w:val="24"/>
          <w:lang w:val="da-DK"/>
        </w:rPr>
        <w:t>korioretinopati</w:t>
      </w:r>
      <w:proofErr w:type="spellEnd"/>
      <w:r w:rsidRPr="00B95657">
        <w:rPr>
          <w:szCs w:val="24"/>
          <w:lang w:val="da-DK"/>
        </w:rPr>
        <w:t xml:space="preserve"> (CSCR), som er indberettet efter brug af systemiske og </w:t>
      </w:r>
      <w:proofErr w:type="spellStart"/>
      <w:r w:rsidRPr="00B95657">
        <w:rPr>
          <w:szCs w:val="24"/>
          <w:lang w:val="da-DK"/>
        </w:rPr>
        <w:t>topikale</w:t>
      </w:r>
      <w:proofErr w:type="spellEnd"/>
      <w:r w:rsidRPr="00B95657">
        <w:rPr>
          <w:szCs w:val="24"/>
          <w:lang w:val="da-DK"/>
        </w:rPr>
        <w:t xml:space="preserve"> </w:t>
      </w:r>
      <w:proofErr w:type="spellStart"/>
      <w:r w:rsidRPr="00B95657">
        <w:rPr>
          <w:szCs w:val="24"/>
          <w:lang w:val="da-DK"/>
        </w:rPr>
        <w:t>kortikosteroider</w:t>
      </w:r>
      <w:proofErr w:type="spellEnd"/>
      <w:r w:rsidRPr="00B95657">
        <w:rPr>
          <w:szCs w:val="24"/>
          <w:lang w:val="da-DK"/>
        </w:rPr>
        <w:t>.</w:t>
      </w:r>
    </w:p>
    <w:p w:rsidR="00E24089" w:rsidRPr="00250C18" w:rsidRDefault="00E24089" w:rsidP="00E24089">
      <w:pPr>
        <w:pStyle w:val="C-BodyText"/>
        <w:spacing w:before="0" w:after="0" w:line="240" w:lineRule="auto"/>
        <w:ind w:left="851"/>
        <w:rPr>
          <w:szCs w:val="24"/>
          <w:lang w:val="da-DK"/>
        </w:rPr>
      </w:pPr>
    </w:p>
    <w:p w:rsidR="00E24089" w:rsidRPr="00250C18" w:rsidRDefault="00E24089" w:rsidP="00E24089">
      <w:pPr>
        <w:pStyle w:val="C-BodyText"/>
        <w:spacing w:before="0" w:after="0" w:line="240" w:lineRule="auto"/>
        <w:ind w:left="851"/>
        <w:rPr>
          <w:i/>
          <w:szCs w:val="24"/>
          <w:lang w:val="da-DK"/>
        </w:rPr>
      </w:pPr>
      <w:r w:rsidRPr="00250C18">
        <w:rPr>
          <w:i/>
          <w:szCs w:val="24"/>
          <w:lang w:val="da-DK"/>
        </w:rPr>
        <w:t xml:space="preserve">Fase 3 diabetisk </w:t>
      </w:r>
      <w:proofErr w:type="spellStart"/>
      <w:r w:rsidRPr="00250C18">
        <w:rPr>
          <w:i/>
          <w:szCs w:val="24"/>
          <w:lang w:val="da-DK"/>
        </w:rPr>
        <w:t>makulært</w:t>
      </w:r>
      <w:proofErr w:type="spellEnd"/>
      <w:r w:rsidRPr="00250C18">
        <w:rPr>
          <w:i/>
          <w:szCs w:val="24"/>
          <w:lang w:val="da-DK"/>
        </w:rPr>
        <w:t xml:space="preserve"> ødem (FAME)</w:t>
      </w:r>
      <w:r w:rsidRPr="00250C18">
        <w:rPr>
          <w:i/>
          <w:szCs w:val="24"/>
          <w:lang w:val="da-DK"/>
        </w:rPr>
        <w:noBreakHyphen/>
        <w:t>studier</w:t>
      </w:r>
    </w:p>
    <w:p w:rsidR="00E24089" w:rsidRDefault="00E24089" w:rsidP="00E24089">
      <w:pPr>
        <w:pStyle w:val="C-BodyText"/>
        <w:spacing w:before="0" w:after="0" w:line="240" w:lineRule="auto"/>
        <w:ind w:left="851"/>
        <w:rPr>
          <w:szCs w:val="24"/>
          <w:lang w:val="da-DK"/>
        </w:rPr>
      </w:pPr>
      <w:r w:rsidRPr="00250C18">
        <w:rPr>
          <w:rStyle w:val="hps"/>
          <w:szCs w:val="24"/>
          <w:lang w:val="da-DK"/>
        </w:rPr>
        <w:t>80%</w:t>
      </w:r>
      <w:r w:rsidRPr="00250C18">
        <w:rPr>
          <w:szCs w:val="24"/>
          <w:lang w:val="da-DK"/>
        </w:rPr>
        <w:t xml:space="preserve"> </w:t>
      </w:r>
      <w:r w:rsidRPr="00250C18">
        <w:rPr>
          <w:rStyle w:val="hps"/>
          <w:szCs w:val="24"/>
          <w:lang w:val="da-DK"/>
        </w:rPr>
        <w:t>af</w:t>
      </w:r>
      <w:r w:rsidRPr="00250C18">
        <w:rPr>
          <w:szCs w:val="24"/>
          <w:lang w:val="da-DK"/>
        </w:rPr>
        <w:t xml:space="preserve"> </w:t>
      </w:r>
      <w:proofErr w:type="spellStart"/>
      <w:r w:rsidRPr="00250C18">
        <w:rPr>
          <w:rStyle w:val="hps"/>
          <w:szCs w:val="24"/>
          <w:lang w:val="da-DK"/>
        </w:rPr>
        <w:t>phakic</w:t>
      </w:r>
      <w:proofErr w:type="spellEnd"/>
      <w:r w:rsidRPr="00250C18">
        <w:rPr>
          <w:szCs w:val="24"/>
          <w:lang w:val="da-DK"/>
        </w:rPr>
        <w:t xml:space="preserve"> </w:t>
      </w:r>
      <w:r w:rsidRPr="00250C18">
        <w:rPr>
          <w:rStyle w:val="hps"/>
          <w:szCs w:val="24"/>
          <w:lang w:val="da-DK"/>
        </w:rPr>
        <w:t>deltagerne behandlet med</w:t>
      </w:r>
      <w:r w:rsidRPr="00250C18">
        <w:rPr>
          <w:szCs w:val="24"/>
          <w:lang w:val="da-DK"/>
        </w:rPr>
        <w:t xml:space="preserve"> </w:t>
      </w:r>
      <w:proofErr w:type="spellStart"/>
      <w:r w:rsidRPr="00250C18">
        <w:rPr>
          <w:rStyle w:val="hps"/>
          <w:szCs w:val="24"/>
          <w:lang w:val="da-DK"/>
        </w:rPr>
        <w:t>fluocinolonacetonid</w:t>
      </w:r>
      <w:proofErr w:type="spellEnd"/>
      <w:r w:rsidRPr="00250C18">
        <w:rPr>
          <w:szCs w:val="24"/>
          <w:lang w:val="da-DK"/>
        </w:rPr>
        <w:t xml:space="preserve"> undergik kataraktkirurgi </w:t>
      </w:r>
      <w:r w:rsidRPr="00250C18">
        <w:rPr>
          <w:rStyle w:val="hps"/>
          <w:szCs w:val="24"/>
          <w:lang w:val="da-DK"/>
        </w:rPr>
        <w:t>(</w:t>
      </w:r>
      <w:r w:rsidRPr="00250C18">
        <w:rPr>
          <w:szCs w:val="24"/>
          <w:lang w:val="da-DK"/>
        </w:rPr>
        <w:t xml:space="preserve">se pkt. 4.8). </w:t>
      </w:r>
      <w:bookmarkStart w:id="3" w:name="_Hlk532453081"/>
      <w:proofErr w:type="spellStart"/>
      <w:r w:rsidRPr="00250C18">
        <w:rPr>
          <w:rStyle w:val="hps"/>
          <w:szCs w:val="24"/>
          <w:lang w:val="da-DK"/>
        </w:rPr>
        <w:t>Phakic</w:t>
      </w:r>
      <w:proofErr w:type="spellEnd"/>
      <w:r w:rsidRPr="00250C18">
        <w:rPr>
          <w:szCs w:val="24"/>
          <w:lang w:val="da-DK"/>
        </w:rPr>
        <w:t xml:space="preserve"> </w:t>
      </w:r>
      <w:r w:rsidRPr="00250C18">
        <w:rPr>
          <w:rStyle w:val="hps"/>
          <w:szCs w:val="24"/>
          <w:lang w:val="da-DK"/>
        </w:rPr>
        <w:t>patienterne</w:t>
      </w:r>
      <w:r w:rsidRPr="00250C18">
        <w:rPr>
          <w:szCs w:val="24"/>
          <w:lang w:val="da-DK"/>
        </w:rPr>
        <w:t xml:space="preserve"> </w:t>
      </w:r>
      <w:r w:rsidRPr="00250C18">
        <w:rPr>
          <w:rStyle w:val="hps"/>
          <w:szCs w:val="24"/>
          <w:lang w:val="da-DK"/>
        </w:rPr>
        <w:t>bør overvåges nøje</w:t>
      </w:r>
      <w:r w:rsidRPr="00250C18">
        <w:rPr>
          <w:szCs w:val="24"/>
          <w:lang w:val="da-DK"/>
        </w:rPr>
        <w:t xml:space="preserve"> </w:t>
      </w:r>
      <w:r w:rsidRPr="00250C18">
        <w:rPr>
          <w:rStyle w:val="hps"/>
          <w:szCs w:val="24"/>
          <w:lang w:val="da-DK"/>
        </w:rPr>
        <w:t>for tegn på</w:t>
      </w:r>
      <w:r w:rsidRPr="00250C18">
        <w:rPr>
          <w:szCs w:val="24"/>
          <w:lang w:val="da-DK"/>
        </w:rPr>
        <w:t xml:space="preserve"> katarakt efte</w:t>
      </w:r>
      <w:r w:rsidRPr="00250C18">
        <w:rPr>
          <w:rStyle w:val="hps"/>
          <w:szCs w:val="24"/>
          <w:lang w:val="da-DK"/>
        </w:rPr>
        <w:t>r behandling</w:t>
      </w:r>
      <w:r w:rsidRPr="00250C18">
        <w:rPr>
          <w:szCs w:val="24"/>
          <w:lang w:val="da-DK"/>
        </w:rPr>
        <w:t>.</w:t>
      </w:r>
      <w:bookmarkEnd w:id="3"/>
    </w:p>
    <w:p w:rsidR="00E24089" w:rsidRPr="00250C18" w:rsidRDefault="00E24089" w:rsidP="00E24089">
      <w:pPr>
        <w:pStyle w:val="C-BodyText"/>
        <w:spacing w:before="0" w:after="0" w:line="240" w:lineRule="auto"/>
        <w:ind w:left="851"/>
        <w:rPr>
          <w:szCs w:val="24"/>
          <w:lang w:val="da-DK"/>
        </w:rPr>
      </w:pPr>
    </w:p>
    <w:p w:rsidR="00E24089" w:rsidRPr="00250C18" w:rsidRDefault="00E24089" w:rsidP="00E24089">
      <w:pPr>
        <w:pStyle w:val="C-BodyText"/>
        <w:spacing w:before="0" w:after="0" w:line="240" w:lineRule="auto"/>
        <w:ind w:left="851"/>
        <w:rPr>
          <w:szCs w:val="24"/>
          <w:lang w:val="da-DK"/>
        </w:rPr>
      </w:pPr>
      <w:r w:rsidRPr="00250C18">
        <w:rPr>
          <w:szCs w:val="24"/>
          <w:lang w:val="da-DK"/>
        </w:rPr>
        <w:t xml:space="preserve">38% af patienterne behandlet med </w:t>
      </w:r>
      <w:proofErr w:type="spellStart"/>
      <w:r w:rsidRPr="00250C18">
        <w:rPr>
          <w:szCs w:val="24"/>
          <w:lang w:val="da-DK"/>
        </w:rPr>
        <w:t>fluocinolonacetonid</w:t>
      </w:r>
      <w:proofErr w:type="spellEnd"/>
      <w:r w:rsidRPr="00250C18">
        <w:rPr>
          <w:szCs w:val="24"/>
          <w:lang w:val="da-DK"/>
        </w:rPr>
        <w:t xml:space="preserve"> havde behov for behandling med IOP sænkende medicin (se pkt. 4.8). </w:t>
      </w:r>
      <w:proofErr w:type="spellStart"/>
      <w:r w:rsidRPr="00250C18">
        <w:rPr>
          <w:szCs w:val="24"/>
          <w:lang w:val="da-DK"/>
        </w:rPr>
        <w:t>Fluocinolonacetonid</w:t>
      </w:r>
      <w:proofErr w:type="spellEnd"/>
      <w:r w:rsidRPr="00250C18">
        <w:rPr>
          <w:szCs w:val="24"/>
          <w:lang w:val="da-DK"/>
        </w:rPr>
        <w:t xml:space="preserve"> skal derfor anvendes med forsigtighed til patienter med højt IOP ved baseline, og IOP skal monitoreres nøje. </w:t>
      </w:r>
      <w:proofErr w:type="spellStart"/>
      <w:r w:rsidR="007C0D0A">
        <w:rPr>
          <w:szCs w:val="24"/>
          <w:lang w:val="da-DK"/>
        </w:rPr>
        <w:t>Iluvien</w:t>
      </w:r>
      <w:proofErr w:type="spellEnd"/>
      <w:r w:rsidRPr="00250C18">
        <w:rPr>
          <w:szCs w:val="24"/>
          <w:lang w:val="da-DK"/>
        </w:rPr>
        <w:t xml:space="preserve">-implantatet kan fjernes med </w:t>
      </w:r>
      <w:proofErr w:type="spellStart"/>
      <w:r w:rsidRPr="00250C18">
        <w:rPr>
          <w:szCs w:val="24"/>
          <w:lang w:val="da-DK"/>
        </w:rPr>
        <w:t>vitrektomi</w:t>
      </w:r>
      <w:proofErr w:type="spellEnd"/>
      <w:r w:rsidRPr="00250C18">
        <w:rPr>
          <w:szCs w:val="24"/>
          <w:lang w:val="da-DK"/>
        </w:rPr>
        <w:t xml:space="preserve"> i tilfælde af stigninger i IOP, der ikke reagerer på IOP-sænkende medicin eller IOP-sænkende procedurer.</w:t>
      </w:r>
    </w:p>
    <w:p w:rsidR="00E24089" w:rsidRPr="00250C18" w:rsidRDefault="00E24089" w:rsidP="00E24089">
      <w:pPr>
        <w:suppressLineNumbers/>
        <w:ind w:left="851"/>
        <w:outlineLvl w:val="0"/>
        <w:rPr>
          <w:sz w:val="24"/>
          <w:szCs w:val="24"/>
        </w:rPr>
      </w:pPr>
    </w:p>
    <w:p w:rsidR="00E24089" w:rsidRPr="00250C18" w:rsidRDefault="00E24089" w:rsidP="00E24089">
      <w:pPr>
        <w:suppressLineNumbers/>
        <w:tabs>
          <w:tab w:val="left" w:pos="0"/>
        </w:tabs>
        <w:ind w:left="851"/>
        <w:outlineLvl w:val="0"/>
        <w:rPr>
          <w:sz w:val="24"/>
          <w:szCs w:val="24"/>
        </w:rPr>
      </w:pPr>
      <w:r w:rsidRPr="00250C18">
        <w:rPr>
          <w:sz w:val="24"/>
          <w:szCs w:val="24"/>
        </w:rPr>
        <w:t xml:space="preserve">24% af deltagerne i den gruppe, der fik falsk behandling, blev behandlet på et vilkårligt tidspunkt med enten </w:t>
      </w:r>
      <w:proofErr w:type="spellStart"/>
      <w:r w:rsidRPr="00250C18">
        <w:rPr>
          <w:sz w:val="24"/>
          <w:szCs w:val="24"/>
        </w:rPr>
        <w:t>antikoagulantia</w:t>
      </w:r>
      <w:proofErr w:type="spellEnd"/>
      <w:r w:rsidRPr="00250C18">
        <w:rPr>
          <w:sz w:val="24"/>
          <w:szCs w:val="24"/>
        </w:rPr>
        <w:t xml:space="preserve"> eller </w:t>
      </w:r>
      <w:proofErr w:type="spellStart"/>
      <w:r w:rsidRPr="00250C18">
        <w:rPr>
          <w:sz w:val="24"/>
          <w:szCs w:val="24"/>
        </w:rPr>
        <w:t>antitrombocyt</w:t>
      </w:r>
      <w:proofErr w:type="spellEnd"/>
      <w:r w:rsidRPr="00250C18">
        <w:rPr>
          <w:sz w:val="24"/>
          <w:szCs w:val="24"/>
        </w:rPr>
        <w:t xml:space="preserve">-medicin sammenlignet med 27% hos de </w:t>
      </w:r>
      <w:proofErr w:type="spellStart"/>
      <w:r w:rsidR="007C0D0A">
        <w:rPr>
          <w:sz w:val="24"/>
          <w:szCs w:val="24"/>
        </w:rPr>
        <w:t>Iluvien</w:t>
      </w:r>
      <w:proofErr w:type="spellEnd"/>
      <w:r w:rsidRPr="00250C18">
        <w:rPr>
          <w:sz w:val="24"/>
          <w:szCs w:val="24"/>
        </w:rPr>
        <w:t xml:space="preserve">-behandlede deltagere. Deltagere, der blev behandlet med </w:t>
      </w:r>
      <w:proofErr w:type="spellStart"/>
      <w:r w:rsidR="007C0D0A">
        <w:rPr>
          <w:sz w:val="24"/>
          <w:szCs w:val="24"/>
        </w:rPr>
        <w:t>Iluvien</w:t>
      </w:r>
      <w:proofErr w:type="spellEnd"/>
      <w:r w:rsidRPr="00250C18">
        <w:rPr>
          <w:sz w:val="24"/>
          <w:szCs w:val="24"/>
        </w:rPr>
        <w:t xml:space="preserve"> samtidigt eller inden for 30 dage efter afbrydelse af behandling med </w:t>
      </w:r>
      <w:proofErr w:type="spellStart"/>
      <w:r w:rsidRPr="00250C18">
        <w:rPr>
          <w:sz w:val="24"/>
          <w:szCs w:val="24"/>
        </w:rPr>
        <w:t>antikoagulantia</w:t>
      </w:r>
      <w:proofErr w:type="spellEnd"/>
      <w:r w:rsidRPr="00250C18">
        <w:rPr>
          <w:sz w:val="24"/>
          <w:szCs w:val="24"/>
        </w:rPr>
        <w:t xml:space="preserve"> eller </w:t>
      </w:r>
      <w:proofErr w:type="spellStart"/>
      <w:r w:rsidRPr="00250C18">
        <w:rPr>
          <w:sz w:val="24"/>
          <w:szCs w:val="24"/>
        </w:rPr>
        <w:t>antitrombocyt</w:t>
      </w:r>
      <w:proofErr w:type="spellEnd"/>
      <w:r w:rsidRPr="00250C18">
        <w:rPr>
          <w:sz w:val="24"/>
          <w:szCs w:val="24"/>
        </w:rPr>
        <w:t xml:space="preserve">-medicin, havde en lidt højere forekomst af </w:t>
      </w:r>
      <w:proofErr w:type="spellStart"/>
      <w:r w:rsidRPr="00250C18">
        <w:rPr>
          <w:sz w:val="24"/>
          <w:szCs w:val="24"/>
        </w:rPr>
        <w:t>konjunktivalblødning</w:t>
      </w:r>
      <w:proofErr w:type="spellEnd"/>
      <w:r w:rsidRPr="00250C18">
        <w:rPr>
          <w:sz w:val="24"/>
          <w:szCs w:val="24"/>
        </w:rPr>
        <w:t xml:space="preserve"> sammenlignet med deltagere i den gruppe, der fik falsk behandling (0,5% af dem, der fik falsk behandling, og 2,7% af de </w:t>
      </w:r>
      <w:proofErr w:type="spellStart"/>
      <w:r w:rsidR="007C0D0A">
        <w:rPr>
          <w:sz w:val="24"/>
          <w:szCs w:val="24"/>
        </w:rPr>
        <w:t>Iluvien</w:t>
      </w:r>
      <w:proofErr w:type="spellEnd"/>
      <w:r w:rsidRPr="00250C18">
        <w:rPr>
          <w:sz w:val="24"/>
          <w:szCs w:val="24"/>
        </w:rPr>
        <w:t xml:space="preserve">-behandlede). Den eneste anden hændelse, der blev indberettet med en højere </w:t>
      </w:r>
      <w:proofErr w:type="spellStart"/>
      <w:r w:rsidRPr="00250C18">
        <w:rPr>
          <w:sz w:val="24"/>
          <w:szCs w:val="24"/>
        </w:rPr>
        <w:t>incidensrate</w:t>
      </w:r>
      <w:proofErr w:type="spellEnd"/>
      <w:r w:rsidRPr="00250C18">
        <w:rPr>
          <w:sz w:val="24"/>
          <w:szCs w:val="24"/>
        </w:rPr>
        <w:t xml:space="preserve"> hos de </w:t>
      </w:r>
      <w:proofErr w:type="spellStart"/>
      <w:r w:rsidR="007C0D0A">
        <w:rPr>
          <w:sz w:val="24"/>
          <w:szCs w:val="24"/>
        </w:rPr>
        <w:t>Iluvien</w:t>
      </w:r>
      <w:proofErr w:type="spellEnd"/>
      <w:r w:rsidRPr="00250C18">
        <w:rPr>
          <w:sz w:val="24"/>
          <w:szCs w:val="24"/>
        </w:rPr>
        <w:t xml:space="preserve">-behandlede deltagere, var komplikationer i forbindelse med øjenoperationer (0% af dem, der fik falsk behandling, og 0,3% af de </w:t>
      </w:r>
      <w:proofErr w:type="spellStart"/>
      <w:r w:rsidR="007C0D0A">
        <w:rPr>
          <w:sz w:val="24"/>
          <w:szCs w:val="24"/>
        </w:rPr>
        <w:t>Iluvien</w:t>
      </w:r>
      <w:proofErr w:type="spellEnd"/>
      <w:r w:rsidRPr="00250C18">
        <w:rPr>
          <w:sz w:val="24"/>
          <w:szCs w:val="24"/>
        </w:rPr>
        <w:t>-behandlede).</w:t>
      </w:r>
    </w:p>
    <w:p w:rsidR="00E24089" w:rsidRPr="00250C18" w:rsidRDefault="00E24089" w:rsidP="00E24089">
      <w:pPr>
        <w:suppressLineNumbers/>
        <w:tabs>
          <w:tab w:val="left" w:pos="0"/>
        </w:tabs>
        <w:ind w:left="851"/>
        <w:outlineLvl w:val="0"/>
        <w:rPr>
          <w:sz w:val="24"/>
          <w:szCs w:val="24"/>
        </w:rPr>
      </w:pPr>
    </w:p>
    <w:p w:rsidR="00E24089" w:rsidRPr="00250C18" w:rsidRDefault="00E24089" w:rsidP="00E24089">
      <w:pPr>
        <w:suppressLineNumbers/>
        <w:tabs>
          <w:tab w:val="left" w:pos="0"/>
        </w:tabs>
        <w:ind w:left="851"/>
        <w:outlineLvl w:val="0"/>
        <w:rPr>
          <w:sz w:val="24"/>
          <w:szCs w:val="24"/>
        </w:rPr>
      </w:pPr>
      <w:r w:rsidRPr="00250C18">
        <w:rPr>
          <w:sz w:val="24"/>
          <w:szCs w:val="24"/>
        </w:rPr>
        <w:lastRenderedPageBreak/>
        <w:t xml:space="preserve">Der er begrænset erfaring med effekten af </w:t>
      </w:r>
      <w:proofErr w:type="spellStart"/>
      <w:r w:rsidRPr="00250C18">
        <w:rPr>
          <w:sz w:val="24"/>
          <w:szCs w:val="24"/>
        </w:rPr>
        <w:t>fluocinolonacetonid</w:t>
      </w:r>
      <w:proofErr w:type="spellEnd"/>
      <w:r w:rsidRPr="00250C18">
        <w:rPr>
          <w:sz w:val="24"/>
          <w:szCs w:val="24"/>
        </w:rPr>
        <w:t xml:space="preserve"> i øjnene efter </w:t>
      </w:r>
      <w:proofErr w:type="spellStart"/>
      <w:r w:rsidRPr="00250C18">
        <w:rPr>
          <w:sz w:val="24"/>
          <w:szCs w:val="24"/>
        </w:rPr>
        <w:t>vitrektomi</w:t>
      </w:r>
      <w:proofErr w:type="spellEnd"/>
      <w:r w:rsidRPr="00250C18">
        <w:rPr>
          <w:sz w:val="24"/>
          <w:szCs w:val="24"/>
        </w:rPr>
        <w:t xml:space="preserve">. Det er sandsynligt, at </w:t>
      </w:r>
      <w:proofErr w:type="spellStart"/>
      <w:r w:rsidRPr="00250C18">
        <w:rPr>
          <w:sz w:val="24"/>
          <w:szCs w:val="24"/>
        </w:rPr>
        <w:t>clearancen</w:t>
      </w:r>
      <w:proofErr w:type="spellEnd"/>
      <w:r w:rsidRPr="00250C18">
        <w:rPr>
          <w:sz w:val="24"/>
          <w:szCs w:val="24"/>
        </w:rPr>
        <w:t xml:space="preserve"> af lægemidlet vil blive fremskyndet efter </w:t>
      </w:r>
      <w:proofErr w:type="spellStart"/>
      <w:r w:rsidRPr="00250C18">
        <w:rPr>
          <w:sz w:val="24"/>
          <w:szCs w:val="24"/>
        </w:rPr>
        <w:t>vitrektomi</w:t>
      </w:r>
      <w:proofErr w:type="spellEnd"/>
      <w:r w:rsidRPr="00250C18">
        <w:rPr>
          <w:sz w:val="24"/>
          <w:szCs w:val="24"/>
        </w:rPr>
        <w:t xml:space="preserve">, om end </w:t>
      </w:r>
      <w:proofErr w:type="spellStart"/>
      <w:r w:rsidRPr="00250C18">
        <w:rPr>
          <w:sz w:val="24"/>
          <w:szCs w:val="24"/>
        </w:rPr>
        <w:t>steady</w:t>
      </w:r>
      <w:proofErr w:type="spellEnd"/>
      <w:r w:rsidRPr="00250C18">
        <w:rPr>
          <w:sz w:val="24"/>
          <w:szCs w:val="24"/>
        </w:rPr>
        <w:t xml:space="preserve"> state-koncentrationerne ikke forventes at blive påvirket. Dette kan forkorte varigheden af implantatets virkning. </w:t>
      </w:r>
    </w:p>
    <w:p w:rsidR="00E24089" w:rsidRPr="00250C18" w:rsidRDefault="00E24089" w:rsidP="00E24089">
      <w:pPr>
        <w:suppressLineNumbers/>
        <w:tabs>
          <w:tab w:val="left" w:pos="0"/>
        </w:tabs>
        <w:ind w:left="851"/>
        <w:outlineLvl w:val="0"/>
        <w:rPr>
          <w:sz w:val="24"/>
          <w:szCs w:val="24"/>
        </w:rPr>
      </w:pPr>
    </w:p>
    <w:p w:rsidR="00E24089" w:rsidRPr="00250C18" w:rsidRDefault="00E24089" w:rsidP="00E24089">
      <w:pPr>
        <w:pStyle w:val="C-BodyText"/>
        <w:spacing w:before="0" w:after="0" w:line="240" w:lineRule="auto"/>
        <w:ind w:left="851"/>
        <w:rPr>
          <w:i/>
          <w:szCs w:val="24"/>
          <w:u w:val="single"/>
          <w:lang w:val="da-DK"/>
        </w:rPr>
      </w:pPr>
      <w:r w:rsidRPr="00250C18">
        <w:rPr>
          <w:i/>
          <w:szCs w:val="24"/>
          <w:u w:val="single"/>
          <w:lang w:val="da-DK"/>
        </w:rPr>
        <w:t xml:space="preserve">Fase 3 </w:t>
      </w:r>
      <w:proofErr w:type="spellStart"/>
      <w:r w:rsidRPr="00250C18">
        <w:rPr>
          <w:i/>
          <w:szCs w:val="24"/>
          <w:u w:val="single"/>
          <w:lang w:val="da-DK"/>
        </w:rPr>
        <w:t>uveitis</w:t>
      </w:r>
      <w:proofErr w:type="spellEnd"/>
      <w:r w:rsidRPr="00250C18">
        <w:rPr>
          <w:i/>
          <w:szCs w:val="24"/>
          <w:u w:val="single"/>
          <w:lang w:val="da-DK"/>
        </w:rPr>
        <w:noBreakHyphen/>
        <w:t>studier</w:t>
      </w:r>
    </w:p>
    <w:p w:rsidR="00E24089" w:rsidRPr="00250C18" w:rsidRDefault="00E24089" w:rsidP="00E24089">
      <w:pPr>
        <w:ind w:left="851"/>
        <w:rPr>
          <w:sz w:val="24"/>
          <w:szCs w:val="24"/>
        </w:rPr>
      </w:pPr>
      <w:r w:rsidRPr="00250C18">
        <w:rPr>
          <w:sz w:val="24"/>
          <w:szCs w:val="24"/>
        </w:rPr>
        <w:t xml:space="preserve">I </w:t>
      </w:r>
      <w:proofErr w:type="spellStart"/>
      <w:r w:rsidRPr="00250C18">
        <w:rPr>
          <w:sz w:val="24"/>
          <w:szCs w:val="24"/>
        </w:rPr>
        <w:t>uveitis</w:t>
      </w:r>
      <w:proofErr w:type="spellEnd"/>
      <w:r w:rsidRPr="00250C18">
        <w:rPr>
          <w:sz w:val="24"/>
          <w:szCs w:val="24"/>
        </w:rPr>
        <w:noBreakHyphen/>
        <w:t xml:space="preserve">studierne undergik patienter, som blev behandlet med </w:t>
      </w:r>
      <w:proofErr w:type="spellStart"/>
      <w:r w:rsidRPr="00250C18">
        <w:rPr>
          <w:sz w:val="24"/>
          <w:szCs w:val="24"/>
        </w:rPr>
        <w:t>fluocinolonacetonid</w:t>
      </w:r>
      <w:proofErr w:type="spellEnd"/>
      <w:r w:rsidRPr="00250C18">
        <w:rPr>
          <w:sz w:val="24"/>
          <w:szCs w:val="24"/>
        </w:rPr>
        <w:t xml:space="preserve"> </w:t>
      </w:r>
      <w:proofErr w:type="spellStart"/>
      <w:r w:rsidRPr="00250C18">
        <w:rPr>
          <w:sz w:val="24"/>
          <w:szCs w:val="24"/>
        </w:rPr>
        <w:t>intravitrealt</w:t>
      </w:r>
      <w:proofErr w:type="spellEnd"/>
      <w:r w:rsidRPr="00250C18">
        <w:rPr>
          <w:sz w:val="24"/>
          <w:szCs w:val="24"/>
        </w:rPr>
        <w:t xml:space="preserve"> implantat, kataraktkirurgi. </w:t>
      </w:r>
      <w:proofErr w:type="spellStart"/>
      <w:r w:rsidRPr="00250C18">
        <w:rPr>
          <w:sz w:val="24"/>
          <w:szCs w:val="24"/>
        </w:rPr>
        <w:t>Phakic</w:t>
      </w:r>
      <w:proofErr w:type="spellEnd"/>
      <w:r w:rsidRPr="00250C18">
        <w:rPr>
          <w:sz w:val="24"/>
          <w:szCs w:val="24"/>
        </w:rPr>
        <w:t xml:space="preserve"> patienterne bør overvåges nøje for tegn på katarakt efter behandling.</w:t>
      </w:r>
    </w:p>
    <w:p w:rsidR="00E24089" w:rsidRPr="00250C18" w:rsidRDefault="00E24089" w:rsidP="00E24089">
      <w:pPr>
        <w:ind w:left="851"/>
        <w:rPr>
          <w:sz w:val="24"/>
          <w:szCs w:val="24"/>
        </w:rPr>
      </w:pPr>
    </w:p>
    <w:p w:rsidR="00E24089" w:rsidRPr="00250C18" w:rsidRDefault="00E24089" w:rsidP="00E24089">
      <w:pPr>
        <w:ind w:left="851"/>
        <w:rPr>
          <w:sz w:val="24"/>
          <w:szCs w:val="24"/>
        </w:rPr>
      </w:pPr>
      <w:r w:rsidRPr="00250C18">
        <w:rPr>
          <w:sz w:val="24"/>
          <w:szCs w:val="24"/>
        </w:rPr>
        <w:t xml:space="preserve">Derudover udviklede nogle patienter forhøjet </w:t>
      </w:r>
      <w:proofErr w:type="spellStart"/>
      <w:r w:rsidRPr="00250C18">
        <w:rPr>
          <w:sz w:val="24"/>
          <w:szCs w:val="24"/>
        </w:rPr>
        <w:t>intraokulært</w:t>
      </w:r>
      <w:proofErr w:type="spellEnd"/>
      <w:r w:rsidRPr="00250C18">
        <w:rPr>
          <w:sz w:val="24"/>
          <w:szCs w:val="24"/>
        </w:rPr>
        <w:t xml:space="preserve"> tryk, der krævede behandling med IOP sænkende medicin.</w:t>
      </w:r>
    </w:p>
    <w:p w:rsidR="00E24089" w:rsidRPr="00250C18" w:rsidRDefault="00E24089" w:rsidP="00E24089">
      <w:pPr>
        <w:ind w:left="851"/>
        <w:rPr>
          <w:sz w:val="24"/>
          <w:szCs w:val="24"/>
        </w:rPr>
      </w:pPr>
    </w:p>
    <w:p w:rsidR="00E24089" w:rsidRPr="00250C18" w:rsidRDefault="00E24089" w:rsidP="00E24089">
      <w:pPr>
        <w:ind w:left="851"/>
        <w:rPr>
          <w:sz w:val="24"/>
          <w:szCs w:val="24"/>
        </w:rPr>
      </w:pPr>
      <w:r w:rsidRPr="00250C18">
        <w:rPr>
          <w:sz w:val="24"/>
          <w:szCs w:val="24"/>
        </w:rPr>
        <w:t xml:space="preserve">Patienter, som blev behandlet med </w:t>
      </w:r>
      <w:proofErr w:type="spellStart"/>
      <w:r w:rsidRPr="00250C18">
        <w:rPr>
          <w:sz w:val="24"/>
          <w:szCs w:val="24"/>
        </w:rPr>
        <w:t>fluocinolonacetonid</w:t>
      </w:r>
      <w:proofErr w:type="spellEnd"/>
      <w:r w:rsidRPr="00250C18">
        <w:rPr>
          <w:sz w:val="24"/>
          <w:szCs w:val="24"/>
        </w:rPr>
        <w:t xml:space="preserve"> i studierne, udviklede </w:t>
      </w:r>
      <w:proofErr w:type="spellStart"/>
      <w:r w:rsidRPr="00250C18">
        <w:rPr>
          <w:sz w:val="24"/>
          <w:szCs w:val="24"/>
        </w:rPr>
        <w:t>hypotoni</w:t>
      </w:r>
      <w:proofErr w:type="spellEnd"/>
      <w:r w:rsidRPr="00250C18">
        <w:rPr>
          <w:sz w:val="24"/>
          <w:szCs w:val="24"/>
        </w:rPr>
        <w:t>, som startede inden for nogle dages behandling, i mange tilfælde på dag 1, og som i de fleste tilfælde forsvandt inden for 1 uge efter debut. Det anbefales at overvåge patienterne for forhøjet eller nedsat IOP umiddelbart efter injektionerne samt 2-8 dage efter injektionerne.</w:t>
      </w:r>
    </w:p>
    <w:p w:rsidR="00E24089" w:rsidRPr="00250C18" w:rsidRDefault="00E24089" w:rsidP="00E24089">
      <w:pPr>
        <w:ind w:left="851"/>
        <w:rPr>
          <w:sz w:val="24"/>
          <w:szCs w:val="24"/>
        </w:rPr>
      </w:pPr>
    </w:p>
    <w:p w:rsidR="00E24089" w:rsidRPr="00250C18" w:rsidRDefault="00E24089" w:rsidP="00E24089">
      <w:pPr>
        <w:ind w:left="851"/>
        <w:rPr>
          <w:sz w:val="24"/>
          <w:szCs w:val="24"/>
        </w:rPr>
      </w:pPr>
      <w:r w:rsidRPr="00250C18">
        <w:rPr>
          <w:sz w:val="24"/>
          <w:szCs w:val="24"/>
        </w:rPr>
        <w:t xml:space="preserve">Ved behandling af patienter med </w:t>
      </w:r>
      <w:proofErr w:type="spellStart"/>
      <w:r w:rsidRPr="00250C18">
        <w:rPr>
          <w:sz w:val="24"/>
          <w:szCs w:val="24"/>
        </w:rPr>
        <w:t>uveitis</w:t>
      </w:r>
      <w:proofErr w:type="spellEnd"/>
      <w:r w:rsidRPr="00250C18">
        <w:rPr>
          <w:sz w:val="24"/>
          <w:szCs w:val="24"/>
        </w:rPr>
        <w:t xml:space="preserve"> er det meget vigtigt at udelukke mulige </w:t>
      </w:r>
      <w:proofErr w:type="spellStart"/>
      <w:r w:rsidRPr="00250C18">
        <w:rPr>
          <w:sz w:val="24"/>
          <w:szCs w:val="24"/>
        </w:rPr>
        <w:t>infektive</w:t>
      </w:r>
      <w:proofErr w:type="spellEnd"/>
      <w:r w:rsidRPr="00250C18">
        <w:rPr>
          <w:sz w:val="24"/>
          <w:szCs w:val="24"/>
        </w:rPr>
        <w:t xml:space="preserve"> årsager til </w:t>
      </w:r>
      <w:proofErr w:type="spellStart"/>
      <w:r w:rsidRPr="00250C18">
        <w:rPr>
          <w:sz w:val="24"/>
          <w:szCs w:val="24"/>
        </w:rPr>
        <w:t>uveitis</w:t>
      </w:r>
      <w:proofErr w:type="spellEnd"/>
      <w:r w:rsidRPr="00250C18">
        <w:rPr>
          <w:sz w:val="24"/>
          <w:szCs w:val="24"/>
        </w:rPr>
        <w:t xml:space="preserve"> inden behandlingen med </w:t>
      </w:r>
      <w:proofErr w:type="spellStart"/>
      <w:r w:rsidR="007C0D0A">
        <w:rPr>
          <w:sz w:val="24"/>
          <w:szCs w:val="24"/>
        </w:rPr>
        <w:t>Iluvien</w:t>
      </w:r>
      <w:proofErr w:type="spellEnd"/>
      <w:r w:rsidRPr="00250C18">
        <w:rPr>
          <w:sz w:val="24"/>
          <w:szCs w:val="24"/>
        </w:rPr>
        <w:t xml:space="preserve"> påbegyndes. </w:t>
      </w:r>
    </w:p>
    <w:p w:rsidR="00E24089" w:rsidRPr="00250C18" w:rsidRDefault="00E24089" w:rsidP="00E24089">
      <w:pPr>
        <w:suppressLineNumbers/>
        <w:ind w:left="851"/>
        <w:outlineLvl w:val="0"/>
        <w:rPr>
          <w:sz w:val="24"/>
          <w:szCs w:val="24"/>
        </w:rPr>
      </w:pPr>
    </w:p>
    <w:p w:rsidR="00C30EAA" w:rsidRPr="00250C18" w:rsidRDefault="00C30EAA" w:rsidP="00C30EAA">
      <w:pPr>
        <w:suppressLineNumbers/>
        <w:ind w:left="851"/>
        <w:outlineLvl w:val="0"/>
        <w:rPr>
          <w:sz w:val="24"/>
          <w:szCs w:val="24"/>
        </w:rPr>
      </w:pPr>
      <w:r w:rsidRPr="00250C18">
        <w:rPr>
          <w:sz w:val="24"/>
          <w:szCs w:val="24"/>
        </w:rPr>
        <w:t>Der er potentiale for, at implantater kan migrere ind i det forreste kammer, specielt hos patienter</w:t>
      </w:r>
      <w:r>
        <w:rPr>
          <w:sz w:val="24"/>
          <w:szCs w:val="24"/>
        </w:rPr>
        <w:t>,</w:t>
      </w:r>
      <w:r w:rsidRPr="009C46C8">
        <w:rPr>
          <w:sz w:val="24"/>
          <w:szCs w:val="24"/>
        </w:rPr>
        <w:t xml:space="preserve"> </w:t>
      </w:r>
      <w:r>
        <w:rPr>
          <w:sz w:val="24"/>
          <w:szCs w:val="24"/>
        </w:rPr>
        <w:t xml:space="preserve">der mangler den bagerste linsekapsel, eller som har defekt eller overrivning i den bagerste kapsel efter </w:t>
      </w:r>
      <w:proofErr w:type="spellStart"/>
      <w:r>
        <w:rPr>
          <w:sz w:val="24"/>
          <w:szCs w:val="24"/>
        </w:rPr>
        <w:t>intraokulær</w:t>
      </w:r>
      <w:proofErr w:type="spellEnd"/>
      <w:r>
        <w:rPr>
          <w:sz w:val="24"/>
          <w:szCs w:val="24"/>
        </w:rPr>
        <w:t xml:space="preserve"> kirurgi.</w:t>
      </w:r>
      <w:r w:rsidRPr="009C46C8">
        <w:rPr>
          <w:sz w:val="24"/>
          <w:szCs w:val="24"/>
        </w:rPr>
        <w:t xml:space="preserve"> </w:t>
      </w:r>
      <w:r>
        <w:rPr>
          <w:sz w:val="24"/>
          <w:szCs w:val="24"/>
        </w:rPr>
        <w:t xml:space="preserve">Hvis det ikke behandles, kan implantatmigration medføre </w:t>
      </w:r>
      <w:proofErr w:type="spellStart"/>
      <w:r>
        <w:rPr>
          <w:sz w:val="24"/>
          <w:szCs w:val="24"/>
        </w:rPr>
        <w:t>cornealt</w:t>
      </w:r>
      <w:proofErr w:type="spellEnd"/>
      <w:r>
        <w:rPr>
          <w:sz w:val="24"/>
          <w:szCs w:val="24"/>
        </w:rPr>
        <w:t xml:space="preserve"> ødem, der i alvorlige tilfælde kan forårsage beskadigelse af </w:t>
      </w:r>
      <w:proofErr w:type="spellStart"/>
      <w:r>
        <w:rPr>
          <w:sz w:val="24"/>
          <w:szCs w:val="24"/>
        </w:rPr>
        <w:t>cornea</w:t>
      </w:r>
      <w:proofErr w:type="spellEnd"/>
      <w:r>
        <w:rPr>
          <w:sz w:val="24"/>
          <w:szCs w:val="24"/>
        </w:rPr>
        <w:t xml:space="preserve">, der kræver </w:t>
      </w:r>
      <w:proofErr w:type="spellStart"/>
      <w:r>
        <w:rPr>
          <w:sz w:val="24"/>
          <w:szCs w:val="24"/>
        </w:rPr>
        <w:t>corneatransplantation</w:t>
      </w:r>
      <w:proofErr w:type="spellEnd"/>
      <w:r>
        <w:rPr>
          <w:sz w:val="24"/>
          <w:szCs w:val="24"/>
        </w:rPr>
        <w:t>. Patienter, der klager over visuelle forstyrrelser, bør undersøges, således at diagnosticering og behandling af implantatmigration kan ske på et tidligt tidspunkt.</w:t>
      </w:r>
    </w:p>
    <w:p w:rsidR="00E24089" w:rsidRPr="001A5043" w:rsidRDefault="00E24089" w:rsidP="00E24089">
      <w:pPr>
        <w:suppressLineNumbers/>
        <w:outlineLvl w:val="0"/>
        <w:rPr>
          <w:sz w:val="24"/>
          <w:szCs w:val="24"/>
        </w:rPr>
      </w:pPr>
    </w:p>
    <w:p w:rsidR="00E24089" w:rsidRPr="001A5043" w:rsidRDefault="00E24089" w:rsidP="00E24089">
      <w:pPr>
        <w:suppressLineNumbers/>
        <w:ind w:left="851" w:hanging="851"/>
        <w:outlineLvl w:val="0"/>
        <w:rPr>
          <w:noProof/>
          <w:sz w:val="24"/>
          <w:szCs w:val="24"/>
        </w:rPr>
      </w:pPr>
      <w:bookmarkStart w:id="4" w:name="Section_4_5"/>
      <w:r w:rsidRPr="001A5043">
        <w:rPr>
          <w:b/>
          <w:noProof/>
          <w:sz w:val="24"/>
          <w:szCs w:val="24"/>
        </w:rPr>
        <w:t>4.5</w:t>
      </w:r>
      <w:r w:rsidRPr="001A5043">
        <w:rPr>
          <w:b/>
          <w:noProof/>
          <w:sz w:val="24"/>
          <w:szCs w:val="24"/>
        </w:rPr>
        <w:tab/>
      </w:r>
      <w:r w:rsidRPr="001A5043">
        <w:rPr>
          <w:b/>
          <w:sz w:val="24"/>
          <w:szCs w:val="24"/>
        </w:rPr>
        <w:t>Interaktion med andre lægemidler og andre former for interaktion</w:t>
      </w:r>
    </w:p>
    <w:bookmarkEnd w:id="4"/>
    <w:p w:rsidR="00E24089" w:rsidRPr="001A5043" w:rsidRDefault="00E24089" w:rsidP="00E24089">
      <w:pPr>
        <w:suppressLineNumbers/>
        <w:ind w:left="851"/>
        <w:rPr>
          <w:sz w:val="24"/>
          <w:szCs w:val="24"/>
        </w:rPr>
      </w:pPr>
      <w:r w:rsidRPr="001A5043">
        <w:rPr>
          <w:sz w:val="24"/>
          <w:szCs w:val="24"/>
        </w:rPr>
        <w:t>Der er ikke udført interaktionsstudier.</w:t>
      </w:r>
    </w:p>
    <w:p w:rsidR="00E24089" w:rsidRPr="001A5043" w:rsidRDefault="00E24089" w:rsidP="00E24089">
      <w:pPr>
        <w:suppressLineNumbers/>
        <w:outlineLvl w:val="0"/>
        <w:rPr>
          <w:b/>
          <w:noProof/>
          <w:sz w:val="24"/>
          <w:szCs w:val="24"/>
        </w:rPr>
      </w:pPr>
    </w:p>
    <w:p w:rsidR="00E24089" w:rsidRPr="001A5043" w:rsidRDefault="00E24089" w:rsidP="00E24089">
      <w:pPr>
        <w:suppressLineNumbers/>
        <w:ind w:left="851" w:hanging="851"/>
        <w:outlineLvl w:val="0"/>
        <w:rPr>
          <w:noProof/>
          <w:sz w:val="24"/>
          <w:szCs w:val="24"/>
        </w:rPr>
      </w:pPr>
      <w:bookmarkStart w:id="5" w:name="Section_4_6"/>
      <w:r w:rsidRPr="001A5043">
        <w:rPr>
          <w:b/>
          <w:noProof/>
          <w:sz w:val="24"/>
          <w:szCs w:val="24"/>
        </w:rPr>
        <w:t>4.6</w:t>
      </w:r>
      <w:r w:rsidRPr="001A5043">
        <w:rPr>
          <w:b/>
          <w:noProof/>
          <w:sz w:val="24"/>
          <w:szCs w:val="24"/>
        </w:rPr>
        <w:tab/>
      </w:r>
      <w:r w:rsidR="00CC3F2E">
        <w:rPr>
          <w:b/>
          <w:noProof/>
          <w:sz w:val="24"/>
          <w:szCs w:val="24"/>
        </w:rPr>
        <w:t>Fertilitet, g</w:t>
      </w:r>
      <w:proofErr w:type="spellStart"/>
      <w:r w:rsidRPr="001A5043">
        <w:rPr>
          <w:b/>
          <w:sz w:val="24"/>
          <w:szCs w:val="24"/>
        </w:rPr>
        <w:t>raviditet</w:t>
      </w:r>
      <w:proofErr w:type="spellEnd"/>
      <w:r w:rsidRPr="001A5043">
        <w:rPr>
          <w:b/>
          <w:sz w:val="24"/>
          <w:szCs w:val="24"/>
        </w:rPr>
        <w:t xml:space="preserve"> og amning</w:t>
      </w:r>
    </w:p>
    <w:bookmarkEnd w:id="5"/>
    <w:p w:rsidR="00E24089" w:rsidRPr="001A5043" w:rsidRDefault="00E24089" w:rsidP="00E24089">
      <w:pPr>
        <w:suppressLineNumbers/>
        <w:ind w:left="851"/>
        <w:rPr>
          <w:noProof/>
          <w:sz w:val="24"/>
          <w:szCs w:val="24"/>
        </w:rPr>
      </w:pPr>
      <w:r w:rsidRPr="001A5043">
        <w:rPr>
          <w:sz w:val="24"/>
          <w:szCs w:val="24"/>
          <w:u w:val="single"/>
        </w:rPr>
        <w:t>Graviditet</w:t>
      </w:r>
    </w:p>
    <w:p w:rsidR="00E24089" w:rsidRPr="001A5043" w:rsidRDefault="00E24089" w:rsidP="00E24089">
      <w:pPr>
        <w:suppressLineNumbers/>
        <w:ind w:left="851"/>
        <w:rPr>
          <w:color w:val="000000"/>
          <w:sz w:val="24"/>
          <w:szCs w:val="24"/>
        </w:rPr>
      </w:pPr>
      <w:r w:rsidRPr="001A5043">
        <w:rPr>
          <w:color w:val="000000"/>
          <w:sz w:val="24"/>
          <w:szCs w:val="24"/>
        </w:rPr>
        <w:t>Der er</w:t>
      </w:r>
      <w:r w:rsidRPr="00B75738">
        <w:rPr>
          <w:color w:val="000000"/>
          <w:sz w:val="24"/>
          <w:szCs w:val="24"/>
        </w:rPr>
        <w:t xml:space="preserve"> begrænsede </w:t>
      </w:r>
      <w:r w:rsidRPr="001A5043">
        <w:rPr>
          <w:color w:val="000000"/>
          <w:sz w:val="24"/>
          <w:szCs w:val="24"/>
        </w:rPr>
        <w:t xml:space="preserve">data fra anvendelse af </w:t>
      </w:r>
      <w:proofErr w:type="spellStart"/>
      <w:r w:rsidRPr="001A5043">
        <w:rPr>
          <w:color w:val="000000"/>
          <w:sz w:val="24"/>
          <w:szCs w:val="24"/>
        </w:rPr>
        <w:t>intravitrealt</w:t>
      </w:r>
      <w:proofErr w:type="spellEnd"/>
      <w:r w:rsidRPr="001A5043">
        <w:rPr>
          <w:color w:val="000000"/>
          <w:sz w:val="24"/>
          <w:szCs w:val="24"/>
        </w:rPr>
        <w:t xml:space="preserve"> indgivet </w:t>
      </w:r>
      <w:proofErr w:type="spellStart"/>
      <w:r w:rsidRPr="001A5043">
        <w:rPr>
          <w:color w:val="000000"/>
          <w:sz w:val="24"/>
          <w:szCs w:val="24"/>
        </w:rPr>
        <w:t>fluocinolonacetonid</w:t>
      </w:r>
      <w:proofErr w:type="spellEnd"/>
      <w:r w:rsidRPr="001A5043">
        <w:rPr>
          <w:color w:val="000000"/>
          <w:sz w:val="24"/>
          <w:szCs w:val="24"/>
        </w:rPr>
        <w:t xml:space="preserve"> til gravide kvinder. Data fra dyreforsøg er </w:t>
      </w:r>
      <w:proofErr w:type="spellStart"/>
      <w:r w:rsidRPr="001A5043">
        <w:rPr>
          <w:color w:val="000000"/>
          <w:sz w:val="24"/>
          <w:szCs w:val="24"/>
        </w:rPr>
        <w:t>utilstækkelige</w:t>
      </w:r>
      <w:proofErr w:type="spellEnd"/>
      <w:r w:rsidRPr="001A5043">
        <w:rPr>
          <w:color w:val="000000"/>
          <w:sz w:val="24"/>
          <w:szCs w:val="24"/>
        </w:rPr>
        <w:t xml:space="preserve"> hvad angår reproduktionstoksicitet af </w:t>
      </w:r>
      <w:proofErr w:type="spellStart"/>
      <w:r w:rsidRPr="001A5043">
        <w:rPr>
          <w:color w:val="000000"/>
          <w:sz w:val="24"/>
          <w:szCs w:val="24"/>
        </w:rPr>
        <w:t>intravitrealt</w:t>
      </w:r>
      <w:proofErr w:type="spellEnd"/>
      <w:r w:rsidRPr="001A5043">
        <w:rPr>
          <w:color w:val="000000"/>
          <w:sz w:val="24"/>
          <w:szCs w:val="24"/>
        </w:rPr>
        <w:t xml:space="preserve"> administreret </w:t>
      </w:r>
      <w:proofErr w:type="spellStart"/>
      <w:r w:rsidRPr="001A5043">
        <w:rPr>
          <w:color w:val="000000"/>
          <w:sz w:val="24"/>
          <w:szCs w:val="24"/>
        </w:rPr>
        <w:t>fluocinolonacetonid</w:t>
      </w:r>
      <w:proofErr w:type="spellEnd"/>
      <w:r w:rsidRPr="001A5043">
        <w:rPr>
          <w:color w:val="000000"/>
          <w:sz w:val="24"/>
          <w:szCs w:val="24"/>
        </w:rPr>
        <w:t xml:space="preserve"> (se pkt. 5.3). Selvom </w:t>
      </w:r>
      <w:proofErr w:type="spellStart"/>
      <w:r w:rsidRPr="001A5043">
        <w:rPr>
          <w:color w:val="000000"/>
          <w:sz w:val="24"/>
          <w:szCs w:val="24"/>
        </w:rPr>
        <w:t>fluocinolonacetonid</w:t>
      </w:r>
      <w:proofErr w:type="spellEnd"/>
      <w:r w:rsidRPr="001A5043">
        <w:rPr>
          <w:color w:val="000000"/>
          <w:sz w:val="24"/>
          <w:szCs w:val="24"/>
        </w:rPr>
        <w:t xml:space="preserve"> ikke kan detekteres i den systemiske cirkulation efter lokal </w:t>
      </w:r>
      <w:proofErr w:type="spellStart"/>
      <w:r w:rsidRPr="001A5043">
        <w:rPr>
          <w:color w:val="000000"/>
          <w:sz w:val="24"/>
          <w:szCs w:val="24"/>
        </w:rPr>
        <w:t>intraokulær</w:t>
      </w:r>
      <w:proofErr w:type="spellEnd"/>
      <w:r w:rsidRPr="001A5043">
        <w:rPr>
          <w:color w:val="000000"/>
          <w:sz w:val="24"/>
          <w:szCs w:val="24"/>
        </w:rPr>
        <w:t xml:space="preserve"> behandling er </w:t>
      </w:r>
      <w:proofErr w:type="spellStart"/>
      <w:r w:rsidRPr="001A5043">
        <w:rPr>
          <w:color w:val="000000"/>
          <w:sz w:val="24"/>
          <w:szCs w:val="24"/>
        </w:rPr>
        <w:t>fluocinolon</w:t>
      </w:r>
      <w:proofErr w:type="spellEnd"/>
      <w:r w:rsidRPr="001A5043">
        <w:rPr>
          <w:color w:val="000000"/>
          <w:sz w:val="24"/>
          <w:szCs w:val="24"/>
        </w:rPr>
        <w:t xml:space="preserve"> ikke desto mindre et potent </w:t>
      </w:r>
      <w:proofErr w:type="spellStart"/>
      <w:r w:rsidRPr="001A5043">
        <w:rPr>
          <w:color w:val="000000"/>
          <w:sz w:val="24"/>
          <w:szCs w:val="24"/>
        </w:rPr>
        <w:t>kortikosteroid</w:t>
      </w:r>
      <w:proofErr w:type="spellEnd"/>
      <w:r w:rsidRPr="001A5043">
        <w:rPr>
          <w:color w:val="000000"/>
          <w:sz w:val="24"/>
          <w:szCs w:val="24"/>
        </w:rPr>
        <w:t xml:space="preserve"> og selv meget lave niveauer af systemisk eksponering kan udgøre en risiko for fostret. Som en sikkerhedsforanstaltning foretrækkes det at undgå anvendelse af </w:t>
      </w:r>
      <w:proofErr w:type="spellStart"/>
      <w:r w:rsidR="007C0D0A">
        <w:rPr>
          <w:color w:val="000000"/>
          <w:sz w:val="24"/>
          <w:szCs w:val="24"/>
        </w:rPr>
        <w:t>Iluvien</w:t>
      </w:r>
      <w:proofErr w:type="spellEnd"/>
      <w:r w:rsidRPr="001A5043">
        <w:rPr>
          <w:color w:val="000000"/>
          <w:sz w:val="24"/>
          <w:szCs w:val="24"/>
        </w:rPr>
        <w:t xml:space="preserve"> under graviditet.</w:t>
      </w:r>
    </w:p>
    <w:p w:rsidR="00E24089" w:rsidRDefault="00E24089" w:rsidP="00E24089">
      <w:pPr>
        <w:suppressLineNumbers/>
        <w:tabs>
          <w:tab w:val="left" w:pos="851"/>
        </w:tabs>
        <w:ind w:left="851"/>
        <w:rPr>
          <w:sz w:val="24"/>
          <w:szCs w:val="24"/>
          <w:u w:val="single"/>
        </w:rPr>
      </w:pPr>
    </w:p>
    <w:p w:rsidR="00E24089" w:rsidRPr="001A5043" w:rsidRDefault="00E24089" w:rsidP="00E24089">
      <w:pPr>
        <w:suppressLineNumbers/>
        <w:tabs>
          <w:tab w:val="left" w:pos="851"/>
        </w:tabs>
        <w:ind w:left="851"/>
        <w:rPr>
          <w:color w:val="000000"/>
          <w:sz w:val="24"/>
          <w:szCs w:val="24"/>
        </w:rPr>
      </w:pPr>
      <w:r w:rsidRPr="001A5043">
        <w:rPr>
          <w:sz w:val="24"/>
          <w:szCs w:val="24"/>
          <w:u w:val="single"/>
        </w:rPr>
        <w:t>Amning</w:t>
      </w:r>
    </w:p>
    <w:p w:rsidR="00E24089" w:rsidRPr="001A5043" w:rsidRDefault="00E24089" w:rsidP="00E24089">
      <w:pPr>
        <w:suppressLineNumbers/>
        <w:ind w:left="851"/>
        <w:rPr>
          <w:color w:val="000000"/>
          <w:sz w:val="24"/>
          <w:szCs w:val="24"/>
        </w:rPr>
      </w:pPr>
      <w:r w:rsidRPr="001A5043">
        <w:rPr>
          <w:color w:val="000000"/>
          <w:sz w:val="24"/>
          <w:szCs w:val="24"/>
        </w:rPr>
        <w:t xml:space="preserve">Systemisk administreret </w:t>
      </w:r>
      <w:proofErr w:type="spellStart"/>
      <w:r w:rsidRPr="001A5043">
        <w:rPr>
          <w:color w:val="000000"/>
          <w:sz w:val="24"/>
          <w:szCs w:val="24"/>
        </w:rPr>
        <w:t>fluocinolonacetonid</w:t>
      </w:r>
      <w:proofErr w:type="spellEnd"/>
      <w:r w:rsidRPr="001A5043">
        <w:rPr>
          <w:color w:val="000000"/>
          <w:sz w:val="24"/>
          <w:szCs w:val="24"/>
        </w:rPr>
        <w:t xml:space="preserve"> udskilles i human mælk. Selvom den systemiske eksponering af en ammende kvinde overfor </w:t>
      </w:r>
      <w:proofErr w:type="spellStart"/>
      <w:r w:rsidRPr="001A5043">
        <w:rPr>
          <w:color w:val="000000"/>
          <w:sz w:val="24"/>
          <w:szCs w:val="24"/>
        </w:rPr>
        <w:t>intravitrealt</w:t>
      </w:r>
      <w:proofErr w:type="spellEnd"/>
      <w:r w:rsidRPr="001A5043">
        <w:rPr>
          <w:color w:val="000000"/>
          <w:sz w:val="24"/>
          <w:szCs w:val="24"/>
        </w:rPr>
        <w:t xml:space="preserve"> administreret </w:t>
      </w:r>
      <w:proofErr w:type="spellStart"/>
      <w:r w:rsidRPr="001A5043">
        <w:rPr>
          <w:color w:val="000000"/>
          <w:sz w:val="24"/>
          <w:szCs w:val="24"/>
        </w:rPr>
        <w:t>fluocinolonacetonid</w:t>
      </w:r>
      <w:proofErr w:type="spellEnd"/>
      <w:r w:rsidRPr="001A5043">
        <w:rPr>
          <w:color w:val="000000"/>
          <w:sz w:val="24"/>
          <w:szCs w:val="24"/>
        </w:rPr>
        <w:t xml:space="preserve"> er forventet at være lav, må der tages en beslutning om amningen skal afbrydes eller der ikke skal gives </w:t>
      </w:r>
      <w:proofErr w:type="spellStart"/>
      <w:r w:rsidR="007C0D0A">
        <w:rPr>
          <w:color w:val="000000"/>
          <w:sz w:val="24"/>
          <w:szCs w:val="24"/>
        </w:rPr>
        <w:t>Iluvien</w:t>
      </w:r>
      <w:proofErr w:type="spellEnd"/>
      <w:r w:rsidRPr="001A5043">
        <w:rPr>
          <w:color w:val="000000"/>
          <w:sz w:val="24"/>
          <w:szCs w:val="24"/>
        </w:rPr>
        <w:t xml:space="preserve"> behandling, idet der skal tages højde for fordelene ved amning for barnet og fordelene ved behandlingen for kvinden.</w:t>
      </w:r>
    </w:p>
    <w:p w:rsidR="00E24089" w:rsidRDefault="00E24089" w:rsidP="00E24089">
      <w:pPr>
        <w:suppressLineNumbers/>
        <w:ind w:left="851"/>
        <w:rPr>
          <w:sz w:val="24"/>
          <w:szCs w:val="24"/>
          <w:u w:val="single"/>
        </w:rPr>
      </w:pPr>
    </w:p>
    <w:p w:rsidR="00CC3F2E" w:rsidRPr="001A5043" w:rsidRDefault="00CC3F2E" w:rsidP="00E24089">
      <w:pPr>
        <w:suppressLineNumbers/>
        <w:ind w:left="851"/>
        <w:rPr>
          <w:sz w:val="24"/>
          <w:szCs w:val="24"/>
          <w:u w:val="single"/>
        </w:rPr>
      </w:pPr>
    </w:p>
    <w:p w:rsidR="00E24089" w:rsidRPr="001A5043" w:rsidRDefault="00E24089" w:rsidP="00E24089">
      <w:pPr>
        <w:suppressLineNumbers/>
        <w:ind w:left="851"/>
        <w:rPr>
          <w:color w:val="000000"/>
          <w:sz w:val="24"/>
          <w:szCs w:val="24"/>
        </w:rPr>
      </w:pPr>
      <w:r w:rsidRPr="001A5043">
        <w:rPr>
          <w:sz w:val="24"/>
          <w:szCs w:val="24"/>
          <w:u w:val="single"/>
        </w:rPr>
        <w:lastRenderedPageBreak/>
        <w:t>Fertilitet</w:t>
      </w:r>
    </w:p>
    <w:p w:rsidR="00E24089" w:rsidRPr="001A5043" w:rsidRDefault="00E24089" w:rsidP="00E24089">
      <w:pPr>
        <w:suppressLineNumbers/>
        <w:ind w:left="851"/>
        <w:rPr>
          <w:color w:val="000000"/>
          <w:sz w:val="24"/>
          <w:szCs w:val="24"/>
        </w:rPr>
      </w:pPr>
      <w:bookmarkStart w:id="6" w:name="Section_4_7"/>
      <w:r w:rsidRPr="001A5043">
        <w:rPr>
          <w:color w:val="000000"/>
          <w:sz w:val="24"/>
          <w:szCs w:val="24"/>
        </w:rPr>
        <w:t xml:space="preserve">Der findes ingen data vedrørende fertilitet. Virkning på enten mandens eller kvindens fertilitet er usandsynligt, da den systemiske eksponering for </w:t>
      </w:r>
      <w:proofErr w:type="spellStart"/>
      <w:r w:rsidRPr="001A5043">
        <w:rPr>
          <w:color w:val="000000"/>
          <w:sz w:val="24"/>
          <w:szCs w:val="24"/>
        </w:rPr>
        <w:t>fluocinolonacetonid</w:t>
      </w:r>
      <w:proofErr w:type="spellEnd"/>
      <w:r w:rsidRPr="001A5043">
        <w:rPr>
          <w:color w:val="000000"/>
          <w:sz w:val="24"/>
          <w:szCs w:val="24"/>
        </w:rPr>
        <w:t xml:space="preserve"> efter </w:t>
      </w:r>
      <w:proofErr w:type="spellStart"/>
      <w:r w:rsidRPr="001A5043">
        <w:rPr>
          <w:color w:val="000000"/>
          <w:sz w:val="24"/>
          <w:szCs w:val="24"/>
        </w:rPr>
        <w:t>intravitreal</w:t>
      </w:r>
      <w:proofErr w:type="spellEnd"/>
      <w:r w:rsidRPr="001A5043">
        <w:rPr>
          <w:color w:val="000000"/>
          <w:sz w:val="24"/>
          <w:szCs w:val="24"/>
        </w:rPr>
        <w:t xml:space="preserve"> administration er meget lav.</w:t>
      </w:r>
    </w:p>
    <w:bookmarkEnd w:id="6"/>
    <w:p w:rsidR="00E24089" w:rsidRPr="001A5043" w:rsidRDefault="00E24089" w:rsidP="00E24089">
      <w:pPr>
        <w:suppressLineNumbers/>
        <w:ind w:left="567" w:hanging="567"/>
        <w:outlineLvl w:val="0"/>
        <w:rPr>
          <w:b/>
          <w:noProof/>
          <w:sz w:val="24"/>
          <w:szCs w:val="24"/>
        </w:rPr>
      </w:pPr>
    </w:p>
    <w:p w:rsidR="00E24089" w:rsidRPr="00B02C1D" w:rsidRDefault="00E24089" w:rsidP="007C0D0A">
      <w:pPr>
        <w:keepNext/>
        <w:tabs>
          <w:tab w:val="left" w:pos="851"/>
        </w:tabs>
        <w:rPr>
          <w:b/>
          <w:noProof/>
          <w:sz w:val="24"/>
          <w:szCs w:val="24"/>
        </w:rPr>
      </w:pPr>
      <w:r w:rsidRPr="00B02C1D">
        <w:rPr>
          <w:b/>
          <w:noProof/>
        </w:rPr>
        <w:t>4.7</w:t>
      </w:r>
      <w:r w:rsidRPr="00B02C1D">
        <w:rPr>
          <w:b/>
          <w:noProof/>
        </w:rPr>
        <w:tab/>
      </w:r>
      <w:r w:rsidRPr="00B02C1D">
        <w:rPr>
          <w:b/>
          <w:sz w:val="24"/>
          <w:szCs w:val="24"/>
        </w:rPr>
        <w:t>Virkning</w:t>
      </w:r>
      <w:r>
        <w:rPr>
          <w:b/>
          <w:sz w:val="24"/>
          <w:szCs w:val="24"/>
        </w:rPr>
        <w:t>er</w:t>
      </w:r>
      <w:r w:rsidRPr="00B02C1D">
        <w:rPr>
          <w:b/>
          <w:sz w:val="24"/>
          <w:szCs w:val="24"/>
        </w:rPr>
        <w:t xml:space="preserve"> på e</w:t>
      </w:r>
      <w:r>
        <w:rPr>
          <w:b/>
          <w:sz w:val="24"/>
          <w:szCs w:val="24"/>
        </w:rPr>
        <w:t xml:space="preserve">vnen til at føre motorkøretøj </w:t>
      </w:r>
      <w:r w:rsidR="00CC3F2E">
        <w:rPr>
          <w:b/>
          <w:sz w:val="24"/>
          <w:szCs w:val="24"/>
        </w:rPr>
        <w:t>og</w:t>
      </w:r>
      <w:r w:rsidRPr="00B02C1D">
        <w:rPr>
          <w:b/>
          <w:sz w:val="24"/>
          <w:szCs w:val="24"/>
        </w:rPr>
        <w:t xml:space="preserve"> betjene maskiner</w:t>
      </w:r>
    </w:p>
    <w:p w:rsidR="00E24089" w:rsidRDefault="00E24089" w:rsidP="00E24089">
      <w:pPr>
        <w:ind w:left="851"/>
        <w:rPr>
          <w:sz w:val="24"/>
          <w:szCs w:val="24"/>
        </w:rPr>
      </w:pPr>
      <w:r w:rsidRPr="00B75738">
        <w:rPr>
          <w:sz w:val="24"/>
          <w:szCs w:val="24"/>
        </w:rPr>
        <w:t>Ikke mærkning.</w:t>
      </w:r>
    </w:p>
    <w:p w:rsidR="00E24089" w:rsidRDefault="007C0D0A" w:rsidP="00E24089">
      <w:pPr>
        <w:ind w:left="851"/>
        <w:rPr>
          <w:sz w:val="24"/>
          <w:szCs w:val="24"/>
        </w:rPr>
      </w:pPr>
      <w:proofErr w:type="spellStart"/>
      <w:r>
        <w:rPr>
          <w:sz w:val="24"/>
          <w:szCs w:val="24"/>
        </w:rPr>
        <w:t>Iluvien</w:t>
      </w:r>
      <w:proofErr w:type="spellEnd"/>
      <w:r w:rsidR="00E24089" w:rsidRPr="00B02C1D">
        <w:rPr>
          <w:sz w:val="24"/>
          <w:szCs w:val="24"/>
        </w:rPr>
        <w:t xml:space="preserve"> påvirker kun i mindre grad evnen til at føre motorkøretøj og betjene maskiner. Der kan opstå midlertidigt nedsat syn efter administration af </w:t>
      </w:r>
      <w:proofErr w:type="spellStart"/>
      <w:r>
        <w:rPr>
          <w:sz w:val="24"/>
          <w:szCs w:val="24"/>
        </w:rPr>
        <w:t>Iluvien</w:t>
      </w:r>
      <w:proofErr w:type="spellEnd"/>
      <w:r w:rsidR="00E24089" w:rsidRPr="00B02C1D">
        <w:rPr>
          <w:sz w:val="24"/>
          <w:szCs w:val="24"/>
        </w:rPr>
        <w:t>, og patienterne skal undlade at føre motorkøretøj og betjene maskiner, indtil denne virkning er svundet.</w:t>
      </w:r>
    </w:p>
    <w:p w:rsidR="00E24089" w:rsidRPr="00B02C1D" w:rsidRDefault="00E24089" w:rsidP="00E24089">
      <w:pPr>
        <w:ind w:left="851"/>
        <w:rPr>
          <w:sz w:val="24"/>
          <w:szCs w:val="24"/>
        </w:rPr>
      </w:pPr>
    </w:p>
    <w:p w:rsidR="00E24089" w:rsidRPr="00B02C1D" w:rsidRDefault="00E24089" w:rsidP="00E24089">
      <w:pPr>
        <w:tabs>
          <w:tab w:val="left" w:pos="851"/>
        </w:tabs>
        <w:rPr>
          <w:b/>
          <w:noProof/>
          <w:sz w:val="24"/>
          <w:szCs w:val="24"/>
        </w:rPr>
      </w:pPr>
      <w:bookmarkStart w:id="7" w:name="Section_4_8"/>
      <w:r w:rsidRPr="00B02C1D">
        <w:rPr>
          <w:b/>
          <w:noProof/>
        </w:rPr>
        <w:t>4.8</w:t>
      </w:r>
      <w:r w:rsidRPr="00B02C1D">
        <w:rPr>
          <w:b/>
          <w:noProof/>
        </w:rPr>
        <w:tab/>
      </w:r>
      <w:r w:rsidRPr="00B02C1D">
        <w:rPr>
          <w:b/>
          <w:sz w:val="24"/>
          <w:szCs w:val="24"/>
        </w:rPr>
        <w:t>Bivirkninger</w:t>
      </w:r>
    </w:p>
    <w:bookmarkEnd w:id="7"/>
    <w:p w:rsidR="00E24089" w:rsidRDefault="00E24089" w:rsidP="00E24089">
      <w:pPr>
        <w:pStyle w:val="C-BodyText"/>
        <w:spacing w:before="0" w:after="0" w:line="240" w:lineRule="auto"/>
        <w:ind w:left="851"/>
        <w:rPr>
          <w:szCs w:val="24"/>
          <w:u w:val="single"/>
          <w:lang w:val="da-DK"/>
        </w:rPr>
      </w:pPr>
      <w:r w:rsidRPr="0063579D">
        <w:rPr>
          <w:szCs w:val="24"/>
          <w:u w:val="single"/>
          <w:lang w:val="da-DK"/>
        </w:rPr>
        <w:t>Resumé af sikkerhedsprofilen</w:t>
      </w:r>
    </w:p>
    <w:p w:rsidR="00E24089" w:rsidRPr="0063579D" w:rsidRDefault="00E24089" w:rsidP="00E24089">
      <w:pPr>
        <w:pStyle w:val="C-BodyText"/>
        <w:spacing w:before="0" w:after="0" w:line="240" w:lineRule="auto"/>
        <w:ind w:left="851"/>
        <w:rPr>
          <w:szCs w:val="24"/>
          <w:u w:val="single"/>
          <w:lang w:val="da-DK"/>
        </w:rPr>
      </w:pPr>
    </w:p>
    <w:p w:rsidR="00E24089" w:rsidRPr="0063579D" w:rsidRDefault="00E24089" w:rsidP="00E24089">
      <w:pPr>
        <w:pStyle w:val="C-BodyText"/>
        <w:spacing w:before="0" w:after="0" w:line="240" w:lineRule="auto"/>
        <w:ind w:left="851"/>
        <w:rPr>
          <w:i/>
          <w:szCs w:val="24"/>
          <w:u w:val="single"/>
          <w:lang w:val="da-DK"/>
        </w:rPr>
      </w:pPr>
      <w:r w:rsidRPr="0063579D">
        <w:rPr>
          <w:i/>
          <w:szCs w:val="24"/>
          <w:u w:val="single"/>
          <w:lang w:val="da-DK"/>
        </w:rPr>
        <w:t xml:space="preserve">Diabetisk </w:t>
      </w:r>
      <w:proofErr w:type="spellStart"/>
      <w:r w:rsidRPr="0063579D">
        <w:rPr>
          <w:i/>
          <w:szCs w:val="24"/>
          <w:u w:val="single"/>
          <w:lang w:val="da-DK"/>
        </w:rPr>
        <w:t>makulært</w:t>
      </w:r>
      <w:proofErr w:type="spellEnd"/>
      <w:r w:rsidRPr="0063579D">
        <w:rPr>
          <w:i/>
          <w:szCs w:val="24"/>
          <w:u w:val="single"/>
          <w:lang w:val="da-DK"/>
        </w:rPr>
        <w:t xml:space="preserve"> ødem</w:t>
      </w:r>
    </w:p>
    <w:p w:rsidR="00E24089" w:rsidRPr="0063579D" w:rsidRDefault="00E24089" w:rsidP="00E24089">
      <w:pPr>
        <w:pStyle w:val="C-BodyText"/>
        <w:spacing w:before="0" w:after="0" w:line="240" w:lineRule="auto"/>
        <w:ind w:left="851"/>
        <w:rPr>
          <w:szCs w:val="24"/>
          <w:lang w:val="da-DK"/>
        </w:rPr>
      </w:pPr>
      <w:proofErr w:type="spellStart"/>
      <w:r w:rsidRPr="0063579D">
        <w:rPr>
          <w:szCs w:val="24"/>
          <w:lang w:val="da-DK"/>
        </w:rPr>
        <w:t>Intravitrealt</w:t>
      </w:r>
      <w:proofErr w:type="spellEnd"/>
      <w:r w:rsidRPr="0063579D">
        <w:rPr>
          <w:szCs w:val="24"/>
          <w:lang w:val="da-DK"/>
        </w:rPr>
        <w:t xml:space="preserve"> administreret </w:t>
      </w:r>
      <w:proofErr w:type="spellStart"/>
      <w:r w:rsidRPr="0063579D">
        <w:rPr>
          <w:szCs w:val="24"/>
          <w:lang w:val="da-DK"/>
        </w:rPr>
        <w:t>fluocinolonacetonid</w:t>
      </w:r>
      <w:proofErr w:type="spellEnd"/>
      <w:r w:rsidRPr="0063579D">
        <w:rPr>
          <w:szCs w:val="24"/>
          <w:lang w:val="da-DK"/>
        </w:rPr>
        <w:t xml:space="preserve"> blev undersøgt på tværs af de kliniske FAME-studier hos 768 deltagere (375 i 0,2 </w:t>
      </w:r>
      <w:proofErr w:type="spellStart"/>
      <w:r w:rsidRPr="0063579D">
        <w:rPr>
          <w:szCs w:val="24"/>
          <w:lang w:val="da-DK"/>
        </w:rPr>
        <w:t>μg</w:t>
      </w:r>
      <w:proofErr w:type="spellEnd"/>
      <w:r w:rsidRPr="0063579D">
        <w:rPr>
          <w:szCs w:val="24"/>
          <w:lang w:val="da-DK"/>
        </w:rPr>
        <w:t>/dag/</w:t>
      </w:r>
      <w:proofErr w:type="spellStart"/>
      <w:r w:rsidR="007C0D0A">
        <w:rPr>
          <w:szCs w:val="24"/>
          <w:lang w:val="da-DK"/>
        </w:rPr>
        <w:t>Iluvien</w:t>
      </w:r>
      <w:proofErr w:type="spellEnd"/>
      <w:r w:rsidRPr="0063579D">
        <w:rPr>
          <w:szCs w:val="24"/>
          <w:lang w:val="da-DK"/>
        </w:rPr>
        <w:t xml:space="preserve"> gruppen; 393 i 0,5 </w:t>
      </w:r>
      <w:proofErr w:type="spellStart"/>
      <w:r w:rsidRPr="0063579D">
        <w:rPr>
          <w:szCs w:val="24"/>
          <w:lang w:val="da-DK"/>
        </w:rPr>
        <w:t>μg</w:t>
      </w:r>
      <w:proofErr w:type="spellEnd"/>
      <w:r w:rsidRPr="0063579D">
        <w:rPr>
          <w:szCs w:val="24"/>
          <w:lang w:val="da-DK"/>
        </w:rPr>
        <w:t>/</w:t>
      </w:r>
      <w:proofErr w:type="gramStart"/>
      <w:r w:rsidRPr="0063579D">
        <w:rPr>
          <w:szCs w:val="24"/>
          <w:lang w:val="da-DK"/>
        </w:rPr>
        <w:t>dag gruppen</w:t>
      </w:r>
      <w:proofErr w:type="gramEnd"/>
      <w:r w:rsidRPr="0063579D">
        <w:rPr>
          <w:szCs w:val="24"/>
          <w:lang w:val="da-DK"/>
        </w:rPr>
        <w:t xml:space="preserve">) med diabetisk </w:t>
      </w:r>
      <w:proofErr w:type="spellStart"/>
      <w:r w:rsidRPr="0063579D">
        <w:rPr>
          <w:szCs w:val="24"/>
          <w:lang w:val="da-DK"/>
        </w:rPr>
        <w:t>makulært</w:t>
      </w:r>
      <w:proofErr w:type="spellEnd"/>
      <w:r w:rsidRPr="0063579D">
        <w:rPr>
          <w:szCs w:val="24"/>
          <w:lang w:val="da-DK"/>
        </w:rPr>
        <w:t xml:space="preserve"> ødem. De hyppigst indberettede lægemiddelbivirkninger var kataraktoperation, katarakt og forhøjet </w:t>
      </w:r>
      <w:proofErr w:type="spellStart"/>
      <w:r w:rsidRPr="0063579D">
        <w:rPr>
          <w:szCs w:val="24"/>
          <w:lang w:val="da-DK"/>
        </w:rPr>
        <w:t>intraokulært</w:t>
      </w:r>
      <w:proofErr w:type="spellEnd"/>
      <w:r w:rsidRPr="0063579D">
        <w:rPr>
          <w:szCs w:val="24"/>
          <w:lang w:val="da-DK"/>
        </w:rPr>
        <w:t xml:space="preserve"> tryk.</w:t>
      </w:r>
    </w:p>
    <w:p w:rsidR="00E24089" w:rsidRPr="0063579D" w:rsidRDefault="00E24089" w:rsidP="00E24089">
      <w:pPr>
        <w:pStyle w:val="C-BodyText"/>
        <w:spacing w:before="0" w:after="0" w:line="240" w:lineRule="auto"/>
        <w:ind w:left="851"/>
        <w:rPr>
          <w:szCs w:val="24"/>
          <w:u w:val="single"/>
          <w:lang w:val="da-DK"/>
        </w:rPr>
      </w:pPr>
    </w:p>
    <w:p w:rsidR="00E24089" w:rsidRPr="0063579D" w:rsidRDefault="00E24089" w:rsidP="00E24089">
      <w:pPr>
        <w:pStyle w:val="C-BodyText"/>
        <w:spacing w:before="0" w:after="0" w:line="240" w:lineRule="auto"/>
        <w:ind w:left="851"/>
        <w:rPr>
          <w:szCs w:val="24"/>
          <w:lang w:val="da-DK"/>
        </w:rPr>
      </w:pPr>
      <w:r w:rsidRPr="0063579D">
        <w:rPr>
          <w:szCs w:val="24"/>
          <w:lang w:val="da-DK"/>
        </w:rPr>
        <w:t xml:space="preserve">I fase 3-studierne havde 38,4% af de deltagere, der blev behandlet med </w:t>
      </w:r>
      <w:proofErr w:type="spellStart"/>
      <w:r w:rsidR="007C0D0A">
        <w:rPr>
          <w:szCs w:val="24"/>
          <w:lang w:val="da-DK"/>
        </w:rPr>
        <w:t>Iluvien</w:t>
      </w:r>
      <w:proofErr w:type="spellEnd"/>
      <w:r w:rsidRPr="0063579D">
        <w:rPr>
          <w:szCs w:val="24"/>
          <w:lang w:val="da-DK"/>
        </w:rPr>
        <w:t xml:space="preserve">, behov for IOP-sænkende medicin, og 4,8% havde behov for IOP-sænkende operation. Anvendelsen af IOP-sænkende medicin var ens hos deltagere, der fik to eller flere behandlinger med </w:t>
      </w:r>
      <w:proofErr w:type="spellStart"/>
      <w:r w:rsidR="007C0D0A">
        <w:rPr>
          <w:szCs w:val="24"/>
          <w:lang w:val="da-DK"/>
        </w:rPr>
        <w:t>Iluvien</w:t>
      </w:r>
      <w:proofErr w:type="spellEnd"/>
      <w:r w:rsidRPr="0063579D">
        <w:rPr>
          <w:szCs w:val="24"/>
          <w:lang w:val="da-DK"/>
        </w:rPr>
        <w:t xml:space="preserve">.   </w:t>
      </w:r>
    </w:p>
    <w:p w:rsidR="00E24089" w:rsidRPr="0063579D" w:rsidRDefault="00E24089" w:rsidP="00E24089">
      <w:pPr>
        <w:pStyle w:val="C-BodyText"/>
        <w:spacing w:before="0" w:after="0" w:line="240" w:lineRule="auto"/>
        <w:ind w:left="851"/>
        <w:rPr>
          <w:szCs w:val="24"/>
          <w:lang w:val="da-DK"/>
        </w:rPr>
      </w:pPr>
    </w:p>
    <w:p w:rsidR="00E24089" w:rsidRPr="0063579D" w:rsidRDefault="00E24089" w:rsidP="00E24089">
      <w:pPr>
        <w:pStyle w:val="C-BodyText"/>
        <w:spacing w:before="0" w:after="0" w:line="240" w:lineRule="auto"/>
        <w:ind w:left="851"/>
        <w:rPr>
          <w:szCs w:val="24"/>
          <w:lang w:val="da-DK"/>
        </w:rPr>
      </w:pPr>
      <w:r w:rsidRPr="0063579D">
        <w:rPr>
          <w:szCs w:val="24"/>
          <w:lang w:val="da-DK"/>
        </w:rPr>
        <w:t xml:space="preserve">Der blev indberettet to tilfælde af </w:t>
      </w:r>
      <w:proofErr w:type="spellStart"/>
      <w:r w:rsidRPr="0063579D">
        <w:rPr>
          <w:szCs w:val="24"/>
          <w:lang w:val="da-DK"/>
        </w:rPr>
        <w:t>endoftalmitis</w:t>
      </w:r>
      <w:proofErr w:type="spellEnd"/>
      <w:r w:rsidRPr="0063579D">
        <w:rPr>
          <w:szCs w:val="24"/>
          <w:lang w:val="da-DK"/>
        </w:rPr>
        <w:t xml:space="preserve"> hos deltagere, der blev behandlet med </w:t>
      </w:r>
      <w:proofErr w:type="spellStart"/>
      <w:r w:rsidR="007C0D0A">
        <w:rPr>
          <w:szCs w:val="24"/>
          <w:lang w:val="da-DK"/>
        </w:rPr>
        <w:t>Iluvien</w:t>
      </w:r>
      <w:proofErr w:type="spellEnd"/>
      <w:r w:rsidRPr="0063579D">
        <w:rPr>
          <w:szCs w:val="24"/>
          <w:lang w:val="da-DK"/>
        </w:rPr>
        <w:t xml:space="preserve"> i fase 3-studierne. Dette udgør en </w:t>
      </w:r>
      <w:proofErr w:type="spellStart"/>
      <w:r w:rsidRPr="0063579D">
        <w:rPr>
          <w:szCs w:val="24"/>
          <w:lang w:val="da-DK"/>
        </w:rPr>
        <w:t>incidensrate</w:t>
      </w:r>
      <w:proofErr w:type="spellEnd"/>
      <w:r w:rsidRPr="0063579D">
        <w:rPr>
          <w:szCs w:val="24"/>
          <w:lang w:val="da-DK"/>
        </w:rPr>
        <w:t xml:space="preserve"> på 0,2% (2 tilfælde divideret med 1.022 injektioner).</w:t>
      </w:r>
    </w:p>
    <w:p w:rsidR="00E24089" w:rsidRPr="0063579D" w:rsidRDefault="00E24089" w:rsidP="00E24089">
      <w:pPr>
        <w:pStyle w:val="C-BodyText"/>
        <w:spacing w:before="0" w:after="0" w:line="240" w:lineRule="auto"/>
        <w:ind w:left="851"/>
        <w:rPr>
          <w:szCs w:val="24"/>
          <w:lang w:val="da-DK"/>
        </w:rPr>
      </w:pPr>
    </w:p>
    <w:p w:rsidR="00E24089" w:rsidRPr="0063579D" w:rsidRDefault="00E24089" w:rsidP="00E24089">
      <w:pPr>
        <w:pStyle w:val="C-BodyText"/>
        <w:spacing w:before="0" w:after="0" w:line="240" w:lineRule="auto"/>
        <w:ind w:left="851"/>
        <w:rPr>
          <w:szCs w:val="24"/>
          <w:lang w:val="da-DK"/>
        </w:rPr>
      </w:pPr>
      <w:r w:rsidRPr="0063579D">
        <w:rPr>
          <w:szCs w:val="24"/>
          <w:lang w:val="da-DK"/>
        </w:rPr>
        <w:t xml:space="preserve">Selvom størstedelen af deltagerne i de kliniske FAME-studier kun fik et enkelt implantat (se pkt. 5.1), kender man ikke den sikkerhedsmæssige betydning på længere sigt af det ikke-bionedbrydelige implantat i øjet. I de kliniske FAME-studier viste de 3-årige data, at hændelser såsom katarakt, forhøjet </w:t>
      </w:r>
      <w:proofErr w:type="spellStart"/>
      <w:r w:rsidRPr="0063579D">
        <w:rPr>
          <w:szCs w:val="24"/>
          <w:lang w:val="da-DK"/>
        </w:rPr>
        <w:t>intraokulært</w:t>
      </w:r>
      <w:proofErr w:type="spellEnd"/>
      <w:r w:rsidRPr="0063579D">
        <w:rPr>
          <w:szCs w:val="24"/>
          <w:lang w:val="da-DK"/>
        </w:rPr>
        <w:t xml:space="preserve"> tryk og mouches </w:t>
      </w:r>
      <w:proofErr w:type="spellStart"/>
      <w:r w:rsidRPr="0063579D">
        <w:rPr>
          <w:szCs w:val="24"/>
          <w:lang w:val="da-DK"/>
        </w:rPr>
        <w:t>volantes</w:t>
      </w:r>
      <w:proofErr w:type="spellEnd"/>
      <w:r w:rsidRPr="0063579D">
        <w:rPr>
          <w:szCs w:val="24"/>
          <w:lang w:val="da-DK"/>
        </w:rPr>
        <w:t xml:space="preserve"> kun forekom lidt hyppigere hos deltagere, der fik to eller flere implantater. Dette anses for at være en funktion af den forhøjede eksponering for lægemidlet og ikke en virkning af selve implantatet. I ikke-kliniske studier var der ingen tegn på øget forekomst af sikkerhedsmæssige problemer, bortset fra linseændringer i kaniners øjne ved anvendelse af 2-4 implantater i løbet af 24 måneder. Implantatet er fremstillet af </w:t>
      </w:r>
      <w:proofErr w:type="spellStart"/>
      <w:r w:rsidRPr="0063579D">
        <w:rPr>
          <w:szCs w:val="24"/>
          <w:lang w:val="da-DK"/>
        </w:rPr>
        <w:t>polyimid</w:t>
      </w:r>
      <w:proofErr w:type="spellEnd"/>
      <w:r w:rsidRPr="0063579D">
        <w:rPr>
          <w:szCs w:val="24"/>
          <w:lang w:val="da-DK"/>
        </w:rPr>
        <w:t xml:space="preserve"> og svarer stort set til en </w:t>
      </w:r>
      <w:proofErr w:type="spellStart"/>
      <w:r w:rsidRPr="0063579D">
        <w:rPr>
          <w:szCs w:val="24"/>
          <w:lang w:val="da-DK"/>
        </w:rPr>
        <w:t>intraokulær</w:t>
      </w:r>
      <w:proofErr w:type="spellEnd"/>
      <w:r w:rsidRPr="0063579D">
        <w:rPr>
          <w:szCs w:val="24"/>
          <w:lang w:val="da-DK"/>
        </w:rPr>
        <w:t xml:space="preserve"> </w:t>
      </w:r>
      <w:proofErr w:type="spellStart"/>
      <w:r w:rsidRPr="0063579D">
        <w:rPr>
          <w:szCs w:val="24"/>
          <w:lang w:val="da-DK"/>
        </w:rPr>
        <w:t>linsehaptik</w:t>
      </w:r>
      <w:proofErr w:type="spellEnd"/>
      <w:r w:rsidRPr="0063579D">
        <w:rPr>
          <w:szCs w:val="24"/>
          <w:lang w:val="da-DK"/>
        </w:rPr>
        <w:t>. Det forventes derfor at forblive inaktivt inde i øjet.</w:t>
      </w:r>
    </w:p>
    <w:p w:rsidR="00E24089" w:rsidRPr="0063579D" w:rsidRDefault="00E24089" w:rsidP="00E24089">
      <w:pPr>
        <w:pStyle w:val="C-BodyText"/>
        <w:spacing w:before="0" w:after="0" w:line="240" w:lineRule="auto"/>
        <w:ind w:left="851"/>
        <w:rPr>
          <w:szCs w:val="24"/>
          <w:lang w:val="da-DK"/>
        </w:rPr>
      </w:pPr>
    </w:p>
    <w:p w:rsidR="00E24089" w:rsidRPr="0063579D" w:rsidRDefault="00E24089" w:rsidP="00E24089">
      <w:pPr>
        <w:pStyle w:val="C-BodyText"/>
        <w:spacing w:before="0" w:after="0" w:line="240" w:lineRule="auto"/>
        <w:ind w:left="851"/>
        <w:rPr>
          <w:i/>
          <w:szCs w:val="24"/>
          <w:lang w:val="da-DK"/>
        </w:rPr>
      </w:pPr>
      <w:bookmarkStart w:id="8" w:name="_Hlk532489361"/>
      <w:r w:rsidRPr="0063579D">
        <w:rPr>
          <w:i/>
          <w:szCs w:val="24"/>
          <w:lang w:val="da-DK"/>
        </w:rPr>
        <w:t>Ikke</w:t>
      </w:r>
      <w:r w:rsidRPr="0063579D">
        <w:rPr>
          <w:i/>
          <w:szCs w:val="24"/>
          <w:lang w:val="da-DK"/>
        </w:rPr>
        <w:noBreakHyphen/>
        <w:t xml:space="preserve">infektiøs </w:t>
      </w:r>
      <w:proofErr w:type="spellStart"/>
      <w:r w:rsidRPr="0063579D">
        <w:rPr>
          <w:i/>
          <w:szCs w:val="24"/>
          <w:lang w:val="da-DK"/>
        </w:rPr>
        <w:t>uveitis</w:t>
      </w:r>
      <w:proofErr w:type="spellEnd"/>
      <w:r w:rsidRPr="0063579D">
        <w:rPr>
          <w:i/>
          <w:szCs w:val="24"/>
          <w:lang w:val="da-DK"/>
        </w:rPr>
        <w:t>, der påvirker det bagerste segment</w:t>
      </w:r>
    </w:p>
    <w:bookmarkEnd w:id="8"/>
    <w:p w:rsidR="00E24089" w:rsidRPr="0063579D" w:rsidRDefault="00E24089" w:rsidP="00E24089">
      <w:pPr>
        <w:pStyle w:val="C-BodyText"/>
        <w:spacing w:before="0" w:after="0" w:line="240" w:lineRule="auto"/>
        <w:ind w:left="851"/>
        <w:rPr>
          <w:szCs w:val="24"/>
          <w:lang w:val="da-DK"/>
        </w:rPr>
      </w:pPr>
      <w:r w:rsidRPr="0063579D">
        <w:rPr>
          <w:szCs w:val="24"/>
          <w:lang w:val="da-DK"/>
        </w:rPr>
        <w:t>Sikkerhedsprofilen for ikke</w:t>
      </w:r>
      <w:r w:rsidRPr="0063579D">
        <w:rPr>
          <w:szCs w:val="24"/>
          <w:lang w:val="da-DK"/>
        </w:rPr>
        <w:noBreakHyphen/>
        <w:t xml:space="preserve">infektiøs </w:t>
      </w:r>
      <w:proofErr w:type="spellStart"/>
      <w:r w:rsidRPr="0063579D">
        <w:rPr>
          <w:szCs w:val="24"/>
          <w:lang w:val="da-DK"/>
        </w:rPr>
        <w:t>uveitis</w:t>
      </w:r>
      <w:proofErr w:type="spellEnd"/>
      <w:r w:rsidRPr="0063579D">
        <w:rPr>
          <w:szCs w:val="24"/>
          <w:lang w:val="da-DK"/>
        </w:rPr>
        <w:t xml:space="preserve">, der påvirker det bagerste segment i øjet, er baseret på to pivotale </w:t>
      </w:r>
      <w:proofErr w:type="spellStart"/>
      <w:r w:rsidRPr="0063579D">
        <w:rPr>
          <w:szCs w:val="24"/>
          <w:lang w:val="da-DK"/>
        </w:rPr>
        <w:t>uveitis</w:t>
      </w:r>
      <w:proofErr w:type="spellEnd"/>
      <w:r w:rsidRPr="0063579D">
        <w:rPr>
          <w:szCs w:val="24"/>
          <w:lang w:val="da-DK"/>
        </w:rPr>
        <w:noBreakHyphen/>
        <w:t>studier af 36 måneders varighed (PSV</w:t>
      </w:r>
      <w:r w:rsidRPr="0063579D">
        <w:rPr>
          <w:szCs w:val="24"/>
          <w:lang w:val="da-DK"/>
        </w:rPr>
        <w:noBreakHyphen/>
        <w:t>FAI</w:t>
      </w:r>
      <w:r w:rsidRPr="0063579D">
        <w:rPr>
          <w:szCs w:val="24"/>
          <w:lang w:val="da-DK"/>
        </w:rPr>
        <w:noBreakHyphen/>
        <w:t>001 og PSV</w:t>
      </w:r>
      <w:r w:rsidRPr="0063579D">
        <w:rPr>
          <w:szCs w:val="24"/>
          <w:lang w:val="da-DK"/>
        </w:rPr>
        <w:noBreakHyphen/>
        <w:t>FAI</w:t>
      </w:r>
      <w:r w:rsidRPr="0063579D">
        <w:rPr>
          <w:szCs w:val="24"/>
          <w:lang w:val="da-DK"/>
        </w:rPr>
        <w:noBreakHyphen/>
        <w:t>005). På nuværende tidspunkt er der tilgængelige data for 36 måneder fra PSV</w:t>
      </w:r>
      <w:r w:rsidRPr="0063579D">
        <w:rPr>
          <w:szCs w:val="24"/>
          <w:lang w:val="da-DK"/>
        </w:rPr>
        <w:noBreakHyphen/>
        <w:t>FAI</w:t>
      </w:r>
      <w:r w:rsidRPr="0063579D">
        <w:rPr>
          <w:szCs w:val="24"/>
          <w:lang w:val="da-DK"/>
        </w:rPr>
        <w:noBreakHyphen/>
        <w:t>001 og for 12 måneder fra PSV</w:t>
      </w:r>
      <w:r w:rsidRPr="0063579D">
        <w:rPr>
          <w:szCs w:val="24"/>
          <w:lang w:val="da-DK"/>
        </w:rPr>
        <w:noBreakHyphen/>
        <w:t>FAI</w:t>
      </w:r>
      <w:r w:rsidRPr="0063579D">
        <w:rPr>
          <w:szCs w:val="24"/>
          <w:lang w:val="da-DK"/>
        </w:rPr>
        <w:noBreakHyphen/>
        <w:t xml:space="preserve">005. De hyppigst indberettede lægemiddelbivirkninger var forhøjet </w:t>
      </w:r>
      <w:proofErr w:type="spellStart"/>
      <w:r w:rsidRPr="0063579D">
        <w:rPr>
          <w:szCs w:val="24"/>
          <w:lang w:val="da-DK"/>
        </w:rPr>
        <w:t>intraokulært</w:t>
      </w:r>
      <w:proofErr w:type="spellEnd"/>
      <w:r w:rsidRPr="0063579D">
        <w:rPr>
          <w:szCs w:val="24"/>
          <w:lang w:val="da-DK"/>
        </w:rPr>
        <w:t xml:space="preserve"> tryk, katarakt og </w:t>
      </w:r>
      <w:proofErr w:type="spellStart"/>
      <w:r w:rsidRPr="0063579D">
        <w:rPr>
          <w:szCs w:val="24"/>
          <w:lang w:val="da-DK"/>
        </w:rPr>
        <w:t>konjunktival</w:t>
      </w:r>
      <w:proofErr w:type="spellEnd"/>
      <w:r w:rsidRPr="0063579D">
        <w:rPr>
          <w:szCs w:val="24"/>
          <w:lang w:val="da-DK"/>
        </w:rPr>
        <w:t xml:space="preserve"> blødning. De mindre hyppigt, men mere alvorlige, indberettede bivirkninger var blødning i den optiske skive og </w:t>
      </w:r>
      <w:proofErr w:type="spellStart"/>
      <w:r w:rsidRPr="0063579D">
        <w:rPr>
          <w:szCs w:val="24"/>
          <w:lang w:val="da-DK"/>
        </w:rPr>
        <w:t>retinaløsning</w:t>
      </w:r>
      <w:proofErr w:type="spellEnd"/>
      <w:r w:rsidRPr="0063579D">
        <w:rPr>
          <w:szCs w:val="24"/>
          <w:lang w:val="da-DK"/>
        </w:rPr>
        <w:t>.</w:t>
      </w:r>
    </w:p>
    <w:p w:rsidR="00E24089" w:rsidRDefault="00E24089" w:rsidP="00E24089">
      <w:pPr>
        <w:ind w:left="851"/>
        <w:rPr>
          <w:sz w:val="24"/>
          <w:szCs w:val="24"/>
          <w:u w:val="single"/>
        </w:rPr>
      </w:pPr>
    </w:p>
    <w:p w:rsidR="00CC3F2E" w:rsidRDefault="00CC3F2E" w:rsidP="00E24089">
      <w:pPr>
        <w:ind w:left="851"/>
        <w:rPr>
          <w:sz w:val="24"/>
          <w:szCs w:val="24"/>
          <w:u w:val="single"/>
        </w:rPr>
      </w:pPr>
    </w:p>
    <w:p w:rsidR="00CC3F2E" w:rsidRPr="0063579D" w:rsidRDefault="00CC3F2E" w:rsidP="00E24089">
      <w:pPr>
        <w:ind w:left="851"/>
        <w:rPr>
          <w:sz w:val="24"/>
          <w:szCs w:val="24"/>
          <w:u w:val="single"/>
        </w:rPr>
      </w:pPr>
    </w:p>
    <w:p w:rsidR="00E24089" w:rsidRPr="0063579D" w:rsidRDefault="00E24089" w:rsidP="00E24089">
      <w:pPr>
        <w:pStyle w:val="C-BodyText"/>
        <w:spacing w:before="0" w:after="0" w:line="240" w:lineRule="auto"/>
        <w:ind w:left="851"/>
        <w:rPr>
          <w:szCs w:val="24"/>
          <w:u w:val="single"/>
          <w:lang w:val="da-DK"/>
        </w:rPr>
      </w:pPr>
      <w:r w:rsidRPr="0063579D">
        <w:rPr>
          <w:szCs w:val="24"/>
          <w:u w:val="single"/>
          <w:lang w:val="da-DK"/>
        </w:rPr>
        <w:lastRenderedPageBreak/>
        <w:t>Tabelinddelt liste over bivirkninger</w:t>
      </w:r>
    </w:p>
    <w:p w:rsidR="00E24089" w:rsidRPr="0063579D" w:rsidRDefault="00E24089" w:rsidP="00E24089">
      <w:pPr>
        <w:pStyle w:val="C-BodyText"/>
        <w:spacing w:before="0" w:after="0" w:line="240" w:lineRule="auto"/>
        <w:ind w:left="851"/>
        <w:rPr>
          <w:szCs w:val="24"/>
          <w:lang w:val="da-DK"/>
        </w:rPr>
      </w:pPr>
      <w:r w:rsidRPr="0063579D">
        <w:rPr>
          <w:szCs w:val="24"/>
          <w:lang w:val="da-DK"/>
        </w:rPr>
        <w:t>Følgende bivirkninger blev anset for at være forbundet med behandlingen fra de kliniske fase 3</w:t>
      </w:r>
      <w:r w:rsidRPr="0063579D">
        <w:rPr>
          <w:szCs w:val="24"/>
          <w:lang w:val="da-DK"/>
        </w:rPr>
        <w:noBreakHyphen/>
        <w:t xml:space="preserve">studier (DMO og </w:t>
      </w:r>
      <w:proofErr w:type="spellStart"/>
      <w:r w:rsidRPr="0063579D">
        <w:rPr>
          <w:szCs w:val="24"/>
          <w:lang w:val="da-DK"/>
        </w:rPr>
        <w:t>uveitis</w:t>
      </w:r>
      <w:proofErr w:type="spellEnd"/>
      <w:r w:rsidRPr="0063579D">
        <w:rPr>
          <w:szCs w:val="24"/>
          <w:lang w:val="da-DK"/>
        </w:rPr>
        <w:t>) and spontan indberetning og er klassificeret i henhold til følgende konvention: meget almindelig (≥ 1/10), almindelig (≥ 1/100 til &lt; 1/10), ikke almindelig (≥ 1/1.000 til &lt; 1/100), sjælden (≥ 1/10.000 til &lt; 1/1.000), meget sjælden (≤ 1/10.000). Inden for hver enkelt frekvensgruppe skal bivirkningerne opstilles efter, hvor alvorlige de er. De alvorligste bivirkninger skal anføres først.</w:t>
      </w:r>
    </w:p>
    <w:p w:rsidR="00E24089" w:rsidRDefault="00E24089" w:rsidP="00E24089">
      <w:pPr>
        <w:ind w:left="851"/>
        <w:rPr>
          <w:sz w:val="24"/>
          <w:szCs w:val="24"/>
        </w:rPr>
      </w:pPr>
    </w:p>
    <w:p w:rsidR="00E24089" w:rsidRDefault="00E24089" w:rsidP="00E24089">
      <w:pPr>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6"/>
        <w:gridCol w:w="5987"/>
      </w:tblGrid>
      <w:tr w:rsidR="00E24089" w:rsidTr="003B4BCE">
        <w:tc>
          <w:tcPr>
            <w:tcW w:w="3256"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szCs w:val="24"/>
                <w:lang w:val="da-DK"/>
              </w:rPr>
            </w:pPr>
            <w:r>
              <w:rPr>
                <w:szCs w:val="24"/>
                <w:lang w:val="da-DK"/>
              </w:rPr>
              <w:t>Infektioner og parasitære sygdomme</w:t>
            </w:r>
          </w:p>
        </w:tc>
        <w:tc>
          <w:tcPr>
            <w:tcW w:w="5987"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szCs w:val="24"/>
                <w:lang w:val="da-DK"/>
              </w:rPr>
            </w:pPr>
            <w:r>
              <w:rPr>
                <w:i/>
                <w:szCs w:val="24"/>
                <w:lang w:val="da-DK"/>
              </w:rPr>
              <w:t>Ikke almindelig:</w:t>
            </w:r>
            <w:r>
              <w:rPr>
                <w:szCs w:val="24"/>
                <w:lang w:val="da-DK"/>
              </w:rPr>
              <w:t xml:space="preserve"> </w:t>
            </w:r>
            <w:proofErr w:type="spellStart"/>
            <w:r>
              <w:rPr>
                <w:szCs w:val="24"/>
                <w:lang w:val="da-DK"/>
              </w:rPr>
              <w:t>endoftalmitis</w:t>
            </w:r>
            <w:proofErr w:type="spellEnd"/>
            <w:r>
              <w:rPr>
                <w:szCs w:val="24"/>
                <w:lang w:val="da-DK"/>
              </w:rPr>
              <w:t xml:space="preserve"> </w:t>
            </w:r>
          </w:p>
        </w:tc>
      </w:tr>
      <w:tr w:rsidR="00E24089" w:rsidTr="003B4BCE">
        <w:tc>
          <w:tcPr>
            <w:tcW w:w="3256"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szCs w:val="24"/>
                <w:lang w:val="da-DK"/>
              </w:rPr>
            </w:pPr>
            <w:r>
              <w:rPr>
                <w:szCs w:val="24"/>
                <w:lang w:val="da-DK"/>
              </w:rPr>
              <w:t>Nervesystemet</w:t>
            </w:r>
          </w:p>
        </w:tc>
        <w:tc>
          <w:tcPr>
            <w:tcW w:w="5987"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szCs w:val="24"/>
                <w:lang w:val="da-DK"/>
              </w:rPr>
            </w:pPr>
            <w:r>
              <w:rPr>
                <w:i/>
                <w:szCs w:val="24"/>
                <w:lang w:val="da-DK"/>
              </w:rPr>
              <w:t>Ikke almindelig:</w:t>
            </w:r>
            <w:r>
              <w:rPr>
                <w:szCs w:val="24"/>
                <w:lang w:val="da-DK"/>
              </w:rPr>
              <w:t xml:space="preserve"> hovedpine</w:t>
            </w:r>
          </w:p>
        </w:tc>
      </w:tr>
      <w:tr w:rsidR="00E24089" w:rsidTr="003B4BCE">
        <w:tc>
          <w:tcPr>
            <w:tcW w:w="3256"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szCs w:val="24"/>
                <w:lang w:val="da-DK"/>
              </w:rPr>
            </w:pPr>
            <w:r>
              <w:rPr>
                <w:szCs w:val="24"/>
                <w:lang w:val="da-DK"/>
              </w:rPr>
              <w:t>Øjne</w:t>
            </w:r>
          </w:p>
        </w:tc>
        <w:tc>
          <w:tcPr>
            <w:tcW w:w="5987" w:type="dxa"/>
            <w:tcBorders>
              <w:top w:val="single" w:sz="4" w:space="0" w:color="000000"/>
              <w:left w:val="single" w:sz="4" w:space="0" w:color="000000"/>
              <w:bottom w:val="single" w:sz="4" w:space="0" w:color="000000"/>
              <w:right w:val="single" w:sz="4" w:space="0" w:color="000000"/>
            </w:tcBorders>
            <w:hideMark/>
          </w:tcPr>
          <w:p w:rsidR="00CC3F2E" w:rsidRDefault="00CC3F2E" w:rsidP="00CC3F2E">
            <w:pPr>
              <w:pStyle w:val="C-TableText"/>
              <w:tabs>
                <w:tab w:val="left" w:pos="567"/>
              </w:tabs>
              <w:spacing w:line="260" w:lineRule="exact"/>
              <w:rPr>
                <w:szCs w:val="24"/>
                <w:lang w:val="da-DK"/>
              </w:rPr>
            </w:pPr>
            <w:r>
              <w:rPr>
                <w:i/>
                <w:szCs w:val="24"/>
                <w:lang w:val="da-DK"/>
              </w:rPr>
              <w:t>Meget almindelig:</w:t>
            </w:r>
            <w:r>
              <w:rPr>
                <w:szCs w:val="24"/>
                <w:lang w:val="da-DK"/>
              </w:rPr>
              <w:t xml:space="preserve"> katarakt</w:t>
            </w:r>
            <w:r>
              <w:rPr>
                <w:szCs w:val="24"/>
                <w:vertAlign w:val="superscript"/>
                <w:lang w:val="da-DK"/>
              </w:rPr>
              <w:t>1</w:t>
            </w:r>
            <w:r>
              <w:rPr>
                <w:szCs w:val="24"/>
                <w:lang w:val="da-DK"/>
              </w:rPr>
              <w:t xml:space="preserve">, forhøjet </w:t>
            </w:r>
            <w:proofErr w:type="spellStart"/>
            <w:r>
              <w:rPr>
                <w:szCs w:val="24"/>
                <w:lang w:val="da-DK"/>
              </w:rPr>
              <w:t>intraokulært</w:t>
            </w:r>
            <w:proofErr w:type="spellEnd"/>
            <w:r>
              <w:rPr>
                <w:szCs w:val="24"/>
                <w:lang w:val="da-DK"/>
              </w:rPr>
              <w:t xml:space="preserve"> tryk</w:t>
            </w:r>
            <w:r>
              <w:rPr>
                <w:szCs w:val="24"/>
                <w:vertAlign w:val="superscript"/>
                <w:lang w:val="da-DK"/>
              </w:rPr>
              <w:t>2</w:t>
            </w:r>
            <w:r>
              <w:rPr>
                <w:szCs w:val="24"/>
                <w:lang w:val="da-DK"/>
              </w:rPr>
              <w:t xml:space="preserve"> </w:t>
            </w:r>
          </w:p>
          <w:p w:rsidR="00CC3F2E" w:rsidRDefault="00CC3F2E" w:rsidP="00CC3F2E">
            <w:pPr>
              <w:pStyle w:val="C-TableText"/>
              <w:tabs>
                <w:tab w:val="left" w:pos="567"/>
              </w:tabs>
              <w:spacing w:line="260" w:lineRule="exact"/>
              <w:rPr>
                <w:szCs w:val="24"/>
                <w:lang w:val="da-DK"/>
              </w:rPr>
            </w:pPr>
            <w:r>
              <w:rPr>
                <w:i/>
                <w:szCs w:val="24"/>
                <w:lang w:val="da-DK"/>
              </w:rPr>
              <w:t>Almindelig:</w:t>
            </w:r>
            <w:r>
              <w:rPr>
                <w:szCs w:val="24"/>
                <w:lang w:val="da-DK"/>
              </w:rPr>
              <w:t xml:space="preserve"> glaukom</w:t>
            </w:r>
            <w:r>
              <w:rPr>
                <w:szCs w:val="24"/>
                <w:vertAlign w:val="superscript"/>
                <w:lang w:val="da-DK"/>
              </w:rPr>
              <w:t>3</w:t>
            </w:r>
            <w:r>
              <w:rPr>
                <w:szCs w:val="24"/>
                <w:lang w:val="da-DK"/>
              </w:rPr>
              <w:t xml:space="preserve">, </w:t>
            </w:r>
            <w:proofErr w:type="spellStart"/>
            <w:r>
              <w:rPr>
                <w:szCs w:val="24"/>
                <w:lang w:val="da-DK"/>
              </w:rPr>
              <w:t>retinaløsning</w:t>
            </w:r>
            <w:proofErr w:type="spellEnd"/>
            <w:r>
              <w:rPr>
                <w:szCs w:val="24"/>
                <w:lang w:val="da-DK"/>
              </w:rPr>
              <w:t xml:space="preserve">, blødning i optisk skive*, </w:t>
            </w:r>
            <w:proofErr w:type="spellStart"/>
            <w:r>
              <w:rPr>
                <w:szCs w:val="24"/>
                <w:lang w:val="da-DK"/>
              </w:rPr>
              <w:t>glaslegemeblødning</w:t>
            </w:r>
            <w:proofErr w:type="spellEnd"/>
            <w:r>
              <w:rPr>
                <w:szCs w:val="24"/>
                <w:lang w:val="da-DK"/>
              </w:rPr>
              <w:t xml:space="preserve">, nedsat synsskarphed, synsfeltdefekt*, </w:t>
            </w:r>
            <w:proofErr w:type="spellStart"/>
            <w:r>
              <w:rPr>
                <w:szCs w:val="24"/>
                <w:lang w:val="da-DK"/>
              </w:rPr>
              <w:t>makulafibrose</w:t>
            </w:r>
            <w:proofErr w:type="spellEnd"/>
            <w:r>
              <w:rPr>
                <w:szCs w:val="24"/>
                <w:lang w:val="da-DK"/>
              </w:rPr>
              <w:t xml:space="preserve">*, </w:t>
            </w:r>
            <w:proofErr w:type="spellStart"/>
            <w:r>
              <w:rPr>
                <w:szCs w:val="24"/>
                <w:lang w:val="da-DK"/>
              </w:rPr>
              <w:t>konjunktival</w:t>
            </w:r>
            <w:proofErr w:type="spellEnd"/>
            <w:r>
              <w:rPr>
                <w:szCs w:val="24"/>
                <w:lang w:val="da-DK"/>
              </w:rPr>
              <w:t xml:space="preserve"> blødning</w:t>
            </w:r>
            <w:r>
              <w:rPr>
                <w:szCs w:val="24"/>
                <w:vertAlign w:val="superscript"/>
                <w:lang w:val="da-DK"/>
              </w:rPr>
              <w:t>4</w:t>
            </w:r>
            <w:r>
              <w:rPr>
                <w:szCs w:val="24"/>
                <w:lang w:val="da-DK"/>
              </w:rPr>
              <w:t>, sløret syn (</w:t>
            </w:r>
            <w:r w:rsidRPr="00EE658C">
              <w:rPr>
                <w:szCs w:val="22"/>
                <w:lang w:val="da-DK"/>
              </w:rPr>
              <w:t xml:space="preserve">se </w:t>
            </w:r>
            <w:r w:rsidRPr="009A4EF2">
              <w:rPr>
                <w:szCs w:val="22"/>
                <w:lang w:val="da-DK"/>
              </w:rPr>
              <w:t xml:space="preserve">også </w:t>
            </w:r>
            <w:r w:rsidRPr="00EE658C">
              <w:rPr>
                <w:szCs w:val="22"/>
                <w:lang w:val="da-DK"/>
              </w:rPr>
              <w:t>pkt</w:t>
            </w:r>
            <w:r>
              <w:rPr>
                <w:szCs w:val="24"/>
                <w:lang w:val="da-DK"/>
              </w:rPr>
              <w:t>. 4.4)</w:t>
            </w:r>
            <w:r>
              <w:rPr>
                <w:szCs w:val="24"/>
                <w:vertAlign w:val="superscript"/>
                <w:lang w:val="da-DK"/>
              </w:rPr>
              <w:t>5</w:t>
            </w:r>
            <w:r>
              <w:rPr>
                <w:szCs w:val="24"/>
                <w:lang w:val="da-DK"/>
              </w:rPr>
              <w:t xml:space="preserve">, </w:t>
            </w:r>
            <w:proofErr w:type="spellStart"/>
            <w:r>
              <w:rPr>
                <w:szCs w:val="24"/>
                <w:lang w:val="da-DK"/>
              </w:rPr>
              <w:t>hypotoni</w:t>
            </w:r>
            <w:proofErr w:type="spellEnd"/>
            <w:r>
              <w:rPr>
                <w:szCs w:val="24"/>
                <w:lang w:val="da-DK"/>
              </w:rPr>
              <w:t xml:space="preserve"> i øjet</w:t>
            </w:r>
            <w:r>
              <w:rPr>
                <w:szCs w:val="24"/>
                <w:vertAlign w:val="superscript"/>
                <w:lang w:val="da-DK"/>
              </w:rPr>
              <w:t>6</w:t>
            </w:r>
            <w:r>
              <w:rPr>
                <w:szCs w:val="24"/>
                <w:lang w:val="da-DK"/>
              </w:rPr>
              <w:t xml:space="preserve"> mouches volantes</w:t>
            </w:r>
            <w:r>
              <w:rPr>
                <w:szCs w:val="24"/>
                <w:vertAlign w:val="superscript"/>
                <w:lang w:val="da-DK"/>
              </w:rPr>
              <w:t>7</w:t>
            </w:r>
            <w:r>
              <w:rPr>
                <w:szCs w:val="24"/>
                <w:lang w:val="da-DK"/>
              </w:rPr>
              <w:t xml:space="preserve">, celler i det forreste kammer*, </w:t>
            </w:r>
            <w:proofErr w:type="spellStart"/>
            <w:r>
              <w:rPr>
                <w:szCs w:val="24"/>
                <w:lang w:val="da-DK"/>
              </w:rPr>
              <w:t>glaslegemeopacifikation</w:t>
            </w:r>
            <w:proofErr w:type="spellEnd"/>
            <w:r>
              <w:rPr>
                <w:szCs w:val="24"/>
                <w:lang w:val="da-DK"/>
              </w:rPr>
              <w:t>*, fornemmelse af fremmedlegeme i øjnene*, øjentørhed*, fotopsi*, øjensmerter</w:t>
            </w:r>
            <w:r>
              <w:rPr>
                <w:szCs w:val="24"/>
                <w:vertAlign w:val="superscript"/>
                <w:lang w:val="da-DK"/>
              </w:rPr>
              <w:t>8</w:t>
            </w:r>
            <w:r>
              <w:rPr>
                <w:szCs w:val="24"/>
                <w:lang w:val="da-DK"/>
              </w:rPr>
              <w:t>.</w:t>
            </w:r>
          </w:p>
          <w:p w:rsidR="00E24089" w:rsidRDefault="00CC3F2E" w:rsidP="00CC3F2E">
            <w:pPr>
              <w:pStyle w:val="C-TableText"/>
              <w:rPr>
                <w:szCs w:val="24"/>
                <w:lang w:val="da-DK"/>
              </w:rPr>
            </w:pPr>
            <w:r>
              <w:rPr>
                <w:i/>
                <w:szCs w:val="24"/>
                <w:lang w:val="da-DK"/>
              </w:rPr>
              <w:t>Ikke almindelig:</w:t>
            </w:r>
            <w:r>
              <w:rPr>
                <w:szCs w:val="24"/>
                <w:lang w:val="da-DK"/>
              </w:rPr>
              <w:t xml:space="preserve"> </w:t>
            </w:r>
            <w:proofErr w:type="spellStart"/>
            <w:r>
              <w:rPr>
                <w:szCs w:val="24"/>
                <w:lang w:val="da-DK"/>
              </w:rPr>
              <w:t>retinal</w:t>
            </w:r>
            <w:proofErr w:type="spellEnd"/>
            <w:r>
              <w:rPr>
                <w:szCs w:val="24"/>
                <w:lang w:val="da-DK"/>
              </w:rPr>
              <w:t xml:space="preserve"> </w:t>
            </w:r>
            <w:proofErr w:type="spellStart"/>
            <w:r>
              <w:rPr>
                <w:szCs w:val="24"/>
                <w:lang w:val="da-DK"/>
              </w:rPr>
              <w:t>vaskulær</w:t>
            </w:r>
            <w:proofErr w:type="spellEnd"/>
            <w:r>
              <w:rPr>
                <w:szCs w:val="24"/>
                <w:lang w:val="da-DK"/>
              </w:rPr>
              <w:t xml:space="preserve"> okklusion</w:t>
            </w:r>
            <w:r>
              <w:rPr>
                <w:szCs w:val="24"/>
                <w:vertAlign w:val="superscript"/>
                <w:lang w:val="da-DK"/>
              </w:rPr>
              <w:t>9</w:t>
            </w:r>
            <w:r>
              <w:rPr>
                <w:szCs w:val="24"/>
                <w:lang w:val="da-DK"/>
              </w:rPr>
              <w:t xml:space="preserve">, synsnervelidelse, </w:t>
            </w:r>
            <w:proofErr w:type="spellStart"/>
            <w:r>
              <w:rPr>
                <w:szCs w:val="24"/>
                <w:lang w:val="da-DK"/>
              </w:rPr>
              <w:t>makulopati</w:t>
            </w:r>
            <w:proofErr w:type="spellEnd"/>
            <w:r>
              <w:rPr>
                <w:szCs w:val="24"/>
                <w:lang w:val="da-DK"/>
              </w:rPr>
              <w:t xml:space="preserve">, optisk atrofi, </w:t>
            </w:r>
            <w:proofErr w:type="spellStart"/>
            <w:r>
              <w:rPr>
                <w:szCs w:val="24"/>
                <w:lang w:val="da-DK"/>
              </w:rPr>
              <w:t>konjunktival</w:t>
            </w:r>
            <w:proofErr w:type="spellEnd"/>
            <w:r>
              <w:rPr>
                <w:szCs w:val="24"/>
                <w:lang w:val="da-DK"/>
              </w:rPr>
              <w:t xml:space="preserve"> </w:t>
            </w:r>
            <w:proofErr w:type="spellStart"/>
            <w:r>
              <w:rPr>
                <w:szCs w:val="24"/>
                <w:lang w:val="da-DK"/>
              </w:rPr>
              <w:t>ulceration</w:t>
            </w:r>
            <w:proofErr w:type="spellEnd"/>
            <w:r>
              <w:rPr>
                <w:szCs w:val="24"/>
                <w:lang w:val="da-DK"/>
              </w:rPr>
              <w:t xml:space="preserve">, </w:t>
            </w:r>
            <w:proofErr w:type="spellStart"/>
            <w:r>
              <w:rPr>
                <w:szCs w:val="24"/>
                <w:lang w:val="da-DK"/>
              </w:rPr>
              <w:t>neovaskularisering</w:t>
            </w:r>
            <w:proofErr w:type="spellEnd"/>
            <w:r>
              <w:rPr>
                <w:szCs w:val="24"/>
                <w:lang w:val="da-DK"/>
              </w:rPr>
              <w:t xml:space="preserve"> af iris, </w:t>
            </w:r>
            <w:proofErr w:type="spellStart"/>
            <w:r>
              <w:rPr>
                <w:szCs w:val="24"/>
                <w:lang w:val="da-DK"/>
              </w:rPr>
              <w:t>retinale</w:t>
            </w:r>
            <w:proofErr w:type="spellEnd"/>
            <w:r>
              <w:rPr>
                <w:szCs w:val="24"/>
                <w:lang w:val="da-DK"/>
              </w:rPr>
              <w:t xml:space="preserve"> </w:t>
            </w:r>
            <w:proofErr w:type="spellStart"/>
            <w:r>
              <w:rPr>
                <w:szCs w:val="24"/>
                <w:lang w:val="da-DK"/>
              </w:rPr>
              <w:t>ekssudater</w:t>
            </w:r>
            <w:proofErr w:type="spellEnd"/>
            <w:r>
              <w:rPr>
                <w:szCs w:val="24"/>
                <w:lang w:val="da-DK"/>
              </w:rPr>
              <w:t xml:space="preserve">, </w:t>
            </w:r>
            <w:proofErr w:type="spellStart"/>
            <w:r>
              <w:rPr>
                <w:szCs w:val="24"/>
                <w:lang w:val="da-DK"/>
              </w:rPr>
              <w:t>glaslegemedegeneration</w:t>
            </w:r>
            <w:proofErr w:type="spellEnd"/>
            <w:r>
              <w:rPr>
                <w:szCs w:val="24"/>
                <w:lang w:val="da-DK"/>
              </w:rPr>
              <w:t xml:space="preserve">, </w:t>
            </w:r>
            <w:proofErr w:type="spellStart"/>
            <w:r>
              <w:rPr>
                <w:szCs w:val="24"/>
                <w:lang w:val="da-DK"/>
              </w:rPr>
              <w:t>glaslegemeløsning</w:t>
            </w:r>
            <w:proofErr w:type="spellEnd"/>
            <w:r>
              <w:rPr>
                <w:szCs w:val="24"/>
                <w:lang w:val="da-DK"/>
              </w:rPr>
              <w:t xml:space="preserve">, </w:t>
            </w:r>
            <w:proofErr w:type="spellStart"/>
            <w:r>
              <w:rPr>
                <w:szCs w:val="24"/>
                <w:lang w:val="da-DK"/>
              </w:rPr>
              <w:t>koroidalløsning</w:t>
            </w:r>
            <w:proofErr w:type="spellEnd"/>
            <w:r>
              <w:rPr>
                <w:szCs w:val="24"/>
                <w:lang w:val="da-DK"/>
              </w:rPr>
              <w:t xml:space="preserve">*, </w:t>
            </w:r>
            <w:proofErr w:type="spellStart"/>
            <w:r>
              <w:rPr>
                <w:szCs w:val="24"/>
                <w:lang w:val="da-DK"/>
              </w:rPr>
              <w:t>corneal</w:t>
            </w:r>
            <w:proofErr w:type="spellEnd"/>
            <w:r>
              <w:rPr>
                <w:szCs w:val="24"/>
                <w:lang w:val="da-DK"/>
              </w:rPr>
              <w:t xml:space="preserve"> </w:t>
            </w:r>
            <w:proofErr w:type="spellStart"/>
            <w:r>
              <w:rPr>
                <w:szCs w:val="24"/>
                <w:lang w:val="da-DK"/>
              </w:rPr>
              <w:t>erotion</w:t>
            </w:r>
            <w:proofErr w:type="spellEnd"/>
            <w:r>
              <w:rPr>
                <w:szCs w:val="24"/>
                <w:lang w:val="da-DK"/>
              </w:rPr>
              <w:t xml:space="preserve">*, </w:t>
            </w:r>
            <w:proofErr w:type="spellStart"/>
            <w:r>
              <w:rPr>
                <w:szCs w:val="24"/>
                <w:lang w:val="da-DK"/>
              </w:rPr>
              <w:t>corneal</w:t>
            </w:r>
            <w:proofErr w:type="spellEnd"/>
            <w:r>
              <w:rPr>
                <w:szCs w:val="24"/>
                <w:lang w:val="da-DK"/>
              </w:rPr>
              <w:t xml:space="preserve"> </w:t>
            </w:r>
            <w:proofErr w:type="spellStart"/>
            <w:r>
              <w:rPr>
                <w:szCs w:val="24"/>
                <w:lang w:val="da-DK"/>
              </w:rPr>
              <w:t>aflejrring</w:t>
            </w:r>
            <w:proofErr w:type="spellEnd"/>
            <w:r>
              <w:rPr>
                <w:szCs w:val="24"/>
                <w:lang w:val="da-DK"/>
              </w:rPr>
              <w:t xml:space="preserve">, </w:t>
            </w:r>
            <w:proofErr w:type="spellStart"/>
            <w:r>
              <w:rPr>
                <w:szCs w:val="24"/>
                <w:lang w:val="da-DK"/>
              </w:rPr>
              <w:t>opacifikation</w:t>
            </w:r>
            <w:proofErr w:type="spellEnd"/>
            <w:r>
              <w:rPr>
                <w:szCs w:val="24"/>
                <w:lang w:val="da-DK"/>
              </w:rPr>
              <w:t xml:space="preserve"> af bageste kapsel, </w:t>
            </w:r>
            <w:proofErr w:type="spellStart"/>
            <w:r>
              <w:rPr>
                <w:szCs w:val="24"/>
                <w:lang w:val="da-DK"/>
              </w:rPr>
              <w:t>irisadhæsioner</w:t>
            </w:r>
            <w:proofErr w:type="spellEnd"/>
            <w:r>
              <w:rPr>
                <w:szCs w:val="24"/>
                <w:lang w:val="da-DK"/>
              </w:rPr>
              <w:t xml:space="preserve">, </w:t>
            </w:r>
            <w:proofErr w:type="spellStart"/>
            <w:r>
              <w:rPr>
                <w:szCs w:val="24"/>
                <w:lang w:val="da-DK"/>
              </w:rPr>
              <w:t>blefarospasme</w:t>
            </w:r>
            <w:proofErr w:type="spellEnd"/>
            <w:r>
              <w:rPr>
                <w:szCs w:val="24"/>
                <w:lang w:val="da-DK"/>
              </w:rPr>
              <w:t>*, øjenødem*</w:t>
            </w:r>
            <w:r>
              <w:rPr>
                <w:szCs w:val="24"/>
                <w:vertAlign w:val="superscript"/>
                <w:lang w:val="da-DK"/>
              </w:rPr>
              <w:t>10</w:t>
            </w:r>
            <w:r>
              <w:rPr>
                <w:szCs w:val="24"/>
                <w:lang w:val="da-DK"/>
              </w:rPr>
              <w:t xml:space="preserve">, </w:t>
            </w:r>
            <w:proofErr w:type="spellStart"/>
            <w:r>
              <w:rPr>
                <w:szCs w:val="24"/>
                <w:lang w:val="da-DK"/>
              </w:rPr>
              <w:t>okulær</w:t>
            </w:r>
            <w:proofErr w:type="spellEnd"/>
            <w:r>
              <w:rPr>
                <w:szCs w:val="24"/>
                <w:lang w:val="da-DK"/>
              </w:rPr>
              <w:t xml:space="preserve"> </w:t>
            </w:r>
            <w:proofErr w:type="spellStart"/>
            <w:r>
              <w:rPr>
                <w:szCs w:val="24"/>
                <w:lang w:val="da-DK"/>
              </w:rPr>
              <w:t>hyperæmi</w:t>
            </w:r>
            <w:proofErr w:type="spellEnd"/>
            <w:r>
              <w:rPr>
                <w:szCs w:val="24"/>
                <w:lang w:val="da-DK"/>
              </w:rPr>
              <w:t xml:space="preserve">, udtynding af </w:t>
            </w:r>
            <w:proofErr w:type="spellStart"/>
            <w:r>
              <w:rPr>
                <w:szCs w:val="24"/>
                <w:lang w:val="da-DK"/>
              </w:rPr>
              <w:t>sclera</w:t>
            </w:r>
            <w:proofErr w:type="spellEnd"/>
            <w:r>
              <w:rPr>
                <w:szCs w:val="24"/>
                <w:lang w:val="da-DK"/>
              </w:rPr>
              <w:t xml:space="preserve">, øjenflåd, </w:t>
            </w:r>
            <w:proofErr w:type="spellStart"/>
            <w:r>
              <w:rPr>
                <w:szCs w:val="24"/>
                <w:lang w:val="da-DK"/>
              </w:rPr>
              <w:t>pruritus</w:t>
            </w:r>
            <w:proofErr w:type="spellEnd"/>
            <w:r>
              <w:rPr>
                <w:szCs w:val="24"/>
                <w:lang w:val="da-DK"/>
              </w:rPr>
              <w:t xml:space="preserve"> i øjet</w:t>
            </w:r>
          </w:p>
        </w:tc>
      </w:tr>
      <w:tr w:rsidR="00E24089" w:rsidTr="003B4BCE">
        <w:tc>
          <w:tcPr>
            <w:tcW w:w="3256"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szCs w:val="24"/>
                <w:lang w:val="da-DK"/>
              </w:rPr>
            </w:pPr>
            <w:r>
              <w:rPr>
                <w:szCs w:val="24"/>
                <w:lang w:val="da-DK"/>
              </w:rPr>
              <w:t>Traumer, forgiftninger og behandlingskomplikationer</w:t>
            </w:r>
          </w:p>
        </w:tc>
        <w:tc>
          <w:tcPr>
            <w:tcW w:w="5987"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szCs w:val="24"/>
                <w:lang w:val="da-DK"/>
              </w:rPr>
            </w:pPr>
            <w:r>
              <w:rPr>
                <w:i/>
                <w:szCs w:val="24"/>
                <w:lang w:val="da-DK"/>
              </w:rPr>
              <w:t>Ikke almindelig:</w:t>
            </w:r>
            <w:r>
              <w:rPr>
                <w:szCs w:val="24"/>
                <w:lang w:val="da-DK"/>
              </w:rPr>
              <w:t xml:space="preserve"> udstødning af implantatet, implantat synligt i synsvinklen, proceduremæssig komplikation, smerter ved proceduren</w:t>
            </w:r>
          </w:p>
        </w:tc>
      </w:tr>
      <w:tr w:rsidR="00E24089" w:rsidTr="003B4BCE">
        <w:tc>
          <w:tcPr>
            <w:tcW w:w="3256"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szCs w:val="24"/>
                <w:lang w:val="da-DK"/>
              </w:rPr>
            </w:pPr>
            <w:r>
              <w:rPr>
                <w:noProof/>
                <w:lang w:val="da-DK"/>
              </w:rPr>
              <w:t>Kirurgiske og medicinske procedurer</w:t>
            </w:r>
          </w:p>
        </w:tc>
        <w:tc>
          <w:tcPr>
            <w:tcW w:w="5987"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i/>
                <w:szCs w:val="24"/>
                <w:lang w:val="da-DK"/>
              </w:rPr>
            </w:pPr>
            <w:r>
              <w:rPr>
                <w:i/>
                <w:szCs w:val="24"/>
                <w:lang w:val="da-DK"/>
              </w:rPr>
              <w:t xml:space="preserve">Meget almindelig: </w:t>
            </w:r>
            <w:r>
              <w:rPr>
                <w:szCs w:val="24"/>
                <w:lang w:val="da-DK"/>
              </w:rPr>
              <w:t>kataraktoperation</w:t>
            </w:r>
          </w:p>
          <w:p w:rsidR="00E24089" w:rsidRPr="00A86F43" w:rsidRDefault="00E24089" w:rsidP="003B4BCE">
            <w:pPr>
              <w:pStyle w:val="C-TableText"/>
              <w:tabs>
                <w:tab w:val="left" w:pos="567"/>
              </w:tabs>
              <w:spacing w:line="260" w:lineRule="exact"/>
              <w:rPr>
                <w:rStyle w:val="hps"/>
                <w:lang w:val="da-DK"/>
              </w:rPr>
            </w:pPr>
            <w:r>
              <w:rPr>
                <w:i/>
                <w:szCs w:val="24"/>
                <w:lang w:val="da-DK"/>
              </w:rPr>
              <w:t xml:space="preserve">Almindelig: </w:t>
            </w:r>
            <w:proofErr w:type="spellStart"/>
            <w:r>
              <w:rPr>
                <w:rStyle w:val="hps"/>
                <w:lang w:val="da-DK"/>
              </w:rPr>
              <w:t>trabekulektomi</w:t>
            </w:r>
            <w:proofErr w:type="spellEnd"/>
            <w:r>
              <w:rPr>
                <w:lang w:val="da-DK"/>
              </w:rPr>
              <w:t xml:space="preserve">, operation af </w:t>
            </w:r>
            <w:proofErr w:type="spellStart"/>
            <w:r>
              <w:rPr>
                <w:rStyle w:val="hps"/>
                <w:lang w:val="da-DK"/>
              </w:rPr>
              <w:t>glaukom</w:t>
            </w:r>
            <w:proofErr w:type="spellEnd"/>
            <w:r>
              <w:rPr>
                <w:rStyle w:val="hps"/>
                <w:lang w:val="da-DK"/>
              </w:rPr>
              <w:t>,</w:t>
            </w:r>
            <w:r>
              <w:rPr>
                <w:lang w:val="da-DK"/>
              </w:rPr>
              <w:t xml:space="preserve"> </w:t>
            </w:r>
            <w:proofErr w:type="spellStart"/>
            <w:r>
              <w:rPr>
                <w:rStyle w:val="hps"/>
                <w:lang w:val="da-DK"/>
              </w:rPr>
              <w:t>vitrektomi</w:t>
            </w:r>
            <w:proofErr w:type="spellEnd"/>
            <w:r>
              <w:rPr>
                <w:lang w:val="da-DK"/>
              </w:rPr>
              <w:t xml:space="preserve">, </w:t>
            </w:r>
            <w:proofErr w:type="spellStart"/>
            <w:r>
              <w:rPr>
                <w:rStyle w:val="hps"/>
                <w:lang w:val="da-DK"/>
              </w:rPr>
              <w:t>trabekuloplastik</w:t>
            </w:r>
            <w:proofErr w:type="spellEnd"/>
          </w:p>
          <w:p w:rsidR="00E24089" w:rsidRPr="00A86F43" w:rsidRDefault="00E24089" w:rsidP="003B4BCE">
            <w:pPr>
              <w:pStyle w:val="C-TableText"/>
              <w:tabs>
                <w:tab w:val="left" w:pos="567"/>
              </w:tabs>
              <w:spacing w:line="260" w:lineRule="exact"/>
              <w:rPr>
                <w:i/>
                <w:szCs w:val="24"/>
                <w:lang w:val="da-DK"/>
              </w:rPr>
            </w:pPr>
            <w:r>
              <w:rPr>
                <w:rStyle w:val="hps"/>
                <w:i/>
                <w:lang w:val="da-DK"/>
              </w:rPr>
              <w:t>Ikke almindelig</w:t>
            </w:r>
            <w:r>
              <w:rPr>
                <w:rStyle w:val="hps"/>
                <w:lang w:val="da-DK"/>
              </w:rPr>
              <w:t xml:space="preserve">: fjernelse af udstødt implantat fra </w:t>
            </w:r>
            <w:proofErr w:type="spellStart"/>
            <w:r>
              <w:rPr>
                <w:rStyle w:val="hps"/>
                <w:lang w:val="da-DK"/>
              </w:rPr>
              <w:t>sclera</w:t>
            </w:r>
            <w:proofErr w:type="spellEnd"/>
          </w:p>
        </w:tc>
      </w:tr>
      <w:tr w:rsidR="00E24089" w:rsidTr="003B4BCE">
        <w:tc>
          <w:tcPr>
            <w:tcW w:w="3256" w:type="dxa"/>
            <w:tcBorders>
              <w:top w:val="single" w:sz="4" w:space="0" w:color="000000"/>
              <w:left w:val="single" w:sz="4" w:space="0" w:color="000000"/>
              <w:bottom w:val="single" w:sz="4" w:space="0" w:color="000000"/>
              <w:right w:val="single" w:sz="4" w:space="0" w:color="000000"/>
            </w:tcBorders>
            <w:hideMark/>
          </w:tcPr>
          <w:p w:rsidR="00E24089" w:rsidRDefault="00E24089" w:rsidP="003B4BCE">
            <w:pPr>
              <w:pStyle w:val="C-TableText"/>
              <w:tabs>
                <w:tab w:val="left" w:pos="567"/>
              </w:tabs>
              <w:spacing w:line="260" w:lineRule="exact"/>
              <w:rPr>
                <w:szCs w:val="24"/>
                <w:lang w:val="da-DK"/>
              </w:rPr>
            </w:pPr>
            <w:r>
              <w:rPr>
                <w:noProof/>
                <w:lang w:val="da-DK"/>
              </w:rPr>
              <w:t>Almene symptomer og reaktioner på administrationsstedet</w:t>
            </w:r>
          </w:p>
        </w:tc>
        <w:tc>
          <w:tcPr>
            <w:tcW w:w="5987" w:type="dxa"/>
            <w:tcBorders>
              <w:top w:val="single" w:sz="4" w:space="0" w:color="000000"/>
              <w:left w:val="single" w:sz="4" w:space="0" w:color="000000"/>
              <w:bottom w:val="single" w:sz="4" w:space="0" w:color="000000"/>
              <w:right w:val="single" w:sz="4" w:space="0" w:color="000000"/>
            </w:tcBorders>
            <w:hideMark/>
          </w:tcPr>
          <w:p w:rsidR="00E24089" w:rsidRDefault="00C30EAA" w:rsidP="003B4BCE">
            <w:pPr>
              <w:pStyle w:val="C-TableText"/>
              <w:tabs>
                <w:tab w:val="left" w:pos="567"/>
              </w:tabs>
              <w:spacing w:line="260" w:lineRule="exact"/>
              <w:rPr>
                <w:i/>
                <w:szCs w:val="24"/>
                <w:lang w:val="da-DK"/>
              </w:rPr>
            </w:pPr>
            <w:r>
              <w:rPr>
                <w:i/>
                <w:szCs w:val="24"/>
                <w:lang w:val="da-DK"/>
              </w:rPr>
              <w:t xml:space="preserve">Ikke almindelig: </w:t>
            </w:r>
            <w:r>
              <w:rPr>
                <w:szCs w:val="24"/>
                <w:lang w:val="da-DK"/>
              </w:rPr>
              <w:t xml:space="preserve">dislokation af </w:t>
            </w:r>
            <w:proofErr w:type="spellStart"/>
            <w:r>
              <w:rPr>
                <w:szCs w:val="24"/>
                <w:lang w:val="da-DK"/>
              </w:rPr>
              <w:t>device</w:t>
            </w:r>
            <w:proofErr w:type="spellEnd"/>
            <w:r>
              <w:rPr>
                <w:szCs w:val="24"/>
                <w:lang w:val="da-DK"/>
              </w:rPr>
              <w:t xml:space="preserve"> (implantatmigration), der kan medføre </w:t>
            </w:r>
            <w:proofErr w:type="spellStart"/>
            <w:r>
              <w:rPr>
                <w:szCs w:val="24"/>
                <w:lang w:val="da-DK"/>
              </w:rPr>
              <w:t>cornealt</w:t>
            </w:r>
            <w:proofErr w:type="spellEnd"/>
            <w:r>
              <w:rPr>
                <w:szCs w:val="24"/>
                <w:lang w:val="da-DK"/>
              </w:rPr>
              <w:t xml:space="preserve"> ødem</w:t>
            </w:r>
          </w:p>
        </w:tc>
      </w:tr>
    </w:tbl>
    <w:p w:rsidR="00E24089" w:rsidRDefault="00E24089" w:rsidP="00E24089">
      <w:pPr>
        <w:rPr>
          <w:i/>
          <w:szCs w:val="24"/>
        </w:rPr>
      </w:pPr>
      <w:r>
        <w:rPr>
          <w:szCs w:val="24"/>
        </w:rPr>
        <w:t xml:space="preserve">* </w:t>
      </w:r>
      <w:r>
        <w:rPr>
          <w:i/>
          <w:szCs w:val="24"/>
        </w:rPr>
        <w:t xml:space="preserve">Kun observeret hos patienter med </w:t>
      </w:r>
      <w:proofErr w:type="spellStart"/>
      <w:r>
        <w:rPr>
          <w:i/>
          <w:szCs w:val="24"/>
        </w:rPr>
        <w:t>uveitis</w:t>
      </w:r>
      <w:proofErr w:type="spellEnd"/>
    </w:p>
    <w:p w:rsidR="00E24089" w:rsidRDefault="00E24089" w:rsidP="00E24089">
      <w:pPr>
        <w:rPr>
          <w:i/>
          <w:sz w:val="22"/>
          <w:szCs w:val="24"/>
        </w:rPr>
      </w:pPr>
    </w:p>
    <w:p w:rsidR="00E24089" w:rsidRDefault="00E24089" w:rsidP="00E24089">
      <w:pPr>
        <w:rPr>
          <w:sz w:val="22"/>
          <w:szCs w:val="24"/>
        </w:rPr>
      </w:pPr>
      <w:r>
        <w:rPr>
          <w:szCs w:val="24"/>
          <w:vertAlign w:val="superscript"/>
        </w:rPr>
        <w:t>1</w:t>
      </w:r>
      <w:r>
        <w:rPr>
          <w:szCs w:val="24"/>
        </w:rPr>
        <w:t xml:space="preserve"> Omfatter </w:t>
      </w:r>
      <w:proofErr w:type="spellStart"/>
      <w:r>
        <w:rPr>
          <w:szCs w:val="24"/>
        </w:rPr>
        <w:t>MedDRA</w:t>
      </w:r>
      <w:proofErr w:type="spellEnd"/>
      <w:r>
        <w:rPr>
          <w:szCs w:val="24"/>
        </w:rPr>
        <w:t xml:space="preserve">-termerne for katarakt (ikke nærmere beskrevet), </w:t>
      </w:r>
      <w:proofErr w:type="spellStart"/>
      <w:r>
        <w:rPr>
          <w:szCs w:val="24"/>
        </w:rPr>
        <w:t>subkapsulær</w:t>
      </w:r>
      <w:proofErr w:type="spellEnd"/>
      <w:r>
        <w:rPr>
          <w:szCs w:val="24"/>
        </w:rPr>
        <w:t xml:space="preserve"> katarakt, </w:t>
      </w:r>
      <w:proofErr w:type="spellStart"/>
      <w:r>
        <w:rPr>
          <w:szCs w:val="24"/>
        </w:rPr>
        <w:t>kortikal</w:t>
      </w:r>
      <w:proofErr w:type="spellEnd"/>
      <w:r>
        <w:rPr>
          <w:szCs w:val="24"/>
        </w:rPr>
        <w:t xml:space="preserve"> katarakt, </w:t>
      </w:r>
      <w:proofErr w:type="spellStart"/>
      <w:r>
        <w:rPr>
          <w:szCs w:val="24"/>
        </w:rPr>
        <w:t>nukleær</w:t>
      </w:r>
      <w:proofErr w:type="spellEnd"/>
      <w:r>
        <w:rPr>
          <w:szCs w:val="24"/>
        </w:rPr>
        <w:t xml:space="preserve"> katarakt og diabetisk katarakt.</w:t>
      </w:r>
    </w:p>
    <w:p w:rsidR="00E24089" w:rsidRDefault="00E24089" w:rsidP="00E24089">
      <w:pPr>
        <w:rPr>
          <w:szCs w:val="24"/>
        </w:rPr>
      </w:pPr>
      <w:r>
        <w:rPr>
          <w:szCs w:val="24"/>
          <w:vertAlign w:val="superscript"/>
        </w:rPr>
        <w:t>2</w:t>
      </w:r>
      <w:r>
        <w:rPr>
          <w:szCs w:val="24"/>
        </w:rPr>
        <w:t xml:space="preserve"> Omfatter </w:t>
      </w:r>
      <w:proofErr w:type="spellStart"/>
      <w:r>
        <w:rPr>
          <w:szCs w:val="24"/>
        </w:rPr>
        <w:t>MedDRA</w:t>
      </w:r>
      <w:proofErr w:type="spellEnd"/>
      <w:r>
        <w:rPr>
          <w:szCs w:val="24"/>
        </w:rPr>
        <w:t xml:space="preserve">-termerne for forhøjet </w:t>
      </w:r>
      <w:proofErr w:type="spellStart"/>
      <w:r>
        <w:rPr>
          <w:szCs w:val="24"/>
        </w:rPr>
        <w:t>intraokulært</w:t>
      </w:r>
      <w:proofErr w:type="spellEnd"/>
      <w:r>
        <w:rPr>
          <w:szCs w:val="24"/>
        </w:rPr>
        <w:t xml:space="preserve"> tryk og </w:t>
      </w:r>
      <w:proofErr w:type="spellStart"/>
      <w:r>
        <w:rPr>
          <w:szCs w:val="24"/>
        </w:rPr>
        <w:t>okulær</w:t>
      </w:r>
      <w:proofErr w:type="spellEnd"/>
      <w:r>
        <w:rPr>
          <w:szCs w:val="24"/>
        </w:rPr>
        <w:t xml:space="preserve"> hypertension.</w:t>
      </w:r>
    </w:p>
    <w:p w:rsidR="00E24089" w:rsidRDefault="00E24089" w:rsidP="00E24089">
      <w:pPr>
        <w:rPr>
          <w:szCs w:val="24"/>
        </w:rPr>
      </w:pPr>
      <w:r>
        <w:rPr>
          <w:szCs w:val="24"/>
          <w:vertAlign w:val="superscript"/>
        </w:rPr>
        <w:t>3</w:t>
      </w:r>
      <w:r>
        <w:rPr>
          <w:szCs w:val="24"/>
        </w:rPr>
        <w:t xml:space="preserve"> Omfatter </w:t>
      </w:r>
      <w:proofErr w:type="spellStart"/>
      <w:r>
        <w:rPr>
          <w:szCs w:val="24"/>
        </w:rPr>
        <w:t>MedDRA</w:t>
      </w:r>
      <w:proofErr w:type="spellEnd"/>
      <w:r>
        <w:rPr>
          <w:szCs w:val="24"/>
        </w:rPr>
        <w:t xml:space="preserve">-termerne for </w:t>
      </w:r>
      <w:proofErr w:type="spellStart"/>
      <w:r>
        <w:rPr>
          <w:szCs w:val="24"/>
        </w:rPr>
        <w:t>glaukom</w:t>
      </w:r>
      <w:proofErr w:type="spellEnd"/>
      <w:r>
        <w:rPr>
          <w:szCs w:val="24"/>
        </w:rPr>
        <w:t xml:space="preserve">, åbenvinklet </w:t>
      </w:r>
      <w:proofErr w:type="spellStart"/>
      <w:r>
        <w:rPr>
          <w:szCs w:val="24"/>
        </w:rPr>
        <w:t>glaukom</w:t>
      </w:r>
      <w:proofErr w:type="spellEnd"/>
      <w:r>
        <w:rPr>
          <w:szCs w:val="24"/>
        </w:rPr>
        <w:t>, borderline-</w:t>
      </w:r>
      <w:proofErr w:type="spellStart"/>
      <w:r>
        <w:rPr>
          <w:szCs w:val="24"/>
        </w:rPr>
        <w:t>glaukom</w:t>
      </w:r>
      <w:proofErr w:type="spellEnd"/>
      <w:r>
        <w:rPr>
          <w:szCs w:val="24"/>
        </w:rPr>
        <w:t>, ekskaveret papil og forhøjet cup/disc-ratio.</w:t>
      </w:r>
    </w:p>
    <w:p w:rsidR="00E24089" w:rsidRDefault="00E24089" w:rsidP="00E24089">
      <w:pPr>
        <w:rPr>
          <w:szCs w:val="24"/>
        </w:rPr>
      </w:pPr>
      <w:r>
        <w:rPr>
          <w:szCs w:val="24"/>
          <w:vertAlign w:val="superscript"/>
        </w:rPr>
        <w:t>4</w:t>
      </w:r>
      <w:r>
        <w:rPr>
          <w:szCs w:val="24"/>
        </w:rPr>
        <w:t xml:space="preserve"> Omfatter </w:t>
      </w:r>
      <w:proofErr w:type="spellStart"/>
      <w:r>
        <w:rPr>
          <w:szCs w:val="24"/>
        </w:rPr>
        <w:t>MedDRA</w:t>
      </w:r>
      <w:proofErr w:type="spellEnd"/>
      <w:r>
        <w:rPr>
          <w:szCs w:val="24"/>
        </w:rPr>
        <w:noBreakHyphen/>
        <w:t xml:space="preserve">termerne for </w:t>
      </w:r>
      <w:proofErr w:type="spellStart"/>
      <w:r>
        <w:rPr>
          <w:szCs w:val="24"/>
        </w:rPr>
        <w:t>konjunktivalblødning</w:t>
      </w:r>
      <w:proofErr w:type="spellEnd"/>
      <w:r>
        <w:rPr>
          <w:szCs w:val="24"/>
        </w:rPr>
        <w:t xml:space="preserve">, </w:t>
      </w:r>
      <w:proofErr w:type="spellStart"/>
      <w:r>
        <w:rPr>
          <w:szCs w:val="24"/>
        </w:rPr>
        <w:t>konjunktival</w:t>
      </w:r>
      <w:proofErr w:type="spellEnd"/>
      <w:r>
        <w:rPr>
          <w:szCs w:val="24"/>
        </w:rPr>
        <w:t xml:space="preserve"> </w:t>
      </w:r>
      <w:proofErr w:type="spellStart"/>
      <w:r>
        <w:rPr>
          <w:szCs w:val="24"/>
        </w:rPr>
        <w:t>hyperæmi</w:t>
      </w:r>
      <w:proofErr w:type="spellEnd"/>
      <w:r>
        <w:rPr>
          <w:szCs w:val="24"/>
        </w:rPr>
        <w:t>.</w:t>
      </w:r>
    </w:p>
    <w:p w:rsidR="00E24089" w:rsidRDefault="00E24089" w:rsidP="00E24089">
      <w:pPr>
        <w:rPr>
          <w:szCs w:val="24"/>
        </w:rPr>
      </w:pPr>
      <w:r>
        <w:rPr>
          <w:szCs w:val="24"/>
          <w:vertAlign w:val="superscript"/>
        </w:rPr>
        <w:t>5</w:t>
      </w:r>
      <w:r>
        <w:rPr>
          <w:szCs w:val="24"/>
        </w:rPr>
        <w:t xml:space="preserve"> Omfatter </w:t>
      </w:r>
      <w:proofErr w:type="spellStart"/>
      <w:r>
        <w:rPr>
          <w:szCs w:val="24"/>
        </w:rPr>
        <w:t>MedDRA</w:t>
      </w:r>
      <w:proofErr w:type="spellEnd"/>
      <w:r>
        <w:rPr>
          <w:szCs w:val="24"/>
        </w:rPr>
        <w:t>-termerne for sløret syn og synsforringelse.</w:t>
      </w:r>
    </w:p>
    <w:p w:rsidR="00E24089" w:rsidRDefault="00E24089" w:rsidP="00E24089">
      <w:pPr>
        <w:rPr>
          <w:szCs w:val="24"/>
        </w:rPr>
      </w:pPr>
      <w:r>
        <w:rPr>
          <w:szCs w:val="24"/>
          <w:vertAlign w:val="superscript"/>
        </w:rPr>
        <w:t>6</w:t>
      </w:r>
      <w:r>
        <w:rPr>
          <w:szCs w:val="24"/>
        </w:rPr>
        <w:t xml:space="preserve"> Omfatter </w:t>
      </w:r>
      <w:proofErr w:type="spellStart"/>
      <w:r>
        <w:rPr>
          <w:szCs w:val="24"/>
        </w:rPr>
        <w:t>MedDRA</w:t>
      </w:r>
      <w:proofErr w:type="spellEnd"/>
      <w:r>
        <w:rPr>
          <w:szCs w:val="24"/>
        </w:rPr>
        <w:t xml:space="preserve">-termerne for nedsat </w:t>
      </w:r>
      <w:proofErr w:type="spellStart"/>
      <w:r>
        <w:rPr>
          <w:szCs w:val="24"/>
        </w:rPr>
        <w:t>intraokulært</w:t>
      </w:r>
      <w:proofErr w:type="spellEnd"/>
      <w:r>
        <w:rPr>
          <w:szCs w:val="24"/>
        </w:rPr>
        <w:t xml:space="preserve"> tryk.</w:t>
      </w:r>
    </w:p>
    <w:p w:rsidR="00E24089" w:rsidRDefault="00E24089" w:rsidP="00E24089">
      <w:pPr>
        <w:rPr>
          <w:szCs w:val="22"/>
        </w:rPr>
      </w:pPr>
      <w:r>
        <w:rPr>
          <w:szCs w:val="22"/>
          <w:vertAlign w:val="superscript"/>
        </w:rPr>
        <w:t>7</w:t>
      </w:r>
      <w:r>
        <w:rPr>
          <w:szCs w:val="22"/>
        </w:rPr>
        <w:t xml:space="preserve"> Omfatter </w:t>
      </w:r>
      <w:proofErr w:type="spellStart"/>
      <w:r>
        <w:rPr>
          <w:szCs w:val="22"/>
        </w:rPr>
        <w:t>MedDRA</w:t>
      </w:r>
      <w:proofErr w:type="spellEnd"/>
      <w:r>
        <w:rPr>
          <w:szCs w:val="22"/>
        </w:rPr>
        <w:noBreakHyphen/>
        <w:t xml:space="preserve">termerne for </w:t>
      </w:r>
      <w:proofErr w:type="spellStart"/>
      <w:r>
        <w:rPr>
          <w:szCs w:val="22"/>
        </w:rPr>
        <w:t>myodesopsi</w:t>
      </w:r>
      <w:proofErr w:type="spellEnd"/>
      <w:r>
        <w:rPr>
          <w:szCs w:val="22"/>
        </w:rPr>
        <w:t>.</w:t>
      </w:r>
    </w:p>
    <w:p w:rsidR="00E24089" w:rsidRDefault="00E24089" w:rsidP="00E24089">
      <w:pPr>
        <w:rPr>
          <w:szCs w:val="22"/>
        </w:rPr>
      </w:pPr>
      <w:r>
        <w:rPr>
          <w:szCs w:val="22"/>
          <w:vertAlign w:val="superscript"/>
        </w:rPr>
        <w:t>8</w:t>
      </w:r>
      <w:r>
        <w:rPr>
          <w:szCs w:val="22"/>
        </w:rPr>
        <w:t xml:space="preserve"> Omfatter </w:t>
      </w:r>
      <w:proofErr w:type="spellStart"/>
      <w:r>
        <w:rPr>
          <w:szCs w:val="22"/>
        </w:rPr>
        <w:t>MedDRA</w:t>
      </w:r>
      <w:proofErr w:type="spellEnd"/>
      <w:r>
        <w:rPr>
          <w:szCs w:val="22"/>
        </w:rPr>
        <w:t xml:space="preserve">-termerne for øjensmerter, øjenirritation og </w:t>
      </w:r>
      <w:proofErr w:type="spellStart"/>
      <w:r>
        <w:rPr>
          <w:szCs w:val="22"/>
        </w:rPr>
        <w:t>okulært</w:t>
      </w:r>
      <w:proofErr w:type="spellEnd"/>
      <w:r>
        <w:rPr>
          <w:szCs w:val="22"/>
        </w:rPr>
        <w:t xml:space="preserve"> ubehag.</w:t>
      </w:r>
    </w:p>
    <w:p w:rsidR="00E24089" w:rsidRDefault="00E24089" w:rsidP="00E24089">
      <w:pPr>
        <w:rPr>
          <w:szCs w:val="24"/>
        </w:rPr>
      </w:pPr>
      <w:r>
        <w:rPr>
          <w:szCs w:val="24"/>
          <w:vertAlign w:val="superscript"/>
        </w:rPr>
        <w:t>9</w:t>
      </w:r>
      <w:r>
        <w:rPr>
          <w:szCs w:val="24"/>
        </w:rPr>
        <w:t xml:space="preserve"> Omfatter </w:t>
      </w:r>
      <w:proofErr w:type="spellStart"/>
      <w:r>
        <w:rPr>
          <w:szCs w:val="24"/>
        </w:rPr>
        <w:t>MedDRA</w:t>
      </w:r>
      <w:proofErr w:type="spellEnd"/>
      <w:r>
        <w:rPr>
          <w:szCs w:val="24"/>
        </w:rPr>
        <w:t xml:space="preserve">-termerne for </w:t>
      </w:r>
      <w:proofErr w:type="spellStart"/>
      <w:r>
        <w:rPr>
          <w:szCs w:val="24"/>
        </w:rPr>
        <w:t>retinal</w:t>
      </w:r>
      <w:proofErr w:type="spellEnd"/>
      <w:r>
        <w:rPr>
          <w:szCs w:val="24"/>
        </w:rPr>
        <w:t xml:space="preserve"> </w:t>
      </w:r>
      <w:proofErr w:type="spellStart"/>
      <w:r>
        <w:rPr>
          <w:szCs w:val="24"/>
        </w:rPr>
        <w:t>veneokklusion</w:t>
      </w:r>
      <w:proofErr w:type="spellEnd"/>
      <w:r>
        <w:rPr>
          <w:szCs w:val="24"/>
        </w:rPr>
        <w:t xml:space="preserve">, </w:t>
      </w:r>
      <w:proofErr w:type="spellStart"/>
      <w:r>
        <w:rPr>
          <w:szCs w:val="24"/>
        </w:rPr>
        <w:t>okklusion</w:t>
      </w:r>
      <w:proofErr w:type="spellEnd"/>
      <w:r>
        <w:rPr>
          <w:szCs w:val="24"/>
        </w:rPr>
        <w:t xml:space="preserve"> af arterie i </w:t>
      </w:r>
      <w:proofErr w:type="spellStart"/>
      <w:r>
        <w:rPr>
          <w:szCs w:val="24"/>
        </w:rPr>
        <w:t>retina</w:t>
      </w:r>
      <w:proofErr w:type="spellEnd"/>
      <w:r>
        <w:rPr>
          <w:szCs w:val="24"/>
        </w:rPr>
        <w:t xml:space="preserve"> samt </w:t>
      </w:r>
      <w:proofErr w:type="spellStart"/>
      <w:r>
        <w:rPr>
          <w:szCs w:val="24"/>
        </w:rPr>
        <w:t>retinal</w:t>
      </w:r>
      <w:proofErr w:type="spellEnd"/>
      <w:r>
        <w:rPr>
          <w:szCs w:val="24"/>
        </w:rPr>
        <w:t xml:space="preserve"> </w:t>
      </w:r>
      <w:proofErr w:type="spellStart"/>
      <w:r>
        <w:rPr>
          <w:szCs w:val="24"/>
        </w:rPr>
        <w:t>vaskulær</w:t>
      </w:r>
      <w:proofErr w:type="spellEnd"/>
      <w:r>
        <w:rPr>
          <w:szCs w:val="24"/>
        </w:rPr>
        <w:t xml:space="preserve"> </w:t>
      </w:r>
      <w:proofErr w:type="spellStart"/>
      <w:r>
        <w:rPr>
          <w:szCs w:val="24"/>
        </w:rPr>
        <w:t>okklusion</w:t>
      </w:r>
      <w:proofErr w:type="spellEnd"/>
      <w:r>
        <w:rPr>
          <w:szCs w:val="24"/>
        </w:rPr>
        <w:t>.</w:t>
      </w:r>
    </w:p>
    <w:p w:rsidR="00E24089" w:rsidRDefault="00E24089" w:rsidP="00E24089">
      <w:pPr>
        <w:rPr>
          <w:szCs w:val="24"/>
        </w:rPr>
      </w:pPr>
      <w:r>
        <w:rPr>
          <w:szCs w:val="24"/>
          <w:vertAlign w:val="superscript"/>
        </w:rPr>
        <w:t>10</w:t>
      </w:r>
      <w:r>
        <w:rPr>
          <w:szCs w:val="24"/>
        </w:rPr>
        <w:t xml:space="preserve"> Omfatter </w:t>
      </w:r>
      <w:proofErr w:type="spellStart"/>
      <w:r>
        <w:rPr>
          <w:szCs w:val="24"/>
        </w:rPr>
        <w:t>MedDRA</w:t>
      </w:r>
      <w:proofErr w:type="spellEnd"/>
      <w:r>
        <w:rPr>
          <w:szCs w:val="24"/>
        </w:rPr>
        <w:noBreakHyphen/>
        <w:t xml:space="preserve">termerne for øjenødem, konjunktivalt ødem, </w:t>
      </w:r>
      <w:proofErr w:type="spellStart"/>
      <w:r>
        <w:rPr>
          <w:szCs w:val="24"/>
        </w:rPr>
        <w:t>cornealt</w:t>
      </w:r>
      <w:proofErr w:type="spellEnd"/>
      <w:r>
        <w:rPr>
          <w:szCs w:val="24"/>
        </w:rPr>
        <w:t xml:space="preserve"> ødem.</w:t>
      </w:r>
    </w:p>
    <w:p w:rsidR="00E24089" w:rsidRPr="001A5043" w:rsidRDefault="00E24089" w:rsidP="00E24089">
      <w:pPr>
        <w:rPr>
          <w:sz w:val="24"/>
          <w:szCs w:val="24"/>
          <w:u w:val="single"/>
        </w:rPr>
      </w:pPr>
    </w:p>
    <w:p w:rsidR="00E24089" w:rsidRPr="00A86F43" w:rsidRDefault="00E24089" w:rsidP="00E24089">
      <w:pPr>
        <w:pStyle w:val="C-BodyText"/>
        <w:spacing w:before="0" w:after="0" w:line="240" w:lineRule="auto"/>
        <w:ind w:left="851"/>
        <w:rPr>
          <w:szCs w:val="24"/>
          <w:u w:val="single"/>
          <w:lang w:val="da-DK"/>
        </w:rPr>
      </w:pPr>
      <w:r w:rsidRPr="00A86F43">
        <w:rPr>
          <w:szCs w:val="24"/>
          <w:u w:val="single"/>
          <w:lang w:val="da-DK"/>
        </w:rPr>
        <w:t>Beskrivelse af udvalgte bivirkninger</w:t>
      </w:r>
    </w:p>
    <w:p w:rsidR="00E24089" w:rsidRPr="00A86F43" w:rsidRDefault="00E24089" w:rsidP="00E24089">
      <w:pPr>
        <w:pStyle w:val="C-BodyText"/>
        <w:spacing w:before="0" w:after="0" w:line="240" w:lineRule="auto"/>
        <w:ind w:left="851"/>
        <w:rPr>
          <w:szCs w:val="24"/>
          <w:lang w:val="da-DK"/>
        </w:rPr>
      </w:pPr>
      <w:r w:rsidRPr="00A86F43">
        <w:rPr>
          <w:szCs w:val="24"/>
          <w:lang w:val="da-DK"/>
        </w:rPr>
        <w:t xml:space="preserve">Langvarig brug af </w:t>
      </w:r>
      <w:proofErr w:type="spellStart"/>
      <w:r w:rsidRPr="00A86F43">
        <w:rPr>
          <w:szCs w:val="24"/>
          <w:lang w:val="da-DK"/>
        </w:rPr>
        <w:t>kortikosteroider</w:t>
      </w:r>
      <w:proofErr w:type="spellEnd"/>
      <w:r w:rsidRPr="00A86F43">
        <w:rPr>
          <w:szCs w:val="24"/>
          <w:lang w:val="da-DK"/>
        </w:rPr>
        <w:t xml:space="preserve"> kan medføre katarakter og forhøjet </w:t>
      </w:r>
      <w:proofErr w:type="spellStart"/>
      <w:r w:rsidRPr="00A86F43">
        <w:rPr>
          <w:szCs w:val="24"/>
          <w:lang w:val="da-DK"/>
        </w:rPr>
        <w:t>intraokulært</w:t>
      </w:r>
      <w:proofErr w:type="spellEnd"/>
      <w:r w:rsidRPr="00A86F43">
        <w:rPr>
          <w:szCs w:val="24"/>
          <w:lang w:val="da-DK"/>
        </w:rPr>
        <w:t xml:space="preserve"> tryk. De hyppigheder, der er angivet nedenfor, afspejler fund hos alle patienter i FAME-studierne. De observerede hyppigheder hos patienter med kronisk diabetisk </w:t>
      </w:r>
      <w:proofErr w:type="spellStart"/>
      <w:r w:rsidRPr="00A86F43">
        <w:rPr>
          <w:szCs w:val="24"/>
          <w:lang w:val="da-DK"/>
        </w:rPr>
        <w:t>makulært</w:t>
      </w:r>
      <w:proofErr w:type="spellEnd"/>
      <w:r w:rsidRPr="00A86F43">
        <w:rPr>
          <w:szCs w:val="24"/>
          <w:lang w:val="da-DK"/>
        </w:rPr>
        <w:t xml:space="preserve"> ødem var ikke signifikant anderledes end i den overordnede population. </w:t>
      </w:r>
    </w:p>
    <w:p w:rsidR="00E24089" w:rsidRPr="00A86F43" w:rsidRDefault="00E24089" w:rsidP="00E24089">
      <w:pPr>
        <w:pStyle w:val="C-BodyText"/>
        <w:spacing w:before="0" w:after="0" w:line="240" w:lineRule="auto"/>
        <w:ind w:left="851"/>
        <w:rPr>
          <w:szCs w:val="24"/>
          <w:lang w:val="da-DK"/>
        </w:rPr>
      </w:pPr>
    </w:p>
    <w:p w:rsidR="00E24089" w:rsidRPr="00A86F43" w:rsidRDefault="00E24089" w:rsidP="00E24089">
      <w:pPr>
        <w:pStyle w:val="C-BodyText"/>
        <w:spacing w:before="0" w:after="0" w:line="240" w:lineRule="auto"/>
        <w:ind w:left="851"/>
        <w:rPr>
          <w:i/>
          <w:szCs w:val="24"/>
          <w:lang w:val="da-DK"/>
        </w:rPr>
      </w:pPr>
      <w:r w:rsidRPr="00A86F43">
        <w:rPr>
          <w:i/>
          <w:szCs w:val="24"/>
          <w:lang w:val="da-DK"/>
        </w:rPr>
        <w:t xml:space="preserve">Diabetisk </w:t>
      </w:r>
      <w:proofErr w:type="spellStart"/>
      <w:r w:rsidRPr="00A86F43">
        <w:rPr>
          <w:i/>
          <w:szCs w:val="24"/>
          <w:lang w:val="da-DK"/>
        </w:rPr>
        <w:t>markulært</w:t>
      </w:r>
      <w:proofErr w:type="spellEnd"/>
      <w:r w:rsidRPr="00A86F43">
        <w:rPr>
          <w:i/>
          <w:szCs w:val="24"/>
          <w:lang w:val="da-DK"/>
        </w:rPr>
        <w:t xml:space="preserve"> ødem fase 3</w:t>
      </w:r>
      <w:r w:rsidRPr="00A86F43">
        <w:rPr>
          <w:i/>
          <w:szCs w:val="24"/>
          <w:lang w:val="da-DK"/>
        </w:rPr>
        <w:noBreakHyphen/>
        <w:t>studier</w:t>
      </w:r>
    </w:p>
    <w:p w:rsidR="00E24089" w:rsidRPr="00A86F43" w:rsidRDefault="00E24089" w:rsidP="00E24089">
      <w:pPr>
        <w:pStyle w:val="C-BodyText"/>
        <w:spacing w:before="0" w:after="0" w:line="240" w:lineRule="auto"/>
        <w:ind w:left="851"/>
        <w:rPr>
          <w:szCs w:val="24"/>
          <w:lang w:val="da-DK"/>
        </w:rPr>
      </w:pPr>
      <w:r w:rsidRPr="00A86F43">
        <w:rPr>
          <w:szCs w:val="24"/>
          <w:lang w:val="da-DK"/>
        </w:rPr>
        <w:t xml:space="preserve">Forekomsten af katarakt hos deltagere med deres egen naturlige linse var cirka 82% hos de </w:t>
      </w:r>
      <w:proofErr w:type="spellStart"/>
      <w:r w:rsidR="007C0D0A">
        <w:rPr>
          <w:szCs w:val="24"/>
          <w:lang w:val="da-DK"/>
        </w:rPr>
        <w:t>Iluvien</w:t>
      </w:r>
      <w:proofErr w:type="spellEnd"/>
      <w:r w:rsidRPr="00A86F43">
        <w:rPr>
          <w:szCs w:val="24"/>
          <w:lang w:val="da-DK"/>
        </w:rPr>
        <w:t xml:space="preserve">-behandlede deltagere og 50% hos de deltagere, der fik falsk behandling, i de kliniske fase 3-studier. 80% af deltagerne med deres egen naturlige linse, der blev behandlet med </w:t>
      </w:r>
      <w:proofErr w:type="spellStart"/>
      <w:r w:rsidR="007C0D0A">
        <w:rPr>
          <w:szCs w:val="24"/>
          <w:lang w:val="da-DK"/>
        </w:rPr>
        <w:t>Iluvien</w:t>
      </w:r>
      <w:proofErr w:type="spellEnd"/>
      <w:r w:rsidRPr="00A86F43">
        <w:rPr>
          <w:szCs w:val="24"/>
          <w:lang w:val="da-DK"/>
        </w:rPr>
        <w:t xml:space="preserve">, havde behov for kataraktoperation inden for 3 år sammenlignet med 27% af de deltagere, der fik falsk behandling, hvor de fleste havde behov for operation inden for 21 måneder. </w:t>
      </w:r>
      <w:proofErr w:type="spellStart"/>
      <w:r w:rsidRPr="00A86F43">
        <w:rPr>
          <w:szCs w:val="24"/>
          <w:lang w:val="da-DK"/>
        </w:rPr>
        <w:t>Posterior</w:t>
      </w:r>
      <w:proofErr w:type="spellEnd"/>
      <w:r w:rsidRPr="00A86F43">
        <w:rPr>
          <w:szCs w:val="24"/>
          <w:lang w:val="da-DK"/>
        </w:rPr>
        <w:t xml:space="preserve"> </w:t>
      </w:r>
      <w:proofErr w:type="spellStart"/>
      <w:r w:rsidRPr="00A86F43">
        <w:rPr>
          <w:szCs w:val="24"/>
          <w:lang w:val="da-DK"/>
        </w:rPr>
        <w:t>subkapsulær</w:t>
      </w:r>
      <w:proofErr w:type="spellEnd"/>
      <w:r w:rsidRPr="00A86F43">
        <w:rPr>
          <w:szCs w:val="24"/>
          <w:lang w:val="da-DK"/>
        </w:rPr>
        <w:t xml:space="preserve"> katarakt er den mest almindelige type </w:t>
      </w:r>
      <w:proofErr w:type="spellStart"/>
      <w:r w:rsidRPr="00A86F43">
        <w:rPr>
          <w:szCs w:val="24"/>
          <w:lang w:val="da-DK"/>
        </w:rPr>
        <w:t>kortikosteroid</w:t>
      </w:r>
      <w:proofErr w:type="spellEnd"/>
      <w:r w:rsidRPr="00A86F43">
        <w:rPr>
          <w:szCs w:val="24"/>
          <w:lang w:val="da-DK"/>
        </w:rPr>
        <w:t>-relateret katarakt. Operation af denne type katarakt er mere vanskelig og kan være forbundet med større risiko for kirurgiske komplikationer.</w:t>
      </w:r>
    </w:p>
    <w:p w:rsidR="00E24089" w:rsidRPr="00A86F43" w:rsidRDefault="00E24089" w:rsidP="00E24089">
      <w:pPr>
        <w:pStyle w:val="C-BodyText"/>
        <w:spacing w:before="0" w:after="0" w:line="240" w:lineRule="auto"/>
        <w:ind w:left="851"/>
        <w:rPr>
          <w:szCs w:val="24"/>
          <w:lang w:val="da-DK"/>
        </w:rPr>
      </w:pPr>
    </w:p>
    <w:p w:rsidR="00E24089" w:rsidRPr="00A86F43" w:rsidRDefault="00E24089" w:rsidP="00E24089">
      <w:pPr>
        <w:pStyle w:val="C-BodyText"/>
        <w:spacing w:before="0" w:after="0" w:line="240" w:lineRule="auto"/>
        <w:ind w:left="851"/>
        <w:rPr>
          <w:szCs w:val="24"/>
          <w:lang w:val="da-DK"/>
        </w:rPr>
      </w:pPr>
      <w:r w:rsidRPr="00A86F43">
        <w:rPr>
          <w:szCs w:val="24"/>
          <w:lang w:val="da-DK"/>
        </w:rPr>
        <w:t xml:space="preserve">I DMO-studierne blev deltagere med et IOP på &gt; 21 </w:t>
      </w:r>
      <w:proofErr w:type="spellStart"/>
      <w:r w:rsidRPr="00A86F43">
        <w:rPr>
          <w:szCs w:val="24"/>
          <w:lang w:val="da-DK"/>
        </w:rPr>
        <w:t>mmHg</w:t>
      </w:r>
      <w:proofErr w:type="spellEnd"/>
      <w:r w:rsidRPr="00A86F43">
        <w:rPr>
          <w:szCs w:val="24"/>
          <w:lang w:val="da-DK"/>
        </w:rPr>
        <w:t xml:space="preserve"> ved baseline udelukket. Forekomsten af forhøjet </w:t>
      </w:r>
      <w:proofErr w:type="spellStart"/>
      <w:r w:rsidRPr="00A86F43">
        <w:rPr>
          <w:szCs w:val="24"/>
          <w:lang w:val="da-DK"/>
        </w:rPr>
        <w:t>intraokulært</w:t>
      </w:r>
      <w:proofErr w:type="spellEnd"/>
      <w:r w:rsidRPr="00A86F43">
        <w:rPr>
          <w:szCs w:val="24"/>
          <w:lang w:val="da-DK"/>
        </w:rPr>
        <w:t xml:space="preserve"> tryk var 37%, og 38% af deltagerne havde behov for IOP-sænkende medicin, hvoraf halvdelen havde behov for mindst to lægemidler til regulering af IOP. Anvendelsen af IOP-sænkende medicin var den samme hos deltagere, der fik behandling med yderligere et implantat under studiet. Desuden havde 5,6% (21/375) af deltagere, der fik et implantat, behov for kirurgisk indgreb eller laserindgreb til regulering af IOP (</w:t>
      </w:r>
      <w:proofErr w:type="spellStart"/>
      <w:r w:rsidRPr="00A86F43">
        <w:rPr>
          <w:szCs w:val="24"/>
          <w:lang w:val="da-DK"/>
        </w:rPr>
        <w:t>trabekuloplastik</w:t>
      </w:r>
      <w:proofErr w:type="spellEnd"/>
      <w:r w:rsidRPr="00A86F43">
        <w:rPr>
          <w:szCs w:val="24"/>
          <w:lang w:val="da-DK"/>
        </w:rPr>
        <w:t xml:space="preserve"> 5 [1,3%], </w:t>
      </w:r>
      <w:proofErr w:type="spellStart"/>
      <w:r w:rsidRPr="00A86F43">
        <w:rPr>
          <w:szCs w:val="24"/>
          <w:lang w:val="da-DK"/>
        </w:rPr>
        <w:t>trabekulektomi</w:t>
      </w:r>
      <w:proofErr w:type="spellEnd"/>
      <w:r w:rsidRPr="00A86F43">
        <w:rPr>
          <w:szCs w:val="24"/>
          <w:lang w:val="da-DK"/>
        </w:rPr>
        <w:t xml:space="preserve"> 10 [2,7%], </w:t>
      </w:r>
      <w:proofErr w:type="spellStart"/>
      <w:r w:rsidRPr="00A86F43">
        <w:rPr>
          <w:szCs w:val="24"/>
          <w:lang w:val="da-DK"/>
        </w:rPr>
        <w:t>endocykloablation</w:t>
      </w:r>
      <w:proofErr w:type="spellEnd"/>
      <w:r w:rsidRPr="00A86F43">
        <w:rPr>
          <w:szCs w:val="24"/>
          <w:lang w:val="da-DK"/>
        </w:rPr>
        <w:t xml:space="preserve"> 2 [0,5%] og andre kirurgiske procedurer 6 [1,6%]). </w:t>
      </w:r>
    </w:p>
    <w:p w:rsidR="00E24089" w:rsidRPr="00A86F43" w:rsidRDefault="00E24089" w:rsidP="00E24089">
      <w:pPr>
        <w:pStyle w:val="C-BodyText"/>
        <w:spacing w:before="0" w:after="0" w:line="240" w:lineRule="auto"/>
        <w:ind w:left="851"/>
        <w:rPr>
          <w:szCs w:val="24"/>
          <w:lang w:val="da-DK"/>
        </w:rPr>
      </w:pPr>
    </w:p>
    <w:p w:rsidR="00E24089" w:rsidRPr="00A86F43" w:rsidRDefault="00E24089" w:rsidP="00E24089">
      <w:pPr>
        <w:pStyle w:val="C-BodyText"/>
        <w:spacing w:before="0" w:after="0" w:line="240" w:lineRule="auto"/>
        <w:ind w:left="851"/>
        <w:rPr>
          <w:szCs w:val="24"/>
          <w:lang w:val="da-DK"/>
        </w:rPr>
      </w:pPr>
      <w:r w:rsidRPr="00A86F43">
        <w:rPr>
          <w:szCs w:val="24"/>
          <w:lang w:val="da-DK"/>
        </w:rPr>
        <w:t xml:space="preserve">I undergruppen af deltagere med IOP, der var over medianen ved baseline (≥ 15 </w:t>
      </w:r>
      <w:proofErr w:type="spellStart"/>
      <w:r w:rsidRPr="00A86F43">
        <w:rPr>
          <w:szCs w:val="24"/>
          <w:lang w:val="da-DK"/>
        </w:rPr>
        <w:t>mmHg</w:t>
      </w:r>
      <w:proofErr w:type="spellEnd"/>
      <w:r w:rsidRPr="00A86F43">
        <w:rPr>
          <w:szCs w:val="24"/>
          <w:lang w:val="da-DK"/>
        </w:rPr>
        <w:t xml:space="preserve">), havde 47% behov for IOP-sænkende medicin, og andelen af kirurgisk indgreb eller laserindgreb steg til 7,1%. I denne undergruppe blev 5 (2,2%) deltagere behandlet med </w:t>
      </w:r>
      <w:proofErr w:type="spellStart"/>
      <w:r w:rsidRPr="00A86F43">
        <w:rPr>
          <w:szCs w:val="24"/>
          <w:lang w:val="da-DK"/>
        </w:rPr>
        <w:t>trabekuloplastik</w:t>
      </w:r>
      <w:proofErr w:type="spellEnd"/>
      <w:r w:rsidRPr="00A86F43">
        <w:rPr>
          <w:szCs w:val="24"/>
          <w:lang w:val="da-DK"/>
        </w:rPr>
        <w:t xml:space="preserve">, 7 (3,1%) med </w:t>
      </w:r>
      <w:proofErr w:type="spellStart"/>
      <w:r w:rsidRPr="00A86F43">
        <w:rPr>
          <w:szCs w:val="24"/>
          <w:lang w:val="da-DK"/>
        </w:rPr>
        <w:t>trabekulektomi</w:t>
      </w:r>
      <w:proofErr w:type="spellEnd"/>
      <w:r w:rsidRPr="00A86F43">
        <w:rPr>
          <w:szCs w:val="24"/>
          <w:lang w:val="da-DK"/>
        </w:rPr>
        <w:t xml:space="preserve">, 2 (0,9%) med </w:t>
      </w:r>
      <w:proofErr w:type="spellStart"/>
      <w:r w:rsidRPr="00A86F43">
        <w:rPr>
          <w:szCs w:val="24"/>
          <w:lang w:val="da-DK"/>
        </w:rPr>
        <w:t>endocykloablation</w:t>
      </w:r>
      <w:proofErr w:type="spellEnd"/>
      <w:r w:rsidRPr="00A86F43">
        <w:rPr>
          <w:szCs w:val="24"/>
          <w:lang w:val="da-DK"/>
        </w:rPr>
        <w:t xml:space="preserve"> og 4 (1,8%) med andre kirurgiske procedurer til </w:t>
      </w:r>
      <w:proofErr w:type="spellStart"/>
      <w:r w:rsidRPr="00A86F43">
        <w:rPr>
          <w:szCs w:val="24"/>
          <w:lang w:val="da-DK"/>
        </w:rPr>
        <w:t>glaukom</w:t>
      </w:r>
      <w:proofErr w:type="spellEnd"/>
      <w:r w:rsidRPr="00A86F43">
        <w:rPr>
          <w:szCs w:val="24"/>
          <w:lang w:val="da-DK"/>
        </w:rPr>
        <w:t>.</w:t>
      </w:r>
    </w:p>
    <w:p w:rsidR="00E24089" w:rsidRPr="00A86F43" w:rsidRDefault="00E24089" w:rsidP="00E24089">
      <w:pPr>
        <w:pStyle w:val="C-BodyText"/>
        <w:spacing w:before="0" w:after="0" w:line="240" w:lineRule="auto"/>
        <w:ind w:left="851"/>
        <w:rPr>
          <w:szCs w:val="24"/>
          <w:lang w:val="da-DK"/>
        </w:rPr>
      </w:pPr>
    </w:p>
    <w:p w:rsidR="00E24089" w:rsidRDefault="00E24089" w:rsidP="00E24089">
      <w:pPr>
        <w:pStyle w:val="C-BodyText"/>
        <w:spacing w:before="0" w:after="0" w:line="240" w:lineRule="auto"/>
        <w:ind w:left="851"/>
        <w:rPr>
          <w:i/>
          <w:szCs w:val="24"/>
          <w:lang w:val="da-DK"/>
        </w:rPr>
      </w:pPr>
      <w:proofErr w:type="spellStart"/>
      <w:r w:rsidRPr="00A86F43">
        <w:rPr>
          <w:i/>
          <w:szCs w:val="24"/>
          <w:lang w:val="da-DK"/>
        </w:rPr>
        <w:t>Uveitis</w:t>
      </w:r>
      <w:proofErr w:type="spellEnd"/>
      <w:r w:rsidRPr="00A86F43">
        <w:rPr>
          <w:i/>
          <w:szCs w:val="24"/>
          <w:lang w:val="da-DK"/>
        </w:rPr>
        <w:t xml:space="preserve"> fase 3</w:t>
      </w:r>
      <w:r w:rsidRPr="00A86F43">
        <w:rPr>
          <w:i/>
          <w:szCs w:val="24"/>
          <w:lang w:val="da-DK"/>
        </w:rPr>
        <w:noBreakHyphen/>
        <w:t>studier</w:t>
      </w:r>
    </w:p>
    <w:p w:rsidR="00E24089" w:rsidRPr="00A86F43" w:rsidRDefault="00E24089" w:rsidP="00E24089">
      <w:pPr>
        <w:pStyle w:val="C-BodyText"/>
        <w:spacing w:before="0" w:after="0" w:line="240" w:lineRule="auto"/>
        <w:ind w:left="851"/>
        <w:rPr>
          <w:i/>
          <w:szCs w:val="24"/>
          <w:lang w:val="da-DK"/>
        </w:rPr>
      </w:pPr>
    </w:p>
    <w:p w:rsidR="00E24089" w:rsidRPr="00A86F43" w:rsidRDefault="00E24089" w:rsidP="00E24089">
      <w:pPr>
        <w:pStyle w:val="C-BodyText"/>
        <w:spacing w:before="0" w:after="0" w:line="240" w:lineRule="auto"/>
        <w:ind w:left="851"/>
        <w:rPr>
          <w:b/>
          <w:szCs w:val="24"/>
          <w:lang w:val="da-DK"/>
        </w:rPr>
      </w:pPr>
      <w:r w:rsidRPr="00A86F43">
        <w:rPr>
          <w:b/>
          <w:szCs w:val="24"/>
          <w:lang w:val="da-DK"/>
        </w:rPr>
        <w:t xml:space="preserve">Tabel 1: IOP, katarakt og </w:t>
      </w:r>
      <w:proofErr w:type="spellStart"/>
      <w:r w:rsidRPr="00A86F43">
        <w:rPr>
          <w:b/>
          <w:szCs w:val="24"/>
          <w:lang w:val="da-DK"/>
        </w:rPr>
        <w:t>hypotoni</w:t>
      </w:r>
      <w:proofErr w:type="spellEnd"/>
      <w:r w:rsidRPr="00A86F43">
        <w:rPr>
          <w:b/>
          <w:szCs w:val="24"/>
          <w:lang w:val="da-DK"/>
        </w:rPr>
        <w:t xml:space="preserve"> bivirkninger i Intent To </w:t>
      </w:r>
      <w:proofErr w:type="spellStart"/>
      <w:r w:rsidRPr="00A86F43">
        <w:rPr>
          <w:b/>
          <w:szCs w:val="24"/>
          <w:lang w:val="da-DK"/>
        </w:rPr>
        <w:t>Treat</w:t>
      </w:r>
      <w:proofErr w:type="spellEnd"/>
      <w:r w:rsidRPr="00A86F43">
        <w:rPr>
          <w:b/>
          <w:szCs w:val="24"/>
          <w:lang w:val="da-DK"/>
        </w:rPr>
        <w:t xml:space="preserve"> (ITT) PSV</w:t>
      </w:r>
      <w:r w:rsidRPr="00A86F43">
        <w:rPr>
          <w:b/>
          <w:szCs w:val="24"/>
          <w:lang w:val="da-DK"/>
        </w:rPr>
        <w:noBreakHyphen/>
        <w:t>FAI</w:t>
      </w:r>
      <w:r w:rsidRPr="00A86F43">
        <w:rPr>
          <w:b/>
          <w:szCs w:val="24"/>
          <w:lang w:val="da-DK"/>
        </w:rPr>
        <w:noBreakHyphen/>
        <w:t>001 og PSV</w:t>
      </w:r>
      <w:r w:rsidRPr="00A86F43">
        <w:rPr>
          <w:b/>
          <w:szCs w:val="24"/>
          <w:lang w:val="da-DK"/>
        </w:rPr>
        <w:noBreakHyphen/>
        <w:t>FAI</w:t>
      </w:r>
      <w:r w:rsidRPr="00A86F43">
        <w:rPr>
          <w:b/>
          <w:szCs w:val="24"/>
          <w:lang w:val="da-DK"/>
        </w:rPr>
        <w:noBreakHyphen/>
        <w:t>005 populationerne.</w:t>
      </w:r>
    </w:p>
    <w:tbl>
      <w:tblPr>
        <w:tblW w:w="10040" w:type="dxa"/>
        <w:tblLook w:val="04A0" w:firstRow="1" w:lastRow="0" w:firstColumn="1" w:lastColumn="0" w:noHBand="0" w:noVBand="1"/>
      </w:tblPr>
      <w:tblGrid>
        <w:gridCol w:w="2943"/>
        <w:gridCol w:w="1537"/>
        <w:gridCol w:w="1820"/>
        <w:gridCol w:w="1760"/>
        <w:gridCol w:w="1980"/>
      </w:tblGrid>
      <w:tr w:rsidR="00E24089" w:rsidTr="003B4BCE">
        <w:trPr>
          <w:trHeight w:val="300"/>
        </w:trPr>
        <w:tc>
          <w:tcPr>
            <w:tcW w:w="10040" w:type="dxa"/>
            <w:gridSpan w:val="5"/>
            <w:tcBorders>
              <w:top w:val="single" w:sz="8" w:space="0" w:color="auto"/>
              <w:left w:val="single" w:sz="8" w:space="0" w:color="auto"/>
              <w:bottom w:val="single" w:sz="8" w:space="0" w:color="auto"/>
              <w:right w:val="single" w:sz="8" w:space="0" w:color="000000"/>
            </w:tcBorders>
            <w:vAlign w:val="center"/>
            <w:hideMark/>
          </w:tcPr>
          <w:p w:rsidR="00E24089" w:rsidRDefault="00E24089" w:rsidP="003B4BCE">
            <w:pPr>
              <w:jc w:val="center"/>
              <w:rPr>
                <w:b/>
                <w:bCs/>
                <w:color w:val="000000"/>
                <w:sz w:val="20"/>
                <w:lang w:eastAsia="en-GB"/>
              </w:rPr>
            </w:pPr>
            <w:r>
              <w:rPr>
                <w:b/>
                <w:bCs/>
                <w:color w:val="000000"/>
                <w:sz w:val="20"/>
                <w:lang w:eastAsia="en-GB"/>
              </w:rPr>
              <w:t>ITT-population</w:t>
            </w:r>
          </w:p>
        </w:tc>
      </w:tr>
      <w:tr w:rsidR="00E24089" w:rsidTr="003B4BCE">
        <w:trPr>
          <w:trHeight w:val="226"/>
        </w:trPr>
        <w:tc>
          <w:tcPr>
            <w:tcW w:w="2943" w:type="dxa"/>
            <w:tcBorders>
              <w:top w:val="nil"/>
              <w:left w:val="single" w:sz="8" w:space="0" w:color="auto"/>
              <w:bottom w:val="single" w:sz="8" w:space="0" w:color="auto"/>
              <w:right w:val="single" w:sz="8" w:space="0" w:color="auto"/>
            </w:tcBorders>
            <w:vAlign w:val="center"/>
            <w:hideMark/>
          </w:tcPr>
          <w:p w:rsidR="00E24089" w:rsidRDefault="00E24089" w:rsidP="003B4BCE">
            <w:pPr>
              <w:rPr>
                <w:color w:val="000000"/>
                <w:sz w:val="20"/>
                <w:lang w:eastAsia="en-GB"/>
              </w:rPr>
            </w:pPr>
            <w:r>
              <w:rPr>
                <w:color w:val="000000"/>
                <w:sz w:val="20"/>
                <w:lang w:eastAsia="en-GB"/>
              </w:rPr>
              <w:t> </w:t>
            </w:r>
          </w:p>
        </w:tc>
        <w:tc>
          <w:tcPr>
            <w:tcW w:w="3357" w:type="dxa"/>
            <w:gridSpan w:val="2"/>
            <w:tcBorders>
              <w:top w:val="single" w:sz="8" w:space="0" w:color="auto"/>
              <w:left w:val="nil"/>
              <w:bottom w:val="single" w:sz="8" w:space="0" w:color="auto"/>
              <w:right w:val="single" w:sz="8" w:space="0" w:color="000000"/>
            </w:tcBorders>
            <w:vAlign w:val="center"/>
            <w:hideMark/>
          </w:tcPr>
          <w:p w:rsidR="00E24089" w:rsidRDefault="00E24089" w:rsidP="003B4BCE">
            <w:pPr>
              <w:jc w:val="center"/>
              <w:rPr>
                <w:b/>
                <w:bCs/>
                <w:color w:val="000000"/>
                <w:sz w:val="20"/>
                <w:lang w:eastAsia="en-GB"/>
              </w:rPr>
            </w:pPr>
            <w:r>
              <w:rPr>
                <w:b/>
                <w:bCs/>
                <w:color w:val="000000"/>
                <w:sz w:val="20"/>
                <w:lang w:eastAsia="en-GB"/>
              </w:rPr>
              <w:t xml:space="preserve">PSV-FAI-001 </w:t>
            </w:r>
            <w:proofErr w:type="gramStart"/>
            <w:r>
              <w:rPr>
                <w:b/>
                <w:bCs/>
                <w:color w:val="000000"/>
                <w:sz w:val="20"/>
                <w:lang w:eastAsia="en-GB"/>
              </w:rPr>
              <w:t>( 36</w:t>
            </w:r>
            <w:proofErr w:type="gramEnd"/>
            <w:r>
              <w:rPr>
                <w:b/>
                <w:bCs/>
                <w:color w:val="000000"/>
                <w:sz w:val="20"/>
                <w:lang w:eastAsia="en-GB"/>
              </w:rPr>
              <w:t> måneder)</w:t>
            </w:r>
          </w:p>
        </w:tc>
        <w:tc>
          <w:tcPr>
            <w:tcW w:w="3740" w:type="dxa"/>
            <w:gridSpan w:val="2"/>
            <w:tcBorders>
              <w:top w:val="single" w:sz="8" w:space="0" w:color="auto"/>
              <w:left w:val="nil"/>
              <w:bottom w:val="single" w:sz="8" w:space="0" w:color="auto"/>
              <w:right w:val="single" w:sz="8" w:space="0" w:color="000000"/>
            </w:tcBorders>
            <w:vAlign w:val="center"/>
            <w:hideMark/>
          </w:tcPr>
          <w:p w:rsidR="00E24089" w:rsidRDefault="00E24089" w:rsidP="003B4BCE">
            <w:pPr>
              <w:jc w:val="center"/>
              <w:rPr>
                <w:b/>
                <w:bCs/>
                <w:color w:val="000000"/>
                <w:sz w:val="20"/>
                <w:lang w:eastAsia="en-GB"/>
              </w:rPr>
            </w:pPr>
            <w:r>
              <w:rPr>
                <w:b/>
                <w:bCs/>
                <w:color w:val="000000"/>
                <w:sz w:val="20"/>
                <w:lang w:eastAsia="en-GB"/>
              </w:rPr>
              <w:t>PSV-FAI-005 (12 måneder)</w:t>
            </w:r>
          </w:p>
        </w:tc>
      </w:tr>
      <w:tr w:rsidR="00E24089" w:rsidTr="003B4BCE">
        <w:trPr>
          <w:trHeight w:val="300"/>
        </w:trPr>
        <w:tc>
          <w:tcPr>
            <w:tcW w:w="2943" w:type="dxa"/>
            <w:tcBorders>
              <w:top w:val="nil"/>
              <w:left w:val="single" w:sz="8" w:space="0" w:color="auto"/>
              <w:bottom w:val="single" w:sz="8" w:space="0" w:color="auto"/>
              <w:right w:val="single" w:sz="8" w:space="0" w:color="auto"/>
            </w:tcBorders>
            <w:vAlign w:val="center"/>
            <w:hideMark/>
          </w:tcPr>
          <w:p w:rsidR="00E24089" w:rsidRDefault="00E24089" w:rsidP="003B4BCE">
            <w:pPr>
              <w:rPr>
                <w:color w:val="000000"/>
                <w:sz w:val="20"/>
                <w:lang w:eastAsia="en-GB"/>
              </w:rPr>
            </w:pPr>
            <w:r>
              <w:rPr>
                <w:color w:val="000000"/>
                <w:sz w:val="20"/>
                <w:lang w:eastAsia="en-GB"/>
              </w:rPr>
              <w:t> </w:t>
            </w:r>
          </w:p>
        </w:tc>
        <w:tc>
          <w:tcPr>
            <w:tcW w:w="1537" w:type="dxa"/>
            <w:tcBorders>
              <w:top w:val="nil"/>
              <w:left w:val="nil"/>
              <w:bottom w:val="single" w:sz="8" w:space="0" w:color="auto"/>
              <w:right w:val="single" w:sz="8" w:space="0" w:color="auto"/>
            </w:tcBorders>
            <w:vAlign w:val="center"/>
            <w:hideMark/>
          </w:tcPr>
          <w:p w:rsidR="00E24089" w:rsidRDefault="00E24089" w:rsidP="003B4BCE">
            <w:pPr>
              <w:jc w:val="center"/>
              <w:rPr>
                <w:b/>
                <w:bCs/>
                <w:color w:val="000000"/>
                <w:sz w:val="20"/>
                <w:lang w:eastAsia="en-GB"/>
              </w:rPr>
            </w:pPr>
            <w:r>
              <w:rPr>
                <w:b/>
                <w:bCs/>
                <w:color w:val="000000"/>
                <w:sz w:val="20"/>
                <w:lang w:eastAsia="en-GB"/>
              </w:rPr>
              <w:t>FAI implantat</w:t>
            </w:r>
          </w:p>
        </w:tc>
        <w:tc>
          <w:tcPr>
            <w:tcW w:w="1820" w:type="dxa"/>
            <w:tcBorders>
              <w:top w:val="nil"/>
              <w:left w:val="nil"/>
              <w:bottom w:val="single" w:sz="8" w:space="0" w:color="auto"/>
              <w:right w:val="single" w:sz="8" w:space="0" w:color="auto"/>
            </w:tcBorders>
            <w:vAlign w:val="center"/>
            <w:hideMark/>
          </w:tcPr>
          <w:p w:rsidR="00E24089" w:rsidRDefault="00E24089" w:rsidP="003B4BCE">
            <w:pPr>
              <w:jc w:val="center"/>
              <w:rPr>
                <w:b/>
                <w:bCs/>
                <w:color w:val="000000"/>
                <w:sz w:val="20"/>
                <w:lang w:eastAsia="en-GB"/>
              </w:rPr>
            </w:pPr>
            <w:r>
              <w:rPr>
                <w:b/>
                <w:bCs/>
                <w:color w:val="000000"/>
                <w:sz w:val="20"/>
                <w:lang w:eastAsia="en-GB"/>
              </w:rPr>
              <w:t>Falsk injektion</w:t>
            </w:r>
          </w:p>
        </w:tc>
        <w:tc>
          <w:tcPr>
            <w:tcW w:w="1760" w:type="dxa"/>
            <w:tcBorders>
              <w:top w:val="nil"/>
              <w:left w:val="nil"/>
              <w:bottom w:val="single" w:sz="8" w:space="0" w:color="auto"/>
              <w:right w:val="single" w:sz="8" w:space="0" w:color="auto"/>
            </w:tcBorders>
            <w:vAlign w:val="center"/>
            <w:hideMark/>
          </w:tcPr>
          <w:p w:rsidR="00E24089" w:rsidRDefault="00E24089" w:rsidP="003B4BCE">
            <w:pPr>
              <w:jc w:val="center"/>
              <w:rPr>
                <w:b/>
                <w:bCs/>
                <w:color w:val="000000"/>
                <w:sz w:val="20"/>
                <w:lang w:eastAsia="en-GB"/>
              </w:rPr>
            </w:pPr>
            <w:r>
              <w:rPr>
                <w:b/>
                <w:bCs/>
                <w:color w:val="000000"/>
                <w:sz w:val="20"/>
                <w:lang w:eastAsia="en-GB"/>
              </w:rPr>
              <w:t>FAI implantat</w:t>
            </w:r>
          </w:p>
        </w:tc>
        <w:tc>
          <w:tcPr>
            <w:tcW w:w="1980" w:type="dxa"/>
            <w:tcBorders>
              <w:top w:val="nil"/>
              <w:left w:val="nil"/>
              <w:bottom w:val="single" w:sz="8" w:space="0" w:color="auto"/>
              <w:right w:val="single" w:sz="8" w:space="0" w:color="auto"/>
            </w:tcBorders>
            <w:vAlign w:val="center"/>
            <w:hideMark/>
          </w:tcPr>
          <w:p w:rsidR="00E24089" w:rsidRDefault="00E24089" w:rsidP="003B4BCE">
            <w:pPr>
              <w:jc w:val="center"/>
              <w:rPr>
                <w:b/>
                <w:bCs/>
                <w:color w:val="000000"/>
                <w:sz w:val="20"/>
                <w:lang w:eastAsia="en-GB"/>
              </w:rPr>
            </w:pPr>
            <w:r>
              <w:rPr>
                <w:b/>
                <w:bCs/>
                <w:color w:val="000000"/>
                <w:sz w:val="20"/>
                <w:lang w:eastAsia="en-GB"/>
              </w:rPr>
              <w:t>Falsk injektion</w:t>
            </w:r>
          </w:p>
        </w:tc>
      </w:tr>
      <w:tr w:rsidR="00E24089" w:rsidTr="003B4BCE">
        <w:trPr>
          <w:trHeight w:val="207"/>
        </w:trPr>
        <w:tc>
          <w:tcPr>
            <w:tcW w:w="2943" w:type="dxa"/>
            <w:tcBorders>
              <w:top w:val="nil"/>
              <w:left w:val="single" w:sz="8" w:space="0" w:color="auto"/>
              <w:bottom w:val="single" w:sz="8" w:space="0" w:color="auto"/>
              <w:right w:val="single" w:sz="8" w:space="0" w:color="auto"/>
            </w:tcBorders>
            <w:vAlign w:val="center"/>
            <w:hideMark/>
          </w:tcPr>
          <w:p w:rsidR="00E24089" w:rsidRDefault="00E24089" w:rsidP="003B4BCE">
            <w:pPr>
              <w:jc w:val="center"/>
              <w:rPr>
                <w:b/>
                <w:color w:val="000000"/>
                <w:sz w:val="20"/>
                <w:lang w:eastAsia="en-GB"/>
              </w:rPr>
            </w:pPr>
            <w:r>
              <w:rPr>
                <w:b/>
                <w:color w:val="000000"/>
                <w:sz w:val="20"/>
                <w:lang w:eastAsia="en-GB"/>
              </w:rPr>
              <w:t>Antal randomiserede deltagere</w:t>
            </w:r>
          </w:p>
        </w:tc>
        <w:tc>
          <w:tcPr>
            <w:tcW w:w="1537" w:type="dxa"/>
            <w:tcBorders>
              <w:top w:val="nil"/>
              <w:left w:val="nil"/>
              <w:bottom w:val="single" w:sz="8" w:space="0" w:color="auto"/>
              <w:right w:val="single" w:sz="8" w:space="0" w:color="auto"/>
            </w:tcBorders>
            <w:vAlign w:val="center"/>
            <w:hideMark/>
          </w:tcPr>
          <w:p w:rsidR="00E24089" w:rsidRDefault="00E24089" w:rsidP="003B4BCE">
            <w:pPr>
              <w:jc w:val="center"/>
              <w:rPr>
                <w:b/>
                <w:color w:val="000000"/>
                <w:sz w:val="20"/>
                <w:lang w:eastAsia="en-GB"/>
              </w:rPr>
            </w:pPr>
            <w:r>
              <w:rPr>
                <w:b/>
                <w:color w:val="000000"/>
                <w:sz w:val="20"/>
                <w:lang w:eastAsia="en-GB"/>
              </w:rPr>
              <w:t>87</w:t>
            </w:r>
          </w:p>
        </w:tc>
        <w:tc>
          <w:tcPr>
            <w:tcW w:w="1820" w:type="dxa"/>
            <w:tcBorders>
              <w:top w:val="nil"/>
              <w:left w:val="nil"/>
              <w:bottom w:val="single" w:sz="8" w:space="0" w:color="auto"/>
              <w:right w:val="single" w:sz="8" w:space="0" w:color="auto"/>
            </w:tcBorders>
            <w:vAlign w:val="center"/>
            <w:hideMark/>
          </w:tcPr>
          <w:p w:rsidR="00E24089" w:rsidRDefault="00E24089" w:rsidP="003B4BCE">
            <w:pPr>
              <w:jc w:val="center"/>
              <w:rPr>
                <w:b/>
                <w:color w:val="000000"/>
                <w:sz w:val="20"/>
                <w:lang w:eastAsia="en-GB"/>
              </w:rPr>
            </w:pPr>
            <w:r>
              <w:rPr>
                <w:b/>
                <w:color w:val="000000"/>
                <w:sz w:val="20"/>
                <w:lang w:eastAsia="en-GB"/>
              </w:rPr>
              <w:t>42</w:t>
            </w:r>
          </w:p>
        </w:tc>
        <w:tc>
          <w:tcPr>
            <w:tcW w:w="1760" w:type="dxa"/>
            <w:tcBorders>
              <w:top w:val="nil"/>
              <w:left w:val="nil"/>
              <w:bottom w:val="single" w:sz="8" w:space="0" w:color="auto"/>
              <w:right w:val="single" w:sz="8" w:space="0" w:color="auto"/>
            </w:tcBorders>
            <w:vAlign w:val="center"/>
            <w:hideMark/>
          </w:tcPr>
          <w:p w:rsidR="00E24089" w:rsidRDefault="00E24089" w:rsidP="003B4BCE">
            <w:pPr>
              <w:jc w:val="center"/>
              <w:rPr>
                <w:b/>
                <w:color w:val="000000"/>
                <w:sz w:val="20"/>
                <w:lang w:eastAsia="en-GB"/>
              </w:rPr>
            </w:pPr>
            <w:r>
              <w:rPr>
                <w:b/>
                <w:color w:val="000000"/>
                <w:sz w:val="20"/>
                <w:lang w:eastAsia="en-GB"/>
              </w:rPr>
              <w:t>101</w:t>
            </w:r>
          </w:p>
        </w:tc>
        <w:tc>
          <w:tcPr>
            <w:tcW w:w="1980" w:type="dxa"/>
            <w:tcBorders>
              <w:top w:val="nil"/>
              <w:left w:val="nil"/>
              <w:bottom w:val="single" w:sz="8" w:space="0" w:color="auto"/>
              <w:right w:val="single" w:sz="8" w:space="0" w:color="auto"/>
            </w:tcBorders>
            <w:vAlign w:val="center"/>
            <w:hideMark/>
          </w:tcPr>
          <w:p w:rsidR="00E24089" w:rsidRDefault="00E24089" w:rsidP="003B4BCE">
            <w:pPr>
              <w:jc w:val="center"/>
              <w:rPr>
                <w:b/>
                <w:color w:val="000000"/>
                <w:sz w:val="20"/>
                <w:lang w:eastAsia="en-GB"/>
              </w:rPr>
            </w:pPr>
            <w:r>
              <w:rPr>
                <w:b/>
                <w:color w:val="000000"/>
                <w:sz w:val="20"/>
                <w:lang w:eastAsia="en-GB"/>
              </w:rPr>
              <w:t>52</w:t>
            </w:r>
          </w:p>
        </w:tc>
      </w:tr>
      <w:tr w:rsidR="00E24089" w:rsidTr="003B4BCE">
        <w:trPr>
          <w:trHeight w:val="303"/>
        </w:trPr>
        <w:tc>
          <w:tcPr>
            <w:tcW w:w="2943"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Varighed af eksponering (dage),</w:t>
            </w:r>
          </w:p>
          <w:p w:rsidR="00E24089" w:rsidRDefault="00E24089" w:rsidP="003B4BCE">
            <w:pPr>
              <w:jc w:val="center"/>
              <w:rPr>
                <w:color w:val="000000"/>
                <w:sz w:val="20"/>
                <w:lang w:eastAsia="en-GB"/>
              </w:rPr>
            </w:pPr>
            <w:r>
              <w:rPr>
                <w:color w:val="000000"/>
                <w:sz w:val="20"/>
                <w:lang w:eastAsia="en-GB"/>
              </w:rPr>
              <w:t>gennemsnit (SD)</w:t>
            </w:r>
          </w:p>
        </w:tc>
        <w:tc>
          <w:tcPr>
            <w:tcW w:w="1537"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1.055 (139,47)</w:t>
            </w:r>
          </w:p>
        </w:tc>
        <w:tc>
          <w:tcPr>
            <w:tcW w:w="182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1.029 (191,09)</w:t>
            </w:r>
          </w:p>
        </w:tc>
        <w:tc>
          <w:tcPr>
            <w:tcW w:w="176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354 (37,56)</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354 (37,56)</w:t>
            </w:r>
          </w:p>
        </w:tc>
      </w:tr>
      <w:tr w:rsidR="00E24089" w:rsidTr="003B4BCE">
        <w:trPr>
          <w:trHeight w:val="303"/>
        </w:trPr>
        <w:tc>
          <w:tcPr>
            <w:tcW w:w="2943"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IOP sænkende medicin n (%)</w:t>
            </w:r>
          </w:p>
        </w:tc>
        <w:tc>
          <w:tcPr>
            <w:tcW w:w="1537"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37 (42,5)</w:t>
            </w:r>
          </w:p>
        </w:tc>
        <w:tc>
          <w:tcPr>
            <w:tcW w:w="182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14 (33,3)</w:t>
            </w:r>
          </w:p>
        </w:tc>
        <w:tc>
          <w:tcPr>
            <w:tcW w:w="176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51 (50,5)</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27 (51,9)</w:t>
            </w:r>
          </w:p>
        </w:tc>
      </w:tr>
      <w:tr w:rsidR="00E24089" w:rsidTr="003B4BCE">
        <w:trPr>
          <w:trHeight w:val="288"/>
        </w:trPr>
        <w:tc>
          <w:tcPr>
            <w:tcW w:w="2943"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IOP &gt; 25 </w:t>
            </w:r>
            <w:proofErr w:type="spellStart"/>
            <w:r>
              <w:rPr>
                <w:color w:val="000000"/>
                <w:sz w:val="20"/>
                <w:lang w:eastAsia="en-GB"/>
              </w:rPr>
              <w:t>mmHg</w:t>
            </w:r>
            <w:proofErr w:type="spellEnd"/>
            <w:r>
              <w:rPr>
                <w:color w:val="000000"/>
                <w:sz w:val="20"/>
                <w:lang w:eastAsia="en-GB"/>
              </w:rPr>
              <w:t>, n (%)</w:t>
            </w:r>
          </w:p>
        </w:tc>
        <w:tc>
          <w:tcPr>
            <w:tcW w:w="1537"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21 (24,1)</w:t>
            </w:r>
          </w:p>
        </w:tc>
        <w:tc>
          <w:tcPr>
            <w:tcW w:w="182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10 (23,8)</w:t>
            </w:r>
          </w:p>
        </w:tc>
        <w:tc>
          <w:tcPr>
            <w:tcW w:w="176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22 (21,8)</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2 (3,8)</w:t>
            </w:r>
          </w:p>
        </w:tc>
      </w:tr>
      <w:tr w:rsidR="00E24089" w:rsidTr="003B4BCE">
        <w:trPr>
          <w:trHeight w:val="288"/>
        </w:trPr>
        <w:tc>
          <w:tcPr>
            <w:tcW w:w="2943"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IOP &gt; 30 </w:t>
            </w:r>
            <w:proofErr w:type="spellStart"/>
            <w:r>
              <w:rPr>
                <w:color w:val="000000"/>
                <w:sz w:val="20"/>
                <w:lang w:eastAsia="en-GB"/>
              </w:rPr>
              <w:t>mmHg</w:t>
            </w:r>
            <w:proofErr w:type="spellEnd"/>
            <w:r>
              <w:rPr>
                <w:color w:val="000000"/>
                <w:sz w:val="20"/>
                <w:lang w:eastAsia="en-GB"/>
              </w:rPr>
              <w:t>, n (%)</w:t>
            </w:r>
          </w:p>
        </w:tc>
        <w:tc>
          <w:tcPr>
            <w:tcW w:w="1537"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14 (16,1)</w:t>
            </w:r>
          </w:p>
        </w:tc>
        <w:tc>
          <w:tcPr>
            <w:tcW w:w="182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5 (11,9)</w:t>
            </w:r>
          </w:p>
        </w:tc>
        <w:tc>
          <w:tcPr>
            <w:tcW w:w="176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15 (14,9)</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 (1,9)</w:t>
            </w:r>
          </w:p>
        </w:tc>
      </w:tr>
      <w:tr w:rsidR="00E24089" w:rsidTr="003B4BCE">
        <w:trPr>
          <w:trHeight w:val="288"/>
        </w:trPr>
        <w:tc>
          <w:tcPr>
            <w:tcW w:w="2943"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IOP sænkende kirurgi, n (%)</w:t>
            </w:r>
          </w:p>
        </w:tc>
        <w:tc>
          <w:tcPr>
            <w:tcW w:w="1537"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5 (5,7)</w:t>
            </w:r>
          </w:p>
        </w:tc>
        <w:tc>
          <w:tcPr>
            <w:tcW w:w="182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5 (11,9)</w:t>
            </w:r>
          </w:p>
        </w:tc>
        <w:tc>
          <w:tcPr>
            <w:tcW w:w="176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 (1,0)</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0</w:t>
            </w:r>
          </w:p>
        </w:tc>
      </w:tr>
      <w:tr w:rsidR="00E24089" w:rsidTr="003B4BCE">
        <w:trPr>
          <w:trHeight w:val="288"/>
        </w:trPr>
        <w:tc>
          <w:tcPr>
            <w:tcW w:w="2943"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proofErr w:type="gramStart"/>
            <w:r>
              <w:rPr>
                <w:color w:val="000000"/>
                <w:sz w:val="20"/>
                <w:lang w:eastAsia="en-GB"/>
              </w:rPr>
              <w:t>IOP bivirkninger</w:t>
            </w:r>
            <w:proofErr w:type="gramEnd"/>
            <w:r>
              <w:rPr>
                <w:color w:val="000000"/>
                <w:sz w:val="20"/>
                <w:lang w:eastAsia="en-GB"/>
              </w:rPr>
              <w:t>, n (%)</w:t>
            </w:r>
          </w:p>
        </w:tc>
        <w:tc>
          <w:tcPr>
            <w:tcW w:w="1537"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28 (32,2)</w:t>
            </w:r>
          </w:p>
        </w:tc>
        <w:tc>
          <w:tcPr>
            <w:tcW w:w="182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13 (31,0)</w:t>
            </w:r>
          </w:p>
        </w:tc>
        <w:tc>
          <w:tcPr>
            <w:tcW w:w="176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30 (29,7)</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 (1,9)</w:t>
            </w:r>
          </w:p>
        </w:tc>
      </w:tr>
      <w:tr w:rsidR="00E24089" w:rsidTr="003B4BCE">
        <w:trPr>
          <w:trHeight w:val="352"/>
        </w:trPr>
        <w:tc>
          <w:tcPr>
            <w:tcW w:w="2943"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 xml:space="preserve">Katarakt kirurgi, n (% baseret på </w:t>
            </w:r>
            <w:proofErr w:type="spellStart"/>
            <w:r>
              <w:rPr>
                <w:color w:val="000000"/>
                <w:sz w:val="20"/>
                <w:lang w:eastAsia="en-GB"/>
              </w:rPr>
              <w:t>phakic</w:t>
            </w:r>
            <w:proofErr w:type="spellEnd"/>
            <w:r>
              <w:rPr>
                <w:color w:val="000000"/>
                <w:sz w:val="20"/>
                <w:lang w:eastAsia="en-GB"/>
              </w:rPr>
              <w:t xml:space="preserve"> patienter)</w:t>
            </w:r>
          </w:p>
        </w:tc>
        <w:tc>
          <w:tcPr>
            <w:tcW w:w="15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4089" w:rsidRDefault="00E24089" w:rsidP="003B4BCE">
            <w:pPr>
              <w:jc w:val="center"/>
              <w:rPr>
                <w:color w:val="000000"/>
                <w:sz w:val="20"/>
                <w:lang w:eastAsia="en-GB"/>
              </w:rPr>
            </w:pPr>
            <w:r>
              <w:rPr>
                <w:color w:val="000000"/>
                <w:sz w:val="20"/>
                <w:lang w:eastAsia="en-GB"/>
              </w:rPr>
              <w:t>31 (73,8)</w:t>
            </w:r>
          </w:p>
        </w:tc>
        <w:tc>
          <w:tcPr>
            <w:tcW w:w="18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4089" w:rsidRDefault="00E24089" w:rsidP="003B4BCE">
            <w:pPr>
              <w:jc w:val="center"/>
              <w:rPr>
                <w:color w:val="000000"/>
                <w:sz w:val="20"/>
                <w:lang w:eastAsia="en-GB"/>
              </w:rPr>
            </w:pPr>
            <w:r>
              <w:rPr>
                <w:color w:val="000000"/>
                <w:sz w:val="20"/>
                <w:lang w:eastAsia="en-GB"/>
              </w:rPr>
              <w:t>5 (23,8)</w:t>
            </w:r>
          </w:p>
        </w:tc>
        <w:tc>
          <w:tcPr>
            <w:tcW w:w="17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4089" w:rsidRDefault="00E24089" w:rsidP="003B4BCE">
            <w:pPr>
              <w:jc w:val="center"/>
              <w:rPr>
                <w:color w:val="000000"/>
                <w:sz w:val="20"/>
                <w:lang w:eastAsia="en-GB"/>
              </w:rPr>
            </w:pPr>
            <w:r>
              <w:rPr>
                <w:color w:val="000000"/>
                <w:sz w:val="20"/>
                <w:lang w:eastAsia="en-GB"/>
              </w:rPr>
              <w:t>11 (18)</w:t>
            </w:r>
          </w:p>
        </w:tc>
        <w:tc>
          <w:tcPr>
            <w:tcW w:w="19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4089" w:rsidRDefault="00E24089" w:rsidP="003B4BCE">
            <w:pPr>
              <w:jc w:val="center"/>
              <w:rPr>
                <w:color w:val="000000"/>
                <w:sz w:val="20"/>
                <w:lang w:eastAsia="en-GB"/>
              </w:rPr>
            </w:pPr>
            <w:r>
              <w:rPr>
                <w:color w:val="000000"/>
                <w:sz w:val="20"/>
                <w:lang w:eastAsia="en-GB"/>
              </w:rPr>
              <w:t>4 (11,4)</w:t>
            </w:r>
          </w:p>
        </w:tc>
      </w:tr>
      <w:tr w:rsidR="00E24089" w:rsidTr="003B4BCE">
        <w:trPr>
          <w:trHeight w:val="288"/>
        </w:trPr>
        <w:tc>
          <w:tcPr>
            <w:tcW w:w="2943"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Katarakt bivirkninger, n (%)</w:t>
            </w:r>
          </w:p>
        </w:tc>
        <w:tc>
          <w:tcPr>
            <w:tcW w:w="153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4089" w:rsidRDefault="00E24089" w:rsidP="003B4BCE">
            <w:pPr>
              <w:jc w:val="center"/>
              <w:rPr>
                <w:color w:val="000000"/>
                <w:sz w:val="20"/>
                <w:lang w:eastAsia="en-GB"/>
              </w:rPr>
            </w:pPr>
            <w:r>
              <w:rPr>
                <w:color w:val="000000"/>
                <w:sz w:val="20"/>
                <w:lang w:eastAsia="en-GB"/>
              </w:rPr>
              <w:t>37 (42,5)</w:t>
            </w:r>
          </w:p>
        </w:tc>
        <w:tc>
          <w:tcPr>
            <w:tcW w:w="18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4089" w:rsidRDefault="00E24089" w:rsidP="003B4BCE">
            <w:pPr>
              <w:jc w:val="center"/>
              <w:rPr>
                <w:color w:val="000000"/>
                <w:sz w:val="20"/>
                <w:lang w:eastAsia="en-GB"/>
              </w:rPr>
            </w:pPr>
            <w:r>
              <w:rPr>
                <w:color w:val="000000"/>
                <w:sz w:val="20"/>
                <w:lang w:eastAsia="en-GB"/>
              </w:rPr>
              <w:t>10 (23,8)</w:t>
            </w:r>
          </w:p>
        </w:tc>
        <w:tc>
          <w:tcPr>
            <w:tcW w:w="176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4089" w:rsidRDefault="00E24089" w:rsidP="003B4BCE">
            <w:pPr>
              <w:jc w:val="center"/>
              <w:rPr>
                <w:color w:val="000000"/>
                <w:sz w:val="20"/>
                <w:lang w:eastAsia="en-GB"/>
              </w:rPr>
            </w:pPr>
            <w:r>
              <w:rPr>
                <w:color w:val="000000"/>
                <w:sz w:val="20"/>
                <w:lang w:eastAsia="en-GB"/>
              </w:rPr>
              <w:t>29 (47,5)</w:t>
            </w:r>
          </w:p>
        </w:tc>
        <w:tc>
          <w:tcPr>
            <w:tcW w:w="198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E24089" w:rsidRDefault="00E24089" w:rsidP="003B4BCE">
            <w:pPr>
              <w:jc w:val="center"/>
              <w:rPr>
                <w:color w:val="000000"/>
                <w:sz w:val="20"/>
                <w:lang w:eastAsia="en-GB"/>
              </w:rPr>
            </w:pPr>
            <w:r>
              <w:rPr>
                <w:color w:val="000000"/>
                <w:sz w:val="20"/>
                <w:lang w:eastAsia="en-GB"/>
              </w:rPr>
              <w:t>11 (31,4)</w:t>
            </w:r>
          </w:p>
        </w:tc>
      </w:tr>
      <w:tr w:rsidR="00E24089" w:rsidTr="003B4BCE">
        <w:trPr>
          <w:trHeight w:val="288"/>
        </w:trPr>
        <w:tc>
          <w:tcPr>
            <w:tcW w:w="2943"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proofErr w:type="spellStart"/>
            <w:r>
              <w:rPr>
                <w:color w:val="000000"/>
                <w:sz w:val="20"/>
                <w:lang w:eastAsia="en-GB"/>
              </w:rPr>
              <w:t>Hypotoni</w:t>
            </w:r>
            <w:proofErr w:type="spellEnd"/>
            <w:r>
              <w:rPr>
                <w:color w:val="000000"/>
                <w:sz w:val="20"/>
                <w:lang w:eastAsia="en-GB"/>
              </w:rPr>
              <w:t>, n (%)</w:t>
            </w:r>
          </w:p>
        </w:tc>
        <w:tc>
          <w:tcPr>
            <w:tcW w:w="1537"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9 (10,3)</w:t>
            </w:r>
          </w:p>
        </w:tc>
        <w:tc>
          <w:tcPr>
            <w:tcW w:w="182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5 (11,9)</w:t>
            </w:r>
          </w:p>
        </w:tc>
        <w:tc>
          <w:tcPr>
            <w:tcW w:w="176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13 (12,9)</w:t>
            </w:r>
          </w:p>
        </w:tc>
        <w:tc>
          <w:tcPr>
            <w:tcW w:w="1980" w:type="dxa"/>
            <w:tcBorders>
              <w:top w:val="single" w:sz="4" w:space="0" w:color="auto"/>
              <w:left w:val="single" w:sz="4" w:space="0" w:color="auto"/>
              <w:bottom w:val="single" w:sz="4" w:space="0" w:color="auto"/>
              <w:right w:val="single" w:sz="4" w:space="0" w:color="auto"/>
            </w:tcBorders>
            <w:noWrap/>
            <w:vAlign w:val="bottom"/>
            <w:hideMark/>
          </w:tcPr>
          <w:p w:rsidR="00E24089" w:rsidRDefault="00E24089" w:rsidP="003B4BCE">
            <w:pPr>
              <w:jc w:val="center"/>
              <w:rPr>
                <w:color w:val="000000"/>
                <w:sz w:val="20"/>
                <w:lang w:eastAsia="en-GB"/>
              </w:rPr>
            </w:pPr>
            <w:r>
              <w:rPr>
                <w:color w:val="000000"/>
                <w:sz w:val="20"/>
                <w:lang w:eastAsia="en-GB"/>
              </w:rPr>
              <w:t>0 (0,0)</w:t>
            </w:r>
          </w:p>
        </w:tc>
      </w:tr>
    </w:tbl>
    <w:p w:rsidR="00E24089" w:rsidRDefault="00E24089" w:rsidP="00E24089">
      <w:pPr>
        <w:pStyle w:val="C-BodyText"/>
        <w:spacing w:before="0" w:after="0" w:line="240" w:lineRule="auto"/>
        <w:ind w:left="851"/>
        <w:rPr>
          <w:szCs w:val="24"/>
          <w:lang w:val="da-DK"/>
        </w:rPr>
      </w:pPr>
    </w:p>
    <w:p w:rsidR="00E24089" w:rsidRDefault="00E24089" w:rsidP="00E24089">
      <w:pPr>
        <w:pStyle w:val="C-BodyText"/>
        <w:spacing w:before="0" w:after="0" w:line="240" w:lineRule="auto"/>
        <w:ind w:left="851"/>
        <w:rPr>
          <w:szCs w:val="24"/>
          <w:lang w:val="da-DK"/>
        </w:rPr>
      </w:pPr>
      <w:r w:rsidRPr="00A86F43">
        <w:rPr>
          <w:szCs w:val="24"/>
          <w:lang w:val="da-DK"/>
        </w:rPr>
        <w:t xml:space="preserve">Der var ingen tilfælde af </w:t>
      </w:r>
      <w:proofErr w:type="spellStart"/>
      <w:r w:rsidRPr="00A86F43">
        <w:rPr>
          <w:szCs w:val="24"/>
          <w:lang w:val="da-DK"/>
        </w:rPr>
        <w:t>endoftalmitis</w:t>
      </w:r>
      <w:proofErr w:type="spellEnd"/>
      <w:r w:rsidRPr="00A86F43">
        <w:rPr>
          <w:szCs w:val="24"/>
          <w:lang w:val="da-DK"/>
        </w:rPr>
        <w:t xml:space="preserve"> i </w:t>
      </w:r>
      <w:proofErr w:type="spellStart"/>
      <w:r w:rsidRPr="00A86F43">
        <w:rPr>
          <w:szCs w:val="24"/>
          <w:lang w:val="da-DK"/>
        </w:rPr>
        <w:t>fluocinolonacetonidgruppen</w:t>
      </w:r>
      <w:proofErr w:type="spellEnd"/>
      <w:r w:rsidRPr="00A86F43">
        <w:rPr>
          <w:szCs w:val="24"/>
          <w:lang w:val="da-DK"/>
        </w:rPr>
        <w:t xml:space="preserve"> i fase 3 </w:t>
      </w:r>
      <w:proofErr w:type="spellStart"/>
      <w:r w:rsidRPr="00A86F43">
        <w:rPr>
          <w:szCs w:val="24"/>
          <w:lang w:val="da-DK"/>
        </w:rPr>
        <w:t>uveitis</w:t>
      </w:r>
      <w:proofErr w:type="spellEnd"/>
      <w:r w:rsidRPr="00A86F43">
        <w:rPr>
          <w:szCs w:val="24"/>
          <w:lang w:val="da-DK"/>
        </w:rPr>
        <w:noBreakHyphen/>
        <w:t>studierne.</w:t>
      </w:r>
    </w:p>
    <w:p w:rsidR="00E24089" w:rsidRDefault="00E24089" w:rsidP="00E24089">
      <w:pPr>
        <w:autoSpaceDE w:val="0"/>
        <w:autoSpaceDN w:val="0"/>
        <w:adjustRightInd w:val="0"/>
        <w:ind w:left="851"/>
        <w:rPr>
          <w:noProof/>
          <w:sz w:val="24"/>
          <w:szCs w:val="24"/>
          <w:u w:val="single"/>
        </w:rPr>
      </w:pPr>
    </w:p>
    <w:p w:rsidR="00E24089" w:rsidRPr="001A5043" w:rsidRDefault="00E24089" w:rsidP="007C0D0A">
      <w:pPr>
        <w:keepNext/>
        <w:autoSpaceDE w:val="0"/>
        <w:autoSpaceDN w:val="0"/>
        <w:adjustRightInd w:val="0"/>
        <w:ind w:left="851"/>
        <w:rPr>
          <w:sz w:val="24"/>
          <w:szCs w:val="24"/>
          <w:u w:val="single"/>
        </w:rPr>
      </w:pPr>
      <w:r w:rsidRPr="001A5043">
        <w:rPr>
          <w:noProof/>
          <w:sz w:val="24"/>
          <w:szCs w:val="24"/>
          <w:u w:val="single"/>
        </w:rPr>
        <w:t>Indberetning af formodede bivirkninger</w:t>
      </w:r>
    </w:p>
    <w:p w:rsidR="00E24089" w:rsidRPr="001A5043" w:rsidRDefault="00E24089" w:rsidP="00E24089">
      <w:pPr>
        <w:autoSpaceDE w:val="0"/>
        <w:autoSpaceDN w:val="0"/>
        <w:adjustRightInd w:val="0"/>
        <w:ind w:left="851"/>
        <w:rPr>
          <w:noProof/>
          <w:sz w:val="24"/>
          <w:szCs w:val="24"/>
        </w:rPr>
      </w:pPr>
      <w:r w:rsidRPr="001A5043">
        <w:rPr>
          <w:noProof/>
          <w:sz w:val="24"/>
          <w:szCs w:val="24"/>
        </w:rPr>
        <w:t>Når lægemidlet er godkendt, er indberetning af formodede bivirkninger vigtig.</w:t>
      </w:r>
      <w:r w:rsidRPr="001A5043">
        <w:rPr>
          <w:sz w:val="24"/>
          <w:szCs w:val="24"/>
        </w:rPr>
        <w:t xml:space="preserve"> </w:t>
      </w:r>
      <w:r w:rsidRPr="001A5043">
        <w:rPr>
          <w:noProof/>
          <w:sz w:val="24"/>
          <w:szCs w:val="24"/>
        </w:rPr>
        <w:t>Det muliggør løbende overvågning af benefit/risk-forholdet for lægemidlet.</w:t>
      </w:r>
      <w:r w:rsidRPr="001A5043">
        <w:rPr>
          <w:sz w:val="24"/>
          <w:szCs w:val="24"/>
        </w:rPr>
        <w:t xml:space="preserve"> </w:t>
      </w:r>
      <w:r w:rsidR="007C0D0A">
        <w:rPr>
          <w:sz w:val="24"/>
          <w:szCs w:val="24"/>
        </w:rPr>
        <w:t>S</w:t>
      </w:r>
      <w:r w:rsidRPr="001A5043">
        <w:rPr>
          <w:noProof/>
          <w:sz w:val="24"/>
          <w:szCs w:val="24"/>
        </w:rPr>
        <w:t>undhedsperson</w:t>
      </w:r>
      <w:r w:rsidR="007C0D0A">
        <w:rPr>
          <w:noProof/>
          <w:sz w:val="24"/>
          <w:szCs w:val="24"/>
        </w:rPr>
        <w:t>er</w:t>
      </w:r>
      <w:r w:rsidRPr="001A5043">
        <w:rPr>
          <w:noProof/>
          <w:sz w:val="24"/>
          <w:szCs w:val="24"/>
        </w:rPr>
        <w:t xml:space="preserve"> anmodes om at indberette alle formodede bivirkninger via:</w:t>
      </w:r>
    </w:p>
    <w:p w:rsidR="00E24089" w:rsidRPr="001A5043" w:rsidRDefault="00E24089" w:rsidP="00E24089">
      <w:pPr>
        <w:autoSpaceDE w:val="0"/>
        <w:autoSpaceDN w:val="0"/>
        <w:adjustRightInd w:val="0"/>
        <w:rPr>
          <w:sz w:val="24"/>
          <w:szCs w:val="24"/>
        </w:rPr>
      </w:pPr>
    </w:p>
    <w:p w:rsidR="00E24089" w:rsidRPr="001A5043" w:rsidRDefault="00E24089" w:rsidP="00E24089">
      <w:pPr>
        <w:ind w:firstLine="851"/>
        <w:rPr>
          <w:rFonts w:eastAsia="Calibri"/>
          <w:color w:val="000000"/>
          <w:sz w:val="24"/>
          <w:szCs w:val="24"/>
          <w:lang w:eastAsia="zh-CN"/>
        </w:rPr>
      </w:pPr>
      <w:r w:rsidRPr="001A5043">
        <w:rPr>
          <w:rFonts w:eastAsia="Calibri"/>
          <w:color w:val="000000"/>
          <w:sz w:val="24"/>
          <w:szCs w:val="24"/>
          <w:lang w:eastAsia="zh-CN"/>
        </w:rPr>
        <w:t>Lægemiddelstyrelsen</w:t>
      </w:r>
    </w:p>
    <w:p w:rsidR="00E24089" w:rsidRPr="001A5043" w:rsidRDefault="00E24089" w:rsidP="00E24089">
      <w:pPr>
        <w:ind w:firstLine="851"/>
        <w:rPr>
          <w:rFonts w:eastAsia="Calibri"/>
          <w:noProof/>
          <w:sz w:val="24"/>
          <w:szCs w:val="24"/>
          <w:lang w:eastAsia="zh-CN"/>
        </w:rPr>
      </w:pPr>
      <w:r w:rsidRPr="001A5043">
        <w:rPr>
          <w:rFonts w:eastAsia="Calibri"/>
          <w:sz w:val="24"/>
          <w:szCs w:val="24"/>
          <w:lang w:eastAsia="zh-CN"/>
        </w:rPr>
        <w:t>Axel Heides Gade 1</w:t>
      </w:r>
    </w:p>
    <w:p w:rsidR="00E24089" w:rsidRPr="001A5043" w:rsidRDefault="00E24089" w:rsidP="00E24089">
      <w:pPr>
        <w:ind w:firstLine="851"/>
        <w:rPr>
          <w:rFonts w:eastAsia="Calibri"/>
          <w:noProof/>
          <w:sz w:val="24"/>
          <w:szCs w:val="24"/>
          <w:lang w:eastAsia="zh-CN"/>
        </w:rPr>
      </w:pPr>
      <w:r w:rsidRPr="001A5043">
        <w:rPr>
          <w:rFonts w:eastAsia="Calibri"/>
          <w:noProof/>
          <w:sz w:val="24"/>
          <w:szCs w:val="24"/>
          <w:lang w:eastAsia="zh-CN"/>
        </w:rPr>
        <w:t xml:space="preserve">DK-2300 </w:t>
      </w:r>
      <w:r w:rsidRPr="001A5043">
        <w:rPr>
          <w:rFonts w:eastAsia="Calibri"/>
          <w:sz w:val="24"/>
          <w:szCs w:val="24"/>
          <w:lang w:eastAsia="zh-CN"/>
        </w:rPr>
        <w:t>København S</w:t>
      </w:r>
    </w:p>
    <w:p w:rsidR="00E24089" w:rsidRPr="00E81ADD" w:rsidRDefault="00E24089" w:rsidP="00E24089">
      <w:pPr>
        <w:tabs>
          <w:tab w:val="left" w:pos="-720"/>
        </w:tabs>
        <w:suppressAutoHyphens/>
        <w:ind w:firstLine="851"/>
        <w:rPr>
          <w:rFonts w:eastAsia="Calibri"/>
          <w:noProof/>
          <w:sz w:val="24"/>
          <w:szCs w:val="24"/>
          <w:lang w:eastAsia="zh-CN"/>
        </w:rPr>
      </w:pPr>
      <w:r w:rsidRPr="00E81ADD">
        <w:rPr>
          <w:rFonts w:eastAsia="Calibri"/>
          <w:sz w:val="24"/>
          <w:szCs w:val="24"/>
          <w:lang w:eastAsia="zh-CN"/>
        </w:rPr>
        <w:t>Websted</w:t>
      </w:r>
      <w:r w:rsidRPr="00E81ADD">
        <w:rPr>
          <w:rFonts w:eastAsia="Calibri"/>
          <w:noProof/>
          <w:sz w:val="24"/>
          <w:szCs w:val="24"/>
          <w:lang w:eastAsia="zh-CN"/>
        </w:rPr>
        <w:t xml:space="preserve">: </w:t>
      </w:r>
      <w:hyperlink r:id="rId8" w:history="1">
        <w:r w:rsidRPr="00E81ADD">
          <w:rPr>
            <w:rStyle w:val="Hyperlink"/>
            <w:rFonts w:eastAsia="Calibri"/>
            <w:noProof/>
            <w:lang w:eastAsia="zh-CN"/>
          </w:rPr>
          <w:t>www.meldenbivirkning.dk</w:t>
        </w:r>
      </w:hyperlink>
    </w:p>
    <w:p w:rsidR="00E24089" w:rsidRPr="00E81ADD" w:rsidRDefault="00E24089" w:rsidP="00E24089">
      <w:pPr>
        <w:pStyle w:val="Sidehoved"/>
        <w:tabs>
          <w:tab w:val="clear" w:pos="4819"/>
          <w:tab w:val="clear" w:pos="9638"/>
        </w:tabs>
        <w:ind w:left="851"/>
        <w:rPr>
          <w:szCs w:val="24"/>
        </w:rPr>
      </w:pPr>
    </w:p>
    <w:p w:rsidR="00E24089" w:rsidRPr="00D65B27" w:rsidRDefault="00E24089" w:rsidP="00E24089">
      <w:pPr>
        <w:ind w:left="851" w:hanging="851"/>
        <w:rPr>
          <w:b/>
          <w:sz w:val="24"/>
          <w:szCs w:val="24"/>
        </w:rPr>
      </w:pPr>
      <w:r w:rsidRPr="00D65B27">
        <w:rPr>
          <w:b/>
          <w:sz w:val="24"/>
          <w:szCs w:val="24"/>
        </w:rPr>
        <w:t>4.9</w:t>
      </w:r>
      <w:r w:rsidRPr="00D65B27">
        <w:rPr>
          <w:b/>
          <w:sz w:val="24"/>
          <w:szCs w:val="24"/>
        </w:rPr>
        <w:tab/>
        <w:t>Overdosering</w:t>
      </w:r>
    </w:p>
    <w:p w:rsidR="00E24089" w:rsidRPr="00983E1C" w:rsidRDefault="00E24089" w:rsidP="00E24089">
      <w:pPr>
        <w:ind w:firstLine="851"/>
        <w:rPr>
          <w:sz w:val="24"/>
          <w:szCs w:val="24"/>
        </w:rPr>
      </w:pPr>
      <w:r w:rsidRPr="00983E1C">
        <w:rPr>
          <w:sz w:val="24"/>
          <w:szCs w:val="24"/>
        </w:rPr>
        <w:t>Der er ikke rapporteret tilfælde af overdosering.</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4.10</w:t>
      </w:r>
      <w:r w:rsidRPr="007B1EA7">
        <w:rPr>
          <w:b/>
          <w:sz w:val="24"/>
          <w:szCs w:val="24"/>
        </w:rPr>
        <w:tab/>
        <w:t>Udlevering</w:t>
      </w:r>
    </w:p>
    <w:p w:rsidR="00E24089" w:rsidRPr="007B1EA7" w:rsidRDefault="00E24089" w:rsidP="00E24089">
      <w:pPr>
        <w:ind w:left="851" w:hanging="851"/>
        <w:rPr>
          <w:sz w:val="24"/>
          <w:szCs w:val="24"/>
        </w:rPr>
      </w:pPr>
      <w:r w:rsidRPr="007B1EA7">
        <w:rPr>
          <w:sz w:val="24"/>
          <w:szCs w:val="24"/>
        </w:rPr>
        <w:tab/>
      </w:r>
      <w:r>
        <w:rPr>
          <w:sz w:val="24"/>
          <w:szCs w:val="24"/>
        </w:rPr>
        <w:t>BEGR – kun til sygehuse</w:t>
      </w:r>
    </w:p>
    <w:p w:rsidR="00E24089" w:rsidRPr="007B1EA7" w:rsidRDefault="00E24089" w:rsidP="00E24089">
      <w:pPr>
        <w:ind w:left="851" w:hanging="851"/>
        <w:rPr>
          <w:sz w:val="24"/>
          <w:szCs w:val="24"/>
        </w:rPr>
      </w:pP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5.</w:t>
      </w:r>
      <w:r w:rsidRPr="007B1EA7">
        <w:rPr>
          <w:b/>
          <w:sz w:val="24"/>
          <w:szCs w:val="24"/>
        </w:rPr>
        <w:tab/>
        <w:t>FARMAKOLOGISKE EGENSKABER</w:t>
      </w:r>
    </w:p>
    <w:p w:rsidR="00E24089" w:rsidRPr="007B1EA7" w:rsidRDefault="00E24089" w:rsidP="00E24089">
      <w:pPr>
        <w:ind w:left="851"/>
        <w:rPr>
          <w:sz w:val="24"/>
          <w:szCs w:val="24"/>
        </w:rPr>
      </w:pPr>
    </w:p>
    <w:p w:rsidR="00CC3F2E" w:rsidRPr="00CC3F2E" w:rsidRDefault="00E24089" w:rsidP="00CC3F2E">
      <w:pPr>
        <w:tabs>
          <w:tab w:val="left" w:pos="851"/>
        </w:tabs>
        <w:rPr>
          <w:b/>
          <w:sz w:val="24"/>
          <w:szCs w:val="24"/>
        </w:rPr>
      </w:pPr>
      <w:r w:rsidRPr="00B14D9E">
        <w:rPr>
          <w:b/>
          <w:sz w:val="24"/>
          <w:szCs w:val="24"/>
        </w:rPr>
        <w:t>5.1</w:t>
      </w:r>
      <w:r w:rsidRPr="00E15A2F">
        <w:rPr>
          <w:b/>
        </w:rPr>
        <w:tab/>
      </w:r>
      <w:proofErr w:type="spellStart"/>
      <w:r w:rsidRPr="00E15A2F">
        <w:rPr>
          <w:b/>
          <w:sz w:val="24"/>
          <w:szCs w:val="24"/>
        </w:rPr>
        <w:t>Farmakodynamiske</w:t>
      </w:r>
      <w:proofErr w:type="spellEnd"/>
      <w:r w:rsidRPr="00E15A2F">
        <w:rPr>
          <w:b/>
          <w:sz w:val="24"/>
          <w:szCs w:val="24"/>
        </w:rPr>
        <w:t xml:space="preserve"> egenskaber</w:t>
      </w:r>
    </w:p>
    <w:p w:rsidR="00E24089" w:rsidRPr="008D5C51" w:rsidRDefault="00E24089" w:rsidP="00CC3F2E">
      <w:pPr>
        <w:ind w:left="851"/>
        <w:rPr>
          <w:szCs w:val="24"/>
        </w:rPr>
      </w:pPr>
      <w:proofErr w:type="spellStart"/>
      <w:r w:rsidRPr="00E15A2F">
        <w:rPr>
          <w:sz w:val="24"/>
          <w:szCs w:val="24"/>
        </w:rPr>
        <w:t>Farmakoterapeutisk</w:t>
      </w:r>
      <w:proofErr w:type="spellEnd"/>
      <w:r w:rsidRPr="00E15A2F">
        <w:rPr>
          <w:sz w:val="24"/>
          <w:szCs w:val="24"/>
        </w:rPr>
        <w:t xml:space="preserve"> klassifikation: </w:t>
      </w:r>
      <w:r w:rsidR="00CC3F2E" w:rsidRPr="00983E1C">
        <w:rPr>
          <w:sz w:val="24"/>
          <w:szCs w:val="24"/>
        </w:rPr>
        <w:t>A</w:t>
      </w:r>
      <w:r w:rsidR="00CC3F2E">
        <w:rPr>
          <w:sz w:val="24"/>
          <w:szCs w:val="24"/>
        </w:rPr>
        <w:t>ntiinflammatoriske</w:t>
      </w:r>
      <w:r w:rsidR="00CC3F2E" w:rsidRPr="00983E1C">
        <w:rPr>
          <w:sz w:val="24"/>
          <w:szCs w:val="24"/>
        </w:rPr>
        <w:t xml:space="preserve"> </w:t>
      </w:r>
      <w:r w:rsidR="00CC3F2E">
        <w:rPr>
          <w:sz w:val="24"/>
          <w:szCs w:val="24"/>
        </w:rPr>
        <w:t>midler</w:t>
      </w:r>
      <w:r w:rsidR="00CC3F2E" w:rsidRPr="00983E1C">
        <w:rPr>
          <w:sz w:val="24"/>
          <w:szCs w:val="24"/>
        </w:rPr>
        <w:t xml:space="preserve">, </w:t>
      </w:r>
      <w:proofErr w:type="spellStart"/>
      <w:r w:rsidR="00CC3F2E" w:rsidRPr="00983E1C">
        <w:rPr>
          <w:sz w:val="24"/>
          <w:szCs w:val="24"/>
        </w:rPr>
        <w:t>kortikosteroider</w:t>
      </w:r>
      <w:proofErr w:type="spellEnd"/>
      <w:r w:rsidR="00CC3F2E" w:rsidRPr="00983E1C">
        <w:rPr>
          <w:sz w:val="24"/>
          <w:szCs w:val="24"/>
        </w:rPr>
        <w:t xml:space="preserve">, </w:t>
      </w:r>
      <w:proofErr w:type="spellStart"/>
      <w:r w:rsidR="00CC3F2E" w:rsidRPr="00983E1C">
        <w:rPr>
          <w:sz w:val="24"/>
          <w:szCs w:val="24"/>
        </w:rPr>
        <w:t>almindelige</w:t>
      </w:r>
      <w:r w:rsidR="00CC3F2E">
        <w:rPr>
          <w:sz w:val="24"/>
          <w:szCs w:val="24"/>
        </w:rPr>
        <w:t>.</w:t>
      </w:r>
      <w:r w:rsidRPr="008D5C51">
        <w:rPr>
          <w:szCs w:val="24"/>
        </w:rPr>
        <w:t>ATC-kode</w:t>
      </w:r>
      <w:proofErr w:type="spellEnd"/>
      <w:r w:rsidRPr="008D5C51">
        <w:rPr>
          <w:szCs w:val="24"/>
        </w:rPr>
        <w:t>: S01BA15</w:t>
      </w:r>
    </w:p>
    <w:p w:rsidR="00E24089" w:rsidRPr="008D5C51" w:rsidRDefault="00E24089" w:rsidP="00E24089">
      <w:pPr>
        <w:pStyle w:val="C-BodyText"/>
        <w:ind w:left="851"/>
        <w:rPr>
          <w:szCs w:val="24"/>
          <w:lang w:val="da-DK"/>
        </w:rPr>
      </w:pPr>
      <w:proofErr w:type="spellStart"/>
      <w:r w:rsidRPr="008D5C51">
        <w:rPr>
          <w:szCs w:val="24"/>
          <w:lang w:val="da-DK"/>
        </w:rPr>
        <w:t>Kortikosteroider</w:t>
      </w:r>
      <w:proofErr w:type="spellEnd"/>
      <w:r w:rsidRPr="008D5C51">
        <w:rPr>
          <w:szCs w:val="24"/>
          <w:lang w:val="da-DK"/>
        </w:rPr>
        <w:t xml:space="preserve"> hæmmer den inflammatoriske respons på flere forskellige provokerende stoffer. De hæmmer ødem, aflejring af </w:t>
      </w:r>
      <w:proofErr w:type="spellStart"/>
      <w:r w:rsidRPr="008D5C51">
        <w:rPr>
          <w:szCs w:val="24"/>
          <w:lang w:val="da-DK"/>
        </w:rPr>
        <w:t>fibrin</w:t>
      </w:r>
      <w:proofErr w:type="spellEnd"/>
      <w:r w:rsidRPr="008D5C51">
        <w:rPr>
          <w:szCs w:val="24"/>
          <w:lang w:val="da-DK"/>
        </w:rPr>
        <w:t xml:space="preserve">, dilatation af kapillærer, leukocytmigration, </w:t>
      </w:r>
      <w:proofErr w:type="spellStart"/>
      <w:r w:rsidRPr="008D5C51">
        <w:rPr>
          <w:szCs w:val="24"/>
          <w:lang w:val="da-DK"/>
        </w:rPr>
        <w:t>proliferation</w:t>
      </w:r>
      <w:proofErr w:type="spellEnd"/>
      <w:r w:rsidRPr="008D5C51">
        <w:rPr>
          <w:szCs w:val="24"/>
          <w:lang w:val="da-DK"/>
        </w:rPr>
        <w:t xml:space="preserve"> af kapillærer, </w:t>
      </w:r>
      <w:proofErr w:type="spellStart"/>
      <w:r w:rsidRPr="008D5C51">
        <w:rPr>
          <w:szCs w:val="24"/>
          <w:lang w:val="da-DK"/>
        </w:rPr>
        <w:t>proliferation</w:t>
      </w:r>
      <w:proofErr w:type="spellEnd"/>
      <w:r w:rsidRPr="008D5C51">
        <w:rPr>
          <w:szCs w:val="24"/>
          <w:lang w:val="da-DK"/>
        </w:rPr>
        <w:t xml:space="preserve"> af </w:t>
      </w:r>
      <w:proofErr w:type="spellStart"/>
      <w:r w:rsidRPr="008D5C51">
        <w:rPr>
          <w:szCs w:val="24"/>
          <w:lang w:val="da-DK"/>
        </w:rPr>
        <w:t>fibroblaster</w:t>
      </w:r>
      <w:proofErr w:type="spellEnd"/>
      <w:r w:rsidRPr="008D5C51">
        <w:rPr>
          <w:szCs w:val="24"/>
          <w:lang w:val="da-DK"/>
        </w:rPr>
        <w:t xml:space="preserve">, aflejring af kollagen og </w:t>
      </w:r>
      <w:proofErr w:type="spellStart"/>
      <w:r w:rsidRPr="008D5C51">
        <w:rPr>
          <w:szCs w:val="24"/>
          <w:lang w:val="da-DK"/>
        </w:rPr>
        <w:t>ardannelse</w:t>
      </w:r>
      <w:proofErr w:type="spellEnd"/>
      <w:r w:rsidRPr="008D5C51">
        <w:rPr>
          <w:szCs w:val="24"/>
          <w:lang w:val="da-DK"/>
        </w:rPr>
        <w:t xml:space="preserve"> i forbindelse med inflammation.</w:t>
      </w:r>
    </w:p>
    <w:p w:rsidR="00E24089" w:rsidRDefault="00E24089" w:rsidP="00E24089">
      <w:pPr>
        <w:ind w:left="851"/>
        <w:rPr>
          <w:sz w:val="24"/>
          <w:szCs w:val="24"/>
        </w:rPr>
      </w:pPr>
      <w:proofErr w:type="spellStart"/>
      <w:r w:rsidRPr="00E15A2F">
        <w:rPr>
          <w:sz w:val="24"/>
          <w:szCs w:val="24"/>
        </w:rPr>
        <w:t>Kortikosteroider</w:t>
      </w:r>
      <w:proofErr w:type="spellEnd"/>
      <w:r w:rsidRPr="00E15A2F">
        <w:rPr>
          <w:sz w:val="24"/>
          <w:szCs w:val="24"/>
        </w:rPr>
        <w:t xml:space="preserve"> menes at virke gennem induktion af </w:t>
      </w:r>
      <w:proofErr w:type="spellStart"/>
      <w:r w:rsidRPr="00E15A2F">
        <w:rPr>
          <w:sz w:val="24"/>
          <w:szCs w:val="24"/>
        </w:rPr>
        <w:t>fosfolipase</w:t>
      </w:r>
      <w:proofErr w:type="spellEnd"/>
      <w:r w:rsidRPr="00E15A2F">
        <w:rPr>
          <w:sz w:val="24"/>
          <w:szCs w:val="24"/>
        </w:rPr>
        <w:t xml:space="preserve"> A-hæmmende proteiner (samlet betegnet </w:t>
      </w:r>
      <w:proofErr w:type="spellStart"/>
      <w:r w:rsidRPr="00E15A2F">
        <w:rPr>
          <w:sz w:val="24"/>
          <w:szCs w:val="24"/>
        </w:rPr>
        <w:t>lipokortiner</w:t>
      </w:r>
      <w:proofErr w:type="spellEnd"/>
      <w:r w:rsidRPr="00E15A2F">
        <w:rPr>
          <w:sz w:val="24"/>
          <w:szCs w:val="24"/>
        </w:rPr>
        <w:t xml:space="preserve">). Det påstås, at disse proteiner styrer biosyntesen af potente </w:t>
      </w:r>
      <w:proofErr w:type="spellStart"/>
      <w:r w:rsidRPr="00E15A2F">
        <w:rPr>
          <w:sz w:val="24"/>
          <w:szCs w:val="24"/>
        </w:rPr>
        <w:t>mediatorer</w:t>
      </w:r>
      <w:proofErr w:type="spellEnd"/>
      <w:r w:rsidRPr="00E15A2F">
        <w:rPr>
          <w:sz w:val="24"/>
          <w:szCs w:val="24"/>
        </w:rPr>
        <w:t xml:space="preserve"> af inflammation, såsom </w:t>
      </w:r>
      <w:proofErr w:type="spellStart"/>
      <w:r w:rsidRPr="00E15A2F">
        <w:rPr>
          <w:sz w:val="24"/>
          <w:szCs w:val="24"/>
        </w:rPr>
        <w:t>prostaglandiner</w:t>
      </w:r>
      <w:proofErr w:type="spellEnd"/>
      <w:r w:rsidRPr="00E15A2F">
        <w:rPr>
          <w:sz w:val="24"/>
          <w:szCs w:val="24"/>
        </w:rPr>
        <w:t xml:space="preserve"> og </w:t>
      </w:r>
      <w:proofErr w:type="spellStart"/>
      <w:r w:rsidRPr="00E15A2F">
        <w:rPr>
          <w:sz w:val="24"/>
          <w:szCs w:val="24"/>
        </w:rPr>
        <w:t>leukotriener</w:t>
      </w:r>
      <w:proofErr w:type="spellEnd"/>
      <w:r w:rsidRPr="00E15A2F">
        <w:rPr>
          <w:sz w:val="24"/>
          <w:szCs w:val="24"/>
        </w:rPr>
        <w:t xml:space="preserve">, ved at hæmme frigivelsen af det fælles forstadium </w:t>
      </w:r>
      <w:proofErr w:type="spellStart"/>
      <w:r w:rsidRPr="00E15A2F">
        <w:rPr>
          <w:sz w:val="24"/>
          <w:szCs w:val="24"/>
        </w:rPr>
        <w:t>arakidonsyre</w:t>
      </w:r>
      <w:proofErr w:type="spellEnd"/>
      <w:r w:rsidRPr="00E15A2F">
        <w:rPr>
          <w:sz w:val="24"/>
          <w:szCs w:val="24"/>
        </w:rPr>
        <w:t xml:space="preserve">. </w:t>
      </w:r>
      <w:proofErr w:type="spellStart"/>
      <w:r w:rsidRPr="00E15A2F">
        <w:rPr>
          <w:sz w:val="24"/>
          <w:szCs w:val="24"/>
        </w:rPr>
        <w:t>Arakidonsyre</w:t>
      </w:r>
      <w:proofErr w:type="spellEnd"/>
      <w:r w:rsidRPr="00E15A2F">
        <w:rPr>
          <w:sz w:val="24"/>
          <w:szCs w:val="24"/>
        </w:rPr>
        <w:t xml:space="preserve"> frigives fra membranfosfolipider af </w:t>
      </w:r>
      <w:proofErr w:type="spellStart"/>
      <w:r w:rsidRPr="00E15A2F">
        <w:rPr>
          <w:sz w:val="24"/>
          <w:szCs w:val="24"/>
        </w:rPr>
        <w:t>fosfolipase</w:t>
      </w:r>
      <w:proofErr w:type="spellEnd"/>
      <w:r w:rsidRPr="00E15A2F">
        <w:rPr>
          <w:sz w:val="24"/>
          <w:szCs w:val="24"/>
        </w:rPr>
        <w:t xml:space="preserve"> A</w:t>
      </w:r>
      <w:r w:rsidRPr="00E15A2F">
        <w:rPr>
          <w:sz w:val="24"/>
          <w:szCs w:val="24"/>
          <w:vertAlign w:val="subscript"/>
        </w:rPr>
        <w:t>2</w:t>
      </w:r>
      <w:r w:rsidRPr="00E15A2F">
        <w:rPr>
          <w:sz w:val="24"/>
          <w:szCs w:val="24"/>
        </w:rPr>
        <w:t xml:space="preserve">. </w:t>
      </w:r>
      <w:proofErr w:type="spellStart"/>
      <w:r w:rsidRPr="00E15A2F">
        <w:rPr>
          <w:sz w:val="24"/>
          <w:szCs w:val="24"/>
        </w:rPr>
        <w:t>Kortikosteroider</w:t>
      </w:r>
      <w:proofErr w:type="spellEnd"/>
      <w:r w:rsidRPr="00E15A2F">
        <w:rPr>
          <w:sz w:val="24"/>
          <w:szCs w:val="24"/>
        </w:rPr>
        <w:t xml:space="preserve"> har desuden vist sig at reducere niveauerne af </w:t>
      </w:r>
      <w:proofErr w:type="spellStart"/>
      <w:r w:rsidRPr="00E15A2F">
        <w:rPr>
          <w:sz w:val="24"/>
          <w:szCs w:val="24"/>
        </w:rPr>
        <w:t>vaskulær</w:t>
      </w:r>
      <w:proofErr w:type="spellEnd"/>
      <w:r w:rsidRPr="00E15A2F">
        <w:rPr>
          <w:sz w:val="24"/>
          <w:szCs w:val="24"/>
        </w:rPr>
        <w:t xml:space="preserve"> </w:t>
      </w:r>
      <w:proofErr w:type="spellStart"/>
      <w:r w:rsidRPr="00E15A2F">
        <w:rPr>
          <w:sz w:val="24"/>
          <w:szCs w:val="24"/>
        </w:rPr>
        <w:t>endotel</w:t>
      </w:r>
      <w:proofErr w:type="spellEnd"/>
      <w:r w:rsidRPr="00E15A2F">
        <w:rPr>
          <w:sz w:val="24"/>
          <w:szCs w:val="24"/>
        </w:rPr>
        <w:t xml:space="preserve"> vækstfaktor; et protein, der forhøjer den </w:t>
      </w:r>
      <w:proofErr w:type="spellStart"/>
      <w:r w:rsidRPr="00E15A2F">
        <w:rPr>
          <w:sz w:val="24"/>
          <w:szCs w:val="24"/>
        </w:rPr>
        <w:t>vaskulære</w:t>
      </w:r>
      <w:proofErr w:type="spellEnd"/>
      <w:r w:rsidRPr="00E15A2F">
        <w:rPr>
          <w:sz w:val="24"/>
          <w:szCs w:val="24"/>
        </w:rPr>
        <w:t xml:space="preserve"> permeabilitet og forårsager ødem.</w:t>
      </w:r>
    </w:p>
    <w:p w:rsidR="00E24089" w:rsidRPr="00BB01E1" w:rsidRDefault="00E24089" w:rsidP="00E24089">
      <w:pPr>
        <w:ind w:left="851"/>
        <w:rPr>
          <w:sz w:val="24"/>
          <w:szCs w:val="24"/>
        </w:rPr>
      </w:pPr>
    </w:p>
    <w:p w:rsidR="00E24089" w:rsidRPr="00BB01E1" w:rsidRDefault="00E24089" w:rsidP="00E24089">
      <w:pPr>
        <w:pStyle w:val="C-BodyText"/>
        <w:spacing w:before="0" w:after="0" w:line="240" w:lineRule="auto"/>
        <w:ind w:left="851"/>
        <w:rPr>
          <w:i/>
          <w:szCs w:val="24"/>
          <w:u w:val="single"/>
          <w:lang w:val="da-DK"/>
        </w:rPr>
      </w:pPr>
      <w:r w:rsidRPr="00BB01E1">
        <w:rPr>
          <w:i/>
          <w:szCs w:val="24"/>
          <w:u w:val="single"/>
          <w:lang w:val="da-DK"/>
        </w:rPr>
        <w:t xml:space="preserve">Diabetisk </w:t>
      </w:r>
      <w:proofErr w:type="spellStart"/>
      <w:r w:rsidRPr="00BB01E1">
        <w:rPr>
          <w:i/>
          <w:szCs w:val="24"/>
          <w:u w:val="single"/>
          <w:lang w:val="da-DK"/>
        </w:rPr>
        <w:t>makulært</w:t>
      </w:r>
      <w:proofErr w:type="spellEnd"/>
      <w:r w:rsidRPr="00BB01E1">
        <w:rPr>
          <w:i/>
          <w:szCs w:val="24"/>
          <w:u w:val="single"/>
          <w:lang w:val="da-DK"/>
        </w:rPr>
        <w:t xml:space="preserve"> ødem:</w:t>
      </w:r>
    </w:p>
    <w:p w:rsidR="00E24089" w:rsidRDefault="00E24089" w:rsidP="00E24089">
      <w:pPr>
        <w:ind w:left="851"/>
        <w:rPr>
          <w:sz w:val="24"/>
          <w:szCs w:val="24"/>
        </w:rPr>
      </w:pPr>
      <w:r w:rsidRPr="00E15A2F">
        <w:rPr>
          <w:sz w:val="24"/>
          <w:szCs w:val="24"/>
        </w:rPr>
        <w:t xml:space="preserve">Effekten af </w:t>
      </w:r>
      <w:proofErr w:type="spellStart"/>
      <w:r w:rsidR="007C0D0A">
        <w:rPr>
          <w:sz w:val="24"/>
          <w:szCs w:val="24"/>
        </w:rPr>
        <w:t>Iluvien</w:t>
      </w:r>
      <w:proofErr w:type="spellEnd"/>
      <w:r w:rsidRPr="00E15A2F">
        <w:rPr>
          <w:sz w:val="24"/>
          <w:szCs w:val="24"/>
        </w:rPr>
        <w:t xml:space="preserve"> blev undersøgt i to randomiserede, dobbeltblinde, parallelle multicenterstudier med deltagelse af patienter med diabetisk </w:t>
      </w:r>
      <w:proofErr w:type="spellStart"/>
      <w:r w:rsidRPr="00E15A2F">
        <w:rPr>
          <w:sz w:val="24"/>
          <w:szCs w:val="24"/>
        </w:rPr>
        <w:t>makulært</w:t>
      </w:r>
      <w:proofErr w:type="spellEnd"/>
      <w:r w:rsidRPr="00E15A2F">
        <w:rPr>
          <w:sz w:val="24"/>
          <w:szCs w:val="24"/>
        </w:rPr>
        <w:t xml:space="preserve"> ødem, der tidligere var behandlet med laserfotokoagulation mindst én gang. Der var tre års opfølgning i hvert studie. 74,4% af deltagerne blev behandlet med 1 implantat, 21,6% med 2 implantater, 3,5% med 3 implantater, 0,5% med 4 implantater og 0% med &gt; 4 implantater). Det primære effektendemål i begge studier var andelen af deltagere, hvis syn var forbedret med mindst 15 bogstaver efter 24 måneder. I hvert af disse studier blev det primære endemål for </w:t>
      </w:r>
      <w:proofErr w:type="spellStart"/>
      <w:r w:rsidR="007C0D0A">
        <w:rPr>
          <w:sz w:val="24"/>
          <w:szCs w:val="24"/>
        </w:rPr>
        <w:t>Iluvien</w:t>
      </w:r>
      <w:proofErr w:type="spellEnd"/>
      <w:r w:rsidRPr="00E15A2F">
        <w:rPr>
          <w:sz w:val="24"/>
          <w:szCs w:val="24"/>
        </w:rPr>
        <w:t xml:space="preserve"> opfyldt (se Figur 1 med de integrerede resultater af det primære effektendemål).</w:t>
      </w:r>
    </w:p>
    <w:p w:rsidR="00E24089" w:rsidRDefault="00E24089" w:rsidP="00E24089">
      <w:pPr>
        <w:ind w:left="851"/>
        <w:rPr>
          <w:sz w:val="24"/>
          <w:szCs w:val="24"/>
        </w:rPr>
      </w:pPr>
    </w:p>
    <w:p w:rsidR="00E24089" w:rsidRPr="00E15A2F" w:rsidRDefault="00E24089" w:rsidP="00E24089">
      <w:pPr>
        <w:keepNext/>
        <w:ind w:left="1418" w:hanging="1418"/>
        <w:rPr>
          <w:sz w:val="24"/>
          <w:szCs w:val="24"/>
        </w:rPr>
      </w:pPr>
      <w:r w:rsidRPr="008D5C51">
        <w:rPr>
          <w:b/>
          <w:sz w:val="24"/>
          <w:szCs w:val="24"/>
        </w:rPr>
        <w:lastRenderedPageBreak/>
        <w:t xml:space="preserve">Figur 1:   </w:t>
      </w:r>
      <w:r>
        <w:rPr>
          <w:b/>
          <w:sz w:val="24"/>
          <w:szCs w:val="24"/>
        </w:rPr>
        <w:tab/>
      </w:r>
      <w:r w:rsidRPr="00E15A2F">
        <w:rPr>
          <w:sz w:val="24"/>
          <w:szCs w:val="24"/>
        </w:rPr>
        <w:t xml:space="preserve">Procentdel af deltagere med en forbedring på ≥ 15 bogstaver i forhold til baseline </w:t>
      </w:r>
      <w:proofErr w:type="gramStart"/>
      <w:r w:rsidRPr="00E15A2F">
        <w:rPr>
          <w:sz w:val="24"/>
          <w:szCs w:val="24"/>
        </w:rPr>
        <w:t>–  integrerede</w:t>
      </w:r>
      <w:proofErr w:type="gramEnd"/>
      <w:r w:rsidRPr="00E15A2F">
        <w:rPr>
          <w:sz w:val="24"/>
          <w:szCs w:val="24"/>
        </w:rPr>
        <w:t xml:space="preserve"> FAME-studier</w:t>
      </w:r>
    </w:p>
    <w:p w:rsidR="00E24089" w:rsidRPr="008D5C51" w:rsidRDefault="00E24089" w:rsidP="00E24089">
      <w:pPr>
        <w:spacing w:after="100"/>
        <w:rPr>
          <w:bCs/>
          <w:sz w:val="24"/>
          <w:szCs w:val="24"/>
        </w:rPr>
      </w:pPr>
      <w:r w:rsidRPr="008D5C51">
        <w:rPr>
          <w:noProof/>
          <w:sz w:val="24"/>
          <w:szCs w:val="24"/>
          <w:lang w:eastAsia="da-DK"/>
        </w:rPr>
        <w:drawing>
          <wp:anchor distT="0" distB="0" distL="114300" distR="114300" simplePos="0" relativeHeight="251659264" behindDoc="0" locked="0" layoutInCell="1" allowOverlap="1" wp14:anchorId="78FB2A50" wp14:editId="5693445C">
            <wp:simplePos x="0" y="0"/>
            <wp:positionH relativeFrom="column">
              <wp:posOffset>28575</wp:posOffset>
            </wp:positionH>
            <wp:positionV relativeFrom="paragraph">
              <wp:posOffset>130175</wp:posOffset>
            </wp:positionV>
            <wp:extent cx="5476875" cy="3457575"/>
            <wp:effectExtent l="0" t="0" r="9525" b="9525"/>
            <wp:wrapTopAndBottom/>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457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24089" w:rsidRPr="008D5C51" w:rsidRDefault="00E24089" w:rsidP="00E24089">
      <w:pPr>
        <w:spacing w:after="100"/>
        <w:ind w:left="851"/>
        <w:rPr>
          <w:b/>
          <w:sz w:val="24"/>
          <w:szCs w:val="24"/>
        </w:rPr>
      </w:pPr>
      <w:r w:rsidRPr="008D5C51">
        <w:rPr>
          <w:sz w:val="24"/>
          <w:szCs w:val="24"/>
        </w:rPr>
        <w:t xml:space="preserve">Da effekten blev vurderet som en funktion af sygdomsvarighed, havde deltagere med en varighed af diabetisk </w:t>
      </w:r>
      <w:proofErr w:type="spellStart"/>
      <w:r w:rsidRPr="008D5C51">
        <w:rPr>
          <w:sz w:val="24"/>
          <w:szCs w:val="24"/>
        </w:rPr>
        <w:t>makulært</w:t>
      </w:r>
      <w:proofErr w:type="spellEnd"/>
      <w:r w:rsidRPr="008D5C51">
        <w:rPr>
          <w:sz w:val="24"/>
          <w:szCs w:val="24"/>
        </w:rPr>
        <w:t xml:space="preserve"> ødem, der var større end medianen (≥ 3 år), en signifikant fordelagtig respons på </w:t>
      </w:r>
      <w:proofErr w:type="spellStart"/>
      <w:r w:rsidR="007C0D0A">
        <w:rPr>
          <w:sz w:val="24"/>
          <w:szCs w:val="24"/>
        </w:rPr>
        <w:t>Iluvien</w:t>
      </w:r>
      <w:proofErr w:type="spellEnd"/>
      <w:r w:rsidRPr="008D5C51">
        <w:rPr>
          <w:sz w:val="24"/>
          <w:szCs w:val="24"/>
        </w:rPr>
        <w:t xml:space="preserve">, mens deltagere med diabetisk </w:t>
      </w:r>
      <w:proofErr w:type="spellStart"/>
      <w:r w:rsidRPr="008D5C51">
        <w:rPr>
          <w:sz w:val="24"/>
          <w:szCs w:val="24"/>
        </w:rPr>
        <w:t>makulært</w:t>
      </w:r>
      <w:proofErr w:type="spellEnd"/>
      <w:r w:rsidRPr="008D5C51">
        <w:rPr>
          <w:sz w:val="24"/>
          <w:szCs w:val="24"/>
        </w:rPr>
        <w:t xml:space="preserve"> ødem af kortere varighed ikke udviste yderligere fordel i forhold til kontrolbehandlingen for så vidt angår synsforbedring (Figur 2 og 3). Disse undergruppedata understøtter indikationen i </w:t>
      </w:r>
      <w:proofErr w:type="spellStart"/>
      <w:r w:rsidRPr="008D5C51">
        <w:rPr>
          <w:sz w:val="24"/>
          <w:szCs w:val="24"/>
        </w:rPr>
        <w:t>pkt</w:t>
      </w:r>
      <w:proofErr w:type="spellEnd"/>
      <w:r w:rsidRPr="008D5C51">
        <w:rPr>
          <w:sz w:val="24"/>
          <w:szCs w:val="24"/>
        </w:rPr>
        <w:t xml:space="preserve"> 4.1 for anvendelse til patienter med kronisk diabetisk </w:t>
      </w:r>
      <w:proofErr w:type="spellStart"/>
      <w:r w:rsidRPr="008D5C51">
        <w:rPr>
          <w:sz w:val="24"/>
          <w:szCs w:val="24"/>
        </w:rPr>
        <w:t>makulært</w:t>
      </w:r>
      <w:proofErr w:type="spellEnd"/>
      <w:r w:rsidRPr="008D5C51">
        <w:rPr>
          <w:sz w:val="24"/>
          <w:szCs w:val="24"/>
        </w:rPr>
        <w:t xml:space="preserve"> ødem (dvs. af en varighed på mindst 3 år).</w:t>
      </w:r>
    </w:p>
    <w:p w:rsidR="00E24089" w:rsidRPr="008D5C51" w:rsidRDefault="00E24089" w:rsidP="00E24089">
      <w:pPr>
        <w:pStyle w:val="C-BodyText"/>
        <w:rPr>
          <w:szCs w:val="24"/>
          <w:lang w:val="da-DK"/>
        </w:rPr>
      </w:pPr>
    </w:p>
    <w:p w:rsidR="00E24089" w:rsidRPr="008D5C51" w:rsidRDefault="00E24089" w:rsidP="00E24089">
      <w:pPr>
        <w:pStyle w:val="Billedtekst"/>
        <w:rPr>
          <w:bCs w:val="0"/>
          <w:lang w:val="da-DK"/>
        </w:rPr>
      </w:pPr>
      <w:bookmarkStart w:id="9" w:name="Figure_2"/>
      <w:r w:rsidRPr="008D5C51">
        <w:rPr>
          <w:bCs w:val="0"/>
          <w:lang w:val="da-DK"/>
        </w:rPr>
        <w:br w:type="page"/>
      </w:r>
      <w:r w:rsidRPr="00E15A2F">
        <w:rPr>
          <w:bCs w:val="0"/>
          <w:lang w:val="da-DK"/>
        </w:rPr>
        <w:lastRenderedPageBreak/>
        <w:t>Figur 2:</w:t>
      </w:r>
      <w:r w:rsidRPr="008D5C51">
        <w:rPr>
          <w:b w:val="0"/>
          <w:bCs w:val="0"/>
          <w:lang w:val="da-DK"/>
        </w:rPr>
        <w:t xml:space="preserve">          Sammenligning af procentdelen af deltagere med en forbedring på ≥15 bogstaver i forhold til baseline BCVA og gennemsnitlig ændring fra </w:t>
      </w:r>
      <w:proofErr w:type="spellStart"/>
      <w:r w:rsidRPr="008D5C51">
        <w:rPr>
          <w:b w:val="0"/>
          <w:bCs w:val="0"/>
          <w:lang w:val="da-DK"/>
        </w:rPr>
        <w:t>Excess</w:t>
      </w:r>
      <w:proofErr w:type="spellEnd"/>
      <w:r w:rsidRPr="008D5C51">
        <w:rPr>
          <w:b w:val="0"/>
          <w:bCs w:val="0"/>
          <w:lang w:val="da-DK"/>
        </w:rPr>
        <w:t xml:space="preserve"> Center Point </w:t>
      </w:r>
      <w:proofErr w:type="spellStart"/>
      <w:r w:rsidRPr="008D5C51">
        <w:rPr>
          <w:b w:val="0"/>
          <w:bCs w:val="0"/>
          <w:lang w:val="da-DK"/>
        </w:rPr>
        <w:t>Thickness</w:t>
      </w:r>
      <w:proofErr w:type="spellEnd"/>
      <w:r w:rsidRPr="008D5C51">
        <w:rPr>
          <w:b w:val="0"/>
          <w:bCs w:val="0"/>
          <w:lang w:val="da-DK"/>
        </w:rPr>
        <w:t xml:space="preserve"> ved baseline efter </w:t>
      </w:r>
      <w:r w:rsidRPr="008D5C51">
        <w:rPr>
          <w:bCs w:val="0"/>
          <w:u w:val="single"/>
          <w:lang w:val="da-DK"/>
        </w:rPr>
        <w:t xml:space="preserve">undergruppe med varighed af diabetisk </w:t>
      </w:r>
      <w:proofErr w:type="spellStart"/>
      <w:r w:rsidRPr="008D5C51">
        <w:rPr>
          <w:bCs w:val="0"/>
          <w:u w:val="single"/>
          <w:lang w:val="da-DK"/>
        </w:rPr>
        <w:t>makulært</w:t>
      </w:r>
      <w:proofErr w:type="spellEnd"/>
      <w:r w:rsidRPr="008D5C51">
        <w:rPr>
          <w:bCs w:val="0"/>
          <w:u w:val="single"/>
          <w:lang w:val="da-DK"/>
        </w:rPr>
        <w:t xml:space="preserve"> ødem (DMO) på ≥ 3 år</w:t>
      </w:r>
    </w:p>
    <w:bookmarkEnd w:id="9"/>
    <w:p w:rsidR="00E24089" w:rsidRPr="008D5C51" w:rsidRDefault="00E24089" w:rsidP="00E24089">
      <w:pPr>
        <w:rPr>
          <w:sz w:val="24"/>
          <w:szCs w:val="24"/>
        </w:rPr>
      </w:pPr>
    </w:p>
    <w:tbl>
      <w:tblPr>
        <w:tblpPr w:leftFromText="180" w:rightFromText="180" w:vertAnchor="text"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8"/>
        <w:gridCol w:w="7072"/>
      </w:tblGrid>
      <w:tr w:rsidR="00E24089" w:rsidRPr="008D5C51" w:rsidTr="003B4BCE">
        <w:trPr>
          <w:cantSplit/>
          <w:trHeight w:val="5817"/>
        </w:trPr>
        <w:tc>
          <w:tcPr>
            <w:tcW w:w="488" w:type="dxa"/>
            <w:vMerge w:val="restart"/>
            <w:textDirection w:val="btLr"/>
          </w:tcPr>
          <w:p w:rsidR="00E24089" w:rsidRPr="008D5C51" w:rsidRDefault="00E24089" w:rsidP="003B4BCE">
            <w:pPr>
              <w:ind w:left="113" w:right="113"/>
              <w:jc w:val="center"/>
              <w:rPr>
                <w:b/>
                <w:sz w:val="24"/>
                <w:szCs w:val="24"/>
              </w:rPr>
            </w:pPr>
            <w:r w:rsidRPr="008D5C51">
              <w:rPr>
                <w:b/>
                <w:sz w:val="24"/>
                <w:szCs w:val="24"/>
              </w:rPr>
              <w:t>DMO ≥ 3 år</w:t>
            </w:r>
          </w:p>
        </w:tc>
        <w:tc>
          <w:tcPr>
            <w:tcW w:w="7072" w:type="dxa"/>
            <w:vAlign w:val="center"/>
          </w:tcPr>
          <w:p w:rsidR="00E24089" w:rsidRPr="008D5C51" w:rsidRDefault="00E24089" w:rsidP="003B4BCE">
            <w:pPr>
              <w:jc w:val="center"/>
              <w:rPr>
                <w:sz w:val="24"/>
                <w:szCs w:val="24"/>
              </w:rPr>
            </w:pPr>
            <w:r w:rsidRPr="008D5C51">
              <w:rPr>
                <w:noProof/>
                <w:sz w:val="24"/>
                <w:szCs w:val="24"/>
                <w:lang w:eastAsia="da-DK"/>
              </w:rPr>
              <w:drawing>
                <wp:anchor distT="0" distB="0" distL="114300" distR="114300" simplePos="0" relativeHeight="251660288" behindDoc="0" locked="0" layoutInCell="1" allowOverlap="1" wp14:anchorId="6AB25CA7" wp14:editId="57996DB3">
                  <wp:simplePos x="0" y="0"/>
                  <wp:positionH relativeFrom="column">
                    <wp:posOffset>-59055</wp:posOffset>
                  </wp:positionH>
                  <wp:positionV relativeFrom="paragraph">
                    <wp:posOffset>-3724275</wp:posOffset>
                  </wp:positionV>
                  <wp:extent cx="4180205" cy="3412490"/>
                  <wp:effectExtent l="0" t="0" r="0" b="0"/>
                  <wp:wrapSquare wrapText="bothSides"/>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0205" cy="34124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24089" w:rsidRPr="008D5C51" w:rsidTr="003B4BCE">
        <w:trPr>
          <w:trHeight w:val="5817"/>
        </w:trPr>
        <w:tc>
          <w:tcPr>
            <w:tcW w:w="488" w:type="dxa"/>
            <w:vMerge/>
          </w:tcPr>
          <w:p w:rsidR="00E24089" w:rsidRPr="008D5C51" w:rsidRDefault="00E24089" w:rsidP="003B4BCE">
            <w:pPr>
              <w:rPr>
                <w:sz w:val="24"/>
                <w:szCs w:val="24"/>
              </w:rPr>
            </w:pPr>
          </w:p>
        </w:tc>
        <w:tc>
          <w:tcPr>
            <w:tcW w:w="7072" w:type="dxa"/>
            <w:vAlign w:val="center"/>
          </w:tcPr>
          <w:p w:rsidR="00E24089" w:rsidRPr="008D5C51" w:rsidRDefault="00E24089" w:rsidP="003B4BCE">
            <w:pPr>
              <w:jc w:val="center"/>
              <w:rPr>
                <w:sz w:val="24"/>
                <w:szCs w:val="24"/>
              </w:rPr>
            </w:pPr>
            <w:r w:rsidRPr="008D5C51">
              <w:rPr>
                <w:noProof/>
                <w:sz w:val="24"/>
                <w:szCs w:val="24"/>
                <w:lang w:eastAsia="da-DK"/>
              </w:rPr>
              <w:drawing>
                <wp:anchor distT="0" distB="0" distL="114300" distR="114300" simplePos="0" relativeHeight="251661312" behindDoc="0" locked="0" layoutInCell="1" allowOverlap="1" wp14:anchorId="34124F9C" wp14:editId="3D84D682">
                  <wp:simplePos x="0" y="0"/>
                  <wp:positionH relativeFrom="column">
                    <wp:posOffset>191770</wp:posOffset>
                  </wp:positionH>
                  <wp:positionV relativeFrom="paragraph">
                    <wp:posOffset>-3268345</wp:posOffset>
                  </wp:positionV>
                  <wp:extent cx="3863340" cy="3398520"/>
                  <wp:effectExtent l="0" t="0" r="3810" b="0"/>
                  <wp:wrapTopAndBottom/>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3340" cy="3398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spacing w:after="100"/>
        <w:rPr>
          <w:b/>
          <w:color w:val="000000"/>
          <w:sz w:val="24"/>
          <w:szCs w:val="24"/>
        </w:rPr>
      </w:pPr>
    </w:p>
    <w:p w:rsidR="00E24089" w:rsidRPr="008D5C51" w:rsidRDefault="00E24089" w:rsidP="00E24089">
      <w:pPr>
        <w:pStyle w:val="Billedtekst"/>
        <w:rPr>
          <w:lang w:val="da-DK"/>
        </w:rPr>
      </w:pPr>
    </w:p>
    <w:p w:rsidR="00E24089" w:rsidRPr="008D5C51" w:rsidRDefault="00E24089" w:rsidP="00E24089">
      <w:pPr>
        <w:pStyle w:val="C-BodyText"/>
        <w:rPr>
          <w:szCs w:val="24"/>
          <w:lang w:val="da-DK"/>
        </w:rPr>
      </w:pPr>
    </w:p>
    <w:p w:rsidR="00E24089" w:rsidRPr="008D5C51" w:rsidRDefault="00E24089" w:rsidP="00E24089">
      <w:pPr>
        <w:pStyle w:val="Billedtekst"/>
        <w:rPr>
          <w:b w:val="0"/>
          <w:bCs w:val="0"/>
          <w:lang w:val="da-DK"/>
        </w:rPr>
      </w:pPr>
      <w:bookmarkStart w:id="10" w:name="Figure_3"/>
      <w:r w:rsidRPr="008D5C51">
        <w:rPr>
          <w:b w:val="0"/>
          <w:bCs w:val="0"/>
          <w:lang w:val="da-DK"/>
        </w:rPr>
        <w:br w:type="page"/>
      </w:r>
      <w:r w:rsidRPr="00E15A2F">
        <w:rPr>
          <w:bCs w:val="0"/>
          <w:lang w:val="da-DK"/>
        </w:rPr>
        <w:lastRenderedPageBreak/>
        <w:t>Figur 3:</w:t>
      </w:r>
      <w:r w:rsidRPr="008D5C51">
        <w:rPr>
          <w:b w:val="0"/>
          <w:bCs w:val="0"/>
          <w:lang w:val="da-DK"/>
        </w:rPr>
        <w:t xml:space="preserve">          Sammenligning af gennemsnitlig ændring fra </w:t>
      </w:r>
      <w:proofErr w:type="spellStart"/>
      <w:r w:rsidRPr="008D5C51">
        <w:rPr>
          <w:b w:val="0"/>
          <w:bCs w:val="0"/>
          <w:lang w:val="da-DK"/>
        </w:rPr>
        <w:t>Excess</w:t>
      </w:r>
      <w:proofErr w:type="spellEnd"/>
      <w:r w:rsidRPr="008D5C51">
        <w:rPr>
          <w:b w:val="0"/>
          <w:bCs w:val="0"/>
          <w:lang w:val="da-DK"/>
        </w:rPr>
        <w:t xml:space="preserve"> Center Point </w:t>
      </w:r>
      <w:proofErr w:type="spellStart"/>
      <w:r w:rsidRPr="008D5C51">
        <w:rPr>
          <w:b w:val="0"/>
          <w:bCs w:val="0"/>
          <w:lang w:val="da-DK"/>
        </w:rPr>
        <w:t>Thickness</w:t>
      </w:r>
      <w:proofErr w:type="spellEnd"/>
      <w:r w:rsidRPr="008D5C51">
        <w:rPr>
          <w:b w:val="0"/>
          <w:bCs w:val="0"/>
          <w:lang w:val="da-DK"/>
        </w:rPr>
        <w:t xml:space="preserve"> ved baseline og procentdelen af deltagere med en forbedring på ≥ 15 bogstaver i forhold til baseline BCVA efter </w:t>
      </w:r>
      <w:r w:rsidRPr="008D5C51">
        <w:rPr>
          <w:bCs w:val="0"/>
          <w:u w:val="single"/>
          <w:lang w:val="da-DK"/>
        </w:rPr>
        <w:t xml:space="preserve">undergruppe med varighed af diabetisk </w:t>
      </w:r>
      <w:proofErr w:type="spellStart"/>
      <w:r w:rsidRPr="008D5C51">
        <w:rPr>
          <w:bCs w:val="0"/>
          <w:u w:val="single"/>
          <w:lang w:val="da-DK"/>
        </w:rPr>
        <w:t>makulært</w:t>
      </w:r>
      <w:proofErr w:type="spellEnd"/>
      <w:r w:rsidRPr="008D5C51">
        <w:rPr>
          <w:bCs w:val="0"/>
          <w:u w:val="single"/>
          <w:lang w:val="da-DK"/>
        </w:rPr>
        <w:t xml:space="preserve"> ødem (DMO) på &lt; 3 år</w:t>
      </w:r>
      <w:bookmarkEnd w:id="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7070"/>
      </w:tblGrid>
      <w:tr w:rsidR="00E24089" w:rsidRPr="008D5C51" w:rsidTr="003B4BCE">
        <w:trPr>
          <w:cantSplit/>
          <w:trHeight w:val="5818"/>
          <w:jc w:val="center"/>
        </w:trPr>
        <w:tc>
          <w:tcPr>
            <w:tcW w:w="504" w:type="dxa"/>
            <w:vMerge w:val="restart"/>
            <w:textDirection w:val="btLr"/>
          </w:tcPr>
          <w:p w:rsidR="00E24089" w:rsidRPr="008D5C51" w:rsidRDefault="00E24089" w:rsidP="003B4BCE">
            <w:pPr>
              <w:ind w:left="113" w:right="113"/>
              <w:jc w:val="center"/>
              <w:rPr>
                <w:b/>
                <w:sz w:val="24"/>
                <w:szCs w:val="24"/>
              </w:rPr>
            </w:pPr>
            <w:r w:rsidRPr="008D5C51">
              <w:rPr>
                <w:b/>
                <w:sz w:val="24"/>
                <w:szCs w:val="24"/>
              </w:rPr>
              <w:t>DMO &lt; 3 år</w:t>
            </w:r>
          </w:p>
        </w:tc>
        <w:tc>
          <w:tcPr>
            <w:tcW w:w="7070" w:type="dxa"/>
            <w:vAlign w:val="center"/>
          </w:tcPr>
          <w:p w:rsidR="00E24089" w:rsidRPr="008D5C51" w:rsidRDefault="00E24089" w:rsidP="003B4BCE">
            <w:pPr>
              <w:jc w:val="center"/>
              <w:rPr>
                <w:sz w:val="24"/>
                <w:szCs w:val="24"/>
              </w:rPr>
            </w:pPr>
            <w:r w:rsidRPr="008D5C51">
              <w:rPr>
                <w:noProof/>
                <w:sz w:val="24"/>
                <w:szCs w:val="24"/>
                <w:lang w:eastAsia="da-DK"/>
              </w:rPr>
              <w:drawing>
                <wp:anchor distT="0" distB="0" distL="114300" distR="114300" simplePos="0" relativeHeight="251662336" behindDoc="0" locked="0" layoutInCell="1" allowOverlap="1" wp14:anchorId="2C2613F7" wp14:editId="4BD8C34C">
                  <wp:simplePos x="0" y="0"/>
                  <wp:positionH relativeFrom="column">
                    <wp:posOffset>99695</wp:posOffset>
                  </wp:positionH>
                  <wp:positionV relativeFrom="paragraph">
                    <wp:posOffset>349885</wp:posOffset>
                  </wp:positionV>
                  <wp:extent cx="3862070" cy="2927350"/>
                  <wp:effectExtent l="0" t="0" r="5080" b="6350"/>
                  <wp:wrapSquare wrapText="bothSides"/>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2070" cy="2927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E24089" w:rsidRPr="008D5C51" w:rsidTr="003B4BCE">
        <w:trPr>
          <w:trHeight w:val="5818"/>
          <w:jc w:val="center"/>
        </w:trPr>
        <w:tc>
          <w:tcPr>
            <w:tcW w:w="504" w:type="dxa"/>
            <w:vMerge/>
          </w:tcPr>
          <w:p w:rsidR="00E24089" w:rsidRPr="008D5C51" w:rsidRDefault="00E24089" w:rsidP="003B4BCE">
            <w:pPr>
              <w:rPr>
                <w:sz w:val="24"/>
                <w:szCs w:val="24"/>
              </w:rPr>
            </w:pPr>
          </w:p>
        </w:tc>
        <w:tc>
          <w:tcPr>
            <w:tcW w:w="7070" w:type="dxa"/>
            <w:vAlign w:val="center"/>
          </w:tcPr>
          <w:p w:rsidR="00E24089" w:rsidRPr="008D5C51" w:rsidRDefault="00E24089" w:rsidP="003B4BCE">
            <w:pPr>
              <w:jc w:val="center"/>
              <w:rPr>
                <w:sz w:val="24"/>
                <w:szCs w:val="24"/>
              </w:rPr>
            </w:pPr>
            <w:r w:rsidRPr="008D5C51">
              <w:rPr>
                <w:noProof/>
                <w:sz w:val="24"/>
                <w:szCs w:val="24"/>
                <w:lang w:eastAsia="da-DK"/>
              </w:rPr>
              <w:drawing>
                <wp:anchor distT="0" distB="0" distL="114300" distR="114300" simplePos="0" relativeHeight="251663360" behindDoc="0" locked="0" layoutInCell="1" allowOverlap="1" wp14:anchorId="55C908E9" wp14:editId="1C67A55E">
                  <wp:simplePos x="0" y="0"/>
                  <wp:positionH relativeFrom="column">
                    <wp:posOffset>-3917950</wp:posOffset>
                  </wp:positionH>
                  <wp:positionV relativeFrom="paragraph">
                    <wp:posOffset>222885</wp:posOffset>
                  </wp:positionV>
                  <wp:extent cx="3964940" cy="3267710"/>
                  <wp:effectExtent l="0" t="0" r="0" b="8890"/>
                  <wp:wrapSquare wrapText="bothSides"/>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4940" cy="32677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E24089" w:rsidRDefault="00E24089" w:rsidP="00E24089">
      <w:pPr>
        <w:pStyle w:val="C-BodyText"/>
        <w:ind w:left="851"/>
        <w:rPr>
          <w:szCs w:val="24"/>
          <w:lang w:val="da-DK"/>
        </w:rPr>
      </w:pPr>
    </w:p>
    <w:p w:rsidR="00B14D9E" w:rsidRDefault="00B14D9E" w:rsidP="00B14D9E">
      <w:pPr>
        <w:pStyle w:val="C-BodyText"/>
        <w:spacing w:before="0" w:after="0"/>
        <w:ind w:left="851"/>
        <w:rPr>
          <w:szCs w:val="24"/>
          <w:lang w:val="da-DK"/>
        </w:rPr>
      </w:pPr>
      <w:r>
        <w:rPr>
          <w:szCs w:val="24"/>
          <w:lang w:val="da-DK"/>
        </w:rPr>
        <w:t xml:space="preserve">Der blev fuldført et registerstudie af sikkerheden efter markedsføringen med en varighed på 6 år (M-01-12-001), IRISS-studiet, som omfattede data fra 556 patienter (695 øjne). </w:t>
      </w:r>
      <w:r>
        <w:rPr>
          <w:szCs w:val="24"/>
          <w:lang w:val="da-DK"/>
        </w:rPr>
        <w:lastRenderedPageBreak/>
        <w:t>Studiet viste ingen yderligere sikkerhedsrisici udover dem, der blev identificeret i FAME-studierne.</w:t>
      </w:r>
    </w:p>
    <w:p w:rsidR="00B14D9E" w:rsidRDefault="00B14D9E" w:rsidP="00B14D9E">
      <w:pPr>
        <w:pStyle w:val="C-BodyText"/>
        <w:spacing w:before="0" w:after="0"/>
        <w:ind w:left="851"/>
        <w:rPr>
          <w:szCs w:val="24"/>
          <w:lang w:val="da-DK"/>
        </w:rPr>
      </w:pPr>
    </w:p>
    <w:p w:rsidR="00E24089" w:rsidRPr="00BB01E1" w:rsidRDefault="00E24089" w:rsidP="00B14D9E">
      <w:pPr>
        <w:pStyle w:val="C-BodyText"/>
        <w:keepNext/>
        <w:spacing w:before="0" w:after="0"/>
        <w:ind w:left="851"/>
        <w:rPr>
          <w:i/>
          <w:szCs w:val="24"/>
          <w:u w:val="single"/>
          <w:lang w:val="da-DK"/>
        </w:rPr>
      </w:pPr>
      <w:r w:rsidRPr="00BB01E1">
        <w:rPr>
          <w:i/>
          <w:szCs w:val="24"/>
          <w:u w:val="single"/>
          <w:lang w:val="da-DK"/>
        </w:rPr>
        <w:t>Ikke</w:t>
      </w:r>
      <w:r w:rsidRPr="00BB01E1">
        <w:rPr>
          <w:i/>
          <w:szCs w:val="24"/>
          <w:u w:val="single"/>
          <w:lang w:val="da-DK"/>
        </w:rPr>
        <w:noBreakHyphen/>
        <w:t xml:space="preserve">infektiøs </w:t>
      </w:r>
      <w:proofErr w:type="spellStart"/>
      <w:r w:rsidRPr="00BB01E1">
        <w:rPr>
          <w:i/>
          <w:szCs w:val="24"/>
          <w:u w:val="single"/>
          <w:lang w:val="da-DK"/>
        </w:rPr>
        <w:t>uveitis</w:t>
      </w:r>
      <w:proofErr w:type="spellEnd"/>
      <w:r w:rsidRPr="00BB01E1">
        <w:rPr>
          <w:i/>
          <w:szCs w:val="24"/>
          <w:u w:val="single"/>
          <w:lang w:val="da-DK"/>
        </w:rPr>
        <w:t>, der påvirker det bagerste segment</w:t>
      </w:r>
    </w:p>
    <w:p w:rsidR="00E24089" w:rsidRPr="00BB01E1" w:rsidRDefault="00E24089" w:rsidP="00E24089">
      <w:pPr>
        <w:pStyle w:val="C-BodyText"/>
        <w:ind w:left="851"/>
        <w:rPr>
          <w:szCs w:val="24"/>
          <w:lang w:val="da-DK"/>
        </w:rPr>
      </w:pPr>
      <w:r w:rsidRPr="00BB01E1">
        <w:rPr>
          <w:szCs w:val="24"/>
          <w:lang w:val="da-DK"/>
        </w:rPr>
        <w:t xml:space="preserve">Udviklingsprogrammet for </w:t>
      </w:r>
      <w:proofErr w:type="spellStart"/>
      <w:r w:rsidR="007C0D0A">
        <w:rPr>
          <w:szCs w:val="24"/>
          <w:lang w:val="da-DK"/>
        </w:rPr>
        <w:t>Iluvien</w:t>
      </w:r>
      <w:proofErr w:type="spellEnd"/>
      <w:r w:rsidRPr="00BB01E1">
        <w:rPr>
          <w:szCs w:val="24"/>
          <w:lang w:val="da-DK"/>
        </w:rPr>
        <w:t xml:space="preserve"> til ikke</w:t>
      </w:r>
      <w:r w:rsidRPr="00BB01E1">
        <w:rPr>
          <w:szCs w:val="24"/>
          <w:lang w:val="da-DK"/>
        </w:rPr>
        <w:noBreakHyphen/>
        <w:t xml:space="preserve">infektiøs </w:t>
      </w:r>
      <w:proofErr w:type="spellStart"/>
      <w:r w:rsidRPr="00BB01E1">
        <w:rPr>
          <w:szCs w:val="24"/>
          <w:lang w:val="da-DK"/>
        </w:rPr>
        <w:t>uveitis</w:t>
      </w:r>
      <w:proofErr w:type="spellEnd"/>
      <w:r w:rsidRPr="00BB01E1">
        <w:rPr>
          <w:szCs w:val="24"/>
          <w:lang w:val="da-DK"/>
        </w:rPr>
        <w:t>, der påvirker det bageste segment af øjet, består af to fase 3</w:t>
      </w:r>
      <w:r w:rsidRPr="00BB01E1">
        <w:rPr>
          <w:szCs w:val="24"/>
          <w:lang w:val="da-DK"/>
        </w:rPr>
        <w:noBreakHyphen/>
        <w:t>studier til vurdering af sikkerheden og effekten af 0,2 </w:t>
      </w:r>
      <w:proofErr w:type="spellStart"/>
      <w:r w:rsidRPr="00BB01E1">
        <w:rPr>
          <w:szCs w:val="24"/>
          <w:lang w:val="da-DK"/>
        </w:rPr>
        <w:t>μg</w:t>
      </w:r>
      <w:proofErr w:type="spellEnd"/>
      <w:r w:rsidRPr="00BB01E1">
        <w:rPr>
          <w:szCs w:val="24"/>
          <w:lang w:val="da-DK"/>
        </w:rPr>
        <w:t xml:space="preserve"> </w:t>
      </w:r>
      <w:proofErr w:type="spellStart"/>
      <w:r w:rsidRPr="00BB01E1">
        <w:rPr>
          <w:szCs w:val="24"/>
          <w:lang w:val="da-DK"/>
        </w:rPr>
        <w:t>fluocinolonacetonid</w:t>
      </w:r>
      <w:proofErr w:type="spellEnd"/>
      <w:r w:rsidRPr="00BB01E1">
        <w:rPr>
          <w:szCs w:val="24"/>
          <w:lang w:val="da-DK"/>
        </w:rPr>
        <w:t xml:space="preserve"> dagligt sammenlignet med falsk injektion over en 36</w:t>
      </w:r>
      <w:r w:rsidRPr="00BB01E1">
        <w:rPr>
          <w:szCs w:val="24"/>
          <w:lang w:val="da-DK"/>
        </w:rPr>
        <w:noBreakHyphen/>
        <w:t xml:space="preserve">måneders periode. Begge studier er </w:t>
      </w:r>
      <w:proofErr w:type="spellStart"/>
      <w:r w:rsidRPr="00BB01E1">
        <w:rPr>
          <w:szCs w:val="24"/>
          <w:lang w:val="da-DK"/>
        </w:rPr>
        <w:t>prospektive</w:t>
      </w:r>
      <w:proofErr w:type="spellEnd"/>
      <w:r w:rsidRPr="00BB01E1">
        <w:rPr>
          <w:szCs w:val="24"/>
          <w:lang w:val="da-DK"/>
        </w:rPr>
        <w:t xml:space="preserve">, randomiserede, dobbeltblindede, falsk injektion kontrollerede, multicenterstudier med sammenlagt 282 patienter, som enten fik en enkelt behandling med </w:t>
      </w:r>
      <w:proofErr w:type="spellStart"/>
      <w:r w:rsidRPr="00BB01E1">
        <w:rPr>
          <w:szCs w:val="24"/>
          <w:lang w:val="da-DK"/>
        </w:rPr>
        <w:t>fluocinolonacetonid</w:t>
      </w:r>
      <w:proofErr w:type="spellEnd"/>
      <w:r w:rsidRPr="00BB01E1">
        <w:rPr>
          <w:szCs w:val="24"/>
          <w:lang w:val="da-DK"/>
        </w:rPr>
        <w:t xml:space="preserve"> (188 deltagere) eller falsk injektion (94 deltagere). </w:t>
      </w:r>
      <w:proofErr w:type="spellStart"/>
      <w:r w:rsidRPr="00BB01E1">
        <w:rPr>
          <w:szCs w:val="24"/>
          <w:lang w:val="da-DK"/>
        </w:rPr>
        <w:t>Eligibilitetskriterierne</w:t>
      </w:r>
      <w:proofErr w:type="spellEnd"/>
      <w:r w:rsidRPr="00BB01E1">
        <w:rPr>
          <w:szCs w:val="24"/>
          <w:lang w:val="da-DK"/>
        </w:rPr>
        <w:t xml:space="preserve"> blev designet til at </w:t>
      </w:r>
      <w:proofErr w:type="spellStart"/>
      <w:r w:rsidRPr="00BB01E1">
        <w:rPr>
          <w:szCs w:val="24"/>
          <w:lang w:val="da-DK"/>
        </w:rPr>
        <w:t>indrulle</w:t>
      </w:r>
      <w:proofErr w:type="spellEnd"/>
      <w:r w:rsidRPr="00BB01E1">
        <w:rPr>
          <w:szCs w:val="24"/>
          <w:lang w:val="da-DK"/>
        </w:rPr>
        <w:t xml:space="preserve"> deltagere med tilbagefald eller persisterende sygdom. Baseline</w:t>
      </w:r>
      <w:r w:rsidRPr="00BB01E1">
        <w:rPr>
          <w:i/>
          <w:szCs w:val="24"/>
          <w:lang w:val="da-DK"/>
        </w:rPr>
        <w:t xml:space="preserve"> </w:t>
      </w:r>
      <w:proofErr w:type="spellStart"/>
      <w:r w:rsidRPr="00BB01E1">
        <w:rPr>
          <w:szCs w:val="24"/>
          <w:lang w:val="da-DK"/>
        </w:rPr>
        <w:t>okulære</w:t>
      </w:r>
      <w:proofErr w:type="spellEnd"/>
      <w:r w:rsidRPr="00BB01E1">
        <w:rPr>
          <w:szCs w:val="24"/>
          <w:lang w:val="da-DK"/>
        </w:rPr>
        <w:t xml:space="preserve"> karakteristika hos patienter </w:t>
      </w:r>
      <w:proofErr w:type="spellStart"/>
      <w:r w:rsidRPr="00BB01E1">
        <w:rPr>
          <w:szCs w:val="24"/>
          <w:lang w:val="da-DK"/>
        </w:rPr>
        <w:t>indrullet</w:t>
      </w:r>
      <w:proofErr w:type="spellEnd"/>
      <w:r w:rsidRPr="00BB01E1">
        <w:rPr>
          <w:szCs w:val="24"/>
          <w:lang w:val="da-DK"/>
        </w:rPr>
        <w:t xml:space="preserve"> i studierne er anført i tabel 2:</w:t>
      </w:r>
    </w:p>
    <w:p w:rsidR="00E24089" w:rsidRPr="00BB01E1" w:rsidRDefault="00E24089" w:rsidP="00E24089">
      <w:pPr>
        <w:pStyle w:val="C-BodyText"/>
        <w:ind w:left="851"/>
        <w:rPr>
          <w:szCs w:val="24"/>
          <w:lang w:val="da-DK"/>
        </w:rPr>
      </w:pPr>
    </w:p>
    <w:p w:rsidR="00E24089" w:rsidRPr="00BB01E1" w:rsidRDefault="00E24089" w:rsidP="00E24089">
      <w:pPr>
        <w:pStyle w:val="C-BodyText"/>
        <w:rPr>
          <w:b/>
          <w:szCs w:val="24"/>
          <w:lang w:val="da-DK"/>
        </w:rPr>
      </w:pPr>
      <w:r w:rsidRPr="00BB01E1">
        <w:rPr>
          <w:b/>
          <w:szCs w:val="24"/>
          <w:lang w:val="da-DK"/>
        </w:rPr>
        <w:t xml:space="preserve">Tabel 2: Baseline </w:t>
      </w:r>
      <w:proofErr w:type="spellStart"/>
      <w:r w:rsidRPr="00BB01E1">
        <w:rPr>
          <w:b/>
          <w:szCs w:val="24"/>
          <w:lang w:val="da-DK"/>
        </w:rPr>
        <w:t>okulære</w:t>
      </w:r>
      <w:proofErr w:type="spellEnd"/>
      <w:r w:rsidRPr="00BB01E1">
        <w:rPr>
          <w:b/>
          <w:szCs w:val="24"/>
          <w:lang w:val="da-DK"/>
        </w:rPr>
        <w:t xml:space="preserve"> karakteristika for studieøjet (Intent To </w:t>
      </w:r>
      <w:proofErr w:type="spellStart"/>
      <w:r w:rsidRPr="00BB01E1">
        <w:rPr>
          <w:b/>
          <w:szCs w:val="24"/>
          <w:lang w:val="da-DK"/>
        </w:rPr>
        <w:t>Treat</w:t>
      </w:r>
      <w:proofErr w:type="spellEnd"/>
      <w:r w:rsidRPr="00BB01E1">
        <w:rPr>
          <w:b/>
          <w:szCs w:val="24"/>
          <w:lang w:val="da-DK"/>
        </w:rPr>
        <w:t xml:space="preserve"> (ITT) population): PSV-FAI-001 og PSV-FAI-005</w:t>
      </w:r>
    </w:p>
    <w:tbl>
      <w:tblPr>
        <w:tblW w:w="0" w:type="dxa"/>
        <w:tblInd w:w="250" w:type="dxa"/>
        <w:tblLayout w:type="fixed"/>
        <w:tblLook w:val="04A0" w:firstRow="1" w:lastRow="0" w:firstColumn="1" w:lastColumn="0" w:noHBand="0" w:noVBand="1"/>
      </w:tblPr>
      <w:tblGrid>
        <w:gridCol w:w="2552"/>
        <w:gridCol w:w="1701"/>
        <w:gridCol w:w="1275"/>
        <w:gridCol w:w="1701"/>
        <w:gridCol w:w="1276"/>
      </w:tblGrid>
      <w:tr w:rsidR="00E24089" w:rsidTr="003B4BCE">
        <w:trPr>
          <w:trHeight w:val="300"/>
        </w:trPr>
        <w:tc>
          <w:tcPr>
            <w:tcW w:w="8505" w:type="dxa"/>
            <w:gridSpan w:val="5"/>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jc w:val="center"/>
              <w:rPr>
                <w:b/>
                <w:color w:val="000000"/>
                <w:sz w:val="20"/>
                <w:lang w:eastAsia="en-GB"/>
              </w:rPr>
            </w:pPr>
            <w:r>
              <w:rPr>
                <w:b/>
                <w:color w:val="000000"/>
                <w:sz w:val="20"/>
                <w:lang w:eastAsia="en-GB"/>
              </w:rPr>
              <w:t>ITT-population</w:t>
            </w:r>
          </w:p>
        </w:tc>
      </w:tr>
      <w:tr w:rsidR="00E24089" w:rsidTr="003B4BCE">
        <w:trPr>
          <w:trHeight w:val="300"/>
        </w:trPr>
        <w:tc>
          <w:tcPr>
            <w:tcW w:w="2552" w:type="dxa"/>
            <w:tcBorders>
              <w:top w:val="single" w:sz="4" w:space="0" w:color="auto"/>
              <w:left w:val="single" w:sz="4" w:space="0" w:color="auto"/>
              <w:bottom w:val="single" w:sz="4" w:space="0" w:color="auto"/>
              <w:right w:val="single" w:sz="4" w:space="0" w:color="auto"/>
            </w:tcBorders>
            <w:vAlign w:val="center"/>
            <w:hideMark/>
          </w:tcPr>
          <w:p w:rsidR="00E24089" w:rsidRDefault="00E24089" w:rsidP="003B4BCE">
            <w:pPr>
              <w:rPr>
                <w:color w:val="000000"/>
                <w:sz w:val="20"/>
                <w:lang w:eastAsia="en-GB"/>
              </w:rPr>
            </w:pPr>
            <w:r>
              <w:rPr>
                <w:color w:val="000000"/>
                <w:sz w:val="20"/>
                <w:lang w:eastAsia="en-GB"/>
              </w:rPr>
              <w:t> </w:t>
            </w:r>
          </w:p>
        </w:tc>
        <w:tc>
          <w:tcPr>
            <w:tcW w:w="2976" w:type="dxa"/>
            <w:gridSpan w:val="2"/>
            <w:tcBorders>
              <w:top w:val="single" w:sz="4" w:space="0" w:color="auto"/>
              <w:left w:val="nil"/>
              <w:bottom w:val="single" w:sz="4" w:space="0" w:color="auto"/>
              <w:right w:val="single" w:sz="4" w:space="0" w:color="auto"/>
            </w:tcBorders>
            <w:vAlign w:val="center"/>
            <w:hideMark/>
          </w:tcPr>
          <w:p w:rsidR="00E24089" w:rsidRDefault="00E24089" w:rsidP="003B4BCE">
            <w:pPr>
              <w:jc w:val="center"/>
              <w:rPr>
                <w:b/>
                <w:color w:val="000000"/>
                <w:sz w:val="20"/>
                <w:lang w:eastAsia="en-GB"/>
              </w:rPr>
            </w:pPr>
            <w:r>
              <w:rPr>
                <w:b/>
                <w:color w:val="000000"/>
                <w:sz w:val="20"/>
                <w:lang w:eastAsia="en-GB"/>
              </w:rPr>
              <w:t>PSV-FAI-001</w:t>
            </w:r>
          </w:p>
        </w:tc>
        <w:tc>
          <w:tcPr>
            <w:tcW w:w="2977" w:type="dxa"/>
            <w:gridSpan w:val="2"/>
            <w:tcBorders>
              <w:top w:val="single" w:sz="4" w:space="0" w:color="auto"/>
              <w:left w:val="nil"/>
              <w:bottom w:val="single" w:sz="4" w:space="0" w:color="auto"/>
              <w:right w:val="single" w:sz="4" w:space="0" w:color="auto"/>
            </w:tcBorders>
            <w:vAlign w:val="center"/>
            <w:hideMark/>
          </w:tcPr>
          <w:p w:rsidR="00E24089" w:rsidRDefault="00E24089" w:rsidP="003B4BCE">
            <w:pPr>
              <w:jc w:val="center"/>
              <w:rPr>
                <w:b/>
                <w:color w:val="000000"/>
                <w:sz w:val="20"/>
                <w:lang w:eastAsia="en-GB"/>
              </w:rPr>
            </w:pPr>
            <w:r>
              <w:rPr>
                <w:b/>
                <w:color w:val="000000"/>
                <w:sz w:val="20"/>
                <w:lang w:eastAsia="en-GB"/>
              </w:rPr>
              <w:t>PSV-FAI-005</w:t>
            </w:r>
          </w:p>
        </w:tc>
      </w:tr>
      <w:tr w:rsidR="00E24089" w:rsidTr="003B4BCE">
        <w:trPr>
          <w:trHeight w:val="636"/>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rPr>
                <w:color w:val="000000"/>
                <w:sz w:val="20"/>
                <w:lang w:eastAsia="en-GB"/>
              </w:rPr>
            </w:pPr>
            <w:r>
              <w:rPr>
                <w:color w:val="000000"/>
                <w:sz w:val="20"/>
                <w:lang w:eastAsia="en-GB"/>
              </w:rPr>
              <w:t> </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b/>
                <w:color w:val="000000"/>
                <w:sz w:val="20"/>
                <w:lang w:eastAsia="en-GB"/>
              </w:rPr>
            </w:pPr>
            <w:r>
              <w:rPr>
                <w:b/>
                <w:color w:val="000000"/>
                <w:sz w:val="20"/>
                <w:lang w:eastAsia="en-GB"/>
              </w:rPr>
              <w:t>FAI implantat</w:t>
            </w:r>
            <w:r>
              <w:rPr>
                <w:b/>
                <w:color w:val="000000"/>
                <w:sz w:val="20"/>
                <w:lang w:eastAsia="en-GB"/>
              </w:rPr>
              <w:br/>
              <w:t>(N=87)</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b/>
                <w:color w:val="000000"/>
                <w:sz w:val="20"/>
                <w:lang w:eastAsia="en-GB"/>
              </w:rPr>
            </w:pPr>
            <w:r>
              <w:rPr>
                <w:b/>
                <w:color w:val="000000"/>
                <w:sz w:val="20"/>
                <w:lang w:eastAsia="en-GB"/>
              </w:rPr>
              <w:t>Falsk</w:t>
            </w:r>
            <w:r>
              <w:rPr>
                <w:b/>
                <w:color w:val="000000"/>
                <w:sz w:val="20"/>
                <w:lang w:eastAsia="en-GB"/>
              </w:rPr>
              <w:br/>
              <w:t>(N=42)</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b/>
                <w:color w:val="000000"/>
                <w:sz w:val="20"/>
                <w:lang w:eastAsia="en-GB"/>
              </w:rPr>
            </w:pPr>
            <w:r>
              <w:rPr>
                <w:b/>
                <w:color w:val="000000"/>
                <w:sz w:val="20"/>
                <w:lang w:eastAsia="en-GB"/>
              </w:rPr>
              <w:t>FAI implantat</w:t>
            </w:r>
            <w:r>
              <w:rPr>
                <w:b/>
                <w:color w:val="000000"/>
                <w:sz w:val="20"/>
                <w:lang w:eastAsia="en-GB"/>
              </w:rPr>
              <w:br/>
              <w:t>(N=101)</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b/>
                <w:color w:val="000000"/>
                <w:sz w:val="20"/>
                <w:lang w:eastAsia="en-GB"/>
              </w:rPr>
            </w:pPr>
            <w:r>
              <w:rPr>
                <w:b/>
                <w:color w:val="000000"/>
                <w:sz w:val="20"/>
                <w:lang w:eastAsia="en-GB"/>
              </w:rPr>
              <w:t>Falsk</w:t>
            </w:r>
            <w:r>
              <w:rPr>
                <w:b/>
                <w:color w:val="000000"/>
                <w:sz w:val="20"/>
                <w:lang w:eastAsia="en-GB"/>
              </w:rPr>
              <w:br/>
              <w:t>(N=52)</w:t>
            </w:r>
          </w:p>
        </w:tc>
      </w:tr>
      <w:tr w:rsidR="00E24089" w:rsidTr="003B4BCE">
        <w:trPr>
          <w:trHeight w:val="420"/>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proofErr w:type="gramStart"/>
            <w:r>
              <w:rPr>
                <w:color w:val="000000"/>
                <w:sz w:val="20"/>
                <w:lang w:eastAsia="en-GB"/>
              </w:rPr>
              <w:t>BCVA bogstaver</w:t>
            </w:r>
            <w:proofErr w:type="gramEnd"/>
            <w:r>
              <w:rPr>
                <w:color w:val="000000"/>
                <w:sz w:val="20"/>
                <w:lang w:eastAsia="en-GB"/>
              </w:rPr>
              <w:t>, gennemsnit (SD)</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66,9 (15,49)</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64,9 (15,53)</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66,4 (15,85)</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63,6 (16,82)</w:t>
            </w:r>
          </w:p>
        </w:tc>
      </w:tr>
      <w:tr w:rsidR="00E24089" w:rsidTr="003B4BCE">
        <w:trPr>
          <w:trHeight w:val="492"/>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proofErr w:type="spellStart"/>
            <w:r>
              <w:rPr>
                <w:color w:val="000000"/>
                <w:sz w:val="20"/>
                <w:lang w:eastAsia="en-GB"/>
              </w:rPr>
              <w:t>Glaslegemeuklarhed</w:t>
            </w:r>
            <w:proofErr w:type="spellEnd"/>
            <w:r>
              <w:rPr>
                <w:color w:val="000000"/>
                <w:sz w:val="20"/>
                <w:lang w:eastAsia="en-GB"/>
              </w:rPr>
              <w:t xml:space="preserve"> sværhedsgrad</w:t>
            </w:r>
            <w:r>
              <w:rPr>
                <w:color w:val="000000"/>
                <w:sz w:val="20"/>
                <w:lang w:eastAsia="en-GB"/>
              </w:rPr>
              <w:br/>
              <w:t>0/0,5+</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48 (55,2)</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21 (50,0)</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37 (36,6)</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14 (27,0)</w:t>
            </w:r>
          </w:p>
        </w:tc>
      </w:tr>
      <w:tr w:rsidR="00E24089" w:rsidTr="003B4BCE">
        <w:trPr>
          <w:trHeight w:val="264"/>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1/2+</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39 (44,8)</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21 (50,0)</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64 (63,3)</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38 (73,1)</w:t>
            </w:r>
          </w:p>
        </w:tc>
      </w:tr>
      <w:tr w:rsidR="00E24089" w:rsidTr="003B4BCE">
        <w:trPr>
          <w:trHeight w:val="265"/>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sz w:val="20"/>
              </w:rPr>
              <w:t>3/4+</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0</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0</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0</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0</w:t>
            </w:r>
          </w:p>
        </w:tc>
      </w:tr>
      <w:tr w:rsidR="00E24089" w:rsidTr="003B4BCE">
        <w:trPr>
          <w:trHeight w:val="552"/>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Celler i det forreste kammer</w:t>
            </w:r>
            <w:r>
              <w:rPr>
                <w:color w:val="000000"/>
                <w:sz w:val="20"/>
                <w:lang w:eastAsia="en-GB"/>
              </w:rPr>
              <w:br/>
              <w:t>0/0,5+</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77 (88,5)</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33 (78,6)</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93 (92,0)</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49 (94,3)</w:t>
            </w:r>
          </w:p>
        </w:tc>
      </w:tr>
      <w:tr w:rsidR="00E24089" w:rsidTr="003B4BCE">
        <w:trPr>
          <w:trHeight w:val="288"/>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1/2+</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10 (11,5)</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9 (21,4)</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8 (7,9)</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3 (5,8)</w:t>
            </w:r>
          </w:p>
        </w:tc>
      </w:tr>
      <w:tr w:rsidR="00E24089" w:rsidTr="003B4BCE">
        <w:trPr>
          <w:trHeight w:val="267"/>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3/4+</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0</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0</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0</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0</w:t>
            </w:r>
          </w:p>
        </w:tc>
      </w:tr>
      <w:tr w:rsidR="00E24089" w:rsidTr="003B4BCE">
        <w:trPr>
          <w:trHeight w:val="492"/>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proofErr w:type="spellStart"/>
            <w:r>
              <w:rPr>
                <w:color w:val="000000"/>
                <w:sz w:val="20"/>
                <w:lang w:eastAsia="en-GB"/>
              </w:rPr>
              <w:t>Intraokulært</w:t>
            </w:r>
            <w:proofErr w:type="spellEnd"/>
            <w:r>
              <w:rPr>
                <w:color w:val="000000"/>
                <w:sz w:val="20"/>
                <w:lang w:eastAsia="en-GB"/>
              </w:rPr>
              <w:t xml:space="preserve"> tryk (IOP)</w:t>
            </w:r>
          </w:p>
          <w:p w:rsidR="00E24089" w:rsidRDefault="00E24089" w:rsidP="003B4BCE">
            <w:pPr>
              <w:jc w:val="center"/>
              <w:rPr>
                <w:color w:val="000000"/>
                <w:sz w:val="20"/>
                <w:lang w:eastAsia="en-GB"/>
              </w:rPr>
            </w:pPr>
            <w:r>
              <w:rPr>
                <w:color w:val="000000"/>
                <w:sz w:val="20"/>
                <w:lang w:eastAsia="en-GB"/>
              </w:rPr>
              <w:t>gennemsnit (SD)</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13,9 (3,12)</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13,6 (3,15)</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13,3 (3,07)</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13,1 (2,60)</w:t>
            </w:r>
          </w:p>
        </w:tc>
      </w:tr>
      <w:tr w:rsidR="00E24089" w:rsidTr="003B4BCE">
        <w:trPr>
          <w:trHeight w:val="492"/>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 xml:space="preserve">Sværhedsgrad af </w:t>
            </w:r>
            <w:proofErr w:type="spellStart"/>
            <w:r>
              <w:rPr>
                <w:color w:val="000000"/>
                <w:sz w:val="20"/>
                <w:lang w:eastAsia="en-GB"/>
              </w:rPr>
              <w:t>makulært</w:t>
            </w:r>
            <w:proofErr w:type="spellEnd"/>
            <w:r>
              <w:rPr>
                <w:color w:val="000000"/>
                <w:sz w:val="20"/>
                <w:lang w:eastAsia="en-GB"/>
              </w:rPr>
              <w:t xml:space="preserve"> ødem (</w:t>
            </w:r>
            <w:proofErr w:type="spellStart"/>
            <w:r>
              <w:rPr>
                <w:color w:val="000000"/>
                <w:sz w:val="20"/>
                <w:lang w:eastAsia="en-GB"/>
              </w:rPr>
              <w:t>μm</w:t>
            </w:r>
            <w:proofErr w:type="spellEnd"/>
            <w:r>
              <w:rPr>
                <w:color w:val="000000"/>
                <w:sz w:val="20"/>
                <w:lang w:eastAsia="en-GB"/>
              </w:rPr>
              <w:t>)</w:t>
            </w:r>
            <w:r>
              <w:rPr>
                <w:color w:val="000000"/>
                <w:sz w:val="20"/>
                <w:lang w:eastAsia="en-GB"/>
              </w:rPr>
              <w:br/>
              <w:t>CST &lt; 300</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37 (42,5)</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14 (33,3)</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70 (69,3)</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36 (69,2)</w:t>
            </w:r>
          </w:p>
        </w:tc>
      </w:tr>
      <w:tr w:rsidR="00E24089" w:rsidTr="003B4BCE">
        <w:trPr>
          <w:trHeight w:val="288"/>
        </w:trPr>
        <w:tc>
          <w:tcPr>
            <w:tcW w:w="2552" w:type="dxa"/>
            <w:tcBorders>
              <w:top w:val="nil"/>
              <w:left w:val="single" w:sz="4" w:space="0" w:color="auto"/>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CST ≥ 300</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48 (55,2)</w:t>
            </w:r>
          </w:p>
        </w:tc>
        <w:tc>
          <w:tcPr>
            <w:tcW w:w="1275"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27 (64,3)</w:t>
            </w:r>
          </w:p>
        </w:tc>
        <w:tc>
          <w:tcPr>
            <w:tcW w:w="1701"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30 (29,7)</w:t>
            </w:r>
          </w:p>
        </w:tc>
        <w:tc>
          <w:tcPr>
            <w:tcW w:w="1276" w:type="dxa"/>
            <w:tcBorders>
              <w:top w:val="nil"/>
              <w:left w:val="nil"/>
              <w:bottom w:val="single" w:sz="4" w:space="0" w:color="auto"/>
              <w:right w:val="single" w:sz="4" w:space="0" w:color="auto"/>
            </w:tcBorders>
            <w:vAlign w:val="center"/>
            <w:hideMark/>
          </w:tcPr>
          <w:p w:rsidR="00E24089" w:rsidRDefault="00E24089" w:rsidP="003B4BCE">
            <w:pPr>
              <w:jc w:val="center"/>
              <w:rPr>
                <w:color w:val="000000"/>
                <w:sz w:val="20"/>
                <w:lang w:eastAsia="en-GB"/>
              </w:rPr>
            </w:pPr>
            <w:r>
              <w:rPr>
                <w:color w:val="000000"/>
                <w:sz w:val="20"/>
                <w:lang w:eastAsia="en-GB"/>
              </w:rPr>
              <w:t>14 (26,9)</w:t>
            </w:r>
          </w:p>
        </w:tc>
      </w:tr>
    </w:tbl>
    <w:p w:rsidR="00E24089" w:rsidRDefault="00E24089" w:rsidP="00E24089">
      <w:pPr>
        <w:pStyle w:val="C-BodyText"/>
        <w:rPr>
          <w:sz w:val="20"/>
          <w:lang w:val="da-DK"/>
        </w:rPr>
      </w:pPr>
      <w:r>
        <w:rPr>
          <w:sz w:val="20"/>
          <w:lang w:val="da-DK"/>
        </w:rPr>
        <w:t>BVCA = bedst korrigerede synsskarphed; CST = tykkelse af centralt underfelt: SD = standardafvigelse</w:t>
      </w:r>
    </w:p>
    <w:p w:rsidR="00E24089" w:rsidRDefault="00E24089" w:rsidP="00E24089">
      <w:pPr>
        <w:pStyle w:val="C-BodyText"/>
        <w:spacing w:before="0" w:after="0" w:line="240" w:lineRule="auto"/>
        <w:rPr>
          <w:sz w:val="20"/>
          <w:lang w:val="da-DK"/>
        </w:rPr>
      </w:pPr>
      <w:r>
        <w:rPr>
          <w:sz w:val="20"/>
          <w:lang w:val="da-DK"/>
        </w:rPr>
        <w:t>Data er antal (%) medmindre andet er angivet.</w:t>
      </w:r>
    </w:p>
    <w:p w:rsidR="00E24089" w:rsidRDefault="00E24089" w:rsidP="00E24089">
      <w:pPr>
        <w:pStyle w:val="C-BodyText"/>
        <w:rPr>
          <w:sz w:val="22"/>
          <w:szCs w:val="22"/>
          <w:lang w:val="da-DK"/>
        </w:rPr>
      </w:pPr>
    </w:p>
    <w:p w:rsidR="00E24089" w:rsidRPr="00BB01E1" w:rsidRDefault="00E24089" w:rsidP="00E24089">
      <w:pPr>
        <w:pStyle w:val="C-BodyText"/>
        <w:spacing w:before="0" w:after="0"/>
        <w:ind w:left="851"/>
        <w:rPr>
          <w:szCs w:val="24"/>
          <w:lang w:val="da-DK"/>
        </w:rPr>
      </w:pPr>
      <w:r w:rsidRPr="00BB01E1">
        <w:rPr>
          <w:szCs w:val="24"/>
          <w:lang w:val="da-DK"/>
        </w:rPr>
        <w:t xml:space="preserve">Det </w:t>
      </w:r>
      <w:bookmarkStart w:id="11" w:name="_Hlk4746414"/>
      <w:r w:rsidRPr="00BB01E1">
        <w:rPr>
          <w:szCs w:val="24"/>
          <w:lang w:val="da-DK"/>
        </w:rPr>
        <w:t xml:space="preserve">primære effektmål </w:t>
      </w:r>
      <w:bookmarkEnd w:id="11"/>
      <w:r w:rsidRPr="00BB01E1">
        <w:rPr>
          <w:szCs w:val="24"/>
          <w:lang w:val="da-DK"/>
        </w:rPr>
        <w:t xml:space="preserve">var baseret på andelen af deltagere med fravær af tilbagefald </w:t>
      </w:r>
      <w:proofErr w:type="gramStart"/>
      <w:r w:rsidRPr="00BB01E1">
        <w:rPr>
          <w:szCs w:val="24"/>
          <w:lang w:val="da-DK"/>
        </w:rPr>
        <w:t xml:space="preserve">af  </w:t>
      </w:r>
      <w:proofErr w:type="spellStart"/>
      <w:r w:rsidRPr="00BB01E1">
        <w:rPr>
          <w:szCs w:val="24"/>
          <w:lang w:val="da-DK"/>
        </w:rPr>
        <w:t>uveitis</w:t>
      </w:r>
      <w:proofErr w:type="spellEnd"/>
      <w:proofErr w:type="gramEnd"/>
      <w:r w:rsidRPr="00BB01E1">
        <w:rPr>
          <w:szCs w:val="24"/>
          <w:lang w:val="da-DK"/>
        </w:rPr>
        <w:t xml:space="preserve"> mellem </w:t>
      </w:r>
      <w:proofErr w:type="spellStart"/>
      <w:r w:rsidRPr="00BB01E1">
        <w:rPr>
          <w:szCs w:val="24"/>
          <w:lang w:val="da-DK"/>
        </w:rPr>
        <w:t>randomisering</w:t>
      </w:r>
      <w:proofErr w:type="spellEnd"/>
      <w:r w:rsidRPr="00BB01E1">
        <w:rPr>
          <w:szCs w:val="24"/>
          <w:lang w:val="da-DK"/>
        </w:rPr>
        <w:t xml:space="preserve"> og måned 6, hvor tilbagefald blev defineret som:</w:t>
      </w:r>
    </w:p>
    <w:p w:rsidR="00E24089" w:rsidRPr="00BB01E1" w:rsidRDefault="00E24089" w:rsidP="00E24089">
      <w:pPr>
        <w:pStyle w:val="C-BodyText"/>
        <w:spacing w:before="0" w:after="0"/>
        <w:ind w:left="851"/>
        <w:rPr>
          <w:szCs w:val="24"/>
          <w:lang w:val="da-DK"/>
        </w:rPr>
      </w:pPr>
      <w:r w:rsidRPr="00BB01E1">
        <w:rPr>
          <w:szCs w:val="24"/>
          <w:lang w:val="da-DK"/>
        </w:rPr>
        <w:t xml:space="preserve">(a) ≥ 2 trinforøgelse i antal celler pr. high power </w:t>
      </w:r>
      <w:proofErr w:type="spellStart"/>
      <w:r w:rsidRPr="00BB01E1">
        <w:rPr>
          <w:szCs w:val="24"/>
          <w:lang w:val="da-DK"/>
        </w:rPr>
        <w:t>field</w:t>
      </w:r>
      <w:proofErr w:type="spellEnd"/>
      <w:r w:rsidRPr="00BB01E1">
        <w:rPr>
          <w:szCs w:val="24"/>
          <w:lang w:val="da-DK"/>
        </w:rPr>
        <w:t xml:space="preserve"> sammenlignet med baseline eller et vilkårligt besøgstidspunkt før måned 6; eller</w:t>
      </w:r>
    </w:p>
    <w:p w:rsidR="00E24089" w:rsidRPr="00BB01E1" w:rsidRDefault="00E24089" w:rsidP="00E24089">
      <w:pPr>
        <w:pStyle w:val="C-BodyText"/>
        <w:ind w:left="851"/>
        <w:rPr>
          <w:szCs w:val="24"/>
          <w:lang w:val="da-DK"/>
        </w:rPr>
      </w:pPr>
      <w:r w:rsidRPr="00BB01E1">
        <w:rPr>
          <w:szCs w:val="24"/>
          <w:lang w:val="da-DK"/>
        </w:rPr>
        <w:t xml:space="preserve">(b) en stigning i </w:t>
      </w:r>
      <w:proofErr w:type="spellStart"/>
      <w:r w:rsidRPr="00BB01E1">
        <w:rPr>
          <w:szCs w:val="24"/>
          <w:lang w:val="da-DK"/>
        </w:rPr>
        <w:t>glaslegemeuklarhed</w:t>
      </w:r>
      <w:proofErr w:type="spellEnd"/>
      <w:r w:rsidRPr="00BB01E1">
        <w:rPr>
          <w:szCs w:val="24"/>
          <w:lang w:val="da-DK"/>
        </w:rPr>
        <w:t xml:space="preserve"> på ≥ 2 trin sammenlignet med baseline eller et vilkårligt besøgstidspunkt før måned 6; eller</w:t>
      </w:r>
    </w:p>
    <w:p w:rsidR="00E24089" w:rsidRPr="00BB01E1" w:rsidRDefault="00E24089" w:rsidP="00E24089">
      <w:pPr>
        <w:pStyle w:val="C-BodyText"/>
        <w:ind w:left="851"/>
        <w:rPr>
          <w:szCs w:val="24"/>
          <w:lang w:val="da-DK"/>
        </w:rPr>
      </w:pPr>
      <w:r w:rsidRPr="00BB01E1">
        <w:rPr>
          <w:szCs w:val="24"/>
          <w:lang w:val="da-DK"/>
        </w:rPr>
        <w:lastRenderedPageBreak/>
        <w:t>(c) et tab af bedst korrigeret synsskarphed på ≥ 15 bogstaver sammenlignet med baseline på et vilkårligt besøgstidspunkt før måned 6.</w:t>
      </w:r>
    </w:p>
    <w:p w:rsidR="00E24089" w:rsidRPr="00BB01E1" w:rsidRDefault="00E24089" w:rsidP="00E24089">
      <w:pPr>
        <w:pStyle w:val="C-BodyText"/>
        <w:ind w:left="851"/>
        <w:rPr>
          <w:szCs w:val="24"/>
          <w:lang w:val="da-DK"/>
        </w:rPr>
      </w:pPr>
      <w:r w:rsidRPr="00BB01E1">
        <w:rPr>
          <w:szCs w:val="24"/>
          <w:lang w:val="da-DK"/>
        </w:rPr>
        <w:t>Ethvert kriterium, der blev brugt til at definere tilbagefald, skulle kun kunne henføres til ikke</w:t>
      </w:r>
      <w:r w:rsidRPr="00BB01E1">
        <w:rPr>
          <w:szCs w:val="24"/>
          <w:lang w:val="da-DK"/>
        </w:rPr>
        <w:noBreakHyphen/>
        <w:t xml:space="preserve">infektiøs </w:t>
      </w:r>
      <w:proofErr w:type="spellStart"/>
      <w:r w:rsidRPr="00BB01E1">
        <w:rPr>
          <w:szCs w:val="24"/>
          <w:lang w:val="da-DK"/>
        </w:rPr>
        <w:t>uveitis</w:t>
      </w:r>
      <w:proofErr w:type="spellEnd"/>
      <w:r w:rsidRPr="00BB01E1">
        <w:rPr>
          <w:szCs w:val="24"/>
          <w:lang w:val="da-DK"/>
        </w:rPr>
        <w:t xml:space="preserve">. En deltager, der ikke tidligere havde oplevet et tilbagefald som defineret i (a), (b), (c), og som tog et systemisk </w:t>
      </w:r>
      <w:proofErr w:type="spellStart"/>
      <w:r w:rsidRPr="00BB01E1">
        <w:rPr>
          <w:szCs w:val="24"/>
          <w:lang w:val="da-DK"/>
        </w:rPr>
        <w:t>kortikosteroid</w:t>
      </w:r>
      <w:proofErr w:type="spellEnd"/>
      <w:r w:rsidRPr="00BB01E1">
        <w:rPr>
          <w:szCs w:val="24"/>
          <w:lang w:val="da-DK"/>
        </w:rPr>
        <w:t xml:space="preserve"> eller </w:t>
      </w:r>
      <w:proofErr w:type="spellStart"/>
      <w:r w:rsidRPr="00BB01E1">
        <w:rPr>
          <w:szCs w:val="24"/>
          <w:lang w:val="da-DK"/>
        </w:rPr>
        <w:t>immunosuppressiva</w:t>
      </w:r>
      <w:proofErr w:type="spellEnd"/>
      <w:r w:rsidRPr="00BB01E1">
        <w:rPr>
          <w:szCs w:val="24"/>
          <w:lang w:val="da-DK"/>
        </w:rPr>
        <w:t>, eller et intra-/</w:t>
      </w:r>
      <w:proofErr w:type="spellStart"/>
      <w:r w:rsidRPr="00BB01E1">
        <w:rPr>
          <w:szCs w:val="24"/>
          <w:lang w:val="da-DK"/>
        </w:rPr>
        <w:t>periokulært</w:t>
      </w:r>
      <w:proofErr w:type="spellEnd"/>
      <w:r w:rsidRPr="00BB01E1">
        <w:rPr>
          <w:szCs w:val="24"/>
          <w:lang w:val="da-DK"/>
        </w:rPr>
        <w:t xml:space="preserve"> eller topisk </w:t>
      </w:r>
      <w:proofErr w:type="spellStart"/>
      <w:r w:rsidRPr="00BB01E1">
        <w:rPr>
          <w:szCs w:val="24"/>
          <w:lang w:val="da-DK"/>
        </w:rPr>
        <w:t>kortikosteroid</w:t>
      </w:r>
      <w:proofErr w:type="spellEnd"/>
      <w:r w:rsidRPr="00BB01E1">
        <w:rPr>
          <w:szCs w:val="24"/>
          <w:lang w:val="da-DK"/>
        </w:rPr>
        <w:t xml:space="preserve"> i studieøjet på et vilkårligt tidspunkt under studiet før måned 6, blev anset for at have et tilbagefald. Tilbagefald kunne behandles ved brug af standardterapi i overensstemmelse med de anførte kriterier i protokollen.</w:t>
      </w:r>
    </w:p>
    <w:p w:rsidR="00E24089" w:rsidRPr="00BB01E1" w:rsidRDefault="00E24089" w:rsidP="00E24089">
      <w:pPr>
        <w:pStyle w:val="C-BodyText"/>
        <w:ind w:left="851"/>
        <w:rPr>
          <w:szCs w:val="24"/>
          <w:lang w:val="da-DK"/>
        </w:rPr>
      </w:pPr>
      <w:r w:rsidRPr="00BB01E1">
        <w:rPr>
          <w:szCs w:val="24"/>
          <w:lang w:val="da-DK"/>
        </w:rPr>
        <w:t>I hvert af de kliniske fase 3</w:t>
      </w:r>
      <w:r w:rsidRPr="00BB01E1">
        <w:rPr>
          <w:szCs w:val="24"/>
          <w:lang w:val="da-DK"/>
        </w:rPr>
        <w:noBreakHyphen/>
        <w:t xml:space="preserve">studier blev det primære endepunkt opfyldt (se tabel 3 og 4) for resultaterne af det primære effektendemål, </w:t>
      </w:r>
      <w:bookmarkStart w:id="12" w:name="_Hlk532504834"/>
      <w:r w:rsidRPr="00BB01E1">
        <w:rPr>
          <w:szCs w:val="24"/>
          <w:lang w:val="da-DK"/>
        </w:rPr>
        <w:t xml:space="preserve">der sammenlignede andelen af tilbagefald af </w:t>
      </w:r>
      <w:proofErr w:type="spellStart"/>
      <w:r w:rsidRPr="00BB01E1">
        <w:rPr>
          <w:szCs w:val="24"/>
          <w:lang w:val="da-DK"/>
        </w:rPr>
        <w:t>uveitis</w:t>
      </w:r>
      <w:proofErr w:type="spellEnd"/>
      <w:r w:rsidRPr="00BB01E1">
        <w:rPr>
          <w:szCs w:val="24"/>
          <w:lang w:val="da-DK"/>
        </w:rPr>
        <w:t xml:space="preserve"> i studieøjet i forhold til kontrolgruppen, som fik falsk behandling. Se figur 4 for sammenligning af tiden til tilbagefald af </w:t>
      </w:r>
      <w:proofErr w:type="spellStart"/>
      <w:r w:rsidRPr="00BB01E1">
        <w:rPr>
          <w:szCs w:val="24"/>
          <w:lang w:val="da-DK"/>
        </w:rPr>
        <w:t>uveitis</w:t>
      </w:r>
      <w:proofErr w:type="spellEnd"/>
      <w:r w:rsidRPr="00BB01E1">
        <w:rPr>
          <w:szCs w:val="24"/>
          <w:lang w:val="da-DK"/>
        </w:rPr>
        <w:t xml:space="preserve"> i disse behandlingsgrupper.</w:t>
      </w:r>
    </w:p>
    <w:p w:rsidR="00E24089" w:rsidRPr="00BB01E1" w:rsidRDefault="00E24089" w:rsidP="00E24089">
      <w:pPr>
        <w:pStyle w:val="C-BodyText"/>
        <w:spacing w:before="0" w:after="0"/>
        <w:ind w:left="851"/>
        <w:rPr>
          <w:szCs w:val="24"/>
          <w:lang w:val="da-DK"/>
        </w:rPr>
      </w:pPr>
    </w:p>
    <w:bookmarkEnd w:id="12"/>
    <w:p w:rsidR="00E24089" w:rsidRPr="00BB01E1" w:rsidRDefault="00E24089" w:rsidP="00E24089">
      <w:pPr>
        <w:pStyle w:val="C-BodyText"/>
        <w:spacing w:before="0" w:after="0"/>
        <w:rPr>
          <w:b/>
          <w:szCs w:val="24"/>
          <w:lang w:val="da-DK"/>
        </w:rPr>
      </w:pPr>
      <w:r w:rsidRPr="00BB01E1">
        <w:rPr>
          <w:b/>
          <w:szCs w:val="24"/>
          <w:lang w:val="da-DK"/>
        </w:rPr>
        <w:t xml:space="preserve">Tabel 3: Andel af deltagere med tilbagefald af </w:t>
      </w:r>
      <w:proofErr w:type="spellStart"/>
      <w:r w:rsidRPr="00BB01E1">
        <w:rPr>
          <w:b/>
          <w:szCs w:val="24"/>
          <w:lang w:val="da-DK"/>
        </w:rPr>
        <w:t>uveitis</w:t>
      </w:r>
      <w:proofErr w:type="spellEnd"/>
      <w:r w:rsidRPr="00BB01E1">
        <w:rPr>
          <w:b/>
          <w:szCs w:val="24"/>
          <w:lang w:val="da-DK"/>
        </w:rPr>
        <w:t xml:space="preserve"> i studieøjet inden for 6 måneder (ITT-population): PSV-FAI-001 og PSV-FAI-005</w:t>
      </w:r>
    </w:p>
    <w:tbl>
      <w:tblPr>
        <w:tblW w:w="4942" w:type="pct"/>
        <w:tblInd w:w="108" w:type="dxa"/>
        <w:tblBorders>
          <w:top w:val="single" w:sz="6" w:space="0" w:color="FFFF00"/>
          <w:left w:val="single" w:sz="6" w:space="0" w:color="FFFF00"/>
          <w:bottom w:val="single" w:sz="6" w:space="0" w:color="FFFF00"/>
          <w:right w:val="single" w:sz="6" w:space="0" w:color="FFFF00"/>
          <w:insideH w:val="single" w:sz="6" w:space="0" w:color="auto"/>
          <w:insideV w:val="single" w:sz="6" w:space="0" w:color="auto"/>
        </w:tblBorders>
        <w:tblLook w:val="04A0" w:firstRow="1" w:lastRow="0" w:firstColumn="1" w:lastColumn="0" w:noHBand="0" w:noVBand="1"/>
      </w:tblPr>
      <w:tblGrid>
        <w:gridCol w:w="3970"/>
        <w:gridCol w:w="1346"/>
        <w:gridCol w:w="1431"/>
        <w:gridCol w:w="1374"/>
        <w:gridCol w:w="1395"/>
      </w:tblGrid>
      <w:tr w:rsidR="00E24089" w:rsidTr="003B4BCE">
        <w:trPr>
          <w:cantSplit/>
          <w:tblHeader/>
        </w:trPr>
        <w:tc>
          <w:tcPr>
            <w:tcW w:w="5000" w:type="pct"/>
            <w:gridSpan w:val="5"/>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szCs w:val="22"/>
              </w:rPr>
            </w:pPr>
            <w:r>
              <w:rPr>
                <w:b/>
                <w:sz w:val="20"/>
                <w:szCs w:val="22"/>
              </w:rPr>
              <w:t>ITT-population</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c>
          <w:tcPr>
            <w:tcW w:w="1459" w:type="pct"/>
            <w:gridSpan w:val="2"/>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PSV-FAI-001</w:t>
            </w:r>
          </w:p>
        </w:tc>
        <w:tc>
          <w:tcPr>
            <w:tcW w:w="145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szCs w:val="22"/>
              </w:rPr>
            </w:pPr>
            <w:r>
              <w:rPr>
                <w:b/>
                <w:sz w:val="20"/>
                <w:szCs w:val="22"/>
              </w:rPr>
              <w:t>PSV-FAI-005</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c>
          <w:tcPr>
            <w:tcW w:w="707"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FAI implantat</w:t>
            </w:r>
            <w:r>
              <w:rPr>
                <w:b/>
                <w:sz w:val="20"/>
                <w:szCs w:val="22"/>
              </w:rPr>
              <w:br/>
              <w:t>(N=87)</w:t>
            </w:r>
          </w:p>
        </w:tc>
        <w:tc>
          <w:tcPr>
            <w:tcW w:w="752"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Falsk injektion</w:t>
            </w:r>
            <w:r>
              <w:rPr>
                <w:b/>
                <w:sz w:val="20"/>
                <w:szCs w:val="22"/>
              </w:rPr>
              <w:br/>
              <w:t>(N=42)</w:t>
            </w:r>
          </w:p>
        </w:tc>
        <w:tc>
          <w:tcPr>
            <w:tcW w:w="722"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FAI implantat</w:t>
            </w:r>
            <w:r>
              <w:rPr>
                <w:b/>
                <w:sz w:val="20"/>
                <w:szCs w:val="22"/>
              </w:rPr>
              <w:br/>
              <w:t>(N=101)</w:t>
            </w:r>
          </w:p>
        </w:tc>
        <w:tc>
          <w:tcPr>
            <w:tcW w:w="733"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Falsk injektion</w:t>
            </w:r>
            <w:r>
              <w:rPr>
                <w:b/>
                <w:sz w:val="20"/>
                <w:szCs w:val="22"/>
              </w:rPr>
              <w:br/>
              <w:t>(N=52)</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Tilbagefald inden for 6 måneder, n (%)</w:t>
            </w:r>
          </w:p>
        </w:tc>
        <w:tc>
          <w:tcPr>
            <w:tcW w:w="70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24 (27,6)</w:t>
            </w:r>
          </w:p>
        </w:tc>
        <w:tc>
          <w:tcPr>
            <w:tcW w:w="7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38 (90,5)</w:t>
            </w:r>
          </w:p>
        </w:tc>
        <w:tc>
          <w:tcPr>
            <w:tcW w:w="72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26 (25,7%)</w:t>
            </w:r>
          </w:p>
        </w:tc>
        <w:tc>
          <w:tcPr>
            <w:tcW w:w="733"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31 (59,6%)</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Intet tilbagefald inden for 6 måneder, n (%)</w:t>
            </w:r>
          </w:p>
        </w:tc>
        <w:tc>
          <w:tcPr>
            <w:tcW w:w="70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63 (72,4)</w:t>
            </w:r>
          </w:p>
        </w:tc>
        <w:tc>
          <w:tcPr>
            <w:tcW w:w="7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4 (9,5)</w:t>
            </w:r>
          </w:p>
        </w:tc>
        <w:tc>
          <w:tcPr>
            <w:tcW w:w="72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75 (74,3%)</w:t>
            </w:r>
          </w:p>
        </w:tc>
        <w:tc>
          <w:tcPr>
            <w:tcW w:w="733"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21 (40,4%)</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position w:val="2"/>
                <w:sz w:val="20"/>
                <w:szCs w:val="22"/>
              </w:rPr>
              <w:t>Forskel fra falsk behandling</w:t>
            </w:r>
            <w:r>
              <w:rPr>
                <w:position w:val="2"/>
                <w:sz w:val="20"/>
                <w:szCs w:val="22"/>
                <w:vertAlign w:val="superscript"/>
              </w:rPr>
              <w:t>1</w:t>
            </w:r>
          </w:p>
        </w:tc>
        <w:tc>
          <w:tcPr>
            <w:tcW w:w="1459"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c>
          <w:tcPr>
            <w:tcW w:w="1455"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szCs w:val="22"/>
              </w:rPr>
            </w:pPr>
            <w:r>
              <w:rPr>
                <w:sz w:val="20"/>
                <w:szCs w:val="22"/>
              </w:rPr>
              <w:t>Odds ratio</w:t>
            </w:r>
          </w:p>
        </w:tc>
        <w:tc>
          <w:tcPr>
            <w:tcW w:w="145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24,94</w:t>
            </w:r>
          </w:p>
        </w:tc>
        <w:tc>
          <w:tcPr>
            <w:tcW w:w="145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 xml:space="preserve">4,26 </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szCs w:val="22"/>
              </w:rPr>
            </w:pPr>
            <w:r>
              <w:rPr>
                <w:sz w:val="20"/>
                <w:szCs w:val="22"/>
              </w:rPr>
              <w:t>95% CI</w:t>
            </w:r>
          </w:p>
        </w:tc>
        <w:tc>
          <w:tcPr>
            <w:tcW w:w="145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8,04; 77,39</w:t>
            </w:r>
          </w:p>
        </w:tc>
        <w:tc>
          <w:tcPr>
            <w:tcW w:w="145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2,09; 8,67</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proofErr w:type="spellStart"/>
            <w:r>
              <w:rPr>
                <w:sz w:val="20"/>
                <w:szCs w:val="22"/>
              </w:rPr>
              <w:t>P-værdi</w:t>
            </w:r>
            <w:proofErr w:type="spellEnd"/>
          </w:p>
        </w:tc>
        <w:tc>
          <w:tcPr>
            <w:tcW w:w="145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c>
          <w:tcPr>
            <w:tcW w:w="145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szCs w:val="22"/>
              </w:rPr>
            </w:pPr>
            <w:r>
              <w:rPr>
                <w:sz w:val="20"/>
                <w:szCs w:val="22"/>
              </w:rPr>
              <w:t>Forskel fra falsk behandling</w:t>
            </w:r>
            <w:r>
              <w:rPr>
                <w:sz w:val="20"/>
                <w:szCs w:val="22"/>
                <w:vertAlign w:val="superscript"/>
              </w:rPr>
              <w:t>2</w:t>
            </w:r>
          </w:p>
        </w:tc>
        <w:tc>
          <w:tcPr>
            <w:tcW w:w="1459"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c>
          <w:tcPr>
            <w:tcW w:w="1455"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r>
      <w:tr w:rsidR="00E24089" w:rsidTr="003B4BCE">
        <w:trPr>
          <w:cantSplit/>
          <w:trHeight w:val="292"/>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r>
              <w:rPr>
                <w:sz w:val="20"/>
                <w:szCs w:val="22"/>
              </w:rPr>
              <w:t>Forskel i procent</w:t>
            </w:r>
          </w:p>
        </w:tc>
        <w:tc>
          <w:tcPr>
            <w:tcW w:w="145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 xml:space="preserve">62,9% </w:t>
            </w:r>
          </w:p>
        </w:tc>
        <w:tc>
          <w:tcPr>
            <w:tcW w:w="145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33,9%</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r>
              <w:rPr>
                <w:sz w:val="20"/>
                <w:szCs w:val="22"/>
              </w:rPr>
              <w:t>95% CI</w:t>
            </w:r>
          </w:p>
        </w:tc>
        <w:tc>
          <w:tcPr>
            <w:tcW w:w="145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(50,0%; 75,8%)</w:t>
            </w:r>
          </w:p>
        </w:tc>
        <w:tc>
          <w:tcPr>
            <w:tcW w:w="145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(18,0%; 49,7%)</w:t>
            </w:r>
          </w:p>
        </w:tc>
      </w:tr>
      <w:tr w:rsidR="00E24089" w:rsidTr="003B4BCE">
        <w:trPr>
          <w:cantSplit/>
          <w:tblHeader/>
        </w:trPr>
        <w:tc>
          <w:tcPr>
            <w:tcW w:w="2086"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proofErr w:type="spellStart"/>
            <w:r>
              <w:rPr>
                <w:sz w:val="20"/>
                <w:szCs w:val="22"/>
              </w:rPr>
              <w:t>P-værdi</w:t>
            </w:r>
            <w:proofErr w:type="spellEnd"/>
          </w:p>
        </w:tc>
        <w:tc>
          <w:tcPr>
            <w:tcW w:w="145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c>
          <w:tcPr>
            <w:tcW w:w="145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r>
    </w:tbl>
    <w:p w:rsidR="00E24089" w:rsidRDefault="00E24089" w:rsidP="00E24089">
      <w:pPr>
        <w:pStyle w:val="C-BodyText"/>
        <w:spacing w:before="0" w:after="0" w:line="240" w:lineRule="auto"/>
        <w:rPr>
          <w:sz w:val="20"/>
          <w:lang w:val="da-DK"/>
        </w:rPr>
      </w:pPr>
      <w:r>
        <w:rPr>
          <w:sz w:val="20"/>
          <w:vertAlign w:val="superscript"/>
          <w:lang w:val="da-DK"/>
        </w:rPr>
        <w:t>1</w:t>
      </w:r>
      <w:r>
        <w:rPr>
          <w:sz w:val="20"/>
          <w:lang w:val="da-DK"/>
        </w:rPr>
        <w:t xml:space="preserve"> Odds ratio</w:t>
      </w:r>
      <w:r>
        <w:rPr>
          <w:i/>
          <w:sz w:val="20"/>
          <w:lang w:val="da-DK"/>
        </w:rPr>
        <w:t xml:space="preserve"> </w:t>
      </w:r>
      <w:r>
        <w:rPr>
          <w:sz w:val="20"/>
          <w:lang w:val="da-DK"/>
        </w:rPr>
        <w:t xml:space="preserve">og 95% konfidensinterval er baseret på </w:t>
      </w:r>
      <w:proofErr w:type="spellStart"/>
      <w:r>
        <w:rPr>
          <w:sz w:val="20"/>
          <w:lang w:val="da-DK"/>
        </w:rPr>
        <w:t>Mantel</w:t>
      </w:r>
      <w:r>
        <w:rPr>
          <w:sz w:val="20"/>
          <w:lang w:val="da-DK"/>
        </w:rPr>
        <w:noBreakHyphen/>
        <w:t>Haenszel</w:t>
      </w:r>
      <w:proofErr w:type="spellEnd"/>
      <w:r>
        <w:rPr>
          <w:sz w:val="20"/>
          <w:lang w:val="da-DK"/>
        </w:rPr>
        <w:t xml:space="preserve">. </w:t>
      </w:r>
      <w:proofErr w:type="spellStart"/>
      <w:r>
        <w:rPr>
          <w:sz w:val="20"/>
          <w:lang w:val="da-DK"/>
        </w:rPr>
        <w:t>P</w:t>
      </w:r>
      <w:r>
        <w:rPr>
          <w:sz w:val="20"/>
          <w:lang w:val="da-DK"/>
        </w:rPr>
        <w:noBreakHyphen/>
        <w:t>værdien</w:t>
      </w:r>
      <w:proofErr w:type="spellEnd"/>
      <w:r>
        <w:rPr>
          <w:sz w:val="20"/>
          <w:lang w:val="da-DK"/>
        </w:rPr>
        <w:t xml:space="preserve"> er fra </w:t>
      </w:r>
      <w:proofErr w:type="gramStart"/>
      <w:r>
        <w:rPr>
          <w:sz w:val="20"/>
          <w:lang w:val="da-DK"/>
        </w:rPr>
        <w:t>en kontinuitetsjusteret chi</w:t>
      </w:r>
      <w:proofErr w:type="gramEnd"/>
      <w:r>
        <w:rPr>
          <w:sz w:val="20"/>
          <w:lang w:val="da-DK"/>
        </w:rPr>
        <w:noBreakHyphen/>
      </w:r>
      <w:proofErr w:type="spellStart"/>
      <w:r>
        <w:rPr>
          <w:sz w:val="20"/>
          <w:lang w:val="da-DK"/>
        </w:rPr>
        <w:t>square</w:t>
      </w:r>
      <w:proofErr w:type="spellEnd"/>
      <w:r>
        <w:rPr>
          <w:sz w:val="20"/>
          <w:lang w:val="da-DK"/>
        </w:rPr>
        <w:noBreakHyphen/>
        <w:t xml:space="preserve">test, der sammenlignede antallet af deltagere med og uden tilbagefald af </w:t>
      </w:r>
      <w:proofErr w:type="spellStart"/>
      <w:r>
        <w:rPr>
          <w:sz w:val="20"/>
          <w:lang w:val="da-DK"/>
        </w:rPr>
        <w:t>uveitis</w:t>
      </w:r>
      <w:proofErr w:type="spellEnd"/>
      <w:r>
        <w:rPr>
          <w:sz w:val="20"/>
          <w:lang w:val="da-DK"/>
        </w:rPr>
        <w:t xml:space="preserve"> mellem behandlingsgrupperne efter 6 måneder.</w:t>
      </w:r>
    </w:p>
    <w:p w:rsidR="00E24089" w:rsidRDefault="00E24089" w:rsidP="00E24089">
      <w:pPr>
        <w:pStyle w:val="C-BodyText"/>
        <w:spacing w:before="0" w:after="0" w:line="240" w:lineRule="auto"/>
        <w:rPr>
          <w:sz w:val="20"/>
          <w:lang w:val="da-DK"/>
        </w:rPr>
      </w:pPr>
      <w:r>
        <w:rPr>
          <w:sz w:val="20"/>
          <w:vertAlign w:val="superscript"/>
          <w:lang w:val="da-DK"/>
        </w:rPr>
        <w:t>2</w:t>
      </w:r>
      <w:r>
        <w:rPr>
          <w:sz w:val="20"/>
          <w:lang w:val="da-DK"/>
        </w:rPr>
        <w:t xml:space="preserve"> </w:t>
      </w:r>
      <w:proofErr w:type="spellStart"/>
      <w:r>
        <w:rPr>
          <w:sz w:val="20"/>
          <w:lang w:val="da-DK"/>
        </w:rPr>
        <w:t>P</w:t>
      </w:r>
      <w:r>
        <w:rPr>
          <w:sz w:val="20"/>
          <w:lang w:val="da-DK"/>
        </w:rPr>
        <w:noBreakHyphen/>
        <w:t>værdi</w:t>
      </w:r>
      <w:proofErr w:type="spellEnd"/>
      <w:r>
        <w:rPr>
          <w:sz w:val="20"/>
          <w:lang w:val="da-DK"/>
        </w:rPr>
        <w:t xml:space="preserve"> er fra en </w:t>
      </w:r>
      <w:proofErr w:type="spellStart"/>
      <w:r>
        <w:rPr>
          <w:sz w:val="20"/>
          <w:lang w:val="da-DK"/>
        </w:rPr>
        <w:t>Cochran</w:t>
      </w:r>
      <w:r>
        <w:rPr>
          <w:sz w:val="20"/>
          <w:lang w:val="da-DK"/>
        </w:rPr>
        <w:noBreakHyphen/>
        <w:t>Mantel</w:t>
      </w:r>
      <w:r>
        <w:rPr>
          <w:sz w:val="20"/>
          <w:lang w:val="da-DK"/>
        </w:rPr>
        <w:noBreakHyphen/>
        <w:t>Haenszel</w:t>
      </w:r>
      <w:proofErr w:type="spellEnd"/>
      <w:r>
        <w:rPr>
          <w:sz w:val="20"/>
          <w:lang w:val="da-DK"/>
        </w:rPr>
        <w:t xml:space="preserve"> general association chi</w:t>
      </w:r>
      <w:r>
        <w:rPr>
          <w:sz w:val="20"/>
          <w:lang w:val="da-DK"/>
        </w:rPr>
        <w:noBreakHyphen/>
      </w:r>
      <w:proofErr w:type="spellStart"/>
      <w:r>
        <w:rPr>
          <w:sz w:val="20"/>
          <w:lang w:val="da-DK"/>
        </w:rPr>
        <w:t>square</w:t>
      </w:r>
      <w:proofErr w:type="spellEnd"/>
      <w:r>
        <w:rPr>
          <w:sz w:val="20"/>
          <w:lang w:val="da-DK"/>
        </w:rPr>
        <w:noBreakHyphen/>
        <w:t xml:space="preserve">test, der sammenlignede antallet af deltagere med og uden tilbagefald af </w:t>
      </w:r>
      <w:proofErr w:type="spellStart"/>
      <w:r>
        <w:rPr>
          <w:sz w:val="20"/>
          <w:lang w:val="da-DK"/>
        </w:rPr>
        <w:t>uveitis</w:t>
      </w:r>
      <w:proofErr w:type="spellEnd"/>
      <w:r>
        <w:rPr>
          <w:sz w:val="20"/>
          <w:lang w:val="da-DK"/>
        </w:rPr>
        <w:t xml:space="preserve"> mellem behandlingsgrupperne efter 6 måneder.</w:t>
      </w:r>
    </w:p>
    <w:p w:rsidR="00E24089" w:rsidRDefault="00E24089" w:rsidP="00E24089">
      <w:pPr>
        <w:pStyle w:val="C-BodyText"/>
        <w:spacing w:before="0" w:after="0"/>
        <w:rPr>
          <w:sz w:val="22"/>
          <w:szCs w:val="22"/>
          <w:lang w:val="da-DK"/>
        </w:rPr>
      </w:pPr>
    </w:p>
    <w:p w:rsidR="00E24089" w:rsidRDefault="00E24089" w:rsidP="00B14D9E">
      <w:pPr>
        <w:pStyle w:val="C-BodyText"/>
        <w:keepNext/>
        <w:rPr>
          <w:b/>
          <w:sz w:val="22"/>
          <w:szCs w:val="22"/>
          <w:lang w:val="da-DK"/>
        </w:rPr>
      </w:pPr>
      <w:r>
        <w:rPr>
          <w:b/>
          <w:sz w:val="22"/>
          <w:szCs w:val="22"/>
          <w:lang w:val="da-DK"/>
        </w:rPr>
        <w:lastRenderedPageBreak/>
        <w:t xml:space="preserve">Tabel 4: Andel af deltagere med tilbagefald af </w:t>
      </w:r>
      <w:proofErr w:type="spellStart"/>
      <w:r>
        <w:rPr>
          <w:b/>
          <w:sz w:val="22"/>
          <w:szCs w:val="22"/>
          <w:lang w:val="da-DK"/>
        </w:rPr>
        <w:t>uveitis</w:t>
      </w:r>
      <w:proofErr w:type="spellEnd"/>
      <w:r>
        <w:rPr>
          <w:b/>
          <w:sz w:val="22"/>
          <w:szCs w:val="22"/>
          <w:lang w:val="da-DK"/>
        </w:rPr>
        <w:t xml:space="preserve"> i studieøjet inden for 6 måneder (ITT-population): </w:t>
      </w:r>
      <w:proofErr w:type="spellStart"/>
      <w:r>
        <w:rPr>
          <w:b/>
          <w:sz w:val="22"/>
          <w:szCs w:val="22"/>
          <w:lang w:val="da-DK"/>
        </w:rPr>
        <w:t>Poolede</w:t>
      </w:r>
      <w:proofErr w:type="spellEnd"/>
      <w:r>
        <w:rPr>
          <w:b/>
          <w:sz w:val="22"/>
          <w:szCs w:val="22"/>
          <w:lang w:val="da-DK"/>
        </w:rPr>
        <w:t xml:space="preserve"> </w:t>
      </w:r>
      <w:proofErr w:type="spellStart"/>
      <w:r>
        <w:rPr>
          <w:b/>
          <w:sz w:val="22"/>
          <w:szCs w:val="22"/>
          <w:lang w:val="da-DK"/>
        </w:rPr>
        <w:t>uveitis</w:t>
      </w:r>
      <w:proofErr w:type="spellEnd"/>
      <w:r>
        <w:rPr>
          <w:b/>
          <w:sz w:val="22"/>
          <w:szCs w:val="22"/>
          <w:lang w:val="da-DK"/>
        </w:rPr>
        <w:noBreakHyphen/>
        <w:t>studier</w:t>
      </w:r>
    </w:p>
    <w:tbl>
      <w:tblPr>
        <w:tblpPr w:leftFromText="180" w:rightFromText="180" w:vertAnchor="text" w:tblpY="1"/>
        <w:tblOverlap w:val="never"/>
        <w:tblW w:w="5000" w:type="pct"/>
        <w:tblBorders>
          <w:top w:val="single" w:sz="6" w:space="0" w:color="FFFF00"/>
          <w:left w:val="single" w:sz="6" w:space="0" w:color="FFFF00"/>
          <w:bottom w:val="single" w:sz="6" w:space="0" w:color="FFFF00"/>
          <w:right w:val="single" w:sz="6" w:space="0" w:color="FFFF00"/>
          <w:insideH w:val="single" w:sz="6" w:space="0" w:color="auto"/>
          <w:insideV w:val="single" w:sz="6" w:space="0" w:color="auto"/>
        </w:tblBorders>
        <w:tblLook w:val="04A0" w:firstRow="1" w:lastRow="0" w:firstColumn="1" w:lastColumn="0" w:noHBand="0" w:noVBand="1"/>
      </w:tblPr>
      <w:tblGrid>
        <w:gridCol w:w="5220"/>
        <w:gridCol w:w="2153"/>
        <w:gridCol w:w="2255"/>
      </w:tblGrid>
      <w:tr w:rsidR="00E24089" w:rsidTr="003B4BCE">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szCs w:val="22"/>
              </w:rPr>
            </w:pPr>
            <w:r>
              <w:rPr>
                <w:b/>
                <w:sz w:val="20"/>
                <w:szCs w:val="22"/>
              </w:rPr>
              <w:t>ITT-population</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c>
          <w:tcPr>
            <w:tcW w:w="1118"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FAI implantat</w:t>
            </w:r>
            <w:r>
              <w:rPr>
                <w:b/>
                <w:sz w:val="20"/>
                <w:szCs w:val="22"/>
              </w:rPr>
              <w:br/>
              <w:t>(N=188)</w:t>
            </w:r>
          </w:p>
        </w:tc>
        <w:tc>
          <w:tcPr>
            <w:tcW w:w="1171"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Falsk injektion</w:t>
            </w:r>
            <w:r>
              <w:rPr>
                <w:b/>
                <w:sz w:val="20"/>
                <w:szCs w:val="22"/>
              </w:rPr>
              <w:br/>
              <w:t>(N=94)</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bookmarkStart w:id="13" w:name="_Hlk532505162"/>
            <w:r>
              <w:rPr>
                <w:sz w:val="20"/>
                <w:szCs w:val="22"/>
              </w:rPr>
              <w:t>Tilbagefald inden for 6 måneder, n (%)</w:t>
            </w:r>
          </w:p>
        </w:tc>
        <w:tc>
          <w:tcPr>
            <w:tcW w:w="1118"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50 (26,6)</w:t>
            </w:r>
          </w:p>
        </w:tc>
        <w:tc>
          <w:tcPr>
            <w:tcW w:w="117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69 (73,4)</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Intet tilbagefald inden for 6 måneder, n (%)</w:t>
            </w:r>
          </w:p>
        </w:tc>
        <w:tc>
          <w:tcPr>
            <w:tcW w:w="1118"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138 (73,4)</w:t>
            </w:r>
          </w:p>
        </w:tc>
        <w:tc>
          <w:tcPr>
            <w:tcW w:w="117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25 (26,6)</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position w:val="2"/>
                <w:sz w:val="20"/>
                <w:szCs w:val="22"/>
              </w:rPr>
              <w:t>Forskel fra falsk behandling</w:t>
            </w:r>
            <w:r>
              <w:rPr>
                <w:position w:val="2"/>
                <w:sz w:val="20"/>
                <w:szCs w:val="22"/>
                <w:vertAlign w:val="superscript"/>
              </w:rPr>
              <w:t>1</w:t>
            </w:r>
          </w:p>
        </w:tc>
        <w:tc>
          <w:tcPr>
            <w:tcW w:w="2289"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szCs w:val="22"/>
              </w:rPr>
            </w:pPr>
            <w:r>
              <w:rPr>
                <w:sz w:val="20"/>
                <w:szCs w:val="22"/>
              </w:rPr>
              <w:t>Odds ratio</w:t>
            </w:r>
          </w:p>
        </w:tc>
        <w:tc>
          <w:tcPr>
            <w:tcW w:w="228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7,62</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szCs w:val="22"/>
              </w:rPr>
            </w:pPr>
            <w:r>
              <w:rPr>
                <w:sz w:val="20"/>
                <w:szCs w:val="22"/>
              </w:rPr>
              <w:t>95% CI</w:t>
            </w:r>
          </w:p>
        </w:tc>
        <w:tc>
          <w:tcPr>
            <w:tcW w:w="228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(4,35; 13,34)</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proofErr w:type="spellStart"/>
            <w:r>
              <w:rPr>
                <w:sz w:val="20"/>
                <w:szCs w:val="22"/>
              </w:rPr>
              <w:t>P</w:t>
            </w:r>
            <w:r>
              <w:rPr>
                <w:sz w:val="20"/>
                <w:szCs w:val="22"/>
              </w:rPr>
              <w:noBreakHyphen/>
              <w:t>værdi</w:t>
            </w:r>
            <w:proofErr w:type="spellEnd"/>
          </w:p>
        </w:tc>
        <w:tc>
          <w:tcPr>
            <w:tcW w:w="228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szCs w:val="22"/>
              </w:rPr>
            </w:pPr>
            <w:r>
              <w:rPr>
                <w:sz w:val="20"/>
                <w:szCs w:val="22"/>
              </w:rPr>
              <w:t>Forskel fra falsk behandling</w:t>
            </w:r>
            <w:r>
              <w:rPr>
                <w:sz w:val="20"/>
                <w:szCs w:val="22"/>
                <w:vertAlign w:val="superscript"/>
              </w:rPr>
              <w:t>2</w:t>
            </w:r>
          </w:p>
        </w:tc>
        <w:tc>
          <w:tcPr>
            <w:tcW w:w="2289"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r>
              <w:rPr>
                <w:sz w:val="20"/>
                <w:szCs w:val="22"/>
              </w:rPr>
              <w:t>Forskel i procent</w:t>
            </w:r>
          </w:p>
        </w:tc>
        <w:tc>
          <w:tcPr>
            <w:tcW w:w="228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46,8%</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r>
              <w:rPr>
                <w:sz w:val="20"/>
                <w:szCs w:val="22"/>
              </w:rPr>
              <w:t>95% CI</w:t>
            </w:r>
          </w:p>
        </w:tc>
        <w:tc>
          <w:tcPr>
            <w:tcW w:w="228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(35,9%; 57,8%)</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proofErr w:type="spellStart"/>
            <w:r>
              <w:rPr>
                <w:sz w:val="20"/>
                <w:szCs w:val="22"/>
              </w:rPr>
              <w:t>P</w:t>
            </w:r>
            <w:r>
              <w:rPr>
                <w:sz w:val="20"/>
                <w:szCs w:val="22"/>
              </w:rPr>
              <w:noBreakHyphen/>
              <w:t>værdi</w:t>
            </w:r>
            <w:proofErr w:type="spellEnd"/>
          </w:p>
        </w:tc>
        <w:tc>
          <w:tcPr>
            <w:tcW w:w="2289"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r>
    </w:tbl>
    <w:p w:rsidR="00E24089" w:rsidRDefault="00E24089" w:rsidP="00E24089">
      <w:pPr>
        <w:pStyle w:val="C-BodyText"/>
        <w:spacing w:before="0" w:after="0" w:line="240" w:lineRule="auto"/>
        <w:rPr>
          <w:sz w:val="20"/>
          <w:lang w:val="da-DK"/>
        </w:rPr>
      </w:pPr>
      <w:bookmarkStart w:id="14" w:name="_Hlk4588103"/>
      <w:bookmarkEnd w:id="13"/>
      <w:r>
        <w:rPr>
          <w:sz w:val="20"/>
          <w:vertAlign w:val="superscript"/>
          <w:lang w:val="da-DK"/>
        </w:rPr>
        <w:t>1</w:t>
      </w:r>
      <w:r>
        <w:rPr>
          <w:sz w:val="20"/>
          <w:lang w:val="da-DK"/>
        </w:rPr>
        <w:t xml:space="preserve"> Odds ratio</w:t>
      </w:r>
      <w:r>
        <w:rPr>
          <w:i/>
          <w:sz w:val="20"/>
          <w:lang w:val="da-DK"/>
        </w:rPr>
        <w:t xml:space="preserve"> </w:t>
      </w:r>
      <w:r>
        <w:rPr>
          <w:sz w:val="20"/>
          <w:lang w:val="da-DK"/>
        </w:rPr>
        <w:t xml:space="preserve">og 95% konfidensinterval er baseret på </w:t>
      </w:r>
      <w:proofErr w:type="spellStart"/>
      <w:r>
        <w:rPr>
          <w:sz w:val="20"/>
          <w:lang w:val="da-DK"/>
        </w:rPr>
        <w:t>Mantel</w:t>
      </w:r>
      <w:r>
        <w:rPr>
          <w:sz w:val="20"/>
          <w:lang w:val="da-DK"/>
        </w:rPr>
        <w:noBreakHyphen/>
        <w:t>Haenszel</w:t>
      </w:r>
      <w:proofErr w:type="spellEnd"/>
      <w:r>
        <w:rPr>
          <w:sz w:val="20"/>
          <w:lang w:val="da-DK"/>
        </w:rPr>
        <w:t xml:space="preserve">. </w:t>
      </w:r>
      <w:proofErr w:type="spellStart"/>
      <w:r>
        <w:rPr>
          <w:sz w:val="20"/>
          <w:lang w:val="da-DK"/>
        </w:rPr>
        <w:t>P</w:t>
      </w:r>
      <w:r>
        <w:rPr>
          <w:sz w:val="20"/>
          <w:lang w:val="da-DK"/>
        </w:rPr>
        <w:noBreakHyphen/>
        <w:t>værdien</w:t>
      </w:r>
      <w:proofErr w:type="spellEnd"/>
      <w:r>
        <w:rPr>
          <w:sz w:val="20"/>
          <w:lang w:val="da-DK"/>
        </w:rPr>
        <w:t xml:space="preserve"> er fra </w:t>
      </w:r>
      <w:proofErr w:type="gramStart"/>
      <w:r>
        <w:rPr>
          <w:sz w:val="20"/>
          <w:lang w:val="da-DK"/>
        </w:rPr>
        <w:t>en kontinuitetsjusteret chi</w:t>
      </w:r>
      <w:proofErr w:type="gramEnd"/>
      <w:r>
        <w:rPr>
          <w:sz w:val="20"/>
          <w:lang w:val="da-DK"/>
        </w:rPr>
        <w:noBreakHyphen/>
      </w:r>
      <w:proofErr w:type="spellStart"/>
      <w:r>
        <w:rPr>
          <w:sz w:val="20"/>
          <w:lang w:val="da-DK"/>
        </w:rPr>
        <w:t>square</w:t>
      </w:r>
      <w:proofErr w:type="spellEnd"/>
      <w:r>
        <w:rPr>
          <w:sz w:val="20"/>
          <w:lang w:val="da-DK"/>
        </w:rPr>
        <w:noBreakHyphen/>
        <w:t xml:space="preserve">test, der sammenlignede antallet af deltagere med og uden tilbagefald af </w:t>
      </w:r>
      <w:proofErr w:type="spellStart"/>
      <w:r>
        <w:rPr>
          <w:sz w:val="20"/>
          <w:lang w:val="da-DK"/>
        </w:rPr>
        <w:t>uveitis</w:t>
      </w:r>
      <w:proofErr w:type="spellEnd"/>
      <w:r>
        <w:rPr>
          <w:sz w:val="20"/>
          <w:lang w:val="da-DK"/>
        </w:rPr>
        <w:t xml:space="preserve"> mellem behandlingsgrupperne efter 6 måneder.</w:t>
      </w:r>
    </w:p>
    <w:p w:rsidR="00E24089" w:rsidRDefault="00E24089" w:rsidP="00E24089">
      <w:pPr>
        <w:pStyle w:val="C-BodyText"/>
        <w:spacing w:before="0" w:after="0" w:line="240" w:lineRule="auto"/>
        <w:rPr>
          <w:sz w:val="20"/>
          <w:lang w:val="da-DK"/>
        </w:rPr>
      </w:pPr>
      <w:r>
        <w:rPr>
          <w:sz w:val="20"/>
          <w:vertAlign w:val="superscript"/>
          <w:lang w:val="da-DK"/>
        </w:rPr>
        <w:t>2</w:t>
      </w:r>
      <w:r>
        <w:rPr>
          <w:sz w:val="20"/>
          <w:lang w:val="da-DK"/>
        </w:rPr>
        <w:t xml:space="preserve"> </w:t>
      </w:r>
      <w:proofErr w:type="spellStart"/>
      <w:r>
        <w:rPr>
          <w:sz w:val="20"/>
          <w:lang w:val="da-DK"/>
        </w:rPr>
        <w:t>P</w:t>
      </w:r>
      <w:r>
        <w:rPr>
          <w:sz w:val="20"/>
          <w:lang w:val="da-DK"/>
        </w:rPr>
        <w:noBreakHyphen/>
        <w:t>værdi</w:t>
      </w:r>
      <w:proofErr w:type="spellEnd"/>
      <w:r>
        <w:rPr>
          <w:sz w:val="20"/>
          <w:lang w:val="da-DK"/>
        </w:rPr>
        <w:t xml:space="preserve"> er fra en </w:t>
      </w:r>
      <w:proofErr w:type="spellStart"/>
      <w:r>
        <w:rPr>
          <w:sz w:val="20"/>
          <w:lang w:val="da-DK"/>
        </w:rPr>
        <w:t>Cochran</w:t>
      </w:r>
      <w:r>
        <w:rPr>
          <w:sz w:val="20"/>
          <w:lang w:val="da-DK"/>
        </w:rPr>
        <w:noBreakHyphen/>
        <w:t>Mantel</w:t>
      </w:r>
      <w:r>
        <w:rPr>
          <w:sz w:val="20"/>
          <w:lang w:val="da-DK"/>
        </w:rPr>
        <w:noBreakHyphen/>
        <w:t>Haenszel</w:t>
      </w:r>
      <w:proofErr w:type="spellEnd"/>
      <w:r>
        <w:rPr>
          <w:sz w:val="20"/>
          <w:lang w:val="da-DK"/>
        </w:rPr>
        <w:t xml:space="preserve"> general association chi</w:t>
      </w:r>
      <w:r>
        <w:rPr>
          <w:sz w:val="20"/>
          <w:lang w:val="da-DK"/>
        </w:rPr>
        <w:noBreakHyphen/>
      </w:r>
      <w:proofErr w:type="spellStart"/>
      <w:r>
        <w:rPr>
          <w:sz w:val="20"/>
          <w:lang w:val="da-DK"/>
        </w:rPr>
        <w:t>square</w:t>
      </w:r>
      <w:proofErr w:type="spellEnd"/>
      <w:r>
        <w:rPr>
          <w:sz w:val="20"/>
          <w:lang w:val="da-DK"/>
        </w:rPr>
        <w:noBreakHyphen/>
        <w:t xml:space="preserve">test, der sammenlignede antallet af deltagere med og uden tilbagefald af </w:t>
      </w:r>
      <w:proofErr w:type="spellStart"/>
      <w:r>
        <w:rPr>
          <w:sz w:val="20"/>
          <w:lang w:val="da-DK"/>
        </w:rPr>
        <w:t>uveitis</w:t>
      </w:r>
      <w:proofErr w:type="spellEnd"/>
      <w:r>
        <w:rPr>
          <w:sz w:val="20"/>
          <w:lang w:val="da-DK"/>
        </w:rPr>
        <w:t xml:space="preserve"> mellem behandlingsgrupperne efter 6 måneder.</w:t>
      </w:r>
    </w:p>
    <w:bookmarkEnd w:id="14"/>
    <w:p w:rsidR="00E24089" w:rsidRDefault="00E24089" w:rsidP="00E24089">
      <w:pPr>
        <w:tabs>
          <w:tab w:val="left" w:pos="1304"/>
        </w:tabs>
        <w:spacing w:line="280" w:lineRule="exact"/>
        <w:rPr>
          <w:lang w:val="sv-SE"/>
        </w:rPr>
      </w:pPr>
    </w:p>
    <w:p w:rsidR="00E24089" w:rsidRDefault="00E24089" w:rsidP="00E24089">
      <w:pPr>
        <w:tabs>
          <w:tab w:val="left" w:pos="1304"/>
        </w:tabs>
        <w:spacing w:line="280" w:lineRule="exact"/>
        <w:rPr>
          <w:b/>
          <w:sz w:val="24"/>
        </w:rPr>
      </w:pPr>
      <w:r>
        <w:rPr>
          <w:b/>
          <w:sz w:val="24"/>
        </w:rPr>
        <w:t>Figur 4: Kaplan</w:t>
      </w:r>
      <w:r>
        <w:rPr>
          <w:b/>
          <w:sz w:val="24"/>
        </w:rPr>
        <w:noBreakHyphen/>
        <w:t xml:space="preserve">Meier kurve af tid til første tilbagefald af </w:t>
      </w:r>
      <w:proofErr w:type="spellStart"/>
      <w:r>
        <w:rPr>
          <w:b/>
          <w:sz w:val="24"/>
        </w:rPr>
        <w:t>uveitis</w:t>
      </w:r>
      <w:proofErr w:type="spellEnd"/>
      <w:r>
        <w:rPr>
          <w:b/>
          <w:sz w:val="24"/>
        </w:rPr>
        <w:t xml:space="preserve"> i studieøjet inden for 6 måneder (ITT): </w:t>
      </w:r>
      <w:proofErr w:type="spellStart"/>
      <w:r>
        <w:rPr>
          <w:b/>
          <w:sz w:val="24"/>
        </w:rPr>
        <w:t>Poolede</w:t>
      </w:r>
      <w:proofErr w:type="spellEnd"/>
      <w:r>
        <w:rPr>
          <w:b/>
          <w:sz w:val="24"/>
        </w:rPr>
        <w:t xml:space="preserve"> </w:t>
      </w:r>
      <w:proofErr w:type="spellStart"/>
      <w:r>
        <w:rPr>
          <w:b/>
          <w:sz w:val="24"/>
        </w:rPr>
        <w:t>uveitis</w:t>
      </w:r>
      <w:proofErr w:type="spellEnd"/>
      <w:r>
        <w:rPr>
          <w:b/>
          <w:sz w:val="24"/>
        </w:rPr>
        <w:noBreakHyphen/>
        <w:t>studier</w:t>
      </w: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Default="00E24089" w:rsidP="00E24089">
      <w:pPr>
        <w:tabs>
          <w:tab w:val="left" w:pos="1304"/>
        </w:tabs>
        <w:spacing w:line="280" w:lineRule="exact"/>
      </w:pPr>
    </w:p>
    <w:p w:rsidR="00E24089" w:rsidRPr="00A55351" w:rsidRDefault="00E24089" w:rsidP="00E24089">
      <w:pPr>
        <w:tabs>
          <w:tab w:val="left" w:pos="1304"/>
        </w:tabs>
        <w:spacing w:line="280" w:lineRule="exact"/>
      </w:pPr>
      <w:r>
        <w:rPr>
          <w:noProof/>
          <w:lang w:eastAsia="da-DK"/>
        </w:rPr>
        <w:drawing>
          <wp:inline distT="0" distB="0" distL="0" distR="0" wp14:anchorId="4F3FCF01" wp14:editId="5DF53A9E">
            <wp:extent cx="5734050" cy="3400425"/>
            <wp:effectExtent l="0" t="0" r="0" b="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400425"/>
                    </a:xfrm>
                    <a:prstGeom prst="rect">
                      <a:avLst/>
                    </a:prstGeom>
                    <a:noFill/>
                    <a:ln>
                      <a:noFill/>
                    </a:ln>
                  </pic:spPr>
                </pic:pic>
              </a:graphicData>
            </a:graphic>
          </wp:inline>
        </w:drawing>
      </w:r>
      <w:r>
        <w:rPr>
          <w:noProof/>
          <w:lang w:eastAsia="da-DK"/>
        </w:rPr>
        <w:drawing>
          <wp:anchor distT="0" distB="0" distL="114300" distR="114300" simplePos="0" relativeHeight="251664384" behindDoc="0" locked="0" layoutInCell="1" allowOverlap="1" wp14:anchorId="23D6B6C3" wp14:editId="7F2E17E0">
            <wp:simplePos x="0" y="0"/>
            <wp:positionH relativeFrom="column">
              <wp:posOffset>3810</wp:posOffset>
            </wp:positionH>
            <wp:positionV relativeFrom="paragraph">
              <wp:posOffset>-3083560</wp:posOffset>
            </wp:positionV>
            <wp:extent cx="5734050" cy="3400425"/>
            <wp:effectExtent l="0" t="0" r="0" b="0"/>
            <wp:wrapSquare wrapText="bothSides"/>
            <wp:docPr id="25" name="Billed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4050" cy="3400425"/>
                    </a:xfrm>
                    <a:prstGeom prst="rect">
                      <a:avLst/>
                    </a:prstGeom>
                    <a:noFill/>
                    <a:ln>
                      <a:noFill/>
                    </a:ln>
                  </pic:spPr>
                </pic:pic>
              </a:graphicData>
            </a:graphic>
          </wp:anchor>
        </w:drawing>
      </w:r>
    </w:p>
    <w:p w:rsidR="00E24089" w:rsidRPr="00F00B28" w:rsidRDefault="00E24089" w:rsidP="00E24089">
      <w:pPr>
        <w:tabs>
          <w:tab w:val="left" w:pos="1304"/>
        </w:tabs>
        <w:spacing w:line="280" w:lineRule="exact"/>
        <w:rPr>
          <w:noProof/>
          <w:sz w:val="24"/>
          <w:szCs w:val="24"/>
        </w:rPr>
      </w:pPr>
      <w:r w:rsidRPr="00F00B28">
        <w:rPr>
          <w:noProof/>
          <w:sz w:val="24"/>
          <w:szCs w:val="24"/>
        </w:rPr>
        <w:t>P-værdien (p&lt;0,001), der sammenligner de to fordelinger af tid til tilbagefald af uveitis, er baseret på en log</w:t>
      </w:r>
      <w:r w:rsidRPr="00F00B28">
        <w:rPr>
          <w:noProof/>
          <w:sz w:val="24"/>
          <w:szCs w:val="24"/>
        </w:rPr>
        <w:noBreakHyphen/>
        <w:t>rank</w:t>
      </w:r>
      <w:r w:rsidRPr="00F00B28">
        <w:rPr>
          <w:noProof/>
          <w:sz w:val="24"/>
          <w:szCs w:val="24"/>
        </w:rPr>
        <w:noBreakHyphen/>
        <w:t xml:space="preserve">test. </w:t>
      </w:r>
      <w:bookmarkStart w:id="15" w:name="_Hlk532506226"/>
      <w:r w:rsidRPr="00F00B28">
        <w:rPr>
          <w:noProof/>
          <w:sz w:val="24"/>
          <w:szCs w:val="24"/>
        </w:rPr>
        <w:t>I ITT</w:t>
      </w:r>
      <w:r w:rsidRPr="00F00B28">
        <w:rPr>
          <w:noProof/>
          <w:sz w:val="24"/>
          <w:szCs w:val="24"/>
        </w:rPr>
        <w:noBreakHyphen/>
        <w:t xml:space="preserve">populationen var tilbagefald af uveitis i studieøjet, indberettet efter 6 måneder, markant (p&lt;0,001) lavere i </w:t>
      </w:r>
      <w:r w:rsidR="007C0D0A">
        <w:rPr>
          <w:noProof/>
          <w:sz w:val="24"/>
          <w:szCs w:val="24"/>
        </w:rPr>
        <w:t>Iluvien</w:t>
      </w:r>
      <w:r w:rsidRPr="00F00B28">
        <w:rPr>
          <w:noProof/>
          <w:sz w:val="24"/>
          <w:szCs w:val="24"/>
        </w:rPr>
        <w:noBreakHyphen/>
        <w:t>gruppen (37,9%) sammenlignet med gruppen, som fik falsk injektion (97,6%); odds ratio for forskellen fra falsk injektion var 67,09 (95% CI: 8,81; 511,06).</w:t>
      </w:r>
    </w:p>
    <w:bookmarkEnd w:id="15"/>
    <w:p w:rsidR="00E24089" w:rsidRPr="00F00B28" w:rsidRDefault="00E24089" w:rsidP="00E24089">
      <w:pPr>
        <w:pStyle w:val="C-BodyText"/>
        <w:rPr>
          <w:noProof/>
          <w:szCs w:val="24"/>
          <w:lang w:val="da-DK"/>
        </w:rPr>
      </w:pPr>
      <w:r w:rsidRPr="00F00B28">
        <w:rPr>
          <w:noProof/>
          <w:szCs w:val="24"/>
          <w:lang w:val="da-DK"/>
        </w:rPr>
        <w:t>Der blev vist vedvarende effekt ved brug af 36 måneders resultaterne fra fase 3-studiet, som blev startet først (PSV</w:t>
      </w:r>
      <w:r w:rsidRPr="00F00B28">
        <w:rPr>
          <w:noProof/>
          <w:szCs w:val="24"/>
          <w:lang w:val="da-DK"/>
        </w:rPr>
        <w:noBreakHyphen/>
        <w:t>FAI</w:t>
      </w:r>
      <w:r w:rsidRPr="00F00B28">
        <w:rPr>
          <w:noProof/>
          <w:szCs w:val="24"/>
          <w:lang w:val="da-DK"/>
        </w:rPr>
        <w:noBreakHyphen/>
        <w:t>001) (se tabel for PSV</w:t>
      </w:r>
      <w:r w:rsidRPr="00F00B28">
        <w:rPr>
          <w:noProof/>
          <w:szCs w:val="24"/>
          <w:lang w:val="da-DK"/>
        </w:rPr>
        <w:noBreakHyphen/>
        <w:t>FAI-001</w:t>
      </w:r>
      <w:r w:rsidRPr="00F00B28">
        <w:rPr>
          <w:noProof/>
          <w:szCs w:val="24"/>
          <w:lang w:val="da-DK"/>
        </w:rPr>
        <w:noBreakHyphen/>
        <w:t xml:space="preserve">resultaterne af det primære effektendemål, </w:t>
      </w:r>
      <w:r w:rsidRPr="00F00B28">
        <w:rPr>
          <w:noProof/>
          <w:szCs w:val="24"/>
          <w:lang w:val="da-DK"/>
        </w:rPr>
        <w:lastRenderedPageBreak/>
        <w:t>der sammenlignede andelen af tilbagefald af uveitis i studieøjet i forhold til kontrolgruppen, som fik falsk behandling, og figuren for sammenligning af tiden til tilbagefald af uveitis i disse behandlingsgrupper).</w:t>
      </w:r>
    </w:p>
    <w:p w:rsidR="00E24089" w:rsidRPr="00F00B28" w:rsidRDefault="00E24089" w:rsidP="00E24089">
      <w:pPr>
        <w:rPr>
          <w:b/>
          <w:bCs/>
          <w:sz w:val="24"/>
          <w:szCs w:val="24"/>
        </w:rPr>
      </w:pPr>
    </w:p>
    <w:p w:rsidR="00E24089" w:rsidRPr="00F00B28" w:rsidRDefault="00E24089" w:rsidP="00E24089">
      <w:pPr>
        <w:keepNext/>
        <w:rPr>
          <w:b/>
          <w:bCs/>
          <w:sz w:val="24"/>
          <w:szCs w:val="24"/>
        </w:rPr>
      </w:pPr>
      <w:r w:rsidRPr="00F00B28">
        <w:rPr>
          <w:b/>
          <w:bCs/>
          <w:sz w:val="24"/>
          <w:szCs w:val="24"/>
        </w:rPr>
        <w:t xml:space="preserve">Tabel 5: Andel af deltagere med tilbagefald af </w:t>
      </w:r>
      <w:proofErr w:type="spellStart"/>
      <w:r w:rsidRPr="00F00B28">
        <w:rPr>
          <w:b/>
          <w:bCs/>
          <w:sz w:val="24"/>
          <w:szCs w:val="24"/>
        </w:rPr>
        <w:t>uveitis</w:t>
      </w:r>
      <w:proofErr w:type="spellEnd"/>
      <w:r w:rsidRPr="00F00B28">
        <w:rPr>
          <w:b/>
          <w:bCs/>
          <w:sz w:val="24"/>
          <w:szCs w:val="24"/>
        </w:rPr>
        <w:t xml:space="preserve"> i studieøjet inden for 36 måneder (ITT-population) PSV</w:t>
      </w:r>
      <w:r w:rsidRPr="00F00B28">
        <w:rPr>
          <w:b/>
          <w:bCs/>
          <w:sz w:val="24"/>
          <w:szCs w:val="24"/>
        </w:rPr>
        <w:noBreakHyphen/>
        <w:t>FAI</w:t>
      </w:r>
      <w:r w:rsidRPr="00F00B28">
        <w:rPr>
          <w:b/>
          <w:bCs/>
          <w:sz w:val="24"/>
          <w:szCs w:val="24"/>
        </w:rPr>
        <w:noBreakHyphen/>
        <w:t>001</w:t>
      </w:r>
    </w:p>
    <w:tbl>
      <w:tblPr>
        <w:tblpPr w:leftFromText="180" w:rightFromText="180" w:vertAnchor="text" w:tblpY="1"/>
        <w:tblOverlap w:val="never"/>
        <w:tblW w:w="4713" w:type="pct"/>
        <w:tblBorders>
          <w:top w:val="single" w:sz="6" w:space="0" w:color="FFFF00"/>
          <w:left w:val="single" w:sz="6" w:space="0" w:color="FFFF00"/>
          <w:bottom w:val="single" w:sz="6" w:space="0" w:color="FFFF00"/>
          <w:right w:val="single" w:sz="6" w:space="0" w:color="FFFF00"/>
          <w:insideH w:val="single" w:sz="6" w:space="0" w:color="auto"/>
          <w:insideV w:val="single" w:sz="6" w:space="0" w:color="auto"/>
        </w:tblBorders>
        <w:tblLook w:val="04A0" w:firstRow="1" w:lastRow="0" w:firstColumn="1" w:lastColumn="0" w:noHBand="0" w:noVBand="1"/>
      </w:tblPr>
      <w:tblGrid>
        <w:gridCol w:w="4233"/>
        <w:gridCol w:w="2423"/>
        <w:gridCol w:w="2419"/>
      </w:tblGrid>
      <w:tr w:rsidR="00E24089" w:rsidTr="003B4BCE">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szCs w:val="22"/>
              </w:rPr>
            </w:pPr>
            <w:r>
              <w:rPr>
                <w:b/>
                <w:sz w:val="20"/>
                <w:szCs w:val="22"/>
              </w:rPr>
              <w:t>ITT</w:t>
            </w:r>
            <w:r>
              <w:rPr>
                <w:b/>
                <w:sz w:val="20"/>
                <w:szCs w:val="22"/>
              </w:rPr>
              <w:noBreakHyphen/>
              <w:t>population</w:t>
            </w: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c>
          <w:tcPr>
            <w:tcW w:w="1335"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FAI implantat</w:t>
            </w:r>
            <w:r>
              <w:rPr>
                <w:b/>
                <w:sz w:val="20"/>
                <w:szCs w:val="22"/>
              </w:rPr>
              <w:br/>
              <w:t>(N=87)</w:t>
            </w:r>
          </w:p>
        </w:tc>
        <w:tc>
          <w:tcPr>
            <w:tcW w:w="1333"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Falsk injektion</w:t>
            </w:r>
            <w:r>
              <w:rPr>
                <w:b/>
                <w:sz w:val="20"/>
                <w:szCs w:val="22"/>
              </w:rPr>
              <w:br/>
              <w:t>(N=42)</w:t>
            </w: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rPr>
                <w:bCs/>
                <w:sz w:val="20"/>
              </w:rPr>
            </w:pPr>
            <w:r>
              <w:rPr>
                <w:bCs/>
                <w:sz w:val="20"/>
              </w:rPr>
              <w:t>Tilbagefald inden for 36 måneder, n (%)</w:t>
            </w:r>
          </w:p>
        </w:tc>
        <w:tc>
          <w:tcPr>
            <w:tcW w:w="1335"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57 (65,5%)</w:t>
            </w:r>
          </w:p>
        </w:tc>
        <w:tc>
          <w:tcPr>
            <w:tcW w:w="1333"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41 (97,6%)</w:t>
            </w: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Intet tilbagefald inden for 36 måneder, n (%)</w:t>
            </w:r>
          </w:p>
        </w:tc>
        <w:tc>
          <w:tcPr>
            <w:tcW w:w="1335"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30 (34,5%)</w:t>
            </w:r>
          </w:p>
        </w:tc>
        <w:tc>
          <w:tcPr>
            <w:tcW w:w="1333"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 (2,4%)</w:t>
            </w: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position w:val="2"/>
                <w:sz w:val="20"/>
                <w:szCs w:val="22"/>
              </w:rPr>
              <w:t>Forskel fra falsk behandling</w:t>
            </w:r>
            <w:r>
              <w:rPr>
                <w:position w:val="2"/>
                <w:sz w:val="20"/>
                <w:szCs w:val="22"/>
                <w:vertAlign w:val="superscript"/>
              </w:rPr>
              <w:t>1</w:t>
            </w:r>
          </w:p>
        </w:tc>
        <w:tc>
          <w:tcPr>
            <w:tcW w:w="2668"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szCs w:val="22"/>
              </w:rPr>
            </w:pPr>
            <w:r>
              <w:rPr>
                <w:sz w:val="20"/>
                <w:szCs w:val="22"/>
              </w:rPr>
              <w:t>Odds ratio</w:t>
            </w:r>
          </w:p>
        </w:tc>
        <w:tc>
          <w:tcPr>
            <w:tcW w:w="2668"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21,58</w:t>
            </w: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szCs w:val="22"/>
              </w:rPr>
            </w:pPr>
            <w:r>
              <w:rPr>
                <w:sz w:val="20"/>
                <w:szCs w:val="22"/>
              </w:rPr>
              <w:t>95% CI</w:t>
            </w:r>
          </w:p>
        </w:tc>
        <w:tc>
          <w:tcPr>
            <w:tcW w:w="2668"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(2,83; 164,70)</w:t>
            </w: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proofErr w:type="spellStart"/>
            <w:r>
              <w:rPr>
                <w:sz w:val="20"/>
                <w:szCs w:val="22"/>
              </w:rPr>
              <w:t>P</w:t>
            </w:r>
            <w:r>
              <w:rPr>
                <w:sz w:val="20"/>
                <w:szCs w:val="22"/>
              </w:rPr>
              <w:noBreakHyphen/>
              <w:t>værdi</w:t>
            </w:r>
            <w:proofErr w:type="spellEnd"/>
          </w:p>
        </w:tc>
        <w:tc>
          <w:tcPr>
            <w:tcW w:w="2668"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szCs w:val="22"/>
              </w:rPr>
            </w:pPr>
            <w:r>
              <w:rPr>
                <w:sz w:val="20"/>
                <w:szCs w:val="22"/>
              </w:rPr>
              <w:t>Forskel fra falsk behandling</w:t>
            </w:r>
            <w:r>
              <w:rPr>
                <w:sz w:val="20"/>
                <w:szCs w:val="22"/>
                <w:vertAlign w:val="superscript"/>
              </w:rPr>
              <w:t>2</w:t>
            </w:r>
          </w:p>
        </w:tc>
        <w:tc>
          <w:tcPr>
            <w:tcW w:w="2668"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r>
              <w:rPr>
                <w:sz w:val="20"/>
                <w:szCs w:val="22"/>
              </w:rPr>
              <w:t>Forskel i procent</w:t>
            </w:r>
          </w:p>
        </w:tc>
        <w:tc>
          <w:tcPr>
            <w:tcW w:w="2668"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32,1%</w:t>
            </w: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r>
              <w:rPr>
                <w:sz w:val="20"/>
                <w:szCs w:val="22"/>
              </w:rPr>
              <w:t>95% CI</w:t>
            </w:r>
          </w:p>
        </w:tc>
        <w:tc>
          <w:tcPr>
            <w:tcW w:w="2668"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(21,1%; 43,1%)</w:t>
            </w:r>
          </w:p>
        </w:tc>
      </w:tr>
      <w:tr w:rsidR="00E24089" w:rsidTr="003B4BCE">
        <w:trPr>
          <w:cantSplit/>
          <w:tblHeader/>
        </w:trPr>
        <w:tc>
          <w:tcPr>
            <w:tcW w:w="233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proofErr w:type="spellStart"/>
            <w:r>
              <w:rPr>
                <w:sz w:val="20"/>
                <w:szCs w:val="22"/>
              </w:rPr>
              <w:t>P</w:t>
            </w:r>
            <w:r>
              <w:rPr>
                <w:sz w:val="20"/>
                <w:szCs w:val="22"/>
              </w:rPr>
              <w:noBreakHyphen/>
              <w:t>værdi</w:t>
            </w:r>
            <w:proofErr w:type="spellEnd"/>
          </w:p>
        </w:tc>
        <w:tc>
          <w:tcPr>
            <w:tcW w:w="2668"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r>
    </w:tbl>
    <w:p w:rsidR="00E24089" w:rsidRDefault="00E24089" w:rsidP="00E24089">
      <w:pPr>
        <w:pStyle w:val="C-BodyText"/>
        <w:spacing w:before="0" w:after="0" w:line="240" w:lineRule="auto"/>
        <w:rPr>
          <w:sz w:val="20"/>
          <w:lang w:val="da-DK"/>
        </w:rPr>
      </w:pPr>
      <w:r>
        <w:rPr>
          <w:sz w:val="20"/>
          <w:vertAlign w:val="superscript"/>
          <w:lang w:val="da-DK"/>
        </w:rPr>
        <w:t>1</w:t>
      </w:r>
      <w:r>
        <w:rPr>
          <w:sz w:val="20"/>
          <w:lang w:val="da-DK"/>
        </w:rPr>
        <w:t xml:space="preserve"> Odds ratio</w:t>
      </w:r>
      <w:r>
        <w:rPr>
          <w:i/>
          <w:sz w:val="20"/>
          <w:lang w:val="da-DK"/>
        </w:rPr>
        <w:t xml:space="preserve"> </w:t>
      </w:r>
      <w:r>
        <w:rPr>
          <w:sz w:val="20"/>
          <w:lang w:val="da-DK"/>
        </w:rPr>
        <w:t xml:space="preserve">og 95% konfidensinterval er baseret på </w:t>
      </w:r>
      <w:proofErr w:type="spellStart"/>
      <w:r>
        <w:rPr>
          <w:sz w:val="20"/>
          <w:lang w:val="da-DK"/>
        </w:rPr>
        <w:t>Mantel</w:t>
      </w:r>
      <w:r>
        <w:rPr>
          <w:sz w:val="20"/>
          <w:lang w:val="da-DK"/>
        </w:rPr>
        <w:noBreakHyphen/>
        <w:t>Haenszel</w:t>
      </w:r>
      <w:proofErr w:type="spellEnd"/>
      <w:r>
        <w:rPr>
          <w:sz w:val="20"/>
          <w:lang w:val="da-DK"/>
        </w:rPr>
        <w:t xml:space="preserve">. </w:t>
      </w:r>
      <w:proofErr w:type="spellStart"/>
      <w:r>
        <w:rPr>
          <w:sz w:val="20"/>
          <w:lang w:val="da-DK"/>
        </w:rPr>
        <w:t>P</w:t>
      </w:r>
      <w:r>
        <w:rPr>
          <w:sz w:val="20"/>
          <w:lang w:val="da-DK"/>
        </w:rPr>
        <w:noBreakHyphen/>
        <w:t>værdien</w:t>
      </w:r>
      <w:proofErr w:type="spellEnd"/>
      <w:r>
        <w:rPr>
          <w:sz w:val="20"/>
          <w:lang w:val="da-DK"/>
        </w:rPr>
        <w:t xml:space="preserve"> er fra </w:t>
      </w:r>
      <w:proofErr w:type="gramStart"/>
      <w:r>
        <w:rPr>
          <w:sz w:val="20"/>
          <w:lang w:val="da-DK"/>
        </w:rPr>
        <w:t>en kontinuitetsjusteret chi</w:t>
      </w:r>
      <w:proofErr w:type="gramEnd"/>
      <w:r>
        <w:rPr>
          <w:sz w:val="20"/>
          <w:lang w:val="da-DK"/>
        </w:rPr>
        <w:noBreakHyphen/>
      </w:r>
      <w:proofErr w:type="spellStart"/>
      <w:r>
        <w:rPr>
          <w:sz w:val="20"/>
          <w:lang w:val="da-DK"/>
        </w:rPr>
        <w:t>square</w:t>
      </w:r>
      <w:proofErr w:type="spellEnd"/>
      <w:r>
        <w:rPr>
          <w:sz w:val="20"/>
          <w:lang w:val="da-DK"/>
        </w:rPr>
        <w:noBreakHyphen/>
        <w:t xml:space="preserve">test, der sammenlignede antallet af deltagere med og uden tilbagefald af </w:t>
      </w:r>
      <w:proofErr w:type="spellStart"/>
      <w:r>
        <w:rPr>
          <w:sz w:val="20"/>
          <w:lang w:val="da-DK"/>
        </w:rPr>
        <w:t>uveitis</w:t>
      </w:r>
      <w:proofErr w:type="spellEnd"/>
      <w:r>
        <w:rPr>
          <w:sz w:val="20"/>
          <w:lang w:val="da-DK"/>
        </w:rPr>
        <w:t xml:space="preserve"> mellem behandlingsgrupperne efter 36 måneder.</w:t>
      </w:r>
    </w:p>
    <w:p w:rsidR="00E24089" w:rsidRDefault="00E24089" w:rsidP="00E24089">
      <w:pPr>
        <w:pStyle w:val="C-BodyText"/>
        <w:spacing w:before="0" w:after="0"/>
        <w:rPr>
          <w:sz w:val="20"/>
          <w:lang w:val="da-DK"/>
        </w:rPr>
      </w:pPr>
      <w:bookmarkStart w:id="16" w:name="_Hlk532509163"/>
      <w:r>
        <w:rPr>
          <w:sz w:val="20"/>
          <w:vertAlign w:val="superscript"/>
          <w:lang w:val="da-DK"/>
        </w:rPr>
        <w:t>2</w:t>
      </w:r>
      <w:r>
        <w:rPr>
          <w:sz w:val="20"/>
          <w:lang w:val="da-DK"/>
        </w:rPr>
        <w:t xml:space="preserve"> </w:t>
      </w:r>
      <w:proofErr w:type="spellStart"/>
      <w:r>
        <w:rPr>
          <w:sz w:val="20"/>
          <w:lang w:val="da-DK"/>
        </w:rPr>
        <w:t>P</w:t>
      </w:r>
      <w:r>
        <w:rPr>
          <w:sz w:val="20"/>
          <w:lang w:val="da-DK"/>
        </w:rPr>
        <w:noBreakHyphen/>
        <w:t>værdi</w:t>
      </w:r>
      <w:proofErr w:type="spellEnd"/>
      <w:r>
        <w:rPr>
          <w:sz w:val="20"/>
          <w:lang w:val="da-DK"/>
        </w:rPr>
        <w:t xml:space="preserve"> er fra en </w:t>
      </w:r>
      <w:proofErr w:type="spellStart"/>
      <w:r>
        <w:rPr>
          <w:sz w:val="20"/>
          <w:lang w:val="da-DK"/>
        </w:rPr>
        <w:t>Cochran</w:t>
      </w:r>
      <w:r>
        <w:rPr>
          <w:sz w:val="20"/>
          <w:lang w:val="da-DK"/>
        </w:rPr>
        <w:noBreakHyphen/>
        <w:t>Mantel</w:t>
      </w:r>
      <w:r>
        <w:rPr>
          <w:sz w:val="20"/>
          <w:lang w:val="da-DK"/>
        </w:rPr>
        <w:noBreakHyphen/>
        <w:t>Haenszel</w:t>
      </w:r>
      <w:proofErr w:type="spellEnd"/>
      <w:r>
        <w:rPr>
          <w:sz w:val="20"/>
          <w:lang w:val="da-DK"/>
        </w:rPr>
        <w:t xml:space="preserve"> general association chi</w:t>
      </w:r>
      <w:r>
        <w:rPr>
          <w:sz w:val="20"/>
          <w:lang w:val="da-DK"/>
        </w:rPr>
        <w:noBreakHyphen/>
      </w:r>
      <w:proofErr w:type="spellStart"/>
      <w:r>
        <w:rPr>
          <w:sz w:val="20"/>
          <w:lang w:val="da-DK"/>
        </w:rPr>
        <w:t>square</w:t>
      </w:r>
      <w:proofErr w:type="spellEnd"/>
      <w:r>
        <w:rPr>
          <w:sz w:val="20"/>
          <w:lang w:val="da-DK"/>
        </w:rPr>
        <w:noBreakHyphen/>
        <w:t xml:space="preserve">test, der sammenlignede antallet af deltagere med og uden tilbagefald af </w:t>
      </w:r>
      <w:proofErr w:type="spellStart"/>
      <w:r>
        <w:rPr>
          <w:sz w:val="20"/>
          <w:lang w:val="da-DK"/>
        </w:rPr>
        <w:t>uveitis</w:t>
      </w:r>
      <w:proofErr w:type="spellEnd"/>
      <w:r>
        <w:rPr>
          <w:sz w:val="20"/>
          <w:lang w:val="da-DK"/>
        </w:rPr>
        <w:t xml:space="preserve"> mellem behandlingsgrupperne efter 36 måneder.</w:t>
      </w:r>
    </w:p>
    <w:p w:rsidR="00E24089" w:rsidRDefault="00E24089" w:rsidP="00E24089">
      <w:pPr>
        <w:pStyle w:val="C-BodyText"/>
        <w:rPr>
          <w:sz w:val="22"/>
          <w:szCs w:val="22"/>
          <w:lang w:val="da-DK"/>
        </w:rPr>
      </w:pPr>
    </w:p>
    <w:bookmarkEnd w:id="16"/>
    <w:p w:rsidR="00E24089" w:rsidRPr="00F00B28" w:rsidRDefault="00E24089" w:rsidP="00B14D9E">
      <w:pPr>
        <w:pStyle w:val="C-BodyText"/>
        <w:keepNext/>
        <w:rPr>
          <w:b/>
          <w:noProof/>
          <w:szCs w:val="24"/>
          <w:lang w:val="sv-SE"/>
        </w:rPr>
      </w:pPr>
      <w:r w:rsidRPr="00F00B28">
        <w:rPr>
          <w:b/>
          <w:noProof/>
          <w:szCs w:val="24"/>
          <w:lang w:val="sv-SE"/>
        </w:rPr>
        <w:lastRenderedPageBreak/>
        <w:t xml:space="preserve">Figur 5: </w:t>
      </w:r>
      <w:r w:rsidRPr="00F00B28">
        <w:rPr>
          <w:b/>
          <w:noProof/>
          <w:szCs w:val="24"/>
          <w:lang w:val="da-DK"/>
        </w:rPr>
        <w:t>Kaplan</w:t>
      </w:r>
      <w:r w:rsidRPr="00F00B28">
        <w:rPr>
          <w:b/>
          <w:noProof/>
          <w:szCs w:val="24"/>
          <w:lang w:val="da-DK"/>
        </w:rPr>
        <w:noBreakHyphen/>
        <w:t>Meier kurve af tid til første tilbagefald af uveitis i studieøjet inden for 36 måneder (ITT-population):</w:t>
      </w:r>
      <w:r w:rsidRPr="00F00B28">
        <w:rPr>
          <w:b/>
          <w:noProof/>
          <w:szCs w:val="24"/>
          <w:lang w:val="sv-SE"/>
        </w:rPr>
        <w:t xml:space="preserve"> PSV-FAI-001</w:t>
      </w:r>
    </w:p>
    <w:p w:rsidR="00E24089" w:rsidRDefault="00E24089" w:rsidP="00E24089">
      <w:pPr>
        <w:pStyle w:val="C-BodyText"/>
        <w:rPr>
          <w:b/>
          <w:noProof/>
          <w:sz w:val="22"/>
          <w:szCs w:val="22"/>
          <w:lang w:val="sv-SE"/>
        </w:rPr>
      </w:pPr>
      <w:r>
        <w:rPr>
          <w:noProof/>
          <w:lang w:val="da-DK" w:eastAsia="da-DK"/>
        </w:rPr>
        <w:drawing>
          <wp:inline distT="0" distB="0" distL="0" distR="0" wp14:anchorId="2656DFB1" wp14:editId="6DD051C1">
            <wp:extent cx="5734050" cy="4391025"/>
            <wp:effectExtent l="0" t="0" r="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4050" cy="4391025"/>
                    </a:xfrm>
                    <a:prstGeom prst="rect">
                      <a:avLst/>
                    </a:prstGeom>
                    <a:noFill/>
                    <a:ln>
                      <a:noFill/>
                    </a:ln>
                  </pic:spPr>
                </pic:pic>
              </a:graphicData>
            </a:graphic>
          </wp:inline>
        </w:drawing>
      </w:r>
    </w:p>
    <w:p w:rsidR="00E24089" w:rsidRPr="00F00B28" w:rsidRDefault="00E24089" w:rsidP="00E24089">
      <w:pPr>
        <w:tabs>
          <w:tab w:val="left" w:pos="1304"/>
        </w:tabs>
        <w:spacing w:before="120"/>
        <w:rPr>
          <w:noProof/>
          <w:sz w:val="24"/>
          <w:szCs w:val="24"/>
        </w:rPr>
      </w:pPr>
      <w:r w:rsidRPr="00F00B28">
        <w:rPr>
          <w:noProof/>
          <w:sz w:val="24"/>
          <w:szCs w:val="24"/>
        </w:rPr>
        <w:t>I ITT</w:t>
      </w:r>
      <w:r w:rsidRPr="00F00B28">
        <w:rPr>
          <w:noProof/>
          <w:sz w:val="24"/>
          <w:szCs w:val="24"/>
        </w:rPr>
        <w:noBreakHyphen/>
        <w:t xml:space="preserve">populationen var tilbagefald af uveitis i studieøjet inden for 36 måneder markant lavere (p&lt;0,001) i </w:t>
      </w:r>
      <w:r w:rsidR="007C0D0A">
        <w:rPr>
          <w:noProof/>
          <w:sz w:val="24"/>
          <w:szCs w:val="24"/>
        </w:rPr>
        <w:t>Iluvien</w:t>
      </w:r>
      <w:r w:rsidRPr="00F00B28">
        <w:rPr>
          <w:noProof/>
          <w:sz w:val="24"/>
          <w:szCs w:val="24"/>
        </w:rPr>
        <w:noBreakHyphen/>
        <w:t>gruppen sammenlignet med gruppen, som fik falsk injektion.</w:t>
      </w:r>
    </w:p>
    <w:p w:rsidR="00E24089" w:rsidRPr="00F00B28" w:rsidRDefault="00E24089" w:rsidP="00E24089">
      <w:pPr>
        <w:tabs>
          <w:tab w:val="left" w:pos="1304"/>
        </w:tabs>
        <w:rPr>
          <w:noProof/>
          <w:sz w:val="24"/>
          <w:szCs w:val="24"/>
        </w:rPr>
      </w:pPr>
    </w:p>
    <w:p w:rsidR="00E24089" w:rsidRPr="00F00B28" w:rsidRDefault="00E24089" w:rsidP="00B14D9E">
      <w:pPr>
        <w:keepNext/>
        <w:tabs>
          <w:tab w:val="left" w:pos="1304"/>
        </w:tabs>
        <w:rPr>
          <w:b/>
          <w:noProof/>
          <w:sz w:val="24"/>
          <w:szCs w:val="24"/>
        </w:rPr>
      </w:pPr>
      <w:r w:rsidRPr="00F00B28">
        <w:rPr>
          <w:b/>
          <w:noProof/>
          <w:sz w:val="24"/>
          <w:szCs w:val="24"/>
        </w:rPr>
        <w:lastRenderedPageBreak/>
        <w:t>Tabel 6: Antal af tilbagefald af uveitis i studieøjet inden for 6 måneder (Intent To Treat (ITT-population)): PSV-FAI-001 og PSV-FAI-005</w:t>
      </w:r>
    </w:p>
    <w:tbl>
      <w:tblPr>
        <w:tblW w:w="4924" w:type="pct"/>
        <w:tblInd w:w="137" w:type="dxa"/>
        <w:tblBorders>
          <w:top w:val="single" w:sz="6" w:space="0" w:color="FFFF00"/>
          <w:left w:val="single" w:sz="6" w:space="0" w:color="FFFF00"/>
          <w:bottom w:val="single" w:sz="6" w:space="0" w:color="FFFF00"/>
          <w:right w:val="single" w:sz="6" w:space="0" w:color="FFFF00"/>
          <w:insideH w:val="single" w:sz="6" w:space="0" w:color="auto"/>
          <w:insideV w:val="single" w:sz="6" w:space="0" w:color="auto"/>
        </w:tblBorders>
        <w:tblLook w:val="04A0" w:firstRow="1" w:lastRow="0" w:firstColumn="1" w:lastColumn="0" w:noHBand="0" w:noVBand="1"/>
      </w:tblPr>
      <w:tblGrid>
        <w:gridCol w:w="2923"/>
        <w:gridCol w:w="1625"/>
        <w:gridCol w:w="1625"/>
        <w:gridCol w:w="1667"/>
        <w:gridCol w:w="1642"/>
      </w:tblGrid>
      <w:tr w:rsidR="00E24089" w:rsidTr="003B4BCE">
        <w:trPr>
          <w:cantSplit/>
          <w:tblHeader/>
        </w:trPr>
        <w:tc>
          <w:tcPr>
            <w:tcW w:w="5000" w:type="pct"/>
            <w:gridSpan w:val="5"/>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rPr>
            </w:pPr>
            <w:r>
              <w:rPr>
                <w:b/>
                <w:sz w:val="20"/>
              </w:rPr>
              <w:t>ITT-population</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rPr>
            </w:pPr>
          </w:p>
        </w:tc>
        <w:tc>
          <w:tcPr>
            <w:tcW w:w="1714" w:type="pct"/>
            <w:gridSpan w:val="2"/>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rPr>
            </w:pPr>
            <w:r>
              <w:rPr>
                <w:b/>
                <w:sz w:val="20"/>
              </w:rPr>
              <w:t>PSV-FAI-001</w:t>
            </w:r>
          </w:p>
        </w:tc>
        <w:tc>
          <w:tcPr>
            <w:tcW w:w="174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rPr>
            </w:pPr>
            <w:r>
              <w:rPr>
                <w:b/>
                <w:sz w:val="20"/>
              </w:rPr>
              <w:t>PSV-FAI-005</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rPr>
            </w:pPr>
          </w:p>
        </w:tc>
        <w:tc>
          <w:tcPr>
            <w:tcW w:w="857"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rPr>
            </w:pPr>
            <w:r>
              <w:rPr>
                <w:b/>
                <w:sz w:val="20"/>
              </w:rPr>
              <w:t>FAI implantat</w:t>
            </w:r>
            <w:r>
              <w:rPr>
                <w:b/>
                <w:sz w:val="20"/>
              </w:rPr>
              <w:br/>
              <w:t>(N=87)</w:t>
            </w:r>
          </w:p>
        </w:tc>
        <w:tc>
          <w:tcPr>
            <w:tcW w:w="857"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rPr>
            </w:pPr>
            <w:r>
              <w:rPr>
                <w:b/>
                <w:sz w:val="20"/>
              </w:rPr>
              <w:t>Falsk injektion</w:t>
            </w:r>
            <w:r>
              <w:rPr>
                <w:b/>
                <w:sz w:val="20"/>
              </w:rPr>
              <w:br/>
              <w:t>(N=42)</w:t>
            </w:r>
          </w:p>
        </w:tc>
        <w:tc>
          <w:tcPr>
            <w:tcW w:w="879"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rPr>
            </w:pPr>
            <w:r>
              <w:rPr>
                <w:b/>
                <w:sz w:val="20"/>
              </w:rPr>
              <w:t>FAI implantat</w:t>
            </w:r>
            <w:r>
              <w:rPr>
                <w:b/>
                <w:sz w:val="20"/>
              </w:rPr>
              <w:br/>
              <w:t>(N=101)</w:t>
            </w:r>
          </w:p>
        </w:tc>
        <w:tc>
          <w:tcPr>
            <w:tcW w:w="866"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rPr>
            </w:pPr>
            <w:r>
              <w:rPr>
                <w:b/>
                <w:sz w:val="20"/>
              </w:rPr>
              <w:t>Falsk injektion</w:t>
            </w:r>
            <w:r>
              <w:rPr>
                <w:b/>
                <w:sz w:val="20"/>
              </w:rPr>
              <w:br/>
              <w:t>(N=52)</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Total antal tilbagefald</w:t>
            </w:r>
          </w:p>
        </w:tc>
        <w:tc>
          <w:tcPr>
            <w:tcW w:w="85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36</w:t>
            </w:r>
          </w:p>
        </w:tc>
        <w:tc>
          <w:tcPr>
            <w:tcW w:w="85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70</w:t>
            </w:r>
          </w:p>
        </w:tc>
        <w:tc>
          <w:tcPr>
            <w:tcW w:w="879"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59</w:t>
            </w:r>
          </w:p>
        </w:tc>
        <w:tc>
          <w:tcPr>
            <w:tcW w:w="866"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53</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Antal patienter med mindst et tilbagefald</w:t>
            </w:r>
          </w:p>
        </w:tc>
        <w:tc>
          <w:tcPr>
            <w:tcW w:w="85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24</w:t>
            </w:r>
          </w:p>
        </w:tc>
        <w:tc>
          <w:tcPr>
            <w:tcW w:w="85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38</w:t>
            </w:r>
          </w:p>
        </w:tc>
        <w:tc>
          <w:tcPr>
            <w:tcW w:w="879"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26</w:t>
            </w:r>
          </w:p>
        </w:tc>
        <w:tc>
          <w:tcPr>
            <w:tcW w:w="866"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31</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Antal tilbagefald pr. patient</w:t>
            </w:r>
          </w:p>
        </w:tc>
        <w:tc>
          <w:tcPr>
            <w:tcW w:w="1714"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rPr>
            </w:pPr>
          </w:p>
        </w:tc>
        <w:tc>
          <w:tcPr>
            <w:tcW w:w="879"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rPr>
            </w:pPr>
          </w:p>
        </w:tc>
        <w:tc>
          <w:tcPr>
            <w:tcW w:w="866"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rPr>
            </w:pP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rPr>
            </w:pPr>
            <w:r>
              <w:rPr>
                <w:sz w:val="20"/>
              </w:rPr>
              <w:t>N</w:t>
            </w:r>
          </w:p>
        </w:tc>
        <w:tc>
          <w:tcPr>
            <w:tcW w:w="857"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87</w:t>
            </w:r>
          </w:p>
        </w:tc>
        <w:tc>
          <w:tcPr>
            <w:tcW w:w="857"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42</w:t>
            </w:r>
          </w:p>
        </w:tc>
        <w:tc>
          <w:tcPr>
            <w:tcW w:w="879"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101</w:t>
            </w:r>
          </w:p>
        </w:tc>
        <w:tc>
          <w:tcPr>
            <w:tcW w:w="866"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52</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rPr>
            </w:pPr>
            <w:r>
              <w:rPr>
                <w:sz w:val="20"/>
              </w:rPr>
              <w:t>Gennemsnit (SD)</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0,4 (0,76)</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1,7 (1,07)</w:t>
            </w:r>
          </w:p>
        </w:tc>
        <w:tc>
          <w:tcPr>
            <w:tcW w:w="879"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0,6 (1,34)</w:t>
            </w:r>
          </w:p>
        </w:tc>
        <w:tc>
          <w:tcPr>
            <w:tcW w:w="866"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1,0 (1,21)</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rPr>
            </w:pPr>
            <w:r>
              <w:rPr>
                <w:sz w:val="20"/>
              </w:rPr>
              <w:t>Median</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0,0</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1,0</w:t>
            </w:r>
          </w:p>
        </w:tc>
        <w:tc>
          <w:tcPr>
            <w:tcW w:w="879"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0,0</w:t>
            </w:r>
          </w:p>
        </w:tc>
        <w:tc>
          <w:tcPr>
            <w:tcW w:w="86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1,0</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42"/>
              <w:rPr>
                <w:sz w:val="20"/>
              </w:rPr>
            </w:pPr>
            <w:r>
              <w:rPr>
                <w:sz w:val="20"/>
              </w:rPr>
              <w:t>Minimum, maksimum</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(0, 3)</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(0, 5)</w:t>
            </w:r>
          </w:p>
        </w:tc>
        <w:tc>
          <w:tcPr>
            <w:tcW w:w="879"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(0, 9)</w:t>
            </w:r>
          </w:p>
        </w:tc>
        <w:tc>
          <w:tcPr>
            <w:tcW w:w="86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(0, 6)</w:t>
            </w:r>
          </w:p>
        </w:tc>
      </w:tr>
      <w:tr w:rsidR="00E24089" w:rsidTr="003B4BCE">
        <w:trPr>
          <w:cantSplit/>
          <w:trHeight w:val="190"/>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0</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63 (72,4%)</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4 (9,5%)</w:t>
            </w:r>
          </w:p>
        </w:tc>
        <w:tc>
          <w:tcPr>
            <w:tcW w:w="879"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75 (74,3%)</w:t>
            </w:r>
          </w:p>
        </w:tc>
        <w:tc>
          <w:tcPr>
            <w:tcW w:w="86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21 (40,4%)</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1</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14 (16,1%)</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18 (42,9%)</w:t>
            </w:r>
          </w:p>
        </w:tc>
        <w:tc>
          <w:tcPr>
            <w:tcW w:w="879"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12 (11,9 %)</w:t>
            </w:r>
          </w:p>
        </w:tc>
        <w:tc>
          <w:tcPr>
            <w:tcW w:w="86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18 (34,6%)</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2</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8 (9,2%)</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10 (23,8%)</w:t>
            </w:r>
          </w:p>
        </w:tc>
        <w:tc>
          <w:tcPr>
            <w:tcW w:w="879"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4 (4,0%)</w:t>
            </w:r>
          </w:p>
        </w:tc>
        <w:tc>
          <w:tcPr>
            <w:tcW w:w="86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8 (15,4%)</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3</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2 (2,3%)</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9 (21,4%)</w:t>
            </w:r>
          </w:p>
        </w:tc>
        <w:tc>
          <w:tcPr>
            <w:tcW w:w="879"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7 (6,9%)</w:t>
            </w:r>
          </w:p>
        </w:tc>
        <w:tc>
          <w:tcPr>
            <w:tcW w:w="86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3 (5,8%)</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4</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(0,0%)</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(0,0%)</w:t>
            </w:r>
          </w:p>
        </w:tc>
        <w:tc>
          <w:tcPr>
            <w:tcW w:w="879"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 (1,0%)</w:t>
            </w:r>
          </w:p>
        </w:tc>
        <w:tc>
          <w:tcPr>
            <w:tcW w:w="86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 (1,9%)</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5</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(0,0%)</w:t>
            </w:r>
          </w:p>
        </w:tc>
        <w:tc>
          <w:tcPr>
            <w:tcW w:w="8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 (2,4%)</w:t>
            </w:r>
          </w:p>
        </w:tc>
        <w:tc>
          <w:tcPr>
            <w:tcW w:w="879"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 (1,0%)</w:t>
            </w:r>
          </w:p>
        </w:tc>
        <w:tc>
          <w:tcPr>
            <w:tcW w:w="86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(0,0%)</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&gt;5</w:t>
            </w:r>
          </w:p>
        </w:tc>
        <w:tc>
          <w:tcPr>
            <w:tcW w:w="857" w:type="pct"/>
            <w:tcBorders>
              <w:top w:val="single" w:sz="6"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(0,0%)</w:t>
            </w:r>
          </w:p>
        </w:tc>
        <w:tc>
          <w:tcPr>
            <w:tcW w:w="857" w:type="pct"/>
            <w:tcBorders>
              <w:top w:val="single" w:sz="6"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 (0,0%)</w:t>
            </w:r>
          </w:p>
        </w:tc>
        <w:tc>
          <w:tcPr>
            <w:tcW w:w="879" w:type="pct"/>
            <w:tcBorders>
              <w:top w:val="single" w:sz="6"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 (1,0%)</w:t>
            </w:r>
          </w:p>
        </w:tc>
        <w:tc>
          <w:tcPr>
            <w:tcW w:w="866" w:type="pct"/>
            <w:tcBorders>
              <w:top w:val="single" w:sz="6"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 (1,9%)</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rPr>
            </w:pPr>
            <w:r>
              <w:rPr>
                <w:sz w:val="20"/>
              </w:rPr>
              <w:t>Forskel fra falsk behandling</w:t>
            </w:r>
            <w:r>
              <w:rPr>
                <w:sz w:val="20"/>
                <w:vertAlign w:val="superscript"/>
              </w:rPr>
              <w:t>1</w:t>
            </w:r>
          </w:p>
        </w:tc>
        <w:tc>
          <w:tcPr>
            <w:tcW w:w="1714"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widowControl w:val="0"/>
              <w:tabs>
                <w:tab w:val="left" w:pos="1304"/>
              </w:tabs>
              <w:spacing w:before="20" w:after="20"/>
              <w:jc w:val="center"/>
              <w:rPr>
                <w:sz w:val="20"/>
              </w:rPr>
            </w:pPr>
          </w:p>
        </w:tc>
        <w:tc>
          <w:tcPr>
            <w:tcW w:w="879" w:type="pct"/>
            <w:tcBorders>
              <w:top w:val="single" w:sz="4" w:space="0" w:color="auto"/>
              <w:left w:val="single" w:sz="4" w:space="0" w:color="auto"/>
              <w:bottom w:val="single" w:sz="4" w:space="0" w:color="auto"/>
              <w:right w:val="single" w:sz="4" w:space="0" w:color="auto"/>
            </w:tcBorders>
          </w:tcPr>
          <w:p w:rsidR="00E24089" w:rsidRDefault="00E24089" w:rsidP="003B4BCE">
            <w:pPr>
              <w:widowControl w:val="0"/>
              <w:tabs>
                <w:tab w:val="left" w:pos="1304"/>
              </w:tabs>
              <w:spacing w:before="20" w:after="20"/>
              <w:jc w:val="center"/>
              <w:rPr>
                <w:sz w:val="20"/>
              </w:rPr>
            </w:pPr>
          </w:p>
        </w:tc>
        <w:tc>
          <w:tcPr>
            <w:tcW w:w="866" w:type="pct"/>
            <w:tcBorders>
              <w:top w:val="single" w:sz="4" w:space="0" w:color="auto"/>
              <w:left w:val="single" w:sz="4" w:space="0" w:color="auto"/>
              <w:bottom w:val="single" w:sz="4" w:space="0" w:color="auto"/>
              <w:right w:val="single" w:sz="4" w:space="0" w:color="auto"/>
            </w:tcBorders>
          </w:tcPr>
          <w:p w:rsidR="00E24089" w:rsidRDefault="00E24089" w:rsidP="003B4BCE">
            <w:pPr>
              <w:widowControl w:val="0"/>
              <w:tabs>
                <w:tab w:val="left" w:pos="1304"/>
              </w:tabs>
              <w:spacing w:before="20" w:after="20"/>
              <w:jc w:val="center"/>
              <w:rPr>
                <w:sz w:val="20"/>
              </w:rPr>
            </w:pP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42"/>
              <w:rPr>
                <w:sz w:val="20"/>
              </w:rPr>
            </w:pPr>
            <w:r>
              <w:rPr>
                <w:sz w:val="20"/>
              </w:rPr>
              <w:t>Estimat</w:t>
            </w:r>
          </w:p>
        </w:tc>
        <w:tc>
          <w:tcPr>
            <w:tcW w:w="171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-1,3</w:t>
            </w:r>
          </w:p>
        </w:tc>
        <w:tc>
          <w:tcPr>
            <w:tcW w:w="174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-0,4</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42"/>
              <w:rPr>
                <w:sz w:val="20"/>
              </w:rPr>
            </w:pPr>
            <w:r>
              <w:rPr>
                <w:sz w:val="20"/>
              </w:rPr>
              <w:t>95% CI</w:t>
            </w:r>
          </w:p>
        </w:tc>
        <w:tc>
          <w:tcPr>
            <w:tcW w:w="171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(-1,62; -0,88)</w:t>
            </w:r>
          </w:p>
        </w:tc>
        <w:tc>
          <w:tcPr>
            <w:tcW w:w="174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(-0,87; 0,00)</w:t>
            </w:r>
          </w:p>
        </w:tc>
      </w:tr>
      <w:tr w:rsidR="00E24089" w:rsidTr="003B4BCE">
        <w:trPr>
          <w:cantSplit/>
          <w:tblHeader/>
        </w:trPr>
        <w:tc>
          <w:tcPr>
            <w:tcW w:w="154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42"/>
              <w:rPr>
                <w:sz w:val="20"/>
              </w:rPr>
            </w:pPr>
            <w:proofErr w:type="spellStart"/>
            <w:r>
              <w:rPr>
                <w:sz w:val="20"/>
              </w:rPr>
              <w:t>P-værdi</w:t>
            </w:r>
            <w:proofErr w:type="spellEnd"/>
          </w:p>
        </w:tc>
        <w:tc>
          <w:tcPr>
            <w:tcW w:w="171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&lt; 0,001</w:t>
            </w:r>
          </w:p>
        </w:tc>
        <w:tc>
          <w:tcPr>
            <w:tcW w:w="1745"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0,051</w:t>
            </w:r>
          </w:p>
        </w:tc>
      </w:tr>
    </w:tbl>
    <w:p w:rsidR="00E24089" w:rsidRDefault="00E24089" w:rsidP="00E24089">
      <w:pPr>
        <w:tabs>
          <w:tab w:val="left" w:pos="1304"/>
        </w:tabs>
        <w:rPr>
          <w:noProof/>
          <w:sz w:val="20"/>
        </w:rPr>
      </w:pPr>
      <w:r>
        <w:rPr>
          <w:noProof/>
          <w:sz w:val="20"/>
          <w:vertAlign w:val="superscript"/>
        </w:rPr>
        <w:t>1</w:t>
      </w:r>
      <w:r>
        <w:rPr>
          <w:noProof/>
          <w:sz w:val="20"/>
        </w:rPr>
        <w:t xml:space="preserve"> P-værdi er fra en enkeltprøveanalyse af varians med behandlingsgruppe som den faste effekt sammenlignet med det gennemsnitlige antal tilbagefald af uveitis inden for 36 måneder.</w:t>
      </w:r>
    </w:p>
    <w:p w:rsidR="00E24089" w:rsidRDefault="00E24089" w:rsidP="00E24089">
      <w:pPr>
        <w:tabs>
          <w:tab w:val="left" w:pos="1304"/>
        </w:tabs>
        <w:rPr>
          <w:noProof/>
          <w:sz w:val="22"/>
        </w:rPr>
      </w:pPr>
    </w:p>
    <w:p w:rsidR="00E24089" w:rsidRPr="00F00B28" w:rsidRDefault="00E24089" w:rsidP="00E24089">
      <w:pPr>
        <w:keepNext/>
        <w:rPr>
          <w:b/>
          <w:bCs/>
          <w:sz w:val="24"/>
          <w:szCs w:val="24"/>
        </w:rPr>
      </w:pPr>
      <w:r w:rsidRPr="00F00B28">
        <w:rPr>
          <w:b/>
          <w:bCs/>
          <w:sz w:val="24"/>
          <w:szCs w:val="24"/>
        </w:rPr>
        <w:t xml:space="preserve">Tabel 7: Antal af tilbagefald af </w:t>
      </w:r>
      <w:proofErr w:type="spellStart"/>
      <w:r w:rsidRPr="00F00B28">
        <w:rPr>
          <w:b/>
          <w:bCs/>
          <w:sz w:val="24"/>
          <w:szCs w:val="24"/>
        </w:rPr>
        <w:t>uveitis</w:t>
      </w:r>
      <w:proofErr w:type="spellEnd"/>
      <w:r w:rsidRPr="00F00B28">
        <w:rPr>
          <w:b/>
          <w:bCs/>
          <w:sz w:val="24"/>
          <w:szCs w:val="24"/>
        </w:rPr>
        <w:t xml:space="preserve"> i studieøjet inden for 36 måneder (Intent To </w:t>
      </w:r>
      <w:proofErr w:type="spellStart"/>
      <w:r w:rsidRPr="00F00B28">
        <w:rPr>
          <w:b/>
          <w:bCs/>
          <w:sz w:val="24"/>
          <w:szCs w:val="24"/>
        </w:rPr>
        <w:t>Treat</w:t>
      </w:r>
      <w:proofErr w:type="spellEnd"/>
      <w:r w:rsidRPr="00F00B28">
        <w:rPr>
          <w:b/>
          <w:bCs/>
          <w:sz w:val="24"/>
          <w:szCs w:val="24"/>
        </w:rPr>
        <w:t xml:space="preserve"> (ITT-population)): PSV-FAI-001</w:t>
      </w:r>
    </w:p>
    <w:tbl>
      <w:tblPr>
        <w:tblpPr w:leftFromText="180" w:rightFromText="180" w:vertAnchor="text" w:tblpY="1"/>
        <w:tblOverlap w:val="never"/>
        <w:tblW w:w="5000" w:type="pct"/>
        <w:tblBorders>
          <w:top w:val="single" w:sz="6" w:space="0" w:color="FFFF00"/>
          <w:left w:val="single" w:sz="6" w:space="0" w:color="FFFF00"/>
          <w:bottom w:val="single" w:sz="6" w:space="0" w:color="FFFF00"/>
          <w:right w:val="single" w:sz="6" w:space="0" w:color="FFFF00"/>
          <w:insideH w:val="single" w:sz="6" w:space="0" w:color="auto"/>
          <w:insideV w:val="single" w:sz="6" w:space="0" w:color="auto"/>
        </w:tblBorders>
        <w:tblLook w:val="04A0" w:firstRow="1" w:lastRow="0" w:firstColumn="1" w:lastColumn="0" w:noHBand="0" w:noVBand="1"/>
      </w:tblPr>
      <w:tblGrid>
        <w:gridCol w:w="5220"/>
        <w:gridCol w:w="2153"/>
        <w:gridCol w:w="52"/>
        <w:gridCol w:w="2203"/>
      </w:tblGrid>
      <w:tr w:rsidR="00E24089" w:rsidTr="003B4BCE">
        <w:trPr>
          <w:cantSplit/>
          <w:tblHeader/>
        </w:trPr>
        <w:tc>
          <w:tcPr>
            <w:tcW w:w="5000" w:type="pct"/>
            <w:gridSpan w:val="4"/>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szCs w:val="22"/>
              </w:rPr>
            </w:pPr>
            <w:r>
              <w:rPr>
                <w:b/>
                <w:sz w:val="20"/>
                <w:szCs w:val="22"/>
              </w:rPr>
              <w:t>ITT</w:t>
            </w:r>
            <w:r>
              <w:rPr>
                <w:b/>
                <w:sz w:val="20"/>
                <w:szCs w:val="22"/>
              </w:rPr>
              <w:noBreakHyphen/>
              <w:t>population</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c>
          <w:tcPr>
            <w:tcW w:w="1118"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FAI implantat</w:t>
            </w:r>
            <w:r>
              <w:rPr>
                <w:b/>
                <w:sz w:val="20"/>
                <w:szCs w:val="22"/>
              </w:rPr>
              <w:br/>
              <w:t>(N=87)</w:t>
            </w:r>
          </w:p>
        </w:tc>
        <w:tc>
          <w:tcPr>
            <w:tcW w:w="1171" w:type="pct"/>
            <w:gridSpan w:val="2"/>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Falsk injektion</w:t>
            </w:r>
            <w:r>
              <w:rPr>
                <w:b/>
                <w:sz w:val="20"/>
                <w:szCs w:val="22"/>
              </w:rPr>
              <w:br/>
              <w:t>(N=42)</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Total antal tilbagefald</w:t>
            </w:r>
          </w:p>
        </w:tc>
        <w:tc>
          <w:tcPr>
            <w:tcW w:w="1118"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149</w:t>
            </w:r>
          </w:p>
        </w:tc>
        <w:tc>
          <w:tcPr>
            <w:tcW w:w="1171"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223</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Antal patienter med mindst et tilbagefald</w:t>
            </w:r>
          </w:p>
        </w:tc>
        <w:tc>
          <w:tcPr>
            <w:tcW w:w="1118"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57</w:t>
            </w:r>
          </w:p>
        </w:tc>
        <w:tc>
          <w:tcPr>
            <w:tcW w:w="1171"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41</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 xml:space="preserve">Antal tilbagefald pr. patient </w:t>
            </w:r>
          </w:p>
        </w:tc>
        <w:tc>
          <w:tcPr>
            <w:tcW w:w="2289" w:type="pct"/>
            <w:gridSpan w:val="3"/>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szCs w:val="22"/>
              </w:rPr>
            </w:pPr>
            <w:r>
              <w:rPr>
                <w:sz w:val="20"/>
                <w:szCs w:val="22"/>
              </w:rPr>
              <w:t>N</w:t>
            </w:r>
          </w:p>
        </w:tc>
        <w:tc>
          <w:tcPr>
            <w:tcW w:w="1145" w:type="pct"/>
            <w:gridSpan w:val="2"/>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87</w:t>
            </w:r>
          </w:p>
        </w:tc>
        <w:tc>
          <w:tcPr>
            <w:tcW w:w="1144"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42</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360"/>
              <w:rPr>
                <w:sz w:val="20"/>
                <w:szCs w:val="22"/>
              </w:rPr>
            </w:pPr>
            <w:r>
              <w:rPr>
                <w:sz w:val="20"/>
                <w:szCs w:val="22"/>
              </w:rPr>
              <w:t>Gennemsnit (SD)</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1,7 (2,42)</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5,3 (3,84)</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60"/>
              <w:rPr>
                <w:sz w:val="20"/>
                <w:szCs w:val="22"/>
              </w:rPr>
            </w:pPr>
            <w:r>
              <w:rPr>
                <w:sz w:val="20"/>
                <w:szCs w:val="22"/>
              </w:rPr>
              <w:t>Median</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1,0</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5,0</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42"/>
              <w:rPr>
                <w:sz w:val="20"/>
                <w:szCs w:val="22"/>
              </w:rPr>
            </w:pPr>
            <w:r>
              <w:rPr>
                <w:sz w:val="20"/>
                <w:szCs w:val="22"/>
              </w:rPr>
              <w:t>Minimum, maksimum</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(0; 15)</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(0; 15)</w:t>
            </w:r>
          </w:p>
        </w:tc>
      </w:tr>
      <w:tr w:rsidR="00E24089" w:rsidTr="003B4BCE">
        <w:trPr>
          <w:cantSplit/>
          <w:trHeight w:val="190"/>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0</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30 (34,5%)</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 (2,4%)</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1</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29 (33,3%)</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5 (11,9%)</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2</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7 (8,0%)</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7 (16,7%)</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3</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8 (9,2%)</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4 (9,5%)</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4</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4 (4,6%)</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3 (7,1%)</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5</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2 (2,3%)</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5 (11,9%)</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720"/>
              <w:rPr>
                <w:sz w:val="20"/>
              </w:rPr>
            </w:pPr>
            <w:r>
              <w:rPr>
                <w:sz w:val="20"/>
              </w:rPr>
              <w:t>&gt;5</w:t>
            </w:r>
          </w:p>
        </w:tc>
        <w:tc>
          <w:tcPr>
            <w:tcW w:w="1145" w:type="pct"/>
            <w:gridSpan w:val="2"/>
            <w:tcBorders>
              <w:top w:val="single" w:sz="6"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7 (8,0%)</w:t>
            </w:r>
          </w:p>
        </w:tc>
        <w:tc>
          <w:tcPr>
            <w:tcW w:w="1144" w:type="pct"/>
            <w:tcBorders>
              <w:top w:val="single" w:sz="6"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17 (40,5%)</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szCs w:val="22"/>
              </w:rPr>
            </w:pPr>
            <w:r>
              <w:rPr>
                <w:sz w:val="20"/>
                <w:szCs w:val="22"/>
              </w:rPr>
              <w:t>Forskel fra falsk behandling</w:t>
            </w:r>
            <w:r>
              <w:rPr>
                <w:sz w:val="20"/>
                <w:szCs w:val="22"/>
                <w:vertAlign w:val="superscript"/>
              </w:rPr>
              <w:t>1</w:t>
            </w:r>
          </w:p>
        </w:tc>
        <w:tc>
          <w:tcPr>
            <w:tcW w:w="2289" w:type="pct"/>
            <w:gridSpan w:val="3"/>
            <w:tcBorders>
              <w:top w:val="single" w:sz="4" w:space="0" w:color="auto"/>
              <w:left w:val="single" w:sz="4" w:space="0" w:color="auto"/>
              <w:bottom w:val="single" w:sz="4"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42"/>
              <w:rPr>
                <w:sz w:val="20"/>
                <w:szCs w:val="22"/>
              </w:rPr>
            </w:pPr>
            <w:r>
              <w:rPr>
                <w:sz w:val="20"/>
                <w:szCs w:val="22"/>
              </w:rPr>
              <w:t>Estimat</w:t>
            </w:r>
          </w:p>
        </w:tc>
        <w:tc>
          <w:tcPr>
            <w:tcW w:w="2289"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-3,6</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42"/>
              <w:rPr>
                <w:sz w:val="20"/>
                <w:szCs w:val="22"/>
              </w:rPr>
            </w:pPr>
            <w:r>
              <w:rPr>
                <w:sz w:val="20"/>
                <w:szCs w:val="22"/>
              </w:rPr>
              <w:t>95% CI</w:t>
            </w:r>
          </w:p>
        </w:tc>
        <w:tc>
          <w:tcPr>
            <w:tcW w:w="2289"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(-4,89; -2,30)</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342"/>
              <w:rPr>
                <w:sz w:val="20"/>
                <w:szCs w:val="22"/>
              </w:rPr>
            </w:pPr>
            <w:proofErr w:type="spellStart"/>
            <w:r>
              <w:rPr>
                <w:sz w:val="20"/>
                <w:szCs w:val="22"/>
              </w:rPr>
              <w:t>P</w:t>
            </w:r>
            <w:r>
              <w:rPr>
                <w:sz w:val="20"/>
                <w:szCs w:val="22"/>
              </w:rPr>
              <w:noBreakHyphen/>
              <w:t>værdi</w:t>
            </w:r>
            <w:proofErr w:type="spellEnd"/>
          </w:p>
        </w:tc>
        <w:tc>
          <w:tcPr>
            <w:tcW w:w="2289"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r>
    </w:tbl>
    <w:p w:rsidR="00E24089" w:rsidRDefault="00E24089" w:rsidP="00E24089">
      <w:pPr>
        <w:tabs>
          <w:tab w:val="left" w:pos="1304"/>
        </w:tabs>
        <w:rPr>
          <w:sz w:val="20"/>
        </w:rPr>
      </w:pPr>
      <w:bookmarkStart w:id="17" w:name="_Hlk4663796"/>
      <w:r>
        <w:rPr>
          <w:sz w:val="20"/>
          <w:vertAlign w:val="superscript"/>
        </w:rPr>
        <w:lastRenderedPageBreak/>
        <w:t>1</w:t>
      </w:r>
      <w:r>
        <w:rPr>
          <w:sz w:val="20"/>
        </w:rPr>
        <w:t xml:space="preserve"> </w:t>
      </w:r>
      <w:proofErr w:type="spellStart"/>
      <w:r>
        <w:rPr>
          <w:sz w:val="20"/>
        </w:rPr>
        <w:t>P-værdi</w:t>
      </w:r>
      <w:proofErr w:type="spellEnd"/>
      <w:r>
        <w:rPr>
          <w:sz w:val="20"/>
        </w:rPr>
        <w:t xml:space="preserve"> er fra en enkeltprøveanalyse af varians med behandlingsgruppe som den faste effekt sammenlignet med det gennemsnitlige antal tilbagefald af </w:t>
      </w:r>
      <w:proofErr w:type="spellStart"/>
      <w:r>
        <w:rPr>
          <w:sz w:val="20"/>
        </w:rPr>
        <w:t>uveitis</w:t>
      </w:r>
      <w:proofErr w:type="spellEnd"/>
      <w:r>
        <w:rPr>
          <w:sz w:val="20"/>
        </w:rPr>
        <w:t xml:space="preserve"> inden for 36 måneder.</w:t>
      </w:r>
    </w:p>
    <w:bookmarkEnd w:id="17"/>
    <w:p w:rsidR="00E24089" w:rsidRDefault="00E24089" w:rsidP="00E24089">
      <w:pPr>
        <w:tabs>
          <w:tab w:val="left" w:pos="1304"/>
        </w:tabs>
        <w:spacing w:line="280" w:lineRule="exact"/>
        <w:rPr>
          <w:sz w:val="22"/>
          <w:szCs w:val="22"/>
        </w:rPr>
      </w:pPr>
    </w:p>
    <w:p w:rsidR="00E24089" w:rsidRPr="00F00B28" w:rsidRDefault="00E24089" w:rsidP="00E24089">
      <w:pPr>
        <w:tabs>
          <w:tab w:val="left" w:pos="1304"/>
        </w:tabs>
        <w:spacing w:line="280" w:lineRule="exact"/>
        <w:ind w:left="851"/>
        <w:rPr>
          <w:sz w:val="24"/>
          <w:szCs w:val="24"/>
        </w:rPr>
      </w:pPr>
      <w:r w:rsidRPr="00F00B28">
        <w:rPr>
          <w:sz w:val="24"/>
          <w:szCs w:val="24"/>
        </w:rPr>
        <w:t xml:space="preserve">Patienterne, der blev behandlet med </w:t>
      </w:r>
      <w:proofErr w:type="spellStart"/>
      <w:r w:rsidR="007C0D0A">
        <w:rPr>
          <w:sz w:val="24"/>
          <w:szCs w:val="24"/>
        </w:rPr>
        <w:t>Iluvien</w:t>
      </w:r>
      <w:proofErr w:type="spellEnd"/>
      <w:r w:rsidRPr="00F00B28">
        <w:rPr>
          <w:sz w:val="24"/>
          <w:szCs w:val="24"/>
        </w:rPr>
        <w:t xml:space="preserve">, oplevede signifikant færre tilbagefald inden for 36 måneder i forhold til patienterne, der fik falsk behandling (henholdsvis 1,7 tilbagefald </w:t>
      </w:r>
      <w:r w:rsidRPr="00F00B28">
        <w:rPr>
          <w:i/>
          <w:sz w:val="24"/>
          <w:szCs w:val="24"/>
        </w:rPr>
        <w:t xml:space="preserve">vs. </w:t>
      </w:r>
      <w:r w:rsidRPr="00F00B28">
        <w:rPr>
          <w:sz w:val="24"/>
          <w:szCs w:val="24"/>
        </w:rPr>
        <w:t>5,3 tilbagefald, p&lt;0,001).</w:t>
      </w:r>
    </w:p>
    <w:p w:rsidR="00E24089" w:rsidRDefault="00E24089" w:rsidP="00E24089">
      <w:pPr>
        <w:tabs>
          <w:tab w:val="left" w:pos="1304"/>
        </w:tabs>
        <w:spacing w:line="280" w:lineRule="exact"/>
        <w:rPr>
          <w:szCs w:val="22"/>
        </w:rPr>
      </w:pPr>
    </w:p>
    <w:p w:rsidR="00E24089" w:rsidRPr="00F00B28" w:rsidRDefault="00E24089" w:rsidP="00E24089">
      <w:pPr>
        <w:keepNext/>
        <w:tabs>
          <w:tab w:val="left" w:pos="1304"/>
        </w:tabs>
        <w:rPr>
          <w:b/>
          <w:bCs/>
          <w:sz w:val="24"/>
          <w:szCs w:val="24"/>
        </w:rPr>
      </w:pPr>
      <w:r w:rsidRPr="00F00B28">
        <w:rPr>
          <w:b/>
          <w:bCs/>
          <w:sz w:val="24"/>
          <w:szCs w:val="24"/>
        </w:rPr>
        <w:t xml:space="preserve">Tabel 8: Antal supplerende behandlinger for </w:t>
      </w:r>
      <w:proofErr w:type="spellStart"/>
      <w:r w:rsidRPr="00F00B28">
        <w:rPr>
          <w:b/>
          <w:bCs/>
          <w:sz w:val="24"/>
          <w:szCs w:val="24"/>
        </w:rPr>
        <w:t>uveitis</w:t>
      </w:r>
      <w:proofErr w:type="spellEnd"/>
      <w:r w:rsidRPr="00F00B28">
        <w:rPr>
          <w:b/>
          <w:bCs/>
          <w:sz w:val="24"/>
          <w:szCs w:val="24"/>
        </w:rPr>
        <w:t xml:space="preserve"> i studieøjet inden for 6 måneder (ITT-population): PSV-FAI-001 og PSV-FAI-005</w:t>
      </w:r>
    </w:p>
    <w:tbl>
      <w:tblPr>
        <w:tblW w:w="5000" w:type="pct"/>
        <w:tblBorders>
          <w:top w:val="single" w:sz="6" w:space="0" w:color="FFFF00"/>
          <w:left w:val="single" w:sz="6" w:space="0" w:color="FFFF00"/>
          <w:bottom w:val="single" w:sz="6" w:space="0" w:color="FFFF00"/>
          <w:right w:val="single" w:sz="6" w:space="0" w:color="FFFF00"/>
          <w:insideH w:val="single" w:sz="6" w:space="0" w:color="auto"/>
          <w:insideV w:val="single" w:sz="6" w:space="0" w:color="auto"/>
        </w:tblBorders>
        <w:tblLook w:val="04A0" w:firstRow="1" w:lastRow="0" w:firstColumn="1" w:lastColumn="0" w:noHBand="0" w:noVBand="1"/>
      </w:tblPr>
      <w:tblGrid>
        <w:gridCol w:w="3951"/>
        <w:gridCol w:w="1344"/>
        <w:gridCol w:w="1514"/>
        <w:gridCol w:w="1361"/>
        <w:gridCol w:w="1458"/>
      </w:tblGrid>
      <w:tr w:rsidR="00E24089" w:rsidTr="003B4BCE">
        <w:trPr>
          <w:cantSplit/>
          <w:tblHeader/>
        </w:trPr>
        <w:tc>
          <w:tcPr>
            <w:tcW w:w="5000" w:type="pct"/>
            <w:gridSpan w:val="5"/>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szCs w:val="22"/>
              </w:rPr>
            </w:pPr>
            <w:r>
              <w:rPr>
                <w:b/>
                <w:sz w:val="20"/>
                <w:szCs w:val="22"/>
              </w:rPr>
              <w:t>ITT-population</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c>
          <w:tcPr>
            <w:tcW w:w="1484" w:type="pct"/>
            <w:gridSpan w:val="2"/>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PSV-FAI-001</w:t>
            </w:r>
          </w:p>
        </w:tc>
        <w:tc>
          <w:tcPr>
            <w:tcW w:w="146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szCs w:val="22"/>
              </w:rPr>
            </w:pPr>
            <w:r>
              <w:rPr>
                <w:b/>
                <w:sz w:val="20"/>
                <w:szCs w:val="22"/>
              </w:rPr>
              <w:t>PSV-FAI-005</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szCs w:val="22"/>
              </w:rPr>
            </w:pPr>
          </w:p>
        </w:tc>
        <w:tc>
          <w:tcPr>
            <w:tcW w:w="698"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FAI implantat</w:t>
            </w:r>
            <w:r>
              <w:rPr>
                <w:b/>
                <w:sz w:val="20"/>
                <w:szCs w:val="22"/>
              </w:rPr>
              <w:br/>
              <w:t>(N=87)</w:t>
            </w:r>
          </w:p>
        </w:tc>
        <w:tc>
          <w:tcPr>
            <w:tcW w:w="786"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Falsk injektion</w:t>
            </w:r>
            <w:r>
              <w:rPr>
                <w:b/>
                <w:sz w:val="20"/>
                <w:szCs w:val="22"/>
              </w:rPr>
              <w:br/>
              <w:t>(N=42)</w:t>
            </w:r>
          </w:p>
        </w:tc>
        <w:tc>
          <w:tcPr>
            <w:tcW w:w="707"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FAI implantat</w:t>
            </w:r>
            <w:r>
              <w:rPr>
                <w:b/>
                <w:sz w:val="20"/>
                <w:szCs w:val="22"/>
              </w:rPr>
              <w:br/>
              <w:t>(N=101)</w:t>
            </w:r>
          </w:p>
        </w:tc>
        <w:tc>
          <w:tcPr>
            <w:tcW w:w="757"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szCs w:val="22"/>
              </w:rPr>
            </w:pPr>
            <w:r>
              <w:rPr>
                <w:b/>
                <w:sz w:val="20"/>
                <w:szCs w:val="22"/>
              </w:rPr>
              <w:t>Falsk injektion</w:t>
            </w:r>
            <w:r>
              <w:rPr>
                <w:b/>
                <w:sz w:val="20"/>
                <w:szCs w:val="22"/>
              </w:rPr>
              <w:br/>
              <w:t>(N=52)</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color w:val="000000"/>
                <w:sz w:val="20"/>
                <w:szCs w:val="22"/>
              </w:rPr>
            </w:pPr>
            <w:r>
              <w:rPr>
                <w:sz w:val="20"/>
              </w:rPr>
              <w:t xml:space="preserve">Systemisk steroid eller </w:t>
            </w:r>
            <w:proofErr w:type="spellStart"/>
            <w:r>
              <w:rPr>
                <w:sz w:val="20"/>
              </w:rPr>
              <w:t>immunosuppressiva</w:t>
            </w:r>
            <w:proofErr w:type="spellEnd"/>
          </w:p>
        </w:tc>
        <w:tc>
          <w:tcPr>
            <w:tcW w:w="698"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szCs w:val="22"/>
              </w:rPr>
            </w:pPr>
          </w:p>
        </w:tc>
        <w:tc>
          <w:tcPr>
            <w:tcW w:w="786"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szCs w:val="22"/>
              </w:rPr>
            </w:pPr>
          </w:p>
        </w:tc>
        <w:tc>
          <w:tcPr>
            <w:tcW w:w="707"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szCs w:val="22"/>
              </w:rPr>
            </w:pPr>
          </w:p>
        </w:tc>
        <w:tc>
          <w:tcPr>
            <w:tcW w:w="757"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szCs w:val="22"/>
              </w:rPr>
            </w:pP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color w:val="000000"/>
                <w:sz w:val="20"/>
                <w:szCs w:val="22"/>
              </w:rPr>
            </w:pPr>
            <w:r>
              <w:rPr>
                <w:color w:val="000000"/>
                <w:sz w:val="20"/>
                <w:szCs w:val="22"/>
              </w:rPr>
              <w:t>Total antal tilbagefald</w:t>
            </w:r>
          </w:p>
        </w:tc>
        <w:tc>
          <w:tcPr>
            <w:tcW w:w="698"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21</w:t>
            </w:r>
          </w:p>
        </w:tc>
        <w:tc>
          <w:tcPr>
            <w:tcW w:w="786"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24</w:t>
            </w:r>
          </w:p>
        </w:tc>
        <w:tc>
          <w:tcPr>
            <w:tcW w:w="70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25</w:t>
            </w:r>
          </w:p>
        </w:tc>
        <w:tc>
          <w:tcPr>
            <w:tcW w:w="75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14</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color w:val="000000"/>
                <w:sz w:val="20"/>
                <w:szCs w:val="22"/>
              </w:rPr>
            </w:pPr>
            <w:r>
              <w:rPr>
                <w:color w:val="000000"/>
                <w:sz w:val="20"/>
                <w:szCs w:val="22"/>
              </w:rPr>
              <w:t>Antal deltagere med mindst et tilbagefald</w:t>
            </w:r>
          </w:p>
        </w:tc>
        <w:tc>
          <w:tcPr>
            <w:tcW w:w="698"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13 (14,9%)</w:t>
            </w:r>
          </w:p>
        </w:tc>
        <w:tc>
          <w:tcPr>
            <w:tcW w:w="786"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16 (38,1%)</w:t>
            </w:r>
          </w:p>
        </w:tc>
        <w:tc>
          <w:tcPr>
            <w:tcW w:w="70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14 (13,9%)</w:t>
            </w:r>
          </w:p>
        </w:tc>
        <w:tc>
          <w:tcPr>
            <w:tcW w:w="757"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11 (21,2%)</w:t>
            </w:r>
          </w:p>
        </w:tc>
      </w:tr>
      <w:tr w:rsidR="00E24089" w:rsidTr="003B4BCE">
        <w:trPr>
          <w:cantSplit/>
          <w:trHeight w:val="301"/>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color w:val="000000"/>
                <w:sz w:val="20"/>
                <w:szCs w:val="22"/>
              </w:rPr>
            </w:pPr>
            <w:r>
              <w:rPr>
                <w:sz w:val="20"/>
              </w:rPr>
              <w:t>Forskel fra falsk behandling</w:t>
            </w:r>
            <w:r>
              <w:rPr>
                <w:sz w:val="20"/>
                <w:vertAlign w:val="superscript"/>
              </w:rPr>
              <w:t>1</w:t>
            </w:r>
          </w:p>
        </w:tc>
        <w:tc>
          <w:tcPr>
            <w:tcW w:w="1484"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szCs w:val="22"/>
              </w:rPr>
            </w:pPr>
          </w:p>
        </w:tc>
        <w:tc>
          <w:tcPr>
            <w:tcW w:w="1464"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szCs w:val="22"/>
              </w:rPr>
            </w:pP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162"/>
              <w:rPr>
                <w:color w:val="000000"/>
                <w:sz w:val="20"/>
                <w:szCs w:val="22"/>
              </w:rPr>
            </w:pPr>
            <w:r>
              <w:rPr>
                <w:color w:val="000000"/>
                <w:sz w:val="20"/>
                <w:szCs w:val="22"/>
              </w:rPr>
              <w:t>Forskel i procent</w:t>
            </w:r>
          </w:p>
        </w:tc>
        <w:tc>
          <w:tcPr>
            <w:tcW w:w="148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23,2%</w:t>
            </w:r>
          </w:p>
        </w:tc>
        <w:tc>
          <w:tcPr>
            <w:tcW w:w="146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7,3%</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162"/>
              <w:rPr>
                <w:color w:val="000000"/>
                <w:sz w:val="20"/>
                <w:szCs w:val="22"/>
              </w:rPr>
            </w:pPr>
            <w:r>
              <w:rPr>
                <w:color w:val="000000"/>
                <w:sz w:val="20"/>
                <w:szCs w:val="22"/>
              </w:rPr>
              <w:t>95% CI</w:t>
            </w:r>
          </w:p>
        </w:tc>
        <w:tc>
          <w:tcPr>
            <w:tcW w:w="148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(6,7%; 39,6%)</w:t>
            </w:r>
          </w:p>
        </w:tc>
        <w:tc>
          <w:tcPr>
            <w:tcW w:w="146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(-5,7%, 20,3%)</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162"/>
              <w:rPr>
                <w:color w:val="000000"/>
                <w:sz w:val="20"/>
                <w:szCs w:val="22"/>
              </w:rPr>
            </w:pPr>
            <w:proofErr w:type="spellStart"/>
            <w:r>
              <w:rPr>
                <w:color w:val="000000"/>
                <w:sz w:val="20"/>
                <w:szCs w:val="22"/>
              </w:rPr>
              <w:t>P-værdi</w:t>
            </w:r>
            <w:proofErr w:type="spellEnd"/>
          </w:p>
        </w:tc>
        <w:tc>
          <w:tcPr>
            <w:tcW w:w="148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0,003</w:t>
            </w:r>
          </w:p>
        </w:tc>
        <w:tc>
          <w:tcPr>
            <w:tcW w:w="146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0,249</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Intra-/</w:t>
            </w:r>
            <w:proofErr w:type="spellStart"/>
            <w:r>
              <w:rPr>
                <w:sz w:val="20"/>
                <w:szCs w:val="22"/>
              </w:rPr>
              <w:t>periokulær</w:t>
            </w:r>
            <w:proofErr w:type="spellEnd"/>
            <w:r>
              <w:rPr>
                <w:sz w:val="20"/>
                <w:szCs w:val="22"/>
              </w:rPr>
              <w:t xml:space="preserve"> steroid</w:t>
            </w:r>
          </w:p>
        </w:tc>
        <w:tc>
          <w:tcPr>
            <w:tcW w:w="1484"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szCs w:val="22"/>
              </w:rPr>
            </w:pPr>
          </w:p>
        </w:tc>
        <w:tc>
          <w:tcPr>
            <w:tcW w:w="707"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szCs w:val="22"/>
              </w:rPr>
            </w:pPr>
          </w:p>
        </w:tc>
        <w:tc>
          <w:tcPr>
            <w:tcW w:w="757"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szCs w:val="22"/>
              </w:rPr>
            </w:pP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Total antal tilbagefald</w:t>
            </w:r>
          </w:p>
        </w:tc>
        <w:tc>
          <w:tcPr>
            <w:tcW w:w="698"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5</w:t>
            </w:r>
          </w:p>
        </w:tc>
        <w:tc>
          <w:tcPr>
            <w:tcW w:w="786"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35</w:t>
            </w:r>
          </w:p>
        </w:tc>
        <w:tc>
          <w:tcPr>
            <w:tcW w:w="707"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w:t>
            </w:r>
          </w:p>
        </w:tc>
        <w:tc>
          <w:tcPr>
            <w:tcW w:w="757"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19</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szCs w:val="22"/>
              </w:rPr>
            </w:pPr>
            <w:r>
              <w:rPr>
                <w:sz w:val="20"/>
                <w:szCs w:val="22"/>
              </w:rPr>
              <w:t>Antal deltagere med mindst et tilbagefald</w:t>
            </w:r>
          </w:p>
        </w:tc>
        <w:tc>
          <w:tcPr>
            <w:tcW w:w="698"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5 (5,7%)</w:t>
            </w:r>
          </w:p>
        </w:tc>
        <w:tc>
          <w:tcPr>
            <w:tcW w:w="786"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24 (57,1%)</w:t>
            </w:r>
          </w:p>
        </w:tc>
        <w:tc>
          <w:tcPr>
            <w:tcW w:w="707"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2 (2%)</w:t>
            </w:r>
          </w:p>
        </w:tc>
        <w:tc>
          <w:tcPr>
            <w:tcW w:w="757"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szCs w:val="22"/>
              </w:rPr>
            </w:pPr>
            <w:r>
              <w:rPr>
                <w:sz w:val="20"/>
                <w:szCs w:val="22"/>
              </w:rPr>
              <w:t>19 (36,5%)</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szCs w:val="22"/>
              </w:rPr>
            </w:pPr>
            <w:r>
              <w:rPr>
                <w:sz w:val="20"/>
              </w:rPr>
              <w:t>Forskel fra falsk behandling</w:t>
            </w:r>
            <w:r>
              <w:rPr>
                <w:sz w:val="20"/>
                <w:vertAlign w:val="superscript"/>
              </w:rPr>
              <w:t>1</w:t>
            </w:r>
          </w:p>
        </w:tc>
        <w:tc>
          <w:tcPr>
            <w:tcW w:w="1484" w:type="pct"/>
            <w:gridSpan w:val="2"/>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c>
          <w:tcPr>
            <w:tcW w:w="1464" w:type="pct"/>
            <w:gridSpan w:val="2"/>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szCs w:val="22"/>
              </w:rPr>
            </w:pPr>
            <w:r>
              <w:rPr>
                <w:sz w:val="20"/>
                <w:szCs w:val="22"/>
              </w:rPr>
              <w:t>Forskel i procent</w:t>
            </w:r>
          </w:p>
        </w:tc>
        <w:tc>
          <w:tcPr>
            <w:tcW w:w="1484"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51,4%</w:t>
            </w:r>
          </w:p>
        </w:tc>
        <w:tc>
          <w:tcPr>
            <w:tcW w:w="1464"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34,6%</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szCs w:val="22"/>
              </w:rPr>
            </w:pPr>
            <w:r>
              <w:rPr>
                <w:sz w:val="20"/>
                <w:szCs w:val="22"/>
              </w:rPr>
              <w:t>95% CI</w:t>
            </w:r>
          </w:p>
        </w:tc>
        <w:tc>
          <w:tcPr>
            <w:tcW w:w="1484"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(35,7%; 67,1%)</w:t>
            </w:r>
          </w:p>
        </w:tc>
        <w:tc>
          <w:tcPr>
            <w:tcW w:w="1464"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color w:val="000000"/>
                <w:sz w:val="20"/>
                <w:szCs w:val="22"/>
              </w:rPr>
            </w:pPr>
            <w:r>
              <w:rPr>
                <w:color w:val="000000"/>
                <w:sz w:val="20"/>
                <w:szCs w:val="22"/>
              </w:rPr>
              <w:t>(21,2%; 47,9%)</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szCs w:val="22"/>
              </w:rPr>
            </w:pPr>
            <w:proofErr w:type="spellStart"/>
            <w:r>
              <w:rPr>
                <w:sz w:val="20"/>
                <w:szCs w:val="22"/>
              </w:rPr>
              <w:t>P-værdi</w:t>
            </w:r>
            <w:proofErr w:type="spellEnd"/>
          </w:p>
        </w:tc>
        <w:tc>
          <w:tcPr>
            <w:tcW w:w="1484"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c>
          <w:tcPr>
            <w:tcW w:w="1464"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&lt; 0,001</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szCs w:val="22"/>
              </w:rPr>
            </w:pPr>
            <w:proofErr w:type="spellStart"/>
            <w:r>
              <w:rPr>
                <w:sz w:val="20"/>
                <w:szCs w:val="22"/>
              </w:rPr>
              <w:t>Topikal</w:t>
            </w:r>
            <w:proofErr w:type="spellEnd"/>
            <w:r>
              <w:rPr>
                <w:sz w:val="20"/>
                <w:szCs w:val="22"/>
              </w:rPr>
              <w:t xml:space="preserve"> steroid</w:t>
            </w:r>
          </w:p>
        </w:tc>
        <w:tc>
          <w:tcPr>
            <w:tcW w:w="1484" w:type="pct"/>
            <w:gridSpan w:val="2"/>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c>
          <w:tcPr>
            <w:tcW w:w="1464" w:type="pct"/>
            <w:gridSpan w:val="2"/>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szCs w:val="22"/>
              </w:rPr>
            </w:pPr>
            <w:r>
              <w:rPr>
                <w:sz w:val="20"/>
                <w:szCs w:val="22"/>
              </w:rPr>
              <w:t>Total antal tilbagefald</w:t>
            </w:r>
          </w:p>
        </w:tc>
        <w:tc>
          <w:tcPr>
            <w:tcW w:w="698"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17</w:t>
            </w:r>
          </w:p>
        </w:tc>
        <w:tc>
          <w:tcPr>
            <w:tcW w:w="78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22</w:t>
            </w:r>
          </w:p>
        </w:tc>
        <w:tc>
          <w:tcPr>
            <w:tcW w:w="70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11</w:t>
            </w:r>
          </w:p>
        </w:tc>
        <w:tc>
          <w:tcPr>
            <w:tcW w:w="7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17</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szCs w:val="22"/>
              </w:rPr>
            </w:pPr>
            <w:r>
              <w:rPr>
                <w:sz w:val="20"/>
                <w:szCs w:val="22"/>
              </w:rPr>
              <w:t>Antal deltagere med mindst et tilbagefald</w:t>
            </w:r>
          </w:p>
        </w:tc>
        <w:tc>
          <w:tcPr>
            <w:tcW w:w="698"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15 (17,2%)</w:t>
            </w:r>
          </w:p>
        </w:tc>
        <w:tc>
          <w:tcPr>
            <w:tcW w:w="786"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18 (42,9%)</w:t>
            </w:r>
          </w:p>
        </w:tc>
        <w:tc>
          <w:tcPr>
            <w:tcW w:w="70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10 (9,9%)</w:t>
            </w:r>
          </w:p>
        </w:tc>
        <w:tc>
          <w:tcPr>
            <w:tcW w:w="757"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12 (23,1%)</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szCs w:val="22"/>
              </w:rPr>
            </w:pPr>
            <w:r>
              <w:rPr>
                <w:sz w:val="20"/>
              </w:rPr>
              <w:t>Forskel fra falsk behandling</w:t>
            </w:r>
            <w:r>
              <w:rPr>
                <w:sz w:val="20"/>
                <w:vertAlign w:val="superscript"/>
              </w:rPr>
              <w:t>1</w:t>
            </w:r>
          </w:p>
        </w:tc>
        <w:tc>
          <w:tcPr>
            <w:tcW w:w="1484" w:type="pct"/>
            <w:gridSpan w:val="2"/>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c>
          <w:tcPr>
            <w:tcW w:w="1464" w:type="pct"/>
            <w:gridSpan w:val="2"/>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szCs w:val="22"/>
              </w:rPr>
            </w:pP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szCs w:val="22"/>
              </w:rPr>
            </w:pPr>
            <w:r>
              <w:rPr>
                <w:sz w:val="20"/>
                <w:szCs w:val="22"/>
              </w:rPr>
              <w:t>Forskel i procent</w:t>
            </w:r>
          </w:p>
        </w:tc>
        <w:tc>
          <w:tcPr>
            <w:tcW w:w="1484" w:type="pct"/>
            <w:gridSpan w:val="2"/>
            <w:tcBorders>
              <w:top w:val="single" w:sz="6"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25,6%</w:t>
            </w:r>
          </w:p>
        </w:tc>
        <w:tc>
          <w:tcPr>
            <w:tcW w:w="1464" w:type="pct"/>
            <w:gridSpan w:val="2"/>
            <w:tcBorders>
              <w:top w:val="single" w:sz="6"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13,2%</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szCs w:val="22"/>
              </w:rPr>
            </w:pPr>
            <w:r>
              <w:rPr>
                <w:sz w:val="20"/>
                <w:szCs w:val="22"/>
              </w:rPr>
              <w:t>95% CI</w:t>
            </w:r>
          </w:p>
        </w:tc>
        <w:tc>
          <w:tcPr>
            <w:tcW w:w="148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(8,7%; 42,6%)</w:t>
            </w:r>
          </w:p>
        </w:tc>
        <w:tc>
          <w:tcPr>
            <w:tcW w:w="146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(0,3%; 26,0%)</w:t>
            </w:r>
          </w:p>
        </w:tc>
      </w:tr>
      <w:tr w:rsidR="00E24089" w:rsidTr="003B4BCE">
        <w:trPr>
          <w:cantSplit/>
          <w:tblHeader/>
        </w:trPr>
        <w:tc>
          <w:tcPr>
            <w:tcW w:w="2052"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szCs w:val="22"/>
              </w:rPr>
            </w:pPr>
            <w:proofErr w:type="spellStart"/>
            <w:r>
              <w:rPr>
                <w:sz w:val="20"/>
                <w:szCs w:val="22"/>
              </w:rPr>
              <w:t>P-værdi</w:t>
            </w:r>
            <w:proofErr w:type="spellEnd"/>
          </w:p>
        </w:tc>
        <w:tc>
          <w:tcPr>
            <w:tcW w:w="148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0,002</w:t>
            </w:r>
          </w:p>
        </w:tc>
        <w:tc>
          <w:tcPr>
            <w:tcW w:w="1464"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szCs w:val="22"/>
              </w:rPr>
            </w:pPr>
            <w:r>
              <w:rPr>
                <w:sz w:val="20"/>
                <w:szCs w:val="22"/>
              </w:rPr>
              <w:t>0,028</w:t>
            </w:r>
          </w:p>
        </w:tc>
      </w:tr>
    </w:tbl>
    <w:p w:rsidR="00E24089" w:rsidRDefault="00E24089" w:rsidP="00E24089">
      <w:pPr>
        <w:rPr>
          <w:sz w:val="20"/>
        </w:rPr>
      </w:pPr>
      <w:r>
        <w:rPr>
          <w:sz w:val="20"/>
          <w:vertAlign w:val="superscript"/>
        </w:rPr>
        <w:t>1</w:t>
      </w:r>
      <w:r>
        <w:rPr>
          <w:sz w:val="20"/>
        </w:rPr>
        <w:t xml:space="preserve"> </w:t>
      </w:r>
      <w:proofErr w:type="spellStart"/>
      <w:r>
        <w:rPr>
          <w:sz w:val="20"/>
        </w:rPr>
        <w:t>P</w:t>
      </w:r>
      <w:r>
        <w:rPr>
          <w:sz w:val="20"/>
        </w:rPr>
        <w:noBreakHyphen/>
        <w:t>værdi</w:t>
      </w:r>
      <w:proofErr w:type="spellEnd"/>
      <w:r>
        <w:rPr>
          <w:sz w:val="20"/>
        </w:rPr>
        <w:t xml:space="preserve"> er fra en </w:t>
      </w:r>
      <w:proofErr w:type="spellStart"/>
      <w:r>
        <w:rPr>
          <w:sz w:val="20"/>
        </w:rPr>
        <w:t>Cochran</w:t>
      </w:r>
      <w:r>
        <w:rPr>
          <w:sz w:val="20"/>
        </w:rPr>
        <w:noBreakHyphen/>
        <w:t>Mantel</w:t>
      </w:r>
      <w:r>
        <w:rPr>
          <w:sz w:val="20"/>
        </w:rPr>
        <w:noBreakHyphen/>
        <w:t>Haenszel</w:t>
      </w:r>
      <w:proofErr w:type="spellEnd"/>
      <w:r>
        <w:rPr>
          <w:sz w:val="20"/>
        </w:rPr>
        <w:t xml:space="preserve"> general association chi</w:t>
      </w:r>
      <w:r>
        <w:rPr>
          <w:sz w:val="20"/>
        </w:rPr>
        <w:noBreakHyphen/>
      </w:r>
      <w:proofErr w:type="spellStart"/>
      <w:r>
        <w:rPr>
          <w:sz w:val="20"/>
        </w:rPr>
        <w:t>square</w:t>
      </w:r>
      <w:proofErr w:type="spellEnd"/>
      <w:r>
        <w:rPr>
          <w:sz w:val="20"/>
        </w:rPr>
        <w:noBreakHyphen/>
        <w:t>test, der sammenlignede antallet af deltagere med og uden brug af supplerende behandling mellem behandlingsgrupperne.</w:t>
      </w:r>
    </w:p>
    <w:p w:rsidR="00E24089" w:rsidRDefault="00E24089" w:rsidP="00E24089">
      <w:pPr>
        <w:tabs>
          <w:tab w:val="left" w:pos="1304"/>
        </w:tabs>
        <w:rPr>
          <w:b/>
          <w:bCs/>
          <w:sz w:val="22"/>
          <w:szCs w:val="22"/>
        </w:rPr>
      </w:pPr>
      <w:r>
        <w:rPr>
          <w:b/>
          <w:bCs/>
          <w:szCs w:val="22"/>
        </w:rPr>
        <w:br w:type="page"/>
      </w:r>
    </w:p>
    <w:p w:rsidR="00E24089" w:rsidRPr="00F00B28" w:rsidRDefault="00E24089" w:rsidP="00E24089">
      <w:pPr>
        <w:tabs>
          <w:tab w:val="left" w:pos="1304"/>
        </w:tabs>
        <w:rPr>
          <w:b/>
          <w:bCs/>
          <w:sz w:val="24"/>
          <w:szCs w:val="24"/>
        </w:rPr>
      </w:pPr>
      <w:r w:rsidRPr="00F00B28">
        <w:rPr>
          <w:b/>
          <w:bCs/>
          <w:sz w:val="24"/>
          <w:szCs w:val="24"/>
        </w:rPr>
        <w:lastRenderedPageBreak/>
        <w:t xml:space="preserve">Tabel 9: Antal supplerende behandlinger for </w:t>
      </w:r>
      <w:proofErr w:type="spellStart"/>
      <w:r w:rsidRPr="00F00B28">
        <w:rPr>
          <w:b/>
          <w:bCs/>
          <w:sz w:val="24"/>
          <w:szCs w:val="24"/>
        </w:rPr>
        <w:t>uveitis</w:t>
      </w:r>
      <w:proofErr w:type="spellEnd"/>
      <w:r w:rsidRPr="00F00B28">
        <w:rPr>
          <w:b/>
          <w:bCs/>
          <w:sz w:val="24"/>
          <w:szCs w:val="24"/>
        </w:rPr>
        <w:t xml:space="preserve"> i studieøjet inden for 36 måneder (ITT-population): PSV-FAI-001</w:t>
      </w:r>
    </w:p>
    <w:tbl>
      <w:tblPr>
        <w:tblpPr w:leftFromText="180" w:rightFromText="180" w:vertAnchor="text" w:tblpY="1"/>
        <w:tblOverlap w:val="never"/>
        <w:tblW w:w="5000" w:type="pct"/>
        <w:tblBorders>
          <w:top w:val="single" w:sz="6" w:space="0" w:color="FFFF00"/>
          <w:left w:val="single" w:sz="6" w:space="0" w:color="FFFF00"/>
          <w:bottom w:val="single" w:sz="6" w:space="0" w:color="FFFF00"/>
          <w:right w:val="single" w:sz="6" w:space="0" w:color="FFFF00"/>
          <w:insideH w:val="single" w:sz="6" w:space="0" w:color="auto"/>
          <w:insideV w:val="single" w:sz="6" w:space="0" w:color="auto"/>
        </w:tblBorders>
        <w:tblLook w:val="04A0" w:firstRow="1" w:lastRow="0" w:firstColumn="1" w:lastColumn="0" w:noHBand="0" w:noVBand="1"/>
      </w:tblPr>
      <w:tblGrid>
        <w:gridCol w:w="5220"/>
        <w:gridCol w:w="2153"/>
        <w:gridCol w:w="52"/>
        <w:gridCol w:w="2203"/>
      </w:tblGrid>
      <w:tr w:rsidR="00E24089" w:rsidTr="003B4BCE">
        <w:trPr>
          <w:cantSplit/>
          <w:tblHeader/>
        </w:trPr>
        <w:tc>
          <w:tcPr>
            <w:tcW w:w="5000" w:type="pct"/>
            <w:gridSpan w:val="4"/>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b/>
                <w:sz w:val="20"/>
              </w:rPr>
            </w:pPr>
            <w:r>
              <w:rPr>
                <w:b/>
                <w:sz w:val="20"/>
              </w:rPr>
              <w:t>ITT</w:t>
            </w:r>
            <w:r>
              <w:rPr>
                <w:b/>
                <w:sz w:val="20"/>
              </w:rPr>
              <w:noBreakHyphen/>
              <w:t>population</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rPr>
                <w:sz w:val="20"/>
              </w:rPr>
            </w:pPr>
          </w:p>
        </w:tc>
        <w:tc>
          <w:tcPr>
            <w:tcW w:w="1118" w:type="pct"/>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rPr>
            </w:pPr>
            <w:r>
              <w:rPr>
                <w:b/>
                <w:sz w:val="20"/>
              </w:rPr>
              <w:t>FAI implantat</w:t>
            </w:r>
            <w:r>
              <w:rPr>
                <w:b/>
                <w:sz w:val="20"/>
              </w:rPr>
              <w:br/>
              <w:t>(N=87)</w:t>
            </w:r>
          </w:p>
        </w:tc>
        <w:tc>
          <w:tcPr>
            <w:tcW w:w="1171" w:type="pct"/>
            <w:gridSpan w:val="2"/>
            <w:tcBorders>
              <w:top w:val="single" w:sz="4" w:space="0" w:color="auto"/>
              <w:left w:val="single" w:sz="4" w:space="0" w:color="auto"/>
              <w:bottom w:val="single" w:sz="4" w:space="0" w:color="auto"/>
              <w:right w:val="single" w:sz="4" w:space="0" w:color="auto"/>
            </w:tcBorders>
            <w:vAlign w:val="bottom"/>
            <w:hideMark/>
          </w:tcPr>
          <w:p w:rsidR="00E24089" w:rsidRDefault="00E24089" w:rsidP="003B4BCE">
            <w:pPr>
              <w:keepNext/>
              <w:widowControl w:val="0"/>
              <w:tabs>
                <w:tab w:val="left" w:pos="1304"/>
              </w:tabs>
              <w:spacing w:before="20" w:after="20"/>
              <w:jc w:val="center"/>
              <w:rPr>
                <w:b/>
                <w:sz w:val="20"/>
              </w:rPr>
            </w:pPr>
            <w:r>
              <w:rPr>
                <w:b/>
                <w:sz w:val="20"/>
              </w:rPr>
              <w:t>Falsk injektion</w:t>
            </w:r>
            <w:r>
              <w:rPr>
                <w:b/>
                <w:sz w:val="20"/>
              </w:rPr>
              <w:br/>
              <w:t>(N=42)</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 xml:space="preserve">Systemisk steroid eller </w:t>
            </w:r>
            <w:proofErr w:type="spellStart"/>
            <w:r>
              <w:rPr>
                <w:sz w:val="20"/>
              </w:rPr>
              <w:t>immunosuppressiva</w:t>
            </w:r>
            <w:proofErr w:type="spellEnd"/>
          </w:p>
        </w:tc>
        <w:tc>
          <w:tcPr>
            <w:tcW w:w="1118" w:type="pct"/>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rPr>
            </w:pPr>
          </w:p>
        </w:tc>
        <w:tc>
          <w:tcPr>
            <w:tcW w:w="1171" w:type="pct"/>
            <w:gridSpan w:val="2"/>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Total antal tilbagefald</w:t>
            </w:r>
          </w:p>
        </w:tc>
        <w:tc>
          <w:tcPr>
            <w:tcW w:w="1118"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61</w:t>
            </w:r>
          </w:p>
        </w:tc>
        <w:tc>
          <w:tcPr>
            <w:tcW w:w="1171"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45</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Antal deltagere med mindst et tilbagefald</w:t>
            </w:r>
          </w:p>
        </w:tc>
        <w:tc>
          <w:tcPr>
            <w:tcW w:w="1118"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30 (34,5%)</w:t>
            </w:r>
          </w:p>
        </w:tc>
        <w:tc>
          <w:tcPr>
            <w:tcW w:w="1171" w:type="pct"/>
            <w:gridSpan w:val="2"/>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21 (50,0%)</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Forskel fra falsk behandling</w:t>
            </w:r>
            <w:r>
              <w:rPr>
                <w:sz w:val="20"/>
                <w:vertAlign w:val="superscript"/>
              </w:rPr>
              <w:t>1</w:t>
            </w:r>
          </w:p>
        </w:tc>
        <w:tc>
          <w:tcPr>
            <w:tcW w:w="2289" w:type="pct"/>
            <w:gridSpan w:val="3"/>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162"/>
              <w:rPr>
                <w:sz w:val="20"/>
              </w:rPr>
            </w:pPr>
            <w:r>
              <w:rPr>
                <w:sz w:val="20"/>
              </w:rPr>
              <w:t>Forskel i procent</w:t>
            </w:r>
          </w:p>
        </w:tc>
        <w:tc>
          <w:tcPr>
            <w:tcW w:w="2289"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15,5%</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162"/>
              <w:rPr>
                <w:sz w:val="20"/>
              </w:rPr>
            </w:pPr>
            <w:r>
              <w:rPr>
                <w:sz w:val="20"/>
              </w:rPr>
              <w:t>95% CI</w:t>
            </w:r>
          </w:p>
        </w:tc>
        <w:tc>
          <w:tcPr>
            <w:tcW w:w="2289"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(-2,6%; 33,6%)</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ind w:left="162"/>
              <w:rPr>
                <w:sz w:val="20"/>
              </w:rPr>
            </w:pPr>
            <w:proofErr w:type="spellStart"/>
            <w:r>
              <w:rPr>
                <w:sz w:val="20"/>
              </w:rPr>
              <w:t>P</w:t>
            </w:r>
            <w:r>
              <w:rPr>
                <w:sz w:val="20"/>
              </w:rPr>
              <w:noBreakHyphen/>
              <w:t>værdi</w:t>
            </w:r>
            <w:proofErr w:type="spellEnd"/>
          </w:p>
        </w:tc>
        <w:tc>
          <w:tcPr>
            <w:tcW w:w="2289"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0,092</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Intra-/</w:t>
            </w:r>
            <w:proofErr w:type="spellStart"/>
            <w:r>
              <w:rPr>
                <w:sz w:val="20"/>
              </w:rPr>
              <w:t>periokulær</w:t>
            </w:r>
            <w:proofErr w:type="spellEnd"/>
            <w:r>
              <w:rPr>
                <w:sz w:val="20"/>
              </w:rPr>
              <w:t xml:space="preserve"> steroid</w:t>
            </w:r>
          </w:p>
        </w:tc>
        <w:tc>
          <w:tcPr>
            <w:tcW w:w="2289" w:type="pct"/>
            <w:gridSpan w:val="3"/>
            <w:tcBorders>
              <w:top w:val="single" w:sz="4" w:space="0" w:color="auto"/>
              <w:left w:val="single" w:sz="4" w:space="0" w:color="auto"/>
              <w:bottom w:val="single" w:sz="4" w:space="0" w:color="auto"/>
              <w:right w:val="single" w:sz="4" w:space="0" w:color="auto"/>
            </w:tcBorders>
          </w:tcPr>
          <w:p w:rsidR="00E24089" w:rsidRDefault="00E24089" w:rsidP="003B4BCE">
            <w:pPr>
              <w:keepNext/>
              <w:widowControl w:val="0"/>
              <w:tabs>
                <w:tab w:val="left" w:pos="1304"/>
              </w:tabs>
              <w:spacing w:before="20" w:after="20"/>
              <w:jc w:val="center"/>
              <w:rPr>
                <w:sz w:val="20"/>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Total antal tilbagefald</w:t>
            </w:r>
          </w:p>
        </w:tc>
        <w:tc>
          <w:tcPr>
            <w:tcW w:w="1145" w:type="pct"/>
            <w:gridSpan w:val="2"/>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23</w:t>
            </w:r>
          </w:p>
        </w:tc>
        <w:tc>
          <w:tcPr>
            <w:tcW w:w="1144" w:type="pct"/>
            <w:tcBorders>
              <w:top w:val="single" w:sz="4"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99</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keepNext/>
              <w:widowControl w:val="0"/>
              <w:tabs>
                <w:tab w:val="left" w:pos="1304"/>
              </w:tabs>
              <w:spacing w:before="20" w:after="20"/>
              <w:rPr>
                <w:sz w:val="20"/>
              </w:rPr>
            </w:pPr>
            <w:r>
              <w:rPr>
                <w:sz w:val="20"/>
              </w:rPr>
              <w:t>Antal deltagere med mindst et tilbagefald</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17 (19,5%)</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keepNext/>
              <w:widowControl w:val="0"/>
              <w:tabs>
                <w:tab w:val="left" w:pos="1304"/>
              </w:tabs>
              <w:spacing w:before="20" w:after="20"/>
              <w:jc w:val="center"/>
              <w:rPr>
                <w:sz w:val="20"/>
              </w:rPr>
            </w:pPr>
            <w:r>
              <w:rPr>
                <w:sz w:val="20"/>
              </w:rPr>
              <w:t>29 (69,0%)</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rPr>
            </w:pPr>
            <w:r>
              <w:rPr>
                <w:sz w:val="20"/>
              </w:rPr>
              <w:t>Forskel fra falsk behandling</w:t>
            </w:r>
            <w:r>
              <w:rPr>
                <w:sz w:val="20"/>
                <w:vertAlign w:val="superscript"/>
              </w:rPr>
              <w:t>1</w:t>
            </w:r>
          </w:p>
        </w:tc>
        <w:tc>
          <w:tcPr>
            <w:tcW w:w="1145" w:type="pct"/>
            <w:gridSpan w:val="2"/>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rPr>
            </w:pPr>
          </w:p>
        </w:tc>
        <w:tc>
          <w:tcPr>
            <w:tcW w:w="1144" w:type="pct"/>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rPr>
            </w:pPr>
            <w:r>
              <w:rPr>
                <w:sz w:val="20"/>
              </w:rPr>
              <w:t>Forskel i procent</w:t>
            </w:r>
          </w:p>
        </w:tc>
        <w:tc>
          <w:tcPr>
            <w:tcW w:w="2289" w:type="pct"/>
            <w:gridSpan w:val="3"/>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49,5%</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rPr>
            </w:pPr>
            <w:r>
              <w:rPr>
                <w:sz w:val="20"/>
              </w:rPr>
              <w:t>95% CI</w:t>
            </w:r>
          </w:p>
        </w:tc>
        <w:tc>
          <w:tcPr>
            <w:tcW w:w="2289" w:type="pct"/>
            <w:gridSpan w:val="3"/>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(33,2%, 65,8%)</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rPr>
            </w:pPr>
            <w:proofErr w:type="spellStart"/>
            <w:r>
              <w:rPr>
                <w:sz w:val="20"/>
              </w:rPr>
              <w:t>P</w:t>
            </w:r>
            <w:r>
              <w:rPr>
                <w:sz w:val="20"/>
              </w:rPr>
              <w:noBreakHyphen/>
              <w:t>værdi</w:t>
            </w:r>
            <w:proofErr w:type="spellEnd"/>
          </w:p>
        </w:tc>
        <w:tc>
          <w:tcPr>
            <w:tcW w:w="2289" w:type="pct"/>
            <w:gridSpan w:val="3"/>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&lt; 0,001</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rPr>
            </w:pPr>
            <w:proofErr w:type="spellStart"/>
            <w:r>
              <w:rPr>
                <w:sz w:val="20"/>
              </w:rPr>
              <w:t>Topikal</w:t>
            </w:r>
            <w:proofErr w:type="spellEnd"/>
            <w:r>
              <w:rPr>
                <w:sz w:val="20"/>
              </w:rPr>
              <w:t xml:space="preserve"> steroid</w:t>
            </w:r>
          </w:p>
        </w:tc>
        <w:tc>
          <w:tcPr>
            <w:tcW w:w="1145" w:type="pct"/>
            <w:gridSpan w:val="2"/>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rPr>
            </w:pPr>
          </w:p>
        </w:tc>
        <w:tc>
          <w:tcPr>
            <w:tcW w:w="1144" w:type="pct"/>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rPr>
            </w:pPr>
            <w:r>
              <w:rPr>
                <w:sz w:val="20"/>
              </w:rPr>
              <w:t>Total antal tilbagefald</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40</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47</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rPr>
            </w:pPr>
            <w:r>
              <w:rPr>
                <w:sz w:val="20"/>
              </w:rPr>
              <w:t>Antal deltagere med mindst et tilbagefald</w:t>
            </w:r>
          </w:p>
        </w:tc>
        <w:tc>
          <w:tcPr>
            <w:tcW w:w="1145" w:type="pct"/>
            <w:gridSpan w:val="2"/>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24 (27,6%)</w:t>
            </w:r>
          </w:p>
        </w:tc>
        <w:tc>
          <w:tcPr>
            <w:tcW w:w="1144" w:type="pct"/>
            <w:tcBorders>
              <w:top w:val="single" w:sz="6" w:space="0" w:color="auto"/>
              <w:left w:val="single" w:sz="4" w:space="0" w:color="auto"/>
              <w:bottom w:val="single" w:sz="6"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24 (57,1%)</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rPr>
                <w:sz w:val="20"/>
              </w:rPr>
            </w:pPr>
            <w:r>
              <w:rPr>
                <w:sz w:val="20"/>
              </w:rPr>
              <w:t>Forskel fra falsk behandling</w:t>
            </w:r>
            <w:r>
              <w:rPr>
                <w:sz w:val="20"/>
                <w:vertAlign w:val="superscript"/>
              </w:rPr>
              <w:t>1</w:t>
            </w:r>
          </w:p>
        </w:tc>
        <w:tc>
          <w:tcPr>
            <w:tcW w:w="1145" w:type="pct"/>
            <w:gridSpan w:val="2"/>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rPr>
            </w:pPr>
          </w:p>
        </w:tc>
        <w:tc>
          <w:tcPr>
            <w:tcW w:w="1144" w:type="pct"/>
            <w:tcBorders>
              <w:top w:val="single" w:sz="6" w:space="0" w:color="auto"/>
              <w:left w:val="single" w:sz="4" w:space="0" w:color="auto"/>
              <w:bottom w:val="single" w:sz="6" w:space="0" w:color="auto"/>
              <w:right w:val="single" w:sz="4" w:space="0" w:color="auto"/>
            </w:tcBorders>
          </w:tcPr>
          <w:p w:rsidR="00E24089" w:rsidRDefault="00E24089" w:rsidP="003B4BCE">
            <w:pPr>
              <w:widowControl w:val="0"/>
              <w:tabs>
                <w:tab w:val="left" w:pos="1304"/>
              </w:tabs>
              <w:spacing w:before="20" w:after="20"/>
              <w:jc w:val="center"/>
              <w:rPr>
                <w:sz w:val="20"/>
              </w:rPr>
            </w:pP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rPr>
            </w:pPr>
            <w:r>
              <w:rPr>
                <w:sz w:val="20"/>
              </w:rPr>
              <w:t>Forskel i procent</w:t>
            </w:r>
          </w:p>
        </w:tc>
        <w:tc>
          <w:tcPr>
            <w:tcW w:w="2289" w:type="pct"/>
            <w:gridSpan w:val="3"/>
            <w:tcBorders>
              <w:top w:val="single" w:sz="6"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29,6%</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rPr>
            </w:pPr>
            <w:r>
              <w:rPr>
                <w:sz w:val="20"/>
              </w:rPr>
              <w:t>95% CI</w:t>
            </w:r>
          </w:p>
        </w:tc>
        <w:tc>
          <w:tcPr>
            <w:tcW w:w="2289"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(11,9%; 47,2%)</w:t>
            </w:r>
          </w:p>
        </w:tc>
      </w:tr>
      <w:tr w:rsidR="00E24089" w:rsidTr="003B4BCE">
        <w:trPr>
          <w:cantSplit/>
          <w:tblHeader/>
        </w:trPr>
        <w:tc>
          <w:tcPr>
            <w:tcW w:w="2711" w:type="pct"/>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ind w:left="162"/>
              <w:rPr>
                <w:sz w:val="20"/>
              </w:rPr>
            </w:pPr>
            <w:proofErr w:type="spellStart"/>
            <w:r>
              <w:rPr>
                <w:sz w:val="20"/>
              </w:rPr>
              <w:t>P</w:t>
            </w:r>
            <w:r>
              <w:rPr>
                <w:sz w:val="20"/>
              </w:rPr>
              <w:noBreakHyphen/>
              <w:t>værdi</w:t>
            </w:r>
            <w:proofErr w:type="spellEnd"/>
          </w:p>
        </w:tc>
        <w:tc>
          <w:tcPr>
            <w:tcW w:w="2289" w:type="pct"/>
            <w:gridSpan w:val="3"/>
            <w:tcBorders>
              <w:top w:val="single" w:sz="4" w:space="0" w:color="auto"/>
              <w:left w:val="single" w:sz="4" w:space="0" w:color="auto"/>
              <w:bottom w:val="single" w:sz="4" w:space="0" w:color="auto"/>
              <w:right w:val="single" w:sz="4" w:space="0" w:color="auto"/>
            </w:tcBorders>
            <w:hideMark/>
          </w:tcPr>
          <w:p w:rsidR="00E24089" w:rsidRDefault="00E24089" w:rsidP="003B4BCE">
            <w:pPr>
              <w:widowControl w:val="0"/>
              <w:tabs>
                <w:tab w:val="left" w:pos="1304"/>
              </w:tabs>
              <w:spacing w:before="20" w:after="20"/>
              <w:jc w:val="center"/>
              <w:rPr>
                <w:sz w:val="20"/>
              </w:rPr>
            </w:pPr>
            <w:r>
              <w:rPr>
                <w:sz w:val="20"/>
              </w:rPr>
              <w:t>0,001</w:t>
            </w:r>
          </w:p>
        </w:tc>
      </w:tr>
    </w:tbl>
    <w:p w:rsidR="00E24089" w:rsidRDefault="00E24089" w:rsidP="00E24089">
      <w:pPr>
        <w:rPr>
          <w:sz w:val="20"/>
        </w:rPr>
      </w:pPr>
      <w:r>
        <w:rPr>
          <w:sz w:val="20"/>
          <w:vertAlign w:val="superscript"/>
        </w:rPr>
        <w:t>1</w:t>
      </w:r>
      <w:r>
        <w:rPr>
          <w:sz w:val="20"/>
        </w:rPr>
        <w:t xml:space="preserve"> </w:t>
      </w:r>
      <w:proofErr w:type="spellStart"/>
      <w:r>
        <w:rPr>
          <w:sz w:val="20"/>
        </w:rPr>
        <w:t>P</w:t>
      </w:r>
      <w:r>
        <w:rPr>
          <w:sz w:val="20"/>
        </w:rPr>
        <w:noBreakHyphen/>
        <w:t>værdi</w:t>
      </w:r>
      <w:proofErr w:type="spellEnd"/>
      <w:r>
        <w:rPr>
          <w:sz w:val="20"/>
        </w:rPr>
        <w:t xml:space="preserve"> er fra en </w:t>
      </w:r>
      <w:proofErr w:type="spellStart"/>
      <w:r>
        <w:rPr>
          <w:sz w:val="20"/>
        </w:rPr>
        <w:t>Cochran</w:t>
      </w:r>
      <w:r>
        <w:rPr>
          <w:sz w:val="20"/>
        </w:rPr>
        <w:noBreakHyphen/>
        <w:t>Mantel</w:t>
      </w:r>
      <w:r>
        <w:rPr>
          <w:sz w:val="20"/>
        </w:rPr>
        <w:noBreakHyphen/>
        <w:t>Haenszel</w:t>
      </w:r>
      <w:proofErr w:type="spellEnd"/>
      <w:r>
        <w:rPr>
          <w:sz w:val="20"/>
        </w:rPr>
        <w:t xml:space="preserve"> general association chi</w:t>
      </w:r>
      <w:r>
        <w:rPr>
          <w:sz w:val="20"/>
        </w:rPr>
        <w:noBreakHyphen/>
      </w:r>
      <w:proofErr w:type="spellStart"/>
      <w:r>
        <w:rPr>
          <w:sz w:val="20"/>
        </w:rPr>
        <w:t>square</w:t>
      </w:r>
      <w:proofErr w:type="spellEnd"/>
      <w:r>
        <w:rPr>
          <w:sz w:val="20"/>
        </w:rPr>
        <w:noBreakHyphen/>
        <w:t>test, der sammenlignede antallet af deltagere med og uden brug af supplerende behandling mellem behandlingsgrupperne.</w:t>
      </w:r>
    </w:p>
    <w:p w:rsidR="00E24089" w:rsidRDefault="00E24089" w:rsidP="00E24089">
      <w:pPr>
        <w:tabs>
          <w:tab w:val="left" w:pos="1304"/>
        </w:tabs>
        <w:spacing w:line="280" w:lineRule="exact"/>
        <w:rPr>
          <w:sz w:val="22"/>
          <w:szCs w:val="22"/>
        </w:rPr>
      </w:pPr>
    </w:p>
    <w:p w:rsidR="00E24089" w:rsidRPr="00F00B28" w:rsidRDefault="00E24089" w:rsidP="00E24089">
      <w:pPr>
        <w:tabs>
          <w:tab w:val="left" w:pos="1304"/>
        </w:tabs>
        <w:ind w:left="851"/>
        <w:rPr>
          <w:sz w:val="24"/>
          <w:szCs w:val="24"/>
        </w:rPr>
      </w:pPr>
      <w:r w:rsidRPr="00F00B28">
        <w:rPr>
          <w:sz w:val="24"/>
          <w:szCs w:val="24"/>
        </w:rPr>
        <w:t xml:space="preserve">Signifikant færre patienter behandlet med </w:t>
      </w:r>
      <w:proofErr w:type="spellStart"/>
      <w:r w:rsidR="007C0D0A">
        <w:rPr>
          <w:sz w:val="24"/>
          <w:szCs w:val="24"/>
        </w:rPr>
        <w:t>Iluvien</w:t>
      </w:r>
      <w:proofErr w:type="spellEnd"/>
      <w:r w:rsidRPr="00F00B28">
        <w:rPr>
          <w:sz w:val="24"/>
          <w:szCs w:val="24"/>
        </w:rPr>
        <w:t xml:space="preserve"> i forhold til falsk behandling havde behov for supplerende intra-/</w:t>
      </w:r>
      <w:proofErr w:type="spellStart"/>
      <w:r w:rsidRPr="00F00B28">
        <w:rPr>
          <w:sz w:val="24"/>
          <w:szCs w:val="24"/>
        </w:rPr>
        <w:t>periokulære</w:t>
      </w:r>
      <w:proofErr w:type="spellEnd"/>
      <w:r w:rsidRPr="00F00B28">
        <w:rPr>
          <w:sz w:val="24"/>
          <w:szCs w:val="24"/>
        </w:rPr>
        <w:t xml:space="preserve"> steroider (henholdsvis 19,5% </w:t>
      </w:r>
      <w:r w:rsidRPr="00F00B28">
        <w:rPr>
          <w:i/>
          <w:sz w:val="24"/>
          <w:szCs w:val="24"/>
        </w:rPr>
        <w:t>vs.</w:t>
      </w:r>
      <w:r w:rsidRPr="00F00B28">
        <w:rPr>
          <w:sz w:val="24"/>
          <w:szCs w:val="24"/>
        </w:rPr>
        <w:t xml:space="preserve"> 69,0%, p&lt;0,001) eller </w:t>
      </w:r>
      <w:proofErr w:type="spellStart"/>
      <w:r w:rsidRPr="00F00B28">
        <w:rPr>
          <w:sz w:val="24"/>
          <w:szCs w:val="24"/>
        </w:rPr>
        <w:t>topikale</w:t>
      </w:r>
      <w:proofErr w:type="spellEnd"/>
      <w:r w:rsidRPr="00F00B28">
        <w:rPr>
          <w:sz w:val="24"/>
          <w:szCs w:val="24"/>
        </w:rPr>
        <w:t xml:space="preserve"> steroider (henholdsvis 27,6% </w:t>
      </w:r>
      <w:r w:rsidRPr="00F00B28">
        <w:rPr>
          <w:i/>
          <w:sz w:val="24"/>
          <w:szCs w:val="24"/>
        </w:rPr>
        <w:t>vs.</w:t>
      </w:r>
      <w:r w:rsidRPr="00F00B28">
        <w:rPr>
          <w:sz w:val="24"/>
          <w:szCs w:val="24"/>
        </w:rPr>
        <w:t xml:space="preserve"> 57,1%, p=0,001). Færre patienter havde behov for behandling med systemisk steroid eller </w:t>
      </w:r>
      <w:proofErr w:type="spellStart"/>
      <w:r w:rsidRPr="00F00B28">
        <w:rPr>
          <w:sz w:val="24"/>
          <w:szCs w:val="24"/>
        </w:rPr>
        <w:t>immunosupressiva</w:t>
      </w:r>
      <w:proofErr w:type="spellEnd"/>
      <w:r w:rsidRPr="00F00B28">
        <w:rPr>
          <w:sz w:val="24"/>
          <w:szCs w:val="24"/>
        </w:rPr>
        <w:t xml:space="preserve"> (henholdsvis 34,5% </w:t>
      </w:r>
      <w:r w:rsidRPr="00F00B28">
        <w:rPr>
          <w:i/>
          <w:sz w:val="24"/>
          <w:szCs w:val="24"/>
        </w:rPr>
        <w:t xml:space="preserve">vs. </w:t>
      </w:r>
      <w:r w:rsidRPr="00F00B28">
        <w:rPr>
          <w:sz w:val="24"/>
          <w:szCs w:val="24"/>
        </w:rPr>
        <w:t>50,0%, p=0,092).</w:t>
      </w:r>
    </w:p>
    <w:p w:rsidR="00E24089" w:rsidRPr="00F00B28" w:rsidRDefault="00E24089" w:rsidP="00E24089">
      <w:pPr>
        <w:pStyle w:val="C-BodyText"/>
        <w:spacing w:before="0" w:after="0" w:line="240" w:lineRule="auto"/>
        <w:ind w:left="851"/>
        <w:rPr>
          <w:noProof/>
          <w:szCs w:val="24"/>
          <w:lang w:val="da-DK"/>
        </w:rPr>
      </w:pPr>
    </w:p>
    <w:p w:rsidR="00E24089" w:rsidRPr="00F00B28" w:rsidRDefault="00E24089" w:rsidP="00E24089">
      <w:pPr>
        <w:pStyle w:val="C-BodyText"/>
        <w:spacing w:before="0" w:after="0" w:line="240" w:lineRule="auto"/>
        <w:ind w:left="851"/>
        <w:rPr>
          <w:szCs w:val="24"/>
          <w:lang w:val="da-DK"/>
        </w:rPr>
      </w:pPr>
      <w:r w:rsidRPr="00F00B28">
        <w:rPr>
          <w:szCs w:val="24"/>
          <w:lang w:val="da-DK"/>
        </w:rPr>
        <w:t xml:space="preserve">Det Europæiske Lægemiddelagentur har dispenseret fra kravet om at fremlægge resultaterne af studier med </w:t>
      </w:r>
      <w:proofErr w:type="spellStart"/>
      <w:r w:rsidRPr="00F00B28">
        <w:rPr>
          <w:szCs w:val="24"/>
          <w:lang w:val="da-DK"/>
        </w:rPr>
        <w:t>intravitrealt</w:t>
      </w:r>
      <w:proofErr w:type="spellEnd"/>
      <w:r w:rsidRPr="00F00B28">
        <w:rPr>
          <w:szCs w:val="24"/>
          <w:lang w:val="da-DK"/>
        </w:rPr>
        <w:t xml:space="preserve"> administreret </w:t>
      </w:r>
      <w:proofErr w:type="spellStart"/>
      <w:r w:rsidRPr="00F00B28">
        <w:rPr>
          <w:szCs w:val="24"/>
          <w:lang w:val="da-DK"/>
        </w:rPr>
        <w:t>fluocinolonacetonid</w:t>
      </w:r>
      <w:proofErr w:type="spellEnd"/>
      <w:r w:rsidRPr="00F00B28">
        <w:rPr>
          <w:szCs w:val="24"/>
          <w:lang w:val="da-DK"/>
        </w:rPr>
        <w:t xml:space="preserve"> i alle undergrupper af den pædiatriske population til behandl</w:t>
      </w:r>
      <w:r>
        <w:rPr>
          <w:szCs w:val="24"/>
          <w:lang w:val="da-DK"/>
        </w:rPr>
        <w:t xml:space="preserve">ing af diabetisk </w:t>
      </w:r>
      <w:proofErr w:type="spellStart"/>
      <w:r>
        <w:rPr>
          <w:szCs w:val="24"/>
          <w:lang w:val="da-DK"/>
        </w:rPr>
        <w:t>makulært</w:t>
      </w:r>
      <w:proofErr w:type="spellEnd"/>
      <w:r>
        <w:rPr>
          <w:szCs w:val="24"/>
          <w:lang w:val="da-DK"/>
        </w:rPr>
        <w:t xml:space="preserve"> ødem </w:t>
      </w:r>
      <w:r w:rsidRPr="00F00B28">
        <w:rPr>
          <w:szCs w:val="24"/>
          <w:lang w:val="da-DK"/>
        </w:rPr>
        <w:t>(</w:t>
      </w:r>
      <w:r>
        <w:rPr>
          <w:szCs w:val="24"/>
          <w:lang w:val="da-DK"/>
        </w:rPr>
        <w:t>s</w:t>
      </w:r>
      <w:r w:rsidRPr="00F00B28">
        <w:rPr>
          <w:szCs w:val="24"/>
          <w:lang w:val="da-DK"/>
        </w:rPr>
        <w:t>e pkt. 4.2</w:t>
      </w:r>
      <w:r w:rsidRPr="00F00B28">
        <w:rPr>
          <w:color w:val="0000FF"/>
          <w:szCs w:val="24"/>
          <w:lang w:val="da-DK"/>
        </w:rPr>
        <w:t xml:space="preserve"> </w:t>
      </w:r>
      <w:r w:rsidRPr="00F00B28">
        <w:rPr>
          <w:szCs w:val="24"/>
          <w:lang w:val="da-DK"/>
        </w:rPr>
        <w:t>for oplysninger om pædiatrisk anvendelse).</w:t>
      </w:r>
    </w:p>
    <w:p w:rsidR="00E24089" w:rsidRPr="008D5C51" w:rsidRDefault="00E24089" w:rsidP="00E24089">
      <w:pPr>
        <w:numPr>
          <w:ilvl w:val="12"/>
          <w:numId w:val="0"/>
        </w:numPr>
        <w:suppressLineNumbers/>
        <w:ind w:right="-2"/>
        <w:rPr>
          <w:iCs/>
          <w:noProof/>
          <w:sz w:val="24"/>
          <w:szCs w:val="24"/>
        </w:rPr>
      </w:pPr>
    </w:p>
    <w:p w:rsidR="00E24089" w:rsidRPr="00E15A2F" w:rsidRDefault="00E24089" w:rsidP="00E24089">
      <w:pPr>
        <w:ind w:left="851" w:hanging="851"/>
        <w:rPr>
          <w:b/>
          <w:noProof/>
          <w:sz w:val="24"/>
          <w:szCs w:val="24"/>
        </w:rPr>
      </w:pPr>
      <w:bookmarkStart w:id="18" w:name="Section_5_2"/>
      <w:r w:rsidRPr="00E15A2F">
        <w:rPr>
          <w:b/>
          <w:noProof/>
        </w:rPr>
        <w:t>5.2</w:t>
      </w:r>
      <w:r w:rsidRPr="00E15A2F">
        <w:rPr>
          <w:b/>
          <w:noProof/>
        </w:rPr>
        <w:tab/>
      </w:r>
      <w:proofErr w:type="spellStart"/>
      <w:r w:rsidRPr="00E15A2F">
        <w:rPr>
          <w:b/>
          <w:sz w:val="24"/>
          <w:szCs w:val="24"/>
        </w:rPr>
        <w:t>Farmakokinetiske</w:t>
      </w:r>
      <w:proofErr w:type="spellEnd"/>
      <w:r w:rsidRPr="00E15A2F">
        <w:rPr>
          <w:b/>
          <w:sz w:val="24"/>
          <w:szCs w:val="24"/>
        </w:rPr>
        <w:t xml:space="preserve"> egenskaber</w:t>
      </w:r>
    </w:p>
    <w:bookmarkEnd w:id="18"/>
    <w:p w:rsidR="00E24089" w:rsidRPr="00E15A2F" w:rsidRDefault="00E24089" w:rsidP="00E24089">
      <w:pPr>
        <w:ind w:left="851"/>
        <w:rPr>
          <w:sz w:val="24"/>
          <w:szCs w:val="24"/>
        </w:rPr>
      </w:pPr>
      <w:r w:rsidRPr="00E15A2F">
        <w:rPr>
          <w:sz w:val="24"/>
          <w:szCs w:val="24"/>
        </w:rPr>
        <w:t xml:space="preserve">I et humant </w:t>
      </w:r>
      <w:proofErr w:type="spellStart"/>
      <w:r w:rsidRPr="00E15A2F">
        <w:rPr>
          <w:sz w:val="24"/>
          <w:szCs w:val="24"/>
        </w:rPr>
        <w:t>farmakokinetisk</w:t>
      </w:r>
      <w:proofErr w:type="spellEnd"/>
      <w:r w:rsidRPr="00E15A2F">
        <w:rPr>
          <w:sz w:val="24"/>
          <w:szCs w:val="24"/>
        </w:rPr>
        <w:t xml:space="preserve"> studie (C-01-06-002, FAMOUS-studiet) var koncentrationerne af </w:t>
      </w:r>
      <w:proofErr w:type="spellStart"/>
      <w:r w:rsidRPr="00E15A2F">
        <w:rPr>
          <w:sz w:val="24"/>
          <w:szCs w:val="24"/>
        </w:rPr>
        <w:t>fluocinolonacetonid</w:t>
      </w:r>
      <w:proofErr w:type="spellEnd"/>
      <w:r w:rsidRPr="00E15A2F">
        <w:rPr>
          <w:sz w:val="24"/>
          <w:szCs w:val="24"/>
        </w:rPr>
        <w:t xml:space="preserve"> i plasma under analysens nedre kvantificeringsgrænse (100 </w:t>
      </w:r>
      <w:proofErr w:type="spellStart"/>
      <w:r w:rsidRPr="00E15A2F">
        <w:rPr>
          <w:sz w:val="24"/>
          <w:szCs w:val="24"/>
        </w:rPr>
        <w:t>pg</w:t>
      </w:r>
      <w:proofErr w:type="spellEnd"/>
      <w:r w:rsidRPr="00E15A2F">
        <w:rPr>
          <w:sz w:val="24"/>
          <w:szCs w:val="24"/>
        </w:rPr>
        <w:t xml:space="preserve">/ml) ved alle tidspunkter fra dag 1 til og med måned 36. De maksimale koncentrationer af </w:t>
      </w:r>
      <w:proofErr w:type="spellStart"/>
      <w:r w:rsidRPr="00E15A2F">
        <w:rPr>
          <w:sz w:val="24"/>
          <w:szCs w:val="24"/>
        </w:rPr>
        <w:t>fluocinolonacetonid</w:t>
      </w:r>
      <w:proofErr w:type="spellEnd"/>
      <w:r w:rsidRPr="00E15A2F">
        <w:rPr>
          <w:sz w:val="24"/>
          <w:szCs w:val="24"/>
        </w:rPr>
        <w:t xml:space="preserve"> i vandig legemsvæske blev observeret på dag 7 for de fleste af deltagerne. Koncentrationerne af </w:t>
      </w:r>
      <w:proofErr w:type="spellStart"/>
      <w:r w:rsidRPr="00E15A2F">
        <w:rPr>
          <w:sz w:val="24"/>
          <w:szCs w:val="24"/>
        </w:rPr>
        <w:t>fluocinolonacetonid</w:t>
      </w:r>
      <w:proofErr w:type="spellEnd"/>
      <w:r w:rsidRPr="00E15A2F">
        <w:rPr>
          <w:sz w:val="24"/>
          <w:szCs w:val="24"/>
        </w:rPr>
        <w:t xml:space="preserve"> i vandig legemsvæske faldt i løbet af de første 3-6 måneder og forblev stort set de samme til og med måned 36 for deltagere, der ikke blev genbehandlet. Deltagere, der blev genbehandlet, fik en ny maksimumkoncentration af </w:t>
      </w:r>
      <w:proofErr w:type="spellStart"/>
      <w:r w:rsidRPr="00E15A2F">
        <w:rPr>
          <w:sz w:val="24"/>
          <w:szCs w:val="24"/>
        </w:rPr>
        <w:t>fluocinolonacetonid</w:t>
      </w:r>
      <w:proofErr w:type="spellEnd"/>
      <w:r w:rsidRPr="00E15A2F">
        <w:rPr>
          <w:sz w:val="24"/>
          <w:szCs w:val="24"/>
        </w:rPr>
        <w:t xml:space="preserve"> svarende til koncentrationen efter den første dosis. Efter genbehandling vendte koncentrationerne af </w:t>
      </w:r>
      <w:proofErr w:type="spellStart"/>
      <w:r w:rsidRPr="00E15A2F">
        <w:rPr>
          <w:sz w:val="24"/>
          <w:szCs w:val="24"/>
        </w:rPr>
        <w:t>fluocinolonacetonid</w:t>
      </w:r>
      <w:proofErr w:type="spellEnd"/>
      <w:r w:rsidRPr="00E15A2F">
        <w:rPr>
          <w:sz w:val="24"/>
          <w:szCs w:val="24"/>
        </w:rPr>
        <w:t xml:space="preserve"> </w:t>
      </w:r>
      <w:r w:rsidRPr="00E15A2F">
        <w:rPr>
          <w:sz w:val="24"/>
          <w:szCs w:val="24"/>
        </w:rPr>
        <w:lastRenderedPageBreak/>
        <w:t>(FA) i vandig legemsvæske tilbage til niveauer, der svarede til dem, der blev observeret på tidspunktet for den første behandling.</w:t>
      </w:r>
    </w:p>
    <w:p w:rsidR="00E24089" w:rsidRPr="008D5C51" w:rsidRDefault="00E24089" w:rsidP="00E24089">
      <w:pPr>
        <w:pStyle w:val="C-BodyText"/>
        <w:rPr>
          <w:szCs w:val="24"/>
          <w:lang w:val="da-DK"/>
        </w:rPr>
      </w:pPr>
    </w:p>
    <w:p w:rsidR="00E24089" w:rsidRPr="00E15A2F" w:rsidRDefault="00E24089" w:rsidP="00E24089">
      <w:pPr>
        <w:pStyle w:val="Billedtekst"/>
        <w:rPr>
          <w:b w:val="0"/>
          <w:lang w:val="da-DK"/>
        </w:rPr>
      </w:pPr>
      <w:r w:rsidRPr="008D5C51">
        <w:rPr>
          <w:lang w:val="da-DK"/>
        </w:rPr>
        <w:t>Figur 4:</w:t>
      </w:r>
      <w:r w:rsidRPr="008D5C51">
        <w:rPr>
          <w:lang w:val="da-DK"/>
        </w:rPr>
        <w:tab/>
      </w:r>
      <w:proofErr w:type="spellStart"/>
      <w:r w:rsidRPr="00E15A2F">
        <w:rPr>
          <w:b w:val="0"/>
          <w:lang w:val="da-DK"/>
        </w:rPr>
        <w:t>FAc</w:t>
      </w:r>
      <w:proofErr w:type="spellEnd"/>
      <w:r w:rsidRPr="00E15A2F">
        <w:rPr>
          <w:b w:val="0"/>
          <w:lang w:val="da-DK"/>
        </w:rPr>
        <w:t>-niveauer i human vandig legemsvæske hos deltagere, der fik 1 implantat (FAMOUS-studiet)</w:t>
      </w:r>
    </w:p>
    <w:p w:rsidR="00E24089" w:rsidRPr="008D5C51" w:rsidRDefault="00E24089" w:rsidP="00E24089">
      <w:pPr>
        <w:pStyle w:val="Billedtekst"/>
        <w:jc w:val="center"/>
        <w:rPr>
          <w:lang w:val="da-DK"/>
        </w:rPr>
      </w:pPr>
      <w:r w:rsidRPr="008D5C51">
        <w:rPr>
          <w:noProof/>
          <w:lang w:val="da-DK" w:eastAsia="da-DK"/>
        </w:rPr>
        <w:drawing>
          <wp:inline distT="0" distB="0" distL="0" distR="0" wp14:anchorId="6BDD4BC0" wp14:editId="23B001A8">
            <wp:extent cx="4981575" cy="3771900"/>
            <wp:effectExtent l="0" t="0" r="9525" b="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3771900"/>
                    </a:xfrm>
                    <a:prstGeom prst="rect">
                      <a:avLst/>
                    </a:prstGeom>
                    <a:noFill/>
                    <a:ln>
                      <a:noFill/>
                    </a:ln>
                  </pic:spPr>
                </pic:pic>
              </a:graphicData>
            </a:graphic>
          </wp:inline>
        </w:drawing>
      </w:r>
    </w:p>
    <w:p w:rsidR="00E24089" w:rsidRPr="00E15A2F" w:rsidRDefault="00E24089" w:rsidP="00E24089">
      <w:pPr>
        <w:ind w:left="851" w:hanging="851"/>
        <w:rPr>
          <w:b/>
          <w:noProof/>
          <w:sz w:val="24"/>
          <w:szCs w:val="24"/>
        </w:rPr>
      </w:pPr>
      <w:bookmarkStart w:id="19" w:name="Section_5_3"/>
      <w:r w:rsidRPr="00E15A2F">
        <w:rPr>
          <w:b/>
          <w:noProof/>
          <w:sz w:val="24"/>
          <w:szCs w:val="24"/>
        </w:rPr>
        <w:t>5.3</w:t>
      </w:r>
      <w:r w:rsidRPr="00E15A2F">
        <w:rPr>
          <w:b/>
          <w:noProof/>
          <w:sz w:val="24"/>
          <w:szCs w:val="24"/>
        </w:rPr>
        <w:tab/>
      </w:r>
      <w:r w:rsidR="00CC3F2E">
        <w:rPr>
          <w:b/>
          <w:sz w:val="24"/>
          <w:szCs w:val="24"/>
        </w:rPr>
        <w:t>Non-</w:t>
      </w:r>
      <w:r w:rsidRPr="00E15A2F">
        <w:rPr>
          <w:b/>
          <w:sz w:val="24"/>
          <w:szCs w:val="24"/>
        </w:rPr>
        <w:t>kliniske sikkerhedsdata studier</w:t>
      </w:r>
    </w:p>
    <w:bookmarkEnd w:id="19"/>
    <w:p w:rsidR="00E24089" w:rsidRDefault="00E24089" w:rsidP="00E24089">
      <w:pPr>
        <w:ind w:left="851"/>
        <w:rPr>
          <w:sz w:val="24"/>
          <w:szCs w:val="24"/>
        </w:rPr>
      </w:pPr>
      <w:proofErr w:type="spellStart"/>
      <w:r w:rsidRPr="00E15A2F">
        <w:rPr>
          <w:sz w:val="24"/>
          <w:szCs w:val="24"/>
        </w:rPr>
        <w:t>Fluocinolonacetonid</w:t>
      </w:r>
      <w:proofErr w:type="spellEnd"/>
      <w:r w:rsidRPr="00E15A2F">
        <w:rPr>
          <w:sz w:val="24"/>
          <w:szCs w:val="24"/>
        </w:rPr>
        <w:t xml:space="preserve"> har vist sig at være </w:t>
      </w:r>
      <w:proofErr w:type="spellStart"/>
      <w:r w:rsidRPr="00E15A2F">
        <w:rPr>
          <w:sz w:val="24"/>
          <w:szCs w:val="24"/>
        </w:rPr>
        <w:t>teratogent</w:t>
      </w:r>
      <w:proofErr w:type="spellEnd"/>
      <w:r w:rsidRPr="00E15A2F">
        <w:rPr>
          <w:sz w:val="24"/>
          <w:szCs w:val="24"/>
        </w:rPr>
        <w:t xml:space="preserve"> i mus og rotter efter systemisk administration. Der findes ingen data for </w:t>
      </w:r>
      <w:proofErr w:type="spellStart"/>
      <w:r w:rsidRPr="00E15A2F">
        <w:rPr>
          <w:sz w:val="24"/>
          <w:szCs w:val="24"/>
        </w:rPr>
        <w:t>intravitrealt</w:t>
      </w:r>
      <w:proofErr w:type="spellEnd"/>
      <w:r w:rsidRPr="00E15A2F">
        <w:rPr>
          <w:sz w:val="24"/>
          <w:szCs w:val="24"/>
        </w:rPr>
        <w:t xml:space="preserve"> administreret </w:t>
      </w:r>
      <w:proofErr w:type="spellStart"/>
      <w:r w:rsidRPr="00E15A2F">
        <w:rPr>
          <w:sz w:val="24"/>
          <w:szCs w:val="24"/>
        </w:rPr>
        <w:t>fluocinolonacetonid</w:t>
      </w:r>
      <w:proofErr w:type="spellEnd"/>
      <w:r w:rsidRPr="00E15A2F">
        <w:rPr>
          <w:sz w:val="24"/>
          <w:szCs w:val="24"/>
        </w:rPr>
        <w:t xml:space="preserve"> vedrørende </w:t>
      </w:r>
      <w:proofErr w:type="spellStart"/>
      <w:r w:rsidRPr="00E15A2F">
        <w:rPr>
          <w:sz w:val="24"/>
          <w:szCs w:val="24"/>
        </w:rPr>
        <w:t>mutagenicitet</w:t>
      </w:r>
      <w:proofErr w:type="spellEnd"/>
      <w:r w:rsidRPr="00E15A2F">
        <w:rPr>
          <w:sz w:val="24"/>
          <w:szCs w:val="24"/>
        </w:rPr>
        <w:t xml:space="preserve">, </w:t>
      </w:r>
      <w:proofErr w:type="spellStart"/>
      <w:r w:rsidRPr="00E15A2F">
        <w:rPr>
          <w:sz w:val="24"/>
          <w:szCs w:val="24"/>
        </w:rPr>
        <w:t>karcinogenicitet</w:t>
      </w:r>
      <w:proofErr w:type="spellEnd"/>
      <w:r w:rsidRPr="00E15A2F">
        <w:rPr>
          <w:sz w:val="24"/>
          <w:szCs w:val="24"/>
        </w:rPr>
        <w:t xml:space="preserve"> eller udviklingstoksicitet. </w:t>
      </w:r>
      <w:proofErr w:type="spellStart"/>
      <w:r w:rsidRPr="00E15A2F">
        <w:rPr>
          <w:sz w:val="24"/>
          <w:szCs w:val="24"/>
        </w:rPr>
        <w:t>Intravitrealt</w:t>
      </w:r>
      <w:proofErr w:type="spellEnd"/>
      <w:r w:rsidRPr="00E15A2F">
        <w:rPr>
          <w:sz w:val="24"/>
          <w:szCs w:val="24"/>
        </w:rPr>
        <w:t xml:space="preserve"> administreret </w:t>
      </w:r>
      <w:proofErr w:type="spellStart"/>
      <w:r w:rsidRPr="00E15A2F">
        <w:rPr>
          <w:sz w:val="24"/>
          <w:szCs w:val="24"/>
        </w:rPr>
        <w:t>fluocinolonacetonid</w:t>
      </w:r>
      <w:proofErr w:type="spellEnd"/>
      <w:r w:rsidRPr="00E15A2F">
        <w:rPr>
          <w:sz w:val="24"/>
          <w:szCs w:val="24"/>
        </w:rPr>
        <w:t xml:space="preserve"> kunne ikke detekteres systemisk og der forventes derfor ikke systemiske virkninger.</w:t>
      </w:r>
    </w:p>
    <w:p w:rsidR="00E24089" w:rsidRPr="00E15A2F" w:rsidRDefault="00E24089" w:rsidP="00E24089">
      <w:pPr>
        <w:ind w:left="851"/>
        <w:rPr>
          <w:sz w:val="24"/>
          <w:szCs w:val="24"/>
        </w:rPr>
      </w:pPr>
    </w:p>
    <w:p w:rsidR="00E24089" w:rsidRPr="008D5C51" w:rsidRDefault="00E24089" w:rsidP="00E24089">
      <w:pPr>
        <w:ind w:left="851"/>
        <w:rPr>
          <w:noProof/>
          <w:highlight w:val="yellow"/>
        </w:rPr>
      </w:pPr>
      <w:r w:rsidRPr="00E15A2F">
        <w:rPr>
          <w:rStyle w:val="hps"/>
          <w:sz w:val="24"/>
          <w:szCs w:val="24"/>
        </w:rPr>
        <w:t>Lokale virkninger</w:t>
      </w:r>
      <w:r w:rsidRPr="00E15A2F">
        <w:rPr>
          <w:sz w:val="24"/>
          <w:szCs w:val="24"/>
        </w:rPr>
        <w:t xml:space="preserve"> </w:t>
      </w:r>
      <w:r w:rsidRPr="00E15A2F">
        <w:rPr>
          <w:rStyle w:val="hps"/>
          <w:sz w:val="24"/>
          <w:szCs w:val="24"/>
        </w:rPr>
        <w:t>(</w:t>
      </w:r>
      <w:proofErr w:type="spellStart"/>
      <w:r w:rsidRPr="00E15A2F">
        <w:rPr>
          <w:sz w:val="24"/>
          <w:szCs w:val="24"/>
        </w:rPr>
        <w:t>fokale</w:t>
      </w:r>
      <w:proofErr w:type="spellEnd"/>
      <w:r w:rsidRPr="00E15A2F">
        <w:rPr>
          <w:sz w:val="24"/>
          <w:szCs w:val="24"/>
        </w:rPr>
        <w:t xml:space="preserve"> </w:t>
      </w:r>
      <w:r w:rsidRPr="00E15A2F">
        <w:rPr>
          <w:rStyle w:val="hps"/>
          <w:sz w:val="24"/>
          <w:szCs w:val="24"/>
        </w:rPr>
        <w:t>degenerative</w:t>
      </w:r>
      <w:r w:rsidRPr="00E15A2F">
        <w:rPr>
          <w:sz w:val="24"/>
          <w:szCs w:val="24"/>
        </w:rPr>
        <w:t xml:space="preserve"> </w:t>
      </w:r>
      <w:r w:rsidRPr="00E15A2F">
        <w:rPr>
          <w:rStyle w:val="hps"/>
          <w:sz w:val="24"/>
          <w:szCs w:val="24"/>
        </w:rPr>
        <w:t>læsioner</w:t>
      </w:r>
      <w:r w:rsidRPr="00E15A2F">
        <w:rPr>
          <w:sz w:val="24"/>
          <w:szCs w:val="24"/>
        </w:rPr>
        <w:t xml:space="preserve"> </w:t>
      </w:r>
      <w:r w:rsidRPr="00E15A2F">
        <w:rPr>
          <w:rStyle w:val="hps"/>
          <w:sz w:val="24"/>
          <w:szCs w:val="24"/>
        </w:rPr>
        <w:t>påvirkede</w:t>
      </w:r>
      <w:r w:rsidRPr="00E15A2F">
        <w:rPr>
          <w:sz w:val="24"/>
          <w:szCs w:val="24"/>
        </w:rPr>
        <w:t xml:space="preserve"> </w:t>
      </w:r>
      <w:r w:rsidRPr="00E15A2F">
        <w:rPr>
          <w:rStyle w:val="hps"/>
          <w:sz w:val="24"/>
          <w:szCs w:val="24"/>
        </w:rPr>
        <w:t>fibre</w:t>
      </w:r>
      <w:r w:rsidRPr="00E15A2F">
        <w:rPr>
          <w:sz w:val="24"/>
          <w:szCs w:val="24"/>
        </w:rPr>
        <w:t xml:space="preserve"> </w:t>
      </w:r>
      <w:r w:rsidRPr="00E15A2F">
        <w:rPr>
          <w:rStyle w:val="hps"/>
          <w:sz w:val="24"/>
          <w:szCs w:val="24"/>
        </w:rPr>
        <w:t xml:space="preserve">i </w:t>
      </w:r>
      <w:proofErr w:type="spellStart"/>
      <w:r w:rsidRPr="00E15A2F">
        <w:rPr>
          <w:rStyle w:val="hps"/>
          <w:sz w:val="24"/>
          <w:szCs w:val="24"/>
        </w:rPr>
        <w:t>posteriore</w:t>
      </w:r>
      <w:proofErr w:type="spellEnd"/>
      <w:r w:rsidRPr="00E15A2F">
        <w:rPr>
          <w:sz w:val="24"/>
          <w:szCs w:val="24"/>
        </w:rPr>
        <w:t xml:space="preserve"> </w:t>
      </w:r>
      <w:r w:rsidRPr="00E15A2F">
        <w:rPr>
          <w:rStyle w:val="hps"/>
          <w:sz w:val="24"/>
          <w:szCs w:val="24"/>
        </w:rPr>
        <w:t>polære og</w:t>
      </w:r>
      <w:r w:rsidRPr="00E15A2F">
        <w:rPr>
          <w:sz w:val="24"/>
          <w:szCs w:val="24"/>
        </w:rPr>
        <w:t xml:space="preserve"> </w:t>
      </w:r>
      <w:proofErr w:type="spellStart"/>
      <w:r w:rsidRPr="00E15A2F">
        <w:rPr>
          <w:rStyle w:val="hps"/>
          <w:sz w:val="24"/>
          <w:szCs w:val="24"/>
        </w:rPr>
        <w:t>posteriore</w:t>
      </w:r>
      <w:proofErr w:type="spellEnd"/>
      <w:r w:rsidRPr="00E15A2F">
        <w:rPr>
          <w:sz w:val="24"/>
          <w:szCs w:val="24"/>
        </w:rPr>
        <w:t xml:space="preserve"> </w:t>
      </w:r>
      <w:proofErr w:type="spellStart"/>
      <w:r w:rsidRPr="00E15A2F">
        <w:rPr>
          <w:rStyle w:val="hps"/>
          <w:sz w:val="24"/>
          <w:szCs w:val="24"/>
        </w:rPr>
        <w:t>kortikale</w:t>
      </w:r>
      <w:proofErr w:type="spellEnd"/>
      <w:r w:rsidRPr="00E15A2F">
        <w:rPr>
          <w:sz w:val="24"/>
          <w:szCs w:val="24"/>
        </w:rPr>
        <w:t xml:space="preserve"> </w:t>
      </w:r>
      <w:r w:rsidRPr="00E15A2F">
        <w:rPr>
          <w:rStyle w:val="hps"/>
          <w:sz w:val="24"/>
          <w:szCs w:val="24"/>
        </w:rPr>
        <w:t>områder af</w:t>
      </w:r>
      <w:r w:rsidRPr="00E15A2F">
        <w:rPr>
          <w:sz w:val="24"/>
          <w:szCs w:val="24"/>
        </w:rPr>
        <w:t xml:space="preserve"> </w:t>
      </w:r>
      <w:r w:rsidRPr="00E15A2F">
        <w:rPr>
          <w:rStyle w:val="hps"/>
          <w:sz w:val="24"/>
          <w:szCs w:val="24"/>
        </w:rPr>
        <w:t>linserne</w:t>
      </w:r>
      <w:r w:rsidRPr="00E15A2F">
        <w:rPr>
          <w:sz w:val="24"/>
          <w:szCs w:val="24"/>
        </w:rPr>
        <w:t xml:space="preserve">) </w:t>
      </w:r>
      <w:r w:rsidRPr="00E15A2F">
        <w:rPr>
          <w:rStyle w:val="hps"/>
          <w:sz w:val="24"/>
          <w:szCs w:val="24"/>
        </w:rPr>
        <w:t>blev observeret i</w:t>
      </w:r>
      <w:r w:rsidRPr="00E15A2F">
        <w:rPr>
          <w:sz w:val="24"/>
          <w:szCs w:val="24"/>
        </w:rPr>
        <w:t xml:space="preserve"> </w:t>
      </w:r>
      <w:r w:rsidRPr="00E15A2F">
        <w:rPr>
          <w:rStyle w:val="hps"/>
          <w:sz w:val="24"/>
          <w:szCs w:val="24"/>
        </w:rPr>
        <w:t>kaniner</w:t>
      </w:r>
      <w:r w:rsidRPr="00E15A2F">
        <w:rPr>
          <w:sz w:val="24"/>
          <w:szCs w:val="24"/>
        </w:rPr>
        <w:t xml:space="preserve"> </w:t>
      </w:r>
      <w:r w:rsidRPr="00E15A2F">
        <w:rPr>
          <w:rStyle w:val="hps"/>
          <w:sz w:val="24"/>
          <w:szCs w:val="24"/>
        </w:rPr>
        <w:t>ved doser med</w:t>
      </w:r>
      <w:r w:rsidRPr="00E15A2F">
        <w:rPr>
          <w:sz w:val="24"/>
          <w:szCs w:val="24"/>
        </w:rPr>
        <w:t xml:space="preserve"> </w:t>
      </w:r>
      <w:proofErr w:type="spellStart"/>
      <w:r w:rsidRPr="00E15A2F">
        <w:rPr>
          <w:rStyle w:val="hps"/>
          <w:sz w:val="24"/>
          <w:szCs w:val="24"/>
        </w:rPr>
        <w:t>intravitreal</w:t>
      </w:r>
      <w:proofErr w:type="spellEnd"/>
      <w:r w:rsidRPr="00E15A2F">
        <w:rPr>
          <w:sz w:val="24"/>
          <w:szCs w:val="24"/>
        </w:rPr>
        <w:t xml:space="preserve"> </w:t>
      </w:r>
      <w:proofErr w:type="spellStart"/>
      <w:r w:rsidRPr="00E15A2F">
        <w:rPr>
          <w:rStyle w:val="hps"/>
          <w:sz w:val="24"/>
          <w:szCs w:val="24"/>
        </w:rPr>
        <w:t>fluocinolonacetonid</w:t>
      </w:r>
      <w:proofErr w:type="spellEnd"/>
      <w:r w:rsidRPr="00E15A2F">
        <w:rPr>
          <w:sz w:val="24"/>
          <w:szCs w:val="24"/>
        </w:rPr>
        <w:t xml:space="preserve">, der </w:t>
      </w:r>
      <w:r w:rsidRPr="00E15A2F">
        <w:rPr>
          <w:rStyle w:val="hps"/>
          <w:sz w:val="24"/>
          <w:szCs w:val="24"/>
        </w:rPr>
        <w:t>oversteg den</w:t>
      </w:r>
      <w:r w:rsidRPr="00E15A2F">
        <w:rPr>
          <w:sz w:val="24"/>
          <w:szCs w:val="24"/>
        </w:rPr>
        <w:t xml:space="preserve"> </w:t>
      </w:r>
      <w:r w:rsidRPr="00E15A2F">
        <w:rPr>
          <w:rStyle w:val="hps"/>
          <w:sz w:val="24"/>
          <w:szCs w:val="24"/>
        </w:rPr>
        <w:t>klinisk</w:t>
      </w:r>
      <w:r w:rsidRPr="00E15A2F">
        <w:rPr>
          <w:sz w:val="24"/>
          <w:szCs w:val="24"/>
        </w:rPr>
        <w:t xml:space="preserve"> </w:t>
      </w:r>
      <w:r w:rsidRPr="00E15A2F">
        <w:rPr>
          <w:rStyle w:val="hps"/>
          <w:sz w:val="24"/>
          <w:szCs w:val="24"/>
        </w:rPr>
        <w:t>anvendte</w:t>
      </w:r>
      <w:r w:rsidRPr="00E15A2F">
        <w:rPr>
          <w:sz w:val="24"/>
          <w:szCs w:val="24"/>
        </w:rPr>
        <w:t xml:space="preserve"> </w:t>
      </w:r>
      <w:r w:rsidRPr="00E15A2F">
        <w:rPr>
          <w:rStyle w:val="hps"/>
          <w:sz w:val="24"/>
          <w:szCs w:val="24"/>
        </w:rPr>
        <w:t>dosis.</w:t>
      </w:r>
      <w:r w:rsidRPr="00E15A2F">
        <w:rPr>
          <w:sz w:val="24"/>
          <w:szCs w:val="24"/>
        </w:rPr>
        <w:t xml:space="preserve"> </w:t>
      </w:r>
      <w:r w:rsidRPr="00E15A2F">
        <w:rPr>
          <w:rStyle w:val="hps"/>
          <w:sz w:val="24"/>
          <w:szCs w:val="24"/>
        </w:rPr>
        <w:t>Lokale</w:t>
      </w:r>
      <w:r w:rsidRPr="00E15A2F">
        <w:rPr>
          <w:sz w:val="24"/>
          <w:szCs w:val="24"/>
        </w:rPr>
        <w:t xml:space="preserve"> </w:t>
      </w:r>
      <w:r w:rsidRPr="00E15A2F">
        <w:rPr>
          <w:rStyle w:val="hps"/>
          <w:sz w:val="24"/>
          <w:szCs w:val="24"/>
        </w:rPr>
        <w:t>virkninger (</w:t>
      </w:r>
      <w:proofErr w:type="spellStart"/>
      <w:r w:rsidRPr="00E15A2F">
        <w:rPr>
          <w:sz w:val="24"/>
          <w:szCs w:val="24"/>
        </w:rPr>
        <w:t>fokal</w:t>
      </w:r>
      <w:proofErr w:type="spellEnd"/>
      <w:r w:rsidRPr="00E15A2F">
        <w:rPr>
          <w:sz w:val="24"/>
          <w:szCs w:val="24"/>
        </w:rPr>
        <w:t xml:space="preserve"> </w:t>
      </w:r>
      <w:proofErr w:type="spellStart"/>
      <w:r w:rsidRPr="00E15A2F">
        <w:rPr>
          <w:rStyle w:val="hps"/>
          <w:sz w:val="24"/>
          <w:szCs w:val="24"/>
        </w:rPr>
        <w:t>retinal</w:t>
      </w:r>
      <w:proofErr w:type="spellEnd"/>
      <w:r w:rsidRPr="00E15A2F">
        <w:rPr>
          <w:sz w:val="24"/>
          <w:szCs w:val="24"/>
        </w:rPr>
        <w:t xml:space="preserve"> </w:t>
      </w:r>
      <w:proofErr w:type="spellStart"/>
      <w:r w:rsidRPr="00E15A2F">
        <w:rPr>
          <w:rStyle w:val="hps"/>
          <w:sz w:val="24"/>
          <w:szCs w:val="24"/>
        </w:rPr>
        <w:t>ardannelse</w:t>
      </w:r>
      <w:proofErr w:type="spellEnd"/>
      <w:r w:rsidRPr="00E15A2F">
        <w:rPr>
          <w:sz w:val="24"/>
          <w:szCs w:val="24"/>
        </w:rPr>
        <w:t xml:space="preserve">) blev også </w:t>
      </w:r>
      <w:r w:rsidRPr="00E15A2F">
        <w:rPr>
          <w:rStyle w:val="hps"/>
          <w:sz w:val="24"/>
          <w:szCs w:val="24"/>
        </w:rPr>
        <w:t>set</w:t>
      </w:r>
      <w:r w:rsidRPr="00E15A2F">
        <w:rPr>
          <w:sz w:val="24"/>
          <w:szCs w:val="24"/>
        </w:rPr>
        <w:t xml:space="preserve"> </w:t>
      </w:r>
      <w:r w:rsidRPr="00E15A2F">
        <w:rPr>
          <w:rStyle w:val="hps"/>
          <w:sz w:val="24"/>
          <w:szCs w:val="24"/>
        </w:rPr>
        <w:t>hos kaniner</w:t>
      </w:r>
      <w:r w:rsidRPr="00E15A2F">
        <w:rPr>
          <w:sz w:val="24"/>
          <w:szCs w:val="24"/>
        </w:rPr>
        <w:t xml:space="preserve"> </w:t>
      </w:r>
      <w:r w:rsidRPr="00E15A2F">
        <w:rPr>
          <w:rStyle w:val="hps"/>
          <w:sz w:val="24"/>
          <w:szCs w:val="24"/>
        </w:rPr>
        <w:t>behandlet med</w:t>
      </w:r>
      <w:r w:rsidRPr="00E15A2F">
        <w:rPr>
          <w:sz w:val="24"/>
          <w:szCs w:val="24"/>
        </w:rPr>
        <w:t xml:space="preserve"> </w:t>
      </w:r>
      <w:r w:rsidRPr="00E15A2F">
        <w:rPr>
          <w:rStyle w:val="hps"/>
          <w:sz w:val="24"/>
          <w:szCs w:val="24"/>
        </w:rPr>
        <w:t>både</w:t>
      </w:r>
      <w:r w:rsidRPr="00E15A2F">
        <w:rPr>
          <w:sz w:val="24"/>
          <w:szCs w:val="24"/>
        </w:rPr>
        <w:t xml:space="preserve"> </w:t>
      </w:r>
      <w:r w:rsidRPr="00E15A2F">
        <w:rPr>
          <w:rStyle w:val="hps"/>
          <w:sz w:val="24"/>
          <w:szCs w:val="24"/>
        </w:rPr>
        <w:t>placebo og</w:t>
      </w:r>
      <w:r w:rsidRPr="00E15A2F">
        <w:rPr>
          <w:sz w:val="24"/>
          <w:szCs w:val="24"/>
        </w:rPr>
        <w:t xml:space="preserve"> enheder der indeholdt</w:t>
      </w:r>
      <w:r w:rsidRPr="008D5C51">
        <w:t xml:space="preserve"> </w:t>
      </w:r>
      <w:proofErr w:type="spellStart"/>
      <w:r w:rsidRPr="008D5C51">
        <w:rPr>
          <w:rStyle w:val="hps"/>
          <w:sz w:val="24"/>
          <w:szCs w:val="24"/>
        </w:rPr>
        <w:t>fluocinolonacetonid</w:t>
      </w:r>
      <w:proofErr w:type="spellEnd"/>
      <w:r w:rsidRPr="008D5C51">
        <w:rPr>
          <w:rStyle w:val="hps"/>
          <w:sz w:val="24"/>
          <w:szCs w:val="24"/>
        </w:rPr>
        <w:t>.</w:t>
      </w:r>
      <w:r w:rsidRPr="008D5C51">
        <w:t xml:space="preserve"> </w:t>
      </w:r>
      <w:proofErr w:type="spellStart"/>
      <w:r w:rsidRPr="008D5C51">
        <w:t>A</w:t>
      </w:r>
      <w:r w:rsidRPr="008D5C51">
        <w:rPr>
          <w:rStyle w:val="hps"/>
          <w:sz w:val="24"/>
          <w:szCs w:val="24"/>
        </w:rPr>
        <w:t>rdannelse</w:t>
      </w:r>
      <w:proofErr w:type="spellEnd"/>
      <w:r w:rsidRPr="008D5C51">
        <w:t xml:space="preserve"> </w:t>
      </w:r>
      <w:r w:rsidRPr="008D5C51">
        <w:rPr>
          <w:rStyle w:val="hps"/>
          <w:sz w:val="24"/>
          <w:szCs w:val="24"/>
        </w:rPr>
        <w:t>blev</w:t>
      </w:r>
      <w:r w:rsidRPr="008D5C51">
        <w:t xml:space="preserve"> </w:t>
      </w:r>
      <w:r w:rsidRPr="008D5C51">
        <w:rPr>
          <w:rStyle w:val="hps"/>
          <w:sz w:val="24"/>
          <w:szCs w:val="24"/>
        </w:rPr>
        <w:t>ikke klinisk set</w:t>
      </w:r>
      <w:r w:rsidRPr="008D5C51">
        <w:t xml:space="preserve"> </w:t>
      </w:r>
      <w:r w:rsidRPr="008D5C51">
        <w:rPr>
          <w:rStyle w:val="hps"/>
          <w:sz w:val="24"/>
          <w:szCs w:val="24"/>
        </w:rPr>
        <w:t>hos mennesker, og</w:t>
      </w:r>
      <w:r w:rsidRPr="008D5C51">
        <w:t xml:space="preserve"> </w:t>
      </w:r>
      <w:r w:rsidRPr="008D5C51">
        <w:rPr>
          <w:rStyle w:val="hps"/>
          <w:sz w:val="24"/>
          <w:szCs w:val="24"/>
        </w:rPr>
        <w:t>menes</w:t>
      </w:r>
      <w:r w:rsidRPr="008D5C51">
        <w:t xml:space="preserve"> </w:t>
      </w:r>
      <w:r w:rsidRPr="008D5C51">
        <w:rPr>
          <w:rStyle w:val="hps"/>
          <w:sz w:val="24"/>
          <w:szCs w:val="24"/>
        </w:rPr>
        <w:t>at skyldes</w:t>
      </w:r>
      <w:r w:rsidRPr="008D5C51">
        <w:t xml:space="preserve"> </w:t>
      </w:r>
      <w:r w:rsidRPr="008D5C51">
        <w:rPr>
          <w:rStyle w:val="hps"/>
          <w:sz w:val="24"/>
          <w:szCs w:val="24"/>
        </w:rPr>
        <w:t>anatomiske</w:t>
      </w:r>
      <w:r w:rsidRPr="008D5C51">
        <w:t xml:space="preserve"> </w:t>
      </w:r>
      <w:r w:rsidRPr="008D5C51">
        <w:rPr>
          <w:rStyle w:val="hps"/>
          <w:sz w:val="24"/>
          <w:szCs w:val="24"/>
        </w:rPr>
        <w:t>forskelle mellem</w:t>
      </w:r>
      <w:r w:rsidRPr="008D5C51">
        <w:t xml:space="preserve"> </w:t>
      </w:r>
      <w:r w:rsidRPr="008D5C51">
        <w:rPr>
          <w:rStyle w:val="hps"/>
          <w:sz w:val="24"/>
          <w:szCs w:val="24"/>
        </w:rPr>
        <w:t>kaninen og</w:t>
      </w:r>
      <w:r w:rsidRPr="008D5C51">
        <w:t xml:space="preserve"> det </w:t>
      </w:r>
      <w:r w:rsidRPr="008D5C51">
        <w:rPr>
          <w:rStyle w:val="hps"/>
          <w:sz w:val="24"/>
          <w:szCs w:val="24"/>
        </w:rPr>
        <w:t>menneskelige øje</w:t>
      </w:r>
      <w:r w:rsidRPr="008D5C51">
        <w:t>.</w:t>
      </w:r>
    </w:p>
    <w:p w:rsidR="00E24089" w:rsidRPr="00983E1C" w:rsidRDefault="00E24089" w:rsidP="00E24089">
      <w:pPr>
        <w:ind w:left="851"/>
        <w:rPr>
          <w:sz w:val="24"/>
          <w:szCs w:val="24"/>
        </w:rPr>
      </w:pPr>
    </w:p>
    <w:p w:rsidR="00E24089" w:rsidRPr="00983E1C" w:rsidRDefault="00E24089" w:rsidP="00E24089">
      <w:pPr>
        <w:ind w:left="851"/>
        <w:rPr>
          <w:sz w:val="24"/>
          <w:szCs w:val="24"/>
        </w:rPr>
      </w:pPr>
    </w:p>
    <w:p w:rsidR="00E24089" w:rsidRPr="007B1EA7" w:rsidRDefault="00E24089" w:rsidP="00E24089">
      <w:pPr>
        <w:ind w:left="851" w:hanging="851"/>
        <w:rPr>
          <w:b/>
          <w:sz w:val="24"/>
          <w:szCs w:val="24"/>
        </w:rPr>
      </w:pPr>
      <w:r w:rsidRPr="007B1EA7">
        <w:rPr>
          <w:b/>
          <w:sz w:val="24"/>
          <w:szCs w:val="24"/>
        </w:rPr>
        <w:t>6.</w:t>
      </w:r>
      <w:r w:rsidRPr="007B1EA7">
        <w:rPr>
          <w:b/>
          <w:sz w:val="24"/>
          <w:szCs w:val="24"/>
        </w:rPr>
        <w:tab/>
        <w:t>FARMACEUTISKE OPLYSNINGER</w:t>
      </w:r>
    </w:p>
    <w:p w:rsidR="00E24089" w:rsidRPr="007B1EA7" w:rsidRDefault="00E24089" w:rsidP="00E24089">
      <w:pPr>
        <w:ind w:left="851" w:hanging="851"/>
        <w:rPr>
          <w:b/>
          <w:sz w:val="24"/>
          <w:szCs w:val="24"/>
        </w:rPr>
      </w:pPr>
    </w:p>
    <w:p w:rsidR="00E24089" w:rsidRPr="007B1EA7" w:rsidRDefault="00E24089" w:rsidP="00E24089">
      <w:pPr>
        <w:ind w:left="851" w:hanging="851"/>
        <w:rPr>
          <w:b/>
          <w:sz w:val="24"/>
          <w:szCs w:val="24"/>
        </w:rPr>
      </w:pPr>
      <w:r w:rsidRPr="007B1EA7">
        <w:rPr>
          <w:b/>
          <w:sz w:val="24"/>
          <w:szCs w:val="24"/>
        </w:rPr>
        <w:t>6.1</w:t>
      </w:r>
      <w:r w:rsidRPr="007B1EA7">
        <w:rPr>
          <w:b/>
          <w:sz w:val="24"/>
          <w:szCs w:val="24"/>
        </w:rPr>
        <w:tab/>
        <w:t>Hjælpestoffer</w:t>
      </w:r>
    </w:p>
    <w:p w:rsidR="00E24089" w:rsidRPr="007B1EA7" w:rsidRDefault="00E24089" w:rsidP="00E24089">
      <w:pPr>
        <w:pStyle w:val="C-BodyText"/>
        <w:spacing w:before="0" w:after="0"/>
        <w:ind w:left="851" w:hanging="851"/>
        <w:rPr>
          <w:szCs w:val="24"/>
          <w:lang w:val="da-DK"/>
        </w:rPr>
      </w:pPr>
      <w:r w:rsidRPr="007B1EA7">
        <w:rPr>
          <w:szCs w:val="24"/>
          <w:lang w:val="da-DK"/>
        </w:rPr>
        <w:tab/>
        <w:t>Polyvinylalkohol</w:t>
      </w:r>
    </w:p>
    <w:p w:rsidR="00E24089" w:rsidRPr="007B1EA7" w:rsidRDefault="00E24089" w:rsidP="00E24089">
      <w:pPr>
        <w:pStyle w:val="C-BodyText"/>
        <w:spacing w:before="0" w:after="0"/>
        <w:ind w:left="851"/>
        <w:rPr>
          <w:szCs w:val="24"/>
          <w:lang w:val="da-DK"/>
        </w:rPr>
      </w:pPr>
      <w:proofErr w:type="spellStart"/>
      <w:r w:rsidRPr="007B1EA7">
        <w:rPr>
          <w:szCs w:val="24"/>
          <w:lang w:val="da-DK"/>
        </w:rPr>
        <w:t>Polyimidrør</w:t>
      </w:r>
      <w:proofErr w:type="spellEnd"/>
    </w:p>
    <w:p w:rsidR="00E24089" w:rsidRPr="007B1EA7" w:rsidRDefault="00E24089" w:rsidP="00E24089">
      <w:pPr>
        <w:pStyle w:val="C-BodyText"/>
        <w:spacing w:before="0" w:after="0"/>
        <w:ind w:left="851"/>
        <w:rPr>
          <w:szCs w:val="24"/>
          <w:lang w:val="da-DK"/>
        </w:rPr>
      </w:pPr>
      <w:r w:rsidRPr="007B1EA7">
        <w:rPr>
          <w:szCs w:val="24"/>
          <w:lang w:val="da-DK"/>
        </w:rPr>
        <w:t>Silikoneklæbestof</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lastRenderedPageBreak/>
        <w:t>6.2</w:t>
      </w:r>
      <w:r w:rsidRPr="007B1EA7">
        <w:rPr>
          <w:b/>
          <w:sz w:val="24"/>
          <w:szCs w:val="24"/>
        </w:rPr>
        <w:tab/>
        <w:t>Uforligeligheder</w:t>
      </w:r>
    </w:p>
    <w:p w:rsidR="00E24089" w:rsidRPr="007B1EA7" w:rsidRDefault="00E24089" w:rsidP="00E24089">
      <w:pPr>
        <w:pStyle w:val="C-BodyText"/>
        <w:spacing w:before="0" w:after="0"/>
        <w:ind w:left="851" w:hanging="851"/>
        <w:rPr>
          <w:szCs w:val="24"/>
          <w:lang w:val="da-DK"/>
        </w:rPr>
      </w:pPr>
      <w:r w:rsidRPr="007B1EA7">
        <w:rPr>
          <w:szCs w:val="24"/>
          <w:lang w:val="da-DK"/>
        </w:rPr>
        <w:tab/>
        <w:t>Ikke relevant.</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6.3</w:t>
      </w:r>
      <w:r w:rsidRPr="007B1EA7">
        <w:rPr>
          <w:b/>
          <w:sz w:val="24"/>
          <w:szCs w:val="24"/>
        </w:rPr>
        <w:tab/>
        <w:t>Opbevaringstid</w:t>
      </w:r>
    </w:p>
    <w:p w:rsidR="00E24089" w:rsidRPr="007B1EA7" w:rsidRDefault="00E24089" w:rsidP="00E24089">
      <w:pPr>
        <w:ind w:left="851" w:hanging="851"/>
        <w:rPr>
          <w:sz w:val="24"/>
          <w:szCs w:val="24"/>
        </w:rPr>
      </w:pPr>
      <w:r w:rsidRPr="007B1EA7">
        <w:rPr>
          <w:sz w:val="24"/>
          <w:szCs w:val="24"/>
        </w:rPr>
        <w:tab/>
        <w:t>2 år</w:t>
      </w:r>
    </w:p>
    <w:p w:rsidR="00E24089" w:rsidRPr="007B1EA7" w:rsidRDefault="00E24089" w:rsidP="00E24089">
      <w:pPr>
        <w:ind w:left="851"/>
        <w:rPr>
          <w:sz w:val="24"/>
          <w:szCs w:val="24"/>
        </w:rPr>
      </w:pPr>
      <w:r w:rsidRPr="007B1EA7">
        <w:rPr>
          <w:sz w:val="24"/>
          <w:szCs w:val="24"/>
        </w:rPr>
        <w:t>Anvendes straks efter åbning første gang.</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6.4</w:t>
      </w:r>
      <w:r w:rsidRPr="007B1EA7">
        <w:rPr>
          <w:b/>
          <w:sz w:val="24"/>
          <w:szCs w:val="24"/>
        </w:rPr>
        <w:tab/>
        <w:t>Særlige opbevaringsforhold</w:t>
      </w:r>
    </w:p>
    <w:p w:rsidR="00E24089" w:rsidRPr="007B1EA7" w:rsidRDefault="00E24089" w:rsidP="00E24089">
      <w:pPr>
        <w:pStyle w:val="C-BodyText"/>
        <w:spacing w:before="0" w:after="0"/>
        <w:ind w:left="851" w:hanging="851"/>
        <w:rPr>
          <w:szCs w:val="24"/>
          <w:lang w:val="da-DK"/>
        </w:rPr>
      </w:pPr>
      <w:r w:rsidRPr="007B1EA7">
        <w:rPr>
          <w:szCs w:val="24"/>
          <w:lang w:val="da-DK"/>
        </w:rPr>
        <w:tab/>
        <w:t>Opbevares ved temperaturer under 30°C. Må ikke opbevares i køleskab eller nedfryses.</w:t>
      </w:r>
    </w:p>
    <w:p w:rsidR="00E24089" w:rsidRPr="007B1EA7" w:rsidRDefault="00E24089" w:rsidP="00E24089">
      <w:pPr>
        <w:pStyle w:val="C-BodyText"/>
        <w:spacing w:before="0" w:after="0"/>
        <w:ind w:left="851"/>
        <w:rPr>
          <w:szCs w:val="24"/>
          <w:lang w:val="da-DK"/>
        </w:rPr>
      </w:pPr>
      <w:r w:rsidRPr="007B1EA7">
        <w:rPr>
          <w:szCs w:val="24"/>
          <w:lang w:val="da-DK"/>
        </w:rPr>
        <w:t>Den forseglede bakke må ikke åbnes før umiddelbart inden anvendelse.</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6.5</w:t>
      </w:r>
      <w:r w:rsidRPr="007B1EA7">
        <w:rPr>
          <w:b/>
          <w:sz w:val="24"/>
          <w:szCs w:val="24"/>
        </w:rPr>
        <w:tab/>
        <w:t>Emballagetype og pakningsstørrelser</w:t>
      </w:r>
    </w:p>
    <w:p w:rsidR="00E24089" w:rsidRPr="007069EA" w:rsidRDefault="00E24089" w:rsidP="00E24089">
      <w:pPr>
        <w:ind w:left="851"/>
        <w:rPr>
          <w:sz w:val="24"/>
          <w:szCs w:val="24"/>
        </w:rPr>
      </w:pPr>
      <w:bookmarkStart w:id="20" w:name="Section_6_6"/>
      <w:bookmarkStart w:id="21" w:name="OLE_LINK1"/>
      <w:r w:rsidRPr="007069EA">
        <w:rPr>
          <w:sz w:val="24"/>
          <w:szCs w:val="24"/>
        </w:rPr>
        <w:t>Implantatet leveres i en engangsapplikator med en 25 gauge kanyle. Hver steril applikator indeholder et lysebrunt 3,5 mm langt cylindrisk implantat. Applikatoren er pakket i en plastbakke, som er forseglet med et låg.</w:t>
      </w:r>
      <w:bookmarkEnd w:id="20"/>
      <w:bookmarkEnd w:id="21"/>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6.6</w:t>
      </w:r>
      <w:r w:rsidRPr="007B1EA7">
        <w:rPr>
          <w:b/>
          <w:sz w:val="24"/>
          <w:szCs w:val="24"/>
        </w:rPr>
        <w:tab/>
        <w:t xml:space="preserve">Regler for </w:t>
      </w:r>
      <w:r w:rsidR="00CC3F2E">
        <w:rPr>
          <w:b/>
          <w:sz w:val="24"/>
          <w:szCs w:val="24"/>
        </w:rPr>
        <w:t>bortskaffelse</w:t>
      </w:r>
      <w:r w:rsidRPr="007B1EA7">
        <w:rPr>
          <w:b/>
          <w:sz w:val="24"/>
          <w:szCs w:val="24"/>
        </w:rPr>
        <w:t xml:space="preserve"> og anden håndtering</w:t>
      </w:r>
    </w:p>
    <w:p w:rsidR="00E24089" w:rsidRPr="007B1EA7" w:rsidRDefault="00E24089" w:rsidP="00E24089">
      <w:pPr>
        <w:pStyle w:val="C-BodyText"/>
        <w:spacing w:before="0" w:after="0" w:line="240" w:lineRule="auto"/>
        <w:ind w:left="851" w:hanging="851"/>
        <w:rPr>
          <w:szCs w:val="24"/>
          <w:lang w:val="da-DK"/>
        </w:rPr>
      </w:pPr>
      <w:r w:rsidRPr="007069EA">
        <w:rPr>
          <w:szCs w:val="24"/>
          <w:lang w:val="da-DK"/>
        </w:rPr>
        <w:tab/>
      </w:r>
      <w:r w:rsidRPr="007B1EA7">
        <w:rPr>
          <w:szCs w:val="24"/>
          <w:lang w:val="da-DK"/>
        </w:rPr>
        <w:t>Applikatoren skal kasseres forsvarligt i en kanylebøtte.</w:t>
      </w:r>
    </w:p>
    <w:p w:rsidR="00E24089" w:rsidRPr="007B1EA7" w:rsidRDefault="00E24089" w:rsidP="00E24089">
      <w:pPr>
        <w:pStyle w:val="C-BodyText"/>
        <w:spacing w:before="0" w:after="0" w:line="240" w:lineRule="auto"/>
        <w:ind w:left="851"/>
        <w:rPr>
          <w:szCs w:val="24"/>
          <w:lang w:val="da-DK"/>
        </w:rPr>
      </w:pPr>
      <w:r w:rsidRPr="007B1EA7">
        <w:rPr>
          <w:szCs w:val="24"/>
          <w:lang w:val="da-DK"/>
        </w:rPr>
        <w:t>Ikke anvendt lægemiddel samt affald heraf skal bortskaffes i henhold til lokale retningslinjer.</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7.</w:t>
      </w:r>
      <w:r w:rsidRPr="007B1EA7">
        <w:rPr>
          <w:b/>
          <w:sz w:val="24"/>
          <w:szCs w:val="24"/>
        </w:rPr>
        <w:tab/>
        <w:t>INDEHAVER AF MARKEDSFØRINGSTILLADELSEN</w:t>
      </w:r>
    </w:p>
    <w:p w:rsidR="00E24089" w:rsidRPr="00BC40E9" w:rsidRDefault="00E24089" w:rsidP="00E24089">
      <w:pPr>
        <w:ind w:left="851"/>
        <w:rPr>
          <w:sz w:val="24"/>
          <w:szCs w:val="24"/>
        </w:rPr>
      </w:pPr>
      <w:proofErr w:type="spellStart"/>
      <w:r w:rsidRPr="00BC40E9">
        <w:rPr>
          <w:sz w:val="24"/>
          <w:szCs w:val="24"/>
        </w:rPr>
        <w:t>Alimera</w:t>
      </w:r>
      <w:proofErr w:type="spellEnd"/>
      <w:r w:rsidRPr="00BC40E9">
        <w:rPr>
          <w:sz w:val="24"/>
          <w:szCs w:val="24"/>
        </w:rPr>
        <w:t xml:space="preserve"> Sciences Europe Limited </w:t>
      </w:r>
    </w:p>
    <w:p w:rsidR="00E24089" w:rsidRDefault="00E24089" w:rsidP="00E24089">
      <w:pPr>
        <w:ind w:left="851"/>
        <w:rPr>
          <w:sz w:val="24"/>
          <w:szCs w:val="24"/>
          <w:lang w:val="en-US"/>
        </w:rPr>
      </w:pPr>
      <w:r w:rsidRPr="003C2802">
        <w:rPr>
          <w:sz w:val="24"/>
          <w:szCs w:val="24"/>
          <w:lang w:val="en-US"/>
        </w:rPr>
        <w:t>77 Sir John Rogerson's Quay</w:t>
      </w:r>
    </w:p>
    <w:p w:rsidR="00E24089" w:rsidRPr="007069EA" w:rsidRDefault="00E24089" w:rsidP="00E24089">
      <w:pPr>
        <w:ind w:left="851"/>
        <w:rPr>
          <w:sz w:val="24"/>
          <w:szCs w:val="24"/>
          <w:lang w:val="en-US"/>
        </w:rPr>
      </w:pPr>
      <w:r>
        <w:rPr>
          <w:sz w:val="24"/>
          <w:szCs w:val="24"/>
          <w:lang w:val="en-US"/>
        </w:rPr>
        <w:t>Dublin 2</w:t>
      </w:r>
    </w:p>
    <w:p w:rsidR="00E24089" w:rsidRDefault="00E24089" w:rsidP="00E24089">
      <w:pPr>
        <w:ind w:left="851"/>
        <w:rPr>
          <w:sz w:val="24"/>
          <w:szCs w:val="24"/>
        </w:rPr>
      </w:pPr>
      <w:r w:rsidRPr="00BC40E9">
        <w:rPr>
          <w:sz w:val="24"/>
          <w:szCs w:val="24"/>
        </w:rPr>
        <w:t>Irland</w:t>
      </w:r>
    </w:p>
    <w:p w:rsidR="009F5CD0" w:rsidRDefault="009F5CD0" w:rsidP="00E24089">
      <w:pPr>
        <w:ind w:left="851"/>
        <w:rPr>
          <w:sz w:val="24"/>
          <w:szCs w:val="24"/>
        </w:rPr>
      </w:pPr>
    </w:p>
    <w:p w:rsidR="009F5CD0" w:rsidRDefault="009F5CD0" w:rsidP="00E24089">
      <w:pPr>
        <w:ind w:left="851"/>
        <w:rPr>
          <w:sz w:val="24"/>
          <w:szCs w:val="24"/>
        </w:rPr>
      </w:pPr>
      <w:r>
        <w:rPr>
          <w:b/>
          <w:sz w:val="24"/>
          <w:szCs w:val="24"/>
        </w:rPr>
        <w:t>Repræsentant</w:t>
      </w:r>
    </w:p>
    <w:p w:rsidR="009F5CD0" w:rsidRPr="009F5CD0" w:rsidRDefault="009F5CD0" w:rsidP="009F5CD0">
      <w:pPr>
        <w:ind w:left="851"/>
        <w:rPr>
          <w:sz w:val="24"/>
          <w:szCs w:val="24"/>
        </w:rPr>
      </w:pPr>
      <w:proofErr w:type="spellStart"/>
      <w:r w:rsidRPr="009F5CD0">
        <w:rPr>
          <w:sz w:val="24"/>
          <w:szCs w:val="24"/>
        </w:rPr>
        <w:t>Horus</w:t>
      </w:r>
      <w:proofErr w:type="spellEnd"/>
      <w:r w:rsidRPr="009F5CD0">
        <w:rPr>
          <w:sz w:val="24"/>
          <w:szCs w:val="24"/>
        </w:rPr>
        <w:t xml:space="preserve"> Pharma Nordic AB </w:t>
      </w:r>
    </w:p>
    <w:p w:rsidR="009F5CD0" w:rsidRPr="009F5CD0" w:rsidRDefault="009F5CD0" w:rsidP="002A08D2">
      <w:pPr>
        <w:ind w:left="851"/>
        <w:rPr>
          <w:sz w:val="24"/>
          <w:szCs w:val="24"/>
        </w:rPr>
      </w:pPr>
      <w:bookmarkStart w:id="22" w:name="_GoBack"/>
      <w:bookmarkEnd w:id="22"/>
      <w:r w:rsidRPr="009F5CD0">
        <w:rPr>
          <w:sz w:val="24"/>
          <w:szCs w:val="24"/>
        </w:rPr>
        <w:t xml:space="preserve">Box 190 </w:t>
      </w:r>
    </w:p>
    <w:p w:rsidR="009F5CD0" w:rsidRPr="009F5CD0" w:rsidRDefault="009F5CD0" w:rsidP="009F5CD0">
      <w:pPr>
        <w:ind w:left="851"/>
        <w:rPr>
          <w:sz w:val="24"/>
          <w:szCs w:val="24"/>
        </w:rPr>
      </w:pPr>
      <w:r w:rsidRPr="009F5CD0">
        <w:rPr>
          <w:sz w:val="24"/>
          <w:szCs w:val="24"/>
        </w:rPr>
        <w:t xml:space="preserve">101 23 Stockholm </w:t>
      </w:r>
    </w:p>
    <w:p w:rsidR="009F5CD0" w:rsidRPr="009F5CD0" w:rsidRDefault="009F5CD0" w:rsidP="009F5CD0">
      <w:pPr>
        <w:ind w:left="851"/>
        <w:rPr>
          <w:sz w:val="24"/>
          <w:szCs w:val="24"/>
        </w:rPr>
      </w:pPr>
      <w:r w:rsidRPr="009F5CD0">
        <w:rPr>
          <w:sz w:val="24"/>
          <w:szCs w:val="24"/>
        </w:rPr>
        <w:t>Sverige</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8.</w:t>
      </w:r>
      <w:r w:rsidRPr="007B1EA7">
        <w:rPr>
          <w:b/>
          <w:sz w:val="24"/>
          <w:szCs w:val="24"/>
        </w:rPr>
        <w:tab/>
        <w:t>MARKEDSFØRINGSTILLADELSESNUMMER (</w:t>
      </w:r>
      <w:r w:rsidR="00CC3F2E">
        <w:rPr>
          <w:b/>
          <w:sz w:val="24"/>
          <w:szCs w:val="24"/>
        </w:rPr>
        <w:t>-</w:t>
      </w:r>
      <w:r w:rsidRPr="007B1EA7">
        <w:rPr>
          <w:b/>
          <w:sz w:val="24"/>
          <w:szCs w:val="24"/>
        </w:rPr>
        <w:t>NUMRE)</w:t>
      </w:r>
    </w:p>
    <w:p w:rsidR="00E24089" w:rsidRPr="007B1EA7" w:rsidRDefault="00E24089" w:rsidP="00E24089">
      <w:pPr>
        <w:ind w:left="851" w:hanging="851"/>
        <w:rPr>
          <w:sz w:val="24"/>
          <w:szCs w:val="24"/>
        </w:rPr>
      </w:pPr>
      <w:r w:rsidRPr="007B1EA7">
        <w:rPr>
          <w:sz w:val="24"/>
          <w:szCs w:val="24"/>
        </w:rPr>
        <w:tab/>
        <w:t>53822</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9.</w:t>
      </w:r>
      <w:r w:rsidRPr="007B1EA7">
        <w:rPr>
          <w:b/>
          <w:sz w:val="24"/>
          <w:szCs w:val="24"/>
        </w:rPr>
        <w:tab/>
        <w:t>DATO FOR FØRSTE MARKEDSFØRINGSTILLADELSE</w:t>
      </w:r>
    </w:p>
    <w:p w:rsidR="00E24089" w:rsidRPr="007B1EA7" w:rsidRDefault="00E24089" w:rsidP="00E24089">
      <w:pPr>
        <w:ind w:left="851" w:hanging="851"/>
        <w:rPr>
          <w:sz w:val="24"/>
          <w:szCs w:val="24"/>
        </w:rPr>
      </w:pPr>
      <w:r w:rsidRPr="007B1EA7">
        <w:rPr>
          <w:sz w:val="24"/>
          <w:szCs w:val="24"/>
        </w:rPr>
        <w:tab/>
        <w:t>25. juli 2014</w:t>
      </w:r>
    </w:p>
    <w:p w:rsidR="00E24089" w:rsidRPr="007B1EA7" w:rsidRDefault="00E24089" w:rsidP="00E24089">
      <w:pPr>
        <w:ind w:left="851" w:hanging="851"/>
        <w:rPr>
          <w:sz w:val="24"/>
          <w:szCs w:val="24"/>
        </w:rPr>
      </w:pPr>
    </w:p>
    <w:p w:rsidR="00E24089" w:rsidRPr="007B1EA7" w:rsidRDefault="00E24089" w:rsidP="00E24089">
      <w:pPr>
        <w:ind w:left="851" w:hanging="851"/>
        <w:rPr>
          <w:b/>
          <w:sz w:val="24"/>
          <w:szCs w:val="24"/>
        </w:rPr>
      </w:pPr>
      <w:r w:rsidRPr="007B1EA7">
        <w:rPr>
          <w:b/>
          <w:sz w:val="24"/>
          <w:szCs w:val="24"/>
        </w:rPr>
        <w:t>10.</w:t>
      </w:r>
      <w:r w:rsidRPr="007B1EA7">
        <w:rPr>
          <w:b/>
          <w:sz w:val="24"/>
          <w:szCs w:val="24"/>
        </w:rPr>
        <w:tab/>
        <w:t>DATO FOR ÆNDRING AF TEKSTEN</w:t>
      </w:r>
    </w:p>
    <w:p w:rsidR="00E24089" w:rsidRPr="007B1EA7" w:rsidRDefault="00E24089" w:rsidP="00E24089">
      <w:pPr>
        <w:ind w:left="851" w:hanging="851"/>
        <w:rPr>
          <w:sz w:val="24"/>
          <w:szCs w:val="24"/>
        </w:rPr>
      </w:pPr>
      <w:r w:rsidRPr="007B1EA7">
        <w:rPr>
          <w:sz w:val="24"/>
          <w:szCs w:val="24"/>
        </w:rPr>
        <w:tab/>
      </w:r>
      <w:r w:rsidR="009F5CD0">
        <w:rPr>
          <w:sz w:val="24"/>
          <w:szCs w:val="24"/>
        </w:rPr>
        <w:t>4</w:t>
      </w:r>
      <w:r w:rsidR="007C0D0A" w:rsidRPr="007C0D0A">
        <w:rPr>
          <w:sz w:val="24"/>
          <w:szCs w:val="24"/>
        </w:rPr>
        <w:t xml:space="preserve">. </w:t>
      </w:r>
      <w:r w:rsidR="002A08D2">
        <w:rPr>
          <w:sz w:val="24"/>
          <w:szCs w:val="24"/>
        </w:rPr>
        <w:t>november</w:t>
      </w:r>
      <w:r w:rsidR="007C0D0A" w:rsidRPr="007C0D0A">
        <w:rPr>
          <w:sz w:val="24"/>
          <w:szCs w:val="24"/>
        </w:rPr>
        <w:t xml:space="preserve"> 202</w:t>
      </w:r>
      <w:r w:rsidR="009F5CD0">
        <w:rPr>
          <w:sz w:val="24"/>
          <w:szCs w:val="24"/>
        </w:rPr>
        <w:t>4</w:t>
      </w:r>
    </w:p>
    <w:p w:rsidR="00E24089" w:rsidRPr="007B1EA7" w:rsidRDefault="00E24089" w:rsidP="00E24089">
      <w:pPr>
        <w:ind w:left="851" w:hanging="851"/>
        <w:rPr>
          <w:sz w:val="24"/>
          <w:szCs w:val="24"/>
        </w:rPr>
      </w:pPr>
    </w:p>
    <w:p w:rsidR="00E24089" w:rsidRPr="00B935FC" w:rsidRDefault="00E24089" w:rsidP="00E24089"/>
    <w:p w:rsidR="00E24089" w:rsidRPr="00406B6A" w:rsidRDefault="00E24089" w:rsidP="00E24089"/>
    <w:p w:rsidR="009260DE" w:rsidRPr="00E24089" w:rsidRDefault="009260DE" w:rsidP="00E24089"/>
    <w:sectPr w:rsidR="009260DE" w:rsidRPr="00E24089" w:rsidSect="000259B9">
      <w:footerReference w:type="default" r:id="rId17"/>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089" w:rsidRDefault="00E24089">
      <w:r>
        <w:separator/>
      </w:r>
    </w:p>
  </w:endnote>
  <w:endnote w:type="continuationSeparator" w:id="0">
    <w:p w:rsidR="00E24089" w:rsidRDefault="00E2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C0D0A">
      <w:rPr>
        <w:i/>
        <w:noProof/>
        <w:sz w:val="18"/>
        <w:szCs w:val="18"/>
      </w:rPr>
      <w:t>Iluvien, intravitreal implantat i applikator 190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089" w:rsidRDefault="00E24089">
      <w:r>
        <w:separator/>
      </w:r>
    </w:p>
  </w:footnote>
  <w:footnote w:type="continuationSeparator" w:id="0">
    <w:p w:rsidR="00E24089" w:rsidRDefault="00E24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02170B"/>
    <w:multiLevelType w:val="hybridMultilevel"/>
    <w:tmpl w:val="47C4B1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E9D3008"/>
    <w:multiLevelType w:val="hybridMultilevel"/>
    <w:tmpl w:val="CE7E34D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744F3D1D"/>
    <w:multiLevelType w:val="hybridMultilevel"/>
    <w:tmpl w:val="66BA824C"/>
    <w:lvl w:ilvl="0" w:tplc="0409000F">
      <w:start w:val="1"/>
      <w:numFmt w:val="decimal"/>
      <w:lvlText w:val="%1."/>
      <w:lvlJc w:val="left"/>
      <w:pPr>
        <w:ind w:left="1626" w:hanging="360"/>
      </w:pPr>
    </w:lvl>
    <w:lvl w:ilvl="1" w:tplc="04090019">
      <w:start w:val="1"/>
      <w:numFmt w:val="lowerLetter"/>
      <w:lvlText w:val="%2."/>
      <w:lvlJc w:val="left"/>
      <w:pPr>
        <w:ind w:left="2346" w:hanging="360"/>
      </w:pPr>
    </w:lvl>
    <w:lvl w:ilvl="2" w:tplc="0409001B">
      <w:start w:val="1"/>
      <w:numFmt w:val="lowerRoman"/>
      <w:lvlText w:val="%3."/>
      <w:lvlJc w:val="right"/>
      <w:pPr>
        <w:ind w:left="3066" w:hanging="180"/>
      </w:pPr>
    </w:lvl>
    <w:lvl w:ilvl="3" w:tplc="0409000F">
      <w:start w:val="1"/>
      <w:numFmt w:val="decimal"/>
      <w:lvlText w:val="%4."/>
      <w:lvlJc w:val="left"/>
      <w:pPr>
        <w:ind w:left="3786" w:hanging="360"/>
      </w:pPr>
    </w:lvl>
    <w:lvl w:ilvl="4" w:tplc="04090019">
      <w:start w:val="1"/>
      <w:numFmt w:val="lowerLetter"/>
      <w:lvlText w:val="%5."/>
      <w:lvlJc w:val="left"/>
      <w:pPr>
        <w:ind w:left="4506" w:hanging="360"/>
      </w:pPr>
    </w:lvl>
    <w:lvl w:ilvl="5" w:tplc="0409001B">
      <w:start w:val="1"/>
      <w:numFmt w:val="lowerRoman"/>
      <w:lvlText w:val="%6."/>
      <w:lvlJc w:val="right"/>
      <w:pPr>
        <w:ind w:left="5226" w:hanging="180"/>
      </w:pPr>
    </w:lvl>
    <w:lvl w:ilvl="6" w:tplc="0409000F">
      <w:start w:val="1"/>
      <w:numFmt w:val="decimal"/>
      <w:lvlText w:val="%7."/>
      <w:lvlJc w:val="left"/>
      <w:pPr>
        <w:ind w:left="5946" w:hanging="360"/>
      </w:pPr>
    </w:lvl>
    <w:lvl w:ilvl="7" w:tplc="04090019">
      <w:start w:val="1"/>
      <w:numFmt w:val="lowerLetter"/>
      <w:lvlText w:val="%8."/>
      <w:lvlJc w:val="left"/>
      <w:pPr>
        <w:ind w:left="6666" w:hanging="360"/>
      </w:pPr>
    </w:lvl>
    <w:lvl w:ilvl="8" w:tplc="0409001B">
      <w:start w:val="1"/>
      <w:numFmt w:val="lowerRoman"/>
      <w:lvlText w:val="%9."/>
      <w:lvlJc w:val="right"/>
      <w:pPr>
        <w:ind w:left="7386"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089"/>
    <w:rsid w:val="000259B9"/>
    <w:rsid w:val="00041491"/>
    <w:rsid w:val="00050D16"/>
    <w:rsid w:val="00072500"/>
    <w:rsid w:val="00074F2A"/>
    <w:rsid w:val="000A1CA8"/>
    <w:rsid w:val="000A466B"/>
    <w:rsid w:val="000B058C"/>
    <w:rsid w:val="000E4EE6"/>
    <w:rsid w:val="001454E2"/>
    <w:rsid w:val="001B5C0C"/>
    <w:rsid w:val="00206CE8"/>
    <w:rsid w:val="0021526C"/>
    <w:rsid w:val="00283A2B"/>
    <w:rsid w:val="002A08D2"/>
    <w:rsid w:val="002B30AD"/>
    <w:rsid w:val="002C2C01"/>
    <w:rsid w:val="003A29AE"/>
    <w:rsid w:val="003A32D7"/>
    <w:rsid w:val="003B4074"/>
    <w:rsid w:val="003C769A"/>
    <w:rsid w:val="003F1838"/>
    <w:rsid w:val="003F4E53"/>
    <w:rsid w:val="0045746C"/>
    <w:rsid w:val="0049104B"/>
    <w:rsid w:val="004E3B12"/>
    <w:rsid w:val="00532310"/>
    <w:rsid w:val="00560ECC"/>
    <w:rsid w:val="00565F0F"/>
    <w:rsid w:val="00594A86"/>
    <w:rsid w:val="00596D86"/>
    <w:rsid w:val="00637F5A"/>
    <w:rsid w:val="00647A6B"/>
    <w:rsid w:val="006560B1"/>
    <w:rsid w:val="006756DD"/>
    <w:rsid w:val="006838E0"/>
    <w:rsid w:val="007051C5"/>
    <w:rsid w:val="00737275"/>
    <w:rsid w:val="00740EEC"/>
    <w:rsid w:val="0078011A"/>
    <w:rsid w:val="00782AF4"/>
    <w:rsid w:val="00790EE7"/>
    <w:rsid w:val="007B6649"/>
    <w:rsid w:val="007C0D0A"/>
    <w:rsid w:val="0081546F"/>
    <w:rsid w:val="0082576E"/>
    <w:rsid w:val="008772CC"/>
    <w:rsid w:val="008C5392"/>
    <w:rsid w:val="00907F75"/>
    <w:rsid w:val="00923A74"/>
    <w:rsid w:val="009260DE"/>
    <w:rsid w:val="0093258A"/>
    <w:rsid w:val="009C7BA3"/>
    <w:rsid w:val="009D1F5A"/>
    <w:rsid w:val="009F5CD0"/>
    <w:rsid w:val="00A607D5"/>
    <w:rsid w:val="00A611A8"/>
    <w:rsid w:val="00AB17BA"/>
    <w:rsid w:val="00B003BF"/>
    <w:rsid w:val="00B14D9E"/>
    <w:rsid w:val="00B373D7"/>
    <w:rsid w:val="00BF20E5"/>
    <w:rsid w:val="00BF3187"/>
    <w:rsid w:val="00C01BAD"/>
    <w:rsid w:val="00C13B57"/>
    <w:rsid w:val="00C30EAA"/>
    <w:rsid w:val="00C36276"/>
    <w:rsid w:val="00C42586"/>
    <w:rsid w:val="00C60CCD"/>
    <w:rsid w:val="00C84483"/>
    <w:rsid w:val="00C95551"/>
    <w:rsid w:val="00CA7372"/>
    <w:rsid w:val="00CB20D7"/>
    <w:rsid w:val="00CC3F2E"/>
    <w:rsid w:val="00D020B0"/>
    <w:rsid w:val="00D11748"/>
    <w:rsid w:val="00D366CF"/>
    <w:rsid w:val="00E108AA"/>
    <w:rsid w:val="00E24089"/>
    <w:rsid w:val="00E31812"/>
    <w:rsid w:val="00E3749A"/>
    <w:rsid w:val="00E6716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2026E"/>
  <w15:chartTrackingRefBased/>
  <w15:docId w15:val="{A79C4A80-EE2B-41AA-ADCE-D187F1785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24089"/>
    <w:rPr>
      <w:color w:val="808080"/>
    </w:rPr>
  </w:style>
  <w:style w:type="character" w:customStyle="1" w:styleId="C-BodyTextChar">
    <w:name w:val="C-Body Text Char"/>
    <w:link w:val="C-BodyText"/>
    <w:locked/>
    <w:rsid w:val="00E24089"/>
    <w:rPr>
      <w:sz w:val="24"/>
      <w:lang w:val="en-US" w:eastAsia="en-US"/>
    </w:rPr>
  </w:style>
  <w:style w:type="paragraph" w:customStyle="1" w:styleId="C-BodyText">
    <w:name w:val="C-Body Text"/>
    <w:link w:val="C-BodyTextChar"/>
    <w:rsid w:val="00E24089"/>
    <w:pPr>
      <w:spacing w:before="120" w:after="120" w:line="280" w:lineRule="atLeast"/>
    </w:pPr>
    <w:rPr>
      <w:sz w:val="24"/>
      <w:lang w:val="en-US" w:eastAsia="en-US"/>
    </w:rPr>
  </w:style>
  <w:style w:type="character" w:customStyle="1" w:styleId="C-TableTextChar">
    <w:name w:val="C-Table Text Char"/>
    <w:link w:val="C-TableText"/>
    <w:locked/>
    <w:rsid w:val="00E24089"/>
    <w:rPr>
      <w:sz w:val="22"/>
      <w:lang w:val="en-US" w:eastAsia="en-US"/>
    </w:rPr>
  </w:style>
  <w:style w:type="paragraph" w:customStyle="1" w:styleId="C-TableText">
    <w:name w:val="C-Table Text"/>
    <w:link w:val="C-TableTextChar"/>
    <w:rsid w:val="00E24089"/>
    <w:pPr>
      <w:spacing w:before="60" w:after="60"/>
    </w:pPr>
    <w:rPr>
      <w:sz w:val="22"/>
      <w:lang w:val="en-US" w:eastAsia="en-US"/>
    </w:rPr>
  </w:style>
  <w:style w:type="character" w:customStyle="1" w:styleId="BilledtekstTegn">
    <w:name w:val="Billedtekst Tegn"/>
    <w:link w:val="Billedtekst"/>
    <w:locked/>
    <w:rsid w:val="00E24089"/>
    <w:rPr>
      <w:b/>
      <w:bCs/>
      <w:sz w:val="24"/>
      <w:szCs w:val="24"/>
      <w:lang w:val="en-US" w:eastAsia="en-US"/>
    </w:rPr>
  </w:style>
  <w:style w:type="paragraph" w:styleId="Billedtekst">
    <w:name w:val="caption"/>
    <w:next w:val="C-BodyText"/>
    <w:link w:val="BilledtekstTegn"/>
    <w:unhideWhenUsed/>
    <w:qFormat/>
    <w:rsid w:val="00E24089"/>
    <w:pPr>
      <w:keepNext/>
      <w:spacing w:before="120" w:after="120" w:line="280" w:lineRule="atLeast"/>
      <w:ind w:left="1440" w:hanging="1440"/>
    </w:pPr>
    <w:rPr>
      <w:b/>
      <w:bCs/>
      <w:sz w:val="24"/>
      <w:szCs w:val="24"/>
      <w:lang w:val="en-US" w:eastAsia="en-US"/>
    </w:rPr>
  </w:style>
  <w:style w:type="character" w:styleId="Hyperlink">
    <w:name w:val="Hyperlink"/>
    <w:semiHidden/>
    <w:unhideWhenUsed/>
    <w:rsid w:val="00E24089"/>
    <w:rPr>
      <w:color w:val="0000FF"/>
      <w:u w:val="single"/>
    </w:rPr>
  </w:style>
  <w:style w:type="character" w:customStyle="1" w:styleId="hps">
    <w:name w:val="hps"/>
    <w:basedOn w:val="Standardskrifttypeiafsnit"/>
    <w:rsid w:val="00E24089"/>
  </w:style>
  <w:style w:type="paragraph" w:styleId="Korrektur">
    <w:name w:val="Revision"/>
    <w:hidden/>
    <w:uiPriority w:val="99"/>
    <w:semiHidden/>
    <w:rsid w:val="00E24089"/>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5764</Words>
  <Characters>35948</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2023030132_x000d_
Rettelse til adressen på den ny repræsentant</dc:description>
  <cp:lastModifiedBy>Marianne Ott Jensen</cp:lastModifiedBy>
  <cp:revision>4</cp:revision>
  <cp:lastPrinted>2012-08-22T08:53:00Z</cp:lastPrinted>
  <dcterms:created xsi:type="dcterms:W3CDTF">2024-11-04T08:05:00Z</dcterms:created>
  <dcterms:modified xsi:type="dcterms:W3CDTF">2024-11-04T08:07:00Z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