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DD459"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22279E78" wp14:editId="64F72E3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A881872" w14:textId="77777777" w:rsidR="006B3847" w:rsidRPr="00303008" w:rsidRDefault="006B3847" w:rsidP="006B3847">
      <w:pPr>
        <w:rPr>
          <w:sz w:val="24"/>
          <w:szCs w:val="24"/>
          <w:lang w:val="en-GB"/>
        </w:rPr>
      </w:pPr>
    </w:p>
    <w:p w14:paraId="021EBD83" w14:textId="43283E55" w:rsidR="006B3847" w:rsidRPr="00303008" w:rsidRDefault="006B3847" w:rsidP="006B3847">
      <w:pPr>
        <w:tabs>
          <w:tab w:val="right" w:pos="9356"/>
        </w:tabs>
        <w:rPr>
          <w:b/>
          <w:sz w:val="24"/>
          <w:szCs w:val="24"/>
          <w:lang w:val="en-GB"/>
        </w:rPr>
      </w:pPr>
      <w:r w:rsidRPr="00303008">
        <w:rPr>
          <w:b/>
          <w:sz w:val="24"/>
          <w:szCs w:val="24"/>
          <w:lang w:val="en-GB"/>
        </w:rPr>
        <w:tab/>
      </w:r>
      <w:r w:rsidR="004E100A">
        <w:rPr>
          <w:b/>
          <w:sz w:val="24"/>
          <w:szCs w:val="24"/>
          <w:lang w:val="en-GB"/>
        </w:rPr>
        <w:t>27. september 2023</w:t>
      </w:r>
    </w:p>
    <w:p w14:paraId="70590AE0" w14:textId="77777777" w:rsidR="006B3847" w:rsidRPr="00303008" w:rsidRDefault="006B3847" w:rsidP="006B3847">
      <w:pPr>
        <w:rPr>
          <w:sz w:val="24"/>
          <w:szCs w:val="24"/>
          <w:lang w:val="en-GB"/>
        </w:rPr>
      </w:pPr>
    </w:p>
    <w:p w14:paraId="23032DBD" w14:textId="77777777" w:rsidR="007C5D2A" w:rsidRPr="00303008" w:rsidRDefault="007C5D2A" w:rsidP="007C5D2A">
      <w:pPr>
        <w:rPr>
          <w:sz w:val="24"/>
          <w:szCs w:val="24"/>
          <w:lang w:val="en-GB"/>
        </w:rPr>
      </w:pPr>
    </w:p>
    <w:p w14:paraId="4BFE6787" w14:textId="77777777" w:rsidR="007C5D2A" w:rsidRPr="00303008" w:rsidRDefault="007C5D2A" w:rsidP="007C5D2A">
      <w:pPr>
        <w:rPr>
          <w:sz w:val="24"/>
          <w:szCs w:val="24"/>
          <w:lang w:val="en-GB"/>
        </w:rPr>
      </w:pPr>
    </w:p>
    <w:p w14:paraId="79D684E6"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35B56A1C" w14:textId="77777777" w:rsidR="007C5D2A" w:rsidRPr="00303008" w:rsidRDefault="007C5D2A" w:rsidP="007C5D2A">
      <w:pPr>
        <w:jc w:val="center"/>
        <w:rPr>
          <w:sz w:val="24"/>
          <w:szCs w:val="24"/>
          <w:lang w:val="en-GB"/>
        </w:rPr>
      </w:pPr>
    </w:p>
    <w:p w14:paraId="0BB48612" w14:textId="77777777" w:rsidR="007C5D2A" w:rsidRPr="00303008" w:rsidRDefault="007C5D2A" w:rsidP="007C5D2A">
      <w:pPr>
        <w:jc w:val="center"/>
        <w:rPr>
          <w:b/>
          <w:sz w:val="24"/>
          <w:szCs w:val="24"/>
          <w:lang w:val="en-GB"/>
        </w:rPr>
      </w:pPr>
      <w:r w:rsidRPr="00303008">
        <w:rPr>
          <w:b/>
          <w:sz w:val="24"/>
          <w:szCs w:val="24"/>
          <w:lang w:val="en-GB"/>
        </w:rPr>
        <w:t>for</w:t>
      </w:r>
    </w:p>
    <w:p w14:paraId="27882879" w14:textId="77777777" w:rsidR="007C5D2A" w:rsidRPr="00303008" w:rsidRDefault="007C5D2A" w:rsidP="007C5D2A">
      <w:pPr>
        <w:jc w:val="center"/>
        <w:rPr>
          <w:sz w:val="24"/>
          <w:szCs w:val="24"/>
          <w:lang w:val="en-GB"/>
        </w:rPr>
      </w:pPr>
    </w:p>
    <w:p w14:paraId="2D856BD2" w14:textId="5AD2B899" w:rsidR="007C5D2A" w:rsidRPr="00303008" w:rsidRDefault="00A1187D" w:rsidP="007C5D2A">
      <w:pPr>
        <w:jc w:val="center"/>
        <w:rPr>
          <w:b/>
          <w:sz w:val="24"/>
          <w:szCs w:val="24"/>
          <w:lang w:val="en-GB"/>
        </w:rPr>
      </w:pPr>
      <w:r>
        <w:rPr>
          <w:b/>
          <w:sz w:val="24"/>
          <w:szCs w:val="24"/>
          <w:lang w:val="en-GB"/>
        </w:rPr>
        <w:t>Infilea, shampoo</w:t>
      </w:r>
    </w:p>
    <w:p w14:paraId="7286242A" w14:textId="77777777" w:rsidR="007C5D2A" w:rsidRPr="00303008" w:rsidRDefault="007C5D2A" w:rsidP="007C5D2A">
      <w:pPr>
        <w:jc w:val="both"/>
        <w:rPr>
          <w:sz w:val="24"/>
          <w:szCs w:val="24"/>
          <w:lang w:val="en-GB"/>
        </w:rPr>
      </w:pPr>
    </w:p>
    <w:p w14:paraId="1F264709" w14:textId="77777777" w:rsidR="0042292D" w:rsidRPr="00303008" w:rsidRDefault="0042292D" w:rsidP="007C5D2A">
      <w:pPr>
        <w:jc w:val="both"/>
        <w:rPr>
          <w:sz w:val="24"/>
          <w:szCs w:val="24"/>
          <w:lang w:val="en-GB"/>
        </w:rPr>
      </w:pPr>
    </w:p>
    <w:p w14:paraId="1A7FEDC7"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38D1A60A" w14:textId="4BFB490A" w:rsidR="008F2F8C" w:rsidRPr="00303008" w:rsidRDefault="00FD67ED" w:rsidP="008F2F8C">
      <w:pPr>
        <w:tabs>
          <w:tab w:val="left" w:pos="8222"/>
        </w:tabs>
        <w:ind w:left="851"/>
        <w:rPr>
          <w:sz w:val="24"/>
          <w:szCs w:val="24"/>
          <w:lang w:val="en-GB"/>
        </w:rPr>
      </w:pPr>
      <w:r>
        <w:rPr>
          <w:sz w:val="24"/>
          <w:szCs w:val="24"/>
          <w:lang w:val="en-GB"/>
        </w:rPr>
        <w:t>32972</w:t>
      </w:r>
    </w:p>
    <w:p w14:paraId="5DDB90B1" w14:textId="77777777" w:rsidR="007C5D2A" w:rsidRPr="00303008" w:rsidRDefault="007C5D2A" w:rsidP="007C5D2A">
      <w:pPr>
        <w:tabs>
          <w:tab w:val="left" w:pos="851"/>
        </w:tabs>
        <w:jc w:val="both"/>
        <w:rPr>
          <w:sz w:val="24"/>
          <w:szCs w:val="24"/>
          <w:lang w:val="en-GB"/>
        </w:rPr>
      </w:pPr>
    </w:p>
    <w:p w14:paraId="4B4AC5F2"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0E98A11F" w14:textId="2C06079C" w:rsidR="007C5D2A" w:rsidRPr="00303008" w:rsidRDefault="00FD67ED" w:rsidP="004A3BF4">
      <w:pPr>
        <w:tabs>
          <w:tab w:val="left" w:pos="851"/>
        </w:tabs>
        <w:ind w:left="851"/>
        <w:rPr>
          <w:sz w:val="24"/>
          <w:szCs w:val="24"/>
          <w:lang w:val="en-GB"/>
        </w:rPr>
      </w:pPr>
      <w:r>
        <w:rPr>
          <w:sz w:val="24"/>
          <w:szCs w:val="24"/>
          <w:lang w:val="en-GB"/>
        </w:rPr>
        <w:t>Infilea</w:t>
      </w:r>
    </w:p>
    <w:p w14:paraId="1069CB53" w14:textId="77777777" w:rsidR="007C5D2A" w:rsidRPr="00303008" w:rsidRDefault="007C5D2A" w:rsidP="004A3BF4">
      <w:pPr>
        <w:tabs>
          <w:tab w:val="left" w:pos="851"/>
        </w:tabs>
        <w:ind w:left="851"/>
        <w:rPr>
          <w:sz w:val="24"/>
          <w:szCs w:val="24"/>
          <w:lang w:val="en-GB"/>
        </w:rPr>
      </w:pPr>
    </w:p>
    <w:p w14:paraId="45A9F74F"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2E78324E" w14:textId="77777777" w:rsidR="00FD67ED" w:rsidRPr="00FD67ED" w:rsidRDefault="00FD67ED" w:rsidP="00FD67ED">
      <w:pPr>
        <w:tabs>
          <w:tab w:val="left" w:pos="851"/>
        </w:tabs>
        <w:ind w:left="851"/>
        <w:rPr>
          <w:sz w:val="24"/>
          <w:szCs w:val="24"/>
          <w:lang w:val="en-US"/>
        </w:rPr>
      </w:pPr>
      <w:r w:rsidRPr="00FD67ED">
        <w:rPr>
          <w:sz w:val="24"/>
          <w:szCs w:val="24"/>
          <w:lang w:val="en-US"/>
        </w:rPr>
        <w:t xml:space="preserve">One gram of shampoo contains 500 micrograms of clobetasol propionate. </w:t>
      </w:r>
    </w:p>
    <w:p w14:paraId="542EB8D2" w14:textId="77777777" w:rsidR="00FD67ED" w:rsidRPr="00FD67ED" w:rsidRDefault="00FD67ED" w:rsidP="00FD67ED">
      <w:pPr>
        <w:tabs>
          <w:tab w:val="left" w:pos="851"/>
        </w:tabs>
        <w:ind w:left="851"/>
        <w:rPr>
          <w:sz w:val="24"/>
          <w:szCs w:val="24"/>
          <w:lang w:val="en-US"/>
        </w:rPr>
      </w:pPr>
      <w:r w:rsidRPr="00FD67ED">
        <w:rPr>
          <w:sz w:val="24"/>
          <w:szCs w:val="24"/>
          <w:lang w:val="en-US"/>
        </w:rPr>
        <w:t>One gram of shampoo corresponds to 1 millilitre of shampoo.</w:t>
      </w:r>
    </w:p>
    <w:p w14:paraId="1F752C01" w14:textId="77777777" w:rsidR="00FD67ED" w:rsidRPr="00FD67ED" w:rsidRDefault="00FD67ED" w:rsidP="00FD67ED">
      <w:pPr>
        <w:tabs>
          <w:tab w:val="left" w:pos="851"/>
        </w:tabs>
        <w:ind w:left="851"/>
        <w:rPr>
          <w:sz w:val="24"/>
          <w:szCs w:val="24"/>
          <w:lang w:val="en-US"/>
        </w:rPr>
      </w:pPr>
    </w:p>
    <w:p w14:paraId="6D25E26D" w14:textId="1063F681" w:rsidR="00FD67ED" w:rsidRPr="00FD67ED" w:rsidRDefault="00FD67ED" w:rsidP="00FD67ED">
      <w:pPr>
        <w:tabs>
          <w:tab w:val="left" w:pos="851"/>
        </w:tabs>
        <w:ind w:left="851"/>
        <w:rPr>
          <w:sz w:val="24"/>
          <w:szCs w:val="24"/>
          <w:u w:val="single"/>
          <w:lang w:val="en-US"/>
        </w:rPr>
      </w:pPr>
      <w:r w:rsidRPr="00FD67ED">
        <w:rPr>
          <w:sz w:val="24"/>
          <w:szCs w:val="24"/>
          <w:u w:val="single"/>
          <w:lang w:val="en-US"/>
        </w:rPr>
        <w:t>Excipients with known effect</w:t>
      </w:r>
    </w:p>
    <w:p w14:paraId="616C550D" w14:textId="77777777" w:rsidR="00FD67ED" w:rsidRPr="00FD67ED" w:rsidRDefault="00FD67ED" w:rsidP="00FD67ED">
      <w:pPr>
        <w:tabs>
          <w:tab w:val="left" w:pos="851"/>
        </w:tabs>
        <w:ind w:left="851"/>
        <w:rPr>
          <w:sz w:val="24"/>
          <w:szCs w:val="24"/>
          <w:lang w:val="en-US"/>
        </w:rPr>
      </w:pPr>
      <w:r w:rsidRPr="00FD67ED">
        <w:rPr>
          <w:sz w:val="24"/>
          <w:szCs w:val="24"/>
          <w:lang w:val="en-US"/>
        </w:rPr>
        <w:t>One gram of shampoo contains 100 milligrams of ethanol.</w:t>
      </w:r>
    </w:p>
    <w:p w14:paraId="1407AB77" w14:textId="77777777" w:rsidR="00FD67ED" w:rsidRPr="00FD67ED" w:rsidRDefault="00FD67ED" w:rsidP="00FD67ED">
      <w:pPr>
        <w:tabs>
          <w:tab w:val="left" w:pos="851"/>
        </w:tabs>
        <w:ind w:left="851"/>
        <w:rPr>
          <w:sz w:val="24"/>
          <w:szCs w:val="24"/>
          <w:u w:val="single"/>
          <w:lang w:val="en-US"/>
        </w:rPr>
      </w:pPr>
    </w:p>
    <w:p w14:paraId="0549C29C" w14:textId="77777777" w:rsidR="00FD67ED" w:rsidRPr="00FD67ED" w:rsidRDefault="00FD67ED" w:rsidP="00FD67ED">
      <w:pPr>
        <w:tabs>
          <w:tab w:val="left" w:pos="851"/>
        </w:tabs>
        <w:ind w:left="851"/>
        <w:rPr>
          <w:sz w:val="24"/>
          <w:szCs w:val="24"/>
          <w:lang w:val="en-US"/>
        </w:rPr>
      </w:pPr>
      <w:r w:rsidRPr="00FD67ED">
        <w:rPr>
          <w:sz w:val="24"/>
          <w:szCs w:val="24"/>
          <w:lang w:val="en-US"/>
        </w:rPr>
        <w:t>For a full list of excipients, see section 6.1.</w:t>
      </w:r>
    </w:p>
    <w:p w14:paraId="1391841C" w14:textId="77777777" w:rsidR="007C5D2A" w:rsidRPr="00FD67ED" w:rsidRDefault="007C5D2A" w:rsidP="004A3BF4">
      <w:pPr>
        <w:tabs>
          <w:tab w:val="left" w:pos="851"/>
        </w:tabs>
        <w:ind w:left="851"/>
        <w:rPr>
          <w:sz w:val="24"/>
          <w:szCs w:val="24"/>
          <w:lang w:val="en-US"/>
        </w:rPr>
      </w:pPr>
    </w:p>
    <w:p w14:paraId="5085E8B5"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244C7DBB" w14:textId="6C182880" w:rsidR="00FD67ED" w:rsidRDefault="00FD67ED" w:rsidP="00FD67ED">
      <w:pPr>
        <w:tabs>
          <w:tab w:val="left" w:pos="851"/>
        </w:tabs>
        <w:ind w:left="851"/>
        <w:rPr>
          <w:sz w:val="24"/>
          <w:szCs w:val="24"/>
          <w:lang w:val="en-US"/>
        </w:rPr>
      </w:pPr>
      <w:r w:rsidRPr="00FD67ED">
        <w:rPr>
          <w:sz w:val="24"/>
          <w:szCs w:val="24"/>
          <w:lang w:val="en-US"/>
        </w:rPr>
        <w:t>Shampoo</w:t>
      </w:r>
    </w:p>
    <w:p w14:paraId="75D69D86" w14:textId="77777777" w:rsidR="0003477B" w:rsidRPr="00FD67ED" w:rsidRDefault="0003477B" w:rsidP="00FD67ED">
      <w:pPr>
        <w:tabs>
          <w:tab w:val="left" w:pos="851"/>
        </w:tabs>
        <w:ind w:left="851"/>
        <w:rPr>
          <w:sz w:val="24"/>
          <w:szCs w:val="24"/>
          <w:lang w:val="en-US"/>
        </w:rPr>
      </w:pPr>
    </w:p>
    <w:p w14:paraId="25803837" w14:textId="77777777" w:rsidR="00FD67ED" w:rsidRPr="00FD67ED" w:rsidRDefault="00FD67ED" w:rsidP="00FD67ED">
      <w:pPr>
        <w:tabs>
          <w:tab w:val="left" w:pos="851"/>
        </w:tabs>
        <w:ind w:left="851"/>
        <w:rPr>
          <w:sz w:val="24"/>
          <w:szCs w:val="24"/>
          <w:lang w:val="en-US"/>
        </w:rPr>
      </w:pPr>
      <w:r w:rsidRPr="00FD67ED">
        <w:rPr>
          <w:sz w:val="24"/>
          <w:szCs w:val="24"/>
          <w:lang w:val="en-US"/>
        </w:rPr>
        <w:t>Viscous, translucent, colourless to pale yellow liquid shampoo with alcoholic odour.</w:t>
      </w:r>
    </w:p>
    <w:p w14:paraId="16BF223C" w14:textId="77777777" w:rsidR="007C5D2A" w:rsidRPr="00FD67ED" w:rsidRDefault="007C5D2A" w:rsidP="004A3BF4">
      <w:pPr>
        <w:tabs>
          <w:tab w:val="left" w:pos="851"/>
        </w:tabs>
        <w:ind w:left="851"/>
        <w:rPr>
          <w:sz w:val="24"/>
          <w:szCs w:val="24"/>
          <w:lang w:val="en-US"/>
        </w:rPr>
      </w:pPr>
    </w:p>
    <w:p w14:paraId="3D912499" w14:textId="77777777" w:rsidR="007C5D2A" w:rsidRPr="00303008" w:rsidRDefault="007C5D2A" w:rsidP="004A3BF4">
      <w:pPr>
        <w:tabs>
          <w:tab w:val="left" w:pos="851"/>
        </w:tabs>
        <w:ind w:left="851"/>
        <w:rPr>
          <w:sz w:val="24"/>
          <w:szCs w:val="24"/>
          <w:lang w:val="en-GB"/>
        </w:rPr>
      </w:pPr>
    </w:p>
    <w:p w14:paraId="0435E265"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223AE3E2" w14:textId="77777777" w:rsidR="007C5D2A" w:rsidRPr="00303008" w:rsidRDefault="007C5D2A" w:rsidP="004A3BF4">
      <w:pPr>
        <w:tabs>
          <w:tab w:val="left" w:pos="851"/>
        </w:tabs>
        <w:ind w:left="851"/>
        <w:rPr>
          <w:sz w:val="24"/>
          <w:szCs w:val="24"/>
          <w:lang w:val="en-GB"/>
        </w:rPr>
      </w:pPr>
    </w:p>
    <w:p w14:paraId="48450881"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41DE4F08" w14:textId="77777777" w:rsidR="00FD67ED" w:rsidRPr="00FD67ED" w:rsidRDefault="00FD67ED" w:rsidP="00FD67ED">
      <w:pPr>
        <w:tabs>
          <w:tab w:val="left" w:pos="851"/>
        </w:tabs>
        <w:ind w:left="851"/>
        <w:rPr>
          <w:sz w:val="24"/>
          <w:szCs w:val="24"/>
          <w:lang w:val="en-US"/>
        </w:rPr>
      </w:pPr>
      <w:r w:rsidRPr="00FD67ED">
        <w:rPr>
          <w:sz w:val="24"/>
          <w:szCs w:val="24"/>
          <w:lang w:val="en-US"/>
        </w:rPr>
        <w:t>Topical treatment of moderate scalp psoriasis in adults.</w:t>
      </w:r>
    </w:p>
    <w:p w14:paraId="6783232F" w14:textId="77777777" w:rsidR="007C5D2A" w:rsidRPr="00FD67ED" w:rsidRDefault="007C5D2A" w:rsidP="00A85D26">
      <w:pPr>
        <w:tabs>
          <w:tab w:val="left" w:pos="851"/>
        </w:tabs>
        <w:ind w:left="851"/>
        <w:rPr>
          <w:sz w:val="24"/>
          <w:szCs w:val="24"/>
          <w:lang w:val="en-US"/>
        </w:rPr>
      </w:pPr>
    </w:p>
    <w:p w14:paraId="2CE9B64A"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5437D858" w14:textId="77777777" w:rsidR="00FD67ED" w:rsidRPr="00FD67ED" w:rsidRDefault="00FD67ED" w:rsidP="00FD67ED">
      <w:pPr>
        <w:tabs>
          <w:tab w:val="left" w:pos="851"/>
        </w:tabs>
        <w:ind w:left="851"/>
        <w:rPr>
          <w:sz w:val="24"/>
          <w:szCs w:val="24"/>
          <w:lang w:val="en-US"/>
        </w:rPr>
      </w:pPr>
    </w:p>
    <w:tbl>
      <w:tblPr>
        <w:tblStyle w:val="Tabel-Gitter"/>
        <w:tblW w:w="9054" w:type="dxa"/>
        <w:tblInd w:w="846" w:type="dxa"/>
        <w:tblLook w:val="04A0" w:firstRow="1" w:lastRow="0" w:firstColumn="1" w:lastColumn="0" w:noHBand="0" w:noVBand="1"/>
      </w:tblPr>
      <w:tblGrid>
        <w:gridCol w:w="9054"/>
      </w:tblGrid>
      <w:tr w:rsidR="00FD67ED" w:rsidRPr="004E100A" w14:paraId="55D156A4" w14:textId="77777777" w:rsidTr="0003477B">
        <w:tc>
          <w:tcPr>
            <w:tcW w:w="9054" w:type="dxa"/>
            <w:tcBorders>
              <w:top w:val="single" w:sz="4" w:space="0" w:color="auto"/>
              <w:left w:val="single" w:sz="4" w:space="0" w:color="auto"/>
              <w:bottom w:val="single" w:sz="4" w:space="0" w:color="auto"/>
              <w:right w:val="single" w:sz="4" w:space="0" w:color="auto"/>
            </w:tcBorders>
            <w:hideMark/>
          </w:tcPr>
          <w:p w14:paraId="7D7392BD" w14:textId="77777777" w:rsidR="00FD67ED" w:rsidRPr="00FD67ED" w:rsidRDefault="00FD67ED" w:rsidP="0003477B">
            <w:pPr>
              <w:ind w:left="33"/>
              <w:rPr>
                <w:bCs/>
                <w:sz w:val="24"/>
                <w:szCs w:val="24"/>
                <w:lang w:val="en-US"/>
              </w:rPr>
            </w:pPr>
            <w:r w:rsidRPr="00FD67ED">
              <w:rPr>
                <w:b/>
                <w:sz w:val="24"/>
                <w:szCs w:val="24"/>
                <w:lang w:val="en-US"/>
              </w:rPr>
              <w:t>Clobetasol propionate belongs to the most potent class of topical corticosteroids (Group IV) and prolonged use may result in serious undesirable effects (see section 4.4). If treatment with a local corticosteroid is clinically justified beyond 4 weeks, a less potent corticosteroid preparation should be considered. Repeated but short courses of clobetasol propionate may be used to control exacerbations (see details below).</w:t>
            </w:r>
          </w:p>
        </w:tc>
      </w:tr>
    </w:tbl>
    <w:p w14:paraId="5AF5C6B1" w14:textId="77777777" w:rsidR="00FD67ED" w:rsidRPr="00FD67ED" w:rsidRDefault="00FD67ED" w:rsidP="00FD67ED">
      <w:pPr>
        <w:tabs>
          <w:tab w:val="left" w:pos="851"/>
        </w:tabs>
        <w:ind w:left="851"/>
        <w:rPr>
          <w:sz w:val="24"/>
          <w:szCs w:val="24"/>
          <w:lang w:val="en-US"/>
        </w:rPr>
      </w:pPr>
    </w:p>
    <w:p w14:paraId="21D44A78" w14:textId="77777777" w:rsidR="00FD67ED" w:rsidRPr="00FD67ED" w:rsidRDefault="00FD67ED" w:rsidP="00FD67ED">
      <w:pPr>
        <w:tabs>
          <w:tab w:val="left" w:pos="851"/>
        </w:tabs>
        <w:ind w:left="851"/>
        <w:rPr>
          <w:sz w:val="24"/>
          <w:szCs w:val="24"/>
          <w:u w:val="single"/>
          <w:lang w:val="en-US"/>
        </w:rPr>
      </w:pPr>
      <w:r w:rsidRPr="00FD67ED">
        <w:rPr>
          <w:sz w:val="24"/>
          <w:szCs w:val="24"/>
          <w:u w:val="single"/>
          <w:lang w:val="en-US"/>
        </w:rPr>
        <w:lastRenderedPageBreak/>
        <w:t>Posology</w:t>
      </w:r>
    </w:p>
    <w:p w14:paraId="6839B316" w14:textId="64753651" w:rsidR="00FD67ED" w:rsidRPr="00FD67ED" w:rsidRDefault="00FB31A3" w:rsidP="00FD67ED">
      <w:pPr>
        <w:tabs>
          <w:tab w:val="left" w:pos="851"/>
        </w:tabs>
        <w:ind w:left="851"/>
        <w:rPr>
          <w:sz w:val="24"/>
          <w:szCs w:val="24"/>
          <w:lang w:val="en-US"/>
        </w:rPr>
      </w:pPr>
      <w:r>
        <w:rPr>
          <w:sz w:val="24"/>
          <w:szCs w:val="24"/>
          <w:lang w:val="en-US"/>
        </w:rPr>
        <w:t>Infilea</w:t>
      </w:r>
      <w:r w:rsidR="00FD67ED" w:rsidRPr="00FD67ED">
        <w:rPr>
          <w:sz w:val="24"/>
          <w:szCs w:val="24"/>
          <w:lang w:val="en-US"/>
        </w:rPr>
        <w:t xml:space="preserve"> shampoo should be applied directly on dry scalp once daily taking care to well cover and massage the lesions. An amount equivalent to around a half tablespoon per application is sufficient to cover all the scalp.</w:t>
      </w:r>
    </w:p>
    <w:p w14:paraId="08983680" w14:textId="77777777" w:rsidR="00FD67ED" w:rsidRPr="00FD67ED" w:rsidRDefault="00FD67ED" w:rsidP="00FD67ED">
      <w:pPr>
        <w:tabs>
          <w:tab w:val="left" w:pos="851"/>
        </w:tabs>
        <w:ind w:left="851"/>
        <w:rPr>
          <w:sz w:val="24"/>
          <w:szCs w:val="24"/>
          <w:lang w:val="en-US"/>
        </w:rPr>
      </w:pPr>
      <w:r w:rsidRPr="00FD67ED">
        <w:rPr>
          <w:sz w:val="24"/>
          <w:szCs w:val="24"/>
          <w:lang w:val="en-US"/>
        </w:rPr>
        <w:t>The total dosage should not exceed 50 g per week.</w:t>
      </w:r>
    </w:p>
    <w:p w14:paraId="526F885E" w14:textId="77777777" w:rsidR="00FD67ED" w:rsidRPr="00FD67ED" w:rsidRDefault="00FD67ED" w:rsidP="00FD67ED">
      <w:pPr>
        <w:tabs>
          <w:tab w:val="left" w:pos="851"/>
        </w:tabs>
        <w:ind w:left="851"/>
        <w:rPr>
          <w:sz w:val="24"/>
          <w:szCs w:val="24"/>
          <w:lang w:val="en-US"/>
        </w:rPr>
      </w:pPr>
    </w:p>
    <w:p w14:paraId="1BCF5D03" w14:textId="77777777" w:rsidR="00FD67ED" w:rsidRPr="00FD67ED" w:rsidRDefault="00FD67ED" w:rsidP="00FD67ED">
      <w:pPr>
        <w:tabs>
          <w:tab w:val="left" w:pos="851"/>
        </w:tabs>
        <w:ind w:left="851"/>
        <w:rPr>
          <w:sz w:val="24"/>
          <w:szCs w:val="24"/>
          <w:u w:val="single"/>
          <w:lang w:val="en-US"/>
        </w:rPr>
      </w:pPr>
      <w:r w:rsidRPr="00FD67ED">
        <w:rPr>
          <w:sz w:val="24"/>
          <w:szCs w:val="24"/>
          <w:u w:val="single"/>
          <w:lang w:val="en-US"/>
        </w:rPr>
        <w:t>Method of administration</w:t>
      </w:r>
    </w:p>
    <w:p w14:paraId="7D2FEDEA" w14:textId="77777777" w:rsidR="00FD67ED" w:rsidRPr="00FD67ED" w:rsidRDefault="00FD67ED" w:rsidP="00FD67ED">
      <w:pPr>
        <w:tabs>
          <w:tab w:val="left" w:pos="851"/>
        </w:tabs>
        <w:ind w:left="851"/>
        <w:rPr>
          <w:sz w:val="24"/>
          <w:szCs w:val="24"/>
          <w:lang w:val="en-US"/>
        </w:rPr>
      </w:pPr>
      <w:r w:rsidRPr="00FD67ED">
        <w:rPr>
          <w:sz w:val="24"/>
          <w:szCs w:val="24"/>
          <w:lang w:val="en-US"/>
        </w:rPr>
        <w:t>For cutaneous use on the scalp only.</w:t>
      </w:r>
    </w:p>
    <w:p w14:paraId="32C72232" w14:textId="5DE2F740" w:rsidR="00FD67ED" w:rsidRPr="00FD67ED" w:rsidRDefault="00FD67ED" w:rsidP="00FD67ED">
      <w:pPr>
        <w:tabs>
          <w:tab w:val="left" w:pos="851"/>
        </w:tabs>
        <w:ind w:left="851"/>
        <w:rPr>
          <w:sz w:val="24"/>
          <w:szCs w:val="24"/>
          <w:lang w:val="en-US"/>
        </w:rPr>
      </w:pPr>
      <w:r w:rsidRPr="00FD67ED">
        <w:rPr>
          <w:sz w:val="24"/>
          <w:szCs w:val="24"/>
          <w:lang w:val="en-US"/>
        </w:rPr>
        <w:t xml:space="preserve">After application, </w:t>
      </w:r>
      <w:r w:rsidR="00FB31A3">
        <w:rPr>
          <w:sz w:val="24"/>
          <w:szCs w:val="24"/>
          <w:lang w:val="en-US"/>
        </w:rPr>
        <w:t>Infilea</w:t>
      </w:r>
      <w:r w:rsidRPr="00FD67ED">
        <w:rPr>
          <w:sz w:val="24"/>
          <w:szCs w:val="24"/>
          <w:lang w:val="en-US"/>
        </w:rPr>
        <w:t xml:space="preserve"> shampoo should be kept in place without covering for 15 minutes before rinsing. Hands should be washed carefully after application. After 15 minutes, the product must be thoroughly rinsed with water and/or hair can be washed by using an additional amount of regular shampoo if needed to facilitate washing. Then, hair can be dried as usual.</w:t>
      </w:r>
    </w:p>
    <w:p w14:paraId="1C779921" w14:textId="77777777" w:rsidR="00FD67ED" w:rsidRPr="00FD67ED" w:rsidRDefault="00FD67ED" w:rsidP="00FD67ED">
      <w:pPr>
        <w:tabs>
          <w:tab w:val="left" w:pos="851"/>
        </w:tabs>
        <w:ind w:left="851"/>
        <w:rPr>
          <w:sz w:val="24"/>
          <w:szCs w:val="24"/>
          <w:lang w:val="en-US"/>
        </w:rPr>
      </w:pPr>
    </w:p>
    <w:p w14:paraId="333A4CF9" w14:textId="77777777" w:rsidR="00FD67ED" w:rsidRPr="00FD67ED" w:rsidRDefault="00FD67ED" w:rsidP="00FD67ED">
      <w:pPr>
        <w:tabs>
          <w:tab w:val="left" w:pos="851"/>
        </w:tabs>
        <w:ind w:left="851"/>
        <w:rPr>
          <w:sz w:val="24"/>
          <w:szCs w:val="24"/>
          <w:lang w:val="en-US"/>
        </w:rPr>
      </w:pPr>
      <w:r w:rsidRPr="00FD67ED">
        <w:rPr>
          <w:sz w:val="24"/>
          <w:szCs w:val="24"/>
          <w:lang w:val="en-US"/>
        </w:rPr>
        <w:t>The treatment duration should be limited to a maximum of 4 weeks. As soon as clinical results are observed, applications should be spaced out or replaced, if needed, by an alternative treatment. If no improvement is seen within four weeks, reassessment of the diagnosis may be necessary.</w:t>
      </w:r>
    </w:p>
    <w:p w14:paraId="5EA7B8F5" w14:textId="77777777" w:rsidR="00FD67ED" w:rsidRPr="00FD67ED" w:rsidRDefault="00FD67ED" w:rsidP="00FD67ED">
      <w:pPr>
        <w:tabs>
          <w:tab w:val="left" w:pos="851"/>
        </w:tabs>
        <w:ind w:left="851"/>
        <w:rPr>
          <w:sz w:val="24"/>
          <w:szCs w:val="24"/>
          <w:lang w:val="en-US"/>
        </w:rPr>
      </w:pPr>
    </w:p>
    <w:p w14:paraId="636F7A4D" w14:textId="5935ACE3" w:rsidR="00FD67ED" w:rsidRPr="00FD67ED" w:rsidRDefault="00FD67ED" w:rsidP="00FD67ED">
      <w:pPr>
        <w:tabs>
          <w:tab w:val="left" w:pos="851"/>
        </w:tabs>
        <w:ind w:left="851"/>
        <w:rPr>
          <w:sz w:val="24"/>
          <w:szCs w:val="24"/>
          <w:lang w:val="en-US"/>
        </w:rPr>
      </w:pPr>
      <w:r w:rsidRPr="00FD67ED">
        <w:rPr>
          <w:sz w:val="24"/>
          <w:szCs w:val="24"/>
          <w:lang w:val="en-US"/>
        </w:rPr>
        <w:t xml:space="preserve">Repeated courses of </w:t>
      </w:r>
      <w:r w:rsidR="00FB31A3">
        <w:rPr>
          <w:sz w:val="24"/>
          <w:szCs w:val="24"/>
          <w:lang w:val="en-US"/>
        </w:rPr>
        <w:t>Infilea</w:t>
      </w:r>
      <w:r w:rsidRPr="00FD67ED">
        <w:rPr>
          <w:sz w:val="24"/>
          <w:szCs w:val="24"/>
          <w:lang w:val="en-US"/>
        </w:rPr>
        <w:t xml:space="preserve"> shampoo may be used to control exacerbations provided the patient is under regular medical supervision.</w:t>
      </w:r>
    </w:p>
    <w:p w14:paraId="46B3BA02" w14:textId="77777777" w:rsidR="00FD67ED" w:rsidRPr="00FD67ED" w:rsidRDefault="00FD67ED" w:rsidP="00FD67ED">
      <w:pPr>
        <w:tabs>
          <w:tab w:val="left" w:pos="851"/>
        </w:tabs>
        <w:ind w:left="851"/>
        <w:rPr>
          <w:sz w:val="24"/>
          <w:szCs w:val="24"/>
          <w:lang w:val="en-US"/>
        </w:rPr>
      </w:pPr>
    </w:p>
    <w:p w14:paraId="77F3B6FD" w14:textId="77777777" w:rsidR="00FD67ED" w:rsidRPr="0003477B" w:rsidRDefault="00FD67ED" w:rsidP="00FD67ED">
      <w:pPr>
        <w:tabs>
          <w:tab w:val="left" w:pos="851"/>
        </w:tabs>
        <w:ind w:left="851"/>
        <w:rPr>
          <w:sz w:val="24"/>
          <w:szCs w:val="24"/>
          <w:u w:val="single"/>
          <w:lang w:val="en-US"/>
        </w:rPr>
      </w:pPr>
      <w:r w:rsidRPr="0003477B">
        <w:rPr>
          <w:sz w:val="24"/>
          <w:szCs w:val="24"/>
          <w:u w:val="single"/>
          <w:lang w:val="en-US"/>
        </w:rPr>
        <w:t>Special populations</w:t>
      </w:r>
    </w:p>
    <w:p w14:paraId="5BC00710" w14:textId="77777777" w:rsidR="00FD67ED" w:rsidRPr="00FD67ED" w:rsidRDefault="00FD67ED" w:rsidP="00FD67ED">
      <w:pPr>
        <w:tabs>
          <w:tab w:val="left" w:pos="851"/>
        </w:tabs>
        <w:ind w:left="851"/>
        <w:rPr>
          <w:i/>
          <w:sz w:val="24"/>
          <w:szCs w:val="24"/>
          <w:lang w:val="en-US"/>
        </w:rPr>
      </w:pPr>
    </w:p>
    <w:p w14:paraId="70DBD417" w14:textId="77777777" w:rsidR="00FD67ED" w:rsidRPr="00FD67ED" w:rsidRDefault="00FD67ED" w:rsidP="00FD67ED">
      <w:pPr>
        <w:tabs>
          <w:tab w:val="left" w:pos="851"/>
        </w:tabs>
        <w:ind w:left="851"/>
        <w:rPr>
          <w:i/>
          <w:sz w:val="24"/>
          <w:szCs w:val="24"/>
          <w:lang w:val="en-US"/>
        </w:rPr>
      </w:pPr>
      <w:r w:rsidRPr="00FD67ED">
        <w:rPr>
          <w:i/>
          <w:sz w:val="24"/>
          <w:szCs w:val="24"/>
          <w:lang w:val="en-US"/>
        </w:rPr>
        <w:t>Elderly</w:t>
      </w:r>
    </w:p>
    <w:p w14:paraId="3C646A0C" w14:textId="6FB76E0E" w:rsidR="00FD67ED" w:rsidRPr="00FD67ED" w:rsidRDefault="00FD67ED" w:rsidP="00FD67ED">
      <w:pPr>
        <w:tabs>
          <w:tab w:val="left" w:pos="851"/>
        </w:tabs>
        <w:ind w:left="851"/>
        <w:rPr>
          <w:sz w:val="24"/>
          <w:szCs w:val="24"/>
          <w:lang w:val="en-US"/>
        </w:rPr>
      </w:pPr>
      <w:r w:rsidRPr="00FD67ED">
        <w:rPr>
          <w:sz w:val="24"/>
          <w:szCs w:val="24"/>
          <w:lang w:val="en-US"/>
        </w:rPr>
        <w:t xml:space="preserve">The safety and efficacy of </w:t>
      </w:r>
      <w:r w:rsidR="00FB31A3">
        <w:rPr>
          <w:sz w:val="24"/>
          <w:szCs w:val="24"/>
          <w:lang w:val="en-US"/>
        </w:rPr>
        <w:t>Infilea</w:t>
      </w:r>
      <w:r w:rsidRPr="00FD67ED">
        <w:rPr>
          <w:sz w:val="24"/>
          <w:szCs w:val="24"/>
          <w:lang w:val="en-US"/>
        </w:rPr>
        <w:t xml:space="preserve"> shampoo in geriatric patients aged 65 years and above have not been established.</w:t>
      </w:r>
    </w:p>
    <w:p w14:paraId="73451337" w14:textId="77777777" w:rsidR="00FD67ED" w:rsidRPr="00FD67ED" w:rsidRDefault="00FD67ED" w:rsidP="00FD67ED">
      <w:pPr>
        <w:tabs>
          <w:tab w:val="left" w:pos="851"/>
        </w:tabs>
        <w:ind w:left="851"/>
        <w:rPr>
          <w:sz w:val="24"/>
          <w:szCs w:val="24"/>
          <w:lang w:val="en-US"/>
        </w:rPr>
      </w:pPr>
    </w:p>
    <w:p w14:paraId="3BFF2269" w14:textId="77777777" w:rsidR="00FD67ED" w:rsidRPr="00FD67ED" w:rsidRDefault="00FD67ED" w:rsidP="00FD67ED">
      <w:pPr>
        <w:tabs>
          <w:tab w:val="left" w:pos="851"/>
        </w:tabs>
        <w:ind w:left="851"/>
        <w:rPr>
          <w:i/>
          <w:sz w:val="24"/>
          <w:szCs w:val="24"/>
          <w:lang w:val="en-US"/>
        </w:rPr>
      </w:pPr>
      <w:r w:rsidRPr="00FD67ED">
        <w:rPr>
          <w:i/>
          <w:sz w:val="24"/>
          <w:szCs w:val="24"/>
          <w:lang w:val="en-US"/>
        </w:rPr>
        <w:t>Renal impairment</w:t>
      </w:r>
    </w:p>
    <w:p w14:paraId="45D7F2AE" w14:textId="62CA5886" w:rsidR="00FD67ED" w:rsidRPr="00FD67ED" w:rsidRDefault="00FB31A3" w:rsidP="00FD67ED">
      <w:pPr>
        <w:tabs>
          <w:tab w:val="left" w:pos="851"/>
        </w:tabs>
        <w:ind w:left="851"/>
        <w:rPr>
          <w:sz w:val="24"/>
          <w:szCs w:val="24"/>
          <w:lang w:val="en-US"/>
        </w:rPr>
      </w:pPr>
      <w:r>
        <w:rPr>
          <w:sz w:val="24"/>
          <w:szCs w:val="24"/>
          <w:lang w:val="en-US"/>
        </w:rPr>
        <w:t>Infilea</w:t>
      </w:r>
      <w:r w:rsidR="00FD67ED" w:rsidRPr="00FD67ED">
        <w:rPr>
          <w:sz w:val="24"/>
          <w:szCs w:val="24"/>
          <w:lang w:val="en-US"/>
        </w:rPr>
        <w:t xml:space="preserve"> shampoo has not been studied in patients with renal impairment.</w:t>
      </w:r>
    </w:p>
    <w:p w14:paraId="0885E391" w14:textId="77777777" w:rsidR="00FD67ED" w:rsidRPr="00FD67ED" w:rsidRDefault="00FD67ED" w:rsidP="00FD67ED">
      <w:pPr>
        <w:tabs>
          <w:tab w:val="left" w:pos="851"/>
        </w:tabs>
        <w:ind w:left="851"/>
        <w:rPr>
          <w:sz w:val="24"/>
          <w:szCs w:val="24"/>
          <w:lang w:val="en-US"/>
        </w:rPr>
      </w:pPr>
    </w:p>
    <w:p w14:paraId="1377E9CD" w14:textId="77777777" w:rsidR="00FD67ED" w:rsidRPr="00FD67ED" w:rsidRDefault="00FD67ED" w:rsidP="00FD67ED">
      <w:pPr>
        <w:tabs>
          <w:tab w:val="left" w:pos="851"/>
        </w:tabs>
        <w:ind w:left="851"/>
        <w:rPr>
          <w:i/>
          <w:sz w:val="24"/>
          <w:szCs w:val="24"/>
          <w:lang w:val="en-US"/>
        </w:rPr>
      </w:pPr>
      <w:r w:rsidRPr="00FD67ED">
        <w:rPr>
          <w:i/>
          <w:sz w:val="24"/>
          <w:szCs w:val="24"/>
          <w:lang w:val="en-US"/>
        </w:rPr>
        <w:t>Hepatic impairment</w:t>
      </w:r>
    </w:p>
    <w:p w14:paraId="7A5112D2" w14:textId="77777777" w:rsidR="00FD67ED" w:rsidRPr="00FD67ED" w:rsidRDefault="00FD67ED" w:rsidP="00FD67ED">
      <w:pPr>
        <w:tabs>
          <w:tab w:val="left" w:pos="851"/>
        </w:tabs>
        <w:ind w:left="851"/>
        <w:rPr>
          <w:sz w:val="24"/>
          <w:szCs w:val="24"/>
          <w:lang w:val="en-US"/>
        </w:rPr>
      </w:pPr>
      <w:r w:rsidRPr="00FD67ED">
        <w:rPr>
          <w:sz w:val="24"/>
          <w:szCs w:val="24"/>
          <w:lang w:val="en-US"/>
        </w:rPr>
        <w:t>Patients with severe liver dysfunction should be treated with special caution and closely monitored for side-effects.</w:t>
      </w:r>
    </w:p>
    <w:p w14:paraId="134BE8B8" w14:textId="77777777" w:rsidR="00FD67ED" w:rsidRPr="00FD67ED" w:rsidRDefault="00FD67ED" w:rsidP="00FD67ED">
      <w:pPr>
        <w:tabs>
          <w:tab w:val="left" w:pos="851"/>
        </w:tabs>
        <w:ind w:left="851"/>
        <w:rPr>
          <w:sz w:val="24"/>
          <w:szCs w:val="24"/>
          <w:lang w:val="en-US"/>
        </w:rPr>
      </w:pPr>
    </w:p>
    <w:p w14:paraId="622B9A02" w14:textId="77777777" w:rsidR="00FD67ED" w:rsidRPr="00FD67ED" w:rsidRDefault="00FD67ED" w:rsidP="00FD67ED">
      <w:pPr>
        <w:tabs>
          <w:tab w:val="left" w:pos="851"/>
        </w:tabs>
        <w:ind w:left="851"/>
        <w:rPr>
          <w:bCs/>
          <w:i/>
          <w:sz w:val="24"/>
          <w:szCs w:val="24"/>
          <w:lang w:val="en-US"/>
        </w:rPr>
      </w:pPr>
      <w:r w:rsidRPr="00FD67ED">
        <w:rPr>
          <w:bCs/>
          <w:i/>
          <w:sz w:val="24"/>
          <w:szCs w:val="24"/>
          <w:lang w:val="en-US"/>
        </w:rPr>
        <w:t>Paediatric population</w:t>
      </w:r>
    </w:p>
    <w:p w14:paraId="3DC01D49" w14:textId="77777777" w:rsidR="00FD67ED" w:rsidRPr="00FD67ED" w:rsidRDefault="00FD67ED" w:rsidP="00FD67ED">
      <w:pPr>
        <w:tabs>
          <w:tab w:val="left" w:pos="851"/>
        </w:tabs>
        <w:ind w:left="851"/>
        <w:rPr>
          <w:sz w:val="24"/>
          <w:szCs w:val="24"/>
          <w:lang w:val="en-US"/>
        </w:rPr>
      </w:pPr>
      <w:r w:rsidRPr="00FD67ED">
        <w:rPr>
          <w:sz w:val="24"/>
          <w:szCs w:val="24"/>
          <w:lang w:val="en-US"/>
        </w:rPr>
        <w:t xml:space="preserve">The experience in the paediatric population is limited. </w:t>
      </w:r>
    </w:p>
    <w:p w14:paraId="0E305C34" w14:textId="78AC26AC" w:rsidR="00FD67ED" w:rsidRPr="00FD67ED" w:rsidRDefault="00FB31A3" w:rsidP="00FD67ED">
      <w:pPr>
        <w:tabs>
          <w:tab w:val="left" w:pos="851"/>
        </w:tabs>
        <w:ind w:left="851"/>
        <w:rPr>
          <w:sz w:val="24"/>
          <w:szCs w:val="24"/>
          <w:lang w:val="en-US"/>
        </w:rPr>
      </w:pPr>
      <w:r>
        <w:rPr>
          <w:sz w:val="24"/>
          <w:szCs w:val="24"/>
          <w:lang w:val="en-US"/>
        </w:rPr>
        <w:t>Infilea</w:t>
      </w:r>
      <w:r w:rsidR="00FD67ED" w:rsidRPr="00FD67ED">
        <w:rPr>
          <w:sz w:val="24"/>
          <w:szCs w:val="24"/>
          <w:lang w:val="en-US"/>
        </w:rPr>
        <w:t xml:space="preserve"> shampoo is not recommended for use in children and adolescents below 18 years of age. It is contraindicated in children under 2 years of age (see sections 4.3 and 4.4).</w:t>
      </w:r>
    </w:p>
    <w:p w14:paraId="17C3531E" w14:textId="77777777" w:rsidR="007C5D2A" w:rsidRPr="00FD67ED" w:rsidRDefault="007C5D2A" w:rsidP="00A85D26">
      <w:pPr>
        <w:tabs>
          <w:tab w:val="left" w:pos="851"/>
        </w:tabs>
        <w:ind w:left="851"/>
        <w:rPr>
          <w:sz w:val="24"/>
          <w:szCs w:val="24"/>
          <w:lang w:val="en-US"/>
        </w:rPr>
      </w:pPr>
    </w:p>
    <w:p w14:paraId="3B585E8B"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0CBAB7F3" w14:textId="77777777" w:rsidR="00FD67ED" w:rsidRPr="00FD67ED" w:rsidRDefault="00FD67ED" w:rsidP="00531B91">
      <w:pPr>
        <w:numPr>
          <w:ilvl w:val="0"/>
          <w:numId w:val="5"/>
        </w:numPr>
        <w:tabs>
          <w:tab w:val="left" w:pos="851"/>
        </w:tabs>
        <w:ind w:left="1134" w:hanging="283"/>
        <w:rPr>
          <w:sz w:val="24"/>
          <w:szCs w:val="24"/>
          <w:lang w:val="en-US"/>
        </w:rPr>
      </w:pPr>
      <w:r w:rsidRPr="00FD67ED">
        <w:rPr>
          <w:sz w:val="24"/>
          <w:szCs w:val="24"/>
          <w:lang w:val="en-US"/>
        </w:rPr>
        <w:t>Hypersensitivity to the active substance or to any of the excipients listed in section 6.1.</w:t>
      </w:r>
    </w:p>
    <w:p w14:paraId="722F8E8F" w14:textId="6701E1E9" w:rsidR="00FD67ED" w:rsidRPr="00FD67ED" w:rsidRDefault="00FB31A3" w:rsidP="00531B91">
      <w:pPr>
        <w:numPr>
          <w:ilvl w:val="0"/>
          <w:numId w:val="5"/>
        </w:numPr>
        <w:tabs>
          <w:tab w:val="left" w:pos="851"/>
        </w:tabs>
        <w:ind w:left="1134" w:hanging="283"/>
        <w:rPr>
          <w:sz w:val="24"/>
          <w:szCs w:val="24"/>
          <w:lang w:val="en-US"/>
        </w:rPr>
      </w:pPr>
      <w:r>
        <w:rPr>
          <w:sz w:val="24"/>
          <w:szCs w:val="24"/>
          <w:lang w:val="en-US"/>
        </w:rPr>
        <w:t>Infilea</w:t>
      </w:r>
      <w:r w:rsidR="00FD67ED" w:rsidRPr="00FD67ED">
        <w:rPr>
          <w:sz w:val="24"/>
          <w:szCs w:val="24"/>
          <w:lang w:val="en-US"/>
        </w:rPr>
        <w:t xml:space="preserve"> shampoo must not be applied on skin areas affected by bacterial, viral (varicella, herpes simplex, herpes zoster), fungal or parasitic infections, ulcerous wounds and specific skin diseases (skin tuberculosis, skin diseases caused by lues).</w:t>
      </w:r>
    </w:p>
    <w:p w14:paraId="257D0760" w14:textId="3A63C774" w:rsidR="00FD67ED" w:rsidRPr="00FD67ED" w:rsidRDefault="00FB31A3" w:rsidP="00531B91">
      <w:pPr>
        <w:numPr>
          <w:ilvl w:val="0"/>
          <w:numId w:val="5"/>
        </w:numPr>
        <w:tabs>
          <w:tab w:val="left" w:pos="851"/>
        </w:tabs>
        <w:ind w:left="1134" w:hanging="283"/>
        <w:rPr>
          <w:sz w:val="24"/>
          <w:szCs w:val="24"/>
          <w:lang w:val="en-US"/>
        </w:rPr>
      </w:pPr>
      <w:r>
        <w:rPr>
          <w:sz w:val="24"/>
          <w:szCs w:val="24"/>
          <w:lang w:val="en-US"/>
        </w:rPr>
        <w:t>Infilea</w:t>
      </w:r>
      <w:r w:rsidR="00FD67ED" w:rsidRPr="00FD67ED">
        <w:rPr>
          <w:sz w:val="24"/>
          <w:szCs w:val="24"/>
          <w:lang w:val="en-US"/>
        </w:rPr>
        <w:t xml:space="preserve"> must not be applied to the eye and eyelids (risk of glaucoma, risk of cataract).</w:t>
      </w:r>
    </w:p>
    <w:p w14:paraId="4890B86E" w14:textId="77777777" w:rsidR="00FD67ED" w:rsidRPr="00FD67ED" w:rsidRDefault="00FD67ED" w:rsidP="00531B91">
      <w:pPr>
        <w:numPr>
          <w:ilvl w:val="0"/>
          <w:numId w:val="5"/>
        </w:numPr>
        <w:tabs>
          <w:tab w:val="left" w:pos="851"/>
        </w:tabs>
        <w:ind w:left="1134" w:hanging="283"/>
        <w:rPr>
          <w:sz w:val="24"/>
          <w:szCs w:val="24"/>
          <w:lang w:val="en-US"/>
        </w:rPr>
      </w:pPr>
      <w:r w:rsidRPr="00FD67ED">
        <w:rPr>
          <w:sz w:val="24"/>
          <w:szCs w:val="24"/>
          <w:lang w:val="en-US"/>
        </w:rPr>
        <w:t>Children under 2 years of age.</w:t>
      </w:r>
    </w:p>
    <w:p w14:paraId="6FC923B4" w14:textId="7BCED8FC" w:rsidR="00B14721" w:rsidRDefault="00B14721">
      <w:pPr>
        <w:rPr>
          <w:sz w:val="24"/>
          <w:szCs w:val="24"/>
          <w:lang w:val="en-US"/>
        </w:rPr>
      </w:pPr>
      <w:r>
        <w:rPr>
          <w:sz w:val="24"/>
          <w:szCs w:val="24"/>
          <w:lang w:val="en-US"/>
        </w:rPr>
        <w:br w:type="page"/>
      </w:r>
    </w:p>
    <w:p w14:paraId="49672FD6" w14:textId="77777777" w:rsidR="007C5D2A" w:rsidRPr="00FD67ED" w:rsidRDefault="007C5D2A" w:rsidP="003E0341">
      <w:pPr>
        <w:tabs>
          <w:tab w:val="left" w:pos="851"/>
        </w:tabs>
        <w:ind w:left="851"/>
        <w:rPr>
          <w:sz w:val="24"/>
          <w:szCs w:val="24"/>
          <w:lang w:val="en-US"/>
        </w:rPr>
      </w:pPr>
    </w:p>
    <w:p w14:paraId="126B9878"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65422535" w14:textId="77777777" w:rsidR="002D5C9B" w:rsidRPr="002D5C9B" w:rsidRDefault="002D5C9B" w:rsidP="002D5C9B">
      <w:pPr>
        <w:tabs>
          <w:tab w:val="left" w:pos="851"/>
        </w:tabs>
        <w:ind w:left="851"/>
        <w:rPr>
          <w:sz w:val="24"/>
          <w:szCs w:val="24"/>
          <w:lang w:val="en-US"/>
        </w:rPr>
      </w:pPr>
    </w:p>
    <w:p w14:paraId="359A43BD" w14:textId="77777777" w:rsidR="002D5C9B" w:rsidRPr="002D5C9B" w:rsidRDefault="002D5C9B" w:rsidP="002D5C9B">
      <w:pPr>
        <w:tabs>
          <w:tab w:val="left" w:pos="851"/>
        </w:tabs>
        <w:ind w:left="851"/>
        <w:rPr>
          <w:i/>
          <w:iCs/>
          <w:sz w:val="24"/>
          <w:szCs w:val="24"/>
          <w:lang w:val="en-US"/>
        </w:rPr>
      </w:pPr>
      <w:r w:rsidRPr="002D5C9B">
        <w:rPr>
          <w:i/>
          <w:iCs/>
          <w:sz w:val="24"/>
          <w:szCs w:val="24"/>
          <w:lang w:val="en-US"/>
        </w:rPr>
        <w:t>Hypersensitivity</w:t>
      </w:r>
    </w:p>
    <w:p w14:paraId="7A256932" w14:textId="77777777" w:rsidR="002D5C9B" w:rsidRPr="002D5C9B" w:rsidRDefault="002D5C9B" w:rsidP="002D5C9B">
      <w:pPr>
        <w:tabs>
          <w:tab w:val="left" w:pos="851"/>
        </w:tabs>
        <w:ind w:left="851"/>
        <w:rPr>
          <w:sz w:val="24"/>
          <w:szCs w:val="24"/>
          <w:lang w:val="en-US"/>
        </w:rPr>
      </w:pPr>
      <w:r w:rsidRPr="002D5C9B">
        <w:rPr>
          <w:sz w:val="24"/>
          <w:szCs w:val="24"/>
          <w:lang w:val="en-US"/>
        </w:rPr>
        <w:t>Hypersensitivity to corticosteroids can be observed.</w:t>
      </w:r>
    </w:p>
    <w:p w14:paraId="0841A492" w14:textId="77777777" w:rsidR="002D5C9B" w:rsidRPr="002D5C9B" w:rsidRDefault="002D5C9B" w:rsidP="002D5C9B">
      <w:pPr>
        <w:tabs>
          <w:tab w:val="left" w:pos="851"/>
        </w:tabs>
        <w:ind w:left="851"/>
        <w:rPr>
          <w:sz w:val="24"/>
          <w:szCs w:val="24"/>
          <w:lang w:val="en-US"/>
        </w:rPr>
      </w:pPr>
      <w:r w:rsidRPr="002D5C9B">
        <w:rPr>
          <w:sz w:val="24"/>
          <w:szCs w:val="24"/>
          <w:lang w:val="en-US"/>
        </w:rPr>
        <w:t>Therefore, clobetasol propionate, is not recommended in patients who are hypersensitive to other corticosteroids.</w:t>
      </w:r>
    </w:p>
    <w:p w14:paraId="59531CD3" w14:textId="77777777" w:rsidR="002D5C9B" w:rsidRPr="002D5C9B" w:rsidRDefault="002D5C9B" w:rsidP="002D5C9B">
      <w:pPr>
        <w:tabs>
          <w:tab w:val="left" w:pos="851"/>
        </w:tabs>
        <w:ind w:left="851"/>
        <w:rPr>
          <w:sz w:val="24"/>
          <w:szCs w:val="24"/>
          <w:u w:val="single"/>
          <w:lang w:val="en-US"/>
        </w:rPr>
      </w:pPr>
    </w:p>
    <w:p w14:paraId="6485B5CC" w14:textId="77777777" w:rsidR="002D5C9B" w:rsidRPr="002D5C9B" w:rsidRDefault="002D5C9B" w:rsidP="002D5C9B">
      <w:pPr>
        <w:tabs>
          <w:tab w:val="left" w:pos="851"/>
        </w:tabs>
        <w:ind w:left="851"/>
        <w:rPr>
          <w:i/>
          <w:iCs/>
          <w:sz w:val="24"/>
          <w:szCs w:val="24"/>
          <w:lang w:val="en-US"/>
        </w:rPr>
      </w:pPr>
      <w:r w:rsidRPr="002D5C9B">
        <w:rPr>
          <w:i/>
          <w:iCs/>
          <w:sz w:val="24"/>
          <w:szCs w:val="24"/>
          <w:lang w:val="en-US"/>
        </w:rPr>
        <w:t>Osteonecrosis, serious infections and immunosuppression</w:t>
      </w:r>
    </w:p>
    <w:p w14:paraId="789C4991" w14:textId="77777777" w:rsidR="002D5C9B" w:rsidRPr="002D5C9B" w:rsidRDefault="002D5C9B" w:rsidP="002D5C9B">
      <w:pPr>
        <w:tabs>
          <w:tab w:val="left" w:pos="851"/>
        </w:tabs>
        <w:ind w:left="851"/>
        <w:rPr>
          <w:sz w:val="24"/>
          <w:szCs w:val="24"/>
          <w:lang w:val="en-US"/>
        </w:rPr>
      </w:pPr>
      <w:r w:rsidRPr="002D5C9B">
        <w:rPr>
          <w:sz w:val="24"/>
          <w:szCs w:val="24"/>
          <w:lang w:val="en-US"/>
        </w:rPr>
        <w:t>Cases of osteonecrosis, serious infections (including necrotizing fasciitis) and systemic immunosuppression (sometimes resulting in reversible Kaposi’s sarcoma lesions) have been reported with long-term use of clobetasol propionate beyond the recommended doses (see section 4.2). In some cases, patients used concomitantly other potent oral/topical corticosteroids or immunosuppressors (e.g. methotrexate, mycophenolate mofetil). If treatment with local corticosteroids is clinically justified beyond 4 weeks, a less potent corticosteroid preparation should be considered.</w:t>
      </w:r>
    </w:p>
    <w:p w14:paraId="1EBF468D" w14:textId="77777777" w:rsidR="002D5C9B" w:rsidRPr="002D5C9B" w:rsidRDefault="002D5C9B" w:rsidP="002D5C9B">
      <w:pPr>
        <w:tabs>
          <w:tab w:val="left" w:pos="851"/>
        </w:tabs>
        <w:ind w:left="851"/>
        <w:rPr>
          <w:sz w:val="24"/>
          <w:szCs w:val="24"/>
          <w:lang w:val="en-US"/>
        </w:rPr>
      </w:pPr>
    </w:p>
    <w:p w14:paraId="2B0240E7" w14:textId="77777777" w:rsidR="002D5C9B" w:rsidRPr="002D5C9B" w:rsidRDefault="002D5C9B" w:rsidP="002D5C9B">
      <w:pPr>
        <w:tabs>
          <w:tab w:val="left" w:pos="851"/>
        </w:tabs>
        <w:ind w:left="851"/>
        <w:rPr>
          <w:i/>
          <w:iCs/>
          <w:sz w:val="24"/>
          <w:szCs w:val="24"/>
          <w:lang w:val="en-US"/>
        </w:rPr>
      </w:pPr>
      <w:r w:rsidRPr="002D5C9B">
        <w:rPr>
          <w:i/>
          <w:iCs/>
          <w:sz w:val="24"/>
          <w:szCs w:val="24"/>
          <w:lang w:val="en-US"/>
        </w:rPr>
        <w:t>Systemic effects</w:t>
      </w:r>
    </w:p>
    <w:p w14:paraId="1080A1CE" w14:textId="77777777" w:rsidR="002D5C9B" w:rsidRPr="002D5C9B" w:rsidRDefault="002D5C9B" w:rsidP="002D5C9B">
      <w:pPr>
        <w:tabs>
          <w:tab w:val="left" w:pos="851"/>
        </w:tabs>
        <w:ind w:left="851"/>
        <w:rPr>
          <w:sz w:val="24"/>
          <w:szCs w:val="24"/>
          <w:lang w:val="en-US"/>
        </w:rPr>
      </w:pPr>
      <w:r w:rsidRPr="002D5C9B">
        <w:rPr>
          <w:sz w:val="24"/>
          <w:szCs w:val="24"/>
          <w:lang w:val="en-US"/>
        </w:rPr>
        <w:t>Long-term continuous therapy with corticosteroids, use of occlusive mobcaps, treatment of large surface areas especially in children, can enhance absorption and lead to a higher risk of systemic effects. In such cases, medical supervision should be increased and patients may be evaluated periodically for evidence of HPA axis suppression. Systemic absorption of topical corticosteroids induced by prolonged use especially on large surface areas has caused reversible adrenal suppression with the potential for glucocorticosteroid insufficiency, manifestations of Cushing’s syndrome in some patients. Such systemic effects resolve when treatment is stopped. However, abrupt discontinuation can lead to acute adrenal insufficiency, especially in children.</w:t>
      </w:r>
    </w:p>
    <w:p w14:paraId="31CC250B" w14:textId="77777777" w:rsidR="002D5C9B" w:rsidRPr="002D5C9B" w:rsidRDefault="002D5C9B" w:rsidP="002D5C9B">
      <w:pPr>
        <w:tabs>
          <w:tab w:val="left" w:pos="851"/>
        </w:tabs>
        <w:ind w:left="851"/>
        <w:rPr>
          <w:sz w:val="24"/>
          <w:szCs w:val="24"/>
          <w:lang w:val="en-US"/>
        </w:rPr>
      </w:pPr>
    </w:p>
    <w:p w14:paraId="7FB5DC3A" w14:textId="77777777" w:rsidR="002D5C9B" w:rsidRPr="002D5C9B" w:rsidRDefault="002D5C9B" w:rsidP="002D5C9B">
      <w:pPr>
        <w:tabs>
          <w:tab w:val="left" w:pos="851"/>
        </w:tabs>
        <w:ind w:left="851"/>
        <w:rPr>
          <w:i/>
          <w:iCs/>
          <w:sz w:val="24"/>
          <w:szCs w:val="24"/>
          <w:lang w:val="en-US"/>
        </w:rPr>
      </w:pPr>
      <w:r w:rsidRPr="002D5C9B">
        <w:rPr>
          <w:i/>
          <w:iCs/>
          <w:sz w:val="24"/>
          <w:szCs w:val="24"/>
          <w:lang w:val="en-US"/>
        </w:rPr>
        <w:t>Diabetes mellitus</w:t>
      </w:r>
    </w:p>
    <w:p w14:paraId="7ECE96FA" w14:textId="77777777" w:rsidR="002D5C9B" w:rsidRPr="002D5C9B" w:rsidRDefault="002D5C9B" w:rsidP="002D5C9B">
      <w:pPr>
        <w:tabs>
          <w:tab w:val="left" w:pos="851"/>
        </w:tabs>
        <w:ind w:left="851"/>
        <w:rPr>
          <w:sz w:val="24"/>
          <w:szCs w:val="24"/>
          <w:lang w:val="en-US"/>
        </w:rPr>
      </w:pPr>
      <w:r w:rsidRPr="002D5C9B">
        <w:rPr>
          <w:sz w:val="24"/>
          <w:szCs w:val="24"/>
          <w:lang w:val="en-US"/>
        </w:rPr>
        <w:t xml:space="preserve">Worsening of glycaemic control in patients with diabetes mellitus may occur with systemic absorption of topical corticosteroids. Patients with uncontrolled diabetes mellitus should be treated with special caution and close monitoring of blood glucose is recommended. </w:t>
      </w:r>
    </w:p>
    <w:p w14:paraId="5682E30A" w14:textId="77777777" w:rsidR="002D5C9B" w:rsidRPr="002D5C9B" w:rsidRDefault="002D5C9B" w:rsidP="002D5C9B">
      <w:pPr>
        <w:tabs>
          <w:tab w:val="left" w:pos="851"/>
        </w:tabs>
        <w:ind w:left="851"/>
        <w:rPr>
          <w:sz w:val="24"/>
          <w:szCs w:val="24"/>
          <w:lang w:val="en-US"/>
        </w:rPr>
      </w:pPr>
    </w:p>
    <w:p w14:paraId="764CD7F6" w14:textId="77777777" w:rsidR="002D5C9B" w:rsidRPr="002D5C9B" w:rsidRDefault="002D5C9B" w:rsidP="002D5C9B">
      <w:pPr>
        <w:tabs>
          <w:tab w:val="left" w:pos="851"/>
        </w:tabs>
        <w:ind w:left="851"/>
        <w:rPr>
          <w:i/>
          <w:iCs/>
          <w:sz w:val="24"/>
          <w:szCs w:val="24"/>
          <w:lang w:val="en-US"/>
        </w:rPr>
      </w:pPr>
      <w:r w:rsidRPr="002D5C9B">
        <w:rPr>
          <w:i/>
          <w:iCs/>
          <w:sz w:val="24"/>
          <w:szCs w:val="24"/>
          <w:lang w:val="en-US"/>
        </w:rPr>
        <w:t>Tolerance and local toxicity</w:t>
      </w:r>
    </w:p>
    <w:p w14:paraId="7D05F6B1" w14:textId="77777777" w:rsidR="002D5C9B" w:rsidRPr="002D5C9B" w:rsidRDefault="002D5C9B" w:rsidP="002D5C9B">
      <w:pPr>
        <w:tabs>
          <w:tab w:val="left" w:pos="851"/>
        </w:tabs>
        <w:ind w:left="851"/>
        <w:rPr>
          <w:sz w:val="24"/>
          <w:szCs w:val="24"/>
          <w:lang w:val="en-US"/>
        </w:rPr>
      </w:pPr>
      <w:r w:rsidRPr="002D5C9B">
        <w:rPr>
          <w:sz w:val="24"/>
          <w:szCs w:val="24"/>
          <w:lang w:val="en-US"/>
        </w:rPr>
        <w:t>Topical corticosteroids should be used with caution as development of tolerance (tachyphylaxis) may occur as well as local toxicity, such as skin atrophy, infection and telangiectasia of the skin.</w:t>
      </w:r>
    </w:p>
    <w:p w14:paraId="68D5EE17" w14:textId="77777777" w:rsidR="002D5C9B" w:rsidRPr="002D5C9B" w:rsidRDefault="002D5C9B" w:rsidP="002D5C9B">
      <w:pPr>
        <w:tabs>
          <w:tab w:val="left" w:pos="851"/>
        </w:tabs>
        <w:ind w:left="851"/>
        <w:rPr>
          <w:sz w:val="24"/>
          <w:szCs w:val="24"/>
          <w:lang w:val="en-US"/>
        </w:rPr>
      </w:pPr>
    </w:p>
    <w:p w14:paraId="721BEA0E" w14:textId="77777777" w:rsidR="002D5C9B" w:rsidRPr="002D5C9B" w:rsidRDefault="002D5C9B" w:rsidP="002D5C9B">
      <w:pPr>
        <w:tabs>
          <w:tab w:val="left" w:pos="851"/>
        </w:tabs>
        <w:ind w:left="851"/>
        <w:rPr>
          <w:i/>
          <w:iCs/>
          <w:sz w:val="24"/>
          <w:szCs w:val="24"/>
          <w:lang w:val="en-US"/>
        </w:rPr>
      </w:pPr>
      <w:r w:rsidRPr="002D5C9B">
        <w:rPr>
          <w:i/>
          <w:iCs/>
          <w:sz w:val="24"/>
          <w:szCs w:val="24"/>
          <w:lang w:val="en-US"/>
        </w:rPr>
        <w:t>Other skin areas</w:t>
      </w:r>
    </w:p>
    <w:p w14:paraId="33EF0509" w14:textId="6A4CAF47" w:rsidR="002D5C9B" w:rsidRPr="002D5C9B" w:rsidRDefault="00FB31A3" w:rsidP="002D5C9B">
      <w:pPr>
        <w:tabs>
          <w:tab w:val="left" w:pos="851"/>
        </w:tabs>
        <w:ind w:left="851"/>
        <w:rPr>
          <w:sz w:val="24"/>
          <w:szCs w:val="24"/>
          <w:lang w:val="en-US"/>
        </w:rPr>
      </w:pPr>
      <w:r>
        <w:rPr>
          <w:sz w:val="24"/>
          <w:szCs w:val="24"/>
          <w:lang w:val="en-US"/>
        </w:rPr>
        <w:t>Infilea</w:t>
      </w:r>
      <w:r w:rsidR="002D5C9B" w:rsidRPr="002D5C9B">
        <w:rPr>
          <w:sz w:val="24"/>
          <w:szCs w:val="24"/>
          <w:lang w:val="en-US"/>
        </w:rPr>
        <w:t xml:space="preserve"> shampoo is only intended for the treatment of scalp psoriasis and should not be used to treat other skin areas. In particular, </w:t>
      </w:r>
      <w:r>
        <w:rPr>
          <w:sz w:val="24"/>
          <w:szCs w:val="24"/>
          <w:lang w:val="en-US"/>
        </w:rPr>
        <w:t>Infilea</w:t>
      </w:r>
      <w:r w:rsidR="002D5C9B" w:rsidRPr="002D5C9B">
        <w:rPr>
          <w:sz w:val="24"/>
          <w:szCs w:val="24"/>
          <w:lang w:val="en-US"/>
        </w:rPr>
        <w:t xml:space="preserve"> is not recommended for use in the face, intertriginous areas (axillae and genitoanal regions) and on other erosive skin surfaces as this could increase the risk of adverse events such as atrophic changes, telangiectasia, corticosteroid-induced dermatitis or secondary infection. The face, more than other areas of the body, may exhibit atrophic changes after prolonged treatment with potent topical corticosteroids.</w:t>
      </w:r>
    </w:p>
    <w:p w14:paraId="73A0FE1D" w14:textId="77777777" w:rsidR="002D5C9B" w:rsidRPr="002D5C9B" w:rsidRDefault="002D5C9B" w:rsidP="002D5C9B">
      <w:pPr>
        <w:tabs>
          <w:tab w:val="left" w:pos="851"/>
        </w:tabs>
        <w:ind w:left="851"/>
        <w:rPr>
          <w:sz w:val="24"/>
          <w:szCs w:val="24"/>
          <w:lang w:val="en-US"/>
        </w:rPr>
      </w:pPr>
    </w:p>
    <w:p w14:paraId="02418232" w14:textId="77777777" w:rsidR="002D5C9B" w:rsidRPr="002D5C9B" w:rsidRDefault="002D5C9B" w:rsidP="002D5C9B">
      <w:pPr>
        <w:tabs>
          <w:tab w:val="left" w:pos="851"/>
        </w:tabs>
        <w:ind w:left="851"/>
        <w:rPr>
          <w:i/>
          <w:iCs/>
          <w:sz w:val="24"/>
          <w:szCs w:val="24"/>
          <w:lang w:val="en-US"/>
        </w:rPr>
      </w:pPr>
      <w:r w:rsidRPr="002D5C9B">
        <w:rPr>
          <w:i/>
          <w:iCs/>
          <w:sz w:val="24"/>
          <w:szCs w:val="24"/>
          <w:lang w:val="en-US"/>
        </w:rPr>
        <w:t>Generalised pustular psoriasis</w:t>
      </w:r>
    </w:p>
    <w:p w14:paraId="262C5BC2" w14:textId="77777777" w:rsidR="002D5C9B" w:rsidRPr="002D5C9B" w:rsidRDefault="002D5C9B" w:rsidP="002D5C9B">
      <w:pPr>
        <w:tabs>
          <w:tab w:val="left" w:pos="851"/>
        </w:tabs>
        <w:ind w:left="851"/>
        <w:rPr>
          <w:sz w:val="24"/>
          <w:szCs w:val="24"/>
          <w:lang w:val="en-US"/>
        </w:rPr>
      </w:pPr>
      <w:r w:rsidRPr="002D5C9B">
        <w:rPr>
          <w:sz w:val="24"/>
          <w:szCs w:val="24"/>
          <w:lang w:val="en-US"/>
        </w:rPr>
        <w:t xml:space="preserve">In rare instances, treatment of psoriasis with corticosteroids (or its withdrawal) is thought to have provoked generalised pustular psoriasis in case of intensive and prolonged topical use. </w:t>
      </w:r>
    </w:p>
    <w:p w14:paraId="0EC8DFAC" w14:textId="77777777" w:rsidR="002D5C9B" w:rsidRPr="002D5C9B" w:rsidRDefault="002D5C9B" w:rsidP="002D5C9B">
      <w:pPr>
        <w:tabs>
          <w:tab w:val="left" w:pos="851"/>
        </w:tabs>
        <w:ind w:left="851"/>
        <w:rPr>
          <w:sz w:val="24"/>
          <w:szCs w:val="24"/>
          <w:lang w:val="en-US"/>
        </w:rPr>
      </w:pPr>
    </w:p>
    <w:p w14:paraId="4B398AD2" w14:textId="77777777" w:rsidR="002D5C9B" w:rsidRPr="002D5C9B" w:rsidRDefault="002D5C9B" w:rsidP="002D5C9B">
      <w:pPr>
        <w:tabs>
          <w:tab w:val="left" w:pos="851"/>
        </w:tabs>
        <w:ind w:left="851"/>
        <w:rPr>
          <w:i/>
          <w:iCs/>
          <w:sz w:val="24"/>
          <w:szCs w:val="24"/>
          <w:lang w:val="en-US"/>
        </w:rPr>
      </w:pPr>
      <w:r w:rsidRPr="002D5C9B">
        <w:rPr>
          <w:i/>
          <w:iCs/>
          <w:sz w:val="24"/>
          <w:szCs w:val="24"/>
          <w:lang w:val="en-US"/>
        </w:rPr>
        <w:t>Acne, rosacea and perioral dermatitis</w:t>
      </w:r>
    </w:p>
    <w:p w14:paraId="798F831C" w14:textId="77777777" w:rsidR="002D5C9B" w:rsidRPr="002D5C9B" w:rsidRDefault="002D5C9B" w:rsidP="002D5C9B">
      <w:pPr>
        <w:tabs>
          <w:tab w:val="left" w:pos="851"/>
        </w:tabs>
        <w:ind w:left="851"/>
        <w:rPr>
          <w:sz w:val="24"/>
          <w:szCs w:val="24"/>
          <w:lang w:val="en-US"/>
        </w:rPr>
      </w:pPr>
      <w:r w:rsidRPr="002D5C9B">
        <w:rPr>
          <w:sz w:val="24"/>
          <w:szCs w:val="24"/>
          <w:lang w:val="en-US"/>
        </w:rPr>
        <w:t>Clobetasol propionate, is not recommended in patients with acne vulgaris, rosacea or perioral dermatitis. When applied to the face, very potent corticosteroids can also induce perioral dermatitis or worsen rosacea.</w:t>
      </w:r>
    </w:p>
    <w:p w14:paraId="11A5CDCC" w14:textId="77777777" w:rsidR="002D5C9B" w:rsidRPr="002D5C9B" w:rsidRDefault="002D5C9B" w:rsidP="002D5C9B">
      <w:pPr>
        <w:tabs>
          <w:tab w:val="left" w:pos="851"/>
        </w:tabs>
        <w:ind w:left="851"/>
        <w:rPr>
          <w:sz w:val="24"/>
          <w:szCs w:val="24"/>
          <w:lang w:val="en-US"/>
        </w:rPr>
      </w:pPr>
    </w:p>
    <w:p w14:paraId="20D4D212" w14:textId="77777777" w:rsidR="002D5C9B" w:rsidRPr="002D5C9B" w:rsidRDefault="002D5C9B" w:rsidP="002D5C9B">
      <w:pPr>
        <w:tabs>
          <w:tab w:val="left" w:pos="851"/>
        </w:tabs>
        <w:ind w:left="851"/>
        <w:rPr>
          <w:i/>
          <w:iCs/>
          <w:sz w:val="24"/>
          <w:szCs w:val="24"/>
          <w:lang w:val="en-GB"/>
        </w:rPr>
      </w:pPr>
      <w:r w:rsidRPr="002D5C9B">
        <w:rPr>
          <w:i/>
          <w:iCs/>
          <w:sz w:val="24"/>
          <w:szCs w:val="24"/>
          <w:lang w:val="en-GB"/>
        </w:rPr>
        <w:t>Risk of rebound or relapse</w:t>
      </w:r>
    </w:p>
    <w:p w14:paraId="1F8BB08B" w14:textId="77777777" w:rsidR="002D5C9B" w:rsidRPr="002D5C9B" w:rsidRDefault="002D5C9B" w:rsidP="002D5C9B">
      <w:pPr>
        <w:tabs>
          <w:tab w:val="left" w:pos="851"/>
        </w:tabs>
        <w:ind w:left="851"/>
        <w:rPr>
          <w:sz w:val="24"/>
          <w:szCs w:val="24"/>
          <w:lang w:val="en-US"/>
        </w:rPr>
      </w:pPr>
      <w:r w:rsidRPr="002D5C9B">
        <w:rPr>
          <w:sz w:val="24"/>
          <w:szCs w:val="24"/>
          <w:lang w:val="en-US"/>
        </w:rPr>
        <w:t>There may be a risk of post-treatment rebound or relapse upon abrupt discontinuation of treatment with clobetasol propionate. Medical supervision should therefore continue in the post-treatment period.</w:t>
      </w:r>
    </w:p>
    <w:p w14:paraId="4D007A38" w14:textId="77777777" w:rsidR="002D5C9B" w:rsidRPr="002D5C9B" w:rsidRDefault="002D5C9B" w:rsidP="002D5C9B">
      <w:pPr>
        <w:tabs>
          <w:tab w:val="left" w:pos="851"/>
        </w:tabs>
        <w:ind w:left="851"/>
        <w:rPr>
          <w:sz w:val="24"/>
          <w:szCs w:val="24"/>
          <w:lang w:val="en-GB"/>
        </w:rPr>
      </w:pPr>
    </w:p>
    <w:p w14:paraId="265D9940" w14:textId="77777777" w:rsidR="002D5C9B" w:rsidRPr="002D5C9B" w:rsidRDefault="002D5C9B" w:rsidP="002D5C9B">
      <w:pPr>
        <w:tabs>
          <w:tab w:val="left" w:pos="851"/>
        </w:tabs>
        <w:ind w:left="851"/>
        <w:rPr>
          <w:i/>
          <w:iCs/>
          <w:sz w:val="24"/>
          <w:szCs w:val="24"/>
          <w:lang w:val="en-GB"/>
        </w:rPr>
      </w:pPr>
      <w:r w:rsidRPr="002D5C9B">
        <w:rPr>
          <w:i/>
          <w:iCs/>
          <w:sz w:val="24"/>
          <w:szCs w:val="24"/>
          <w:lang w:val="en-GB"/>
        </w:rPr>
        <w:t>Other precautions for use</w:t>
      </w:r>
    </w:p>
    <w:p w14:paraId="6FCCFD18" w14:textId="145340A3" w:rsidR="002D5C9B" w:rsidRPr="002D5C9B" w:rsidRDefault="002D5C9B" w:rsidP="002D5C9B">
      <w:pPr>
        <w:tabs>
          <w:tab w:val="left" w:pos="851"/>
        </w:tabs>
        <w:ind w:left="851"/>
        <w:rPr>
          <w:sz w:val="24"/>
          <w:szCs w:val="24"/>
          <w:lang w:val="en-US"/>
        </w:rPr>
      </w:pPr>
      <w:r w:rsidRPr="002D5C9B">
        <w:rPr>
          <w:sz w:val="24"/>
          <w:szCs w:val="24"/>
          <w:lang w:val="en-US"/>
        </w:rPr>
        <w:t xml:space="preserve">If </w:t>
      </w:r>
      <w:r w:rsidR="00FB31A3">
        <w:rPr>
          <w:sz w:val="24"/>
          <w:szCs w:val="24"/>
          <w:lang w:val="en-US"/>
        </w:rPr>
        <w:t>Infilea</w:t>
      </w:r>
      <w:r w:rsidRPr="002D5C9B">
        <w:rPr>
          <w:sz w:val="24"/>
          <w:szCs w:val="24"/>
          <w:lang w:val="en-US"/>
        </w:rPr>
        <w:t xml:space="preserve"> shampoo does enter the eye, the affected eye should be rinsed with copious amounts of water.</w:t>
      </w:r>
    </w:p>
    <w:p w14:paraId="2616818C" w14:textId="77777777" w:rsidR="002D5C9B" w:rsidRPr="002D5C9B" w:rsidRDefault="002D5C9B" w:rsidP="002D5C9B">
      <w:pPr>
        <w:tabs>
          <w:tab w:val="left" w:pos="851"/>
        </w:tabs>
        <w:ind w:left="851"/>
        <w:rPr>
          <w:sz w:val="24"/>
          <w:szCs w:val="24"/>
          <w:lang w:val="en-US"/>
        </w:rPr>
      </w:pPr>
    </w:p>
    <w:p w14:paraId="4874AD34" w14:textId="28823B22" w:rsidR="002D5C9B" w:rsidRPr="002D5C9B" w:rsidRDefault="002D5C9B" w:rsidP="002D5C9B">
      <w:pPr>
        <w:tabs>
          <w:tab w:val="left" w:pos="851"/>
        </w:tabs>
        <w:ind w:left="851"/>
        <w:rPr>
          <w:sz w:val="24"/>
          <w:szCs w:val="24"/>
          <w:lang w:val="en-US"/>
        </w:rPr>
      </w:pPr>
      <w:r w:rsidRPr="002D5C9B">
        <w:rPr>
          <w:sz w:val="24"/>
          <w:szCs w:val="24"/>
          <w:lang w:val="en-US"/>
        </w:rPr>
        <w:t xml:space="preserve">Patients should be instructed to use </w:t>
      </w:r>
      <w:r w:rsidR="00FB31A3">
        <w:rPr>
          <w:sz w:val="24"/>
          <w:szCs w:val="24"/>
          <w:lang w:val="en-US"/>
        </w:rPr>
        <w:t>Infilea</w:t>
      </w:r>
      <w:r w:rsidRPr="002D5C9B">
        <w:rPr>
          <w:sz w:val="24"/>
          <w:szCs w:val="24"/>
          <w:lang w:val="en-US"/>
        </w:rPr>
        <w:t xml:space="preserve"> shampoo for the minimum amount of time necessary to achieve the desired results. If signs of local intolerance appear, application should be suspended until they disappear. If signs of hypersensitivity appear, application should be stopped immediately.</w:t>
      </w:r>
    </w:p>
    <w:p w14:paraId="3F257976" w14:textId="77777777" w:rsidR="002D5C9B" w:rsidRPr="002D5C9B" w:rsidRDefault="002D5C9B" w:rsidP="002D5C9B">
      <w:pPr>
        <w:tabs>
          <w:tab w:val="left" w:pos="851"/>
        </w:tabs>
        <w:ind w:left="851"/>
        <w:rPr>
          <w:sz w:val="24"/>
          <w:szCs w:val="24"/>
          <w:lang w:val="en-US"/>
        </w:rPr>
      </w:pPr>
    </w:p>
    <w:p w14:paraId="1BB167FB" w14:textId="77777777" w:rsidR="002D5C9B" w:rsidRPr="002D5C9B" w:rsidRDefault="002D5C9B" w:rsidP="002D5C9B">
      <w:pPr>
        <w:tabs>
          <w:tab w:val="left" w:pos="851"/>
        </w:tabs>
        <w:ind w:left="851"/>
        <w:rPr>
          <w:sz w:val="24"/>
          <w:szCs w:val="24"/>
          <w:lang w:val="en-US"/>
        </w:rPr>
      </w:pPr>
      <w:r w:rsidRPr="002D5C9B">
        <w:rPr>
          <w:sz w:val="24"/>
          <w:szCs w:val="24"/>
          <w:lang w:val="en-US"/>
        </w:rPr>
        <w:t>In order to avoid interaction with hair colour dying product, such as hair colour changes, clobetasol propionate shampoo should be thoroughly rinsed.</w:t>
      </w:r>
    </w:p>
    <w:p w14:paraId="7FEEBFED" w14:textId="77777777" w:rsidR="002D5C9B" w:rsidRPr="002D5C9B" w:rsidRDefault="002D5C9B" w:rsidP="002D5C9B">
      <w:pPr>
        <w:tabs>
          <w:tab w:val="left" w:pos="851"/>
        </w:tabs>
        <w:ind w:left="851"/>
        <w:rPr>
          <w:sz w:val="24"/>
          <w:szCs w:val="24"/>
          <w:lang w:val="en-GB"/>
        </w:rPr>
      </w:pPr>
    </w:p>
    <w:p w14:paraId="0545ECB3" w14:textId="77777777" w:rsidR="002D5C9B" w:rsidRPr="002D5C9B" w:rsidRDefault="002D5C9B" w:rsidP="002D5C9B">
      <w:pPr>
        <w:tabs>
          <w:tab w:val="left" w:pos="851"/>
        </w:tabs>
        <w:ind w:left="851"/>
        <w:rPr>
          <w:i/>
          <w:iCs/>
          <w:sz w:val="24"/>
          <w:szCs w:val="24"/>
          <w:lang w:val="en-US"/>
        </w:rPr>
      </w:pPr>
      <w:r w:rsidRPr="002D5C9B">
        <w:rPr>
          <w:bCs/>
          <w:i/>
          <w:iCs/>
          <w:sz w:val="24"/>
          <w:szCs w:val="24"/>
          <w:lang w:val="en-US"/>
        </w:rPr>
        <w:t xml:space="preserve">Visual disturbance </w:t>
      </w:r>
    </w:p>
    <w:p w14:paraId="66963D68" w14:textId="77777777" w:rsidR="002D5C9B" w:rsidRPr="002D5C9B" w:rsidRDefault="002D5C9B" w:rsidP="002D5C9B">
      <w:pPr>
        <w:tabs>
          <w:tab w:val="left" w:pos="851"/>
        </w:tabs>
        <w:ind w:left="851"/>
        <w:rPr>
          <w:bCs/>
          <w:sz w:val="24"/>
          <w:szCs w:val="24"/>
          <w:lang w:val="en-US"/>
        </w:rPr>
      </w:pPr>
      <w:r w:rsidRPr="002D5C9B">
        <w:rPr>
          <w:bCs/>
          <w:sz w:val="24"/>
          <w:szCs w:val="24"/>
          <w:lang w:val="en-US"/>
        </w:rPr>
        <w:t>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which have been reported after use of systemic and topical corticosteroids.</w:t>
      </w:r>
    </w:p>
    <w:p w14:paraId="2CBEA955" w14:textId="77777777" w:rsidR="002D5C9B" w:rsidRPr="002D5C9B" w:rsidRDefault="002D5C9B" w:rsidP="002D5C9B">
      <w:pPr>
        <w:tabs>
          <w:tab w:val="left" w:pos="851"/>
        </w:tabs>
        <w:ind w:left="851"/>
        <w:rPr>
          <w:sz w:val="24"/>
          <w:szCs w:val="24"/>
          <w:lang w:val="en-GB"/>
        </w:rPr>
      </w:pPr>
    </w:p>
    <w:p w14:paraId="2972E098" w14:textId="77777777" w:rsidR="002D5C9B" w:rsidRPr="002D5C9B" w:rsidRDefault="002D5C9B" w:rsidP="002D5C9B">
      <w:pPr>
        <w:tabs>
          <w:tab w:val="left" w:pos="851"/>
        </w:tabs>
        <w:ind w:left="851"/>
        <w:rPr>
          <w:i/>
          <w:iCs/>
          <w:sz w:val="24"/>
          <w:szCs w:val="24"/>
          <w:lang w:val="en-US"/>
        </w:rPr>
      </w:pPr>
      <w:r w:rsidRPr="002D5C9B">
        <w:rPr>
          <w:i/>
          <w:iCs/>
          <w:sz w:val="24"/>
          <w:szCs w:val="24"/>
          <w:lang w:val="en-US"/>
        </w:rPr>
        <w:t>Paediatric population</w:t>
      </w:r>
    </w:p>
    <w:p w14:paraId="371F0255" w14:textId="5D40BD01" w:rsidR="002D5C9B" w:rsidRPr="002D5C9B" w:rsidRDefault="002D5C9B" w:rsidP="002D5C9B">
      <w:pPr>
        <w:tabs>
          <w:tab w:val="left" w:pos="851"/>
        </w:tabs>
        <w:ind w:left="851"/>
        <w:rPr>
          <w:sz w:val="24"/>
          <w:szCs w:val="24"/>
          <w:lang w:val="en-US"/>
        </w:rPr>
      </w:pPr>
      <w:r w:rsidRPr="002D5C9B">
        <w:rPr>
          <w:sz w:val="24"/>
          <w:szCs w:val="24"/>
          <w:lang w:val="en-US"/>
        </w:rPr>
        <w:t xml:space="preserve">In this age group, growth retardation may also be observed in case of systemic absorption of topical corticosteroids. </w:t>
      </w:r>
      <w:r w:rsidR="00FB31A3">
        <w:rPr>
          <w:sz w:val="24"/>
          <w:szCs w:val="24"/>
          <w:lang w:val="en-US"/>
        </w:rPr>
        <w:t>Infilea</w:t>
      </w:r>
      <w:r w:rsidRPr="002D5C9B">
        <w:rPr>
          <w:sz w:val="24"/>
          <w:szCs w:val="24"/>
          <w:lang w:val="en-US"/>
        </w:rPr>
        <w:t xml:space="preserve"> shampoo should not be used in children and adolescents between 2 and 18 years of age. It is contraindicated in children under 2 years of age (see section 4.3). If </w:t>
      </w:r>
      <w:r w:rsidR="00FB31A3">
        <w:rPr>
          <w:sz w:val="24"/>
          <w:szCs w:val="24"/>
          <w:lang w:val="en-US"/>
        </w:rPr>
        <w:t>Infilea</w:t>
      </w:r>
      <w:r w:rsidRPr="002D5C9B">
        <w:rPr>
          <w:sz w:val="24"/>
          <w:szCs w:val="24"/>
          <w:lang w:val="en-US"/>
        </w:rPr>
        <w:t xml:space="preserve"> shampoo is used in children and adolescents below 18 years of age, the treatment should be reviewed weekly.</w:t>
      </w:r>
    </w:p>
    <w:p w14:paraId="3BA94BEC" w14:textId="77777777" w:rsidR="002D5C9B" w:rsidRPr="002D5C9B" w:rsidRDefault="002D5C9B" w:rsidP="002D5C9B">
      <w:pPr>
        <w:tabs>
          <w:tab w:val="left" w:pos="851"/>
        </w:tabs>
        <w:ind w:left="851"/>
        <w:rPr>
          <w:sz w:val="24"/>
          <w:szCs w:val="24"/>
          <w:lang w:val="en-US"/>
        </w:rPr>
      </w:pPr>
    </w:p>
    <w:p w14:paraId="68D27CCA" w14:textId="77777777" w:rsidR="002D5C9B" w:rsidRPr="002D5C9B" w:rsidRDefault="002D5C9B" w:rsidP="002D5C9B">
      <w:pPr>
        <w:tabs>
          <w:tab w:val="left" w:pos="851"/>
        </w:tabs>
        <w:ind w:left="851"/>
        <w:rPr>
          <w:i/>
          <w:iCs/>
          <w:sz w:val="24"/>
          <w:szCs w:val="24"/>
          <w:lang w:val="en-GB"/>
        </w:rPr>
      </w:pPr>
      <w:r w:rsidRPr="002D5C9B">
        <w:rPr>
          <w:i/>
          <w:iCs/>
          <w:sz w:val="24"/>
          <w:szCs w:val="24"/>
          <w:lang w:val="en-GB"/>
        </w:rPr>
        <w:t>Excipients</w:t>
      </w:r>
    </w:p>
    <w:p w14:paraId="6E0A4C56" w14:textId="05837203" w:rsidR="002D5C9B" w:rsidRPr="002D5C9B" w:rsidRDefault="002D5C9B" w:rsidP="002D5C9B">
      <w:pPr>
        <w:tabs>
          <w:tab w:val="left" w:pos="851"/>
        </w:tabs>
        <w:ind w:left="851"/>
        <w:rPr>
          <w:sz w:val="24"/>
          <w:szCs w:val="24"/>
          <w:lang w:val="en-US"/>
        </w:rPr>
      </w:pPr>
      <w:r w:rsidRPr="002D5C9B">
        <w:rPr>
          <w:sz w:val="24"/>
          <w:szCs w:val="24"/>
          <w:lang w:val="en-US"/>
        </w:rPr>
        <w:t>This medicine contains 100 mg alcohol (ethanol) in each gram which is equivalent to 10</w:t>
      </w:r>
      <w:r w:rsidR="00B14721">
        <w:rPr>
          <w:sz w:val="24"/>
          <w:szCs w:val="24"/>
          <w:lang w:val="en-US"/>
        </w:rPr>
        <w:t xml:space="preserve"> %</w:t>
      </w:r>
      <w:r w:rsidRPr="002D5C9B">
        <w:rPr>
          <w:sz w:val="24"/>
          <w:szCs w:val="24"/>
          <w:lang w:val="en-US"/>
        </w:rPr>
        <w:t> w/w. It may cause burning sensation on damaged skin.</w:t>
      </w:r>
    </w:p>
    <w:p w14:paraId="529C1B4B" w14:textId="77777777" w:rsidR="007C5D2A" w:rsidRPr="002D5C9B" w:rsidRDefault="007C5D2A" w:rsidP="003E0341">
      <w:pPr>
        <w:tabs>
          <w:tab w:val="left" w:pos="851"/>
        </w:tabs>
        <w:ind w:left="851"/>
        <w:rPr>
          <w:sz w:val="24"/>
          <w:szCs w:val="24"/>
          <w:lang w:val="en-US"/>
        </w:rPr>
      </w:pPr>
    </w:p>
    <w:p w14:paraId="49CFF72B"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504A6F57" w14:textId="77777777" w:rsidR="002D5C9B" w:rsidRPr="002D5C9B" w:rsidRDefault="002D5C9B" w:rsidP="002D5C9B">
      <w:pPr>
        <w:tabs>
          <w:tab w:val="left" w:pos="851"/>
        </w:tabs>
        <w:ind w:left="851"/>
        <w:rPr>
          <w:sz w:val="24"/>
          <w:szCs w:val="24"/>
          <w:lang w:val="en-US"/>
        </w:rPr>
      </w:pPr>
      <w:r w:rsidRPr="002D5C9B">
        <w:rPr>
          <w:sz w:val="24"/>
          <w:szCs w:val="24"/>
          <w:lang w:val="en-US"/>
        </w:rPr>
        <w:t>No interaction studies have been performed.</w:t>
      </w:r>
    </w:p>
    <w:p w14:paraId="164B9A64" w14:textId="77777777" w:rsidR="002D5C9B" w:rsidRPr="002D5C9B" w:rsidRDefault="002D5C9B" w:rsidP="002D5C9B">
      <w:pPr>
        <w:tabs>
          <w:tab w:val="left" w:pos="851"/>
        </w:tabs>
        <w:ind w:left="851"/>
        <w:rPr>
          <w:b/>
          <w:sz w:val="24"/>
          <w:szCs w:val="24"/>
          <w:lang w:val="en-US"/>
        </w:rPr>
      </w:pPr>
    </w:p>
    <w:p w14:paraId="4F17584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113DC6EE" w14:textId="77777777" w:rsidR="002D5C9B" w:rsidRPr="002D5C9B" w:rsidRDefault="002D5C9B" w:rsidP="002D5C9B">
      <w:pPr>
        <w:tabs>
          <w:tab w:val="left" w:pos="851"/>
        </w:tabs>
        <w:ind w:left="851"/>
        <w:rPr>
          <w:b/>
          <w:sz w:val="24"/>
          <w:szCs w:val="24"/>
          <w:lang w:val="en-US"/>
        </w:rPr>
      </w:pPr>
    </w:p>
    <w:p w14:paraId="0A05639E" w14:textId="77777777" w:rsidR="002D5C9B" w:rsidRPr="002D5C9B" w:rsidRDefault="002D5C9B" w:rsidP="002D5C9B">
      <w:pPr>
        <w:tabs>
          <w:tab w:val="left" w:pos="851"/>
        </w:tabs>
        <w:ind w:left="851"/>
        <w:rPr>
          <w:iCs/>
          <w:sz w:val="24"/>
          <w:szCs w:val="24"/>
          <w:u w:val="single"/>
          <w:lang w:val="en-US"/>
        </w:rPr>
      </w:pPr>
      <w:r w:rsidRPr="002D5C9B">
        <w:rPr>
          <w:iCs/>
          <w:sz w:val="24"/>
          <w:szCs w:val="24"/>
          <w:u w:val="single"/>
          <w:lang w:val="en-US"/>
        </w:rPr>
        <w:t>Pregnancy</w:t>
      </w:r>
    </w:p>
    <w:p w14:paraId="0BCB5EFF" w14:textId="77777777" w:rsidR="002D5C9B" w:rsidRPr="002D5C9B" w:rsidRDefault="002D5C9B" w:rsidP="002D5C9B">
      <w:pPr>
        <w:tabs>
          <w:tab w:val="left" w:pos="851"/>
        </w:tabs>
        <w:ind w:left="851"/>
        <w:rPr>
          <w:sz w:val="24"/>
          <w:szCs w:val="24"/>
          <w:lang w:val="en-US"/>
        </w:rPr>
      </w:pPr>
      <w:r w:rsidRPr="002D5C9B">
        <w:rPr>
          <w:sz w:val="24"/>
          <w:szCs w:val="24"/>
          <w:lang w:val="en-US"/>
        </w:rPr>
        <w:t>There are no adequate data from the use of topical clobetasol propionate in pregnant women. Studies in animals have shown reproductive toxicity (see section 5.3). The potential risk for humans is unknown.</w:t>
      </w:r>
    </w:p>
    <w:p w14:paraId="140811C4" w14:textId="63983CA5" w:rsidR="002D5C9B" w:rsidRPr="002D5C9B" w:rsidRDefault="00FB31A3" w:rsidP="002D5C9B">
      <w:pPr>
        <w:tabs>
          <w:tab w:val="left" w:pos="851"/>
        </w:tabs>
        <w:ind w:left="851"/>
        <w:rPr>
          <w:sz w:val="24"/>
          <w:szCs w:val="24"/>
          <w:lang w:val="en-US"/>
        </w:rPr>
      </w:pPr>
      <w:r>
        <w:rPr>
          <w:sz w:val="24"/>
          <w:szCs w:val="24"/>
          <w:lang w:val="en-US"/>
        </w:rPr>
        <w:lastRenderedPageBreak/>
        <w:t>Infilea</w:t>
      </w:r>
      <w:r w:rsidR="002D5C9B" w:rsidRPr="002D5C9B">
        <w:rPr>
          <w:sz w:val="24"/>
          <w:szCs w:val="24"/>
          <w:lang w:val="en-US"/>
        </w:rPr>
        <w:t xml:space="preserve"> shampoo should not be used during pregnancy and in women of childbearing potential not using contraception, unless clearly necessary.</w:t>
      </w:r>
    </w:p>
    <w:p w14:paraId="149E375D" w14:textId="77777777" w:rsidR="002D5C9B" w:rsidRPr="002D5C9B" w:rsidRDefault="002D5C9B" w:rsidP="002D5C9B">
      <w:pPr>
        <w:tabs>
          <w:tab w:val="left" w:pos="851"/>
        </w:tabs>
        <w:ind w:left="851"/>
        <w:rPr>
          <w:sz w:val="24"/>
          <w:szCs w:val="24"/>
          <w:lang w:val="en-US"/>
        </w:rPr>
      </w:pPr>
    </w:p>
    <w:p w14:paraId="14BEB63E" w14:textId="77777777" w:rsidR="002D5C9B" w:rsidRPr="002D5C9B" w:rsidRDefault="002D5C9B" w:rsidP="002D5C9B">
      <w:pPr>
        <w:tabs>
          <w:tab w:val="left" w:pos="851"/>
        </w:tabs>
        <w:ind w:left="851"/>
        <w:rPr>
          <w:iCs/>
          <w:sz w:val="24"/>
          <w:szCs w:val="24"/>
          <w:u w:val="single"/>
          <w:lang w:val="en-US"/>
        </w:rPr>
      </w:pPr>
      <w:r w:rsidRPr="002D5C9B">
        <w:rPr>
          <w:iCs/>
          <w:sz w:val="24"/>
          <w:szCs w:val="24"/>
          <w:u w:val="single"/>
          <w:lang w:val="en-US"/>
        </w:rPr>
        <w:t>Breast-feeding</w:t>
      </w:r>
    </w:p>
    <w:p w14:paraId="736218A0" w14:textId="6BAC1152" w:rsidR="002D5C9B" w:rsidRPr="002D5C9B" w:rsidRDefault="002D5C9B" w:rsidP="002D5C9B">
      <w:pPr>
        <w:tabs>
          <w:tab w:val="left" w:pos="851"/>
        </w:tabs>
        <w:ind w:left="851"/>
        <w:rPr>
          <w:sz w:val="24"/>
          <w:szCs w:val="24"/>
          <w:lang w:val="en-US"/>
        </w:rPr>
      </w:pPr>
      <w:r w:rsidRPr="002D5C9B">
        <w:rPr>
          <w:sz w:val="24"/>
          <w:szCs w:val="24"/>
          <w:lang w:val="en-US"/>
        </w:rPr>
        <w:t xml:space="preserve">Systemically administered corticosteroids pass into breast milk. Damage to the infant is not reported to date. Nevertheless, as there are no adequate data on the possible milk transfer of topical clobetasol propionate and its biological or clinical repercussions, </w:t>
      </w:r>
      <w:r w:rsidR="00FB31A3">
        <w:rPr>
          <w:sz w:val="24"/>
          <w:szCs w:val="24"/>
          <w:lang w:val="en-US"/>
        </w:rPr>
        <w:t>Infilea</w:t>
      </w:r>
      <w:r w:rsidRPr="002D5C9B">
        <w:rPr>
          <w:sz w:val="24"/>
          <w:szCs w:val="24"/>
          <w:lang w:val="en-US"/>
        </w:rPr>
        <w:t xml:space="preserve"> shampoo should not be prescribed to breastfeeding women unless clearly indicated.</w:t>
      </w:r>
    </w:p>
    <w:p w14:paraId="1557A37F" w14:textId="77777777" w:rsidR="002D5C9B" w:rsidRPr="002D5C9B" w:rsidRDefault="002D5C9B" w:rsidP="002D5C9B">
      <w:pPr>
        <w:tabs>
          <w:tab w:val="left" w:pos="851"/>
        </w:tabs>
        <w:ind w:left="851"/>
        <w:rPr>
          <w:sz w:val="24"/>
          <w:szCs w:val="24"/>
          <w:lang w:val="en-US"/>
        </w:rPr>
      </w:pPr>
    </w:p>
    <w:p w14:paraId="5E27EBDE" w14:textId="77777777" w:rsidR="002D5C9B" w:rsidRPr="002D5C9B" w:rsidRDefault="002D5C9B" w:rsidP="002D5C9B">
      <w:pPr>
        <w:tabs>
          <w:tab w:val="left" w:pos="851"/>
        </w:tabs>
        <w:ind w:left="851"/>
        <w:rPr>
          <w:bCs/>
          <w:iCs/>
          <w:sz w:val="24"/>
          <w:szCs w:val="24"/>
          <w:u w:val="single"/>
          <w:lang w:val="en-US"/>
        </w:rPr>
      </w:pPr>
      <w:r w:rsidRPr="002D5C9B">
        <w:rPr>
          <w:bCs/>
          <w:iCs/>
          <w:sz w:val="24"/>
          <w:szCs w:val="24"/>
          <w:u w:val="single"/>
          <w:lang w:val="en-US"/>
        </w:rPr>
        <w:t>Fertility</w:t>
      </w:r>
    </w:p>
    <w:p w14:paraId="3C908E59" w14:textId="77777777" w:rsidR="002D5C9B" w:rsidRPr="002D5C9B" w:rsidRDefault="002D5C9B" w:rsidP="002D5C9B">
      <w:pPr>
        <w:tabs>
          <w:tab w:val="left" w:pos="851"/>
        </w:tabs>
        <w:ind w:left="851"/>
        <w:rPr>
          <w:sz w:val="24"/>
          <w:szCs w:val="24"/>
          <w:lang w:val="es-ES"/>
        </w:rPr>
      </w:pPr>
      <w:r w:rsidRPr="002D5C9B">
        <w:rPr>
          <w:sz w:val="24"/>
          <w:szCs w:val="24"/>
          <w:lang w:val="en-US"/>
        </w:rPr>
        <w:t xml:space="preserve">No clinical data is available. </w:t>
      </w:r>
      <w:r w:rsidRPr="002D5C9B">
        <w:rPr>
          <w:sz w:val="24"/>
          <w:szCs w:val="24"/>
          <w:lang w:val="es-ES"/>
        </w:rPr>
        <w:t>See section 5.3.</w:t>
      </w:r>
    </w:p>
    <w:p w14:paraId="53D3B60A" w14:textId="77777777" w:rsidR="007C5D2A" w:rsidRPr="00303008" w:rsidRDefault="007C5D2A" w:rsidP="003E0341">
      <w:pPr>
        <w:tabs>
          <w:tab w:val="left" w:pos="851"/>
        </w:tabs>
        <w:ind w:left="851"/>
        <w:rPr>
          <w:sz w:val="24"/>
          <w:szCs w:val="24"/>
          <w:lang w:val="en-GB"/>
        </w:rPr>
      </w:pPr>
    </w:p>
    <w:p w14:paraId="7BFB839B"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7046AF1E" w14:textId="77777777" w:rsidR="008B7CC4" w:rsidRDefault="008B7CC4" w:rsidP="00824C3A">
      <w:pPr>
        <w:tabs>
          <w:tab w:val="left" w:pos="851"/>
        </w:tabs>
        <w:ind w:left="851"/>
        <w:rPr>
          <w:sz w:val="24"/>
          <w:szCs w:val="24"/>
          <w:lang w:val="en-US"/>
        </w:rPr>
      </w:pPr>
      <w:r>
        <w:rPr>
          <w:sz w:val="24"/>
          <w:szCs w:val="24"/>
          <w:lang w:val="en-US"/>
        </w:rPr>
        <w:t>No traffic warning.</w:t>
      </w:r>
    </w:p>
    <w:p w14:paraId="3453B034" w14:textId="64998315" w:rsidR="00824C3A" w:rsidRPr="00824C3A" w:rsidRDefault="00FB31A3" w:rsidP="00824C3A">
      <w:pPr>
        <w:tabs>
          <w:tab w:val="left" w:pos="851"/>
        </w:tabs>
        <w:ind w:left="851"/>
        <w:rPr>
          <w:sz w:val="24"/>
          <w:szCs w:val="24"/>
          <w:lang w:val="en-US"/>
        </w:rPr>
      </w:pPr>
      <w:r>
        <w:rPr>
          <w:sz w:val="24"/>
          <w:szCs w:val="24"/>
          <w:lang w:val="en-US"/>
        </w:rPr>
        <w:t>Infilea</w:t>
      </w:r>
      <w:r w:rsidR="00824C3A" w:rsidRPr="00824C3A">
        <w:rPr>
          <w:sz w:val="24"/>
          <w:szCs w:val="24"/>
          <w:lang w:val="en-US"/>
        </w:rPr>
        <w:t xml:space="preserve"> shampoo has no or negligible influence on the ability to drive and use machines.</w:t>
      </w:r>
    </w:p>
    <w:p w14:paraId="1E4FB22B" w14:textId="77777777" w:rsidR="007C5D2A" w:rsidRPr="00824C3A" w:rsidRDefault="007C5D2A" w:rsidP="003E0341">
      <w:pPr>
        <w:tabs>
          <w:tab w:val="left" w:pos="851"/>
        </w:tabs>
        <w:ind w:left="851"/>
        <w:rPr>
          <w:sz w:val="24"/>
          <w:szCs w:val="24"/>
          <w:lang w:val="en-US"/>
        </w:rPr>
      </w:pPr>
    </w:p>
    <w:p w14:paraId="7272D9E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524C0E86" w14:textId="77777777" w:rsidR="00824C3A" w:rsidRPr="00824C3A" w:rsidRDefault="00824C3A" w:rsidP="00824C3A">
      <w:pPr>
        <w:pStyle w:val="Brdtekst"/>
        <w:ind w:left="851"/>
        <w:rPr>
          <w:b/>
          <w:sz w:val="24"/>
          <w:szCs w:val="24"/>
        </w:rPr>
      </w:pPr>
    </w:p>
    <w:p w14:paraId="4AD608F0" w14:textId="77777777" w:rsidR="00824C3A" w:rsidRPr="00824C3A" w:rsidRDefault="00824C3A" w:rsidP="00824C3A">
      <w:pPr>
        <w:pStyle w:val="Brdtekst"/>
        <w:ind w:left="851" w:right="110"/>
        <w:rPr>
          <w:sz w:val="24"/>
          <w:szCs w:val="24"/>
          <w:u w:val="single"/>
        </w:rPr>
      </w:pPr>
      <w:r w:rsidRPr="00824C3A">
        <w:rPr>
          <w:sz w:val="24"/>
          <w:szCs w:val="24"/>
          <w:u w:val="single"/>
        </w:rPr>
        <w:t>Summary of the safety profile</w:t>
      </w:r>
    </w:p>
    <w:p w14:paraId="1021CC5C" w14:textId="50508570" w:rsidR="00824C3A" w:rsidRPr="00824C3A" w:rsidRDefault="00824C3A" w:rsidP="00824C3A">
      <w:pPr>
        <w:pStyle w:val="Brdtekst"/>
        <w:ind w:left="851" w:right="110"/>
        <w:rPr>
          <w:sz w:val="24"/>
          <w:szCs w:val="24"/>
        </w:rPr>
      </w:pPr>
      <w:r w:rsidRPr="00824C3A">
        <w:rPr>
          <w:sz w:val="24"/>
          <w:szCs w:val="24"/>
        </w:rPr>
        <w:t>During clinical development of clobetasol propionate 500 micrograms/g shampoo, in a total of 558 patients receiving clobetasol propionate 500 micrograms/g shampoo, the most commonly reported adverse drug reaction was skin burning sensation. Its incidence was about 2.8</w:t>
      </w:r>
      <w:r w:rsidR="00B14721">
        <w:rPr>
          <w:sz w:val="24"/>
          <w:szCs w:val="24"/>
        </w:rPr>
        <w:t xml:space="preserve"> %</w:t>
      </w:r>
      <w:r w:rsidRPr="00824C3A">
        <w:rPr>
          <w:sz w:val="24"/>
          <w:szCs w:val="24"/>
        </w:rPr>
        <w:t>. Most adverse events were rated as mild to moderate and they were not affected by race or gender. Clinical signs of skin irritation were uncommon (0.2</w:t>
      </w:r>
      <w:r w:rsidR="00B14721">
        <w:rPr>
          <w:sz w:val="24"/>
          <w:szCs w:val="24"/>
        </w:rPr>
        <w:t xml:space="preserve"> %</w:t>
      </w:r>
      <w:r w:rsidRPr="00824C3A">
        <w:rPr>
          <w:sz w:val="24"/>
          <w:szCs w:val="24"/>
        </w:rPr>
        <w:t>). No serious drug-related adverse events were reported during any of the clinical trials.</w:t>
      </w:r>
    </w:p>
    <w:p w14:paraId="7BA9B1D8" w14:textId="77777777" w:rsidR="00824C3A" w:rsidRPr="00824C3A" w:rsidRDefault="00824C3A" w:rsidP="00824C3A">
      <w:pPr>
        <w:ind w:left="851"/>
        <w:rPr>
          <w:sz w:val="24"/>
          <w:szCs w:val="24"/>
          <w:lang w:val="en-GB"/>
        </w:rPr>
      </w:pPr>
    </w:p>
    <w:p w14:paraId="3818B629" w14:textId="77777777" w:rsidR="00824C3A" w:rsidRPr="00824C3A" w:rsidRDefault="00824C3A" w:rsidP="00824C3A">
      <w:pPr>
        <w:pStyle w:val="Brdtekst"/>
        <w:ind w:left="851" w:right="191"/>
        <w:rPr>
          <w:rFonts w:eastAsiaTheme="minorHAnsi"/>
          <w:sz w:val="24"/>
          <w:szCs w:val="24"/>
          <w:u w:val="single"/>
        </w:rPr>
      </w:pPr>
      <w:r w:rsidRPr="00824C3A">
        <w:rPr>
          <w:rFonts w:eastAsiaTheme="minorHAnsi"/>
          <w:sz w:val="24"/>
          <w:szCs w:val="24"/>
          <w:u w:val="single"/>
        </w:rPr>
        <w:t>Tabulated list of adverse reactions</w:t>
      </w:r>
    </w:p>
    <w:p w14:paraId="27112521" w14:textId="4D774590" w:rsidR="00824C3A" w:rsidRPr="00824C3A" w:rsidRDefault="00824C3A" w:rsidP="00824C3A">
      <w:pPr>
        <w:adjustRightInd w:val="0"/>
        <w:ind w:left="851"/>
        <w:rPr>
          <w:rFonts w:eastAsiaTheme="minorHAnsi"/>
          <w:sz w:val="24"/>
          <w:szCs w:val="24"/>
          <w:lang w:val="en-US"/>
        </w:rPr>
      </w:pPr>
      <w:r w:rsidRPr="00824C3A">
        <w:rPr>
          <w:rFonts w:eastAsiaTheme="minorHAnsi"/>
          <w:sz w:val="24"/>
          <w:szCs w:val="24"/>
          <w:lang w:val="en-US"/>
        </w:rPr>
        <w:t xml:space="preserve">The adverse reactions are classified by System Organ Class and frequency, using the following convention: </w:t>
      </w:r>
      <w:r w:rsidR="00707598">
        <w:rPr>
          <w:rFonts w:eastAsiaTheme="minorHAnsi"/>
          <w:sz w:val="24"/>
          <w:szCs w:val="24"/>
          <w:lang w:val="en-US"/>
        </w:rPr>
        <w:t>V</w:t>
      </w:r>
      <w:r w:rsidRPr="00824C3A">
        <w:rPr>
          <w:rFonts w:eastAsiaTheme="minorHAnsi"/>
          <w:sz w:val="24"/>
          <w:szCs w:val="24"/>
          <w:lang w:val="en-US"/>
        </w:rPr>
        <w:t>ery common (≥1/10), common (≥1/100 to &lt;1/10), uncommon (≥ 1/1.000 to &lt;1/100), rare (≥1/10.000 to &lt;1/1.000), very rare (&lt;1/10.000), not known (frequency cannot be estimated from the available data) and were reported with clobetasol 500 micrograms/g shampoo in clinical studies and post-marketing (see Table 1).</w:t>
      </w:r>
    </w:p>
    <w:p w14:paraId="57CA1B7C" w14:textId="77777777" w:rsidR="00824C3A" w:rsidRPr="00824C3A" w:rsidRDefault="00824C3A" w:rsidP="00824C3A">
      <w:pPr>
        <w:adjustRightInd w:val="0"/>
        <w:ind w:left="851"/>
        <w:rPr>
          <w:rFonts w:eastAsiaTheme="minorHAnsi"/>
          <w:sz w:val="24"/>
          <w:szCs w:val="24"/>
          <w:lang w:val="en-US"/>
        </w:rPr>
      </w:pPr>
    </w:p>
    <w:p w14:paraId="7F8D3C3C" w14:textId="77777777" w:rsidR="00824C3A" w:rsidRDefault="00824C3A" w:rsidP="00824C3A">
      <w:pPr>
        <w:pStyle w:val="Brdtekst"/>
        <w:ind w:left="142" w:right="191"/>
        <w:rPr>
          <w:sz w:val="22"/>
          <w:szCs w:val="22"/>
        </w:rPr>
      </w:pPr>
      <w:r>
        <w:rPr>
          <w:rFonts w:eastAsiaTheme="minorHAnsi"/>
          <w:b/>
          <w:bCs/>
          <w:sz w:val="22"/>
          <w:szCs w:val="22"/>
          <w:lang w:val="es-ES"/>
        </w:rPr>
        <w:t>Table 1 – Adverse reactions</w:t>
      </w:r>
    </w:p>
    <w:tbl>
      <w:tblPr>
        <w:tblStyle w:val="Tabel-Gitter"/>
        <w:tblW w:w="5000" w:type="pct"/>
        <w:tblLook w:val="04A0" w:firstRow="1" w:lastRow="0" w:firstColumn="1" w:lastColumn="0" w:noHBand="0" w:noVBand="1"/>
      </w:tblPr>
      <w:tblGrid>
        <w:gridCol w:w="2261"/>
        <w:gridCol w:w="2705"/>
        <w:gridCol w:w="4662"/>
      </w:tblGrid>
      <w:tr w:rsidR="00824C3A" w:rsidRPr="00824C3A" w14:paraId="7A97A7E7" w14:textId="77777777" w:rsidTr="00824C3A">
        <w:tc>
          <w:tcPr>
            <w:tcW w:w="1174" w:type="pct"/>
            <w:tcBorders>
              <w:top w:val="single" w:sz="4" w:space="0" w:color="auto"/>
              <w:left w:val="single" w:sz="4" w:space="0" w:color="auto"/>
              <w:bottom w:val="single" w:sz="4" w:space="0" w:color="auto"/>
              <w:right w:val="single" w:sz="4" w:space="0" w:color="auto"/>
            </w:tcBorders>
            <w:vAlign w:val="center"/>
            <w:hideMark/>
          </w:tcPr>
          <w:p w14:paraId="684CC1FB" w14:textId="77777777" w:rsidR="00824C3A" w:rsidRPr="00824C3A" w:rsidRDefault="00824C3A">
            <w:pPr>
              <w:pStyle w:val="Brdtekst"/>
              <w:ind w:right="191"/>
              <w:rPr>
                <w:b/>
                <w:sz w:val="22"/>
                <w:szCs w:val="22"/>
              </w:rPr>
            </w:pPr>
            <w:r w:rsidRPr="00824C3A">
              <w:rPr>
                <w:b/>
                <w:sz w:val="22"/>
                <w:szCs w:val="22"/>
              </w:rPr>
              <w:t xml:space="preserve">System Organ Class </w:t>
            </w:r>
          </w:p>
        </w:tc>
        <w:tc>
          <w:tcPr>
            <w:tcW w:w="1405" w:type="pct"/>
            <w:tcBorders>
              <w:top w:val="single" w:sz="4" w:space="0" w:color="auto"/>
              <w:left w:val="single" w:sz="4" w:space="0" w:color="auto"/>
              <w:bottom w:val="single" w:sz="4" w:space="0" w:color="auto"/>
              <w:right w:val="single" w:sz="4" w:space="0" w:color="auto"/>
            </w:tcBorders>
            <w:vAlign w:val="center"/>
            <w:hideMark/>
          </w:tcPr>
          <w:p w14:paraId="63BAA182" w14:textId="77777777" w:rsidR="00824C3A" w:rsidRPr="00824C3A" w:rsidRDefault="00824C3A">
            <w:pPr>
              <w:pStyle w:val="Brdtekst"/>
              <w:ind w:right="191"/>
              <w:rPr>
                <w:b/>
                <w:sz w:val="22"/>
                <w:szCs w:val="22"/>
              </w:rPr>
            </w:pPr>
            <w:r w:rsidRPr="00824C3A">
              <w:rPr>
                <w:b/>
                <w:sz w:val="22"/>
                <w:szCs w:val="22"/>
              </w:rPr>
              <w:t xml:space="preserve">Frequency </w:t>
            </w:r>
          </w:p>
        </w:tc>
        <w:tc>
          <w:tcPr>
            <w:tcW w:w="2421" w:type="pct"/>
            <w:tcBorders>
              <w:top w:val="single" w:sz="4" w:space="0" w:color="auto"/>
              <w:left w:val="single" w:sz="4" w:space="0" w:color="auto"/>
              <w:bottom w:val="single" w:sz="4" w:space="0" w:color="auto"/>
              <w:right w:val="single" w:sz="4" w:space="0" w:color="auto"/>
            </w:tcBorders>
            <w:vAlign w:val="center"/>
            <w:hideMark/>
          </w:tcPr>
          <w:p w14:paraId="09D2E494" w14:textId="77777777" w:rsidR="00824C3A" w:rsidRPr="00824C3A" w:rsidRDefault="00824C3A">
            <w:pPr>
              <w:pStyle w:val="Brdtekst"/>
              <w:ind w:right="191"/>
              <w:rPr>
                <w:b/>
                <w:sz w:val="22"/>
                <w:szCs w:val="22"/>
              </w:rPr>
            </w:pPr>
            <w:r w:rsidRPr="00824C3A">
              <w:rPr>
                <w:b/>
                <w:sz w:val="22"/>
                <w:szCs w:val="22"/>
              </w:rPr>
              <w:t>Adverse reactions</w:t>
            </w:r>
          </w:p>
        </w:tc>
      </w:tr>
      <w:tr w:rsidR="00824C3A" w14:paraId="3B0578A2" w14:textId="77777777" w:rsidTr="00824C3A">
        <w:tc>
          <w:tcPr>
            <w:tcW w:w="1174" w:type="pct"/>
            <w:tcBorders>
              <w:top w:val="single" w:sz="4" w:space="0" w:color="auto"/>
              <w:left w:val="single" w:sz="4" w:space="0" w:color="auto"/>
              <w:bottom w:val="single" w:sz="4" w:space="0" w:color="auto"/>
              <w:right w:val="single" w:sz="4" w:space="0" w:color="auto"/>
            </w:tcBorders>
            <w:vAlign w:val="center"/>
            <w:hideMark/>
          </w:tcPr>
          <w:p w14:paraId="27113438" w14:textId="77777777" w:rsidR="00824C3A" w:rsidRDefault="00824C3A">
            <w:pPr>
              <w:pStyle w:val="Brdtekst"/>
              <w:ind w:right="191"/>
              <w:rPr>
                <w:sz w:val="22"/>
                <w:szCs w:val="22"/>
              </w:rPr>
            </w:pPr>
            <w:r>
              <w:rPr>
                <w:sz w:val="22"/>
                <w:szCs w:val="22"/>
              </w:rPr>
              <w:t>Infections and infestations</w:t>
            </w:r>
          </w:p>
        </w:tc>
        <w:tc>
          <w:tcPr>
            <w:tcW w:w="1405" w:type="pct"/>
            <w:tcBorders>
              <w:top w:val="single" w:sz="4" w:space="0" w:color="auto"/>
              <w:left w:val="single" w:sz="4" w:space="0" w:color="auto"/>
              <w:bottom w:val="single" w:sz="4" w:space="0" w:color="auto"/>
              <w:right w:val="single" w:sz="4" w:space="0" w:color="auto"/>
            </w:tcBorders>
            <w:vAlign w:val="center"/>
            <w:hideMark/>
          </w:tcPr>
          <w:p w14:paraId="5A0D0004" w14:textId="77777777" w:rsidR="00824C3A" w:rsidRDefault="00824C3A">
            <w:pPr>
              <w:pStyle w:val="Brdtekst"/>
              <w:ind w:right="191"/>
              <w:rPr>
                <w:sz w:val="22"/>
                <w:szCs w:val="22"/>
              </w:rPr>
            </w:pPr>
            <w:r>
              <w:rPr>
                <w:sz w:val="22"/>
                <w:szCs w:val="22"/>
              </w:rPr>
              <w:t>Rare</w:t>
            </w:r>
          </w:p>
        </w:tc>
        <w:tc>
          <w:tcPr>
            <w:tcW w:w="2421" w:type="pct"/>
            <w:tcBorders>
              <w:top w:val="single" w:sz="4" w:space="0" w:color="auto"/>
              <w:left w:val="single" w:sz="4" w:space="0" w:color="auto"/>
              <w:bottom w:val="single" w:sz="4" w:space="0" w:color="auto"/>
              <w:right w:val="single" w:sz="4" w:space="0" w:color="auto"/>
            </w:tcBorders>
            <w:vAlign w:val="center"/>
            <w:hideMark/>
          </w:tcPr>
          <w:p w14:paraId="3FC671B8" w14:textId="77777777" w:rsidR="00824C3A" w:rsidRDefault="00824C3A">
            <w:pPr>
              <w:pStyle w:val="Brdtekst"/>
              <w:ind w:right="191"/>
              <w:rPr>
                <w:sz w:val="22"/>
                <w:szCs w:val="22"/>
              </w:rPr>
            </w:pPr>
            <w:r>
              <w:rPr>
                <w:sz w:val="22"/>
                <w:szCs w:val="22"/>
              </w:rPr>
              <w:t>Opportunistic infections</w:t>
            </w:r>
            <w:r>
              <w:rPr>
                <w:sz w:val="22"/>
                <w:szCs w:val="22"/>
                <w:vertAlign w:val="superscript"/>
              </w:rPr>
              <w:t>(1), (2)</w:t>
            </w:r>
            <w:r>
              <w:rPr>
                <w:sz w:val="22"/>
                <w:szCs w:val="22"/>
              </w:rPr>
              <w:t xml:space="preserve"> </w:t>
            </w:r>
          </w:p>
        </w:tc>
      </w:tr>
      <w:tr w:rsidR="00824C3A" w14:paraId="2594B4D7" w14:textId="77777777" w:rsidTr="00824C3A">
        <w:tc>
          <w:tcPr>
            <w:tcW w:w="1174" w:type="pct"/>
            <w:tcBorders>
              <w:top w:val="single" w:sz="4" w:space="0" w:color="auto"/>
              <w:left w:val="single" w:sz="4" w:space="0" w:color="auto"/>
              <w:bottom w:val="single" w:sz="4" w:space="0" w:color="auto"/>
              <w:right w:val="single" w:sz="4" w:space="0" w:color="auto"/>
            </w:tcBorders>
            <w:vAlign w:val="center"/>
            <w:hideMark/>
          </w:tcPr>
          <w:p w14:paraId="5BF1C20E" w14:textId="77777777" w:rsidR="00824C3A" w:rsidRDefault="00824C3A">
            <w:pPr>
              <w:pStyle w:val="Brdtekst"/>
              <w:ind w:right="191"/>
              <w:rPr>
                <w:sz w:val="22"/>
                <w:szCs w:val="22"/>
                <w:highlight w:val="yellow"/>
              </w:rPr>
            </w:pPr>
            <w:r>
              <w:rPr>
                <w:sz w:val="22"/>
                <w:szCs w:val="22"/>
              </w:rPr>
              <w:t>Endocrine disorders</w:t>
            </w:r>
          </w:p>
        </w:tc>
        <w:tc>
          <w:tcPr>
            <w:tcW w:w="1405" w:type="pct"/>
            <w:tcBorders>
              <w:top w:val="single" w:sz="4" w:space="0" w:color="auto"/>
              <w:left w:val="single" w:sz="4" w:space="0" w:color="auto"/>
              <w:bottom w:val="single" w:sz="4" w:space="0" w:color="auto"/>
              <w:right w:val="single" w:sz="4" w:space="0" w:color="auto"/>
            </w:tcBorders>
            <w:vAlign w:val="center"/>
          </w:tcPr>
          <w:p w14:paraId="64AE7FCE" w14:textId="77777777" w:rsidR="00824C3A" w:rsidRDefault="00824C3A">
            <w:pPr>
              <w:pStyle w:val="Brdtekst"/>
              <w:ind w:right="193"/>
              <w:rPr>
                <w:sz w:val="22"/>
                <w:szCs w:val="22"/>
              </w:rPr>
            </w:pPr>
            <w:r>
              <w:rPr>
                <w:sz w:val="22"/>
                <w:szCs w:val="22"/>
              </w:rPr>
              <w:t>Uncommon</w:t>
            </w:r>
          </w:p>
          <w:p w14:paraId="1569F12F" w14:textId="77777777" w:rsidR="00824C3A" w:rsidRDefault="00824C3A">
            <w:pPr>
              <w:pStyle w:val="Brdtekst"/>
              <w:ind w:right="191"/>
              <w:rPr>
                <w:sz w:val="22"/>
                <w:szCs w:val="22"/>
                <w:highlight w:val="yellow"/>
              </w:rPr>
            </w:pPr>
          </w:p>
        </w:tc>
        <w:tc>
          <w:tcPr>
            <w:tcW w:w="2421" w:type="pct"/>
            <w:tcBorders>
              <w:top w:val="single" w:sz="4" w:space="0" w:color="auto"/>
              <w:left w:val="single" w:sz="4" w:space="0" w:color="auto"/>
              <w:bottom w:val="single" w:sz="4" w:space="0" w:color="auto"/>
              <w:right w:val="single" w:sz="4" w:space="0" w:color="auto"/>
            </w:tcBorders>
            <w:vAlign w:val="center"/>
            <w:hideMark/>
          </w:tcPr>
          <w:p w14:paraId="1C564868" w14:textId="77777777" w:rsidR="00824C3A" w:rsidRDefault="00824C3A">
            <w:pPr>
              <w:pStyle w:val="Brdtekst"/>
              <w:ind w:right="193"/>
              <w:rPr>
                <w:sz w:val="22"/>
                <w:szCs w:val="22"/>
              </w:rPr>
            </w:pPr>
            <w:r>
              <w:rPr>
                <w:sz w:val="22"/>
                <w:szCs w:val="22"/>
              </w:rPr>
              <w:t>Adrenal suppression</w:t>
            </w:r>
            <w:r>
              <w:rPr>
                <w:sz w:val="22"/>
                <w:szCs w:val="22"/>
                <w:vertAlign w:val="superscript"/>
              </w:rPr>
              <w:t>(1), (3)</w:t>
            </w:r>
          </w:p>
          <w:p w14:paraId="35247754" w14:textId="77777777" w:rsidR="00824C3A" w:rsidRDefault="00824C3A">
            <w:pPr>
              <w:pStyle w:val="Brdtekst"/>
              <w:ind w:right="193"/>
              <w:rPr>
                <w:sz w:val="22"/>
                <w:szCs w:val="22"/>
              </w:rPr>
            </w:pPr>
            <w:r>
              <w:rPr>
                <w:sz w:val="22"/>
                <w:szCs w:val="22"/>
              </w:rPr>
              <w:t>Cushing syndrome</w:t>
            </w:r>
            <w:r>
              <w:rPr>
                <w:sz w:val="22"/>
                <w:szCs w:val="22"/>
                <w:vertAlign w:val="superscript"/>
              </w:rPr>
              <w:t>(1), (3)</w:t>
            </w:r>
          </w:p>
          <w:p w14:paraId="5302982C" w14:textId="77777777" w:rsidR="00824C3A" w:rsidRDefault="00824C3A">
            <w:pPr>
              <w:pStyle w:val="Brdtekst"/>
              <w:ind w:right="191"/>
              <w:rPr>
                <w:sz w:val="22"/>
                <w:szCs w:val="22"/>
                <w:highlight w:val="yellow"/>
              </w:rPr>
            </w:pPr>
            <w:r>
              <w:rPr>
                <w:sz w:val="22"/>
                <w:szCs w:val="22"/>
                <w:vertAlign w:val="superscript"/>
              </w:rPr>
              <w:t xml:space="preserve"> </w:t>
            </w:r>
          </w:p>
        </w:tc>
      </w:tr>
      <w:tr w:rsidR="00824C3A" w:rsidRPr="004E100A" w14:paraId="67D68CBD" w14:textId="77777777" w:rsidTr="00824C3A">
        <w:tc>
          <w:tcPr>
            <w:tcW w:w="1174" w:type="pct"/>
            <w:tcBorders>
              <w:top w:val="single" w:sz="4" w:space="0" w:color="auto"/>
              <w:left w:val="single" w:sz="4" w:space="0" w:color="auto"/>
              <w:bottom w:val="single" w:sz="4" w:space="0" w:color="auto"/>
              <w:right w:val="single" w:sz="4" w:space="0" w:color="auto"/>
            </w:tcBorders>
            <w:vAlign w:val="center"/>
          </w:tcPr>
          <w:p w14:paraId="54EA6250" w14:textId="77777777" w:rsidR="00824C3A" w:rsidRDefault="00824C3A">
            <w:pPr>
              <w:pStyle w:val="Brdtekst"/>
              <w:ind w:right="191"/>
              <w:rPr>
                <w:sz w:val="22"/>
                <w:szCs w:val="22"/>
              </w:rPr>
            </w:pPr>
          </w:p>
        </w:tc>
        <w:tc>
          <w:tcPr>
            <w:tcW w:w="1405" w:type="pct"/>
            <w:tcBorders>
              <w:top w:val="single" w:sz="4" w:space="0" w:color="auto"/>
              <w:left w:val="single" w:sz="4" w:space="0" w:color="auto"/>
              <w:bottom w:val="single" w:sz="4" w:space="0" w:color="auto"/>
              <w:right w:val="single" w:sz="4" w:space="0" w:color="auto"/>
            </w:tcBorders>
            <w:vAlign w:val="center"/>
            <w:hideMark/>
          </w:tcPr>
          <w:p w14:paraId="3ECA7878" w14:textId="77777777" w:rsidR="00824C3A" w:rsidRDefault="00824C3A">
            <w:pPr>
              <w:pStyle w:val="Brdtekst"/>
              <w:ind w:right="193"/>
              <w:rPr>
                <w:sz w:val="22"/>
                <w:szCs w:val="22"/>
              </w:rPr>
            </w:pPr>
            <w:r>
              <w:rPr>
                <w:sz w:val="22"/>
                <w:szCs w:val="22"/>
              </w:rPr>
              <w:t>Not known</w:t>
            </w:r>
          </w:p>
        </w:tc>
        <w:tc>
          <w:tcPr>
            <w:tcW w:w="2421" w:type="pct"/>
            <w:tcBorders>
              <w:top w:val="single" w:sz="4" w:space="0" w:color="auto"/>
              <w:left w:val="single" w:sz="4" w:space="0" w:color="auto"/>
              <w:bottom w:val="single" w:sz="4" w:space="0" w:color="auto"/>
              <w:right w:val="single" w:sz="4" w:space="0" w:color="auto"/>
            </w:tcBorders>
            <w:vAlign w:val="center"/>
            <w:hideMark/>
          </w:tcPr>
          <w:p w14:paraId="787C7286" w14:textId="77777777" w:rsidR="00824C3A" w:rsidRDefault="00824C3A">
            <w:pPr>
              <w:pStyle w:val="Brdtekst"/>
              <w:ind w:right="193"/>
              <w:rPr>
                <w:sz w:val="22"/>
                <w:szCs w:val="22"/>
              </w:rPr>
            </w:pPr>
            <w:r>
              <w:rPr>
                <w:sz w:val="22"/>
                <w:szCs w:val="22"/>
              </w:rPr>
              <w:t>Growth retardation in children</w:t>
            </w:r>
            <w:r>
              <w:rPr>
                <w:sz w:val="22"/>
                <w:szCs w:val="22"/>
                <w:vertAlign w:val="superscript"/>
              </w:rPr>
              <w:t>(1)</w:t>
            </w:r>
            <w:r>
              <w:rPr>
                <w:sz w:val="22"/>
                <w:szCs w:val="22"/>
              </w:rPr>
              <w:t xml:space="preserve">, </w:t>
            </w:r>
            <w:r>
              <w:rPr>
                <w:sz w:val="22"/>
                <w:szCs w:val="22"/>
                <w:vertAlign w:val="superscript"/>
              </w:rPr>
              <w:t>(3)</w:t>
            </w:r>
            <w:r>
              <w:rPr>
                <w:sz w:val="22"/>
                <w:szCs w:val="22"/>
              </w:rPr>
              <w:t xml:space="preserve"> (see also section 4.4)</w:t>
            </w:r>
          </w:p>
          <w:p w14:paraId="59428433" w14:textId="77777777" w:rsidR="00824C3A" w:rsidRDefault="00824C3A">
            <w:pPr>
              <w:pStyle w:val="Brdtekst"/>
              <w:ind w:right="193"/>
              <w:rPr>
                <w:sz w:val="22"/>
                <w:szCs w:val="22"/>
              </w:rPr>
            </w:pPr>
            <w:r>
              <w:rPr>
                <w:sz w:val="22"/>
                <w:szCs w:val="22"/>
              </w:rPr>
              <w:t>Exacerbations in diabetes mellitus</w:t>
            </w:r>
            <w:r>
              <w:rPr>
                <w:sz w:val="22"/>
                <w:szCs w:val="22"/>
                <w:vertAlign w:val="superscript"/>
              </w:rPr>
              <w:t>(1), (3)</w:t>
            </w:r>
            <w:r>
              <w:rPr>
                <w:sz w:val="22"/>
                <w:szCs w:val="22"/>
              </w:rPr>
              <w:t xml:space="preserve"> (see also section 4.4)</w:t>
            </w:r>
          </w:p>
        </w:tc>
      </w:tr>
      <w:tr w:rsidR="00824C3A" w14:paraId="227F23FF" w14:textId="77777777" w:rsidTr="00824C3A">
        <w:tc>
          <w:tcPr>
            <w:tcW w:w="1174" w:type="pct"/>
            <w:tcBorders>
              <w:top w:val="single" w:sz="4" w:space="0" w:color="auto"/>
              <w:left w:val="single" w:sz="4" w:space="0" w:color="auto"/>
              <w:bottom w:val="single" w:sz="4" w:space="0" w:color="auto"/>
              <w:right w:val="single" w:sz="4" w:space="0" w:color="auto"/>
            </w:tcBorders>
            <w:hideMark/>
          </w:tcPr>
          <w:p w14:paraId="2CE2244D" w14:textId="77777777" w:rsidR="00824C3A" w:rsidRDefault="00824C3A">
            <w:pPr>
              <w:pStyle w:val="Brdtekst"/>
              <w:ind w:right="191"/>
              <w:rPr>
                <w:sz w:val="22"/>
                <w:szCs w:val="22"/>
              </w:rPr>
            </w:pPr>
            <w:r>
              <w:rPr>
                <w:sz w:val="22"/>
                <w:szCs w:val="22"/>
              </w:rPr>
              <w:t>Eye disorders</w:t>
            </w:r>
          </w:p>
        </w:tc>
        <w:tc>
          <w:tcPr>
            <w:tcW w:w="1405" w:type="pct"/>
            <w:tcBorders>
              <w:top w:val="single" w:sz="4" w:space="0" w:color="auto"/>
              <w:left w:val="single" w:sz="4" w:space="0" w:color="auto"/>
              <w:bottom w:val="single" w:sz="4" w:space="0" w:color="auto"/>
              <w:right w:val="single" w:sz="4" w:space="0" w:color="auto"/>
            </w:tcBorders>
          </w:tcPr>
          <w:p w14:paraId="7A975830" w14:textId="77777777" w:rsidR="00824C3A" w:rsidRDefault="00824C3A">
            <w:pPr>
              <w:pStyle w:val="Brdtekst"/>
              <w:ind w:right="193"/>
              <w:rPr>
                <w:sz w:val="22"/>
                <w:szCs w:val="22"/>
              </w:rPr>
            </w:pPr>
            <w:r>
              <w:rPr>
                <w:sz w:val="22"/>
                <w:szCs w:val="22"/>
              </w:rPr>
              <w:t xml:space="preserve">Uncommon </w:t>
            </w:r>
          </w:p>
          <w:p w14:paraId="1B1F2ED0" w14:textId="77777777" w:rsidR="00824C3A" w:rsidRDefault="00824C3A">
            <w:pPr>
              <w:pStyle w:val="Brdtekst"/>
              <w:ind w:right="193"/>
              <w:rPr>
                <w:sz w:val="22"/>
                <w:szCs w:val="22"/>
              </w:rPr>
            </w:pPr>
          </w:p>
        </w:tc>
        <w:tc>
          <w:tcPr>
            <w:tcW w:w="2421" w:type="pct"/>
            <w:tcBorders>
              <w:top w:val="single" w:sz="4" w:space="0" w:color="auto"/>
              <w:left w:val="single" w:sz="4" w:space="0" w:color="auto"/>
              <w:bottom w:val="single" w:sz="4" w:space="0" w:color="auto"/>
              <w:right w:val="single" w:sz="4" w:space="0" w:color="auto"/>
            </w:tcBorders>
            <w:hideMark/>
          </w:tcPr>
          <w:p w14:paraId="1653A154" w14:textId="77777777" w:rsidR="00824C3A" w:rsidRDefault="00824C3A">
            <w:pPr>
              <w:pStyle w:val="Brdtekst"/>
              <w:ind w:right="193"/>
              <w:rPr>
                <w:sz w:val="22"/>
                <w:szCs w:val="22"/>
              </w:rPr>
            </w:pPr>
            <w:r>
              <w:rPr>
                <w:sz w:val="22"/>
                <w:szCs w:val="22"/>
              </w:rPr>
              <w:t>Eye stinging/burning</w:t>
            </w:r>
            <w:r>
              <w:rPr>
                <w:sz w:val="22"/>
                <w:szCs w:val="22"/>
                <w:vertAlign w:val="superscript"/>
              </w:rPr>
              <w:t>(1)</w:t>
            </w:r>
          </w:p>
          <w:p w14:paraId="2160DD19" w14:textId="77777777" w:rsidR="00824C3A" w:rsidRDefault="00824C3A">
            <w:pPr>
              <w:pStyle w:val="Brdtekst"/>
              <w:ind w:right="193"/>
              <w:rPr>
                <w:sz w:val="22"/>
                <w:szCs w:val="22"/>
              </w:rPr>
            </w:pPr>
            <w:r>
              <w:rPr>
                <w:sz w:val="22"/>
                <w:szCs w:val="22"/>
              </w:rPr>
              <w:t>Eye irritation</w:t>
            </w:r>
            <w:r>
              <w:rPr>
                <w:sz w:val="22"/>
                <w:szCs w:val="22"/>
                <w:vertAlign w:val="superscript"/>
              </w:rPr>
              <w:t>(1)</w:t>
            </w:r>
          </w:p>
          <w:p w14:paraId="1C0EC9CC" w14:textId="77777777" w:rsidR="00824C3A" w:rsidRDefault="00824C3A">
            <w:pPr>
              <w:pStyle w:val="Brdtekst"/>
              <w:ind w:right="193"/>
              <w:rPr>
                <w:sz w:val="22"/>
                <w:szCs w:val="22"/>
              </w:rPr>
            </w:pPr>
            <w:r>
              <w:rPr>
                <w:sz w:val="22"/>
                <w:szCs w:val="22"/>
              </w:rPr>
              <w:t>Ocular tight sensation</w:t>
            </w:r>
          </w:p>
          <w:p w14:paraId="7E60560C" w14:textId="77777777" w:rsidR="00824C3A" w:rsidRDefault="00824C3A">
            <w:pPr>
              <w:pStyle w:val="Brdtekst"/>
              <w:ind w:right="193"/>
              <w:rPr>
                <w:sz w:val="22"/>
                <w:szCs w:val="22"/>
              </w:rPr>
            </w:pPr>
            <w:r>
              <w:rPr>
                <w:sz w:val="22"/>
                <w:szCs w:val="22"/>
              </w:rPr>
              <w:t>Glaucoma</w:t>
            </w:r>
            <w:r>
              <w:rPr>
                <w:sz w:val="22"/>
                <w:szCs w:val="22"/>
                <w:vertAlign w:val="superscript"/>
              </w:rPr>
              <w:t>(1), (2), (3)</w:t>
            </w:r>
          </w:p>
          <w:p w14:paraId="50D1FA60" w14:textId="77777777" w:rsidR="00824C3A" w:rsidRDefault="00824C3A">
            <w:pPr>
              <w:pStyle w:val="Brdtekst"/>
              <w:ind w:right="193"/>
              <w:rPr>
                <w:sz w:val="22"/>
                <w:szCs w:val="22"/>
              </w:rPr>
            </w:pPr>
            <w:r>
              <w:rPr>
                <w:sz w:val="22"/>
                <w:szCs w:val="22"/>
                <w:vertAlign w:val="superscript"/>
              </w:rPr>
              <w:t xml:space="preserve"> </w:t>
            </w:r>
          </w:p>
        </w:tc>
      </w:tr>
      <w:tr w:rsidR="00824C3A" w:rsidRPr="004E100A" w14:paraId="6811AA26" w14:textId="77777777" w:rsidTr="00824C3A">
        <w:tc>
          <w:tcPr>
            <w:tcW w:w="1174" w:type="pct"/>
            <w:tcBorders>
              <w:top w:val="single" w:sz="4" w:space="0" w:color="auto"/>
              <w:left w:val="single" w:sz="4" w:space="0" w:color="auto"/>
              <w:bottom w:val="single" w:sz="4" w:space="0" w:color="auto"/>
              <w:right w:val="single" w:sz="4" w:space="0" w:color="auto"/>
            </w:tcBorders>
          </w:tcPr>
          <w:p w14:paraId="0294AF6E" w14:textId="77777777" w:rsidR="00824C3A" w:rsidRDefault="00824C3A">
            <w:pPr>
              <w:pStyle w:val="Brdtekst"/>
              <w:ind w:right="191"/>
              <w:rPr>
                <w:sz w:val="22"/>
                <w:szCs w:val="22"/>
              </w:rPr>
            </w:pPr>
          </w:p>
        </w:tc>
        <w:tc>
          <w:tcPr>
            <w:tcW w:w="1405" w:type="pct"/>
            <w:tcBorders>
              <w:top w:val="single" w:sz="4" w:space="0" w:color="auto"/>
              <w:left w:val="single" w:sz="4" w:space="0" w:color="auto"/>
              <w:bottom w:val="single" w:sz="4" w:space="0" w:color="auto"/>
              <w:right w:val="single" w:sz="4" w:space="0" w:color="auto"/>
            </w:tcBorders>
            <w:hideMark/>
          </w:tcPr>
          <w:p w14:paraId="1D1AAE82" w14:textId="77777777" w:rsidR="00824C3A" w:rsidRDefault="00824C3A">
            <w:pPr>
              <w:pStyle w:val="Brdtekst"/>
              <w:ind w:right="193"/>
              <w:rPr>
                <w:sz w:val="22"/>
                <w:szCs w:val="22"/>
              </w:rPr>
            </w:pPr>
            <w:r>
              <w:rPr>
                <w:noProof/>
                <w:sz w:val="22"/>
                <w:szCs w:val="22"/>
              </w:rPr>
              <w:t>Not known</w:t>
            </w:r>
          </w:p>
        </w:tc>
        <w:tc>
          <w:tcPr>
            <w:tcW w:w="2421" w:type="pct"/>
            <w:tcBorders>
              <w:top w:val="single" w:sz="4" w:space="0" w:color="auto"/>
              <w:left w:val="single" w:sz="4" w:space="0" w:color="auto"/>
              <w:bottom w:val="single" w:sz="4" w:space="0" w:color="auto"/>
              <w:right w:val="single" w:sz="4" w:space="0" w:color="auto"/>
            </w:tcBorders>
            <w:hideMark/>
          </w:tcPr>
          <w:p w14:paraId="23A576C4" w14:textId="77777777" w:rsidR="00824C3A" w:rsidRDefault="00824C3A">
            <w:pPr>
              <w:pStyle w:val="Brdtekst"/>
              <w:ind w:right="193"/>
              <w:rPr>
                <w:sz w:val="22"/>
                <w:szCs w:val="22"/>
              </w:rPr>
            </w:pPr>
            <w:r>
              <w:rPr>
                <w:sz w:val="22"/>
                <w:szCs w:val="22"/>
              </w:rPr>
              <w:t>Vision, blurred</w:t>
            </w:r>
            <w:r>
              <w:rPr>
                <w:sz w:val="22"/>
                <w:szCs w:val="22"/>
                <w:vertAlign w:val="superscript"/>
              </w:rPr>
              <w:t>(1)</w:t>
            </w:r>
            <w:r>
              <w:rPr>
                <w:sz w:val="22"/>
                <w:szCs w:val="22"/>
              </w:rPr>
              <w:t xml:space="preserve"> (see also section 4.4)</w:t>
            </w:r>
            <w:r>
              <w:rPr>
                <w:sz w:val="22"/>
                <w:szCs w:val="22"/>
                <w:vertAlign w:val="superscript"/>
              </w:rPr>
              <w:t xml:space="preserve"> </w:t>
            </w:r>
          </w:p>
          <w:p w14:paraId="1DC9F6E6" w14:textId="77777777" w:rsidR="00824C3A" w:rsidRDefault="00824C3A">
            <w:pPr>
              <w:pStyle w:val="Brdtekst"/>
              <w:ind w:right="193"/>
              <w:rPr>
                <w:sz w:val="22"/>
                <w:szCs w:val="22"/>
              </w:rPr>
            </w:pPr>
            <w:r>
              <w:rPr>
                <w:sz w:val="22"/>
                <w:szCs w:val="22"/>
              </w:rPr>
              <w:t>Cataract</w:t>
            </w:r>
            <w:r>
              <w:rPr>
                <w:sz w:val="22"/>
                <w:szCs w:val="22"/>
                <w:vertAlign w:val="superscript"/>
              </w:rPr>
              <w:t>(1), (2)</w:t>
            </w:r>
            <w:r>
              <w:rPr>
                <w:sz w:val="22"/>
                <w:szCs w:val="22"/>
              </w:rPr>
              <w:t xml:space="preserve"> (where applied to eyes or eyelids)</w:t>
            </w:r>
          </w:p>
        </w:tc>
      </w:tr>
      <w:tr w:rsidR="00824C3A" w14:paraId="4239360F" w14:textId="77777777" w:rsidTr="00824C3A">
        <w:tc>
          <w:tcPr>
            <w:tcW w:w="1174" w:type="pct"/>
            <w:tcBorders>
              <w:top w:val="single" w:sz="4" w:space="0" w:color="auto"/>
              <w:left w:val="single" w:sz="4" w:space="0" w:color="auto"/>
              <w:bottom w:val="single" w:sz="4" w:space="0" w:color="auto"/>
              <w:right w:val="single" w:sz="4" w:space="0" w:color="auto"/>
            </w:tcBorders>
            <w:hideMark/>
          </w:tcPr>
          <w:p w14:paraId="08B9506B" w14:textId="77777777" w:rsidR="00824C3A" w:rsidRDefault="00824C3A">
            <w:pPr>
              <w:pStyle w:val="Brdtekst"/>
              <w:ind w:right="191"/>
              <w:rPr>
                <w:sz w:val="22"/>
                <w:szCs w:val="22"/>
              </w:rPr>
            </w:pPr>
            <w:r>
              <w:rPr>
                <w:sz w:val="22"/>
                <w:szCs w:val="22"/>
              </w:rPr>
              <w:lastRenderedPageBreak/>
              <w:t>Immune System disorders</w:t>
            </w:r>
          </w:p>
        </w:tc>
        <w:tc>
          <w:tcPr>
            <w:tcW w:w="1405" w:type="pct"/>
            <w:tcBorders>
              <w:top w:val="single" w:sz="4" w:space="0" w:color="auto"/>
              <w:left w:val="single" w:sz="4" w:space="0" w:color="auto"/>
              <w:bottom w:val="single" w:sz="4" w:space="0" w:color="auto"/>
              <w:right w:val="single" w:sz="4" w:space="0" w:color="auto"/>
            </w:tcBorders>
          </w:tcPr>
          <w:p w14:paraId="484EDFD4" w14:textId="77777777" w:rsidR="00824C3A" w:rsidRDefault="00824C3A">
            <w:pPr>
              <w:pStyle w:val="Brdtekst"/>
              <w:ind w:right="193"/>
              <w:rPr>
                <w:sz w:val="22"/>
                <w:szCs w:val="22"/>
              </w:rPr>
            </w:pPr>
            <w:r>
              <w:rPr>
                <w:sz w:val="22"/>
                <w:szCs w:val="22"/>
              </w:rPr>
              <w:t>Uncommon</w:t>
            </w:r>
          </w:p>
          <w:p w14:paraId="14EDA262" w14:textId="77777777" w:rsidR="00824C3A" w:rsidRDefault="00824C3A">
            <w:pPr>
              <w:pStyle w:val="Brdtekst"/>
              <w:ind w:right="193"/>
              <w:rPr>
                <w:sz w:val="22"/>
                <w:szCs w:val="22"/>
              </w:rPr>
            </w:pPr>
          </w:p>
        </w:tc>
        <w:tc>
          <w:tcPr>
            <w:tcW w:w="2421" w:type="pct"/>
            <w:tcBorders>
              <w:top w:val="single" w:sz="4" w:space="0" w:color="auto"/>
              <w:left w:val="single" w:sz="4" w:space="0" w:color="auto"/>
              <w:bottom w:val="single" w:sz="4" w:space="0" w:color="auto"/>
              <w:right w:val="single" w:sz="4" w:space="0" w:color="auto"/>
            </w:tcBorders>
            <w:hideMark/>
          </w:tcPr>
          <w:p w14:paraId="7B7B3F52" w14:textId="77777777" w:rsidR="00824C3A" w:rsidRDefault="00824C3A">
            <w:pPr>
              <w:pStyle w:val="Brdtekst"/>
              <w:ind w:right="193"/>
              <w:rPr>
                <w:sz w:val="22"/>
                <w:szCs w:val="22"/>
              </w:rPr>
            </w:pPr>
            <w:r>
              <w:rPr>
                <w:sz w:val="22"/>
                <w:szCs w:val="22"/>
              </w:rPr>
              <w:t>Hypersensitivity</w:t>
            </w:r>
            <w:r>
              <w:rPr>
                <w:sz w:val="22"/>
                <w:szCs w:val="22"/>
                <w:vertAlign w:val="superscript"/>
              </w:rPr>
              <w:t>(1)</w:t>
            </w:r>
          </w:p>
        </w:tc>
      </w:tr>
      <w:tr w:rsidR="00824C3A" w14:paraId="42E207B7" w14:textId="77777777" w:rsidTr="00824C3A">
        <w:tc>
          <w:tcPr>
            <w:tcW w:w="1174" w:type="pct"/>
            <w:tcBorders>
              <w:top w:val="single" w:sz="4" w:space="0" w:color="auto"/>
              <w:left w:val="single" w:sz="4" w:space="0" w:color="auto"/>
              <w:bottom w:val="single" w:sz="4" w:space="0" w:color="auto"/>
              <w:right w:val="single" w:sz="4" w:space="0" w:color="auto"/>
            </w:tcBorders>
          </w:tcPr>
          <w:p w14:paraId="27DBAE4C" w14:textId="77777777" w:rsidR="00824C3A" w:rsidRDefault="00824C3A">
            <w:pPr>
              <w:pStyle w:val="Brdtekst"/>
              <w:ind w:right="191"/>
              <w:rPr>
                <w:sz w:val="22"/>
                <w:szCs w:val="22"/>
              </w:rPr>
            </w:pPr>
          </w:p>
        </w:tc>
        <w:tc>
          <w:tcPr>
            <w:tcW w:w="1405" w:type="pct"/>
            <w:tcBorders>
              <w:top w:val="single" w:sz="4" w:space="0" w:color="auto"/>
              <w:left w:val="single" w:sz="4" w:space="0" w:color="auto"/>
              <w:bottom w:val="single" w:sz="4" w:space="0" w:color="auto"/>
              <w:right w:val="single" w:sz="4" w:space="0" w:color="auto"/>
            </w:tcBorders>
            <w:hideMark/>
          </w:tcPr>
          <w:p w14:paraId="31BA7313" w14:textId="77777777" w:rsidR="00824C3A" w:rsidRDefault="00824C3A">
            <w:pPr>
              <w:pStyle w:val="Brdtekst"/>
              <w:ind w:right="193"/>
              <w:rPr>
                <w:sz w:val="22"/>
                <w:szCs w:val="22"/>
              </w:rPr>
            </w:pPr>
            <w:r>
              <w:rPr>
                <w:sz w:val="22"/>
                <w:szCs w:val="22"/>
              </w:rPr>
              <w:t>Rare</w:t>
            </w:r>
          </w:p>
        </w:tc>
        <w:tc>
          <w:tcPr>
            <w:tcW w:w="2421" w:type="pct"/>
            <w:tcBorders>
              <w:top w:val="single" w:sz="4" w:space="0" w:color="auto"/>
              <w:left w:val="single" w:sz="4" w:space="0" w:color="auto"/>
              <w:bottom w:val="single" w:sz="4" w:space="0" w:color="auto"/>
              <w:right w:val="single" w:sz="4" w:space="0" w:color="auto"/>
            </w:tcBorders>
            <w:hideMark/>
          </w:tcPr>
          <w:p w14:paraId="58DD7518" w14:textId="77777777" w:rsidR="00824C3A" w:rsidRDefault="00824C3A">
            <w:pPr>
              <w:pStyle w:val="Brdtekst"/>
              <w:ind w:right="193"/>
              <w:rPr>
                <w:sz w:val="22"/>
                <w:szCs w:val="22"/>
              </w:rPr>
            </w:pPr>
            <w:r>
              <w:rPr>
                <w:sz w:val="22"/>
                <w:szCs w:val="22"/>
              </w:rPr>
              <w:t>Immunosuppression</w:t>
            </w:r>
            <w:r>
              <w:rPr>
                <w:sz w:val="22"/>
                <w:szCs w:val="22"/>
                <w:vertAlign w:val="superscript"/>
              </w:rPr>
              <w:t>(1), (3)</w:t>
            </w:r>
          </w:p>
        </w:tc>
      </w:tr>
      <w:tr w:rsidR="00824C3A" w14:paraId="3C32BD72" w14:textId="77777777" w:rsidTr="00824C3A">
        <w:tc>
          <w:tcPr>
            <w:tcW w:w="1174" w:type="pct"/>
            <w:tcBorders>
              <w:top w:val="single" w:sz="4" w:space="0" w:color="auto"/>
              <w:left w:val="single" w:sz="4" w:space="0" w:color="auto"/>
              <w:bottom w:val="single" w:sz="4" w:space="0" w:color="auto"/>
              <w:right w:val="single" w:sz="4" w:space="0" w:color="auto"/>
            </w:tcBorders>
            <w:hideMark/>
          </w:tcPr>
          <w:p w14:paraId="744EC3D4" w14:textId="77777777" w:rsidR="00824C3A" w:rsidRDefault="00824C3A">
            <w:pPr>
              <w:pStyle w:val="Brdtekst"/>
              <w:ind w:right="191"/>
              <w:rPr>
                <w:sz w:val="22"/>
                <w:szCs w:val="22"/>
              </w:rPr>
            </w:pPr>
            <w:r>
              <w:rPr>
                <w:sz w:val="22"/>
                <w:szCs w:val="22"/>
              </w:rPr>
              <w:t>Nervous System disorders</w:t>
            </w:r>
          </w:p>
        </w:tc>
        <w:tc>
          <w:tcPr>
            <w:tcW w:w="1405" w:type="pct"/>
            <w:tcBorders>
              <w:top w:val="single" w:sz="4" w:space="0" w:color="auto"/>
              <w:left w:val="single" w:sz="4" w:space="0" w:color="auto"/>
              <w:bottom w:val="single" w:sz="4" w:space="0" w:color="auto"/>
              <w:right w:val="single" w:sz="4" w:space="0" w:color="auto"/>
            </w:tcBorders>
            <w:hideMark/>
          </w:tcPr>
          <w:p w14:paraId="0CBB9FBE" w14:textId="77777777" w:rsidR="00824C3A" w:rsidRDefault="00824C3A">
            <w:pPr>
              <w:pStyle w:val="Brdtekst"/>
              <w:ind w:right="193"/>
              <w:rPr>
                <w:sz w:val="22"/>
                <w:szCs w:val="22"/>
              </w:rPr>
            </w:pPr>
            <w:r>
              <w:rPr>
                <w:sz w:val="22"/>
                <w:szCs w:val="22"/>
              </w:rPr>
              <w:t>Uncommon</w:t>
            </w:r>
          </w:p>
        </w:tc>
        <w:tc>
          <w:tcPr>
            <w:tcW w:w="2421" w:type="pct"/>
            <w:tcBorders>
              <w:top w:val="single" w:sz="4" w:space="0" w:color="auto"/>
              <w:left w:val="single" w:sz="4" w:space="0" w:color="auto"/>
              <w:bottom w:val="single" w:sz="4" w:space="0" w:color="auto"/>
              <w:right w:val="single" w:sz="4" w:space="0" w:color="auto"/>
            </w:tcBorders>
            <w:hideMark/>
          </w:tcPr>
          <w:p w14:paraId="14EBFC17" w14:textId="77777777" w:rsidR="00824C3A" w:rsidRDefault="00824C3A">
            <w:pPr>
              <w:pStyle w:val="Brdtekst"/>
              <w:ind w:right="193"/>
              <w:rPr>
                <w:sz w:val="22"/>
                <w:szCs w:val="22"/>
              </w:rPr>
            </w:pPr>
            <w:r>
              <w:rPr>
                <w:sz w:val="22"/>
                <w:szCs w:val="22"/>
              </w:rPr>
              <w:t>Headache</w:t>
            </w:r>
          </w:p>
        </w:tc>
      </w:tr>
      <w:tr w:rsidR="00824C3A" w14:paraId="01B54C3F" w14:textId="77777777" w:rsidTr="00824C3A">
        <w:tc>
          <w:tcPr>
            <w:tcW w:w="1174" w:type="pct"/>
            <w:tcBorders>
              <w:top w:val="single" w:sz="4" w:space="0" w:color="auto"/>
              <w:left w:val="single" w:sz="4" w:space="0" w:color="auto"/>
              <w:bottom w:val="single" w:sz="4" w:space="0" w:color="auto"/>
              <w:right w:val="single" w:sz="4" w:space="0" w:color="auto"/>
            </w:tcBorders>
            <w:hideMark/>
          </w:tcPr>
          <w:p w14:paraId="019A9602" w14:textId="77777777" w:rsidR="00824C3A" w:rsidRDefault="00824C3A">
            <w:pPr>
              <w:pStyle w:val="Brdtekst"/>
              <w:ind w:right="191"/>
              <w:rPr>
                <w:sz w:val="22"/>
                <w:szCs w:val="22"/>
              </w:rPr>
            </w:pPr>
            <w:r>
              <w:rPr>
                <w:sz w:val="22"/>
                <w:szCs w:val="22"/>
              </w:rPr>
              <w:t>Skin and subcutaneous tissue disorders</w:t>
            </w:r>
          </w:p>
        </w:tc>
        <w:tc>
          <w:tcPr>
            <w:tcW w:w="1405" w:type="pct"/>
            <w:tcBorders>
              <w:top w:val="single" w:sz="4" w:space="0" w:color="auto"/>
              <w:left w:val="single" w:sz="4" w:space="0" w:color="auto"/>
              <w:bottom w:val="single" w:sz="4" w:space="0" w:color="auto"/>
              <w:right w:val="single" w:sz="4" w:space="0" w:color="auto"/>
            </w:tcBorders>
          </w:tcPr>
          <w:p w14:paraId="22798B2B" w14:textId="77777777" w:rsidR="00824C3A" w:rsidRDefault="00824C3A">
            <w:pPr>
              <w:pStyle w:val="Brdtekst"/>
              <w:ind w:right="191"/>
              <w:rPr>
                <w:sz w:val="22"/>
                <w:szCs w:val="22"/>
              </w:rPr>
            </w:pPr>
            <w:r>
              <w:rPr>
                <w:sz w:val="22"/>
                <w:szCs w:val="22"/>
              </w:rPr>
              <w:t xml:space="preserve">Common </w:t>
            </w:r>
          </w:p>
          <w:p w14:paraId="2BDCAC31" w14:textId="77777777" w:rsidR="00824C3A" w:rsidRDefault="00824C3A">
            <w:pPr>
              <w:pStyle w:val="Brdtekst"/>
              <w:ind w:right="191"/>
              <w:rPr>
                <w:sz w:val="22"/>
                <w:szCs w:val="22"/>
              </w:rPr>
            </w:pPr>
          </w:p>
        </w:tc>
        <w:tc>
          <w:tcPr>
            <w:tcW w:w="2421" w:type="pct"/>
            <w:tcBorders>
              <w:top w:val="single" w:sz="4" w:space="0" w:color="auto"/>
              <w:left w:val="single" w:sz="4" w:space="0" w:color="auto"/>
              <w:bottom w:val="single" w:sz="4" w:space="0" w:color="auto"/>
              <w:right w:val="single" w:sz="4" w:space="0" w:color="auto"/>
            </w:tcBorders>
            <w:hideMark/>
          </w:tcPr>
          <w:p w14:paraId="4BC6A24A" w14:textId="77777777" w:rsidR="00824C3A" w:rsidRDefault="00824C3A">
            <w:pPr>
              <w:pStyle w:val="Brdtekst"/>
              <w:ind w:right="193"/>
              <w:rPr>
                <w:sz w:val="22"/>
                <w:szCs w:val="22"/>
              </w:rPr>
            </w:pPr>
            <w:r>
              <w:rPr>
                <w:sz w:val="22"/>
                <w:szCs w:val="22"/>
              </w:rPr>
              <w:t>Skin burning sensation</w:t>
            </w:r>
          </w:p>
          <w:p w14:paraId="1E4CC1D8" w14:textId="77777777" w:rsidR="00824C3A" w:rsidRDefault="00824C3A">
            <w:pPr>
              <w:pStyle w:val="Brdtekst"/>
              <w:ind w:right="193"/>
              <w:rPr>
                <w:sz w:val="22"/>
                <w:szCs w:val="22"/>
              </w:rPr>
            </w:pPr>
            <w:r>
              <w:rPr>
                <w:sz w:val="22"/>
                <w:szCs w:val="22"/>
              </w:rPr>
              <w:t>Folliculitis</w:t>
            </w:r>
          </w:p>
        </w:tc>
      </w:tr>
      <w:tr w:rsidR="00824C3A" w:rsidRPr="004E100A" w14:paraId="3D80E039" w14:textId="77777777" w:rsidTr="00824C3A">
        <w:tc>
          <w:tcPr>
            <w:tcW w:w="1174" w:type="pct"/>
            <w:vMerge w:val="restart"/>
            <w:tcBorders>
              <w:top w:val="single" w:sz="4" w:space="0" w:color="auto"/>
              <w:left w:val="single" w:sz="4" w:space="0" w:color="auto"/>
              <w:bottom w:val="single" w:sz="4" w:space="0" w:color="auto"/>
              <w:right w:val="single" w:sz="4" w:space="0" w:color="auto"/>
            </w:tcBorders>
          </w:tcPr>
          <w:p w14:paraId="233AB906" w14:textId="77777777" w:rsidR="00824C3A" w:rsidRDefault="00824C3A">
            <w:pPr>
              <w:pStyle w:val="Brdtekst"/>
              <w:ind w:right="191"/>
              <w:rPr>
                <w:sz w:val="22"/>
                <w:szCs w:val="22"/>
              </w:rPr>
            </w:pPr>
          </w:p>
        </w:tc>
        <w:tc>
          <w:tcPr>
            <w:tcW w:w="1405" w:type="pct"/>
            <w:tcBorders>
              <w:top w:val="single" w:sz="4" w:space="0" w:color="auto"/>
              <w:left w:val="single" w:sz="4" w:space="0" w:color="auto"/>
              <w:bottom w:val="single" w:sz="4" w:space="0" w:color="auto"/>
              <w:right w:val="single" w:sz="4" w:space="0" w:color="auto"/>
            </w:tcBorders>
          </w:tcPr>
          <w:p w14:paraId="1ED8CE23" w14:textId="77777777" w:rsidR="00824C3A" w:rsidRDefault="00824C3A">
            <w:pPr>
              <w:pStyle w:val="Brdtekst"/>
              <w:ind w:right="191"/>
              <w:rPr>
                <w:sz w:val="22"/>
                <w:szCs w:val="22"/>
              </w:rPr>
            </w:pPr>
            <w:r>
              <w:rPr>
                <w:sz w:val="22"/>
                <w:szCs w:val="22"/>
              </w:rPr>
              <w:t xml:space="preserve">Uncommon </w:t>
            </w:r>
          </w:p>
          <w:p w14:paraId="7E68CC9C" w14:textId="77777777" w:rsidR="00824C3A" w:rsidRDefault="00824C3A">
            <w:pPr>
              <w:pStyle w:val="Brdtekst"/>
              <w:ind w:right="191"/>
              <w:rPr>
                <w:sz w:val="22"/>
                <w:szCs w:val="22"/>
              </w:rPr>
            </w:pPr>
          </w:p>
        </w:tc>
        <w:tc>
          <w:tcPr>
            <w:tcW w:w="2421" w:type="pct"/>
            <w:tcBorders>
              <w:top w:val="single" w:sz="4" w:space="0" w:color="auto"/>
              <w:left w:val="single" w:sz="4" w:space="0" w:color="auto"/>
              <w:bottom w:val="single" w:sz="4" w:space="0" w:color="auto"/>
              <w:right w:val="single" w:sz="4" w:space="0" w:color="auto"/>
            </w:tcBorders>
            <w:hideMark/>
          </w:tcPr>
          <w:p w14:paraId="157E69D8" w14:textId="77777777" w:rsidR="00824C3A" w:rsidRDefault="00824C3A">
            <w:pPr>
              <w:pStyle w:val="Brdtekst"/>
              <w:ind w:right="191"/>
              <w:rPr>
                <w:sz w:val="22"/>
                <w:szCs w:val="22"/>
              </w:rPr>
            </w:pPr>
            <w:r>
              <w:rPr>
                <w:sz w:val="22"/>
                <w:szCs w:val="22"/>
              </w:rPr>
              <w:t>Pain of skin</w:t>
            </w:r>
            <w:r>
              <w:rPr>
                <w:sz w:val="22"/>
                <w:szCs w:val="22"/>
                <w:vertAlign w:val="superscript"/>
              </w:rPr>
              <w:t>(1)</w:t>
            </w:r>
          </w:p>
          <w:p w14:paraId="2DAF4FF9" w14:textId="77777777" w:rsidR="00824C3A" w:rsidRDefault="00824C3A">
            <w:pPr>
              <w:pStyle w:val="Brdtekst"/>
              <w:ind w:right="191"/>
              <w:rPr>
                <w:sz w:val="22"/>
                <w:szCs w:val="22"/>
              </w:rPr>
            </w:pPr>
            <w:r>
              <w:rPr>
                <w:sz w:val="22"/>
                <w:szCs w:val="22"/>
              </w:rPr>
              <w:t>Skin discomfort</w:t>
            </w:r>
          </w:p>
          <w:p w14:paraId="399BC864" w14:textId="77777777" w:rsidR="00824C3A" w:rsidRDefault="00824C3A">
            <w:pPr>
              <w:pStyle w:val="Brdtekst"/>
              <w:ind w:right="191"/>
              <w:rPr>
                <w:sz w:val="22"/>
                <w:szCs w:val="22"/>
              </w:rPr>
            </w:pPr>
            <w:r>
              <w:rPr>
                <w:sz w:val="22"/>
                <w:szCs w:val="22"/>
              </w:rPr>
              <w:t>Pruritus</w:t>
            </w:r>
          </w:p>
          <w:p w14:paraId="2863825D" w14:textId="77777777" w:rsidR="00824C3A" w:rsidRDefault="00824C3A">
            <w:pPr>
              <w:pStyle w:val="Brdtekst"/>
              <w:ind w:right="191"/>
              <w:rPr>
                <w:sz w:val="22"/>
                <w:szCs w:val="22"/>
              </w:rPr>
            </w:pPr>
            <w:r>
              <w:rPr>
                <w:sz w:val="22"/>
                <w:szCs w:val="22"/>
              </w:rPr>
              <w:t>Acne</w:t>
            </w:r>
          </w:p>
          <w:p w14:paraId="0C8D020E" w14:textId="77777777" w:rsidR="00824C3A" w:rsidRDefault="00824C3A">
            <w:pPr>
              <w:pStyle w:val="Brdtekst"/>
              <w:ind w:right="191"/>
              <w:rPr>
                <w:sz w:val="22"/>
                <w:szCs w:val="22"/>
              </w:rPr>
            </w:pPr>
            <w:r>
              <w:rPr>
                <w:sz w:val="22"/>
                <w:szCs w:val="22"/>
              </w:rPr>
              <w:t>Skin oedema</w:t>
            </w:r>
          </w:p>
          <w:p w14:paraId="18948584" w14:textId="77777777" w:rsidR="00824C3A" w:rsidRDefault="00824C3A">
            <w:pPr>
              <w:pStyle w:val="Brdtekst"/>
              <w:ind w:right="191"/>
              <w:rPr>
                <w:sz w:val="22"/>
                <w:szCs w:val="22"/>
              </w:rPr>
            </w:pPr>
            <w:r>
              <w:rPr>
                <w:sz w:val="22"/>
                <w:szCs w:val="22"/>
              </w:rPr>
              <w:t>Telangiectasia</w:t>
            </w:r>
          </w:p>
          <w:p w14:paraId="14D2D5CC" w14:textId="77777777" w:rsidR="00824C3A" w:rsidRDefault="00824C3A">
            <w:pPr>
              <w:pStyle w:val="Brdtekst"/>
              <w:ind w:right="191"/>
              <w:rPr>
                <w:sz w:val="22"/>
                <w:szCs w:val="22"/>
              </w:rPr>
            </w:pPr>
            <w:r>
              <w:rPr>
                <w:sz w:val="22"/>
                <w:szCs w:val="22"/>
              </w:rPr>
              <w:t>Psoriasis (aggravation)</w:t>
            </w:r>
            <w:r>
              <w:rPr>
                <w:sz w:val="22"/>
                <w:szCs w:val="22"/>
                <w:vertAlign w:val="superscript"/>
              </w:rPr>
              <w:t xml:space="preserve"> (1)</w:t>
            </w:r>
          </w:p>
          <w:p w14:paraId="7760B977" w14:textId="77777777" w:rsidR="00824C3A" w:rsidRDefault="00824C3A">
            <w:pPr>
              <w:pStyle w:val="Brdtekst"/>
              <w:ind w:right="191"/>
              <w:rPr>
                <w:sz w:val="22"/>
                <w:szCs w:val="22"/>
              </w:rPr>
            </w:pPr>
            <w:r>
              <w:rPr>
                <w:sz w:val="22"/>
                <w:szCs w:val="22"/>
              </w:rPr>
              <w:t>Alopecia</w:t>
            </w:r>
          </w:p>
          <w:p w14:paraId="54B7F993" w14:textId="77777777" w:rsidR="00824C3A" w:rsidRDefault="00824C3A">
            <w:pPr>
              <w:pStyle w:val="Brdtekst"/>
              <w:ind w:right="191"/>
              <w:rPr>
                <w:sz w:val="22"/>
                <w:szCs w:val="22"/>
              </w:rPr>
            </w:pPr>
            <w:r>
              <w:rPr>
                <w:sz w:val="22"/>
                <w:szCs w:val="22"/>
              </w:rPr>
              <w:t>Dry skin</w:t>
            </w:r>
          </w:p>
          <w:p w14:paraId="30EE533F" w14:textId="77777777" w:rsidR="00824C3A" w:rsidRDefault="00824C3A">
            <w:pPr>
              <w:pStyle w:val="Brdtekst"/>
              <w:ind w:right="191"/>
              <w:rPr>
                <w:sz w:val="22"/>
                <w:szCs w:val="22"/>
              </w:rPr>
            </w:pPr>
            <w:r>
              <w:rPr>
                <w:sz w:val="22"/>
                <w:szCs w:val="22"/>
              </w:rPr>
              <w:t>Urticaria</w:t>
            </w:r>
          </w:p>
          <w:p w14:paraId="41FC5F5E" w14:textId="77777777" w:rsidR="00824C3A" w:rsidRDefault="00824C3A">
            <w:pPr>
              <w:pStyle w:val="Brdtekst"/>
              <w:ind w:right="191"/>
              <w:rPr>
                <w:sz w:val="22"/>
                <w:szCs w:val="22"/>
              </w:rPr>
            </w:pPr>
            <w:r>
              <w:rPr>
                <w:sz w:val="22"/>
                <w:szCs w:val="22"/>
              </w:rPr>
              <w:t>Skin atrophy</w:t>
            </w:r>
          </w:p>
          <w:p w14:paraId="09E37DEE" w14:textId="77777777" w:rsidR="00824C3A" w:rsidRDefault="00824C3A">
            <w:pPr>
              <w:pStyle w:val="Brdtekst"/>
              <w:ind w:right="191"/>
              <w:rPr>
                <w:sz w:val="22"/>
                <w:szCs w:val="22"/>
              </w:rPr>
            </w:pPr>
            <w:r>
              <w:rPr>
                <w:sz w:val="22"/>
                <w:szCs w:val="22"/>
              </w:rPr>
              <w:t>Skin irritation</w:t>
            </w:r>
            <w:r>
              <w:rPr>
                <w:sz w:val="22"/>
                <w:szCs w:val="22"/>
                <w:vertAlign w:val="superscript"/>
              </w:rPr>
              <w:t>(1)</w:t>
            </w:r>
          </w:p>
          <w:p w14:paraId="7762D2B3" w14:textId="77777777" w:rsidR="00824C3A" w:rsidRDefault="00824C3A">
            <w:pPr>
              <w:pStyle w:val="Brdtekst"/>
              <w:ind w:right="191"/>
              <w:rPr>
                <w:sz w:val="22"/>
                <w:szCs w:val="22"/>
              </w:rPr>
            </w:pPr>
            <w:r>
              <w:rPr>
                <w:sz w:val="22"/>
                <w:szCs w:val="22"/>
              </w:rPr>
              <w:t>Skin tightness</w:t>
            </w:r>
            <w:r>
              <w:rPr>
                <w:sz w:val="22"/>
                <w:szCs w:val="22"/>
                <w:vertAlign w:val="superscript"/>
              </w:rPr>
              <w:t>(1)</w:t>
            </w:r>
          </w:p>
          <w:p w14:paraId="253A028F" w14:textId="77777777" w:rsidR="00824C3A" w:rsidRDefault="00824C3A">
            <w:pPr>
              <w:pStyle w:val="Brdtekst"/>
              <w:ind w:right="193"/>
              <w:rPr>
                <w:sz w:val="22"/>
                <w:szCs w:val="22"/>
              </w:rPr>
            </w:pPr>
            <w:r>
              <w:rPr>
                <w:sz w:val="22"/>
                <w:szCs w:val="22"/>
              </w:rPr>
              <w:t>Allergic contact dermatitis</w:t>
            </w:r>
            <w:r>
              <w:rPr>
                <w:sz w:val="22"/>
                <w:szCs w:val="22"/>
                <w:vertAlign w:val="superscript"/>
              </w:rPr>
              <w:t>(1)</w:t>
            </w:r>
            <w:r>
              <w:rPr>
                <w:sz w:val="22"/>
                <w:szCs w:val="22"/>
              </w:rPr>
              <w:t>, erythema</w:t>
            </w:r>
            <w:r>
              <w:rPr>
                <w:sz w:val="22"/>
                <w:szCs w:val="22"/>
                <w:vertAlign w:val="superscript"/>
              </w:rPr>
              <w:t>(1)</w:t>
            </w:r>
            <w:r>
              <w:rPr>
                <w:sz w:val="22"/>
                <w:szCs w:val="22"/>
              </w:rPr>
              <w:t>, rash</w:t>
            </w:r>
            <w:r>
              <w:rPr>
                <w:sz w:val="22"/>
                <w:szCs w:val="22"/>
                <w:vertAlign w:val="superscript"/>
              </w:rPr>
              <w:t>(1)</w:t>
            </w:r>
          </w:p>
        </w:tc>
      </w:tr>
      <w:tr w:rsidR="00824C3A" w14:paraId="6BA37F3D" w14:textId="77777777" w:rsidTr="00824C3A">
        <w:tc>
          <w:tcPr>
            <w:tcW w:w="0" w:type="auto"/>
            <w:vMerge/>
            <w:tcBorders>
              <w:top w:val="single" w:sz="4" w:space="0" w:color="auto"/>
              <w:left w:val="single" w:sz="4" w:space="0" w:color="auto"/>
              <w:bottom w:val="single" w:sz="4" w:space="0" w:color="auto"/>
              <w:right w:val="single" w:sz="4" w:space="0" w:color="auto"/>
            </w:tcBorders>
            <w:vAlign w:val="center"/>
            <w:hideMark/>
          </w:tcPr>
          <w:p w14:paraId="1426ADFF" w14:textId="77777777" w:rsidR="00824C3A" w:rsidRDefault="00824C3A">
            <w:pPr>
              <w:rPr>
                <w:sz w:val="22"/>
                <w:szCs w:val="22"/>
                <w:lang w:val="en-US" w:eastAsia="en-US"/>
              </w:rPr>
            </w:pPr>
          </w:p>
        </w:tc>
        <w:tc>
          <w:tcPr>
            <w:tcW w:w="1405" w:type="pct"/>
            <w:tcBorders>
              <w:top w:val="single" w:sz="4" w:space="0" w:color="auto"/>
              <w:left w:val="single" w:sz="4" w:space="0" w:color="auto"/>
              <w:bottom w:val="single" w:sz="4" w:space="0" w:color="auto"/>
              <w:right w:val="single" w:sz="4" w:space="0" w:color="auto"/>
            </w:tcBorders>
            <w:hideMark/>
          </w:tcPr>
          <w:p w14:paraId="2AEDC776" w14:textId="77777777" w:rsidR="00824C3A" w:rsidRDefault="00824C3A">
            <w:pPr>
              <w:pStyle w:val="Brdtekst"/>
              <w:ind w:right="191"/>
              <w:rPr>
                <w:sz w:val="22"/>
                <w:szCs w:val="22"/>
              </w:rPr>
            </w:pPr>
            <w:r>
              <w:rPr>
                <w:sz w:val="22"/>
                <w:szCs w:val="22"/>
              </w:rPr>
              <w:t>Not known</w:t>
            </w:r>
          </w:p>
        </w:tc>
        <w:tc>
          <w:tcPr>
            <w:tcW w:w="2421" w:type="pct"/>
            <w:tcBorders>
              <w:top w:val="single" w:sz="4" w:space="0" w:color="auto"/>
              <w:left w:val="single" w:sz="4" w:space="0" w:color="auto"/>
              <w:bottom w:val="single" w:sz="4" w:space="0" w:color="auto"/>
              <w:right w:val="single" w:sz="4" w:space="0" w:color="auto"/>
            </w:tcBorders>
            <w:hideMark/>
          </w:tcPr>
          <w:p w14:paraId="7F09B9B4" w14:textId="77777777" w:rsidR="00824C3A" w:rsidRDefault="00824C3A">
            <w:pPr>
              <w:pStyle w:val="Brdtekst"/>
              <w:ind w:right="191"/>
              <w:rPr>
                <w:sz w:val="22"/>
                <w:szCs w:val="22"/>
                <w:vertAlign w:val="superscript"/>
              </w:rPr>
            </w:pPr>
            <w:r>
              <w:rPr>
                <w:sz w:val="22"/>
                <w:szCs w:val="22"/>
              </w:rPr>
              <w:t>Hypopigmentation</w:t>
            </w:r>
            <w:r>
              <w:rPr>
                <w:sz w:val="22"/>
                <w:szCs w:val="22"/>
                <w:vertAlign w:val="superscript"/>
              </w:rPr>
              <w:t>(1), (2)</w:t>
            </w:r>
            <w:r>
              <w:rPr>
                <w:sz w:val="22"/>
                <w:szCs w:val="22"/>
              </w:rPr>
              <w:t>, pigmentation changes</w:t>
            </w:r>
            <w:r>
              <w:rPr>
                <w:sz w:val="22"/>
                <w:szCs w:val="22"/>
                <w:vertAlign w:val="superscript"/>
              </w:rPr>
              <w:t>(1), (2)</w:t>
            </w:r>
          </w:p>
          <w:p w14:paraId="3326254E" w14:textId="77777777" w:rsidR="00824C3A" w:rsidRDefault="00824C3A">
            <w:pPr>
              <w:pStyle w:val="Brdtekst"/>
              <w:ind w:right="191"/>
              <w:rPr>
                <w:sz w:val="22"/>
                <w:szCs w:val="22"/>
                <w:vertAlign w:val="superscript"/>
              </w:rPr>
            </w:pPr>
            <w:r>
              <w:rPr>
                <w:sz w:val="22"/>
                <w:szCs w:val="22"/>
              </w:rPr>
              <w:t>Striae</w:t>
            </w:r>
            <w:r>
              <w:rPr>
                <w:sz w:val="22"/>
                <w:szCs w:val="22"/>
                <w:vertAlign w:val="superscript"/>
              </w:rPr>
              <w:t>(1), (4)</w:t>
            </w:r>
            <w:r>
              <w:rPr>
                <w:sz w:val="22"/>
                <w:szCs w:val="22"/>
              </w:rPr>
              <w:t>, purpura</w:t>
            </w:r>
            <w:r>
              <w:rPr>
                <w:sz w:val="22"/>
                <w:szCs w:val="22"/>
                <w:vertAlign w:val="superscript"/>
              </w:rPr>
              <w:t>(1), (4)</w:t>
            </w:r>
            <w:r>
              <w:rPr>
                <w:sz w:val="22"/>
                <w:szCs w:val="22"/>
              </w:rPr>
              <w:t>, generalised pustular psoriasis</w:t>
            </w:r>
            <w:r>
              <w:rPr>
                <w:sz w:val="22"/>
                <w:szCs w:val="22"/>
                <w:vertAlign w:val="superscript"/>
              </w:rPr>
              <w:t>(1), (4)</w:t>
            </w:r>
            <w:r>
              <w:rPr>
                <w:sz w:val="22"/>
                <w:szCs w:val="22"/>
              </w:rPr>
              <w:t xml:space="preserve"> (see also section 4.4)</w:t>
            </w:r>
          </w:p>
          <w:p w14:paraId="5971DF00" w14:textId="77777777" w:rsidR="00824C3A" w:rsidRDefault="00824C3A">
            <w:pPr>
              <w:pStyle w:val="Brdtekst"/>
              <w:ind w:right="191"/>
              <w:rPr>
                <w:sz w:val="22"/>
                <w:szCs w:val="22"/>
                <w:vertAlign w:val="superscript"/>
              </w:rPr>
            </w:pPr>
            <w:r>
              <w:rPr>
                <w:sz w:val="22"/>
                <w:szCs w:val="22"/>
              </w:rPr>
              <w:t>Pustular eruptions</w:t>
            </w:r>
            <w:r>
              <w:rPr>
                <w:sz w:val="22"/>
                <w:szCs w:val="22"/>
                <w:vertAlign w:val="superscript"/>
              </w:rPr>
              <w:t>(1), (2)</w:t>
            </w:r>
          </w:p>
          <w:p w14:paraId="0084EFA6" w14:textId="77777777" w:rsidR="00824C3A" w:rsidRDefault="00824C3A">
            <w:pPr>
              <w:pStyle w:val="Brdtekst"/>
              <w:ind w:right="191"/>
              <w:rPr>
                <w:sz w:val="22"/>
                <w:szCs w:val="22"/>
              </w:rPr>
            </w:pPr>
            <w:r>
              <w:rPr>
                <w:sz w:val="22"/>
                <w:szCs w:val="22"/>
              </w:rPr>
              <w:t>Perioral dermatitis</w:t>
            </w:r>
            <w:r>
              <w:rPr>
                <w:sz w:val="22"/>
                <w:szCs w:val="22"/>
                <w:vertAlign w:val="superscript"/>
              </w:rPr>
              <w:t>(1)</w:t>
            </w:r>
            <w:r>
              <w:rPr>
                <w:sz w:val="22"/>
                <w:szCs w:val="22"/>
              </w:rPr>
              <w:t>, rosacea worsening</w:t>
            </w:r>
            <w:r>
              <w:rPr>
                <w:sz w:val="22"/>
                <w:szCs w:val="22"/>
                <w:vertAlign w:val="superscript"/>
              </w:rPr>
              <w:t>(1)</w:t>
            </w:r>
            <w:r>
              <w:rPr>
                <w:sz w:val="22"/>
                <w:szCs w:val="22"/>
              </w:rPr>
              <w:t xml:space="preserve"> (see also section 4.4)</w:t>
            </w:r>
          </w:p>
          <w:p w14:paraId="06EA7552" w14:textId="77777777" w:rsidR="00824C3A" w:rsidRDefault="00824C3A">
            <w:pPr>
              <w:pStyle w:val="Brdtekst"/>
              <w:ind w:right="193"/>
              <w:rPr>
                <w:sz w:val="22"/>
                <w:szCs w:val="22"/>
              </w:rPr>
            </w:pPr>
            <w:r>
              <w:rPr>
                <w:sz w:val="22"/>
                <w:szCs w:val="22"/>
              </w:rPr>
              <w:t>Hypertrichosis</w:t>
            </w:r>
            <w:r>
              <w:rPr>
                <w:sz w:val="22"/>
                <w:szCs w:val="22"/>
                <w:vertAlign w:val="superscript"/>
              </w:rPr>
              <w:t>(1), (2)</w:t>
            </w:r>
          </w:p>
        </w:tc>
      </w:tr>
    </w:tbl>
    <w:p w14:paraId="7A553231" w14:textId="77777777" w:rsidR="00824C3A" w:rsidRDefault="00824C3A" w:rsidP="00824C3A">
      <w:pPr>
        <w:pStyle w:val="Brdtekst"/>
        <w:rPr>
          <w:i/>
          <w:sz w:val="22"/>
          <w:szCs w:val="22"/>
        </w:rPr>
      </w:pPr>
      <w:r>
        <w:rPr>
          <w:i/>
          <w:sz w:val="22"/>
          <w:szCs w:val="22"/>
          <w:vertAlign w:val="superscript"/>
        </w:rPr>
        <w:t xml:space="preserve">(1) </w:t>
      </w:r>
      <w:r>
        <w:rPr>
          <w:i/>
          <w:sz w:val="22"/>
          <w:szCs w:val="22"/>
        </w:rPr>
        <w:t>The adverse reaction has been notified during post-marketing experience.</w:t>
      </w:r>
    </w:p>
    <w:p w14:paraId="3173811B" w14:textId="77777777" w:rsidR="00824C3A" w:rsidRDefault="00824C3A" w:rsidP="00824C3A">
      <w:pPr>
        <w:pStyle w:val="Brdtekst"/>
        <w:rPr>
          <w:i/>
          <w:sz w:val="22"/>
          <w:szCs w:val="22"/>
        </w:rPr>
      </w:pPr>
      <w:r>
        <w:rPr>
          <w:i/>
          <w:sz w:val="22"/>
          <w:szCs w:val="22"/>
          <w:vertAlign w:val="superscript"/>
        </w:rPr>
        <w:t xml:space="preserve">(2) </w:t>
      </w:r>
      <w:r>
        <w:rPr>
          <w:i/>
          <w:sz w:val="22"/>
          <w:szCs w:val="22"/>
        </w:rPr>
        <w:t>In case of prolonged use.</w:t>
      </w:r>
    </w:p>
    <w:p w14:paraId="372CB3AA" w14:textId="77777777" w:rsidR="00824C3A" w:rsidRDefault="00824C3A" w:rsidP="00824C3A">
      <w:pPr>
        <w:pStyle w:val="Brdtekst"/>
        <w:rPr>
          <w:i/>
          <w:sz w:val="22"/>
          <w:szCs w:val="22"/>
        </w:rPr>
      </w:pPr>
      <w:r>
        <w:rPr>
          <w:i/>
          <w:sz w:val="22"/>
          <w:szCs w:val="22"/>
          <w:vertAlign w:val="superscript"/>
        </w:rPr>
        <w:t xml:space="preserve">(3) </w:t>
      </w:r>
      <w:r>
        <w:rPr>
          <w:i/>
          <w:sz w:val="22"/>
          <w:szCs w:val="22"/>
        </w:rPr>
        <w:t>In case of systemic absorption.</w:t>
      </w:r>
    </w:p>
    <w:p w14:paraId="48F545D7" w14:textId="77777777" w:rsidR="00824C3A" w:rsidRDefault="00824C3A" w:rsidP="00824C3A">
      <w:pPr>
        <w:pStyle w:val="Brdtekst"/>
        <w:rPr>
          <w:i/>
          <w:sz w:val="22"/>
          <w:szCs w:val="22"/>
        </w:rPr>
      </w:pPr>
      <w:r>
        <w:rPr>
          <w:i/>
          <w:sz w:val="22"/>
          <w:szCs w:val="22"/>
          <w:vertAlign w:val="superscript"/>
        </w:rPr>
        <w:t xml:space="preserve">(4) </w:t>
      </w:r>
      <w:r>
        <w:rPr>
          <w:i/>
          <w:sz w:val="22"/>
          <w:szCs w:val="22"/>
        </w:rPr>
        <w:t>Although not observed with clobetasol 500 micrograms/g shampoo, they may be caused by prolonged and/or intensive treatment with potent corticosteroids preparations.</w:t>
      </w:r>
    </w:p>
    <w:p w14:paraId="04853515" w14:textId="77777777" w:rsidR="00824C3A" w:rsidRPr="00824C3A" w:rsidRDefault="00824C3A" w:rsidP="00824C3A">
      <w:pPr>
        <w:pStyle w:val="Brdtekst"/>
        <w:ind w:left="851"/>
        <w:rPr>
          <w:sz w:val="24"/>
          <w:szCs w:val="24"/>
        </w:rPr>
      </w:pPr>
    </w:p>
    <w:p w14:paraId="0552104B" w14:textId="0FDA2FA5" w:rsidR="00824C3A" w:rsidRPr="00824C3A" w:rsidRDefault="00824C3A" w:rsidP="00824C3A">
      <w:pPr>
        <w:ind w:left="851"/>
        <w:rPr>
          <w:sz w:val="24"/>
          <w:szCs w:val="24"/>
          <w:lang w:val="en-US"/>
        </w:rPr>
      </w:pPr>
      <w:r w:rsidRPr="00824C3A">
        <w:rPr>
          <w:sz w:val="24"/>
          <w:szCs w:val="24"/>
          <w:lang w:val="en-US"/>
        </w:rPr>
        <w:t xml:space="preserve">As </w:t>
      </w:r>
      <w:r w:rsidR="00FB31A3">
        <w:rPr>
          <w:sz w:val="24"/>
          <w:szCs w:val="24"/>
          <w:lang w:val="en-US"/>
        </w:rPr>
        <w:t>Infilea</w:t>
      </w:r>
      <w:r w:rsidRPr="00824C3A">
        <w:rPr>
          <w:sz w:val="24"/>
          <w:szCs w:val="24"/>
          <w:lang w:val="en-US"/>
        </w:rPr>
        <w:t xml:space="preserve"> shampoo </w:t>
      </w:r>
      <w:r w:rsidRPr="00824C3A">
        <w:rPr>
          <w:rFonts w:eastAsiaTheme="minorHAnsi"/>
          <w:sz w:val="24"/>
          <w:szCs w:val="24"/>
          <w:lang w:val="en-US"/>
        </w:rPr>
        <w:t>is to be kept in place for 15 minutes before rinsing, systemic absorption is seldom observed (see section 5.2) and therefore, the risk of appearance of HPA axis suppression is very low compared to non-rinsed potent corticosteroids products. Should HPA axis suppression occur, it is likely to be transient with a rapid return to normal values (see also section 4.4).</w:t>
      </w:r>
    </w:p>
    <w:p w14:paraId="3847C06C" w14:textId="77777777" w:rsidR="00824C3A" w:rsidRPr="00824C3A" w:rsidRDefault="00824C3A" w:rsidP="00824C3A">
      <w:pPr>
        <w:adjustRightInd w:val="0"/>
        <w:ind w:left="851"/>
        <w:rPr>
          <w:rFonts w:eastAsiaTheme="minorHAnsi"/>
          <w:sz w:val="24"/>
          <w:szCs w:val="24"/>
          <w:lang w:val="en-US"/>
        </w:rPr>
      </w:pPr>
    </w:p>
    <w:p w14:paraId="33ADCB66" w14:textId="77777777" w:rsidR="00824C3A" w:rsidRPr="00824C3A" w:rsidRDefault="00824C3A" w:rsidP="00824C3A">
      <w:pPr>
        <w:adjustRightInd w:val="0"/>
        <w:ind w:left="851"/>
        <w:rPr>
          <w:rFonts w:eastAsiaTheme="minorHAnsi"/>
          <w:sz w:val="24"/>
          <w:szCs w:val="24"/>
          <w:lang w:val="en-US"/>
        </w:rPr>
      </w:pPr>
      <w:r w:rsidRPr="00824C3A">
        <w:rPr>
          <w:rFonts w:eastAsiaTheme="minorHAnsi"/>
          <w:sz w:val="24"/>
          <w:szCs w:val="24"/>
          <w:lang w:val="en-US"/>
        </w:rPr>
        <w:t>Rebound effects may occur upon discontinuation of treatment (see also section 4.4).</w:t>
      </w:r>
    </w:p>
    <w:p w14:paraId="2D60CB91" w14:textId="77777777" w:rsidR="00824C3A" w:rsidRPr="00824C3A" w:rsidRDefault="00824C3A" w:rsidP="00824C3A">
      <w:pPr>
        <w:ind w:left="851"/>
        <w:rPr>
          <w:rFonts w:eastAsiaTheme="minorHAnsi"/>
          <w:sz w:val="24"/>
          <w:szCs w:val="24"/>
          <w:lang w:val="en-GB"/>
        </w:rPr>
      </w:pPr>
    </w:p>
    <w:p w14:paraId="756E4666" w14:textId="77777777" w:rsidR="00824C3A" w:rsidRPr="00824C3A" w:rsidRDefault="00824C3A" w:rsidP="00824C3A">
      <w:pPr>
        <w:pStyle w:val="Brdtekst"/>
        <w:ind w:left="851" w:right="114"/>
        <w:rPr>
          <w:sz w:val="24"/>
          <w:szCs w:val="24"/>
          <w:u w:val="single"/>
        </w:rPr>
      </w:pPr>
      <w:r w:rsidRPr="00824C3A">
        <w:rPr>
          <w:sz w:val="24"/>
          <w:szCs w:val="24"/>
          <w:u w:val="single"/>
        </w:rPr>
        <w:t>Reporting of suspected adverse reactions</w:t>
      </w:r>
    </w:p>
    <w:p w14:paraId="6800F97C" w14:textId="77777777" w:rsidR="00895D18" w:rsidRDefault="00824C3A" w:rsidP="00824C3A">
      <w:pPr>
        <w:pStyle w:val="Brdtekst"/>
        <w:ind w:left="851" w:right="114"/>
        <w:rPr>
          <w:sz w:val="24"/>
          <w:szCs w:val="24"/>
        </w:rPr>
      </w:pPr>
      <w:r w:rsidRPr="00824C3A">
        <w:rPr>
          <w:sz w:val="24"/>
          <w:szCs w:val="24"/>
        </w:rPr>
        <w:t>Reporting suspected adverse reactions after authorization of the medicinal product is important. It allows continued monitoring of the benefit/risk balance of the medicinal product. Healthcare professionals are asked to report any suspected adverse reactions via</w:t>
      </w:r>
      <w:r w:rsidR="00895D18">
        <w:rPr>
          <w:sz w:val="24"/>
          <w:szCs w:val="24"/>
        </w:rPr>
        <w:t>:</w:t>
      </w:r>
    </w:p>
    <w:p w14:paraId="48D3BE22" w14:textId="77777777" w:rsidR="00895D18" w:rsidRDefault="00895D18" w:rsidP="00824C3A">
      <w:pPr>
        <w:pStyle w:val="Brdtekst"/>
        <w:ind w:left="851" w:right="114"/>
        <w:rPr>
          <w:sz w:val="24"/>
          <w:szCs w:val="24"/>
        </w:rPr>
      </w:pPr>
    </w:p>
    <w:p w14:paraId="5EE490A7" w14:textId="77777777" w:rsidR="00895D18" w:rsidRDefault="00895D18" w:rsidP="00895D18">
      <w:pPr>
        <w:ind w:left="851"/>
        <w:rPr>
          <w:sz w:val="24"/>
          <w:szCs w:val="24"/>
        </w:rPr>
      </w:pPr>
      <w:bookmarkStart w:id="1" w:name="_Hlk117501544"/>
      <w:bookmarkStart w:id="2" w:name="_Hlk112664459"/>
      <w:r>
        <w:rPr>
          <w:sz w:val="24"/>
          <w:szCs w:val="24"/>
        </w:rPr>
        <w:t>Lægemiddelstyrelsen</w:t>
      </w:r>
    </w:p>
    <w:p w14:paraId="018E44F7" w14:textId="77777777" w:rsidR="00895D18" w:rsidRDefault="00895D18" w:rsidP="00895D18">
      <w:pPr>
        <w:ind w:left="851"/>
        <w:rPr>
          <w:sz w:val="24"/>
          <w:szCs w:val="24"/>
        </w:rPr>
      </w:pPr>
      <w:bookmarkStart w:id="3" w:name="_Hlk117501524"/>
      <w:bookmarkEnd w:id="1"/>
      <w:r>
        <w:rPr>
          <w:sz w:val="24"/>
          <w:szCs w:val="24"/>
        </w:rPr>
        <w:t>Axel Heides Gade 1</w:t>
      </w:r>
    </w:p>
    <w:p w14:paraId="49F87998" w14:textId="77777777" w:rsidR="00895D18" w:rsidRDefault="00895D18" w:rsidP="00895D18">
      <w:pPr>
        <w:ind w:left="851"/>
        <w:rPr>
          <w:sz w:val="24"/>
          <w:szCs w:val="24"/>
        </w:rPr>
      </w:pPr>
      <w:r>
        <w:rPr>
          <w:sz w:val="24"/>
          <w:szCs w:val="24"/>
        </w:rPr>
        <w:t>DK-2300 København S</w:t>
      </w:r>
    </w:p>
    <w:p w14:paraId="5C5D8918" w14:textId="3CC601AD" w:rsidR="00895D18" w:rsidRPr="00105A53" w:rsidRDefault="00895D18" w:rsidP="00895D18">
      <w:pPr>
        <w:ind w:left="851"/>
        <w:rPr>
          <w:sz w:val="24"/>
          <w:szCs w:val="24"/>
          <w:lang w:val="en-US"/>
        </w:rPr>
      </w:pPr>
      <w:r w:rsidRPr="00105A53">
        <w:rPr>
          <w:sz w:val="24"/>
          <w:szCs w:val="24"/>
          <w:lang w:val="en-US"/>
        </w:rPr>
        <w:t xml:space="preserve">Website: </w:t>
      </w:r>
      <w:r w:rsidRPr="00105A53">
        <w:rPr>
          <w:sz w:val="24"/>
          <w:lang w:val="en-US"/>
        </w:rPr>
        <w:t>www.meldenbivirkning.dk</w:t>
      </w:r>
      <w:bookmarkEnd w:id="2"/>
      <w:bookmarkEnd w:id="3"/>
    </w:p>
    <w:p w14:paraId="7D212CE8" w14:textId="77777777" w:rsidR="007C5D2A" w:rsidRPr="00824C3A" w:rsidRDefault="007C5D2A" w:rsidP="00824C3A">
      <w:pPr>
        <w:tabs>
          <w:tab w:val="left" w:pos="851"/>
        </w:tabs>
        <w:ind w:left="851"/>
        <w:rPr>
          <w:sz w:val="24"/>
          <w:szCs w:val="24"/>
          <w:lang w:val="en-US"/>
        </w:rPr>
      </w:pPr>
    </w:p>
    <w:p w14:paraId="7CC4AC06"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2158E2DE" w14:textId="77777777" w:rsidR="00105A53" w:rsidRPr="00105A53" w:rsidRDefault="00105A53" w:rsidP="00105A53">
      <w:pPr>
        <w:tabs>
          <w:tab w:val="left" w:pos="851"/>
        </w:tabs>
        <w:ind w:left="851"/>
        <w:rPr>
          <w:sz w:val="24"/>
          <w:szCs w:val="24"/>
          <w:lang w:val="en-US"/>
        </w:rPr>
      </w:pPr>
      <w:r w:rsidRPr="00105A53">
        <w:rPr>
          <w:sz w:val="24"/>
          <w:szCs w:val="24"/>
          <w:lang w:val="en-US"/>
        </w:rPr>
        <w:t>Acute overdose is very unlikely to occur, however, in the case of chronic overdose or misuse, the features of hypercortisolism may appear and in this situation, treatment should be discontinued gradually. However, because of the risk of acute adrenal suppression, this should be done under medical supervision.</w:t>
      </w:r>
    </w:p>
    <w:p w14:paraId="7DDE0DE5" w14:textId="77777777" w:rsidR="007C5D2A" w:rsidRPr="00105A53" w:rsidRDefault="007C5D2A" w:rsidP="003E0341">
      <w:pPr>
        <w:tabs>
          <w:tab w:val="left" w:pos="851"/>
        </w:tabs>
        <w:ind w:left="851"/>
        <w:rPr>
          <w:sz w:val="24"/>
          <w:szCs w:val="24"/>
          <w:lang w:val="en-US"/>
        </w:rPr>
      </w:pPr>
    </w:p>
    <w:p w14:paraId="4AC80A52"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7740B6A4" w14:textId="2C7BB720" w:rsidR="00AD2E36" w:rsidRPr="00303008" w:rsidRDefault="00105A53" w:rsidP="00AD2E36">
      <w:pPr>
        <w:tabs>
          <w:tab w:val="left" w:pos="851"/>
        </w:tabs>
        <w:ind w:left="851"/>
        <w:rPr>
          <w:sz w:val="24"/>
          <w:szCs w:val="24"/>
          <w:lang w:val="en-GB"/>
        </w:rPr>
      </w:pPr>
      <w:r>
        <w:rPr>
          <w:sz w:val="24"/>
          <w:szCs w:val="24"/>
          <w:lang w:val="en-GB"/>
        </w:rPr>
        <w:t>B</w:t>
      </w:r>
    </w:p>
    <w:p w14:paraId="08AB9D07" w14:textId="77777777" w:rsidR="007C5D2A" w:rsidRPr="00303008" w:rsidRDefault="007C5D2A" w:rsidP="003E0341">
      <w:pPr>
        <w:tabs>
          <w:tab w:val="left" w:pos="851"/>
        </w:tabs>
        <w:ind w:left="851"/>
        <w:rPr>
          <w:sz w:val="24"/>
          <w:szCs w:val="24"/>
          <w:lang w:val="en-GB"/>
        </w:rPr>
      </w:pPr>
    </w:p>
    <w:p w14:paraId="3AB3DB4D" w14:textId="77777777" w:rsidR="00AD2E36" w:rsidRPr="00303008" w:rsidRDefault="00AD2E36" w:rsidP="003E0341">
      <w:pPr>
        <w:tabs>
          <w:tab w:val="left" w:pos="851"/>
        </w:tabs>
        <w:ind w:left="851"/>
        <w:rPr>
          <w:sz w:val="24"/>
          <w:szCs w:val="24"/>
          <w:lang w:val="en-GB"/>
        </w:rPr>
      </w:pPr>
    </w:p>
    <w:p w14:paraId="20F0F6EF"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573E001F" w14:textId="77777777" w:rsidR="007C5D2A" w:rsidRDefault="007C5D2A" w:rsidP="003E0341">
      <w:pPr>
        <w:tabs>
          <w:tab w:val="left" w:pos="851"/>
        </w:tabs>
        <w:ind w:left="851"/>
        <w:rPr>
          <w:sz w:val="24"/>
          <w:szCs w:val="24"/>
          <w:lang w:val="en-GB"/>
        </w:rPr>
      </w:pPr>
    </w:p>
    <w:p w14:paraId="0097822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63521A9A" w14:textId="73B494A7" w:rsidR="00611838" w:rsidRPr="00611838" w:rsidRDefault="00611838" w:rsidP="00611838">
      <w:pPr>
        <w:tabs>
          <w:tab w:val="left" w:pos="851"/>
        </w:tabs>
        <w:ind w:left="851"/>
        <w:rPr>
          <w:sz w:val="24"/>
          <w:szCs w:val="24"/>
          <w:lang w:val="en-US"/>
        </w:rPr>
      </w:pPr>
      <w:r w:rsidRPr="00611838">
        <w:rPr>
          <w:sz w:val="24"/>
          <w:szCs w:val="24"/>
          <w:lang w:val="en-US"/>
        </w:rPr>
        <w:t>Pharmacotherapeutic group: Corticosteroids, Very Potent (Group IV), ATC code: D07AD01</w:t>
      </w:r>
      <w:r w:rsidR="00707598">
        <w:rPr>
          <w:sz w:val="24"/>
          <w:szCs w:val="24"/>
          <w:lang w:val="en-US"/>
        </w:rPr>
        <w:t>.</w:t>
      </w:r>
    </w:p>
    <w:p w14:paraId="5FD37C08" w14:textId="77777777" w:rsidR="00611838" w:rsidRPr="00611838" w:rsidRDefault="00611838" w:rsidP="00611838">
      <w:pPr>
        <w:tabs>
          <w:tab w:val="left" w:pos="851"/>
        </w:tabs>
        <w:ind w:left="851"/>
        <w:rPr>
          <w:sz w:val="24"/>
          <w:szCs w:val="24"/>
          <w:lang w:val="en-US"/>
        </w:rPr>
      </w:pPr>
    </w:p>
    <w:p w14:paraId="4F4A22EF" w14:textId="77777777" w:rsidR="00611838" w:rsidRPr="00611838" w:rsidRDefault="00611838" w:rsidP="00611838">
      <w:pPr>
        <w:tabs>
          <w:tab w:val="left" w:pos="851"/>
        </w:tabs>
        <w:ind w:left="851"/>
        <w:rPr>
          <w:sz w:val="24"/>
          <w:szCs w:val="24"/>
          <w:u w:val="single"/>
          <w:lang w:val="en-US"/>
        </w:rPr>
      </w:pPr>
      <w:r w:rsidRPr="00611838">
        <w:rPr>
          <w:sz w:val="24"/>
          <w:szCs w:val="24"/>
          <w:u w:val="single"/>
          <w:lang w:val="en-US"/>
        </w:rPr>
        <w:t>Mechanism of action</w:t>
      </w:r>
    </w:p>
    <w:p w14:paraId="6A2B1778" w14:textId="77777777" w:rsidR="00611838" w:rsidRPr="00611838" w:rsidRDefault="00611838" w:rsidP="00611838">
      <w:pPr>
        <w:tabs>
          <w:tab w:val="left" w:pos="851"/>
        </w:tabs>
        <w:ind w:left="851"/>
        <w:rPr>
          <w:sz w:val="24"/>
          <w:szCs w:val="24"/>
          <w:lang w:val="en-US"/>
        </w:rPr>
      </w:pPr>
      <w:r w:rsidRPr="00611838">
        <w:rPr>
          <w:sz w:val="24"/>
          <w:szCs w:val="24"/>
          <w:lang w:val="en-US"/>
        </w:rPr>
        <w:t>Like other topical corticosteroids, clobetasol propionate has anti-inflammatory, antipruritic, and vasoconstrictive properties. The mechanism of the anti-inflammatory activity of topical corticosteroids in general is unclear. However, corticosteroids are thought to act by induction of phospholipase A2 inhibitory proteins, collectively called lipocortins. It is postulated that these proteins control the biosynthesis of potent mediators of inflammation such as prostaglandins and leukotrienes by inhibiting the release of their common precursor, arachidonic acid. Arachidonic acid is released from membrane phospholipids by phospholipase A2.</w:t>
      </w:r>
    </w:p>
    <w:p w14:paraId="254A7FCF" w14:textId="77777777" w:rsidR="007C5D2A" w:rsidRPr="00611838" w:rsidRDefault="007C5D2A" w:rsidP="003E0341">
      <w:pPr>
        <w:tabs>
          <w:tab w:val="left" w:pos="851"/>
        </w:tabs>
        <w:ind w:left="851"/>
        <w:rPr>
          <w:sz w:val="24"/>
          <w:szCs w:val="24"/>
          <w:lang w:val="en-US"/>
        </w:rPr>
      </w:pPr>
    </w:p>
    <w:p w14:paraId="3615EAE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149528DB" w14:textId="166E9E53" w:rsidR="00611838" w:rsidRPr="00611838" w:rsidRDefault="00611838" w:rsidP="00611838">
      <w:pPr>
        <w:tabs>
          <w:tab w:val="left" w:pos="851"/>
        </w:tabs>
        <w:ind w:left="851"/>
        <w:rPr>
          <w:sz w:val="24"/>
          <w:szCs w:val="24"/>
          <w:lang w:val="en-US"/>
        </w:rPr>
      </w:pPr>
      <w:r w:rsidRPr="00611838">
        <w:rPr>
          <w:i/>
          <w:sz w:val="24"/>
          <w:szCs w:val="24"/>
          <w:lang w:val="en-US"/>
        </w:rPr>
        <w:t>In vitro</w:t>
      </w:r>
      <w:r w:rsidRPr="00611838">
        <w:rPr>
          <w:sz w:val="24"/>
          <w:szCs w:val="24"/>
          <w:lang w:val="en-US"/>
        </w:rPr>
        <w:t xml:space="preserve"> liberation –penetration studies on human skin showed that only a small percentage (0.1</w:t>
      </w:r>
      <w:r w:rsidR="00B14721">
        <w:rPr>
          <w:sz w:val="24"/>
          <w:szCs w:val="24"/>
          <w:lang w:val="en-US"/>
        </w:rPr>
        <w:t xml:space="preserve"> %</w:t>
      </w:r>
      <w:r w:rsidRPr="00611838">
        <w:rPr>
          <w:sz w:val="24"/>
          <w:szCs w:val="24"/>
          <w:lang w:val="en-US"/>
        </w:rPr>
        <w:t>) of the applied dose of clobetasol propionate shampoo can be found in the epidermis (including the stratum corneum) when applied for 15 minutes and then rinsed. The very low topical absorption of clobetasol propionate from clobetasol propionate shampoo when applied according to the recommended clinical use (15 minutes before rinse off) resulted in negligible systemic exposure in animal studies and in clinical trials. Available clinical data revealed that only 1 of 126 subjects had a quantifiable clobetasol propionate plasma concentration (0.43 ng/mL).</w:t>
      </w:r>
    </w:p>
    <w:p w14:paraId="394D1BF2" w14:textId="77777777" w:rsidR="00611838" w:rsidRPr="00611838" w:rsidRDefault="00611838" w:rsidP="00611838">
      <w:pPr>
        <w:tabs>
          <w:tab w:val="left" w:pos="851"/>
        </w:tabs>
        <w:ind w:left="851"/>
        <w:rPr>
          <w:sz w:val="24"/>
          <w:szCs w:val="24"/>
          <w:lang w:val="en-US"/>
        </w:rPr>
      </w:pPr>
    </w:p>
    <w:p w14:paraId="5E35EA34" w14:textId="77777777" w:rsidR="00611838" w:rsidRPr="00611838" w:rsidRDefault="00611838" w:rsidP="00611838">
      <w:pPr>
        <w:tabs>
          <w:tab w:val="left" w:pos="851"/>
        </w:tabs>
        <w:ind w:left="851"/>
        <w:rPr>
          <w:sz w:val="24"/>
          <w:szCs w:val="24"/>
          <w:lang w:val="en-US"/>
        </w:rPr>
      </w:pPr>
      <w:r w:rsidRPr="00611838">
        <w:rPr>
          <w:sz w:val="24"/>
          <w:szCs w:val="24"/>
          <w:lang w:val="en-US"/>
        </w:rPr>
        <w:t>The present pharmacokinetic data indicate that systemic effects following clinical treatment with clobetasol propionate shampoo are highly unlikely due to the low systemic exposure of clobetasol propionate after topical administration.</w:t>
      </w:r>
    </w:p>
    <w:p w14:paraId="2915B883" w14:textId="77777777" w:rsidR="007C5D2A" w:rsidRPr="00611838" w:rsidRDefault="007C5D2A" w:rsidP="003E0341">
      <w:pPr>
        <w:tabs>
          <w:tab w:val="left" w:pos="851"/>
        </w:tabs>
        <w:ind w:left="851"/>
        <w:rPr>
          <w:sz w:val="24"/>
          <w:szCs w:val="24"/>
          <w:lang w:val="en-US"/>
        </w:rPr>
      </w:pPr>
    </w:p>
    <w:p w14:paraId="41544725"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0D474674" w14:textId="77777777" w:rsidR="00F050A5" w:rsidRPr="00F050A5" w:rsidRDefault="00F050A5" w:rsidP="00F050A5">
      <w:pPr>
        <w:tabs>
          <w:tab w:val="left" w:pos="851"/>
        </w:tabs>
        <w:ind w:left="851"/>
        <w:rPr>
          <w:sz w:val="24"/>
          <w:szCs w:val="24"/>
          <w:lang w:val="en-US"/>
        </w:rPr>
      </w:pPr>
      <w:r w:rsidRPr="00F050A5">
        <w:rPr>
          <w:sz w:val="24"/>
          <w:szCs w:val="24"/>
          <w:lang w:val="en-US"/>
        </w:rPr>
        <w:t>Non-clinical data reveal no special hazard for humans based on conventional studies of safety pharmacology, single, repeated dose toxicity and genotoxicity. The carcinogenicity of clobetasol has not been studied.</w:t>
      </w:r>
    </w:p>
    <w:p w14:paraId="026691C8" w14:textId="77777777" w:rsidR="00F050A5" w:rsidRPr="00F050A5" w:rsidRDefault="00F050A5" w:rsidP="00F050A5">
      <w:pPr>
        <w:tabs>
          <w:tab w:val="left" w:pos="851"/>
        </w:tabs>
        <w:ind w:left="851"/>
        <w:rPr>
          <w:sz w:val="24"/>
          <w:szCs w:val="24"/>
          <w:lang w:val="en-US"/>
        </w:rPr>
      </w:pPr>
      <w:r w:rsidRPr="00F050A5">
        <w:rPr>
          <w:sz w:val="24"/>
          <w:szCs w:val="24"/>
          <w:lang w:val="en-US"/>
        </w:rPr>
        <w:t>In rabbits, clobetasol propionate shampoo was slightly irritating to the skin and eyes, but no delayed-type hypersensitivity was seen on guinea pigs’ skin.</w:t>
      </w:r>
    </w:p>
    <w:p w14:paraId="33F35DA1" w14:textId="77777777" w:rsidR="00F050A5" w:rsidRPr="00F050A5" w:rsidRDefault="00F050A5" w:rsidP="00F050A5">
      <w:pPr>
        <w:tabs>
          <w:tab w:val="left" w:pos="851"/>
        </w:tabs>
        <w:ind w:left="851"/>
        <w:rPr>
          <w:sz w:val="24"/>
          <w:szCs w:val="24"/>
          <w:lang w:val="en-US"/>
        </w:rPr>
      </w:pPr>
    </w:p>
    <w:p w14:paraId="1A5BB745" w14:textId="77777777" w:rsidR="00F050A5" w:rsidRPr="00F050A5" w:rsidRDefault="00F050A5" w:rsidP="00F050A5">
      <w:pPr>
        <w:tabs>
          <w:tab w:val="left" w:pos="851"/>
        </w:tabs>
        <w:ind w:left="851"/>
        <w:rPr>
          <w:sz w:val="24"/>
          <w:szCs w:val="24"/>
          <w:lang w:val="en-US"/>
        </w:rPr>
      </w:pPr>
      <w:r w:rsidRPr="00F050A5">
        <w:rPr>
          <w:sz w:val="24"/>
          <w:szCs w:val="24"/>
          <w:lang w:val="en-US"/>
        </w:rPr>
        <w:t xml:space="preserve">In developmental toxicity studies in the rabbit and the mouse, clobetasol propionate was shown to be teratogenic when administered subcutaneously at clinically relevant doses. In a topical embryotoxicity study of clobetasol in the rat, foetal immaturity and skeletal and </w:t>
      </w:r>
      <w:r w:rsidRPr="00F050A5">
        <w:rPr>
          <w:sz w:val="24"/>
          <w:szCs w:val="24"/>
          <w:lang w:val="en-US"/>
        </w:rPr>
        <w:lastRenderedPageBreak/>
        <w:t>visceral malformations were observed at clinically relevant dose levels. In addition to malformations, studies in animals exposed to glucocorticoids during pregnancy have also shown other effects on the offspring, such as intrauterine growth retardation.</w:t>
      </w:r>
    </w:p>
    <w:p w14:paraId="4B928B03" w14:textId="77777777" w:rsidR="00F050A5" w:rsidRPr="00F050A5" w:rsidRDefault="00F050A5" w:rsidP="00F050A5">
      <w:pPr>
        <w:tabs>
          <w:tab w:val="left" w:pos="851"/>
        </w:tabs>
        <w:ind w:left="851"/>
        <w:rPr>
          <w:sz w:val="24"/>
          <w:szCs w:val="24"/>
          <w:lang w:val="en-US"/>
        </w:rPr>
      </w:pPr>
      <w:r w:rsidRPr="00F050A5">
        <w:rPr>
          <w:sz w:val="24"/>
          <w:szCs w:val="24"/>
          <w:lang w:val="en-US"/>
        </w:rPr>
        <w:t>The clinical translatability of the effects of clobetasol and other corticosteroids in developmental animal studies is unknown.</w:t>
      </w:r>
    </w:p>
    <w:p w14:paraId="260AE679" w14:textId="77777777" w:rsidR="007C5D2A" w:rsidRPr="00611838" w:rsidRDefault="007C5D2A" w:rsidP="003E0341">
      <w:pPr>
        <w:tabs>
          <w:tab w:val="left" w:pos="851"/>
        </w:tabs>
        <w:ind w:left="851"/>
        <w:rPr>
          <w:sz w:val="24"/>
          <w:szCs w:val="24"/>
          <w:lang w:val="en-US"/>
        </w:rPr>
      </w:pPr>
    </w:p>
    <w:p w14:paraId="0B3867EF" w14:textId="77777777" w:rsidR="007C5D2A" w:rsidRPr="00303008" w:rsidRDefault="007C5D2A" w:rsidP="003E0341">
      <w:pPr>
        <w:tabs>
          <w:tab w:val="left" w:pos="851"/>
        </w:tabs>
        <w:ind w:left="851"/>
        <w:rPr>
          <w:sz w:val="24"/>
          <w:szCs w:val="24"/>
          <w:lang w:val="en-GB"/>
        </w:rPr>
      </w:pPr>
    </w:p>
    <w:p w14:paraId="0DF7E33D"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79D56376" w14:textId="77777777" w:rsidR="007C5D2A" w:rsidRPr="00303008" w:rsidRDefault="007C5D2A" w:rsidP="003E0341">
      <w:pPr>
        <w:tabs>
          <w:tab w:val="left" w:pos="851"/>
        </w:tabs>
        <w:ind w:left="851"/>
        <w:rPr>
          <w:sz w:val="24"/>
          <w:szCs w:val="24"/>
          <w:lang w:val="en-GB"/>
        </w:rPr>
      </w:pPr>
    </w:p>
    <w:p w14:paraId="0A55B0F0"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79C11E30" w14:textId="77777777" w:rsidR="00F050A5" w:rsidRPr="00F050A5" w:rsidRDefault="00F050A5" w:rsidP="00F050A5">
      <w:pPr>
        <w:tabs>
          <w:tab w:val="left" w:pos="851"/>
        </w:tabs>
        <w:ind w:left="851"/>
        <w:rPr>
          <w:sz w:val="24"/>
          <w:szCs w:val="24"/>
          <w:lang w:val="en-US"/>
        </w:rPr>
      </w:pPr>
      <w:r w:rsidRPr="00F050A5">
        <w:rPr>
          <w:sz w:val="24"/>
          <w:szCs w:val="24"/>
          <w:lang w:val="en-US"/>
        </w:rPr>
        <w:t>Ethanol</w:t>
      </w:r>
    </w:p>
    <w:p w14:paraId="00B018D8" w14:textId="77777777" w:rsidR="00F050A5" w:rsidRPr="00F050A5" w:rsidRDefault="00F050A5" w:rsidP="00F050A5">
      <w:pPr>
        <w:tabs>
          <w:tab w:val="left" w:pos="851"/>
        </w:tabs>
        <w:ind w:left="851"/>
        <w:rPr>
          <w:sz w:val="24"/>
          <w:szCs w:val="24"/>
          <w:lang w:val="en-US"/>
        </w:rPr>
      </w:pPr>
      <w:r w:rsidRPr="00F050A5">
        <w:rPr>
          <w:sz w:val="24"/>
          <w:szCs w:val="24"/>
          <w:lang w:val="en-US"/>
        </w:rPr>
        <w:t xml:space="preserve">Coco alkyl dimethyl betaine </w:t>
      </w:r>
    </w:p>
    <w:p w14:paraId="7EB5BE41" w14:textId="77777777" w:rsidR="00F050A5" w:rsidRPr="00F050A5" w:rsidRDefault="00F050A5" w:rsidP="00F050A5">
      <w:pPr>
        <w:tabs>
          <w:tab w:val="left" w:pos="851"/>
        </w:tabs>
        <w:ind w:left="851"/>
        <w:rPr>
          <w:sz w:val="24"/>
          <w:szCs w:val="24"/>
          <w:lang w:val="en-US"/>
        </w:rPr>
      </w:pPr>
      <w:r w:rsidRPr="00F050A5">
        <w:rPr>
          <w:sz w:val="24"/>
          <w:szCs w:val="24"/>
          <w:lang w:val="en-US"/>
        </w:rPr>
        <w:t xml:space="preserve">Sodium laureth sulfate </w:t>
      </w:r>
    </w:p>
    <w:p w14:paraId="1D50AEC4" w14:textId="77777777" w:rsidR="00F050A5" w:rsidRPr="00F050A5" w:rsidRDefault="00F050A5" w:rsidP="00F050A5">
      <w:pPr>
        <w:tabs>
          <w:tab w:val="left" w:pos="851"/>
        </w:tabs>
        <w:ind w:left="851"/>
        <w:rPr>
          <w:sz w:val="24"/>
          <w:szCs w:val="24"/>
          <w:lang w:val="en-US"/>
        </w:rPr>
      </w:pPr>
      <w:r w:rsidRPr="00F050A5">
        <w:rPr>
          <w:sz w:val="24"/>
          <w:szCs w:val="24"/>
          <w:lang w:val="en-US"/>
        </w:rPr>
        <w:t>Polyquaternium-10</w:t>
      </w:r>
    </w:p>
    <w:p w14:paraId="3B4D4A7A" w14:textId="77777777" w:rsidR="00F050A5" w:rsidRPr="00F050A5" w:rsidRDefault="00F050A5" w:rsidP="00F050A5">
      <w:pPr>
        <w:tabs>
          <w:tab w:val="left" w:pos="851"/>
        </w:tabs>
        <w:ind w:left="851"/>
        <w:rPr>
          <w:sz w:val="24"/>
          <w:szCs w:val="24"/>
          <w:lang w:val="en-US"/>
        </w:rPr>
      </w:pPr>
      <w:r w:rsidRPr="00F050A5">
        <w:rPr>
          <w:sz w:val="24"/>
          <w:szCs w:val="24"/>
          <w:lang w:val="en-US"/>
        </w:rPr>
        <w:t xml:space="preserve">Sodium citrate </w:t>
      </w:r>
      <w:bookmarkStart w:id="4" w:name="_Hlk140652364"/>
      <w:r w:rsidRPr="00F050A5">
        <w:rPr>
          <w:sz w:val="24"/>
          <w:szCs w:val="24"/>
          <w:lang w:val="en-US"/>
        </w:rPr>
        <w:t>(for pH adjustment)</w:t>
      </w:r>
      <w:bookmarkEnd w:id="4"/>
    </w:p>
    <w:p w14:paraId="1F2F09C8" w14:textId="77777777" w:rsidR="00F050A5" w:rsidRPr="00F050A5" w:rsidRDefault="00F050A5" w:rsidP="00F050A5">
      <w:pPr>
        <w:tabs>
          <w:tab w:val="left" w:pos="851"/>
        </w:tabs>
        <w:ind w:left="851"/>
        <w:rPr>
          <w:sz w:val="24"/>
          <w:szCs w:val="24"/>
          <w:lang w:val="en-US"/>
        </w:rPr>
      </w:pPr>
      <w:r w:rsidRPr="00F050A5">
        <w:rPr>
          <w:sz w:val="24"/>
          <w:szCs w:val="24"/>
          <w:lang w:val="en-US"/>
        </w:rPr>
        <w:t>Citric acid monohydrate (for pH adjustment)</w:t>
      </w:r>
    </w:p>
    <w:p w14:paraId="6A9700DD" w14:textId="77777777" w:rsidR="00F050A5" w:rsidRPr="00F050A5" w:rsidRDefault="00F050A5" w:rsidP="00F050A5">
      <w:pPr>
        <w:tabs>
          <w:tab w:val="left" w:pos="851"/>
        </w:tabs>
        <w:ind w:left="851"/>
        <w:rPr>
          <w:sz w:val="24"/>
          <w:szCs w:val="24"/>
          <w:lang w:val="en-US"/>
        </w:rPr>
      </w:pPr>
      <w:r w:rsidRPr="00F050A5">
        <w:rPr>
          <w:sz w:val="24"/>
          <w:szCs w:val="24"/>
          <w:lang w:val="en-US"/>
        </w:rPr>
        <w:t>Purified water</w:t>
      </w:r>
    </w:p>
    <w:p w14:paraId="65FF3527" w14:textId="77777777" w:rsidR="007C5D2A" w:rsidRPr="00303008" w:rsidRDefault="007C5D2A" w:rsidP="00F050A5">
      <w:pPr>
        <w:tabs>
          <w:tab w:val="left" w:pos="851"/>
        </w:tabs>
        <w:rPr>
          <w:sz w:val="24"/>
          <w:szCs w:val="24"/>
          <w:lang w:val="en-GB"/>
        </w:rPr>
      </w:pPr>
    </w:p>
    <w:p w14:paraId="0AA6F75B"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2FDA6CD0" w14:textId="77777777" w:rsidR="00F050A5" w:rsidRPr="00F050A5" w:rsidRDefault="00F050A5" w:rsidP="00F050A5">
      <w:pPr>
        <w:tabs>
          <w:tab w:val="left" w:pos="851"/>
        </w:tabs>
        <w:ind w:left="851"/>
        <w:rPr>
          <w:sz w:val="24"/>
          <w:szCs w:val="24"/>
          <w:lang w:val="en-US"/>
        </w:rPr>
      </w:pPr>
      <w:r w:rsidRPr="00F050A5">
        <w:rPr>
          <w:sz w:val="24"/>
          <w:szCs w:val="24"/>
          <w:lang w:val="en-US"/>
        </w:rPr>
        <w:t>Not applicable.</w:t>
      </w:r>
    </w:p>
    <w:p w14:paraId="48C3D11A" w14:textId="77777777" w:rsidR="007C5D2A" w:rsidRPr="00303008" w:rsidRDefault="007C5D2A" w:rsidP="003E0341">
      <w:pPr>
        <w:tabs>
          <w:tab w:val="left" w:pos="851"/>
        </w:tabs>
        <w:ind w:left="851"/>
        <w:rPr>
          <w:sz w:val="24"/>
          <w:szCs w:val="24"/>
          <w:lang w:val="en-GB"/>
        </w:rPr>
      </w:pPr>
    </w:p>
    <w:p w14:paraId="1B39B667"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5CE8DF55" w14:textId="499AB585" w:rsidR="00F050A5" w:rsidRDefault="00F050A5" w:rsidP="00F050A5">
      <w:pPr>
        <w:tabs>
          <w:tab w:val="left" w:pos="851"/>
        </w:tabs>
        <w:ind w:left="851"/>
        <w:rPr>
          <w:sz w:val="24"/>
          <w:szCs w:val="24"/>
          <w:lang w:val="en-US"/>
        </w:rPr>
      </w:pPr>
      <w:r w:rsidRPr="00F050A5">
        <w:rPr>
          <w:sz w:val="24"/>
          <w:szCs w:val="24"/>
          <w:lang w:val="en-US"/>
        </w:rPr>
        <w:t>3 years.</w:t>
      </w:r>
    </w:p>
    <w:p w14:paraId="4F3296A4" w14:textId="77777777" w:rsidR="00F050A5" w:rsidRPr="00F050A5" w:rsidRDefault="00F050A5" w:rsidP="00F050A5">
      <w:pPr>
        <w:tabs>
          <w:tab w:val="left" w:pos="851"/>
        </w:tabs>
        <w:ind w:left="851"/>
        <w:rPr>
          <w:sz w:val="24"/>
          <w:szCs w:val="24"/>
          <w:lang w:val="en-US"/>
        </w:rPr>
      </w:pPr>
    </w:p>
    <w:p w14:paraId="6CCCAEFF" w14:textId="77777777" w:rsidR="00F050A5" w:rsidRPr="00F050A5" w:rsidRDefault="00F050A5" w:rsidP="00F050A5">
      <w:pPr>
        <w:tabs>
          <w:tab w:val="left" w:pos="851"/>
        </w:tabs>
        <w:ind w:left="851"/>
        <w:rPr>
          <w:sz w:val="24"/>
          <w:szCs w:val="24"/>
          <w:lang w:val="en-US"/>
        </w:rPr>
      </w:pPr>
      <w:r w:rsidRPr="00F050A5">
        <w:rPr>
          <w:sz w:val="24"/>
          <w:szCs w:val="24"/>
          <w:lang w:val="en-US"/>
        </w:rPr>
        <w:t>Shelf life after first opening: 4 weeks.</w:t>
      </w:r>
    </w:p>
    <w:p w14:paraId="68E78E6D" w14:textId="77777777" w:rsidR="007C5D2A" w:rsidRPr="00F050A5" w:rsidRDefault="007C5D2A" w:rsidP="003E0341">
      <w:pPr>
        <w:tabs>
          <w:tab w:val="left" w:pos="851"/>
        </w:tabs>
        <w:ind w:left="851"/>
        <w:rPr>
          <w:sz w:val="24"/>
          <w:szCs w:val="24"/>
          <w:lang w:val="en-US"/>
        </w:rPr>
      </w:pPr>
    </w:p>
    <w:p w14:paraId="164FEC67"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392DCD5E" w14:textId="1856A778" w:rsidR="00F050A5" w:rsidRDefault="00F050A5" w:rsidP="00F050A5">
      <w:pPr>
        <w:tabs>
          <w:tab w:val="left" w:pos="851"/>
        </w:tabs>
        <w:ind w:left="851"/>
        <w:rPr>
          <w:sz w:val="24"/>
          <w:szCs w:val="24"/>
          <w:lang w:val="en-US"/>
        </w:rPr>
      </w:pPr>
      <w:r w:rsidRPr="00F050A5">
        <w:rPr>
          <w:sz w:val="24"/>
          <w:szCs w:val="24"/>
          <w:lang w:val="en-US"/>
        </w:rPr>
        <w:t>Do not store above 30</w:t>
      </w:r>
      <w:r>
        <w:rPr>
          <w:sz w:val="24"/>
          <w:szCs w:val="24"/>
          <w:lang w:val="en-US"/>
        </w:rPr>
        <w:t xml:space="preserve"> </w:t>
      </w:r>
      <w:r w:rsidRPr="00F050A5">
        <w:rPr>
          <w:sz w:val="24"/>
          <w:szCs w:val="24"/>
          <w:lang w:val="en-US"/>
        </w:rPr>
        <w:t>ºC.</w:t>
      </w:r>
    </w:p>
    <w:p w14:paraId="4F63611D" w14:textId="77777777" w:rsidR="00F050A5" w:rsidRPr="00F050A5" w:rsidRDefault="00F050A5" w:rsidP="00F050A5">
      <w:pPr>
        <w:tabs>
          <w:tab w:val="left" w:pos="851"/>
        </w:tabs>
        <w:ind w:left="851"/>
        <w:rPr>
          <w:sz w:val="24"/>
          <w:szCs w:val="24"/>
          <w:lang w:val="en-US"/>
        </w:rPr>
      </w:pPr>
    </w:p>
    <w:p w14:paraId="2ADC7046" w14:textId="4936B6F4" w:rsidR="00F050A5" w:rsidRPr="00F050A5" w:rsidRDefault="00F050A5" w:rsidP="00F050A5">
      <w:pPr>
        <w:tabs>
          <w:tab w:val="left" w:pos="851"/>
        </w:tabs>
        <w:ind w:left="851"/>
        <w:rPr>
          <w:sz w:val="24"/>
          <w:szCs w:val="24"/>
          <w:lang w:val="en-US"/>
        </w:rPr>
      </w:pPr>
      <w:r w:rsidRPr="00F050A5">
        <w:rPr>
          <w:sz w:val="24"/>
          <w:szCs w:val="24"/>
          <w:lang w:val="en-US"/>
        </w:rPr>
        <w:t>Store in the original container, in order to protect from ligh</w:t>
      </w:r>
      <w:r w:rsidR="00BF32D3">
        <w:rPr>
          <w:sz w:val="24"/>
          <w:szCs w:val="24"/>
          <w:lang w:val="en-US"/>
        </w:rPr>
        <w:t>t.</w:t>
      </w:r>
    </w:p>
    <w:p w14:paraId="3CD158F5" w14:textId="77777777" w:rsidR="007C5D2A" w:rsidRPr="00F050A5" w:rsidRDefault="007C5D2A" w:rsidP="003E0341">
      <w:pPr>
        <w:tabs>
          <w:tab w:val="left" w:pos="851"/>
        </w:tabs>
        <w:ind w:left="851"/>
        <w:rPr>
          <w:sz w:val="24"/>
          <w:szCs w:val="24"/>
          <w:lang w:val="en-US"/>
        </w:rPr>
      </w:pPr>
    </w:p>
    <w:p w14:paraId="464E803A"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41B08AE9" w14:textId="47785F14" w:rsidR="00F050A5" w:rsidRPr="00F050A5" w:rsidRDefault="00BF32D3" w:rsidP="00F050A5">
      <w:pPr>
        <w:tabs>
          <w:tab w:val="left" w:pos="851"/>
        </w:tabs>
        <w:ind w:left="851"/>
        <w:rPr>
          <w:bCs/>
          <w:sz w:val="24"/>
          <w:szCs w:val="24"/>
          <w:lang w:val="en-US"/>
        </w:rPr>
      </w:pPr>
      <w:r>
        <w:rPr>
          <w:bCs/>
          <w:sz w:val="24"/>
          <w:szCs w:val="24"/>
          <w:lang w:val="en-US"/>
        </w:rPr>
        <w:t>C</w:t>
      </w:r>
      <w:r w:rsidR="00F050A5" w:rsidRPr="00F050A5">
        <w:rPr>
          <w:bCs/>
          <w:sz w:val="24"/>
          <w:szCs w:val="24"/>
          <w:lang w:val="en-US"/>
        </w:rPr>
        <w:t>ylindrical high density polyethylene (HDPE) white bottle. The bottle is closed with a low density polyethylene (LDPE) plug and with a high density polyethylene (HDPE) white cap.</w:t>
      </w:r>
    </w:p>
    <w:p w14:paraId="2CCDF745" w14:textId="77777777" w:rsidR="00F050A5" w:rsidRPr="00F050A5" w:rsidRDefault="00F050A5" w:rsidP="00F050A5">
      <w:pPr>
        <w:tabs>
          <w:tab w:val="left" w:pos="851"/>
        </w:tabs>
        <w:ind w:left="851"/>
        <w:rPr>
          <w:b/>
          <w:sz w:val="24"/>
          <w:szCs w:val="24"/>
          <w:lang w:val="en-US"/>
        </w:rPr>
      </w:pPr>
    </w:p>
    <w:p w14:paraId="7493D7BF" w14:textId="6719DC9F" w:rsidR="00F050A5" w:rsidRDefault="00F050A5" w:rsidP="00F050A5">
      <w:pPr>
        <w:tabs>
          <w:tab w:val="left" w:pos="851"/>
        </w:tabs>
        <w:ind w:left="851"/>
        <w:rPr>
          <w:sz w:val="24"/>
          <w:szCs w:val="24"/>
          <w:lang w:val="en-US"/>
        </w:rPr>
      </w:pPr>
      <w:r w:rsidRPr="00F050A5">
        <w:rPr>
          <w:sz w:val="24"/>
          <w:szCs w:val="24"/>
          <w:lang w:val="en-US"/>
        </w:rPr>
        <w:t>Pack size</w:t>
      </w:r>
      <w:r w:rsidR="008B7CC4">
        <w:rPr>
          <w:sz w:val="24"/>
          <w:szCs w:val="24"/>
          <w:lang w:val="en-US"/>
        </w:rPr>
        <w:t>s</w:t>
      </w:r>
      <w:r w:rsidRPr="00F050A5">
        <w:rPr>
          <w:sz w:val="24"/>
          <w:szCs w:val="24"/>
          <w:lang w:val="en-US"/>
        </w:rPr>
        <w:t>: 125 m</w:t>
      </w:r>
      <w:r w:rsidR="008B7CC4">
        <w:rPr>
          <w:sz w:val="24"/>
          <w:szCs w:val="24"/>
          <w:lang w:val="en-US"/>
        </w:rPr>
        <w:t>l</w:t>
      </w:r>
      <w:r w:rsidRPr="00F050A5">
        <w:rPr>
          <w:sz w:val="24"/>
          <w:szCs w:val="24"/>
          <w:lang w:val="en-US"/>
        </w:rPr>
        <w:t>.</w:t>
      </w:r>
    </w:p>
    <w:p w14:paraId="6631BB9E" w14:textId="1CF77FE8" w:rsidR="008B7CC4" w:rsidRDefault="008B7CC4" w:rsidP="00F050A5">
      <w:pPr>
        <w:tabs>
          <w:tab w:val="left" w:pos="851"/>
        </w:tabs>
        <w:ind w:left="851"/>
        <w:rPr>
          <w:sz w:val="24"/>
          <w:szCs w:val="24"/>
          <w:lang w:val="en-US"/>
        </w:rPr>
      </w:pPr>
    </w:p>
    <w:p w14:paraId="5DF2A326" w14:textId="4EA65437" w:rsidR="008B7CC4" w:rsidRPr="00F050A5" w:rsidRDefault="008B7CC4" w:rsidP="00F050A5">
      <w:pPr>
        <w:tabs>
          <w:tab w:val="left" w:pos="851"/>
        </w:tabs>
        <w:ind w:left="851"/>
        <w:rPr>
          <w:sz w:val="24"/>
          <w:szCs w:val="24"/>
          <w:lang w:val="en-US"/>
        </w:rPr>
      </w:pPr>
      <w:r>
        <w:rPr>
          <w:sz w:val="24"/>
          <w:szCs w:val="24"/>
          <w:lang w:val="en-US"/>
        </w:rPr>
        <w:t>Not all pack sizes may be marketed.</w:t>
      </w:r>
    </w:p>
    <w:p w14:paraId="4C0BE50A" w14:textId="77777777" w:rsidR="007C5D2A" w:rsidRPr="00303008" w:rsidRDefault="007C5D2A" w:rsidP="003E0341">
      <w:pPr>
        <w:tabs>
          <w:tab w:val="left" w:pos="851"/>
        </w:tabs>
        <w:ind w:left="851"/>
        <w:rPr>
          <w:sz w:val="24"/>
          <w:szCs w:val="24"/>
          <w:lang w:val="en-GB"/>
        </w:rPr>
      </w:pPr>
    </w:p>
    <w:p w14:paraId="7F5EA07F"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23715AC1" w14:textId="59758215" w:rsidR="00FB31A3" w:rsidRDefault="00F050A5" w:rsidP="00F050A5">
      <w:pPr>
        <w:tabs>
          <w:tab w:val="left" w:pos="851"/>
        </w:tabs>
        <w:ind w:left="851"/>
        <w:rPr>
          <w:sz w:val="24"/>
          <w:szCs w:val="24"/>
          <w:lang w:val="en-US"/>
        </w:rPr>
      </w:pPr>
      <w:r w:rsidRPr="00F050A5">
        <w:rPr>
          <w:sz w:val="24"/>
          <w:szCs w:val="24"/>
          <w:lang w:val="en-US"/>
        </w:rPr>
        <w:t>No special requirements.</w:t>
      </w:r>
    </w:p>
    <w:p w14:paraId="0C0C3A12" w14:textId="77777777" w:rsidR="00577AE4" w:rsidRDefault="00577AE4" w:rsidP="00F050A5">
      <w:pPr>
        <w:tabs>
          <w:tab w:val="left" w:pos="851"/>
        </w:tabs>
        <w:ind w:left="851"/>
        <w:rPr>
          <w:sz w:val="24"/>
          <w:szCs w:val="24"/>
          <w:lang w:val="en-US"/>
        </w:rPr>
      </w:pPr>
    </w:p>
    <w:p w14:paraId="1AEEC9C6" w14:textId="10D0559E" w:rsidR="00F050A5" w:rsidRPr="00F050A5" w:rsidRDefault="00F050A5" w:rsidP="00F050A5">
      <w:pPr>
        <w:tabs>
          <w:tab w:val="left" w:pos="851"/>
        </w:tabs>
        <w:ind w:left="851"/>
        <w:rPr>
          <w:sz w:val="24"/>
          <w:szCs w:val="24"/>
          <w:lang w:val="en-US"/>
        </w:rPr>
      </w:pPr>
      <w:r w:rsidRPr="00F050A5">
        <w:rPr>
          <w:sz w:val="24"/>
          <w:szCs w:val="24"/>
          <w:lang w:val="en-US"/>
        </w:rPr>
        <w:t>Any unused medicinal product or waste material should be disposed of in accordance with local requirements.</w:t>
      </w:r>
    </w:p>
    <w:p w14:paraId="756F36BB" w14:textId="4C1C813B" w:rsidR="00577AE4" w:rsidRDefault="00577AE4">
      <w:pPr>
        <w:rPr>
          <w:sz w:val="24"/>
          <w:szCs w:val="24"/>
          <w:lang w:val="en-US"/>
        </w:rPr>
      </w:pPr>
      <w:r>
        <w:rPr>
          <w:sz w:val="24"/>
          <w:szCs w:val="24"/>
          <w:lang w:val="en-US"/>
        </w:rPr>
        <w:br w:type="page"/>
      </w:r>
    </w:p>
    <w:p w14:paraId="7C969337" w14:textId="77777777" w:rsidR="007C5D2A" w:rsidRPr="00F050A5" w:rsidRDefault="007C5D2A" w:rsidP="00AB4376">
      <w:pPr>
        <w:tabs>
          <w:tab w:val="left" w:pos="851"/>
        </w:tabs>
        <w:ind w:left="851"/>
        <w:rPr>
          <w:sz w:val="24"/>
          <w:szCs w:val="24"/>
          <w:lang w:val="en-US"/>
        </w:rPr>
      </w:pPr>
    </w:p>
    <w:p w14:paraId="469393A7"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5C01A0BA" w14:textId="77777777" w:rsidR="00FB31A3" w:rsidRPr="00FB31A3" w:rsidRDefault="00FB31A3" w:rsidP="00FB31A3">
      <w:pPr>
        <w:tabs>
          <w:tab w:val="left" w:pos="851"/>
        </w:tabs>
        <w:ind w:left="851"/>
        <w:jc w:val="both"/>
        <w:rPr>
          <w:sz w:val="24"/>
          <w:szCs w:val="24"/>
          <w:lang w:val="en-US"/>
        </w:rPr>
      </w:pPr>
      <w:r w:rsidRPr="00FB31A3">
        <w:rPr>
          <w:sz w:val="24"/>
          <w:szCs w:val="24"/>
          <w:lang w:val="en-US"/>
        </w:rPr>
        <w:t>Egis Pharmaceuticals PLC</w:t>
      </w:r>
    </w:p>
    <w:p w14:paraId="457FF761" w14:textId="77777777" w:rsidR="00FB31A3" w:rsidRPr="004E100A" w:rsidRDefault="00FB31A3" w:rsidP="00FB31A3">
      <w:pPr>
        <w:tabs>
          <w:tab w:val="left" w:pos="851"/>
        </w:tabs>
        <w:ind w:left="851"/>
        <w:jc w:val="both"/>
        <w:rPr>
          <w:sz w:val="24"/>
          <w:szCs w:val="24"/>
        </w:rPr>
      </w:pPr>
      <w:r w:rsidRPr="004E100A">
        <w:rPr>
          <w:sz w:val="24"/>
          <w:szCs w:val="24"/>
        </w:rPr>
        <w:t>Kereszturi Ut 30-38</w:t>
      </w:r>
    </w:p>
    <w:p w14:paraId="59422F16" w14:textId="77777777" w:rsidR="00FB31A3" w:rsidRPr="004E100A" w:rsidRDefault="00FB31A3" w:rsidP="00FB31A3">
      <w:pPr>
        <w:tabs>
          <w:tab w:val="left" w:pos="851"/>
        </w:tabs>
        <w:ind w:left="851"/>
        <w:jc w:val="both"/>
        <w:rPr>
          <w:sz w:val="24"/>
          <w:szCs w:val="24"/>
        </w:rPr>
      </w:pPr>
      <w:r w:rsidRPr="004E100A">
        <w:rPr>
          <w:sz w:val="24"/>
          <w:szCs w:val="24"/>
        </w:rPr>
        <w:t>1106 Budapest X</w:t>
      </w:r>
    </w:p>
    <w:p w14:paraId="5B153994" w14:textId="77777777" w:rsidR="00FB31A3" w:rsidRPr="004E100A" w:rsidRDefault="00FB31A3" w:rsidP="00FB31A3">
      <w:pPr>
        <w:tabs>
          <w:tab w:val="left" w:pos="851"/>
        </w:tabs>
        <w:ind w:left="851"/>
        <w:jc w:val="both"/>
        <w:rPr>
          <w:sz w:val="24"/>
          <w:szCs w:val="24"/>
        </w:rPr>
      </w:pPr>
      <w:r w:rsidRPr="004E100A">
        <w:rPr>
          <w:sz w:val="24"/>
          <w:szCs w:val="24"/>
        </w:rPr>
        <w:t>Budapest</w:t>
      </w:r>
    </w:p>
    <w:p w14:paraId="584ED3C2" w14:textId="5A86A7FB" w:rsidR="00FB31A3" w:rsidRPr="004E100A" w:rsidRDefault="00FB31A3" w:rsidP="00FB31A3">
      <w:pPr>
        <w:tabs>
          <w:tab w:val="left" w:pos="851"/>
        </w:tabs>
        <w:ind w:left="851"/>
        <w:jc w:val="both"/>
        <w:rPr>
          <w:sz w:val="24"/>
          <w:szCs w:val="24"/>
        </w:rPr>
      </w:pPr>
      <w:r w:rsidRPr="004E100A">
        <w:rPr>
          <w:sz w:val="24"/>
          <w:szCs w:val="24"/>
        </w:rPr>
        <w:t>Ungarn</w:t>
      </w:r>
    </w:p>
    <w:p w14:paraId="269440EA" w14:textId="4ADB5967" w:rsidR="007C5D2A" w:rsidRPr="004E100A" w:rsidRDefault="007C5D2A" w:rsidP="00A85D26">
      <w:pPr>
        <w:tabs>
          <w:tab w:val="left" w:pos="851"/>
        </w:tabs>
        <w:ind w:left="851"/>
        <w:jc w:val="both"/>
        <w:rPr>
          <w:sz w:val="24"/>
          <w:szCs w:val="24"/>
        </w:rPr>
      </w:pPr>
    </w:p>
    <w:p w14:paraId="325AA097"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59CF9659" w14:textId="625FD350" w:rsidR="007C5D2A" w:rsidRPr="00303008" w:rsidRDefault="003268A7" w:rsidP="00A85D26">
      <w:pPr>
        <w:tabs>
          <w:tab w:val="left" w:pos="851"/>
        </w:tabs>
        <w:ind w:left="851"/>
        <w:jc w:val="both"/>
        <w:rPr>
          <w:sz w:val="24"/>
          <w:szCs w:val="24"/>
          <w:lang w:val="en-GB"/>
        </w:rPr>
      </w:pPr>
      <w:r>
        <w:rPr>
          <w:sz w:val="24"/>
          <w:szCs w:val="24"/>
          <w:lang w:val="en-GB"/>
        </w:rPr>
        <w:t>67698</w:t>
      </w:r>
    </w:p>
    <w:p w14:paraId="0BC7B7D7" w14:textId="77777777" w:rsidR="007C5D2A" w:rsidRPr="00303008" w:rsidRDefault="007C5D2A" w:rsidP="00180A12">
      <w:pPr>
        <w:tabs>
          <w:tab w:val="left" w:pos="851"/>
        </w:tabs>
        <w:ind w:left="851"/>
        <w:jc w:val="both"/>
        <w:rPr>
          <w:sz w:val="24"/>
          <w:szCs w:val="24"/>
          <w:lang w:val="en-GB"/>
        </w:rPr>
      </w:pPr>
    </w:p>
    <w:p w14:paraId="07E46EFA"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61822551" w14:textId="08A886EA" w:rsidR="007C5D2A" w:rsidRPr="00303008" w:rsidRDefault="004E100A" w:rsidP="00A85D26">
      <w:pPr>
        <w:ind w:left="851"/>
        <w:jc w:val="both"/>
        <w:rPr>
          <w:sz w:val="24"/>
          <w:szCs w:val="24"/>
          <w:lang w:val="en-GB"/>
        </w:rPr>
      </w:pPr>
      <w:r>
        <w:rPr>
          <w:sz w:val="24"/>
          <w:szCs w:val="24"/>
          <w:lang w:val="en-GB"/>
        </w:rPr>
        <w:t>27. september 2023</w:t>
      </w:r>
      <w:bookmarkStart w:id="5" w:name="_GoBack"/>
      <w:bookmarkEnd w:id="5"/>
    </w:p>
    <w:p w14:paraId="58DE6C9D" w14:textId="77777777" w:rsidR="007C5D2A" w:rsidRPr="00303008" w:rsidRDefault="007C5D2A" w:rsidP="003E0341">
      <w:pPr>
        <w:tabs>
          <w:tab w:val="left" w:pos="851"/>
        </w:tabs>
        <w:ind w:left="851"/>
        <w:jc w:val="both"/>
        <w:rPr>
          <w:sz w:val="24"/>
          <w:szCs w:val="24"/>
          <w:lang w:val="en-GB"/>
        </w:rPr>
      </w:pPr>
    </w:p>
    <w:p w14:paraId="67F9BB38"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72903AAB" w14:textId="7EABC984" w:rsidR="007C5D2A" w:rsidRPr="00303008" w:rsidRDefault="003268A7"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FB580" w14:textId="77777777" w:rsidR="00D40821" w:rsidRDefault="00D40821">
      <w:r>
        <w:separator/>
      </w:r>
    </w:p>
  </w:endnote>
  <w:endnote w:type="continuationSeparator" w:id="0">
    <w:p w14:paraId="608C3C95" w14:textId="77777777" w:rsidR="00D40821" w:rsidRDefault="00D4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F952"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BF5F" w14:textId="77777777" w:rsidR="00864538" w:rsidRDefault="00864538">
    <w:pPr>
      <w:pStyle w:val="Sidefod"/>
      <w:pBdr>
        <w:bottom w:val="single" w:sz="6" w:space="1" w:color="auto"/>
      </w:pBdr>
    </w:pPr>
  </w:p>
  <w:p w14:paraId="3C696A37" w14:textId="77777777" w:rsidR="00864538" w:rsidRDefault="00864538">
    <w:pPr>
      <w:pStyle w:val="Sidefod"/>
      <w:tabs>
        <w:tab w:val="clear" w:pos="4819"/>
        <w:tab w:val="left" w:pos="8647"/>
      </w:tabs>
      <w:rPr>
        <w:i/>
        <w:snapToGrid w:val="0"/>
        <w:sz w:val="18"/>
      </w:rPr>
    </w:pPr>
  </w:p>
  <w:p w14:paraId="331C9D7E" w14:textId="195DE24E" w:rsidR="00864538" w:rsidRPr="00824C3A" w:rsidRDefault="00E36A80" w:rsidP="00AC033C">
    <w:pPr>
      <w:pStyle w:val="Sidefod"/>
      <w:tabs>
        <w:tab w:val="clear" w:pos="4819"/>
        <w:tab w:val="left" w:pos="8364"/>
      </w:tabs>
      <w:rPr>
        <w:i/>
        <w:sz w:val="18"/>
        <w:lang w:val="en-US"/>
      </w:rPr>
    </w:pPr>
    <w:r>
      <w:rPr>
        <w:i/>
        <w:snapToGrid w:val="0"/>
        <w:sz w:val="18"/>
      </w:rPr>
      <w:fldChar w:fldCharType="begin"/>
    </w:r>
    <w:r w:rsidR="00864538" w:rsidRPr="00824C3A">
      <w:rPr>
        <w:i/>
        <w:snapToGrid w:val="0"/>
        <w:sz w:val="18"/>
        <w:lang w:val="en-US"/>
      </w:rPr>
      <w:instrText xml:space="preserve"> FILENAME </w:instrText>
    </w:r>
    <w:r>
      <w:rPr>
        <w:i/>
        <w:snapToGrid w:val="0"/>
        <w:sz w:val="18"/>
      </w:rPr>
      <w:fldChar w:fldCharType="separate"/>
    </w:r>
    <w:r w:rsidR="00824C3A" w:rsidRPr="00824C3A">
      <w:rPr>
        <w:i/>
        <w:noProof/>
        <w:snapToGrid w:val="0"/>
        <w:sz w:val="18"/>
        <w:lang w:val="en-US"/>
      </w:rPr>
      <w:t>Infilea, shampoo 500 mikrogram-g</w:t>
    </w:r>
    <w:r>
      <w:rPr>
        <w:i/>
        <w:snapToGrid w:val="0"/>
        <w:sz w:val="18"/>
      </w:rPr>
      <w:fldChar w:fldCharType="end"/>
    </w:r>
    <w:r w:rsidR="00864538" w:rsidRPr="00824C3A">
      <w:rPr>
        <w:i/>
        <w:snapToGrid w:val="0"/>
        <w:sz w:val="18"/>
        <w:lang w:val="en-US"/>
      </w:rPr>
      <w:tab/>
      <w:t xml:space="preserve">Page </w:t>
    </w:r>
    <w:r>
      <w:rPr>
        <w:i/>
        <w:snapToGrid w:val="0"/>
        <w:sz w:val="18"/>
      </w:rPr>
      <w:fldChar w:fldCharType="begin"/>
    </w:r>
    <w:r w:rsidR="00864538" w:rsidRPr="00824C3A">
      <w:rPr>
        <w:i/>
        <w:snapToGrid w:val="0"/>
        <w:sz w:val="18"/>
        <w:lang w:val="en-US"/>
      </w:rPr>
      <w:instrText xml:space="preserve"> PAGE </w:instrText>
    </w:r>
    <w:r>
      <w:rPr>
        <w:i/>
        <w:snapToGrid w:val="0"/>
        <w:sz w:val="18"/>
      </w:rPr>
      <w:fldChar w:fldCharType="separate"/>
    </w:r>
    <w:r w:rsidR="00AC033C" w:rsidRPr="00824C3A">
      <w:rPr>
        <w:i/>
        <w:noProof/>
        <w:snapToGrid w:val="0"/>
        <w:sz w:val="18"/>
        <w:lang w:val="en-US"/>
      </w:rPr>
      <w:t>1</w:t>
    </w:r>
    <w:r>
      <w:rPr>
        <w:i/>
        <w:snapToGrid w:val="0"/>
        <w:sz w:val="18"/>
      </w:rPr>
      <w:fldChar w:fldCharType="end"/>
    </w:r>
    <w:r w:rsidR="00864538" w:rsidRPr="00824C3A">
      <w:rPr>
        <w:i/>
        <w:snapToGrid w:val="0"/>
        <w:sz w:val="18"/>
        <w:lang w:val="en-US"/>
      </w:rPr>
      <w:t xml:space="preserve"> of </w:t>
    </w:r>
    <w:r>
      <w:rPr>
        <w:i/>
        <w:snapToGrid w:val="0"/>
        <w:sz w:val="18"/>
      </w:rPr>
      <w:fldChar w:fldCharType="begin"/>
    </w:r>
    <w:r w:rsidR="00864538" w:rsidRPr="00824C3A">
      <w:rPr>
        <w:i/>
        <w:snapToGrid w:val="0"/>
        <w:sz w:val="18"/>
        <w:lang w:val="en-US"/>
      </w:rPr>
      <w:instrText xml:space="preserve"> NUMPAGES </w:instrText>
    </w:r>
    <w:r>
      <w:rPr>
        <w:i/>
        <w:snapToGrid w:val="0"/>
        <w:sz w:val="18"/>
      </w:rPr>
      <w:fldChar w:fldCharType="separate"/>
    </w:r>
    <w:r w:rsidR="00AC033C" w:rsidRPr="00824C3A">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059F6" w14:textId="77777777" w:rsidR="00864538" w:rsidRDefault="00864538">
    <w:pPr>
      <w:pStyle w:val="Sidefod"/>
      <w:pBdr>
        <w:bottom w:val="single" w:sz="6" w:space="1" w:color="auto"/>
      </w:pBdr>
      <w:tabs>
        <w:tab w:val="clear" w:pos="4819"/>
        <w:tab w:val="left" w:pos="8789"/>
      </w:tabs>
      <w:rPr>
        <w:i/>
        <w:snapToGrid w:val="0"/>
        <w:sz w:val="18"/>
      </w:rPr>
    </w:pPr>
  </w:p>
  <w:p w14:paraId="46A836C4" w14:textId="77777777" w:rsidR="00864538" w:rsidRDefault="00864538">
    <w:pPr>
      <w:pStyle w:val="Sidefod"/>
      <w:tabs>
        <w:tab w:val="clear" w:pos="4819"/>
        <w:tab w:val="left" w:pos="8789"/>
      </w:tabs>
      <w:rPr>
        <w:i/>
        <w:snapToGrid w:val="0"/>
        <w:sz w:val="18"/>
      </w:rPr>
    </w:pPr>
  </w:p>
  <w:p w14:paraId="3E49D58B" w14:textId="6B7B1886" w:rsidR="00864538" w:rsidRPr="00824C3A" w:rsidRDefault="00E36A80">
    <w:pPr>
      <w:pStyle w:val="Sidefod"/>
      <w:tabs>
        <w:tab w:val="clear" w:pos="4819"/>
        <w:tab w:val="left" w:pos="8647"/>
      </w:tabs>
      <w:rPr>
        <w:i/>
        <w:sz w:val="18"/>
        <w:lang w:val="en-US"/>
      </w:rPr>
    </w:pPr>
    <w:r>
      <w:rPr>
        <w:i/>
        <w:snapToGrid w:val="0"/>
        <w:sz w:val="18"/>
      </w:rPr>
      <w:fldChar w:fldCharType="begin"/>
    </w:r>
    <w:r w:rsidR="00864538" w:rsidRPr="00824C3A">
      <w:rPr>
        <w:i/>
        <w:snapToGrid w:val="0"/>
        <w:sz w:val="18"/>
        <w:lang w:val="en-US"/>
      </w:rPr>
      <w:instrText xml:space="preserve"> FILENAME </w:instrText>
    </w:r>
    <w:r>
      <w:rPr>
        <w:i/>
        <w:snapToGrid w:val="0"/>
        <w:sz w:val="18"/>
      </w:rPr>
      <w:fldChar w:fldCharType="separate"/>
    </w:r>
    <w:r w:rsidR="00824C3A" w:rsidRPr="00824C3A">
      <w:rPr>
        <w:i/>
        <w:noProof/>
        <w:snapToGrid w:val="0"/>
        <w:sz w:val="18"/>
        <w:lang w:val="en-US"/>
      </w:rPr>
      <w:t>Infilea, shampoo 500 mikrogram-g</w:t>
    </w:r>
    <w:r>
      <w:rPr>
        <w:i/>
        <w:snapToGrid w:val="0"/>
        <w:sz w:val="18"/>
      </w:rPr>
      <w:fldChar w:fldCharType="end"/>
    </w:r>
    <w:r w:rsidR="00864538" w:rsidRPr="00824C3A">
      <w:rPr>
        <w:i/>
        <w:snapToGrid w:val="0"/>
        <w:sz w:val="18"/>
        <w:lang w:val="en-US"/>
      </w:rPr>
      <w:tab/>
      <w:t xml:space="preserve">Page </w:t>
    </w:r>
    <w:r>
      <w:rPr>
        <w:i/>
        <w:snapToGrid w:val="0"/>
        <w:sz w:val="18"/>
      </w:rPr>
      <w:fldChar w:fldCharType="begin"/>
    </w:r>
    <w:r w:rsidR="00864538" w:rsidRPr="00824C3A">
      <w:rPr>
        <w:i/>
        <w:snapToGrid w:val="0"/>
        <w:sz w:val="18"/>
        <w:lang w:val="en-US"/>
      </w:rPr>
      <w:instrText xml:space="preserve"> PAGE </w:instrText>
    </w:r>
    <w:r>
      <w:rPr>
        <w:i/>
        <w:snapToGrid w:val="0"/>
        <w:sz w:val="18"/>
      </w:rPr>
      <w:fldChar w:fldCharType="separate"/>
    </w:r>
    <w:r w:rsidR="00D97B77" w:rsidRPr="00824C3A">
      <w:rPr>
        <w:i/>
        <w:noProof/>
        <w:snapToGrid w:val="0"/>
        <w:sz w:val="18"/>
        <w:lang w:val="en-US"/>
      </w:rPr>
      <w:t>1</w:t>
    </w:r>
    <w:r>
      <w:rPr>
        <w:i/>
        <w:snapToGrid w:val="0"/>
        <w:sz w:val="18"/>
      </w:rPr>
      <w:fldChar w:fldCharType="end"/>
    </w:r>
    <w:r w:rsidR="00864538" w:rsidRPr="00824C3A">
      <w:rPr>
        <w:i/>
        <w:snapToGrid w:val="0"/>
        <w:sz w:val="18"/>
        <w:lang w:val="en-US"/>
      </w:rPr>
      <w:t xml:space="preserve"> of </w:t>
    </w:r>
    <w:r>
      <w:rPr>
        <w:i/>
        <w:snapToGrid w:val="0"/>
        <w:sz w:val="18"/>
      </w:rPr>
      <w:fldChar w:fldCharType="begin"/>
    </w:r>
    <w:r w:rsidR="00864538" w:rsidRPr="00824C3A">
      <w:rPr>
        <w:i/>
        <w:snapToGrid w:val="0"/>
        <w:sz w:val="18"/>
        <w:lang w:val="en-US"/>
      </w:rPr>
      <w:instrText xml:space="preserve"> NUMPAGES </w:instrText>
    </w:r>
    <w:r>
      <w:rPr>
        <w:i/>
        <w:snapToGrid w:val="0"/>
        <w:sz w:val="18"/>
      </w:rPr>
      <w:fldChar w:fldCharType="separate"/>
    </w:r>
    <w:r w:rsidR="00E1290F" w:rsidRPr="00824C3A">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9436A" w14:textId="77777777" w:rsidR="00D40821" w:rsidRDefault="00D40821">
      <w:r>
        <w:separator/>
      </w:r>
    </w:p>
  </w:footnote>
  <w:footnote w:type="continuationSeparator" w:id="0">
    <w:p w14:paraId="721D6E5B" w14:textId="77777777" w:rsidR="00D40821" w:rsidRDefault="00D40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9A43"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60B9"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A167"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926291"/>
    <w:multiLevelType w:val="hybridMultilevel"/>
    <w:tmpl w:val="35DA609E"/>
    <w:lvl w:ilvl="0" w:tplc="0ABE93E8">
      <w:numFmt w:val="bullet"/>
      <w:lvlText w:val="-"/>
      <w:lvlJc w:val="left"/>
      <w:pPr>
        <w:ind w:left="256" w:hanging="136"/>
      </w:pPr>
      <w:rPr>
        <w:rFonts w:ascii="Times New Roman" w:eastAsia="Times New Roman" w:hAnsi="Times New Roman" w:cs="Times New Roman" w:hint="default"/>
        <w:w w:val="101"/>
        <w:sz w:val="23"/>
        <w:szCs w:val="23"/>
      </w:rPr>
    </w:lvl>
    <w:lvl w:ilvl="1" w:tplc="AECE92E8">
      <w:numFmt w:val="bullet"/>
      <w:lvlText w:val="•"/>
      <w:lvlJc w:val="left"/>
      <w:pPr>
        <w:ind w:left="1172" w:hanging="136"/>
      </w:pPr>
    </w:lvl>
    <w:lvl w:ilvl="2" w:tplc="6E44A886">
      <w:numFmt w:val="bullet"/>
      <w:lvlText w:val="•"/>
      <w:lvlJc w:val="left"/>
      <w:pPr>
        <w:ind w:left="2084" w:hanging="136"/>
      </w:pPr>
    </w:lvl>
    <w:lvl w:ilvl="3" w:tplc="B2481CC8">
      <w:numFmt w:val="bullet"/>
      <w:lvlText w:val="•"/>
      <w:lvlJc w:val="left"/>
      <w:pPr>
        <w:ind w:left="2996" w:hanging="136"/>
      </w:pPr>
    </w:lvl>
    <w:lvl w:ilvl="4" w:tplc="A5285B3E">
      <w:numFmt w:val="bullet"/>
      <w:lvlText w:val="•"/>
      <w:lvlJc w:val="left"/>
      <w:pPr>
        <w:ind w:left="3908" w:hanging="136"/>
      </w:pPr>
    </w:lvl>
    <w:lvl w:ilvl="5" w:tplc="DC9A80F2">
      <w:numFmt w:val="bullet"/>
      <w:lvlText w:val="•"/>
      <w:lvlJc w:val="left"/>
      <w:pPr>
        <w:ind w:left="4820" w:hanging="136"/>
      </w:pPr>
    </w:lvl>
    <w:lvl w:ilvl="6" w:tplc="2F6A7230">
      <w:numFmt w:val="bullet"/>
      <w:lvlText w:val="•"/>
      <w:lvlJc w:val="left"/>
      <w:pPr>
        <w:ind w:left="5732" w:hanging="136"/>
      </w:pPr>
    </w:lvl>
    <w:lvl w:ilvl="7" w:tplc="38E2A760">
      <w:numFmt w:val="bullet"/>
      <w:lvlText w:val="•"/>
      <w:lvlJc w:val="left"/>
      <w:pPr>
        <w:ind w:left="6644" w:hanging="136"/>
      </w:pPr>
    </w:lvl>
    <w:lvl w:ilvl="8" w:tplc="95BA8056">
      <w:numFmt w:val="bullet"/>
      <w:lvlText w:val="•"/>
      <w:lvlJc w:val="left"/>
      <w:pPr>
        <w:ind w:left="7556" w:hanging="136"/>
      </w:p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21"/>
    <w:rsid w:val="0003477B"/>
    <w:rsid w:val="00056601"/>
    <w:rsid w:val="000C3846"/>
    <w:rsid w:val="000C6218"/>
    <w:rsid w:val="000D3C9D"/>
    <w:rsid w:val="000F0D47"/>
    <w:rsid w:val="00105A53"/>
    <w:rsid w:val="001242DE"/>
    <w:rsid w:val="00180A12"/>
    <w:rsid w:val="00214331"/>
    <w:rsid w:val="00214CF4"/>
    <w:rsid w:val="00281F03"/>
    <w:rsid w:val="0029458A"/>
    <w:rsid w:val="002A1587"/>
    <w:rsid w:val="002B27C5"/>
    <w:rsid w:val="002D5C9B"/>
    <w:rsid w:val="002F6D9C"/>
    <w:rsid w:val="00303008"/>
    <w:rsid w:val="003268A7"/>
    <w:rsid w:val="00373B55"/>
    <w:rsid w:val="003D727E"/>
    <w:rsid w:val="003E0341"/>
    <w:rsid w:val="003E3402"/>
    <w:rsid w:val="003F4736"/>
    <w:rsid w:val="00401B49"/>
    <w:rsid w:val="0042292D"/>
    <w:rsid w:val="00437D5B"/>
    <w:rsid w:val="00440254"/>
    <w:rsid w:val="004860D3"/>
    <w:rsid w:val="004A3BF4"/>
    <w:rsid w:val="004A5DB3"/>
    <w:rsid w:val="004E100A"/>
    <w:rsid w:val="005152D9"/>
    <w:rsid w:val="00531B91"/>
    <w:rsid w:val="00533AD4"/>
    <w:rsid w:val="00534849"/>
    <w:rsid w:val="00560102"/>
    <w:rsid w:val="00562EA1"/>
    <w:rsid w:val="00577AE4"/>
    <w:rsid w:val="005A498B"/>
    <w:rsid w:val="00611838"/>
    <w:rsid w:val="00617BB8"/>
    <w:rsid w:val="006207FF"/>
    <w:rsid w:val="00680052"/>
    <w:rsid w:val="00683267"/>
    <w:rsid w:val="006844E9"/>
    <w:rsid w:val="006B3847"/>
    <w:rsid w:val="00707598"/>
    <w:rsid w:val="0075453D"/>
    <w:rsid w:val="007A4CC6"/>
    <w:rsid w:val="007C3623"/>
    <w:rsid w:val="007C5D2A"/>
    <w:rsid w:val="007F1E00"/>
    <w:rsid w:val="00824C3A"/>
    <w:rsid w:val="00827444"/>
    <w:rsid w:val="008400E3"/>
    <w:rsid w:val="00864538"/>
    <w:rsid w:val="00873B4F"/>
    <w:rsid w:val="00895D18"/>
    <w:rsid w:val="008A24F6"/>
    <w:rsid w:val="008B7CC4"/>
    <w:rsid w:val="008E51AE"/>
    <w:rsid w:val="008F2F8C"/>
    <w:rsid w:val="009925C9"/>
    <w:rsid w:val="00A1187D"/>
    <w:rsid w:val="00A179D0"/>
    <w:rsid w:val="00A358A3"/>
    <w:rsid w:val="00A46747"/>
    <w:rsid w:val="00A80446"/>
    <w:rsid w:val="00A85D26"/>
    <w:rsid w:val="00A9153A"/>
    <w:rsid w:val="00AB4376"/>
    <w:rsid w:val="00AC033C"/>
    <w:rsid w:val="00AD2E36"/>
    <w:rsid w:val="00B14721"/>
    <w:rsid w:val="00B45DC5"/>
    <w:rsid w:val="00BC5383"/>
    <w:rsid w:val="00BD3490"/>
    <w:rsid w:val="00BF32D3"/>
    <w:rsid w:val="00C26226"/>
    <w:rsid w:val="00C3571D"/>
    <w:rsid w:val="00C54F0B"/>
    <w:rsid w:val="00C82621"/>
    <w:rsid w:val="00CB1423"/>
    <w:rsid w:val="00D02508"/>
    <w:rsid w:val="00D40821"/>
    <w:rsid w:val="00D778CC"/>
    <w:rsid w:val="00D82FE9"/>
    <w:rsid w:val="00D97B77"/>
    <w:rsid w:val="00DB6A85"/>
    <w:rsid w:val="00E06B32"/>
    <w:rsid w:val="00E1290F"/>
    <w:rsid w:val="00E36A80"/>
    <w:rsid w:val="00EB21D7"/>
    <w:rsid w:val="00EE3EB7"/>
    <w:rsid w:val="00F050A5"/>
    <w:rsid w:val="00F57E16"/>
    <w:rsid w:val="00F60336"/>
    <w:rsid w:val="00FB31A3"/>
    <w:rsid w:val="00FD652E"/>
    <w:rsid w:val="00FD67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1784D"/>
  <w15:chartTrackingRefBased/>
  <w15:docId w15:val="{E64D46E9-E89A-4B3A-8681-A85A00FB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39"/>
    <w:rsid w:val="00FD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semiHidden/>
    <w:unhideWhenUsed/>
    <w:qFormat/>
    <w:rsid w:val="00824C3A"/>
    <w:pPr>
      <w:widowControl w:val="0"/>
      <w:autoSpaceDE w:val="0"/>
      <w:autoSpaceDN w:val="0"/>
    </w:pPr>
    <w:rPr>
      <w:szCs w:val="23"/>
      <w:lang w:val="en-US" w:eastAsia="en-US"/>
    </w:rPr>
  </w:style>
  <w:style w:type="character" w:customStyle="1" w:styleId="BrdtekstTegn">
    <w:name w:val="Brødtekst Tegn"/>
    <w:basedOn w:val="Standardskrifttypeiafsnit"/>
    <w:link w:val="Brdtekst"/>
    <w:uiPriority w:val="1"/>
    <w:semiHidden/>
    <w:rsid w:val="00824C3A"/>
    <w:rPr>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3530">
      <w:bodyDiv w:val="1"/>
      <w:marLeft w:val="0"/>
      <w:marRight w:val="0"/>
      <w:marTop w:val="0"/>
      <w:marBottom w:val="0"/>
      <w:divBdr>
        <w:top w:val="none" w:sz="0" w:space="0" w:color="auto"/>
        <w:left w:val="none" w:sz="0" w:space="0" w:color="auto"/>
        <w:bottom w:val="none" w:sz="0" w:space="0" w:color="auto"/>
        <w:right w:val="none" w:sz="0" w:space="0" w:color="auto"/>
      </w:divBdr>
    </w:div>
    <w:div w:id="103500950">
      <w:bodyDiv w:val="1"/>
      <w:marLeft w:val="0"/>
      <w:marRight w:val="0"/>
      <w:marTop w:val="0"/>
      <w:marBottom w:val="0"/>
      <w:divBdr>
        <w:top w:val="none" w:sz="0" w:space="0" w:color="auto"/>
        <w:left w:val="none" w:sz="0" w:space="0" w:color="auto"/>
        <w:bottom w:val="none" w:sz="0" w:space="0" w:color="auto"/>
        <w:right w:val="none" w:sz="0" w:space="0" w:color="auto"/>
      </w:divBdr>
    </w:div>
    <w:div w:id="115299509">
      <w:bodyDiv w:val="1"/>
      <w:marLeft w:val="0"/>
      <w:marRight w:val="0"/>
      <w:marTop w:val="0"/>
      <w:marBottom w:val="0"/>
      <w:divBdr>
        <w:top w:val="none" w:sz="0" w:space="0" w:color="auto"/>
        <w:left w:val="none" w:sz="0" w:space="0" w:color="auto"/>
        <w:bottom w:val="none" w:sz="0" w:space="0" w:color="auto"/>
        <w:right w:val="none" w:sz="0" w:space="0" w:color="auto"/>
      </w:divBdr>
    </w:div>
    <w:div w:id="142743167">
      <w:bodyDiv w:val="1"/>
      <w:marLeft w:val="0"/>
      <w:marRight w:val="0"/>
      <w:marTop w:val="0"/>
      <w:marBottom w:val="0"/>
      <w:divBdr>
        <w:top w:val="none" w:sz="0" w:space="0" w:color="auto"/>
        <w:left w:val="none" w:sz="0" w:space="0" w:color="auto"/>
        <w:bottom w:val="none" w:sz="0" w:space="0" w:color="auto"/>
        <w:right w:val="none" w:sz="0" w:space="0" w:color="auto"/>
      </w:divBdr>
    </w:div>
    <w:div w:id="293604996">
      <w:bodyDiv w:val="1"/>
      <w:marLeft w:val="0"/>
      <w:marRight w:val="0"/>
      <w:marTop w:val="0"/>
      <w:marBottom w:val="0"/>
      <w:divBdr>
        <w:top w:val="none" w:sz="0" w:space="0" w:color="auto"/>
        <w:left w:val="none" w:sz="0" w:space="0" w:color="auto"/>
        <w:bottom w:val="none" w:sz="0" w:space="0" w:color="auto"/>
        <w:right w:val="none" w:sz="0" w:space="0" w:color="auto"/>
      </w:divBdr>
    </w:div>
    <w:div w:id="349916756">
      <w:bodyDiv w:val="1"/>
      <w:marLeft w:val="0"/>
      <w:marRight w:val="0"/>
      <w:marTop w:val="0"/>
      <w:marBottom w:val="0"/>
      <w:divBdr>
        <w:top w:val="none" w:sz="0" w:space="0" w:color="auto"/>
        <w:left w:val="none" w:sz="0" w:space="0" w:color="auto"/>
        <w:bottom w:val="none" w:sz="0" w:space="0" w:color="auto"/>
        <w:right w:val="none" w:sz="0" w:space="0" w:color="auto"/>
      </w:divBdr>
    </w:div>
    <w:div w:id="361052026">
      <w:bodyDiv w:val="1"/>
      <w:marLeft w:val="0"/>
      <w:marRight w:val="0"/>
      <w:marTop w:val="0"/>
      <w:marBottom w:val="0"/>
      <w:divBdr>
        <w:top w:val="none" w:sz="0" w:space="0" w:color="auto"/>
        <w:left w:val="none" w:sz="0" w:space="0" w:color="auto"/>
        <w:bottom w:val="none" w:sz="0" w:space="0" w:color="auto"/>
        <w:right w:val="none" w:sz="0" w:space="0" w:color="auto"/>
      </w:divBdr>
    </w:div>
    <w:div w:id="402534706">
      <w:bodyDiv w:val="1"/>
      <w:marLeft w:val="0"/>
      <w:marRight w:val="0"/>
      <w:marTop w:val="0"/>
      <w:marBottom w:val="0"/>
      <w:divBdr>
        <w:top w:val="none" w:sz="0" w:space="0" w:color="auto"/>
        <w:left w:val="none" w:sz="0" w:space="0" w:color="auto"/>
        <w:bottom w:val="none" w:sz="0" w:space="0" w:color="auto"/>
        <w:right w:val="none" w:sz="0" w:space="0" w:color="auto"/>
      </w:divBdr>
    </w:div>
    <w:div w:id="452018141">
      <w:bodyDiv w:val="1"/>
      <w:marLeft w:val="0"/>
      <w:marRight w:val="0"/>
      <w:marTop w:val="0"/>
      <w:marBottom w:val="0"/>
      <w:divBdr>
        <w:top w:val="none" w:sz="0" w:space="0" w:color="auto"/>
        <w:left w:val="none" w:sz="0" w:space="0" w:color="auto"/>
        <w:bottom w:val="none" w:sz="0" w:space="0" w:color="auto"/>
        <w:right w:val="none" w:sz="0" w:space="0" w:color="auto"/>
      </w:divBdr>
    </w:div>
    <w:div w:id="586615256">
      <w:bodyDiv w:val="1"/>
      <w:marLeft w:val="0"/>
      <w:marRight w:val="0"/>
      <w:marTop w:val="0"/>
      <w:marBottom w:val="0"/>
      <w:divBdr>
        <w:top w:val="none" w:sz="0" w:space="0" w:color="auto"/>
        <w:left w:val="none" w:sz="0" w:space="0" w:color="auto"/>
        <w:bottom w:val="none" w:sz="0" w:space="0" w:color="auto"/>
        <w:right w:val="none" w:sz="0" w:space="0" w:color="auto"/>
      </w:divBdr>
    </w:div>
    <w:div w:id="614673073">
      <w:bodyDiv w:val="1"/>
      <w:marLeft w:val="0"/>
      <w:marRight w:val="0"/>
      <w:marTop w:val="0"/>
      <w:marBottom w:val="0"/>
      <w:divBdr>
        <w:top w:val="none" w:sz="0" w:space="0" w:color="auto"/>
        <w:left w:val="none" w:sz="0" w:space="0" w:color="auto"/>
        <w:bottom w:val="none" w:sz="0" w:space="0" w:color="auto"/>
        <w:right w:val="none" w:sz="0" w:space="0" w:color="auto"/>
      </w:divBdr>
    </w:div>
    <w:div w:id="730887037">
      <w:bodyDiv w:val="1"/>
      <w:marLeft w:val="0"/>
      <w:marRight w:val="0"/>
      <w:marTop w:val="0"/>
      <w:marBottom w:val="0"/>
      <w:divBdr>
        <w:top w:val="none" w:sz="0" w:space="0" w:color="auto"/>
        <w:left w:val="none" w:sz="0" w:space="0" w:color="auto"/>
        <w:bottom w:val="none" w:sz="0" w:space="0" w:color="auto"/>
        <w:right w:val="none" w:sz="0" w:space="0" w:color="auto"/>
      </w:divBdr>
    </w:div>
    <w:div w:id="759259230">
      <w:bodyDiv w:val="1"/>
      <w:marLeft w:val="0"/>
      <w:marRight w:val="0"/>
      <w:marTop w:val="0"/>
      <w:marBottom w:val="0"/>
      <w:divBdr>
        <w:top w:val="none" w:sz="0" w:space="0" w:color="auto"/>
        <w:left w:val="none" w:sz="0" w:space="0" w:color="auto"/>
        <w:bottom w:val="none" w:sz="0" w:space="0" w:color="auto"/>
        <w:right w:val="none" w:sz="0" w:space="0" w:color="auto"/>
      </w:divBdr>
    </w:div>
    <w:div w:id="770390673">
      <w:bodyDiv w:val="1"/>
      <w:marLeft w:val="0"/>
      <w:marRight w:val="0"/>
      <w:marTop w:val="0"/>
      <w:marBottom w:val="0"/>
      <w:divBdr>
        <w:top w:val="none" w:sz="0" w:space="0" w:color="auto"/>
        <w:left w:val="none" w:sz="0" w:space="0" w:color="auto"/>
        <w:bottom w:val="none" w:sz="0" w:space="0" w:color="auto"/>
        <w:right w:val="none" w:sz="0" w:space="0" w:color="auto"/>
      </w:divBdr>
    </w:div>
    <w:div w:id="839079491">
      <w:bodyDiv w:val="1"/>
      <w:marLeft w:val="0"/>
      <w:marRight w:val="0"/>
      <w:marTop w:val="0"/>
      <w:marBottom w:val="0"/>
      <w:divBdr>
        <w:top w:val="none" w:sz="0" w:space="0" w:color="auto"/>
        <w:left w:val="none" w:sz="0" w:space="0" w:color="auto"/>
        <w:bottom w:val="none" w:sz="0" w:space="0" w:color="auto"/>
        <w:right w:val="none" w:sz="0" w:space="0" w:color="auto"/>
      </w:divBdr>
    </w:div>
    <w:div w:id="930358614">
      <w:bodyDiv w:val="1"/>
      <w:marLeft w:val="0"/>
      <w:marRight w:val="0"/>
      <w:marTop w:val="0"/>
      <w:marBottom w:val="0"/>
      <w:divBdr>
        <w:top w:val="none" w:sz="0" w:space="0" w:color="auto"/>
        <w:left w:val="none" w:sz="0" w:space="0" w:color="auto"/>
        <w:bottom w:val="none" w:sz="0" w:space="0" w:color="auto"/>
        <w:right w:val="none" w:sz="0" w:space="0" w:color="auto"/>
      </w:divBdr>
    </w:div>
    <w:div w:id="971249673">
      <w:bodyDiv w:val="1"/>
      <w:marLeft w:val="0"/>
      <w:marRight w:val="0"/>
      <w:marTop w:val="0"/>
      <w:marBottom w:val="0"/>
      <w:divBdr>
        <w:top w:val="none" w:sz="0" w:space="0" w:color="auto"/>
        <w:left w:val="none" w:sz="0" w:space="0" w:color="auto"/>
        <w:bottom w:val="none" w:sz="0" w:space="0" w:color="auto"/>
        <w:right w:val="none" w:sz="0" w:space="0" w:color="auto"/>
      </w:divBdr>
    </w:div>
    <w:div w:id="974486175">
      <w:bodyDiv w:val="1"/>
      <w:marLeft w:val="0"/>
      <w:marRight w:val="0"/>
      <w:marTop w:val="0"/>
      <w:marBottom w:val="0"/>
      <w:divBdr>
        <w:top w:val="none" w:sz="0" w:space="0" w:color="auto"/>
        <w:left w:val="none" w:sz="0" w:space="0" w:color="auto"/>
        <w:bottom w:val="none" w:sz="0" w:space="0" w:color="auto"/>
        <w:right w:val="none" w:sz="0" w:space="0" w:color="auto"/>
      </w:divBdr>
    </w:div>
    <w:div w:id="977297831">
      <w:bodyDiv w:val="1"/>
      <w:marLeft w:val="0"/>
      <w:marRight w:val="0"/>
      <w:marTop w:val="0"/>
      <w:marBottom w:val="0"/>
      <w:divBdr>
        <w:top w:val="none" w:sz="0" w:space="0" w:color="auto"/>
        <w:left w:val="none" w:sz="0" w:space="0" w:color="auto"/>
        <w:bottom w:val="none" w:sz="0" w:space="0" w:color="auto"/>
        <w:right w:val="none" w:sz="0" w:space="0" w:color="auto"/>
      </w:divBdr>
    </w:div>
    <w:div w:id="1058942445">
      <w:bodyDiv w:val="1"/>
      <w:marLeft w:val="0"/>
      <w:marRight w:val="0"/>
      <w:marTop w:val="0"/>
      <w:marBottom w:val="0"/>
      <w:divBdr>
        <w:top w:val="none" w:sz="0" w:space="0" w:color="auto"/>
        <w:left w:val="none" w:sz="0" w:space="0" w:color="auto"/>
        <w:bottom w:val="none" w:sz="0" w:space="0" w:color="auto"/>
        <w:right w:val="none" w:sz="0" w:space="0" w:color="auto"/>
      </w:divBdr>
    </w:div>
    <w:div w:id="1156842807">
      <w:bodyDiv w:val="1"/>
      <w:marLeft w:val="0"/>
      <w:marRight w:val="0"/>
      <w:marTop w:val="0"/>
      <w:marBottom w:val="0"/>
      <w:divBdr>
        <w:top w:val="none" w:sz="0" w:space="0" w:color="auto"/>
        <w:left w:val="none" w:sz="0" w:space="0" w:color="auto"/>
        <w:bottom w:val="none" w:sz="0" w:space="0" w:color="auto"/>
        <w:right w:val="none" w:sz="0" w:space="0" w:color="auto"/>
      </w:divBdr>
    </w:div>
    <w:div w:id="1252861403">
      <w:bodyDiv w:val="1"/>
      <w:marLeft w:val="0"/>
      <w:marRight w:val="0"/>
      <w:marTop w:val="0"/>
      <w:marBottom w:val="0"/>
      <w:divBdr>
        <w:top w:val="none" w:sz="0" w:space="0" w:color="auto"/>
        <w:left w:val="none" w:sz="0" w:space="0" w:color="auto"/>
        <w:bottom w:val="none" w:sz="0" w:space="0" w:color="auto"/>
        <w:right w:val="none" w:sz="0" w:space="0" w:color="auto"/>
      </w:divBdr>
    </w:div>
    <w:div w:id="1280726013">
      <w:bodyDiv w:val="1"/>
      <w:marLeft w:val="0"/>
      <w:marRight w:val="0"/>
      <w:marTop w:val="0"/>
      <w:marBottom w:val="0"/>
      <w:divBdr>
        <w:top w:val="none" w:sz="0" w:space="0" w:color="auto"/>
        <w:left w:val="none" w:sz="0" w:space="0" w:color="auto"/>
        <w:bottom w:val="none" w:sz="0" w:space="0" w:color="auto"/>
        <w:right w:val="none" w:sz="0" w:space="0" w:color="auto"/>
      </w:divBdr>
    </w:div>
    <w:div w:id="1311010510">
      <w:bodyDiv w:val="1"/>
      <w:marLeft w:val="0"/>
      <w:marRight w:val="0"/>
      <w:marTop w:val="0"/>
      <w:marBottom w:val="0"/>
      <w:divBdr>
        <w:top w:val="none" w:sz="0" w:space="0" w:color="auto"/>
        <w:left w:val="none" w:sz="0" w:space="0" w:color="auto"/>
        <w:bottom w:val="none" w:sz="0" w:space="0" w:color="auto"/>
        <w:right w:val="none" w:sz="0" w:space="0" w:color="auto"/>
      </w:divBdr>
    </w:div>
    <w:div w:id="1377119847">
      <w:bodyDiv w:val="1"/>
      <w:marLeft w:val="0"/>
      <w:marRight w:val="0"/>
      <w:marTop w:val="0"/>
      <w:marBottom w:val="0"/>
      <w:divBdr>
        <w:top w:val="none" w:sz="0" w:space="0" w:color="auto"/>
        <w:left w:val="none" w:sz="0" w:space="0" w:color="auto"/>
        <w:bottom w:val="none" w:sz="0" w:space="0" w:color="auto"/>
        <w:right w:val="none" w:sz="0" w:space="0" w:color="auto"/>
      </w:divBdr>
    </w:div>
    <w:div w:id="1404596791">
      <w:bodyDiv w:val="1"/>
      <w:marLeft w:val="0"/>
      <w:marRight w:val="0"/>
      <w:marTop w:val="0"/>
      <w:marBottom w:val="0"/>
      <w:divBdr>
        <w:top w:val="none" w:sz="0" w:space="0" w:color="auto"/>
        <w:left w:val="none" w:sz="0" w:space="0" w:color="auto"/>
        <w:bottom w:val="none" w:sz="0" w:space="0" w:color="auto"/>
        <w:right w:val="none" w:sz="0" w:space="0" w:color="auto"/>
      </w:divBdr>
    </w:div>
    <w:div w:id="1436553546">
      <w:bodyDiv w:val="1"/>
      <w:marLeft w:val="0"/>
      <w:marRight w:val="0"/>
      <w:marTop w:val="0"/>
      <w:marBottom w:val="0"/>
      <w:divBdr>
        <w:top w:val="none" w:sz="0" w:space="0" w:color="auto"/>
        <w:left w:val="none" w:sz="0" w:space="0" w:color="auto"/>
        <w:bottom w:val="none" w:sz="0" w:space="0" w:color="auto"/>
        <w:right w:val="none" w:sz="0" w:space="0" w:color="auto"/>
      </w:divBdr>
    </w:div>
    <w:div w:id="1459569116">
      <w:bodyDiv w:val="1"/>
      <w:marLeft w:val="0"/>
      <w:marRight w:val="0"/>
      <w:marTop w:val="0"/>
      <w:marBottom w:val="0"/>
      <w:divBdr>
        <w:top w:val="none" w:sz="0" w:space="0" w:color="auto"/>
        <w:left w:val="none" w:sz="0" w:space="0" w:color="auto"/>
        <w:bottom w:val="none" w:sz="0" w:space="0" w:color="auto"/>
        <w:right w:val="none" w:sz="0" w:space="0" w:color="auto"/>
      </w:divBdr>
    </w:div>
    <w:div w:id="1478497369">
      <w:bodyDiv w:val="1"/>
      <w:marLeft w:val="0"/>
      <w:marRight w:val="0"/>
      <w:marTop w:val="0"/>
      <w:marBottom w:val="0"/>
      <w:divBdr>
        <w:top w:val="none" w:sz="0" w:space="0" w:color="auto"/>
        <w:left w:val="none" w:sz="0" w:space="0" w:color="auto"/>
        <w:bottom w:val="none" w:sz="0" w:space="0" w:color="auto"/>
        <w:right w:val="none" w:sz="0" w:space="0" w:color="auto"/>
      </w:divBdr>
    </w:div>
    <w:div w:id="1542744187">
      <w:bodyDiv w:val="1"/>
      <w:marLeft w:val="0"/>
      <w:marRight w:val="0"/>
      <w:marTop w:val="0"/>
      <w:marBottom w:val="0"/>
      <w:divBdr>
        <w:top w:val="none" w:sz="0" w:space="0" w:color="auto"/>
        <w:left w:val="none" w:sz="0" w:space="0" w:color="auto"/>
        <w:bottom w:val="none" w:sz="0" w:space="0" w:color="auto"/>
        <w:right w:val="none" w:sz="0" w:space="0" w:color="auto"/>
      </w:divBdr>
    </w:div>
    <w:div w:id="1566603736">
      <w:bodyDiv w:val="1"/>
      <w:marLeft w:val="0"/>
      <w:marRight w:val="0"/>
      <w:marTop w:val="0"/>
      <w:marBottom w:val="0"/>
      <w:divBdr>
        <w:top w:val="none" w:sz="0" w:space="0" w:color="auto"/>
        <w:left w:val="none" w:sz="0" w:space="0" w:color="auto"/>
        <w:bottom w:val="none" w:sz="0" w:space="0" w:color="auto"/>
        <w:right w:val="none" w:sz="0" w:space="0" w:color="auto"/>
      </w:divBdr>
    </w:div>
    <w:div w:id="1598756051">
      <w:bodyDiv w:val="1"/>
      <w:marLeft w:val="0"/>
      <w:marRight w:val="0"/>
      <w:marTop w:val="0"/>
      <w:marBottom w:val="0"/>
      <w:divBdr>
        <w:top w:val="none" w:sz="0" w:space="0" w:color="auto"/>
        <w:left w:val="none" w:sz="0" w:space="0" w:color="auto"/>
        <w:bottom w:val="none" w:sz="0" w:space="0" w:color="auto"/>
        <w:right w:val="none" w:sz="0" w:space="0" w:color="auto"/>
      </w:divBdr>
    </w:div>
    <w:div w:id="1614046570">
      <w:bodyDiv w:val="1"/>
      <w:marLeft w:val="0"/>
      <w:marRight w:val="0"/>
      <w:marTop w:val="0"/>
      <w:marBottom w:val="0"/>
      <w:divBdr>
        <w:top w:val="none" w:sz="0" w:space="0" w:color="auto"/>
        <w:left w:val="none" w:sz="0" w:space="0" w:color="auto"/>
        <w:bottom w:val="none" w:sz="0" w:space="0" w:color="auto"/>
        <w:right w:val="none" w:sz="0" w:space="0" w:color="auto"/>
      </w:divBdr>
    </w:div>
    <w:div w:id="1671522687">
      <w:bodyDiv w:val="1"/>
      <w:marLeft w:val="0"/>
      <w:marRight w:val="0"/>
      <w:marTop w:val="0"/>
      <w:marBottom w:val="0"/>
      <w:divBdr>
        <w:top w:val="none" w:sz="0" w:space="0" w:color="auto"/>
        <w:left w:val="none" w:sz="0" w:space="0" w:color="auto"/>
        <w:bottom w:val="none" w:sz="0" w:space="0" w:color="auto"/>
        <w:right w:val="none" w:sz="0" w:space="0" w:color="auto"/>
      </w:divBdr>
    </w:div>
    <w:div w:id="1674869758">
      <w:bodyDiv w:val="1"/>
      <w:marLeft w:val="0"/>
      <w:marRight w:val="0"/>
      <w:marTop w:val="0"/>
      <w:marBottom w:val="0"/>
      <w:divBdr>
        <w:top w:val="none" w:sz="0" w:space="0" w:color="auto"/>
        <w:left w:val="none" w:sz="0" w:space="0" w:color="auto"/>
        <w:bottom w:val="none" w:sz="0" w:space="0" w:color="auto"/>
        <w:right w:val="none" w:sz="0" w:space="0" w:color="auto"/>
      </w:divBdr>
    </w:div>
    <w:div w:id="1689285291">
      <w:bodyDiv w:val="1"/>
      <w:marLeft w:val="0"/>
      <w:marRight w:val="0"/>
      <w:marTop w:val="0"/>
      <w:marBottom w:val="0"/>
      <w:divBdr>
        <w:top w:val="none" w:sz="0" w:space="0" w:color="auto"/>
        <w:left w:val="none" w:sz="0" w:space="0" w:color="auto"/>
        <w:bottom w:val="none" w:sz="0" w:space="0" w:color="auto"/>
        <w:right w:val="none" w:sz="0" w:space="0" w:color="auto"/>
      </w:divBdr>
    </w:div>
    <w:div w:id="1717974733">
      <w:bodyDiv w:val="1"/>
      <w:marLeft w:val="0"/>
      <w:marRight w:val="0"/>
      <w:marTop w:val="0"/>
      <w:marBottom w:val="0"/>
      <w:divBdr>
        <w:top w:val="none" w:sz="0" w:space="0" w:color="auto"/>
        <w:left w:val="none" w:sz="0" w:space="0" w:color="auto"/>
        <w:bottom w:val="none" w:sz="0" w:space="0" w:color="auto"/>
        <w:right w:val="none" w:sz="0" w:space="0" w:color="auto"/>
      </w:divBdr>
    </w:div>
    <w:div w:id="1783840505">
      <w:bodyDiv w:val="1"/>
      <w:marLeft w:val="0"/>
      <w:marRight w:val="0"/>
      <w:marTop w:val="0"/>
      <w:marBottom w:val="0"/>
      <w:divBdr>
        <w:top w:val="none" w:sz="0" w:space="0" w:color="auto"/>
        <w:left w:val="none" w:sz="0" w:space="0" w:color="auto"/>
        <w:bottom w:val="none" w:sz="0" w:space="0" w:color="auto"/>
        <w:right w:val="none" w:sz="0" w:space="0" w:color="auto"/>
      </w:divBdr>
    </w:div>
    <w:div w:id="1789468394">
      <w:bodyDiv w:val="1"/>
      <w:marLeft w:val="0"/>
      <w:marRight w:val="0"/>
      <w:marTop w:val="0"/>
      <w:marBottom w:val="0"/>
      <w:divBdr>
        <w:top w:val="none" w:sz="0" w:space="0" w:color="auto"/>
        <w:left w:val="none" w:sz="0" w:space="0" w:color="auto"/>
        <w:bottom w:val="none" w:sz="0" w:space="0" w:color="auto"/>
        <w:right w:val="none" w:sz="0" w:space="0" w:color="auto"/>
      </w:divBdr>
    </w:div>
    <w:div w:id="1966806690">
      <w:bodyDiv w:val="1"/>
      <w:marLeft w:val="0"/>
      <w:marRight w:val="0"/>
      <w:marTop w:val="0"/>
      <w:marBottom w:val="0"/>
      <w:divBdr>
        <w:top w:val="none" w:sz="0" w:space="0" w:color="auto"/>
        <w:left w:val="none" w:sz="0" w:space="0" w:color="auto"/>
        <w:bottom w:val="none" w:sz="0" w:space="0" w:color="auto"/>
        <w:right w:val="none" w:sz="0" w:space="0" w:color="auto"/>
      </w:divBdr>
    </w:div>
    <w:div w:id="2024822182">
      <w:bodyDiv w:val="1"/>
      <w:marLeft w:val="0"/>
      <w:marRight w:val="0"/>
      <w:marTop w:val="0"/>
      <w:marBottom w:val="0"/>
      <w:divBdr>
        <w:top w:val="none" w:sz="0" w:space="0" w:color="auto"/>
        <w:left w:val="none" w:sz="0" w:space="0" w:color="auto"/>
        <w:bottom w:val="none" w:sz="0" w:space="0" w:color="auto"/>
        <w:right w:val="none" w:sz="0" w:space="0" w:color="auto"/>
      </w:divBdr>
    </w:div>
    <w:div w:id="2034067544">
      <w:bodyDiv w:val="1"/>
      <w:marLeft w:val="0"/>
      <w:marRight w:val="0"/>
      <w:marTop w:val="0"/>
      <w:marBottom w:val="0"/>
      <w:divBdr>
        <w:top w:val="none" w:sz="0" w:space="0" w:color="auto"/>
        <w:left w:val="none" w:sz="0" w:space="0" w:color="auto"/>
        <w:bottom w:val="none" w:sz="0" w:space="0" w:color="auto"/>
        <w:right w:val="none" w:sz="0" w:space="0" w:color="auto"/>
      </w:divBdr>
    </w:div>
    <w:div w:id="2065371678">
      <w:bodyDiv w:val="1"/>
      <w:marLeft w:val="0"/>
      <w:marRight w:val="0"/>
      <w:marTop w:val="0"/>
      <w:marBottom w:val="0"/>
      <w:divBdr>
        <w:top w:val="none" w:sz="0" w:space="0" w:color="auto"/>
        <w:left w:val="none" w:sz="0" w:space="0" w:color="auto"/>
        <w:bottom w:val="none" w:sz="0" w:space="0" w:color="auto"/>
        <w:right w:val="none" w:sz="0" w:space="0" w:color="auto"/>
      </w:divBdr>
    </w:div>
    <w:div w:id="21018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17</TotalTime>
  <Pages>9</Pages>
  <Words>2470</Words>
  <Characters>14966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2022041953 mt</dc:description>
  <cp:lastModifiedBy>Hanne Thy Iversen</cp:lastModifiedBy>
  <cp:revision>8</cp:revision>
  <cp:lastPrinted>2006-02-24T09:31:00Z</cp:lastPrinted>
  <dcterms:created xsi:type="dcterms:W3CDTF">2023-09-26T13:44:00Z</dcterms:created>
  <dcterms:modified xsi:type="dcterms:W3CDTF">2023-09-27T10:31:00Z</dcterms:modified>
</cp:coreProperties>
</file>