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C665" w14:textId="4D7E59C0" w:rsidR="009260DE" w:rsidRPr="00685E7E" w:rsidRDefault="0021526C" w:rsidP="00685E7E">
      <w:pPr>
        <w:rPr>
          <w:b/>
          <w:sz w:val="24"/>
          <w:szCs w:val="24"/>
        </w:rPr>
      </w:pPr>
      <w:r w:rsidRPr="00685E7E">
        <w:rPr>
          <w:noProof/>
          <w:sz w:val="24"/>
          <w:szCs w:val="24"/>
          <w:lang w:eastAsia="da-DK"/>
        </w:rPr>
        <w:drawing>
          <wp:anchor distT="0" distB="0" distL="114300" distR="114300" simplePos="0" relativeHeight="251658240" behindDoc="0" locked="0" layoutInCell="1" allowOverlap="1" wp14:anchorId="381C812B" wp14:editId="389412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85E7E">
        <w:rPr>
          <w:sz w:val="24"/>
          <w:szCs w:val="24"/>
        </w:rPr>
        <w:br w:type="textWrapping" w:clear="all"/>
      </w:r>
    </w:p>
    <w:p w14:paraId="7571FB03" w14:textId="23CF09E7" w:rsidR="009260DE" w:rsidRPr="00685E7E" w:rsidRDefault="009260DE" w:rsidP="009260DE">
      <w:pPr>
        <w:pStyle w:val="Titel"/>
        <w:tabs>
          <w:tab w:val="right" w:pos="9356"/>
        </w:tabs>
        <w:jc w:val="left"/>
        <w:rPr>
          <w:b w:val="0"/>
          <w:szCs w:val="24"/>
          <w:lang w:eastAsia="en-US"/>
        </w:rPr>
      </w:pPr>
      <w:r w:rsidRPr="00685E7E">
        <w:rPr>
          <w:b w:val="0"/>
          <w:szCs w:val="24"/>
          <w:lang w:eastAsia="en-US"/>
        </w:rPr>
        <w:tab/>
      </w:r>
      <w:r w:rsidR="004E499F">
        <w:rPr>
          <w:szCs w:val="24"/>
        </w:rPr>
        <w:t>8</w:t>
      </w:r>
      <w:r w:rsidR="00775D6A">
        <w:rPr>
          <w:szCs w:val="24"/>
        </w:rPr>
        <w:t xml:space="preserve">. </w:t>
      </w:r>
      <w:r w:rsidR="004E499F">
        <w:rPr>
          <w:szCs w:val="24"/>
        </w:rPr>
        <w:t>august</w:t>
      </w:r>
      <w:r w:rsidR="00775D6A">
        <w:rPr>
          <w:szCs w:val="24"/>
        </w:rPr>
        <w:t xml:space="preserve"> 2024</w:t>
      </w:r>
    </w:p>
    <w:p w14:paraId="30B798A1" w14:textId="77777777" w:rsidR="009260DE" w:rsidRPr="00685E7E" w:rsidRDefault="009260DE" w:rsidP="009260DE">
      <w:pPr>
        <w:pStyle w:val="Titel"/>
        <w:tabs>
          <w:tab w:val="left" w:pos="8222"/>
        </w:tabs>
        <w:jc w:val="left"/>
        <w:rPr>
          <w:b w:val="0"/>
          <w:szCs w:val="24"/>
        </w:rPr>
      </w:pPr>
    </w:p>
    <w:p w14:paraId="0E6719C1" w14:textId="77777777" w:rsidR="009260DE" w:rsidRPr="00685E7E" w:rsidRDefault="009260DE" w:rsidP="009260DE">
      <w:pPr>
        <w:pStyle w:val="Titel"/>
        <w:jc w:val="left"/>
        <w:rPr>
          <w:b w:val="0"/>
          <w:szCs w:val="24"/>
        </w:rPr>
      </w:pPr>
    </w:p>
    <w:p w14:paraId="2453BC9C" w14:textId="77777777" w:rsidR="009260DE" w:rsidRPr="00685E7E" w:rsidRDefault="009260DE" w:rsidP="009260DE">
      <w:pPr>
        <w:pStyle w:val="Titel"/>
        <w:jc w:val="left"/>
        <w:rPr>
          <w:b w:val="0"/>
          <w:szCs w:val="24"/>
        </w:rPr>
      </w:pPr>
    </w:p>
    <w:p w14:paraId="3B7768B1" w14:textId="77777777" w:rsidR="009260DE" w:rsidRPr="00685E7E" w:rsidRDefault="009260DE" w:rsidP="009260DE">
      <w:pPr>
        <w:jc w:val="center"/>
        <w:rPr>
          <w:b/>
          <w:sz w:val="24"/>
          <w:szCs w:val="24"/>
        </w:rPr>
      </w:pPr>
      <w:r w:rsidRPr="00685E7E">
        <w:rPr>
          <w:b/>
          <w:sz w:val="24"/>
          <w:szCs w:val="24"/>
        </w:rPr>
        <w:t>PRODUKTRESUMÉ</w:t>
      </w:r>
    </w:p>
    <w:p w14:paraId="6EF814BB" w14:textId="77777777" w:rsidR="009260DE" w:rsidRPr="00685E7E" w:rsidRDefault="009260DE" w:rsidP="009260DE">
      <w:pPr>
        <w:jc w:val="center"/>
        <w:rPr>
          <w:b/>
          <w:sz w:val="24"/>
          <w:szCs w:val="24"/>
        </w:rPr>
      </w:pPr>
    </w:p>
    <w:p w14:paraId="3E40403F" w14:textId="1ABB7C6A" w:rsidR="009260DE" w:rsidRPr="00685E7E" w:rsidRDefault="00152883" w:rsidP="00152883">
      <w:pPr>
        <w:tabs>
          <w:tab w:val="center" w:pos="4819"/>
        </w:tabs>
        <w:rPr>
          <w:b/>
          <w:sz w:val="24"/>
          <w:szCs w:val="24"/>
        </w:rPr>
      </w:pPr>
      <w:r>
        <w:rPr>
          <w:b/>
          <w:sz w:val="24"/>
          <w:szCs w:val="24"/>
        </w:rPr>
        <w:tab/>
      </w:r>
      <w:r w:rsidR="009260DE" w:rsidRPr="00685E7E">
        <w:rPr>
          <w:b/>
          <w:sz w:val="24"/>
          <w:szCs w:val="24"/>
        </w:rPr>
        <w:t>for</w:t>
      </w:r>
    </w:p>
    <w:p w14:paraId="41ED8388" w14:textId="77777777" w:rsidR="000B058C" w:rsidRPr="00685E7E" w:rsidRDefault="000B058C" w:rsidP="009260DE">
      <w:pPr>
        <w:jc w:val="center"/>
        <w:rPr>
          <w:b/>
          <w:sz w:val="24"/>
          <w:szCs w:val="24"/>
        </w:rPr>
      </w:pPr>
    </w:p>
    <w:p w14:paraId="4FDBDFA8" w14:textId="47114416" w:rsidR="009260DE" w:rsidRPr="00685E7E" w:rsidRDefault="00813223" w:rsidP="009260DE">
      <w:pPr>
        <w:jc w:val="center"/>
        <w:rPr>
          <w:b/>
          <w:sz w:val="24"/>
          <w:szCs w:val="24"/>
        </w:rPr>
      </w:pPr>
      <w:proofErr w:type="spellStart"/>
      <w:r w:rsidRPr="00685E7E">
        <w:rPr>
          <w:b/>
          <w:spacing w:val="-3"/>
          <w:sz w:val="24"/>
          <w:szCs w:val="24"/>
        </w:rPr>
        <w:t>Influvac</w:t>
      </w:r>
      <w:proofErr w:type="spellEnd"/>
      <w:r w:rsidRPr="00685E7E">
        <w:rPr>
          <w:b/>
          <w:spacing w:val="-3"/>
          <w:sz w:val="24"/>
          <w:szCs w:val="24"/>
        </w:rPr>
        <w:t>, injektionsvæske, suspension i fyldt injektionssprøjte</w:t>
      </w:r>
    </w:p>
    <w:p w14:paraId="41201569" w14:textId="77777777" w:rsidR="009260DE" w:rsidRPr="00685E7E" w:rsidRDefault="009260DE" w:rsidP="009260DE">
      <w:pPr>
        <w:jc w:val="both"/>
        <w:rPr>
          <w:sz w:val="24"/>
          <w:szCs w:val="24"/>
        </w:rPr>
      </w:pPr>
    </w:p>
    <w:p w14:paraId="06E22DC5" w14:textId="77777777" w:rsidR="009260DE" w:rsidRPr="00685E7E" w:rsidRDefault="009260DE" w:rsidP="009260DE">
      <w:pPr>
        <w:jc w:val="both"/>
        <w:rPr>
          <w:sz w:val="24"/>
          <w:szCs w:val="24"/>
        </w:rPr>
      </w:pPr>
    </w:p>
    <w:p w14:paraId="2E02A321" w14:textId="77777777" w:rsidR="009260DE" w:rsidRPr="00685E7E" w:rsidRDefault="009260DE" w:rsidP="009260DE">
      <w:pPr>
        <w:tabs>
          <w:tab w:val="left" w:pos="851"/>
        </w:tabs>
        <w:ind w:left="851" w:hanging="851"/>
        <w:rPr>
          <w:b/>
          <w:sz w:val="24"/>
          <w:szCs w:val="24"/>
        </w:rPr>
      </w:pPr>
      <w:r w:rsidRPr="00685E7E">
        <w:rPr>
          <w:b/>
          <w:sz w:val="24"/>
          <w:szCs w:val="24"/>
        </w:rPr>
        <w:t>0.</w:t>
      </w:r>
      <w:r w:rsidRPr="00685E7E">
        <w:rPr>
          <w:b/>
          <w:sz w:val="24"/>
          <w:szCs w:val="24"/>
        </w:rPr>
        <w:tab/>
        <w:t>D.SP.NR.</w:t>
      </w:r>
    </w:p>
    <w:p w14:paraId="3638E42F" w14:textId="551D5372" w:rsidR="009260DE" w:rsidRPr="00685E7E" w:rsidRDefault="00813223" w:rsidP="009260DE">
      <w:pPr>
        <w:tabs>
          <w:tab w:val="left" w:pos="851"/>
        </w:tabs>
        <w:ind w:left="851"/>
        <w:rPr>
          <w:sz w:val="24"/>
          <w:szCs w:val="24"/>
        </w:rPr>
      </w:pPr>
      <w:r w:rsidRPr="00685E7E">
        <w:rPr>
          <w:sz w:val="24"/>
          <w:szCs w:val="24"/>
        </w:rPr>
        <w:t>33851</w:t>
      </w:r>
    </w:p>
    <w:p w14:paraId="3F96A595" w14:textId="77777777" w:rsidR="009260DE" w:rsidRPr="00685E7E" w:rsidRDefault="009260DE" w:rsidP="009260DE">
      <w:pPr>
        <w:tabs>
          <w:tab w:val="left" w:pos="851"/>
        </w:tabs>
        <w:ind w:left="851"/>
        <w:rPr>
          <w:sz w:val="24"/>
          <w:szCs w:val="24"/>
        </w:rPr>
      </w:pPr>
    </w:p>
    <w:p w14:paraId="115B1C0D" w14:textId="77777777" w:rsidR="009260DE" w:rsidRPr="00685E7E" w:rsidRDefault="009260DE" w:rsidP="009260DE">
      <w:pPr>
        <w:tabs>
          <w:tab w:val="left" w:pos="851"/>
        </w:tabs>
        <w:ind w:left="851" w:hanging="851"/>
        <w:rPr>
          <w:b/>
          <w:sz w:val="24"/>
          <w:szCs w:val="24"/>
        </w:rPr>
      </w:pPr>
      <w:r w:rsidRPr="00685E7E">
        <w:rPr>
          <w:b/>
          <w:sz w:val="24"/>
          <w:szCs w:val="24"/>
        </w:rPr>
        <w:t>1.</w:t>
      </w:r>
      <w:r w:rsidRPr="00685E7E">
        <w:rPr>
          <w:b/>
          <w:sz w:val="24"/>
          <w:szCs w:val="24"/>
        </w:rPr>
        <w:tab/>
        <w:t>LÆGEMIDLETS NAVN</w:t>
      </w:r>
    </w:p>
    <w:p w14:paraId="6F4FC6CF" w14:textId="6EC2DFD2" w:rsidR="009260DE" w:rsidRPr="00685E7E" w:rsidRDefault="00813223" w:rsidP="009260DE">
      <w:pPr>
        <w:tabs>
          <w:tab w:val="left" w:pos="851"/>
        </w:tabs>
        <w:ind w:left="851"/>
        <w:rPr>
          <w:sz w:val="24"/>
          <w:szCs w:val="24"/>
        </w:rPr>
      </w:pPr>
      <w:proofErr w:type="spellStart"/>
      <w:r w:rsidRPr="00685E7E">
        <w:rPr>
          <w:sz w:val="24"/>
          <w:szCs w:val="24"/>
        </w:rPr>
        <w:t>Influvac</w:t>
      </w:r>
      <w:proofErr w:type="spellEnd"/>
    </w:p>
    <w:p w14:paraId="628AD3DB" w14:textId="77777777" w:rsidR="009260DE" w:rsidRPr="00685E7E" w:rsidRDefault="009260DE" w:rsidP="009260DE">
      <w:pPr>
        <w:tabs>
          <w:tab w:val="left" w:pos="851"/>
        </w:tabs>
        <w:ind w:left="851"/>
        <w:rPr>
          <w:sz w:val="24"/>
          <w:szCs w:val="24"/>
        </w:rPr>
      </w:pPr>
      <w:bookmarkStart w:id="0" w:name="_GoBack"/>
      <w:bookmarkEnd w:id="0"/>
    </w:p>
    <w:p w14:paraId="02EE5EB1" w14:textId="77777777" w:rsidR="009260DE" w:rsidRPr="00685E7E" w:rsidRDefault="009260DE" w:rsidP="009260DE">
      <w:pPr>
        <w:tabs>
          <w:tab w:val="left" w:pos="851"/>
        </w:tabs>
        <w:ind w:left="851" w:hanging="851"/>
        <w:rPr>
          <w:b/>
          <w:sz w:val="24"/>
          <w:szCs w:val="24"/>
        </w:rPr>
      </w:pPr>
      <w:r w:rsidRPr="00685E7E">
        <w:rPr>
          <w:b/>
          <w:sz w:val="24"/>
          <w:szCs w:val="24"/>
        </w:rPr>
        <w:t>2.</w:t>
      </w:r>
      <w:r w:rsidRPr="00685E7E">
        <w:rPr>
          <w:b/>
          <w:sz w:val="24"/>
          <w:szCs w:val="24"/>
        </w:rPr>
        <w:tab/>
        <w:t>KVALITATIV OG KVANTITATIV SAMMENSÆTNING</w:t>
      </w:r>
    </w:p>
    <w:p w14:paraId="3C1A19DD" w14:textId="77777777" w:rsidR="00B170A3" w:rsidRPr="00685E7E" w:rsidRDefault="00B170A3" w:rsidP="00B170A3">
      <w:pPr>
        <w:ind w:left="851"/>
        <w:rPr>
          <w:spacing w:val="-3"/>
          <w:sz w:val="24"/>
          <w:szCs w:val="24"/>
          <w:lang w:val="de-DE" w:eastAsia="da-DK"/>
        </w:rPr>
      </w:pPr>
      <w:r w:rsidRPr="00685E7E">
        <w:rPr>
          <w:spacing w:val="-3"/>
          <w:sz w:val="24"/>
          <w:szCs w:val="24"/>
          <w:lang w:val="de-DE"/>
        </w:rPr>
        <w:t xml:space="preserve">Influenzavirus </w:t>
      </w:r>
      <w:proofErr w:type="spellStart"/>
      <w:r w:rsidRPr="00685E7E">
        <w:rPr>
          <w:spacing w:val="-3"/>
          <w:sz w:val="24"/>
          <w:szCs w:val="24"/>
          <w:lang w:val="de-DE"/>
        </w:rPr>
        <w:t>overfladeantigener</w:t>
      </w:r>
      <w:proofErr w:type="spellEnd"/>
      <w:r w:rsidRPr="00685E7E">
        <w:rPr>
          <w:spacing w:val="-3"/>
          <w:sz w:val="24"/>
          <w:szCs w:val="24"/>
          <w:lang w:val="de-DE"/>
        </w:rPr>
        <w:t xml:space="preserve"> (</w:t>
      </w:r>
      <w:proofErr w:type="spellStart"/>
      <w:r w:rsidRPr="00685E7E">
        <w:rPr>
          <w:spacing w:val="-3"/>
          <w:sz w:val="24"/>
          <w:szCs w:val="24"/>
          <w:lang w:val="de-DE"/>
        </w:rPr>
        <w:t>inaktiveret</w:t>
      </w:r>
      <w:proofErr w:type="spellEnd"/>
      <w:r w:rsidRPr="00685E7E">
        <w:rPr>
          <w:spacing w:val="-3"/>
          <w:sz w:val="24"/>
          <w:szCs w:val="24"/>
          <w:lang w:val="de-DE"/>
        </w:rPr>
        <w:t>) (</w:t>
      </w:r>
      <w:proofErr w:type="spellStart"/>
      <w:r w:rsidRPr="00685E7E">
        <w:rPr>
          <w:spacing w:val="-3"/>
          <w:sz w:val="24"/>
          <w:szCs w:val="24"/>
          <w:lang w:val="de-DE"/>
        </w:rPr>
        <w:t>hæmagglutinin</w:t>
      </w:r>
      <w:proofErr w:type="spellEnd"/>
      <w:r w:rsidRPr="00685E7E">
        <w:rPr>
          <w:spacing w:val="-3"/>
          <w:sz w:val="24"/>
          <w:szCs w:val="24"/>
          <w:lang w:val="de-DE"/>
        </w:rPr>
        <w:t xml:space="preserve"> </w:t>
      </w:r>
      <w:proofErr w:type="spellStart"/>
      <w:r w:rsidRPr="00685E7E">
        <w:rPr>
          <w:spacing w:val="-3"/>
          <w:sz w:val="24"/>
          <w:szCs w:val="24"/>
          <w:lang w:val="de-DE"/>
        </w:rPr>
        <w:t>og</w:t>
      </w:r>
      <w:proofErr w:type="spellEnd"/>
      <w:r w:rsidRPr="00685E7E">
        <w:rPr>
          <w:spacing w:val="-3"/>
          <w:sz w:val="24"/>
          <w:szCs w:val="24"/>
          <w:lang w:val="de-DE"/>
        </w:rPr>
        <w:t xml:space="preserve"> </w:t>
      </w:r>
      <w:proofErr w:type="spellStart"/>
      <w:proofErr w:type="gramStart"/>
      <w:r w:rsidRPr="00685E7E">
        <w:rPr>
          <w:spacing w:val="-3"/>
          <w:sz w:val="24"/>
          <w:szCs w:val="24"/>
          <w:lang w:val="de-DE"/>
        </w:rPr>
        <w:t>neuraminidase</w:t>
      </w:r>
      <w:proofErr w:type="spellEnd"/>
      <w:r w:rsidRPr="00685E7E">
        <w:rPr>
          <w:spacing w:val="-3"/>
          <w:sz w:val="24"/>
          <w:szCs w:val="24"/>
          <w:lang w:val="de-DE"/>
        </w:rPr>
        <w:t>)*</w:t>
      </w:r>
      <w:proofErr w:type="gramEnd"/>
      <w:r w:rsidRPr="00685E7E">
        <w:rPr>
          <w:spacing w:val="-3"/>
          <w:sz w:val="24"/>
          <w:szCs w:val="24"/>
          <w:lang w:val="de-DE"/>
        </w:rPr>
        <w:t xml:space="preserve"> </w:t>
      </w:r>
      <w:proofErr w:type="spellStart"/>
      <w:r w:rsidRPr="00685E7E">
        <w:rPr>
          <w:spacing w:val="-3"/>
          <w:sz w:val="24"/>
          <w:szCs w:val="24"/>
          <w:lang w:val="de-DE"/>
        </w:rPr>
        <w:t>fra</w:t>
      </w:r>
      <w:proofErr w:type="spellEnd"/>
      <w:r w:rsidRPr="00685E7E">
        <w:rPr>
          <w:spacing w:val="-3"/>
          <w:sz w:val="24"/>
          <w:szCs w:val="24"/>
          <w:lang w:val="de-DE"/>
        </w:rPr>
        <w:t xml:space="preserve"> </w:t>
      </w:r>
      <w:proofErr w:type="spellStart"/>
      <w:r w:rsidRPr="00685E7E">
        <w:rPr>
          <w:spacing w:val="-3"/>
          <w:sz w:val="24"/>
          <w:szCs w:val="24"/>
          <w:lang w:val="de-DE"/>
        </w:rPr>
        <w:t>følgende</w:t>
      </w:r>
      <w:proofErr w:type="spellEnd"/>
      <w:r w:rsidRPr="00685E7E">
        <w:rPr>
          <w:spacing w:val="-3"/>
          <w:sz w:val="24"/>
          <w:szCs w:val="24"/>
          <w:lang w:val="de-DE"/>
        </w:rPr>
        <w:t xml:space="preserve"> </w:t>
      </w:r>
      <w:proofErr w:type="spellStart"/>
      <w:r w:rsidRPr="00685E7E">
        <w:rPr>
          <w:spacing w:val="-3"/>
          <w:sz w:val="24"/>
          <w:szCs w:val="24"/>
          <w:lang w:val="de-DE"/>
        </w:rPr>
        <w:t>stammer</w:t>
      </w:r>
      <w:proofErr w:type="spellEnd"/>
      <w:r w:rsidRPr="00685E7E">
        <w:rPr>
          <w:spacing w:val="-3"/>
          <w:sz w:val="24"/>
          <w:szCs w:val="24"/>
          <w:lang w:val="de-DE"/>
        </w:rPr>
        <w:t>:</w:t>
      </w:r>
    </w:p>
    <w:p w14:paraId="505F11C5" w14:textId="77777777" w:rsidR="00B170A3" w:rsidRPr="00685E7E" w:rsidRDefault="00B170A3" w:rsidP="00B170A3">
      <w:pPr>
        <w:ind w:left="851"/>
        <w:rPr>
          <w:spacing w:val="-3"/>
          <w:sz w:val="24"/>
          <w:szCs w:val="24"/>
          <w:lang w:val="de-DE"/>
        </w:rPr>
      </w:pPr>
    </w:p>
    <w:p w14:paraId="6A398E47" w14:textId="77777777" w:rsidR="00B170A3" w:rsidRPr="00685E7E" w:rsidRDefault="00B170A3" w:rsidP="00B170A3">
      <w:pPr>
        <w:tabs>
          <w:tab w:val="left" w:pos="0"/>
          <w:tab w:val="left" w:pos="851"/>
          <w:tab w:val="left" w:pos="1701"/>
          <w:tab w:val="left" w:pos="2552"/>
          <w:tab w:val="left" w:pos="3403"/>
          <w:tab w:val="left" w:pos="4254"/>
          <w:tab w:val="left" w:pos="5105"/>
          <w:tab w:val="left" w:pos="5955"/>
          <w:tab w:val="left" w:pos="6806"/>
          <w:tab w:val="left" w:pos="8035"/>
        </w:tabs>
        <w:ind w:left="5103" w:hanging="4252"/>
        <w:rPr>
          <w:spacing w:val="-3"/>
          <w:sz w:val="24"/>
          <w:szCs w:val="24"/>
        </w:rPr>
      </w:pPr>
      <w:r w:rsidRPr="00685E7E">
        <w:rPr>
          <w:spacing w:val="-3"/>
          <w:sz w:val="24"/>
          <w:szCs w:val="24"/>
        </w:rPr>
        <w:t>0,5 ml indeholder:</w:t>
      </w:r>
    </w:p>
    <w:tbl>
      <w:tblPr>
        <w:tblW w:w="8868" w:type="dxa"/>
        <w:tblInd w:w="814" w:type="dxa"/>
        <w:tblLook w:val="01E0" w:firstRow="1" w:lastRow="1" w:firstColumn="1" w:lastColumn="1" w:noHBand="0" w:noVBand="0"/>
      </w:tblPr>
      <w:tblGrid>
        <w:gridCol w:w="6557"/>
        <w:gridCol w:w="2311"/>
      </w:tblGrid>
      <w:tr w:rsidR="00B170A3" w:rsidRPr="00685E7E" w14:paraId="606BD9F2" w14:textId="77777777" w:rsidTr="00685E7E">
        <w:tc>
          <w:tcPr>
            <w:tcW w:w="6557" w:type="dxa"/>
            <w:tcMar>
              <w:top w:w="0" w:type="dxa"/>
              <w:left w:w="57" w:type="dxa"/>
              <w:bottom w:w="0" w:type="dxa"/>
              <w:right w:w="57" w:type="dxa"/>
            </w:tcMar>
            <w:hideMark/>
          </w:tcPr>
          <w:p w14:paraId="3D142038" w14:textId="77777777" w:rsidR="00B170A3" w:rsidRPr="00685E7E" w:rsidRDefault="00B170A3" w:rsidP="00775D6A">
            <w:pPr>
              <w:tabs>
                <w:tab w:val="left" w:pos="406"/>
              </w:tabs>
              <w:rPr>
                <w:sz w:val="24"/>
                <w:szCs w:val="24"/>
                <w:lang w:val="en-US"/>
              </w:rPr>
            </w:pPr>
            <w:r w:rsidRPr="00685E7E">
              <w:rPr>
                <w:sz w:val="24"/>
                <w:szCs w:val="24"/>
                <w:lang w:val="en-US"/>
              </w:rPr>
              <w:t>-</w:t>
            </w:r>
            <w:r w:rsidRPr="00685E7E">
              <w:rPr>
                <w:sz w:val="24"/>
                <w:szCs w:val="24"/>
                <w:lang w:val="en-US"/>
              </w:rPr>
              <w:tab/>
              <w:t>A/Victoria/4897/2022 (H1N</w:t>
            </w:r>
            <w:proofErr w:type="gramStart"/>
            <w:r w:rsidRPr="00685E7E">
              <w:rPr>
                <w:sz w:val="24"/>
                <w:szCs w:val="24"/>
                <w:lang w:val="en-US"/>
              </w:rPr>
              <w:t>1)pdm</w:t>
            </w:r>
            <w:proofErr w:type="gramEnd"/>
            <w:r w:rsidRPr="00685E7E">
              <w:rPr>
                <w:sz w:val="24"/>
                <w:szCs w:val="24"/>
                <w:lang w:val="en-US"/>
              </w:rPr>
              <w:t xml:space="preserve">09lignende </w:t>
            </w:r>
            <w:proofErr w:type="spellStart"/>
            <w:r w:rsidRPr="00685E7E">
              <w:rPr>
                <w:sz w:val="24"/>
                <w:szCs w:val="24"/>
                <w:lang w:val="en-US"/>
              </w:rPr>
              <w:t>stamme</w:t>
            </w:r>
            <w:proofErr w:type="spellEnd"/>
            <w:r w:rsidRPr="00685E7E">
              <w:rPr>
                <w:sz w:val="24"/>
                <w:szCs w:val="24"/>
                <w:lang w:val="en-US"/>
              </w:rPr>
              <w:t xml:space="preserve"> </w:t>
            </w:r>
          </w:p>
          <w:p w14:paraId="4824E9CC" w14:textId="27FB45B4" w:rsidR="00B170A3" w:rsidRPr="00685E7E" w:rsidRDefault="00685E7E" w:rsidP="00775D6A">
            <w:pPr>
              <w:tabs>
                <w:tab w:val="left" w:pos="406"/>
              </w:tabs>
              <w:rPr>
                <w:sz w:val="24"/>
                <w:szCs w:val="24"/>
                <w:lang w:val="en-US"/>
              </w:rPr>
            </w:pPr>
            <w:r>
              <w:rPr>
                <w:color w:val="000000"/>
                <w:sz w:val="24"/>
                <w:szCs w:val="24"/>
                <w:lang w:val="en-US"/>
              </w:rPr>
              <w:tab/>
            </w:r>
            <w:r w:rsidR="00B170A3" w:rsidRPr="00685E7E">
              <w:rPr>
                <w:color w:val="000000"/>
                <w:sz w:val="24"/>
                <w:szCs w:val="24"/>
                <w:lang w:val="en-US"/>
              </w:rPr>
              <w:t>(A/Victoria/4897/2022, IVR-238)</w:t>
            </w:r>
          </w:p>
        </w:tc>
        <w:tc>
          <w:tcPr>
            <w:tcW w:w="2311" w:type="dxa"/>
            <w:tcMar>
              <w:top w:w="0" w:type="dxa"/>
              <w:left w:w="57" w:type="dxa"/>
              <w:bottom w:w="0" w:type="dxa"/>
              <w:right w:w="57" w:type="dxa"/>
            </w:tcMar>
          </w:tcPr>
          <w:p w14:paraId="4B2A0EB3" w14:textId="77777777" w:rsidR="00B170A3" w:rsidRPr="00685E7E" w:rsidRDefault="00B170A3" w:rsidP="00685E7E">
            <w:pPr>
              <w:tabs>
                <w:tab w:val="left" w:pos="406"/>
              </w:tabs>
              <w:rPr>
                <w:sz w:val="24"/>
                <w:szCs w:val="24"/>
                <w:lang w:val="en-US"/>
              </w:rPr>
            </w:pPr>
          </w:p>
          <w:p w14:paraId="2782CFD5" w14:textId="034609CC" w:rsidR="00B170A3" w:rsidRPr="00685E7E" w:rsidRDefault="00B170A3" w:rsidP="00685E7E">
            <w:pPr>
              <w:tabs>
                <w:tab w:val="left" w:pos="406"/>
              </w:tabs>
              <w:rPr>
                <w:sz w:val="24"/>
                <w:szCs w:val="24"/>
                <w:lang w:val="en-US"/>
              </w:rPr>
            </w:pPr>
            <w:r w:rsidRPr="00685E7E">
              <w:rPr>
                <w:sz w:val="24"/>
                <w:szCs w:val="24"/>
                <w:lang w:val="en-US"/>
              </w:rPr>
              <w:t xml:space="preserve">15 </w:t>
            </w:r>
            <w:proofErr w:type="spellStart"/>
            <w:r w:rsidRPr="00685E7E">
              <w:rPr>
                <w:sz w:val="24"/>
                <w:szCs w:val="24"/>
                <w:lang w:val="en-US"/>
              </w:rPr>
              <w:t>mikrogram</w:t>
            </w:r>
            <w:proofErr w:type="spellEnd"/>
            <w:r w:rsidRPr="00685E7E">
              <w:rPr>
                <w:sz w:val="24"/>
                <w:szCs w:val="24"/>
                <w:lang w:val="en-US"/>
              </w:rPr>
              <w:t xml:space="preserve"> HA **</w:t>
            </w:r>
          </w:p>
        </w:tc>
      </w:tr>
      <w:tr w:rsidR="00B170A3" w:rsidRPr="00685E7E" w14:paraId="36849B58" w14:textId="77777777" w:rsidTr="00685E7E">
        <w:tc>
          <w:tcPr>
            <w:tcW w:w="6557" w:type="dxa"/>
            <w:tcMar>
              <w:top w:w="0" w:type="dxa"/>
              <w:left w:w="57" w:type="dxa"/>
              <w:bottom w:w="0" w:type="dxa"/>
              <w:right w:w="57" w:type="dxa"/>
            </w:tcMar>
            <w:hideMark/>
          </w:tcPr>
          <w:p w14:paraId="46584485" w14:textId="77777777" w:rsidR="002A1C19" w:rsidRDefault="00B170A3" w:rsidP="002A1C19">
            <w:pPr>
              <w:tabs>
                <w:tab w:val="left" w:pos="406"/>
              </w:tabs>
              <w:rPr>
                <w:sz w:val="24"/>
                <w:szCs w:val="24"/>
                <w:lang w:val="es-ES"/>
              </w:rPr>
            </w:pPr>
            <w:r w:rsidRPr="00685E7E">
              <w:rPr>
                <w:sz w:val="24"/>
                <w:szCs w:val="24"/>
                <w:lang w:val="es-ES"/>
              </w:rPr>
              <w:t>-</w:t>
            </w:r>
            <w:r w:rsidRPr="00685E7E">
              <w:rPr>
                <w:sz w:val="24"/>
                <w:szCs w:val="24"/>
                <w:lang w:val="es-ES"/>
              </w:rPr>
              <w:tab/>
            </w:r>
            <w:r w:rsidR="002A1C19">
              <w:rPr>
                <w:sz w:val="24"/>
                <w:szCs w:val="24"/>
                <w:lang w:val="es-ES"/>
              </w:rPr>
              <w:t>A/Thailand/8/2022 (H3N2)-lignende stamme</w:t>
            </w:r>
          </w:p>
          <w:p w14:paraId="24950244" w14:textId="43497CE8" w:rsidR="00B170A3" w:rsidRPr="00685E7E" w:rsidRDefault="002A1C19" w:rsidP="002A1C19">
            <w:pPr>
              <w:tabs>
                <w:tab w:val="left" w:pos="406"/>
              </w:tabs>
              <w:rPr>
                <w:sz w:val="24"/>
                <w:szCs w:val="24"/>
                <w:lang w:val="es-ES"/>
              </w:rPr>
            </w:pPr>
            <w:r>
              <w:rPr>
                <w:sz w:val="24"/>
                <w:szCs w:val="24"/>
                <w:lang w:val="es-ES"/>
              </w:rPr>
              <w:t xml:space="preserve">       (A/California/122/2022, SAN-022)</w:t>
            </w:r>
          </w:p>
        </w:tc>
        <w:tc>
          <w:tcPr>
            <w:tcW w:w="2311" w:type="dxa"/>
            <w:tcMar>
              <w:top w:w="0" w:type="dxa"/>
              <w:left w:w="57" w:type="dxa"/>
              <w:bottom w:w="0" w:type="dxa"/>
              <w:right w:w="57" w:type="dxa"/>
            </w:tcMar>
          </w:tcPr>
          <w:p w14:paraId="0384AD05" w14:textId="77777777" w:rsidR="00B170A3" w:rsidRPr="00685E7E" w:rsidRDefault="00B170A3" w:rsidP="00685E7E">
            <w:pPr>
              <w:tabs>
                <w:tab w:val="left" w:pos="406"/>
              </w:tabs>
              <w:rPr>
                <w:sz w:val="24"/>
                <w:szCs w:val="24"/>
                <w:lang w:val="es-ES"/>
              </w:rPr>
            </w:pPr>
          </w:p>
          <w:p w14:paraId="13EE42C7" w14:textId="77777777" w:rsidR="00B170A3" w:rsidRPr="00685E7E" w:rsidRDefault="00B170A3" w:rsidP="00685E7E">
            <w:pPr>
              <w:tabs>
                <w:tab w:val="left" w:pos="406"/>
              </w:tabs>
              <w:rPr>
                <w:sz w:val="24"/>
                <w:szCs w:val="24"/>
              </w:rPr>
            </w:pPr>
            <w:r w:rsidRPr="00685E7E">
              <w:rPr>
                <w:sz w:val="24"/>
                <w:szCs w:val="24"/>
              </w:rPr>
              <w:t>15 mikrogram HA **</w:t>
            </w:r>
          </w:p>
        </w:tc>
      </w:tr>
      <w:tr w:rsidR="00B170A3" w:rsidRPr="00685E7E" w14:paraId="4C3E7952" w14:textId="77777777" w:rsidTr="00685E7E">
        <w:tc>
          <w:tcPr>
            <w:tcW w:w="6557" w:type="dxa"/>
            <w:tcMar>
              <w:top w:w="0" w:type="dxa"/>
              <w:left w:w="57" w:type="dxa"/>
              <w:bottom w:w="0" w:type="dxa"/>
              <w:right w:w="57" w:type="dxa"/>
            </w:tcMar>
            <w:hideMark/>
          </w:tcPr>
          <w:p w14:paraId="18484AA6" w14:textId="405EFC88" w:rsidR="00B170A3" w:rsidRPr="00685E7E" w:rsidRDefault="00B170A3" w:rsidP="00775D6A">
            <w:pPr>
              <w:tabs>
                <w:tab w:val="left" w:pos="406"/>
              </w:tabs>
              <w:rPr>
                <w:sz w:val="24"/>
                <w:szCs w:val="24"/>
                <w:lang w:val="en-US"/>
              </w:rPr>
            </w:pPr>
            <w:r w:rsidRPr="00685E7E">
              <w:rPr>
                <w:sz w:val="24"/>
                <w:szCs w:val="24"/>
                <w:lang w:val="en-US"/>
              </w:rPr>
              <w:t>-</w:t>
            </w:r>
            <w:r w:rsidRPr="00685E7E">
              <w:rPr>
                <w:sz w:val="24"/>
                <w:szCs w:val="24"/>
                <w:lang w:val="en-US"/>
              </w:rPr>
              <w:tab/>
            </w:r>
            <w:r w:rsidRPr="00685E7E">
              <w:rPr>
                <w:rFonts w:eastAsia="Calibri"/>
                <w:sz w:val="24"/>
                <w:szCs w:val="24"/>
                <w:lang w:val="en-US"/>
              </w:rPr>
              <w:t>B/Austria/1359417/2021</w:t>
            </w:r>
            <w:r w:rsidRPr="00685E7E">
              <w:rPr>
                <w:sz w:val="24"/>
                <w:szCs w:val="24"/>
                <w:lang w:val="en-US"/>
              </w:rPr>
              <w:t xml:space="preserve">-lignende </w:t>
            </w:r>
            <w:proofErr w:type="spellStart"/>
            <w:r w:rsidRPr="00685E7E">
              <w:rPr>
                <w:sz w:val="24"/>
                <w:szCs w:val="24"/>
                <w:lang w:val="en-US"/>
              </w:rPr>
              <w:t>stamme</w:t>
            </w:r>
            <w:proofErr w:type="spellEnd"/>
            <w:r w:rsidRPr="00685E7E">
              <w:rPr>
                <w:sz w:val="24"/>
                <w:szCs w:val="24"/>
                <w:lang w:val="en-US"/>
              </w:rPr>
              <w:t xml:space="preserve"> </w:t>
            </w:r>
            <w:r w:rsidRPr="00685E7E">
              <w:rPr>
                <w:sz w:val="24"/>
                <w:szCs w:val="24"/>
                <w:lang w:val="en-US"/>
              </w:rPr>
              <w:br/>
            </w:r>
            <w:r w:rsidR="00685E7E">
              <w:rPr>
                <w:rFonts w:eastAsia="Calibri"/>
                <w:sz w:val="24"/>
                <w:szCs w:val="24"/>
                <w:lang w:val="en-US"/>
              </w:rPr>
              <w:tab/>
            </w:r>
            <w:r w:rsidRPr="00685E7E">
              <w:rPr>
                <w:rFonts w:eastAsia="Calibri"/>
                <w:sz w:val="24"/>
                <w:szCs w:val="24"/>
                <w:lang w:val="en-US"/>
              </w:rPr>
              <w:t>(B/Austria/1359417/2021, BVR-26)</w:t>
            </w:r>
          </w:p>
        </w:tc>
        <w:tc>
          <w:tcPr>
            <w:tcW w:w="2311" w:type="dxa"/>
            <w:tcMar>
              <w:top w:w="0" w:type="dxa"/>
              <w:left w:w="57" w:type="dxa"/>
              <w:bottom w:w="0" w:type="dxa"/>
              <w:right w:w="57" w:type="dxa"/>
            </w:tcMar>
          </w:tcPr>
          <w:p w14:paraId="28648751" w14:textId="77777777" w:rsidR="00B170A3" w:rsidRPr="00685E7E" w:rsidRDefault="00B170A3" w:rsidP="00685E7E">
            <w:pPr>
              <w:tabs>
                <w:tab w:val="left" w:pos="406"/>
              </w:tabs>
              <w:rPr>
                <w:sz w:val="24"/>
                <w:szCs w:val="24"/>
                <w:lang w:val="en-US"/>
              </w:rPr>
            </w:pPr>
          </w:p>
          <w:p w14:paraId="33A7ED11" w14:textId="77777777" w:rsidR="00B170A3" w:rsidRPr="00685E7E" w:rsidRDefault="00B170A3" w:rsidP="00685E7E">
            <w:pPr>
              <w:tabs>
                <w:tab w:val="left" w:pos="406"/>
              </w:tabs>
              <w:rPr>
                <w:sz w:val="24"/>
                <w:szCs w:val="24"/>
              </w:rPr>
            </w:pPr>
            <w:r w:rsidRPr="00685E7E">
              <w:rPr>
                <w:sz w:val="24"/>
                <w:szCs w:val="24"/>
              </w:rPr>
              <w:t>15 mikrogram HA **</w:t>
            </w:r>
          </w:p>
        </w:tc>
      </w:tr>
    </w:tbl>
    <w:p w14:paraId="13C117F5" w14:textId="77777777" w:rsidR="00B170A3" w:rsidRPr="00685E7E" w:rsidRDefault="00B170A3" w:rsidP="00B170A3">
      <w:pPr>
        <w:ind w:left="851"/>
        <w:rPr>
          <w:spacing w:val="-3"/>
          <w:sz w:val="24"/>
          <w:szCs w:val="24"/>
        </w:rPr>
      </w:pPr>
    </w:p>
    <w:p w14:paraId="71C0CB52" w14:textId="77777777" w:rsidR="00B170A3" w:rsidRPr="00685E7E" w:rsidRDefault="00B170A3" w:rsidP="00B170A3">
      <w:pPr>
        <w:ind w:left="851"/>
        <w:rPr>
          <w:spacing w:val="-3"/>
          <w:sz w:val="24"/>
          <w:szCs w:val="24"/>
        </w:rPr>
      </w:pPr>
      <w:r w:rsidRPr="00685E7E">
        <w:rPr>
          <w:spacing w:val="-3"/>
          <w:sz w:val="24"/>
          <w:szCs w:val="24"/>
        </w:rPr>
        <w:t>* dyrket i befrugtede hønseæg fra raske hønsehold</w:t>
      </w:r>
    </w:p>
    <w:p w14:paraId="0C450746" w14:textId="77777777" w:rsidR="00B170A3" w:rsidRPr="00685E7E" w:rsidRDefault="00B170A3" w:rsidP="00B170A3">
      <w:pPr>
        <w:ind w:left="851"/>
        <w:rPr>
          <w:spacing w:val="-3"/>
          <w:sz w:val="24"/>
          <w:szCs w:val="24"/>
        </w:rPr>
      </w:pPr>
      <w:r w:rsidRPr="00685E7E">
        <w:rPr>
          <w:spacing w:val="-3"/>
          <w:sz w:val="24"/>
          <w:szCs w:val="24"/>
        </w:rPr>
        <w:t xml:space="preserve">** </w:t>
      </w:r>
      <w:proofErr w:type="spellStart"/>
      <w:r w:rsidRPr="00685E7E">
        <w:rPr>
          <w:spacing w:val="-3"/>
          <w:sz w:val="24"/>
          <w:szCs w:val="24"/>
        </w:rPr>
        <w:t>Hæmagglutinin</w:t>
      </w:r>
      <w:proofErr w:type="spellEnd"/>
    </w:p>
    <w:p w14:paraId="4F34ACEB" w14:textId="77777777" w:rsidR="00B170A3" w:rsidRPr="00685E7E" w:rsidRDefault="00B170A3" w:rsidP="00B170A3">
      <w:pPr>
        <w:ind w:left="851"/>
        <w:rPr>
          <w:spacing w:val="-3"/>
          <w:sz w:val="24"/>
          <w:szCs w:val="24"/>
        </w:rPr>
      </w:pPr>
    </w:p>
    <w:p w14:paraId="32DA9ED2" w14:textId="3B920CEA" w:rsidR="00B170A3" w:rsidRPr="00685E7E" w:rsidRDefault="00B170A3" w:rsidP="00B170A3">
      <w:pPr>
        <w:ind w:left="851"/>
        <w:rPr>
          <w:spacing w:val="-3"/>
          <w:sz w:val="24"/>
          <w:szCs w:val="24"/>
        </w:rPr>
      </w:pPr>
      <w:r w:rsidRPr="00685E7E">
        <w:rPr>
          <w:spacing w:val="-3"/>
          <w:sz w:val="24"/>
          <w:szCs w:val="24"/>
        </w:rPr>
        <w:t>Denne vaccine opfylder World Health Organisation (WHO)´s anbefaling for den nordlige halvkugle samt EU’s anbefaling for sæsonen 202</w:t>
      </w:r>
      <w:r w:rsidR="002A1C19">
        <w:rPr>
          <w:spacing w:val="-3"/>
          <w:sz w:val="24"/>
          <w:szCs w:val="24"/>
        </w:rPr>
        <w:t>4</w:t>
      </w:r>
      <w:r w:rsidRPr="00685E7E">
        <w:rPr>
          <w:spacing w:val="-3"/>
          <w:sz w:val="24"/>
          <w:szCs w:val="24"/>
        </w:rPr>
        <w:t>/202</w:t>
      </w:r>
      <w:r w:rsidR="002A1C19">
        <w:rPr>
          <w:spacing w:val="-3"/>
          <w:sz w:val="24"/>
          <w:szCs w:val="24"/>
        </w:rPr>
        <w:t>5</w:t>
      </w:r>
      <w:r w:rsidRPr="00685E7E">
        <w:rPr>
          <w:spacing w:val="-3"/>
          <w:sz w:val="24"/>
          <w:szCs w:val="24"/>
        </w:rPr>
        <w:t>.</w:t>
      </w:r>
    </w:p>
    <w:p w14:paraId="080BA3E7" w14:textId="77777777" w:rsidR="00B170A3" w:rsidRPr="00685E7E" w:rsidRDefault="00B170A3" w:rsidP="00B170A3">
      <w:pPr>
        <w:ind w:left="851"/>
        <w:rPr>
          <w:spacing w:val="-3"/>
          <w:sz w:val="24"/>
          <w:szCs w:val="24"/>
        </w:rPr>
      </w:pPr>
    </w:p>
    <w:p w14:paraId="419B7E94" w14:textId="77777777" w:rsidR="00B170A3" w:rsidRPr="00685E7E" w:rsidRDefault="00B170A3" w:rsidP="00B170A3">
      <w:pPr>
        <w:ind w:left="851"/>
        <w:rPr>
          <w:spacing w:val="-3"/>
          <w:sz w:val="24"/>
          <w:szCs w:val="24"/>
        </w:rPr>
      </w:pPr>
      <w:r w:rsidRPr="00685E7E">
        <w:rPr>
          <w:spacing w:val="-3"/>
          <w:sz w:val="24"/>
          <w:szCs w:val="24"/>
        </w:rPr>
        <w:t>Alle hjælpestoffer er anført under pkt. 6.1.</w:t>
      </w:r>
    </w:p>
    <w:p w14:paraId="0553CD4F" w14:textId="77777777" w:rsidR="00B170A3" w:rsidRPr="00685E7E" w:rsidRDefault="00B170A3" w:rsidP="00B170A3">
      <w:pPr>
        <w:ind w:left="851"/>
        <w:rPr>
          <w:spacing w:val="-3"/>
          <w:sz w:val="24"/>
          <w:szCs w:val="24"/>
        </w:rPr>
      </w:pPr>
    </w:p>
    <w:p w14:paraId="7AF8057F" w14:textId="77777777" w:rsidR="00B170A3" w:rsidRPr="00685E7E" w:rsidRDefault="00B170A3" w:rsidP="00B170A3">
      <w:pPr>
        <w:ind w:left="851"/>
        <w:rPr>
          <w:spacing w:val="-3"/>
          <w:sz w:val="24"/>
          <w:szCs w:val="24"/>
        </w:rPr>
      </w:pPr>
      <w:proofErr w:type="spellStart"/>
      <w:r w:rsidRPr="00685E7E">
        <w:rPr>
          <w:spacing w:val="-3"/>
          <w:sz w:val="24"/>
          <w:szCs w:val="24"/>
        </w:rPr>
        <w:t>Influvac</w:t>
      </w:r>
      <w:proofErr w:type="spellEnd"/>
      <w:r w:rsidRPr="00685E7E">
        <w:rPr>
          <w:spacing w:val="-3"/>
          <w:sz w:val="24"/>
          <w:szCs w:val="24"/>
        </w:rPr>
        <w:t xml:space="preserve"> kan indeholde spor af æg (som f.eks. </w:t>
      </w:r>
      <w:proofErr w:type="spellStart"/>
      <w:r w:rsidRPr="00685E7E">
        <w:rPr>
          <w:spacing w:val="-3"/>
          <w:sz w:val="24"/>
          <w:szCs w:val="24"/>
        </w:rPr>
        <w:t>ovalbumin</w:t>
      </w:r>
      <w:proofErr w:type="spellEnd"/>
      <w:r w:rsidRPr="00685E7E">
        <w:rPr>
          <w:spacing w:val="-3"/>
          <w:sz w:val="24"/>
          <w:szCs w:val="24"/>
        </w:rPr>
        <w:t xml:space="preserve"> og kyllingeproteiner), formaldehyd, </w:t>
      </w:r>
      <w:proofErr w:type="spellStart"/>
      <w:r w:rsidRPr="00685E7E">
        <w:rPr>
          <w:spacing w:val="-3"/>
          <w:sz w:val="24"/>
          <w:szCs w:val="24"/>
        </w:rPr>
        <w:t>cetyltrimethylammoniumbromid</w:t>
      </w:r>
      <w:proofErr w:type="spellEnd"/>
      <w:r w:rsidRPr="00685E7E">
        <w:rPr>
          <w:spacing w:val="-3"/>
          <w:sz w:val="24"/>
          <w:szCs w:val="24"/>
        </w:rPr>
        <w:t xml:space="preserve">, </w:t>
      </w:r>
      <w:proofErr w:type="spellStart"/>
      <w:r w:rsidRPr="00685E7E">
        <w:rPr>
          <w:spacing w:val="-3"/>
          <w:sz w:val="24"/>
          <w:szCs w:val="24"/>
        </w:rPr>
        <w:t>polysorbat</w:t>
      </w:r>
      <w:proofErr w:type="spellEnd"/>
      <w:r w:rsidRPr="00685E7E">
        <w:rPr>
          <w:spacing w:val="-3"/>
          <w:sz w:val="24"/>
          <w:szCs w:val="24"/>
        </w:rPr>
        <w:t xml:space="preserve"> 80 og gentamicin, som anvendes under fremstillingsprocessen (se pkt. 4.3).</w:t>
      </w:r>
    </w:p>
    <w:p w14:paraId="32FE6308" w14:textId="77777777" w:rsidR="009260DE" w:rsidRPr="00685E7E" w:rsidRDefault="009260DE" w:rsidP="009260DE">
      <w:pPr>
        <w:tabs>
          <w:tab w:val="left" w:pos="851"/>
        </w:tabs>
        <w:ind w:left="851"/>
        <w:rPr>
          <w:sz w:val="24"/>
          <w:szCs w:val="24"/>
        </w:rPr>
      </w:pPr>
    </w:p>
    <w:p w14:paraId="6429FFD9" w14:textId="77777777" w:rsidR="009260DE" w:rsidRPr="00685E7E" w:rsidRDefault="009260DE" w:rsidP="009260DE">
      <w:pPr>
        <w:tabs>
          <w:tab w:val="left" w:pos="851"/>
        </w:tabs>
        <w:ind w:left="851" w:hanging="851"/>
        <w:rPr>
          <w:b/>
          <w:sz w:val="24"/>
          <w:szCs w:val="24"/>
        </w:rPr>
      </w:pPr>
      <w:r w:rsidRPr="00685E7E">
        <w:rPr>
          <w:b/>
          <w:sz w:val="24"/>
          <w:szCs w:val="24"/>
        </w:rPr>
        <w:t>3.</w:t>
      </w:r>
      <w:r w:rsidRPr="00685E7E">
        <w:rPr>
          <w:b/>
          <w:sz w:val="24"/>
          <w:szCs w:val="24"/>
        </w:rPr>
        <w:tab/>
        <w:t>LÆGEMIDDELFORM</w:t>
      </w:r>
    </w:p>
    <w:p w14:paraId="240F869F" w14:textId="170ACAD8" w:rsidR="00B170A3" w:rsidRPr="00685E7E" w:rsidRDefault="00B170A3" w:rsidP="00B170A3">
      <w:pPr>
        <w:ind w:left="851"/>
        <w:rPr>
          <w:spacing w:val="-3"/>
          <w:sz w:val="24"/>
          <w:szCs w:val="24"/>
          <w:lang w:eastAsia="da-DK"/>
        </w:rPr>
      </w:pPr>
      <w:r w:rsidRPr="00685E7E">
        <w:rPr>
          <w:spacing w:val="-3"/>
          <w:sz w:val="24"/>
          <w:szCs w:val="24"/>
        </w:rPr>
        <w:t>Injektionsvæske, suspension i fyldt injektionssprøjte</w:t>
      </w:r>
    </w:p>
    <w:p w14:paraId="72995B16" w14:textId="77777777" w:rsidR="00685E7E" w:rsidRDefault="00685E7E" w:rsidP="00B170A3">
      <w:pPr>
        <w:ind w:left="851"/>
        <w:rPr>
          <w:spacing w:val="-3"/>
          <w:sz w:val="24"/>
          <w:szCs w:val="24"/>
        </w:rPr>
      </w:pPr>
    </w:p>
    <w:p w14:paraId="02AC4F9E" w14:textId="73D3B3D7" w:rsidR="00B170A3" w:rsidRPr="00685E7E" w:rsidRDefault="00685E7E" w:rsidP="00B170A3">
      <w:pPr>
        <w:ind w:left="851"/>
        <w:rPr>
          <w:spacing w:val="-3"/>
          <w:sz w:val="24"/>
          <w:szCs w:val="24"/>
        </w:rPr>
      </w:pPr>
      <w:r>
        <w:rPr>
          <w:spacing w:val="-3"/>
          <w:sz w:val="24"/>
          <w:szCs w:val="24"/>
        </w:rPr>
        <w:t>E</w:t>
      </w:r>
      <w:r w:rsidR="00B170A3" w:rsidRPr="00685E7E">
        <w:rPr>
          <w:spacing w:val="-3"/>
          <w:sz w:val="24"/>
          <w:szCs w:val="24"/>
        </w:rPr>
        <w:t xml:space="preserve">n klar farveløs væske i injektionssprøjter til engangsbrug.  </w:t>
      </w:r>
    </w:p>
    <w:p w14:paraId="1FC8FE87" w14:textId="77777777" w:rsidR="009260DE" w:rsidRPr="00685E7E" w:rsidRDefault="009260DE" w:rsidP="009260DE">
      <w:pPr>
        <w:tabs>
          <w:tab w:val="left" w:pos="851"/>
        </w:tabs>
        <w:ind w:left="851"/>
        <w:rPr>
          <w:sz w:val="24"/>
          <w:szCs w:val="24"/>
        </w:rPr>
      </w:pPr>
    </w:p>
    <w:p w14:paraId="7CD93BC9" w14:textId="77777777" w:rsidR="009260DE" w:rsidRPr="00685E7E" w:rsidRDefault="009260DE" w:rsidP="009260DE">
      <w:pPr>
        <w:tabs>
          <w:tab w:val="left" w:pos="851"/>
        </w:tabs>
        <w:ind w:left="851"/>
        <w:rPr>
          <w:sz w:val="24"/>
          <w:szCs w:val="24"/>
        </w:rPr>
      </w:pPr>
    </w:p>
    <w:p w14:paraId="34D77772" w14:textId="77777777" w:rsidR="009260DE" w:rsidRPr="00685E7E" w:rsidRDefault="009260DE" w:rsidP="009260DE">
      <w:pPr>
        <w:tabs>
          <w:tab w:val="left" w:pos="851"/>
        </w:tabs>
        <w:ind w:left="851" w:hanging="851"/>
        <w:rPr>
          <w:b/>
          <w:sz w:val="24"/>
          <w:szCs w:val="24"/>
        </w:rPr>
      </w:pPr>
      <w:r w:rsidRPr="00685E7E">
        <w:rPr>
          <w:b/>
          <w:sz w:val="24"/>
          <w:szCs w:val="24"/>
        </w:rPr>
        <w:t>4.</w:t>
      </w:r>
      <w:r w:rsidRPr="00685E7E">
        <w:rPr>
          <w:b/>
          <w:sz w:val="24"/>
          <w:szCs w:val="24"/>
        </w:rPr>
        <w:tab/>
        <w:t>KLINISKE OPLYSNINGER</w:t>
      </w:r>
    </w:p>
    <w:p w14:paraId="490E19C5" w14:textId="77777777" w:rsidR="009260DE" w:rsidRPr="00685E7E" w:rsidRDefault="009260DE" w:rsidP="009260DE">
      <w:pPr>
        <w:tabs>
          <w:tab w:val="left" w:pos="851"/>
        </w:tabs>
        <w:ind w:left="851"/>
        <w:rPr>
          <w:b/>
          <w:sz w:val="24"/>
          <w:szCs w:val="24"/>
        </w:rPr>
      </w:pPr>
    </w:p>
    <w:p w14:paraId="3CFF6DBD" w14:textId="77777777" w:rsidR="009260DE" w:rsidRPr="00685E7E" w:rsidRDefault="009260DE" w:rsidP="009260DE">
      <w:pPr>
        <w:tabs>
          <w:tab w:val="left" w:pos="851"/>
        </w:tabs>
        <w:ind w:left="851" w:hanging="851"/>
        <w:rPr>
          <w:b/>
          <w:sz w:val="24"/>
          <w:szCs w:val="24"/>
          <w:u w:val="single"/>
        </w:rPr>
      </w:pPr>
      <w:r w:rsidRPr="00685E7E">
        <w:rPr>
          <w:b/>
          <w:sz w:val="24"/>
          <w:szCs w:val="24"/>
        </w:rPr>
        <w:t>4.1</w:t>
      </w:r>
      <w:r w:rsidRPr="00685E7E">
        <w:rPr>
          <w:b/>
          <w:sz w:val="24"/>
          <w:szCs w:val="24"/>
        </w:rPr>
        <w:tab/>
        <w:t>Terapeutiske indikationer</w:t>
      </w:r>
    </w:p>
    <w:p w14:paraId="21779FC8" w14:textId="77777777" w:rsidR="00B170A3" w:rsidRPr="00685E7E" w:rsidRDefault="00B170A3" w:rsidP="00B170A3">
      <w:pPr>
        <w:ind w:left="851"/>
        <w:rPr>
          <w:spacing w:val="-3"/>
          <w:sz w:val="24"/>
          <w:szCs w:val="24"/>
          <w:lang w:eastAsia="da-DK"/>
        </w:rPr>
      </w:pPr>
      <w:r w:rsidRPr="00685E7E">
        <w:rPr>
          <w:spacing w:val="-3"/>
          <w:sz w:val="24"/>
          <w:szCs w:val="24"/>
        </w:rPr>
        <w:t>Forebyggelse af influenza, specielt personer med forhøjet risiko for influenza-associerede komplikationer.</w:t>
      </w:r>
    </w:p>
    <w:p w14:paraId="05397EF2" w14:textId="77777777" w:rsidR="00B170A3" w:rsidRPr="00685E7E" w:rsidRDefault="00B170A3" w:rsidP="00B170A3">
      <w:pPr>
        <w:ind w:left="851"/>
        <w:rPr>
          <w:spacing w:val="-3"/>
          <w:sz w:val="24"/>
          <w:szCs w:val="24"/>
        </w:rPr>
      </w:pPr>
    </w:p>
    <w:p w14:paraId="09C7C1BD" w14:textId="77777777" w:rsidR="00B170A3" w:rsidRPr="00685E7E" w:rsidRDefault="00B170A3" w:rsidP="00B170A3">
      <w:pPr>
        <w:ind w:left="851"/>
        <w:rPr>
          <w:spacing w:val="-3"/>
          <w:sz w:val="24"/>
          <w:szCs w:val="24"/>
        </w:rPr>
      </w:pPr>
      <w:proofErr w:type="spellStart"/>
      <w:r w:rsidRPr="00685E7E">
        <w:rPr>
          <w:spacing w:val="-3"/>
          <w:sz w:val="24"/>
          <w:szCs w:val="24"/>
        </w:rPr>
        <w:t>Influvac</w:t>
      </w:r>
      <w:proofErr w:type="spellEnd"/>
      <w:r w:rsidRPr="00685E7E">
        <w:rPr>
          <w:spacing w:val="-3"/>
          <w:sz w:val="24"/>
          <w:szCs w:val="24"/>
        </w:rPr>
        <w:t xml:space="preserve"> er indiceret hos voksne og børn over 6 måneder.</w:t>
      </w:r>
    </w:p>
    <w:p w14:paraId="4F602F80" w14:textId="77777777" w:rsidR="00B170A3" w:rsidRPr="00685E7E" w:rsidRDefault="00B170A3" w:rsidP="00B170A3">
      <w:pPr>
        <w:ind w:left="851"/>
        <w:rPr>
          <w:spacing w:val="-3"/>
          <w:sz w:val="24"/>
          <w:szCs w:val="24"/>
        </w:rPr>
      </w:pPr>
    </w:p>
    <w:p w14:paraId="380B120C" w14:textId="77777777" w:rsidR="00B170A3" w:rsidRPr="00685E7E" w:rsidRDefault="00B170A3" w:rsidP="00B170A3">
      <w:pPr>
        <w:ind w:left="851"/>
        <w:rPr>
          <w:sz w:val="24"/>
          <w:szCs w:val="24"/>
        </w:rPr>
      </w:pPr>
      <w:r w:rsidRPr="00685E7E">
        <w:rPr>
          <w:sz w:val="24"/>
          <w:szCs w:val="24"/>
        </w:rPr>
        <w:t xml:space="preserve">Anvendelse af </w:t>
      </w:r>
      <w:proofErr w:type="spellStart"/>
      <w:r w:rsidRPr="00685E7E">
        <w:rPr>
          <w:sz w:val="24"/>
          <w:szCs w:val="24"/>
        </w:rPr>
        <w:t>Influvac</w:t>
      </w:r>
      <w:proofErr w:type="spellEnd"/>
      <w:r w:rsidRPr="00685E7E">
        <w:rPr>
          <w:sz w:val="24"/>
          <w:szCs w:val="24"/>
        </w:rPr>
        <w:t xml:space="preserve"> bør baseres på de officielle anbefalinger.</w:t>
      </w:r>
    </w:p>
    <w:p w14:paraId="5E74EA42" w14:textId="77777777" w:rsidR="009260DE" w:rsidRPr="00685E7E" w:rsidRDefault="009260DE" w:rsidP="009260DE">
      <w:pPr>
        <w:tabs>
          <w:tab w:val="left" w:pos="851"/>
        </w:tabs>
        <w:ind w:left="851"/>
        <w:rPr>
          <w:sz w:val="24"/>
          <w:szCs w:val="24"/>
        </w:rPr>
      </w:pPr>
    </w:p>
    <w:p w14:paraId="464BDF96" w14:textId="77777777" w:rsidR="009260DE" w:rsidRPr="00685E7E" w:rsidRDefault="009260DE" w:rsidP="009260DE">
      <w:pPr>
        <w:tabs>
          <w:tab w:val="left" w:pos="851"/>
        </w:tabs>
        <w:ind w:left="851" w:hanging="851"/>
        <w:rPr>
          <w:b/>
          <w:sz w:val="24"/>
          <w:szCs w:val="24"/>
        </w:rPr>
      </w:pPr>
      <w:r w:rsidRPr="00685E7E">
        <w:rPr>
          <w:b/>
          <w:sz w:val="24"/>
          <w:szCs w:val="24"/>
        </w:rPr>
        <w:t>4.2</w:t>
      </w:r>
      <w:r w:rsidRPr="00685E7E">
        <w:rPr>
          <w:b/>
          <w:sz w:val="24"/>
          <w:szCs w:val="24"/>
        </w:rPr>
        <w:tab/>
        <w:t xml:space="preserve">Dosering og </w:t>
      </w:r>
      <w:r w:rsidR="002C1EC0" w:rsidRPr="00685E7E">
        <w:rPr>
          <w:b/>
          <w:sz w:val="24"/>
          <w:szCs w:val="24"/>
        </w:rPr>
        <w:t>administration</w:t>
      </w:r>
    </w:p>
    <w:p w14:paraId="09B3CB93" w14:textId="77777777" w:rsidR="002479E4" w:rsidRPr="00685E7E" w:rsidRDefault="002479E4" w:rsidP="00B170A3">
      <w:pPr>
        <w:ind w:left="851"/>
        <w:rPr>
          <w:sz w:val="24"/>
          <w:szCs w:val="24"/>
          <w:u w:val="single"/>
        </w:rPr>
      </w:pPr>
    </w:p>
    <w:p w14:paraId="2A25E699" w14:textId="7BCD2FE8" w:rsidR="00B170A3" w:rsidRPr="00685E7E" w:rsidRDefault="00B170A3" w:rsidP="002479E4">
      <w:pPr>
        <w:ind w:left="851"/>
        <w:rPr>
          <w:sz w:val="24"/>
          <w:szCs w:val="24"/>
          <w:u w:val="single"/>
          <w:lang w:eastAsia="da-DK"/>
        </w:rPr>
      </w:pPr>
      <w:r w:rsidRPr="00685E7E">
        <w:rPr>
          <w:sz w:val="24"/>
          <w:szCs w:val="24"/>
          <w:u w:val="single"/>
        </w:rPr>
        <w:t>Dosering</w:t>
      </w:r>
    </w:p>
    <w:p w14:paraId="0B0C38CD" w14:textId="77777777" w:rsidR="00B170A3" w:rsidRPr="00685E7E" w:rsidRDefault="00B170A3" w:rsidP="002479E4">
      <w:pPr>
        <w:ind w:left="851"/>
        <w:rPr>
          <w:spacing w:val="-3"/>
          <w:sz w:val="24"/>
          <w:szCs w:val="24"/>
        </w:rPr>
      </w:pPr>
      <w:r w:rsidRPr="00685E7E">
        <w:rPr>
          <w:spacing w:val="-3"/>
          <w:sz w:val="24"/>
          <w:szCs w:val="24"/>
        </w:rPr>
        <w:t>Voksne: 0,5 ml</w:t>
      </w:r>
    </w:p>
    <w:p w14:paraId="6EEBD34E" w14:textId="77777777" w:rsidR="00B170A3" w:rsidRPr="00685E7E" w:rsidRDefault="00B170A3" w:rsidP="002479E4">
      <w:pPr>
        <w:ind w:left="851"/>
        <w:rPr>
          <w:spacing w:val="-3"/>
          <w:sz w:val="24"/>
          <w:szCs w:val="24"/>
        </w:rPr>
      </w:pPr>
    </w:p>
    <w:p w14:paraId="6816586F" w14:textId="77777777" w:rsidR="00B170A3" w:rsidRPr="00685E7E" w:rsidRDefault="00B170A3" w:rsidP="002479E4">
      <w:pPr>
        <w:ind w:left="851"/>
        <w:rPr>
          <w:i/>
          <w:spacing w:val="-3"/>
          <w:sz w:val="24"/>
          <w:szCs w:val="24"/>
        </w:rPr>
      </w:pPr>
      <w:r w:rsidRPr="00685E7E">
        <w:rPr>
          <w:i/>
          <w:spacing w:val="-3"/>
          <w:sz w:val="24"/>
          <w:szCs w:val="24"/>
        </w:rPr>
        <w:t>Børn</w:t>
      </w:r>
    </w:p>
    <w:p w14:paraId="3C4B9954" w14:textId="77777777" w:rsidR="00B170A3" w:rsidRPr="00685E7E" w:rsidRDefault="00B170A3" w:rsidP="002479E4">
      <w:pPr>
        <w:ind w:left="851"/>
        <w:rPr>
          <w:spacing w:val="-3"/>
          <w:sz w:val="24"/>
          <w:szCs w:val="24"/>
        </w:rPr>
      </w:pPr>
      <w:r w:rsidRPr="00685E7E">
        <w:rPr>
          <w:spacing w:val="-3"/>
          <w:sz w:val="24"/>
          <w:szCs w:val="24"/>
        </w:rPr>
        <w:t>Børn over 36 måneder: 0,5 ml</w:t>
      </w:r>
    </w:p>
    <w:p w14:paraId="3B4600C9" w14:textId="77777777" w:rsidR="00B170A3" w:rsidRPr="00685E7E" w:rsidRDefault="00B170A3" w:rsidP="002479E4">
      <w:pPr>
        <w:ind w:left="851"/>
        <w:rPr>
          <w:spacing w:val="-3"/>
          <w:sz w:val="24"/>
          <w:szCs w:val="24"/>
        </w:rPr>
      </w:pPr>
    </w:p>
    <w:p w14:paraId="0798EDA0" w14:textId="77777777" w:rsidR="00B170A3" w:rsidRPr="00685E7E" w:rsidRDefault="00B170A3" w:rsidP="002479E4">
      <w:pPr>
        <w:ind w:left="851"/>
        <w:rPr>
          <w:spacing w:val="-3"/>
          <w:sz w:val="24"/>
          <w:szCs w:val="24"/>
        </w:rPr>
      </w:pPr>
      <w:r w:rsidRPr="00685E7E">
        <w:rPr>
          <w:sz w:val="24"/>
          <w:szCs w:val="24"/>
        </w:rPr>
        <w:t>Børn fra 6 måneder til 35 måneder: De kliniske data er begrænsede. Doseringer på 0,25 ml eller 0,5 ml kan anvendes, se pkt. 6.6 for detaljeret instruktion om indgivelse. Den anvendte dosis bør være i overensstemmelse med eksisterende nationale rekommandationer.</w:t>
      </w:r>
    </w:p>
    <w:p w14:paraId="10E0B4FF" w14:textId="77777777" w:rsidR="00B170A3" w:rsidRPr="00685E7E" w:rsidRDefault="00B170A3" w:rsidP="002479E4">
      <w:pPr>
        <w:ind w:left="851"/>
        <w:rPr>
          <w:spacing w:val="-3"/>
          <w:sz w:val="24"/>
          <w:szCs w:val="24"/>
        </w:rPr>
      </w:pPr>
      <w:r w:rsidRPr="00685E7E">
        <w:rPr>
          <w:spacing w:val="-3"/>
          <w:sz w:val="24"/>
          <w:szCs w:val="24"/>
        </w:rPr>
        <w:t>Børn, som ikke tidligere har været vaccineret, bør have 2 vaccinationer med et interval på mindst 4 uger.</w:t>
      </w:r>
    </w:p>
    <w:p w14:paraId="178C5203" w14:textId="77777777" w:rsidR="00B170A3" w:rsidRPr="00685E7E" w:rsidRDefault="00B170A3" w:rsidP="002479E4">
      <w:pPr>
        <w:ind w:left="851"/>
        <w:rPr>
          <w:spacing w:val="-3"/>
          <w:sz w:val="24"/>
          <w:szCs w:val="24"/>
        </w:rPr>
      </w:pPr>
    </w:p>
    <w:p w14:paraId="7D32F97B" w14:textId="77777777" w:rsidR="00B170A3" w:rsidRPr="00685E7E" w:rsidRDefault="00B170A3" w:rsidP="002479E4">
      <w:pPr>
        <w:ind w:left="851"/>
        <w:rPr>
          <w:spacing w:val="-3"/>
          <w:sz w:val="24"/>
          <w:szCs w:val="24"/>
        </w:rPr>
      </w:pPr>
      <w:r w:rsidRPr="00685E7E">
        <w:rPr>
          <w:sz w:val="24"/>
          <w:szCs w:val="24"/>
        </w:rPr>
        <w:t xml:space="preserve">Børn under 6 måneder: </w:t>
      </w:r>
      <w:proofErr w:type="spellStart"/>
      <w:r w:rsidRPr="00685E7E">
        <w:rPr>
          <w:sz w:val="24"/>
          <w:szCs w:val="24"/>
        </w:rPr>
        <w:t>Influvacs</w:t>
      </w:r>
      <w:proofErr w:type="spellEnd"/>
      <w:r w:rsidRPr="00685E7E">
        <w:rPr>
          <w:sz w:val="24"/>
          <w:szCs w:val="24"/>
        </w:rPr>
        <w:t xml:space="preserve"> sikkerhed og effekt hos børn under 6 måneder er ikke fastslået. Der er ingen tilgængelige data.</w:t>
      </w:r>
    </w:p>
    <w:p w14:paraId="2799CCF6" w14:textId="77777777" w:rsidR="00B170A3" w:rsidRPr="00685E7E" w:rsidRDefault="00B170A3" w:rsidP="002479E4">
      <w:pPr>
        <w:ind w:left="851"/>
        <w:rPr>
          <w:spacing w:val="-3"/>
          <w:sz w:val="24"/>
          <w:szCs w:val="24"/>
        </w:rPr>
      </w:pPr>
    </w:p>
    <w:p w14:paraId="5258B4C9" w14:textId="77777777" w:rsidR="00B170A3" w:rsidRPr="00685E7E" w:rsidRDefault="00B170A3" w:rsidP="002479E4">
      <w:pPr>
        <w:ind w:left="851"/>
        <w:rPr>
          <w:spacing w:val="-3"/>
          <w:sz w:val="24"/>
          <w:szCs w:val="24"/>
          <w:u w:val="single"/>
        </w:rPr>
      </w:pPr>
      <w:r w:rsidRPr="00685E7E">
        <w:rPr>
          <w:spacing w:val="-3"/>
          <w:sz w:val="24"/>
          <w:szCs w:val="24"/>
          <w:u w:val="single"/>
        </w:rPr>
        <w:t>Indgivelse</w:t>
      </w:r>
    </w:p>
    <w:p w14:paraId="301C5E6F" w14:textId="77777777" w:rsidR="00B170A3" w:rsidRPr="00685E7E" w:rsidRDefault="00B170A3" w:rsidP="002479E4">
      <w:pPr>
        <w:ind w:left="851"/>
        <w:rPr>
          <w:spacing w:val="-3"/>
          <w:sz w:val="24"/>
          <w:szCs w:val="24"/>
        </w:rPr>
      </w:pPr>
      <w:r w:rsidRPr="00685E7E">
        <w:rPr>
          <w:spacing w:val="-3"/>
          <w:sz w:val="24"/>
          <w:szCs w:val="24"/>
        </w:rPr>
        <w:t>Vaccinationen skal gives som en intramuskulær eller subkutan injektion.</w:t>
      </w:r>
    </w:p>
    <w:p w14:paraId="4B5F92E1" w14:textId="77777777" w:rsidR="00B170A3" w:rsidRPr="00685E7E" w:rsidRDefault="00B170A3" w:rsidP="002479E4">
      <w:pPr>
        <w:ind w:left="851"/>
        <w:rPr>
          <w:spacing w:val="-3"/>
          <w:sz w:val="24"/>
          <w:szCs w:val="24"/>
        </w:rPr>
      </w:pPr>
    </w:p>
    <w:p w14:paraId="2C929150" w14:textId="77777777" w:rsidR="00B170A3" w:rsidRPr="00685E7E" w:rsidRDefault="00B170A3" w:rsidP="002479E4">
      <w:pPr>
        <w:ind w:left="851"/>
        <w:rPr>
          <w:spacing w:val="-3"/>
          <w:sz w:val="24"/>
          <w:szCs w:val="24"/>
        </w:rPr>
      </w:pPr>
      <w:r w:rsidRPr="00685E7E">
        <w:rPr>
          <w:spacing w:val="-3"/>
          <w:sz w:val="24"/>
          <w:szCs w:val="24"/>
        </w:rPr>
        <w:t>Forsigtighedsregler før håndtering og indgivelse af lægemidlet:</w:t>
      </w:r>
    </w:p>
    <w:p w14:paraId="0DDD8029" w14:textId="77777777" w:rsidR="00B170A3" w:rsidRPr="00685E7E" w:rsidRDefault="00B170A3" w:rsidP="002479E4">
      <w:pPr>
        <w:ind w:left="851"/>
        <w:rPr>
          <w:spacing w:val="-3"/>
          <w:sz w:val="24"/>
          <w:szCs w:val="24"/>
        </w:rPr>
      </w:pPr>
      <w:r w:rsidRPr="00685E7E">
        <w:rPr>
          <w:spacing w:val="-3"/>
          <w:sz w:val="24"/>
          <w:szCs w:val="24"/>
        </w:rPr>
        <w:t xml:space="preserve">Se pkt. 6.6 for instruktioner vedrørende forberedelse af lægemidlet før indgivelse. </w:t>
      </w:r>
    </w:p>
    <w:p w14:paraId="4A79D69D" w14:textId="77777777" w:rsidR="009260DE" w:rsidRPr="00685E7E" w:rsidRDefault="009260DE" w:rsidP="009260DE">
      <w:pPr>
        <w:tabs>
          <w:tab w:val="left" w:pos="851"/>
        </w:tabs>
        <w:ind w:left="851"/>
        <w:rPr>
          <w:sz w:val="24"/>
          <w:szCs w:val="24"/>
        </w:rPr>
      </w:pPr>
    </w:p>
    <w:p w14:paraId="3F2B18A8" w14:textId="77777777" w:rsidR="009260DE" w:rsidRPr="00685E7E" w:rsidRDefault="009260DE" w:rsidP="009260DE">
      <w:pPr>
        <w:tabs>
          <w:tab w:val="left" w:pos="851"/>
        </w:tabs>
        <w:ind w:left="851" w:hanging="851"/>
        <w:rPr>
          <w:b/>
          <w:sz w:val="24"/>
          <w:szCs w:val="24"/>
        </w:rPr>
      </w:pPr>
      <w:r w:rsidRPr="00685E7E">
        <w:rPr>
          <w:b/>
          <w:sz w:val="24"/>
          <w:szCs w:val="24"/>
        </w:rPr>
        <w:t>4.3</w:t>
      </w:r>
      <w:r w:rsidRPr="00685E7E">
        <w:rPr>
          <w:b/>
          <w:sz w:val="24"/>
          <w:szCs w:val="24"/>
        </w:rPr>
        <w:tab/>
        <w:t>Kontraindikationer</w:t>
      </w:r>
    </w:p>
    <w:p w14:paraId="1AD34747" w14:textId="77777777" w:rsidR="00B170A3" w:rsidRPr="00685E7E" w:rsidRDefault="00B170A3" w:rsidP="002479E4">
      <w:pPr>
        <w:ind w:left="851"/>
        <w:rPr>
          <w:sz w:val="24"/>
          <w:szCs w:val="24"/>
          <w:lang w:eastAsia="da-DK"/>
        </w:rPr>
      </w:pPr>
      <w:r w:rsidRPr="00685E7E">
        <w:rPr>
          <w:sz w:val="24"/>
          <w:szCs w:val="24"/>
        </w:rPr>
        <w:t>Overfølsomhed over for de aktive stoffer, et eller flere af hjælpestofferne angivet i pkt. 6.1 eller et eller flere af de stoffer, som kan være til stede i vaccinen som sporstoffer såsom æg (</w:t>
      </w:r>
      <w:proofErr w:type="spellStart"/>
      <w:r w:rsidRPr="00685E7E">
        <w:rPr>
          <w:sz w:val="24"/>
          <w:szCs w:val="24"/>
        </w:rPr>
        <w:t>ovalbumin</w:t>
      </w:r>
      <w:proofErr w:type="spellEnd"/>
      <w:r w:rsidRPr="00685E7E">
        <w:rPr>
          <w:sz w:val="24"/>
          <w:szCs w:val="24"/>
        </w:rPr>
        <w:t xml:space="preserve">, kyllingeproteiner), formaldehyd, </w:t>
      </w:r>
      <w:proofErr w:type="spellStart"/>
      <w:r w:rsidRPr="00685E7E">
        <w:rPr>
          <w:sz w:val="24"/>
          <w:szCs w:val="24"/>
        </w:rPr>
        <w:t>cetyltrimethylammoniumbromid</w:t>
      </w:r>
      <w:proofErr w:type="spellEnd"/>
      <w:r w:rsidRPr="00685E7E">
        <w:rPr>
          <w:sz w:val="24"/>
          <w:szCs w:val="24"/>
        </w:rPr>
        <w:t xml:space="preserve">, </w:t>
      </w:r>
      <w:proofErr w:type="spellStart"/>
      <w:r w:rsidRPr="00685E7E">
        <w:rPr>
          <w:sz w:val="24"/>
          <w:szCs w:val="24"/>
        </w:rPr>
        <w:t>polysorbat</w:t>
      </w:r>
      <w:proofErr w:type="spellEnd"/>
      <w:r w:rsidRPr="00685E7E">
        <w:rPr>
          <w:sz w:val="24"/>
          <w:szCs w:val="24"/>
        </w:rPr>
        <w:t xml:space="preserve"> 80 eller gentamicin.</w:t>
      </w:r>
    </w:p>
    <w:p w14:paraId="366236F3" w14:textId="77777777" w:rsidR="00B170A3" w:rsidRPr="00685E7E" w:rsidRDefault="00B170A3" w:rsidP="002479E4">
      <w:pPr>
        <w:ind w:left="851"/>
        <w:rPr>
          <w:sz w:val="24"/>
          <w:szCs w:val="24"/>
        </w:rPr>
      </w:pPr>
    </w:p>
    <w:p w14:paraId="70E2DF0B" w14:textId="77777777" w:rsidR="00B170A3" w:rsidRPr="00685E7E" w:rsidRDefault="00B170A3" w:rsidP="002479E4">
      <w:pPr>
        <w:ind w:left="851"/>
        <w:rPr>
          <w:sz w:val="24"/>
          <w:szCs w:val="24"/>
        </w:rPr>
      </w:pPr>
      <w:r w:rsidRPr="00685E7E">
        <w:rPr>
          <w:sz w:val="24"/>
          <w:szCs w:val="24"/>
        </w:rPr>
        <w:t>Hos patienter med febrile sygdomme eller akutte infektioner bør vaccinationen udskydes.</w:t>
      </w:r>
    </w:p>
    <w:p w14:paraId="6CC6D5D2" w14:textId="77777777" w:rsidR="009260DE" w:rsidRPr="00685E7E" w:rsidRDefault="009260DE" w:rsidP="009260DE">
      <w:pPr>
        <w:tabs>
          <w:tab w:val="left" w:pos="851"/>
        </w:tabs>
        <w:ind w:left="851"/>
        <w:rPr>
          <w:sz w:val="24"/>
          <w:szCs w:val="24"/>
        </w:rPr>
      </w:pPr>
    </w:p>
    <w:p w14:paraId="2305D54C" w14:textId="77777777" w:rsidR="009260DE" w:rsidRPr="00685E7E" w:rsidRDefault="009260DE" w:rsidP="009260DE">
      <w:pPr>
        <w:tabs>
          <w:tab w:val="left" w:pos="851"/>
        </w:tabs>
        <w:ind w:left="851" w:hanging="851"/>
        <w:rPr>
          <w:b/>
          <w:sz w:val="24"/>
          <w:szCs w:val="24"/>
        </w:rPr>
      </w:pPr>
      <w:r w:rsidRPr="00685E7E">
        <w:rPr>
          <w:b/>
          <w:sz w:val="24"/>
          <w:szCs w:val="24"/>
        </w:rPr>
        <w:t>4.4</w:t>
      </w:r>
      <w:r w:rsidRPr="00685E7E">
        <w:rPr>
          <w:b/>
          <w:sz w:val="24"/>
          <w:szCs w:val="24"/>
        </w:rPr>
        <w:tab/>
        <w:t>Særlige advarsler og forsigtighedsregler vedrørende brugen</w:t>
      </w:r>
    </w:p>
    <w:p w14:paraId="6A276227" w14:textId="77777777" w:rsidR="00B170A3" w:rsidRPr="00685E7E" w:rsidRDefault="00B170A3" w:rsidP="002479E4">
      <w:pPr>
        <w:ind w:left="851"/>
        <w:rPr>
          <w:sz w:val="24"/>
          <w:szCs w:val="24"/>
          <w:lang w:eastAsia="da-DK"/>
        </w:rPr>
      </w:pPr>
      <w:proofErr w:type="spellStart"/>
      <w:r w:rsidRPr="00685E7E">
        <w:rPr>
          <w:sz w:val="24"/>
          <w:szCs w:val="24"/>
        </w:rPr>
        <w:t>Influvac</w:t>
      </w:r>
      <w:proofErr w:type="spellEnd"/>
      <w:r w:rsidRPr="00685E7E">
        <w:rPr>
          <w:sz w:val="24"/>
          <w:szCs w:val="24"/>
        </w:rPr>
        <w:t xml:space="preserve"> kan godt gives samtidig med andre vacciner. Vaccinationerne bør udføres på forskellige lemmer. Bemærk at bivirkningerne kan forstærkes.</w:t>
      </w:r>
    </w:p>
    <w:p w14:paraId="03ED5C7F" w14:textId="77777777" w:rsidR="00B170A3" w:rsidRPr="00685E7E" w:rsidRDefault="00B170A3" w:rsidP="002479E4">
      <w:pPr>
        <w:ind w:left="851"/>
        <w:rPr>
          <w:sz w:val="24"/>
          <w:szCs w:val="24"/>
        </w:rPr>
      </w:pPr>
    </w:p>
    <w:p w14:paraId="44021DF2" w14:textId="77777777" w:rsidR="00B170A3" w:rsidRPr="00685E7E" w:rsidRDefault="00B170A3" w:rsidP="002479E4">
      <w:pPr>
        <w:ind w:left="851"/>
        <w:rPr>
          <w:sz w:val="24"/>
          <w:szCs w:val="24"/>
        </w:rPr>
      </w:pPr>
      <w:r w:rsidRPr="00685E7E">
        <w:rPr>
          <w:sz w:val="24"/>
          <w:szCs w:val="24"/>
        </w:rPr>
        <w:t xml:space="preserve">Den immunologiske respons kan formindskes, hvis patienten behandles med </w:t>
      </w:r>
      <w:proofErr w:type="spellStart"/>
      <w:r w:rsidRPr="00685E7E">
        <w:rPr>
          <w:sz w:val="24"/>
          <w:szCs w:val="24"/>
        </w:rPr>
        <w:t>immunhæmmere</w:t>
      </w:r>
      <w:proofErr w:type="spellEnd"/>
      <w:r w:rsidRPr="00685E7E">
        <w:rPr>
          <w:sz w:val="24"/>
          <w:szCs w:val="24"/>
        </w:rPr>
        <w:t>.</w:t>
      </w:r>
    </w:p>
    <w:p w14:paraId="2043B464" w14:textId="77777777" w:rsidR="00B170A3" w:rsidRPr="00685E7E" w:rsidRDefault="00B170A3" w:rsidP="002479E4">
      <w:pPr>
        <w:ind w:left="851"/>
        <w:rPr>
          <w:sz w:val="24"/>
          <w:szCs w:val="24"/>
        </w:rPr>
      </w:pPr>
    </w:p>
    <w:p w14:paraId="606C343F" w14:textId="77777777" w:rsidR="00B170A3" w:rsidRPr="00685E7E" w:rsidRDefault="00B170A3" w:rsidP="002479E4">
      <w:pPr>
        <w:ind w:left="851"/>
        <w:rPr>
          <w:sz w:val="24"/>
          <w:szCs w:val="24"/>
        </w:rPr>
      </w:pPr>
      <w:r w:rsidRPr="00685E7E">
        <w:rPr>
          <w:sz w:val="24"/>
          <w:szCs w:val="24"/>
        </w:rPr>
        <w:lastRenderedPageBreak/>
        <w:t xml:space="preserve">Efter influenzavaccination er der observeret falsk-positive resultater i serologiske tester, hvor ELISA metoden er brugt til at påvise </w:t>
      </w:r>
      <w:proofErr w:type="spellStart"/>
      <w:r w:rsidRPr="00685E7E">
        <w:rPr>
          <w:sz w:val="24"/>
          <w:szCs w:val="24"/>
        </w:rPr>
        <w:t>antititre</w:t>
      </w:r>
      <w:proofErr w:type="spellEnd"/>
      <w:r w:rsidRPr="00685E7E">
        <w:rPr>
          <w:sz w:val="24"/>
          <w:szCs w:val="24"/>
        </w:rPr>
        <w:t xml:space="preserve"> mod HIV1, Hepatitis C og specielt HTLV1. Resultaterne kan afkræftes ved hjælp af Western Blot teknikken. De forbigående falsk-positive reaktioner kan skyldes vaccinens </w:t>
      </w:r>
      <w:proofErr w:type="spellStart"/>
      <w:r w:rsidRPr="00685E7E">
        <w:rPr>
          <w:sz w:val="24"/>
          <w:szCs w:val="24"/>
        </w:rPr>
        <w:t>IgM</w:t>
      </w:r>
      <w:proofErr w:type="spellEnd"/>
      <w:r w:rsidRPr="00685E7E">
        <w:rPr>
          <w:sz w:val="24"/>
          <w:szCs w:val="24"/>
        </w:rPr>
        <w:t xml:space="preserve"> respons.</w:t>
      </w:r>
    </w:p>
    <w:p w14:paraId="429C0CCC" w14:textId="77777777" w:rsidR="009260DE" w:rsidRPr="00685E7E" w:rsidRDefault="009260DE" w:rsidP="009260DE">
      <w:pPr>
        <w:tabs>
          <w:tab w:val="left" w:pos="851"/>
        </w:tabs>
        <w:ind w:left="851"/>
        <w:rPr>
          <w:sz w:val="24"/>
          <w:szCs w:val="24"/>
        </w:rPr>
      </w:pPr>
    </w:p>
    <w:p w14:paraId="77A3C998" w14:textId="77777777" w:rsidR="009260DE" w:rsidRPr="00685E7E" w:rsidRDefault="009260DE" w:rsidP="009260DE">
      <w:pPr>
        <w:tabs>
          <w:tab w:val="left" w:pos="851"/>
        </w:tabs>
        <w:ind w:left="851" w:hanging="851"/>
        <w:rPr>
          <w:b/>
          <w:sz w:val="24"/>
          <w:szCs w:val="24"/>
        </w:rPr>
      </w:pPr>
      <w:r w:rsidRPr="00685E7E">
        <w:rPr>
          <w:b/>
          <w:sz w:val="24"/>
          <w:szCs w:val="24"/>
        </w:rPr>
        <w:t>4.5</w:t>
      </w:r>
      <w:r w:rsidRPr="00685E7E">
        <w:rPr>
          <w:b/>
          <w:sz w:val="24"/>
          <w:szCs w:val="24"/>
        </w:rPr>
        <w:tab/>
        <w:t>Interaktion med andre lægemidler og andre former for interaktion</w:t>
      </w:r>
    </w:p>
    <w:p w14:paraId="7071E94D" w14:textId="77777777" w:rsidR="00B170A3" w:rsidRPr="00685E7E" w:rsidRDefault="00B170A3" w:rsidP="002479E4">
      <w:pPr>
        <w:ind w:left="851"/>
        <w:rPr>
          <w:sz w:val="24"/>
          <w:szCs w:val="24"/>
          <w:lang w:eastAsia="da-DK"/>
        </w:rPr>
      </w:pPr>
      <w:proofErr w:type="spellStart"/>
      <w:r w:rsidRPr="00685E7E">
        <w:rPr>
          <w:sz w:val="24"/>
          <w:szCs w:val="24"/>
        </w:rPr>
        <w:t>Influvac</w:t>
      </w:r>
      <w:proofErr w:type="spellEnd"/>
      <w:r w:rsidRPr="00685E7E">
        <w:rPr>
          <w:sz w:val="24"/>
          <w:szCs w:val="24"/>
        </w:rPr>
        <w:t xml:space="preserve"> kan godt gives samtidig med andre vacciner. Vaccinationerne bør udføres på forskellige lemmer. Bemærk at bivirkningerne kan forstærkes.</w:t>
      </w:r>
    </w:p>
    <w:p w14:paraId="5D1010E7" w14:textId="77777777" w:rsidR="00B170A3" w:rsidRPr="00685E7E" w:rsidRDefault="00B170A3" w:rsidP="002479E4">
      <w:pPr>
        <w:ind w:left="851"/>
        <w:rPr>
          <w:sz w:val="24"/>
          <w:szCs w:val="24"/>
        </w:rPr>
      </w:pPr>
    </w:p>
    <w:p w14:paraId="4C655757" w14:textId="77777777" w:rsidR="00B170A3" w:rsidRPr="00685E7E" w:rsidRDefault="00B170A3" w:rsidP="002479E4">
      <w:pPr>
        <w:ind w:left="851"/>
        <w:rPr>
          <w:sz w:val="24"/>
          <w:szCs w:val="24"/>
        </w:rPr>
      </w:pPr>
      <w:r w:rsidRPr="00685E7E">
        <w:rPr>
          <w:sz w:val="24"/>
          <w:szCs w:val="24"/>
        </w:rPr>
        <w:t xml:space="preserve">Den immunologiske respons kan formindskes, hvis patienten behandles med </w:t>
      </w:r>
      <w:proofErr w:type="spellStart"/>
      <w:r w:rsidRPr="00685E7E">
        <w:rPr>
          <w:sz w:val="24"/>
          <w:szCs w:val="24"/>
        </w:rPr>
        <w:t>immunhæmmere</w:t>
      </w:r>
      <w:proofErr w:type="spellEnd"/>
      <w:r w:rsidRPr="00685E7E">
        <w:rPr>
          <w:sz w:val="24"/>
          <w:szCs w:val="24"/>
        </w:rPr>
        <w:t>.</w:t>
      </w:r>
    </w:p>
    <w:p w14:paraId="66D4943F" w14:textId="77777777" w:rsidR="00B170A3" w:rsidRPr="00685E7E" w:rsidRDefault="00B170A3" w:rsidP="002479E4">
      <w:pPr>
        <w:ind w:left="851"/>
        <w:rPr>
          <w:sz w:val="24"/>
          <w:szCs w:val="24"/>
        </w:rPr>
      </w:pPr>
    </w:p>
    <w:p w14:paraId="04482775" w14:textId="77777777" w:rsidR="00B170A3" w:rsidRPr="00685E7E" w:rsidRDefault="00B170A3" w:rsidP="002479E4">
      <w:pPr>
        <w:ind w:left="851"/>
        <w:rPr>
          <w:sz w:val="24"/>
          <w:szCs w:val="24"/>
        </w:rPr>
      </w:pPr>
      <w:r w:rsidRPr="00685E7E">
        <w:rPr>
          <w:sz w:val="24"/>
          <w:szCs w:val="24"/>
        </w:rPr>
        <w:t xml:space="preserve">Efter influenzavaccination er der observeret falsk-positive resultater i serologiske tester, hvor ELISA metoden er brugt til at påvise </w:t>
      </w:r>
      <w:proofErr w:type="spellStart"/>
      <w:r w:rsidRPr="00685E7E">
        <w:rPr>
          <w:sz w:val="24"/>
          <w:szCs w:val="24"/>
        </w:rPr>
        <w:t>antititre</w:t>
      </w:r>
      <w:proofErr w:type="spellEnd"/>
      <w:r w:rsidRPr="00685E7E">
        <w:rPr>
          <w:sz w:val="24"/>
          <w:szCs w:val="24"/>
        </w:rPr>
        <w:t xml:space="preserve"> mod HIV1, Hepatitis C og specielt HTLV1. Resultaterne kan afkræftes ved hjælp af Western Blot teknikken. De forbigående falsk-positive reaktioner kan skyldes vaccinens </w:t>
      </w:r>
      <w:proofErr w:type="spellStart"/>
      <w:r w:rsidRPr="00685E7E">
        <w:rPr>
          <w:sz w:val="24"/>
          <w:szCs w:val="24"/>
        </w:rPr>
        <w:t>IgM</w:t>
      </w:r>
      <w:proofErr w:type="spellEnd"/>
      <w:r w:rsidRPr="00685E7E">
        <w:rPr>
          <w:sz w:val="24"/>
          <w:szCs w:val="24"/>
        </w:rPr>
        <w:t xml:space="preserve"> respons.</w:t>
      </w:r>
    </w:p>
    <w:p w14:paraId="17650B44" w14:textId="77777777" w:rsidR="009260DE" w:rsidRPr="00685E7E" w:rsidRDefault="009260DE" w:rsidP="009260DE">
      <w:pPr>
        <w:tabs>
          <w:tab w:val="left" w:pos="851"/>
        </w:tabs>
        <w:ind w:left="851"/>
        <w:rPr>
          <w:sz w:val="24"/>
          <w:szCs w:val="24"/>
        </w:rPr>
      </w:pPr>
    </w:p>
    <w:p w14:paraId="1A6DDFCF" w14:textId="77777777" w:rsidR="009260DE" w:rsidRPr="00685E7E" w:rsidRDefault="009260DE" w:rsidP="009260DE">
      <w:pPr>
        <w:tabs>
          <w:tab w:val="left" w:pos="851"/>
        </w:tabs>
        <w:ind w:left="851" w:hanging="851"/>
        <w:rPr>
          <w:b/>
          <w:sz w:val="24"/>
          <w:szCs w:val="24"/>
        </w:rPr>
      </w:pPr>
      <w:r w:rsidRPr="00685E7E">
        <w:rPr>
          <w:b/>
          <w:sz w:val="24"/>
          <w:szCs w:val="24"/>
        </w:rPr>
        <w:t>4.6</w:t>
      </w:r>
      <w:r w:rsidRPr="00685E7E">
        <w:rPr>
          <w:b/>
          <w:sz w:val="24"/>
          <w:szCs w:val="24"/>
        </w:rPr>
        <w:tab/>
      </w:r>
      <w:r w:rsidR="0071241E" w:rsidRPr="00685E7E">
        <w:rPr>
          <w:b/>
          <w:sz w:val="24"/>
          <w:szCs w:val="24"/>
        </w:rPr>
        <w:t>Fertilitet, g</w:t>
      </w:r>
      <w:r w:rsidRPr="00685E7E">
        <w:rPr>
          <w:b/>
          <w:sz w:val="24"/>
          <w:szCs w:val="24"/>
        </w:rPr>
        <w:t>raviditet og amning</w:t>
      </w:r>
    </w:p>
    <w:p w14:paraId="7962C332" w14:textId="77777777" w:rsidR="00685E7E" w:rsidRDefault="00685E7E" w:rsidP="002479E4">
      <w:pPr>
        <w:ind w:left="851"/>
        <w:rPr>
          <w:sz w:val="24"/>
          <w:szCs w:val="24"/>
        </w:rPr>
      </w:pPr>
    </w:p>
    <w:p w14:paraId="0F885CD3" w14:textId="1BA739D8" w:rsidR="00B170A3" w:rsidRPr="00685E7E" w:rsidRDefault="00B170A3" w:rsidP="002479E4">
      <w:pPr>
        <w:ind w:left="851"/>
        <w:rPr>
          <w:sz w:val="24"/>
          <w:szCs w:val="24"/>
          <w:u w:val="single"/>
          <w:lang w:eastAsia="da-DK"/>
        </w:rPr>
      </w:pPr>
      <w:r w:rsidRPr="00685E7E">
        <w:rPr>
          <w:sz w:val="24"/>
          <w:szCs w:val="24"/>
          <w:u w:val="single"/>
        </w:rPr>
        <w:t>Graviditet</w:t>
      </w:r>
    </w:p>
    <w:p w14:paraId="7D5DBF53" w14:textId="77777777" w:rsidR="00B170A3" w:rsidRPr="00685E7E" w:rsidRDefault="00B170A3" w:rsidP="002479E4">
      <w:pPr>
        <w:ind w:left="851"/>
        <w:rPr>
          <w:sz w:val="24"/>
          <w:szCs w:val="24"/>
        </w:rPr>
      </w:pPr>
      <w:r w:rsidRPr="00685E7E">
        <w:rPr>
          <w:sz w:val="24"/>
          <w:szCs w:val="24"/>
        </w:rPr>
        <w:t>Inaktiverede influenza vacciner kan anvendes under alle graviditetsstadier. Der er flere sikkerhedsdata for andet og tredje trimester end for første trimester. Data fra anvendelse af influenza vaccine over hele verden indikerer imidlertid ikke nogen form for skadelige virkninger på fosteret eller moderen, som kan tilskrives vaccinen.</w:t>
      </w:r>
    </w:p>
    <w:p w14:paraId="1081C798" w14:textId="77777777" w:rsidR="00B170A3" w:rsidRPr="00685E7E" w:rsidRDefault="00B170A3" w:rsidP="002479E4">
      <w:pPr>
        <w:ind w:left="851"/>
        <w:rPr>
          <w:sz w:val="24"/>
          <w:szCs w:val="24"/>
        </w:rPr>
      </w:pPr>
    </w:p>
    <w:p w14:paraId="5DD2D02F" w14:textId="77777777" w:rsidR="00B170A3" w:rsidRPr="00685E7E" w:rsidRDefault="00B170A3" w:rsidP="002479E4">
      <w:pPr>
        <w:ind w:left="851"/>
        <w:rPr>
          <w:sz w:val="24"/>
          <w:szCs w:val="24"/>
          <w:u w:val="single"/>
        </w:rPr>
      </w:pPr>
      <w:r w:rsidRPr="00685E7E">
        <w:rPr>
          <w:sz w:val="24"/>
          <w:szCs w:val="24"/>
          <w:u w:val="single"/>
        </w:rPr>
        <w:t>Amning</w:t>
      </w:r>
    </w:p>
    <w:p w14:paraId="7B897D3A" w14:textId="77777777" w:rsidR="00B170A3" w:rsidRPr="00685E7E" w:rsidRDefault="00B170A3" w:rsidP="002479E4">
      <w:pPr>
        <w:ind w:left="851"/>
        <w:rPr>
          <w:sz w:val="24"/>
          <w:szCs w:val="24"/>
        </w:rPr>
      </w:pPr>
      <w:r w:rsidRPr="00685E7E">
        <w:rPr>
          <w:sz w:val="24"/>
          <w:szCs w:val="24"/>
        </w:rPr>
        <w:t xml:space="preserve">Der kan vaccineres med </w:t>
      </w:r>
      <w:proofErr w:type="spellStart"/>
      <w:r w:rsidRPr="00685E7E">
        <w:rPr>
          <w:sz w:val="24"/>
          <w:szCs w:val="24"/>
        </w:rPr>
        <w:t>Influvac</w:t>
      </w:r>
      <w:proofErr w:type="spellEnd"/>
      <w:r w:rsidRPr="00685E7E">
        <w:rPr>
          <w:sz w:val="24"/>
          <w:szCs w:val="24"/>
        </w:rPr>
        <w:t xml:space="preserve"> i </w:t>
      </w:r>
      <w:proofErr w:type="spellStart"/>
      <w:r w:rsidRPr="00685E7E">
        <w:rPr>
          <w:sz w:val="24"/>
          <w:szCs w:val="24"/>
        </w:rPr>
        <w:t>ammeperioden</w:t>
      </w:r>
      <w:proofErr w:type="spellEnd"/>
      <w:r w:rsidRPr="00685E7E">
        <w:rPr>
          <w:sz w:val="24"/>
          <w:szCs w:val="24"/>
        </w:rPr>
        <w:t>.</w:t>
      </w:r>
    </w:p>
    <w:p w14:paraId="64961853" w14:textId="77777777" w:rsidR="00B170A3" w:rsidRPr="00685E7E" w:rsidRDefault="00B170A3" w:rsidP="002479E4">
      <w:pPr>
        <w:ind w:left="851"/>
        <w:rPr>
          <w:sz w:val="24"/>
          <w:szCs w:val="24"/>
        </w:rPr>
      </w:pPr>
    </w:p>
    <w:p w14:paraId="6D300489" w14:textId="77777777" w:rsidR="00B170A3" w:rsidRPr="00685E7E" w:rsidRDefault="00B170A3" w:rsidP="002479E4">
      <w:pPr>
        <w:ind w:left="851"/>
        <w:rPr>
          <w:sz w:val="24"/>
          <w:szCs w:val="24"/>
          <w:u w:val="single"/>
        </w:rPr>
      </w:pPr>
      <w:r w:rsidRPr="00685E7E">
        <w:rPr>
          <w:sz w:val="24"/>
          <w:szCs w:val="24"/>
          <w:u w:val="single"/>
        </w:rPr>
        <w:t>Fertilitet</w:t>
      </w:r>
    </w:p>
    <w:p w14:paraId="662AFA8C" w14:textId="77777777" w:rsidR="00B170A3" w:rsidRPr="00685E7E" w:rsidRDefault="00B170A3" w:rsidP="002479E4">
      <w:pPr>
        <w:ind w:left="851"/>
        <w:rPr>
          <w:sz w:val="24"/>
          <w:szCs w:val="24"/>
        </w:rPr>
      </w:pPr>
      <w:r w:rsidRPr="00685E7E">
        <w:rPr>
          <w:sz w:val="24"/>
          <w:szCs w:val="24"/>
        </w:rPr>
        <w:t>Der findes ingen fertilitetsdata.</w:t>
      </w:r>
    </w:p>
    <w:p w14:paraId="39C644E9" w14:textId="77777777" w:rsidR="009260DE" w:rsidRPr="00685E7E" w:rsidRDefault="009260DE" w:rsidP="009260DE">
      <w:pPr>
        <w:tabs>
          <w:tab w:val="left" w:pos="851"/>
        </w:tabs>
        <w:ind w:left="851"/>
        <w:rPr>
          <w:sz w:val="24"/>
          <w:szCs w:val="24"/>
        </w:rPr>
      </w:pPr>
    </w:p>
    <w:p w14:paraId="064E8261" w14:textId="77777777" w:rsidR="009260DE" w:rsidRPr="00685E7E" w:rsidRDefault="009260DE" w:rsidP="009260DE">
      <w:pPr>
        <w:tabs>
          <w:tab w:val="left" w:pos="851"/>
        </w:tabs>
        <w:ind w:left="851" w:hanging="851"/>
        <w:rPr>
          <w:b/>
          <w:sz w:val="24"/>
          <w:szCs w:val="24"/>
        </w:rPr>
      </w:pPr>
      <w:r w:rsidRPr="00685E7E">
        <w:rPr>
          <w:b/>
          <w:sz w:val="24"/>
          <w:szCs w:val="24"/>
        </w:rPr>
        <w:t>4.7</w:t>
      </w:r>
      <w:r w:rsidRPr="00685E7E">
        <w:rPr>
          <w:b/>
          <w:sz w:val="24"/>
          <w:szCs w:val="24"/>
        </w:rPr>
        <w:tab/>
        <w:t xml:space="preserve">Virkning på evnen til at føre motorkøretøj </w:t>
      </w:r>
      <w:r w:rsidR="0071241E" w:rsidRPr="00685E7E">
        <w:rPr>
          <w:b/>
          <w:sz w:val="24"/>
          <w:szCs w:val="24"/>
        </w:rPr>
        <w:t>og</w:t>
      </w:r>
      <w:r w:rsidRPr="00685E7E">
        <w:rPr>
          <w:b/>
          <w:sz w:val="24"/>
          <w:szCs w:val="24"/>
        </w:rPr>
        <w:t xml:space="preserve"> betjene maskiner</w:t>
      </w:r>
    </w:p>
    <w:p w14:paraId="3E8F2401" w14:textId="77777777" w:rsidR="00B170A3" w:rsidRPr="00685E7E" w:rsidRDefault="00B170A3" w:rsidP="002479E4">
      <w:pPr>
        <w:ind w:left="851"/>
        <w:rPr>
          <w:sz w:val="24"/>
          <w:szCs w:val="24"/>
          <w:lang w:eastAsia="da-DK"/>
        </w:rPr>
      </w:pPr>
      <w:r w:rsidRPr="00685E7E">
        <w:rPr>
          <w:sz w:val="24"/>
          <w:szCs w:val="24"/>
        </w:rPr>
        <w:t>Ikke mærkning</w:t>
      </w:r>
    </w:p>
    <w:p w14:paraId="14650D50" w14:textId="77777777" w:rsidR="00B170A3" w:rsidRPr="00685E7E" w:rsidRDefault="00B170A3" w:rsidP="002479E4">
      <w:pPr>
        <w:ind w:left="851"/>
        <w:rPr>
          <w:sz w:val="24"/>
          <w:szCs w:val="24"/>
        </w:rPr>
      </w:pPr>
      <w:proofErr w:type="spellStart"/>
      <w:r w:rsidRPr="00685E7E">
        <w:rPr>
          <w:sz w:val="24"/>
          <w:szCs w:val="24"/>
        </w:rPr>
        <w:t>Influvac</w:t>
      </w:r>
      <w:proofErr w:type="spellEnd"/>
      <w:r w:rsidRPr="00685E7E">
        <w:rPr>
          <w:sz w:val="24"/>
          <w:szCs w:val="24"/>
        </w:rPr>
        <w:t xml:space="preserve"> påvirker ikke eller kun i ubetydelig grad evnen til at føre motorkøretøj eller betjene maskiner.</w:t>
      </w:r>
    </w:p>
    <w:p w14:paraId="65374BCC" w14:textId="77777777" w:rsidR="009260DE" w:rsidRPr="00685E7E" w:rsidRDefault="009260DE" w:rsidP="009260DE">
      <w:pPr>
        <w:tabs>
          <w:tab w:val="left" w:pos="851"/>
        </w:tabs>
        <w:ind w:left="851"/>
        <w:rPr>
          <w:sz w:val="24"/>
          <w:szCs w:val="24"/>
        </w:rPr>
      </w:pPr>
    </w:p>
    <w:p w14:paraId="1563D0CA" w14:textId="77777777" w:rsidR="009260DE" w:rsidRPr="00685E7E" w:rsidRDefault="009260DE" w:rsidP="009260DE">
      <w:pPr>
        <w:tabs>
          <w:tab w:val="left" w:pos="851"/>
        </w:tabs>
        <w:ind w:left="851" w:hanging="851"/>
        <w:rPr>
          <w:b/>
          <w:sz w:val="24"/>
          <w:szCs w:val="24"/>
        </w:rPr>
      </w:pPr>
      <w:r w:rsidRPr="00685E7E">
        <w:rPr>
          <w:b/>
          <w:sz w:val="24"/>
          <w:szCs w:val="24"/>
        </w:rPr>
        <w:t>4.8</w:t>
      </w:r>
      <w:r w:rsidRPr="00685E7E">
        <w:rPr>
          <w:b/>
          <w:sz w:val="24"/>
          <w:szCs w:val="24"/>
        </w:rPr>
        <w:tab/>
        <w:t>Bivirkninger</w:t>
      </w:r>
    </w:p>
    <w:p w14:paraId="1E9EAAE7" w14:textId="77777777" w:rsidR="00F22617" w:rsidRDefault="00F22617" w:rsidP="00B170A3">
      <w:pPr>
        <w:ind w:left="851"/>
        <w:rPr>
          <w:i/>
          <w:sz w:val="24"/>
          <w:szCs w:val="24"/>
        </w:rPr>
      </w:pPr>
    </w:p>
    <w:p w14:paraId="5A12BD37" w14:textId="6F40A8F5" w:rsidR="00B170A3" w:rsidRPr="00685E7E" w:rsidRDefault="00B170A3" w:rsidP="00B170A3">
      <w:pPr>
        <w:ind w:left="851"/>
        <w:rPr>
          <w:i/>
          <w:sz w:val="24"/>
          <w:szCs w:val="24"/>
          <w:lang w:eastAsia="da-DK"/>
        </w:rPr>
      </w:pPr>
      <w:r w:rsidRPr="00685E7E">
        <w:rPr>
          <w:i/>
          <w:sz w:val="24"/>
          <w:szCs w:val="24"/>
        </w:rPr>
        <w:t>a. Resume af sikkerhedsprofilen</w:t>
      </w:r>
    </w:p>
    <w:p w14:paraId="1BF1CD69" w14:textId="77777777" w:rsidR="00B170A3" w:rsidRPr="00685E7E" w:rsidRDefault="00B170A3" w:rsidP="00B170A3">
      <w:pPr>
        <w:ind w:left="851"/>
        <w:rPr>
          <w:sz w:val="24"/>
          <w:szCs w:val="24"/>
        </w:rPr>
      </w:pPr>
      <w:r w:rsidRPr="00685E7E">
        <w:rPr>
          <w:sz w:val="24"/>
          <w:szCs w:val="24"/>
        </w:rPr>
        <w:t xml:space="preserve">De hyppigst rapporterede generelle bivirkninger efter brug af </w:t>
      </w:r>
      <w:proofErr w:type="spellStart"/>
      <w:r w:rsidRPr="00685E7E">
        <w:rPr>
          <w:sz w:val="24"/>
          <w:szCs w:val="24"/>
        </w:rPr>
        <w:t>Influvac</w:t>
      </w:r>
      <w:proofErr w:type="spellEnd"/>
      <w:r w:rsidRPr="00685E7E">
        <w:rPr>
          <w:sz w:val="24"/>
          <w:szCs w:val="24"/>
        </w:rPr>
        <w:t xml:space="preserve"> er lokale og/eller systemiske reaktioner såsom smerte på vaccinationsstedet eller træthed og hovedpine. Intensiteten af disse reaktioner er generelt milde til moderate.</w:t>
      </w:r>
    </w:p>
    <w:p w14:paraId="2661F43C" w14:textId="77777777" w:rsidR="00B170A3" w:rsidRPr="00685E7E" w:rsidRDefault="00B170A3" w:rsidP="00B170A3">
      <w:pPr>
        <w:ind w:left="851"/>
        <w:rPr>
          <w:sz w:val="24"/>
          <w:szCs w:val="24"/>
        </w:rPr>
      </w:pPr>
      <w:r w:rsidRPr="00685E7E">
        <w:rPr>
          <w:sz w:val="24"/>
          <w:szCs w:val="24"/>
        </w:rPr>
        <w:t>Disse reaktioner forsvinder som regel inden for 1-2 dage uden behandling.</w:t>
      </w:r>
    </w:p>
    <w:p w14:paraId="16E37964" w14:textId="77777777" w:rsidR="00B170A3" w:rsidRPr="00685E7E" w:rsidRDefault="00B170A3" w:rsidP="00B170A3">
      <w:pPr>
        <w:ind w:left="851"/>
        <w:rPr>
          <w:sz w:val="24"/>
          <w:szCs w:val="24"/>
        </w:rPr>
      </w:pPr>
      <w:r w:rsidRPr="00685E7E">
        <w:rPr>
          <w:sz w:val="24"/>
          <w:szCs w:val="24"/>
        </w:rPr>
        <w:t xml:space="preserve">I sjældne tilfælde kan allergiske reaktioner udvikle sig til </w:t>
      </w:r>
      <w:proofErr w:type="spellStart"/>
      <w:r w:rsidRPr="00685E7E">
        <w:rPr>
          <w:sz w:val="24"/>
          <w:szCs w:val="24"/>
        </w:rPr>
        <w:t>shock</w:t>
      </w:r>
      <w:proofErr w:type="spellEnd"/>
      <w:r w:rsidRPr="00685E7E">
        <w:rPr>
          <w:sz w:val="24"/>
          <w:szCs w:val="24"/>
        </w:rPr>
        <w:t xml:space="preserve">, </w:t>
      </w:r>
      <w:proofErr w:type="spellStart"/>
      <w:r w:rsidRPr="00685E7E">
        <w:rPr>
          <w:sz w:val="24"/>
          <w:szCs w:val="24"/>
        </w:rPr>
        <w:t>angioødem</w:t>
      </w:r>
      <w:proofErr w:type="spellEnd"/>
      <w:r w:rsidRPr="00685E7E">
        <w:rPr>
          <w:sz w:val="24"/>
          <w:szCs w:val="24"/>
        </w:rPr>
        <w:t xml:space="preserve"> (se pkt. 4.4).</w:t>
      </w:r>
    </w:p>
    <w:p w14:paraId="2FB4B1C5" w14:textId="77777777" w:rsidR="00B170A3" w:rsidRPr="00685E7E" w:rsidRDefault="00B170A3" w:rsidP="00B170A3">
      <w:pPr>
        <w:ind w:left="851"/>
        <w:rPr>
          <w:sz w:val="24"/>
          <w:szCs w:val="24"/>
        </w:rPr>
      </w:pPr>
    </w:p>
    <w:p w14:paraId="42148E22" w14:textId="77777777" w:rsidR="00B170A3" w:rsidRPr="00685E7E" w:rsidRDefault="00B170A3" w:rsidP="00B170A3">
      <w:pPr>
        <w:ind w:left="851"/>
        <w:rPr>
          <w:i/>
          <w:sz w:val="24"/>
          <w:szCs w:val="24"/>
        </w:rPr>
      </w:pPr>
      <w:r w:rsidRPr="00685E7E">
        <w:rPr>
          <w:i/>
          <w:sz w:val="24"/>
          <w:szCs w:val="24"/>
        </w:rPr>
        <w:t>b. Resume af bivirkningerne i tabelform</w:t>
      </w:r>
    </w:p>
    <w:p w14:paraId="299D97B4" w14:textId="77777777" w:rsidR="00B170A3" w:rsidRPr="00685E7E" w:rsidRDefault="00B170A3" w:rsidP="00B170A3">
      <w:pPr>
        <w:ind w:left="851"/>
        <w:rPr>
          <w:spacing w:val="-3"/>
          <w:sz w:val="24"/>
          <w:szCs w:val="24"/>
        </w:rPr>
      </w:pPr>
      <w:r w:rsidRPr="00685E7E">
        <w:rPr>
          <w:spacing w:val="-3"/>
          <w:sz w:val="24"/>
          <w:szCs w:val="24"/>
        </w:rPr>
        <w:t>I de kliniske forsøg, eller som resultat af erfaringer efter markedsføring, er følgende bivirkninger rapporteret med følgende hyppighed:</w:t>
      </w:r>
    </w:p>
    <w:p w14:paraId="1DD196B4" w14:textId="77777777" w:rsidR="00B170A3" w:rsidRPr="00685E7E" w:rsidRDefault="00B170A3" w:rsidP="00B170A3">
      <w:pPr>
        <w:ind w:left="851"/>
        <w:rPr>
          <w:sz w:val="24"/>
          <w:szCs w:val="24"/>
        </w:rPr>
      </w:pPr>
      <w:r w:rsidRPr="00685E7E">
        <w:rPr>
          <w:sz w:val="24"/>
          <w:szCs w:val="24"/>
        </w:rPr>
        <w:t>Meget almindelig (≥1/10); almindelig (≥1/100, &lt;1/10); ikke almindelig (≥1/1 000, &lt;1/100);</w:t>
      </w:r>
    </w:p>
    <w:p w14:paraId="0C8F47B8" w14:textId="77777777" w:rsidR="00B170A3" w:rsidRPr="00685E7E" w:rsidRDefault="00B170A3" w:rsidP="00B170A3">
      <w:pPr>
        <w:ind w:left="851"/>
        <w:rPr>
          <w:sz w:val="24"/>
          <w:szCs w:val="24"/>
        </w:rPr>
      </w:pPr>
      <w:r w:rsidRPr="00685E7E">
        <w:rPr>
          <w:sz w:val="24"/>
          <w:szCs w:val="24"/>
        </w:rPr>
        <w:t>og ikke kendt (bivirkninger fra efter markedsføring, kan ikke estimeres ud fra forhåndenværende data).</w:t>
      </w:r>
    </w:p>
    <w:p w14:paraId="6FBF0687" w14:textId="77777777" w:rsidR="00B170A3" w:rsidRPr="00685E7E" w:rsidRDefault="00B170A3" w:rsidP="00B170A3">
      <w:pPr>
        <w:ind w:left="851"/>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8"/>
        <w:gridCol w:w="1836"/>
        <w:gridCol w:w="1836"/>
        <w:gridCol w:w="1836"/>
        <w:gridCol w:w="2336"/>
      </w:tblGrid>
      <w:tr w:rsidR="00B170A3" w:rsidRPr="00685E7E" w14:paraId="21352027" w14:textId="77777777" w:rsidTr="002479E4">
        <w:trPr>
          <w:cantSplit/>
        </w:trPr>
        <w:tc>
          <w:tcPr>
            <w:tcW w:w="5000" w:type="pct"/>
            <w:gridSpan w:val="5"/>
            <w:tcBorders>
              <w:top w:val="single" w:sz="6" w:space="0" w:color="auto"/>
              <w:left w:val="single" w:sz="6" w:space="0" w:color="auto"/>
              <w:bottom w:val="single" w:sz="6" w:space="0" w:color="auto"/>
              <w:right w:val="single" w:sz="6" w:space="0" w:color="auto"/>
            </w:tcBorders>
            <w:hideMark/>
          </w:tcPr>
          <w:p w14:paraId="0E6A5B16" w14:textId="77777777" w:rsidR="00B170A3" w:rsidRPr="00685E7E" w:rsidRDefault="00B170A3">
            <w:pPr>
              <w:rPr>
                <w:b/>
                <w:sz w:val="22"/>
                <w:szCs w:val="22"/>
              </w:rPr>
            </w:pPr>
            <w:r w:rsidRPr="00685E7E">
              <w:rPr>
                <w:b/>
                <w:sz w:val="22"/>
                <w:szCs w:val="22"/>
              </w:rPr>
              <w:t xml:space="preserve">Bivirkninger rapporteret med </w:t>
            </w:r>
            <w:proofErr w:type="spellStart"/>
            <w:r w:rsidRPr="00685E7E">
              <w:rPr>
                <w:b/>
                <w:sz w:val="22"/>
                <w:szCs w:val="22"/>
              </w:rPr>
              <w:t>Influvac</w:t>
            </w:r>
            <w:proofErr w:type="spellEnd"/>
          </w:p>
        </w:tc>
      </w:tr>
      <w:tr w:rsidR="00B170A3" w:rsidRPr="00685E7E" w14:paraId="213C1691" w14:textId="77777777" w:rsidTr="002479E4">
        <w:trPr>
          <w:cantSplit/>
          <w:trHeight w:val="846"/>
          <w:tblHeader/>
        </w:trPr>
        <w:tc>
          <w:tcPr>
            <w:tcW w:w="924" w:type="pct"/>
            <w:tcBorders>
              <w:top w:val="single" w:sz="6" w:space="0" w:color="auto"/>
              <w:left w:val="single" w:sz="6" w:space="0" w:color="auto"/>
              <w:bottom w:val="single" w:sz="6" w:space="0" w:color="auto"/>
              <w:right w:val="single" w:sz="6" w:space="0" w:color="auto"/>
            </w:tcBorders>
            <w:hideMark/>
          </w:tcPr>
          <w:p w14:paraId="0E1F44C0" w14:textId="77777777" w:rsidR="00B170A3" w:rsidRPr="00685E7E" w:rsidRDefault="00B170A3">
            <w:pPr>
              <w:rPr>
                <w:bCs/>
                <w:sz w:val="22"/>
                <w:szCs w:val="22"/>
              </w:rPr>
            </w:pPr>
            <w:proofErr w:type="spellStart"/>
            <w:r w:rsidRPr="00685E7E">
              <w:rPr>
                <w:bCs/>
                <w:sz w:val="22"/>
                <w:szCs w:val="22"/>
              </w:rPr>
              <w:t>MedDRA</w:t>
            </w:r>
            <w:proofErr w:type="spellEnd"/>
            <w:r w:rsidRPr="00685E7E">
              <w:rPr>
                <w:bCs/>
                <w:sz w:val="22"/>
                <w:szCs w:val="22"/>
              </w:rPr>
              <w:t xml:space="preserve"> organsystem-klasse</w:t>
            </w:r>
          </w:p>
        </w:tc>
        <w:tc>
          <w:tcPr>
            <w:tcW w:w="954" w:type="pct"/>
            <w:tcBorders>
              <w:top w:val="single" w:sz="6" w:space="0" w:color="auto"/>
              <w:left w:val="single" w:sz="6" w:space="0" w:color="auto"/>
              <w:bottom w:val="single" w:sz="6" w:space="0" w:color="auto"/>
              <w:right w:val="single" w:sz="6" w:space="0" w:color="auto"/>
            </w:tcBorders>
            <w:hideMark/>
          </w:tcPr>
          <w:p w14:paraId="609D1F4A" w14:textId="77777777" w:rsidR="00B170A3" w:rsidRPr="00685E7E" w:rsidRDefault="00B170A3">
            <w:pPr>
              <w:rPr>
                <w:bCs/>
                <w:sz w:val="22"/>
                <w:szCs w:val="22"/>
              </w:rPr>
            </w:pPr>
            <w:r w:rsidRPr="00685E7E">
              <w:rPr>
                <w:bCs/>
                <w:sz w:val="22"/>
                <w:szCs w:val="22"/>
              </w:rPr>
              <w:t>Meget almindelig ≥1/10</w:t>
            </w:r>
          </w:p>
        </w:tc>
        <w:tc>
          <w:tcPr>
            <w:tcW w:w="954" w:type="pct"/>
            <w:tcBorders>
              <w:top w:val="single" w:sz="6" w:space="0" w:color="auto"/>
              <w:left w:val="single" w:sz="6" w:space="0" w:color="auto"/>
              <w:bottom w:val="single" w:sz="6" w:space="0" w:color="auto"/>
              <w:right w:val="single" w:sz="6" w:space="0" w:color="auto"/>
            </w:tcBorders>
            <w:hideMark/>
          </w:tcPr>
          <w:p w14:paraId="06C633CD" w14:textId="77777777" w:rsidR="00B170A3" w:rsidRPr="00685E7E" w:rsidRDefault="00B170A3">
            <w:pPr>
              <w:rPr>
                <w:bCs/>
                <w:sz w:val="22"/>
                <w:szCs w:val="22"/>
              </w:rPr>
            </w:pPr>
            <w:r w:rsidRPr="00685E7E">
              <w:rPr>
                <w:bCs/>
                <w:sz w:val="22"/>
                <w:szCs w:val="22"/>
              </w:rPr>
              <w:t>Almindelig ≥1/100, &lt;1/10</w:t>
            </w:r>
          </w:p>
        </w:tc>
        <w:tc>
          <w:tcPr>
            <w:tcW w:w="954" w:type="pct"/>
            <w:tcBorders>
              <w:top w:val="single" w:sz="6" w:space="0" w:color="auto"/>
              <w:left w:val="single" w:sz="6" w:space="0" w:color="auto"/>
              <w:bottom w:val="single" w:sz="6" w:space="0" w:color="auto"/>
              <w:right w:val="single" w:sz="6" w:space="0" w:color="auto"/>
            </w:tcBorders>
            <w:hideMark/>
          </w:tcPr>
          <w:p w14:paraId="7CBDF1BF" w14:textId="77777777" w:rsidR="00B170A3" w:rsidRPr="00685E7E" w:rsidRDefault="00B170A3">
            <w:pPr>
              <w:rPr>
                <w:bCs/>
                <w:sz w:val="22"/>
                <w:szCs w:val="22"/>
              </w:rPr>
            </w:pPr>
            <w:r w:rsidRPr="00685E7E">
              <w:rPr>
                <w:bCs/>
                <w:sz w:val="22"/>
                <w:szCs w:val="22"/>
              </w:rPr>
              <w:t>Ikke almindelig ≥1/1.000, &lt;1/100</w:t>
            </w:r>
          </w:p>
        </w:tc>
        <w:tc>
          <w:tcPr>
            <w:tcW w:w="1214" w:type="pct"/>
            <w:tcBorders>
              <w:top w:val="single" w:sz="6" w:space="0" w:color="auto"/>
              <w:left w:val="single" w:sz="6" w:space="0" w:color="auto"/>
              <w:bottom w:val="single" w:sz="6" w:space="0" w:color="auto"/>
              <w:right w:val="single" w:sz="6" w:space="0" w:color="auto"/>
            </w:tcBorders>
            <w:hideMark/>
          </w:tcPr>
          <w:p w14:paraId="1DF02805" w14:textId="77777777" w:rsidR="00B170A3" w:rsidRPr="00685E7E" w:rsidRDefault="00B170A3">
            <w:pPr>
              <w:rPr>
                <w:bCs/>
                <w:sz w:val="22"/>
                <w:szCs w:val="22"/>
              </w:rPr>
            </w:pPr>
            <w:r w:rsidRPr="00685E7E">
              <w:rPr>
                <w:bCs/>
                <w:sz w:val="22"/>
                <w:szCs w:val="22"/>
              </w:rPr>
              <w:t xml:space="preserve">Ikke </w:t>
            </w:r>
            <w:proofErr w:type="spellStart"/>
            <w:r w:rsidRPr="00685E7E">
              <w:rPr>
                <w:bCs/>
                <w:sz w:val="22"/>
                <w:szCs w:val="22"/>
              </w:rPr>
              <w:t>kendt</w:t>
            </w:r>
            <w:r w:rsidRPr="00685E7E">
              <w:rPr>
                <w:bCs/>
                <w:sz w:val="22"/>
                <w:szCs w:val="22"/>
                <w:vertAlign w:val="superscript"/>
              </w:rPr>
              <w:t>a</w:t>
            </w:r>
            <w:proofErr w:type="spellEnd"/>
            <w:r w:rsidRPr="00685E7E">
              <w:rPr>
                <w:bCs/>
                <w:sz w:val="22"/>
                <w:szCs w:val="22"/>
              </w:rPr>
              <w:t xml:space="preserve"> (kan ikke esti</w:t>
            </w:r>
            <w:r w:rsidRPr="00685E7E">
              <w:rPr>
                <w:bCs/>
                <w:sz w:val="22"/>
                <w:szCs w:val="22"/>
              </w:rPr>
              <w:softHyphen/>
              <w:t>me</w:t>
            </w:r>
            <w:r w:rsidRPr="00685E7E">
              <w:rPr>
                <w:bCs/>
                <w:sz w:val="22"/>
                <w:szCs w:val="22"/>
              </w:rPr>
              <w:softHyphen/>
              <w:t>res ud fra tilgængelige data)</w:t>
            </w:r>
          </w:p>
        </w:tc>
      </w:tr>
      <w:tr w:rsidR="00B170A3" w:rsidRPr="00685E7E" w14:paraId="7A53BACA"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193A8ED9" w14:textId="77777777" w:rsidR="00B170A3" w:rsidRPr="00685E7E" w:rsidRDefault="00B170A3">
            <w:pPr>
              <w:rPr>
                <w:bCs/>
                <w:sz w:val="22"/>
                <w:szCs w:val="22"/>
              </w:rPr>
            </w:pPr>
            <w:r w:rsidRPr="00685E7E">
              <w:rPr>
                <w:bCs/>
                <w:sz w:val="22"/>
                <w:szCs w:val="22"/>
              </w:rPr>
              <w:t>Blod og lymfesystem</w:t>
            </w:r>
          </w:p>
        </w:tc>
        <w:tc>
          <w:tcPr>
            <w:tcW w:w="954" w:type="pct"/>
            <w:tcBorders>
              <w:top w:val="single" w:sz="6" w:space="0" w:color="auto"/>
              <w:left w:val="single" w:sz="6" w:space="0" w:color="auto"/>
              <w:bottom w:val="single" w:sz="6" w:space="0" w:color="auto"/>
              <w:right w:val="single" w:sz="6" w:space="0" w:color="auto"/>
            </w:tcBorders>
            <w:hideMark/>
          </w:tcPr>
          <w:p w14:paraId="7686C9F5"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2BFEC5E0"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67F9DE3E"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hideMark/>
          </w:tcPr>
          <w:p w14:paraId="77CFCF61" w14:textId="77777777" w:rsidR="00B170A3" w:rsidRPr="00685E7E" w:rsidRDefault="00B170A3">
            <w:pPr>
              <w:rPr>
                <w:sz w:val="22"/>
                <w:szCs w:val="22"/>
              </w:rPr>
            </w:pPr>
            <w:r w:rsidRPr="00685E7E">
              <w:rPr>
                <w:sz w:val="22"/>
                <w:szCs w:val="22"/>
              </w:rPr>
              <w:t xml:space="preserve">Forbigående </w:t>
            </w:r>
            <w:proofErr w:type="spellStart"/>
            <w:r w:rsidRPr="00685E7E">
              <w:rPr>
                <w:sz w:val="22"/>
                <w:szCs w:val="22"/>
              </w:rPr>
              <w:t>trombo</w:t>
            </w:r>
            <w:r w:rsidRPr="00685E7E">
              <w:rPr>
                <w:sz w:val="22"/>
                <w:szCs w:val="22"/>
              </w:rPr>
              <w:softHyphen/>
              <w:t>cytopeni</w:t>
            </w:r>
            <w:proofErr w:type="spellEnd"/>
            <w:r w:rsidRPr="00685E7E">
              <w:rPr>
                <w:sz w:val="22"/>
                <w:szCs w:val="22"/>
              </w:rPr>
              <w:t xml:space="preserve">, forbigående </w:t>
            </w:r>
            <w:proofErr w:type="spellStart"/>
            <w:r w:rsidRPr="00685E7E">
              <w:rPr>
                <w:sz w:val="22"/>
                <w:szCs w:val="22"/>
              </w:rPr>
              <w:t>lymfadenopati</w:t>
            </w:r>
            <w:proofErr w:type="spellEnd"/>
            <w:r w:rsidRPr="00685E7E">
              <w:rPr>
                <w:sz w:val="22"/>
                <w:szCs w:val="22"/>
              </w:rPr>
              <w:t>.</w:t>
            </w:r>
          </w:p>
        </w:tc>
      </w:tr>
      <w:tr w:rsidR="00B170A3" w:rsidRPr="00685E7E" w14:paraId="585C266F"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7931CFA4" w14:textId="77777777" w:rsidR="00B170A3" w:rsidRPr="00685E7E" w:rsidRDefault="00B170A3">
            <w:pPr>
              <w:rPr>
                <w:bCs/>
                <w:sz w:val="22"/>
                <w:szCs w:val="22"/>
              </w:rPr>
            </w:pPr>
            <w:r w:rsidRPr="00685E7E">
              <w:rPr>
                <w:bCs/>
                <w:sz w:val="22"/>
                <w:szCs w:val="22"/>
              </w:rPr>
              <w:t>Immunsystemet</w:t>
            </w:r>
          </w:p>
        </w:tc>
        <w:tc>
          <w:tcPr>
            <w:tcW w:w="954" w:type="pct"/>
            <w:tcBorders>
              <w:top w:val="single" w:sz="6" w:space="0" w:color="auto"/>
              <w:left w:val="single" w:sz="6" w:space="0" w:color="auto"/>
              <w:bottom w:val="single" w:sz="6" w:space="0" w:color="auto"/>
              <w:right w:val="single" w:sz="6" w:space="0" w:color="auto"/>
            </w:tcBorders>
            <w:hideMark/>
          </w:tcPr>
          <w:p w14:paraId="06F7B4F4"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67E5972E"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6DE5B5CC"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hideMark/>
          </w:tcPr>
          <w:p w14:paraId="207C3724" w14:textId="77777777" w:rsidR="00B170A3" w:rsidRPr="00685E7E" w:rsidRDefault="00B170A3">
            <w:pPr>
              <w:rPr>
                <w:sz w:val="22"/>
                <w:szCs w:val="22"/>
              </w:rPr>
            </w:pPr>
            <w:r w:rsidRPr="00685E7E">
              <w:rPr>
                <w:sz w:val="22"/>
                <w:szCs w:val="22"/>
              </w:rPr>
              <w:t xml:space="preserve">Allergiske reaktioner, der i sjældne tilfælde har ført til </w:t>
            </w:r>
            <w:proofErr w:type="spellStart"/>
            <w:r w:rsidRPr="00685E7E">
              <w:rPr>
                <w:sz w:val="22"/>
                <w:szCs w:val="22"/>
              </w:rPr>
              <w:t>shock</w:t>
            </w:r>
            <w:proofErr w:type="spellEnd"/>
            <w:r w:rsidRPr="00685E7E">
              <w:rPr>
                <w:sz w:val="22"/>
                <w:szCs w:val="22"/>
              </w:rPr>
              <w:t xml:space="preserve">, </w:t>
            </w:r>
            <w:proofErr w:type="spellStart"/>
            <w:r w:rsidRPr="00685E7E">
              <w:rPr>
                <w:sz w:val="22"/>
                <w:szCs w:val="22"/>
              </w:rPr>
              <w:t>angioødem</w:t>
            </w:r>
            <w:proofErr w:type="spellEnd"/>
            <w:r w:rsidRPr="00685E7E">
              <w:rPr>
                <w:sz w:val="22"/>
                <w:szCs w:val="22"/>
              </w:rPr>
              <w:t>.</w:t>
            </w:r>
          </w:p>
        </w:tc>
      </w:tr>
      <w:tr w:rsidR="00B170A3" w:rsidRPr="00685E7E" w14:paraId="15E7780A"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623B5FAA" w14:textId="77777777" w:rsidR="00B170A3" w:rsidRPr="00685E7E" w:rsidRDefault="00B170A3">
            <w:pPr>
              <w:rPr>
                <w:bCs/>
                <w:sz w:val="22"/>
                <w:szCs w:val="22"/>
              </w:rPr>
            </w:pPr>
            <w:r w:rsidRPr="00685E7E">
              <w:rPr>
                <w:bCs/>
                <w:sz w:val="22"/>
                <w:szCs w:val="22"/>
              </w:rPr>
              <w:t>Nervesystemet</w:t>
            </w:r>
          </w:p>
        </w:tc>
        <w:tc>
          <w:tcPr>
            <w:tcW w:w="954" w:type="pct"/>
            <w:tcBorders>
              <w:top w:val="single" w:sz="6" w:space="0" w:color="auto"/>
              <w:left w:val="single" w:sz="6" w:space="0" w:color="auto"/>
              <w:bottom w:val="single" w:sz="6" w:space="0" w:color="auto"/>
              <w:right w:val="single" w:sz="6" w:space="0" w:color="auto"/>
            </w:tcBorders>
            <w:hideMark/>
          </w:tcPr>
          <w:p w14:paraId="1AD1F9D1"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0469807A" w14:textId="77777777" w:rsidR="00B170A3" w:rsidRPr="00685E7E" w:rsidRDefault="00B170A3">
            <w:pPr>
              <w:rPr>
                <w:sz w:val="22"/>
                <w:szCs w:val="22"/>
              </w:rPr>
            </w:pPr>
            <w:r w:rsidRPr="00685E7E">
              <w:rPr>
                <w:sz w:val="22"/>
                <w:szCs w:val="22"/>
              </w:rPr>
              <w:t>Hovedpine</w:t>
            </w:r>
            <w:r w:rsidRPr="00685E7E">
              <w:rPr>
                <w:sz w:val="22"/>
                <w:szCs w:val="22"/>
                <w:vertAlign w:val="superscript"/>
                <w:lang w:val="en-US"/>
              </w:rPr>
              <w:t xml:space="preserve"> b</w:t>
            </w:r>
          </w:p>
        </w:tc>
        <w:tc>
          <w:tcPr>
            <w:tcW w:w="954" w:type="pct"/>
            <w:tcBorders>
              <w:top w:val="single" w:sz="6" w:space="0" w:color="auto"/>
              <w:left w:val="single" w:sz="6" w:space="0" w:color="auto"/>
              <w:bottom w:val="single" w:sz="6" w:space="0" w:color="auto"/>
              <w:right w:val="single" w:sz="6" w:space="0" w:color="auto"/>
            </w:tcBorders>
            <w:hideMark/>
          </w:tcPr>
          <w:p w14:paraId="5E72689D"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hideMark/>
          </w:tcPr>
          <w:p w14:paraId="662433E3" w14:textId="77777777" w:rsidR="00B170A3" w:rsidRPr="00685E7E" w:rsidRDefault="00B170A3">
            <w:pPr>
              <w:rPr>
                <w:sz w:val="22"/>
                <w:szCs w:val="22"/>
              </w:rPr>
            </w:pPr>
            <w:r w:rsidRPr="00685E7E">
              <w:rPr>
                <w:sz w:val="22"/>
                <w:szCs w:val="22"/>
              </w:rPr>
              <w:t xml:space="preserve">Neuralgi, </w:t>
            </w:r>
            <w:proofErr w:type="spellStart"/>
            <w:r w:rsidRPr="00685E7E">
              <w:rPr>
                <w:sz w:val="22"/>
                <w:szCs w:val="22"/>
              </w:rPr>
              <w:t>paræsthesi</w:t>
            </w:r>
            <w:proofErr w:type="spellEnd"/>
            <w:r w:rsidRPr="00685E7E">
              <w:rPr>
                <w:sz w:val="22"/>
                <w:szCs w:val="22"/>
              </w:rPr>
              <w:t>, feberkramper, neurolo</w:t>
            </w:r>
            <w:r w:rsidRPr="00685E7E">
              <w:rPr>
                <w:sz w:val="22"/>
                <w:szCs w:val="22"/>
              </w:rPr>
              <w:softHyphen/>
              <w:t>giske for</w:t>
            </w:r>
            <w:r w:rsidRPr="00685E7E">
              <w:rPr>
                <w:sz w:val="22"/>
                <w:szCs w:val="22"/>
              </w:rPr>
              <w:softHyphen/>
              <w:t>styr</w:t>
            </w:r>
            <w:r w:rsidRPr="00685E7E">
              <w:rPr>
                <w:sz w:val="22"/>
                <w:szCs w:val="22"/>
              </w:rPr>
              <w:softHyphen/>
              <w:t xml:space="preserve">relser så som </w:t>
            </w:r>
            <w:proofErr w:type="spellStart"/>
            <w:r w:rsidRPr="00685E7E">
              <w:rPr>
                <w:sz w:val="22"/>
                <w:szCs w:val="22"/>
              </w:rPr>
              <w:t>ence</w:t>
            </w:r>
            <w:r w:rsidRPr="00685E7E">
              <w:rPr>
                <w:sz w:val="22"/>
                <w:szCs w:val="22"/>
              </w:rPr>
              <w:softHyphen/>
              <w:t>falo</w:t>
            </w:r>
            <w:r w:rsidRPr="00685E7E">
              <w:rPr>
                <w:sz w:val="22"/>
                <w:szCs w:val="22"/>
              </w:rPr>
              <w:softHyphen/>
              <w:t>myelitis</w:t>
            </w:r>
            <w:proofErr w:type="spellEnd"/>
            <w:r w:rsidRPr="00685E7E">
              <w:rPr>
                <w:sz w:val="22"/>
                <w:szCs w:val="22"/>
              </w:rPr>
              <w:t>, nerve</w:t>
            </w:r>
            <w:r w:rsidRPr="00685E7E">
              <w:rPr>
                <w:sz w:val="22"/>
                <w:szCs w:val="22"/>
              </w:rPr>
              <w:softHyphen/>
              <w:t>betæn</w:t>
            </w:r>
            <w:r w:rsidRPr="00685E7E">
              <w:rPr>
                <w:sz w:val="22"/>
                <w:szCs w:val="22"/>
              </w:rPr>
              <w:softHyphen/>
              <w:t xml:space="preserve">delse og </w:t>
            </w:r>
            <w:proofErr w:type="spellStart"/>
            <w:r w:rsidRPr="00685E7E">
              <w:rPr>
                <w:sz w:val="22"/>
                <w:szCs w:val="22"/>
              </w:rPr>
              <w:t>Guillain</w:t>
            </w:r>
            <w:proofErr w:type="spellEnd"/>
            <w:r w:rsidRPr="00685E7E">
              <w:rPr>
                <w:sz w:val="22"/>
                <w:szCs w:val="22"/>
              </w:rPr>
              <w:t xml:space="preserve"> </w:t>
            </w:r>
            <w:proofErr w:type="spellStart"/>
            <w:r w:rsidRPr="00685E7E">
              <w:rPr>
                <w:sz w:val="22"/>
                <w:szCs w:val="22"/>
              </w:rPr>
              <w:t>Barré</w:t>
            </w:r>
            <w:proofErr w:type="spellEnd"/>
            <w:r w:rsidRPr="00685E7E">
              <w:rPr>
                <w:sz w:val="22"/>
                <w:szCs w:val="22"/>
              </w:rPr>
              <w:t xml:space="preserve"> syndrom.</w:t>
            </w:r>
          </w:p>
        </w:tc>
      </w:tr>
      <w:tr w:rsidR="00B170A3" w:rsidRPr="00685E7E" w14:paraId="50D143AE"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6BF4D2AD" w14:textId="77777777" w:rsidR="00B170A3" w:rsidRPr="00685E7E" w:rsidRDefault="00B170A3">
            <w:pPr>
              <w:rPr>
                <w:bCs/>
                <w:sz w:val="22"/>
                <w:szCs w:val="22"/>
              </w:rPr>
            </w:pPr>
            <w:proofErr w:type="spellStart"/>
            <w:r w:rsidRPr="00685E7E">
              <w:rPr>
                <w:bCs/>
                <w:sz w:val="22"/>
                <w:szCs w:val="22"/>
              </w:rPr>
              <w:t>Vaskulære</w:t>
            </w:r>
            <w:proofErr w:type="spellEnd"/>
            <w:r w:rsidRPr="00685E7E">
              <w:rPr>
                <w:bCs/>
                <w:sz w:val="22"/>
                <w:szCs w:val="22"/>
              </w:rPr>
              <w:t xml:space="preserve"> sygdomme</w:t>
            </w:r>
          </w:p>
        </w:tc>
        <w:tc>
          <w:tcPr>
            <w:tcW w:w="954" w:type="pct"/>
            <w:tcBorders>
              <w:top w:val="single" w:sz="6" w:space="0" w:color="auto"/>
              <w:left w:val="single" w:sz="6" w:space="0" w:color="auto"/>
              <w:bottom w:val="single" w:sz="6" w:space="0" w:color="auto"/>
              <w:right w:val="single" w:sz="6" w:space="0" w:color="auto"/>
            </w:tcBorders>
            <w:hideMark/>
          </w:tcPr>
          <w:p w14:paraId="2A4315C9"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6AA778E3"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35D5977F"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hideMark/>
          </w:tcPr>
          <w:p w14:paraId="5E21C6B7" w14:textId="77777777" w:rsidR="00B170A3" w:rsidRPr="00685E7E" w:rsidRDefault="00B170A3">
            <w:pPr>
              <w:rPr>
                <w:sz w:val="22"/>
                <w:szCs w:val="22"/>
              </w:rPr>
            </w:pPr>
            <w:proofErr w:type="spellStart"/>
            <w:r w:rsidRPr="00685E7E">
              <w:rPr>
                <w:sz w:val="22"/>
                <w:szCs w:val="22"/>
              </w:rPr>
              <w:t>Vaskulitis</w:t>
            </w:r>
            <w:proofErr w:type="spellEnd"/>
            <w:r w:rsidRPr="00685E7E">
              <w:rPr>
                <w:sz w:val="22"/>
                <w:szCs w:val="22"/>
              </w:rPr>
              <w:t xml:space="preserve">, i meget sjældne tilfælde med forbigående </w:t>
            </w:r>
            <w:proofErr w:type="spellStart"/>
            <w:r w:rsidRPr="00685E7E">
              <w:rPr>
                <w:sz w:val="22"/>
                <w:szCs w:val="22"/>
              </w:rPr>
              <w:t>renal</w:t>
            </w:r>
            <w:proofErr w:type="spellEnd"/>
            <w:r w:rsidRPr="00685E7E">
              <w:rPr>
                <w:sz w:val="22"/>
                <w:szCs w:val="22"/>
              </w:rPr>
              <w:t xml:space="preserve"> påvirkning.</w:t>
            </w:r>
          </w:p>
        </w:tc>
      </w:tr>
      <w:tr w:rsidR="00B170A3" w:rsidRPr="00685E7E" w14:paraId="20FBA3FF"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071E44F4" w14:textId="77777777" w:rsidR="00B170A3" w:rsidRPr="00685E7E" w:rsidRDefault="00B170A3">
            <w:pPr>
              <w:rPr>
                <w:bCs/>
                <w:sz w:val="22"/>
                <w:szCs w:val="22"/>
              </w:rPr>
            </w:pPr>
            <w:r w:rsidRPr="00685E7E">
              <w:rPr>
                <w:bCs/>
                <w:sz w:val="22"/>
                <w:szCs w:val="22"/>
              </w:rPr>
              <w:t>Hud og subkutane væv</w:t>
            </w:r>
          </w:p>
        </w:tc>
        <w:tc>
          <w:tcPr>
            <w:tcW w:w="954" w:type="pct"/>
            <w:tcBorders>
              <w:top w:val="single" w:sz="6" w:space="0" w:color="auto"/>
              <w:left w:val="single" w:sz="6" w:space="0" w:color="auto"/>
              <w:bottom w:val="single" w:sz="6" w:space="0" w:color="auto"/>
              <w:right w:val="single" w:sz="6" w:space="0" w:color="auto"/>
            </w:tcBorders>
            <w:hideMark/>
          </w:tcPr>
          <w:p w14:paraId="2F47F6D8"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76D58AC4" w14:textId="77777777" w:rsidR="00B170A3" w:rsidRPr="00685E7E" w:rsidRDefault="00B170A3">
            <w:pPr>
              <w:rPr>
                <w:sz w:val="22"/>
                <w:szCs w:val="22"/>
              </w:rPr>
            </w:pPr>
            <w:r w:rsidRPr="00685E7E">
              <w:rPr>
                <w:sz w:val="22"/>
                <w:szCs w:val="22"/>
              </w:rPr>
              <w:t>Svedeture</w:t>
            </w:r>
            <w:r w:rsidRPr="00685E7E">
              <w:rPr>
                <w:sz w:val="22"/>
                <w:szCs w:val="22"/>
                <w:vertAlign w:val="superscript"/>
                <w:lang w:val="en-US"/>
              </w:rPr>
              <w:t xml:space="preserve"> b</w:t>
            </w:r>
          </w:p>
        </w:tc>
        <w:tc>
          <w:tcPr>
            <w:tcW w:w="954" w:type="pct"/>
            <w:tcBorders>
              <w:top w:val="single" w:sz="6" w:space="0" w:color="auto"/>
              <w:left w:val="single" w:sz="6" w:space="0" w:color="auto"/>
              <w:bottom w:val="single" w:sz="6" w:space="0" w:color="auto"/>
              <w:right w:val="single" w:sz="6" w:space="0" w:color="auto"/>
            </w:tcBorders>
            <w:hideMark/>
          </w:tcPr>
          <w:p w14:paraId="79397A49"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hideMark/>
          </w:tcPr>
          <w:p w14:paraId="2D1530BE" w14:textId="77777777" w:rsidR="00B170A3" w:rsidRPr="00685E7E" w:rsidRDefault="00B170A3">
            <w:pPr>
              <w:rPr>
                <w:sz w:val="22"/>
                <w:szCs w:val="22"/>
              </w:rPr>
            </w:pPr>
            <w:r w:rsidRPr="00685E7E">
              <w:rPr>
                <w:sz w:val="22"/>
                <w:szCs w:val="22"/>
              </w:rPr>
              <w:t>Generaliserede hud</w:t>
            </w:r>
            <w:r w:rsidRPr="00685E7E">
              <w:rPr>
                <w:sz w:val="22"/>
                <w:szCs w:val="22"/>
              </w:rPr>
              <w:softHyphen/>
              <w:t>reaktioner omfattende kløe, nældefeber eller uspecifikt udslæt.</w:t>
            </w:r>
          </w:p>
        </w:tc>
      </w:tr>
      <w:tr w:rsidR="00B170A3" w:rsidRPr="00685E7E" w14:paraId="3974B065"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70CF1F3D" w14:textId="77777777" w:rsidR="00B170A3" w:rsidRPr="00685E7E" w:rsidRDefault="00B170A3">
            <w:pPr>
              <w:rPr>
                <w:bCs/>
                <w:sz w:val="22"/>
                <w:szCs w:val="22"/>
              </w:rPr>
            </w:pPr>
            <w:r w:rsidRPr="00685E7E">
              <w:rPr>
                <w:bCs/>
                <w:sz w:val="22"/>
                <w:szCs w:val="22"/>
              </w:rPr>
              <w:t>Knogler, led, muskler og bindevæv</w:t>
            </w:r>
          </w:p>
        </w:tc>
        <w:tc>
          <w:tcPr>
            <w:tcW w:w="954" w:type="pct"/>
            <w:tcBorders>
              <w:top w:val="single" w:sz="6" w:space="0" w:color="auto"/>
              <w:left w:val="single" w:sz="6" w:space="0" w:color="auto"/>
              <w:bottom w:val="single" w:sz="6" w:space="0" w:color="auto"/>
              <w:right w:val="single" w:sz="6" w:space="0" w:color="auto"/>
            </w:tcBorders>
            <w:hideMark/>
          </w:tcPr>
          <w:p w14:paraId="54EE4A70"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54AA9E73" w14:textId="77777777" w:rsidR="00B170A3" w:rsidRPr="00685E7E" w:rsidRDefault="00B170A3">
            <w:pPr>
              <w:rPr>
                <w:sz w:val="22"/>
                <w:szCs w:val="22"/>
              </w:rPr>
            </w:pPr>
            <w:r w:rsidRPr="00685E7E">
              <w:rPr>
                <w:sz w:val="22"/>
                <w:szCs w:val="22"/>
              </w:rPr>
              <w:t xml:space="preserve">Myalgi, </w:t>
            </w:r>
            <w:proofErr w:type="spellStart"/>
            <w:r w:rsidRPr="00685E7E">
              <w:rPr>
                <w:sz w:val="22"/>
                <w:szCs w:val="22"/>
              </w:rPr>
              <w:t>artralgi</w:t>
            </w:r>
            <w:proofErr w:type="spellEnd"/>
            <w:r w:rsidRPr="00685E7E">
              <w:rPr>
                <w:sz w:val="22"/>
                <w:szCs w:val="22"/>
                <w:vertAlign w:val="superscript"/>
                <w:lang w:val="en-US"/>
              </w:rPr>
              <w:t xml:space="preserve"> b</w:t>
            </w:r>
          </w:p>
        </w:tc>
        <w:tc>
          <w:tcPr>
            <w:tcW w:w="954" w:type="pct"/>
            <w:tcBorders>
              <w:top w:val="single" w:sz="6" w:space="0" w:color="auto"/>
              <w:left w:val="single" w:sz="6" w:space="0" w:color="auto"/>
              <w:bottom w:val="single" w:sz="6" w:space="0" w:color="auto"/>
              <w:right w:val="single" w:sz="6" w:space="0" w:color="auto"/>
            </w:tcBorders>
            <w:hideMark/>
          </w:tcPr>
          <w:p w14:paraId="308D93F8"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tcPr>
          <w:p w14:paraId="4272640A" w14:textId="77777777" w:rsidR="00B170A3" w:rsidRPr="00685E7E" w:rsidRDefault="00B170A3">
            <w:pPr>
              <w:rPr>
                <w:sz w:val="22"/>
                <w:szCs w:val="22"/>
              </w:rPr>
            </w:pPr>
          </w:p>
        </w:tc>
      </w:tr>
      <w:tr w:rsidR="00B170A3" w:rsidRPr="00685E7E" w14:paraId="61308F16" w14:textId="77777777" w:rsidTr="002479E4">
        <w:trPr>
          <w:cantSplit/>
        </w:trPr>
        <w:tc>
          <w:tcPr>
            <w:tcW w:w="924" w:type="pct"/>
            <w:tcBorders>
              <w:top w:val="single" w:sz="6" w:space="0" w:color="auto"/>
              <w:left w:val="single" w:sz="6" w:space="0" w:color="auto"/>
              <w:bottom w:val="single" w:sz="6" w:space="0" w:color="auto"/>
              <w:right w:val="single" w:sz="6" w:space="0" w:color="auto"/>
            </w:tcBorders>
            <w:hideMark/>
          </w:tcPr>
          <w:p w14:paraId="4C9FE796" w14:textId="77777777" w:rsidR="00B170A3" w:rsidRPr="00685E7E" w:rsidRDefault="00B170A3">
            <w:pPr>
              <w:rPr>
                <w:bCs/>
                <w:sz w:val="22"/>
                <w:szCs w:val="22"/>
              </w:rPr>
            </w:pPr>
            <w:r w:rsidRPr="00685E7E">
              <w:rPr>
                <w:bCs/>
                <w:sz w:val="22"/>
                <w:szCs w:val="22"/>
              </w:rPr>
              <w:t>Almene symptomer og reaktion er på administrations</w:t>
            </w:r>
            <w:r w:rsidRPr="00685E7E">
              <w:rPr>
                <w:bCs/>
                <w:sz w:val="22"/>
                <w:szCs w:val="22"/>
              </w:rPr>
              <w:softHyphen/>
              <w:t>stedet</w:t>
            </w:r>
          </w:p>
        </w:tc>
        <w:tc>
          <w:tcPr>
            <w:tcW w:w="954" w:type="pct"/>
            <w:tcBorders>
              <w:top w:val="single" w:sz="6" w:space="0" w:color="auto"/>
              <w:left w:val="single" w:sz="6" w:space="0" w:color="auto"/>
              <w:bottom w:val="single" w:sz="6" w:space="0" w:color="auto"/>
              <w:right w:val="single" w:sz="6" w:space="0" w:color="auto"/>
            </w:tcBorders>
            <w:hideMark/>
          </w:tcPr>
          <w:p w14:paraId="2D84379D" w14:textId="77777777" w:rsidR="00B170A3" w:rsidRPr="00685E7E" w:rsidRDefault="00B170A3">
            <w:pPr>
              <w:rPr>
                <w:sz w:val="22"/>
                <w:szCs w:val="22"/>
              </w:rPr>
            </w:pPr>
            <w:r w:rsidRPr="00685E7E">
              <w:rPr>
                <w:sz w:val="22"/>
                <w:szCs w:val="22"/>
              </w:rPr>
              <w:t>-</w:t>
            </w:r>
          </w:p>
        </w:tc>
        <w:tc>
          <w:tcPr>
            <w:tcW w:w="954" w:type="pct"/>
            <w:tcBorders>
              <w:top w:val="single" w:sz="6" w:space="0" w:color="auto"/>
              <w:left w:val="single" w:sz="6" w:space="0" w:color="auto"/>
              <w:bottom w:val="single" w:sz="6" w:space="0" w:color="auto"/>
              <w:right w:val="single" w:sz="6" w:space="0" w:color="auto"/>
            </w:tcBorders>
            <w:hideMark/>
          </w:tcPr>
          <w:p w14:paraId="44565EDF" w14:textId="77777777" w:rsidR="00B170A3" w:rsidRPr="00685E7E" w:rsidRDefault="00B170A3">
            <w:pPr>
              <w:rPr>
                <w:sz w:val="22"/>
                <w:szCs w:val="22"/>
              </w:rPr>
            </w:pPr>
            <w:r w:rsidRPr="00685E7E">
              <w:rPr>
                <w:sz w:val="22"/>
                <w:szCs w:val="22"/>
              </w:rPr>
              <w:t>Feber, utilpashed, kulde</w:t>
            </w:r>
            <w:r w:rsidRPr="00685E7E">
              <w:rPr>
                <w:sz w:val="22"/>
                <w:szCs w:val="22"/>
              </w:rPr>
              <w:softHyphen/>
              <w:t>rystelser. Træthed. Lokale reak</w:t>
            </w:r>
            <w:r w:rsidRPr="00685E7E">
              <w:rPr>
                <w:sz w:val="22"/>
                <w:szCs w:val="22"/>
              </w:rPr>
              <w:softHyphen/>
              <w:t xml:space="preserve">tioner: Rødme, hævelse, smerter, blodudtrædning, </w:t>
            </w:r>
            <w:proofErr w:type="spellStart"/>
            <w:r w:rsidRPr="00685E7E">
              <w:rPr>
                <w:sz w:val="22"/>
                <w:szCs w:val="22"/>
              </w:rPr>
              <w:t>induration</w:t>
            </w:r>
            <w:proofErr w:type="spellEnd"/>
            <w:r w:rsidRPr="00685E7E">
              <w:rPr>
                <w:sz w:val="22"/>
                <w:szCs w:val="22"/>
                <w:vertAlign w:val="superscript"/>
              </w:rPr>
              <w:t xml:space="preserve"> b</w:t>
            </w:r>
          </w:p>
        </w:tc>
        <w:tc>
          <w:tcPr>
            <w:tcW w:w="954" w:type="pct"/>
            <w:tcBorders>
              <w:top w:val="single" w:sz="6" w:space="0" w:color="auto"/>
              <w:left w:val="single" w:sz="6" w:space="0" w:color="auto"/>
              <w:bottom w:val="single" w:sz="6" w:space="0" w:color="auto"/>
              <w:right w:val="single" w:sz="6" w:space="0" w:color="auto"/>
            </w:tcBorders>
            <w:hideMark/>
          </w:tcPr>
          <w:p w14:paraId="40826CE0" w14:textId="77777777" w:rsidR="00B170A3" w:rsidRPr="00685E7E" w:rsidRDefault="00B170A3">
            <w:pPr>
              <w:rPr>
                <w:sz w:val="22"/>
                <w:szCs w:val="22"/>
              </w:rPr>
            </w:pPr>
            <w:r w:rsidRPr="00685E7E">
              <w:rPr>
                <w:sz w:val="22"/>
                <w:szCs w:val="22"/>
              </w:rPr>
              <w:t>-</w:t>
            </w:r>
          </w:p>
        </w:tc>
        <w:tc>
          <w:tcPr>
            <w:tcW w:w="1214" w:type="pct"/>
            <w:tcBorders>
              <w:top w:val="single" w:sz="6" w:space="0" w:color="auto"/>
              <w:left w:val="single" w:sz="6" w:space="0" w:color="auto"/>
              <w:bottom w:val="single" w:sz="6" w:space="0" w:color="auto"/>
              <w:right w:val="single" w:sz="6" w:space="0" w:color="auto"/>
            </w:tcBorders>
          </w:tcPr>
          <w:p w14:paraId="66979B60" w14:textId="77777777" w:rsidR="00B170A3" w:rsidRPr="00685E7E" w:rsidRDefault="00B170A3">
            <w:pPr>
              <w:rPr>
                <w:sz w:val="22"/>
                <w:szCs w:val="22"/>
              </w:rPr>
            </w:pPr>
          </w:p>
        </w:tc>
      </w:tr>
      <w:tr w:rsidR="00B170A3" w:rsidRPr="00685E7E" w14:paraId="7986074C" w14:textId="77777777" w:rsidTr="002479E4">
        <w:trPr>
          <w:cantSplit/>
        </w:trPr>
        <w:tc>
          <w:tcPr>
            <w:tcW w:w="5000" w:type="pct"/>
            <w:gridSpan w:val="5"/>
            <w:tcBorders>
              <w:top w:val="single" w:sz="6" w:space="0" w:color="auto"/>
              <w:left w:val="single" w:sz="6" w:space="0" w:color="auto"/>
              <w:bottom w:val="single" w:sz="6" w:space="0" w:color="auto"/>
              <w:right w:val="single" w:sz="6" w:space="0" w:color="auto"/>
            </w:tcBorders>
            <w:hideMark/>
          </w:tcPr>
          <w:p w14:paraId="1EEE1756" w14:textId="3C76F8D0" w:rsidR="00B170A3" w:rsidRPr="00685E7E" w:rsidRDefault="00B170A3" w:rsidP="00685E7E">
            <w:pPr>
              <w:ind w:left="164" w:hanging="164"/>
              <w:rPr>
                <w:sz w:val="22"/>
                <w:szCs w:val="22"/>
              </w:rPr>
            </w:pPr>
            <w:r w:rsidRPr="00685E7E">
              <w:rPr>
                <w:sz w:val="22"/>
                <w:szCs w:val="22"/>
                <w:vertAlign w:val="superscript"/>
              </w:rPr>
              <w:t>a</w:t>
            </w:r>
            <w:r w:rsidRPr="00685E7E">
              <w:rPr>
                <w:sz w:val="22"/>
                <w:szCs w:val="22"/>
              </w:rPr>
              <w:t xml:space="preserve"> </w:t>
            </w:r>
            <w:r w:rsidR="00685E7E">
              <w:rPr>
                <w:sz w:val="22"/>
                <w:szCs w:val="22"/>
              </w:rPr>
              <w:tab/>
            </w:r>
            <w:r w:rsidRPr="00685E7E">
              <w:rPr>
                <w:sz w:val="22"/>
                <w:szCs w:val="22"/>
              </w:rPr>
              <w:t>Da disse reaktioner rapporteres frivilligt fra en population af usikker størrelse, er det ikke muligt at estimere deres frekvens med sikkerhed eller etablere en årsagssammenhæng med lægemiddel</w:t>
            </w:r>
            <w:r w:rsidRPr="00685E7E">
              <w:rPr>
                <w:sz w:val="22"/>
                <w:szCs w:val="22"/>
              </w:rPr>
              <w:softHyphen/>
              <w:t>eksponeringen.</w:t>
            </w:r>
          </w:p>
          <w:p w14:paraId="2F01F7A3" w14:textId="3B340B92" w:rsidR="00B170A3" w:rsidRPr="00685E7E" w:rsidRDefault="00B170A3" w:rsidP="00685E7E">
            <w:pPr>
              <w:ind w:left="164" w:hanging="164"/>
              <w:rPr>
                <w:sz w:val="22"/>
                <w:szCs w:val="22"/>
              </w:rPr>
            </w:pPr>
            <w:r w:rsidRPr="00685E7E">
              <w:rPr>
                <w:sz w:val="22"/>
                <w:szCs w:val="22"/>
                <w:vertAlign w:val="superscript"/>
              </w:rPr>
              <w:t xml:space="preserve">b </w:t>
            </w:r>
            <w:r w:rsidR="00685E7E">
              <w:rPr>
                <w:sz w:val="22"/>
                <w:szCs w:val="22"/>
                <w:vertAlign w:val="superscript"/>
              </w:rPr>
              <w:tab/>
            </w:r>
            <w:r w:rsidRPr="00685E7E">
              <w:rPr>
                <w:sz w:val="22"/>
                <w:szCs w:val="22"/>
              </w:rPr>
              <w:t xml:space="preserve">Disse reaktioner forsvinder som regel inden for 1-2 dage uden behandling. </w:t>
            </w:r>
          </w:p>
        </w:tc>
      </w:tr>
    </w:tbl>
    <w:p w14:paraId="25D2DBB5" w14:textId="77777777" w:rsidR="00B170A3" w:rsidRPr="00685E7E" w:rsidRDefault="00B170A3" w:rsidP="00B170A3">
      <w:pPr>
        <w:ind w:left="851" w:hanging="851"/>
        <w:rPr>
          <w:spacing w:val="-3"/>
          <w:sz w:val="24"/>
          <w:szCs w:val="24"/>
        </w:rPr>
      </w:pPr>
    </w:p>
    <w:p w14:paraId="25437437" w14:textId="77777777" w:rsidR="00B170A3" w:rsidRPr="00685E7E" w:rsidRDefault="00B170A3" w:rsidP="00B170A3">
      <w:pPr>
        <w:pStyle w:val="Bloktekst"/>
        <w:tabs>
          <w:tab w:val="clear" w:pos="-851"/>
          <w:tab w:val="clear" w:pos="851"/>
          <w:tab w:val="left" w:pos="1304"/>
        </w:tabs>
        <w:rPr>
          <w:szCs w:val="24"/>
          <w:u w:val="single"/>
        </w:rPr>
      </w:pPr>
      <w:r w:rsidRPr="00685E7E">
        <w:rPr>
          <w:szCs w:val="24"/>
          <w:u w:val="single"/>
        </w:rPr>
        <w:t>Indberetning af formodede bivirkninger</w:t>
      </w:r>
    </w:p>
    <w:p w14:paraId="27CE2412" w14:textId="77777777" w:rsidR="00B170A3" w:rsidRPr="00685E7E" w:rsidRDefault="00B170A3" w:rsidP="00B170A3">
      <w:pPr>
        <w:pStyle w:val="Bloktekst"/>
        <w:tabs>
          <w:tab w:val="clear" w:pos="-851"/>
          <w:tab w:val="clear" w:pos="851"/>
          <w:tab w:val="left" w:pos="1304"/>
        </w:tabs>
        <w:rPr>
          <w:szCs w:val="24"/>
        </w:rPr>
      </w:pPr>
      <w:r w:rsidRPr="00685E7E">
        <w:rPr>
          <w:szCs w:val="24"/>
        </w:rPr>
        <w:t>Når lægemidlet er godkendt, er indberetning af formodede bivirkninger vigtig. Det muliggør løbende overvågning af benefit/</w:t>
      </w:r>
      <w:proofErr w:type="spellStart"/>
      <w:r w:rsidRPr="00685E7E">
        <w:rPr>
          <w:szCs w:val="24"/>
        </w:rPr>
        <w:t>risk</w:t>
      </w:r>
      <w:proofErr w:type="spellEnd"/>
      <w:r w:rsidRPr="00685E7E">
        <w:rPr>
          <w:szCs w:val="24"/>
        </w:rPr>
        <w:t xml:space="preserve">-forholdet for lægemidlet. Sundhedspersoner anmodes om at indberette alle formodede bivirkninger via: </w:t>
      </w:r>
    </w:p>
    <w:p w14:paraId="2A4A81F5" w14:textId="77777777" w:rsidR="00B170A3" w:rsidRPr="00685E7E" w:rsidRDefault="00B170A3" w:rsidP="00B170A3">
      <w:pPr>
        <w:pStyle w:val="Bloktekst"/>
        <w:tabs>
          <w:tab w:val="clear" w:pos="-851"/>
          <w:tab w:val="clear" w:pos="851"/>
          <w:tab w:val="left" w:pos="1304"/>
        </w:tabs>
        <w:rPr>
          <w:szCs w:val="24"/>
        </w:rPr>
      </w:pPr>
    </w:p>
    <w:p w14:paraId="07686F6C" w14:textId="77777777" w:rsidR="00B170A3" w:rsidRPr="00685E7E" w:rsidRDefault="00B170A3" w:rsidP="00B170A3">
      <w:pPr>
        <w:pStyle w:val="Bloktekst"/>
        <w:tabs>
          <w:tab w:val="clear" w:pos="-851"/>
          <w:tab w:val="clear" w:pos="851"/>
          <w:tab w:val="left" w:pos="1304"/>
        </w:tabs>
        <w:rPr>
          <w:szCs w:val="24"/>
        </w:rPr>
      </w:pPr>
      <w:r w:rsidRPr="00685E7E">
        <w:rPr>
          <w:szCs w:val="24"/>
        </w:rPr>
        <w:t>Lægemiddelstyrelsen</w:t>
      </w:r>
    </w:p>
    <w:p w14:paraId="4C87266D" w14:textId="77777777" w:rsidR="00B170A3" w:rsidRPr="00685E7E" w:rsidRDefault="00B170A3" w:rsidP="00B170A3">
      <w:pPr>
        <w:pStyle w:val="Bloktekst"/>
        <w:tabs>
          <w:tab w:val="clear" w:pos="-851"/>
          <w:tab w:val="clear" w:pos="851"/>
          <w:tab w:val="left" w:pos="1304"/>
        </w:tabs>
        <w:rPr>
          <w:szCs w:val="24"/>
        </w:rPr>
      </w:pPr>
      <w:r w:rsidRPr="00685E7E">
        <w:rPr>
          <w:szCs w:val="24"/>
        </w:rPr>
        <w:t>Axel Heides Gade 1</w:t>
      </w:r>
    </w:p>
    <w:p w14:paraId="77D9F32B" w14:textId="77777777" w:rsidR="00B170A3" w:rsidRPr="00685E7E" w:rsidRDefault="00B170A3" w:rsidP="00B170A3">
      <w:pPr>
        <w:pStyle w:val="Bloktekst"/>
        <w:tabs>
          <w:tab w:val="clear" w:pos="-851"/>
          <w:tab w:val="clear" w:pos="851"/>
          <w:tab w:val="left" w:pos="1304"/>
        </w:tabs>
        <w:rPr>
          <w:szCs w:val="24"/>
        </w:rPr>
      </w:pPr>
      <w:r w:rsidRPr="00685E7E">
        <w:rPr>
          <w:szCs w:val="24"/>
        </w:rPr>
        <w:t>DK-2300 København S.</w:t>
      </w:r>
    </w:p>
    <w:p w14:paraId="7F52B513" w14:textId="77777777" w:rsidR="00B170A3" w:rsidRPr="00685E7E" w:rsidRDefault="00B170A3" w:rsidP="00B170A3">
      <w:pPr>
        <w:pStyle w:val="Bloktekst"/>
        <w:tabs>
          <w:tab w:val="clear" w:pos="-851"/>
          <w:tab w:val="clear" w:pos="851"/>
          <w:tab w:val="left" w:pos="1304"/>
        </w:tabs>
        <w:rPr>
          <w:szCs w:val="24"/>
        </w:rPr>
      </w:pPr>
      <w:r w:rsidRPr="00685E7E">
        <w:rPr>
          <w:szCs w:val="24"/>
        </w:rPr>
        <w:t xml:space="preserve">Websted: </w:t>
      </w:r>
      <w:hyperlink r:id="rId8" w:history="1">
        <w:r w:rsidRPr="00685E7E">
          <w:rPr>
            <w:rStyle w:val="Hyperlink"/>
            <w:szCs w:val="24"/>
          </w:rPr>
          <w:t>www.meldenbivirkning.dk</w:t>
        </w:r>
      </w:hyperlink>
      <w:r w:rsidRPr="00685E7E">
        <w:rPr>
          <w:szCs w:val="24"/>
        </w:rPr>
        <w:t xml:space="preserve"> </w:t>
      </w:r>
    </w:p>
    <w:p w14:paraId="097F0F75" w14:textId="480F28F9" w:rsidR="00F22617" w:rsidRDefault="00F22617">
      <w:pPr>
        <w:rPr>
          <w:sz w:val="24"/>
          <w:szCs w:val="24"/>
        </w:rPr>
      </w:pPr>
      <w:r>
        <w:rPr>
          <w:sz w:val="24"/>
          <w:szCs w:val="24"/>
        </w:rPr>
        <w:br w:type="page"/>
      </w:r>
    </w:p>
    <w:p w14:paraId="08A3B61F" w14:textId="77777777" w:rsidR="009260DE" w:rsidRPr="00685E7E" w:rsidRDefault="009260DE" w:rsidP="00A10294">
      <w:pPr>
        <w:tabs>
          <w:tab w:val="left" w:pos="851"/>
        </w:tabs>
        <w:ind w:left="851"/>
        <w:rPr>
          <w:sz w:val="24"/>
          <w:szCs w:val="24"/>
        </w:rPr>
      </w:pPr>
    </w:p>
    <w:p w14:paraId="6A80A0BE" w14:textId="77777777" w:rsidR="009260DE" w:rsidRPr="00685E7E" w:rsidRDefault="009260DE" w:rsidP="009260DE">
      <w:pPr>
        <w:tabs>
          <w:tab w:val="left" w:pos="851"/>
        </w:tabs>
        <w:ind w:left="851" w:hanging="851"/>
        <w:rPr>
          <w:b/>
          <w:sz w:val="24"/>
          <w:szCs w:val="24"/>
        </w:rPr>
      </w:pPr>
      <w:r w:rsidRPr="00685E7E">
        <w:rPr>
          <w:b/>
          <w:sz w:val="24"/>
          <w:szCs w:val="24"/>
        </w:rPr>
        <w:t>4.9</w:t>
      </w:r>
      <w:r w:rsidRPr="00685E7E">
        <w:rPr>
          <w:b/>
          <w:sz w:val="24"/>
          <w:szCs w:val="24"/>
        </w:rPr>
        <w:tab/>
        <w:t>Overdosering</w:t>
      </w:r>
    </w:p>
    <w:p w14:paraId="0FF41A84" w14:textId="77777777" w:rsidR="00B170A3" w:rsidRPr="00685E7E" w:rsidRDefault="00B170A3" w:rsidP="00B170A3">
      <w:pPr>
        <w:ind w:left="851"/>
        <w:rPr>
          <w:spacing w:val="-3"/>
          <w:sz w:val="24"/>
          <w:szCs w:val="24"/>
          <w:lang w:eastAsia="da-DK"/>
        </w:rPr>
      </w:pPr>
      <w:r w:rsidRPr="00685E7E">
        <w:rPr>
          <w:spacing w:val="-3"/>
          <w:sz w:val="24"/>
          <w:szCs w:val="24"/>
        </w:rPr>
        <w:t>Det er usandsynligt, at en overdosering vil give nogen uønsket effekt.</w:t>
      </w:r>
    </w:p>
    <w:p w14:paraId="120FA7BA" w14:textId="77777777" w:rsidR="009260DE" w:rsidRPr="00685E7E" w:rsidRDefault="009260DE" w:rsidP="009260DE">
      <w:pPr>
        <w:tabs>
          <w:tab w:val="left" w:pos="851"/>
        </w:tabs>
        <w:ind w:left="851"/>
        <w:rPr>
          <w:sz w:val="24"/>
          <w:szCs w:val="24"/>
        </w:rPr>
      </w:pPr>
    </w:p>
    <w:p w14:paraId="7DA237F9" w14:textId="77777777" w:rsidR="009260DE" w:rsidRPr="00685E7E" w:rsidRDefault="009260DE" w:rsidP="009260DE">
      <w:pPr>
        <w:tabs>
          <w:tab w:val="left" w:pos="851"/>
        </w:tabs>
        <w:ind w:left="851" w:hanging="851"/>
        <w:rPr>
          <w:b/>
          <w:sz w:val="24"/>
          <w:szCs w:val="24"/>
        </w:rPr>
      </w:pPr>
      <w:r w:rsidRPr="00685E7E">
        <w:rPr>
          <w:b/>
          <w:sz w:val="24"/>
          <w:szCs w:val="24"/>
        </w:rPr>
        <w:t>4.10</w:t>
      </w:r>
      <w:r w:rsidRPr="00685E7E">
        <w:rPr>
          <w:b/>
          <w:sz w:val="24"/>
          <w:szCs w:val="24"/>
        </w:rPr>
        <w:tab/>
        <w:t>Udlevering</w:t>
      </w:r>
    </w:p>
    <w:p w14:paraId="6AD545AE" w14:textId="77777777" w:rsidR="00B170A3" w:rsidRPr="00685E7E" w:rsidRDefault="00B170A3" w:rsidP="00B170A3">
      <w:pPr>
        <w:ind w:left="851" w:hanging="851"/>
        <w:rPr>
          <w:sz w:val="24"/>
          <w:szCs w:val="24"/>
          <w:lang w:eastAsia="da-DK"/>
        </w:rPr>
      </w:pPr>
      <w:r w:rsidRPr="00685E7E">
        <w:rPr>
          <w:sz w:val="24"/>
          <w:szCs w:val="24"/>
        </w:rPr>
        <w:tab/>
        <w:t>B</w:t>
      </w:r>
    </w:p>
    <w:p w14:paraId="534A4E81" w14:textId="664471F9" w:rsidR="009260DE" w:rsidRPr="00685E7E" w:rsidRDefault="009260DE" w:rsidP="009260DE">
      <w:pPr>
        <w:tabs>
          <w:tab w:val="left" w:pos="851"/>
        </w:tabs>
        <w:ind w:left="851"/>
        <w:rPr>
          <w:sz w:val="24"/>
          <w:szCs w:val="24"/>
        </w:rPr>
      </w:pPr>
    </w:p>
    <w:p w14:paraId="33935148" w14:textId="77777777" w:rsidR="009260DE" w:rsidRPr="00685E7E" w:rsidRDefault="009260DE" w:rsidP="009260DE">
      <w:pPr>
        <w:tabs>
          <w:tab w:val="left" w:pos="851"/>
        </w:tabs>
        <w:ind w:left="851"/>
        <w:rPr>
          <w:sz w:val="24"/>
          <w:szCs w:val="24"/>
        </w:rPr>
      </w:pPr>
    </w:p>
    <w:p w14:paraId="35A20F7F" w14:textId="77777777" w:rsidR="009260DE" w:rsidRPr="00685E7E" w:rsidRDefault="009260DE" w:rsidP="009260DE">
      <w:pPr>
        <w:tabs>
          <w:tab w:val="left" w:pos="851"/>
        </w:tabs>
        <w:ind w:left="851" w:hanging="851"/>
        <w:rPr>
          <w:b/>
          <w:sz w:val="24"/>
          <w:szCs w:val="24"/>
        </w:rPr>
      </w:pPr>
      <w:r w:rsidRPr="00685E7E">
        <w:rPr>
          <w:b/>
          <w:sz w:val="24"/>
          <w:szCs w:val="24"/>
        </w:rPr>
        <w:t>5.</w:t>
      </w:r>
      <w:r w:rsidRPr="00685E7E">
        <w:rPr>
          <w:b/>
          <w:sz w:val="24"/>
          <w:szCs w:val="24"/>
        </w:rPr>
        <w:tab/>
        <w:t>FARMAKOLOGISKE EGENSKABER</w:t>
      </w:r>
    </w:p>
    <w:p w14:paraId="25395AE6" w14:textId="77777777" w:rsidR="009260DE" w:rsidRPr="00685E7E" w:rsidRDefault="009260DE" w:rsidP="009260DE">
      <w:pPr>
        <w:tabs>
          <w:tab w:val="left" w:pos="851"/>
        </w:tabs>
        <w:ind w:left="851"/>
        <w:rPr>
          <w:sz w:val="24"/>
          <w:szCs w:val="24"/>
        </w:rPr>
      </w:pPr>
    </w:p>
    <w:p w14:paraId="2460E247" w14:textId="77777777" w:rsidR="009260DE" w:rsidRPr="00685E7E" w:rsidRDefault="009260DE" w:rsidP="009260DE">
      <w:pPr>
        <w:tabs>
          <w:tab w:val="num" w:pos="851"/>
        </w:tabs>
        <w:ind w:left="851" w:hanging="851"/>
        <w:rPr>
          <w:b/>
          <w:sz w:val="24"/>
          <w:szCs w:val="24"/>
        </w:rPr>
      </w:pPr>
      <w:r w:rsidRPr="00685E7E">
        <w:rPr>
          <w:b/>
          <w:sz w:val="24"/>
          <w:szCs w:val="24"/>
        </w:rPr>
        <w:t>5.1</w:t>
      </w:r>
      <w:r w:rsidRPr="00685E7E">
        <w:rPr>
          <w:b/>
          <w:sz w:val="24"/>
          <w:szCs w:val="24"/>
        </w:rPr>
        <w:tab/>
      </w:r>
      <w:proofErr w:type="spellStart"/>
      <w:r w:rsidRPr="00685E7E">
        <w:rPr>
          <w:b/>
          <w:sz w:val="24"/>
          <w:szCs w:val="24"/>
        </w:rPr>
        <w:t>Farmakodynamiske</w:t>
      </w:r>
      <w:proofErr w:type="spellEnd"/>
      <w:r w:rsidRPr="00685E7E">
        <w:rPr>
          <w:b/>
          <w:sz w:val="24"/>
          <w:szCs w:val="24"/>
        </w:rPr>
        <w:t xml:space="preserve"> egenskaber</w:t>
      </w:r>
    </w:p>
    <w:p w14:paraId="7726310D" w14:textId="016947AC" w:rsidR="00B170A3" w:rsidRPr="00685E7E" w:rsidRDefault="00B170A3" w:rsidP="002479E4">
      <w:pPr>
        <w:ind w:left="851"/>
        <w:rPr>
          <w:sz w:val="24"/>
          <w:szCs w:val="24"/>
        </w:rPr>
      </w:pPr>
      <w:proofErr w:type="spellStart"/>
      <w:r w:rsidRPr="00685E7E">
        <w:rPr>
          <w:sz w:val="24"/>
          <w:szCs w:val="24"/>
        </w:rPr>
        <w:t>Farmakoterapeutisk</w:t>
      </w:r>
      <w:proofErr w:type="spellEnd"/>
      <w:r w:rsidRPr="00685E7E">
        <w:rPr>
          <w:sz w:val="24"/>
          <w:szCs w:val="24"/>
        </w:rPr>
        <w:t xml:space="preserve"> klassifikation: Influenzavaccine, </w:t>
      </w:r>
      <w:r w:rsidRPr="00775D6A">
        <w:rPr>
          <w:sz w:val="24"/>
          <w:szCs w:val="24"/>
        </w:rPr>
        <w:t xml:space="preserve">ATC-kode: </w:t>
      </w:r>
      <w:r w:rsidRPr="00775D6A">
        <w:rPr>
          <w:spacing w:val="-3"/>
          <w:sz w:val="24"/>
          <w:szCs w:val="24"/>
        </w:rPr>
        <w:t>J07BB02.</w:t>
      </w:r>
    </w:p>
    <w:p w14:paraId="3151E9A7" w14:textId="7D7D144B" w:rsidR="00B170A3" w:rsidRPr="00685E7E" w:rsidRDefault="00B170A3" w:rsidP="002479E4">
      <w:pPr>
        <w:ind w:left="851"/>
        <w:rPr>
          <w:sz w:val="24"/>
          <w:szCs w:val="24"/>
        </w:rPr>
      </w:pPr>
    </w:p>
    <w:p w14:paraId="10FFDFB9" w14:textId="77777777" w:rsidR="00B170A3" w:rsidRPr="00685E7E" w:rsidRDefault="00B170A3" w:rsidP="002479E4">
      <w:pPr>
        <w:ind w:left="851"/>
        <w:rPr>
          <w:spacing w:val="-3"/>
          <w:sz w:val="24"/>
          <w:szCs w:val="24"/>
          <w:lang w:eastAsia="da-DK"/>
        </w:rPr>
      </w:pPr>
      <w:proofErr w:type="spellStart"/>
      <w:r w:rsidRPr="00685E7E">
        <w:rPr>
          <w:spacing w:val="-3"/>
          <w:sz w:val="24"/>
          <w:szCs w:val="24"/>
        </w:rPr>
        <w:t>Serobeskyttelse</w:t>
      </w:r>
      <w:proofErr w:type="spellEnd"/>
      <w:r w:rsidRPr="00685E7E">
        <w:rPr>
          <w:spacing w:val="-3"/>
          <w:sz w:val="24"/>
          <w:szCs w:val="24"/>
        </w:rPr>
        <w:t xml:space="preserve"> opnås generelt indenfor 2-3 uger. Varigheden af </w:t>
      </w:r>
      <w:proofErr w:type="spellStart"/>
      <w:r w:rsidRPr="00685E7E">
        <w:rPr>
          <w:spacing w:val="-3"/>
          <w:sz w:val="24"/>
          <w:szCs w:val="24"/>
        </w:rPr>
        <w:t>postvaccinal</w:t>
      </w:r>
      <w:proofErr w:type="spellEnd"/>
      <w:r w:rsidRPr="00685E7E">
        <w:rPr>
          <w:spacing w:val="-3"/>
          <w:sz w:val="24"/>
          <w:szCs w:val="24"/>
        </w:rPr>
        <w:t xml:space="preserve"> immunitet </w:t>
      </w:r>
      <w:r w:rsidRPr="00685E7E">
        <w:rPr>
          <w:sz w:val="24"/>
          <w:szCs w:val="24"/>
        </w:rPr>
        <w:t>overfor homologe stammer eller over for stammer, der er nært beslægtet med vaccinestammen,</w:t>
      </w:r>
      <w:r w:rsidRPr="00685E7E">
        <w:rPr>
          <w:spacing w:val="-3"/>
          <w:sz w:val="24"/>
          <w:szCs w:val="24"/>
        </w:rPr>
        <w:t xml:space="preserve"> varierer, men er normalt 6-12 måneder.</w:t>
      </w:r>
    </w:p>
    <w:p w14:paraId="2149F481" w14:textId="77777777" w:rsidR="009260DE" w:rsidRPr="00685E7E" w:rsidRDefault="009260DE" w:rsidP="009260DE">
      <w:pPr>
        <w:tabs>
          <w:tab w:val="left" w:pos="851"/>
        </w:tabs>
        <w:ind w:left="851"/>
        <w:rPr>
          <w:sz w:val="24"/>
          <w:szCs w:val="24"/>
        </w:rPr>
      </w:pPr>
    </w:p>
    <w:p w14:paraId="2D35BAF4" w14:textId="77777777" w:rsidR="009260DE" w:rsidRPr="00685E7E" w:rsidRDefault="009260DE" w:rsidP="009260DE">
      <w:pPr>
        <w:tabs>
          <w:tab w:val="left" w:pos="851"/>
        </w:tabs>
        <w:ind w:left="851" w:hanging="851"/>
        <w:rPr>
          <w:b/>
          <w:sz w:val="24"/>
          <w:szCs w:val="24"/>
        </w:rPr>
      </w:pPr>
      <w:r w:rsidRPr="00685E7E">
        <w:rPr>
          <w:b/>
          <w:sz w:val="24"/>
          <w:szCs w:val="24"/>
        </w:rPr>
        <w:t>5.2</w:t>
      </w:r>
      <w:r w:rsidRPr="00685E7E">
        <w:rPr>
          <w:b/>
          <w:sz w:val="24"/>
          <w:szCs w:val="24"/>
        </w:rPr>
        <w:tab/>
      </w:r>
      <w:proofErr w:type="spellStart"/>
      <w:r w:rsidRPr="00685E7E">
        <w:rPr>
          <w:b/>
          <w:sz w:val="24"/>
          <w:szCs w:val="24"/>
        </w:rPr>
        <w:t>Farmakokinetiske</w:t>
      </w:r>
      <w:proofErr w:type="spellEnd"/>
      <w:r w:rsidRPr="00685E7E">
        <w:rPr>
          <w:b/>
          <w:sz w:val="24"/>
          <w:szCs w:val="24"/>
        </w:rPr>
        <w:t xml:space="preserve"> egenskaber</w:t>
      </w:r>
    </w:p>
    <w:p w14:paraId="39A6AA8D" w14:textId="77777777" w:rsidR="00B170A3" w:rsidRPr="00685E7E" w:rsidRDefault="00B170A3" w:rsidP="00B170A3">
      <w:pPr>
        <w:ind w:left="851"/>
        <w:rPr>
          <w:sz w:val="24"/>
          <w:szCs w:val="24"/>
          <w:lang w:eastAsia="da-DK"/>
        </w:rPr>
      </w:pPr>
      <w:r w:rsidRPr="00685E7E">
        <w:rPr>
          <w:spacing w:val="-3"/>
          <w:sz w:val="24"/>
          <w:szCs w:val="24"/>
        </w:rPr>
        <w:t>Ikke relevant.</w:t>
      </w:r>
    </w:p>
    <w:p w14:paraId="3CC0C0DD" w14:textId="77777777" w:rsidR="009260DE" w:rsidRPr="00685E7E" w:rsidRDefault="009260DE" w:rsidP="009260DE">
      <w:pPr>
        <w:tabs>
          <w:tab w:val="left" w:pos="851"/>
        </w:tabs>
        <w:ind w:left="851"/>
        <w:rPr>
          <w:sz w:val="24"/>
          <w:szCs w:val="24"/>
        </w:rPr>
      </w:pPr>
    </w:p>
    <w:p w14:paraId="49B3A8D7" w14:textId="77777777" w:rsidR="009260DE" w:rsidRPr="00685E7E" w:rsidRDefault="009260DE" w:rsidP="009260DE">
      <w:pPr>
        <w:tabs>
          <w:tab w:val="left" w:pos="851"/>
        </w:tabs>
        <w:ind w:left="851" w:hanging="851"/>
        <w:rPr>
          <w:b/>
          <w:sz w:val="24"/>
          <w:szCs w:val="24"/>
        </w:rPr>
      </w:pPr>
      <w:r w:rsidRPr="00685E7E">
        <w:rPr>
          <w:b/>
          <w:sz w:val="24"/>
          <w:szCs w:val="24"/>
        </w:rPr>
        <w:t>5.3</w:t>
      </w:r>
      <w:r w:rsidRPr="00685E7E">
        <w:rPr>
          <w:b/>
          <w:sz w:val="24"/>
          <w:szCs w:val="24"/>
        </w:rPr>
        <w:tab/>
      </w:r>
      <w:r w:rsidR="00BD7931" w:rsidRPr="00685E7E">
        <w:rPr>
          <w:b/>
          <w:sz w:val="24"/>
          <w:szCs w:val="24"/>
        </w:rPr>
        <w:t>Non-</w:t>
      </w:r>
      <w:r w:rsidRPr="00685E7E">
        <w:rPr>
          <w:b/>
          <w:sz w:val="24"/>
          <w:szCs w:val="24"/>
        </w:rPr>
        <w:t>kliniske sikkerhedsdata</w:t>
      </w:r>
    </w:p>
    <w:p w14:paraId="4FA96263" w14:textId="77777777" w:rsidR="00B170A3" w:rsidRPr="00685E7E" w:rsidRDefault="00B170A3" w:rsidP="00B170A3">
      <w:pPr>
        <w:ind w:left="851"/>
        <w:rPr>
          <w:sz w:val="24"/>
          <w:szCs w:val="24"/>
          <w:lang w:eastAsia="da-DK"/>
        </w:rPr>
      </w:pPr>
      <w:r w:rsidRPr="00685E7E">
        <w:rPr>
          <w:spacing w:val="-3"/>
          <w:sz w:val="24"/>
          <w:szCs w:val="24"/>
        </w:rPr>
        <w:t>Ikke relevant.</w:t>
      </w:r>
    </w:p>
    <w:p w14:paraId="045B2885" w14:textId="77777777" w:rsidR="009260DE" w:rsidRPr="00685E7E" w:rsidRDefault="009260DE" w:rsidP="009260DE">
      <w:pPr>
        <w:tabs>
          <w:tab w:val="left" w:pos="851"/>
        </w:tabs>
        <w:ind w:left="851"/>
        <w:rPr>
          <w:sz w:val="24"/>
          <w:szCs w:val="24"/>
        </w:rPr>
      </w:pPr>
    </w:p>
    <w:p w14:paraId="382E3422" w14:textId="77777777" w:rsidR="009260DE" w:rsidRPr="00685E7E" w:rsidRDefault="009260DE" w:rsidP="009260DE">
      <w:pPr>
        <w:tabs>
          <w:tab w:val="left" w:pos="851"/>
        </w:tabs>
        <w:ind w:left="851"/>
        <w:rPr>
          <w:sz w:val="24"/>
          <w:szCs w:val="24"/>
        </w:rPr>
      </w:pPr>
    </w:p>
    <w:p w14:paraId="5F92D092" w14:textId="77777777" w:rsidR="009260DE" w:rsidRPr="00685E7E" w:rsidRDefault="009260DE" w:rsidP="009260DE">
      <w:pPr>
        <w:tabs>
          <w:tab w:val="left" w:pos="851"/>
        </w:tabs>
        <w:ind w:left="851" w:hanging="851"/>
        <w:rPr>
          <w:b/>
          <w:sz w:val="24"/>
          <w:szCs w:val="24"/>
        </w:rPr>
      </w:pPr>
      <w:r w:rsidRPr="00685E7E">
        <w:rPr>
          <w:b/>
          <w:sz w:val="24"/>
          <w:szCs w:val="24"/>
        </w:rPr>
        <w:t>6.</w:t>
      </w:r>
      <w:r w:rsidRPr="00685E7E">
        <w:rPr>
          <w:b/>
          <w:sz w:val="24"/>
          <w:szCs w:val="24"/>
        </w:rPr>
        <w:tab/>
        <w:t>FARMACEUTISKE OPLYSNINGER</w:t>
      </w:r>
    </w:p>
    <w:p w14:paraId="1E58512D" w14:textId="77777777" w:rsidR="009260DE" w:rsidRPr="00685E7E" w:rsidRDefault="009260DE" w:rsidP="009260DE">
      <w:pPr>
        <w:tabs>
          <w:tab w:val="left" w:pos="851"/>
        </w:tabs>
        <w:ind w:left="851"/>
        <w:rPr>
          <w:sz w:val="24"/>
          <w:szCs w:val="24"/>
        </w:rPr>
      </w:pPr>
    </w:p>
    <w:p w14:paraId="3D2EE08C" w14:textId="77777777" w:rsidR="009260DE" w:rsidRPr="00685E7E" w:rsidRDefault="009260DE" w:rsidP="009260DE">
      <w:pPr>
        <w:tabs>
          <w:tab w:val="left" w:pos="851"/>
        </w:tabs>
        <w:ind w:left="851" w:hanging="851"/>
        <w:rPr>
          <w:b/>
          <w:sz w:val="24"/>
          <w:szCs w:val="24"/>
        </w:rPr>
      </w:pPr>
      <w:r w:rsidRPr="00685E7E">
        <w:rPr>
          <w:b/>
          <w:sz w:val="24"/>
          <w:szCs w:val="24"/>
        </w:rPr>
        <w:t>6.1</w:t>
      </w:r>
      <w:r w:rsidRPr="00685E7E">
        <w:rPr>
          <w:b/>
          <w:sz w:val="24"/>
          <w:szCs w:val="24"/>
        </w:rPr>
        <w:tab/>
        <w:t>Hjælpestoffer</w:t>
      </w:r>
    </w:p>
    <w:p w14:paraId="1AC2DC76" w14:textId="77777777" w:rsidR="00B170A3" w:rsidRPr="00685E7E" w:rsidRDefault="00B170A3" w:rsidP="00B170A3">
      <w:pPr>
        <w:ind w:left="851"/>
        <w:rPr>
          <w:spacing w:val="-3"/>
          <w:sz w:val="24"/>
          <w:szCs w:val="24"/>
        </w:rPr>
      </w:pPr>
      <w:proofErr w:type="spellStart"/>
      <w:r w:rsidRPr="00685E7E">
        <w:rPr>
          <w:spacing w:val="-3"/>
          <w:sz w:val="24"/>
          <w:szCs w:val="24"/>
        </w:rPr>
        <w:t>Kaliumchlorid</w:t>
      </w:r>
      <w:proofErr w:type="spellEnd"/>
    </w:p>
    <w:p w14:paraId="2DA32D89" w14:textId="77777777" w:rsidR="00B170A3" w:rsidRPr="00685E7E" w:rsidRDefault="00B170A3" w:rsidP="00B170A3">
      <w:pPr>
        <w:ind w:left="851"/>
        <w:rPr>
          <w:spacing w:val="-3"/>
          <w:sz w:val="24"/>
          <w:szCs w:val="24"/>
        </w:rPr>
      </w:pPr>
      <w:proofErr w:type="spellStart"/>
      <w:r w:rsidRPr="00685E7E">
        <w:rPr>
          <w:spacing w:val="-3"/>
          <w:sz w:val="24"/>
          <w:szCs w:val="24"/>
        </w:rPr>
        <w:t>Kaliumdihydrogenphosphat</w:t>
      </w:r>
      <w:proofErr w:type="spellEnd"/>
    </w:p>
    <w:p w14:paraId="16E38593" w14:textId="77777777" w:rsidR="00B170A3" w:rsidRPr="00685E7E" w:rsidRDefault="00B170A3" w:rsidP="00B170A3">
      <w:pPr>
        <w:ind w:left="851"/>
        <w:rPr>
          <w:spacing w:val="-3"/>
          <w:sz w:val="24"/>
          <w:szCs w:val="24"/>
        </w:rPr>
      </w:pPr>
      <w:proofErr w:type="spellStart"/>
      <w:r w:rsidRPr="00685E7E">
        <w:rPr>
          <w:spacing w:val="-3"/>
          <w:sz w:val="24"/>
          <w:szCs w:val="24"/>
        </w:rPr>
        <w:t>Dinatriumphosphatdihydrat</w:t>
      </w:r>
      <w:proofErr w:type="spellEnd"/>
    </w:p>
    <w:p w14:paraId="33D144F1" w14:textId="77777777" w:rsidR="00B170A3" w:rsidRPr="00685E7E" w:rsidRDefault="00B170A3" w:rsidP="00B170A3">
      <w:pPr>
        <w:ind w:left="851"/>
        <w:rPr>
          <w:spacing w:val="-3"/>
          <w:sz w:val="24"/>
          <w:szCs w:val="24"/>
        </w:rPr>
      </w:pPr>
      <w:proofErr w:type="spellStart"/>
      <w:r w:rsidRPr="00685E7E">
        <w:rPr>
          <w:spacing w:val="-3"/>
          <w:sz w:val="24"/>
          <w:szCs w:val="24"/>
        </w:rPr>
        <w:t>Natriumchlorid</w:t>
      </w:r>
      <w:proofErr w:type="spellEnd"/>
    </w:p>
    <w:p w14:paraId="4EE10665" w14:textId="77777777" w:rsidR="00B170A3" w:rsidRPr="00685E7E" w:rsidRDefault="00B170A3" w:rsidP="00B170A3">
      <w:pPr>
        <w:ind w:left="851"/>
        <w:rPr>
          <w:spacing w:val="-3"/>
          <w:sz w:val="24"/>
          <w:szCs w:val="24"/>
        </w:rPr>
      </w:pPr>
      <w:proofErr w:type="spellStart"/>
      <w:r w:rsidRPr="00685E7E">
        <w:rPr>
          <w:spacing w:val="-3"/>
          <w:sz w:val="24"/>
          <w:szCs w:val="24"/>
        </w:rPr>
        <w:t>Calciumchloriddihydrat</w:t>
      </w:r>
      <w:proofErr w:type="spellEnd"/>
    </w:p>
    <w:p w14:paraId="7CA52915" w14:textId="77777777" w:rsidR="00B170A3" w:rsidRPr="00685E7E" w:rsidRDefault="00B170A3" w:rsidP="00B170A3">
      <w:pPr>
        <w:ind w:left="851"/>
        <w:rPr>
          <w:spacing w:val="-3"/>
          <w:sz w:val="24"/>
          <w:szCs w:val="24"/>
        </w:rPr>
      </w:pPr>
      <w:proofErr w:type="spellStart"/>
      <w:r w:rsidRPr="00685E7E">
        <w:rPr>
          <w:spacing w:val="-3"/>
          <w:sz w:val="24"/>
          <w:szCs w:val="24"/>
        </w:rPr>
        <w:t>Magnesiumchloridhexahydrat</w:t>
      </w:r>
      <w:proofErr w:type="spellEnd"/>
    </w:p>
    <w:p w14:paraId="7FA93662" w14:textId="451A59A8" w:rsidR="00B170A3" w:rsidRPr="00685E7E" w:rsidRDefault="00B170A3" w:rsidP="00B170A3">
      <w:pPr>
        <w:ind w:left="851"/>
        <w:rPr>
          <w:sz w:val="24"/>
          <w:szCs w:val="24"/>
          <w:lang w:eastAsia="da-DK"/>
        </w:rPr>
      </w:pPr>
      <w:r w:rsidRPr="00685E7E">
        <w:rPr>
          <w:spacing w:val="-3"/>
          <w:sz w:val="24"/>
          <w:szCs w:val="24"/>
        </w:rPr>
        <w:t>Vand til injektionsvæsker</w:t>
      </w:r>
    </w:p>
    <w:p w14:paraId="40E3CB07" w14:textId="77777777" w:rsidR="009260DE" w:rsidRPr="00685E7E" w:rsidRDefault="009260DE" w:rsidP="009260DE">
      <w:pPr>
        <w:tabs>
          <w:tab w:val="left" w:pos="851"/>
        </w:tabs>
        <w:ind w:left="851"/>
        <w:rPr>
          <w:sz w:val="24"/>
          <w:szCs w:val="24"/>
        </w:rPr>
      </w:pPr>
    </w:p>
    <w:p w14:paraId="7DF0A262" w14:textId="77777777" w:rsidR="009260DE" w:rsidRPr="00685E7E" w:rsidRDefault="009260DE" w:rsidP="009260DE">
      <w:pPr>
        <w:tabs>
          <w:tab w:val="left" w:pos="851"/>
        </w:tabs>
        <w:ind w:left="851" w:hanging="851"/>
        <w:rPr>
          <w:b/>
          <w:sz w:val="24"/>
          <w:szCs w:val="24"/>
        </w:rPr>
      </w:pPr>
      <w:r w:rsidRPr="00685E7E">
        <w:rPr>
          <w:b/>
          <w:sz w:val="24"/>
          <w:szCs w:val="24"/>
        </w:rPr>
        <w:t>6.2</w:t>
      </w:r>
      <w:r w:rsidRPr="00685E7E">
        <w:rPr>
          <w:b/>
          <w:sz w:val="24"/>
          <w:szCs w:val="24"/>
        </w:rPr>
        <w:tab/>
        <w:t>Uforligeligheder</w:t>
      </w:r>
    </w:p>
    <w:p w14:paraId="0AA8017F" w14:textId="77777777" w:rsidR="00B170A3" w:rsidRPr="00685E7E" w:rsidRDefault="00B170A3" w:rsidP="00B170A3">
      <w:pPr>
        <w:autoSpaceDE w:val="0"/>
        <w:autoSpaceDN w:val="0"/>
        <w:adjustRightInd w:val="0"/>
        <w:ind w:left="851"/>
        <w:rPr>
          <w:sz w:val="24"/>
          <w:szCs w:val="24"/>
          <w:lang w:eastAsia="da-DK"/>
        </w:rPr>
      </w:pPr>
      <w:r w:rsidRPr="00685E7E">
        <w:rPr>
          <w:sz w:val="24"/>
          <w:szCs w:val="24"/>
        </w:rPr>
        <w:t>Da der ikke foreligger undersøgelser vedrørende eventuelle uforligeligheder, bør dette præparat ikke blandes med andre præparater</w:t>
      </w:r>
      <w:r w:rsidRPr="00685E7E">
        <w:rPr>
          <w:spacing w:val="-3"/>
          <w:sz w:val="24"/>
          <w:szCs w:val="24"/>
        </w:rPr>
        <w:t>.</w:t>
      </w:r>
    </w:p>
    <w:p w14:paraId="74FD3557" w14:textId="77777777" w:rsidR="009260DE" w:rsidRPr="00685E7E" w:rsidRDefault="009260DE" w:rsidP="009260DE">
      <w:pPr>
        <w:tabs>
          <w:tab w:val="left" w:pos="851"/>
        </w:tabs>
        <w:ind w:left="851"/>
        <w:rPr>
          <w:sz w:val="24"/>
          <w:szCs w:val="24"/>
        </w:rPr>
      </w:pPr>
    </w:p>
    <w:p w14:paraId="30F43E25" w14:textId="77777777" w:rsidR="009260DE" w:rsidRPr="00685E7E" w:rsidRDefault="009260DE" w:rsidP="009260DE">
      <w:pPr>
        <w:tabs>
          <w:tab w:val="left" w:pos="851"/>
        </w:tabs>
        <w:ind w:left="851" w:hanging="851"/>
        <w:rPr>
          <w:b/>
          <w:sz w:val="24"/>
          <w:szCs w:val="24"/>
        </w:rPr>
      </w:pPr>
      <w:r w:rsidRPr="00685E7E">
        <w:rPr>
          <w:b/>
          <w:sz w:val="24"/>
          <w:szCs w:val="24"/>
        </w:rPr>
        <w:t>6.3</w:t>
      </w:r>
      <w:r w:rsidRPr="00685E7E">
        <w:rPr>
          <w:b/>
          <w:sz w:val="24"/>
          <w:szCs w:val="24"/>
        </w:rPr>
        <w:tab/>
        <w:t>Opbevaringstid</w:t>
      </w:r>
    </w:p>
    <w:p w14:paraId="61FD3BB7" w14:textId="77777777" w:rsidR="00B170A3" w:rsidRPr="00685E7E" w:rsidRDefault="00B170A3" w:rsidP="00B170A3">
      <w:pPr>
        <w:ind w:left="851" w:hanging="851"/>
        <w:rPr>
          <w:sz w:val="24"/>
          <w:szCs w:val="24"/>
          <w:lang w:eastAsia="da-DK"/>
        </w:rPr>
      </w:pPr>
      <w:r w:rsidRPr="00685E7E">
        <w:rPr>
          <w:sz w:val="24"/>
          <w:szCs w:val="24"/>
        </w:rPr>
        <w:tab/>
      </w:r>
      <w:r w:rsidRPr="00685E7E">
        <w:rPr>
          <w:spacing w:val="-3"/>
          <w:sz w:val="24"/>
          <w:szCs w:val="24"/>
        </w:rPr>
        <w:t>1 år.</w:t>
      </w:r>
    </w:p>
    <w:p w14:paraId="2FD8F49F" w14:textId="77777777" w:rsidR="009260DE" w:rsidRPr="00685E7E" w:rsidRDefault="009260DE" w:rsidP="009260DE">
      <w:pPr>
        <w:tabs>
          <w:tab w:val="left" w:pos="851"/>
        </w:tabs>
        <w:ind w:left="851"/>
        <w:rPr>
          <w:sz w:val="24"/>
          <w:szCs w:val="24"/>
        </w:rPr>
      </w:pPr>
    </w:p>
    <w:p w14:paraId="312D4B28" w14:textId="77777777" w:rsidR="009260DE" w:rsidRPr="00685E7E" w:rsidRDefault="009260DE" w:rsidP="009260DE">
      <w:pPr>
        <w:tabs>
          <w:tab w:val="left" w:pos="851"/>
        </w:tabs>
        <w:ind w:left="851" w:hanging="851"/>
        <w:rPr>
          <w:b/>
          <w:sz w:val="24"/>
          <w:szCs w:val="24"/>
        </w:rPr>
      </w:pPr>
      <w:r w:rsidRPr="00685E7E">
        <w:rPr>
          <w:b/>
          <w:sz w:val="24"/>
          <w:szCs w:val="24"/>
        </w:rPr>
        <w:t>6.4</w:t>
      </w:r>
      <w:r w:rsidRPr="00685E7E">
        <w:rPr>
          <w:b/>
          <w:sz w:val="24"/>
          <w:szCs w:val="24"/>
        </w:rPr>
        <w:tab/>
        <w:t>Særlige opbevaringsforhold</w:t>
      </w:r>
    </w:p>
    <w:p w14:paraId="394E6239" w14:textId="77777777" w:rsidR="00B170A3" w:rsidRPr="00685E7E" w:rsidRDefault="00B170A3" w:rsidP="00B170A3">
      <w:pPr>
        <w:ind w:left="851"/>
        <w:rPr>
          <w:noProof/>
          <w:sz w:val="24"/>
          <w:szCs w:val="24"/>
          <w:lang w:eastAsia="da-DK"/>
        </w:rPr>
      </w:pPr>
      <w:r w:rsidRPr="00685E7E">
        <w:rPr>
          <w:sz w:val="24"/>
          <w:szCs w:val="24"/>
        </w:rPr>
        <w:t>O</w:t>
      </w:r>
      <w:r w:rsidRPr="00685E7E">
        <w:rPr>
          <w:spacing w:val="-3"/>
          <w:sz w:val="24"/>
          <w:szCs w:val="24"/>
        </w:rPr>
        <w:t>pbevares i køleskab</w:t>
      </w:r>
      <w:r w:rsidRPr="00685E7E">
        <w:rPr>
          <w:noProof/>
          <w:sz w:val="24"/>
          <w:szCs w:val="24"/>
        </w:rPr>
        <w:t xml:space="preserve"> (2 °C – 8 °C). </w:t>
      </w:r>
    </w:p>
    <w:p w14:paraId="0F1AEF7D" w14:textId="77777777" w:rsidR="00B170A3" w:rsidRPr="00685E7E" w:rsidRDefault="00B170A3" w:rsidP="00B170A3">
      <w:pPr>
        <w:ind w:left="851"/>
        <w:rPr>
          <w:spacing w:val="-3"/>
          <w:sz w:val="24"/>
          <w:szCs w:val="24"/>
        </w:rPr>
      </w:pPr>
      <w:r w:rsidRPr="00685E7E">
        <w:rPr>
          <w:spacing w:val="-3"/>
          <w:sz w:val="24"/>
          <w:szCs w:val="24"/>
        </w:rPr>
        <w:t xml:space="preserve">Må ikke nedfryses. </w:t>
      </w:r>
    </w:p>
    <w:p w14:paraId="17624C87" w14:textId="77777777" w:rsidR="00B170A3" w:rsidRPr="00685E7E" w:rsidRDefault="00B170A3" w:rsidP="00B170A3">
      <w:pPr>
        <w:ind w:left="851"/>
        <w:rPr>
          <w:spacing w:val="-3"/>
          <w:sz w:val="24"/>
          <w:szCs w:val="24"/>
        </w:rPr>
      </w:pPr>
      <w:r w:rsidRPr="00685E7E">
        <w:rPr>
          <w:spacing w:val="-3"/>
          <w:sz w:val="24"/>
          <w:szCs w:val="24"/>
        </w:rPr>
        <w:t>Opbevares i original emballage for at beskytte mod lys.</w:t>
      </w:r>
    </w:p>
    <w:p w14:paraId="3FE6BE31" w14:textId="77777777" w:rsidR="009260DE" w:rsidRPr="00685E7E" w:rsidRDefault="009260DE" w:rsidP="009260DE">
      <w:pPr>
        <w:tabs>
          <w:tab w:val="left" w:pos="851"/>
        </w:tabs>
        <w:ind w:left="851"/>
        <w:rPr>
          <w:sz w:val="24"/>
          <w:szCs w:val="24"/>
        </w:rPr>
      </w:pPr>
    </w:p>
    <w:p w14:paraId="121B322C" w14:textId="77777777" w:rsidR="009260DE" w:rsidRPr="00685E7E" w:rsidRDefault="009260DE" w:rsidP="009260DE">
      <w:pPr>
        <w:tabs>
          <w:tab w:val="left" w:pos="851"/>
        </w:tabs>
        <w:ind w:left="851" w:hanging="851"/>
        <w:rPr>
          <w:b/>
          <w:sz w:val="24"/>
          <w:szCs w:val="24"/>
        </w:rPr>
      </w:pPr>
      <w:r w:rsidRPr="00685E7E">
        <w:rPr>
          <w:b/>
          <w:sz w:val="24"/>
          <w:szCs w:val="24"/>
        </w:rPr>
        <w:t>6.5</w:t>
      </w:r>
      <w:r w:rsidRPr="00685E7E">
        <w:rPr>
          <w:b/>
          <w:sz w:val="24"/>
          <w:szCs w:val="24"/>
        </w:rPr>
        <w:tab/>
        <w:t>Emballagetype og pakningsstørrelser</w:t>
      </w:r>
    </w:p>
    <w:p w14:paraId="0021E238" w14:textId="73B8BEF7" w:rsidR="00B170A3" w:rsidRPr="00685E7E" w:rsidRDefault="00B170A3" w:rsidP="00B170A3">
      <w:pPr>
        <w:ind w:left="851"/>
        <w:rPr>
          <w:sz w:val="24"/>
          <w:szCs w:val="24"/>
          <w:lang w:eastAsia="da-DK"/>
        </w:rPr>
      </w:pPr>
      <w:r w:rsidRPr="00685E7E">
        <w:rPr>
          <w:spacing w:val="-3"/>
          <w:sz w:val="24"/>
          <w:szCs w:val="24"/>
        </w:rPr>
        <w:t>0,5 ml suspension til injektion i fyldte engangssprøjter med eller uden kanyle (glas, type I), 1</w:t>
      </w:r>
      <w:r w:rsidR="00F22617">
        <w:rPr>
          <w:spacing w:val="-3"/>
          <w:sz w:val="24"/>
          <w:szCs w:val="24"/>
        </w:rPr>
        <w:t> </w:t>
      </w:r>
      <w:r w:rsidRPr="00685E7E">
        <w:rPr>
          <w:spacing w:val="-3"/>
          <w:sz w:val="24"/>
          <w:szCs w:val="24"/>
        </w:rPr>
        <w:t>eller 10 styks pakning.</w:t>
      </w:r>
    </w:p>
    <w:p w14:paraId="2EF039D7" w14:textId="77777777" w:rsidR="00B170A3" w:rsidRPr="00685E7E" w:rsidRDefault="00B170A3" w:rsidP="00B170A3">
      <w:pPr>
        <w:ind w:left="851"/>
        <w:rPr>
          <w:sz w:val="24"/>
          <w:szCs w:val="24"/>
        </w:rPr>
      </w:pPr>
      <w:r w:rsidRPr="00685E7E">
        <w:rPr>
          <w:sz w:val="24"/>
          <w:szCs w:val="24"/>
        </w:rPr>
        <w:t>Ikke alle pakningsstørrelser er nødvendigvis markedsført.</w:t>
      </w:r>
    </w:p>
    <w:p w14:paraId="6A8F1E9E" w14:textId="77777777" w:rsidR="009260DE" w:rsidRPr="00685E7E" w:rsidRDefault="009260DE" w:rsidP="009260DE">
      <w:pPr>
        <w:tabs>
          <w:tab w:val="left" w:pos="851"/>
        </w:tabs>
        <w:ind w:left="851"/>
        <w:rPr>
          <w:sz w:val="24"/>
          <w:szCs w:val="24"/>
        </w:rPr>
      </w:pPr>
    </w:p>
    <w:p w14:paraId="0F969301" w14:textId="77777777" w:rsidR="009260DE" w:rsidRPr="00685E7E" w:rsidRDefault="009260DE" w:rsidP="009260DE">
      <w:pPr>
        <w:tabs>
          <w:tab w:val="left" w:pos="851"/>
        </w:tabs>
        <w:ind w:left="851" w:hanging="851"/>
        <w:rPr>
          <w:b/>
          <w:sz w:val="24"/>
          <w:szCs w:val="24"/>
        </w:rPr>
      </w:pPr>
      <w:r w:rsidRPr="00685E7E">
        <w:rPr>
          <w:b/>
          <w:sz w:val="24"/>
          <w:szCs w:val="24"/>
        </w:rPr>
        <w:t>6.6</w:t>
      </w:r>
      <w:r w:rsidRPr="00685E7E">
        <w:rPr>
          <w:b/>
          <w:sz w:val="24"/>
          <w:szCs w:val="24"/>
        </w:rPr>
        <w:tab/>
        <w:t xml:space="preserve">Regler for </w:t>
      </w:r>
      <w:r w:rsidR="00BD7931" w:rsidRPr="00685E7E">
        <w:rPr>
          <w:b/>
          <w:sz w:val="24"/>
          <w:szCs w:val="24"/>
        </w:rPr>
        <w:t>bortskaffelse</w:t>
      </w:r>
      <w:r w:rsidRPr="00685E7E">
        <w:rPr>
          <w:b/>
          <w:sz w:val="24"/>
          <w:szCs w:val="24"/>
        </w:rPr>
        <w:t xml:space="preserve"> og anden håndtering</w:t>
      </w:r>
    </w:p>
    <w:p w14:paraId="1E4094EE" w14:textId="77777777" w:rsidR="00B170A3" w:rsidRPr="00685E7E" w:rsidRDefault="00B170A3" w:rsidP="002479E4">
      <w:pPr>
        <w:ind w:left="851"/>
        <w:rPr>
          <w:sz w:val="24"/>
          <w:szCs w:val="24"/>
          <w:lang w:eastAsia="da-DK"/>
        </w:rPr>
      </w:pPr>
      <w:r w:rsidRPr="00685E7E">
        <w:rPr>
          <w:sz w:val="24"/>
          <w:szCs w:val="24"/>
        </w:rPr>
        <w:t>Vaccinen skal have stuetemperatur før brug. Omrystes før brug. Undersøges visuelt før administration.</w:t>
      </w:r>
    </w:p>
    <w:p w14:paraId="2E9E3F4F" w14:textId="77777777" w:rsidR="00B170A3" w:rsidRPr="00685E7E" w:rsidRDefault="00B170A3" w:rsidP="002479E4">
      <w:pPr>
        <w:ind w:left="851"/>
        <w:rPr>
          <w:sz w:val="24"/>
          <w:szCs w:val="24"/>
        </w:rPr>
      </w:pPr>
    </w:p>
    <w:p w14:paraId="07EF932B" w14:textId="77777777" w:rsidR="00B170A3" w:rsidRPr="00685E7E" w:rsidRDefault="00B170A3" w:rsidP="002479E4">
      <w:pPr>
        <w:ind w:left="851"/>
        <w:rPr>
          <w:sz w:val="24"/>
          <w:szCs w:val="24"/>
        </w:rPr>
      </w:pPr>
      <w:r w:rsidRPr="00685E7E">
        <w:rPr>
          <w:sz w:val="24"/>
          <w:szCs w:val="24"/>
        </w:rPr>
        <w:t>Når en dosis på 0,25 ml skal indgives fra en 0,5 ml engangssprøjte, skubbes forkanten af stemplet helt hen til kanten af mærket, således at halvdelen af volumenet elimineres; derved vil 0,25 ml af vaccinen blive tilbage i sprøjten klar til at indgive (se pkt. 4.2).</w:t>
      </w:r>
    </w:p>
    <w:p w14:paraId="0CED8774" w14:textId="77777777" w:rsidR="00B170A3" w:rsidRPr="00685E7E" w:rsidRDefault="00B170A3" w:rsidP="002479E4">
      <w:pPr>
        <w:ind w:left="851"/>
        <w:rPr>
          <w:sz w:val="24"/>
          <w:szCs w:val="24"/>
        </w:rPr>
      </w:pPr>
    </w:p>
    <w:p w14:paraId="0F7234C6" w14:textId="77777777" w:rsidR="00B170A3" w:rsidRPr="00685E7E" w:rsidRDefault="00B170A3" w:rsidP="002479E4">
      <w:pPr>
        <w:ind w:left="851"/>
        <w:rPr>
          <w:sz w:val="24"/>
          <w:szCs w:val="24"/>
        </w:rPr>
      </w:pPr>
      <w:r w:rsidRPr="00685E7E">
        <w:rPr>
          <w:sz w:val="24"/>
          <w:szCs w:val="24"/>
        </w:rPr>
        <w:t>Ikke anvendt vaccine samt affald heraf bør destrueres i henhold til lokale retningslinjer.</w:t>
      </w:r>
    </w:p>
    <w:p w14:paraId="6DB9D3A9" w14:textId="77777777" w:rsidR="009260DE" w:rsidRPr="00685E7E" w:rsidRDefault="009260DE" w:rsidP="000730CA">
      <w:pPr>
        <w:tabs>
          <w:tab w:val="left" w:pos="851"/>
        </w:tabs>
        <w:ind w:left="851"/>
        <w:rPr>
          <w:sz w:val="24"/>
          <w:szCs w:val="24"/>
        </w:rPr>
      </w:pPr>
    </w:p>
    <w:p w14:paraId="0CF9EBFD" w14:textId="77777777" w:rsidR="009260DE" w:rsidRPr="00685E7E" w:rsidRDefault="009260DE" w:rsidP="009260DE">
      <w:pPr>
        <w:tabs>
          <w:tab w:val="left" w:pos="851"/>
        </w:tabs>
        <w:ind w:left="851" w:hanging="851"/>
        <w:rPr>
          <w:b/>
          <w:sz w:val="24"/>
          <w:szCs w:val="24"/>
        </w:rPr>
      </w:pPr>
      <w:r w:rsidRPr="00685E7E">
        <w:rPr>
          <w:b/>
          <w:sz w:val="24"/>
          <w:szCs w:val="24"/>
        </w:rPr>
        <w:t>7.</w:t>
      </w:r>
      <w:r w:rsidRPr="00685E7E">
        <w:rPr>
          <w:b/>
          <w:sz w:val="24"/>
          <w:szCs w:val="24"/>
        </w:rPr>
        <w:tab/>
        <w:t>INDEHAVER AF MARKEDSFØRINGSTILLADELSEN</w:t>
      </w:r>
    </w:p>
    <w:p w14:paraId="3575EDB6" w14:textId="477E9A00" w:rsidR="00B170A3" w:rsidRPr="00685E7E" w:rsidRDefault="00B170A3" w:rsidP="00685E7E">
      <w:pPr>
        <w:ind w:left="851"/>
        <w:rPr>
          <w:lang w:eastAsia="da-DK"/>
        </w:rPr>
      </w:pPr>
      <w:proofErr w:type="spellStart"/>
      <w:r w:rsidRPr="00685E7E">
        <w:t>Viatris</w:t>
      </w:r>
      <w:proofErr w:type="spellEnd"/>
      <w:r w:rsidRPr="00685E7E">
        <w:t xml:space="preserve"> ApS</w:t>
      </w:r>
    </w:p>
    <w:p w14:paraId="082D2C4D" w14:textId="7C6EDF5C" w:rsidR="00B170A3" w:rsidRPr="00685E7E" w:rsidRDefault="00B170A3" w:rsidP="00685E7E">
      <w:pPr>
        <w:ind w:left="851"/>
      </w:pPr>
      <w:r w:rsidRPr="00685E7E">
        <w:t>Borupvang 1</w:t>
      </w:r>
    </w:p>
    <w:p w14:paraId="48092D89" w14:textId="5521600E" w:rsidR="00B170A3" w:rsidRPr="00685E7E" w:rsidRDefault="00B170A3" w:rsidP="00685E7E">
      <w:pPr>
        <w:ind w:left="851"/>
      </w:pPr>
      <w:r w:rsidRPr="00685E7E">
        <w:t>2750 Ballerup</w:t>
      </w:r>
    </w:p>
    <w:p w14:paraId="58772DAC" w14:textId="77777777" w:rsidR="00641C65" w:rsidRPr="00685E7E" w:rsidRDefault="00641C65" w:rsidP="009260DE">
      <w:pPr>
        <w:tabs>
          <w:tab w:val="left" w:pos="851"/>
        </w:tabs>
        <w:ind w:left="851"/>
        <w:rPr>
          <w:sz w:val="24"/>
          <w:szCs w:val="24"/>
        </w:rPr>
      </w:pPr>
    </w:p>
    <w:p w14:paraId="6F201379" w14:textId="77777777" w:rsidR="009260DE" w:rsidRPr="00685E7E" w:rsidRDefault="009260DE" w:rsidP="009260DE">
      <w:pPr>
        <w:tabs>
          <w:tab w:val="left" w:pos="851"/>
        </w:tabs>
        <w:ind w:left="851" w:hanging="851"/>
        <w:rPr>
          <w:b/>
          <w:sz w:val="24"/>
          <w:szCs w:val="24"/>
        </w:rPr>
      </w:pPr>
      <w:r w:rsidRPr="00685E7E">
        <w:rPr>
          <w:b/>
          <w:sz w:val="24"/>
          <w:szCs w:val="24"/>
        </w:rPr>
        <w:t>8.</w:t>
      </w:r>
      <w:r w:rsidRPr="00685E7E">
        <w:rPr>
          <w:b/>
          <w:sz w:val="24"/>
          <w:szCs w:val="24"/>
        </w:rPr>
        <w:tab/>
        <w:t>MARKEDSFØRINGSTILLADELSESNUMMER (</w:t>
      </w:r>
      <w:r w:rsidR="00BF6243" w:rsidRPr="00685E7E">
        <w:rPr>
          <w:b/>
          <w:sz w:val="24"/>
          <w:szCs w:val="24"/>
        </w:rPr>
        <w:t>-</w:t>
      </w:r>
      <w:r w:rsidRPr="00685E7E">
        <w:rPr>
          <w:b/>
          <w:sz w:val="24"/>
          <w:szCs w:val="24"/>
        </w:rPr>
        <w:t>NUMRE)</w:t>
      </w:r>
    </w:p>
    <w:p w14:paraId="3C97E9B1" w14:textId="3E42BBEB" w:rsidR="009260DE" w:rsidRPr="00685E7E" w:rsidRDefault="00B170A3" w:rsidP="009260DE">
      <w:pPr>
        <w:tabs>
          <w:tab w:val="left" w:pos="851"/>
        </w:tabs>
        <w:ind w:left="851"/>
        <w:rPr>
          <w:sz w:val="24"/>
          <w:szCs w:val="24"/>
        </w:rPr>
      </w:pPr>
      <w:r w:rsidRPr="00685E7E">
        <w:rPr>
          <w:sz w:val="24"/>
          <w:szCs w:val="24"/>
        </w:rPr>
        <w:t>71225</w:t>
      </w:r>
    </w:p>
    <w:p w14:paraId="2AECF1F6" w14:textId="77777777" w:rsidR="009260DE" w:rsidRPr="00685E7E" w:rsidRDefault="009260DE" w:rsidP="009260DE">
      <w:pPr>
        <w:tabs>
          <w:tab w:val="left" w:pos="851"/>
        </w:tabs>
        <w:ind w:left="851"/>
        <w:jc w:val="both"/>
        <w:rPr>
          <w:sz w:val="24"/>
          <w:szCs w:val="24"/>
        </w:rPr>
      </w:pPr>
    </w:p>
    <w:p w14:paraId="5F0B28DB" w14:textId="77777777" w:rsidR="009260DE" w:rsidRPr="00685E7E" w:rsidRDefault="009260DE" w:rsidP="009260DE">
      <w:pPr>
        <w:tabs>
          <w:tab w:val="left" w:pos="851"/>
        </w:tabs>
        <w:ind w:left="851" w:hanging="851"/>
        <w:rPr>
          <w:b/>
          <w:sz w:val="24"/>
          <w:szCs w:val="24"/>
        </w:rPr>
      </w:pPr>
      <w:r w:rsidRPr="00685E7E">
        <w:rPr>
          <w:b/>
          <w:sz w:val="24"/>
          <w:szCs w:val="24"/>
        </w:rPr>
        <w:t>9.</w:t>
      </w:r>
      <w:r w:rsidRPr="00685E7E">
        <w:rPr>
          <w:b/>
          <w:sz w:val="24"/>
          <w:szCs w:val="24"/>
        </w:rPr>
        <w:tab/>
        <w:t>DATO FOR FØRSTE MARKEDSFØRINGSTILLADELSE</w:t>
      </w:r>
    </w:p>
    <w:p w14:paraId="4A2B4621" w14:textId="0AFFB2AE" w:rsidR="009260DE" w:rsidRPr="00685E7E" w:rsidRDefault="00775D6A" w:rsidP="009260DE">
      <w:pPr>
        <w:tabs>
          <w:tab w:val="left" w:pos="851"/>
        </w:tabs>
        <w:ind w:left="851"/>
        <w:rPr>
          <w:sz w:val="24"/>
          <w:szCs w:val="24"/>
        </w:rPr>
      </w:pPr>
      <w:r>
        <w:rPr>
          <w:sz w:val="24"/>
          <w:szCs w:val="24"/>
        </w:rPr>
        <w:t>29. juli 2024</w:t>
      </w:r>
    </w:p>
    <w:p w14:paraId="792E4164" w14:textId="77777777" w:rsidR="009260DE" w:rsidRPr="00685E7E" w:rsidRDefault="009260DE" w:rsidP="009260DE">
      <w:pPr>
        <w:tabs>
          <w:tab w:val="left" w:pos="851"/>
        </w:tabs>
        <w:ind w:left="851"/>
        <w:rPr>
          <w:sz w:val="24"/>
          <w:szCs w:val="24"/>
        </w:rPr>
      </w:pPr>
    </w:p>
    <w:p w14:paraId="7E8F9E9F" w14:textId="77777777" w:rsidR="009260DE" w:rsidRPr="00685E7E" w:rsidRDefault="009260DE" w:rsidP="009260DE">
      <w:pPr>
        <w:tabs>
          <w:tab w:val="left" w:pos="851"/>
        </w:tabs>
        <w:ind w:left="851" w:hanging="851"/>
        <w:rPr>
          <w:b/>
          <w:sz w:val="24"/>
          <w:szCs w:val="24"/>
        </w:rPr>
      </w:pPr>
      <w:r w:rsidRPr="00685E7E">
        <w:rPr>
          <w:b/>
          <w:sz w:val="24"/>
          <w:szCs w:val="24"/>
        </w:rPr>
        <w:t>10.</w:t>
      </w:r>
      <w:r w:rsidRPr="00685E7E">
        <w:rPr>
          <w:b/>
          <w:sz w:val="24"/>
          <w:szCs w:val="24"/>
        </w:rPr>
        <w:tab/>
        <w:t>DATO FOR ÆNDRING AF TEKSTEN</w:t>
      </w:r>
    </w:p>
    <w:p w14:paraId="66C53F5B" w14:textId="3942B01E" w:rsidR="009260DE" w:rsidRPr="00685E7E" w:rsidRDefault="004E499F" w:rsidP="009260DE">
      <w:pPr>
        <w:tabs>
          <w:tab w:val="left" w:pos="851"/>
        </w:tabs>
        <w:ind w:left="851"/>
        <w:rPr>
          <w:sz w:val="24"/>
          <w:szCs w:val="24"/>
        </w:rPr>
      </w:pPr>
      <w:r>
        <w:rPr>
          <w:sz w:val="24"/>
          <w:szCs w:val="24"/>
        </w:rPr>
        <w:t>8. august 2024</w:t>
      </w:r>
    </w:p>
    <w:sectPr w:rsidR="009260DE" w:rsidRPr="00685E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3A2F2" w14:textId="77777777" w:rsidR="0011339E" w:rsidRDefault="0011339E">
      <w:r>
        <w:separator/>
      </w:r>
    </w:p>
  </w:endnote>
  <w:endnote w:type="continuationSeparator" w:id="0">
    <w:p w14:paraId="486140CE" w14:textId="77777777" w:rsidR="0011339E" w:rsidRDefault="0011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E6DCC" w14:textId="77777777" w:rsidR="000259B9" w:rsidRDefault="000259B9">
    <w:pPr>
      <w:pStyle w:val="Sidefod"/>
      <w:pBdr>
        <w:bottom w:val="single" w:sz="6" w:space="1" w:color="auto"/>
      </w:pBdr>
    </w:pPr>
  </w:p>
  <w:p w14:paraId="36F71163" w14:textId="77777777" w:rsidR="000259B9" w:rsidRDefault="000259B9" w:rsidP="00C42586">
    <w:pPr>
      <w:pStyle w:val="Sidefod"/>
      <w:tabs>
        <w:tab w:val="clear" w:pos="4819"/>
        <w:tab w:val="left" w:pos="8505"/>
      </w:tabs>
      <w:rPr>
        <w:i/>
        <w:sz w:val="18"/>
        <w:szCs w:val="18"/>
      </w:rPr>
    </w:pPr>
  </w:p>
  <w:p w14:paraId="3F62DA7B" w14:textId="2399653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5D6A">
      <w:rPr>
        <w:i/>
        <w:noProof/>
        <w:sz w:val="18"/>
        <w:szCs w:val="18"/>
      </w:rPr>
      <w:t>Influvac, injektionsvæske, suspension i fyldt injektionssprøjte.docx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5B10" w14:textId="77777777" w:rsidR="0011339E" w:rsidRDefault="0011339E">
      <w:r>
        <w:separator/>
      </w:r>
    </w:p>
  </w:footnote>
  <w:footnote w:type="continuationSeparator" w:id="0">
    <w:p w14:paraId="52E86A76" w14:textId="77777777" w:rsidR="0011339E" w:rsidRDefault="00113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E"/>
    <w:rsid w:val="000259B9"/>
    <w:rsid w:val="00041491"/>
    <w:rsid w:val="00050D16"/>
    <w:rsid w:val="000730CA"/>
    <w:rsid w:val="00074F2A"/>
    <w:rsid w:val="000925F2"/>
    <w:rsid w:val="000A1CA8"/>
    <w:rsid w:val="000A466B"/>
    <w:rsid w:val="000B058C"/>
    <w:rsid w:val="000D68B0"/>
    <w:rsid w:val="000E4EE6"/>
    <w:rsid w:val="0011339E"/>
    <w:rsid w:val="001454E2"/>
    <w:rsid w:val="00152883"/>
    <w:rsid w:val="00206CE8"/>
    <w:rsid w:val="0021526C"/>
    <w:rsid w:val="002479E4"/>
    <w:rsid w:val="00283A2B"/>
    <w:rsid w:val="002A1C19"/>
    <w:rsid w:val="002B30AD"/>
    <w:rsid w:val="002C1EC0"/>
    <w:rsid w:val="002C2C01"/>
    <w:rsid w:val="003A29AE"/>
    <w:rsid w:val="003A32D7"/>
    <w:rsid w:val="003B4074"/>
    <w:rsid w:val="003C769A"/>
    <w:rsid w:val="003D3A90"/>
    <w:rsid w:val="003F1838"/>
    <w:rsid w:val="004251C1"/>
    <w:rsid w:val="0045746C"/>
    <w:rsid w:val="0048476E"/>
    <w:rsid w:val="0049104B"/>
    <w:rsid w:val="004E3B12"/>
    <w:rsid w:val="004E499F"/>
    <w:rsid w:val="00526C64"/>
    <w:rsid w:val="00532310"/>
    <w:rsid w:val="00565F0F"/>
    <w:rsid w:val="00594A86"/>
    <w:rsid w:val="00596D86"/>
    <w:rsid w:val="00637F5A"/>
    <w:rsid w:val="00641C65"/>
    <w:rsid w:val="006560B1"/>
    <w:rsid w:val="006756DD"/>
    <w:rsid w:val="00685E7E"/>
    <w:rsid w:val="0071241E"/>
    <w:rsid w:val="00737275"/>
    <w:rsid w:val="00740EEC"/>
    <w:rsid w:val="00775D6A"/>
    <w:rsid w:val="0078011A"/>
    <w:rsid w:val="00782AF4"/>
    <w:rsid w:val="00790EE7"/>
    <w:rsid w:val="00797829"/>
    <w:rsid w:val="007B6649"/>
    <w:rsid w:val="007C7D9A"/>
    <w:rsid w:val="00813223"/>
    <w:rsid w:val="0082576E"/>
    <w:rsid w:val="0089346F"/>
    <w:rsid w:val="00907F75"/>
    <w:rsid w:val="009260DE"/>
    <w:rsid w:val="0093258A"/>
    <w:rsid w:val="009C7BA3"/>
    <w:rsid w:val="009D1F5A"/>
    <w:rsid w:val="00A10294"/>
    <w:rsid w:val="00B003BF"/>
    <w:rsid w:val="00B170A3"/>
    <w:rsid w:val="00B22DF0"/>
    <w:rsid w:val="00B373D7"/>
    <w:rsid w:val="00B55271"/>
    <w:rsid w:val="00BD7931"/>
    <w:rsid w:val="00BF6243"/>
    <w:rsid w:val="00C078C6"/>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B546A"/>
    <w:rsid w:val="00EC0B9B"/>
    <w:rsid w:val="00ED5E9F"/>
    <w:rsid w:val="00F22617"/>
    <w:rsid w:val="00F66D4F"/>
    <w:rsid w:val="00FB6D01"/>
    <w:rsid w:val="00FD3128"/>
    <w:rsid w:val="00FE41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76071"/>
  <w15:chartTrackingRefBased/>
  <w15:docId w15:val="{B9AFE2C5-8C88-4748-B8E5-5F4185D8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B170A3"/>
    <w:pPr>
      <w:tabs>
        <w:tab w:val="left" w:pos="0"/>
        <w:tab w:val="left" w:pos="851"/>
        <w:tab w:val="left" w:pos="1701"/>
        <w:tab w:val="left" w:pos="2552"/>
        <w:tab w:val="left" w:pos="3403"/>
        <w:tab w:val="left" w:pos="4254"/>
        <w:tab w:val="left" w:pos="5955"/>
        <w:tab w:val="left" w:pos="6806"/>
        <w:tab w:val="left" w:pos="8035"/>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semiHidden/>
    <w:rsid w:val="00B170A3"/>
    <w:rPr>
      <w:spacing w:val="-3"/>
      <w:sz w:val="24"/>
    </w:rPr>
  </w:style>
  <w:style w:type="character" w:styleId="Hyperlink">
    <w:name w:val="Hyperlink"/>
    <w:uiPriority w:val="99"/>
    <w:semiHidden/>
    <w:unhideWhenUsed/>
    <w:rsid w:val="00B170A3"/>
    <w:rPr>
      <w:color w:val="0563C1"/>
      <w:u w:val="single"/>
    </w:rPr>
  </w:style>
  <w:style w:type="paragraph" w:styleId="Bloktekst">
    <w:name w:val="Block Text"/>
    <w:basedOn w:val="Normal"/>
    <w:semiHidden/>
    <w:unhideWhenUsed/>
    <w:rsid w:val="00B170A3"/>
    <w:pPr>
      <w:tabs>
        <w:tab w:val="left" w:pos="-851"/>
        <w:tab w:val="left" w:pos="851"/>
        <w:tab w:val="left" w:pos="1701"/>
        <w:tab w:val="left" w:pos="2552"/>
        <w:tab w:val="left" w:pos="3403"/>
        <w:tab w:val="left" w:pos="4254"/>
        <w:tab w:val="left" w:pos="5105"/>
        <w:tab w:val="left" w:pos="5955"/>
        <w:tab w:val="left" w:pos="6806"/>
        <w:tab w:val="left" w:pos="7657"/>
        <w:tab w:val="left" w:pos="8508"/>
        <w:tab w:val="left" w:pos="9359"/>
        <w:tab w:val="left" w:pos="10209"/>
        <w:tab w:val="left" w:pos="11060"/>
        <w:tab w:val="left" w:pos="11911"/>
        <w:tab w:val="left" w:pos="12762"/>
        <w:tab w:val="left" w:pos="13613"/>
        <w:tab w:val="left" w:pos="14463"/>
        <w:tab w:val="left" w:pos="15314"/>
        <w:tab w:val="left" w:pos="16165"/>
        <w:tab w:val="left" w:pos="17016"/>
        <w:tab w:val="left" w:pos="17867"/>
        <w:tab w:val="left" w:pos="18717"/>
        <w:tab w:val="left" w:pos="19568"/>
        <w:tab w:val="left" w:pos="20419"/>
        <w:tab w:val="left" w:pos="21270"/>
        <w:tab w:val="left" w:pos="22121"/>
        <w:tab w:val="left" w:pos="22971"/>
        <w:tab w:val="left" w:pos="23822"/>
        <w:tab w:val="left" w:pos="24673"/>
        <w:tab w:val="left" w:pos="25524"/>
        <w:tab w:val="left" w:pos="26375"/>
        <w:tab w:val="left" w:pos="27225"/>
        <w:tab w:val="left" w:pos="28076"/>
        <w:tab w:val="left" w:pos="28927"/>
        <w:tab w:val="left" w:pos="29778"/>
      </w:tabs>
      <w:ind w:left="851" w:right="115"/>
    </w:pPr>
    <w:rPr>
      <w:sz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5487">
      <w:bodyDiv w:val="1"/>
      <w:marLeft w:val="0"/>
      <w:marRight w:val="0"/>
      <w:marTop w:val="0"/>
      <w:marBottom w:val="0"/>
      <w:divBdr>
        <w:top w:val="none" w:sz="0" w:space="0" w:color="auto"/>
        <w:left w:val="none" w:sz="0" w:space="0" w:color="auto"/>
        <w:bottom w:val="none" w:sz="0" w:space="0" w:color="auto"/>
        <w:right w:val="none" w:sz="0" w:space="0" w:color="auto"/>
      </w:divBdr>
    </w:div>
    <w:div w:id="1656806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818893">
      <w:bodyDiv w:val="1"/>
      <w:marLeft w:val="0"/>
      <w:marRight w:val="0"/>
      <w:marTop w:val="0"/>
      <w:marBottom w:val="0"/>
      <w:divBdr>
        <w:top w:val="none" w:sz="0" w:space="0" w:color="auto"/>
        <w:left w:val="none" w:sz="0" w:space="0" w:color="auto"/>
        <w:bottom w:val="none" w:sz="0" w:space="0" w:color="auto"/>
        <w:right w:val="none" w:sz="0" w:space="0" w:color="auto"/>
      </w:divBdr>
    </w:div>
    <w:div w:id="188881097">
      <w:bodyDiv w:val="1"/>
      <w:marLeft w:val="0"/>
      <w:marRight w:val="0"/>
      <w:marTop w:val="0"/>
      <w:marBottom w:val="0"/>
      <w:divBdr>
        <w:top w:val="none" w:sz="0" w:space="0" w:color="auto"/>
        <w:left w:val="none" w:sz="0" w:space="0" w:color="auto"/>
        <w:bottom w:val="none" w:sz="0" w:space="0" w:color="auto"/>
        <w:right w:val="none" w:sz="0" w:space="0" w:color="auto"/>
      </w:divBdr>
    </w:div>
    <w:div w:id="218983312">
      <w:bodyDiv w:val="1"/>
      <w:marLeft w:val="0"/>
      <w:marRight w:val="0"/>
      <w:marTop w:val="0"/>
      <w:marBottom w:val="0"/>
      <w:divBdr>
        <w:top w:val="none" w:sz="0" w:space="0" w:color="auto"/>
        <w:left w:val="none" w:sz="0" w:space="0" w:color="auto"/>
        <w:bottom w:val="none" w:sz="0" w:space="0" w:color="auto"/>
        <w:right w:val="none" w:sz="0" w:space="0" w:color="auto"/>
      </w:divBdr>
    </w:div>
    <w:div w:id="239948131">
      <w:bodyDiv w:val="1"/>
      <w:marLeft w:val="0"/>
      <w:marRight w:val="0"/>
      <w:marTop w:val="0"/>
      <w:marBottom w:val="0"/>
      <w:divBdr>
        <w:top w:val="none" w:sz="0" w:space="0" w:color="auto"/>
        <w:left w:val="none" w:sz="0" w:space="0" w:color="auto"/>
        <w:bottom w:val="none" w:sz="0" w:space="0" w:color="auto"/>
        <w:right w:val="none" w:sz="0" w:space="0" w:color="auto"/>
      </w:divBdr>
    </w:div>
    <w:div w:id="265312224">
      <w:bodyDiv w:val="1"/>
      <w:marLeft w:val="0"/>
      <w:marRight w:val="0"/>
      <w:marTop w:val="0"/>
      <w:marBottom w:val="0"/>
      <w:divBdr>
        <w:top w:val="none" w:sz="0" w:space="0" w:color="auto"/>
        <w:left w:val="none" w:sz="0" w:space="0" w:color="auto"/>
        <w:bottom w:val="none" w:sz="0" w:space="0" w:color="auto"/>
        <w:right w:val="none" w:sz="0" w:space="0" w:color="auto"/>
      </w:divBdr>
    </w:div>
    <w:div w:id="322003170">
      <w:bodyDiv w:val="1"/>
      <w:marLeft w:val="0"/>
      <w:marRight w:val="0"/>
      <w:marTop w:val="0"/>
      <w:marBottom w:val="0"/>
      <w:divBdr>
        <w:top w:val="none" w:sz="0" w:space="0" w:color="auto"/>
        <w:left w:val="none" w:sz="0" w:space="0" w:color="auto"/>
        <w:bottom w:val="none" w:sz="0" w:space="0" w:color="auto"/>
        <w:right w:val="none" w:sz="0" w:space="0" w:color="auto"/>
      </w:divBdr>
    </w:div>
    <w:div w:id="415367241">
      <w:bodyDiv w:val="1"/>
      <w:marLeft w:val="0"/>
      <w:marRight w:val="0"/>
      <w:marTop w:val="0"/>
      <w:marBottom w:val="0"/>
      <w:divBdr>
        <w:top w:val="none" w:sz="0" w:space="0" w:color="auto"/>
        <w:left w:val="none" w:sz="0" w:space="0" w:color="auto"/>
        <w:bottom w:val="none" w:sz="0" w:space="0" w:color="auto"/>
        <w:right w:val="none" w:sz="0" w:space="0" w:color="auto"/>
      </w:divBdr>
    </w:div>
    <w:div w:id="513032162">
      <w:bodyDiv w:val="1"/>
      <w:marLeft w:val="0"/>
      <w:marRight w:val="0"/>
      <w:marTop w:val="0"/>
      <w:marBottom w:val="0"/>
      <w:divBdr>
        <w:top w:val="none" w:sz="0" w:space="0" w:color="auto"/>
        <w:left w:val="none" w:sz="0" w:space="0" w:color="auto"/>
        <w:bottom w:val="none" w:sz="0" w:space="0" w:color="auto"/>
        <w:right w:val="none" w:sz="0" w:space="0" w:color="auto"/>
      </w:divBdr>
    </w:div>
    <w:div w:id="528376285">
      <w:bodyDiv w:val="1"/>
      <w:marLeft w:val="0"/>
      <w:marRight w:val="0"/>
      <w:marTop w:val="0"/>
      <w:marBottom w:val="0"/>
      <w:divBdr>
        <w:top w:val="none" w:sz="0" w:space="0" w:color="auto"/>
        <w:left w:val="none" w:sz="0" w:space="0" w:color="auto"/>
        <w:bottom w:val="none" w:sz="0" w:space="0" w:color="auto"/>
        <w:right w:val="none" w:sz="0" w:space="0" w:color="auto"/>
      </w:divBdr>
    </w:div>
    <w:div w:id="534199799">
      <w:bodyDiv w:val="1"/>
      <w:marLeft w:val="0"/>
      <w:marRight w:val="0"/>
      <w:marTop w:val="0"/>
      <w:marBottom w:val="0"/>
      <w:divBdr>
        <w:top w:val="none" w:sz="0" w:space="0" w:color="auto"/>
        <w:left w:val="none" w:sz="0" w:space="0" w:color="auto"/>
        <w:bottom w:val="none" w:sz="0" w:space="0" w:color="auto"/>
        <w:right w:val="none" w:sz="0" w:space="0" w:color="auto"/>
      </w:divBdr>
    </w:div>
    <w:div w:id="712777948">
      <w:bodyDiv w:val="1"/>
      <w:marLeft w:val="0"/>
      <w:marRight w:val="0"/>
      <w:marTop w:val="0"/>
      <w:marBottom w:val="0"/>
      <w:divBdr>
        <w:top w:val="none" w:sz="0" w:space="0" w:color="auto"/>
        <w:left w:val="none" w:sz="0" w:space="0" w:color="auto"/>
        <w:bottom w:val="none" w:sz="0" w:space="0" w:color="auto"/>
        <w:right w:val="none" w:sz="0" w:space="0" w:color="auto"/>
      </w:divBdr>
    </w:div>
    <w:div w:id="830215133">
      <w:bodyDiv w:val="1"/>
      <w:marLeft w:val="0"/>
      <w:marRight w:val="0"/>
      <w:marTop w:val="0"/>
      <w:marBottom w:val="0"/>
      <w:divBdr>
        <w:top w:val="none" w:sz="0" w:space="0" w:color="auto"/>
        <w:left w:val="none" w:sz="0" w:space="0" w:color="auto"/>
        <w:bottom w:val="none" w:sz="0" w:space="0" w:color="auto"/>
        <w:right w:val="none" w:sz="0" w:space="0" w:color="auto"/>
      </w:divBdr>
    </w:div>
    <w:div w:id="854418370">
      <w:bodyDiv w:val="1"/>
      <w:marLeft w:val="0"/>
      <w:marRight w:val="0"/>
      <w:marTop w:val="0"/>
      <w:marBottom w:val="0"/>
      <w:divBdr>
        <w:top w:val="none" w:sz="0" w:space="0" w:color="auto"/>
        <w:left w:val="none" w:sz="0" w:space="0" w:color="auto"/>
        <w:bottom w:val="none" w:sz="0" w:space="0" w:color="auto"/>
        <w:right w:val="none" w:sz="0" w:space="0" w:color="auto"/>
      </w:divBdr>
    </w:div>
    <w:div w:id="861288210">
      <w:bodyDiv w:val="1"/>
      <w:marLeft w:val="0"/>
      <w:marRight w:val="0"/>
      <w:marTop w:val="0"/>
      <w:marBottom w:val="0"/>
      <w:divBdr>
        <w:top w:val="none" w:sz="0" w:space="0" w:color="auto"/>
        <w:left w:val="none" w:sz="0" w:space="0" w:color="auto"/>
        <w:bottom w:val="none" w:sz="0" w:space="0" w:color="auto"/>
        <w:right w:val="none" w:sz="0" w:space="0" w:color="auto"/>
      </w:divBdr>
    </w:div>
    <w:div w:id="916405077">
      <w:bodyDiv w:val="1"/>
      <w:marLeft w:val="0"/>
      <w:marRight w:val="0"/>
      <w:marTop w:val="0"/>
      <w:marBottom w:val="0"/>
      <w:divBdr>
        <w:top w:val="none" w:sz="0" w:space="0" w:color="auto"/>
        <w:left w:val="none" w:sz="0" w:space="0" w:color="auto"/>
        <w:bottom w:val="none" w:sz="0" w:space="0" w:color="auto"/>
        <w:right w:val="none" w:sz="0" w:space="0" w:color="auto"/>
      </w:divBdr>
    </w:div>
    <w:div w:id="1286229792">
      <w:bodyDiv w:val="1"/>
      <w:marLeft w:val="0"/>
      <w:marRight w:val="0"/>
      <w:marTop w:val="0"/>
      <w:marBottom w:val="0"/>
      <w:divBdr>
        <w:top w:val="none" w:sz="0" w:space="0" w:color="auto"/>
        <w:left w:val="none" w:sz="0" w:space="0" w:color="auto"/>
        <w:bottom w:val="none" w:sz="0" w:space="0" w:color="auto"/>
        <w:right w:val="none" w:sz="0" w:space="0" w:color="auto"/>
      </w:divBdr>
    </w:div>
    <w:div w:id="1425957670">
      <w:bodyDiv w:val="1"/>
      <w:marLeft w:val="0"/>
      <w:marRight w:val="0"/>
      <w:marTop w:val="0"/>
      <w:marBottom w:val="0"/>
      <w:divBdr>
        <w:top w:val="none" w:sz="0" w:space="0" w:color="auto"/>
        <w:left w:val="none" w:sz="0" w:space="0" w:color="auto"/>
        <w:bottom w:val="none" w:sz="0" w:space="0" w:color="auto"/>
        <w:right w:val="none" w:sz="0" w:space="0" w:color="auto"/>
      </w:divBdr>
    </w:div>
    <w:div w:id="1510754478">
      <w:bodyDiv w:val="1"/>
      <w:marLeft w:val="0"/>
      <w:marRight w:val="0"/>
      <w:marTop w:val="0"/>
      <w:marBottom w:val="0"/>
      <w:divBdr>
        <w:top w:val="none" w:sz="0" w:space="0" w:color="auto"/>
        <w:left w:val="none" w:sz="0" w:space="0" w:color="auto"/>
        <w:bottom w:val="none" w:sz="0" w:space="0" w:color="auto"/>
        <w:right w:val="none" w:sz="0" w:space="0" w:color="auto"/>
      </w:divBdr>
    </w:div>
    <w:div w:id="1597246038">
      <w:bodyDiv w:val="1"/>
      <w:marLeft w:val="0"/>
      <w:marRight w:val="0"/>
      <w:marTop w:val="0"/>
      <w:marBottom w:val="0"/>
      <w:divBdr>
        <w:top w:val="none" w:sz="0" w:space="0" w:color="auto"/>
        <w:left w:val="none" w:sz="0" w:space="0" w:color="auto"/>
        <w:bottom w:val="none" w:sz="0" w:space="0" w:color="auto"/>
        <w:right w:val="none" w:sz="0" w:space="0" w:color="auto"/>
      </w:divBdr>
    </w:div>
    <w:div w:id="1658608229">
      <w:bodyDiv w:val="1"/>
      <w:marLeft w:val="0"/>
      <w:marRight w:val="0"/>
      <w:marTop w:val="0"/>
      <w:marBottom w:val="0"/>
      <w:divBdr>
        <w:top w:val="none" w:sz="0" w:space="0" w:color="auto"/>
        <w:left w:val="none" w:sz="0" w:space="0" w:color="auto"/>
        <w:bottom w:val="none" w:sz="0" w:space="0" w:color="auto"/>
        <w:right w:val="none" w:sz="0" w:space="0" w:color="auto"/>
      </w:divBdr>
    </w:div>
    <w:div w:id="1843665981">
      <w:bodyDiv w:val="1"/>
      <w:marLeft w:val="0"/>
      <w:marRight w:val="0"/>
      <w:marTop w:val="0"/>
      <w:marBottom w:val="0"/>
      <w:divBdr>
        <w:top w:val="none" w:sz="0" w:space="0" w:color="auto"/>
        <w:left w:val="none" w:sz="0" w:space="0" w:color="auto"/>
        <w:bottom w:val="none" w:sz="0" w:space="0" w:color="auto"/>
        <w:right w:val="none" w:sz="0" w:space="0" w:color="auto"/>
      </w:divBdr>
    </w:div>
    <w:div w:id="198766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6</Pages>
  <Words>1192</Words>
  <Characters>8101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2024054621 - pkt. 2 - Annual update for 2024/2025 sæsonen</dc:description>
  <cp:lastModifiedBy>Casper Lydolph</cp:lastModifiedBy>
  <cp:revision>12</cp:revision>
  <cp:lastPrinted>2012-08-22T08:53:00Z</cp:lastPrinted>
  <dcterms:created xsi:type="dcterms:W3CDTF">2024-08-08T05:47:00Z</dcterms:created>
  <dcterms:modified xsi:type="dcterms:W3CDTF">2024-08-08T06:23:00Z</dcterms:modified>
</cp:coreProperties>
</file>