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590" w:rsidRPr="008F49E1" w:rsidRDefault="00965590" w:rsidP="00965590">
      <w:pPr>
        <w:rPr>
          <w:sz w:val="24"/>
          <w:szCs w:val="24"/>
        </w:rPr>
      </w:pPr>
      <w:r w:rsidRPr="009260DE">
        <w:rPr>
          <w:noProof/>
          <w:sz w:val="24"/>
          <w:szCs w:val="24"/>
          <w:lang w:eastAsia="da-DK"/>
        </w:rPr>
        <w:drawing>
          <wp:anchor distT="0" distB="0" distL="114300" distR="114300" simplePos="0" relativeHeight="251659264" behindDoc="0" locked="0" layoutInCell="1" allowOverlap="1" wp14:anchorId="54458F41" wp14:editId="0B95A4A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65590" w:rsidRPr="00C84483" w:rsidRDefault="00965590" w:rsidP="00965590">
      <w:pPr>
        <w:pStyle w:val="Titel"/>
        <w:tabs>
          <w:tab w:val="right" w:pos="9356"/>
        </w:tabs>
        <w:jc w:val="left"/>
        <w:rPr>
          <w:b w:val="0"/>
          <w:szCs w:val="24"/>
          <w:lang w:eastAsia="en-US"/>
        </w:rPr>
      </w:pPr>
      <w:r w:rsidRPr="00C84483">
        <w:rPr>
          <w:b w:val="0"/>
          <w:szCs w:val="24"/>
          <w:lang w:eastAsia="en-US"/>
        </w:rPr>
        <w:tab/>
      </w:r>
      <w:r w:rsidR="00895C46" w:rsidRPr="00895C46">
        <w:rPr>
          <w:szCs w:val="24"/>
          <w:lang w:eastAsia="en-US"/>
        </w:rPr>
        <w:t>1</w:t>
      </w:r>
      <w:r w:rsidR="00B12E19">
        <w:rPr>
          <w:szCs w:val="24"/>
          <w:lang w:eastAsia="en-US"/>
        </w:rPr>
        <w:t>9</w:t>
      </w:r>
      <w:r w:rsidR="005639A8">
        <w:rPr>
          <w:szCs w:val="24"/>
          <w:lang w:eastAsia="en-US"/>
        </w:rPr>
        <w:t xml:space="preserve">. juli </w:t>
      </w:r>
      <w:r w:rsidR="009D6802">
        <w:rPr>
          <w:szCs w:val="24"/>
          <w:lang w:eastAsia="en-US"/>
        </w:rPr>
        <w:t>202</w:t>
      </w:r>
      <w:r w:rsidR="00B12E19">
        <w:rPr>
          <w:szCs w:val="24"/>
          <w:lang w:eastAsia="en-US"/>
        </w:rPr>
        <w:t>4</w:t>
      </w:r>
    </w:p>
    <w:p w:rsidR="00965590" w:rsidRPr="00C84483" w:rsidRDefault="00965590" w:rsidP="00965590">
      <w:pPr>
        <w:pStyle w:val="Titel"/>
        <w:tabs>
          <w:tab w:val="left" w:pos="8222"/>
        </w:tabs>
        <w:jc w:val="left"/>
        <w:rPr>
          <w:b w:val="0"/>
          <w:szCs w:val="24"/>
        </w:rPr>
      </w:pPr>
    </w:p>
    <w:p w:rsidR="00965590" w:rsidRPr="00C84483" w:rsidRDefault="00965590" w:rsidP="00965590">
      <w:pPr>
        <w:pStyle w:val="Titel"/>
        <w:jc w:val="left"/>
        <w:rPr>
          <w:b w:val="0"/>
          <w:szCs w:val="24"/>
        </w:rPr>
      </w:pPr>
    </w:p>
    <w:p w:rsidR="00965590" w:rsidRPr="00C84483" w:rsidRDefault="00965590" w:rsidP="00965590">
      <w:pPr>
        <w:jc w:val="center"/>
        <w:rPr>
          <w:b/>
          <w:sz w:val="24"/>
          <w:szCs w:val="24"/>
        </w:rPr>
      </w:pPr>
      <w:r w:rsidRPr="00C84483">
        <w:rPr>
          <w:b/>
          <w:sz w:val="24"/>
          <w:szCs w:val="24"/>
        </w:rPr>
        <w:t>PRODUKTRESUMÉ</w:t>
      </w:r>
    </w:p>
    <w:p w:rsidR="00965590" w:rsidRPr="00C84483" w:rsidRDefault="00965590" w:rsidP="00965590">
      <w:pPr>
        <w:jc w:val="center"/>
        <w:rPr>
          <w:b/>
          <w:sz w:val="24"/>
          <w:szCs w:val="24"/>
        </w:rPr>
      </w:pPr>
    </w:p>
    <w:p w:rsidR="00965590" w:rsidRDefault="00965590" w:rsidP="00965590">
      <w:pPr>
        <w:jc w:val="center"/>
        <w:rPr>
          <w:b/>
          <w:sz w:val="24"/>
          <w:szCs w:val="24"/>
        </w:rPr>
      </w:pPr>
      <w:r w:rsidRPr="00C84483">
        <w:rPr>
          <w:b/>
          <w:sz w:val="24"/>
          <w:szCs w:val="24"/>
        </w:rPr>
        <w:t>for</w:t>
      </w:r>
    </w:p>
    <w:p w:rsidR="00965590" w:rsidRPr="00C84483" w:rsidRDefault="00965590" w:rsidP="00965590">
      <w:pPr>
        <w:jc w:val="center"/>
        <w:rPr>
          <w:b/>
          <w:sz w:val="24"/>
          <w:szCs w:val="24"/>
        </w:rPr>
      </w:pPr>
    </w:p>
    <w:p w:rsidR="00965590" w:rsidRPr="00C84483" w:rsidRDefault="00965590" w:rsidP="00965590">
      <w:pPr>
        <w:jc w:val="center"/>
        <w:rPr>
          <w:sz w:val="24"/>
          <w:szCs w:val="24"/>
        </w:rPr>
      </w:pPr>
      <w:proofErr w:type="spellStart"/>
      <w:r w:rsidRPr="00E93E89">
        <w:rPr>
          <w:b/>
          <w:sz w:val="24"/>
          <w:szCs w:val="24"/>
        </w:rPr>
        <w:t>Influvactetra</w:t>
      </w:r>
      <w:proofErr w:type="spellEnd"/>
      <w:r w:rsidRPr="00E93E89">
        <w:rPr>
          <w:b/>
          <w:sz w:val="24"/>
          <w:szCs w:val="24"/>
        </w:rPr>
        <w:t>, injektionsvæske, suspension i fyldt injektionssprøjte</w:t>
      </w:r>
    </w:p>
    <w:p w:rsidR="00965590" w:rsidRDefault="00965590" w:rsidP="00965590">
      <w:pPr>
        <w:jc w:val="both"/>
        <w:rPr>
          <w:sz w:val="24"/>
          <w:szCs w:val="24"/>
        </w:rPr>
      </w:pPr>
    </w:p>
    <w:p w:rsidR="00965590" w:rsidRPr="00C84483" w:rsidRDefault="00965590" w:rsidP="00965590">
      <w:pPr>
        <w:jc w:val="both"/>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0.</w:t>
      </w:r>
      <w:r w:rsidRPr="00C84483">
        <w:rPr>
          <w:b/>
          <w:sz w:val="24"/>
          <w:szCs w:val="24"/>
        </w:rPr>
        <w:tab/>
        <w:t>D.SP.NR.</w:t>
      </w:r>
    </w:p>
    <w:p w:rsidR="00965590" w:rsidRPr="00C84483" w:rsidRDefault="00965590" w:rsidP="00965590">
      <w:pPr>
        <w:tabs>
          <w:tab w:val="left" w:pos="851"/>
        </w:tabs>
        <w:ind w:left="851"/>
        <w:rPr>
          <w:sz w:val="24"/>
          <w:szCs w:val="24"/>
        </w:rPr>
      </w:pPr>
      <w:r>
        <w:rPr>
          <w:sz w:val="24"/>
          <w:szCs w:val="24"/>
        </w:rPr>
        <w:t>31398</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1.</w:t>
      </w:r>
      <w:r w:rsidRPr="00C84483">
        <w:rPr>
          <w:b/>
          <w:sz w:val="24"/>
          <w:szCs w:val="24"/>
        </w:rPr>
        <w:tab/>
        <w:t>LÆGEMIDLETS NAVN</w:t>
      </w:r>
    </w:p>
    <w:p w:rsidR="00965590" w:rsidRPr="00C84483" w:rsidRDefault="00965590" w:rsidP="00965590">
      <w:pPr>
        <w:tabs>
          <w:tab w:val="left" w:pos="851"/>
        </w:tabs>
        <w:ind w:left="851"/>
        <w:rPr>
          <w:sz w:val="24"/>
          <w:szCs w:val="24"/>
        </w:rPr>
      </w:pPr>
      <w:proofErr w:type="spellStart"/>
      <w:r>
        <w:rPr>
          <w:sz w:val="24"/>
          <w:szCs w:val="24"/>
        </w:rPr>
        <w:t>Influvactetra</w:t>
      </w:r>
      <w:proofErr w:type="spellEnd"/>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65590" w:rsidRPr="00770C02" w:rsidRDefault="00965590" w:rsidP="00965590">
      <w:pPr>
        <w:tabs>
          <w:tab w:val="left" w:pos="851"/>
        </w:tabs>
        <w:ind w:left="851"/>
        <w:rPr>
          <w:sz w:val="24"/>
          <w:szCs w:val="24"/>
        </w:rPr>
      </w:pPr>
      <w:r w:rsidRPr="00770C02">
        <w:rPr>
          <w:sz w:val="24"/>
          <w:szCs w:val="24"/>
        </w:rPr>
        <w:t>Influenzavirus overfladeantigener (inaktiveret) (</w:t>
      </w:r>
      <w:proofErr w:type="spellStart"/>
      <w:r w:rsidRPr="00770C02">
        <w:rPr>
          <w:sz w:val="24"/>
          <w:szCs w:val="24"/>
        </w:rPr>
        <w:t>hæmagglutinin</w:t>
      </w:r>
      <w:proofErr w:type="spellEnd"/>
      <w:r w:rsidRPr="00770C02">
        <w:rPr>
          <w:sz w:val="24"/>
          <w:szCs w:val="24"/>
        </w:rPr>
        <w:t xml:space="preserve"> og </w:t>
      </w:r>
      <w:proofErr w:type="spellStart"/>
      <w:r w:rsidRPr="00770C02">
        <w:rPr>
          <w:sz w:val="24"/>
          <w:szCs w:val="24"/>
        </w:rPr>
        <w:t>neuraminidase</w:t>
      </w:r>
      <w:proofErr w:type="spellEnd"/>
      <w:r w:rsidRPr="00770C02">
        <w:rPr>
          <w:sz w:val="24"/>
          <w:szCs w:val="24"/>
        </w:rPr>
        <w:t>) fra følgende stammer*:</w:t>
      </w:r>
    </w:p>
    <w:p w:rsidR="005639A8" w:rsidRDefault="005639A8" w:rsidP="005639A8">
      <w:pPr>
        <w:tabs>
          <w:tab w:val="left" w:pos="851"/>
        </w:tabs>
        <w:ind w:left="851"/>
        <w:rPr>
          <w:sz w:val="24"/>
          <w:szCs w:val="24"/>
        </w:rPr>
      </w:pPr>
    </w:p>
    <w:tbl>
      <w:tblPr>
        <w:tblW w:w="9082" w:type="dxa"/>
        <w:tblInd w:w="757" w:type="dxa"/>
        <w:tblLook w:val="01E0" w:firstRow="1" w:lastRow="1" w:firstColumn="1" w:lastColumn="1" w:noHBand="0" w:noVBand="0"/>
      </w:tblPr>
      <w:tblGrid>
        <w:gridCol w:w="6771"/>
        <w:gridCol w:w="2311"/>
      </w:tblGrid>
      <w:tr w:rsidR="005639A8" w:rsidTr="00EF33FF">
        <w:tc>
          <w:tcPr>
            <w:tcW w:w="6771" w:type="dxa"/>
            <w:tcMar>
              <w:top w:w="0" w:type="dxa"/>
              <w:left w:w="57" w:type="dxa"/>
              <w:bottom w:w="0" w:type="dxa"/>
              <w:right w:w="57" w:type="dxa"/>
            </w:tcMar>
            <w:hideMark/>
          </w:tcPr>
          <w:p w:rsidR="00895C46" w:rsidRPr="005639A8" w:rsidRDefault="00895C46" w:rsidP="00895C46">
            <w:pPr>
              <w:ind w:left="320" w:hanging="283"/>
              <w:rPr>
                <w:sz w:val="24"/>
                <w:szCs w:val="24"/>
                <w:lang w:val="en-US"/>
              </w:rPr>
            </w:pPr>
            <w:r w:rsidRPr="005639A8">
              <w:rPr>
                <w:sz w:val="24"/>
                <w:szCs w:val="24"/>
                <w:lang w:val="en-US"/>
              </w:rPr>
              <w:t>-</w:t>
            </w:r>
            <w:r w:rsidRPr="005639A8">
              <w:rPr>
                <w:sz w:val="24"/>
                <w:szCs w:val="24"/>
                <w:lang w:val="en-US"/>
              </w:rPr>
              <w:tab/>
            </w:r>
            <w:r w:rsidRPr="00926F66">
              <w:rPr>
                <w:lang w:val="en-US"/>
              </w:rPr>
              <w:t>A/Victoria/4897/2022 (H1N</w:t>
            </w:r>
            <w:proofErr w:type="gramStart"/>
            <w:r w:rsidRPr="00926F66">
              <w:rPr>
                <w:lang w:val="en-US"/>
              </w:rPr>
              <w:t>1)pdm</w:t>
            </w:r>
            <w:proofErr w:type="gramEnd"/>
            <w:r w:rsidRPr="00926F66">
              <w:rPr>
                <w:lang w:val="en-US"/>
              </w:rPr>
              <w:t>09</w:t>
            </w:r>
            <w:r w:rsidRPr="005639A8">
              <w:rPr>
                <w:sz w:val="24"/>
                <w:szCs w:val="24"/>
                <w:lang w:val="en-US"/>
              </w:rPr>
              <w:t xml:space="preserve">-lignende </w:t>
            </w:r>
            <w:proofErr w:type="spellStart"/>
            <w:r w:rsidRPr="005639A8">
              <w:rPr>
                <w:sz w:val="24"/>
                <w:szCs w:val="24"/>
                <w:lang w:val="en-US"/>
              </w:rPr>
              <w:t>stamme</w:t>
            </w:r>
            <w:proofErr w:type="spellEnd"/>
            <w:r w:rsidRPr="005639A8">
              <w:rPr>
                <w:sz w:val="24"/>
                <w:szCs w:val="24"/>
                <w:lang w:val="en-US"/>
              </w:rPr>
              <w:t xml:space="preserve"> </w:t>
            </w:r>
          </w:p>
          <w:p w:rsidR="005639A8" w:rsidRPr="005639A8" w:rsidRDefault="00895C46" w:rsidP="00895C46">
            <w:pPr>
              <w:ind w:left="320" w:hanging="283"/>
              <w:rPr>
                <w:sz w:val="24"/>
                <w:szCs w:val="24"/>
                <w:lang w:val="en-US"/>
              </w:rPr>
            </w:pPr>
            <w:r w:rsidRPr="005639A8">
              <w:rPr>
                <w:sz w:val="24"/>
                <w:szCs w:val="24"/>
                <w:lang w:val="en-US"/>
              </w:rPr>
              <w:t xml:space="preserve">     </w:t>
            </w:r>
            <w:r w:rsidRPr="00926F66">
              <w:rPr>
                <w:color w:val="000000"/>
                <w:lang w:val="en-US"/>
              </w:rPr>
              <w:t>(A/Victoria/4897/2022, IVR-238)</w:t>
            </w:r>
          </w:p>
        </w:tc>
        <w:tc>
          <w:tcPr>
            <w:tcW w:w="2311" w:type="dxa"/>
            <w:tcMar>
              <w:top w:w="0" w:type="dxa"/>
              <w:left w:w="57" w:type="dxa"/>
              <w:bottom w:w="0" w:type="dxa"/>
              <w:right w:w="57" w:type="dxa"/>
            </w:tcMar>
          </w:tcPr>
          <w:p w:rsidR="005639A8" w:rsidRDefault="005639A8" w:rsidP="00EF33FF">
            <w:pPr>
              <w:ind w:left="70"/>
              <w:rPr>
                <w:sz w:val="24"/>
                <w:szCs w:val="24"/>
                <w:lang w:val="en-US"/>
              </w:rPr>
            </w:pPr>
          </w:p>
          <w:p w:rsidR="005639A8" w:rsidRDefault="005639A8" w:rsidP="00EF33FF">
            <w:pPr>
              <w:ind w:left="70"/>
              <w:rPr>
                <w:sz w:val="24"/>
                <w:szCs w:val="24"/>
                <w:lang w:val="en-US"/>
              </w:rPr>
            </w:pPr>
            <w:r>
              <w:rPr>
                <w:sz w:val="24"/>
                <w:szCs w:val="24"/>
                <w:lang w:val="en-US"/>
              </w:rPr>
              <w:t xml:space="preserve">15 </w:t>
            </w:r>
            <w:proofErr w:type="spellStart"/>
            <w:r>
              <w:rPr>
                <w:sz w:val="24"/>
                <w:szCs w:val="24"/>
                <w:lang w:val="en-US"/>
              </w:rPr>
              <w:t>mikrogram</w:t>
            </w:r>
            <w:proofErr w:type="spellEnd"/>
            <w:r>
              <w:rPr>
                <w:sz w:val="24"/>
                <w:szCs w:val="24"/>
                <w:lang w:val="en-US"/>
              </w:rPr>
              <w:t xml:space="preserve"> HA **</w:t>
            </w:r>
          </w:p>
        </w:tc>
      </w:tr>
      <w:tr w:rsidR="005639A8" w:rsidTr="00EF33FF">
        <w:tc>
          <w:tcPr>
            <w:tcW w:w="6771" w:type="dxa"/>
            <w:tcMar>
              <w:top w:w="0" w:type="dxa"/>
              <w:left w:w="57" w:type="dxa"/>
              <w:bottom w:w="0" w:type="dxa"/>
              <w:right w:w="57" w:type="dxa"/>
            </w:tcMar>
            <w:hideMark/>
          </w:tcPr>
          <w:p w:rsidR="005639A8" w:rsidRPr="005639A8" w:rsidRDefault="005639A8" w:rsidP="00EF33FF">
            <w:pPr>
              <w:ind w:left="320" w:hanging="283"/>
              <w:rPr>
                <w:sz w:val="24"/>
                <w:szCs w:val="24"/>
                <w:lang w:val="en-US"/>
              </w:rPr>
            </w:pPr>
            <w:r w:rsidRPr="005639A8">
              <w:rPr>
                <w:sz w:val="24"/>
                <w:szCs w:val="24"/>
                <w:lang w:val="en-US"/>
              </w:rPr>
              <w:t>-</w:t>
            </w:r>
            <w:r w:rsidRPr="005639A8">
              <w:rPr>
                <w:sz w:val="24"/>
                <w:szCs w:val="24"/>
                <w:lang w:val="en-US"/>
              </w:rPr>
              <w:tab/>
            </w:r>
            <w:r w:rsidR="00B12E19" w:rsidRPr="004B22D1">
              <w:rPr>
                <w:rFonts w:eastAsiaTheme="minorHAnsi"/>
                <w:lang w:val="en-US"/>
              </w:rPr>
              <w:t>A/Thailand/8/2022 (H3N2)-</w:t>
            </w:r>
            <w:proofErr w:type="spellStart"/>
            <w:r w:rsidR="00B12E19" w:rsidRPr="005639A8">
              <w:rPr>
                <w:sz w:val="24"/>
                <w:szCs w:val="24"/>
                <w:lang w:val="en-US"/>
              </w:rPr>
              <w:t>lignende</w:t>
            </w:r>
            <w:proofErr w:type="spellEnd"/>
            <w:r w:rsidR="00B12E19" w:rsidRPr="005639A8">
              <w:rPr>
                <w:sz w:val="24"/>
                <w:szCs w:val="24"/>
                <w:lang w:val="en-US"/>
              </w:rPr>
              <w:t xml:space="preserve"> </w:t>
            </w:r>
            <w:proofErr w:type="spellStart"/>
            <w:r w:rsidR="00B12E19" w:rsidRPr="005639A8">
              <w:rPr>
                <w:sz w:val="24"/>
                <w:szCs w:val="24"/>
                <w:lang w:val="en-US"/>
              </w:rPr>
              <w:t>stamme</w:t>
            </w:r>
            <w:proofErr w:type="spellEnd"/>
            <w:r w:rsidR="00B12E19" w:rsidRPr="005639A8">
              <w:rPr>
                <w:sz w:val="24"/>
                <w:szCs w:val="24"/>
                <w:lang w:val="en-US"/>
              </w:rPr>
              <w:t xml:space="preserve"> </w:t>
            </w:r>
            <w:r w:rsidR="00B12E19" w:rsidRPr="005639A8">
              <w:rPr>
                <w:sz w:val="24"/>
                <w:szCs w:val="24"/>
                <w:lang w:val="en-US"/>
              </w:rPr>
              <w:br/>
            </w:r>
            <w:r w:rsidR="00B12E19" w:rsidRPr="004B22D1">
              <w:rPr>
                <w:rFonts w:eastAsiaTheme="minorHAnsi"/>
                <w:lang w:val="en-US"/>
              </w:rPr>
              <w:t>(A/California/122/2022, SAN-022)</w:t>
            </w:r>
          </w:p>
        </w:tc>
        <w:tc>
          <w:tcPr>
            <w:tcW w:w="2311" w:type="dxa"/>
            <w:tcMar>
              <w:top w:w="0" w:type="dxa"/>
              <w:left w:w="57" w:type="dxa"/>
              <w:bottom w:w="0" w:type="dxa"/>
              <w:right w:w="57" w:type="dxa"/>
            </w:tcMar>
          </w:tcPr>
          <w:p w:rsidR="005639A8" w:rsidRPr="0003240A" w:rsidRDefault="005639A8" w:rsidP="00EF33FF">
            <w:pPr>
              <w:ind w:left="70"/>
              <w:rPr>
                <w:sz w:val="24"/>
                <w:szCs w:val="24"/>
                <w:lang w:val="es-ES"/>
              </w:rPr>
            </w:pPr>
          </w:p>
          <w:p w:rsidR="005639A8" w:rsidRDefault="005639A8" w:rsidP="00EF33FF">
            <w:pPr>
              <w:ind w:left="70"/>
              <w:rPr>
                <w:sz w:val="24"/>
                <w:szCs w:val="24"/>
              </w:rPr>
            </w:pPr>
            <w:r>
              <w:rPr>
                <w:sz w:val="24"/>
                <w:szCs w:val="24"/>
              </w:rPr>
              <w:t>15 mikrogram HA **</w:t>
            </w:r>
          </w:p>
        </w:tc>
      </w:tr>
      <w:tr w:rsidR="005639A8" w:rsidTr="00EF33FF">
        <w:tc>
          <w:tcPr>
            <w:tcW w:w="6771" w:type="dxa"/>
            <w:tcMar>
              <w:top w:w="0" w:type="dxa"/>
              <w:left w:w="57" w:type="dxa"/>
              <w:bottom w:w="0" w:type="dxa"/>
              <w:right w:w="57" w:type="dxa"/>
            </w:tcMar>
            <w:hideMark/>
          </w:tcPr>
          <w:p w:rsidR="005639A8" w:rsidRPr="00EF33FF" w:rsidRDefault="005639A8" w:rsidP="00EF33FF">
            <w:pPr>
              <w:ind w:left="320" w:hanging="283"/>
              <w:rPr>
                <w:sz w:val="24"/>
                <w:szCs w:val="24"/>
              </w:rPr>
            </w:pPr>
            <w:r w:rsidRPr="00EF33FF">
              <w:rPr>
                <w:sz w:val="24"/>
                <w:szCs w:val="24"/>
              </w:rPr>
              <w:t>-</w:t>
            </w:r>
            <w:r w:rsidRPr="00EF33FF">
              <w:rPr>
                <w:sz w:val="24"/>
                <w:szCs w:val="24"/>
              </w:rPr>
              <w:tab/>
              <w:t>B/</w:t>
            </w:r>
            <w:proofErr w:type="spellStart"/>
            <w:r w:rsidRPr="00EF33FF">
              <w:rPr>
                <w:sz w:val="24"/>
                <w:szCs w:val="24"/>
              </w:rPr>
              <w:t>Austria</w:t>
            </w:r>
            <w:proofErr w:type="spellEnd"/>
            <w:r w:rsidRPr="00EF33FF">
              <w:rPr>
                <w:sz w:val="24"/>
                <w:szCs w:val="24"/>
              </w:rPr>
              <w:t xml:space="preserve">/1359417/2021-lignende stamme </w:t>
            </w:r>
            <w:r w:rsidRPr="00EF33FF">
              <w:rPr>
                <w:sz w:val="24"/>
                <w:szCs w:val="24"/>
              </w:rPr>
              <w:br/>
              <w:t>(B/</w:t>
            </w:r>
            <w:proofErr w:type="spellStart"/>
            <w:r w:rsidRPr="00EF33FF">
              <w:rPr>
                <w:sz w:val="24"/>
                <w:szCs w:val="24"/>
              </w:rPr>
              <w:t>Austria</w:t>
            </w:r>
            <w:proofErr w:type="spellEnd"/>
            <w:r w:rsidRPr="00EF33FF">
              <w:rPr>
                <w:sz w:val="24"/>
                <w:szCs w:val="24"/>
              </w:rPr>
              <w:t>/1359417/2021, BVR-26)</w:t>
            </w:r>
          </w:p>
        </w:tc>
        <w:tc>
          <w:tcPr>
            <w:tcW w:w="2311" w:type="dxa"/>
            <w:tcMar>
              <w:top w:w="0" w:type="dxa"/>
              <w:left w:w="57" w:type="dxa"/>
              <w:bottom w:w="0" w:type="dxa"/>
              <w:right w:w="57" w:type="dxa"/>
            </w:tcMar>
          </w:tcPr>
          <w:p w:rsidR="005639A8" w:rsidRDefault="005639A8" w:rsidP="00EF33FF">
            <w:pPr>
              <w:ind w:left="70"/>
              <w:rPr>
                <w:sz w:val="24"/>
                <w:szCs w:val="24"/>
                <w:lang w:val="en-US"/>
              </w:rPr>
            </w:pPr>
          </w:p>
          <w:p w:rsidR="005639A8" w:rsidRDefault="005639A8" w:rsidP="00EF33FF">
            <w:pPr>
              <w:ind w:left="70"/>
              <w:rPr>
                <w:sz w:val="24"/>
                <w:szCs w:val="24"/>
              </w:rPr>
            </w:pPr>
            <w:r>
              <w:rPr>
                <w:sz w:val="24"/>
                <w:szCs w:val="24"/>
              </w:rPr>
              <w:t>15 mikrogram HA **</w:t>
            </w:r>
          </w:p>
        </w:tc>
      </w:tr>
      <w:tr w:rsidR="005639A8" w:rsidTr="00EF33FF">
        <w:tc>
          <w:tcPr>
            <w:tcW w:w="6771" w:type="dxa"/>
            <w:tcMar>
              <w:top w:w="0" w:type="dxa"/>
              <w:left w:w="57" w:type="dxa"/>
              <w:bottom w:w="0" w:type="dxa"/>
              <w:right w:w="57" w:type="dxa"/>
            </w:tcMar>
            <w:hideMark/>
          </w:tcPr>
          <w:p w:rsidR="005639A8" w:rsidRDefault="005639A8" w:rsidP="00EF33FF">
            <w:pPr>
              <w:ind w:left="320" w:hanging="283"/>
              <w:rPr>
                <w:sz w:val="24"/>
                <w:szCs w:val="24"/>
              </w:rPr>
            </w:pPr>
            <w:r>
              <w:rPr>
                <w:sz w:val="24"/>
                <w:szCs w:val="24"/>
              </w:rPr>
              <w:t>-</w:t>
            </w:r>
            <w:r>
              <w:rPr>
                <w:sz w:val="24"/>
                <w:szCs w:val="24"/>
              </w:rPr>
              <w:tab/>
              <w:t>B/</w:t>
            </w:r>
            <w:proofErr w:type="spellStart"/>
            <w:r>
              <w:rPr>
                <w:sz w:val="24"/>
                <w:szCs w:val="24"/>
              </w:rPr>
              <w:t>Phuket</w:t>
            </w:r>
            <w:proofErr w:type="spellEnd"/>
            <w:r>
              <w:rPr>
                <w:sz w:val="24"/>
                <w:szCs w:val="24"/>
              </w:rPr>
              <w:t xml:space="preserve">/3073/2013-lignende stamme </w:t>
            </w:r>
            <w:r>
              <w:rPr>
                <w:sz w:val="24"/>
                <w:szCs w:val="24"/>
              </w:rPr>
              <w:br/>
              <w:t>(B/</w:t>
            </w:r>
            <w:proofErr w:type="spellStart"/>
            <w:r>
              <w:rPr>
                <w:sz w:val="24"/>
                <w:szCs w:val="24"/>
              </w:rPr>
              <w:t>Phuket</w:t>
            </w:r>
            <w:proofErr w:type="spellEnd"/>
            <w:r>
              <w:rPr>
                <w:sz w:val="24"/>
                <w:szCs w:val="24"/>
              </w:rPr>
              <w:t>/3073/2013, vild type)</w:t>
            </w:r>
          </w:p>
        </w:tc>
        <w:tc>
          <w:tcPr>
            <w:tcW w:w="2311" w:type="dxa"/>
            <w:tcMar>
              <w:top w:w="0" w:type="dxa"/>
              <w:left w:w="57" w:type="dxa"/>
              <w:bottom w:w="0" w:type="dxa"/>
              <w:right w:w="57" w:type="dxa"/>
            </w:tcMar>
          </w:tcPr>
          <w:p w:rsidR="005639A8" w:rsidRDefault="005639A8" w:rsidP="00EF33FF">
            <w:pPr>
              <w:ind w:left="70"/>
              <w:rPr>
                <w:sz w:val="24"/>
                <w:szCs w:val="24"/>
              </w:rPr>
            </w:pPr>
          </w:p>
          <w:p w:rsidR="005639A8" w:rsidRDefault="005639A8" w:rsidP="00EF33FF">
            <w:pPr>
              <w:ind w:left="70"/>
              <w:rPr>
                <w:sz w:val="24"/>
                <w:szCs w:val="24"/>
                <w:lang w:val="en-US"/>
              </w:rPr>
            </w:pPr>
            <w:r>
              <w:rPr>
                <w:sz w:val="24"/>
                <w:szCs w:val="24"/>
                <w:lang w:val="en-US"/>
              </w:rPr>
              <w:t xml:space="preserve">15 </w:t>
            </w:r>
            <w:proofErr w:type="spellStart"/>
            <w:r>
              <w:rPr>
                <w:sz w:val="24"/>
                <w:szCs w:val="24"/>
                <w:lang w:val="en-US"/>
              </w:rPr>
              <w:t>mikrogram</w:t>
            </w:r>
            <w:proofErr w:type="spellEnd"/>
            <w:r>
              <w:rPr>
                <w:sz w:val="24"/>
                <w:szCs w:val="24"/>
                <w:lang w:val="en-US"/>
              </w:rPr>
              <w:t xml:space="preserve"> HA **</w:t>
            </w:r>
          </w:p>
        </w:tc>
      </w:tr>
      <w:tr w:rsidR="005639A8" w:rsidTr="00EF33FF">
        <w:tc>
          <w:tcPr>
            <w:tcW w:w="6771" w:type="dxa"/>
            <w:tcMar>
              <w:top w:w="0" w:type="dxa"/>
              <w:left w:w="57" w:type="dxa"/>
              <w:bottom w:w="0" w:type="dxa"/>
              <w:right w:w="57" w:type="dxa"/>
            </w:tcMar>
          </w:tcPr>
          <w:p w:rsidR="005639A8" w:rsidRDefault="005639A8" w:rsidP="00EF33FF">
            <w:pPr>
              <w:ind w:left="320" w:hanging="283"/>
              <w:rPr>
                <w:sz w:val="24"/>
                <w:szCs w:val="24"/>
                <w:lang w:val="en-US"/>
              </w:rPr>
            </w:pPr>
          </w:p>
        </w:tc>
        <w:tc>
          <w:tcPr>
            <w:tcW w:w="2311" w:type="dxa"/>
            <w:tcMar>
              <w:top w:w="0" w:type="dxa"/>
              <w:left w:w="57" w:type="dxa"/>
              <w:bottom w:w="0" w:type="dxa"/>
              <w:right w:w="57" w:type="dxa"/>
            </w:tcMar>
            <w:hideMark/>
          </w:tcPr>
          <w:p w:rsidR="005639A8" w:rsidRDefault="005639A8" w:rsidP="00EF33FF">
            <w:pPr>
              <w:ind w:left="70"/>
              <w:rPr>
                <w:sz w:val="24"/>
                <w:szCs w:val="24"/>
                <w:lang w:val="en-US"/>
              </w:rPr>
            </w:pPr>
            <w:r>
              <w:rPr>
                <w:sz w:val="24"/>
                <w:szCs w:val="24"/>
                <w:lang w:val="en-US"/>
              </w:rPr>
              <w:t xml:space="preserve">per 0,5 ml </w:t>
            </w:r>
            <w:proofErr w:type="spellStart"/>
            <w:r>
              <w:rPr>
                <w:sz w:val="24"/>
                <w:szCs w:val="24"/>
                <w:lang w:val="en-US"/>
              </w:rPr>
              <w:t>dosis</w:t>
            </w:r>
            <w:proofErr w:type="spellEnd"/>
            <w:r>
              <w:rPr>
                <w:sz w:val="24"/>
                <w:szCs w:val="24"/>
                <w:lang w:val="en-US"/>
              </w:rPr>
              <w:t>.</w:t>
            </w:r>
          </w:p>
        </w:tc>
      </w:tr>
      <w:tr w:rsidR="005639A8" w:rsidTr="00EF33FF">
        <w:tc>
          <w:tcPr>
            <w:tcW w:w="6771" w:type="dxa"/>
            <w:tcMar>
              <w:top w:w="0" w:type="dxa"/>
              <w:left w:w="57" w:type="dxa"/>
              <w:bottom w:w="0" w:type="dxa"/>
              <w:right w:w="57" w:type="dxa"/>
            </w:tcMar>
            <w:hideMark/>
          </w:tcPr>
          <w:p w:rsidR="005639A8" w:rsidRDefault="005639A8" w:rsidP="00EF33FF">
            <w:pPr>
              <w:ind w:left="320" w:hanging="283"/>
              <w:rPr>
                <w:sz w:val="24"/>
                <w:szCs w:val="24"/>
              </w:rPr>
            </w:pPr>
            <w:r>
              <w:rPr>
                <w:sz w:val="24"/>
                <w:szCs w:val="24"/>
              </w:rPr>
              <w:t>*</w:t>
            </w:r>
            <w:r>
              <w:rPr>
                <w:sz w:val="24"/>
                <w:szCs w:val="24"/>
              </w:rPr>
              <w:tab/>
            </w:r>
            <w:r>
              <w:rPr>
                <w:sz w:val="24"/>
                <w:szCs w:val="24"/>
                <w:lang w:val="nl-NL"/>
              </w:rPr>
              <w:t>dyrket i befrugtede hønseæg fra raske hønsehold</w:t>
            </w:r>
          </w:p>
          <w:p w:rsidR="005639A8" w:rsidRDefault="005639A8" w:rsidP="00EF33FF">
            <w:pPr>
              <w:ind w:left="320" w:hanging="283"/>
              <w:rPr>
                <w:sz w:val="24"/>
                <w:szCs w:val="24"/>
                <w:lang w:val="en-US"/>
              </w:rPr>
            </w:pPr>
            <w:r>
              <w:rPr>
                <w:sz w:val="24"/>
                <w:szCs w:val="24"/>
                <w:lang w:val="en-GB"/>
              </w:rPr>
              <w:t>**</w:t>
            </w:r>
            <w:r>
              <w:rPr>
                <w:sz w:val="24"/>
                <w:szCs w:val="24"/>
                <w:lang w:val="en-GB"/>
              </w:rPr>
              <w:tab/>
              <w:t>h</w:t>
            </w:r>
            <w:r>
              <w:rPr>
                <w:sz w:val="24"/>
                <w:szCs w:val="24"/>
                <w:lang w:val="nl-NL"/>
              </w:rPr>
              <w:t>æmagglutinin</w:t>
            </w:r>
          </w:p>
        </w:tc>
        <w:tc>
          <w:tcPr>
            <w:tcW w:w="2311" w:type="dxa"/>
            <w:tcMar>
              <w:top w:w="0" w:type="dxa"/>
              <w:left w:w="57" w:type="dxa"/>
              <w:bottom w:w="0" w:type="dxa"/>
              <w:right w:w="57" w:type="dxa"/>
            </w:tcMar>
          </w:tcPr>
          <w:p w:rsidR="005639A8" w:rsidRDefault="005639A8" w:rsidP="00EF33FF">
            <w:pPr>
              <w:ind w:left="70"/>
              <w:rPr>
                <w:sz w:val="24"/>
                <w:szCs w:val="24"/>
                <w:lang w:val="en-US"/>
              </w:rPr>
            </w:pPr>
          </w:p>
        </w:tc>
      </w:tr>
    </w:tbl>
    <w:p w:rsidR="005639A8" w:rsidRDefault="005639A8" w:rsidP="005639A8">
      <w:pPr>
        <w:tabs>
          <w:tab w:val="left" w:pos="851"/>
        </w:tabs>
        <w:ind w:left="851"/>
        <w:rPr>
          <w:sz w:val="24"/>
          <w:szCs w:val="24"/>
        </w:rPr>
      </w:pPr>
    </w:p>
    <w:p w:rsidR="005639A8" w:rsidRDefault="005639A8" w:rsidP="005639A8">
      <w:pPr>
        <w:tabs>
          <w:tab w:val="left" w:pos="851"/>
        </w:tabs>
        <w:ind w:left="851"/>
        <w:rPr>
          <w:sz w:val="24"/>
          <w:szCs w:val="24"/>
        </w:rPr>
      </w:pPr>
      <w:r>
        <w:rPr>
          <w:sz w:val="24"/>
          <w:szCs w:val="24"/>
        </w:rPr>
        <w:t>Denne vaccine opfylder World Health Organisation (WHO)´s anbefaling for den nordlige halvkugle samt EU’s anbefaling for sæsonen 202</w:t>
      </w:r>
      <w:r w:rsidR="00B12E19">
        <w:rPr>
          <w:sz w:val="24"/>
          <w:szCs w:val="24"/>
        </w:rPr>
        <w:t>4</w:t>
      </w:r>
      <w:r>
        <w:rPr>
          <w:sz w:val="24"/>
          <w:szCs w:val="24"/>
        </w:rPr>
        <w:t>/202</w:t>
      </w:r>
      <w:r w:rsidR="00B12E19">
        <w:rPr>
          <w:sz w:val="24"/>
          <w:szCs w:val="24"/>
        </w:rPr>
        <w:t>5</w:t>
      </w:r>
      <w:r>
        <w:rPr>
          <w:sz w:val="24"/>
          <w:szCs w:val="24"/>
        </w:rPr>
        <w:t>.</w:t>
      </w:r>
    </w:p>
    <w:p w:rsidR="00965590" w:rsidRDefault="00965590" w:rsidP="00965590">
      <w:pPr>
        <w:tabs>
          <w:tab w:val="left" w:pos="851"/>
        </w:tabs>
        <w:ind w:left="851"/>
        <w:rPr>
          <w:sz w:val="24"/>
          <w:szCs w:val="24"/>
        </w:rPr>
      </w:pPr>
    </w:p>
    <w:p w:rsidR="00965590" w:rsidRDefault="00965590" w:rsidP="00965590">
      <w:pPr>
        <w:tabs>
          <w:tab w:val="left" w:pos="851"/>
        </w:tabs>
        <w:ind w:left="851"/>
        <w:rPr>
          <w:sz w:val="24"/>
          <w:szCs w:val="24"/>
        </w:rPr>
      </w:pPr>
      <w:r>
        <w:rPr>
          <w:sz w:val="24"/>
          <w:szCs w:val="24"/>
        </w:rPr>
        <w:t>Alle hjælpestoffer er anført under pkt. 6.1.</w:t>
      </w:r>
    </w:p>
    <w:p w:rsidR="00965590" w:rsidRDefault="00965590" w:rsidP="00965590">
      <w:pPr>
        <w:tabs>
          <w:tab w:val="left" w:pos="851"/>
        </w:tabs>
        <w:ind w:left="851"/>
        <w:rPr>
          <w:sz w:val="24"/>
          <w:szCs w:val="24"/>
        </w:rPr>
      </w:pPr>
    </w:p>
    <w:p w:rsidR="00965590" w:rsidRDefault="00965590" w:rsidP="00965590">
      <w:pPr>
        <w:tabs>
          <w:tab w:val="left" w:pos="851"/>
        </w:tabs>
        <w:ind w:left="851"/>
        <w:rPr>
          <w:sz w:val="24"/>
          <w:szCs w:val="24"/>
        </w:rPr>
      </w:pPr>
      <w:proofErr w:type="spellStart"/>
      <w:r>
        <w:rPr>
          <w:sz w:val="24"/>
          <w:szCs w:val="24"/>
        </w:rPr>
        <w:t>Influvactetra</w:t>
      </w:r>
      <w:proofErr w:type="spellEnd"/>
      <w:r>
        <w:rPr>
          <w:sz w:val="24"/>
          <w:szCs w:val="24"/>
        </w:rPr>
        <w:t xml:space="preserve"> kan indeholde spor af æg (så som </w:t>
      </w:r>
      <w:proofErr w:type="spellStart"/>
      <w:r>
        <w:rPr>
          <w:sz w:val="24"/>
          <w:szCs w:val="24"/>
        </w:rPr>
        <w:t>ovalbumin</w:t>
      </w:r>
      <w:proofErr w:type="spellEnd"/>
      <w:r>
        <w:rPr>
          <w:sz w:val="24"/>
          <w:szCs w:val="24"/>
        </w:rPr>
        <w:t xml:space="preserve"> og kyllingeproteiner), formaldehyd, </w:t>
      </w:r>
      <w:proofErr w:type="spellStart"/>
      <w:r>
        <w:rPr>
          <w:sz w:val="24"/>
          <w:szCs w:val="24"/>
        </w:rPr>
        <w:t>cetyltrimethylammoniumbromid</w:t>
      </w:r>
      <w:proofErr w:type="spellEnd"/>
      <w:r>
        <w:rPr>
          <w:sz w:val="24"/>
          <w:szCs w:val="24"/>
        </w:rPr>
        <w:t xml:space="preserve">, </w:t>
      </w:r>
      <w:proofErr w:type="spellStart"/>
      <w:r>
        <w:rPr>
          <w:sz w:val="24"/>
          <w:szCs w:val="24"/>
        </w:rPr>
        <w:t>polysorbat</w:t>
      </w:r>
      <w:proofErr w:type="spellEnd"/>
      <w:r>
        <w:rPr>
          <w:sz w:val="24"/>
          <w:szCs w:val="24"/>
        </w:rPr>
        <w:t xml:space="preserve"> 80 og gentamicin, som anvendes under fremstillings</w:t>
      </w:r>
      <w:r>
        <w:rPr>
          <w:sz w:val="24"/>
          <w:szCs w:val="24"/>
        </w:rPr>
        <w:softHyphen/>
        <w:t>processen (se pkt. 4.3).</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3.</w:t>
      </w:r>
      <w:r w:rsidRPr="00C84483">
        <w:rPr>
          <w:b/>
          <w:sz w:val="24"/>
          <w:szCs w:val="24"/>
        </w:rPr>
        <w:tab/>
        <w:t>LÆGEMIDDELFORM</w:t>
      </w:r>
    </w:p>
    <w:p w:rsidR="00965590" w:rsidRDefault="00965590" w:rsidP="00965590">
      <w:pPr>
        <w:tabs>
          <w:tab w:val="left" w:pos="851"/>
        </w:tabs>
        <w:ind w:left="851"/>
        <w:rPr>
          <w:sz w:val="24"/>
          <w:lang w:eastAsia="da-DK"/>
        </w:rPr>
      </w:pPr>
      <w:r w:rsidRPr="00770C02">
        <w:rPr>
          <w:sz w:val="24"/>
          <w:lang w:eastAsia="da-DK"/>
        </w:rPr>
        <w:t>Injektionsvæske, suspension i fyldt injektionssprøjte</w:t>
      </w:r>
    </w:p>
    <w:p w:rsidR="00965590" w:rsidRPr="00770C02" w:rsidRDefault="00965590" w:rsidP="00965590">
      <w:pPr>
        <w:tabs>
          <w:tab w:val="left" w:pos="851"/>
        </w:tabs>
        <w:ind w:left="851"/>
        <w:rPr>
          <w:sz w:val="24"/>
          <w:lang w:eastAsia="da-DK"/>
        </w:rPr>
      </w:pPr>
      <w:bookmarkStart w:id="0" w:name="_GoBack"/>
      <w:bookmarkEnd w:id="0"/>
    </w:p>
    <w:p w:rsidR="00965590" w:rsidRPr="00770C02" w:rsidRDefault="00965590" w:rsidP="00965590">
      <w:pPr>
        <w:tabs>
          <w:tab w:val="left" w:pos="851"/>
        </w:tabs>
        <w:ind w:left="851"/>
        <w:rPr>
          <w:sz w:val="24"/>
          <w:lang w:eastAsia="da-DK"/>
        </w:rPr>
      </w:pPr>
      <w:r w:rsidRPr="00770C02">
        <w:rPr>
          <w:sz w:val="24"/>
          <w:lang w:eastAsia="da-DK"/>
        </w:rPr>
        <w:t>En klar</w:t>
      </w:r>
      <w:r>
        <w:rPr>
          <w:sz w:val="24"/>
          <w:lang w:eastAsia="da-DK"/>
        </w:rPr>
        <w:t>,</w:t>
      </w:r>
      <w:r w:rsidRPr="00770C02">
        <w:rPr>
          <w:sz w:val="24"/>
          <w:lang w:eastAsia="da-DK"/>
        </w:rPr>
        <w:t xml:space="preserve"> farveløs væske</w:t>
      </w:r>
      <w:r w:rsidR="009D6802">
        <w:rPr>
          <w:sz w:val="24"/>
          <w:lang w:eastAsia="da-DK"/>
        </w:rPr>
        <w:t>.</w:t>
      </w:r>
      <w:r w:rsidR="009D6802" w:rsidRPr="00770C02">
        <w:rPr>
          <w:sz w:val="24"/>
          <w:lang w:eastAsia="da-DK"/>
        </w:rPr>
        <w:t xml:space="preserve"> </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965590" w:rsidRPr="00C84483" w:rsidRDefault="00965590" w:rsidP="00965590">
      <w:pPr>
        <w:tabs>
          <w:tab w:val="left" w:pos="851"/>
        </w:tabs>
        <w:ind w:left="851"/>
        <w:rPr>
          <w:b/>
          <w:sz w:val="24"/>
          <w:szCs w:val="24"/>
        </w:rPr>
      </w:pPr>
    </w:p>
    <w:p w:rsidR="00965590" w:rsidRPr="00C84483" w:rsidRDefault="00965590" w:rsidP="0096559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65590" w:rsidRPr="00770C02" w:rsidRDefault="00965590" w:rsidP="00965590">
      <w:pPr>
        <w:tabs>
          <w:tab w:val="left" w:pos="851"/>
        </w:tabs>
        <w:ind w:left="851"/>
        <w:rPr>
          <w:sz w:val="24"/>
          <w:lang w:eastAsia="da-DK"/>
        </w:rPr>
      </w:pPr>
      <w:r w:rsidRPr="00770C02">
        <w:rPr>
          <w:sz w:val="24"/>
          <w:lang w:eastAsia="da-DK"/>
        </w:rPr>
        <w:t>Forebyggelse af influenza, specielt hos personer med forhøjet risiko for influenza-associerede komplikationer.</w:t>
      </w:r>
    </w:p>
    <w:p w:rsidR="00965590" w:rsidRPr="00770C02" w:rsidRDefault="00965590" w:rsidP="00965590">
      <w:pPr>
        <w:tabs>
          <w:tab w:val="left" w:pos="851"/>
        </w:tabs>
        <w:ind w:left="851"/>
        <w:rPr>
          <w:sz w:val="24"/>
          <w:lang w:eastAsia="da-DK"/>
        </w:rPr>
      </w:pPr>
    </w:p>
    <w:p w:rsidR="00965590" w:rsidRPr="00770C02" w:rsidRDefault="00965590" w:rsidP="00965590">
      <w:pPr>
        <w:tabs>
          <w:tab w:val="left" w:pos="851"/>
        </w:tabs>
        <w:ind w:left="851"/>
        <w:rPr>
          <w:sz w:val="24"/>
          <w:lang w:eastAsia="da-DK"/>
        </w:rPr>
      </w:pPr>
      <w:proofErr w:type="spellStart"/>
      <w:r w:rsidRPr="00770C02">
        <w:rPr>
          <w:sz w:val="24"/>
          <w:lang w:eastAsia="da-DK"/>
        </w:rPr>
        <w:t>Influvactetra</w:t>
      </w:r>
      <w:proofErr w:type="spellEnd"/>
      <w:r w:rsidRPr="00770C02">
        <w:rPr>
          <w:sz w:val="24"/>
          <w:lang w:eastAsia="da-DK"/>
        </w:rPr>
        <w:t xml:space="preserve"> er indiceret til voksne og børn over </w:t>
      </w:r>
      <w:r w:rsidR="00994CB8">
        <w:rPr>
          <w:sz w:val="24"/>
          <w:lang w:eastAsia="da-DK"/>
        </w:rPr>
        <w:t>6 måneder.</w:t>
      </w:r>
    </w:p>
    <w:p w:rsidR="00965590" w:rsidRPr="00770C02" w:rsidRDefault="00965590" w:rsidP="00965590">
      <w:pPr>
        <w:tabs>
          <w:tab w:val="left" w:pos="851"/>
        </w:tabs>
        <w:ind w:left="851"/>
        <w:rPr>
          <w:sz w:val="24"/>
          <w:lang w:eastAsia="da-DK"/>
        </w:rPr>
      </w:pPr>
    </w:p>
    <w:p w:rsidR="00965590" w:rsidRPr="0045706A" w:rsidRDefault="00965590" w:rsidP="00965590">
      <w:pPr>
        <w:tabs>
          <w:tab w:val="left" w:pos="851"/>
        </w:tabs>
        <w:ind w:left="851"/>
        <w:rPr>
          <w:sz w:val="24"/>
          <w:lang w:eastAsia="da-DK"/>
        </w:rPr>
      </w:pPr>
      <w:r w:rsidRPr="00770C02">
        <w:rPr>
          <w:sz w:val="24"/>
          <w:lang w:eastAsia="da-DK"/>
        </w:rPr>
        <w:t xml:space="preserve">Anvendelse af </w:t>
      </w:r>
      <w:proofErr w:type="spellStart"/>
      <w:r w:rsidRPr="00770C02">
        <w:rPr>
          <w:sz w:val="24"/>
          <w:lang w:eastAsia="da-DK"/>
        </w:rPr>
        <w:t>Influvactetra</w:t>
      </w:r>
      <w:proofErr w:type="spellEnd"/>
      <w:r w:rsidRPr="00770C02">
        <w:rPr>
          <w:sz w:val="24"/>
          <w:lang w:eastAsia="da-DK"/>
        </w:rPr>
        <w:t xml:space="preserve"> bør baseres på de officielle anbefalinger.</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F1018">
        <w:rPr>
          <w:b/>
          <w:sz w:val="24"/>
          <w:szCs w:val="24"/>
        </w:rPr>
        <w:t>administration</w:t>
      </w:r>
    </w:p>
    <w:p w:rsidR="00965590" w:rsidRDefault="00965590" w:rsidP="00965590">
      <w:pPr>
        <w:tabs>
          <w:tab w:val="left" w:pos="851"/>
        </w:tabs>
        <w:ind w:left="851"/>
        <w:rPr>
          <w:sz w:val="24"/>
          <w:u w:val="single"/>
          <w:lang w:eastAsia="da-DK"/>
        </w:rPr>
      </w:pPr>
    </w:p>
    <w:p w:rsidR="00965590" w:rsidRPr="00436D6A" w:rsidRDefault="00965590" w:rsidP="00965590">
      <w:pPr>
        <w:tabs>
          <w:tab w:val="left" w:pos="851"/>
        </w:tabs>
        <w:ind w:left="851"/>
        <w:rPr>
          <w:sz w:val="24"/>
          <w:u w:val="single"/>
          <w:lang w:eastAsia="da-DK"/>
        </w:rPr>
      </w:pPr>
      <w:r w:rsidRPr="00436D6A">
        <w:rPr>
          <w:sz w:val="24"/>
          <w:u w:val="single"/>
          <w:lang w:eastAsia="da-DK"/>
        </w:rPr>
        <w:t>Dosering</w:t>
      </w:r>
    </w:p>
    <w:p w:rsidR="00965590" w:rsidRDefault="00965590" w:rsidP="00965590">
      <w:pPr>
        <w:tabs>
          <w:tab w:val="left" w:pos="851"/>
        </w:tabs>
        <w:ind w:left="851"/>
        <w:rPr>
          <w:sz w:val="24"/>
          <w:lang w:eastAsia="da-DK"/>
        </w:rPr>
      </w:pPr>
    </w:p>
    <w:p w:rsidR="00965590" w:rsidRPr="00E02C8B" w:rsidRDefault="00965590" w:rsidP="00965590">
      <w:pPr>
        <w:tabs>
          <w:tab w:val="left" w:pos="851"/>
        </w:tabs>
        <w:ind w:left="851"/>
        <w:rPr>
          <w:i/>
          <w:noProof/>
          <w:sz w:val="24"/>
          <w:szCs w:val="22"/>
          <w:lang w:eastAsia="da-DK"/>
        </w:rPr>
      </w:pPr>
      <w:r w:rsidRPr="00436D6A">
        <w:rPr>
          <w:i/>
          <w:sz w:val="24"/>
          <w:lang w:eastAsia="da-DK"/>
        </w:rPr>
        <w:t>Voksne</w:t>
      </w:r>
    </w:p>
    <w:p w:rsidR="00965590" w:rsidRPr="00436D6A" w:rsidRDefault="00965590" w:rsidP="00965590">
      <w:pPr>
        <w:tabs>
          <w:tab w:val="left" w:pos="851"/>
        </w:tabs>
        <w:ind w:left="851"/>
        <w:rPr>
          <w:noProof/>
          <w:sz w:val="24"/>
          <w:szCs w:val="22"/>
          <w:lang w:eastAsia="da-DK"/>
        </w:rPr>
      </w:pPr>
      <w:r w:rsidRPr="00436D6A">
        <w:rPr>
          <w:noProof/>
          <w:sz w:val="24"/>
          <w:szCs w:val="22"/>
          <w:lang w:eastAsia="da-DK"/>
        </w:rPr>
        <w:t>0,5 ml.</w:t>
      </w:r>
    </w:p>
    <w:p w:rsidR="00965590" w:rsidRPr="00436D6A" w:rsidRDefault="00965590" w:rsidP="00965590">
      <w:pPr>
        <w:tabs>
          <w:tab w:val="left" w:pos="851"/>
        </w:tabs>
        <w:ind w:left="851"/>
        <w:rPr>
          <w:noProof/>
          <w:sz w:val="24"/>
          <w:szCs w:val="22"/>
          <w:lang w:eastAsia="da-DK"/>
        </w:rPr>
      </w:pPr>
    </w:p>
    <w:p w:rsidR="00994CB8" w:rsidRDefault="00994CB8" w:rsidP="00994CB8">
      <w:pPr>
        <w:tabs>
          <w:tab w:val="left" w:pos="851"/>
        </w:tabs>
        <w:ind w:left="851"/>
        <w:rPr>
          <w:i/>
          <w:sz w:val="24"/>
          <w:lang w:eastAsia="da-DK"/>
        </w:rPr>
      </w:pPr>
      <w:r>
        <w:rPr>
          <w:i/>
          <w:sz w:val="24"/>
          <w:lang w:eastAsia="da-DK"/>
        </w:rPr>
        <w:t>Pædiatrisk population</w:t>
      </w:r>
    </w:p>
    <w:p w:rsidR="00994CB8" w:rsidRDefault="00994CB8" w:rsidP="00994CB8">
      <w:pPr>
        <w:tabs>
          <w:tab w:val="left" w:pos="993"/>
        </w:tabs>
        <w:ind w:left="993" w:hanging="142"/>
        <w:rPr>
          <w:noProof/>
          <w:sz w:val="24"/>
          <w:szCs w:val="22"/>
          <w:lang w:eastAsia="da-DK"/>
        </w:rPr>
      </w:pPr>
      <w:r>
        <w:rPr>
          <w:noProof/>
          <w:sz w:val="24"/>
          <w:szCs w:val="22"/>
          <w:lang w:eastAsia="da-DK"/>
        </w:rPr>
        <w:t>-</w:t>
      </w:r>
      <w:r>
        <w:rPr>
          <w:noProof/>
          <w:sz w:val="24"/>
          <w:szCs w:val="22"/>
          <w:lang w:eastAsia="da-DK"/>
        </w:rPr>
        <w:tab/>
        <w:t>Børn i alderen fra 6 måneder til 17 år: 0,5 ml.</w:t>
      </w:r>
    </w:p>
    <w:p w:rsidR="00994CB8" w:rsidRDefault="00994CB8" w:rsidP="00994CB8">
      <w:pPr>
        <w:tabs>
          <w:tab w:val="left" w:pos="993"/>
        </w:tabs>
        <w:ind w:left="993" w:hanging="142"/>
        <w:rPr>
          <w:noProof/>
          <w:sz w:val="24"/>
          <w:szCs w:val="22"/>
          <w:lang w:eastAsia="da-DK"/>
        </w:rPr>
      </w:pPr>
      <w:r>
        <w:rPr>
          <w:noProof/>
          <w:sz w:val="24"/>
          <w:szCs w:val="22"/>
          <w:lang w:eastAsia="da-DK"/>
        </w:rPr>
        <w:t>-</w:t>
      </w:r>
      <w:r>
        <w:rPr>
          <w:noProof/>
          <w:sz w:val="24"/>
          <w:szCs w:val="22"/>
          <w:lang w:eastAsia="da-DK"/>
        </w:rPr>
        <w:tab/>
        <w:t>Børn under 9 år, som ikke tidligere har været vaccineret med influenzavaccination, bør have en yderligere dosis på 0,5 ml efter mindst 4 uger.</w:t>
      </w:r>
    </w:p>
    <w:p w:rsidR="00994CB8" w:rsidRDefault="00994CB8" w:rsidP="00994CB8">
      <w:pPr>
        <w:tabs>
          <w:tab w:val="left" w:pos="993"/>
        </w:tabs>
        <w:ind w:left="993" w:hanging="142"/>
        <w:rPr>
          <w:noProof/>
          <w:sz w:val="24"/>
          <w:szCs w:val="22"/>
          <w:lang w:eastAsia="da-DK"/>
        </w:rPr>
      </w:pPr>
      <w:r>
        <w:rPr>
          <w:noProof/>
          <w:sz w:val="24"/>
          <w:szCs w:val="22"/>
          <w:lang w:eastAsia="da-DK"/>
        </w:rPr>
        <w:t>-</w:t>
      </w:r>
      <w:r>
        <w:rPr>
          <w:noProof/>
          <w:sz w:val="24"/>
          <w:szCs w:val="22"/>
          <w:lang w:eastAsia="da-DK"/>
        </w:rPr>
        <w:tab/>
        <w:t>Spædbørn under 6 måneder: Sikkerhed og virkning af Influvactetra er ikke fastslået.</w:t>
      </w:r>
    </w:p>
    <w:p w:rsidR="00994CB8" w:rsidRDefault="00994CB8" w:rsidP="00994CB8">
      <w:pPr>
        <w:tabs>
          <w:tab w:val="left" w:pos="851"/>
        </w:tabs>
        <w:ind w:left="851"/>
        <w:rPr>
          <w:noProof/>
          <w:sz w:val="24"/>
          <w:szCs w:val="22"/>
          <w:lang w:eastAsia="da-DK"/>
        </w:rPr>
      </w:pPr>
    </w:p>
    <w:p w:rsidR="00994CB8" w:rsidRDefault="00994CB8" w:rsidP="00994CB8">
      <w:pPr>
        <w:tabs>
          <w:tab w:val="left" w:pos="851"/>
        </w:tabs>
        <w:ind w:left="851"/>
        <w:rPr>
          <w:sz w:val="24"/>
          <w:szCs w:val="22"/>
          <w:u w:val="single"/>
          <w:lang w:eastAsia="da-DK"/>
        </w:rPr>
      </w:pPr>
      <w:r>
        <w:rPr>
          <w:sz w:val="24"/>
          <w:u w:val="single"/>
          <w:lang w:eastAsia="da-DK"/>
        </w:rPr>
        <w:t>Administration</w:t>
      </w:r>
    </w:p>
    <w:p w:rsidR="00994CB8" w:rsidRDefault="00994CB8" w:rsidP="00994CB8">
      <w:pPr>
        <w:tabs>
          <w:tab w:val="left" w:pos="851"/>
        </w:tabs>
        <w:ind w:left="851"/>
        <w:rPr>
          <w:noProof/>
          <w:sz w:val="24"/>
          <w:szCs w:val="22"/>
          <w:lang w:eastAsia="da-DK"/>
        </w:rPr>
      </w:pPr>
      <w:r>
        <w:rPr>
          <w:noProof/>
          <w:sz w:val="24"/>
          <w:szCs w:val="22"/>
          <w:lang w:eastAsia="da-DK"/>
        </w:rPr>
        <w:t>Vaccinationen skal gives som en intramuskulær eller subkutan injektion.</w:t>
      </w:r>
    </w:p>
    <w:p w:rsidR="00994CB8" w:rsidRDefault="00994CB8" w:rsidP="00994CB8">
      <w:pPr>
        <w:ind w:left="851"/>
        <w:rPr>
          <w:noProof/>
          <w:sz w:val="24"/>
          <w:szCs w:val="22"/>
          <w:lang w:eastAsia="da-DK"/>
        </w:rPr>
      </w:pPr>
      <w:r>
        <w:rPr>
          <w:noProof/>
          <w:sz w:val="24"/>
          <w:szCs w:val="22"/>
          <w:lang w:eastAsia="da-DK"/>
        </w:rPr>
        <w:t>Det foretrukne sted for intramuskulær injektion er den anterolaterale del af låret (eller deltamusklen hvis muskelmassen er tilstrækkelig) hos børn i alderen 6 til 35 måneder, eller deltamusklen hos børn i alderen fra 36 måneder og voksne.</w:t>
      </w:r>
    </w:p>
    <w:p w:rsidR="00994CB8" w:rsidRDefault="00994CB8" w:rsidP="00994CB8">
      <w:pPr>
        <w:tabs>
          <w:tab w:val="left" w:pos="851"/>
        </w:tabs>
        <w:ind w:left="851"/>
        <w:rPr>
          <w:noProof/>
          <w:sz w:val="24"/>
          <w:szCs w:val="22"/>
          <w:lang w:eastAsia="da-DK"/>
        </w:rPr>
      </w:pPr>
    </w:p>
    <w:p w:rsidR="00994CB8" w:rsidRDefault="00994CB8" w:rsidP="00994CB8">
      <w:pPr>
        <w:tabs>
          <w:tab w:val="left" w:pos="851"/>
        </w:tabs>
        <w:ind w:left="851"/>
        <w:rPr>
          <w:noProof/>
          <w:sz w:val="24"/>
          <w:szCs w:val="22"/>
          <w:u w:val="single"/>
          <w:lang w:eastAsia="da-DK"/>
        </w:rPr>
      </w:pPr>
      <w:r>
        <w:rPr>
          <w:noProof/>
          <w:sz w:val="24"/>
          <w:szCs w:val="22"/>
          <w:u w:val="single"/>
          <w:lang w:eastAsia="da-DK"/>
        </w:rPr>
        <w:t>Forsigtighedsregler før håndtering og indgivelse af lægemidlet</w:t>
      </w:r>
    </w:p>
    <w:p w:rsidR="00994CB8" w:rsidRDefault="00994CB8" w:rsidP="00994CB8">
      <w:pPr>
        <w:tabs>
          <w:tab w:val="left" w:pos="851"/>
        </w:tabs>
        <w:ind w:left="851"/>
        <w:rPr>
          <w:noProof/>
          <w:sz w:val="24"/>
          <w:szCs w:val="22"/>
          <w:lang w:eastAsia="da-DK"/>
        </w:rPr>
      </w:pPr>
      <w:r>
        <w:rPr>
          <w:noProof/>
          <w:sz w:val="24"/>
          <w:szCs w:val="22"/>
          <w:lang w:eastAsia="da-DK"/>
        </w:rPr>
        <w:t>Se pkt. 6.6 for instruktioner vedrørende forberedelse af lægemidlet før indgivelse.</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4.3</w:t>
      </w:r>
      <w:r w:rsidRPr="00C84483">
        <w:rPr>
          <w:b/>
          <w:sz w:val="24"/>
          <w:szCs w:val="24"/>
        </w:rPr>
        <w:tab/>
        <w:t>Kontraindikationer</w:t>
      </w:r>
    </w:p>
    <w:p w:rsidR="00965590" w:rsidRPr="00AC5FD2" w:rsidRDefault="00965590" w:rsidP="00965590">
      <w:pPr>
        <w:tabs>
          <w:tab w:val="left" w:pos="851"/>
        </w:tabs>
        <w:ind w:left="851"/>
        <w:rPr>
          <w:sz w:val="24"/>
          <w:lang w:eastAsia="da-DK"/>
        </w:rPr>
      </w:pPr>
      <w:r w:rsidRPr="00AC5FD2">
        <w:rPr>
          <w:sz w:val="24"/>
          <w:lang w:eastAsia="da-DK"/>
        </w:rPr>
        <w:t>Overfølsomhed over for de aktive stoffer eller over for et eller flere af hjælpestofferne anført i pkt. 6.1 eller indholdsstoffer som f.eks. spor af æg (</w:t>
      </w:r>
      <w:proofErr w:type="spellStart"/>
      <w:r w:rsidRPr="00AC5FD2">
        <w:rPr>
          <w:sz w:val="24"/>
          <w:lang w:eastAsia="da-DK"/>
        </w:rPr>
        <w:t>ovalbumin</w:t>
      </w:r>
      <w:proofErr w:type="spellEnd"/>
      <w:r w:rsidRPr="00AC5FD2">
        <w:rPr>
          <w:sz w:val="24"/>
          <w:lang w:eastAsia="da-DK"/>
        </w:rPr>
        <w:t xml:space="preserve"> og kyllinge</w:t>
      </w:r>
      <w:r w:rsidRPr="00AC5FD2">
        <w:rPr>
          <w:sz w:val="24"/>
          <w:lang w:eastAsia="da-DK"/>
        </w:rPr>
        <w:softHyphen/>
        <w:t xml:space="preserve">proteiner), formaldehyd, </w:t>
      </w:r>
      <w:proofErr w:type="spellStart"/>
      <w:r w:rsidRPr="00AC5FD2">
        <w:rPr>
          <w:sz w:val="24"/>
          <w:lang w:eastAsia="da-DK"/>
        </w:rPr>
        <w:t>cetyltrimethylammonium</w:t>
      </w:r>
      <w:proofErr w:type="spellEnd"/>
      <w:r w:rsidRPr="00AC5FD2">
        <w:rPr>
          <w:sz w:val="24"/>
          <w:lang w:eastAsia="da-DK"/>
        </w:rPr>
        <w:t xml:space="preserve">-bromid, </w:t>
      </w:r>
      <w:proofErr w:type="spellStart"/>
      <w:r w:rsidRPr="00AC5FD2">
        <w:rPr>
          <w:sz w:val="24"/>
          <w:lang w:eastAsia="da-DK"/>
        </w:rPr>
        <w:t>polysorbat</w:t>
      </w:r>
      <w:proofErr w:type="spellEnd"/>
      <w:r w:rsidRPr="00AC5FD2">
        <w:rPr>
          <w:sz w:val="24"/>
          <w:lang w:eastAsia="da-DK"/>
        </w:rPr>
        <w:t xml:space="preserve"> 80 og gentamicin.</w:t>
      </w:r>
    </w:p>
    <w:p w:rsidR="00965590" w:rsidRPr="00AC5FD2" w:rsidRDefault="00965590" w:rsidP="00965590">
      <w:pPr>
        <w:tabs>
          <w:tab w:val="left" w:pos="851"/>
        </w:tabs>
        <w:ind w:left="851"/>
        <w:rPr>
          <w:sz w:val="24"/>
          <w:lang w:eastAsia="da-DK"/>
        </w:rPr>
      </w:pPr>
    </w:p>
    <w:p w:rsidR="00965590" w:rsidRPr="0039790F" w:rsidRDefault="00965590" w:rsidP="00965590">
      <w:pPr>
        <w:tabs>
          <w:tab w:val="left" w:pos="851"/>
        </w:tabs>
        <w:ind w:left="851"/>
        <w:rPr>
          <w:sz w:val="24"/>
          <w:lang w:eastAsia="da-DK"/>
        </w:rPr>
      </w:pPr>
      <w:r w:rsidRPr="00AC5FD2">
        <w:rPr>
          <w:sz w:val="24"/>
          <w:lang w:eastAsia="da-DK"/>
        </w:rPr>
        <w:t>Hos patienter med febrile sygdomme eller akutte infektioner bør vaccinationen udskydes.</w:t>
      </w:r>
    </w:p>
    <w:p w:rsidR="00965590" w:rsidRPr="00C84483" w:rsidRDefault="00965590" w:rsidP="00965590">
      <w:pPr>
        <w:tabs>
          <w:tab w:val="left" w:pos="851"/>
        </w:tabs>
        <w:ind w:left="851"/>
        <w:rPr>
          <w:sz w:val="24"/>
          <w:szCs w:val="24"/>
        </w:rPr>
      </w:pPr>
    </w:p>
    <w:p w:rsidR="00965590" w:rsidRPr="00C84483" w:rsidRDefault="00965590" w:rsidP="001B336F">
      <w:pPr>
        <w:keepNext/>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94CB8" w:rsidRDefault="00994CB8" w:rsidP="001B336F">
      <w:pPr>
        <w:keepNext/>
        <w:tabs>
          <w:tab w:val="left" w:pos="851"/>
        </w:tabs>
        <w:ind w:left="851"/>
        <w:rPr>
          <w:sz w:val="24"/>
          <w:lang w:eastAsia="da-DK"/>
        </w:rPr>
      </w:pPr>
    </w:p>
    <w:p w:rsidR="00994CB8" w:rsidRDefault="00994CB8" w:rsidP="00994CB8">
      <w:pPr>
        <w:ind w:firstLine="851"/>
        <w:rPr>
          <w:sz w:val="24"/>
          <w:szCs w:val="24"/>
        </w:rPr>
      </w:pPr>
      <w:r>
        <w:rPr>
          <w:sz w:val="24"/>
          <w:szCs w:val="24"/>
          <w:u w:val="single"/>
        </w:rPr>
        <w:t>Sporbarhed</w:t>
      </w:r>
    </w:p>
    <w:p w:rsidR="00994CB8" w:rsidRDefault="00994CB8" w:rsidP="00994CB8">
      <w:pPr>
        <w:ind w:left="851"/>
        <w:rPr>
          <w:sz w:val="24"/>
          <w:szCs w:val="24"/>
        </w:rPr>
      </w:pPr>
      <w:r>
        <w:rPr>
          <w:sz w:val="24"/>
          <w:szCs w:val="24"/>
        </w:rPr>
        <w:t xml:space="preserve">For at forbedre sporbarheden for biologiske lægemidler bør navnet og batchnummeret for det anvendte produkt dokumenteres.  </w:t>
      </w:r>
    </w:p>
    <w:p w:rsidR="00994CB8" w:rsidRDefault="00994CB8" w:rsidP="00A64547">
      <w:pPr>
        <w:tabs>
          <w:tab w:val="left" w:pos="851"/>
        </w:tabs>
        <w:ind w:left="851"/>
        <w:rPr>
          <w:sz w:val="24"/>
          <w:lang w:eastAsia="da-DK"/>
        </w:rPr>
      </w:pPr>
    </w:p>
    <w:p w:rsidR="00A64547" w:rsidRDefault="00A64547" w:rsidP="00A64547">
      <w:pPr>
        <w:tabs>
          <w:tab w:val="left" w:pos="851"/>
        </w:tabs>
        <w:ind w:left="851"/>
        <w:rPr>
          <w:sz w:val="24"/>
          <w:lang w:eastAsia="da-DK"/>
        </w:rPr>
      </w:pPr>
      <w:r>
        <w:rPr>
          <w:sz w:val="24"/>
          <w:lang w:eastAsia="da-DK"/>
        </w:rPr>
        <w:t xml:space="preserve">Som med alle </w:t>
      </w:r>
      <w:proofErr w:type="spellStart"/>
      <w:r>
        <w:rPr>
          <w:sz w:val="24"/>
          <w:lang w:eastAsia="da-DK"/>
        </w:rPr>
        <w:t>injicerbare</w:t>
      </w:r>
      <w:proofErr w:type="spellEnd"/>
      <w:r>
        <w:rPr>
          <w:sz w:val="24"/>
          <w:lang w:eastAsia="da-DK"/>
        </w:rPr>
        <w:t xml:space="preserve"> vacciner skal passende medicinsk behandling samt overvågning altid være let tilgængelig i tilfælde af en </w:t>
      </w:r>
      <w:proofErr w:type="spellStart"/>
      <w:r>
        <w:rPr>
          <w:sz w:val="24"/>
          <w:lang w:eastAsia="da-DK"/>
        </w:rPr>
        <w:t>anafylaktisk</w:t>
      </w:r>
      <w:proofErr w:type="spellEnd"/>
      <w:r>
        <w:rPr>
          <w:sz w:val="24"/>
          <w:lang w:eastAsia="da-DK"/>
        </w:rPr>
        <w:t xml:space="preserve"> reaktion efter indgift af vaccinen.</w:t>
      </w:r>
    </w:p>
    <w:p w:rsidR="00A64547" w:rsidRDefault="00A64547" w:rsidP="00A64547">
      <w:pPr>
        <w:tabs>
          <w:tab w:val="left" w:pos="851"/>
        </w:tabs>
        <w:ind w:left="851"/>
        <w:rPr>
          <w:sz w:val="24"/>
          <w:lang w:eastAsia="da-DK"/>
        </w:rPr>
      </w:pPr>
    </w:p>
    <w:p w:rsidR="00A64547" w:rsidRDefault="00A64547" w:rsidP="00A64547">
      <w:pPr>
        <w:tabs>
          <w:tab w:val="left" w:pos="851"/>
        </w:tabs>
        <w:ind w:left="851"/>
        <w:rPr>
          <w:sz w:val="24"/>
          <w:lang w:eastAsia="da-DK"/>
        </w:rPr>
      </w:pPr>
      <w:proofErr w:type="spellStart"/>
      <w:r>
        <w:rPr>
          <w:sz w:val="24"/>
          <w:lang w:eastAsia="da-DK"/>
        </w:rPr>
        <w:t>Influvactetra</w:t>
      </w:r>
      <w:proofErr w:type="spellEnd"/>
      <w:r>
        <w:rPr>
          <w:sz w:val="24"/>
          <w:lang w:eastAsia="da-DK"/>
        </w:rPr>
        <w:t xml:space="preserve"> bør under ingen omstændigheder indgives </w:t>
      </w:r>
      <w:proofErr w:type="spellStart"/>
      <w:r>
        <w:rPr>
          <w:sz w:val="24"/>
          <w:lang w:eastAsia="da-DK"/>
        </w:rPr>
        <w:t>intravaskulært</w:t>
      </w:r>
      <w:proofErr w:type="spellEnd"/>
      <w:r>
        <w:rPr>
          <w:sz w:val="24"/>
          <w:lang w:eastAsia="da-DK"/>
        </w:rPr>
        <w:t>.</w:t>
      </w:r>
    </w:p>
    <w:p w:rsidR="00A64547" w:rsidRDefault="00A64547" w:rsidP="00A64547">
      <w:pPr>
        <w:tabs>
          <w:tab w:val="left" w:pos="851"/>
        </w:tabs>
        <w:ind w:left="851"/>
        <w:rPr>
          <w:sz w:val="24"/>
          <w:lang w:eastAsia="da-DK"/>
        </w:rPr>
      </w:pPr>
    </w:p>
    <w:p w:rsidR="00A64547" w:rsidRDefault="00A64547" w:rsidP="00A64547">
      <w:pPr>
        <w:tabs>
          <w:tab w:val="left" w:pos="851"/>
        </w:tabs>
        <w:ind w:left="851"/>
        <w:rPr>
          <w:sz w:val="24"/>
          <w:lang w:eastAsia="da-DK"/>
        </w:rPr>
      </w:pPr>
      <w:r>
        <w:rPr>
          <w:sz w:val="24"/>
          <w:lang w:eastAsia="da-DK"/>
        </w:rPr>
        <w:lastRenderedPageBreak/>
        <w:t xml:space="preserve">Som med andre vacciner, der administreres intramuskulært, skal </w:t>
      </w:r>
      <w:proofErr w:type="spellStart"/>
      <w:r>
        <w:rPr>
          <w:sz w:val="24"/>
          <w:lang w:eastAsia="da-DK"/>
        </w:rPr>
        <w:t>Influvactetra</w:t>
      </w:r>
      <w:proofErr w:type="spellEnd"/>
      <w:r>
        <w:rPr>
          <w:sz w:val="24"/>
          <w:lang w:eastAsia="da-DK"/>
        </w:rPr>
        <w:t xml:space="preserve"> gives med forsigtighed til personer med </w:t>
      </w:r>
      <w:proofErr w:type="spellStart"/>
      <w:r>
        <w:rPr>
          <w:sz w:val="24"/>
          <w:lang w:eastAsia="da-DK"/>
        </w:rPr>
        <w:t>trombocytopeni</w:t>
      </w:r>
      <w:proofErr w:type="spellEnd"/>
      <w:r>
        <w:rPr>
          <w:sz w:val="24"/>
          <w:lang w:eastAsia="da-DK"/>
        </w:rPr>
        <w:t xml:space="preserve"> eller andre koagulationsforstyrrelser, da blødning kan forekomme som følge af intramuskulær administration hos disse personer.</w:t>
      </w:r>
    </w:p>
    <w:p w:rsidR="00A64547" w:rsidRDefault="00A64547" w:rsidP="00A64547">
      <w:pPr>
        <w:tabs>
          <w:tab w:val="left" w:pos="851"/>
        </w:tabs>
        <w:ind w:left="851"/>
        <w:rPr>
          <w:sz w:val="24"/>
          <w:lang w:eastAsia="da-DK"/>
        </w:rPr>
      </w:pPr>
    </w:p>
    <w:p w:rsidR="00A64547" w:rsidRDefault="00A64547" w:rsidP="00A64547">
      <w:pPr>
        <w:tabs>
          <w:tab w:val="left" w:pos="851"/>
        </w:tabs>
        <w:ind w:left="851"/>
        <w:rPr>
          <w:sz w:val="24"/>
          <w:lang w:eastAsia="da-DK"/>
        </w:rPr>
      </w:pPr>
      <w:r>
        <w:rPr>
          <w:sz w:val="24"/>
          <w:lang w:eastAsia="da-DK"/>
        </w:rPr>
        <w:t xml:space="preserve">Angst-relaterede reaktioner, herunder </w:t>
      </w:r>
      <w:proofErr w:type="spellStart"/>
      <w:r>
        <w:rPr>
          <w:sz w:val="24"/>
          <w:lang w:eastAsia="da-DK"/>
        </w:rPr>
        <w:t>vasovagale</w:t>
      </w:r>
      <w:proofErr w:type="spellEnd"/>
      <w:r>
        <w:rPr>
          <w:sz w:val="24"/>
          <w:lang w:eastAsia="da-DK"/>
        </w:rPr>
        <w:t xml:space="preserve"> reaktioner (synkope), hyperventilation eller stressrelaterede reaktioner kan forekomme både før og efter enhver vaccination, som en psykisk reaktion på nålestikket. Dette kan være ledsaget af adskillige neurologiske tegn så som forbigående synsforstyrrelser, </w:t>
      </w:r>
      <w:proofErr w:type="spellStart"/>
      <w:r>
        <w:rPr>
          <w:sz w:val="24"/>
          <w:lang w:eastAsia="da-DK"/>
        </w:rPr>
        <w:t>paræstesier</w:t>
      </w:r>
      <w:proofErr w:type="spellEnd"/>
      <w:r>
        <w:rPr>
          <w:sz w:val="24"/>
          <w:lang w:eastAsia="da-DK"/>
        </w:rPr>
        <w:t xml:space="preserve"> og tonisk-kloniske </w:t>
      </w:r>
      <w:proofErr w:type="spellStart"/>
      <w:r>
        <w:rPr>
          <w:sz w:val="24"/>
          <w:lang w:eastAsia="da-DK"/>
        </w:rPr>
        <w:t>benbevægelser</w:t>
      </w:r>
      <w:proofErr w:type="spellEnd"/>
      <w:r>
        <w:rPr>
          <w:sz w:val="24"/>
          <w:lang w:eastAsia="da-DK"/>
        </w:rPr>
        <w:t>, når personen kommer til sig selv igen. Det er vigtigt, at der findes procedurer for at undgå skader ved besvimelse.</w:t>
      </w:r>
    </w:p>
    <w:p w:rsidR="00A64547" w:rsidRDefault="00A64547" w:rsidP="00A64547">
      <w:pPr>
        <w:tabs>
          <w:tab w:val="left" w:pos="851"/>
        </w:tabs>
        <w:ind w:left="851"/>
        <w:rPr>
          <w:sz w:val="24"/>
          <w:lang w:eastAsia="da-DK"/>
        </w:rPr>
      </w:pPr>
    </w:p>
    <w:p w:rsidR="00A64547" w:rsidRDefault="00A64547" w:rsidP="00A64547">
      <w:pPr>
        <w:tabs>
          <w:tab w:val="left" w:pos="0"/>
          <w:tab w:val="left" w:pos="851"/>
          <w:tab w:val="left" w:pos="1701"/>
          <w:tab w:val="left" w:pos="2552"/>
          <w:tab w:val="left" w:pos="3403"/>
          <w:tab w:val="left" w:pos="4254"/>
          <w:tab w:val="left" w:pos="5105"/>
          <w:tab w:val="left" w:pos="5955"/>
          <w:tab w:val="left" w:pos="6806"/>
          <w:tab w:val="left" w:pos="8035"/>
        </w:tabs>
        <w:ind w:left="850" w:firstLine="1"/>
        <w:rPr>
          <w:sz w:val="24"/>
          <w:lang w:eastAsia="da-DK"/>
        </w:rPr>
      </w:pPr>
      <w:proofErr w:type="spellStart"/>
      <w:r>
        <w:rPr>
          <w:sz w:val="24"/>
          <w:lang w:eastAsia="da-DK"/>
        </w:rPr>
        <w:t>Influvactetra</w:t>
      </w:r>
      <w:proofErr w:type="spellEnd"/>
      <w:r>
        <w:rPr>
          <w:sz w:val="24"/>
          <w:lang w:eastAsia="da-DK"/>
        </w:rPr>
        <w:t xml:space="preserve"> er ikke effektiv overfor alle mulige typer strenge af influenzavirus. </w:t>
      </w:r>
      <w:proofErr w:type="spellStart"/>
      <w:r>
        <w:rPr>
          <w:sz w:val="24"/>
          <w:lang w:eastAsia="da-DK"/>
        </w:rPr>
        <w:t>Influvactetra</w:t>
      </w:r>
      <w:proofErr w:type="spellEnd"/>
      <w:r>
        <w:rPr>
          <w:sz w:val="24"/>
          <w:lang w:eastAsia="da-DK"/>
        </w:rPr>
        <w:t xml:space="preserve"> er beregnet til at yde beskyttelse mod de strenge af vira fra hvilke vaccinen er fremstillet og til strenge, der er tæt relateret til disse.</w:t>
      </w:r>
    </w:p>
    <w:p w:rsidR="00A64547" w:rsidRDefault="00A64547" w:rsidP="00A64547">
      <w:pPr>
        <w:tabs>
          <w:tab w:val="left" w:pos="0"/>
          <w:tab w:val="left" w:pos="851"/>
          <w:tab w:val="left" w:pos="1701"/>
          <w:tab w:val="left" w:pos="2552"/>
          <w:tab w:val="left" w:pos="3403"/>
          <w:tab w:val="left" w:pos="4254"/>
          <w:tab w:val="left" w:pos="5105"/>
          <w:tab w:val="left" w:pos="5955"/>
          <w:tab w:val="left" w:pos="6806"/>
          <w:tab w:val="left" w:pos="8035"/>
        </w:tabs>
        <w:ind w:left="850" w:firstLine="1"/>
        <w:rPr>
          <w:sz w:val="24"/>
          <w:lang w:eastAsia="da-DK"/>
        </w:rPr>
      </w:pPr>
      <w:r>
        <w:rPr>
          <w:sz w:val="24"/>
          <w:lang w:eastAsia="da-DK"/>
        </w:rPr>
        <w:t xml:space="preserve">Som med alle andre vacciner, opnås et beskyttende immunrespons ikke nødvendigvis hos alle vaccinerede.  </w:t>
      </w:r>
    </w:p>
    <w:p w:rsidR="00A64547" w:rsidRDefault="00A64547" w:rsidP="00A64547">
      <w:pPr>
        <w:tabs>
          <w:tab w:val="left" w:pos="851"/>
        </w:tabs>
        <w:ind w:left="851"/>
        <w:rPr>
          <w:sz w:val="24"/>
          <w:lang w:eastAsia="da-DK"/>
        </w:rPr>
      </w:pPr>
    </w:p>
    <w:p w:rsidR="00A64547" w:rsidRDefault="00A64547" w:rsidP="00A64547">
      <w:pPr>
        <w:tabs>
          <w:tab w:val="left" w:pos="851"/>
        </w:tabs>
        <w:ind w:left="851"/>
        <w:rPr>
          <w:sz w:val="24"/>
          <w:lang w:eastAsia="da-DK"/>
        </w:rPr>
      </w:pPr>
      <w:r>
        <w:rPr>
          <w:sz w:val="24"/>
          <w:lang w:eastAsia="da-DK"/>
        </w:rPr>
        <w:t xml:space="preserve">Hos patienter med endogen eller </w:t>
      </w:r>
      <w:proofErr w:type="spellStart"/>
      <w:r>
        <w:rPr>
          <w:sz w:val="24"/>
          <w:lang w:eastAsia="da-DK"/>
        </w:rPr>
        <w:t>iatrogen</w:t>
      </w:r>
      <w:proofErr w:type="spellEnd"/>
      <w:r>
        <w:rPr>
          <w:sz w:val="24"/>
          <w:lang w:eastAsia="da-DK"/>
        </w:rPr>
        <w:t xml:space="preserve"> </w:t>
      </w:r>
      <w:proofErr w:type="spellStart"/>
      <w:r>
        <w:rPr>
          <w:sz w:val="24"/>
          <w:lang w:eastAsia="da-DK"/>
        </w:rPr>
        <w:t>immunosuppression</w:t>
      </w:r>
      <w:proofErr w:type="spellEnd"/>
      <w:r>
        <w:rPr>
          <w:sz w:val="24"/>
          <w:lang w:eastAsia="da-DK"/>
        </w:rPr>
        <w:t xml:space="preserve"> kan der være utilstrækkelig antistofrespons.</w:t>
      </w:r>
    </w:p>
    <w:p w:rsidR="00A64547" w:rsidRDefault="00A64547" w:rsidP="00A64547">
      <w:pPr>
        <w:tabs>
          <w:tab w:val="left" w:pos="851"/>
        </w:tabs>
        <w:ind w:left="851"/>
        <w:rPr>
          <w:sz w:val="24"/>
          <w:lang w:eastAsia="da-DK"/>
        </w:rPr>
      </w:pPr>
    </w:p>
    <w:p w:rsidR="00A64547" w:rsidRDefault="00A64547" w:rsidP="00A64547">
      <w:pPr>
        <w:tabs>
          <w:tab w:val="left" w:pos="851"/>
        </w:tabs>
        <w:ind w:left="851"/>
        <w:rPr>
          <w:sz w:val="24"/>
          <w:lang w:eastAsia="da-DK"/>
        </w:rPr>
      </w:pPr>
      <w:r>
        <w:rPr>
          <w:sz w:val="24"/>
          <w:lang w:eastAsia="da-DK"/>
        </w:rPr>
        <w:t>Påvirkning af serologiske test: se pkt. 4.5.</w:t>
      </w:r>
    </w:p>
    <w:p w:rsidR="00A64547" w:rsidRDefault="00A64547" w:rsidP="00A64547">
      <w:pPr>
        <w:tabs>
          <w:tab w:val="left" w:pos="851"/>
        </w:tabs>
        <w:ind w:left="851"/>
        <w:rPr>
          <w:sz w:val="24"/>
          <w:lang w:eastAsia="da-DK"/>
        </w:rPr>
      </w:pPr>
    </w:p>
    <w:p w:rsidR="00A64547" w:rsidRDefault="00A64547" w:rsidP="00A64547">
      <w:pPr>
        <w:keepNext/>
        <w:tabs>
          <w:tab w:val="left" w:pos="851"/>
        </w:tabs>
        <w:ind w:left="851"/>
        <w:rPr>
          <w:b/>
          <w:sz w:val="24"/>
          <w:lang w:eastAsia="da-DK"/>
        </w:rPr>
      </w:pPr>
      <w:proofErr w:type="spellStart"/>
      <w:r>
        <w:rPr>
          <w:b/>
          <w:sz w:val="24"/>
          <w:lang w:eastAsia="da-DK"/>
        </w:rPr>
        <w:t>Influvactetra</w:t>
      </w:r>
      <w:proofErr w:type="spellEnd"/>
      <w:r>
        <w:rPr>
          <w:b/>
          <w:sz w:val="24"/>
          <w:lang w:eastAsia="da-DK"/>
        </w:rPr>
        <w:t xml:space="preserve"> indeholder natrium og kalium</w:t>
      </w:r>
    </w:p>
    <w:p w:rsidR="00A64547" w:rsidRDefault="00A64547" w:rsidP="00A64547">
      <w:pPr>
        <w:tabs>
          <w:tab w:val="left" w:pos="851"/>
        </w:tabs>
        <w:ind w:left="851"/>
        <w:rPr>
          <w:sz w:val="24"/>
          <w:lang w:eastAsia="da-DK"/>
        </w:rPr>
      </w:pPr>
      <w:r>
        <w:rPr>
          <w:sz w:val="24"/>
          <w:lang w:eastAsia="da-DK"/>
        </w:rPr>
        <w:t>Dette lægemiddel indeholder mindre end 1</w:t>
      </w:r>
      <w:r w:rsidR="00994CB8">
        <w:rPr>
          <w:sz w:val="24"/>
          <w:lang w:eastAsia="da-DK"/>
        </w:rPr>
        <w:t xml:space="preserve"> </w:t>
      </w:r>
      <w:r>
        <w:rPr>
          <w:sz w:val="24"/>
          <w:lang w:eastAsia="da-DK"/>
        </w:rPr>
        <w:t>mmol (23 mg) natrium pr. dosis, dvs. det er er det væsentlige natrium-frit.</w:t>
      </w:r>
    </w:p>
    <w:p w:rsidR="00A64547" w:rsidRDefault="00A64547" w:rsidP="00A64547">
      <w:pPr>
        <w:tabs>
          <w:tab w:val="left" w:pos="851"/>
        </w:tabs>
        <w:ind w:left="851"/>
        <w:rPr>
          <w:sz w:val="24"/>
          <w:lang w:eastAsia="da-DK"/>
        </w:rPr>
      </w:pPr>
      <w:r>
        <w:rPr>
          <w:sz w:val="24"/>
          <w:lang w:eastAsia="da-DK"/>
        </w:rPr>
        <w:t>Dette lægemiddel indeholder mindre end 1</w:t>
      </w:r>
      <w:r w:rsidR="00994CB8">
        <w:rPr>
          <w:sz w:val="24"/>
          <w:lang w:eastAsia="da-DK"/>
        </w:rPr>
        <w:t xml:space="preserve"> </w:t>
      </w:r>
      <w:r>
        <w:rPr>
          <w:sz w:val="24"/>
          <w:lang w:eastAsia="da-DK"/>
        </w:rPr>
        <w:t>mmol (39 mg) kalium pr. dosis, dvs. det er er det væsentlige kalium-frit.</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65590" w:rsidRPr="00CF6A9E" w:rsidRDefault="00965590" w:rsidP="00965590">
      <w:pPr>
        <w:tabs>
          <w:tab w:val="left" w:pos="851"/>
        </w:tabs>
        <w:ind w:left="851"/>
        <w:rPr>
          <w:sz w:val="24"/>
          <w:lang w:eastAsia="da-DK"/>
        </w:rPr>
      </w:pPr>
      <w:r w:rsidRPr="00CF6A9E">
        <w:rPr>
          <w:sz w:val="24"/>
          <w:lang w:eastAsia="da-DK"/>
        </w:rPr>
        <w:t xml:space="preserve">Der er ikke udført interaktionsstudier. Hvis </w:t>
      </w:r>
      <w:proofErr w:type="spellStart"/>
      <w:r w:rsidRPr="00CF6A9E">
        <w:rPr>
          <w:sz w:val="24"/>
          <w:lang w:eastAsia="da-DK"/>
        </w:rPr>
        <w:t>Influvactetra</w:t>
      </w:r>
      <w:proofErr w:type="spellEnd"/>
      <w:r w:rsidRPr="00CF6A9E">
        <w:rPr>
          <w:sz w:val="24"/>
          <w:lang w:eastAsia="da-DK"/>
        </w:rPr>
        <w:t xml:space="preserve"> gives samtidig med andre vacciner, bør injektionerne udføres på forskellige lemmer. Bemærk at bivirkningerne kan forstærkes.</w:t>
      </w:r>
    </w:p>
    <w:p w:rsidR="00965590" w:rsidRPr="00CF6A9E" w:rsidRDefault="00965590" w:rsidP="00965590">
      <w:pPr>
        <w:tabs>
          <w:tab w:val="left" w:pos="851"/>
        </w:tabs>
        <w:ind w:left="851"/>
        <w:rPr>
          <w:sz w:val="24"/>
          <w:lang w:eastAsia="da-DK"/>
        </w:rPr>
      </w:pPr>
    </w:p>
    <w:p w:rsidR="00965590" w:rsidRPr="00CF6A9E" w:rsidRDefault="00965590" w:rsidP="00965590">
      <w:pPr>
        <w:tabs>
          <w:tab w:val="left" w:pos="851"/>
        </w:tabs>
        <w:ind w:left="851"/>
        <w:rPr>
          <w:sz w:val="24"/>
          <w:lang w:eastAsia="da-DK"/>
        </w:rPr>
      </w:pPr>
      <w:r w:rsidRPr="00CF6A9E">
        <w:rPr>
          <w:sz w:val="24"/>
          <w:lang w:eastAsia="da-DK"/>
        </w:rPr>
        <w:t xml:space="preserve">Den immunologiske respons kan formindskes, hvis patienten behandles med </w:t>
      </w:r>
      <w:proofErr w:type="spellStart"/>
      <w:r w:rsidRPr="00CF6A9E">
        <w:rPr>
          <w:sz w:val="24"/>
          <w:lang w:eastAsia="da-DK"/>
        </w:rPr>
        <w:t>immun</w:t>
      </w:r>
      <w:r w:rsidRPr="00CF6A9E">
        <w:rPr>
          <w:sz w:val="24"/>
          <w:lang w:eastAsia="da-DK"/>
        </w:rPr>
        <w:softHyphen/>
        <w:t>hæmmere</w:t>
      </w:r>
      <w:proofErr w:type="spellEnd"/>
      <w:r w:rsidRPr="00CF6A9E">
        <w:rPr>
          <w:sz w:val="24"/>
          <w:lang w:eastAsia="da-DK"/>
        </w:rPr>
        <w:t>.</w:t>
      </w:r>
    </w:p>
    <w:p w:rsidR="00965590" w:rsidRPr="00CF6A9E" w:rsidRDefault="00965590" w:rsidP="00965590">
      <w:pPr>
        <w:tabs>
          <w:tab w:val="left" w:pos="851"/>
        </w:tabs>
        <w:ind w:left="851"/>
        <w:rPr>
          <w:sz w:val="24"/>
          <w:lang w:eastAsia="da-DK"/>
        </w:rPr>
      </w:pPr>
    </w:p>
    <w:p w:rsidR="00965590" w:rsidRPr="005C280A" w:rsidRDefault="00965590" w:rsidP="00965590">
      <w:pPr>
        <w:tabs>
          <w:tab w:val="left" w:pos="851"/>
        </w:tabs>
        <w:ind w:left="851"/>
        <w:rPr>
          <w:sz w:val="24"/>
          <w:lang w:eastAsia="da-DK"/>
        </w:rPr>
      </w:pPr>
      <w:r w:rsidRPr="00CF6A9E">
        <w:rPr>
          <w:sz w:val="24"/>
          <w:lang w:eastAsia="da-DK"/>
        </w:rPr>
        <w:t>Efter influenzavaccination er der observeret falsk-positive resultat</w:t>
      </w:r>
      <w:r>
        <w:rPr>
          <w:sz w:val="24"/>
          <w:lang w:eastAsia="da-DK"/>
        </w:rPr>
        <w:t>er i serologiske tests</w:t>
      </w:r>
      <w:r w:rsidRPr="00CF6A9E">
        <w:rPr>
          <w:sz w:val="24"/>
          <w:lang w:eastAsia="da-DK"/>
        </w:rPr>
        <w:t xml:space="preserve">, hvor ELISA metoden er brugt til at påvise antistoffer mod HIV1, Hepatitis C og specielt HTLV1. Resultaterne kan afkræftes ved hjælp af Western Blot teknikken. De forbigående falsk-positive reaktioner kan skyldes vaccinens </w:t>
      </w:r>
      <w:proofErr w:type="spellStart"/>
      <w:r w:rsidRPr="00CF6A9E">
        <w:rPr>
          <w:sz w:val="24"/>
          <w:lang w:eastAsia="da-DK"/>
        </w:rPr>
        <w:t>IgM</w:t>
      </w:r>
      <w:proofErr w:type="spellEnd"/>
      <w:r w:rsidRPr="00CF6A9E">
        <w:rPr>
          <w:sz w:val="24"/>
          <w:lang w:eastAsia="da-DK"/>
        </w:rPr>
        <w:t xml:space="preserve"> respons.</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4.6</w:t>
      </w:r>
      <w:r w:rsidRPr="00C84483">
        <w:rPr>
          <w:b/>
          <w:sz w:val="24"/>
          <w:szCs w:val="24"/>
        </w:rPr>
        <w:tab/>
      </w:r>
      <w:r w:rsidR="003F1018">
        <w:rPr>
          <w:b/>
          <w:sz w:val="24"/>
          <w:szCs w:val="24"/>
        </w:rPr>
        <w:t>Fertilitet, g</w:t>
      </w:r>
      <w:r w:rsidRPr="00C84483">
        <w:rPr>
          <w:b/>
          <w:sz w:val="24"/>
          <w:szCs w:val="24"/>
        </w:rPr>
        <w:t>raviditet og amning</w:t>
      </w:r>
    </w:p>
    <w:p w:rsidR="00965590" w:rsidRDefault="00965590" w:rsidP="00965590">
      <w:pPr>
        <w:tabs>
          <w:tab w:val="left" w:pos="851"/>
        </w:tabs>
        <w:ind w:left="851"/>
        <w:rPr>
          <w:sz w:val="24"/>
          <w:u w:val="single"/>
          <w:lang w:eastAsia="da-DK"/>
        </w:rPr>
      </w:pPr>
    </w:p>
    <w:p w:rsidR="00965590" w:rsidRPr="0014330F" w:rsidRDefault="00965590" w:rsidP="00965590">
      <w:pPr>
        <w:tabs>
          <w:tab w:val="left" w:pos="851"/>
        </w:tabs>
        <w:ind w:left="851"/>
        <w:rPr>
          <w:sz w:val="24"/>
          <w:u w:val="single"/>
          <w:lang w:eastAsia="da-DK"/>
        </w:rPr>
      </w:pPr>
      <w:r w:rsidRPr="0014330F">
        <w:rPr>
          <w:sz w:val="24"/>
          <w:u w:val="single"/>
          <w:lang w:eastAsia="da-DK"/>
        </w:rPr>
        <w:t>Graviditet</w:t>
      </w:r>
    </w:p>
    <w:p w:rsidR="00965590" w:rsidRPr="0014330F" w:rsidRDefault="00965590" w:rsidP="00965590">
      <w:pPr>
        <w:tabs>
          <w:tab w:val="left" w:pos="851"/>
        </w:tabs>
        <w:ind w:left="851"/>
        <w:rPr>
          <w:sz w:val="24"/>
          <w:lang w:eastAsia="da-DK"/>
        </w:rPr>
      </w:pPr>
      <w:r w:rsidRPr="0014330F">
        <w:rPr>
          <w:sz w:val="24"/>
          <w:lang w:eastAsia="da-DK"/>
        </w:rPr>
        <w:t>Inaktiverede influenzavacciner kan anvendes under alle graviditetsstadier. Der er flere sikkerhedsdata for andet og tred</w:t>
      </w:r>
      <w:r w:rsidR="00E1206A">
        <w:rPr>
          <w:sz w:val="24"/>
          <w:lang w:eastAsia="da-DK"/>
        </w:rPr>
        <w:t>j</w:t>
      </w:r>
      <w:r w:rsidRPr="0014330F">
        <w:rPr>
          <w:sz w:val="24"/>
          <w:lang w:eastAsia="da-DK"/>
        </w:rPr>
        <w:t>e trimester end for første trimester. Data fra anvendelse af influenzavaccine over hele verden indikerer imidlertid ikke nogen form for skadelige virk</w:t>
      </w:r>
      <w:r>
        <w:rPr>
          <w:sz w:val="24"/>
          <w:lang w:eastAsia="da-DK"/>
        </w:rPr>
        <w:t>ninger,</w:t>
      </w:r>
      <w:r w:rsidRPr="0014330F">
        <w:rPr>
          <w:sz w:val="24"/>
          <w:lang w:eastAsia="da-DK"/>
        </w:rPr>
        <w:t xml:space="preserve"> som kan tilskrives vaccinen</w:t>
      </w:r>
      <w:r>
        <w:rPr>
          <w:sz w:val="24"/>
          <w:lang w:eastAsia="da-DK"/>
        </w:rPr>
        <w:t>, på fosteret eller moderen</w:t>
      </w:r>
      <w:r w:rsidRPr="0014330F">
        <w:rPr>
          <w:sz w:val="24"/>
          <w:lang w:eastAsia="da-DK"/>
        </w:rPr>
        <w:t>.</w:t>
      </w:r>
    </w:p>
    <w:p w:rsidR="00965590" w:rsidRPr="0014330F" w:rsidRDefault="00965590" w:rsidP="00965590">
      <w:pPr>
        <w:tabs>
          <w:tab w:val="left" w:pos="851"/>
        </w:tabs>
        <w:ind w:left="851"/>
        <w:rPr>
          <w:sz w:val="24"/>
          <w:lang w:eastAsia="da-DK"/>
        </w:rPr>
      </w:pPr>
    </w:p>
    <w:p w:rsidR="00965590" w:rsidRPr="0014330F" w:rsidRDefault="00965590" w:rsidP="00E1206A">
      <w:pPr>
        <w:keepNext/>
        <w:tabs>
          <w:tab w:val="left" w:pos="851"/>
        </w:tabs>
        <w:ind w:left="851"/>
        <w:rPr>
          <w:sz w:val="24"/>
          <w:u w:val="single"/>
          <w:lang w:eastAsia="da-DK"/>
        </w:rPr>
      </w:pPr>
      <w:r w:rsidRPr="0014330F">
        <w:rPr>
          <w:sz w:val="24"/>
          <w:u w:val="single"/>
          <w:lang w:eastAsia="da-DK"/>
        </w:rPr>
        <w:t>Amning</w:t>
      </w:r>
    </w:p>
    <w:p w:rsidR="00965590" w:rsidRPr="0014330F" w:rsidRDefault="00965590" w:rsidP="00965590">
      <w:pPr>
        <w:tabs>
          <w:tab w:val="left" w:pos="851"/>
        </w:tabs>
        <w:ind w:left="851"/>
        <w:rPr>
          <w:sz w:val="24"/>
          <w:lang w:eastAsia="da-DK"/>
        </w:rPr>
      </w:pPr>
      <w:r w:rsidRPr="0014330F">
        <w:rPr>
          <w:sz w:val="24"/>
          <w:lang w:eastAsia="da-DK"/>
        </w:rPr>
        <w:t xml:space="preserve">Der kan vaccineres med </w:t>
      </w:r>
      <w:proofErr w:type="spellStart"/>
      <w:r w:rsidRPr="0014330F">
        <w:rPr>
          <w:sz w:val="24"/>
          <w:lang w:eastAsia="da-DK"/>
        </w:rPr>
        <w:t>Influvactetra</w:t>
      </w:r>
      <w:proofErr w:type="spellEnd"/>
      <w:r w:rsidRPr="0014330F">
        <w:rPr>
          <w:sz w:val="24"/>
          <w:lang w:eastAsia="da-DK"/>
        </w:rPr>
        <w:t xml:space="preserve"> i </w:t>
      </w:r>
      <w:proofErr w:type="spellStart"/>
      <w:r w:rsidRPr="0014330F">
        <w:rPr>
          <w:sz w:val="24"/>
          <w:lang w:eastAsia="da-DK"/>
        </w:rPr>
        <w:t>ammeperioden</w:t>
      </w:r>
      <w:proofErr w:type="spellEnd"/>
      <w:r w:rsidRPr="0014330F">
        <w:rPr>
          <w:sz w:val="24"/>
          <w:lang w:eastAsia="da-DK"/>
        </w:rPr>
        <w:t>.</w:t>
      </w:r>
    </w:p>
    <w:p w:rsidR="00965590" w:rsidRPr="0014330F" w:rsidRDefault="00965590" w:rsidP="00965590">
      <w:pPr>
        <w:tabs>
          <w:tab w:val="left" w:pos="851"/>
        </w:tabs>
        <w:ind w:left="851"/>
        <w:rPr>
          <w:sz w:val="24"/>
          <w:lang w:eastAsia="da-DK"/>
        </w:rPr>
      </w:pPr>
    </w:p>
    <w:p w:rsidR="00965590" w:rsidRPr="0014330F" w:rsidRDefault="00965590" w:rsidP="00965590">
      <w:pPr>
        <w:tabs>
          <w:tab w:val="left" w:pos="851"/>
        </w:tabs>
        <w:ind w:left="851"/>
        <w:rPr>
          <w:sz w:val="24"/>
          <w:u w:val="single"/>
          <w:lang w:eastAsia="da-DK"/>
        </w:rPr>
      </w:pPr>
      <w:r w:rsidRPr="0014330F">
        <w:rPr>
          <w:sz w:val="24"/>
          <w:u w:val="single"/>
          <w:lang w:eastAsia="da-DK"/>
        </w:rPr>
        <w:t>Fertilitet</w:t>
      </w:r>
    </w:p>
    <w:p w:rsidR="00965590" w:rsidRPr="0098383A" w:rsidRDefault="00965590" w:rsidP="00965590">
      <w:pPr>
        <w:tabs>
          <w:tab w:val="left" w:pos="851"/>
        </w:tabs>
        <w:ind w:left="851"/>
        <w:rPr>
          <w:sz w:val="24"/>
          <w:lang w:eastAsia="da-DK"/>
        </w:rPr>
      </w:pPr>
      <w:r w:rsidRPr="0014330F">
        <w:rPr>
          <w:sz w:val="24"/>
          <w:lang w:eastAsia="da-DK"/>
        </w:rPr>
        <w:t>Der findes ingen fertilitetsdata.</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3F1018">
        <w:rPr>
          <w:b/>
          <w:sz w:val="24"/>
          <w:szCs w:val="24"/>
        </w:rPr>
        <w:t>og</w:t>
      </w:r>
      <w:r w:rsidRPr="00C84483">
        <w:rPr>
          <w:b/>
          <w:sz w:val="24"/>
          <w:szCs w:val="24"/>
        </w:rPr>
        <w:t xml:space="preserve"> betjene maskiner</w:t>
      </w:r>
    </w:p>
    <w:p w:rsidR="00965590" w:rsidRDefault="00965590" w:rsidP="00965590">
      <w:pPr>
        <w:tabs>
          <w:tab w:val="left" w:pos="851"/>
        </w:tabs>
        <w:ind w:left="851"/>
        <w:rPr>
          <w:sz w:val="24"/>
          <w:lang w:eastAsia="da-DK"/>
        </w:rPr>
      </w:pPr>
      <w:r>
        <w:rPr>
          <w:sz w:val="24"/>
          <w:lang w:eastAsia="da-DK"/>
        </w:rPr>
        <w:t>Ikke mærkning.</w:t>
      </w:r>
    </w:p>
    <w:p w:rsidR="00965590" w:rsidRPr="00741DCA" w:rsidRDefault="00965590" w:rsidP="00965590">
      <w:pPr>
        <w:tabs>
          <w:tab w:val="left" w:pos="851"/>
        </w:tabs>
        <w:ind w:left="851"/>
        <w:rPr>
          <w:sz w:val="24"/>
          <w:lang w:eastAsia="da-DK"/>
        </w:rPr>
      </w:pPr>
      <w:proofErr w:type="spellStart"/>
      <w:r w:rsidRPr="006F4CBE">
        <w:rPr>
          <w:sz w:val="24"/>
          <w:lang w:eastAsia="da-DK"/>
        </w:rPr>
        <w:t>Influvactetra</w:t>
      </w:r>
      <w:proofErr w:type="spellEnd"/>
      <w:r w:rsidRPr="006F4CBE">
        <w:rPr>
          <w:sz w:val="24"/>
          <w:lang w:eastAsia="da-DK"/>
        </w:rPr>
        <w:t xml:space="preserve"> påvirker ikke eller kun i ubetydelig grad evnen til at føre motorkøretøj eller betjene maskiner.</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4.8</w:t>
      </w:r>
      <w:r w:rsidRPr="00C84483">
        <w:rPr>
          <w:b/>
          <w:sz w:val="24"/>
          <w:szCs w:val="24"/>
        </w:rPr>
        <w:tab/>
        <w:t>Bivirkninger</w:t>
      </w:r>
    </w:p>
    <w:p w:rsidR="00965590" w:rsidRDefault="00965590" w:rsidP="00965590">
      <w:pPr>
        <w:tabs>
          <w:tab w:val="left" w:pos="851"/>
        </w:tabs>
        <w:ind w:left="851"/>
        <w:rPr>
          <w:i/>
          <w:sz w:val="24"/>
          <w:lang w:eastAsia="da-DK"/>
        </w:rPr>
      </w:pPr>
    </w:p>
    <w:p w:rsidR="00994CB8" w:rsidRDefault="00994CB8" w:rsidP="00994CB8">
      <w:pPr>
        <w:tabs>
          <w:tab w:val="left" w:pos="851"/>
        </w:tabs>
        <w:ind w:left="851"/>
        <w:rPr>
          <w:i/>
          <w:sz w:val="24"/>
          <w:lang w:eastAsia="da-DK"/>
        </w:rPr>
      </w:pPr>
      <w:r>
        <w:rPr>
          <w:i/>
          <w:sz w:val="24"/>
          <w:lang w:eastAsia="da-DK"/>
        </w:rPr>
        <w:t>a. Resume af sikkerhedsprofilen</w:t>
      </w:r>
    </w:p>
    <w:p w:rsidR="00994CB8" w:rsidRDefault="00994CB8" w:rsidP="00994CB8">
      <w:pPr>
        <w:tabs>
          <w:tab w:val="left" w:pos="851"/>
        </w:tabs>
        <w:ind w:left="851"/>
        <w:rPr>
          <w:sz w:val="24"/>
          <w:lang w:eastAsia="da-DK"/>
        </w:rPr>
      </w:pPr>
      <w:r>
        <w:rPr>
          <w:sz w:val="24"/>
          <w:lang w:eastAsia="da-DK"/>
        </w:rPr>
        <w:t xml:space="preserve">Sikkerheden af </w:t>
      </w:r>
      <w:proofErr w:type="spellStart"/>
      <w:r>
        <w:rPr>
          <w:sz w:val="24"/>
          <w:lang w:eastAsia="da-DK"/>
        </w:rPr>
        <w:t>Influvactetra</w:t>
      </w:r>
      <w:proofErr w:type="spellEnd"/>
      <w:r>
        <w:rPr>
          <w:sz w:val="24"/>
          <w:lang w:eastAsia="da-DK"/>
        </w:rPr>
        <w:t xml:space="preserve"> blev vurderet i tre kliniske studier. </w:t>
      </w:r>
    </w:p>
    <w:p w:rsidR="00994CB8" w:rsidRDefault="00994CB8" w:rsidP="00994CB8">
      <w:pPr>
        <w:tabs>
          <w:tab w:val="left" w:pos="851"/>
        </w:tabs>
        <w:ind w:left="851"/>
        <w:rPr>
          <w:sz w:val="24"/>
          <w:lang w:eastAsia="da-DK"/>
        </w:rPr>
      </w:pPr>
      <w:r>
        <w:rPr>
          <w:sz w:val="24"/>
          <w:lang w:eastAsia="da-DK"/>
        </w:rPr>
        <w:t xml:space="preserve">I to kliniske studier, hvor raske voksne på 18 år og derover, og raske børn i alderen fra 3 til 17 år blev vaccineret med </w:t>
      </w:r>
      <w:proofErr w:type="spellStart"/>
      <w:r>
        <w:rPr>
          <w:sz w:val="24"/>
          <w:lang w:eastAsia="da-DK"/>
        </w:rPr>
        <w:t>Influvactetra</w:t>
      </w:r>
      <w:proofErr w:type="spellEnd"/>
      <w:r>
        <w:rPr>
          <w:sz w:val="24"/>
          <w:lang w:eastAsia="da-DK"/>
        </w:rPr>
        <w:t xml:space="preserve"> eller trivalent influenzavaccine </w:t>
      </w:r>
      <w:proofErr w:type="spellStart"/>
      <w:r>
        <w:rPr>
          <w:sz w:val="24"/>
          <w:lang w:eastAsia="da-DK"/>
        </w:rPr>
        <w:t>Influvac</w:t>
      </w:r>
      <w:proofErr w:type="spellEnd"/>
      <w:r>
        <w:rPr>
          <w:sz w:val="24"/>
          <w:lang w:eastAsia="da-DK"/>
        </w:rPr>
        <w:t xml:space="preserve">. </w:t>
      </w:r>
    </w:p>
    <w:p w:rsidR="00994CB8" w:rsidRDefault="00994CB8" w:rsidP="00994CB8">
      <w:pPr>
        <w:tabs>
          <w:tab w:val="left" w:pos="851"/>
        </w:tabs>
        <w:ind w:left="851"/>
        <w:rPr>
          <w:sz w:val="24"/>
          <w:lang w:eastAsia="da-DK"/>
        </w:rPr>
      </w:pPr>
      <w:r>
        <w:rPr>
          <w:sz w:val="24"/>
          <w:lang w:eastAsia="da-DK"/>
        </w:rPr>
        <w:t xml:space="preserve">I et tredje studie blev sikkerheden for </w:t>
      </w:r>
      <w:proofErr w:type="spellStart"/>
      <w:r>
        <w:rPr>
          <w:sz w:val="24"/>
          <w:lang w:eastAsia="da-DK"/>
        </w:rPr>
        <w:t>Influvactetra</w:t>
      </w:r>
      <w:proofErr w:type="spellEnd"/>
      <w:r>
        <w:rPr>
          <w:sz w:val="24"/>
          <w:lang w:eastAsia="da-DK"/>
        </w:rPr>
        <w:t xml:space="preserve"> undersøgt hos raske børn i alderen 6 til 35 måneder som modtog </w:t>
      </w:r>
      <w:proofErr w:type="spellStart"/>
      <w:r>
        <w:rPr>
          <w:sz w:val="24"/>
          <w:lang w:eastAsia="da-DK"/>
        </w:rPr>
        <w:t>Influvactetra</w:t>
      </w:r>
      <w:proofErr w:type="spellEnd"/>
      <w:r>
        <w:rPr>
          <w:sz w:val="24"/>
          <w:lang w:eastAsia="da-DK"/>
        </w:rPr>
        <w:t xml:space="preserve"> eller en non-influenza vaccinekontrol.</w:t>
      </w:r>
    </w:p>
    <w:p w:rsidR="00994CB8" w:rsidRDefault="00994CB8" w:rsidP="00994CB8">
      <w:pPr>
        <w:tabs>
          <w:tab w:val="left" w:pos="851"/>
        </w:tabs>
        <w:ind w:left="851"/>
        <w:rPr>
          <w:sz w:val="24"/>
          <w:lang w:eastAsia="da-DK"/>
        </w:rPr>
      </w:pPr>
      <w:r>
        <w:rPr>
          <w:sz w:val="24"/>
          <w:lang w:eastAsia="da-DK"/>
        </w:rPr>
        <w:t xml:space="preserve">I begge børnestudier modtog børn i alderen 6 måneder til 8 år en eller to doser af </w:t>
      </w:r>
      <w:proofErr w:type="spellStart"/>
      <w:r>
        <w:rPr>
          <w:sz w:val="24"/>
          <w:lang w:eastAsia="da-DK"/>
        </w:rPr>
        <w:t>Influvactetra</w:t>
      </w:r>
      <w:proofErr w:type="spellEnd"/>
      <w:r>
        <w:rPr>
          <w:sz w:val="24"/>
          <w:lang w:eastAsia="da-DK"/>
        </w:rPr>
        <w:t>, afhængig af deres influenzavaccinations-anamnese.</w:t>
      </w:r>
    </w:p>
    <w:p w:rsidR="00965590" w:rsidRPr="006F4CBE" w:rsidRDefault="00965590" w:rsidP="00965590">
      <w:pPr>
        <w:tabs>
          <w:tab w:val="left" w:pos="851"/>
        </w:tabs>
        <w:ind w:left="851"/>
        <w:rPr>
          <w:sz w:val="24"/>
          <w:lang w:eastAsia="da-DK"/>
        </w:rPr>
      </w:pPr>
    </w:p>
    <w:p w:rsidR="00965590" w:rsidRPr="006F4CBE" w:rsidRDefault="00965590" w:rsidP="00965590">
      <w:pPr>
        <w:tabs>
          <w:tab w:val="left" w:pos="851"/>
        </w:tabs>
        <w:ind w:left="851"/>
        <w:rPr>
          <w:sz w:val="24"/>
          <w:lang w:eastAsia="da-DK"/>
        </w:rPr>
      </w:pPr>
      <w:r w:rsidRPr="006F4CBE">
        <w:rPr>
          <w:sz w:val="24"/>
          <w:lang w:eastAsia="da-DK"/>
        </w:rPr>
        <w:t>De fleste reaktioner opstod sædvanligvis inden for de første 3 dage efter vaccination og forsvandt spontant inden for 1 til 3 dage efter indtræden. Intensiteten af disse reaktioner var generelt milde.</w:t>
      </w:r>
    </w:p>
    <w:p w:rsidR="00965590" w:rsidRPr="006F4CBE" w:rsidRDefault="00965590" w:rsidP="00965590">
      <w:pPr>
        <w:tabs>
          <w:tab w:val="left" w:pos="851"/>
        </w:tabs>
        <w:ind w:left="851"/>
        <w:rPr>
          <w:sz w:val="24"/>
          <w:lang w:eastAsia="da-DK"/>
        </w:rPr>
      </w:pPr>
    </w:p>
    <w:p w:rsidR="00965590" w:rsidRPr="006F4CBE" w:rsidRDefault="00965590" w:rsidP="00965590">
      <w:pPr>
        <w:tabs>
          <w:tab w:val="left" w:pos="851"/>
        </w:tabs>
        <w:ind w:left="851"/>
        <w:rPr>
          <w:sz w:val="24"/>
          <w:lang w:eastAsia="da-DK"/>
        </w:rPr>
      </w:pPr>
      <w:r w:rsidRPr="006F4CBE">
        <w:rPr>
          <w:sz w:val="24"/>
          <w:lang w:eastAsia="da-DK"/>
        </w:rPr>
        <w:t xml:space="preserve">For alle aldersgrupper var den hyppigst rapporterede lokale bivirkning efter vaccination observeret i de kliniske studier med </w:t>
      </w:r>
      <w:proofErr w:type="spellStart"/>
      <w:r w:rsidRPr="006F4CBE">
        <w:rPr>
          <w:sz w:val="24"/>
          <w:lang w:eastAsia="da-DK"/>
        </w:rPr>
        <w:t>Influvactetra</w:t>
      </w:r>
      <w:proofErr w:type="spellEnd"/>
      <w:r w:rsidRPr="006F4CBE">
        <w:rPr>
          <w:sz w:val="24"/>
          <w:lang w:eastAsia="da-DK"/>
        </w:rPr>
        <w:t xml:space="preserve"> smerte på vaccinationsstedet.</w:t>
      </w:r>
    </w:p>
    <w:p w:rsidR="00965590" w:rsidRPr="006F4CBE" w:rsidRDefault="00965590" w:rsidP="00965590">
      <w:pPr>
        <w:tabs>
          <w:tab w:val="left" w:pos="851"/>
        </w:tabs>
        <w:ind w:left="851"/>
        <w:rPr>
          <w:sz w:val="24"/>
          <w:lang w:eastAsia="da-DK"/>
        </w:rPr>
      </w:pPr>
    </w:p>
    <w:p w:rsidR="00994CB8" w:rsidRDefault="00994CB8" w:rsidP="00994CB8">
      <w:pPr>
        <w:tabs>
          <w:tab w:val="left" w:pos="851"/>
        </w:tabs>
        <w:ind w:left="851"/>
        <w:rPr>
          <w:sz w:val="24"/>
          <w:lang w:eastAsia="da-DK"/>
        </w:rPr>
      </w:pPr>
      <w:r>
        <w:rPr>
          <w:sz w:val="24"/>
          <w:lang w:eastAsia="da-DK"/>
        </w:rPr>
        <w:t xml:space="preserve">De hyppigst rapporterede generelle bivirkninger efter vaccination observeret i de kliniske studier med </w:t>
      </w:r>
      <w:proofErr w:type="spellStart"/>
      <w:r>
        <w:rPr>
          <w:sz w:val="24"/>
          <w:lang w:eastAsia="da-DK"/>
        </w:rPr>
        <w:t>Influvactetra</w:t>
      </w:r>
      <w:proofErr w:type="spellEnd"/>
      <w:r>
        <w:rPr>
          <w:sz w:val="24"/>
          <w:lang w:eastAsia="da-DK"/>
        </w:rPr>
        <w:t xml:space="preserve"> hos voksne og børn i alderen fra 6 til 17 år var træthed og hovedpine og for børn i alderen 3 til 5 år, døsighed, irritabilitet og tab af appetit.</w:t>
      </w:r>
    </w:p>
    <w:p w:rsidR="00994CB8" w:rsidRDefault="00994CB8" w:rsidP="00994CB8">
      <w:pPr>
        <w:tabs>
          <w:tab w:val="left" w:pos="851"/>
        </w:tabs>
        <w:ind w:left="851"/>
        <w:rPr>
          <w:sz w:val="24"/>
          <w:lang w:eastAsia="da-DK"/>
        </w:rPr>
      </w:pPr>
      <w:r>
        <w:rPr>
          <w:sz w:val="24"/>
          <w:lang w:eastAsia="da-DK"/>
        </w:rPr>
        <w:t xml:space="preserve">De hyppigst rapporterede generelle bivirkninger efter vaccinationen observeret i de kliniske studier for </w:t>
      </w:r>
      <w:proofErr w:type="spellStart"/>
      <w:r>
        <w:rPr>
          <w:sz w:val="24"/>
          <w:lang w:eastAsia="da-DK"/>
        </w:rPr>
        <w:t>Influvactetra</w:t>
      </w:r>
      <w:proofErr w:type="spellEnd"/>
      <w:r>
        <w:rPr>
          <w:sz w:val="24"/>
          <w:lang w:eastAsia="da-DK"/>
        </w:rPr>
        <w:t xml:space="preserve"> hos børn i alderen 6 måneder til 35 måneder var irritabilitet/</w:t>
      </w:r>
      <w:proofErr w:type="spellStart"/>
      <w:r>
        <w:rPr>
          <w:sz w:val="24"/>
          <w:lang w:eastAsia="da-DK"/>
        </w:rPr>
        <w:t>pylrethed</w:t>
      </w:r>
      <w:proofErr w:type="spellEnd"/>
      <w:r>
        <w:rPr>
          <w:sz w:val="24"/>
          <w:lang w:eastAsia="da-DK"/>
        </w:rPr>
        <w:t>.</w:t>
      </w:r>
    </w:p>
    <w:p w:rsidR="00994CB8" w:rsidRDefault="00994CB8" w:rsidP="00994CB8">
      <w:pPr>
        <w:tabs>
          <w:tab w:val="left" w:pos="851"/>
        </w:tabs>
        <w:ind w:left="851"/>
        <w:rPr>
          <w:sz w:val="24"/>
          <w:lang w:eastAsia="da-DK"/>
        </w:rPr>
      </w:pPr>
    </w:p>
    <w:p w:rsidR="00994CB8" w:rsidRDefault="00994CB8" w:rsidP="00994CB8">
      <w:pPr>
        <w:tabs>
          <w:tab w:val="left" w:pos="851"/>
        </w:tabs>
        <w:ind w:left="851"/>
        <w:rPr>
          <w:sz w:val="24"/>
          <w:lang w:eastAsia="da-DK"/>
        </w:rPr>
      </w:pPr>
      <w:r>
        <w:rPr>
          <w:sz w:val="24"/>
          <w:lang w:eastAsia="da-DK"/>
        </w:rPr>
        <w:t xml:space="preserve">Tilsvarende bivirkninger blev observeret hos vaccinerede personer med </w:t>
      </w:r>
      <w:proofErr w:type="spellStart"/>
      <w:r>
        <w:rPr>
          <w:sz w:val="24"/>
          <w:lang w:eastAsia="da-DK"/>
        </w:rPr>
        <w:t>Influvactetra</w:t>
      </w:r>
      <w:proofErr w:type="spellEnd"/>
      <w:r>
        <w:rPr>
          <w:sz w:val="24"/>
          <w:lang w:eastAsia="da-DK"/>
        </w:rPr>
        <w:t xml:space="preserve"> som med trivalent influenzavaccine </w:t>
      </w:r>
      <w:proofErr w:type="spellStart"/>
      <w:r>
        <w:rPr>
          <w:sz w:val="24"/>
          <w:lang w:eastAsia="da-DK"/>
        </w:rPr>
        <w:t>Influvac</w:t>
      </w:r>
      <w:proofErr w:type="spellEnd"/>
      <w:r>
        <w:rPr>
          <w:sz w:val="24"/>
          <w:lang w:eastAsia="da-DK"/>
        </w:rPr>
        <w:t>.</w:t>
      </w:r>
    </w:p>
    <w:p w:rsidR="00994CB8" w:rsidRDefault="00994CB8" w:rsidP="00994CB8">
      <w:pPr>
        <w:tabs>
          <w:tab w:val="left" w:pos="851"/>
        </w:tabs>
        <w:ind w:left="851"/>
        <w:rPr>
          <w:sz w:val="24"/>
          <w:lang w:eastAsia="da-DK"/>
        </w:rPr>
      </w:pPr>
      <w:r>
        <w:rPr>
          <w:sz w:val="24"/>
          <w:lang w:eastAsia="da-DK"/>
        </w:rPr>
        <w:t xml:space="preserve">Hyppigheden af systemiske bivirkninger var tilsvarende for modtagere af </w:t>
      </w:r>
      <w:proofErr w:type="spellStart"/>
      <w:r>
        <w:rPr>
          <w:sz w:val="24"/>
          <w:lang w:eastAsia="da-DK"/>
        </w:rPr>
        <w:t>Influvactetra</w:t>
      </w:r>
      <w:proofErr w:type="spellEnd"/>
      <w:r>
        <w:rPr>
          <w:sz w:val="24"/>
          <w:lang w:eastAsia="da-DK"/>
        </w:rPr>
        <w:t xml:space="preserve"> som for non-</w:t>
      </w:r>
      <w:proofErr w:type="gramStart"/>
      <w:r>
        <w:rPr>
          <w:sz w:val="24"/>
          <w:lang w:eastAsia="da-DK"/>
        </w:rPr>
        <w:t>influenza vaccinen</w:t>
      </w:r>
      <w:proofErr w:type="gramEnd"/>
      <w:r>
        <w:rPr>
          <w:sz w:val="24"/>
          <w:lang w:eastAsia="da-DK"/>
        </w:rPr>
        <w:t xml:space="preserve">, hvorimod hyppigheden af lokale bivirkninger var lavere hos modtagere af </w:t>
      </w:r>
      <w:proofErr w:type="spellStart"/>
      <w:r>
        <w:rPr>
          <w:sz w:val="24"/>
          <w:lang w:eastAsia="da-DK"/>
        </w:rPr>
        <w:t>Influvactetra</w:t>
      </w:r>
      <w:proofErr w:type="spellEnd"/>
      <w:r>
        <w:rPr>
          <w:sz w:val="24"/>
          <w:lang w:eastAsia="da-DK"/>
        </w:rPr>
        <w:t>.</w:t>
      </w:r>
    </w:p>
    <w:p w:rsidR="00965590" w:rsidRPr="006F4CBE" w:rsidRDefault="00965590" w:rsidP="00965590">
      <w:pPr>
        <w:tabs>
          <w:tab w:val="left" w:pos="851"/>
        </w:tabs>
        <w:ind w:left="851"/>
        <w:rPr>
          <w:sz w:val="24"/>
          <w:lang w:eastAsia="da-DK"/>
        </w:rPr>
      </w:pPr>
    </w:p>
    <w:p w:rsidR="00965590" w:rsidRPr="006F4CBE" w:rsidRDefault="00965590" w:rsidP="00965590">
      <w:pPr>
        <w:tabs>
          <w:tab w:val="left" w:pos="851"/>
        </w:tabs>
        <w:ind w:left="851"/>
        <w:rPr>
          <w:i/>
          <w:sz w:val="24"/>
          <w:lang w:eastAsia="da-DK"/>
        </w:rPr>
      </w:pPr>
      <w:r w:rsidRPr="006F4CBE">
        <w:rPr>
          <w:i/>
          <w:sz w:val="24"/>
          <w:lang w:eastAsia="da-DK"/>
        </w:rPr>
        <w:t>b) Resume af bivirkningerne i tabelform</w:t>
      </w:r>
    </w:p>
    <w:p w:rsidR="00994CB8" w:rsidRDefault="00994CB8" w:rsidP="00994CB8">
      <w:pPr>
        <w:tabs>
          <w:tab w:val="left" w:pos="851"/>
        </w:tabs>
        <w:ind w:left="851"/>
        <w:rPr>
          <w:sz w:val="24"/>
          <w:lang w:eastAsia="da-DK"/>
        </w:rPr>
      </w:pPr>
      <w:r>
        <w:rPr>
          <w:sz w:val="24"/>
          <w:lang w:eastAsia="da-DK"/>
        </w:rPr>
        <w:t xml:space="preserve">Følgende bivirkninger betragtes som i det mindste relateret til </w:t>
      </w:r>
      <w:proofErr w:type="spellStart"/>
      <w:r>
        <w:rPr>
          <w:sz w:val="24"/>
          <w:lang w:eastAsia="da-DK"/>
        </w:rPr>
        <w:t>Influvactetra</w:t>
      </w:r>
      <w:proofErr w:type="spellEnd"/>
      <w:r>
        <w:rPr>
          <w:sz w:val="24"/>
          <w:lang w:eastAsia="da-DK"/>
        </w:rPr>
        <w:t xml:space="preserve"> og har enten været observeret under de kliniske studier med </w:t>
      </w:r>
      <w:proofErr w:type="spellStart"/>
      <w:r>
        <w:rPr>
          <w:sz w:val="24"/>
          <w:lang w:eastAsia="da-DK"/>
        </w:rPr>
        <w:t>Influvactetra</w:t>
      </w:r>
      <w:proofErr w:type="spellEnd"/>
      <w:r>
        <w:rPr>
          <w:sz w:val="24"/>
          <w:lang w:eastAsia="da-DK"/>
        </w:rPr>
        <w:t xml:space="preserve"> eller er resultatet af erfaring efter markeds</w:t>
      </w:r>
      <w:r>
        <w:rPr>
          <w:sz w:val="24"/>
          <w:lang w:eastAsia="da-DK"/>
        </w:rPr>
        <w:softHyphen/>
        <w:t xml:space="preserve">føring med </w:t>
      </w:r>
      <w:proofErr w:type="spellStart"/>
      <w:r>
        <w:rPr>
          <w:sz w:val="24"/>
          <w:lang w:eastAsia="da-DK"/>
        </w:rPr>
        <w:t>Influvactetra</w:t>
      </w:r>
      <w:proofErr w:type="spellEnd"/>
      <w:r>
        <w:rPr>
          <w:sz w:val="24"/>
          <w:lang w:eastAsia="da-DK"/>
        </w:rPr>
        <w:t xml:space="preserve"> og/eller den trivalente influenzavaccine </w:t>
      </w:r>
      <w:proofErr w:type="spellStart"/>
      <w:r>
        <w:rPr>
          <w:sz w:val="24"/>
          <w:lang w:eastAsia="da-DK"/>
        </w:rPr>
        <w:t>Influvac</w:t>
      </w:r>
      <w:proofErr w:type="spellEnd"/>
      <w:r>
        <w:rPr>
          <w:sz w:val="24"/>
          <w:lang w:eastAsia="da-DK"/>
        </w:rPr>
        <w:t>.</w:t>
      </w:r>
    </w:p>
    <w:p w:rsidR="00965590" w:rsidRPr="006F4CBE" w:rsidRDefault="00965590" w:rsidP="00965590">
      <w:pPr>
        <w:tabs>
          <w:tab w:val="left" w:pos="851"/>
        </w:tabs>
        <w:ind w:left="851"/>
        <w:rPr>
          <w:sz w:val="24"/>
          <w:lang w:eastAsia="da-DK"/>
        </w:rPr>
      </w:pPr>
    </w:p>
    <w:p w:rsidR="00965590" w:rsidRPr="006F4CBE" w:rsidRDefault="00965590" w:rsidP="00965590">
      <w:pPr>
        <w:tabs>
          <w:tab w:val="left" w:pos="851"/>
        </w:tabs>
        <w:ind w:left="851"/>
        <w:rPr>
          <w:sz w:val="24"/>
          <w:lang w:eastAsia="da-DK"/>
        </w:rPr>
      </w:pPr>
      <w:r w:rsidRPr="006F4CBE">
        <w:rPr>
          <w:sz w:val="24"/>
          <w:lang w:eastAsia="da-DK"/>
        </w:rPr>
        <w:t>Bivirkningerne er rapporteret med følgende hyppighed:</w:t>
      </w:r>
    </w:p>
    <w:p w:rsidR="00965590" w:rsidRPr="006F4CBE" w:rsidRDefault="00965590" w:rsidP="00965590">
      <w:pPr>
        <w:tabs>
          <w:tab w:val="left" w:pos="851"/>
        </w:tabs>
        <w:ind w:left="851"/>
        <w:rPr>
          <w:sz w:val="24"/>
          <w:lang w:eastAsia="da-DK"/>
        </w:rPr>
      </w:pPr>
      <w:r w:rsidRPr="006F4CBE">
        <w:rPr>
          <w:sz w:val="24"/>
          <w:lang w:eastAsia="da-DK"/>
        </w:rPr>
        <w:t>Meget almindelig (≥1/10); almindelig (≥1/100, &lt;1/10); ikke almindelig (≥1/1 000, &lt;1/100) og ikke kendt (bivirkninger fra efter markedsføring, kan ikke estimeres ud fra tilgængelige data).</w:t>
      </w:r>
    </w:p>
    <w:p w:rsidR="00965590" w:rsidRPr="006F4CBE" w:rsidRDefault="00965590" w:rsidP="00965590">
      <w:pPr>
        <w:tabs>
          <w:tab w:val="left" w:pos="851"/>
        </w:tabs>
        <w:ind w:left="851"/>
        <w:rPr>
          <w:sz w:val="24"/>
          <w:lang w:eastAsia="da-DK"/>
        </w:rPr>
      </w:pPr>
    </w:p>
    <w:p w:rsidR="00965590" w:rsidRPr="006F4CBE" w:rsidRDefault="00965590" w:rsidP="00F73E7B">
      <w:pPr>
        <w:keepNext/>
        <w:spacing w:after="120"/>
        <w:ind w:left="851"/>
        <w:rPr>
          <w:b/>
          <w:sz w:val="24"/>
          <w:lang w:eastAsia="da-DK"/>
        </w:rPr>
      </w:pPr>
      <w:r w:rsidRPr="006F4CBE">
        <w:rPr>
          <w:b/>
          <w:sz w:val="24"/>
          <w:lang w:eastAsia="da-DK"/>
        </w:rPr>
        <w:lastRenderedPageBreak/>
        <w:t>Voksne og ældre</w:t>
      </w:r>
    </w:p>
    <w:tbl>
      <w:tblPr>
        <w:tblW w:w="9214"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2"/>
        <w:gridCol w:w="1758"/>
        <w:gridCol w:w="1758"/>
        <w:gridCol w:w="1758"/>
        <w:gridCol w:w="2238"/>
      </w:tblGrid>
      <w:tr w:rsidR="00965590" w:rsidRPr="006F4CBE" w:rsidTr="001B336F">
        <w:trPr>
          <w:cantSplit/>
        </w:trPr>
        <w:tc>
          <w:tcPr>
            <w:tcW w:w="9214" w:type="dxa"/>
            <w:gridSpan w:val="5"/>
          </w:tcPr>
          <w:p w:rsidR="00965590" w:rsidRPr="006F4CBE" w:rsidRDefault="00965590" w:rsidP="00F73E7B">
            <w:pPr>
              <w:keepNext/>
              <w:rPr>
                <w:b/>
                <w:sz w:val="24"/>
                <w:lang w:eastAsia="da-DK"/>
              </w:rPr>
            </w:pPr>
            <w:r w:rsidRPr="006F4CBE">
              <w:rPr>
                <w:b/>
                <w:sz w:val="24"/>
                <w:lang w:eastAsia="da-DK"/>
              </w:rPr>
              <w:t xml:space="preserve">Bivirkninger rapporteret med </w:t>
            </w:r>
            <w:proofErr w:type="spellStart"/>
            <w:r w:rsidRPr="006F4CBE">
              <w:rPr>
                <w:b/>
                <w:sz w:val="24"/>
                <w:lang w:eastAsia="da-DK"/>
              </w:rPr>
              <w:t>Influvactetra</w:t>
            </w:r>
            <w:proofErr w:type="spellEnd"/>
          </w:p>
        </w:tc>
      </w:tr>
      <w:tr w:rsidR="00965590" w:rsidRPr="006F4CBE" w:rsidTr="001B336F">
        <w:trPr>
          <w:cantSplit/>
          <w:trHeight w:val="846"/>
          <w:tblHeader/>
        </w:trPr>
        <w:tc>
          <w:tcPr>
            <w:tcW w:w="1702" w:type="dxa"/>
          </w:tcPr>
          <w:p w:rsidR="00965590" w:rsidRPr="006F4CBE" w:rsidRDefault="00965590" w:rsidP="001B336F">
            <w:pPr>
              <w:keepNext/>
              <w:spacing w:before="120" w:after="120"/>
              <w:rPr>
                <w:b/>
                <w:bCs/>
                <w:sz w:val="22"/>
                <w:szCs w:val="22"/>
                <w:lang w:eastAsia="da-DK"/>
              </w:rPr>
            </w:pPr>
            <w:proofErr w:type="spellStart"/>
            <w:r w:rsidRPr="006F4CBE">
              <w:rPr>
                <w:b/>
                <w:bCs/>
                <w:sz w:val="22"/>
                <w:szCs w:val="22"/>
                <w:lang w:eastAsia="da-DK"/>
              </w:rPr>
              <w:t>MedDRA</w:t>
            </w:r>
            <w:proofErr w:type="spellEnd"/>
            <w:r w:rsidRPr="006F4CBE">
              <w:rPr>
                <w:b/>
                <w:bCs/>
                <w:sz w:val="22"/>
                <w:szCs w:val="22"/>
                <w:lang w:eastAsia="da-DK"/>
              </w:rPr>
              <w:t xml:space="preserve"> organsystem-klasse</w:t>
            </w:r>
          </w:p>
        </w:tc>
        <w:tc>
          <w:tcPr>
            <w:tcW w:w="1758" w:type="dxa"/>
          </w:tcPr>
          <w:p w:rsidR="00965590" w:rsidRPr="006F4CBE" w:rsidRDefault="00965590" w:rsidP="001B336F">
            <w:pPr>
              <w:keepNext/>
              <w:spacing w:before="120" w:after="120"/>
              <w:rPr>
                <w:b/>
                <w:bCs/>
                <w:sz w:val="22"/>
                <w:szCs w:val="22"/>
                <w:lang w:eastAsia="da-DK"/>
              </w:rPr>
            </w:pPr>
            <w:r w:rsidRPr="006F4CBE">
              <w:rPr>
                <w:b/>
                <w:bCs/>
                <w:sz w:val="22"/>
                <w:szCs w:val="22"/>
                <w:lang w:eastAsia="da-DK"/>
              </w:rPr>
              <w:t>Meget almindelig ≥1/10</w:t>
            </w:r>
          </w:p>
        </w:tc>
        <w:tc>
          <w:tcPr>
            <w:tcW w:w="1758" w:type="dxa"/>
          </w:tcPr>
          <w:p w:rsidR="00965590" w:rsidRPr="006F4CBE" w:rsidRDefault="00965590" w:rsidP="001B336F">
            <w:pPr>
              <w:keepNext/>
              <w:spacing w:before="120" w:after="120"/>
              <w:rPr>
                <w:b/>
                <w:bCs/>
                <w:sz w:val="22"/>
                <w:szCs w:val="22"/>
                <w:lang w:eastAsia="da-DK"/>
              </w:rPr>
            </w:pPr>
            <w:r w:rsidRPr="006F4CBE">
              <w:rPr>
                <w:b/>
                <w:bCs/>
                <w:sz w:val="22"/>
                <w:szCs w:val="22"/>
                <w:lang w:eastAsia="da-DK"/>
              </w:rPr>
              <w:t>Almindelig ≥1/100, &lt;1/10</w:t>
            </w:r>
          </w:p>
        </w:tc>
        <w:tc>
          <w:tcPr>
            <w:tcW w:w="1758" w:type="dxa"/>
          </w:tcPr>
          <w:p w:rsidR="00965590" w:rsidRPr="006F4CBE" w:rsidRDefault="00965590" w:rsidP="001B336F">
            <w:pPr>
              <w:keepNext/>
              <w:spacing w:before="120" w:after="120"/>
              <w:rPr>
                <w:b/>
                <w:bCs/>
                <w:sz w:val="22"/>
                <w:szCs w:val="22"/>
                <w:lang w:eastAsia="da-DK"/>
              </w:rPr>
            </w:pPr>
            <w:r w:rsidRPr="006F4CBE">
              <w:rPr>
                <w:b/>
                <w:bCs/>
                <w:sz w:val="22"/>
                <w:szCs w:val="22"/>
                <w:lang w:eastAsia="da-DK"/>
              </w:rPr>
              <w:t>Ikke almindelig ≥1/1.000, &lt;1/100</w:t>
            </w:r>
          </w:p>
        </w:tc>
        <w:tc>
          <w:tcPr>
            <w:tcW w:w="2238" w:type="dxa"/>
          </w:tcPr>
          <w:p w:rsidR="00965590" w:rsidRPr="006F4CBE" w:rsidRDefault="00965590" w:rsidP="001B336F">
            <w:pPr>
              <w:keepNext/>
              <w:spacing w:before="120" w:after="120"/>
              <w:rPr>
                <w:b/>
                <w:bCs/>
                <w:sz w:val="22"/>
                <w:szCs w:val="22"/>
                <w:lang w:eastAsia="da-DK"/>
              </w:rPr>
            </w:pPr>
            <w:r w:rsidRPr="006F4CBE">
              <w:rPr>
                <w:b/>
                <w:bCs/>
                <w:sz w:val="22"/>
                <w:szCs w:val="22"/>
                <w:lang w:eastAsia="da-DK"/>
              </w:rPr>
              <w:t xml:space="preserve">Ikke </w:t>
            </w:r>
            <w:proofErr w:type="spellStart"/>
            <w:r w:rsidRPr="006F4CBE">
              <w:rPr>
                <w:b/>
                <w:bCs/>
                <w:sz w:val="22"/>
                <w:szCs w:val="22"/>
                <w:lang w:eastAsia="da-DK"/>
              </w:rPr>
              <w:t>kendt</w:t>
            </w:r>
            <w:r w:rsidRPr="006F4CBE">
              <w:rPr>
                <w:b/>
                <w:bCs/>
                <w:sz w:val="22"/>
                <w:szCs w:val="22"/>
                <w:vertAlign w:val="superscript"/>
                <w:lang w:eastAsia="da-DK"/>
              </w:rPr>
              <w:t>a</w:t>
            </w:r>
            <w:proofErr w:type="spellEnd"/>
            <w:r w:rsidRPr="006F4CBE">
              <w:rPr>
                <w:b/>
                <w:bCs/>
                <w:sz w:val="22"/>
                <w:szCs w:val="22"/>
                <w:lang w:eastAsia="da-DK"/>
              </w:rPr>
              <w:t xml:space="preserve"> (kan ikke esti</w:t>
            </w:r>
            <w:r w:rsidRPr="006F4CBE">
              <w:rPr>
                <w:b/>
                <w:bCs/>
                <w:sz w:val="22"/>
                <w:szCs w:val="22"/>
                <w:lang w:eastAsia="da-DK"/>
              </w:rPr>
              <w:softHyphen/>
              <w:t>me</w:t>
            </w:r>
            <w:r w:rsidRPr="006F4CBE">
              <w:rPr>
                <w:b/>
                <w:bCs/>
                <w:sz w:val="22"/>
                <w:szCs w:val="22"/>
                <w:lang w:eastAsia="da-DK"/>
              </w:rPr>
              <w:softHyphen/>
              <w:t>res ud fra tilgængelige data)</w:t>
            </w:r>
          </w:p>
        </w:tc>
      </w:tr>
      <w:tr w:rsidR="00965590" w:rsidRPr="006F4CBE" w:rsidTr="001B336F">
        <w:trPr>
          <w:cantSplit/>
        </w:trPr>
        <w:tc>
          <w:tcPr>
            <w:tcW w:w="1702" w:type="dxa"/>
          </w:tcPr>
          <w:p w:rsidR="00965590" w:rsidRPr="006F4CBE" w:rsidRDefault="00965590" w:rsidP="001B336F">
            <w:pPr>
              <w:spacing w:before="40" w:after="40"/>
              <w:rPr>
                <w:bCs/>
                <w:sz w:val="22"/>
                <w:szCs w:val="22"/>
                <w:lang w:eastAsia="da-DK"/>
              </w:rPr>
            </w:pPr>
            <w:r w:rsidRPr="006F4CBE">
              <w:rPr>
                <w:bCs/>
                <w:sz w:val="22"/>
                <w:szCs w:val="22"/>
                <w:lang w:eastAsia="da-DK"/>
              </w:rPr>
              <w:t>Blod og lymfesystem</w:t>
            </w:r>
          </w:p>
        </w:tc>
        <w:tc>
          <w:tcPr>
            <w:tcW w:w="1758" w:type="dxa"/>
          </w:tcPr>
          <w:p w:rsidR="00965590" w:rsidRPr="006F4CBE" w:rsidRDefault="00965590" w:rsidP="001B336F">
            <w:pPr>
              <w:spacing w:before="40" w:after="40"/>
              <w:rPr>
                <w:sz w:val="22"/>
                <w:szCs w:val="22"/>
                <w:lang w:eastAsia="da-DK"/>
              </w:rPr>
            </w:pPr>
          </w:p>
        </w:tc>
        <w:tc>
          <w:tcPr>
            <w:tcW w:w="1758" w:type="dxa"/>
          </w:tcPr>
          <w:p w:rsidR="00965590" w:rsidRPr="006F4CBE" w:rsidRDefault="00965590" w:rsidP="001B336F">
            <w:pPr>
              <w:spacing w:before="40" w:after="40"/>
              <w:rPr>
                <w:sz w:val="22"/>
                <w:szCs w:val="22"/>
                <w:lang w:eastAsia="da-DK"/>
              </w:rPr>
            </w:pPr>
          </w:p>
        </w:tc>
        <w:tc>
          <w:tcPr>
            <w:tcW w:w="1758" w:type="dxa"/>
          </w:tcPr>
          <w:p w:rsidR="00965590" w:rsidRPr="006F4CBE" w:rsidRDefault="00965590" w:rsidP="001B336F">
            <w:pPr>
              <w:spacing w:before="40" w:after="40"/>
              <w:rPr>
                <w:sz w:val="22"/>
                <w:szCs w:val="22"/>
                <w:lang w:eastAsia="da-DK"/>
              </w:rPr>
            </w:pPr>
          </w:p>
        </w:tc>
        <w:tc>
          <w:tcPr>
            <w:tcW w:w="2238" w:type="dxa"/>
          </w:tcPr>
          <w:p w:rsidR="00965590" w:rsidRPr="006F4CBE" w:rsidRDefault="00965590" w:rsidP="001B336F">
            <w:pPr>
              <w:spacing w:before="40" w:after="40"/>
              <w:rPr>
                <w:sz w:val="22"/>
                <w:szCs w:val="22"/>
                <w:lang w:eastAsia="da-DK"/>
              </w:rPr>
            </w:pPr>
            <w:r w:rsidRPr="006F4CBE">
              <w:rPr>
                <w:sz w:val="22"/>
                <w:szCs w:val="22"/>
                <w:lang w:eastAsia="da-DK"/>
              </w:rPr>
              <w:t xml:space="preserve">Forbigående </w:t>
            </w:r>
            <w:proofErr w:type="spellStart"/>
            <w:r w:rsidRPr="006F4CBE">
              <w:rPr>
                <w:sz w:val="22"/>
                <w:szCs w:val="22"/>
                <w:lang w:eastAsia="da-DK"/>
              </w:rPr>
              <w:t>trombo</w:t>
            </w:r>
            <w:r w:rsidRPr="006F4CBE">
              <w:rPr>
                <w:sz w:val="22"/>
                <w:szCs w:val="22"/>
                <w:lang w:eastAsia="da-DK"/>
              </w:rPr>
              <w:softHyphen/>
              <w:t>cytopeni</w:t>
            </w:r>
            <w:proofErr w:type="spellEnd"/>
            <w:r w:rsidRPr="006F4CBE">
              <w:rPr>
                <w:sz w:val="22"/>
                <w:szCs w:val="22"/>
                <w:lang w:eastAsia="da-DK"/>
              </w:rPr>
              <w:t xml:space="preserve">, forbigående </w:t>
            </w:r>
            <w:proofErr w:type="spellStart"/>
            <w:r w:rsidRPr="006F4CBE">
              <w:rPr>
                <w:sz w:val="22"/>
                <w:szCs w:val="22"/>
                <w:lang w:eastAsia="da-DK"/>
              </w:rPr>
              <w:t>lymfadenopati</w:t>
            </w:r>
            <w:proofErr w:type="spellEnd"/>
            <w:r w:rsidRPr="006F4CBE">
              <w:rPr>
                <w:sz w:val="22"/>
                <w:szCs w:val="22"/>
                <w:lang w:eastAsia="da-DK"/>
              </w:rPr>
              <w:t>.</w:t>
            </w:r>
          </w:p>
        </w:tc>
      </w:tr>
      <w:tr w:rsidR="00965590" w:rsidRPr="006F4CBE" w:rsidTr="001B336F">
        <w:trPr>
          <w:cantSplit/>
        </w:trPr>
        <w:tc>
          <w:tcPr>
            <w:tcW w:w="1702" w:type="dxa"/>
          </w:tcPr>
          <w:p w:rsidR="00965590" w:rsidRPr="006F4CBE" w:rsidRDefault="00965590" w:rsidP="001B336F">
            <w:pPr>
              <w:spacing w:before="40" w:after="40"/>
              <w:rPr>
                <w:bCs/>
                <w:sz w:val="22"/>
                <w:szCs w:val="22"/>
                <w:lang w:eastAsia="da-DK"/>
              </w:rPr>
            </w:pPr>
            <w:r w:rsidRPr="006F4CBE">
              <w:rPr>
                <w:bCs/>
                <w:sz w:val="22"/>
                <w:szCs w:val="22"/>
                <w:lang w:eastAsia="da-DK"/>
              </w:rPr>
              <w:t>Immunsystemet</w:t>
            </w:r>
          </w:p>
        </w:tc>
        <w:tc>
          <w:tcPr>
            <w:tcW w:w="1758" w:type="dxa"/>
          </w:tcPr>
          <w:p w:rsidR="00965590" w:rsidRPr="006F4CBE" w:rsidRDefault="00965590" w:rsidP="001B336F">
            <w:pPr>
              <w:spacing w:before="40" w:after="40"/>
              <w:rPr>
                <w:sz w:val="22"/>
                <w:szCs w:val="22"/>
                <w:lang w:eastAsia="da-DK"/>
              </w:rPr>
            </w:pPr>
          </w:p>
        </w:tc>
        <w:tc>
          <w:tcPr>
            <w:tcW w:w="1758" w:type="dxa"/>
          </w:tcPr>
          <w:p w:rsidR="00965590" w:rsidRPr="006F4CBE" w:rsidRDefault="00965590" w:rsidP="001B336F">
            <w:pPr>
              <w:spacing w:before="40" w:after="40"/>
              <w:rPr>
                <w:sz w:val="22"/>
                <w:szCs w:val="22"/>
                <w:lang w:eastAsia="da-DK"/>
              </w:rPr>
            </w:pPr>
          </w:p>
        </w:tc>
        <w:tc>
          <w:tcPr>
            <w:tcW w:w="1758" w:type="dxa"/>
          </w:tcPr>
          <w:p w:rsidR="00965590" w:rsidRPr="006F4CBE" w:rsidRDefault="00965590" w:rsidP="001B336F">
            <w:pPr>
              <w:spacing w:before="40" w:after="40"/>
              <w:rPr>
                <w:sz w:val="22"/>
                <w:szCs w:val="22"/>
                <w:lang w:eastAsia="da-DK"/>
              </w:rPr>
            </w:pPr>
          </w:p>
        </w:tc>
        <w:tc>
          <w:tcPr>
            <w:tcW w:w="2238" w:type="dxa"/>
          </w:tcPr>
          <w:p w:rsidR="00965590" w:rsidRPr="006F4CBE" w:rsidRDefault="00965590" w:rsidP="001B336F">
            <w:pPr>
              <w:spacing w:before="40" w:after="40"/>
              <w:rPr>
                <w:sz w:val="22"/>
                <w:szCs w:val="22"/>
                <w:lang w:eastAsia="da-DK"/>
              </w:rPr>
            </w:pPr>
            <w:r w:rsidRPr="006F4CBE">
              <w:rPr>
                <w:sz w:val="22"/>
                <w:szCs w:val="22"/>
                <w:lang w:eastAsia="da-DK"/>
              </w:rPr>
              <w:t xml:space="preserve">Allergiske reaktioner, der i sjældne tilfælde har ført til </w:t>
            </w:r>
            <w:proofErr w:type="spellStart"/>
            <w:r w:rsidRPr="006F4CBE">
              <w:rPr>
                <w:sz w:val="22"/>
                <w:szCs w:val="22"/>
                <w:lang w:eastAsia="da-DK"/>
              </w:rPr>
              <w:t>shock</w:t>
            </w:r>
            <w:proofErr w:type="spellEnd"/>
            <w:r w:rsidRPr="006F4CBE">
              <w:rPr>
                <w:sz w:val="22"/>
                <w:szCs w:val="22"/>
                <w:lang w:eastAsia="da-DK"/>
              </w:rPr>
              <w:t xml:space="preserve">, </w:t>
            </w:r>
            <w:proofErr w:type="spellStart"/>
            <w:r w:rsidRPr="006F4CBE">
              <w:rPr>
                <w:sz w:val="22"/>
                <w:szCs w:val="22"/>
                <w:lang w:eastAsia="da-DK"/>
              </w:rPr>
              <w:t>angioødem</w:t>
            </w:r>
            <w:proofErr w:type="spellEnd"/>
            <w:r w:rsidRPr="006F4CBE">
              <w:rPr>
                <w:sz w:val="22"/>
                <w:szCs w:val="22"/>
                <w:lang w:eastAsia="da-DK"/>
              </w:rPr>
              <w:t>.</w:t>
            </w:r>
          </w:p>
        </w:tc>
      </w:tr>
      <w:tr w:rsidR="00965590" w:rsidRPr="006F4CBE" w:rsidTr="001B336F">
        <w:trPr>
          <w:cantSplit/>
        </w:trPr>
        <w:tc>
          <w:tcPr>
            <w:tcW w:w="1702" w:type="dxa"/>
          </w:tcPr>
          <w:p w:rsidR="00965590" w:rsidRPr="006F4CBE" w:rsidRDefault="00965590" w:rsidP="001B336F">
            <w:pPr>
              <w:spacing w:before="40" w:after="40"/>
              <w:rPr>
                <w:bCs/>
                <w:sz w:val="22"/>
                <w:szCs w:val="22"/>
                <w:lang w:eastAsia="da-DK"/>
              </w:rPr>
            </w:pPr>
            <w:r w:rsidRPr="006F4CBE">
              <w:rPr>
                <w:bCs/>
                <w:sz w:val="22"/>
                <w:szCs w:val="22"/>
                <w:lang w:eastAsia="da-DK"/>
              </w:rPr>
              <w:t>Nervesystemet</w:t>
            </w:r>
          </w:p>
        </w:tc>
        <w:tc>
          <w:tcPr>
            <w:tcW w:w="1758" w:type="dxa"/>
          </w:tcPr>
          <w:p w:rsidR="00965590" w:rsidRPr="006F4CBE" w:rsidRDefault="00965590" w:rsidP="001B336F">
            <w:pPr>
              <w:spacing w:before="40" w:after="40"/>
              <w:rPr>
                <w:sz w:val="22"/>
                <w:szCs w:val="22"/>
                <w:lang w:eastAsia="da-DK"/>
              </w:rPr>
            </w:pPr>
            <w:proofErr w:type="spellStart"/>
            <w:r w:rsidRPr="006F4CBE">
              <w:rPr>
                <w:sz w:val="22"/>
                <w:szCs w:val="22"/>
                <w:lang w:eastAsia="da-DK"/>
              </w:rPr>
              <w:t>Hovedpine</w:t>
            </w:r>
            <w:r w:rsidRPr="006F4CBE">
              <w:rPr>
                <w:sz w:val="22"/>
                <w:szCs w:val="22"/>
                <w:vertAlign w:val="superscript"/>
                <w:lang w:eastAsia="da-DK"/>
              </w:rPr>
              <w:t>b</w:t>
            </w:r>
            <w:proofErr w:type="spellEnd"/>
          </w:p>
        </w:tc>
        <w:tc>
          <w:tcPr>
            <w:tcW w:w="1758" w:type="dxa"/>
          </w:tcPr>
          <w:p w:rsidR="00965590" w:rsidRPr="006F4CBE" w:rsidRDefault="00965590" w:rsidP="001B336F">
            <w:pPr>
              <w:spacing w:before="40" w:after="40"/>
              <w:rPr>
                <w:sz w:val="22"/>
                <w:szCs w:val="22"/>
                <w:lang w:eastAsia="da-DK"/>
              </w:rPr>
            </w:pPr>
          </w:p>
        </w:tc>
        <w:tc>
          <w:tcPr>
            <w:tcW w:w="1758" w:type="dxa"/>
          </w:tcPr>
          <w:p w:rsidR="00965590" w:rsidRPr="006F4CBE" w:rsidRDefault="00965590" w:rsidP="001B336F">
            <w:pPr>
              <w:spacing w:before="40" w:after="40"/>
              <w:rPr>
                <w:sz w:val="22"/>
                <w:szCs w:val="22"/>
                <w:lang w:eastAsia="da-DK"/>
              </w:rPr>
            </w:pPr>
          </w:p>
        </w:tc>
        <w:tc>
          <w:tcPr>
            <w:tcW w:w="2238" w:type="dxa"/>
          </w:tcPr>
          <w:p w:rsidR="00965590" w:rsidRPr="006F4CBE" w:rsidRDefault="00965590" w:rsidP="001B336F">
            <w:pPr>
              <w:spacing w:before="40" w:after="40"/>
              <w:rPr>
                <w:sz w:val="22"/>
                <w:szCs w:val="22"/>
                <w:lang w:eastAsia="da-DK"/>
              </w:rPr>
            </w:pPr>
            <w:r w:rsidRPr="006F4CBE">
              <w:rPr>
                <w:sz w:val="22"/>
                <w:szCs w:val="22"/>
                <w:lang w:eastAsia="da-DK"/>
              </w:rPr>
              <w:t xml:space="preserve">Neuralgi, </w:t>
            </w:r>
            <w:proofErr w:type="spellStart"/>
            <w:r w:rsidRPr="006F4CBE">
              <w:rPr>
                <w:sz w:val="22"/>
                <w:szCs w:val="22"/>
                <w:lang w:eastAsia="da-DK"/>
              </w:rPr>
              <w:t>paræsthesi</w:t>
            </w:r>
            <w:proofErr w:type="spellEnd"/>
            <w:r w:rsidRPr="006F4CBE">
              <w:rPr>
                <w:sz w:val="22"/>
                <w:szCs w:val="22"/>
                <w:lang w:eastAsia="da-DK"/>
              </w:rPr>
              <w:t>, feberkramper, neurolo</w:t>
            </w:r>
            <w:r w:rsidRPr="006F4CBE">
              <w:rPr>
                <w:sz w:val="22"/>
                <w:szCs w:val="22"/>
                <w:lang w:eastAsia="da-DK"/>
              </w:rPr>
              <w:softHyphen/>
              <w:t>giske for</w:t>
            </w:r>
            <w:r w:rsidRPr="006F4CBE">
              <w:rPr>
                <w:sz w:val="22"/>
                <w:szCs w:val="22"/>
                <w:lang w:eastAsia="da-DK"/>
              </w:rPr>
              <w:softHyphen/>
              <w:t>styr</w:t>
            </w:r>
            <w:r w:rsidRPr="006F4CBE">
              <w:rPr>
                <w:sz w:val="22"/>
                <w:szCs w:val="22"/>
                <w:lang w:eastAsia="da-DK"/>
              </w:rPr>
              <w:softHyphen/>
              <w:t xml:space="preserve">relser så som </w:t>
            </w:r>
            <w:proofErr w:type="spellStart"/>
            <w:r w:rsidRPr="006F4CBE">
              <w:rPr>
                <w:sz w:val="22"/>
                <w:szCs w:val="22"/>
                <w:lang w:eastAsia="da-DK"/>
              </w:rPr>
              <w:t>ence</w:t>
            </w:r>
            <w:r w:rsidRPr="006F4CBE">
              <w:rPr>
                <w:sz w:val="22"/>
                <w:szCs w:val="22"/>
                <w:lang w:eastAsia="da-DK"/>
              </w:rPr>
              <w:softHyphen/>
              <w:t>falo</w:t>
            </w:r>
            <w:r w:rsidRPr="006F4CBE">
              <w:rPr>
                <w:sz w:val="22"/>
                <w:szCs w:val="22"/>
                <w:lang w:eastAsia="da-DK"/>
              </w:rPr>
              <w:softHyphen/>
              <w:t>myelitis</w:t>
            </w:r>
            <w:proofErr w:type="spellEnd"/>
            <w:r w:rsidRPr="006F4CBE">
              <w:rPr>
                <w:sz w:val="22"/>
                <w:szCs w:val="22"/>
                <w:lang w:eastAsia="da-DK"/>
              </w:rPr>
              <w:t>, nerve</w:t>
            </w:r>
            <w:r w:rsidRPr="006F4CBE">
              <w:rPr>
                <w:sz w:val="22"/>
                <w:szCs w:val="22"/>
                <w:lang w:eastAsia="da-DK"/>
              </w:rPr>
              <w:softHyphen/>
              <w:t>betæn</w:t>
            </w:r>
            <w:r w:rsidRPr="006F4CBE">
              <w:rPr>
                <w:sz w:val="22"/>
                <w:szCs w:val="22"/>
                <w:lang w:eastAsia="da-DK"/>
              </w:rPr>
              <w:softHyphen/>
              <w:t xml:space="preserve">delse og </w:t>
            </w:r>
            <w:proofErr w:type="spellStart"/>
            <w:r w:rsidRPr="006F4CBE">
              <w:rPr>
                <w:sz w:val="22"/>
                <w:szCs w:val="22"/>
                <w:lang w:eastAsia="da-DK"/>
              </w:rPr>
              <w:t>Guillain</w:t>
            </w:r>
            <w:proofErr w:type="spellEnd"/>
            <w:r w:rsidRPr="006F4CBE">
              <w:rPr>
                <w:sz w:val="22"/>
                <w:szCs w:val="22"/>
                <w:lang w:eastAsia="da-DK"/>
              </w:rPr>
              <w:t xml:space="preserve"> </w:t>
            </w:r>
            <w:proofErr w:type="spellStart"/>
            <w:r w:rsidRPr="006F4CBE">
              <w:rPr>
                <w:sz w:val="22"/>
                <w:szCs w:val="22"/>
                <w:lang w:eastAsia="da-DK"/>
              </w:rPr>
              <w:t>Barré</w:t>
            </w:r>
            <w:proofErr w:type="spellEnd"/>
            <w:r w:rsidRPr="006F4CBE">
              <w:rPr>
                <w:sz w:val="22"/>
                <w:szCs w:val="22"/>
                <w:lang w:eastAsia="da-DK"/>
              </w:rPr>
              <w:t xml:space="preserve"> syndrom.</w:t>
            </w:r>
          </w:p>
        </w:tc>
      </w:tr>
      <w:tr w:rsidR="00965590" w:rsidRPr="006F4CBE" w:rsidTr="001B336F">
        <w:trPr>
          <w:cantSplit/>
        </w:trPr>
        <w:tc>
          <w:tcPr>
            <w:tcW w:w="1702" w:type="dxa"/>
          </w:tcPr>
          <w:p w:rsidR="00965590" w:rsidRPr="006F4CBE" w:rsidRDefault="00965590" w:rsidP="001B336F">
            <w:pPr>
              <w:spacing w:before="40" w:after="40"/>
              <w:rPr>
                <w:bCs/>
                <w:sz w:val="22"/>
                <w:szCs w:val="22"/>
                <w:lang w:eastAsia="da-DK"/>
              </w:rPr>
            </w:pPr>
            <w:proofErr w:type="spellStart"/>
            <w:r w:rsidRPr="006F4CBE">
              <w:rPr>
                <w:bCs/>
                <w:sz w:val="22"/>
                <w:szCs w:val="22"/>
                <w:lang w:eastAsia="da-DK"/>
              </w:rPr>
              <w:t>Vaskulære</w:t>
            </w:r>
            <w:proofErr w:type="spellEnd"/>
            <w:r w:rsidRPr="006F4CBE">
              <w:rPr>
                <w:bCs/>
                <w:sz w:val="22"/>
                <w:szCs w:val="22"/>
                <w:lang w:eastAsia="da-DK"/>
              </w:rPr>
              <w:t xml:space="preserve"> sygdomme</w:t>
            </w:r>
          </w:p>
        </w:tc>
        <w:tc>
          <w:tcPr>
            <w:tcW w:w="1758" w:type="dxa"/>
          </w:tcPr>
          <w:p w:rsidR="00965590" w:rsidRPr="006F4CBE" w:rsidRDefault="00965590" w:rsidP="001B336F">
            <w:pPr>
              <w:spacing w:before="40" w:after="40"/>
              <w:rPr>
                <w:sz w:val="22"/>
                <w:szCs w:val="22"/>
                <w:lang w:eastAsia="da-DK"/>
              </w:rPr>
            </w:pPr>
          </w:p>
        </w:tc>
        <w:tc>
          <w:tcPr>
            <w:tcW w:w="1758" w:type="dxa"/>
          </w:tcPr>
          <w:p w:rsidR="00965590" w:rsidRPr="006F4CBE" w:rsidRDefault="00965590" w:rsidP="001B336F">
            <w:pPr>
              <w:spacing w:before="40" w:after="40"/>
              <w:rPr>
                <w:sz w:val="22"/>
                <w:szCs w:val="22"/>
                <w:lang w:eastAsia="da-DK"/>
              </w:rPr>
            </w:pPr>
          </w:p>
        </w:tc>
        <w:tc>
          <w:tcPr>
            <w:tcW w:w="1758" w:type="dxa"/>
          </w:tcPr>
          <w:p w:rsidR="00965590" w:rsidRPr="006F4CBE" w:rsidRDefault="00965590" w:rsidP="001B336F">
            <w:pPr>
              <w:spacing w:before="40" w:after="40"/>
              <w:rPr>
                <w:sz w:val="22"/>
                <w:szCs w:val="22"/>
                <w:lang w:eastAsia="da-DK"/>
              </w:rPr>
            </w:pPr>
          </w:p>
        </w:tc>
        <w:tc>
          <w:tcPr>
            <w:tcW w:w="2238" w:type="dxa"/>
          </w:tcPr>
          <w:p w:rsidR="00965590" w:rsidRPr="006F4CBE" w:rsidRDefault="00965590" w:rsidP="001B336F">
            <w:pPr>
              <w:spacing w:before="40" w:after="40"/>
              <w:rPr>
                <w:sz w:val="22"/>
                <w:szCs w:val="22"/>
                <w:lang w:eastAsia="da-DK"/>
              </w:rPr>
            </w:pPr>
            <w:proofErr w:type="spellStart"/>
            <w:r w:rsidRPr="006F4CBE">
              <w:rPr>
                <w:sz w:val="22"/>
                <w:szCs w:val="22"/>
                <w:lang w:eastAsia="da-DK"/>
              </w:rPr>
              <w:t>Vaskulitis</w:t>
            </w:r>
            <w:proofErr w:type="spellEnd"/>
            <w:r w:rsidRPr="006F4CBE">
              <w:rPr>
                <w:sz w:val="22"/>
                <w:szCs w:val="22"/>
                <w:lang w:eastAsia="da-DK"/>
              </w:rPr>
              <w:t xml:space="preserve">, i meget sjældne tilfælde med forbigående </w:t>
            </w:r>
            <w:proofErr w:type="spellStart"/>
            <w:r w:rsidRPr="006F4CBE">
              <w:rPr>
                <w:sz w:val="22"/>
                <w:szCs w:val="22"/>
                <w:lang w:eastAsia="da-DK"/>
              </w:rPr>
              <w:t>renal</w:t>
            </w:r>
            <w:proofErr w:type="spellEnd"/>
            <w:r w:rsidRPr="006F4CBE">
              <w:rPr>
                <w:sz w:val="22"/>
                <w:szCs w:val="22"/>
                <w:lang w:eastAsia="da-DK"/>
              </w:rPr>
              <w:t xml:space="preserve"> påvirkning.</w:t>
            </w:r>
          </w:p>
        </w:tc>
      </w:tr>
      <w:tr w:rsidR="00965590" w:rsidRPr="006F4CBE" w:rsidTr="001B336F">
        <w:trPr>
          <w:cantSplit/>
        </w:trPr>
        <w:tc>
          <w:tcPr>
            <w:tcW w:w="1702" w:type="dxa"/>
          </w:tcPr>
          <w:p w:rsidR="00965590" w:rsidRPr="006F4CBE" w:rsidRDefault="00965590" w:rsidP="001B336F">
            <w:pPr>
              <w:spacing w:before="40" w:after="40"/>
              <w:rPr>
                <w:bCs/>
                <w:sz w:val="22"/>
                <w:szCs w:val="22"/>
                <w:lang w:eastAsia="da-DK"/>
              </w:rPr>
            </w:pPr>
            <w:r w:rsidRPr="006F4CBE">
              <w:rPr>
                <w:bCs/>
                <w:sz w:val="22"/>
                <w:szCs w:val="22"/>
                <w:lang w:eastAsia="da-DK"/>
              </w:rPr>
              <w:t>Hud og subkutane væv</w:t>
            </w:r>
          </w:p>
        </w:tc>
        <w:tc>
          <w:tcPr>
            <w:tcW w:w="1758" w:type="dxa"/>
          </w:tcPr>
          <w:p w:rsidR="00965590" w:rsidRPr="006F4CBE" w:rsidRDefault="00965590" w:rsidP="001B336F">
            <w:pPr>
              <w:spacing w:before="40" w:after="40"/>
              <w:rPr>
                <w:sz w:val="22"/>
                <w:szCs w:val="22"/>
                <w:lang w:eastAsia="da-DK"/>
              </w:rPr>
            </w:pPr>
          </w:p>
        </w:tc>
        <w:tc>
          <w:tcPr>
            <w:tcW w:w="1758" w:type="dxa"/>
          </w:tcPr>
          <w:p w:rsidR="00965590" w:rsidRPr="006F4CBE" w:rsidRDefault="00965590" w:rsidP="001B336F">
            <w:pPr>
              <w:spacing w:before="40" w:after="40"/>
              <w:rPr>
                <w:sz w:val="22"/>
                <w:szCs w:val="22"/>
                <w:lang w:eastAsia="da-DK"/>
              </w:rPr>
            </w:pPr>
            <w:r w:rsidRPr="006F4CBE">
              <w:rPr>
                <w:sz w:val="22"/>
                <w:szCs w:val="22"/>
                <w:lang w:eastAsia="da-DK"/>
              </w:rPr>
              <w:t>Svedeture</w:t>
            </w:r>
          </w:p>
        </w:tc>
        <w:tc>
          <w:tcPr>
            <w:tcW w:w="1758" w:type="dxa"/>
          </w:tcPr>
          <w:p w:rsidR="00965590" w:rsidRPr="006F4CBE" w:rsidRDefault="00965590" w:rsidP="001B336F">
            <w:pPr>
              <w:spacing w:before="40" w:after="40"/>
              <w:rPr>
                <w:sz w:val="22"/>
                <w:szCs w:val="22"/>
                <w:lang w:eastAsia="da-DK"/>
              </w:rPr>
            </w:pPr>
          </w:p>
        </w:tc>
        <w:tc>
          <w:tcPr>
            <w:tcW w:w="2238" w:type="dxa"/>
          </w:tcPr>
          <w:p w:rsidR="00965590" w:rsidRPr="006F4CBE" w:rsidRDefault="00965590" w:rsidP="001B336F">
            <w:pPr>
              <w:spacing w:before="40" w:after="40"/>
              <w:rPr>
                <w:sz w:val="22"/>
                <w:szCs w:val="22"/>
                <w:lang w:eastAsia="da-DK"/>
              </w:rPr>
            </w:pPr>
            <w:r w:rsidRPr="006F4CBE">
              <w:rPr>
                <w:sz w:val="22"/>
                <w:szCs w:val="22"/>
                <w:lang w:eastAsia="da-DK"/>
              </w:rPr>
              <w:t>Generaliserede hud</w:t>
            </w:r>
            <w:r w:rsidRPr="006F4CBE">
              <w:rPr>
                <w:sz w:val="22"/>
                <w:szCs w:val="22"/>
                <w:lang w:eastAsia="da-DK"/>
              </w:rPr>
              <w:softHyphen/>
              <w:t>reaktioner omfattende kløe, nældefeber eller uspecifikt udslæt.</w:t>
            </w:r>
          </w:p>
        </w:tc>
      </w:tr>
      <w:tr w:rsidR="00965590" w:rsidRPr="006F4CBE" w:rsidTr="001B336F">
        <w:trPr>
          <w:cantSplit/>
        </w:trPr>
        <w:tc>
          <w:tcPr>
            <w:tcW w:w="1702" w:type="dxa"/>
          </w:tcPr>
          <w:p w:rsidR="00965590" w:rsidRPr="006F4CBE" w:rsidRDefault="00965590" w:rsidP="001B336F">
            <w:pPr>
              <w:spacing w:before="40" w:after="40"/>
              <w:rPr>
                <w:bCs/>
                <w:sz w:val="22"/>
                <w:szCs w:val="22"/>
                <w:lang w:eastAsia="da-DK"/>
              </w:rPr>
            </w:pPr>
            <w:r w:rsidRPr="006F4CBE">
              <w:rPr>
                <w:bCs/>
                <w:sz w:val="22"/>
                <w:szCs w:val="22"/>
                <w:lang w:eastAsia="da-DK"/>
              </w:rPr>
              <w:t>Knogler, led, muskler og bindevæv</w:t>
            </w:r>
          </w:p>
        </w:tc>
        <w:tc>
          <w:tcPr>
            <w:tcW w:w="1758" w:type="dxa"/>
          </w:tcPr>
          <w:p w:rsidR="00965590" w:rsidRPr="006F4CBE" w:rsidRDefault="00965590" w:rsidP="001B336F">
            <w:pPr>
              <w:spacing w:before="40" w:after="40"/>
              <w:rPr>
                <w:sz w:val="22"/>
                <w:szCs w:val="22"/>
                <w:lang w:eastAsia="da-DK"/>
              </w:rPr>
            </w:pPr>
          </w:p>
        </w:tc>
        <w:tc>
          <w:tcPr>
            <w:tcW w:w="1758" w:type="dxa"/>
          </w:tcPr>
          <w:p w:rsidR="00965590" w:rsidRPr="006F4CBE" w:rsidRDefault="00965590" w:rsidP="001B336F">
            <w:pPr>
              <w:spacing w:before="40" w:after="40"/>
              <w:rPr>
                <w:sz w:val="22"/>
                <w:szCs w:val="22"/>
                <w:lang w:eastAsia="da-DK"/>
              </w:rPr>
            </w:pPr>
            <w:r w:rsidRPr="006F4CBE">
              <w:rPr>
                <w:sz w:val="22"/>
                <w:szCs w:val="22"/>
                <w:lang w:eastAsia="da-DK"/>
              </w:rPr>
              <w:t xml:space="preserve">Myalgi, </w:t>
            </w:r>
            <w:proofErr w:type="spellStart"/>
            <w:r w:rsidRPr="006F4CBE">
              <w:rPr>
                <w:sz w:val="22"/>
                <w:szCs w:val="22"/>
                <w:lang w:eastAsia="da-DK"/>
              </w:rPr>
              <w:t>artralgi</w:t>
            </w:r>
            <w:proofErr w:type="spellEnd"/>
          </w:p>
        </w:tc>
        <w:tc>
          <w:tcPr>
            <w:tcW w:w="1758" w:type="dxa"/>
          </w:tcPr>
          <w:p w:rsidR="00965590" w:rsidRPr="006F4CBE" w:rsidRDefault="00965590" w:rsidP="001B336F">
            <w:pPr>
              <w:spacing w:before="40" w:after="40"/>
              <w:rPr>
                <w:sz w:val="22"/>
                <w:szCs w:val="22"/>
                <w:lang w:eastAsia="da-DK"/>
              </w:rPr>
            </w:pPr>
          </w:p>
        </w:tc>
        <w:tc>
          <w:tcPr>
            <w:tcW w:w="2238" w:type="dxa"/>
          </w:tcPr>
          <w:p w:rsidR="00965590" w:rsidRPr="006F4CBE" w:rsidRDefault="00965590" w:rsidP="001B336F">
            <w:pPr>
              <w:spacing w:before="40" w:after="40"/>
              <w:rPr>
                <w:sz w:val="22"/>
                <w:szCs w:val="22"/>
                <w:lang w:eastAsia="da-DK"/>
              </w:rPr>
            </w:pPr>
          </w:p>
        </w:tc>
      </w:tr>
      <w:tr w:rsidR="00965590" w:rsidRPr="006F4CBE" w:rsidTr="001B336F">
        <w:trPr>
          <w:cantSplit/>
        </w:trPr>
        <w:tc>
          <w:tcPr>
            <w:tcW w:w="1702" w:type="dxa"/>
          </w:tcPr>
          <w:p w:rsidR="00965590" w:rsidRPr="006F4CBE" w:rsidRDefault="00965590" w:rsidP="001B336F">
            <w:pPr>
              <w:spacing w:before="40" w:after="40"/>
              <w:rPr>
                <w:bCs/>
                <w:sz w:val="22"/>
                <w:szCs w:val="22"/>
                <w:lang w:eastAsia="da-DK"/>
              </w:rPr>
            </w:pPr>
            <w:r w:rsidRPr="006F4CBE">
              <w:rPr>
                <w:bCs/>
                <w:sz w:val="22"/>
                <w:szCs w:val="22"/>
                <w:lang w:eastAsia="da-DK"/>
              </w:rPr>
              <w:t>Almene symptomer og reaktion er på administrations</w:t>
            </w:r>
            <w:r w:rsidRPr="006F4CBE">
              <w:rPr>
                <w:bCs/>
                <w:sz w:val="22"/>
                <w:szCs w:val="22"/>
                <w:lang w:eastAsia="da-DK"/>
              </w:rPr>
              <w:softHyphen/>
              <w:t>stedet</w:t>
            </w:r>
          </w:p>
        </w:tc>
        <w:tc>
          <w:tcPr>
            <w:tcW w:w="1758" w:type="dxa"/>
          </w:tcPr>
          <w:p w:rsidR="00965590" w:rsidRPr="006F4CBE" w:rsidRDefault="00965590" w:rsidP="001B336F">
            <w:pPr>
              <w:spacing w:before="40" w:after="40"/>
              <w:rPr>
                <w:sz w:val="22"/>
                <w:szCs w:val="22"/>
                <w:lang w:eastAsia="da-DK"/>
              </w:rPr>
            </w:pPr>
            <w:r w:rsidRPr="006F4CBE">
              <w:rPr>
                <w:sz w:val="22"/>
                <w:szCs w:val="22"/>
                <w:lang w:eastAsia="da-DK"/>
              </w:rPr>
              <w:t>Træthed</w:t>
            </w:r>
          </w:p>
          <w:p w:rsidR="00965590" w:rsidRPr="006F4CBE" w:rsidRDefault="00965590" w:rsidP="001B336F">
            <w:pPr>
              <w:spacing w:before="40" w:after="40"/>
              <w:rPr>
                <w:sz w:val="22"/>
                <w:szCs w:val="22"/>
                <w:lang w:eastAsia="da-DK"/>
              </w:rPr>
            </w:pPr>
            <w:r w:rsidRPr="006F4CBE">
              <w:rPr>
                <w:sz w:val="22"/>
                <w:szCs w:val="22"/>
                <w:lang w:eastAsia="da-DK"/>
              </w:rPr>
              <w:t>Lokale reaktioner: Smerter</w:t>
            </w:r>
          </w:p>
        </w:tc>
        <w:tc>
          <w:tcPr>
            <w:tcW w:w="1758" w:type="dxa"/>
          </w:tcPr>
          <w:p w:rsidR="00965590" w:rsidRPr="006F4CBE" w:rsidRDefault="00965590" w:rsidP="001B336F">
            <w:pPr>
              <w:spacing w:before="40" w:after="40"/>
              <w:rPr>
                <w:sz w:val="22"/>
                <w:szCs w:val="22"/>
                <w:lang w:eastAsia="da-DK"/>
              </w:rPr>
            </w:pPr>
            <w:r w:rsidRPr="006F4CBE">
              <w:rPr>
                <w:sz w:val="22"/>
                <w:szCs w:val="22"/>
                <w:lang w:eastAsia="da-DK"/>
              </w:rPr>
              <w:t>Utilpashed, kulde</w:t>
            </w:r>
            <w:r w:rsidRPr="006F4CBE">
              <w:rPr>
                <w:sz w:val="22"/>
                <w:szCs w:val="22"/>
                <w:lang w:eastAsia="da-DK"/>
              </w:rPr>
              <w:softHyphen/>
              <w:t>rystelser. Lokale reak</w:t>
            </w:r>
            <w:r w:rsidRPr="006F4CBE">
              <w:rPr>
                <w:sz w:val="22"/>
                <w:szCs w:val="22"/>
                <w:lang w:eastAsia="da-DK"/>
              </w:rPr>
              <w:softHyphen/>
              <w:t xml:space="preserve">tioner: Rødme, hævelse, blodudtrædning, </w:t>
            </w:r>
            <w:proofErr w:type="spellStart"/>
            <w:r w:rsidRPr="006F4CBE">
              <w:rPr>
                <w:sz w:val="22"/>
                <w:szCs w:val="22"/>
                <w:lang w:eastAsia="da-DK"/>
              </w:rPr>
              <w:t>induration</w:t>
            </w:r>
            <w:proofErr w:type="spellEnd"/>
          </w:p>
        </w:tc>
        <w:tc>
          <w:tcPr>
            <w:tcW w:w="1758" w:type="dxa"/>
          </w:tcPr>
          <w:p w:rsidR="00965590" w:rsidRPr="006F4CBE" w:rsidRDefault="00965590" w:rsidP="001B336F">
            <w:pPr>
              <w:spacing w:before="40" w:after="40"/>
              <w:rPr>
                <w:sz w:val="22"/>
                <w:szCs w:val="22"/>
                <w:lang w:eastAsia="da-DK"/>
              </w:rPr>
            </w:pPr>
            <w:r w:rsidRPr="006F4CBE">
              <w:rPr>
                <w:sz w:val="22"/>
                <w:szCs w:val="22"/>
                <w:lang w:eastAsia="da-DK"/>
              </w:rPr>
              <w:t>Feber</w:t>
            </w:r>
          </w:p>
        </w:tc>
        <w:tc>
          <w:tcPr>
            <w:tcW w:w="2238" w:type="dxa"/>
          </w:tcPr>
          <w:p w:rsidR="00965590" w:rsidRPr="006F4CBE" w:rsidRDefault="00965590" w:rsidP="001B336F">
            <w:pPr>
              <w:spacing w:before="40" w:after="40"/>
              <w:rPr>
                <w:sz w:val="22"/>
                <w:szCs w:val="22"/>
                <w:lang w:eastAsia="da-DK"/>
              </w:rPr>
            </w:pPr>
          </w:p>
        </w:tc>
      </w:tr>
      <w:tr w:rsidR="00965590" w:rsidRPr="006F4CBE" w:rsidTr="001B336F">
        <w:trPr>
          <w:cantSplit/>
        </w:trPr>
        <w:tc>
          <w:tcPr>
            <w:tcW w:w="9214" w:type="dxa"/>
            <w:gridSpan w:val="5"/>
          </w:tcPr>
          <w:p w:rsidR="00965590" w:rsidRPr="006F4CBE" w:rsidRDefault="00965590" w:rsidP="001B336F">
            <w:pPr>
              <w:ind w:left="183" w:hanging="183"/>
              <w:rPr>
                <w:sz w:val="22"/>
                <w:lang w:eastAsia="da-DK"/>
              </w:rPr>
            </w:pPr>
            <w:r w:rsidRPr="006F4CBE">
              <w:rPr>
                <w:sz w:val="22"/>
                <w:vertAlign w:val="superscript"/>
                <w:lang w:eastAsia="da-DK"/>
              </w:rPr>
              <w:t>a</w:t>
            </w:r>
            <w:r w:rsidRPr="006F4CBE">
              <w:rPr>
                <w:sz w:val="22"/>
                <w:lang w:eastAsia="da-DK"/>
              </w:rPr>
              <w:t xml:space="preserve"> </w:t>
            </w:r>
            <w:r w:rsidRPr="006F4CBE">
              <w:rPr>
                <w:sz w:val="24"/>
                <w:lang w:eastAsia="da-DK"/>
              </w:rPr>
              <w:tab/>
            </w:r>
            <w:r w:rsidRPr="006F4CBE">
              <w:rPr>
                <w:sz w:val="22"/>
                <w:lang w:eastAsia="da-DK"/>
              </w:rPr>
              <w:t>Da disse reaktioner rapporteres frivilligt fra en population af usikker størrelse, er det ikke muligt at estimere deres frekvens med sikkerhed eller etablere en årsagssammenhæng med lægemiddel</w:t>
            </w:r>
            <w:r w:rsidRPr="006F4CBE">
              <w:rPr>
                <w:sz w:val="22"/>
                <w:lang w:eastAsia="da-DK"/>
              </w:rPr>
              <w:softHyphen/>
              <w:t>eksponeringen.</w:t>
            </w:r>
          </w:p>
          <w:p w:rsidR="00965590" w:rsidRPr="006F4CBE" w:rsidRDefault="00965590" w:rsidP="001B336F">
            <w:pPr>
              <w:ind w:left="183" w:hanging="183"/>
              <w:rPr>
                <w:sz w:val="24"/>
                <w:lang w:eastAsia="da-DK"/>
              </w:rPr>
            </w:pPr>
            <w:r w:rsidRPr="006F4CBE">
              <w:rPr>
                <w:sz w:val="22"/>
                <w:vertAlign w:val="superscript"/>
                <w:lang w:eastAsia="da-DK"/>
              </w:rPr>
              <w:t>b</w:t>
            </w:r>
            <w:r w:rsidRPr="006F4CBE">
              <w:rPr>
                <w:sz w:val="22"/>
                <w:lang w:eastAsia="da-DK"/>
              </w:rPr>
              <w:t xml:space="preserve"> </w:t>
            </w:r>
            <w:r w:rsidRPr="006F4CBE">
              <w:rPr>
                <w:sz w:val="24"/>
                <w:lang w:eastAsia="da-DK"/>
              </w:rPr>
              <w:tab/>
            </w:r>
            <w:r w:rsidRPr="006F4CBE">
              <w:rPr>
                <w:sz w:val="22"/>
                <w:lang w:eastAsia="da-DK"/>
              </w:rPr>
              <w:t>Hos ældre voksne (≥ 61 år), rapporteret som almindelig.</w:t>
            </w:r>
          </w:p>
        </w:tc>
      </w:tr>
    </w:tbl>
    <w:p w:rsidR="00965590" w:rsidRPr="006F4CBE" w:rsidRDefault="00965590" w:rsidP="00965590">
      <w:pPr>
        <w:tabs>
          <w:tab w:val="left" w:pos="851"/>
        </w:tabs>
        <w:ind w:left="851"/>
        <w:rPr>
          <w:sz w:val="24"/>
          <w:lang w:eastAsia="da-DK"/>
        </w:rPr>
      </w:pPr>
    </w:p>
    <w:p w:rsidR="00994CB8" w:rsidRDefault="00994CB8" w:rsidP="00994CB8">
      <w:pPr>
        <w:keepNext/>
        <w:spacing w:after="120"/>
        <w:ind w:left="851"/>
        <w:rPr>
          <w:b/>
          <w:noProof/>
          <w:sz w:val="24"/>
          <w:szCs w:val="22"/>
          <w:lang w:eastAsia="da-DK"/>
        </w:rPr>
      </w:pPr>
      <w:r>
        <w:rPr>
          <w:b/>
          <w:noProof/>
          <w:sz w:val="24"/>
          <w:szCs w:val="22"/>
          <w:lang w:eastAsia="da-DK"/>
        </w:rPr>
        <w:lastRenderedPageBreak/>
        <w:t>Pædiatrisk population</w:t>
      </w:r>
    </w:p>
    <w:tbl>
      <w:tblPr>
        <w:tblW w:w="9210"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2"/>
        <w:gridCol w:w="2150"/>
        <w:gridCol w:w="1700"/>
        <w:gridCol w:w="1391"/>
        <w:gridCol w:w="2267"/>
      </w:tblGrid>
      <w:tr w:rsidR="00994CB8" w:rsidRPr="001B336F" w:rsidTr="00994CB8">
        <w:trPr>
          <w:cantSplit/>
        </w:trPr>
        <w:tc>
          <w:tcPr>
            <w:tcW w:w="9214" w:type="dxa"/>
            <w:gridSpan w:val="5"/>
            <w:tcBorders>
              <w:top w:val="single" w:sz="6" w:space="0" w:color="auto"/>
              <w:left w:val="single" w:sz="6" w:space="0" w:color="auto"/>
              <w:bottom w:val="single" w:sz="6" w:space="0" w:color="auto"/>
              <w:right w:val="single" w:sz="6" w:space="0" w:color="auto"/>
            </w:tcBorders>
            <w:hideMark/>
          </w:tcPr>
          <w:p w:rsidR="00994CB8" w:rsidRPr="001B336F" w:rsidRDefault="00994CB8">
            <w:pPr>
              <w:keepNext/>
              <w:rPr>
                <w:b/>
                <w:sz w:val="24"/>
                <w:lang w:eastAsia="da-DK"/>
              </w:rPr>
            </w:pPr>
            <w:r w:rsidRPr="001B336F">
              <w:rPr>
                <w:b/>
                <w:sz w:val="24"/>
                <w:lang w:eastAsia="da-DK"/>
              </w:rPr>
              <w:t xml:space="preserve">Børn (i alderen 6 måneder til 17 år), bivirkninger rapporteret med </w:t>
            </w:r>
            <w:proofErr w:type="spellStart"/>
            <w:r w:rsidRPr="001B336F">
              <w:rPr>
                <w:b/>
                <w:sz w:val="24"/>
                <w:lang w:eastAsia="da-DK"/>
              </w:rPr>
              <w:t>Influvactetra</w:t>
            </w:r>
            <w:proofErr w:type="spellEnd"/>
          </w:p>
        </w:tc>
      </w:tr>
      <w:tr w:rsidR="00994CB8" w:rsidRPr="001B336F" w:rsidTr="00994CB8">
        <w:trPr>
          <w:cantSplit/>
          <w:tblHeader/>
        </w:trPr>
        <w:tc>
          <w:tcPr>
            <w:tcW w:w="1702" w:type="dxa"/>
            <w:tcBorders>
              <w:top w:val="single" w:sz="6" w:space="0" w:color="auto"/>
              <w:left w:val="single" w:sz="6" w:space="0" w:color="auto"/>
              <w:bottom w:val="single" w:sz="6" w:space="0" w:color="auto"/>
              <w:right w:val="single" w:sz="6" w:space="0" w:color="auto"/>
            </w:tcBorders>
            <w:hideMark/>
          </w:tcPr>
          <w:p w:rsidR="00994CB8" w:rsidRPr="001B336F" w:rsidRDefault="00994CB8">
            <w:pPr>
              <w:keepNext/>
              <w:rPr>
                <w:b/>
                <w:bCs/>
                <w:sz w:val="22"/>
                <w:szCs w:val="22"/>
                <w:lang w:eastAsia="da-DK"/>
              </w:rPr>
            </w:pPr>
            <w:proofErr w:type="spellStart"/>
            <w:r w:rsidRPr="001B336F">
              <w:rPr>
                <w:b/>
                <w:bCs/>
                <w:sz w:val="22"/>
                <w:szCs w:val="22"/>
                <w:lang w:eastAsia="da-DK"/>
              </w:rPr>
              <w:t>MedDRA</w:t>
            </w:r>
            <w:proofErr w:type="spellEnd"/>
            <w:r w:rsidRPr="001B336F">
              <w:rPr>
                <w:b/>
                <w:bCs/>
                <w:sz w:val="22"/>
                <w:szCs w:val="22"/>
                <w:lang w:eastAsia="da-DK"/>
              </w:rPr>
              <w:t xml:space="preserve"> organsystem-klasse</w:t>
            </w:r>
          </w:p>
        </w:tc>
        <w:tc>
          <w:tcPr>
            <w:tcW w:w="2151" w:type="dxa"/>
            <w:tcBorders>
              <w:top w:val="single" w:sz="6" w:space="0" w:color="auto"/>
              <w:left w:val="single" w:sz="6" w:space="0" w:color="auto"/>
              <w:bottom w:val="single" w:sz="6" w:space="0" w:color="auto"/>
              <w:right w:val="single" w:sz="6" w:space="0" w:color="auto"/>
            </w:tcBorders>
            <w:hideMark/>
          </w:tcPr>
          <w:p w:rsidR="00994CB8" w:rsidRPr="001B336F" w:rsidRDefault="00994CB8">
            <w:pPr>
              <w:keepNext/>
              <w:rPr>
                <w:b/>
                <w:bCs/>
                <w:sz w:val="22"/>
                <w:szCs w:val="22"/>
                <w:lang w:eastAsia="da-DK"/>
              </w:rPr>
            </w:pPr>
            <w:r w:rsidRPr="001B336F">
              <w:rPr>
                <w:b/>
                <w:bCs/>
                <w:sz w:val="22"/>
                <w:szCs w:val="22"/>
                <w:lang w:eastAsia="da-DK"/>
              </w:rPr>
              <w:t>Meget almindelig ≥1/10</w:t>
            </w:r>
          </w:p>
        </w:tc>
        <w:tc>
          <w:tcPr>
            <w:tcW w:w="1701" w:type="dxa"/>
            <w:tcBorders>
              <w:top w:val="single" w:sz="6" w:space="0" w:color="auto"/>
              <w:left w:val="single" w:sz="6" w:space="0" w:color="auto"/>
              <w:bottom w:val="single" w:sz="6" w:space="0" w:color="auto"/>
              <w:right w:val="single" w:sz="6" w:space="0" w:color="auto"/>
            </w:tcBorders>
            <w:hideMark/>
          </w:tcPr>
          <w:p w:rsidR="00994CB8" w:rsidRPr="001B336F" w:rsidRDefault="00994CB8">
            <w:pPr>
              <w:keepNext/>
              <w:rPr>
                <w:b/>
                <w:bCs/>
                <w:sz w:val="22"/>
                <w:szCs w:val="22"/>
                <w:lang w:eastAsia="da-DK"/>
              </w:rPr>
            </w:pPr>
            <w:r w:rsidRPr="001B336F">
              <w:rPr>
                <w:b/>
                <w:bCs/>
                <w:sz w:val="22"/>
                <w:szCs w:val="22"/>
                <w:lang w:eastAsia="da-DK"/>
              </w:rPr>
              <w:t>Almindelig ≥1/100, &lt;1/10</w:t>
            </w:r>
          </w:p>
        </w:tc>
        <w:tc>
          <w:tcPr>
            <w:tcW w:w="1392" w:type="dxa"/>
            <w:tcBorders>
              <w:top w:val="single" w:sz="6" w:space="0" w:color="auto"/>
              <w:left w:val="single" w:sz="6" w:space="0" w:color="auto"/>
              <w:bottom w:val="single" w:sz="6" w:space="0" w:color="auto"/>
              <w:right w:val="single" w:sz="6" w:space="0" w:color="auto"/>
            </w:tcBorders>
            <w:hideMark/>
          </w:tcPr>
          <w:p w:rsidR="00994CB8" w:rsidRPr="001B336F" w:rsidRDefault="00994CB8">
            <w:pPr>
              <w:keepNext/>
              <w:rPr>
                <w:b/>
                <w:bCs/>
                <w:sz w:val="22"/>
                <w:szCs w:val="22"/>
                <w:lang w:eastAsia="da-DK"/>
              </w:rPr>
            </w:pPr>
            <w:r w:rsidRPr="001B336F">
              <w:rPr>
                <w:b/>
                <w:bCs/>
                <w:sz w:val="22"/>
                <w:szCs w:val="22"/>
                <w:lang w:eastAsia="da-DK"/>
              </w:rPr>
              <w:t>Ikke almindelig ≥1/1.000, &lt;1/100</w:t>
            </w:r>
          </w:p>
        </w:tc>
        <w:tc>
          <w:tcPr>
            <w:tcW w:w="2268" w:type="dxa"/>
            <w:tcBorders>
              <w:top w:val="single" w:sz="6" w:space="0" w:color="auto"/>
              <w:left w:val="single" w:sz="6" w:space="0" w:color="auto"/>
              <w:bottom w:val="single" w:sz="6" w:space="0" w:color="auto"/>
              <w:right w:val="single" w:sz="6" w:space="0" w:color="auto"/>
            </w:tcBorders>
            <w:hideMark/>
          </w:tcPr>
          <w:p w:rsidR="00994CB8" w:rsidRPr="001B336F" w:rsidRDefault="00994CB8">
            <w:pPr>
              <w:keepNext/>
              <w:rPr>
                <w:b/>
                <w:bCs/>
                <w:sz w:val="22"/>
                <w:szCs w:val="22"/>
                <w:lang w:eastAsia="da-DK"/>
              </w:rPr>
            </w:pPr>
            <w:r w:rsidRPr="001B336F">
              <w:rPr>
                <w:b/>
                <w:bCs/>
                <w:sz w:val="22"/>
                <w:szCs w:val="22"/>
                <w:lang w:eastAsia="da-DK"/>
              </w:rPr>
              <w:t xml:space="preserve">Ikke </w:t>
            </w:r>
            <w:proofErr w:type="spellStart"/>
            <w:r w:rsidRPr="001B336F">
              <w:rPr>
                <w:b/>
                <w:bCs/>
                <w:sz w:val="22"/>
                <w:szCs w:val="22"/>
                <w:lang w:eastAsia="da-DK"/>
              </w:rPr>
              <w:t>kendta</w:t>
            </w:r>
            <w:proofErr w:type="spellEnd"/>
            <w:r w:rsidRPr="001B336F">
              <w:rPr>
                <w:b/>
                <w:bCs/>
                <w:sz w:val="22"/>
                <w:szCs w:val="22"/>
                <w:lang w:eastAsia="da-DK"/>
              </w:rPr>
              <w:t xml:space="preserve"> (kan ikke esti</w:t>
            </w:r>
            <w:r w:rsidRPr="001B336F">
              <w:rPr>
                <w:b/>
                <w:bCs/>
                <w:sz w:val="22"/>
                <w:szCs w:val="22"/>
                <w:lang w:eastAsia="da-DK"/>
              </w:rPr>
              <w:softHyphen/>
              <w:t>me</w:t>
            </w:r>
            <w:r w:rsidRPr="001B336F">
              <w:rPr>
                <w:b/>
                <w:bCs/>
                <w:sz w:val="22"/>
                <w:szCs w:val="22"/>
                <w:lang w:eastAsia="da-DK"/>
              </w:rPr>
              <w:softHyphen/>
              <w:t>res ud fra tilgængelige data)</w:t>
            </w:r>
          </w:p>
        </w:tc>
      </w:tr>
      <w:tr w:rsidR="00994CB8" w:rsidRPr="001B336F" w:rsidTr="00994CB8">
        <w:trPr>
          <w:cantSplit/>
        </w:trPr>
        <w:tc>
          <w:tcPr>
            <w:tcW w:w="1702"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bCs/>
                <w:sz w:val="22"/>
                <w:szCs w:val="22"/>
                <w:lang w:eastAsia="da-DK"/>
              </w:rPr>
            </w:pPr>
            <w:r w:rsidRPr="001B336F">
              <w:rPr>
                <w:bCs/>
                <w:sz w:val="22"/>
                <w:szCs w:val="22"/>
                <w:lang w:eastAsia="da-DK"/>
              </w:rPr>
              <w:t>Blod og lymfesystem</w:t>
            </w:r>
          </w:p>
        </w:tc>
        <w:tc>
          <w:tcPr>
            <w:tcW w:w="2151"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1701"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1392"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2268"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sz w:val="22"/>
                <w:szCs w:val="22"/>
                <w:lang w:eastAsia="da-DK"/>
              </w:rPr>
            </w:pPr>
            <w:r w:rsidRPr="001B336F">
              <w:rPr>
                <w:sz w:val="22"/>
                <w:szCs w:val="22"/>
                <w:lang w:eastAsia="da-DK"/>
              </w:rPr>
              <w:t xml:space="preserve">Forbigående </w:t>
            </w:r>
            <w:proofErr w:type="spellStart"/>
            <w:r w:rsidRPr="001B336F">
              <w:rPr>
                <w:sz w:val="22"/>
                <w:szCs w:val="22"/>
                <w:lang w:eastAsia="da-DK"/>
              </w:rPr>
              <w:t>trombo</w:t>
            </w:r>
            <w:r w:rsidRPr="001B336F">
              <w:rPr>
                <w:sz w:val="22"/>
                <w:szCs w:val="22"/>
                <w:lang w:eastAsia="da-DK"/>
              </w:rPr>
              <w:softHyphen/>
              <w:t>cytopeni</w:t>
            </w:r>
            <w:proofErr w:type="spellEnd"/>
            <w:r w:rsidRPr="001B336F">
              <w:rPr>
                <w:sz w:val="22"/>
                <w:szCs w:val="22"/>
                <w:lang w:eastAsia="da-DK"/>
              </w:rPr>
              <w:t xml:space="preserve">, forbigående </w:t>
            </w:r>
            <w:proofErr w:type="spellStart"/>
            <w:r w:rsidRPr="001B336F">
              <w:rPr>
                <w:sz w:val="22"/>
                <w:szCs w:val="22"/>
                <w:lang w:eastAsia="da-DK"/>
              </w:rPr>
              <w:t>lymfadenopati</w:t>
            </w:r>
            <w:proofErr w:type="spellEnd"/>
            <w:r w:rsidRPr="001B336F">
              <w:rPr>
                <w:sz w:val="22"/>
                <w:szCs w:val="22"/>
                <w:lang w:eastAsia="da-DK"/>
              </w:rPr>
              <w:t>.</w:t>
            </w:r>
          </w:p>
        </w:tc>
      </w:tr>
      <w:tr w:rsidR="00994CB8" w:rsidRPr="001B336F" w:rsidTr="00994CB8">
        <w:trPr>
          <w:cantSplit/>
        </w:trPr>
        <w:tc>
          <w:tcPr>
            <w:tcW w:w="1702"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bCs/>
                <w:sz w:val="22"/>
                <w:szCs w:val="22"/>
                <w:lang w:eastAsia="da-DK"/>
              </w:rPr>
            </w:pPr>
            <w:r w:rsidRPr="001B336F">
              <w:rPr>
                <w:bCs/>
                <w:sz w:val="22"/>
                <w:szCs w:val="22"/>
                <w:lang w:eastAsia="da-DK"/>
              </w:rPr>
              <w:t>Immunsystemet</w:t>
            </w:r>
          </w:p>
        </w:tc>
        <w:tc>
          <w:tcPr>
            <w:tcW w:w="2151"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1701"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1392"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2268"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sz w:val="22"/>
                <w:szCs w:val="22"/>
                <w:lang w:eastAsia="da-DK"/>
              </w:rPr>
            </w:pPr>
            <w:r w:rsidRPr="001B336F">
              <w:rPr>
                <w:sz w:val="22"/>
                <w:szCs w:val="22"/>
                <w:lang w:eastAsia="da-DK"/>
              </w:rPr>
              <w:t xml:space="preserve">Allergiske reaktioner, der i sjældne tilfælde har ført til </w:t>
            </w:r>
            <w:proofErr w:type="spellStart"/>
            <w:r w:rsidRPr="001B336F">
              <w:rPr>
                <w:sz w:val="22"/>
                <w:szCs w:val="22"/>
                <w:lang w:eastAsia="da-DK"/>
              </w:rPr>
              <w:t>shock</w:t>
            </w:r>
            <w:proofErr w:type="spellEnd"/>
            <w:r w:rsidRPr="001B336F">
              <w:rPr>
                <w:sz w:val="22"/>
                <w:szCs w:val="22"/>
                <w:lang w:eastAsia="da-DK"/>
              </w:rPr>
              <w:t xml:space="preserve">, </w:t>
            </w:r>
            <w:proofErr w:type="spellStart"/>
            <w:r w:rsidRPr="001B336F">
              <w:rPr>
                <w:sz w:val="22"/>
                <w:szCs w:val="22"/>
                <w:lang w:eastAsia="da-DK"/>
              </w:rPr>
              <w:t>angioødem</w:t>
            </w:r>
            <w:proofErr w:type="spellEnd"/>
            <w:r w:rsidRPr="001B336F">
              <w:rPr>
                <w:sz w:val="22"/>
                <w:szCs w:val="22"/>
                <w:lang w:eastAsia="da-DK"/>
              </w:rPr>
              <w:t>.</w:t>
            </w:r>
          </w:p>
        </w:tc>
      </w:tr>
      <w:tr w:rsidR="00994CB8" w:rsidRPr="001B336F" w:rsidTr="00994CB8">
        <w:trPr>
          <w:cantSplit/>
        </w:trPr>
        <w:tc>
          <w:tcPr>
            <w:tcW w:w="1702"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bCs/>
                <w:sz w:val="22"/>
                <w:szCs w:val="22"/>
                <w:lang w:eastAsia="da-DK"/>
              </w:rPr>
            </w:pPr>
            <w:r w:rsidRPr="001B336F">
              <w:rPr>
                <w:bCs/>
                <w:sz w:val="22"/>
                <w:szCs w:val="22"/>
                <w:lang w:eastAsia="da-DK"/>
              </w:rPr>
              <w:t>Nervesystemet</w:t>
            </w:r>
          </w:p>
        </w:tc>
        <w:tc>
          <w:tcPr>
            <w:tcW w:w="2151"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sz w:val="22"/>
                <w:szCs w:val="22"/>
                <w:lang w:eastAsia="da-DK"/>
              </w:rPr>
            </w:pPr>
            <w:proofErr w:type="spellStart"/>
            <w:proofErr w:type="gramStart"/>
            <w:r w:rsidRPr="001B336F">
              <w:rPr>
                <w:sz w:val="22"/>
                <w:szCs w:val="22"/>
                <w:lang w:eastAsia="da-DK"/>
              </w:rPr>
              <w:t>Hovedpine</w:t>
            </w:r>
            <w:r w:rsidRPr="001B336F">
              <w:rPr>
                <w:sz w:val="22"/>
                <w:szCs w:val="22"/>
                <w:vertAlign w:val="superscript"/>
                <w:lang w:eastAsia="da-DK"/>
              </w:rPr>
              <w:t>c</w:t>
            </w:r>
            <w:proofErr w:type="spellEnd"/>
            <w:r w:rsidRPr="001B336F">
              <w:rPr>
                <w:sz w:val="22"/>
                <w:szCs w:val="22"/>
                <w:vertAlign w:val="superscript"/>
                <w:lang w:eastAsia="da-DK"/>
              </w:rPr>
              <w:t>,</w:t>
            </w:r>
            <w:r w:rsidRPr="001B336F">
              <w:rPr>
                <w:sz w:val="22"/>
                <w:szCs w:val="22"/>
                <w:lang w:eastAsia="da-DK"/>
              </w:rPr>
              <w:t>,</w:t>
            </w:r>
            <w:proofErr w:type="gramEnd"/>
            <w:r w:rsidRPr="001B336F">
              <w:rPr>
                <w:sz w:val="22"/>
                <w:szCs w:val="22"/>
                <w:lang w:eastAsia="da-DK"/>
              </w:rPr>
              <w:t xml:space="preserve"> </w:t>
            </w:r>
            <w:proofErr w:type="spellStart"/>
            <w:r w:rsidRPr="001B336F">
              <w:rPr>
                <w:sz w:val="22"/>
                <w:szCs w:val="22"/>
                <w:lang w:eastAsia="da-DK"/>
              </w:rPr>
              <w:t>døsighed</w:t>
            </w:r>
            <w:r w:rsidRPr="001B336F">
              <w:rPr>
                <w:sz w:val="22"/>
                <w:szCs w:val="22"/>
                <w:vertAlign w:val="superscript"/>
                <w:lang w:eastAsia="da-DK"/>
              </w:rPr>
              <w:t>b</w:t>
            </w:r>
            <w:proofErr w:type="spellEnd"/>
          </w:p>
        </w:tc>
        <w:tc>
          <w:tcPr>
            <w:tcW w:w="1701"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1392"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2268"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sz w:val="22"/>
                <w:szCs w:val="22"/>
                <w:lang w:eastAsia="da-DK"/>
              </w:rPr>
            </w:pPr>
            <w:r w:rsidRPr="001B336F">
              <w:rPr>
                <w:sz w:val="22"/>
                <w:szCs w:val="22"/>
                <w:lang w:eastAsia="da-DK"/>
              </w:rPr>
              <w:t xml:space="preserve">Neuralgi, </w:t>
            </w:r>
            <w:proofErr w:type="spellStart"/>
            <w:r w:rsidRPr="001B336F">
              <w:rPr>
                <w:sz w:val="22"/>
                <w:szCs w:val="22"/>
                <w:lang w:eastAsia="da-DK"/>
              </w:rPr>
              <w:t>paræsthesi</w:t>
            </w:r>
            <w:proofErr w:type="spellEnd"/>
            <w:r w:rsidRPr="001B336F">
              <w:rPr>
                <w:sz w:val="22"/>
                <w:szCs w:val="22"/>
                <w:lang w:eastAsia="da-DK"/>
              </w:rPr>
              <w:t>, feberkramper, neurolo</w:t>
            </w:r>
            <w:r w:rsidRPr="001B336F">
              <w:rPr>
                <w:sz w:val="22"/>
                <w:szCs w:val="22"/>
                <w:lang w:eastAsia="da-DK"/>
              </w:rPr>
              <w:softHyphen/>
              <w:t xml:space="preserve">giske forstyrrelser så som </w:t>
            </w:r>
            <w:proofErr w:type="spellStart"/>
            <w:r w:rsidRPr="001B336F">
              <w:rPr>
                <w:sz w:val="22"/>
                <w:szCs w:val="22"/>
                <w:lang w:eastAsia="da-DK"/>
              </w:rPr>
              <w:t>encefalomyelitis</w:t>
            </w:r>
            <w:proofErr w:type="spellEnd"/>
            <w:r w:rsidRPr="001B336F">
              <w:rPr>
                <w:sz w:val="22"/>
                <w:szCs w:val="22"/>
                <w:lang w:eastAsia="da-DK"/>
              </w:rPr>
              <w:t xml:space="preserve">, nervebetændelse og </w:t>
            </w:r>
            <w:proofErr w:type="spellStart"/>
            <w:r w:rsidRPr="001B336F">
              <w:rPr>
                <w:sz w:val="22"/>
                <w:szCs w:val="22"/>
                <w:lang w:eastAsia="da-DK"/>
              </w:rPr>
              <w:t>Guillain</w:t>
            </w:r>
            <w:proofErr w:type="spellEnd"/>
            <w:r w:rsidRPr="001B336F">
              <w:rPr>
                <w:sz w:val="22"/>
                <w:szCs w:val="22"/>
                <w:lang w:eastAsia="da-DK"/>
              </w:rPr>
              <w:t xml:space="preserve"> </w:t>
            </w:r>
            <w:proofErr w:type="spellStart"/>
            <w:r w:rsidRPr="001B336F">
              <w:rPr>
                <w:sz w:val="22"/>
                <w:szCs w:val="22"/>
                <w:lang w:eastAsia="da-DK"/>
              </w:rPr>
              <w:t>Barré</w:t>
            </w:r>
            <w:proofErr w:type="spellEnd"/>
            <w:r w:rsidRPr="001B336F">
              <w:rPr>
                <w:sz w:val="22"/>
                <w:szCs w:val="22"/>
                <w:lang w:eastAsia="da-DK"/>
              </w:rPr>
              <w:t xml:space="preserve"> syndrom.</w:t>
            </w:r>
          </w:p>
        </w:tc>
      </w:tr>
      <w:tr w:rsidR="00994CB8" w:rsidRPr="001B336F" w:rsidTr="00994CB8">
        <w:trPr>
          <w:cantSplit/>
        </w:trPr>
        <w:tc>
          <w:tcPr>
            <w:tcW w:w="1702"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bCs/>
                <w:sz w:val="22"/>
                <w:szCs w:val="22"/>
                <w:lang w:eastAsia="da-DK"/>
              </w:rPr>
            </w:pPr>
            <w:proofErr w:type="spellStart"/>
            <w:r w:rsidRPr="001B336F">
              <w:rPr>
                <w:bCs/>
                <w:sz w:val="22"/>
                <w:szCs w:val="22"/>
                <w:lang w:eastAsia="da-DK"/>
              </w:rPr>
              <w:t>Vaskulære</w:t>
            </w:r>
            <w:proofErr w:type="spellEnd"/>
            <w:r w:rsidRPr="001B336F">
              <w:rPr>
                <w:bCs/>
                <w:sz w:val="22"/>
                <w:szCs w:val="22"/>
                <w:lang w:eastAsia="da-DK"/>
              </w:rPr>
              <w:t xml:space="preserve"> sygdomme</w:t>
            </w:r>
          </w:p>
        </w:tc>
        <w:tc>
          <w:tcPr>
            <w:tcW w:w="2151"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1701"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1392"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2268"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sz w:val="22"/>
                <w:szCs w:val="22"/>
                <w:lang w:eastAsia="da-DK"/>
              </w:rPr>
            </w:pPr>
            <w:proofErr w:type="spellStart"/>
            <w:r w:rsidRPr="001B336F">
              <w:rPr>
                <w:sz w:val="22"/>
                <w:szCs w:val="22"/>
                <w:lang w:eastAsia="da-DK"/>
              </w:rPr>
              <w:t>Vaskulitis</w:t>
            </w:r>
            <w:proofErr w:type="spellEnd"/>
            <w:r w:rsidRPr="001B336F">
              <w:rPr>
                <w:sz w:val="22"/>
                <w:szCs w:val="22"/>
                <w:lang w:eastAsia="da-DK"/>
              </w:rPr>
              <w:t xml:space="preserve">, i meget sjældne tilfælde med forbigående </w:t>
            </w:r>
            <w:proofErr w:type="spellStart"/>
            <w:r w:rsidRPr="001B336F">
              <w:rPr>
                <w:sz w:val="22"/>
                <w:szCs w:val="22"/>
                <w:lang w:eastAsia="da-DK"/>
              </w:rPr>
              <w:t>renal</w:t>
            </w:r>
            <w:proofErr w:type="spellEnd"/>
            <w:r w:rsidRPr="001B336F">
              <w:rPr>
                <w:sz w:val="22"/>
                <w:szCs w:val="22"/>
                <w:lang w:eastAsia="da-DK"/>
              </w:rPr>
              <w:t xml:space="preserve"> påvirkning.</w:t>
            </w:r>
          </w:p>
        </w:tc>
      </w:tr>
      <w:tr w:rsidR="00994CB8" w:rsidRPr="001B336F" w:rsidTr="00994CB8">
        <w:trPr>
          <w:cantSplit/>
        </w:trPr>
        <w:tc>
          <w:tcPr>
            <w:tcW w:w="1702"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bCs/>
                <w:sz w:val="22"/>
                <w:szCs w:val="22"/>
                <w:lang w:eastAsia="da-DK"/>
              </w:rPr>
            </w:pPr>
            <w:r w:rsidRPr="001B336F">
              <w:rPr>
                <w:bCs/>
                <w:sz w:val="22"/>
                <w:szCs w:val="22"/>
                <w:lang w:eastAsia="da-DK"/>
              </w:rPr>
              <w:t>Hud og subkutane væv</w:t>
            </w:r>
          </w:p>
        </w:tc>
        <w:tc>
          <w:tcPr>
            <w:tcW w:w="2151"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sz w:val="22"/>
                <w:szCs w:val="22"/>
                <w:lang w:eastAsia="da-DK"/>
              </w:rPr>
            </w:pPr>
            <w:proofErr w:type="spellStart"/>
            <w:r w:rsidRPr="001B336F">
              <w:rPr>
                <w:sz w:val="22"/>
                <w:szCs w:val="22"/>
                <w:lang w:eastAsia="da-DK"/>
              </w:rPr>
              <w:t>Svedeture</w:t>
            </w:r>
            <w:r w:rsidRPr="001B336F">
              <w:rPr>
                <w:sz w:val="22"/>
                <w:szCs w:val="22"/>
                <w:vertAlign w:val="superscript"/>
                <w:lang w:eastAsia="da-DK"/>
              </w:rPr>
              <w:t>f</w:t>
            </w:r>
            <w:proofErr w:type="spellEnd"/>
          </w:p>
        </w:tc>
        <w:tc>
          <w:tcPr>
            <w:tcW w:w="1701"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1392"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2268"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sz w:val="22"/>
                <w:szCs w:val="22"/>
                <w:lang w:eastAsia="da-DK"/>
              </w:rPr>
            </w:pPr>
            <w:r w:rsidRPr="001B336F">
              <w:rPr>
                <w:sz w:val="22"/>
                <w:szCs w:val="22"/>
                <w:lang w:eastAsia="da-DK"/>
              </w:rPr>
              <w:t>Generaliserede hud</w:t>
            </w:r>
            <w:r w:rsidRPr="001B336F">
              <w:rPr>
                <w:sz w:val="22"/>
                <w:szCs w:val="22"/>
                <w:lang w:eastAsia="da-DK"/>
              </w:rPr>
              <w:softHyphen/>
              <w:t>reaktioner omfattende kløe, nældefeber eller uspecifikt udslæt.</w:t>
            </w:r>
          </w:p>
        </w:tc>
      </w:tr>
      <w:tr w:rsidR="00994CB8" w:rsidRPr="001B336F" w:rsidTr="00994CB8">
        <w:trPr>
          <w:cantSplit/>
        </w:trPr>
        <w:tc>
          <w:tcPr>
            <w:tcW w:w="1702"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bCs/>
                <w:sz w:val="22"/>
                <w:szCs w:val="22"/>
                <w:lang w:eastAsia="da-DK"/>
              </w:rPr>
            </w:pPr>
            <w:r w:rsidRPr="001B336F">
              <w:rPr>
                <w:bCs/>
                <w:sz w:val="22"/>
                <w:szCs w:val="22"/>
                <w:lang w:eastAsia="da-DK"/>
              </w:rPr>
              <w:t>Metabolisme og ernæring</w:t>
            </w:r>
          </w:p>
        </w:tc>
        <w:tc>
          <w:tcPr>
            <w:tcW w:w="2151"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sz w:val="22"/>
                <w:szCs w:val="22"/>
                <w:lang w:eastAsia="da-DK"/>
              </w:rPr>
            </w:pPr>
            <w:proofErr w:type="spellStart"/>
            <w:r w:rsidRPr="001B336F">
              <w:rPr>
                <w:sz w:val="22"/>
                <w:szCs w:val="22"/>
                <w:lang w:eastAsia="da-DK"/>
              </w:rPr>
              <w:t>Appetitløshed</w:t>
            </w:r>
            <w:r w:rsidRPr="001B336F">
              <w:rPr>
                <w:sz w:val="22"/>
                <w:szCs w:val="22"/>
                <w:vertAlign w:val="superscript"/>
                <w:lang w:eastAsia="da-DK"/>
              </w:rPr>
              <w:t>b</w:t>
            </w:r>
            <w:proofErr w:type="spellEnd"/>
          </w:p>
        </w:tc>
        <w:tc>
          <w:tcPr>
            <w:tcW w:w="1701"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1392"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2268"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r>
      <w:tr w:rsidR="00994CB8" w:rsidRPr="001B336F" w:rsidTr="00994CB8">
        <w:trPr>
          <w:cantSplit/>
        </w:trPr>
        <w:tc>
          <w:tcPr>
            <w:tcW w:w="1702"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bCs/>
                <w:sz w:val="22"/>
                <w:szCs w:val="22"/>
                <w:lang w:eastAsia="da-DK"/>
              </w:rPr>
            </w:pPr>
            <w:r w:rsidRPr="001B336F">
              <w:rPr>
                <w:bCs/>
                <w:sz w:val="22"/>
                <w:szCs w:val="22"/>
                <w:lang w:eastAsia="da-DK"/>
              </w:rPr>
              <w:t>Mave-tarm-kanalen</w:t>
            </w:r>
          </w:p>
        </w:tc>
        <w:tc>
          <w:tcPr>
            <w:tcW w:w="2151"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sz w:val="22"/>
                <w:szCs w:val="22"/>
                <w:lang w:eastAsia="da-DK"/>
              </w:rPr>
            </w:pPr>
            <w:proofErr w:type="spellStart"/>
            <w:r w:rsidRPr="001B336F">
              <w:rPr>
                <w:sz w:val="22"/>
                <w:szCs w:val="22"/>
                <w:lang w:eastAsia="da-DK"/>
              </w:rPr>
              <w:t>Kvalme</w:t>
            </w:r>
            <w:r w:rsidRPr="001B336F">
              <w:rPr>
                <w:sz w:val="22"/>
                <w:szCs w:val="22"/>
                <w:vertAlign w:val="superscript"/>
                <w:lang w:eastAsia="da-DK"/>
              </w:rPr>
              <w:t>c</w:t>
            </w:r>
            <w:proofErr w:type="spellEnd"/>
            <w:r w:rsidRPr="001B336F">
              <w:rPr>
                <w:sz w:val="22"/>
                <w:szCs w:val="22"/>
                <w:lang w:eastAsia="da-DK"/>
              </w:rPr>
              <w:t xml:space="preserve">, </w:t>
            </w:r>
            <w:proofErr w:type="spellStart"/>
            <w:r w:rsidRPr="001B336F">
              <w:rPr>
                <w:sz w:val="22"/>
                <w:szCs w:val="22"/>
                <w:lang w:eastAsia="da-DK"/>
              </w:rPr>
              <w:t>mavesmerter</w:t>
            </w:r>
            <w:r w:rsidRPr="001B336F">
              <w:rPr>
                <w:sz w:val="22"/>
                <w:szCs w:val="22"/>
                <w:vertAlign w:val="superscript"/>
                <w:lang w:eastAsia="da-DK"/>
              </w:rPr>
              <w:t>c</w:t>
            </w:r>
            <w:proofErr w:type="spellEnd"/>
            <w:r w:rsidRPr="001B336F">
              <w:rPr>
                <w:sz w:val="22"/>
                <w:szCs w:val="22"/>
                <w:lang w:eastAsia="da-DK"/>
              </w:rPr>
              <w:t xml:space="preserve">, </w:t>
            </w:r>
            <w:proofErr w:type="spellStart"/>
            <w:r w:rsidRPr="001B336F">
              <w:rPr>
                <w:sz w:val="22"/>
                <w:szCs w:val="22"/>
                <w:lang w:eastAsia="da-DK"/>
              </w:rPr>
              <w:t>diarré</w:t>
            </w:r>
            <w:r w:rsidRPr="001B336F">
              <w:rPr>
                <w:sz w:val="22"/>
                <w:szCs w:val="22"/>
                <w:vertAlign w:val="superscript"/>
                <w:lang w:eastAsia="da-DK"/>
              </w:rPr>
              <w:t>e</w:t>
            </w:r>
            <w:proofErr w:type="spellEnd"/>
            <w:r w:rsidRPr="001B336F">
              <w:rPr>
                <w:sz w:val="22"/>
                <w:szCs w:val="22"/>
                <w:lang w:eastAsia="da-DK"/>
              </w:rPr>
              <w:t xml:space="preserve">, </w:t>
            </w:r>
            <w:proofErr w:type="spellStart"/>
            <w:r w:rsidRPr="001B336F">
              <w:rPr>
                <w:sz w:val="22"/>
                <w:szCs w:val="22"/>
                <w:lang w:eastAsia="da-DK"/>
              </w:rPr>
              <w:t>opkastning</w:t>
            </w:r>
            <w:r w:rsidRPr="001B336F">
              <w:rPr>
                <w:sz w:val="22"/>
                <w:szCs w:val="22"/>
                <w:vertAlign w:val="superscript"/>
                <w:lang w:eastAsia="da-DK"/>
              </w:rPr>
              <w:t>e</w:t>
            </w:r>
            <w:proofErr w:type="spellEnd"/>
          </w:p>
        </w:tc>
        <w:tc>
          <w:tcPr>
            <w:tcW w:w="1701"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1392"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2268"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r>
      <w:tr w:rsidR="00994CB8" w:rsidRPr="001B336F" w:rsidTr="00994CB8">
        <w:trPr>
          <w:cantSplit/>
        </w:trPr>
        <w:tc>
          <w:tcPr>
            <w:tcW w:w="1702"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bCs/>
                <w:sz w:val="22"/>
                <w:szCs w:val="22"/>
                <w:lang w:eastAsia="da-DK"/>
              </w:rPr>
            </w:pPr>
            <w:r w:rsidRPr="001B336F">
              <w:rPr>
                <w:bCs/>
                <w:sz w:val="22"/>
                <w:szCs w:val="22"/>
                <w:lang w:eastAsia="da-DK"/>
              </w:rPr>
              <w:t>Psykiske forstyrrelser</w:t>
            </w:r>
          </w:p>
        </w:tc>
        <w:tc>
          <w:tcPr>
            <w:tcW w:w="2151"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sz w:val="22"/>
                <w:szCs w:val="22"/>
                <w:lang w:eastAsia="da-DK"/>
              </w:rPr>
            </w:pPr>
            <w:r w:rsidRPr="001B336F">
              <w:rPr>
                <w:sz w:val="22"/>
                <w:szCs w:val="22"/>
                <w:lang w:eastAsia="da-DK"/>
              </w:rPr>
              <w:t>Irritabilitet/</w:t>
            </w:r>
            <w:proofErr w:type="spellStart"/>
            <w:r w:rsidRPr="001B336F">
              <w:rPr>
                <w:sz w:val="22"/>
                <w:szCs w:val="22"/>
                <w:lang w:eastAsia="da-DK"/>
              </w:rPr>
              <w:t>pylrethed</w:t>
            </w:r>
            <w:r w:rsidRPr="001B336F">
              <w:rPr>
                <w:sz w:val="22"/>
                <w:szCs w:val="22"/>
                <w:vertAlign w:val="superscript"/>
                <w:lang w:eastAsia="da-DK"/>
              </w:rPr>
              <w:t>b</w:t>
            </w:r>
            <w:proofErr w:type="spellEnd"/>
          </w:p>
        </w:tc>
        <w:tc>
          <w:tcPr>
            <w:tcW w:w="1701"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1392"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2268"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r>
      <w:tr w:rsidR="00994CB8" w:rsidRPr="001B336F" w:rsidTr="00994CB8">
        <w:trPr>
          <w:cantSplit/>
        </w:trPr>
        <w:tc>
          <w:tcPr>
            <w:tcW w:w="1702"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bCs/>
                <w:sz w:val="22"/>
                <w:szCs w:val="22"/>
                <w:lang w:eastAsia="da-DK"/>
              </w:rPr>
            </w:pPr>
            <w:r w:rsidRPr="001B336F">
              <w:rPr>
                <w:bCs/>
                <w:sz w:val="22"/>
                <w:szCs w:val="22"/>
                <w:lang w:eastAsia="da-DK"/>
              </w:rPr>
              <w:t>Knogler, led, muskler og bindevæv</w:t>
            </w:r>
          </w:p>
        </w:tc>
        <w:tc>
          <w:tcPr>
            <w:tcW w:w="2151"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sz w:val="22"/>
                <w:szCs w:val="22"/>
                <w:lang w:eastAsia="da-DK"/>
              </w:rPr>
            </w:pPr>
            <w:proofErr w:type="spellStart"/>
            <w:r w:rsidRPr="001B336F">
              <w:rPr>
                <w:sz w:val="22"/>
                <w:szCs w:val="22"/>
                <w:lang w:eastAsia="da-DK"/>
              </w:rPr>
              <w:t>Myalgi</w:t>
            </w:r>
            <w:r w:rsidRPr="001B336F">
              <w:rPr>
                <w:sz w:val="22"/>
                <w:szCs w:val="22"/>
                <w:vertAlign w:val="superscript"/>
                <w:lang w:eastAsia="da-DK"/>
              </w:rPr>
              <w:t>c</w:t>
            </w:r>
            <w:proofErr w:type="spellEnd"/>
          </w:p>
        </w:tc>
        <w:tc>
          <w:tcPr>
            <w:tcW w:w="1701"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sz w:val="22"/>
                <w:szCs w:val="22"/>
                <w:lang w:eastAsia="da-DK"/>
              </w:rPr>
            </w:pPr>
            <w:proofErr w:type="spellStart"/>
            <w:r w:rsidRPr="001B336F">
              <w:rPr>
                <w:sz w:val="22"/>
                <w:szCs w:val="22"/>
                <w:lang w:eastAsia="da-DK"/>
              </w:rPr>
              <w:t>Artralgi</w:t>
            </w:r>
            <w:r w:rsidRPr="001B336F">
              <w:rPr>
                <w:sz w:val="22"/>
                <w:szCs w:val="22"/>
                <w:vertAlign w:val="superscript"/>
                <w:lang w:eastAsia="da-DK"/>
              </w:rPr>
              <w:t>c</w:t>
            </w:r>
            <w:proofErr w:type="spellEnd"/>
          </w:p>
        </w:tc>
        <w:tc>
          <w:tcPr>
            <w:tcW w:w="1392"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2268"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r>
      <w:tr w:rsidR="00994CB8" w:rsidRPr="001B336F" w:rsidTr="00994CB8">
        <w:trPr>
          <w:cantSplit/>
        </w:trPr>
        <w:tc>
          <w:tcPr>
            <w:tcW w:w="1702" w:type="dxa"/>
            <w:tcBorders>
              <w:top w:val="single" w:sz="6" w:space="0" w:color="auto"/>
              <w:left w:val="single" w:sz="6" w:space="0" w:color="auto"/>
              <w:bottom w:val="single" w:sz="6" w:space="0" w:color="auto"/>
              <w:right w:val="single" w:sz="6" w:space="0" w:color="auto"/>
            </w:tcBorders>
            <w:hideMark/>
          </w:tcPr>
          <w:p w:rsidR="00994CB8" w:rsidRPr="001B336F" w:rsidRDefault="00994CB8">
            <w:pPr>
              <w:spacing w:before="40" w:after="40"/>
              <w:rPr>
                <w:bCs/>
                <w:sz w:val="22"/>
                <w:szCs w:val="22"/>
                <w:lang w:eastAsia="da-DK"/>
              </w:rPr>
            </w:pPr>
            <w:r w:rsidRPr="001B336F">
              <w:rPr>
                <w:bCs/>
                <w:sz w:val="22"/>
                <w:szCs w:val="22"/>
                <w:lang w:eastAsia="da-DK"/>
              </w:rPr>
              <w:t>Almene symptomer og reaktion er på administrations</w:t>
            </w:r>
            <w:r w:rsidRPr="001B336F">
              <w:rPr>
                <w:bCs/>
                <w:sz w:val="22"/>
                <w:szCs w:val="22"/>
                <w:lang w:eastAsia="da-DK"/>
              </w:rPr>
              <w:softHyphen/>
              <w:t>stedet</w:t>
            </w:r>
          </w:p>
        </w:tc>
        <w:tc>
          <w:tcPr>
            <w:tcW w:w="2151" w:type="dxa"/>
            <w:tcBorders>
              <w:top w:val="single" w:sz="6" w:space="0" w:color="auto"/>
              <w:left w:val="single" w:sz="6" w:space="0" w:color="auto"/>
              <w:bottom w:val="single" w:sz="6" w:space="0" w:color="auto"/>
              <w:right w:val="single" w:sz="6" w:space="0" w:color="auto"/>
            </w:tcBorders>
            <w:hideMark/>
          </w:tcPr>
          <w:p w:rsidR="00994CB8" w:rsidRPr="001B336F" w:rsidRDefault="00994CB8">
            <w:pPr>
              <w:rPr>
                <w:sz w:val="22"/>
                <w:szCs w:val="22"/>
                <w:lang w:eastAsia="da-DK"/>
              </w:rPr>
            </w:pPr>
            <w:proofErr w:type="spellStart"/>
            <w:r w:rsidRPr="001B336F">
              <w:rPr>
                <w:sz w:val="22"/>
                <w:szCs w:val="22"/>
                <w:lang w:eastAsia="da-DK"/>
              </w:rPr>
              <w:t>Træthed</w:t>
            </w:r>
            <w:r w:rsidRPr="001B336F">
              <w:rPr>
                <w:sz w:val="22"/>
                <w:szCs w:val="22"/>
                <w:vertAlign w:val="superscript"/>
                <w:lang w:eastAsia="da-DK"/>
              </w:rPr>
              <w:t>d</w:t>
            </w:r>
            <w:proofErr w:type="spellEnd"/>
            <w:r w:rsidRPr="001B336F">
              <w:rPr>
                <w:sz w:val="22"/>
                <w:szCs w:val="22"/>
                <w:vertAlign w:val="superscript"/>
                <w:lang w:eastAsia="da-DK"/>
              </w:rPr>
              <w:t>,</w:t>
            </w:r>
            <w:r w:rsidRPr="001B336F">
              <w:rPr>
                <w:sz w:val="22"/>
                <w:szCs w:val="22"/>
                <w:lang w:eastAsia="da-DK"/>
              </w:rPr>
              <w:t xml:space="preserve"> </w:t>
            </w:r>
            <w:proofErr w:type="spellStart"/>
            <w:r w:rsidRPr="001B336F">
              <w:rPr>
                <w:sz w:val="22"/>
                <w:szCs w:val="22"/>
                <w:lang w:eastAsia="da-DK"/>
              </w:rPr>
              <w:t>feber</w:t>
            </w:r>
            <w:r w:rsidRPr="001B336F">
              <w:rPr>
                <w:sz w:val="22"/>
                <w:szCs w:val="22"/>
                <w:vertAlign w:val="superscript"/>
                <w:lang w:eastAsia="da-DK"/>
              </w:rPr>
              <w:t>f</w:t>
            </w:r>
            <w:proofErr w:type="spellEnd"/>
            <w:r w:rsidRPr="001B336F">
              <w:rPr>
                <w:sz w:val="22"/>
                <w:szCs w:val="22"/>
                <w:lang w:eastAsia="da-DK"/>
              </w:rPr>
              <w:t xml:space="preserve">, </w:t>
            </w:r>
            <w:proofErr w:type="spellStart"/>
            <w:r w:rsidRPr="001B336F">
              <w:rPr>
                <w:sz w:val="22"/>
                <w:szCs w:val="22"/>
                <w:lang w:eastAsia="da-DK"/>
              </w:rPr>
              <w:t>utilpashed</w:t>
            </w:r>
            <w:r w:rsidRPr="001B336F">
              <w:rPr>
                <w:sz w:val="22"/>
                <w:szCs w:val="22"/>
                <w:vertAlign w:val="superscript"/>
                <w:lang w:eastAsia="da-DK"/>
              </w:rPr>
              <w:t>c</w:t>
            </w:r>
            <w:proofErr w:type="spellEnd"/>
          </w:p>
          <w:p w:rsidR="00994CB8" w:rsidRPr="001B336F" w:rsidRDefault="00994CB8">
            <w:pPr>
              <w:rPr>
                <w:sz w:val="22"/>
                <w:szCs w:val="22"/>
                <w:lang w:eastAsia="da-DK"/>
              </w:rPr>
            </w:pPr>
            <w:r w:rsidRPr="001B336F">
              <w:rPr>
                <w:sz w:val="22"/>
                <w:szCs w:val="22"/>
                <w:lang w:eastAsia="da-DK"/>
              </w:rPr>
              <w:t>Lokale reak</w:t>
            </w:r>
            <w:r w:rsidRPr="001B336F">
              <w:rPr>
                <w:sz w:val="22"/>
                <w:szCs w:val="22"/>
                <w:lang w:eastAsia="da-DK"/>
              </w:rPr>
              <w:softHyphen/>
              <w:t xml:space="preserve">tioner: Smerter, rødme, </w:t>
            </w:r>
            <w:proofErr w:type="spellStart"/>
            <w:r w:rsidRPr="001B336F">
              <w:rPr>
                <w:sz w:val="22"/>
                <w:szCs w:val="22"/>
                <w:lang w:eastAsia="da-DK"/>
              </w:rPr>
              <w:t>hævelse</w:t>
            </w:r>
            <w:r w:rsidRPr="001B336F">
              <w:rPr>
                <w:sz w:val="22"/>
                <w:szCs w:val="22"/>
                <w:vertAlign w:val="superscript"/>
                <w:lang w:eastAsia="da-DK"/>
              </w:rPr>
              <w:t>d</w:t>
            </w:r>
            <w:proofErr w:type="spellEnd"/>
            <w:r w:rsidRPr="001B336F">
              <w:rPr>
                <w:sz w:val="22"/>
                <w:szCs w:val="22"/>
                <w:lang w:eastAsia="da-DK"/>
              </w:rPr>
              <w:t xml:space="preserve">, </w:t>
            </w:r>
            <w:proofErr w:type="spellStart"/>
            <w:r w:rsidRPr="001B336F">
              <w:rPr>
                <w:sz w:val="22"/>
                <w:szCs w:val="22"/>
                <w:lang w:eastAsia="da-DK"/>
              </w:rPr>
              <w:t>induration</w:t>
            </w:r>
            <w:r w:rsidRPr="001B336F">
              <w:rPr>
                <w:sz w:val="22"/>
                <w:szCs w:val="22"/>
                <w:vertAlign w:val="superscript"/>
                <w:lang w:eastAsia="da-DK"/>
              </w:rPr>
              <w:t>d</w:t>
            </w:r>
            <w:proofErr w:type="spellEnd"/>
            <w:r w:rsidRPr="001B336F">
              <w:rPr>
                <w:sz w:val="22"/>
                <w:szCs w:val="22"/>
                <w:lang w:eastAsia="da-DK"/>
              </w:rPr>
              <w:t>.</w:t>
            </w:r>
          </w:p>
        </w:tc>
        <w:tc>
          <w:tcPr>
            <w:tcW w:w="1701" w:type="dxa"/>
            <w:tcBorders>
              <w:top w:val="single" w:sz="6" w:space="0" w:color="auto"/>
              <w:left w:val="single" w:sz="6" w:space="0" w:color="auto"/>
              <w:bottom w:val="single" w:sz="6" w:space="0" w:color="auto"/>
              <w:right w:val="single" w:sz="6" w:space="0" w:color="auto"/>
            </w:tcBorders>
            <w:hideMark/>
          </w:tcPr>
          <w:p w:rsidR="00994CB8" w:rsidRPr="001B336F" w:rsidRDefault="00994CB8">
            <w:pPr>
              <w:rPr>
                <w:sz w:val="22"/>
                <w:szCs w:val="22"/>
                <w:lang w:eastAsia="da-DK"/>
              </w:rPr>
            </w:pPr>
            <w:proofErr w:type="spellStart"/>
            <w:r w:rsidRPr="001B336F">
              <w:rPr>
                <w:sz w:val="22"/>
                <w:szCs w:val="22"/>
                <w:lang w:eastAsia="da-DK"/>
              </w:rPr>
              <w:t>Kulde</w:t>
            </w:r>
            <w:r w:rsidRPr="001B336F">
              <w:rPr>
                <w:sz w:val="22"/>
                <w:szCs w:val="22"/>
                <w:lang w:eastAsia="da-DK"/>
              </w:rPr>
              <w:softHyphen/>
              <w:t>rystelser</w:t>
            </w:r>
            <w:r w:rsidRPr="001B336F">
              <w:rPr>
                <w:sz w:val="22"/>
                <w:szCs w:val="22"/>
                <w:vertAlign w:val="superscript"/>
                <w:lang w:eastAsia="da-DK"/>
              </w:rPr>
              <w:t>c</w:t>
            </w:r>
            <w:proofErr w:type="spellEnd"/>
            <w:r w:rsidRPr="001B336F">
              <w:rPr>
                <w:sz w:val="22"/>
                <w:szCs w:val="22"/>
                <w:lang w:eastAsia="da-DK"/>
              </w:rPr>
              <w:t xml:space="preserve">. </w:t>
            </w:r>
          </w:p>
          <w:p w:rsidR="00994CB8" w:rsidRPr="001B336F" w:rsidRDefault="00994CB8">
            <w:pPr>
              <w:rPr>
                <w:sz w:val="22"/>
                <w:szCs w:val="22"/>
                <w:lang w:eastAsia="da-DK"/>
              </w:rPr>
            </w:pPr>
            <w:r w:rsidRPr="001B336F">
              <w:rPr>
                <w:sz w:val="22"/>
                <w:szCs w:val="22"/>
                <w:lang w:eastAsia="da-DK"/>
              </w:rPr>
              <w:t>Lokale reaktioner: blodudtrædning.</w:t>
            </w:r>
          </w:p>
        </w:tc>
        <w:tc>
          <w:tcPr>
            <w:tcW w:w="1392"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c>
          <w:tcPr>
            <w:tcW w:w="2268" w:type="dxa"/>
            <w:tcBorders>
              <w:top w:val="single" w:sz="6" w:space="0" w:color="auto"/>
              <w:left w:val="single" w:sz="6" w:space="0" w:color="auto"/>
              <w:bottom w:val="single" w:sz="6" w:space="0" w:color="auto"/>
              <w:right w:val="single" w:sz="6" w:space="0" w:color="auto"/>
            </w:tcBorders>
          </w:tcPr>
          <w:p w:rsidR="00994CB8" w:rsidRPr="001B336F" w:rsidRDefault="00994CB8">
            <w:pPr>
              <w:spacing w:before="40" w:after="40"/>
              <w:rPr>
                <w:sz w:val="22"/>
                <w:szCs w:val="22"/>
                <w:lang w:eastAsia="da-DK"/>
              </w:rPr>
            </w:pPr>
          </w:p>
        </w:tc>
      </w:tr>
      <w:tr w:rsidR="00994CB8" w:rsidRPr="001B336F" w:rsidTr="00994CB8">
        <w:trPr>
          <w:cantSplit/>
        </w:trPr>
        <w:tc>
          <w:tcPr>
            <w:tcW w:w="9214" w:type="dxa"/>
            <w:gridSpan w:val="5"/>
            <w:tcBorders>
              <w:top w:val="single" w:sz="6" w:space="0" w:color="auto"/>
              <w:left w:val="single" w:sz="6" w:space="0" w:color="auto"/>
              <w:bottom w:val="single" w:sz="6" w:space="0" w:color="auto"/>
              <w:right w:val="single" w:sz="6" w:space="0" w:color="auto"/>
            </w:tcBorders>
            <w:hideMark/>
          </w:tcPr>
          <w:p w:rsidR="00994CB8" w:rsidRPr="001B336F" w:rsidRDefault="00994CB8">
            <w:pPr>
              <w:ind w:left="183" w:hanging="183"/>
              <w:rPr>
                <w:sz w:val="22"/>
                <w:lang w:eastAsia="da-DK"/>
              </w:rPr>
            </w:pPr>
            <w:r w:rsidRPr="001B336F">
              <w:rPr>
                <w:sz w:val="22"/>
                <w:vertAlign w:val="superscript"/>
                <w:lang w:eastAsia="da-DK"/>
              </w:rPr>
              <w:t>a</w:t>
            </w:r>
            <w:r w:rsidRPr="001B336F">
              <w:rPr>
                <w:sz w:val="22"/>
                <w:lang w:eastAsia="da-DK"/>
              </w:rPr>
              <w:t xml:space="preserve"> </w:t>
            </w:r>
            <w:r w:rsidRPr="001B336F">
              <w:rPr>
                <w:sz w:val="24"/>
                <w:lang w:eastAsia="da-DK"/>
              </w:rPr>
              <w:tab/>
            </w:r>
            <w:r w:rsidRPr="001B336F">
              <w:rPr>
                <w:sz w:val="22"/>
                <w:lang w:eastAsia="da-DK"/>
              </w:rPr>
              <w:t>Da disse reaktioner rapporteres frivilligt fra en population af usikker størrelse, er det ikke muligt at estimere deres frekvens med sikkerhed eller etablere en årsagssammenhæng med lægemiddel</w:t>
            </w:r>
            <w:r w:rsidRPr="001B336F">
              <w:rPr>
                <w:sz w:val="22"/>
                <w:lang w:eastAsia="da-DK"/>
              </w:rPr>
              <w:softHyphen/>
              <w:t>eksponeringen.</w:t>
            </w:r>
          </w:p>
          <w:p w:rsidR="00994CB8" w:rsidRPr="001B336F" w:rsidRDefault="00994CB8">
            <w:pPr>
              <w:ind w:left="183" w:hanging="183"/>
              <w:rPr>
                <w:sz w:val="22"/>
                <w:lang w:eastAsia="da-DK"/>
              </w:rPr>
            </w:pPr>
            <w:r w:rsidRPr="001B336F">
              <w:rPr>
                <w:sz w:val="22"/>
                <w:vertAlign w:val="superscript"/>
                <w:lang w:eastAsia="da-DK"/>
              </w:rPr>
              <w:t>b</w:t>
            </w:r>
            <w:r w:rsidRPr="001B336F">
              <w:rPr>
                <w:sz w:val="22"/>
                <w:lang w:eastAsia="da-DK"/>
              </w:rPr>
              <w:t xml:space="preserve"> </w:t>
            </w:r>
            <w:r w:rsidRPr="001B336F">
              <w:rPr>
                <w:sz w:val="24"/>
                <w:lang w:eastAsia="da-DK"/>
              </w:rPr>
              <w:tab/>
            </w:r>
            <w:r w:rsidRPr="001B336F">
              <w:rPr>
                <w:sz w:val="22"/>
                <w:lang w:eastAsia="da-DK"/>
              </w:rPr>
              <w:t>Rapporteret hos børn i alderen 6 måneder - 5 år.</w:t>
            </w:r>
          </w:p>
          <w:p w:rsidR="00994CB8" w:rsidRPr="001B336F" w:rsidRDefault="00994CB8">
            <w:pPr>
              <w:ind w:left="183" w:hanging="183"/>
              <w:rPr>
                <w:sz w:val="22"/>
                <w:lang w:eastAsia="da-DK"/>
              </w:rPr>
            </w:pPr>
            <w:r w:rsidRPr="001B336F">
              <w:rPr>
                <w:sz w:val="22"/>
                <w:vertAlign w:val="superscript"/>
                <w:lang w:eastAsia="da-DK"/>
              </w:rPr>
              <w:t>c</w:t>
            </w:r>
            <w:r w:rsidRPr="001B336F">
              <w:rPr>
                <w:sz w:val="22"/>
                <w:lang w:eastAsia="da-DK"/>
              </w:rPr>
              <w:t xml:space="preserve"> </w:t>
            </w:r>
            <w:r w:rsidRPr="001B336F">
              <w:rPr>
                <w:sz w:val="24"/>
                <w:lang w:eastAsia="da-DK"/>
              </w:rPr>
              <w:tab/>
            </w:r>
            <w:r w:rsidRPr="001B336F">
              <w:rPr>
                <w:sz w:val="22"/>
                <w:lang w:eastAsia="da-DK"/>
              </w:rPr>
              <w:t>Rapporteret hos børn i alderen 6-17 år.</w:t>
            </w:r>
          </w:p>
          <w:p w:rsidR="00994CB8" w:rsidRPr="001B336F" w:rsidRDefault="00994CB8">
            <w:pPr>
              <w:ind w:left="183" w:hanging="183"/>
              <w:rPr>
                <w:sz w:val="22"/>
                <w:lang w:eastAsia="da-DK"/>
              </w:rPr>
            </w:pPr>
            <w:r w:rsidRPr="001B336F">
              <w:rPr>
                <w:sz w:val="22"/>
                <w:vertAlign w:val="superscript"/>
                <w:lang w:eastAsia="da-DK"/>
              </w:rPr>
              <w:t>d</w:t>
            </w:r>
            <w:r w:rsidRPr="001B336F">
              <w:rPr>
                <w:sz w:val="22"/>
                <w:lang w:eastAsia="da-DK"/>
              </w:rPr>
              <w:t xml:space="preserve"> </w:t>
            </w:r>
            <w:r w:rsidRPr="001B336F">
              <w:rPr>
                <w:sz w:val="24"/>
                <w:lang w:eastAsia="da-DK"/>
              </w:rPr>
              <w:tab/>
            </w:r>
            <w:r w:rsidRPr="001B336F">
              <w:rPr>
                <w:sz w:val="22"/>
                <w:lang w:eastAsia="da-DK"/>
              </w:rPr>
              <w:t>Rapporteret hos børn i alderen 6-35 måneder.</w:t>
            </w:r>
          </w:p>
          <w:p w:rsidR="00994CB8" w:rsidRPr="001B336F" w:rsidRDefault="00994CB8">
            <w:pPr>
              <w:ind w:left="183" w:hanging="183"/>
              <w:rPr>
                <w:sz w:val="22"/>
                <w:lang w:eastAsia="da-DK"/>
              </w:rPr>
            </w:pPr>
            <w:proofErr w:type="gramStart"/>
            <w:r w:rsidRPr="001B336F">
              <w:rPr>
                <w:sz w:val="22"/>
                <w:vertAlign w:val="superscript"/>
                <w:lang w:eastAsia="da-DK"/>
              </w:rPr>
              <w:t>e</w:t>
            </w:r>
            <w:r w:rsidRPr="001B336F">
              <w:rPr>
                <w:sz w:val="22"/>
                <w:lang w:eastAsia="da-DK"/>
              </w:rPr>
              <w:t xml:space="preserve">  Rapporteret</w:t>
            </w:r>
            <w:proofErr w:type="gramEnd"/>
            <w:r w:rsidRPr="001B336F">
              <w:rPr>
                <w:sz w:val="22"/>
                <w:lang w:eastAsia="da-DK"/>
              </w:rPr>
              <w:t xml:space="preserve"> hos børn i alderen 3-5 år.</w:t>
            </w:r>
          </w:p>
          <w:p w:rsidR="00994CB8" w:rsidRPr="001B336F" w:rsidRDefault="00994CB8">
            <w:pPr>
              <w:ind w:left="183" w:hanging="183"/>
              <w:rPr>
                <w:sz w:val="24"/>
                <w:lang w:eastAsia="da-DK"/>
              </w:rPr>
            </w:pPr>
            <w:proofErr w:type="gramStart"/>
            <w:r w:rsidRPr="001B336F">
              <w:rPr>
                <w:sz w:val="22"/>
                <w:vertAlign w:val="superscript"/>
                <w:lang w:eastAsia="da-DK"/>
              </w:rPr>
              <w:t>f</w:t>
            </w:r>
            <w:r w:rsidRPr="001B336F">
              <w:rPr>
                <w:sz w:val="22"/>
                <w:lang w:eastAsia="da-DK"/>
              </w:rPr>
              <w:t xml:space="preserve">  Rapporteret</w:t>
            </w:r>
            <w:proofErr w:type="gramEnd"/>
            <w:r w:rsidRPr="001B336F">
              <w:rPr>
                <w:sz w:val="22"/>
                <w:lang w:eastAsia="da-DK"/>
              </w:rPr>
              <w:t xml:space="preserve"> hos børn i alderen 3-17 år. </w:t>
            </w:r>
          </w:p>
        </w:tc>
      </w:tr>
    </w:tbl>
    <w:p w:rsidR="00994CB8" w:rsidRDefault="00994CB8" w:rsidP="00994CB8">
      <w:pPr>
        <w:tabs>
          <w:tab w:val="left" w:pos="851"/>
        </w:tabs>
        <w:ind w:left="851"/>
        <w:rPr>
          <w:sz w:val="24"/>
          <w:lang w:eastAsia="da-DK"/>
        </w:rPr>
      </w:pPr>
    </w:p>
    <w:p w:rsidR="00965590" w:rsidRPr="008F49E1" w:rsidRDefault="00965590" w:rsidP="0096559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965590" w:rsidRPr="008F49E1" w:rsidRDefault="00965590" w:rsidP="0096559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8D088B">
        <w:rPr>
          <w:sz w:val="24"/>
          <w:szCs w:val="24"/>
          <w:lang w:eastAsia="da-DK"/>
        </w:rPr>
        <w:t>S</w:t>
      </w:r>
      <w:r w:rsidRPr="008F49E1">
        <w:rPr>
          <w:sz w:val="24"/>
          <w:szCs w:val="24"/>
          <w:lang w:eastAsia="da-DK"/>
        </w:rPr>
        <w:t>undhedsperson</w:t>
      </w:r>
      <w:r w:rsidR="008D088B">
        <w:rPr>
          <w:sz w:val="24"/>
          <w:szCs w:val="24"/>
          <w:lang w:eastAsia="da-DK"/>
        </w:rPr>
        <w:t>er</w:t>
      </w:r>
      <w:r w:rsidRPr="008F49E1">
        <w:rPr>
          <w:sz w:val="24"/>
          <w:szCs w:val="24"/>
          <w:lang w:eastAsia="da-DK"/>
        </w:rPr>
        <w:t xml:space="preserve"> anmodes om at indberette alle formodede bivirkninger via:</w:t>
      </w:r>
    </w:p>
    <w:p w:rsidR="00965590" w:rsidRPr="008F49E1" w:rsidRDefault="00965590" w:rsidP="00965590">
      <w:pPr>
        <w:ind w:left="851"/>
        <w:rPr>
          <w:sz w:val="24"/>
          <w:szCs w:val="24"/>
          <w:lang w:eastAsia="da-DK"/>
        </w:rPr>
      </w:pPr>
    </w:p>
    <w:p w:rsidR="00965590" w:rsidRPr="007A276A" w:rsidRDefault="00965590" w:rsidP="00965590">
      <w:pPr>
        <w:ind w:left="851"/>
        <w:rPr>
          <w:sz w:val="24"/>
          <w:szCs w:val="24"/>
          <w:lang w:eastAsia="da-DK"/>
        </w:rPr>
      </w:pPr>
      <w:r w:rsidRPr="007A276A">
        <w:rPr>
          <w:sz w:val="24"/>
          <w:szCs w:val="24"/>
          <w:lang w:eastAsia="da-DK"/>
        </w:rPr>
        <w:t>Lægemiddelstyrelsen</w:t>
      </w:r>
    </w:p>
    <w:p w:rsidR="00965590" w:rsidRPr="007A276A" w:rsidRDefault="00965590" w:rsidP="00965590">
      <w:pPr>
        <w:ind w:left="851"/>
        <w:rPr>
          <w:sz w:val="24"/>
          <w:szCs w:val="24"/>
          <w:lang w:eastAsia="da-DK"/>
        </w:rPr>
      </w:pPr>
      <w:r w:rsidRPr="007A276A">
        <w:rPr>
          <w:sz w:val="24"/>
          <w:szCs w:val="24"/>
          <w:lang w:eastAsia="da-DK"/>
        </w:rPr>
        <w:t>Axel Heides Gade 1</w:t>
      </w:r>
    </w:p>
    <w:p w:rsidR="00965590" w:rsidRPr="007A276A" w:rsidRDefault="00965590" w:rsidP="00965590">
      <w:pPr>
        <w:ind w:left="851"/>
        <w:rPr>
          <w:sz w:val="24"/>
          <w:szCs w:val="24"/>
          <w:lang w:eastAsia="da-DK"/>
        </w:rPr>
      </w:pPr>
      <w:r w:rsidRPr="007A276A">
        <w:rPr>
          <w:sz w:val="24"/>
          <w:szCs w:val="24"/>
          <w:lang w:eastAsia="da-DK"/>
        </w:rPr>
        <w:t>DK-2300 København S</w:t>
      </w:r>
    </w:p>
    <w:p w:rsidR="00965590" w:rsidRPr="00464FD7" w:rsidRDefault="00965590" w:rsidP="00965590">
      <w:pPr>
        <w:ind w:left="851"/>
        <w:rPr>
          <w:sz w:val="24"/>
          <w:szCs w:val="24"/>
          <w:lang w:eastAsia="da-DK"/>
        </w:rPr>
      </w:pPr>
      <w:r w:rsidRPr="00464FD7">
        <w:rPr>
          <w:sz w:val="24"/>
          <w:szCs w:val="24"/>
          <w:lang w:eastAsia="da-DK"/>
        </w:rPr>
        <w:t xml:space="preserve">Websted: </w:t>
      </w:r>
      <w:hyperlink r:id="rId8" w:history="1">
        <w:r w:rsidR="0056653A" w:rsidRPr="00B66CE4">
          <w:rPr>
            <w:rStyle w:val="Hyperlink"/>
            <w:sz w:val="24"/>
            <w:lang w:eastAsia="da-DK"/>
          </w:rPr>
          <w:t>www.meldenbivirkning.dk</w:t>
        </w:r>
      </w:hyperlink>
      <w:r w:rsidR="0056653A">
        <w:rPr>
          <w:sz w:val="24"/>
          <w:lang w:eastAsia="da-DK"/>
        </w:rPr>
        <w:t xml:space="preserve"> </w:t>
      </w:r>
    </w:p>
    <w:p w:rsidR="00965590" w:rsidRPr="00464FD7" w:rsidRDefault="00965590" w:rsidP="00965590">
      <w:pPr>
        <w:pStyle w:val="Sidehoved"/>
        <w:tabs>
          <w:tab w:val="left" w:pos="851"/>
        </w:tabs>
        <w:ind w:left="851"/>
        <w:rPr>
          <w:szCs w:val="24"/>
        </w:rPr>
      </w:pPr>
    </w:p>
    <w:p w:rsidR="00965590" w:rsidRPr="00C84483" w:rsidRDefault="00965590" w:rsidP="00965590">
      <w:pPr>
        <w:tabs>
          <w:tab w:val="left" w:pos="851"/>
        </w:tabs>
        <w:ind w:left="851" w:hanging="851"/>
        <w:rPr>
          <w:b/>
          <w:sz w:val="24"/>
          <w:szCs w:val="24"/>
        </w:rPr>
      </w:pPr>
      <w:r w:rsidRPr="00C84483">
        <w:rPr>
          <w:b/>
          <w:sz w:val="24"/>
          <w:szCs w:val="24"/>
        </w:rPr>
        <w:t>4.9</w:t>
      </w:r>
      <w:r w:rsidRPr="00C84483">
        <w:rPr>
          <w:b/>
          <w:sz w:val="24"/>
          <w:szCs w:val="24"/>
        </w:rPr>
        <w:tab/>
        <w:t>Overdosering</w:t>
      </w:r>
    </w:p>
    <w:p w:rsidR="00965590" w:rsidRPr="004162C6" w:rsidRDefault="00965590" w:rsidP="00965590">
      <w:pPr>
        <w:tabs>
          <w:tab w:val="left" w:pos="851"/>
        </w:tabs>
        <w:ind w:left="851"/>
        <w:rPr>
          <w:sz w:val="24"/>
          <w:lang w:eastAsia="da-DK"/>
        </w:rPr>
      </w:pPr>
      <w:r w:rsidRPr="00127520">
        <w:rPr>
          <w:sz w:val="24"/>
          <w:lang w:eastAsia="da-DK"/>
        </w:rPr>
        <w:t>Det er usandsynligt, at en overdosering vil give nogen uønsket effekt.</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4.10</w:t>
      </w:r>
      <w:r w:rsidRPr="00C84483">
        <w:rPr>
          <w:b/>
          <w:sz w:val="24"/>
          <w:szCs w:val="24"/>
        </w:rPr>
        <w:tab/>
        <w:t>Udlevering</w:t>
      </w:r>
    </w:p>
    <w:p w:rsidR="00965590" w:rsidRPr="00C84483" w:rsidRDefault="00965590" w:rsidP="00965590">
      <w:pPr>
        <w:tabs>
          <w:tab w:val="left" w:pos="851"/>
        </w:tabs>
        <w:ind w:left="851"/>
        <w:rPr>
          <w:sz w:val="24"/>
          <w:szCs w:val="24"/>
        </w:rPr>
      </w:pPr>
      <w:r>
        <w:rPr>
          <w:sz w:val="24"/>
          <w:szCs w:val="24"/>
        </w:rPr>
        <w:t>B</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65590" w:rsidRPr="000738CF" w:rsidRDefault="00965590" w:rsidP="00965590">
      <w:pPr>
        <w:tabs>
          <w:tab w:val="left" w:pos="851"/>
        </w:tabs>
        <w:ind w:left="851"/>
        <w:rPr>
          <w:sz w:val="24"/>
          <w:szCs w:val="24"/>
        </w:rPr>
      </w:pPr>
    </w:p>
    <w:p w:rsidR="00965590" w:rsidRPr="00C84483" w:rsidRDefault="00965590" w:rsidP="0096559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65590" w:rsidRDefault="003F1018" w:rsidP="003F1018">
      <w:pPr>
        <w:tabs>
          <w:tab w:val="left" w:pos="851"/>
        </w:tabs>
        <w:ind w:left="851" w:hanging="851"/>
        <w:rPr>
          <w:sz w:val="24"/>
          <w:u w:val="single"/>
          <w:lang w:eastAsia="da-DK"/>
        </w:rPr>
      </w:pPr>
      <w:r w:rsidRPr="003F1018">
        <w:rPr>
          <w:sz w:val="24"/>
          <w:szCs w:val="24"/>
        </w:rPr>
        <w:tab/>
      </w:r>
      <w:proofErr w:type="spellStart"/>
      <w:r w:rsidRPr="003F1018">
        <w:rPr>
          <w:sz w:val="24"/>
          <w:szCs w:val="24"/>
        </w:rPr>
        <w:t>Farmakoterapeutisk</w:t>
      </w:r>
      <w:proofErr w:type="spellEnd"/>
      <w:r w:rsidRPr="003F1018">
        <w:rPr>
          <w:sz w:val="24"/>
          <w:szCs w:val="24"/>
        </w:rPr>
        <w:t xml:space="preserve"> klassifikation</w:t>
      </w:r>
      <w:r>
        <w:rPr>
          <w:sz w:val="24"/>
          <w:szCs w:val="24"/>
        </w:rPr>
        <w:t xml:space="preserve">: </w:t>
      </w:r>
      <w:r w:rsidRPr="003F1018">
        <w:rPr>
          <w:sz w:val="24"/>
          <w:lang w:eastAsia="da-DK"/>
        </w:rPr>
        <w:t>Influenza vacciner.</w:t>
      </w:r>
      <w:r>
        <w:rPr>
          <w:sz w:val="24"/>
          <w:lang w:eastAsia="da-DK"/>
        </w:rPr>
        <w:t xml:space="preserve"> </w:t>
      </w:r>
      <w:r w:rsidRPr="003F1018">
        <w:rPr>
          <w:sz w:val="24"/>
          <w:lang w:eastAsia="da-DK"/>
        </w:rPr>
        <w:t>ATC-kode: J 07 BB 02.</w:t>
      </w:r>
    </w:p>
    <w:p w:rsidR="003F1018" w:rsidRDefault="003F1018" w:rsidP="00965590">
      <w:pPr>
        <w:tabs>
          <w:tab w:val="left" w:pos="851"/>
        </w:tabs>
        <w:ind w:left="851"/>
        <w:rPr>
          <w:sz w:val="24"/>
          <w:u w:val="single"/>
          <w:lang w:eastAsia="da-DK"/>
        </w:rPr>
      </w:pPr>
    </w:p>
    <w:p w:rsidR="00D87AA1" w:rsidRDefault="00D87AA1" w:rsidP="00D87AA1">
      <w:pPr>
        <w:tabs>
          <w:tab w:val="left" w:pos="851"/>
        </w:tabs>
        <w:ind w:left="851"/>
        <w:rPr>
          <w:b/>
          <w:bCs/>
          <w:noProof/>
          <w:sz w:val="24"/>
          <w:szCs w:val="22"/>
          <w:lang w:eastAsia="da-DK"/>
        </w:rPr>
      </w:pPr>
      <w:r>
        <w:rPr>
          <w:b/>
          <w:sz w:val="24"/>
          <w:lang w:eastAsia="da-DK"/>
        </w:rPr>
        <w:t>Virkningsmekanisme</w:t>
      </w:r>
    </w:p>
    <w:p w:rsidR="00D87AA1" w:rsidRDefault="00D87AA1" w:rsidP="00D87AA1">
      <w:pPr>
        <w:tabs>
          <w:tab w:val="left" w:pos="851"/>
        </w:tabs>
        <w:ind w:left="851"/>
        <w:rPr>
          <w:sz w:val="24"/>
          <w:lang w:eastAsia="da-DK"/>
        </w:rPr>
      </w:pPr>
      <w:proofErr w:type="spellStart"/>
      <w:r>
        <w:rPr>
          <w:sz w:val="24"/>
          <w:lang w:eastAsia="da-DK"/>
        </w:rPr>
        <w:t>Influvactetra</w:t>
      </w:r>
      <w:proofErr w:type="spellEnd"/>
      <w:r>
        <w:rPr>
          <w:sz w:val="24"/>
          <w:lang w:eastAsia="da-DK"/>
        </w:rPr>
        <w:t xml:space="preserve"> giver aktiv immunisering mod fire influenzavirusstammer: en A/(H1N1) stamme, en A/(H3N2) stamme og to B stammer (en fra hver slægt, B/(Victoria) og B/(</w:t>
      </w:r>
      <w:proofErr w:type="spellStart"/>
      <w:r>
        <w:rPr>
          <w:sz w:val="24"/>
          <w:lang w:eastAsia="da-DK"/>
        </w:rPr>
        <w:t>Yamagata</w:t>
      </w:r>
      <w:proofErr w:type="spellEnd"/>
      <w:r>
        <w:rPr>
          <w:sz w:val="24"/>
          <w:lang w:eastAsia="da-DK"/>
        </w:rPr>
        <w:t xml:space="preserve">)). </w:t>
      </w:r>
      <w:proofErr w:type="spellStart"/>
      <w:r>
        <w:rPr>
          <w:sz w:val="24"/>
          <w:lang w:eastAsia="da-DK"/>
        </w:rPr>
        <w:t>Influvactetra</w:t>
      </w:r>
      <w:proofErr w:type="spellEnd"/>
      <w:r>
        <w:rPr>
          <w:sz w:val="24"/>
          <w:lang w:eastAsia="da-DK"/>
        </w:rPr>
        <w:t xml:space="preserve"> er fremstillet efter samme fremgangsmåde som den trivalente influenzavaccine </w:t>
      </w:r>
      <w:proofErr w:type="spellStart"/>
      <w:r>
        <w:rPr>
          <w:sz w:val="24"/>
          <w:lang w:eastAsia="da-DK"/>
        </w:rPr>
        <w:t>Influvac</w:t>
      </w:r>
      <w:proofErr w:type="spellEnd"/>
      <w:r>
        <w:rPr>
          <w:sz w:val="24"/>
          <w:lang w:eastAsia="da-DK"/>
        </w:rPr>
        <w:t xml:space="preserve">, og inducerer humorale antistoffer mod </w:t>
      </w:r>
      <w:proofErr w:type="spellStart"/>
      <w:r>
        <w:rPr>
          <w:sz w:val="24"/>
          <w:lang w:eastAsia="da-DK"/>
        </w:rPr>
        <w:t>hæmagglutininerne</w:t>
      </w:r>
      <w:proofErr w:type="spellEnd"/>
      <w:r>
        <w:rPr>
          <w:sz w:val="24"/>
          <w:lang w:eastAsia="da-DK"/>
        </w:rPr>
        <w:t xml:space="preserve">. Disse antistoffer neutraliserer influenzavirus. Specifikke niveauer af </w:t>
      </w:r>
      <w:proofErr w:type="spellStart"/>
      <w:r>
        <w:rPr>
          <w:sz w:val="24"/>
          <w:lang w:eastAsia="da-DK"/>
        </w:rPr>
        <w:t>hæmag</w:t>
      </w:r>
      <w:r>
        <w:rPr>
          <w:sz w:val="24"/>
          <w:lang w:eastAsia="da-DK"/>
        </w:rPr>
        <w:softHyphen/>
        <w:t>glutinations</w:t>
      </w:r>
      <w:r>
        <w:rPr>
          <w:sz w:val="24"/>
          <w:lang w:eastAsia="da-DK"/>
        </w:rPr>
        <w:softHyphen/>
        <w:t>inhibering</w:t>
      </w:r>
      <w:proofErr w:type="spellEnd"/>
      <w:r>
        <w:rPr>
          <w:sz w:val="24"/>
          <w:lang w:eastAsia="da-DK"/>
        </w:rPr>
        <w:t xml:space="preserve"> (HI) </w:t>
      </w:r>
      <w:proofErr w:type="spellStart"/>
      <w:r>
        <w:rPr>
          <w:sz w:val="24"/>
          <w:lang w:eastAsia="da-DK"/>
        </w:rPr>
        <w:t>antistoftiter</w:t>
      </w:r>
      <w:proofErr w:type="spellEnd"/>
      <w:r>
        <w:rPr>
          <w:sz w:val="24"/>
          <w:lang w:eastAsia="da-DK"/>
        </w:rPr>
        <w:t xml:space="preserve"> efter vaccination med inaktiveret influenzavirusvacciner er ikke blevet korreleret med beskyttelse mod influenzasygdom, men HI </w:t>
      </w:r>
      <w:proofErr w:type="spellStart"/>
      <w:r>
        <w:rPr>
          <w:sz w:val="24"/>
          <w:lang w:eastAsia="da-DK"/>
        </w:rPr>
        <w:t>antistoftitere</w:t>
      </w:r>
      <w:proofErr w:type="spellEnd"/>
      <w:r>
        <w:rPr>
          <w:sz w:val="24"/>
          <w:lang w:eastAsia="da-DK"/>
        </w:rPr>
        <w:t xml:space="preserve"> er blevet anvendt som et mål for vaccineaktivitet.</w:t>
      </w:r>
    </w:p>
    <w:p w:rsidR="00D87AA1" w:rsidRDefault="00D87AA1" w:rsidP="00D87AA1">
      <w:pPr>
        <w:tabs>
          <w:tab w:val="left" w:pos="851"/>
        </w:tabs>
        <w:ind w:left="851"/>
        <w:rPr>
          <w:sz w:val="24"/>
          <w:lang w:eastAsia="da-DK"/>
        </w:rPr>
      </w:pPr>
    </w:p>
    <w:p w:rsidR="00D87AA1" w:rsidRDefault="00D87AA1" w:rsidP="00D87AA1">
      <w:pPr>
        <w:tabs>
          <w:tab w:val="left" w:pos="851"/>
        </w:tabs>
        <w:ind w:left="851"/>
        <w:rPr>
          <w:sz w:val="24"/>
          <w:lang w:eastAsia="da-DK"/>
        </w:rPr>
      </w:pPr>
      <w:r>
        <w:rPr>
          <w:sz w:val="24"/>
          <w:lang w:eastAsia="da-DK"/>
        </w:rPr>
        <w:t xml:space="preserve">En immunrespons opnås sædvanligvis inden for 2 til 3 uger. Varigheden af </w:t>
      </w:r>
      <w:proofErr w:type="spellStart"/>
      <w:r>
        <w:rPr>
          <w:sz w:val="24"/>
          <w:lang w:eastAsia="da-DK"/>
        </w:rPr>
        <w:t>postvaccinal</w:t>
      </w:r>
      <w:proofErr w:type="spellEnd"/>
      <w:r>
        <w:rPr>
          <w:sz w:val="24"/>
          <w:lang w:eastAsia="da-DK"/>
        </w:rPr>
        <w:t xml:space="preserve"> immunitet over for homologe stammer eller på stammer tæt forbundet med vaccine</w:t>
      </w:r>
      <w:r>
        <w:rPr>
          <w:sz w:val="24"/>
          <w:lang w:eastAsia="da-DK"/>
        </w:rPr>
        <w:softHyphen/>
        <w:t>stammerne varierer, men er normalt 6-12 måneder.</w:t>
      </w:r>
    </w:p>
    <w:p w:rsidR="00D87AA1" w:rsidRDefault="00D87AA1" w:rsidP="00D87AA1">
      <w:pPr>
        <w:tabs>
          <w:tab w:val="left" w:pos="851"/>
        </w:tabs>
        <w:ind w:left="851"/>
        <w:rPr>
          <w:sz w:val="24"/>
          <w:lang w:eastAsia="da-DK"/>
        </w:rPr>
      </w:pPr>
    </w:p>
    <w:p w:rsidR="00D87AA1" w:rsidRDefault="00D87AA1" w:rsidP="00D87AA1">
      <w:pPr>
        <w:tabs>
          <w:tab w:val="left" w:pos="851"/>
        </w:tabs>
        <w:ind w:left="851"/>
        <w:rPr>
          <w:b/>
          <w:sz w:val="24"/>
          <w:lang w:eastAsia="da-DK"/>
        </w:rPr>
      </w:pPr>
      <w:proofErr w:type="spellStart"/>
      <w:r>
        <w:rPr>
          <w:b/>
          <w:sz w:val="24"/>
          <w:lang w:eastAsia="da-DK"/>
        </w:rPr>
        <w:t>Farmakodynamisk</w:t>
      </w:r>
      <w:proofErr w:type="spellEnd"/>
      <w:r>
        <w:rPr>
          <w:b/>
          <w:sz w:val="24"/>
          <w:lang w:eastAsia="da-DK"/>
        </w:rPr>
        <w:t xml:space="preserve"> virkning</w:t>
      </w:r>
    </w:p>
    <w:p w:rsidR="00D87AA1" w:rsidRDefault="00D87AA1" w:rsidP="00D87AA1">
      <w:pPr>
        <w:tabs>
          <w:tab w:val="left" w:pos="851"/>
        </w:tabs>
        <w:ind w:left="851"/>
        <w:rPr>
          <w:sz w:val="24"/>
          <w:u w:val="single"/>
          <w:lang w:eastAsia="da-DK"/>
        </w:rPr>
      </w:pPr>
      <w:r>
        <w:rPr>
          <w:sz w:val="24"/>
          <w:u w:val="single"/>
          <w:lang w:eastAsia="da-DK"/>
        </w:rPr>
        <w:t xml:space="preserve">Effekten af </w:t>
      </w:r>
      <w:proofErr w:type="spellStart"/>
      <w:r>
        <w:rPr>
          <w:sz w:val="24"/>
          <w:u w:val="single"/>
          <w:lang w:eastAsia="da-DK"/>
        </w:rPr>
        <w:t>Influvactetra</w:t>
      </w:r>
      <w:proofErr w:type="spellEnd"/>
      <w:r>
        <w:rPr>
          <w:sz w:val="24"/>
          <w:u w:val="single"/>
          <w:lang w:eastAsia="da-DK"/>
        </w:rPr>
        <w:t xml:space="preserve"> hos børn i alderen 6-35 måneder:</w:t>
      </w:r>
    </w:p>
    <w:p w:rsidR="00D87AA1" w:rsidRDefault="00D87AA1" w:rsidP="00D87AA1">
      <w:pPr>
        <w:tabs>
          <w:tab w:val="left" w:pos="851"/>
        </w:tabs>
        <w:ind w:left="851"/>
        <w:rPr>
          <w:sz w:val="24"/>
          <w:lang w:eastAsia="da-DK"/>
        </w:rPr>
      </w:pPr>
    </w:p>
    <w:p w:rsidR="00301D05" w:rsidRDefault="00D87AA1" w:rsidP="00D87AA1">
      <w:pPr>
        <w:tabs>
          <w:tab w:val="left" w:pos="851"/>
        </w:tabs>
        <w:ind w:left="851"/>
        <w:rPr>
          <w:sz w:val="24"/>
          <w:lang w:eastAsia="da-DK"/>
        </w:rPr>
      </w:pPr>
      <w:r>
        <w:rPr>
          <w:sz w:val="24"/>
          <w:lang w:eastAsia="da-DK"/>
        </w:rPr>
        <w:t xml:space="preserve">Effekten af </w:t>
      </w:r>
      <w:proofErr w:type="spellStart"/>
      <w:r>
        <w:rPr>
          <w:sz w:val="24"/>
          <w:lang w:eastAsia="da-DK"/>
        </w:rPr>
        <w:t>Influvactetra</w:t>
      </w:r>
      <w:proofErr w:type="spellEnd"/>
      <w:r>
        <w:rPr>
          <w:sz w:val="24"/>
          <w:lang w:eastAsia="da-DK"/>
        </w:rPr>
        <w:t xml:space="preserve"> blev undersøgt i et randomiseret, observatørblindet, non-influenza vaccinekontrolleret studie (INFQ3003) udført henover 3 influenzasæsoner 2017-2019 i Europa og Asien. Raske individer i alderen 6-35 måneder modtog to doser af </w:t>
      </w:r>
      <w:proofErr w:type="spellStart"/>
      <w:r>
        <w:rPr>
          <w:sz w:val="24"/>
          <w:lang w:eastAsia="da-DK"/>
        </w:rPr>
        <w:t>Influvactetra</w:t>
      </w:r>
      <w:proofErr w:type="spellEnd"/>
      <w:r>
        <w:rPr>
          <w:sz w:val="24"/>
          <w:lang w:eastAsia="da-DK"/>
        </w:rPr>
        <w:t xml:space="preserve"> (N=1005) eller non-influenza kontrolvaccine (N=995) cirka 28 dage forskudt. Effekten af </w:t>
      </w:r>
      <w:proofErr w:type="spellStart"/>
      <w:r>
        <w:rPr>
          <w:sz w:val="24"/>
          <w:lang w:eastAsia="da-DK"/>
        </w:rPr>
        <w:t>Influvactetra</w:t>
      </w:r>
      <w:proofErr w:type="spellEnd"/>
      <w:r>
        <w:rPr>
          <w:sz w:val="24"/>
          <w:lang w:eastAsia="da-DK"/>
        </w:rPr>
        <w:t xml:space="preserve"> blev undersøgt for forebyggelse af revers </w:t>
      </w:r>
      <w:proofErr w:type="spellStart"/>
      <w:r>
        <w:rPr>
          <w:sz w:val="24"/>
          <w:lang w:eastAsia="da-DK"/>
        </w:rPr>
        <w:t>transkriptasepolymerasekædereaktion</w:t>
      </w:r>
      <w:proofErr w:type="spellEnd"/>
      <w:r>
        <w:rPr>
          <w:sz w:val="24"/>
          <w:lang w:eastAsia="da-DK"/>
        </w:rPr>
        <w:t xml:space="preserve"> (RT-</w:t>
      </w:r>
      <w:proofErr w:type="gramStart"/>
      <w:r>
        <w:rPr>
          <w:sz w:val="24"/>
          <w:lang w:eastAsia="da-DK"/>
        </w:rPr>
        <w:t>PCR)-</w:t>
      </w:r>
      <w:proofErr w:type="gramEnd"/>
      <w:r>
        <w:rPr>
          <w:sz w:val="24"/>
          <w:lang w:eastAsia="da-DK"/>
        </w:rPr>
        <w:t xml:space="preserve">bekræftet influenza A og/eller B sygdom forårsaget af enhver influenzastamme. Alle RT-PCT-positive prøver blev yderligere testet for levedygtighed i cellekultur for at afgøre, om de cirkulerende virale stammer matchede dem i vaccinen.  </w:t>
      </w:r>
    </w:p>
    <w:p w:rsidR="00D87AA1" w:rsidRDefault="00D87AA1" w:rsidP="00D87AA1">
      <w:pPr>
        <w:tabs>
          <w:tab w:val="left" w:pos="851"/>
        </w:tabs>
        <w:ind w:left="851"/>
        <w:rPr>
          <w:sz w:val="24"/>
          <w:lang w:eastAsia="da-DK"/>
        </w:rPr>
      </w:pPr>
      <w:r>
        <w:rPr>
          <w:sz w:val="24"/>
          <w:lang w:eastAsia="da-DK"/>
        </w:rPr>
        <w:t xml:space="preserve">  </w:t>
      </w:r>
    </w:p>
    <w:p w:rsidR="00D87AA1" w:rsidRDefault="00D87AA1" w:rsidP="00D87AA1">
      <w:pPr>
        <w:pStyle w:val="Paragraph"/>
        <w:ind w:firstLine="851"/>
        <w:rPr>
          <w:lang w:val="da-DK"/>
        </w:rPr>
      </w:pPr>
      <w:r>
        <w:rPr>
          <w:lang w:val="da-DK"/>
        </w:rPr>
        <w:t>Tabel: Effekt hos børn i alderen 6 – 35 måneder</w:t>
      </w:r>
    </w:p>
    <w:tbl>
      <w:tblPr>
        <w:tblStyle w:val="Tabel-Gitter"/>
        <w:tblW w:w="0" w:type="auto"/>
        <w:tblInd w:w="874"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65"/>
        <w:gridCol w:w="1800"/>
        <w:gridCol w:w="1800"/>
        <w:gridCol w:w="1800"/>
      </w:tblGrid>
      <w:tr w:rsidR="00D87AA1" w:rsidTr="00D87AA1">
        <w:tc>
          <w:tcPr>
            <w:tcW w:w="2865" w:type="dxa"/>
            <w:tcBorders>
              <w:top w:val="double" w:sz="4" w:space="0" w:color="auto"/>
              <w:left w:val="double" w:sz="4" w:space="0" w:color="auto"/>
              <w:bottom w:val="single" w:sz="4" w:space="0" w:color="auto"/>
              <w:right w:val="single" w:sz="4" w:space="0" w:color="auto"/>
            </w:tcBorders>
          </w:tcPr>
          <w:p w:rsidR="00D87AA1" w:rsidRPr="00D87AA1" w:rsidRDefault="00D87AA1">
            <w:pPr>
              <w:rPr>
                <w:color w:val="000000"/>
                <w:sz w:val="22"/>
                <w:szCs w:val="22"/>
                <w:lang w:val="da-DK"/>
              </w:rPr>
            </w:pPr>
          </w:p>
        </w:tc>
        <w:tc>
          <w:tcPr>
            <w:tcW w:w="1800" w:type="dxa"/>
            <w:tcBorders>
              <w:top w:val="double" w:sz="4" w:space="0" w:color="auto"/>
              <w:left w:val="single" w:sz="4" w:space="0" w:color="auto"/>
              <w:bottom w:val="single" w:sz="4" w:space="0" w:color="auto"/>
              <w:right w:val="single" w:sz="4" w:space="0" w:color="auto"/>
            </w:tcBorders>
          </w:tcPr>
          <w:p w:rsidR="00D87AA1" w:rsidRDefault="00D87AA1">
            <w:pPr>
              <w:rPr>
                <w:i/>
                <w:color w:val="000000"/>
                <w:sz w:val="22"/>
                <w:szCs w:val="22"/>
              </w:rPr>
            </w:pPr>
            <w:proofErr w:type="spellStart"/>
            <w:r>
              <w:rPr>
                <w:i/>
                <w:color w:val="000000"/>
                <w:sz w:val="22"/>
                <w:szCs w:val="22"/>
              </w:rPr>
              <w:t>Influvactetra</w:t>
            </w:r>
            <w:proofErr w:type="spellEnd"/>
          </w:p>
          <w:p w:rsidR="00D87AA1" w:rsidRDefault="00D87AA1">
            <w:pPr>
              <w:rPr>
                <w:color w:val="000000"/>
                <w:sz w:val="22"/>
                <w:szCs w:val="22"/>
              </w:rPr>
            </w:pPr>
          </w:p>
          <w:p w:rsidR="00D87AA1" w:rsidRDefault="00D87AA1">
            <w:pPr>
              <w:rPr>
                <w:color w:val="000000"/>
                <w:sz w:val="22"/>
                <w:szCs w:val="22"/>
              </w:rPr>
            </w:pPr>
            <w:r>
              <w:rPr>
                <w:color w:val="000000"/>
                <w:sz w:val="22"/>
                <w:szCs w:val="22"/>
              </w:rPr>
              <w:t>N=1005</w:t>
            </w:r>
          </w:p>
        </w:tc>
        <w:tc>
          <w:tcPr>
            <w:tcW w:w="1800" w:type="dxa"/>
            <w:tcBorders>
              <w:top w:val="double" w:sz="4" w:space="0" w:color="auto"/>
              <w:left w:val="single" w:sz="4" w:space="0" w:color="auto"/>
              <w:bottom w:val="single" w:sz="4" w:space="0" w:color="auto"/>
              <w:right w:val="single" w:sz="4" w:space="0" w:color="auto"/>
            </w:tcBorders>
            <w:hideMark/>
          </w:tcPr>
          <w:p w:rsidR="00D87AA1" w:rsidRDefault="00D87AA1">
            <w:pPr>
              <w:tabs>
                <w:tab w:val="clear" w:pos="1080"/>
                <w:tab w:val="left" w:pos="1304"/>
              </w:tabs>
              <w:suppressAutoHyphens w:val="0"/>
              <w:rPr>
                <w:color w:val="000000"/>
                <w:sz w:val="22"/>
                <w:szCs w:val="22"/>
                <w:lang w:val="fr-FR"/>
              </w:rPr>
            </w:pPr>
            <w:r>
              <w:rPr>
                <w:color w:val="000000"/>
                <w:sz w:val="22"/>
                <w:szCs w:val="22"/>
                <w:lang w:val="fr-FR"/>
              </w:rPr>
              <w:t>Non-influenza kontrolvaccine</w:t>
            </w:r>
          </w:p>
          <w:p w:rsidR="00D87AA1" w:rsidRDefault="00D87AA1">
            <w:pPr>
              <w:tabs>
                <w:tab w:val="clear" w:pos="1080"/>
                <w:tab w:val="left" w:pos="1304"/>
              </w:tabs>
              <w:suppressAutoHyphens w:val="0"/>
              <w:rPr>
                <w:color w:val="000000"/>
                <w:sz w:val="22"/>
                <w:szCs w:val="22"/>
                <w:lang w:val="fr-FR"/>
              </w:rPr>
            </w:pPr>
            <w:r>
              <w:rPr>
                <w:color w:val="000000"/>
                <w:sz w:val="22"/>
                <w:szCs w:val="22"/>
                <w:lang w:val="fr-FR"/>
              </w:rPr>
              <w:t>N=995</w:t>
            </w:r>
          </w:p>
        </w:tc>
        <w:tc>
          <w:tcPr>
            <w:tcW w:w="1800" w:type="dxa"/>
            <w:tcBorders>
              <w:top w:val="double" w:sz="4" w:space="0" w:color="auto"/>
              <w:left w:val="single" w:sz="4" w:space="0" w:color="auto"/>
              <w:bottom w:val="single" w:sz="4" w:space="0" w:color="auto"/>
              <w:right w:val="double" w:sz="4" w:space="0" w:color="auto"/>
            </w:tcBorders>
            <w:hideMark/>
          </w:tcPr>
          <w:p w:rsidR="00D87AA1" w:rsidRDefault="00D87AA1">
            <w:pPr>
              <w:tabs>
                <w:tab w:val="clear" w:pos="1080"/>
                <w:tab w:val="left" w:pos="1304"/>
              </w:tabs>
              <w:suppressAutoHyphens w:val="0"/>
              <w:rPr>
                <w:color w:val="000000"/>
                <w:sz w:val="22"/>
                <w:szCs w:val="22"/>
              </w:rPr>
            </w:pPr>
            <w:proofErr w:type="spellStart"/>
            <w:r>
              <w:rPr>
                <w:color w:val="000000"/>
                <w:sz w:val="22"/>
                <w:szCs w:val="22"/>
              </w:rPr>
              <w:t>Vaccineeffekt</w:t>
            </w:r>
            <w:proofErr w:type="spellEnd"/>
          </w:p>
          <w:p w:rsidR="00D87AA1" w:rsidRDefault="00D87AA1">
            <w:pPr>
              <w:tabs>
                <w:tab w:val="clear" w:pos="1080"/>
                <w:tab w:val="left" w:pos="1304"/>
              </w:tabs>
              <w:suppressAutoHyphens w:val="0"/>
              <w:rPr>
                <w:color w:val="000000"/>
                <w:sz w:val="22"/>
                <w:szCs w:val="22"/>
              </w:rPr>
            </w:pPr>
            <w:r>
              <w:rPr>
                <w:color w:val="000000"/>
                <w:sz w:val="22"/>
                <w:szCs w:val="22"/>
              </w:rPr>
              <w:br/>
              <w:t>(95% KI)</w:t>
            </w:r>
          </w:p>
        </w:tc>
      </w:tr>
      <w:tr w:rsidR="00D87AA1" w:rsidTr="00D87AA1">
        <w:tc>
          <w:tcPr>
            <w:tcW w:w="2865" w:type="dxa"/>
            <w:tcBorders>
              <w:top w:val="single" w:sz="4" w:space="0" w:color="auto"/>
              <w:left w:val="double" w:sz="4" w:space="0" w:color="auto"/>
              <w:bottom w:val="single" w:sz="4" w:space="0" w:color="auto"/>
              <w:right w:val="single" w:sz="4" w:space="0" w:color="auto"/>
            </w:tcBorders>
            <w:hideMark/>
          </w:tcPr>
          <w:p w:rsidR="00D87AA1" w:rsidRDefault="00D87AA1">
            <w:pPr>
              <w:pStyle w:val="Default"/>
              <w:rPr>
                <w:b/>
                <w:bCs/>
                <w:sz w:val="22"/>
                <w:szCs w:val="22"/>
                <w:lang w:val="da-DK"/>
              </w:rPr>
            </w:pPr>
            <w:r>
              <w:rPr>
                <w:b/>
                <w:bCs/>
                <w:sz w:val="22"/>
                <w:szCs w:val="22"/>
                <w:lang w:val="da-DK"/>
              </w:rPr>
              <w:t>Laboratorie-bekræftet influenza forårsaget af:</w:t>
            </w:r>
          </w:p>
        </w:tc>
        <w:tc>
          <w:tcPr>
            <w:tcW w:w="1800" w:type="dxa"/>
            <w:tcBorders>
              <w:top w:val="single" w:sz="4" w:space="0" w:color="auto"/>
              <w:left w:val="single" w:sz="4" w:space="0" w:color="auto"/>
              <w:bottom w:val="single" w:sz="4" w:space="0" w:color="auto"/>
              <w:right w:val="single" w:sz="4" w:space="0" w:color="auto"/>
            </w:tcBorders>
            <w:hideMark/>
          </w:tcPr>
          <w:p w:rsidR="00D87AA1" w:rsidRDefault="00D87AA1">
            <w:pPr>
              <w:pStyle w:val="Default"/>
              <w:rPr>
                <w:sz w:val="22"/>
                <w:szCs w:val="22"/>
                <w:lang w:val="en-GB"/>
              </w:rPr>
            </w:pPr>
            <w:r>
              <w:rPr>
                <w:color w:val="auto"/>
                <w:sz w:val="22"/>
                <w:szCs w:val="22"/>
                <w:lang w:val="en-GB"/>
              </w:rPr>
              <w:t>n</w:t>
            </w:r>
          </w:p>
        </w:tc>
        <w:tc>
          <w:tcPr>
            <w:tcW w:w="1800" w:type="dxa"/>
            <w:tcBorders>
              <w:top w:val="single" w:sz="4" w:space="0" w:color="auto"/>
              <w:left w:val="single" w:sz="4" w:space="0" w:color="auto"/>
              <w:bottom w:val="single" w:sz="4" w:space="0" w:color="auto"/>
              <w:right w:val="single" w:sz="4" w:space="0" w:color="auto"/>
            </w:tcBorders>
            <w:hideMark/>
          </w:tcPr>
          <w:p w:rsidR="00D87AA1" w:rsidRDefault="00D87AA1">
            <w:pPr>
              <w:pStyle w:val="Default"/>
              <w:rPr>
                <w:sz w:val="22"/>
                <w:szCs w:val="22"/>
                <w:lang w:val="en-GB"/>
              </w:rPr>
            </w:pPr>
            <w:r>
              <w:rPr>
                <w:color w:val="auto"/>
                <w:sz w:val="22"/>
                <w:szCs w:val="22"/>
                <w:lang w:val="en-GB"/>
              </w:rPr>
              <w:t>n</w:t>
            </w:r>
          </w:p>
        </w:tc>
        <w:tc>
          <w:tcPr>
            <w:tcW w:w="1800" w:type="dxa"/>
            <w:tcBorders>
              <w:top w:val="single" w:sz="4" w:space="0" w:color="auto"/>
              <w:left w:val="single" w:sz="4" w:space="0" w:color="auto"/>
              <w:bottom w:val="single" w:sz="4" w:space="0" w:color="auto"/>
              <w:right w:val="double" w:sz="4" w:space="0" w:color="auto"/>
            </w:tcBorders>
          </w:tcPr>
          <w:p w:rsidR="00D87AA1" w:rsidRDefault="00D87AA1">
            <w:pPr>
              <w:pStyle w:val="Default"/>
              <w:rPr>
                <w:sz w:val="22"/>
                <w:szCs w:val="22"/>
                <w:lang w:val="en-GB"/>
              </w:rPr>
            </w:pPr>
          </w:p>
        </w:tc>
      </w:tr>
      <w:tr w:rsidR="00D87AA1" w:rsidTr="00D87AA1">
        <w:tc>
          <w:tcPr>
            <w:tcW w:w="2865" w:type="dxa"/>
            <w:tcBorders>
              <w:top w:val="single" w:sz="4" w:space="0" w:color="auto"/>
              <w:left w:val="double" w:sz="4" w:space="0" w:color="auto"/>
              <w:bottom w:val="single" w:sz="4" w:space="0" w:color="auto"/>
              <w:right w:val="single" w:sz="4" w:space="0" w:color="auto"/>
            </w:tcBorders>
            <w:hideMark/>
          </w:tcPr>
          <w:p w:rsidR="00D87AA1" w:rsidRDefault="00D87AA1" w:rsidP="00D87AA1">
            <w:pPr>
              <w:pStyle w:val="Default"/>
              <w:numPr>
                <w:ilvl w:val="0"/>
                <w:numId w:val="6"/>
              </w:numPr>
              <w:ind w:left="240" w:hanging="240"/>
              <w:jc w:val="left"/>
              <w:rPr>
                <w:b/>
                <w:bCs/>
                <w:sz w:val="22"/>
                <w:szCs w:val="22"/>
                <w:lang w:val="da-DK"/>
              </w:rPr>
            </w:pPr>
            <w:r>
              <w:rPr>
                <w:b/>
                <w:bCs/>
                <w:sz w:val="22"/>
                <w:szCs w:val="22"/>
                <w:lang w:val="da-DK"/>
              </w:rPr>
              <w:t>Enhver influenza A eller B stamme</w:t>
            </w:r>
          </w:p>
        </w:tc>
        <w:tc>
          <w:tcPr>
            <w:tcW w:w="1800" w:type="dxa"/>
            <w:tcBorders>
              <w:top w:val="single" w:sz="4" w:space="0" w:color="auto"/>
              <w:left w:val="single" w:sz="4" w:space="0" w:color="auto"/>
              <w:bottom w:val="single" w:sz="4" w:space="0" w:color="auto"/>
              <w:right w:val="single" w:sz="4" w:space="0" w:color="auto"/>
            </w:tcBorders>
            <w:hideMark/>
          </w:tcPr>
          <w:p w:rsidR="00D87AA1" w:rsidRDefault="00D87AA1">
            <w:pPr>
              <w:pStyle w:val="Default"/>
              <w:rPr>
                <w:sz w:val="22"/>
                <w:szCs w:val="22"/>
                <w:lang w:val="en-GB"/>
              </w:rPr>
            </w:pPr>
            <w:r>
              <w:rPr>
                <w:color w:val="auto"/>
                <w:sz w:val="22"/>
                <w:szCs w:val="22"/>
                <w:lang w:val="en-GB"/>
              </w:rPr>
              <w:t>59</w:t>
            </w:r>
          </w:p>
        </w:tc>
        <w:tc>
          <w:tcPr>
            <w:tcW w:w="1800" w:type="dxa"/>
            <w:tcBorders>
              <w:top w:val="single" w:sz="4" w:space="0" w:color="auto"/>
              <w:left w:val="single" w:sz="4" w:space="0" w:color="auto"/>
              <w:bottom w:val="single" w:sz="4" w:space="0" w:color="auto"/>
              <w:right w:val="single" w:sz="4" w:space="0" w:color="auto"/>
            </w:tcBorders>
            <w:hideMark/>
          </w:tcPr>
          <w:p w:rsidR="00D87AA1" w:rsidRDefault="00D87AA1">
            <w:pPr>
              <w:pStyle w:val="Default"/>
              <w:rPr>
                <w:sz w:val="22"/>
                <w:szCs w:val="22"/>
                <w:lang w:val="en-GB"/>
              </w:rPr>
            </w:pPr>
            <w:r>
              <w:rPr>
                <w:color w:val="auto"/>
                <w:sz w:val="22"/>
                <w:szCs w:val="22"/>
                <w:lang w:val="en-GB"/>
              </w:rPr>
              <w:t>117</w:t>
            </w:r>
          </w:p>
        </w:tc>
        <w:tc>
          <w:tcPr>
            <w:tcW w:w="1800" w:type="dxa"/>
            <w:tcBorders>
              <w:top w:val="single" w:sz="4" w:space="0" w:color="auto"/>
              <w:left w:val="single" w:sz="4" w:space="0" w:color="auto"/>
              <w:bottom w:val="single" w:sz="4" w:space="0" w:color="auto"/>
              <w:right w:val="double" w:sz="4" w:space="0" w:color="auto"/>
            </w:tcBorders>
            <w:hideMark/>
          </w:tcPr>
          <w:p w:rsidR="00D87AA1" w:rsidRDefault="00D87AA1">
            <w:pPr>
              <w:pStyle w:val="Default"/>
              <w:rPr>
                <w:sz w:val="22"/>
                <w:szCs w:val="22"/>
                <w:lang w:val="en-GB"/>
              </w:rPr>
            </w:pPr>
            <w:r>
              <w:rPr>
                <w:color w:val="auto"/>
                <w:sz w:val="22"/>
                <w:szCs w:val="22"/>
                <w:lang w:val="en-GB"/>
              </w:rPr>
              <w:t>0,54 (0,37 – 0,66)</w:t>
            </w:r>
          </w:p>
        </w:tc>
      </w:tr>
      <w:tr w:rsidR="00D87AA1" w:rsidTr="00D87AA1">
        <w:tc>
          <w:tcPr>
            <w:tcW w:w="2865" w:type="dxa"/>
            <w:tcBorders>
              <w:top w:val="single" w:sz="4" w:space="0" w:color="auto"/>
              <w:left w:val="double" w:sz="4" w:space="0" w:color="auto"/>
              <w:bottom w:val="double" w:sz="4" w:space="0" w:color="auto"/>
              <w:right w:val="single" w:sz="4" w:space="0" w:color="auto"/>
            </w:tcBorders>
            <w:hideMark/>
          </w:tcPr>
          <w:p w:rsidR="00D87AA1" w:rsidRDefault="00D87AA1" w:rsidP="00D87AA1">
            <w:pPr>
              <w:pStyle w:val="Default"/>
              <w:numPr>
                <w:ilvl w:val="0"/>
                <w:numId w:val="6"/>
              </w:numPr>
              <w:ind w:left="240" w:hanging="240"/>
              <w:jc w:val="left"/>
              <w:rPr>
                <w:b/>
                <w:bCs/>
                <w:sz w:val="22"/>
                <w:szCs w:val="22"/>
                <w:lang w:val="en-US"/>
              </w:rPr>
            </w:pPr>
            <w:proofErr w:type="spellStart"/>
            <w:r>
              <w:rPr>
                <w:b/>
                <w:bCs/>
                <w:sz w:val="22"/>
                <w:szCs w:val="22"/>
                <w:lang w:val="en-US"/>
              </w:rPr>
              <w:t>Kulturbekræftet</w:t>
            </w:r>
            <w:proofErr w:type="spellEnd"/>
            <w:r>
              <w:rPr>
                <w:b/>
                <w:bCs/>
                <w:sz w:val="22"/>
                <w:szCs w:val="22"/>
                <w:lang w:val="en-US"/>
              </w:rPr>
              <w:t xml:space="preserve"> </w:t>
            </w:r>
            <w:proofErr w:type="spellStart"/>
            <w:r>
              <w:rPr>
                <w:b/>
                <w:bCs/>
                <w:sz w:val="22"/>
                <w:szCs w:val="22"/>
                <w:lang w:val="en-US"/>
              </w:rPr>
              <w:t>vaccinematchende</w:t>
            </w:r>
            <w:proofErr w:type="spellEnd"/>
            <w:r>
              <w:rPr>
                <w:b/>
                <w:bCs/>
                <w:sz w:val="22"/>
                <w:szCs w:val="22"/>
                <w:lang w:val="en-US"/>
              </w:rPr>
              <w:t xml:space="preserve"> stammer</w:t>
            </w:r>
          </w:p>
        </w:tc>
        <w:tc>
          <w:tcPr>
            <w:tcW w:w="1800" w:type="dxa"/>
            <w:tcBorders>
              <w:top w:val="single" w:sz="4" w:space="0" w:color="auto"/>
              <w:left w:val="single" w:sz="4" w:space="0" w:color="auto"/>
              <w:bottom w:val="double" w:sz="4" w:space="0" w:color="auto"/>
              <w:right w:val="single" w:sz="4" w:space="0" w:color="auto"/>
            </w:tcBorders>
            <w:hideMark/>
          </w:tcPr>
          <w:p w:rsidR="00D87AA1" w:rsidRDefault="00D87AA1">
            <w:pPr>
              <w:pStyle w:val="Default"/>
              <w:rPr>
                <w:sz w:val="22"/>
                <w:szCs w:val="22"/>
                <w:lang w:val="en-GB"/>
              </w:rPr>
            </w:pPr>
            <w:r>
              <w:rPr>
                <w:color w:val="auto"/>
                <w:sz w:val="22"/>
                <w:szCs w:val="22"/>
                <w:lang w:val="en-GB"/>
              </w:rPr>
              <w:t>19</w:t>
            </w:r>
          </w:p>
        </w:tc>
        <w:tc>
          <w:tcPr>
            <w:tcW w:w="1800" w:type="dxa"/>
            <w:tcBorders>
              <w:top w:val="single" w:sz="4" w:space="0" w:color="auto"/>
              <w:left w:val="single" w:sz="4" w:space="0" w:color="auto"/>
              <w:bottom w:val="double" w:sz="4" w:space="0" w:color="auto"/>
              <w:right w:val="single" w:sz="4" w:space="0" w:color="auto"/>
            </w:tcBorders>
            <w:hideMark/>
          </w:tcPr>
          <w:p w:rsidR="00D87AA1" w:rsidRDefault="00D87AA1">
            <w:pPr>
              <w:pStyle w:val="Default"/>
              <w:rPr>
                <w:sz w:val="22"/>
                <w:szCs w:val="22"/>
                <w:lang w:val="en-GB"/>
              </w:rPr>
            </w:pPr>
            <w:r>
              <w:rPr>
                <w:color w:val="auto"/>
                <w:sz w:val="22"/>
                <w:szCs w:val="22"/>
                <w:lang w:val="en-GB"/>
              </w:rPr>
              <w:t>56</w:t>
            </w:r>
          </w:p>
        </w:tc>
        <w:tc>
          <w:tcPr>
            <w:tcW w:w="1800" w:type="dxa"/>
            <w:tcBorders>
              <w:top w:val="single" w:sz="4" w:space="0" w:color="auto"/>
              <w:left w:val="single" w:sz="4" w:space="0" w:color="auto"/>
              <w:bottom w:val="double" w:sz="4" w:space="0" w:color="auto"/>
              <w:right w:val="double" w:sz="4" w:space="0" w:color="auto"/>
            </w:tcBorders>
            <w:hideMark/>
          </w:tcPr>
          <w:p w:rsidR="00D87AA1" w:rsidRDefault="00D87AA1">
            <w:pPr>
              <w:pStyle w:val="Default"/>
              <w:rPr>
                <w:sz w:val="22"/>
                <w:szCs w:val="22"/>
                <w:lang w:val="en-GB"/>
              </w:rPr>
            </w:pPr>
            <w:r>
              <w:rPr>
                <w:color w:val="auto"/>
                <w:sz w:val="22"/>
                <w:szCs w:val="22"/>
                <w:lang w:val="en-GB"/>
              </w:rPr>
              <w:t>0,68 (0,45 – 0,81)</w:t>
            </w:r>
          </w:p>
        </w:tc>
      </w:tr>
    </w:tbl>
    <w:p w:rsidR="00D87AA1" w:rsidRDefault="00D87AA1" w:rsidP="00D87AA1">
      <w:pPr>
        <w:pStyle w:val="Paragraph"/>
        <w:ind w:firstLine="851"/>
        <w:rPr>
          <w:sz w:val="20"/>
          <w:szCs w:val="20"/>
          <w:lang w:val="da-DK"/>
        </w:rPr>
      </w:pPr>
      <w:r>
        <w:rPr>
          <w:sz w:val="20"/>
          <w:szCs w:val="20"/>
          <w:lang w:val="da-DK"/>
        </w:rPr>
        <w:t>Vaccineeffekt: andel af influenzatilfælde forebygget ved vaccination</w:t>
      </w:r>
    </w:p>
    <w:p w:rsidR="00D87AA1" w:rsidRPr="00D87AA1" w:rsidRDefault="00D87AA1" w:rsidP="00D87AA1">
      <w:pPr>
        <w:pStyle w:val="Paragraph"/>
        <w:ind w:firstLine="851"/>
        <w:rPr>
          <w:sz w:val="20"/>
          <w:szCs w:val="20"/>
          <w:lang w:val="da-DK"/>
        </w:rPr>
      </w:pPr>
      <w:r w:rsidRPr="00D87AA1">
        <w:rPr>
          <w:sz w:val="20"/>
          <w:szCs w:val="20"/>
          <w:lang w:val="da-DK"/>
        </w:rPr>
        <w:t>N=antal af vaccinerede individer</w:t>
      </w:r>
    </w:p>
    <w:p w:rsidR="00D87AA1" w:rsidRDefault="00D87AA1" w:rsidP="00D87AA1">
      <w:pPr>
        <w:pStyle w:val="Paragraph"/>
        <w:ind w:firstLine="851"/>
        <w:rPr>
          <w:sz w:val="20"/>
          <w:szCs w:val="20"/>
          <w:lang w:val="da-DK"/>
        </w:rPr>
      </w:pPr>
      <w:r>
        <w:rPr>
          <w:sz w:val="20"/>
          <w:szCs w:val="20"/>
          <w:lang w:val="da-DK"/>
        </w:rPr>
        <w:t>n=antal af influenzatilfælde</w:t>
      </w:r>
    </w:p>
    <w:p w:rsidR="00D87AA1" w:rsidRDefault="00D87AA1" w:rsidP="00301D05">
      <w:pPr>
        <w:pStyle w:val="Paragraph"/>
        <w:spacing w:after="0"/>
        <w:ind w:firstLine="851"/>
        <w:rPr>
          <w:sz w:val="20"/>
          <w:szCs w:val="20"/>
          <w:lang w:val="da-DK"/>
        </w:rPr>
      </w:pPr>
      <w:r>
        <w:rPr>
          <w:sz w:val="20"/>
          <w:szCs w:val="20"/>
          <w:lang w:val="da-DK"/>
        </w:rPr>
        <w:t>KI=konfidensinterval</w:t>
      </w:r>
    </w:p>
    <w:p w:rsidR="00301D05" w:rsidRDefault="00301D05" w:rsidP="00D87AA1">
      <w:pPr>
        <w:tabs>
          <w:tab w:val="left" w:pos="851"/>
        </w:tabs>
        <w:ind w:left="851"/>
        <w:rPr>
          <w:sz w:val="24"/>
          <w:u w:val="single"/>
          <w:lang w:eastAsia="da-DK"/>
        </w:rPr>
      </w:pPr>
    </w:p>
    <w:p w:rsidR="00D87AA1" w:rsidRDefault="00D87AA1" w:rsidP="00D87AA1">
      <w:pPr>
        <w:tabs>
          <w:tab w:val="left" w:pos="851"/>
        </w:tabs>
        <w:ind w:left="851"/>
        <w:rPr>
          <w:sz w:val="24"/>
          <w:u w:val="single"/>
          <w:lang w:eastAsia="da-DK"/>
        </w:rPr>
      </w:pPr>
      <w:proofErr w:type="spellStart"/>
      <w:r>
        <w:rPr>
          <w:sz w:val="24"/>
          <w:u w:val="single"/>
          <w:lang w:eastAsia="da-DK"/>
        </w:rPr>
        <w:t>Immunogenicitet</w:t>
      </w:r>
      <w:proofErr w:type="spellEnd"/>
      <w:r>
        <w:rPr>
          <w:sz w:val="24"/>
          <w:u w:val="single"/>
          <w:lang w:eastAsia="da-DK"/>
        </w:rPr>
        <w:t xml:space="preserve"> af </w:t>
      </w:r>
      <w:proofErr w:type="spellStart"/>
      <w:r>
        <w:rPr>
          <w:sz w:val="24"/>
          <w:u w:val="single"/>
          <w:lang w:eastAsia="da-DK"/>
        </w:rPr>
        <w:t>Influvactetra</w:t>
      </w:r>
      <w:proofErr w:type="spellEnd"/>
    </w:p>
    <w:p w:rsidR="00D87AA1" w:rsidRDefault="00D87AA1" w:rsidP="00D87AA1">
      <w:pPr>
        <w:tabs>
          <w:tab w:val="left" w:pos="851"/>
        </w:tabs>
        <w:ind w:left="851"/>
        <w:rPr>
          <w:sz w:val="24"/>
          <w:lang w:eastAsia="da-DK"/>
        </w:rPr>
      </w:pPr>
      <w:r>
        <w:rPr>
          <w:sz w:val="24"/>
          <w:lang w:eastAsia="da-DK"/>
        </w:rPr>
        <w:t xml:space="preserve">Kliniske studier udført hos voksne på 18 år og ældre (INFQ3001) og børn i alderen fra 3 til 17 år (INFQ3002) vurderede sikkerhed og </w:t>
      </w:r>
      <w:proofErr w:type="spellStart"/>
      <w:r>
        <w:rPr>
          <w:sz w:val="24"/>
          <w:lang w:eastAsia="da-DK"/>
        </w:rPr>
        <w:t>immunogenicitet</w:t>
      </w:r>
      <w:proofErr w:type="spellEnd"/>
      <w:r>
        <w:rPr>
          <w:sz w:val="24"/>
          <w:lang w:eastAsia="da-DK"/>
        </w:rPr>
        <w:t xml:space="preserve"> af </w:t>
      </w:r>
      <w:proofErr w:type="spellStart"/>
      <w:r>
        <w:rPr>
          <w:sz w:val="24"/>
          <w:lang w:eastAsia="da-DK"/>
        </w:rPr>
        <w:t>Influvactetra</w:t>
      </w:r>
      <w:proofErr w:type="spellEnd"/>
      <w:r>
        <w:rPr>
          <w:sz w:val="24"/>
          <w:lang w:eastAsia="da-DK"/>
        </w:rPr>
        <w:t xml:space="preserve"> og dets ikke-inferioritet til den trivalente influenzavaccine </w:t>
      </w:r>
      <w:proofErr w:type="spellStart"/>
      <w:r>
        <w:rPr>
          <w:sz w:val="24"/>
          <w:lang w:eastAsia="da-DK"/>
        </w:rPr>
        <w:t>Influvac</w:t>
      </w:r>
      <w:proofErr w:type="spellEnd"/>
      <w:r>
        <w:rPr>
          <w:sz w:val="24"/>
          <w:lang w:eastAsia="da-DK"/>
        </w:rPr>
        <w:t xml:space="preserve"> til postvaccination HI geometrisk </w:t>
      </w:r>
      <w:proofErr w:type="spellStart"/>
      <w:r>
        <w:rPr>
          <w:sz w:val="24"/>
          <w:lang w:eastAsia="da-DK"/>
        </w:rPr>
        <w:t>middeltiter</w:t>
      </w:r>
      <w:proofErr w:type="spellEnd"/>
      <w:r>
        <w:rPr>
          <w:sz w:val="24"/>
          <w:lang w:eastAsia="da-DK"/>
        </w:rPr>
        <w:t xml:space="preserve"> (GMT).</w:t>
      </w:r>
    </w:p>
    <w:p w:rsidR="00D87AA1" w:rsidRDefault="00D87AA1" w:rsidP="00D87AA1">
      <w:pPr>
        <w:tabs>
          <w:tab w:val="left" w:pos="851"/>
        </w:tabs>
        <w:ind w:left="851"/>
        <w:rPr>
          <w:sz w:val="24"/>
          <w:lang w:eastAsia="da-DK"/>
        </w:rPr>
      </w:pPr>
    </w:p>
    <w:p w:rsidR="00D87AA1" w:rsidRDefault="00D87AA1" w:rsidP="00D87AA1">
      <w:pPr>
        <w:tabs>
          <w:tab w:val="left" w:pos="851"/>
        </w:tabs>
        <w:ind w:left="851"/>
        <w:rPr>
          <w:sz w:val="24"/>
          <w:lang w:eastAsia="da-DK"/>
        </w:rPr>
      </w:pPr>
      <w:r>
        <w:rPr>
          <w:sz w:val="24"/>
          <w:lang w:eastAsia="da-DK"/>
        </w:rPr>
        <w:t xml:space="preserve">I begge studier blev immunresponset fremkaldt af </w:t>
      </w:r>
      <w:proofErr w:type="spellStart"/>
      <w:r>
        <w:rPr>
          <w:sz w:val="24"/>
          <w:lang w:eastAsia="da-DK"/>
        </w:rPr>
        <w:t>Influvactetra</w:t>
      </w:r>
      <w:proofErr w:type="spellEnd"/>
      <w:r>
        <w:rPr>
          <w:sz w:val="24"/>
          <w:lang w:eastAsia="da-DK"/>
        </w:rPr>
        <w:t xml:space="preserve"> mod de tre fælles stammer og var generelt ikke ringere end den trivalente influenzavaccine </w:t>
      </w:r>
      <w:proofErr w:type="spellStart"/>
      <w:r>
        <w:rPr>
          <w:sz w:val="24"/>
          <w:lang w:eastAsia="da-DK"/>
        </w:rPr>
        <w:t>Influvac</w:t>
      </w:r>
      <w:proofErr w:type="spellEnd"/>
      <w:r>
        <w:rPr>
          <w:sz w:val="24"/>
          <w:lang w:eastAsia="da-DK"/>
        </w:rPr>
        <w:t xml:space="preserve">. </w:t>
      </w:r>
      <w:proofErr w:type="spellStart"/>
      <w:r>
        <w:rPr>
          <w:sz w:val="24"/>
          <w:lang w:eastAsia="da-DK"/>
        </w:rPr>
        <w:t>Influvactetra</w:t>
      </w:r>
      <w:proofErr w:type="spellEnd"/>
      <w:r>
        <w:rPr>
          <w:sz w:val="24"/>
          <w:lang w:eastAsia="da-DK"/>
        </w:rPr>
        <w:t xml:space="preserve"> fremkaldte et overlegent immun</w:t>
      </w:r>
      <w:r>
        <w:rPr>
          <w:sz w:val="24"/>
          <w:lang w:eastAsia="da-DK"/>
        </w:rPr>
        <w:softHyphen/>
        <w:t xml:space="preserve">respons mod den ekstra B-stamme, der er inkluderet i </w:t>
      </w:r>
      <w:proofErr w:type="spellStart"/>
      <w:r>
        <w:rPr>
          <w:sz w:val="24"/>
          <w:lang w:eastAsia="da-DK"/>
        </w:rPr>
        <w:t>Influvactetra</w:t>
      </w:r>
      <w:proofErr w:type="spellEnd"/>
      <w:r>
        <w:rPr>
          <w:sz w:val="24"/>
          <w:lang w:eastAsia="da-DK"/>
        </w:rPr>
        <w:t xml:space="preserve"> i forhold til den trivalente influenza</w:t>
      </w:r>
      <w:r>
        <w:rPr>
          <w:sz w:val="24"/>
          <w:lang w:eastAsia="da-DK"/>
        </w:rPr>
        <w:softHyphen/>
        <w:t xml:space="preserve">vaccine </w:t>
      </w:r>
      <w:proofErr w:type="spellStart"/>
      <w:r>
        <w:rPr>
          <w:sz w:val="24"/>
          <w:lang w:eastAsia="da-DK"/>
        </w:rPr>
        <w:t>Influvac</w:t>
      </w:r>
      <w:proofErr w:type="spellEnd"/>
      <w:r>
        <w:rPr>
          <w:sz w:val="24"/>
          <w:lang w:eastAsia="da-DK"/>
        </w:rPr>
        <w:t>.</w:t>
      </w:r>
    </w:p>
    <w:p w:rsidR="00D87AA1" w:rsidRDefault="00D87AA1" w:rsidP="00D87AA1">
      <w:pPr>
        <w:tabs>
          <w:tab w:val="left" w:pos="851"/>
        </w:tabs>
        <w:ind w:left="851"/>
        <w:rPr>
          <w:sz w:val="24"/>
          <w:lang w:eastAsia="da-DK"/>
        </w:rPr>
      </w:pPr>
    </w:p>
    <w:p w:rsidR="00D87AA1" w:rsidRDefault="00D87AA1" w:rsidP="00D87AA1">
      <w:pPr>
        <w:tabs>
          <w:tab w:val="left" w:pos="851"/>
        </w:tabs>
        <w:ind w:left="851"/>
        <w:rPr>
          <w:b/>
          <w:bCs/>
          <w:noProof/>
          <w:sz w:val="24"/>
          <w:szCs w:val="22"/>
          <w:lang w:eastAsia="da-DK"/>
        </w:rPr>
      </w:pPr>
      <w:r>
        <w:rPr>
          <w:b/>
          <w:sz w:val="24"/>
          <w:lang w:eastAsia="da-DK"/>
        </w:rPr>
        <w:t>Voksne</w:t>
      </w:r>
      <w:r>
        <w:rPr>
          <w:b/>
          <w:bCs/>
          <w:noProof/>
          <w:sz w:val="24"/>
          <w:szCs w:val="22"/>
          <w:lang w:eastAsia="da-DK"/>
        </w:rPr>
        <w:t>, 18 år og ældre</w:t>
      </w:r>
    </w:p>
    <w:p w:rsidR="00D87AA1" w:rsidRDefault="00D87AA1" w:rsidP="00D87AA1">
      <w:pPr>
        <w:tabs>
          <w:tab w:val="left" w:pos="851"/>
        </w:tabs>
        <w:ind w:left="851"/>
        <w:rPr>
          <w:sz w:val="24"/>
          <w:lang w:eastAsia="da-DK"/>
        </w:rPr>
      </w:pPr>
      <w:r>
        <w:rPr>
          <w:sz w:val="24"/>
          <w:lang w:eastAsia="da-DK"/>
        </w:rPr>
        <w:t xml:space="preserve">I det kliniske studie, INFQ3001, fik 1.535 voksne på 18 år og ældre </w:t>
      </w:r>
      <w:proofErr w:type="gramStart"/>
      <w:r>
        <w:rPr>
          <w:sz w:val="24"/>
          <w:lang w:eastAsia="da-DK"/>
        </w:rPr>
        <w:t>en</w:t>
      </w:r>
      <w:proofErr w:type="gramEnd"/>
      <w:r>
        <w:rPr>
          <w:sz w:val="24"/>
          <w:lang w:eastAsia="da-DK"/>
        </w:rPr>
        <w:t xml:space="preserve"> enkeltdosis af </w:t>
      </w:r>
      <w:proofErr w:type="spellStart"/>
      <w:r>
        <w:rPr>
          <w:sz w:val="24"/>
          <w:lang w:eastAsia="da-DK"/>
        </w:rPr>
        <w:t>Influvactetra</w:t>
      </w:r>
      <w:proofErr w:type="spellEnd"/>
      <w:r>
        <w:rPr>
          <w:sz w:val="24"/>
          <w:lang w:eastAsia="da-DK"/>
        </w:rPr>
        <w:t xml:space="preserve"> og 442 forsøgspersoner fik en enkeltdosis trivalent </w:t>
      </w:r>
      <w:proofErr w:type="spellStart"/>
      <w:r>
        <w:rPr>
          <w:sz w:val="24"/>
          <w:lang w:eastAsia="da-DK"/>
        </w:rPr>
        <w:t>Influvac</w:t>
      </w:r>
      <w:proofErr w:type="spellEnd"/>
      <w:r>
        <w:rPr>
          <w:sz w:val="24"/>
          <w:lang w:eastAsia="da-DK"/>
        </w:rPr>
        <w:t>:</w:t>
      </w:r>
    </w:p>
    <w:p w:rsidR="00301D05" w:rsidRDefault="00301D05">
      <w:pPr>
        <w:rPr>
          <w:sz w:val="24"/>
          <w:lang w:eastAsia="da-DK"/>
        </w:rPr>
      </w:pPr>
      <w:r>
        <w:rPr>
          <w:sz w:val="24"/>
          <w:lang w:eastAsia="da-DK"/>
        </w:rPr>
        <w:br w:type="page"/>
      </w:r>
    </w:p>
    <w:p w:rsidR="00D87AA1" w:rsidRDefault="00D87AA1" w:rsidP="00D87AA1">
      <w:pPr>
        <w:tabs>
          <w:tab w:val="left" w:pos="851"/>
        </w:tabs>
        <w:ind w:left="851"/>
        <w:rPr>
          <w:sz w:val="24"/>
          <w:lang w:eastAsia="da-DK"/>
        </w:rPr>
      </w:pPr>
    </w:p>
    <w:p w:rsidR="00D87AA1" w:rsidRDefault="00D87AA1" w:rsidP="00D87AA1">
      <w:pPr>
        <w:suppressAutoHyphens/>
        <w:spacing w:after="120"/>
        <w:ind w:left="851"/>
        <w:rPr>
          <w:bCs/>
          <w:noProof/>
          <w:sz w:val="24"/>
          <w:szCs w:val="22"/>
          <w:u w:val="single"/>
          <w:lang w:eastAsia="da-DK"/>
        </w:rPr>
      </w:pPr>
      <w:r>
        <w:rPr>
          <w:bCs/>
          <w:noProof/>
          <w:sz w:val="24"/>
          <w:szCs w:val="22"/>
          <w:u w:val="single"/>
          <w:lang w:eastAsia="da-DK"/>
        </w:rPr>
        <w:t>Tabel: Post-vaccination GMT og serokonverteringsrater</w:t>
      </w:r>
    </w:p>
    <w:tbl>
      <w:tblPr>
        <w:tblW w:w="96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693"/>
        <w:gridCol w:w="2410"/>
        <w:gridCol w:w="2368"/>
      </w:tblGrid>
      <w:tr w:rsidR="00D87AA1" w:rsidTr="00D87AA1">
        <w:tc>
          <w:tcPr>
            <w:tcW w:w="2155"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noProof/>
                <w:sz w:val="22"/>
                <w:szCs w:val="22"/>
                <w:lang w:eastAsia="da-DK"/>
              </w:rPr>
              <w:t>Voksne i alderen 18-60 år</w:t>
            </w:r>
          </w:p>
        </w:tc>
        <w:tc>
          <w:tcPr>
            <w:tcW w:w="2693"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Influvactetra</w:t>
            </w:r>
          </w:p>
          <w:p w:rsidR="00D87AA1" w:rsidRDefault="00D87AA1">
            <w:pPr>
              <w:suppressAutoHyphens/>
              <w:rPr>
                <w:bCs/>
                <w:noProof/>
                <w:sz w:val="22"/>
                <w:szCs w:val="22"/>
                <w:lang w:eastAsia="da-DK"/>
              </w:rPr>
            </w:pPr>
            <w:r>
              <w:rPr>
                <w:bCs/>
                <w:noProof/>
                <w:sz w:val="22"/>
                <w:szCs w:val="22"/>
                <w:lang w:eastAsia="da-DK"/>
              </w:rPr>
              <w:t>N=768</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Influvac</w:t>
            </w:r>
            <w:r>
              <w:rPr>
                <w:bCs/>
                <w:noProof/>
                <w:sz w:val="22"/>
                <w:szCs w:val="22"/>
                <w:vertAlign w:val="superscript"/>
                <w:lang w:eastAsia="da-DK"/>
              </w:rPr>
              <w:t>1</w:t>
            </w:r>
          </w:p>
          <w:p w:rsidR="00D87AA1" w:rsidRDefault="00D87AA1">
            <w:pPr>
              <w:suppressAutoHyphens/>
              <w:rPr>
                <w:bCs/>
                <w:noProof/>
                <w:sz w:val="22"/>
                <w:szCs w:val="22"/>
                <w:lang w:eastAsia="da-DK"/>
              </w:rPr>
            </w:pPr>
            <w:r>
              <w:rPr>
                <w:bCs/>
                <w:noProof/>
                <w:sz w:val="22"/>
                <w:szCs w:val="22"/>
                <w:lang w:eastAsia="da-DK"/>
              </w:rPr>
              <w:t>N=112</w:t>
            </w:r>
          </w:p>
        </w:tc>
        <w:tc>
          <w:tcPr>
            <w:tcW w:w="2368"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Influvac</w:t>
            </w:r>
            <w:r>
              <w:rPr>
                <w:bCs/>
                <w:noProof/>
                <w:sz w:val="22"/>
                <w:szCs w:val="22"/>
                <w:vertAlign w:val="superscript"/>
                <w:lang w:eastAsia="da-DK"/>
              </w:rPr>
              <w:t>2</w:t>
            </w:r>
          </w:p>
          <w:p w:rsidR="00D87AA1" w:rsidRDefault="00D87AA1">
            <w:pPr>
              <w:suppressAutoHyphens/>
              <w:rPr>
                <w:bCs/>
                <w:noProof/>
                <w:sz w:val="22"/>
                <w:szCs w:val="22"/>
                <w:lang w:eastAsia="da-DK"/>
              </w:rPr>
            </w:pPr>
            <w:r>
              <w:rPr>
                <w:bCs/>
                <w:noProof/>
                <w:sz w:val="22"/>
                <w:szCs w:val="22"/>
                <w:lang w:eastAsia="da-DK"/>
              </w:rPr>
              <w:t>N=110</w:t>
            </w:r>
          </w:p>
        </w:tc>
      </w:tr>
      <w:tr w:rsidR="00D87AA1" w:rsidTr="00D87AA1">
        <w:tc>
          <w:tcPr>
            <w:tcW w:w="2155" w:type="dxa"/>
            <w:tcBorders>
              <w:top w:val="single" w:sz="4" w:space="0" w:color="auto"/>
              <w:left w:val="single" w:sz="4" w:space="0" w:color="auto"/>
              <w:bottom w:val="single" w:sz="4" w:space="0" w:color="auto"/>
              <w:right w:val="single" w:sz="4" w:space="0" w:color="auto"/>
            </w:tcBorders>
          </w:tcPr>
          <w:p w:rsidR="00D87AA1" w:rsidRDefault="00D87AA1">
            <w:pPr>
              <w:suppressAutoHyphens/>
              <w:rPr>
                <w:bCs/>
                <w:noProof/>
                <w:sz w:val="22"/>
                <w:szCs w:val="22"/>
                <w:lang w:eastAsia="da-DK"/>
              </w:rPr>
            </w:pPr>
          </w:p>
        </w:tc>
        <w:tc>
          <w:tcPr>
            <w:tcW w:w="7471" w:type="dxa"/>
            <w:gridSpan w:val="3"/>
            <w:tcBorders>
              <w:top w:val="single" w:sz="4" w:space="0" w:color="auto"/>
              <w:left w:val="single" w:sz="4" w:space="0" w:color="auto"/>
              <w:bottom w:val="single" w:sz="4" w:space="0" w:color="auto"/>
              <w:right w:val="single" w:sz="4" w:space="0" w:color="auto"/>
            </w:tcBorders>
            <w:hideMark/>
          </w:tcPr>
          <w:p w:rsidR="00D87AA1" w:rsidRDefault="00D87AA1">
            <w:pPr>
              <w:jc w:val="center"/>
              <w:rPr>
                <w:sz w:val="22"/>
                <w:lang w:eastAsia="da-DK"/>
              </w:rPr>
            </w:pPr>
            <w:r>
              <w:rPr>
                <w:b/>
                <w:bCs/>
                <w:noProof/>
                <w:sz w:val="22"/>
                <w:szCs w:val="22"/>
                <w:lang w:eastAsia="da-DK"/>
              </w:rPr>
              <w:t>GMT (95% konfidensinterval)</w:t>
            </w:r>
          </w:p>
        </w:tc>
      </w:tr>
      <w:tr w:rsidR="00D87AA1" w:rsidTr="00D87AA1">
        <w:tc>
          <w:tcPr>
            <w:tcW w:w="2155"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noProof/>
                <w:sz w:val="22"/>
                <w:szCs w:val="22"/>
                <w:lang w:eastAsia="da-DK"/>
              </w:rPr>
              <w:t>A/H1N1</w:t>
            </w:r>
          </w:p>
        </w:tc>
        <w:tc>
          <w:tcPr>
            <w:tcW w:w="2693" w:type="dxa"/>
            <w:tcBorders>
              <w:top w:val="single" w:sz="4" w:space="0" w:color="auto"/>
              <w:left w:val="single" w:sz="4" w:space="0" w:color="auto"/>
              <w:bottom w:val="single" w:sz="4" w:space="0" w:color="auto"/>
              <w:right w:val="single" w:sz="4" w:space="0" w:color="auto"/>
            </w:tcBorders>
            <w:hideMark/>
          </w:tcPr>
          <w:p w:rsidR="00D87AA1" w:rsidRDefault="00D87AA1">
            <w:pPr>
              <w:rPr>
                <w:sz w:val="22"/>
                <w:lang w:eastAsia="da-DK"/>
              </w:rPr>
            </w:pPr>
            <w:r>
              <w:rPr>
                <w:sz w:val="22"/>
                <w:lang w:eastAsia="da-DK"/>
              </w:rPr>
              <w:t>272,2</w:t>
            </w:r>
            <w:proofErr w:type="gramStart"/>
            <w:r>
              <w:rPr>
                <w:sz w:val="22"/>
                <w:lang w:eastAsia="da-DK"/>
              </w:rPr>
              <w:t xml:space="preserve">   (</w:t>
            </w:r>
            <w:proofErr w:type="gramEnd"/>
            <w:r>
              <w:rPr>
                <w:sz w:val="22"/>
                <w:lang w:eastAsia="da-DK"/>
              </w:rPr>
              <w:t xml:space="preserve">248,0 ; 298,8) </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rPr>
                <w:sz w:val="22"/>
                <w:lang w:eastAsia="da-DK"/>
              </w:rPr>
            </w:pPr>
            <w:r>
              <w:rPr>
                <w:sz w:val="22"/>
                <w:lang w:eastAsia="da-DK"/>
              </w:rPr>
              <w:t>304,4</w:t>
            </w:r>
            <w:proofErr w:type="gramStart"/>
            <w:r>
              <w:rPr>
                <w:sz w:val="22"/>
                <w:lang w:eastAsia="da-DK"/>
              </w:rPr>
              <w:t xml:space="preserve">   (</w:t>
            </w:r>
            <w:proofErr w:type="gramEnd"/>
            <w:r>
              <w:rPr>
                <w:sz w:val="22"/>
                <w:lang w:eastAsia="da-DK"/>
              </w:rPr>
              <w:t xml:space="preserve">235,1 ; 394,1) </w:t>
            </w:r>
          </w:p>
        </w:tc>
        <w:tc>
          <w:tcPr>
            <w:tcW w:w="2368" w:type="dxa"/>
            <w:tcBorders>
              <w:top w:val="single" w:sz="4" w:space="0" w:color="auto"/>
              <w:left w:val="single" w:sz="4" w:space="0" w:color="auto"/>
              <w:bottom w:val="single" w:sz="4" w:space="0" w:color="auto"/>
              <w:right w:val="single" w:sz="4" w:space="0" w:color="auto"/>
            </w:tcBorders>
            <w:hideMark/>
          </w:tcPr>
          <w:p w:rsidR="00D87AA1" w:rsidRDefault="00D87AA1">
            <w:pPr>
              <w:rPr>
                <w:sz w:val="22"/>
                <w:lang w:eastAsia="da-DK"/>
              </w:rPr>
            </w:pPr>
            <w:r>
              <w:rPr>
                <w:sz w:val="22"/>
                <w:lang w:eastAsia="da-DK"/>
              </w:rPr>
              <w:t>316,0</w:t>
            </w:r>
            <w:proofErr w:type="gramStart"/>
            <w:r>
              <w:rPr>
                <w:sz w:val="22"/>
                <w:lang w:eastAsia="da-DK"/>
              </w:rPr>
              <w:t xml:space="preserve">   (</w:t>
            </w:r>
            <w:proofErr w:type="gramEnd"/>
            <w:r>
              <w:rPr>
                <w:sz w:val="22"/>
                <w:lang w:eastAsia="da-DK"/>
              </w:rPr>
              <w:t>245,1 ; 407,3)</w:t>
            </w:r>
          </w:p>
        </w:tc>
      </w:tr>
      <w:tr w:rsidR="00D87AA1" w:rsidTr="00D87AA1">
        <w:tc>
          <w:tcPr>
            <w:tcW w:w="2155"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noProof/>
                <w:sz w:val="22"/>
                <w:szCs w:val="22"/>
                <w:lang w:eastAsia="da-DK"/>
              </w:rPr>
              <w:t>A/H3N2</w:t>
            </w:r>
          </w:p>
        </w:tc>
        <w:tc>
          <w:tcPr>
            <w:tcW w:w="2693"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442,4   (407,6 ; 480,2)</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536,5   (421,7 ; 682,6)</w:t>
            </w:r>
          </w:p>
        </w:tc>
        <w:tc>
          <w:tcPr>
            <w:tcW w:w="2368"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417,0   (323,7 ; 537,1)</w:t>
            </w:r>
          </w:p>
        </w:tc>
      </w:tr>
      <w:tr w:rsidR="00D87AA1" w:rsidTr="00D87AA1">
        <w:tc>
          <w:tcPr>
            <w:tcW w:w="2155"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noProof/>
                <w:sz w:val="22"/>
                <w:szCs w:val="22"/>
                <w:lang w:eastAsia="da-DK"/>
              </w:rPr>
              <w:t>B (Yamagata)</w:t>
            </w:r>
            <w:r>
              <w:rPr>
                <w:b/>
                <w:bCs/>
                <w:noProof/>
                <w:sz w:val="22"/>
                <w:szCs w:val="22"/>
                <w:vertAlign w:val="superscript"/>
                <w:lang w:eastAsia="da-DK"/>
              </w:rPr>
              <w:t>3</w:t>
            </w:r>
          </w:p>
        </w:tc>
        <w:tc>
          <w:tcPr>
            <w:tcW w:w="2693"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162,5   (147,8 ; 178,7)</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128,7   (100,3 ; 165,2)</w:t>
            </w:r>
          </w:p>
        </w:tc>
        <w:tc>
          <w:tcPr>
            <w:tcW w:w="2368"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 xml:space="preserve">  81,7     (60,7 ; 109,9)</w:t>
            </w:r>
          </w:p>
        </w:tc>
      </w:tr>
      <w:tr w:rsidR="00D87AA1" w:rsidTr="00D87AA1">
        <w:trPr>
          <w:trHeight w:val="58"/>
        </w:trPr>
        <w:tc>
          <w:tcPr>
            <w:tcW w:w="2155"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noProof/>
                <w:sz w:val="22"/>
                <w:szCs w:val="22"/>
                <w:lang w:eastAsia="da-DK"/>
              </w:rPr>
              <w:t>B (Victoria)</w:t>
            </w:r>
            <w:r>
              <w:rPr>
                <w:b/>
                <w:bCs/>
                <w:noProof/>
                <w:sz w:val="22"/>
                <w:szCs w:val="22"/>
                <w:vertAlign w:val="superscript"/>
                <w:lang w:eastAsia="da-DK"/>
              </w:rPr>
              <w:t>4</w:t>
            </w:r>
          </w:p>
        </w:tc>
        <w:tc>
          <w:tcPr>
            <w:tcW w:w="2693"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214,0   (195,5 ; 234,3)</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 xml:space="preserve">  85,1     (62,6 ; 115,6)</w:t>
            </w:r>
          </w:p>
        </w:tc>
        <w:tc>
          <w:tcPr>
            <w:tcW w:w="2368"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184,7   (139,0 ; 245,3)</w:t>
            </w:r>
          </w:p>
        </w:tc>
      </w:tr>
      <w:tr w:rsidR="00D87AA1" w:rsidTr="00D87AA1">
        <w:trPr>
          <w:trHeight w:val="58"/>
        </w:trPr>
        <w:tc>
          <w:tcPr>
            <w:tcW w:w="9626" w:type="dxa"/>
            <w:gridSpan w:val="4"/>
            <w:tcBorders>
              <w:top w:val="single" w:sz="4" w:space="0" w:color="auto"/>
              <w:left w:val="single" w:sz="4" w:space="0" w:color="auto"/>
              <w:bottom w:val="single" w:sz="4" w:space="0" w:color="auto"/>
              <w:right w:val="single" w:sz="4" w:space="0" w:color="auto"/>
            </w:tcBorders>
            <w:hideMark/>
          </w:tcPr>
          <w:p w:rsidR="00D87AA1" w:rsidRDefault="00D87AA1">
            <w:pPr>
              <w:suppressAutoHyphens/>
              <w:jc w:val="center"/>
              <w:rPr>
                <w:b/>
                <w:noProof/>
                <w:sz w:val="22"/>
                <w:szCs w:val="22"/>
                <w:lang w:eastAsia="da-DK"/>
              </w:rPr>
            </w:pPr>
            <w:r>
              <w:rPr>
                <w:b/>
                <w:noProof/>
                <w:sz w:val="24"/>
                <w:szCs w:val="22"/>
                <w:u w:val="single"/>
                <w:lang w:eastAsia="da-DK"/>
              </w:rPr>
              <w:t>Serokonverteringsrater (95% konfidensinterval)</w:t>
            </w:r>
          </w:p>
        </w:tc>
      </w:tr>
      <w:tr w:rsidR="00D87AA1" w:rsidTr="00D87AA1">
        <w:trPr>
          <w:trHeight w:val="58"/>
        </w:trPr>
        <w:tc>
          <w:tcPr>
            <w:tcW w:w="2155"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sz w:val="22"/>
                <w:szCs w:val="22"/>
                <w:lang w:val="en-US"/>
              </w:rPr>
              <w:t>A/H1N1</w:t>
            </w:r>
          </w:p>
        </w:tc>
        <w:tc>
          <w:tcPr>
            <w:tcW w:w="2693"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59.4</w:t>
            </w:r>
            <w:proofErr w:type="gramStart"/>
            <w:r>
              <w:rPr>
                <w:rFonts w:eastAsiaTheme="minorHAnsi"/>
                <w:sz w:val="22"/>
                <w:szCs w:val="22"/>
                <w:lang w:val="en-US"/>
              </w:rPr>
              <w:t>%  (</w:t>
            </w:r>
            <w:proofErr w:type="gramEnd"/>
            <w:r>
              <w:rPr>
                <w:rFonts w:eastAsiaTheme="minorHAnsi"/>
                <w:sz w:val="22"/>
                <w:szCs w:val="22"/>
                <w:lang w:val="en-US"/>
              </w:rPr>
              <w:t>55,8% ; 62,9%)</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65,5</w:t>
            </w:r>
            <w:proofErr w:type="gramStart"/>
            <w:r>
              <w:rPr>
                <w:rFonts w:eastAsiaTheme="minorHAnsi"/>
                <w:sz w:val="22"/>
                <w:szCs w:val="22"/>
                <w:lang w:val="en-US"/>
              </w:rPr>
              <w:t>%  (</w:t>
            </w:r>
            <w:proofErr w:type="gramEnd"/>
            <w:r>
              <w:rPr>
                <w:rFonts w:eastAsiaTheme="minorHAnsi"/>
                <w:sz w:val="22"/>
                <w:szCs w:val="22"/>
                <w:lang w:val="en-US"/>
              </w:rPr>
              <w:t>55,8% ; 74,3%)</w:t>
            </w:r>
          </w:p>
        </w:tc>
        <w:tc>
          <w:tcPr>
            <w:tcW w:w="2368"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64,8</w:t>
            </w:r>
            <w:proofErr w:type="gramStart"/>
            <w:r>
              <w:rPr>
                <w:rFonts w:eastAsiaTheme="minorHAnsi"/>
                <w:sz w:val="22"/>
                <w:szCs w:val="22"/>
                <w:lang w:val="en-US"/>
              </w:rPr>
              <w:t>%  (</w:t>
            </w:r>
            <w:proofErr w:type="gramEnd"/>
            <w:r>
              <w:rPr>
                <w:rFonts w:eastAsiaTheme="minorHAnsi"/>
                <w:sz w:val="22"/>
                <w:szCs w:val="22"/>
                <w:lang w:val="en-US"/>
              </w:rPr>
              <w:t>55,0% ; 73,8%)</w:t>
            </w:r>
          </w:p>
        </w:tc>
      </w:tr>
      <w:tr w:rsidR="00D87AA1" w:rsidTr="00D87AA1">
        <w:trPr>
          <w:trHeight w:val="58"/>
        </w:trPr>
        <w:tc>
          <w:tcPr>
            <w:tcW w:w="2155"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sz w:val="22"/>
                <w:szCs w:val="22"/>
              </w:rPr>
              <w:t>A/H3N2</w:t>
            </w:r>
          </w:p>
        </w:tc>
        <w:tc>
          <w:tcPr>
            <w:tcW w:w="2693"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51,3</w:t>
            </w:r>
            <w:proofErr w:type="gramStart"/>
            <w:r>
              <w:rPr>
                <w:rFonts w:eastAsiaTheme="minorHAnsi"/>
                <w:sz w:val="22"/>
                <w:szCs w:val="22"/>
                <w:lang w:val="en-US"/>
              </w:rPr>
              <w:t>%  (</w:t>
            </w:r>
            <w:proofErr w:type="gramEnd"/>
            <w:r>
              <w:rPr>
                <w:rFonts w:eastAsiaTheme="minorHAnsi"/>
                <w:sz w:val="22"/>
                <w:szCs w:val="22"/>
                <w:lang w:val="en-US"/>
              </w:rPr>
              <w:t>47,7% ; 54,9%)</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61,6</w:t>
            </w:r>
            <w:proofErr w:type="gramStart"/>
            <w:r>
              <w:rPr>
                <w:rFonts w:eastAsiaTheme="minorHAnsi"/>
                <w:sz w:val="22"/>
                <w:szCs w:val="22"/>
                <w:lang w:val="en-US"/>
              </w:rPr>
              <w:t>%  (</w:t>
            </w:r>
            <w:proofErr w:type="gramEnd"/>
            <w:r>
              <w:rPr>
                <w:rFonts w:eastAsiaTheme="minorHAnsi"/>
                <w:sz w:val="22"/>
                <w:szCs w:val="22"/>
                <w:lang w:val="en-US"/>
              </w:rPr>
              <w:t>51,9% ; 70,6%)</w:t>
            </w:r>
          </w:p>
        </w:tc>
        <w:tc>
          <w:tcPr>
            <w:tcW w:w="2368"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55,5</w:t>
            </w:r>
            <w:proofErr w:type="gramStart"/>
            <w:r>
              <w:rPr>
                <w:rFonts w:eastAsiaTheme="minorHAnsi"/>
                <w:sz w:val="22"/>
                <w:szCs w:val="22"/>
                <w:lang w:val="en-US"/>
              </w:rPr>
              <w:t>%  (</w:t>
            </w:r>
            <w:proofErr w:type="gramEnd"/>
            <w:r>
              <w:rPr>
                <w:rFonts w:eastAsiaTheme="minorHAnsi"/>
                <w:sz w:val="22"/>
                <w:szCs w:val="22"/>
                <w:lang w:val="en-US"/>
              </w:rPr>
              <w:t>45,7% ; 64,9%)</w:t>
            </w:r>
          </w:p>
        </w:tc>
      </w:tr>
      <w:tr w:rsidR="00D87AA1" w:rsidTr="00D87AA1">
        <w:trPr>
          <w:trHeight w:val="58"/>
        </w:trPr>
        <w:tc>
          <w:tcPr>
            <w:tcW w:w="2155"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sz w:val="22"/>
                <w:szCs w:val="22"/>
              </w:rPr>
              <w:t>B (</w:t>
            </w:r>
            <w:proofErr w:type="spellStart"/>
            <w:r>
              <w:rPr>
                <w:b/>
                <w:bCs/>
                <w:sz w:val="22"/>
                <w:szCs w:val="22"/>
              </w:rPr>
              <w:t>Yamagata</w:t>
            </w:r>
            <w:proofErr w:type="spellEnd"/>
            <w:r>
              <w:rPr>
                <w:b/>
                <w:bCs/>
                <w:sz w:val="22"/>
                <w:szCs w:val="22"/>
              </w:rPr>
              <w:t>)</w:t>
            </w:r>
            <w:r>
              <w:rPr>
                <w:b/>
                <w:bCs/>
                <w:sz w:val="22"/>
                <w:szCs w:val="22"/>
                <w:vertAlign w:val="superscript"/>
              </w:rPr>
              <w:t>3</w:t>
            </w:r>
          </w:p>
        </w:tc>
        <w:tc>
          <w:tcPr>
            <w:tcW w:w="2693"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59,2</w:t>
            </w:r>
            <w:proofErr w:type="gramStart"/>
            <w:r>
              <w:rPr>
                <w:rFonts w:eastAsiaTheme="minorHAnsi"/>
                <w:sz w:val="22"/>
                <w:szCs w:val="22"/>
                <w:lang w:val="en-US"/>
              </w:rPr>
              <w:t>%  (</w:t>
            </w:r>
            <w:proofErr w:type="gramEnd"/>
            <w:r>
              <w:rPr>
                <w:rFonts w:eastAsiaTheme="minorHAnsi"/>
                <w:sz w:val="22"/>
                <w:szCs w:val="22"/>
                <w:lang w:val="en-US"/>
              </w:rPr>
              <w:t>55,7% ; 62,8%)</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58,7</w:t>
            </w:r>
            <w:proofErr w:type="gramStart"/>
            <w:r>
              <w:rPr>
                <w:rFonts w:eastAsiaTheme="minorHAnsi"/>
                <w:sz w:val="22"/>
                <w:szCs w:val="22"/>
                <w:lang w:val="en-US"/>
              </w:rPr>
              <w:t>%  (</w:t>
            </w:r>
            <w:proofErr w:type="gramEnd"/>
            <w:r>
              <w:rPr>
                <w:rFonts w:eastAsiaTheme="minorHAnsi"/>
                <w:sz w:val="22"/>
                <w:szCs w:val="22"/>
                <w:lang w:val="en-US"/>
              </w:rPr>
              <w:t>48,9% ; 68,1%)</w:t>
            </w:r>
          </w:p>
        </w:tc>
        <w:tc>
          <w:tcPr>
            <w:tcW w:w="2368"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40,9</w:t>
            </w:r>
            <w:proofErr w:type="gramStart"/>
            <w:r>
              <w:rPr>
                <w:rFonts w:eastAsiaTheme="minorHAnsi"/>
                <w:sz w:val="22"/>
                <w:szCs w:val="22"/>
                <w:lang w:val="en-US"/>
              </w:rPr>
              <w:t>%  (</w:t>
            </w:r>
            <w:proofErr w:type="gramEnd"/>
            <w:r>
              <w:rPr>
                <w:rFonts w:eastAsiaTheme="minorHAnsi"/>
                <w:sz w:val="22"/>
                <w:szCs w:val="22"/>
                <w:lang w:val="en-US"/>
              </w:rPr>
              <w:t>31,6% ; 50,7%)</w:t>
            </w:r>
          </w:p>
        </w:tc>
      </w:tr>
      <w:tr w:rsidR="00D87AA1" w:rsidTr="00D87AA1">
        <w:trPr>
          <w:trHeight w:val="58"/>
        </w:trPr>
        <w:tc>
          <w:tcPr>
            <w:tcW w:w="2155"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sz w:val="22"/>
                <w:szCs w:val="22"/>
              </w:rPr>
              <w:t>B (Victoria)</w:t>
            </w:r>
            <w:r>
              <w:rPr>
                <w:b/>
                <w:bCs/>
                <w:sz w:val="22"/>
                <w:szCs w:val="22"/>
                <w:vertAlign w:val="superscript"/>
              </w:rPr>
              <w:t>4</w:t>
            </w:r>
          </w:p>
        </w:tc>
        <w:tc>
          <w:tcPr>
            <w:tcW w:w="2693"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70,2</w:t>
            </w:r>
            <w:proofErr w:type="gramStart"/>
            <w:r>
              <w:rPr>
                <w:rFonts w:eastAsiaTheme="minorHAnsi"/>
                <w:sz w:val="22"/>
                <w:szCs w:val="22"/>
                <w:lang w:val="en-US"/>
              </w:rPr>
              <w:t>%  (</w:t>
            </w:r>
            <w:proofErr w:type="gramEnd"/>
            <w:r>
              <w:rPr>
                <w:rFonts w:eastAsiaTheme="minorHAnsi"/>
                <w:sz w:val="22"/>
                <w:szCs w:val="22"/>
                <w:lang w:val="en-US"/>
              </w:rPr>
              <w:t>66,% ; 73,4%)</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51,4</w:t>
            </w:r>
            <w:proofErr w:type="gramStart"/>
            <w:r>
              <w:rPr>
                <w:rFonts w:eastAsiaTheme="minorHAnsi"/>
                <w:sz w:val="22"/>
                <w:szCs w:val="22"/>
                <w:lang w:val="en-US"/>
              </w:rPr>
              <w:t>%  (</w:t>
            </w:r>
            <w:proofErr w:type="gramEnd"/>
            <w:r>
              <w:rPr>
                <w:rFonts w:eastAsiaTheme="minorHAnsi"/>
                <w:sz w:val="22"/>
                <w:szCs w:val="22"/>
                <w:lang w:val="en-US"/>
              </w:rPr>
              <w:t>41,6% ; 61,1%)</w:t>
            </w:r>
          </w:p>
        </w:tc>
        <w:tc>
          <w:tcPr>
            <w:tcW w:w="2368"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66,4</w:t>
            </w:r>
            <w:proofErr w:type="gramStart"/>
            <w:r>
              <w:rPr>
                <w:rFonts w:eastAsiaTheme="minorHAnsi"/>
                <w:sz w:val="22"/>
                <w:szCs w:val="22"/>
                <w:lang w:val="en-US"/>
              </w:rPr>
              <w:t>%  (</w:t>
            </w:r>
            <w:proofErr w:type="gramEnd"/>
            <w:r>
              <w:rPr>
                <w:rFonts w:eastAsiaTheme="minorHAnsi"/>
                <w:sz w:val="22"/>
                <w:szCs w:val="22"/>
                <w:lang w:val="en-US"/>
              </w:rPr>
              <w:t>56,7% ; 75,1%)</w:t>
            </w:r>
          </w:p>
        </w:tc>
      </w:tr>
    </w:tbl>
    <w:p w:rsidR="00D87AA1" w:rsidRDefault="00D87AA1" w:rsidP="00D87AA1">
      <w:pPr>
        <w:tabs>
          <w:tab w:val="left" w:pos="851"/>
        </w:tabs>
        <w:ind w:left="851"/>
        <w:rPr>
          <w:bCs/>
          <w:noProof/>
          <w:sz w:val="24"/>
          <w:szCs w:val="22"/>
          <w:lang w:eastAsia="da-DK"/>
        </w:rPr>
      </w:pPr>
    </w:p>
    <w:p w:rsidR="00D87AA1" w:rsidRDefault="00D87AA1" w:rsidP="00D87AA1">
      <w:pPr>
        <w:tabs>
          <w:tab w:val="left" w:pos="851"/>
        </w:tabs>
        <w:ind w:left="851"/>
        <w:rPr>
          <w:bCs/>
          <w:noProof/>
          <w:sz w:val="24"/>
          <w:szCs w:val="22"/>
          <w:lang w:eastAsia="da-DK"/>
        </w:rPr>
      </w:pPr>
    </w:p>
    <w:tbl>
      <w:tblPr>
        <w:tblW w:w="962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410"/>
        <w:gridCol w:w="2409"/>
        <w:gridCol w:w="2510"/>
      </w:tblGrid>
      <w:tr w:rsidR="00D87AA1" w:rsidTr="00D87AA1">
        <w:tc>
          <w:tcPr>
            <w:tcW w:w="2297"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noProof/>
                <w:sz w:val="22"/>
                <w:szCs w:val="22"/>
                <w:lang w:eastAsia="da-DK"/>
              </w:rPr>
              <w:t>Ældre i alderen 61 år og derover</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Influvactetra</w:t>
            </w:r>
          </w:p>
          <w:p w:rsidR="00D87AA1" w:rsidRDefault="00D87AA1">
            <w:pPr>
              <w:suppressAutoHyphens/>
              <w:rPr>
                <w:bCs/>
                <w:noProof/>
                <w:sz w:val="22"/>
                <w:szCs w:val="22"/>
                <w:lang w:eastAsia="da-DK"/>
              </w:rPr>
            </w:pPr>
            <w:r>
              <w:rPr>
                <w:bCs/>
                <w:noProof/>
                <w:sz w:val="22"/>
                <w:szCs w:val="22"/>
                <w:lang w:eastAsia="da-DK"/>
              </w:rPr>
              <w:t>N=765</w:t>
            </w:r>
          </w:p>
        </w:tc>
        <w:tc>
          <w:tcPr>
            <w:tcW w:w="2409"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Influvac</w:t>
            </w:r>
            <w:r>
              <w:rPr>
                <w:bCs/>
                <w:noProof/>
                <w:sz w:val="22"/>
                <w:szCs w:val="22"/>
                <w:vertAlign w:val="superscript"/>
                <w:lang w:eastAsia="da-DK"/>
              </w:rPr>
              <w:t>1</w:t>
            </w:r>
          </w:p>
          <w:p w:rsidR="00D87AA1" w:rsidRDefault="00D87AA1">
            <w:pPr>
              <w:suppressAutoHyphens/>
              <w:rPr>
                <w:bCs/>
                <w:noProof/>
                <w:sz w:val="22"/>
                <w:szCs w:val="22"/>
                <w:lang w:eastAsia="da-DK"/>
              </w:rPr>
            </w:pPr>
            <w:r>
              <w:rPr>
                <w:bCs/>
                <w:noProof/>
                <w:sz w:val="22"/>
                <w:szCs w:val="22"/>
                <w:lang w:eastAsia="da-DK"/>
              </w:rPr>
              <w:t>N=108</w:t>
            </w:r>
          </w:p>
        </w:tc>
        <w:tc>
          <w:tcPr>
            <w:tcW w:w="25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Influvac</w:t>
            </w:r>
            <w:r>
              <w:rPr>
                <w:bCs/>
                <w:noProof/>
                <w:sz w:val="22"/>
                <w:szCs w:val="22"/>
                <w:vertAlign w:val="superscript"/>
                <w:lang w:eastAsia="da-DK"/>
              </w:rPr>
              <w:t>2</w:t>
            </w:r>
          </w:p>
          <w:p w:rsidR="00D87AA1" w:rsidRDefault="00D87AA1">
            <w:pPr>
              <w:suppressAutoHyphens/>
              <w:rPr>
                <w:bCs/>
                <w:noProof/>
                <w:sz w:val="22"/>
                <w:szCs w:val="22"/>
                <w:lang w:eastAsia="da-DK"/>
              </w:rPr>
            </w:pPr>
            <w:r>
              <w:rPr>
                <w:bCs/>
                <w:noProof/>
                <w:sz w:val="22"/>
                <w:szCs w:val="22"/>
                <w:lang w:eastAsia="da-DK"/>
              </w:rPr>
              <w:t>N=110</w:t>
            </w:r>
          </w:p>
        </w:tc>
      </w:tr>
      <w:tr w:rsidR="00D87AA1" w:rsidTr="00D87AA1">
        <w:tc>
          <w:tcPr>
            <w:tcW w:w="2297" w:type="dxa"/>
            <w:tcBorders>
              <w:top w:val="single" w:sz="4" w:space="0" w:color="auto"/>
              <w:left w:val="single" w:sz="4" w:space="0" w:color="auto"/>
              <w:bottom w:val="single" w:sz="4" w:space="0" w:color="auto"/>
              <w:right w:val="single" w:sz="4" w:space="0" w:color="auto"/>
            </w:tcBorders>
          </w:tcPr>
          <w:p w:rsidR="00D87AA1" w:rsidRDefault="00D87AA1">
            <w:pPr>
              <w:suppressAutoHyphens/>
              <w:rPr>
                <w:bCs/>
                <w:noProof/>
                <w:sz w:val="22"/>
                <w:szCs w:val="22"/>
                <w:lang w:eastAsia="da-DK"/>
              </w:rPr>
            </w:pPr>
          </w:p>
        </w:tc>
        <w:tc>
          <w:tcPr>
            <w:tcW w:w="7329" w:type="dxa"/>
            <w:gridSpan w:val="3"/>
            <w:tcBorders>
              <w:top w:val="single" w:sz="4" w:space="0" w:color="auto"/>
              <w:left w:val="single" w:sz="4" w:space="0" w:color="auto"/>
              <w:bottom w:val="single" w:sz="4" w:space="0" w:color="auto"/>
              <w:right w:val="single" w:sz="4" w:space="0" w:color="auto"/>
            </w:tcBorders>
            <w:hideMark/>
          </w:tcPr>
          <w:p w:rsidR="00D87AA1" w:rsidRDefault="00D87AA1">
            <w:pPr>
              <w:jc w:val="center"/>
              <w:rPr>
                <w:sz w:val="22"/>
                <w:lang w:eastAsia="da-DK"/>
              </w:rPr>
            </w:pPr>
            <w:r>
              <w:rPr>
                <w:b/>
                <w:bCs/>
                <w:noProof/>
                <w:sz w:val="22"/>
                <w:szCs w:val="22"/>
                <w:lang w:eastAsia="da-DK"/>
              </w:rPr>
              <w:t>GMT (95% konfidensinterval)</w:t>
            </w:r>
          </w:p>
        </w:tc>
      </w:tr>
      <w:tr w:rsidR="00D87AA1" w:rsidTr="00D87AA1">
        <w:tc>
          <w:tcPr>
            <w:tcW w:w="2297"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noProof/>
                <w:sz w:val="22"/>
                <w:szCs w:val="22"/>
                <w:lang w:eastAsia="da-DK"/>
              </w:rPr>
              <w:t>A/H1N1</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rPr>
                <w:sz w:val="22"/>
                <w:lang w:eastAsia="da-DK"/>
              </w:rPr>
            </w:pPr>
            <w:r>
              <w:rPr>
                <w:rFonts w:ascii="TimesNewRoman" w:hAnsi="TimesNewRoman" w:cs="TimesNewRoman"/>
                <w:sz w:val="22"/>
                <w:szCs w:val="22"/>
                <w:lang w:eastAsia="da-DK"/>
              </w:rPr>
              <w:t>127,2</w:t>
            </w:r>
            <w:proofErr w:type="gramStart"/>
            <w:r>
              <w:rPr>
                <w:rFonts w:ascii="TimesNewRoman" w:hAnsi="TimesNewRoman" w:cs="TimesNewRoman"/>
                <w:sz w:val="22"/>
                <w:szCs w:val="22"/>
                <w:lang w:eastAsia="da-DK"/>
              </w:rPr>
              <w:t xml:space="preserve">   (</w:t>
            </w:r>
            <w:proofErr w:type="gramEnd"/>
            <w:r>
              <w:rPr>
                <w:rFonts w:ascii="TimesNewRoman" w:hAnsi="TimesNewRoman" w:cs="TimesNewRoman"/>
                <w:sz w:val="22"/>
                <w:szCs w:val="22"/>
                <w:lang w:eastAsia="da-DK"/>
              </w:rPr>
              <w:t>114,9 ; 140,9)</w:t>
            </w:r>
          </w:p>
        </w:tc>
        <w:tc>
          <w:tcPr>
            <w:tcW w:w="2409" w:type="dxa"/>
            <w:tcBorders>
              <w:top w:val="single" w:sz="4" w:space="0" w:color="auto"/>
              <w:left w:val="single" w:sz="4" w:space="0" w:color="auto"/>
              <w:bottom w:val="single" w:sz="4" w:space="0" w:color="auto"/>
              <w:right w:val="single" w:sz="4" w:space="0" w:color="auto"/>
            </w:tcBorders>
            <w:hideMark/>
          </w:tcPr>
          <w:p w:rsidR="00D87AA1" w:rsidRDefault="00D87AA1">
            <w:pPr>
              <w:rPr>
                <w:sz w:val="22"/>
                <w:lang w:eastAsia="da-DK"/>
              </w:rPr>
            </w:pPr>
            <w:r>
              <w:rPr>
                <w:rFonts w:ascii="TimesNewRoman" w:hAnsi="TimesNewRoman" w:cs="TimesNewRoman"/>
                <w:sz w:val="22"/>
                <w:szCs w:val="22"/>
                <w:lang w:eastAsia="da-DK"/>
              </w:rPr>
              <w:t>142,4</w:t>
            </w:r>
            <w:proofErr w:type="gramStart"/>
            <w:r>
              <w:rPr>
                <w:rFonts w:ascii="TimesNewRoman" w:hAnsi="TimesNewRoman" w:cs="TimesNewRoman"/>
                <w:sz w:val="22"/>
                <w:szCs w:val="22"/>
                <w:lang w:eastAsia="da-DK"/>
              </w:rPr>
              <w:t xml:space="preserve">   (</w:t>
            </w:r>
            <w:proofErr w:type="gramEnd"/>
            <w:r>
              <w:rPr>
                <w:rFonts w:ascii="TimesNewRoman" w:hAnsi="TimesNewRoman" w:cs="TimesNewRoman"/>
                <w:sz w:val="22"/>
                <w:szCs w:val="22"/>
                <w:lang w:eastAsia="da-DK"/>
              </w:rPr>
              <w:t>107,6 ; 188,3)</w:t>
            </w:r>
          </w:p>
        </w:tc>
        <w:tc>
          <w:tcPr>
            <w:tcW w:w="2510" w:type="dxa"/>
            <w:tcBorders>
              <w:top w:val="single" w:sz="4" w:space="0" w:color="auto"/>
              <w:left w:val="single" w:sz="4" w:space="0" w:color="auto"/>
              <w:bottom w:val="single" w:sz="4" w:space="0" w:color="auto"/>
              <w:right w:val="single" w:sz="4" w:space="0" w:color="auto"/>
            </w:tcBorders>
            <w:hideMark/>
          </w:tcPr>
          <w:p w:rsidR="00D87AA1" w:rsidRDefault="00D87AA1">
            <w:pPr>
              <w:autoSpaceDE w:val="0"/>
              <w:autoSpaceDN w:val="0"/>
              <w:adjustRightInd w:val="0"/>
              <w:rPr>
                <w:rFonts w:ascii="TimesNewRoman" w:hAnsi="TimesNewRoman" w:cs="TimesNewRoman"/>
                <w:sz w:val="22"/>
                <w:szCs w:val="22"/>
                <w:lang w:eastAsia="da-DK"/>
              </w:rPr>
            </w:pPr>
            <w:r>
              <w:rPr>
                <w:rFonts w:ascii="TimesNewRoman" w:hAnsi="TimesNewRoman" w:cs="TimesNewRoman"/>
                <w:sz w:val="22"/>
                <w:szCs w:val="22"/>
                <w:lang w:eastAsia="da-DK"/>
              </w:rPr>
              <w:t>174,2</w:t>
            </w:r>
            <w:proofErr w:type="gramStart"/>
            <w:r>
              <w:rPr>
                <w:rFonts w:ascii="TimesNewRoman" w:hAnsi="TimesNewRoman" w:cs="TimesNewRoman"/>
                <w:sz w:val="22"/>
                <w:szCs w:val="22"/>
                <w:lang w:eastAsia="da-DK"/>
              </w:rPr>
              <w:t xml:space="preserve">   (</w:t>
            </w:r>
            <w:proofErr w:type="gramEnd"/>
            <w:r>
              <w:rPr>
                <w:rFonts w:ascii="TimesNewRoman" w:hAnsi="TimesNewRoman" w:cs="TimesNewRoman"/>
                <w:sz w:val="22"/>
                <w:szCs w:val="22"/>
                <w:lang w:eastAsia="da-DK"/>
              </w:rPr>
              <w:t>135,9 ; 223,3)</w:t>
            </w:r>
          </w:p>
        </w:tc>
      </w:tr>
      <w:tr w:rsidR="00D87AA1" w:rsidTr="00D87AA1">
        <w:tc>
          <w:tcPr>
            <w:tcW w:w="2297"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noProof/>
                <w:sz w:val="22"/>
                <w:szCs w:val="22"/>
                <w:lang w:eastAsia="da-DK"/>
              </w:rPr>
              <w:t>A/H3N2</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ascii="TimesNewRoman" w:hAnsi="TimesNewRoman" w:cs="TimesNewRoman"/>
                <w:sz w:val="22"/>
                <w:szCs w:val="22"/>
                <w:lang w:eastAsia="da-DK"/>
              </w:rPr>
              <w:t>348,5</w:t>
            </w:r>
            <w:proofErr w:type="gramStart"/>
            <w:r>
              <w:rPr>
                <w:rFonts w:ascii="TimesNewRoman" w:hAnsi="TimesNewRoman" w:cs="TimesNewRoman"/>
                <w:sz w:val="22"/>
                <w:szCs w:val="22"/>
                <w:lang w:eastAsia="da-DK"/>
              </w:rPr>
              <w:t xml:space="preserve">   (</w:t>
            </w:r>
            <w:proofErr w:type="gramEnd"/>
            <w:r>
              <w:rPr>
                <w:rFonts w:ascii="TimesNewRoman" w:hAnsi="TimesNewRoman" w:cs="TimesNewRoman"/>
                <w:sz w:val="22"/>
                <w:szCs w:val="22"/>
                <w:lang w:eastAsia="da-DK"/>
              </w:rPr>
              <w:t>316,8 ; 383,5)</w:t>
            </w:r>
          </w:p>
        </w:tc>
        <w:tc>
          <w:tcPr>
            <w:tcW w:w="2409"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ascii="TimesNewRoman" w:hAnsi="TimesNewRoman" w:cs="TimesNewRoman"/>
                <w:sz w:val="22"/>
                <w:szCs w:val="22"/>
                <w:lang w:eastAsia="da-DK"/>
              </w:rPr>
              <w:t>361,5</w:t>
            </w:r>
            <w:proofErr w:type="gramStart"/>
            <w:r>
              <w:rPr>
                <w:rFonts w:ascii="TimesNewRoman" w:hAnsi="TimesNewRoman" w:cs="TimesNewRoman"/>
                <w:sz w:val="22"/>
                <w:szCs w:val="22"/>
                <w:lang w:eastAsia="da-DK"/>
              </w:rPr>
              <w:t xml:space="preserve">   (</w:t>
            </w:r>
            <w:proofErr w:type="gramEnd"/>
            <w:r>
              <w:rPr>
                <w:rFonts w:ascii="TimesNewRoman" w:hAnsi="TimesNewRoman" w:cs="TimesNewRoman"/>
                <w:sz w:val="22"/>
                <w:szCs w:val="22"/>
                <w:lang w:eastAsia="da-DK"/>
              </w:rPr>
              <w:t>278,3 ; 469,6)</w:t>
            </w:r>
          </w:p>
        </w:tc>
        <w:tc>
          <w:tcPr>
            <w:tcW w:w="25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ascii="TimesNewRoman" w:hAnsi="TimesNewRoman" w:cs="TimesNewRoman"/>
                <w:sz w:val="22"/>
                <w:szCs w:val="22"/>
                <w:lang w:eastAsia="da-DK"/>
              </w:rPr>
              <w:t>353,4</w:t>
            </w:r>
            <w:proofErr w:type="gramStart"/>
            <w:r>
              <w:rPr>
                <w:rFonts w:ascii="TimesNewRoman" w:hAnsi="TimesNewRoman" w:cs="TimesNewRoman"/>
                <w:sz w:val="22"/>
                <w:szCs w:val="22"/>
                <w:lang w:eastAsia="da-DK"/>
              </w:rPr>
              <w:t xml:space="preserve">   (</w:t>
            </w:r>
            <w:proofErr w:type="gramEnd"/>
            <w:r>
              <w:rPr>
                <w:rFonts w:ascii="TimesNewRoman" w:hAnsi="TimesNewRoman" w:cs="TimesNewRoman"/>
                <w:sz w:val="22"/>
                <w:szCs w:val="22"/>
                <w:lang w:eastAsia="da-DK"/>
              </w:rPr>
              <w:t>280,7 ; 445,0)</w:t>
            </w:r>
          </w:p>
        </w:tc>
      </w:tr>
      <w:tr w:rsidR="00D87AA1" w:rsidTr="00D87AA1">
        <w:tc>
          <w:tcPr>
            <w:tcW w:w="2297"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noProof/>
                <w:sz w:val="22"/>
                <w:szCs w:val="22"/>
                <w:lang w:eastAsia="da-DK"/>
              </w:rPr>
              <w:t>B (Yamagata)</w:t>
            </w:r>
            <w:r>
              <w:rPr>
                <w:b/>
                <w:bCs/>
                <w:noProof/>
                <w:sz w:val="22"/>
                <w:szCs w:val="22"/>
                <w:vertAlign w:val="superscript"/>
                <w:lang w:eastAsia="da-DK"/>
              </w:rPr>
              <w:t>3</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ascii="TimesNewRoman" w:hAnsi="TimesNewRoman" w:cs="TimesNewRoman"/>
                <w:sz w:val="22"/>
                <w:szCs w:val="22"/>
                <w:lang w:eastAsia="da-DK"/>
              </w:rPr>
              <w:t xml:space="preserve">  63,7  </w:t>
            </w:r>
            <w:proofErr w:type="gramStart"/>
            <w:r>
              <w:rPr>
                <w:rFonts w:ascii="TimesNewRoman" w:hAnsi="TimesNewRoman" w:cs="TimesNewRoman"/>
                <w:sz w:val="22"/>
                <w:szCs w:val="22"/>
                <w:lang w:eastAsia="da-DK"/>
              </w:rPr>
              <w:t xml:space="preserve">   (</w:t>
            </w:r>
            <w:proofErr w:type="gramEnd"/>
            <w:r>
              <w:rPr>
                <w:rFonts w:ascii="TimesNewRoman" w:hAnsi="TimesNewRoman" w:cs="TimesNewRoman"/>
                <w:sz w:val="22"/>
                <w:szCs w:val="22"/>
                <w:lang w:eastAsia="da-DK"/>
              </w:rPr>
              <w:t>57,7 ; 70,4)</w:t>
            </w:r>
          </w:p>
        </w:tc>
        <w:tc>
          <w:tcPr>
            <w:tcW w:w="2409"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ascii="TimesNewRoman" w:hAnsi="TimesNewRoman" w:cs="TimesNewRoman"/>
                <w:sz w:val="22"/>
                <w:szCs w:val="22"/>
                <w:lang w:eastAsia="da-DK"/>
              </w:rPr>
              <w:t xml:space="preserve">  57,4  </w:t>
            </w:r>
            <w:proofErr w:type="gramStart"/>
            <w:r>
              <w:rPr>
                <w:rFonts w:ascii="TimesNewRoman" w:hAnsi="TimesNewRoman" w:cs="TimesNewRoman"/>
                <w:sz w:val="22"/>
                <w:szCs w:val="22"/>
                <w:lang w:eastAsia="da-DK"/>
              </w:rPr>
              <w:t xml:space="preserve">   (</w:t>
            </w:r>
            <w:proofErr w:type="gramEnd"/>
            <w:r>
              <w:rPr>
                <w:rFonts w:ascii="TimesNewRoman" w:hAnsi="TimesNewRoman" w:cs="TimesNewRoman"/>
                <w:sz w:val="22"/>
                <w:szCs w:val="22"/>
                <w:lang w:eastAsia="da-DK"/>
              </w:rPr>
              <w:t>43,6 ; 75,7)</w:t>
            </w:r>
          </w:p>
        </w:tc>
        <w:tc>
          <w:tcPr>
            <w:tcW w:w="25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ascii="TimesNewRoman" w:hAnsi="TimesNewRoman" w:cs="TimesNewRoman"/>
                <w:sz w:val="22"/>
                <w:szCs w:val="22"/>
                <w:lang w:eastAsia="da-DK"/>
              </w:rPr>
              <w:t xml:space="preserve">  27,3  </w:t>
            </w:r>
            <w:proofErr w:type="gramStart"/>
            <w:r>
              <w:rPr>
                <w:rFonts w:ascii="TimesNewRoman" w:hAnsi="TimesNewRoman" w:cs="TimesNewRoman"/>
                <w:sz w:val="22"/>
                <w:szCs w:val="22"/>
                <w:lang w:eastAsia="da-DK"/>
              </w:rPr>
              <w:t xml:space="preserve">   (</w:t>
            </w:r>
            <w:proofErr w:type="gramEnd"/>
            <w:r>
              <w:rPr>
                <w:rFonts w:ascii="TimesNewRoman" w:hAnsi="TimesNewRoman" w:cs="TimesNewRoman"/>
                <w:sz w:val="22"/>
                <w:szCs w:val="22"/>
                <w:lang w:eastAsia="da-DK"/>
              </w:rPr>
              <w:t>20,7 ; 36,0)</w:t>
            </w:r>
          </w:p>
        </w:tc>
      </w:tr>
      <w:tr w:rsidR="00D87AA1" w:rsidTr="00D87AA1">
        <w:trPr>
          <w:trHeight w:val="58"/>
        </w:trPr>
        <w:tc>
          <w:tcPr>
            <w:tcW w:w="2297"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noProof/>
                <w:sz w:val="22"/>
                <w:szCs w:val="22"/>
                <w:lang w:eastAsia="da-DK"/>
              </w:rPr>
              <w:t>B (Victoria)</w:t>
            </w:r>
            <w:r>
              <w:rPr>
                <w:b/>
                <w:bCs/>
                <w:noProof/>
                <w:sz w:val="22"/>
                <w:szCs w:val="22"/>
                <w:vertAlign w:val="superscript"/>
                <w:lang w:eastAsia="da-DK"/>
              </w:rPr>
              <w:t>4</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ascii="TimesNewRoman" w:hAnsi="TimesNewRoman" w:cs="TimesNewRoman"/>
                <w:sz w:val="22"/>
                <w:szCs w:val="22"/>
                <w:lang w:eastAsia="da-DK"/>
              </w:rPr>
              <w:t xml:space="preserve">109,4  </w:t>
            </w:r>
            <w:proofErr w:type="gramStart"/>
            <w:r>
              <w:rPr>
                <w:rFonts w:ascii="TimesNewRoman" w:hAnsi="TimesNewRoman" w:cs="TimesNewRoman"/>
                <w:sz w:val="22"/>
                <w:szCs w:val="22"/>
                <w:lang w:eastAsia="da-DK"/>
              </w:rPr>
              <w:t xml:space="preserve">   (</w:t>
            </w:r>
            <w:proofErr w:type="gramEnd"/>
            <w:r>
              <w:rPr>
                <w:rFonts w:ascii="TimesNewRoman" w:hAnsi="TimesNewRoman" w:cs="TimesNewRoman"/>
                <w:sz w:val="22"/>
                <w:szCs w:val="22"/>
                <w:lang w:eastAsia="da-DK"/>
              </w:rPr>
              <w:t>98,1 ; 122,0)</w:t>
            </w:r>
          </w:p>
        </w:tc>
        <w:tc>
          <w:tcPr>
            <w:tcW w:w="2409"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ascii="TimesNewRoman" w:hAnsi="TimesNewRoman" w:cs="TimesNewRoman"/>
                <w:sz w:val="22"/>
                <w:szCs w:val="22"/>
                <w:lang w:eastAsia="da-DK"/>
              </w:rPr>
              <w:t xml:space="preserve">  48,0  </w:t>
            </w:r>
            <w:proofErr w:type="gramStart"/>
            <w:r>
              <w:rPr>
                <w:rFonts w:ascii="TimesNewRoman" w:hAnsi="TimesNewRoman" w:cs="TimesNewRoman"/>
                <w:sz w:val="22"/>
                <w:szCs w:val="22"/>
                <w:lang w:eastAsia="da-DK"/>
              </w:rPr>
              <w:t xml:space="preserve">   (</w:t>
            </w:r>
            <w:proofErr w:type="gramEnd"/>
            <w:r>
              <w:rPr>
                <w:rFonts w:ascii="TimesNewRoman" w:hAnsi="TimesNewRoman" w:cs="TimesNewRoman"/>
                <w:sz w:val="22"/>
                <w:szCs w:val="22"/>
                <w:lang w:eastAsia="da-DK"/>
              </w:rPr>
              <w:t>34,6 ; 66,6)</w:t>
            </w:r>
          </w:p>
        </w:tc>
        <w:tc>
          <w:tcPr>
            <w:tcW w:w="25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ascii="TimesNewRoman" w:hAnsi="TimesNewRoman" w:cs="TimesNewRoman"/>
                <w:sz w:val="22"/>
                <w:szCs w:val="22"/>
                <w:lang w:eastAsia="da-DK"/>
              </w:rPr>
              <w:t xml:space="preserve">106,6  </w:t>
            </w:r>
            <w:proofErr w:type="gramStart"/>
            <w:r>
              <w:rPr>
                <w:rFonts w:ascii="TimesNewRoman" w:hAnsi="TimesNewRoman" w:cs="TimesNewRoman"/>
                <w:sz w:val="22"/>
                <w:szCs w:val="22"/>
                <w:lang w:eastAsia="da-DK"/>
              </w:rPr>
              <w:t xml:space="preserve">   (</w:t>
            </w:r>
            <w:proofErr w:type="gramEnd"/>
            <w:r>
              <w:rPr>
                <w:rFonts w:ascii="TimesNewRoman" w:hAnsi="TimesNewRoman" w:cs="TimesNewRoman"/>
                <w:sz w:val="22"/>
                <w:szCs w:val="22"/>
                <w:lang w:eastAsia="da-DK"/>
              </w:rPr>
              <w:t>79,7 ; 142,8)</w:t>
            </w:r>
          </w:p>
        </w:tc>
      </w:tr>
      <w:tr w:rsidR="00D87AA1" w:rsidTr="00D87AA1">
        <w:trPr>
          <w:trHeight w:val="58"/>
        </w:trPr>
        <w:tc>
          <w:tcPr>
            <w:tcW w:w="9626" w:type="dxa"/>
            <w:gridSpan w:val="4"/>
            <w:tcBorders>
              <w:top w:val="single" w:sz="4" w:space="0" w:color="auto"/>
              <w:left w:val="single" w:sz="4" w:space="0" w:color="auto"/>
              <w:bottom w:val="single" w:sz="4" w:space="0" w:color="auto"/>
              <w:right w:val="single" w:sz="4" w:space="0" w:color="auto"/>
            </w:tcBorders>
            <w:hideMark/>
          </w:tcPr>
          <w:p w:rsidR="00D87AA1" w:rsidRDefault="00D87AA1">
            <w:pPr>
              <w:suppressAutoHyphens/>
              <w:jc w:val="center"/>
              <w:rPr>
                <w:rFonts w:ascii="TimesNewRoman" w:hAnsi="TimesNewRoman" w:cs="TimesNewRoman"/>
                <w:sz w:val="22"/>
                <w:szCs w:val="22"/>
                <w:lang w:eastAsia="da-DK"/>
              </w:rPr>
            </w:pPr>
            <w:r>
              <w:rPr>
                <w:b/>
                <w:noProof/>
                <w:sz w:val="24"/>
                <w:szCs w:val="22"/>
                <w:u w:val="single"/>
                <w:lang w:eastAsia="da-DK"/>
              </w:rPr>
              <w:t>Serokonverteringsrater (95% konfidensinterval)</w:t>
            </w:r>
          </w:p>
        </w:tc>
      </w:tr>
      <w:tr w:rsidR="00D87AA1" w:rsidTr="00D87AA1">
        <w:trPr>
          <w:trHeight w:val="58"/>
        </w:trPr>
        <w:tc>
          <w:tcPr>
            <w:tcW w:w="2297"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sz w:val="22"/>
                <w:szCs w:val="22"/>
                <w:lang w:val="en-US"/>
              </w:rPr>
              <w:t>A/H1N1</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rFonts w:ascii="TimesNewRoman" w:hAnsi="TimesNewRoman" w:cs="TimesNewRoman"/>
                <w:sz w:val="22"/>
                <w:szCs w:val="22"/>
                <w:lang w:eastAsia="da-DK"/>
              </w:rPr>
            </w:pPr>
            <w:r>
              <w:rPr>
                <w:rFonts w:eastAsiaTheme="minorHAnsi"/>
                <w:sz w:val="22"/>
                <w:szCs w:val="22"/>
                <w:lang w:val="en-US"/>
              </w:rPr>
              <w:t>50,3</w:t>
            </w:r>
            <w:proofErr w:type="gramStart"/>
            <w:r>
              <w:rPr>
                <w:rFonts w:eastAsiaTheme="minorHAnsi"/>
                <w:sz w:val="22"/>
                <w:szCs w:val="22"/>
                <w:lang w:val="en-US"/>
              </w:rPr>
              <w:t>%  (</w:t>
            </w:r>
            <w:proofErr w:type="gramEnd"/>
            <w:r>
              <w:rPr>
                <w:rFonts w:eastAsiaTheme="minorHAnsi"/>
                <w:sz w:val="22"/>
                <w:szCs w:val="22"/>
                <w:lang w:val="en-US"/>
              </w:rPr>
              <w:t>46,7% ; 54,0%)</w:t>
            </w:r>
          </w:p>
        </w:tc>
        <w:tc>
          <w:tcPr>
            <w:tcW w:w="2409"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rFonts w:ascii="TimesNewRoman" w:hAnsi="TimesNewRoman" w:cs="TimesNewRoman"/>
                <w:sz w:val="22"/>
                <w:szCs w:val="22"/>
                <w:lang w:eastAsia="da-DK"/>
              </w:rPr>
            </w:pPr>
            <w:r>
              <w:rPr>
                <w:rFonts w:eastAsiaTheme="minorHAnsi"/>
                <w:sz w:val="22"/>
                <w:szCs w:val="22"/>
                <w:lang w:val="en-US"/>
              </w:rPr>
              <w:t>56,6</w:t>
            </w:r>
            <w:proofErr w:type="gramStart"/>
            <w:r>
              <w:rPr>
                <w:rFonts w:eastAsiaTheme="minorHAnsi"/>
                <w:sz w:val="22"/>
                <w:szCs w:val="22"/>
                <w:lang w:val="en-US"/>
              </w:rPr>
              <w:t>%  (</w:t>
            </w:r>
            <w:proofErr w:type="gramEnd"/>
            <w:r>
              <w:rPr>
                <w:rFonts w:eastAsiaTheme="minorHAnsi"/>
                <w:sz w:val="22"/>
                <w:szCs w:val="22"/>
                <w:lang w:val="en-US"/>
              </w:rPr>
              <w:t>46,6% ; 66,2%)</w:t>
            </w:r>
          </w:p>
        </w:tc>
        <w:tc>
          <w:tcPr>
            <w:tcW w:w="25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rFonts w:ascii="TimesNewRoman" w:hAnsi="TimesNewRoman" w:cs="TimesNewRoman"/>
                <w:sz w:val="22"/>
                <w:szCs w:val="22"/>
                <w:lang w:eastAsia="da-DK"/>
              </w:rPr>
            </w:pPr>
            <w:r>
              <w:rPr>
                <w:rFonts w:eastAsiaTheme="minorHAnsi"/>
                <w:sz w:val="22"/>
                <w:szCs w:val="22"/>
                <w:lang w:val="en-US"/>
              </w:rPr>
              <w:t>58,2</w:t>
            </w:r>
            <w:proofErr w:type="gramStart"/>
            <w:r>
              <w:rPr>
                <w:rFonts w:eastAsiaTheme="minorHAnsi"/>
                <w:sz w:val="22"/>
                <w:szCs w:val="22"/>
                <w:lang w:val="en-US"/>
              </w:rPr>
              <w:t>%  (</w:t>
            </w:r>
            <w:proofErr w:type="gramEnd"/>
            <w:r>
              <w:rPr>
                <w:rFonts w:eastAsiaTheme="minorHAnsi"/>
                <w:sz w:val="22"/>
                <w:szCs w:val="22"/>
                <w:lang w:val="en-US"/>
              </w:rPr>
              <w:t>48,4% ; 67,5%)</w:t>
            </w:r>
          </w:p>
        </w:tc>
      </w:tr>
      <w:tr w:rsidR="00D87AA1" w:rsidTr="00D87AA1">
        <w:trPr>
          <w:trHeight w:val="58"/>
        </w:trPr>
        <w:tc>
          <w:tcPr>
            <w:tcW w:w="2297"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sz w:val="22"/>
                <w:szCs w:val="22"/>
              </w:rPr>
              <w:t>A/H3N2</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rFonts w:ascii="TimesNewRoman" w:hAnsi="TimesNewRoman" w:cs="TimesNewRoman"/>
                <w:sz w:val="22"/>
                <w:szCs w:val="22"/>
                <w:lang w:eastAsia="da-DK"/>
              </w:rPr>
            </w:pPr>
            <w:r>
              <w:rPr>
                <w:rFonts w:eastAsiaTheme="minorHAnsi"/>
                <w:sz w:val="22"/>
                <w:szCs w:val="22"/>
                <w:lang w:val="en-US"/>
              </w:rPr>
              <w:t>39,3</w:t>
            </w:r>
            <w:proofErr w:type="gramStart"/>
            <w:r>
              <w:rPr>
                <w:rFonts w:eastAsiaTheme="minorHAnsi"/>
                <w:sz w:val="22"/>
                <w:szCs w:val="22"/>
                <w:lang w:val="en-US"/>
              </w:rPr>
              <w:t>%  (</w:t>
            </w:r>
            <w:proofErr w:type="gramEnd"/>
            <w:r>
              <w:rPr>
                <w:rFonts w:eastAsiaTheme="minorHAnsi"/>
                <w:sz w:val="22"/>
                <w:szCs w:val="22"/>
                <w:lang w:val="en-US"/>
              </w:rPr>
              <w:t>35,8% ; 42,9%)</w:t>
            </w:r>
          </w:p>
        </w:tc>
        <w:tc>
          <w:tcPr>
            <w:tcW w:w="2409"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rFonts w:ascii="TimesNewRoman" w:hAnsi="TimesNewRoman" w:cs="TimesNewRoman"/>
                <w:sz w:val="22"/>
                <w:szCs w:val="22"/>
                <w:lang w:eastAsia="da-DK"/>
              </w:rPr>
            </w:pPr>
            <w:r>
              <w:rPr>
                <w:rFonts w:eastAsiaTheme="minorHAnsi"/>
                <w:sz w:val="22"/>
                <w:szCs w:val="22"/>
                <w:lang w:val="en-US"/>
              </w:rPr>
              <w:t>44,4</w:t>
            </w:r>
            <w:proofErr w:type="gramStart"/>
            <w:r>
              <w:rPr>
                <w:rFonts w:eastAsiaTheme="minorHAnsi"/>
                <w:sz w:val="22"/>
                <w:szCs w:val="22"/>
                <w:lang w:val="en-US"/>
              </w:rPr>
              <w:t>%  (</w:t>
            </w:r>
            <w:proofErr w:type="gramEnd"/>
            <w:r>
              <w:rPr>
                <w:rFonts w:eastAsiaTheme="minorHAnsi"/>
                <w:sz w:val="22"/>
                <w:szCs w:val="22"/>
                <w:lang w:val="en-US"/>
              </w:rPr>
              <w:t>34,9% ; 54,3%)</w:t>
            </w:r>
          </w:p>
        </w:tc>
        <w:tc>
          <w:tcPr>
            <w:tcW w:w="25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rFonts w:ascii="TimesNewRoman" w:hAnsi="TimesNewRoman" w:cs="TimesNewRoman"/>
                <w:sz w:val="22"/>
                <w:szCs w:val="22"/>
                <w:lang w:eastAsia="da-DK"/>
              </w:rPr>
            </w:pPr>
            <w:r>
              <w:rPr>
                <w:rFonts w:eastAsiaTheme="minorHAnsi"/>
                <w:sz w:val="22"/>
                <w:szCs w:val="22"/>
                <w:lang w:val="en-US"/>
              </w:rPr>
              <w:t>43,6</w:t>
            </w:r>
            <w:proofErr w:type="gramStart"/>
            <w:r>
              <w:rPr>
                <w:rFonts w:eastAsiaTheme="minorHAnsi"/>
                <w:sz w:val="22"/>
                <w:szCs w:val="22"/>
                <w:lang w:val="en-US"/>
              </w:rPr>
              <w:t>%  (</w:t>
            </w:r>
            <w:proofErr w:type="gramEnd"/>
            <w:r>
              <w:rPr>
                <w:rFonts w:eastAsiaTheme="minorHAnsi"/>
                <w:sz w:val="22"/>
                <w:szCs w:val="22"/>
                <w:lang w:val="en-US"/>
              </w:rPr>
              <w:t>34,2% ; 53,4%)</w:t>
            </w:r>
          </w:p>
        </w:tc>
      </w:tr>
      <w:tr w:rsidR="00D87AA1" w:rsidTr="00D87AA1">
        <w:trPr>
          <w:trHeight w:val="58"/>
        </w:trPr>
        <w:tc>
          <w:tcPr>
            <w:tcW w:w="2297"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sz w:val="22"/>
                <w:szCs w:val="22"/>
              </w:rPr>
              <w:t>B (</w:t>
            </w:r>
            <w:proofErr w:type="spellStart"/>
            <w:r>
              <w:rPr>
                <w:b/>
                <w:bCs/>
                <w:sz w:val="22"/>
                <w:szCs w:val="22"/>
              </w:rPr>
              <w:t>Yamagata</w:t>
            </w:r>
            <w:proofErr w:type="spellEnd"/>
            <w:r>
              <w:rPr>
                <w:b/>
                <w:bCs/>
                <w:sz w:val="22"/>
                <w:szCs w:val="22"/>
              </w:rPr>
              <w:t>)</w:t>
            </w:r>
            <w:r>
              <w:rPr>
                <w:b/>
                <w:bCs/>
                <w:sz w:val="22"/>
                <w:szCs w:val="22"/>
                <w:vertAlign w:val="superscript"/>
              </w:rPr>
              <w:t>3</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rFonts w:ascii="TimesNewRoman" w:hAnsi="TimesNewRoman" w:cs="TimesNewRoman"/>
                <w:sz w:val="22"/>
                <w:szCs w:val="22"/>
                <w:lang w:eastAsia="da-DK"/>
              </w:rPr>
            </w:pPr>
            <w:r>
              <w:rPr>
                <w:rFonts w:eastAsiaTheme="minorHAnsi"/>
                <w:sz w:val="22"/>
                <w:szCs w:val="22"/>
                <w:lang w:val="en-US"/>
              </w:rPr>
              <w:t>49,9</w:t>
            </w:r>
            <w:proofErr w:type="gramStart"/>
            <w:r>
              <w:rPr>
                <w:rFonts w:eastAsiaTheme="minorHAnsi"/>
                <w:sz w:val="22"/>
                <w:szCs w:val="22"/>
                <w:lang w:val="en-US"/>
              </w:rPr>
              <w:t>%  (</w:t>
            </w:r>
            <w:proofErr w:type="gramEnd"/>
            <w:r>
              <w:rPr>
                <w:rFonts w:eastAsiaTheme="minorHAnsi"/>
                <w:sz w:val="22"/>
                <w:szCs w:val="22"/>
                <w:lang w:val="en-US"/>
              </w:rPr>
              <w:t>46,2% ; 53,5%)</w:t>
            </w:r>
          </w:p>
        </w:tc>
        <w:tc>
          <w:tcPr>
            <w:tcW w:w="2409"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rFonts w:ascii="TimesNewRoman" w:hAnsi="TimesNewRoman" w:cs="TimesNewRoman"/>
                <w:sz w:val="22"/>
                <w:szCs w:val="22"/>
                <w:lang w:eastAsia="da-DK"/>
              </w:rPr>
            </w:pPr>
            <w:r>
              <w:rPr>
                <w:rFonts w:eastAsiaTheme="minorHAnsi"/>
                <w:sz w:val="22"/>
                <w:szCs w:val="22"/>
                <w:lang w:val="en-US"/>
              </w:rPr>
              <w:t>46,2</w:t>
            </w:r>
            <w:proofErr w:type="gramStart"/>
            <w:r>
              <w:rPr>
                <w:rFonts w:eastAsiaTheme="minorHAnsi"/>
                <w:sz w:val="22"/>
                <w:szCs w:val="22"/>
                <w:lang w:val="en-US"/>
              </w:rPr>
              <w:t>%  (</w:t>
            </w:r>
            <w:proofErr w:type="gramEnd"/>
            <w:r>
              <w:rPr>
                <w:rFonts w:eastAsiaTheme="minorHAnsi"/>
                <w:sz w:val="22"/>
                <w:szCs w:val="22"/>
                <w:lang w:val="en-US"/>
              </w:rPr>
              <w:t>36,5% ; 56,2%)</w:t>
            </w:r>
          </w:p>
        </w:tc>
        <w:tc>
          <w:tcPr>
            <w:tcW w:w="25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rFonts w:ascii="TimesNewRoman" w:hAnsi="TimesNewRoman" w:cs="TimesNewRoman"/>
                <w:sz w:val="22"/>
                <w:szCs w:val="22"/>
                <w:lang w:eastAsia="da-DK"/>
              </w:rPr>
            </w:pPr>
            <w:r>
              <w:rPr>
                <w:rFonts w:eastAsiaTheme="minorHAnsi"/>
                <w:sz w:val="22"/>
                <w:szCs w:val="22"/>
                <w:lang w:val="en-US"/>
              </w:rPr>
              <w:t>30,0</w:t>
            </w:r>
            <w:proofErr w:type="gramStart"/>
            <w:r>
              <w:rPr>
                <w:rFonts w:eastAsiaTheme="minorHAnsi"/>
                <w:sz w:val="22"/>
                <w:szCs w:val="22"/>
                <w:lang w:val="en-US"/>
              </w:rPr>
              <w:t>%  (</w:t>
            </w:r>
            <w:proofErr w:type="gramEnd"/>
            <w:r>
              <w:rPr>
                <w:rFonts w:eastAsiaTheme="minorHAnsi"/>
                <w:sz w:val="22"/>
                <w:szCs w:val="22"/>
                <w:lang w:val="en-US"/>
              </w:rPr>
              <w:t>21,6% ; 39,5%)</w:t>
            </w:r>
          </w:p>
        </w:tc>
      </w:tr>
      <w:tr w:rsidR="00D87AA1" w:rsidTr="00D87AA1">
        <w:trPr>
          <w:trHeight w:val="58"/>
        </w:trPr>
        <w:tc>
          <w:tcPr>
            <w:tcW w:w="2297"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sz w:val="22"/>
                <w:szCs w:val="22"/>
              </w:rPr>
              <w:t>B (Victoria)</w:t>
            </w:r>
            <w:r>
              <w:rPr>
                <w:b/>
                <w:bCs/>
                <w:sz w:val="22"/>
                <w:szCs w:val="22"/>
                <w:vertAlign w:val="superscript"/>
              </w:rPr>
              <w:t>4</w:t>
            </w:r>
          </w:p>
        </w:tc>
        <w:tc>
          <w:tcPr>
            <w:tcW w:w="24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rFonts w:ascii="TimesNewRoman" w:hAnsi="TimesNewRoman" w:cs="TimesNewRoman"/>
                <w:sz w:val="22"/>
                <w:szCs w:val="22"/>
                <w:lang w:eastAsia="da-DK"/>
              </w:rPr>
            </w:pPr>
            <w:r>
              <w:rPr>
                <w:rFonts w:eastAsiaTheme="minorHAnsi"/>
                <w:sz w:val="22"/>
                <w:szCs w:val="22"/>
                <w:lang w:val="en-US"/>
              </w:rPr>
              <w:t>53,6</w:t>
            </w:r>
            <w:proofErr w:type="gramStart"/>
            <w:r>
              <w:rPr>
                <w:rFonts w:eastAsiaTheme="minorHAnsi"/>
                <w:sz w:val="22"/>
                <w:szCs w:val="22"/>
                <w:lang w:val="en-US"/>
              </w:rPr>
              <w:t>%  (</w:t>
            </w:r>
            <w:proofErr w:type="gramEnd"/>
            <w:r>
              <w:rPr>
                <w:rFonts w:eastAsiaTheme="minorHAnsi"/>
                <w:sz w:val="22"/>
                <w:szCs w:val="22"/>
                <w:lang w:val="en-US"/>
              </w:rPr>
              <w:t>50,0% ; 57,2%)</w:t>
            </w:r>
          </w:p>
        </w:tc>
        <w:tc>
          <w:tcPr>
            <w:tcW w:w="2409"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rFonts w:ascii="TimesNewRoman" w:hAnsi="TimesNewRoman" w:cs="TimesNewRoman"/>
                <w:sz w:val="22"/>
                <w:szCs w:val="22"/>
                <w:lang w:eastAsia="da-DK"/>
              </w:rPr>
            </w:pPr>
            <w:r>
              <w:rPr>
                <w:rFonts w:eastAsiaTheme="minorHAnsi"/>
                <w:sz w:val="22"/>
                <w:szCs w:val="22"/>
                <w:lang w:val="en-US"/>
              </w:rPr>
              <w:t>25,0</w:t>
            </w:r>
            <w:proofErr w:type="gramStart"/>
            <w:r>
              <w:rPr>
                <w:rFonts w:eastAsiaTheme="minorHAnsi"/>
                <w:sz w:val="22"/>
                <w:szCs w:val="22"/>
                <w:lang w:val="en-US"/>
              </w:rPr>
              <w:t>%  (</w:t>
            </w:r>
            <w:proofErr w:type="gramEnd"/>
            <w:r>
              <w:rPr>
                <w:rFonts w:eastAsiaTheme="minorHAnsi"/>
                <w:sz w:val="22"/>
                <w:szCs w:val="22"/>
                <w:lang w:val="en-US"/>
              </w:rPr>
              <w:t>17,2% ; 34,3%)</w:t>
            </w:r>
          </w:p>
        </w:tc>
        <w:tc>
          <w:tcPr>
            <w:tcW w:w="2510"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rFonts w:ascii="TimesNewRoman" w:hAnsi="TimesNewRoman" w:cs="TimesNewRoman"/>
                <w:sz w:val="22"/>
                <w:szCs w:val="22"/>
                <w:lang w:eastAsia="da-DK"/>
              </w:rPr>
            </w:pPr>
            <w:r>
              <w:rPr>
                <w:rFonts w:eastAsiaTheme="minorHAnsi"/>
                <w:sz w:val="22"/>
                <w:szCs w:val="22"/>
                <w:lang w:val="en-US"/>
              </w:rPr>
              <w:t>55,6</w:t>
            </w:r>
            <w:proofErr w:type="gramStart"/>
            <w:r>
              <w:rPr>
                <w:rFonts w:eastAsiaTheme="minorHAnsi"/>
                <w:sz w:val="22"/>
                <w:szCs w:val="22"/>
                <w:lang w:val="en-US"/>
              </w:rPr>
              <w:t>%  (</w:t>
            </w:r>
            <w:proofErr w:type="gramEnd"/>
            <w:r>
              <w:rPr>
                <w:rFonts w:eastAsiaTheme="minorHAnsi"/>
                <w:sz w:val="22"/>
                <w:szCs w:val="22"/>
                <w:lang w:val="en-US"/>
              </w:rPr>
              <w:t>45,7% ; 65,1%)</w:t>
            </w:r>
          </w:p>
        </w:tc>
      </w:tr>
    </w:tbl>
    <w:p w:rsidR="00D87AA1" w:rsidRDefault="00D87AA1" w:rsidP="00D87AA1">
      <w:pPr>
        <w:tabs>
          <w:tab w:val="left" w:pos="851"/>
        </w:tabs>
        <w:ind w:left="851"/>
        <w:rPr>
          <w:sz w:val="22"/>
          <w:lang w:eastAsia="da-DK"/>
        </w:rPr>
      </w:pPr>
      <w:r>
        <w:rPr>
          <w:sz w:val="22"/>
          <w:lang w:eastAsia="da-DK"/>
        </w:rPr>
        <w:t xml:space="preserve">N= antal forsøgspersoner, der indgår i </w:t>
      </w:r>
      <w:proofErr w:type="spellStart"/>
      <w:r>
        <w:rPr>
          <w:sz w:val="22"/>
          <w:lang w:eastAsia="da-DK"/>
        </w:rPr>
        <w:t>immunogenicitetsanalysen</w:t>
      </w:r>
      <w:proofErr w:type="spellEnd"/>
    </w:p>
    <w:p w:rsidR="00D87AA1" w:rsidRDefault="00D87AA1" w:rsidP="00D87AA1">
      <w:pPr>
        <w:tabs>
          <w:tab w:val="left" w:pos="851"/>
        </w:tabs>
        <w:ind w:left="851"/>
        <w:rPr>
          <w:sz w:val="22"/>
          <w:lang w:eastAsia="da-DK"/>
        </w:rPr>
      </w:pPr>
      <w:r>
        <w:rPr>
          <w:sz w:val="22"/>
          <w:vertAlign w:val="superscript"/>
          <w:lang w:eastAsia="da-DK"/>
        </w:rPr>
        <w:t>1</w:t>
      </w:r>
      <w:r>
        <w:rPr>
          <w:sz w:val="22"/>
          <w:lang w:eastAsia="da-DK"/>
        </w:rPr>
        <w:t xml:space="preserve"> indeholder A/H1N1, A/H3N2 og B (</w:t>
      </w:r>
      <w:proofErr w:type="spellStart"/>
      <w:r>
        <w:rPr>
          <w:sz w:val="22"/>
          <w:lang w:eastAsia="da-DK"/>
        </w:rPr>
        <w:t>Yamagata</w:t>
      </w:r>
      <w:proofErr w:type="spellEnd"/>
      <w:r>
        <w:rPr>
          <w:sz w:val="22"/>
          <w:lang w:eastAsia="da-DK"/>
        </w:rPr>
        <w:t xml:space="preserve"> afstamning) </w:t>
      </w:r>
    </w:p>
    <w:p w:rsidR="00D87AA1" w:rsidRDefault="00D87AA1" w:rsidP="00D87AA1">
      <w:pPr>
        <w:tabs>
          <w:tab w:val="left" w:pos="851"/>
        </w:tabs>
        <w:ind w:left="851"/>
        <w:rPr>
          <w:sz w:val="22"/>
          <w:lang w:eastAsia="da-DK"/>
        </w:rPr>
      </w:pPr>
      <w:r>
        <w:rPr>
          <w:sz w:val="22"/>
          <w:vertAlign w:val="superscript"/>
          <w:lang w:eastAsia="da-DK"/>
        </w:rPr>
        <w:t>2</w:t>
      </w:r>
      <w:r>
        <w:rPr>
          <w:sz w:val="22"/>
          <w:lang w:eastAsia="da-DK"/>
        </w:rPr>
        <w:t xml:space="preserve"> indeholder A/H1N1, A/H3N2 og B (Victoria afstamning)</w:t>
      </w:r>
    </w:p>
    <w:p w:rsidR="00D87AA1" w:rsidRDefault="00D87AA1" w:rsidP="00D87AA1">
      <w:pPr>
        <w:tabs>
          <w:tab w:val="left" w:pos="851"/>
        </w:tabs>
        <w:ind w:left="851"/>
        <w:rPr>
          <w:sz w:val="22"/>
          <w:lang w:eastAsia="da-DK"/>
        </w:rPr>
      </w:pPr>
      <w:r>
        <w:rPr>
          <w:sz w:val="22"/>
          <w:vertAlign w:val="superscript"/>
          <w:lang w:eastAsia="da-DK"/>
        </w:rPr>
        <w:t>3</w:t>
      </w:r>
      <w:r>
        <w:rPr>
          <w:sz w:val="22"/>
          <w:lang w:eastAsia="da-DK"/>
        </w:rPr>
        <w:t xml:space="preserve"> anbefalet B-stamme af WHO for sæsonen 2014-2015 NH for trivalente vacciner </w:t>
      </w:r>
    </w:p>
    <w:p w:rsidR="00D87AA1" w:rsidRDefault="00D87AA1" w:rsidP="00D87AA1">
      <w:pPr>
        <w:tabs>
          <w:tab w:val="left" w:pos="851"/>
        </w:tabs>
        <w:ind w:left="851"/>
        <w:rPr>
          <w:sz w:val="22"/>
          <w:lang w:eastAsia="da-DK"/>
        </w:rPr>
      </w:pPr>
      <w:r>
        <w:rPr>
          <w:sz w:val="22"/>
          <w:vertAlign w:val="superscript"/>
          <w:lang w:eastAsia="da-DK"/>
        </w:rPr>
        <w:t>4</w:t>
      </w:r>
      <w:r>
        <w:rPr>
          <w:sz w:val="22"/>
          <w:lang w:eastAsia="da-DK"/>
        </w:rPr>
        <w:t xml:space="preserve"> yderligere anbefalet B-stamme af WHO for sæsonen 2014-2015 NH for </w:t>
      </w:r>
      <w:proofErr w:type="spellStart"/>
      <w:r>
        <w:rPr>
          <w:sz w:val="22"/>
          <w:lang w:eastAsia="da-DK"/>
        </w:rPr>
        <w:t>quadrivalente</w:t>
      </w:r>
      <w:proofErr w:type="spellEnd"/>
      <w:r>
        <w:rPr>
          <w:sz w:val="22"/>
          <w:lang w:eastAsia="da-DK"/>
        </w:rPr>
        <w:t xml:space="preserve"> vacciner</w:t>
      </w:r>
    </w:p>
    <w:p w:rsidR="00D87AA1" w:rsidRDefault="00D87AA1" w:rsidP="00D87AA1">
      <w:pPr>
        <w:tabs>
          <w:tab w:val="left" w:pos="851"/>
        </w:tabs>
        <w:ind w:left="851"/>
        <w:rPr>
          <w:sz w:val="24"/>
          <w:lang w:eastAsia="da-DK"/>
        </w:rPr>
      </w:pPr>
    </w:p>
    <w:p w:rsidR="00D87AA1" w:rsidRDefault="00D87AA1" w:rsidP="00D87AA1">
      <w:pPr>
        <w:keepNext/>
        <w:tabs>
          <w:tab w:val="left" w:pos="851"/>
        </w:tabs>
        <w:ind w:left="851"/>
        <w:rPr>
          <w:b/>
          <w:bCs/>
          <w:noProof/>
          <w:sz w:val="24"/>
          <w:szCs w:val="22"/>
          <w:lang w:eastAsia="da-DK"/>
        </w:rPr>
      </w:pPr>
      <w:r>
        <w:rPr>
          <w:b/>
          <w:bCs/>
          <w:noProof/>
          <w:sz w:val="24"/>
          <w:szCs w:val="22"/>
          <w:lang w:eastAsia="da-DK"/>
        </w:rPr>
        <w:t>Pædiatrisk population</w:t>
      </w:r>
    </w:p>
    <w:p w:rsidR="00D87AA1" w:rsidRDefault="00D87AA1" w:rsidP="00D87AA1">
      <w:pPr>
        <w:keepNext/>
        <w:tabs>
          <w:tab w:val="left" w:pos="851"/>
        </w:tabs>
        <w:ind w:left="851"/>
        <w:rPr>
          <w:sz w:val="24"/>
          <w:u w:val="single"/>
          <w:lang w:eastAsia="da-DK"/>
        </w:rPr>
      </w:pPr>
    </w:p>
    <w:p w:rsidR="00D87AA1" w:rsidRDefault="00D87AA1" w:rsidP="00D87AA1">
      <w:pPr>
        <w:keepNext/>
        <w:tabs>
          <w:tab w:val="left" w:pos="851"/>
        </w:tabs>
        <w:ind w:left="851"/>
        <w:rPr>
          <w:bCs/>
          <w:noProof/>
          <w:sz w:val="24"/>
          <w:szCs w:val="22"/>
          <w:u w:val="single"/>
          <w:lang w:eastAsia="da-DK"/>
        </w:rPr>
      </w:pPr>
      <w:r>
        <w:rPr>
          <w:sz w:val="24"/>
          <w:u w:val="single"/>
          <w:lang w:eastAsia="da-DK"/>
        </w:rPr>
        <w:t>Børn</w:t>
      </w:r>
      <w:r>
        <w:rPr>
          <w:bCs/>
          <w:noProof/>
          <w:sz w:val="24"/>
          <w:szCs w:val="22"/>
          <w:u w:val="single"/>
          <w:lang w:eastAsia="da-DK"/>
        </w:rPr>
        <w:t xml:space="preserve"> i alderen 3-17 år</w:t>
      </w:r>
    </w:p>
    <w:p w:rsidR="00D87AA1" w:rsidRDefault="00D87AA1" w:rsidP="00D87AA1">
      <w:pPr>
        <w:tabs>
          <w:tab w:val="left" w:pos="851"/>
        </w:tabs>
        <w:ind w:left="851"/>
        <w:rPr>
          <w:bCs/>
          <w:noProof/>
          <w:sz w:val="24"/>
          <w:szCs w:val="22"/>
          <w:lang w:eastAsia="da-DK"/>
        </w:rPr>
      </w:pPr>
      <w:r>
        <w:rPr>
          <w:bCs/>
          <w:noProof/>
          <w:sz w:val="24"/>
          <w:szCs w:val="22"/>
          <w:lang w:eastAsia="da-DK"/>
        </w:rPr>
        <w:t xml:space="preserve">I </w:t>
      </w:r>
      <w:r>
        <w:rPr>
          <w:sz w:val="24"/>
          <w:lang w:eastAsia="da-DK"/>
        </w:rPr>
        <w:t>det</w:t>
      </w:r>
      <w:r>
        <w:rPr>
          <w:bCs/>
          <w:noProof/>
          <w:sz w:val="24"/>
          <w:szCs w:val="22"/>
          <w:lang w:eastAsia="da-DK"/>
        </w:rPr>
        <w:t xml:space="preserve"> kliniske studie, INFQ3002, fik 402 børn i alderen fra 3 til 17 år en eller to doser af Influvactetra og 798 børn fik en eller to doser trivalent Influvac baseret på deres influenza</w:t>
      </w:r>
      <w:r>
        <w:rPr>
          <w:bCs/>
          <w:noProof/>
          <w:sz w:val="24"/>
          <w:szCs w:val="22"/>
          <w:lang w:eastAsia="da-DK"/>
        </w:rPr>
        <w:softHyphen/>
        <w:t>vaccinations-anamnese.</w:t>
      </w:r>
    </w:p>
    <w:p w:rsidR="00D87AA1" w:rsidRDefault="00D87AA1" w:rsidP="00D87AA1">
      <w:pPr>
        <w:tabs>
          <w:tab w:val="left" w:pos="851"/>
        </w:tabs>
        <w:ind w:left="851"/>
        <w:rPr>
          <w:noProof/>
          <w:sz w:val="24"/>
          <w:szCs w:val="22"/>
          <w:lang w:eastAsia="da-DK"/>
        </w:rPr>
      </w:pPr>
    </w:p>
    <w:p w:rsidR="00D87AA1" w:rsidRDefault="00D87AA1" w:rsidP="00D87AA1">
      <w:pPr>
        <w:keepNext/>
        <w:suppressAutoHyphens/>
        <w:spacing w:after="120"/>
        <w:ind w:left="851"/>
        <w:rPr>
          <w:bCs/>
          <w:noProof/>
          <w:sz w:val="24"/>
          <w:szCs w:val="22"/>
          <w:u w:val="single"/>
          <w:lang w:eastAsia="da-DK"/>
        </w:rPr>
      </w:pPr>
      <w:r>
        <w:rPr>
          <w:bCs/>
          <w:noProof/>
          <w:sz w:val="24"/>
          <w:szCs w:val="22"/>
          <w:u w:val="single"/>
          <w:lang w:eastAsia="da-DK"/>
        </w:rPr>
        <w:t>Tabel: Serokonverteringsrater</w:t>
      </w:r>
    </w:p>
    <w:tbl>
      <w:tblPr>
        <w:tblW w:w="96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556"/>
        <w:gridCol w:w="2405"/>
        <w:gridCol w:w="2422"/>
      </w:tblGrid>
      <w:tr w:rsidR="00D87AA1" w:rsidTr="00D87AA1">
        <w:tc>
          <w:tcPr>
            <w:tcW w:w="2297"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noProof/>
                <w:sz w:val="22"/>
                <w:szCs w:val="22"/>
                <w:lang w:eastAsia="da-DK"/>
              </w:rPr>
              <w:t>Børn i alderen 3-17 år</w:t>
            </w:r>
          </w:p>
        </w:tc>
        <w:tc>
          <w:tcPr>
            <w:tcW w:w="2556"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Influvactetra</w:t>
            </w:r>
          </w:p>
          <w:p w:rsidR="00D87AA1" w:rsidRDefault="00D87AA1">
            <w:pPr>
              <w:suppressAutoHyphens/>
              <w:rPr>
                <w:bCs/>
                <w:noProof/>
                <w:sz w:val="22"/>
                <w:szCs w:val="22"/>
                <w:lang w:eastAsia="da-DK"/>
              </w:rPr>
            </w:pPr>
            <w:r>
              <w:rPr>
                <w:bCs/>
                <w:noProof/>
                <w:sz w:val="22"/>
                <w:szCs w:val="22"/>
                <w:lang w:eastAsia="da-DK"/>
              </w:rPr>
              <w:t>N=396</w:t>
            </w:r>
          </w:p>
        </w:tc>
        <w:tc>
          <w:tcPr>
            <w:tcW w:w="2405"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Influvac</w:t>
            </w:r>
            <w:r>
              <w:rPr>
                <w:bCs/>
                <w:noProof/>
                <w:sz w:val="22"/>
                <w:szCs w:val="22"/>
                <w:vertAlign w:val="superscript"/>
                <w:lang w:eastAsia="da-DK"/>
              </w:rPr>
              <w:t>1</w:t>
            </w:r>
          </w:p>
          <w:p w:rsidR="00D87AA1" w:rsidRDefault="00D87AA1">
            <w:pPr>
              <w:suppressAutoHyphens/>
              <w:rPr>
                <w:bCs/>
                <w:noProof/>
                <w:sz w:val="22"/>
                <w:szCs w:val="22"/>
                <w:lang w:eastAsia="da-DK"/>
              </w:rPr>
            </w:pPr>
            <w:r>
              <w:rPr>
                <w:bCs/>
                <w:noProof/>
                <w:sz w:val="22"/>
                <w:szCs w:val="22"/>
                <w:lang w:eastAsia="da-DK"/>
              </w:rPr>
              <w:t>N=389</w:t>
            </w:r>
          </w:p>
        </w:tc>
        <w:tc>
          <w:tcPr>
            <w:tcW w:w="2422"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bCs/>
                <w:noProof/>
                <w:sz w:val="22"/>
                <w:szCs w:val="22"/>
                <w:lang w:eastAsia="da-DK"/>
              </w:rPr>
              <w:t>Influvac</w:t>
            </w:r>
            <w:r>
              <w:rPr>
                <w:bCs/>
                <w:noProof/>
                <w:sz w:val="22"/>
                <w:szCs w:val="22"/>
                <w:vertAlign w:val="superscript"/>
                <w:lang w:eastAsia="da-DK"/>
              </w:rPr>
              <w:t>2</w:t>
            </w:r>
          </w:p>
          <w:p w:rsidR="00D87AA1" w:rsidRDefault="00D87AA1">
            <w:pPr>
              <w:suppressAutoHyphens/>
              <w:rPr>
                <w:bCs/>
                <w:noProof/>
                <w:sz w:val="22"/>
                <w:szCs w:val="22"/>
                <w:lang w:eastAsia="da-DK"/>
              </w:rPr>
            </w:pPr>
            <w:r>
              <w:rPr>
                <w:bCs/>
                <w:noProof/>
                <w:sz w:val="22"/>
                <w:szCs w:val="22"/>
                <w:lang w:eastAsia="da-DK"/>
              </w:rPr>
              <w:t>N=399</w:t>
            </w:r>
          </w:p>
        </w:tc>
      </w:tr>
      <w:tr w:rsidR="00D87AA1" w:rsidTr="00D87AA1">
        <w:tc>
          <w:tcPr>
            <w:tcW w:w="2297" w:type="dxa"/>
            <w:tcBorders>
              <w:top w:val="single" w:sz="4" w:space="0" w:color="auto"/>
              <w:left w:val="single" w:sz="4" w:space="0" w:color="auto"/>
              <w:bottom w:val="single" w:sz="4" w:space="0" w:color="auto"/>
              <w:right w:val="single" w:sz="4" w:space="0" w:color="auto"/>
            </w:tcBorders>
          </w:tcPr>
          <w:p w:rsidR="00D87AA1" w:rsidRDefault="00D87AA1">
            <w:pPr>
              <w:suppressAutoHyphens/>
              <w:rPr>
                <w:bCs/>
                <w:noProof/>
                <w:sz w:val="22"/>
                <w:szCs w:val="22"/>
                <w:lang w:eastAsia="da-DK"/>
              </w:rPr>
            </w:pPr>
          </w:p>
        </w:tc>
        <w:tc>
          <w:tcPr>
            <w:tcW w:w="7383" w:type="dxa"/>
            <w:gridSpan w:val="3"/>
            <w:tcBorders>
              <w:top w:val="single" w:sz="4" w:space="0" w:color="auto"/>
              <w:left w:val="single" w:sz="4" w:space="0" w:color="auto"/>
              <w:bottom w:val="single" w:sz="4" w:space="0" w:color="auto"/>
              <w:right w:val="single" w:sz="4" w:space="0" w:color="auto"/>
            </w:tcBorders>
            <w:hideMark/>
          </w:tcPr>
          <w:p w:rsidR="00D87AA1" w:rsidRDefault="00D87AA1">
            <w:pPr>
              <w:jc w:val="center"/>
              <w:rPr>
                <w:sz w:val="22"/>
                <w:lang w:eastAsia="da-DK"/>
              </w:rPr>
            </w:pPr>
            <w:r>
              <w:rPr>
                <w:b/>
                <w:noProof/>
                <w:sz w:val="24"/>
                <w:szCs w:val="22"/>
                <w:u w:val="single"/>
                <w:lang w:eastAsia="da-DK"/>
              </w:rPr>
              <w:t>Serokonverteringsrater (95% konfidensinterval)</w:t>
            </w:r>
          </w:p>
        </w:tc>
      </w:tr>
      <w:tr w:rsidR="00D87AA1" w:rsidTr="00D87AA1">
        <w:tc>
          <w:tcPr>
            <w:tcW w:w="2297"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sz w:val="22"/>
                <w:szCs w:val="22"/>
                <w:lang w:val="en-US"/>
              </w:rPr>
              <w:t>A/H1N1</w:t>
            </w:r>
          </w:p>
        </w:tc>
        <w:tc>
          <w:tcPr>
            <w:tcW w:w="2556" w:type="dxa"/>
            <w:tcBorders>
              <w:top w:val="single" w:sz="4" w:space="0" w:color="auto"/>
              <w:left w:val="single" w:sz="4" w:space="0" w:color="auto"/>
              <w:bottom w:val="single" w:sz="4" w:space="0" w:color="auto"/>
              <w:right w:val="single" w:sz="4" w:space="0" w:color="auto"/>
            </w:tcBorders>
            <w:hideMark/>
          </w:tcPr>
          <w:p w:rsidR="00D87AA1" w:rsidRDefault="00D87AA1">
            <w:pPr>
              <w:rPr>
                <w:sz w:val="22"/>
                <w:lang w:eastAsia="da-DK"/>
              </w:rPr>
            </w:pPr>
            <w:r>
              <w:rPr>
                <w:rFonts w:eastAsiaTheme="minorHAnsi"/>
                <w:sz w:val="22"/>
                <w:szCs w:val="22"/>
                <w:lang w:val="en-US"/>
              </w:rPr>
              <w:t>60,1</w:t>
            </w:r>
            <w:proofErr w:type="gramStart"/>
            <w:r>
              <w:rPr>
                <w:rFonts w:eastAsiaTheme="minorHAnsi"/>
                <w:sz w:val="22"/>
                <w:szCs w:val="22"/>
                <w:lang w:val="en-US"/>
              </w:rPr>
              <w:t>%  (</w:t>
            </w:r>
            <w:proofErr w:type="gramEnd"/>
            <w:r>
              <w:rPr>
                <w:rFonts w:eastAsiaTheme="minorHAnsi"/>
                <w:sz w:val="22"/>
                <w:szCs w:val="22"/>
                <w:lang w:val="en-US"/>
              </w:rPr>
              <w:t>55,1% ; 65,0%)</w:t>
            </w:r>
          </w:p>
        </w:tc>
        <w:tc>
          <w:tcPr>
            <w:tcW w:w="2405" w:type="dxa"/>
            <w:tcBorders>
              <w:top w:val="single" w:sz="4" w:space="0" w:color="auto"/>
              <w:left w:val="single" w:sz="4" w:space="0" w:color="auto"/>
              <w:bottom w:val="single" w:sz="4" w:space="0" w:color="auto"/>
              <w:right w:val="single" w:sz="4" w:space="0" w:color="auto"/>
            </w:tcBorders>
            <w:hideMark/>
          </w:tcPr>
          <w:p w:rsidR="00D87AA1" w:rsidRDefault="00D87AA1">
            <w:pPr>
              <w:rPr>
                <w:sz w:val="22"/>
                <w:lang w:eastAsia="da-DK"/>
              </w:rPr>
            </w:pPr>
            <w:r>
              <w:rPr>
                <w:rFonts w:eastAsiaTheme="minorHAnsi"/>
                <w:sz w:val="22"/>
                <w:szCs w:val="22"/>
                <w:lang w:val="en-US"/>
              </w:rPr>
              <w:t>61,8</w:t>
            </w:r>
            <w:proofErr w:type="gramStart"/>
            <w:r>
              <w:rPr>
                <w:rFonts w:eastAsiaTheme="minorHAnsi"/>
                <w:sz w:val="22"/>
                <w:szCs w:val="22"/>
                <w:lang w:val="en-US"/>
              </w:rPr>
              <w:t>%  (</w:t>
            </w:r>
            <w:proofErr w:type="gramEnd"/>
            <w:r>
              <w:rPr>
                <w:rFonts w:eastAsiaTheme="minorHAnsi"/>
                <w:sz w:val="22"/>
                <w:szCs w:val="22"/>
                <w:lang w:val="en-US"/>
              </w:rPr>
              <w:t>56,7% ; 66,6%)</w:t>
            </w:r>
          </w:p>
        </w:tc>
        <w:tc>
          <w:tcPr>
            <w:tcW w:w="2422" w:type="dxa"/>
            <w:tcBorders>
              <w:top w:val="single" w:sz="4" w:space="0" w:color="auto"/>
              <w:left w:val="single" w:sz="4" w:space="0" w:color="auto"/>
              <w:bottom w:val="single" w:sz="4" w:space="0" w:color="auto"/>
              <w:right w:val="single" w:sz="4" w:space="0" w:color="auto"/>
            </w:tcBorders>
            <w:hideMark/>
          </w:tcPr>
          <w:p w:rsidR="00D87AA1" w:rsidRDefault="00D87AA1">
            <w:pPr>
              <w:rPr>
                <w:sz w:val="22"/>
                <w:lang w:eastAsia="da-DK"/>
              </w:rPr>
            </w:pPr>
            <w:r>
              <w:rPr>
                <w:rFonts w:eastAsiaTheme="minorHAnsi"/>
                <w:sz w:val="22"/>
                <w:szCs w:val="22"/>
                <w:lang w:val="en-US"/>
              </w:rPr>
              <w:t>59,1</w:t>
            </w:r>
            <w:proofErr w:type="gramStart"/>
            <w:r>
              <w:rPr>
                <w:rFonts w:eastAsiaTheme="minorHAnsi"/>
                <w:sz w:val="22"/>
                <w:szCs w:val="22"/>
                <w:lang w:val="en-US"/>
              </w:rPr>
              <w:t>%  (</w:t>
            </w:r>
            <w:proofErr w:type="gramEnd"/>
            <w:r>
              <w:rPr>
                <w:rFonts w:eastAsiaTheme="minorHAnsi"/>
                <w:sz w:val="22"/>
                <w:szCs w:val="22"/>
                <w:lang w:val="en-US"/>
              </w:rPr>
              <w:t>54,1% ; 64,0%)</w:t>
            </w:r>
          </w:p>
        </w:tc>
      </w:tr>
      <w:tr w:rsidR="00D87AA1" w:rsidTr="00D87AA1">
        <w:tc>
          <w:tcPr>
            <w:tcW w:w="2297"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sz w:val="22"/>
                <w:szCs w:val="22"/>
              </w:rPr>
              <w:t>A/H3N2</w:t>
            </w:r>
          </w:p>
        </w:tc>
        <w:tc>
          <w:tcPr>
            <w:tcW w:w="2556"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80,6</w:t>
            </w:r>
            <w:proofErr w:type="gramStart"/>
            <w:r>
              <w:rPr>
                <w:rFonts w:eastAsiaTheme="minorHAnsi"/>
                <w:sz w:val="22"/>
                <w:szCs w:val="22"/>
                <w:lang w:val="en-US"/>
              </w:rPr>
              <w:t>%  (</w:t>
            </w:r>
            <w:proofErr w:type="gramEnd"/>
            <w:r>
              <w:rPr>
                <w:rFonts w:eastAsiaTheme="minorHAnsi"/>
                <w:sz w:val="22"/>
                <w:szCs w:val="22"/>
                <w:lang w:val="en-US"/>
              </w:rPr>
              <w:t>76,3% ; 84,3%)</w:t>
            </w:r>
          </w:p>
        </w:tc>
        <w:tc>
          <w:tcPr>
            <w:tcW w:w="2405"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82,4</w:t>
            </w:r>
            <w:proofErr w:type="gramStart"/>
            <w:r>
              <w:rPr>
                <w:rFonts w:eastAsiaTheme="minorHAnsi"/>
                <w:sz w:val="22"/>
                <w:szCs w:val="22"/>
                <w:lang w:val="en-US"/>
              </w:rPr>
              <w:t>%  (</w:t>
            </w:r>
            <w:proofErr w:type="gramEnd"/>
            <w:r>
              <w:rPr>
                <w:rFonts w:eastAsiaTheme="minorHAnsi"/>
                <w:sz w:val="22"/>
                <w:szCs w:val="22"/>
                <w:lang w:val="en-US"/>
              </w:rPr>
              <w:t>78,3% ; 86,1%)</w:t>
            </w:r>
          </w:p>
        </w:tc>
        <w:tc>
          <w:tcPr>
            <w:tcW w:w="2422"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80,7</w:t>
            </w:r>
            <w:proofErr w:type="gramStart"/>
            <w:r>
              <w:rPr>
                <w:rFonts w:eastAsiaTheme="minorHAnsi"/>
                <w:sz w:val="22"/>
                <w:szCs w:val="22"/>
                <w:lang w:val="en-US"/>
              </w:rPr>
              <w:t>%  (</w:t>
            </w:r>
            <w:proofErr w:type="gramEnd"/>
            <w:r>
              <w:rPr>
                <w:rFonts w:eastAsiaTheme="minorHAnsi"/>
                <w:sz w:val="22"/>
                <w:szCs w:val="22"/>
                <w:lang w:val="en-US"/>
              </w:rPr>
              <w:t>76,5% ; 84,5%)</w:t>
            </w:r>
          </w:p>
        </w:tc>
      </w:tr>
      <w:tr w:rsidR="00D87AA1" w:rsidTr="00D87AA1">
        <w:tc>
          <w:tcPr>
            <w:tcW w:w="2297"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sz w:val="22"/>
                <w:szCs w:val="22"/>
              </w:rPr>
              <w:t>B (</w:t>
            </w:r>
            <w:proofErr w:type="spellStart"/>
            <w:r>
              <w:rPr>
                <w:b/>
                <w:bCs/>
                <w:sz w:val="22"/>
                <w:szCs w:val="22"/>
              </w:rPr>
              <w:t>Yamagata</w:t>
            </w:r>
            <w:proofErr w:type="spellEnd"/>
            <w:r>
              <w:rPr>
                <w:b/>
                <w:bCs/>
                <w:sz w:val="22"/>
                <w:szCs w:val="22"/>
              </w:rPr>
              <w:t>)</w:t>
            </w:r>
            <w:r>
              <w:rPr>
                <w:b/>
                <w:bCs/>
                <w:sz w:val="22"/>
                <w:szCs w:val="22"/>
                <w:vertAlign w:val="superscript"/>
              </w:rPr>
              <w:t>3</w:t>
            </w:r>
          </w:p>
        </w:tc>
        <w:tc>
          <w:tcPr>
            <w:tcW w:w="2556"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79,3</w:t>
            </w:r>
            <w:proofErr w:type="gramStart"/>
            <w:r>
              <w:rPr>
                <w:rFonts w:eastAsiaTheme="minorHAnsi"/>
                <w:sz w:val="22"/>
                <w:szCs w:val="22"/>
                <w:lang w:val="en-US"/>
              </w:rPr>
              <w:t>%  (</w:t>
            </w:r>
            <w:proofErr w:type="gramEnd"/>
            <w:r>
              <w:rPr>
                <w:rFonts w:eastAsiaTheme="minorHAnsi"/>
                <w:sz w:val="22"/>
                <w:szCs w:val="22"/>
                <w:lang w:val="en-US"/>
              </w:rPr>
              <w:t xml:space="preserve">75,0% ; 83,2%) </w:t>
            </w:r>
          </w:p>
        </w:tc>
        <w:tc>
          <w:tcPr>
            <w:tcW w:w="2405"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73,1</w:t>
            </w:r>
            <w:proofErr w:type="gramStart"/>
            <w:r>
              <w:rPr>
                <w:rFonts w:eastAsiaTheme="minorHAnsi"/>
                <w:sz w:val="22"/>
                <w:szCs w:val="22"/>
                <w:lang w:val="en-US"/>
              </w:rPr>
              <w:t>%  (</w:t>
            </w:r>
            <w:proofErr w:type="gramEnd"/>
            <w:r>
              <w:rPr>
                <w:rFonts w:eastAsiaTheme="minorHAnsi"/>
                <w:sz w:val="22"/>
                <w:szCs w:val="22"/>
                <w:lang w:val="en-US"/>
              </w:rPr>
              <w:t xml:space="preserve">68,4% ; 77,5%) </w:t>
            </w:r>
          </w:p>
        </w:tc>
        <w:tc>
          <w:tcPr>
            <w:tcW w:w="2422"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28,1</w:t>
            </w:r>
            <w:proofErr w:type="gramStart"/>
            <w:r>
              <w:rPr>
                <w:rFonts w:eastAsiaTheme="minorHAnsi"/>
                <w:sz w:val="22"/>
                <w:szCs w:val="22"/>
                <w:lang w:val="en-US"/>
              </w:rPr>
              <w:t>%  (</w:t>
            </w:r>
            <w:proofErr w:type="gramEnd"/>
            <w:r>
              <w:rPr>
                <w:rFonts w:eastAsiaTheme="minorHAnsi"/>
                <w:sz w:val="22"/>
                <w:szCs w:val="22"/>
                <w:lang w:val="en-US"/>
              </w:rPr>
              <w:t>23,7% ; 32,8%)</w:t>
            </w:r>
          </w:p>
        </w:tc>
      </w:tr>
      <w:tr w:rsidR="00D87AA1" w:rsidTr="00D87AA1">
        <w:trPr>
          <w:trHeight w:val="58"/>
        </w:trPr>
        <w:tc>
          <w:tcPr>
            <w:tcW w:w="2297"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
                <w:bCs/>
                <w:noProof/>
                <w:sz w:val="22"/>
                <w:szCs w:val="22"/>
                <w:lang w:eastAsia="da-DK"/>
              </w:rPr>
            </w:pPr>
            <w:r>
              <w:rPr>
                <w:b/>
                <w:bCs/>
                <w:sz w:val="22"/>
                <w:szCs w:val="22"/>
              </w:rPr>
              <w:t>B (Victoria)</w:t>
            </w:r>
            <w:r>
              <w:rPr>
                <w:b/>
                <w:bCs/>
                <w:sz w:val="22"/>
                <w:szCs w:val="22"/>
                <w:vertAlign w:val="superscript"/>
              </w:rPr>
              <w:t>4</w:t>
            </w:r>
          </w:p>
        </w:tc>
        <w:tc>
          <w:tcPr>
            <w:tcW w:w="2556"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76,5</w:t>
            </w:r>
            <w:proofErr w:type="gramStart"/>
            <w:r>
              <w:rPr>
                <w:rFonts w:eastAsiaTheme="minorHAnsi"/>
                <w:sz w:val="22"/>
                <w:szCs w:val="22"/>
                <w:lang w:val="en-US"/>
              </w:rPr>
              <w:t>%  (</w:t>
            </w:r>
            <w:proofErr w:type="gramEnd"/>
            <w:r>
              <w:rPr>
                <w:rFonts w:eastAsiaTheme="minorHAnsi"/>
                <w:sz w:val="22"/>
                <w:szCs w:val="22"/>
                <w:lang w:val="en-US"/>
              </w:rPr>
              <w:t>72,0% ; 80,6%)</w:t>
            </w:r>
          </w:p>
        </w:tc>
        <w:tc>
          <w:tcPr>
            <w:tcW w:w="2405"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39,5</w:t>
            </w:r>
            <w:proofErr w:type="gramStart"/>
            <w:r>
              <w:rPr>
                <w:rFonts w:eastAsiaTheme="minorHAnsi"/>
                <w:sz w:val="22"/>
                <w:szCs w:val="22"/>
                <w:lang w:val="en-US"/>
              </w:rPr>
              <w:t>%  (</w:t>
            </w:r>
            <w:proofErr w:type="gramEnd"/>
            <w:r>
              <w:rPr>
                <w:rFonts w:eastAsiaTheme="minorHAnsi"/>
                <w:sz w:val="22"/>
                <w:szCs w:val="22"/>
                <w:lang w:val="en-US"/>
              </w:rPr>
              <w:t>34,6% ; 44,6%)</w:t>
            </w:r>
          </w:p>
        </w:tc>
        <w:tc>
          <w:tcPr>
            <w:tcW w:w="2422" w:type="dxa"/>
            <w:tcBorders>
              <w:top w:val="single" w:sz="4" w:space="0" w:color="auto"/>
              <w:left w:val="single" w:sz="4" w:space="0" w:color="auto"/>
              <w:bottom w:val="single" w:sz="4" w:space="0" w:color="auto"/>
              <w:right w:val="single" w:sz="4" w:space="0" w:color="auto"/>
            </w:tcBorders>
            <w:hideMark/>
          </w:tcPr>
          <w:p w:rsidR="00D87AA1" w:rsidRDefault="00D87AA1">
            <w:pPr>
              <w:suppressAutoHyphens/>
              <w:rPr>
                <w:bCs/>
                <w:noProof/>
                <w:sz w:val="22"/>
                <w:szCs w:val="22"/>
                <w:lang w:eastAsia="da-DK"/>
              </w:rPr>
            </w:pPr>
            <w:r>
              <w:rPr>
                <w:rFonts w:eastAsiaTheme="minorHAnsi"/>
                <w:sz w:val="22"/>
                <w:szCs w:val="22"/>
                <w:lang w:val="en-US"/>
              </w:rPr>
              <w:t>72,7</w:t>
            </w:r>
            <w:proofErr w:type="gramStart"/>
            <w:r>
              <w:rPr>
                <w:rFonts w:eastAsiaTheme="minorHAnsi"/>
                <w:sz w:val="22"/>
                <w:szCs w:val="22"/>
                <w:lang w:val="en-US"/>
              </w:rPr>
              <w:t>%  (</w:t>
            </w:r>
            <w:proofErr w:type="gramEnd"/>
            <w:r>
              <w:rPr>
                <w:rFonts w:eastAsiaTheme="minorHAnsi"/>
                <w:sz w:val="22"/>
                <w:szCs w:val="22"/>
                <w:lang w:val="en-US"/>
              </w:rPr>
              <w:t>68,0% ; 77,0%)</w:t>
            </w:r>
          </w:p>
        </w:tc>
      </w:tr>
    </w:tbl>
    <w:p w:rsidR="00D87AA1" w:rsidRDefault="00D87AA1" w:rsidP="00D87AA1">
      <w:pPr>
        <w:tabs>
          <w:tab w:val="left" w:pos="851"/>
        </w:tabs>
        <w:ind w:left="851"/>
        <w:rPr>
          <w:sz w:val="22"/>
          <w:lang w:eastAsia="da-DK"/>
        </w:rPr>
      </w:pPr>
      <w:r>
        <w:rPr>
          <w:sz w:val="22"/>
          <w:lang w:eastAsia="da-DK"/>
        </w:rPr>
        <w:t xml:space="preserve">N= antal forsøgspersoner, der indgår i </w:t>
      </w:r>
      <w:proofErr w:type="spellStart"/>
      <w:r>
        <w:rPr>
          <w:sz w:val="22"/>
          <w:lang w:eastAsia="da-DK"/>
        </w:rPr>
        <w:t>immunogenicitetsanalysen</w:t>
      </w:r>
      <w:proofErr w:type="spellEnd"/>
    </w:p>
    <w:p w:rsidR="00D87AA1" w:rsidRDefault="00D87AA1" w:rsidP="00D87AA1">
      <w:pPr>
        <w:tabs>
          <w:tab w:val="left" w:pos="851"/>
        </w:tabs>
        <w:ind w:left="851"/>
        <w:rPr>
          <w:sz w:val="22"/>
          <w:lang w:eastAsia="da-DK"/>
        </w:rPr>
      </w:pPr>
      <w:r>
        <w:rPr>
          <w:sz w:val="22"/>
          <w:vertAlign w:val="superscript"/>
          <w:lang w:eastAsia="da-DK"/>
        </w:rPr>
        <w:t>1</w:t>
      </w:r>
      <w:r>
        <w:rPr>
          <w:sz w:val="22"/>
          <w:lang w:eastAsia="da-DK"/>
        </w:rPr>
        <w:t xml:space="preserve"> indeholder A/H1N1, A/H3N2 og B (</w:t>
      </w:r>
      <w:proofErr w:type="spellStart"/>
      <w:r>
        <w:rPr>
          <w:sz w:val="22"/>
          <w:lang w:eastAsia="da-DK"/>
        </w:rPr>
        <w:t>Yamagata</w:t>
      </w:r>
      <w:proofErr w:type="spellEnd"/>
      <w:r>
        <w:rPr>
          <w:sz w:val="22"/>
          <w:lang w:eastAsia="da-DK"/>
        </w:rPr>
        <w:t xml:space="preserve"> afstamning) </w:t>
      </w:r>
    </w:p>
    <w:p w:rsidR="00D87AA1" w:rsidRDefault="00D87AA1" w:rsidP="00D87AA1">
      <w:pPr>
        <w:tabs>
          <w:tab w:val="left" w:pos="851"/>
        </w:tabs>
        <w:ind w:left="851"/>
        <w:rPr>
          <w:sz w:val="22"/>
          <w:lang w:eastAsia="da-DK"/>
        </w:rPr>
      </w:pPr>
      <w:r>
        <w:rPr>
          <w:sz w:val="22"/>
          <w:vertAlign w:val="superscript"/>
          <w:lang w:eastAsia="da-DK"/>
        </w:rPr>
        <w:t>2</w:t>
      </w:r>
      <w:r>
        <w:rPr>
          <w:sz w:val="22"/>
          <w:lang w:eastAsia="da-DK"/>
        </w:rPr>
        <w:t xml:space="preserve"> indeholder A/H1N1, A/H3N2 og B (Victoria afstamning)</w:t>
      </w:r>
    </w:p>
    <w:p w:rsidR="00D87AA1" w:rsidRDefault="00D87AA1" w:rsidP="00D87AA1">
      <w:pPr>
        <w:tabs>
          <w:tab w:val="left" w:pos="851"/>
        </w:tabs>
        <w:ind w:left="851"/>
        <w:rPr>
          <w:sz w:val="22"/>
          <w:lang w:eastAsia="da-DK"/>
        </w:rPr>
      </w:pPr>
      <w:r>
        <w:rPr>
          <w:sz w:val="22"/>
          <w:vertAlign w:val="superscript"/>
          <w:lang w:eastAsia="da-DK"/>
        </w:rPr>
        <w:lastRenderedPageBreak/>
        <w:t>3</w:t>
      </w:r>
      <w:r>
        <w:rPr>
          <w:sz w:val="22"/>
          <w:lang w:eastAsia="da-DK"/>
        </w:rPr>
        <w:t xml:space="preserve"> anbefalet B-stamme af WHO for sæsonen 2016-2017 NH for trivalente vacciner</w:t>
      </w:r>
    </w:p>
    <w:p w:rsidR="00D87AA1" w:rsidRDefault="00D87AA1" w:rsidP="00D87AA1">
      <w:pPr>
        <w:tabs>
          <w:tab w:val="left" w:pos="851"/>
        </w:tabs>
        <w:ind w:left="851"/>
        <w:rPr>
          <w:sz w:val="22"/>
          <w:lang w:eastAsia="da-DK"/>
        </w:rPr>
      </w:pPr>
      <w:r>
        <w:rPr>
          <w:sz w:val="22"/>
          <w:vertAlign w:val="superscript"/>
          <w:lang w:eastAsia="da-DK"/>
        </w:rPr>
        <w:t>4</w:t>
      </w:r>
      <w:r>
        <w:rPr>
          <w:sz w:val="22"/>
          <w:lang w:eastAsia="da-DK"/>
        </w:rPr>
        <w:t xml:space="preserve"> yderligere anbefalet B-stamme af WHO for sæsonen 2016-2017 NH for </w:t>
      </w:r>
      <w:proofErr w:type="spellStart"/>
      <w:r>
        <w:rPr>
          <w:sz w:val="22"/>
          <w:lang w:eastAsia="da-DK"/>
        </w:rPr>
        <w:t>quadrivalente</w:t>
      </w:r>
      <w:proofErr w:type="spellEnd"/>
      <w:r>
        <w:rPr>
          <w:sz w:val="22"/>
          <w:lang w:eastAsia="da-DK"/>
        </w:rPr>
        <w:t xml:space="preserve"> vacciner</w:t>
      </w:r>
    </w:p>
    <w:p w:rsidR="00D87AA1" w:rsidRDefault="00D87AA1" w:rsidP="00D87AA1">
      <w:pPr>
        <w:tabs>
          <w:tab w:val="left" w:pos="851"/>
        </w:tabs>
        <w:ind w:left="851"/>
        <w:rPr>
          <w:sz w:val="24"/>
          <w:lang w:eastAsia="da-DK"/>
        </w:rPr>
      </w:pPr>
    </w:p>
    <w:p w:rsidR="00D87AA1" w:rsidRPr="00301D05" w:rsidRDefault="00D87AA1" w:rsidP="00D87AA1">
      <w:pPr>
        <w:pStyle w:val="Default"/>
        <w:spacing w:after="120"/>
        <w:ind w:firstLine="851"/>
        <w:jc w:val="both"/>
        <w:rPr>
          <w:color w:val="auto"/>
          <w:u w:val="single"/>
          <w:lang w:val="da-DK"/>
        </w:rPr>
      </w:pPr>
      <w:r w:rsidRPr="00301D05">
        <w:rPr>
          <w:color w:val="auto"/>
          <w:u w:val="single"/>
          <w:lang w:val="da-DK"/>
        </w:rPr>
        <w:t>Børn i alderen 6 - 35 måneder:</w:t>
      </w:r>
    </w:p>
    <w:p w:rsidR="00D87AA1" w:rsidRPr="00301D05" w:rsidRDefault="00D87AA1" w:rsidP="00D87AA1">
      <w:pPr>
        <w:pStyle w:val="Default"/>
        <w:spacing w:after="120"/>
        <w:ind w:left="851"/>
        <w:jc w:val="both"/>
        <w:rPr>
          <w:lang w:val="da-DK"/>
        </w:rPr>
      </w:pPr>
      <w:bookmarkStart w:id="1" w:name="_Hlk62824794"/>
      <w:r w:rsidRPr="00301D05">
        <w:rPr>
          <w:lang w:val="da-DK"/>
        </w:rPr>
        <w:t xml:space="preserve">I det kliniske studie, INFQ3003, blev </w:t>
      </w:r>
      <w:proofErr w:type="spellStart"/>
      <w:r w:rsidRPr="00301D05">
        <w:rPr>
          <w:lang w:val="da-DK"/>
        </w:rPr>
        <w:t>immunogeniciteten</w:t>
      </w:r>
      <w:proofErr w:type="spellEnd"/>
      <w:r w:rsidRPr="00301D05">
        <w:rPr>
          <w:lang w:val="da-DK"/>
        </w:rPr>
        <w:t xml:space="preserve"> af </w:t>
      </w:r>
      <w:proofErr w:type="spellStart"/>
      <w:r w:rsidRPr="00301D05">
        <w:rPr>
          <w:lang w:val="da-DK"/>
        </w:rPr>
        <w:t>Influvactetra</w:t>
      </w:r>
      <w:proofErr w:type="spellEnd"/>
      <w:r w:rsidRPr="00301D05">
        <w:rPr>
          <w:lang w:val="da-DK"/>
        </w:rPr>
        <w:t xml:space="preserve"> evalueret med hensyn til </w:t>
      </w:r>
      <w:proofErr w:type="spellStart"/>
      <w:r w:rsidRPr="00301D05">
        <w:rPr>
          <w:lang w:val="da-DK"/>
        </w:rPr>
        <w:t>serokonverteringsrater</w:t>
      </w:r>
      <w:proofErr w:type="spellEnd"/>
      <w:r w:rsidRPr="00301D05">
        <w:rPr>
          <w:lang w:val="da-DK"/>
        </w:rPr>
        <w:t xml:space="preserve"> henover 3 influenzasæsoner. </w:t>
      </w:r>
    </w:p>
    <w:bookmarkEnd w:id="1"/>
    <w:p w:rsidR="00D87AA1" w:rsidRDefault="00D87AA1" w:rsidP="00D87AA1">
      <w:pPr>
        <w:pStyle w:val="Default"/>
        <w:spacing w:after="120"/>
        <w:ind w:firstLine="851"/>
        <w:jc w:val="both"/>
        <w:rPr>
          <w:b/>
          <w:color w:val="auto"/>
          <w:lang w:val="en-GB"/>
        </w:rPr>
      </w:pPr>
      <w:proofErr w:type="spellStart"/>
      <w:r>
        <w:rPr>
          <w:b/>
          <w:color w:val="auto"/>
          <w:u w:val="single"/>
          <w:lang w:val="en-GB"/>
        </w:rPr>
        <w:t>Tabel</w:t>
      </w:r>
      <w:proofErr w:type="spellEnd"/>
      <w:r>
        <w:rPr>
          <w:b/>
          <w:color w:val="auto"/>
          <w:u w:val="single"/>
          <w:lang w:val="en-GB"/>
        </w:rPr>
        <w:t xml:space="preserve">: </w:t>
      </w:r>
      <w:proofErr w:type="spellStart"/>
      <w:r>
        <w:rPr>
          <w:b/>
          <w:color w:val="auto"/>
          <w:u w:val="single"/>
          <w:lang w:val="en-GB"/>
        </w:rPr>
        <w:t>Serokonverteringsrater</w:t>
      </w:r>
      <w:proofErr w:type="spellEnd"/>
    </w:p>
    <w:tbl>
      <w:tblPr>
        <w:tblW w:w="9345" w:type="dxa"/>
        <w:tblInd w:w="91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22"/>
        <w:gridCol w:w="2593"/>
        <w:gridCol w:w="2610"/>
        <w:gridCol w:w="2520"/>
      </w:tblGrid>
      <w:tr w:rsidR="00D87AA1" w:rsidRPr="00301D05" w:rsidTr="00D87AA1">
        <w:tc>
          <w:tcPr>
            <w:tcW w:w="1622" w:type="dxa"/>
            <w:tcBorders>
              <w:top w:val="double" w:sz="4" w:space="0" w:color="auto"/>
              <w:left w:val="double" w:sz="4" w:space="0" w:color="auto"/>
              <w:bottom w:val="single" w:sz="6" w:space="0" w:color="auto"/>
              <w:right w:val="single" w:sz="6" w:space="0" w:color="auto"/>
            </w:tcBorders>
            <w:tcMar>
              <w:top w:w="0" w:type="dxa"/>
              <w:left w:w="108" w:type="dxa"/>
              <w:bottom w:w="0" w:type="dxa"/>
              <w:right w:w="108" w:type="dxa"/>
            </w:tcMar>
            <w:hideMark/>
          </w:tcPr>
          <w:p w:rsidR="00D87AA1" w:rsidRPr="00301D05" w:rsidRDefault="00D87AA1">
            <w:pPr>
              <w:pStyle w:val="Default"/>
              <w:rPr>
                <w:color w:val="auto"/>
                <w:sz w:val="22"/>
                <w:szCs w:val="22"/>
                <w:lang w:val="da-DK"/>
              </w:rPr>
            </w:pPr>
            <w:r w:rsidRPr="00301D05">
              <w:rPr>
                <w:b/>
                <w:bCs/>
                <w:sz w:val="22"/>
                <w:szCs w:val="22"/>
                <w:lang w:val="da-DK"/>
              </w:rPr>
              <w:t>Børn i alderen 6-35 måneder</w:t>
            </w:r>
          </w:p>
        </w:tc>
        <w:tc>
          <w:tcPr>
            <w:tcW w:w="2593" w:type="dxa"/>
            <w:tcBorders>
              <w:top w:val="doub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87AA1" w:rsidRPr="00301D05" w:rsidRDefault="00D87AA1">
            <w:pPr>
              <w:pStyle w:val="Default"/>
              <w:rPr>
                <w:color w:val="auto"/>
                <w:sz w:val="22"/>
                <w:szCs w:val="22"/>
                <w:lang w:val="da-DK"/>
              </w:rPr>
            </w:pPr>
            <w:r w:rsidRPr="00301D05">
              <w:rPr>
                <w:color w:val="auto"/>
                <w:sz w:val="22"/>
                <w:szCs w:val="22"/>
                <w:lang w:val="da-DK"/>
              </w:rPr>
              <w:t xml:space="preserve">Influenzasæson </w:t>
            </w:r>
          </w:p>
          <w:p w:rsidR="00D87AA1" w:rsidRPr="00301D05" w:rsidRDefault="00D87AA1">
            <w:r w:rsidRPr="00301D05">
              <w:rPr>
                <w:sz w:val="22"/>
                <w:szCs w:val="22"/>
              </w:rPr>
              <w:t>NH 2017-2018</w:t>
            </w:r>
            <w:r w:rsidRPr="00301D05">
              <w:rPr>
                <w:sz w:val="22"/>
                <w:szCs w:val="22"/>
                <w:vertAlign w:val="superscript"/>
              </w:rPr>
              <w:t>1</w:t>
            </w:r>
            <w:r w:rsidRPr="00301D05">
              <w:rPr>
                <w:sz w:val="22"/>
                <w:szCs w:val="22"/>
              </w:rPr>
              <w:br/>
              <w:t>N=348</w:t>
            </w:r>
          </w:p>
        </w:tc>
        <w:tc>
          <w:tcPr>
            <w:tcW w:w="2610" w:type="dxa"/>
            <w:tcBorders>
              <w:top w:val="double" w:sz="4"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87AA1" w:rsidRPr="00301D05" w:rsidRDefault="00D87AA1">
            <w:pPr>
              <w:rPr>
                <w:color w:val="000000"/>
                <w:sz w:val="22"/>
                <w:szCs w:val="22"/>
              </w:rPr>
            </w:pPr>
            <w:r w:rsidRPr="00301D05">
              <w:rPr>
                <w:color w:val="000000"/>
                <w:sz w:val="22"/>
                <w:szCs w:val="22"/>
              </w:rPr>
              <w:t xml:space="preserve">Influenzasæson </w:t>
            </w:r>
          </w:p>
          <w:p w:rsidR="00D87AA1" w:rsidRPr="00301D05" w:rsidRDefault="00D87AA1">
            <w:pPr>
              <w:rPr>
                <w:color w:val="000000"/>
                <w:sz w:val="22"/>
                <w:szCs w:val="22"/>
              </w:rPr>
            </w:pPr>
            <w:r w:rsidRPr="00301D05">
              <w:rPr>
                <w:color w:val="000000"/>
                <w:sz w:val="22"/>
                <w:szCs w:val="22"/>
              </w:rPr>
              <w:t>NH 2018-2019</w:t>
            </w:r>
            <w:r w:rsidRPr="00301D05">
              <w:rPr>
                <w:color w:val="000000"/>
                <w:sz w:val="22"/>
                <w:szCs w:val="22"/>
                <w:vertAlign w:val="superscript"/>
              </w:rPr>
              <w:t>1</w:t>
            </w:r>
          </w:p>
          <w:p w:rsidR="00D87AA1" w:rsidRPr="00301D05" w:rsidRDefault="00D87AA1">
            <w:pPr>
              <w:pStyle w:val="Default"/>
              <w:jc w:val="both"/>
              <w:rPr>
                <w:color w:val="auto"/>
                <w:sz w:val="22"/>
                <w:szCs w:val="22"/>
                <w:lang w:val="da-DK"/>
              </w:rPr>
            </w:pPr>
            <w:r w:rsidRPr="00301D05">
              <w:rPr>
                <w:sz w:val="22"/>
                <w:szCs w:val="22"/>
                <w:lang w:val="da-DK"/>
              </w:rPr>
              <w:t>N=359</w:t>
            </w:r>
          </w:p>
        </w:tc>
        <w:tc>
          <w:tcPr>
            <w:tcW w:w="2520" w:type="dxa"/>
            <w:tcBorders>
              <w:top w:val="double" w:sz="4" w:space="0" w:color="auto"/>
              <w:left w:val="single" w:sz="6" w:space="0" w:color="auto"/>
              <w:bottom w:val="single" w:sz="6" w:space="0" w:color="auto"/>
              <w:right w:val="double" w:sz="4" w:space="0" w:color="auto"/>
            </w:tcBorders>
            <w:hideMark/>
          </w:tcPr>
          <w:p w:rsidR="00D87AA1" w:rsidRPr="00301D05" w:rsidRDefault="00D87AA1">
            <w:pPr>
              <w:jc w:val="both"/>
              <w:rPr>
                <w:color w:val="000000"/>
                <w:sz w:val="22"/>
                <w:szCs w:val="22"/>
              </w:rPr>
            </w:pPr>
            <w:r w:rsidRPr="00301D05">
              <w:rPr>
                <w:color w:val="000000"/>
                <w:sz w:val="22"/>
                <w:szCs w:val="22"/>
              </w:rPr>
              <w:t xml:space="preserve">Influenzasæson </w:t>
            </w:r>
          </w:p>
          <w:p w:rsidR="00D87AA1" w:rsidRPr="00301D05" w:rsidRDefault="00D87AA1">
            <w:pPr>
              <w:jc w:val="both"/>
              <w:rPr>
                <w:color w:val="000000"/>
                <w:sz w:val="22"/>
                <w:szCs w:val="22"/>
              </w:rPr>
            </w:pPr>
            <w:r w:rsidRPr="00301D05">
              <w:rPr>
                <w:color w:val="000000"/>
                <w:sz w:val="22"/>
                <w:szCs w:val="22"/>
              </w:rPr>
              <w:t>SH 2019</w:t>
            </w:r>
            <w:r w:rsidRPr="00301D05">
              <w:rPr>
                <w:color w:val="000000"/>
                <w:sz w:val="22"/>
                <w:szCs w:val="22"/>
                <w:vertAlign w:val="superscript"/>
              </w:rPr>
              <w:t>1</w:t>
            </w:r>
          </w:p>
          <w:p w:rsidR="00D87AA1" w:rsidRPr="00301D05" w:rsidRDefault="00D87AA1">
            <w:r w:rsidRPr="00301D05">
              <w:rPr>
                <w:color w:val="000000"/>
                <w:sz w:val="22"/>
                <w:szCs w:val="22"/>
              </w:rPr>
              <w:t>N=225</w:t>
            </w:r>
          </w:p>
        </w:tc>
      </w:tr>
      <w:tr w:rsidR="00D87AA1" w:rsidRPr="00301D05" w:rsidTr="00D87AA1">
        <w:tc>
          <w:tcPr>
            <w:tcW w:w="1622" w:type="dxa"/>
            <w:tcBorders>
              <w:top w:val="single" w:sz="6" w:space="0" w:color="auto"/>
              <w:left w:val="double" w:sz="4" w:space="0" w:color="auto"/>
              <w:bottom w:val="single" w:sz="6" w:space="0" w:color="auto"/>
              <w:right w:val="single" w:sz="6" w:space="0" w:color="auto"/>
            </w:tcBorders>
            <w:tcMar>
              <w:top w:w="0" w:type="dxa"/>
              <w:left w:w="108" w:type="dxa"/>
              <w:bottom w:w="0" w:type="dxa"/>
              <w:right w:w="108" w:type="dxa"/>
            </w:tcMar>
          </w:tcPr>
          <w:p w:rsidR="00D87AA1" w:rsidRPr="00301D05" w:rsidRDefault="00D87AA1">
            <w:pPr>
              <w:pStyle w:val="Default"/>
              <w:jc w:val="both"/>
              <w:rPr>
                <w:b/>
                <w:bCs/>
                <w:sz w:val="22"/>
                <w:szCs w:val="22"/>
                <w:lang w:val="da-DK"/>
              </w:rPr>
            </w:pPr>
          </w:p>
        </w:tc>
        <w:tc>
          <w:tcPr>
            <w:tcW w:w="7723" w:type="dxa"/>
            <w:gridSpan w:val="3"/>
            <w:tcBorders>
              <w:top w:val="single" w:sz="6" w:space="0" w:color="auto"/>
              <w:left w:val="single" w:sz="6" w:space="0" w:color="auto"/>
              <w:bottom w:val="single" w:sz="6" w:space="0" w:color="auto"/>
              <w:right w:val="double" w:sz="4" w:space="0" w:color="auto"/>
            </w:tcBorders>
            <w:tcMar>
              <w:top w:w="0" w:type="dxa"/>
              <w:left w:w="108" w:type="dxa"/>
              <w:bottom w:w="0" w:type="dxa"/>
              <w:right w:w="108" w:type="dxa"/>
            </w:tcMar>
            <w:hideMark/>
          </w:tcPr>
          <w:p w:rsidR="00D87AA1" w:rsidRPr="00301D05" w:rsidRDefault="00D87AA1">
            <w:pPr>
              <w:pStyle w:val="Default"/>
              <w:spacing w:before="40" w:after="40"/>
              <w:ind w:left="101"/>
              <w:jc w:val="center"/>
              <w:rPr>
                <w:b/>
                <w:color w:val="auto"/>
                <w:sz w:val="22"/>
                <w:szCs w:val="22"/>
                <w:lang w:val="da-DK"/>
              </w:rPr>
            </w:pPr>
            <w:proofErr w:type="spellStart"/>
            <w:r w:rsidRPr="00301D05">
              <w:rPr>
                <w:b/>
                <w:color w:val="auto"/>
                <w:sz w:val="22"/>
                <w:szCs w:val="22"/>
                <w:lang w:val="da-DK"/>
              </w:rPr>
              <w:t>Serokonverteringsrater</w:t>
            </w:r>
            <w:proofErr w:type="spellEnd"/>
            <w:r w:rsidRPr="00301D05">
              <w:rPr>
                <w:b/>
                <w:color w:val="auto"/>
                <w:sz w:val="22"/>
                <w:szCs w:val="22"/>
                <w:lang w:val="da-DK"/>
              </w:rPr>
              <w:t xml:space="preserve"> </w:t>
            </w:r>
            <w:r w:rsidRPr="00301D05">
              <w:rPr>
                <w:b/>
                <w:bCs/>
                <w:sz w:val="22"/>
                <w:szCs w:val="22"/>
                <w:lang w:val="da-DK"/>
              </w:rPr>
              <w:t>(95% konfidensinterval)</w:t>
            </w:r>
          </w:p>
        </w:tc>
      </w:tr>
      <w:tr w:rsidR="00D87AA1" w:rsidRPr="00301D05" w:rsidTr="00D87AA1">
        <w:tc>
          <w:tcPr>
            <w:tcW w:w="1622" w:type="dxa"/>
            <w:tcBorders>
              <w:top w:val="single" w:sz="6" w:space="0" w:color="auto"/>
              <w:left w:val="double" w:sz="4" w:space="0" w:color="auto"/>
              <w:bottom w:val="single" w:sz="6" w:space="0" w:color="auto"/>
              <w:right w:val="single" w:sz="6" w:space="0" w:color="auto"/>
            </w:tcBorders>
            <w:tcMar>
              <w:top w:w="0" w:type="dxa"/>
              <w:left w:w="108" w:type="dxa"/>
              <w:bottom w:w="0" w:type="dxa"/>
              <w:right w:w="108" w:type="dxa"/>
            </w:tcMar>
            <w:hideMark/>
          </w:tcPr>
          <w:p w:rsidR="00D87AA1" w:rsidRPr="00301D05" w:rsidRDefault="00D87AA1">
            <w:pPr>
              <w:pStyle w:val="Default"/>
              <w:jc w:val="both"/>
              <w:rPr>
                <w:b/>
                <w:bCs/>
                <w:sz w:val="22"/>
                <w:szCs w:val="22"/>
                <w:lang w:val="da-DK"/>
              </w:rPr>
            </w:pPr>
            <w:r w:rsidRPr="00301D05">
              <w:rPr>
                <w:b/>
                <w:bCs/>
                <w:sz w:val="22"/>
                <w:szCs w:val="22"/>
                <w:lang w:val="da-DK"/>
              </w:rPr>
              <w:t>A/H1N1</w:t>
            </w:r>
          </w:p>
        </w:tc>
        <w:tc>
          <w:tcPr>
            <w:tcW w:w="259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87AA1" w:rsidRPr="00301D05" w:rsidRDefault="00D87AA1">
            <w:pPr>
              <w:pStyle w:val="Default"/>
              <w:rPr>
                <w:color w:val="auto"/>
                <w:sz w:val="22"/>
                <w:szCs w:val="22"/>
                <w:lang w:val="da-DK"/>
              </w:rPr>
            </w:pPr>
            <w:r w:rsidRPr="00301D05">
              <w:rPr>
                <w:sz w:val="22"/>
                <w:szCs w:val="22"/>
                <w:lang w:val="da-DK"/>
              </w:rPr>
              <w:t>74,4%</w:t>
            </w:r>
            <w:proofErr w:type="gramStart"/>
            <w:r w:rsidRPr="00301D05">
              <w:rPr>
                <w:sz w:val="22"/>
                <w:szCs w:val="22"/>
                <w:lang w:val="da-DK"/>
              </w:rPr>
              <w:t xml:space="preserve">   (</w:t>
            </w:r>
            <w:proofErr w:type="gramEnd"/>
            <w:r w:rsidRPr="00301D05">
              <w:rPr>
                <w:sz w:val="22"/>
                <w:szCs w:val="22"/>
                <w:lang w:val="da-DK"/>
              </w:rPr>
              <w:t>69,5% ; 78,9%)</w:t>
            </w:r>
          </w:p>
        </w:tc>
        <w:tc>
          <w:tcPr>
            <w:tcW w:w="26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87AA1" w:rsidRPr="00301D05" w:rsidRDefault="00D87AA1">
            <w:pPr>
              <w:pStyle w:val="Default"/>
              <w:rPr>
                <w:color w:val="auto"/>
                <w:sz w:val="22"/>
                <w:szCs w:val="22"/>
                <w:lang w:val="da-DK"/>
              </w:rPr>
            </w:pPr>
            <w:r w:rsidRPr="00301D05">
              <w:rPr>
                <w:sz w:val="22"/>
                <w:szCs w:val="22"/>
                <w:lang w:val="da-DK"/>
              </w:rPr>
              <w:t>76,0%</w:t>
            </w:r>
            <w:proofErr w:type="gramStart"/>
            <w:r w:rsidRPr="00301D05">
              <w:rPr>
                <w:sz w:val="22"/>
                <w:szCs w:val="22"/>
                <w:lang w:val="da-DK"/>
              </w:rPr>
              <w:t xml:space="preserve">   (</w:t>
            </w:r>
            <w:proofErr w:type="gramEnd"/>
            <w:r w:rsidRPr="00301D05">
              <w:rPr>
                <w:sz w:val="22"/>
                <w:szCs w:val="22"/>
                <w:lang w:val="da-DK"/>
              </w:rPr>
              <w:t>71,3% ; 80,4%)</w:t>
            </w:r>
          </w:p>
        </w:tc>
        <w:tc>
          <w:tcPr>
            <w:tcW w:w="2520" w:type="dxa"/>
            <w:tcBorders>
              <w:top w:val="single" w:sz="6" w:space="0" w:color="auto"/>
              <w:left w:val="single" w:sz="6" w:space="0" w:color="auto"/>
              <w:bottom w:val="single" w:sz="6" w:space="0" w:color="auto"/>
              <w:right w:val="double" w:sz="4" w:space="0" w:color="auto"/>
            </w:tcBorders>
            <w:hideMark/>
          </w:tcPr>
          <w:p w:rsidR="00D87AA1" w:rsidRPr="00301D05" w:rsidRDefault="00D87AA1">
            <w:pPr>
              <w:pStyle w:val="Default"/>
              <w:ind w:left="106"/>
              <w:rPr>
                <w:color w:val="auto"/>
                <w:sz w:val="22"/>
                <w:szCs w:val="22"/>
                <w:lang w:val="da-DK"/>
              </w:rPr>
            </w:pPr>
            <w:r w:rsidRPr="00301D05">
              <w:rPr>
                <w:sz w:val="22"/>
                <w:szCs w:val="22"/>
                <w:lang w:val="da-DK"/>
              </w:rPr>
              <w:t>69,8%</w:t>
            </w:r>
            <w:proofErr w:type="gramStart"/>
            <w:r w:rsidRPr="00301D05">
              <w:rPr>
                <w:sz w:val="22"/>
                <w:szCs w:val="22"/>
                <w:lang w:val="da-DK"/>
              </w:rPr>
              <w:t xml:space="preserve">   (</w:t>
            </w:r>
            <w:proofErr w:type="gramEnd"/>
            <w:r w:rsidRPr="00301D05">
              <w:rPr>
                <w:sz w:val="22"/>
                <w:szCs w:val="22"/>
                <w:lang w:val="da-DK"/>
              </w:rPr>
              <w:t>63,3% ; 75,7%)</w:t>
            </w:r>
          </w:p>
        </w:tc>
      </w:tr>
      <w:tr w:rsidR="00D87AA1" w:rsidRPr="00301D05" w:rsidTr="00D87AA1">
        <w:tc>
          <w:tcPr>
            <w:tcW w:w="1622" w:type="dxa"/>
            <w:tcBorders>
              <w:top w:val="single" w:sz="6" w:space="0" w:color="auto"/>
              <w:left w:val="double" w:sz="4" w:space="0" w:color="auto"/>
              <w:bottom w:val="single" w:sz="6" w:space="0" w:color="auto"/>
              <w:right w:val="single" w:sz="6" w:space="0" w:color="auto"/>
            </w:tcBorders>
            <w:tcMar>
              <w:top w:w="0" w:type="dxa"/>
              <w:left w:w="108" w:type="dxa"/>
              <w:bottom w:w="0" w:type="dxa"/>
              <w:right w:w="108" w:type="dxa"/>
            </w:tcMar>
            <w:hideMark/>
          </w:tcPr>
          <w:p w:rsidR="00D87AA1" w:rsidRPr="00301D05" w:rsidRDefault="00D87AA1">
            <w:pPr>
              <w:pStyle w:val="Default"/>
              <w:jc w:val="both"/>
              <w:rPr>
                <w:b/>
                <w:bCs/>
                <w:sz w:val="22"/>
                <w:szCs w:val="22"/>
                <w:lang w:val="da-DK"/>
              </w:rPr>
            </w:pPr>
            <w:r w:rsidRPr="00301D05">
              <w:rPr>
                <w:b/>
                <w:bCs/>
                <w:sz w:val="22"/>
                <w:szCs w:val="22"/>
                <w:lang w:val="da-DK"/>
              </w:rPr>
              <w:t>A/H3N2</w:t>
            </w:r>
          </w:p>
        </w:tc>
        <w:tc>
          <w:tcPr>
            <w:tcW w:w="259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87AA1" w:rsidRPr="00301D05" w:rsidRDefault="00D87AA1">
            <w:pPr>
              <w:pStyle w:val="Default"/>
              <w:rPr>
                <w:color w:val="auto"/>
                <w:sz w:val="22"/>
                <w:szCs w:val="22"/>
                <w:lang w:val="da-DK"/>
              </w:rPr>
            </w:pPr>
            <w:r w:rsidRPr="00301D05">
              <w:rPr>
                <w:sz w:val="22"/>
                <w:szCs w:val="22"/>
                <w:lang w:val="da-DK"/>
              </w:rPr>
              <w:t>92,5%</w:t>
            </w:r>
            <w:proofErr w:type="gramStart"/>
            <w:r w:rsidRPr="00301D05">
              <w:rPr>
                <w:sz w:val="22"/>
                <w:szCs w:val="22"/>
                <w:lang w:val="da-DK"/>
              </w:rPr>
              <w:t xml:space="preserve">   (</w:t>
            </w:r>
            <w:proofErr w:type="gramEnd"/>
            <w:r w:rsidRPr="00301D05">
              <w:rPr>
                <w:sz w:val="22"/>
                <w:szCs w:val="22"/>
                <w:lang w:val="da-DK"/>
              </w:rPr>
              <w:t>89,2% ; 95,0%)</w:t>
            </w:r>
          </w:p>
        </w:tc>
        <w:tc>
          <w:tcPr>
            <w:tcW w:w="26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87AA1" w:rsidRPr="00301D05" w:rsidRDefault="00D87AA1">
            <w:pPr>
              <w:pStyle w:val="Default"/>
              <w:rPr>
                <w:color w:val="auto"/>
                <w:sz w:val="22"/>
                <w:szCs w:val="22"/>
                <w:lang w:val="da-DK"/>
              </w:rPr>
            </w:pPr>
            <w:r w:rsidRPr="00301D05">
              <w:rPr>
                <w:sz w:val="22"/>
                <w:szCs w:val="22"/>
                <w:lang w:val="da-DK"/>
              </w:rPr>
              <w:t>86,6%</w:t>
            </w:r>
            <w:proofErr w:type="gramStart"/>
            <w:r w:rsidRPr="00301D05">
              <w:rPr>
                <w:sz w:val="22"/>
                <w:szCs w:val="22"/>
                <w:lang w:val="da-DK"/>
              </w:rPr>
              <w:t xml:space="preserve">   (</w:t>
            </w:r>
            <w:proofErr w:type="gramEnd"/>
            <w:r w:rsidRPr="00301D05">
              <w:rPr>
                <w:sz w:val="22"/>
                <w:szCs w:val="22"/>
                <w:lang w:val="da-DK"/>
              </w:rPr>
              <w:t>82,7% ; 90,0%)</w:t>
            </w:r>
          </w:p>
        </w:tc>
        <w:tc>
          <w:tcPr>
            <w:tcW w:w="2520" w:type="dxa"/>
            <w:tcBorders>
              <w:top w:val="single" w:sz="6" w:space="0" w:color="auto"/>
              <w:left w:val="single" w:sz="6" w:space="0" w:color="auto"/>
              <w:bottom w:val="single" w:sz="6" w:space="0" w:color="auto"/>
              <w:right w:val="double" w:sz="4" w:space="0" w:color="auto"/>
            </w:tcBorders>
            <w:hideMark/>
          </w:tcPr>
          <w:p w:rsidR="00D87AA1" w:rsidRPr="00301D05" w:rsidRDefault="00D87AA1">
            <w:pPr>
              <w:pStyle w:val="Default"/>
              <w:ind w:left="106"/>
              <w:rPr>
                <w:color w:val="auto"/>
                <w:sz w:val="22"/>
                <w:szCs w:val="22"/>
                <w:lang w:val="da-DK"/>
              </w:rPr>
            </w:pPr>
            <w:r w:rsidRPr="00301D05">
              <w:rPr>
                <w:sz w:val="22"/>
                <w:szCs w:val="22"/>
                <w:lang w:val="da-DK"/>
              </w:rPr>
              <w:t>86,2%</w:t>
            </w:r>
            <w:proofErr w:type="gramStart"/>
            <w:r w:rsidRPr="00301D05">
              <w:rPr>
                <w:sz w:val="22"/>
                <w:szCs w:val="22"/>
                <w:lang w:val="da-DK"/>
              </w:rPr>
              <w:t xml:space="preserve">   (</w:t>
            </w:r>
            <w:proofErr w:type="gramEnd"/>
            <w:r w:rsidRPr="00301D05">
              <w:rPr>
                <w:sz w:val="22"/>
                <w:szCs w:val="22"/>
                <w:lang w:val="da-DK"/>
              </w:rPr>
              <w:t>81,0% ; 90,4%)</w:t>
            </w:r>
          </w:p>
        </w:tc>
      </w:tr>
      <w:tr w:rsidR="00D87AA1" w:rsidRPr="00301D05" w:rsidTr="00D87AA1">
        <w:tc>
          <w:tcPr>
            <w:tcW w:w="1622" w:type="dxa"/>
            <w:tcBorders>
              <w:top w:val="single" w:sz="6" w:space="0" w:color="auto"/>
              <w:left w:val="double" w:sz="4" w:space="0" w:color="auto"/>
              <w:bottom w:val="single" w:sz="6" w:space="0" w:color="auto"/>
              <w:right w:val="single" w:sz="6" w:space="0" w:color="auto"/>
            </w:tcBorders>
            <w:tcMar>
              <w:top w:w="0" w:type="dxa"/>
              <w:left w:w="108" w:type="dxa"/>
              <w:bottom w:w="0" w:type="dxa"/>
              <w:right w:w="108" w:type="dxa"/>
            </w:tcMar>
            <w:hideMark/>
          </w:tcPr>
          <w:p w:rsidR="00D87AA1" w:rsidRPr="00301D05" w:rsidRDefault="00D87AA1">
            <w:pPr>
              <w:pStyle w:val="Default"/>
              <w:jc w:val="both"/>
              <w:rPr>
                <w:b/>
                <w:bCs/>
                <w:sz w:val="22"/>
                <w:szCs w:val="22"/>
                <w:lang w:val="da-DK"/>
              </w:rPr>
            </w:pPr>
            <w:r w:rsidRPr="00301D05">
              <w:rPr>
                <w:b/>
                <w:bCs/>
                <w:sz w:val="22"/>
                <w:szCs w:val="22"/>
                <w:lang w:val="da-DK"/>
              </w:rPr>
              <w:t>B (</w:t>
            </w:r>
            <w:proofErr w:type="spellStart"/>
            <w:r w:rsidRPr="00301D05">
              <w:rPr>
                <w:b/>
                <w:bCs/>
                <w:sz w:val="22"/>
                <w:szCs w:val="22"/>
                <w:lang w:val="da-DK"/>
              </w:rPr>
              <w:t>Yamagata</w:t>
            </w:r>
            <w:proofErr w:type="spellEnd"/>
            <w:r w:rsidRPr="00301D05">
              <w:rPr>
                <w:b/>
                <w:bCs/>
                <w:sz w:val="22"/>
                <w:szCs w:val="22"/>
                <w:lang w:val="da-DK"/>
              </w:rPr>
              <w:t>)</w:t>
            </w:r>
          </w:p>
        </w:tc>
        <w:tc>
          <w:tcPr>
            <w:tcW w:w="2593"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87AA1" w:rsidRPr="00301D05" w:rsidRDefault="00D87AA1">
            <w:pPr>
              <w:pStyle w:val="Default"/>
              <w:rPr>
                <w:color w:val="auto"/>
                <w:sz w:val="22"/>
                <w:szCs w:val="22"/>
                <w:lang w:val="da-DK"/>
              </w:rPr>
            </w:pPr>
            <w:r w:rsidRPr="00301D05">
              <w:rPr>
                <w:sz w:val="22"/>
                <w:szCs w:val="22"/>
                <w:lang w:val="da-DK"/>
              </w:rPr>
              <w:t>35,5%</w:t>
            </w:r>
            <w:proofErr w:type="gramStart"/>
            <w:r w:rsidRPr="00301D05">
              <w:rPr>
                <w:sz w:val="22"/>
                <w:szCs w:val="22"/>
                <w:lang w:val="da-DK"/>
              </w:rPr>
              <w:t xml:space="preserve">   (</w:t>
            </w:r>
            <w:proofErr w:type="gramEnd"/>
            <w:r w:rsidRPr="00301D05">
              <w:rPr>
                <w:sz w:val="22"/>
                <w:szCs w:val="22"/>
                <w:lang w:val="da-DK"/>
              </w:rPr>
              <w:t>30,4% ; 40,8%)</w:t>
            </w:r>
          </w:p>
        </w:tc>
        <w:tc>
          <w:tcPr>
            <w:tcW w:w="261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rsidR="00D87AA1" w:rsidRPr="00301D05" w:rsidRDefault="00D87AA1">
            <w:pPr>
              <w:pStyle w:val="Default"/>
              <w:rPr>
                <w:color w:val="auto"/>
                <w:sz w:val="22"/>
                <w:szCs w:val="22"/>
                <w:lang w:val="da-DK"/>
              </w:rPr>
            </w:pPr>
            <w:r w:rsidRPr="00301D05">
              <w:rPr>
                <w:sz w:val="22"/>
                <w:szCs w:val="22"/>
                <w:lang w:val="da-DK"/>
              </w:rPr>
              <w:t>56,0%</w:t>
            </w:r>
            <w:proofErr w:type="gramStart"/>
            <w:r w:rsidRPr="00301D05">
              <w:rPr>
                <w:sz w:val="22"/>
                <w:szCs w:val="22"/>
                <w:lang w:val="da-DK"/>
              </w:rPr>
              <w:t xml:space="preserve">   (</w:t>
            </w:r>
            <w:proofErr w:type="gramEnd"/>
            <w:r w:rsidRPr="00301D05">
              <w:rPr>
                <w:sz w:val="22"/>
                <w:szCs w:val="22"/>
                <w:lang w:val="da-DK"/>
              </w:rPr>
              <w:t>50,7% ; 61,2%)</w:t>
            </w:r>
          </w:p>
        </w:tc>
        <w:tc>
          <w:tcPr>
            <w:tcW w:w="2520" w:type="dxa"/>
            <w:tcBorders>
              <w:top w:val="single" w:sz="6" w:space="0" w:color="auto"/>
              <w:left w:val="single" w:sz="6" w:space="0" w:color="auto"/>
              <w:bottom w:val="single" w:sz="6" w:space="0" w:color="auto"/>
              <w:right w:val="double" w:sz="4" w:space="0" w:color="auto"/>
            </w:tcBorders>
            <w:hideMark/>
          </w:tcPr>
          <w:p w:rsidR="00D87AA1" w:rsidRPr="00301D05" w:rsidRDefault="00D87AA1">
            <w:pPr>
              <w:pStyle w:val="Default"/>
              <w:ind w:left="106"/>
              <w:rPr>
                <w:color w:val="auto"/>
                <w:sz w:val="22"/>
                <w:szCs w:val="22"/>
                <w:lang w:val="da-DK"/>
              </w:rPr>
            </w:pPr>
            <w:r w:rsidRPr="00301D05">
              <w:rPr>
                <w:sz w:val="22"/>
                <w:szCs w:val="22"/>
                <w:lang w:val="da-DK"/>
              </w:rPr>
              <w:t>16,9%</w:t>
            </w:r>
            <w:proofErr w:type="gramStart"/>
            <w:r w:rsidRPr="00301D05">
              <w:rPr>
                <w:sz w:val="22"/>
                <w:szCs w:val="22"/>
                <w:lang w:val="da-DK"/>
              </w:rPr>
              <w:t xml:space="preserve">   (</w:t>
            </w:r>
            <w:proofErr w:type="gramEnd"/>
            <w:r w:rsidRPr="00301D05">
              <w:rPr>
                <w:sz w:val="22"/>
                <w:szCs w:val="22"/>
                <w:lang w:val="da-DK"/>
              </w:rPr>
              <w:t>12,2% ; 22,4%)</w:t>
            </w:r>
          </w:p>
        </w:tc>
      </w:tr>
      <w:tr w:rsidR="00D87AA1" w:rsidRPr="00301D05" w:rsidTr="00D87AA1">
        <w:tc>
          <w:tcPr>
            <w:tcW w:w="1622" w:type="dxa"/>
            <w:tcBorders>
              <w:top w:val="single" w:sz="6" w:space="0" w:color="auto"/>
              <w:left w:val="double" w:sz="4" w:space="0" w:color="auto"/>
              <w:bottom w:val="double" w:sz="4" w:space="0" w:color="auto"/>
              <w:right w:val="single" w:sz="6" w:space="0" w:color="auto"/>
            </w:tcBorders>
            <w:tcMar>
              <w:top w:w="0" w:type="dxa"/>
              <w:left w:w="108" w:type="dxa"/>
              <w:bottom w:w="0" w:type="dxa"/>
              <w:right w:w="108" w:type="dxa"/>
            </w:tcMar>
            <w:hideMark/>
          </w:tcPr>
          <w:p w:rsidR="00D87AA1" w:rsidRPr="00301D05" w:rsidRDefault="00D87AA1">
            <w:pPr>
              <w:pStyle w:val="Default"/>
              <w:jc w:val="both"/>
              <w:rPr>
                <w:b/>
                <w:bCs/>
                <w:sz w:val="22"/>
                <w:szCs w:val="22"/>
                <w:lang w:val="da-DK"/>
              </w:rPr>
            </w:pPr>
            <w:r w:rsidRPr="00301D05">
              <w:rPr>
                <w:b/>
                <w:bCs/>
                <w:sz w:val="22"/>
                <w:szCs w:val="22"/>
                <w:lang w:val="da-DK"/>
              </w:rPr>
              <w:t>B (Victoria)</w:t>
            </w:r>
          </w:p>
        </w:tc>
        <w:tc>
          <w:tcPr>
            <w:tcW w:w="2593" w:type="dxa"/>
            <w:tcBorders>
              <w:top w:val="single" w:sz="6" w:space="0" w:color="auto"/>
              <w:left w:val="single" w:sz="6" w:space="0" w:color="auto"/>
              <w:bottom w:val="double" w:sz="4" w:space="0" w:color="auto"/>
              <w:right w:val="single" w:sz="6" w:space="0" w:color="auto"/>
            </w:tcBorders>
            <w:tcMar>
              <w:top w:w="0" w:type="dxa"/>
              <w:left w:w="108" w:type="dxa"/>
              <w:bottom w:w="0" w:type="dxa"/>
              <w:right w:w="108" w:type="dxa"/>
            </w:tcMar>
            <w:hideMark/>
          </w:tcPr>
          <w:p w:rsidR="00D87AA1" w:rsidRPr="00301D05" w:rsidRDefault="00D87AA1">
            <w:pPr>
              <w:pStyle w:val="Default"/>
              <w:rPr>
                <w:color w:val="auto"/>
                <w:sz w:val="22"/>
                <w:szCs w:val="22"/>
                <w:lang w:val="da-DK"/>
              </w:rPr>
            </w:pPr>
            <w:r w:rsidRPr="00301D05">
              <w:rPr>
                <w:sz w:val="22"/>
                <w:szCs w:val="22"/>
                <w:lang w:val="da-DK"/>
              </w:rPr>
              <w:t>26,5%</w:t>
            </w:r>
            <w:proofErr w:type="gramStart"/>
            <w:r w:rsidRPr="00301D05">
              <w:rPr>
                <w:sz w:val="22"/>
                <w:szCs w:val="22"/>
                <w:lang w:val="da-DK"/>
              </w:rPr>
              <w:t xml:space="preserve">   (</w:t>
            </w:r>
            <w:proofErr w:type="gramEnd"/>
            <w:r w:rsidRPr="00301D05">
              <w:rPr>
                <w:sz w:val="22"/>
                <w:szCs w:val="22"/>
                <w:lang w:val="da-DK"/>
              </w:rPr>
              <w:t>21,9% ; 31,5%)</w:t>
            </w:r>
          </w:p>
        </w:tc>
        <w:tc>
          <w:tcPr>
            <w:tcW w:w="2610" w:type="dxa"/>
            <w:tcBorders>
              <w:top w:val="single" w:sz="6" w:space="0" w:color="auto"/>
              <w:left w:val="single" w:sz="6" w:space="0" w:color="auto"/>
              <w:bottom w:val="double" w:sz="4" w:space="0" w:color="auto"/>
              <w:right w:val="single" w:sz="6" w:space="0" w:color="auto"/>
            </w:tcBorders>
            <w:tcMar>
              <w:top w:w="0" w:type="dxa"/>
              <w:left w:w="108" w:type="dxa"/>
              <w:bottom w:w="0" w:type="dxa"/>
              <w:right w:w="108" w:type="dxa"/>
            </w:tcMar>
            <w:hideMark/>
          </w:tcPr>
          <w:p w:rsidR="00D87AA1" w:rsidRPr="00301D05" w:rsidRDefault="00D87AA1">
            <w:pPr>
              <w:pStyle w:val="Default"/>
              <w:rPr>
                <w:color w:val="auto"/>
                <w:sz w:val="22"/>
                <w:szCs w:val="22"/>
                <w:lang w:val="da-DK"/>
              </w:rPr>
            </w:pPr>
            <w:r w:rsidRPr="00301D05">
              <w:rPr>
                <w:sz w:val="22"/>
                <w:szCs w:val="22"/>
                <w:lang w:val="da-DK"/>
              </w:rPr>
              <w:t>65,2%</w:t>
            </w:r>
            <w:proofErr w:type="gramStart"/>
            <w:r w:rsidRPr="00301D05">
              <w:rPr>
                <w:sz w:val="22"/>
                <w:szCs w:val="22"/>
                <w:lang w:val="da-DK"/>
              </w:rPr>
              <w:t xml:space="preserve">   (</w:t>
            </w:r>
            <w:proofErr w:type="gramEnd"/>
            <w:r w:rsidRPr="00301D05">
              <w:rPr>
                <w:sz w:val="22"/>
                <w:szCs w:val="22"/>
                <w:lang w:val="da-DK"/>
              </w:rPr>
              <w:t>60,0% ; 70,1%)</w:t>
            </w:r>
          </w:p>
        </w:tc>
        <w:tc>
          <w:tcPr>
            <w:tcW w:w="2520" w:type="dxa"/>
            <w:tcBorders>
              <w:top w:val="single" w:sz="6" w:space="0" w:color="auto"/>
              <w:left w:val="single" w:sz="6" w:space="0" w:color="auto"/>
              <w:bottom w:val="double" w:sz="4" w:space="0" w:color="auto"/>
              <w:right w:val="double" w:sz="4" w:space="0" w:color="auto"/>
            </w:tcBorders>
            <w:hideMark/>
          </w:tcPr>
          <w:p w:rsidR="00D87AA1" w:rsidRPr="00301D05" w:rsidRDefault="00D87AA1">
            <w:pPr>
              <w:pStyle w:val="Default"/>
              <w:ind w:left="106"/>
              <w:rPr>
                <w:color w:val="auto"/>
                <w:sz w:val="22"/>
                <w:szCs w:val="22"/>
                <w:lang w:val="da-DK"/>
              </w:rPr>
            </w:pPr>
            <w:r w:rsidRPr="00301D05">
              <w:rPr>
                <w:sz w:val="22"/>
                <w:szCs w:val="22"/>
                <w:lang w:val="da-DK"/>
              </w:rPr>
              <w:t>47,6%</w:t>
            </w:r>
            <w:proofErr w:type="gramStart"/>
            <w:r w:rsidRPr="00301D05">
              <w:rPr>
                <w:sz w:val="22"/>
                <w:szCs w:val="22"/>
                <w:lang w:val="da-DK"/>
              </w:rPr>
              <w:t xml:space="preserve">   (</w:t>
            </w:r>
            <w:proofErr w:type="gramEnd"/>
            <w:r w:rsidRPr="00301D05">
              <w:rPr>
                <w:sz w:val="22"/>
                <w:szCs w:val="22"/>
                <w:lang w:val="da-DK"/>
              </w:rPr>
              <w:t>40,9% ; 54,3%)</w:t>
            </w:r>
          </w:p>
        </w:tc>
      </w:tr>
    </w:tbl>
    <w:p w:rsidR="00D87AA1" w:rsidRDefault="00D87AA1" w:rsidP="00D87AA1">
      <w:pPr>
        <w:tabs>
          <w:tab w:val="left" w:pos="851"/>
        </w:tabs>
        <w:ind w:left="851"/>
        <w:rPr>
          <w:sz w:val="22"/>
          <w:szCs w:val="22"/>
          <w:lang w:eastAsia="da-DK"/>
        </w:rPr>
      </w:pPr>
      <w:r>
        <w:rPr>
          <w:sz w:val="22"/>
          <w:szCs w:val="22"/>
        </w:rPr>
        <w:t xml:space="preserve">N= </w:t>
      </w:r>
      <w:r>
        <w:rPr>
          <w:sz w:val="22"/>
          <w:szCs w:val="22"/>
          <w:lang w:eastAsia="da-DK"/>
        </w:rPr>
        <w:t xml:space="preserve">antal forsøgspersoner, der indgår i </w:t>
      </w:r>
      <w:proofErr w:type="spellStart"/>
      <w:r>
        <w:rPr>
          <w:sz w:val="22"/>
          <w:szCs w:val="22"/>
          <w:lang w:eastAsia="da-DK"/>
        </w:rPr>
        <w:t>immunogenicitetsanalysen</w:t>
      </w:r>
      <w:proofErr w:type="spellEnd"/>
    </w:p>
    <w:p w:rsidR="00965590" w:rsidRDefault="00D87AA1" w:rsidP="00D87AA1">
      <w:pPr>
        <w:tabs>
          <w:tab w:val="left" w:pos="851"/>
        </w:tabs>
        <w:ind w:left="851"/>
        <w:rPr>
          <w:color w:val="000000"/>
          <w:sz w:val="22"/>
          <w:szCs w:val="22"/>
        </w:rPr>
      </w:pPr>
      <w:r>
        <w:rPr>
          <w:color w:val="000000"/>
          <w:sz w:val="22"/>
          <w:szCs w:val="22"/>
          <w:vertAlign w:val="superscript"/>
        </w:rPr>
        <w:t xml:space="preserve">1 </w:t>
      </w:r>
      <w:r>
        <w:rPr>
          <w:color w:val="000000"/>
          <w:sz w:val="22"/>
          <w:szCs w:val="22"/>
        </w:rPr>
        <w:t xml:space="preserve">indeholder stammer anbefalet af WHO for den respektive sæson for </w:t>
      </w:r>
      <w:proofErr w:type="spellStart"/>
      <w:r>
        <w:rPr>
          <w:color w:val="000000"/>
          <w:sz w:val="22"/>
          <w:szCs w:val="22"/>
        </w:rPr>
        <w:t>quadrivalente</w:t>
      </w:r>
      <w:proofErr w:type="spellEnd"/>
      <w:r>
        <w:rPr>
          <w:color w:val="000000"/>
          <w:sz w:val="22"/>
          <w:szCs w:val="22"/>
        </w:rPr>
        <w:t xml:space="preserve"> vacciner</w:t>
      </w:r>
    </w:p>
    <w:p w:rsidR="00D87AA1" w:rsidRPr="00C84483" w:rsidRDefault="00D87AA1" w:rsidP="00D87AA1">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65590" w:rsidRPr="00C84483" w:rsidRDefault="00965590" w:rsidP="00965590">
      <w:pPr>
        <w:tabs>
          <w:tab w:val="left" w:pos="851"/>
        </w:tabs>
        <w:ind w:left="851"/>
        <w:rPr>
          <w:sz w:val="24"/>
          <w:szCs w:val="24"/>
          <w:lang w:eastAsia="da-DK"/>
        </w:rPr>
      </w:pPr>
      <w:r w:rsidRPr="00127520">
        <w:rPr>
          <w:sz w:val="24"/>
          <w:szCs w:val="24"/>
          <w:lang w:eastAsia="da-DK"/>
        </w:rPr>
        <w:t xml:space="preserve">Ikke </w:t>
      </w:r>
      <w:r w:rsidRPr="00127520">
        <w:rPr>
          <w:sz w:val="24"/>
          <w:lang w:eastAsia="da-DK"/>
        </w:rPr>
        <w:t>relevant</w:t>
      </w:r>
      <w:r w:rsidRPr="00127520">
        <w:rPr>
          <w:sz w:val="24"/>
          <w:szCs w:val="24"/>
          <w:lang w:eastAsia="da-DK"/>
        </w:rPr>
        <w:t>.</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5.3</w:t>
      </w:r>
      <w:r w:rsidRPr="00C84483">
        <w:rPr>
          <w:b/>
          <w:sz w:val="24"/>
          <w:szCs w:val="24"/>
        </w:rPr>
        <w:tab/>
      </w:r>
      <w:r w:rsidR="003F1018">
        <w:rPr>
          <w:b/>
          <w:sz w:val="24"/>
          <w:szCs w:val="24"/>
        </w:rPr>
        <w:t>Non-</w:t>
      </w:r>
      <w:r w:rsidRPr="00C84483">
        <w:rPr>
          <w:b/>
          <w:sz w:val="24"/>
          <w:szCs w:val="24"/>
        </w:rPr>
        <w:t>kliniske sikkerhedsdata</w:t>
      </w:r>
    </w:p>
    <w:p w:rsidR="00965590" w:rsidRPr="004C6064" w:rsidRDefault="00965590" w:rsidP="00965590">
      <w:pPr>
        <w:tabs>
          <w:tab w:val="left" w:pos="851"/>
        </w:tabs>
        <w:ind w:left="851"/>
        <w:rPr>
          <w:sz w:val="24"/>
          <w:lang w:eastAsia="da-DK"/>
        </w:rPr>
      </w:pPr>
      <w:r w:rsidRPr="00127520">
        <w:rPr>
          <w:sz w:val="24"/>
          <w:lang w:eastAsia="da-DK"/>
        </w:rPr>
        <w:t>Prækliniske data viser ingen speciel risiko for mennesker vurderet ud fra konventionelle studier af sikkerhedsfarmakologi, toksicitet efter gentagne doser samt reproduktions-</w:t>
      </w:r>
      <w:r w:rsidRPr="00127520">
        <w:rPr>
          <w:sz w:val="24"/>
          <w:szCs w:val="22"/>
          <w:lang w:eastAsia="da-DK"/>
        </w:rPr>
        <w:t xml:space="preserve"> og udviklings</w:t>
      </w:r>
      <w:r w:rsidRPr="00127520">
        <w:rPr>
          <w:sz w:val="24"/>
          <w:lang w:eastAsia="da-DK"/>
        </w:rPr>
        <w:t>toksicitet.</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rPr>
          <w:sz w:val="24"/>
          <w:szCs w:val="24"/>
        </w:rPr>
      </w:pPr>
    </w:p>
    <w:p w:rsidR="00965590" w:rsidRPr="00C84483" w:rsidRDefault="00965590" w:rsidP="00F73E7B">
      <w:pPr>
        <w:keepNext/>
        <w:tabs>
          <w:tab w:val="left" w:pos="851"/>
        </w:tabs>
        <w:ind w:left="851" w:hanging="851"/>
        <w:rPr>
          <w:b/>
          <w:sz w:val="24"/>
          <w:szCs w:val="24"/>
        </w:rPr>
      </w:pPr>
      <w:r w:rsidRPr="00C84483">
        <w:rPr>
          <w:b/>
          <w:sz w:val="24"/>
          <w:szCs w:val="24"/>
        </w:rPr>
        <w:t>6.</w:t>
      </w:r>
      <w:r w:rsidRPr="00C84483">
        <w:rPr>
          <w:b/>
          <w:sz w:val="24"/>
          <w:szCs w:val="24"/>
        </w:rPr>
        <w:tab/>
        <w:t>FARMACEUTISKE OPLYSNINGER</w:t>
      </w:r>
    </w:p>
    <w:p w:rsidR="00965590" w:rsidRPr="00BA09F1" w:rsidRDefault="00965590" w:rsidP="00F73E7B">
      <w:pPr>
        <w:keepNext/>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6.1</w:t>
      </w:r>
      <w:r w:rsidRPr="00C84483">
        <w:rPr>
          <w:b/>
          <w:sz w:val="24"/>
          <w:szCs w:val="24"/>
        </w:rPr>
        <w:tab/>
        <w:t>Hjælpestoffer</w:t>
      </w:r>
    </w:p>
    <w:p w:rsidR="00965590" w:rsidRDefault="00965590" w:rsidP="00965590">
      <w:pPr>
        <w:tabs>
          <w:tab w:val="left" w:pos="851"/>
        </w:tabs>
        <w:ind w:left="851"/>
        <w:rPr>
          <w:sz w:val="24"/>
          <w:lang w:eastAsia="da-DK"/>
        </w:rPr>
      </w:pPr>
      <w:proofErr w:type="spellStart"/>
      <w:r w:rsidRPr="00127520">
        <w:rPr>
          <w:sz w:val="24"/>
          <w:lang w:eastAsia="da-DK"/>
        </w:rPr>
        <w:t>Kaliumchlorid</w:t>
      </w:r>
      <w:proofErr w:type="spellEnd"/>
    </w:p>
    <w:p w:rsidR="00965590" w:rsidRDefault="00965590" w:rsidP="00965590">
      <w:pPr>
        <w:tabs>
          <w:tab w:val="left" w:pos="851"/>
        </w:tabs>
        <w:ind w:left="851"/>
        <w:rPr>
          <w:sz w:val="24"/>
          <w:lang w:eastAsia="da-DK"/>
        </w:rPr>
      </w:pPr>
      <w:proofErr w:type="spellStart"/>
      <w:r>
        <w:rPr>
          <w:sz w:val="24"/>
          <w:lang w:eastAsia="da-DK"/>
        </w:rPr>
        <w:t>K</w:t>
      </w:r>
      <w:r w:rsidRPr="00127520">
        <w:rPr>
          <w:sz w:val="24"/>
          <w:lang w:eastAsia="da-DK"/>
        </w:rPr>
        <w:t>aliumdihydrogenphosphat</w:t>
      </w:r>
      <w:proofErr w:type="spellEnd"/>
    </w:p>
    <w:p w:rsidR="00965590" w:rsidRDefault="00965590" w:rsidP="00965590">
      <w:pPr>
        <w:tabs>
          <w:tab w:val="left" w:pos="851"/>
        </w:tabs>
        <w:ind w:left="851"/>
        <w:rPr>
          <w:sz w:val="24"/>
          <w:lang w:eastAsia="da-DK"/>
        </w:rPr>
      </w:pPr>
      <w:proofErr w:type="spellStart"/>
      <w:r>
        <w:rPr>
          <w:sz w:val="24"/>
          <w:lang w:eastAsia="da-DK"/>
        </w:rPr>
        <w:t>D</w:t>
      </w:r>
      <w:r w:rsidRPr="00127520">
        <w:rPr>
          <w:sz w:val="24"/>
          <w:lang w:eastAsia="da-DK"/>
        </w:rPr>
        <w:t>inatriumphosphatdihydrat</w:t>
      </w:r>
      <w:proofErr w:type="spellEnd"/>
    </w:p>
    <w:p w:rsidR="00965590" w:rsidRDefault="00965590" w:rsidP="00965590">
      <w:pPr>
        <w:tabs>
          <w:tab w:val="left" w:pos="851"/>
        </w:tabs>
        <w:ind w:left="851"/>
        <w:rPr>
          <w:sz w:val="24"/>
          <w:lang w:eastAsia="da-DK"/>
        </w:rPr>
      </w:pPr>
      <w:proofErr w:type="spellStart"/>
      <w:r>
        <w:rPr>
          <w:sz w:val="24"/>
          <w:lang w:eastAsia="da-DK"/>
        </w:rPr>
        <w:t>N</w:t>
      </w:r>
      <w:r w:rsidRPr="00127520">
        <w:rPr>
          <w:sz w:val="24"/>
          <w:lang w:eastAsia="da-DK"/>
        </w:rPr>
        <w:t>atriumchlorid</w:t>
      </w:r>
      <w:proofErr w:type="spellEnd"/>
    </w:p>
    <w:p w:rsidR="00965590" w:rsidRDefault="00965590" w:rsidP="00965590">
      <w:pPr>
        <w:tabs>
          <w:tab w:val="left" w:pos="851"/>
        </w:tabs>
        <w:ind w:left="851"/>
        <w:rPr>
          <w:sz w:val="24"/>
          <w:lang w:eastAsia="da-DK"/>
        </w:rPr>
      </w:pPr>
      <w:proofErr w:type="spellStart"/>
      <w:r>
        <w:rPr>
          <w:sz w:val="24"/>
          <w:lang w:eastAsia="da-DK"/>
        </w:rPr>
        <w:t>C</w:t>
      </w:r>
      <w:r w:rsidRPr="00127520">
        <w:rPr>
          <w:sz w:val="24"/>
          <w:lang w:eastAsia="da-DK"/>
        </w:rPr>
        <w:t>alcium</w:t>
      </w:r>
      <w:r w:rsidRPr="00127520">
        <w:rPr>
          <w:sz w:val="24"/>
          <w:lang w:eastAsia="da-DK"/>
        </w:rPr>
        <w:softHyphen/>
        <w:t>chlorid</w:t>
      </w:r>
      <w:r w:rsidRPr="00127520">
        <w:rPr>
          <w:sz w:val="24"/>
          <w:lang w:eastAsia="da-DK"/>
        </w:rPr>
        <w:softHyphen/>
        <w:t>dihydrat</w:t>
      </w:r>
      <w:proofErr w:type="spellEnd"/>
    </w:p>
    <w:p w:rsidR="00965590" w:rsidRDefault="00965590" w:rsidP="00965590">
      <w:pPr>
        <w:tabs>
          <w:tab w:val="left" w:pos="851"/>
        </w:tabs>
        <w:ind w:left="851"/>
        <w:rPr>
          <w:sz w:val="24"/>
          <w:lang w:eastAsia="da-DK"/>
        </w:rPr>
      </w:pPr>
      <w:proofErr w:type="spellStart"/>
      <w:r>
        <w:rPr>
          <w:sz w:val="24"/>
          <w:lang w:eastAsia="da-DK"/>
        </w:rPr>
        <w:t>M</w:t>
      </w:r>
      <w:r w:rsidRPr="00127520">
        <w:rPr>
          <w:sz w:val="24"/>
          <w:lang w:eastAsia="da-DK"/>
        </w:rPr>
        <w:t>agnesiumchloridhexahydrat</w:t>
      </w:r>
      <w:proofErr w:type="spellEnd"/>
    </w:p>
    <w:p w:rsidR="00965590" w:rsidRPr="000E1999" w:rsidRDefault="00965590" w:rsidP="00965590">
      <w:pPr>
        <w:tabs>
          <w:tab w:val="left" w:pos="851"/>
        </w:tabs>
        <w:ind w:left="851"/>
        <w:rPr>
          <w:sz w:val="24"/>
          <w:lang w:eastAsia="da-DK"/>
        </w:rPr>
      </w:pPr>
      <w:r>
        <w:rPr>
          <w:sz w:val="24"/>
          <w:lang w:eastAsia="da-DK"/>
        </w:rPr>
        <w:t>V</w:t>
      </w:r>
      <w:r w:rsidRPr="00127520">
        <w:rPr>
          <w:sz w:val="24"/>
          <w:lang w:eastAsia="da-DK"/>
        </w:rPr>
        <w:t>and til injektionsvæsker</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6.2</w:t>
      </w:r>
      <w:r w:rsidRPr="00C84483">
        <w:rPr>
          <w:b/>
          <w:sz w:val="24"/>
          <w:szCs w:val="24"/>
        </w:rPr>
        <w:tab/>
        <w:t>Uforligeligheder</w:t>
      </w:r>
    </w:p>
    <w:p w:rsidR="00965590" w:rsidRPr="007F77E0" w:rsidRDefault="00965590" w:rsidP="00965590">
      <w:pPr>
        <w:tabs>
          <w:tab w:val="left" w:pos="851"/>
        </w:tabs>
        <w:ind w:left="851"/>
        <w:rPr>
          <w:sz w:val="24"/>
          <w:lang w:eastAsia="da-DK"/>
        </w:rPr>
      </w:pPr>
      <w:r w:rsidRPr="0035040A">
        <w:rPr>
          <w:sz w:val="24"/>
          <w:lang w:eastAsia="da-DK"/>
        </w:rPr>
        <w:t xml:space="preserve">Da der ikke foreligger studier af eventuelle uforligeligheder, </w:t>
      </w:r>
      <w:r w:rsidRPr="0035040A">
        <w:rPr>
          <w:sz w:val="24"/>
          <w:szCs w:val="24"/>
          <w:lang w:eastAsia="da-DK"/>
        </w:rPr>
        <w:t>må dette lægemiddel ikke blandes med andre lægemidler</w:t>
      </w:r>
      <w:r w:rsidRPr="0035040A">
        <w:rPr>
          <w:sz w:val="24"/>
          <w:lang w:eastAsia="da-DK"/>
        </w:rPr>
        <w:t>.</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6.3</w:t>
      </w:r>
      <w:r w:rsidRPr="00C84483">
        <w:rPr>
          <w:b/>
          <w:sz w:val="24"/>
          <w:szCs w:val="24"/>
        </w:rPr>
        <w:tab/>
        <w:t>Opbevaringstid</w:t>
      </w:r>
    </w:p>
    <w:p w:rsidR="00965590" w:rsidRPr="00960288" w:rsidRDefault="00965590" w:rsidP="00965590">
      <w:pPr>
        <w:tabs>
          <w:tab w:val="left" w:pos="851"/>
        </w:tabs>
        <w:ind w:left="851"/>
        <w:rPr>
          <w:sz w:val="24"/>
          <w:lang w:eastAsia="da-DK"/>
        </w:rPr>
      </w:pPr>
      <w:r w:rsidRPr="0035040A">
        <w:rPr>
          <w:sz w:val="24"/>
          <w:lang w:eastAsia="da-DK"/>
        </w:rPr>
        <w:t>1 år.</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65590" w:rsidRPr="0035040A" w:rsidRDefault="00965590" w:rsidP="00965590">
      <w:pPr>
        <w:tabs>
          <w:tab w:val="left" w:pos="851"/>
        </w:tabs>
        <w:ind w:left="851"/>
        <w:rPr>
          <w:noProof/>
          <w:sz w:val="24"/>
          <w:lang w:eastAsia="da-DK"/>
        </w:rPr>
      </w:pPr>
      <w:r w:rsidRPr="0035040A">
        <w:rPr>
          <w:sz w:val="24"/>
          <w:lang w:eastAsia="da-DK"/>
        </w:rPr>
        <w:t>Opbevares</w:t>
      </w:r>
      <w:r w:rsidRPr="0035040A">
        <w:rPr>
          <w:noProof/>
          <w:sz w:val="24"/>
          <w:lang w:eastAsia="da-DK"/>
        </w:rPr>
        <w:t xml:space="preserve"> i køleskab (</w:t>
      </w:r>
      <w:r w:rsidR="00E1206A">
        <w:rPr>
          <w:noProof/>
          <w:sz w:val="24"/>
          <w:lang w:eastAsia="da-DK"/>
        </w:rPr>
        <w:t>2 °C</w:t>
      </w:r>
      <w:r w:rsidR="00E1206A">
        <w:t xml:space="preserve"> - </w:t>
      </w:r>
      <w:r w:rsidR="00E1206A">
        <w:rPr>
          <w:noProof/>
          <w:sz w:val="24"/>
          <w:lang w:eastAsia="da-DK"/>
        </w:rPr>
        <w:t>8 °C</w:t>
      </w:r>
      <w:r w:rsidRPr="0035040A">
        <w:rPr>
          <w:noProof/>
          <w:sz w:val="24"/>
          <w:lang w:eastAsia="da-DK"/>
        </w:rPr>
        <w:t>). Må ikke nedfryses.</w:t>
      </w:r>
    </w:p>
    <w:p w:rsidR="00965590" w:rsidRPr="006A20B3" w:rsidRDefault="00965590" w:rsidP="00965590">
      <w:pPr>
        <w:tabs>
          <w:tab w:val="left" w:pos="851"/>
        </w:tabs>
        <w:ind w:left="851"/>
        <w:rPr>
          <w:sz w:val="24"/>
          <w:highlight w:val="yellow"/>
          <w:lang w:eastAsia="da-DK"/>
        </w:rPr>
      </w:pPr>
      <w:r w:rsidRPr="0035040A">
        <w:rPr>
          <w:sz w:val="24"/>
          <w:lang w:eastAsia="da-DK"/>
        </w:rPr>
        <w:t>Opbevares</w:t>
      </w:r>
      <w:r w:rsidRPr="0035040A">
        <w:rPr>
          <w:noProof/>
          <w:sz w:val="24"/>
          <w:lang w:eastAsia="da-DK"/>
        </w:rPr>
        <w:t xml:space="preserve"> i den originale pakning for at beskytte mod lys.</w:t>
      </w:r>
    </w:p>
    <w:p w:rsidR="00965590" w:rsidRPr="00C84483" w:rsidRDefault="00965590" w:rsidP="00965590">
      <w:pPr>
        <w:tabs>
          <w:tab w:val="left" w:pos="851"/>
        </w:tabs>
        <w:ind w:left="851"/>
        <w:rPr>
          <w:sz w:val="24"/>
          <w:szCs w:val="24"/>
        </w:rPr>
      </w:pPr>
    </w:p>
    <w:p w:rsidR="00965590" w:rsidRPr="00C84483" w:rsidRDefault="00965590" w:rsidP="00301D05">
      <w:pPr>
        <w:keepNext/>
        <w:tabs>
          <w:tab w:val="left" w:pos="851"/>
        </w:tabs>
        <w:ind w:left="851" w:hanging="851"/>
        <w:rPr>
          <w:b/>
          <w:sz w:val="24"/>
          <w:szCs w:val="24"/>
        </w:rPr>
      </w:pPr>
      <w:r w:rsidRPr="00C84483">
        <w:rPr>
          <w:b/>
          <w:sz w:val="24"/>
          <w:szCs w:val="24"/>
        </w:rPr>
        <w:lastRenderedPageBreak/>
        <w:t>6.5</w:t>
      </w:r>
      <w:r w:rsidRPr="00C84483">
        <w:rPr>
          <w:b/>
          <w:sz w:val="24"/>
          <w:szCs w:val="24"/>
        </w:rPr>
        <w:tab/>
        <w:t>Emballagetype og pakningsstørrelser</w:t>
      </w:r>
    </w:p>
    <w:p w:rsidR="00965590" w:rsidRDefault="00E1206A" w:rsidP="00965590">
      <w:pPr>
        <w:tabs>
          <w:tab w:val="left" w:pos="851"/>
        </w:tabs>
        <w:ind w:left="851"/>
        <w:rPr>
          <w:sz w:val="24"/>
          <w:lang w:eastAsia="da-DK"/>
        </w:rPr>
      </w:pPr>
      <w:r>
        <w:rPr>
          <w:sz w:val="24"/>
          <w:lang w:eastAsia="da-DK"/>
        </w:rPr>
        <w:t>0,5 ml suspension til injektion i fyldt engangssprøjte med eller uden kanyle (glas, type I).</w:t>
      </w:r>
    </w:p>
    <w:p w:rsidR="00965590" w:rsidRDefault="00965590" w:rsidP="00965590">
      <w:pPr>
        <w:tabs>
          <w:tab w:val="left" w:pos="851"/>
        </w:tabs>
        <w:ind w:left="851"/>
        <w:rPr>
          <w:sz w:val="24"/>
          <w:lang w:eastAsia="da-DK"/>
        </w:rPr>
      </w:pPr>
    </w:p>
    <w:p w:rsidR="00965590" w:rsidRPr="0035040A" w:rsidRDefault="00965590" w:rsidP="00965590">
      <w:pPr>
        <w:tabs>
          <w:tab w:val="left" w:pos="851"/>
        </w:tabs>
        <w:ind w:left="851"/>
        <w:rPr>
          <w:sz w:val="24"/>
          <w:lang w:eastAsia="da-DK"/>
        </w:rPr>
      </w:pPr>
      <w:r>
        <w:rPr>
          <w:sz w:val="24"/>
          <w:lang w:eastAsia="da-DK"/>
        </w:rPr>
        <w:t xml:space="preserve">Pakningsstørrelser: </w:t>
      </w:r>
      <w:r w:rsidRPr="0035040A">
        <w:rPr>
          <w:sz w:val="24"/>
          <w:lang w:eastAsia="da-DK"/>
        </w:rPr>
        <w:t xml:space="preserve">1 </w:t>
      </w:r>
      <w:r>
        <w:rPr>
          <w:sz w:val="24"/>
          <w:lang w:eastAsia="da-DK"/>
        </w:rPr>
        <w:t>og</w:t>
      </w:r>
      <w:r w:rsidRPr="0035040A">
        <w:rPr>
          <w:sz w:val="24"/>
          <w:lang w:eastAsia="da-DK"/>
        </w:rPr>
        <w:t xml:space="preserve"> 10 st</w:t>
      </w:r>
      <w:r>
        <w:rPr>
          <w:sz w:val="24"/>
          <w:lang w:eastAsia="da-DK"/>
        </w:rPr>
        <w:t>k.</w:t>
      </w:r>
    </w:p>
    <w:p w:rsidR="00965590" w:rsidRPr="0035040A" w:rsidRDefault="00965590" w:rsidP="00965590">
      <w:pPr>
        <w:tabs>
          <w:tab w:val="left" w:pos="851"/>
        </w:tabs>
        <w:ind w:left="851"/>
        <w:rPr>
          <w:sz w:val="24"/>
          <w:lang w:eastAsia="da-DK"/>
        </w:rPr>
      </w:pPr>
      <w:r w:rsidRPr="0035040A">
        <w:rPr>
          <w:sz w:val="24"/>
          <w:lang w:eastAsia="da-DK"/>
        </w:rPr>
        <w:t>Ikke alle pakningsstørrelser er nødvendigvis markedsført.</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F1018">
        <w:rPr>
          <w:b/>
          <w:sz w:val="24"/>
          <w:szCs w:val="24"/>
        </w:rPr>
        <w:t>bortskaffelse</w:t>
      </w:r>
      <w:r w:rsidRPr="00C84483">
        <w:rPr>
          <w:b/>
          <w:sz w:val="24"/>
          <w:szCs w:val="24"/>
        </w:rPr>
        <w:t xml:space="preserve"> og anden håndtering</w:t>
      </w:r>
    </w:p>
    <w:p w:rsidR="00965590" w:rsidRPr="0035040A" w:rsidRDefault="00965590" w:rsidP="00965590">
      <w:pPr>
        <w:tabs>
          <w:tab w:val="left" w:pos="851"/>
        </w:tabs>
        <w:ind w:left="851"/>
        <w:rPr>
          <w:sz w:val="24"/>
          <w:lang w:eastAsia="da-DK"/>
        </w:rPr>
      </w:pPr>
      <w:r w:rsidRPr="0035040A">
        <w:rPr>
          <w:sz w:val="24"/>
          <w:lang w:eastAsia="da-DK"/>
        </w:rPr>
        <w:t>Vaccinen skal have stuetemperatur før brug.</w:t>
      </w:r>
    </w:p>
    <w:p w:rsidR="00965590" w:rsidRPr="0035040A" w:rsidRDefault="00965590" w:rsidP="00965590">
      <w:pPr>
        <w:tabs>
          <w:tab w:val="left" w:pos="851"/>
        </w:tabs>
        <w:ind w:left="851"/>
        <w:rPr>
          <w:sz w:val="24"/>
          <w:lang w:eastAsia="da-DK"/>
        </w:rPr>
      </w:pPr>
      <w:r w:rsidRPr="0035040A">
        <w:rPr>
          <w:sz w:val="24"/>
          <w:lang w:eastAsia="da-DK"/>
        </w:rPr>
        <w:t>Omrystes før brug. Undersøges visuelt før administration.</w:t>
      </w:r>
    </w:p>
    <w:p w:rsidR="00965590" w:rsidRPr="0035040A" w:rsidRDefault="00965590" w:rsidP="00965590">
      <w:pPr>
        <w:tabs>
          <w:tab w:val="left" w:pos="851"/>
        </w:tabs>
        <w:ind w:left="851"/>
        <w:rPr>
          <w:sz w:val="24"/>
          <w:lang w:eastAsia="da-DK"/>
        </w:rPr>
      </w:pPr>
    </w:p>
    <w:p w:rsidR="00965590" w:rsidRPr="00B16432" w:rsidRDefault="00965590" w:rsidP="00965590">
      <w:pPr>
        <w:tabs>
          <w:tab w:val="left" w:pos="851"/>
        </w:tabs>
        <w:ind w:left="851"/>
        <w:rPr>
          <w:sz w:val="24"/>
          <w:lang w:eastAsia="da-DK"/>
        </w:rPr>
      </w:pPr>
      <w:r w:rsidRPr="0035040A">
        <w:rPr>
          <w:sz w:val="24"/>
          <w:lang w:eastAsia="da-DK"/>
        </w:rPr>
        <w:t>Ikke anvendt lægemiddel samt affald heraf skal bortskaffes i henhold til lokale retningslinjer.</w:t>
      </w:r>
    </w:p>
    <w:p w:rsidR="00965590" w:rsidRPr="00C84483" w:rsidRDefault="00965590" w:rsidP="00965590">
      <w:pPr>
        <w:tabs>
          <w:tab w:val="left" w:pos="851"/>
        </w:tabs>
        <w:ind w:left="851"/>
        <w:jc w:val="both"/>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6498B" w:rsidRPr="0056498B" w:rsidRDefault="0056653A" w:rsidP="0056498B">
      <w:pPr>
        <w:tabs>
          <w:tab w:val="left" w:pos="0"/>
          <w:tab w:val="left" w:pos="851"/>
        </w:tabs>
        <w:ind w:left="850" w:hanging="850"/>
        <w:jc w:val="both"/>
        <w:rPr>
          <w:sz w:val="24"/>
          <w:szCs w:val="24"/>
        </w:rPr>
      </w:pPr>
      <w:r w:rsidRPr="00024515">
        <w:tab/>
      </w:r>
      <w:proofErr w:type="spellStart"/>
      <w:r w:rsidR="0056498B" w:rsidRPr="0056498B">
        <w:rPr>
          <w:sz w:val="24"/>
          <w:szCs w:val="24"/>
        </w:rPr>
        <w:t>Viatris</w:t>
      </w:r>
      <w:proofErr w:type="spellEnd"/>
      <w:r w:rsidR="0056498B" w:rsidRPr="0056498B">
        <w:rPr>
          <w:sz w:val="24"/>
          <w:szCs w:val="24"/>
        </w:rPr>
        <w:t xml:space="preserve"> ApS</w:t>
      </w:r>
    </w:p>
    <w:p w:rsidR="0056498B" w:rsidRPr="0056498B" w:rsidRDefault="0056498B" w:rsidP="0056498B">
      <w:pPr>
        <w:tabs>
          <w:tab w:val="left" w:pos="0"/>
          <w:tab w:val="left" w:pos="851"/>
        </w:tabs>
        <w:ind w:left="850" w:hanging="850"/>
        <w:jc w:val="both"/>
        <w:rPr>
          <w:sz w:val="24"/>
          <w:szCs w:val="24"/>
        </w:rPr>
      </w:pPr>
      <w:r>
        <w:rPr>
          <w:sz w:val="24"/>
          <w:szCs w:val="24"/>
        </w:rPr>
        <w:tab/>
      </w:r>
      <w:r w:rsidRPr="0056498B">
        <w:rPr>
          <w:sz w:val="24"/>
          <w:szCs w:val="24"/>
        </w:rPr>
        <w:t>Borupvang 1</w:t>
      </w:r>
    </w:p>
    <w:p w:rsidR="00965590" w:rsidRDefault="0056498B" w:rsidP="0056498B">
      <w:pPr>
        <w:tabs>
          <w:tab w:val="left" w:pos="0"/>
          <w:tab w:val="left" w:pos="851"/>
        </w:tabs>
        <w:ind w:left="850" w:hanging="850"/>
        <w:jc w:val="both"/>
        <w:rPr>
          <w:sz w:val="24"/>
          <w:szCs w:val="24"/>
        </w:rPr>
      </w:pPr>
      <w:r>
        <w:rPr>
          <w:sz w:val="24"/>
          <w:szCs w:val="24"/>
        </w:rPr>
        <w:tab/>
      </w:r>
      <w:r w:rsidRPr="0056498B">
        <w:rPr>
          <w:sz w:val="24"/>
          <w:szCs w:val="24"/>
        </w:rPr>
        <w:t>2750 Ballerup</w:t>
      </w:r>
    </w:p>
    <w:p w:rsidR="0056498B" w:rsidRPr="00C84483" w:rsidRDefault="0056498B" w:rsidP="0056498B">
      <w:pPr>
        <w:tabs>
          <w:tab w:val="left" w:pos="0"/>
          <w:tab w:val="left" w:pos="851"/>
        </w:tabs>
        <w:ind w:left="850" w:hanging="850"/>
        <w:jc w:val="both"/>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F1018">
        <w:rPr>
          <w:b/>
          <w:sz w:val="24"/>
          <w:szCs w:val="24"/>
        </w:rPr>
        <w:t>-</w:t>
      </w:r>
      <w:r w:rsidRPr="00C84483">
        <w:rPr>
          <w:b/>
          <w:sz w:val="24"/>
          <w:szCs w:val="24"/>
        </w:rPr>
        <w:t>NUMRE)</w:t>
      </w:r>
    </w:p>
    <w:p w:rsidR="00965590" w:rsidRPr="00C84483" w:rsidRDefault="00965590" w:rsidP="00965590">
      <w:pPr>
        <w:tabs>
          <w:tab w:val="left" w:pos="851"/>
        </w:tabs>
        <w:ind w:left="851"/>
        <w:rPr>
          <w:sz w:val="24"/>
          <w:szCs w:val="24"/>
        </w:rPr>
      </w:pPr>
      <w:r>
        <w:rPr>
          <w:sz w:val="24"/>
          <w:szCs w:val="24"/>
        </w:rPr>
        <w:t>61929</w:t>
      </w:r>
    </w:p>
    <w:p w:rsidR="00965590" w:rsidRPr="00C84483" w:rsidRDefault="00965590" w:rsidP="00965590">
      <w:pPr>
        <w:tabs>
          <w:tab w:val="left" w:pos="851"/>
        </w:tabs>
        <w:ind w:left="851"/>
        <w:jc w:val="both"/>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65590" w:rsidRPr="00C84483" w:rsidRDefault="00965590" w:rsidP="00965590">
      <w:pPr>
        <w:tabs>
          <w:tab w:val="left" w:pos="851"/>
        </w:tabs>
        <w:ind w:left="851"/>
        <w:rPr>
          <w:sz w:val="24"/>
          <w:szCs w:val="24"/>
        </w:rPr>
      </w:pPr>
      <w:r>
        <w:rPr>
          <w:sz w:val="24"/>
          <w:szCs w:val="24"/>
        </w:rPr>
        <w:t>21. marts 2019</w:t>
      </w:r>
    </w:p>
    <w:p w:rsidR="00965590" w:rsidRPr="00C84483" w:rsidRDefault="00965590" w:rsidP="00965590">
      <w:pPr>
        <w:tabs>
          <w:tab w:val="left" w:pos="851"/>
        </w:tabs>
        <w:ind w:left="851"/>
        <w:rPr>
          <w:sz w:val="24"/>
          <w:szCs w:val="24"/>
        </w:rPr>
      </w:pPr>
    </w:p>
    <w:p w:rsidR="00965590" w:rsidRPr="00C84483" w:rsidRDefault="00965590" w:rsidP="0096559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65590" w:rsidRPr="00921DFF" w:rsidRDefault="00895C46" w:rsidP="00965590">
      <w:pPr>
        <w:tabs>
          <w:tab w:val="left" w:pos="851"/>
        </w:tabs>
        <w:ind w:left="851"/>
        <w:rPr>
          <w:sz w:val="24"/>
          <w:szCs w:val="24"/>
        </w:rPr>
      </w:pPr>
      <w:r w:rsidRPr="00895C46">
        <w:rPr>
          <w:sz w:val="24"/>
          <w:szCs w:val="24"/>
        </w:rPr>
        <w:t>1</w:t>
      </w:r>
      <w:r w:rsidR="00B12E19">
        <w:rPr>
          <w:sz w:val="24"/>
          <w:szCs w:val="24"/>
        </w:rPr>
        <w:t>9</w:t>
      </w:r>
      <w:r w:rsidRPr="00895C46">
        <w:rPr>
          <w:sz w:val="24"/>
          <w:szCs w:val="24"/>
        </w:rPr>
        <w:t>. juli 202</w:t>
      </w:r>
      <w:r w:rsidR="00B12E19">
        <w:rPr>
          <w:sz w:val="24"/>
          <w:szCs w:val="24"/>
        </w:rPr>
        <w:t>4</w:t>
      </w:r>
    </w:p>
    <w:p w:rsidR="009260DE" w:rsidRPr="00965590" w:rsidRDefault="009260DE" w:rsidP="00965590"/>
    <w:sectPr w:rsidR="009260DE" w:rsidRPr="0096559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36F" w:rsidRDefault="001B336F">
      <w:r>
        <w:separator/>
      </w:r>
    </w:p>
  </w:endnote>
  <w:endnote w:type="continuationSeparator" w:id="0">
    <w:p w:rsidR="001B336F" w:rsidRDefault="001B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36F" w:rsidRDefault="001B336F">
    <w:pPr>
      <w:pStyle w:val="Sidefod"/>
      <w:pBdr>
        <w:bottom w:val="single" w:sz="6" w:space="1" w:color="auto"/>
      </w:pBdr>
    </w:pPr>
  </w:p>
  <w:p w:rsidR="001B336F" w:rsidRDefault="001B336F" w:rsidP="00C42586">
    <w:pPr>
      <w:pStyle w:val="Sidefod"/>
      <w:tabs>
        <w:tab w:val="clear" w:pos="4819"/>
        <w:tab w:val="left" w:pos="8505"/>
      </w:tabs>
      <w:rPr>
        <w:i/>
        <w:sz w:val="18"/>
        <w:szCs w:val="18"/>
      </w:rPr>
    </w:pPr>
  </w:p>
  <w:p w:rsidR="001B336F" w:rsidRPr="00B373D7" w:rsidRDefault="001B336F" w:rsidP="00C42586">
    <w:pPr>
      <w:pStyle w:val="Sidefod"/>
      <w:tabs>
        <w:tab w:val="clear" w:pos="4819"/>
        <w:tab w:val="left" w:pos="8505"/>
      </w:tabs>
      <w:rPr>
        <w:i/>
        <w:sz w:val="18"/>
        <w:szCs w:val="18"/>
      </w:rPr>
    </w:pPr>
    <w:r w:rsidRPr="009A399E">
      <w:rPr>
        <w:i/>
        <w:sz w:val="18"/>
        <w:szCs w:val="18"/>
      </w:rPr>
      <w:fldChar w:fldCharType="begin"/>
    </w:r>
    <w:r w:rsidRPr="009A399E">
      <w:rPr>
        <w:i/>
        <w:sz w:val="18"/>
        <w:szCs w:val="18"/>
      </w:rPr>
      <w:instrText xml:space="preserve"> FILENAME </w:instrText>
    </w:r>
    <w:r w:rsidRPr="009A399E">
      <w:rPr>
        <w:i/>
        <w:sz w:val="18"/>
        <w:szCs w:val="18"/>
      </w:rPr>
      <w:fldChar w:fldCharType="separate"/>
    </w:r>
    <w:r w:rsidRPr="009A399E">
      <w:rPr>
        <w:i/>
        <w:noProof/>
        <w:sz w:val="18"/>
        <w:szCs w:val="18"/>
      </w:rPr>
      <w:t>Influvactetra, injektionsvæske, suspension i fyldt injektionssprøjte</w:t>
    </w:r>
    <w:r w:rsidRPr="009A399E">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36F" w:rsidRDefault="001B336F">
      <w:r>
        <w:separator/>
      </w:r>
    </w:p>
  </w:footnote>
  <w:footnote w:type="continuationSeparator" w:id="0">
    <w:p w:rsidR="001B336F" w:rsidRDefault="001B3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E464136"/>
    <w:multiLevelType w:val="hybridMultilevel"/>
    <w:tmpl w:val="FD125910"/>
    <w:lvl w:ilvl="0" w:tplc="6FDE116E">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90"/>
    <w:rsid w:val="00016308"/>
    <w:rsid w:val="00017C05"/>
    <w:rsid w:val="00024515"/>
    <w:rsid w:val="000249C2"/>
    <w:rsid w:val="000259B9"/>
    <w:rsid w:val="0003240A"/>
    <w:rsid w:val="00041491"/>
    <w:rsid w:val="00050D16"/>
    <w:rsid w:val="000738CF"/>
    <w:rsid w:val="00074F2A"/>
    <w:rsid w:val="000A1CA8"/>
    <w:rsid w:val="000A466B"/>
    <w:rsid w:val="000B058C"/>
    <w:rsid w:val="000E3E0D"/>
    <w:rsid w:val="000E4EE6"/>
    <w:rsid w:val="0010763F"/>
    <w:rsid w:val="001454E2"/>
    <w:rsid w:val="001B336F"/>
    <w:rsid w:val="00206CE8"/>
    <w:rsid w:val="0021526C"/>
    <w:rsid w:val="002775D3"/>
    <w:rsid w:val="00283A2B"/>
    <w:rsid w:val="002B30AD"/>
    <w:rsid w:val="002C2C01"/>
    <w:rsid w:val="00301D05"/>
    <w:rsid w:val="003A29AE"/>
    <w:rsid w:val="003A32D7"/>
    <w:rsid w:val="003B4074"/>
    <w:rsid w:val="003C769A"/>
    <w:rsid w:val="003F1018"/>
    <w:rsid w:val="003F1838"/>
    <w:rsid w:val="004213EC"/>
    <w:rsid w:val="0045746C"/>
    <w:rsid w:val="00464FD7"/>
    <w:rsid w:val="0049104B"/>
    <w:rsid w:val="004B4C7E"/>
    <w:rsid w:val="004E3770"/>
    <w:rsid w:val="004E3B12"/>
    <w:rsid w:val="00532310"/>
    <w:rsid w:val="00560ECC"/>
    <w:rsid w:val="005639A8"/>
    <w:rsid w:val="0056498B"/>
    <w:rsid w:val="00565F0F"/>
    <w:rsid w:val="0056653A"/>
    <w:rsid w:val="00594A86"/>
    <w:rsid w:val="00596D86"/>
    <w:rsid w:val="005E17C6"/>
    <w:rsid w:val="00630DB5"/>
    <w:rsid w:val="00637F5A"/>
    <w:rsid w:val="006560B1"/>
    <w:rsid w:val="006756DD"/>
    <w:rsid w:val="006C061D"/>
    <w:rsid w:val="006F0563"/>
    <w:rsid w:val="00737275"/>
    <w:rsid w:val="00740EEC"/>
    <w:rsid w:val="0078011A"/>
    <w:rsid w:val="00782AF4"/>
    <w:rsid w:val="00790EE7"/>
    <w:rsid w:val="007B1221"/>
    <w:rsid w:val="007B6649"/>
    <w:rsid w:val="007C67C1"/>
    <w:rsid w:val="007E2332"/>
    <w:rsid w:val="0081546F"/>
    <w:rsid w:val="0082576E"/>
    <w:rsid w:val="00844C08"/>
    <w:rsid w:val="00895C46"/>
    <w:rsid w:val="008D088B"/>
    <w:rsid w:val="008D7DB4"/>
    <w:rsid w:val="008E609E"/>
    <w:rsid w:val="00907F75"/>
    <w:rsid w:val="009260DE"/>
    <w:rsid w:val="0093258A"/>
    <w:rsid w:val="00946EC2"/>
    <w:rsid w:val="00960277"/>
    <w:rsid w:val="00965590"/>
    <w:rsid w:val="00994CB8"/>
    <w:rsid w:val="009A399E"/>
    <w:rsid w:val="009C7BA3"/>
    <w:rsid w:val="009D1F5A"/>
    <w:rsid w:val="009D6802"/>
    <w:rsid w:val="00A140AB"/>
    <w:rsid w:val="00A64547"/>
    <w:rsid w:val="00AB2124"/>
    <w:rsid w:val="00B003BF"/>
    <w:rsid w:val="00B12E19"/>
    <w:rsid w:val="00B373D7"/>
    <w:rsid w:val="00C36276"/>
    <w:rsid w:val="00C42586"/>
    <w:rsid w:val="00C45E38"/>
    <w:rsid w:val="00C60CCD"/>
    <w:rsid w:val="00C84483"/>
    <w:rsid w:val="00C95551"/>
    <w:rsid w:val="00CB20D7"/>
    <w:rsid w:val="00D020B0"/>
    <w:rsid w:val="00D03EF8"/>
    <w:rsid w:val="00D07927"/>
    <w:rsid w:val="00D11748"/>
    <w:rsid w:val="00D366CF"/>
    <w:rsid w:val="00D87AA1"/>
    <w:rsid w:val="00DE50DA"/>
    <w:rsid w:val="00E108AA"/>
    <w:rsid w:val="00E1206A"/>
    <w:rsid w:val="00E17B38"/>
    <w:rsid w:val="00E31812"/>
    <w:rsid w:val="00E3749A"/>
    <w:rsid w:val="00E51CE1"/>
    <w:rsid w:val="00E7437F"/>
    <w:rsid w:val="00E865B8"/>
    <w:rsid w:val="00EB5C73"/>
    <w:rsid w:val="00EC0B9B"/>
    <w:rsid w:val="00ED5E9F"/>
    <w:rsid w:val="00F5457F"/>
    <w:rsid w:val="00F66D4F"/>
    <w:rsid w:val="00F73E7B"/>
    <w:rsid w:val="00FA027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75645"/>
  <w15:chartTrackingRefBased/>
  <w15:docId w15:val="{9074E4F6-2142-480B-82E8-1AF88C23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018"/>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D87AA1"/>
    <w:pPr>
      <w:widowControl w:val="0"/>
      <w:autoSpaceDE w:val="0"/>
      <w:autoSpaceDN w:val="0"/>
      <w:adjustRightInd w:val="0"/>
    </w:pPr>
    <w:rPr>
      <w:rFonts w:eastAsia="SimSun"/>
      <w:color w:val="000000"/>
      <w:sz w:val="24"/>
      <w:szCs w:val="24"/>
      <w:lang w:val="nl-NL" w:eastAsia="zh-CN"/>
    </w:rPr>
  </w:style>
  <w:style w:type="character" w:customStyle="1" w:styleId="ParagraphChar">
    <w:name w:val="Paragraph Char"/>
    <w:link w:val="Paragraph"/>
    <w:locked/>
    <w:rsid w:val="00D87AA1"/>
    <w:rPr>
      <w:sz w:val="24"/>
      <w:szCs w:val="24"/>
      <w:lang w:val="en-US" w:eastAsia="en-US"/>
    </w:rPr>
  </w:style>
  <w:style w:type="paragraph" w:customStyle="1" w:styleId="Paragraph">
    <w:name w:val="Paragraph"/>
    <w:link w:val="ParagraphChar"/>
    <w:qFormat/>
    <w:rsid w:val="00D87AA1"/>
    <w:pPr>
      <w:spacing w:after="240"/>
    </w:pPr>
    <w:rPr>
      <w:sz w:val="24"/>
      <w:szCs w:val="24"/>
      <w:lang w:val="en-US" w:eastAsia="en-US"/>
    </w:rPr>
  </w:style>
  <w:style w:type="table" w:styleId="Tabel-Gitter">
    <w:name w:val="Table Grid"/>
    <w:basedOn w:val="Tabel-Normal"/>
    <w:uiPriority w:val="39"/>
    <w:rsid w:val="00D87AA1"/>
    <w:pPr>
      <w:tabs>
        <w:tab w:val="left" w:pos="1080"/>
      </w:tabs>
      <w:suppressAutoHyphens/>
      <w:jc w:val="both"/>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6653A"/>
    <w:rPr>
      <w:color w:val="0563C1" w:themeColor="hyperlink"/>
      <w:u w:val="single"/>
    </w:rPr>
  </w:style>
  <w:style w:type="character" w:styleId="Ulstomtale">
    <w:name w:val="Unresolved Mention"/>
    <w:basedOn w:val="Standardskrifttypeiafsnit"/>
    <w:uiPriority w:val="99"/>
    <w:semiHidden/>
    <w:unhideWhenUsed/>
    <w:rsid w:val="00566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736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89752028">
      <w:bodyDiv w:val="1"/>
      <w:marLeft w:val="0"/>
      <w:marRight w:val="0"/>
      <w:marTop w:val="0"/>
      <w:marBottom w:val="0"/>
      <w:divBdr>
        <w:top w:val="none" w:sz="0" w:space="0" w:color="auto"/>
        <w:left w:val="none" w:sz="0" w:space="0" w:color="auto"/>
        <w:bottom w:val="none" w:sz="0" w:space="0" w:color="auto"/>
        <w:right w:val="none" w:sz="0" w:space="0" w:color="auto"/>
      </w:divBdr>
    </w:div>
    <w:div w:id="574753149">
      <w:bodyDiv w:val="1"/>
      <w:marLeft w:val="0"/>
      <w:marRight w:val="0"/>
      <w:marTop w:val="0"/>
      <w:marBottom w:val="0"/>
      <w:divBdr>
        <w:top w:val="none" w:sz="0" w:space="0" w:color="auto"/>
        <w:left w:val="none" w:sz="0" w:space="0" w:color="auto"/>
        <w:bottom w:val="none" w:sz="0" w:space="0" w:color="auto"/>
        <w:right w:val="none" w:sz="0" w:space="0" w:color="auto"/>
      </w:divBdr>
    </w:div>
    <w:div w:id="792334497">
      <w:bodyDiv w:val="1"/>
      <w:marLeft w:val="0"/>
      <w:marRight w:val="0"/>
      <w:marTop w:val="0"/>
      <w:marBottom w:val="0"/>
      <w:divBdr>
        <w:top w:val="none" w:sz="0" w:space="0" w:color="auto"/>
        <w:left w:val="none" w:sz="0" w:space="0" w:color="auto"/>
        <w:bottom w:val="none" w:sz="0" w:space="0" w:color="auto"/>
        <w:right w:val="none" w:sz="0" w:space="0" w:color="auto"/>
      </w:divBdr>
    </w:div>
    <w:div w:id="871646413">
      <w:bodyDiv w:val="1"/>
      <w:marLeft w:val="0"/>
      <w:marRight w:val="0"/>
      <w:marTop w:val="0"/>
      <w:marBottom w:val="0"/>
      <w:divBdr>
        <w:top w:val="none" w:sz="0" w:space="0" w:color="auto"/>
        <w:left w:val="none" w:sz="0" w:space="0" w:color="auto"/>
        <w:bottom w:val="none" w:sz="0" w:space="0" w:color="auto"/>
        <w:right w:val="none" w:sz="0" w:space="0" w:color="auto"/>
      </w:divBdr>
    </w:div>
    <w:div w:id="913707352">
      <w:bodyDiv w:val="1"/>
      <w:marLeft w:val="0"/>
      <w:marRight w:val="0"/>
      <w:marTop w:val="0"/>
      <w:marBottom w:val="0"/>
      <w:divBdr>
        <w:top w:val="none" w:sz="0" w:space="0" w:color="auto"/>
        <w:left w:val="none" w:sz="0" w:space="0" w:color="auto"/>
        <w:bottom w:val="none" w:sz="0" w:space="0" w:color="auto"/>
        <w:right w:val="none" w:sz="0" w:space="0" w:color="auto"/>
      </w:divBdr>
    </w:div>
    <w:div w:id="995379291">
      <w:bodyDiv w:val="1"/>
      <w:marLeft w:val="0"/>
      <w:marRight w:val="0"/>
      <w:marTop w:val="0"/>
      <w:marBottom w:val="0"/>
      <w:divBdr>
        <w:top w:val="none" w:sz="0" w:space="0" w:color="auto"/>
        <w:left w:val="none" w:sz="0" w:space="0" w:color="auto"/>
        <w:bottom w:val="none" w:sz="0" w:space="0" w:color="auto"/>
        <w:right w:val="none" w:sz="0" w:space="0" w:color="auto"/>
      </w:divBdr>
    </w:div>
    <w:div w:id="1331443289">
      <w:bodyDiv w:val="1"/>
      <w:marLeft w:val="0"/>
      <w:marRight w:val="0"/>
      <w:marTop w:val="0"/>
      <w:marBottom w:val="0"/>
      <w:divBdr>
        <w:top w:val="none" w:sz="0" w:space="0" w:color="auto"/>
        <w:left w:val="none" w:sz="0" w:space="0" w:color="auto"/>
        <w:bottom w:val="none" w:sz="0" w:space="0" w:color="auto"/>
        <w:right w:val="none" w:sz="0" w:space="0" w:color="auto"/>
      </w:divBdr>
    </w:div>
    <w:div w:id="1989089733">
      <w:bodyDiv w:val="1"/>
      <w:marLeft w:val="0"/>
      <w:marRight w:val="0"/>
      <w:marTop w:val="0"/>
      <w:marBottom w:val="0"/>
      <w:divBdr>
        <w:top w:val="none" w:sz="0" w:space="0" w:color="auto"/>
        <w:left w:val="none" w:sz="0" w:space="0" w:color="auto"/>
        <w:bottom w:val="none" w:sz="0" w:space="0" w:color="auto"/>
        <w:right w:val="none" w:sz="0" w:space="0" w:color="auto"/>
      </w:divBdr>
    </w:div>
    <w:div w:id="214383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2693</Words>
  <Characters>17912</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2024052561_x000d_
SPC pkt. 2 (annual update vaccines) </dc:description>
  <cp:lastModifiedBy>Iman El Kadiri</cp:lastModifiedBy>
  <cp:revision>5</cp:revision>
  <cp:lastPrinted>2012-08-22T08:53:00Z</cp:lastPrinted>
  <dcterms:created xsi:type="dcterms:W3CDTF">2024-07-19T08:42:00Z</dcterms:created>
  <dcterms:modified xsi:type="dcterms:W3CDTF">2024-07-19T08:47:00Z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