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06F" w:rsidRDefault="0023606F" w:rsidP="0023606F">
      <w:pPr>
        <w:rPr>
          <w:sz w:val="24"/>
          <w:szCs w:val="24"/>
        </w:rPr>
      </w:pPr>
      <w:r w:rsidRPr="001677A2">
        <w:rPr>
          <w:noProof/>
          <w:sz w:val="24"/>
          <w:szCs w:val="24"/>
          <w:lang w:eastAsia="da-DK"/>
        </w:rPr>
        <w:drawing>
          <wp:anchor distT="0" distB="0" distL="114300" distR="114300" simplePos="0" relativeHeight="251659264" behindDoc="0" locked="0" layoutInCell="1" allowOverlap="1" wp14:anchorId="6D1A69D5" wp14:editId="295AFA8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677A2">
        <w:rPr>
          <w:sz w:val="24"/>
          <w:szCs w:val="24"/>
        </w:rPr>
        <w:br w:type="textWrapping" w:clear="all"/>
      </w:r>
    </w:p>
    <w:p w:rsidR="00AF6108" w:rsidRPr="001677A2" w:rsidRDefault="00AF6108" w:rsidP="0023606F">
      <w:pPr>
        <w:rPr>
          <w:sz w:val="24"/>
          <w:szCs w:val="24"/>
        </w:rPr>
      </w:pPr>
    </w:p>
    <w:p w:rsidR="001677A2" w:rsidRPr="001677A2" w:rsidRDefault="0023606F" w:rsidP="0023606F">
      <w:pPr>
        <w:pStyle w:val="Titel"/>
        <w:tabs>
          <w:tab w:val="right" w:pos="9356"/>
        </w:tabs>
        <w:jc w:val="left"/>
        <w:rPr>
          <w:szCs w:val="24"/>
        </w:rPr>
      </w:pPr>
      <w:r w:rsidRPr="001677A2">
        <w:rPr>
          <w:b w:val="0"/>
          <w:szCs w:val="24"/>
          <w:lang w:eastAsia="en-US"/>
        </w:rPr>
        <w:tab/>
      </w:r>
      <w:r w:rsidR="00AF6108">
        <w:rPr>
          <w:szCs w:val="24"/>
        </w:rPr>
        <w:t>24</w:t>
      </w:r>
      <w:r w:rsidR="001677A2" w:rsidRPr="001677A2">
        <w:rPr>
          <w:szCs w:val="24"/>
        </w:rPr>
        <w:t>. februar 2025</w:t>
      </w:r>
    </w:p>
    <w:p w:rsidR="001677A2" w:rsidRDefault="001677A2" w:rsidP="0023606F">
      <w:pPr>
        <w:pStyle w:val="Titel"/>
        <w:jc w:val="left"/>
        <w:rPr>
          <w:b w:val="0"/>
          <w:szCs w:val="24"/>
        </w:rPr>
      </w:pPr>
    </w:p>
    <w:p w:rsidR="00AF6108" w:rsidRPr="001677A2" w:rsidRDefault="00AF6108" w:rsidP="0023606F">
      <w:pPr>
        <w:pStyle w:val="Titel"/>
        <w:jc w:val="left"/>
        <w:rPr>
          <w:b w:val="0"/>
          <w:szCs w:val="24"/>
        </w:rPr>
      </w:pPr>
    </w:p>
    <w:p w:rsidR="0023606F" w:rsidRPr="001677A2" w:rsidRDefault="0023606F" w:rsidP="0023606F">
      <w:pPr>
        <w:jc w:val="center"/>
        <w:rPr>
          <w:b/>
          <w:sz w:val="24"/>
          <w:szCs w:val="24"/>
        </w:rPr>
      </w:pPr>
      <w:r w:rsidRPr="001677A2">
        <w:rPr>
          <w:b/>
          <w:sz w:val="24"/>
          <w:szCs w:val="24"/>
        </w:rPr>
        <w:t>PRODUKTRESUMÉ</w:t>
      </w:r>
    </w:p>
    <w:p w:rsidR="0023606F" w:rsidRPr="001677A2" w:rsidRDefault="00650A8F" w:rsidP="00650A8F">
      <w:pPr>
        <w:tabs>
          <w:tab w:val="left" w:pos="220"/>
        </w:tabs>
        <w:rPr>
          <w:b/>
          <w:sz w:val="24"/>
          <w:szCs w:val="24"/>
        </w:rPr>
      </w:pPr>
      <w:r w:rsidRPr="001677A2">
        <w:rPr>
          <w:b/>
          <w:sz w:val="24"/>
          <w:szCs w:val="24"/>
        </w:rPr>
        <w:tab/>
      </w:r>
    </w:p>
    <w:p w:rsidR="0023606F" w:rsidRPr="001677A2" w:rsidRDefault="0023606F" w:rsidP="0023606F">
      <w:pPr>
        <w:jc w:val="center"/>
        <w:rPr>
          <w:b/>
          <w:sz w:val="24"/>
          <w:szCs w:val="24"/>
        </w:rPr>
      </w:pPr>
      <w:r w:rsidRPr="001677A2">
        <w:rPr>
          <w:b/>
          <w:sz w:val="24"/>
          <w:szCs w:val="24"/>
        </w:rPr>
        <w:t>for</w:t>
      </w:r>
    </w:p>
    <w:p w:rsidR="0023606F" w:rsidRPr="001677A2" w:rsidRDefault="0023606F" w:rsidP="0023606F">
      <w:pPr>
        <w:jc w:val="center"/>
        <w:rPr>
          <w:b/>
          <w:sz w:val="24"/>
          <w:szCs w:val="24"/>
        </w:rPr>
      </w:pPr>
    </w:p>
    <w:p w:rsidR="0023606F" w:rsidRPr="001677A2" w:rsidRDefault="0023606F" w:rsidP="0023606F">
      <w:pPr>
        <w:jc w:val="center"/>
        <w:rPr>
          <w:b/>
          <w:sz w:val="24"/>
          <w:szCs w:val="24"/>
        </w:rPr>
      </w:pPr>
      <w:proofErr w:type="spellStart"/>
      <w:r w:rsidRPr="001677A2">
        <w:rPr>
          <w:b/>
          <w:sz w:val="24"/>
          <w:szCs w:val="24"/>
        </w:rPr>
        <w:t>Injexate</w:t>
      </w:r>
      <w:proofErr w:type="spellEnd"/>
      <w:r w:rsidRPr="001677A2">
        <w:rPr>
          <w:b/>
          <w:sz w:val="24"/>
          <w:szCs w:val="24"/>
        </w:rPr>
        <w:t>, injektionsvæske, opløsning i fyldt injektionssprøjte</w:t>
      </w:r>
    </w:p>
    <w:p w:rsidR="0023606F" w:rsidRPr="001677A2" w:rsidRDefault="0023606F" w:rsidP="0023606F">
      <w:pPr>
        <w:jc w:val="both"/>
        <w:rPr>
          <w:sz w:val="24"/>
          <w:szCs w:val="24"/>
        </w:rPr>
      </w:pPr>
    </w:p>
    <w:p w:rsidR="0023606F" w:rsidRPr="001677A2" w:rsidRDefault="0023606F" w:rsidP="0023606F">
      <w:pPr>
        <w:ind w:left="851" w:hanging="851"/>
        <w:jc w:val="both"/>
        <w:rPr>
          <w:sz w:val="24"/>
          <w:szCs w:val="24"/>
        </w:rPr>
      </w:pPr>
    </w:p>
    <w:p w:rsidR="0023606F" w:rsidRPr="001677A2" w:rsidRDefault="0023606F" w:rsidP="00904DAE">
      <w:pPr>
        <w:tabs>
          <w:tab w:val="left" w:pos="1304"/>
          <w:tab w:val="left" w:pos="5745"/>
        </w:tabs>
        <w:ind w:left="851" w:hanging="851"/>
        <w:rPr>
          <w:b/>
          <w:sz w:val="24"/>
          <w:szCs w:val="24"/>
        </w:rPr>
      </w:pPr>
      <w:r w:rsidRPr="001677A2">
        <w:rPr>
          <w:b/>
          <w:sz w:val="24"/>
          <w:szCs w:val="24"/>
        </w:rPr>
        <w:t>0.</w:t>
      </w:r>
      <w:r w:rsidRPr="001677A2">
        <w:rPr>
          <w:b/>
          <w:sz w:val="24"/>
          <w:szCs w:val="24"/>
        </w:rPr>
        <w:tab/>
        <w:t>D.SP.NR.</w:t>
      </w:r>
      <w:r w:rsidR="00904DAE" w:rsidRPr="001677A2">
        <w:rPr>
          <w:b/>
          <w:sz w:val="24"/>
          <w:szCs w:val="24"/>
        </w:rPr>
        <w:tab/>
      </w:r>
    </w:p>
    <w:p w:rsidR="0023606F" w:rsidRPr="001677A2" w:rsidRDefault="0023606F" w:rsidP="0023606F">
      <w:pPr>
        <w:ind w:left="851"/>
        <w:rPr>
          <w:sz w:val="24"/>
          <w:szCs w:val="24"/>
        </w:rPr>
      </w:pPr>
      <w:r w:rsidRPr="001677A2">
        <w:rPr>
          <w:sz w:val="24"/>
          <w:szCs w:val="24"/>
        </w:rPr>
        <w:t>29358</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1.</w:t>
      </w:r>
      <w:r w:rsidRPr="001677A2">
        <w:rPr>
          <w:b/>
          <w:sz w:val="24"/>
          <w:szCs w:val="24"/>
        </w:rPr>
        <w:tab/>
        <w:t>LÆGEMIDLETS NAVN</w:t>
      </w:r>
    </w:p>
    <w:p w:rsidR="0023606F" w:rsidRPr="001677A2" w:rsidRDefault="0023606F" w:rsidP="0023606F">
      <w:pPr>
        <w:ind w:left="851"/>
        <w:rPr>
          <w:sz w:val="24"/>
          <w:szCs w:val="24"/>
        </w:rPr>
      </w:pPr>
      <w:proofErr w:type="spellStart"/>
      <w:r w:rsidRPr="001677A2">
        <w:rPr>
          <w:sz w:val="24"/>
          <w:szCs w:val="24"/>
        </w:rPr>
        <w:t>Injexate</w:t>
      </w:r>
      <w:proofErr w:type="spellEnd"/>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2.</w:t>
      </w:r>
      <w:r w:rsidRPr="001677A2">
        <w:rPr>
          <w:b/>
          <w:sz w:val="24"/>
          <w:szCs w:val="24"/>
        </w:rPr>
        <w:tab/>
        <w:t>KVALITATIV OG KVANTITATIV SAMMENSÆTNING</w:t>
      </w:r>
    </w:p>
    <w:p w:rsidR="0023606F" w:rsidRPr="001677A2" w:rsidRDefault="0023606F" w:rsidP="0023606F">
      <w:pPr>
        <w:ind w:left="851"/>
        <w:rPr>
          <w:sz w:val="24"/>
          <w:szCs w:val="24"/>
          <w:lang w:eastAsia="da-DK"/>
        </w:rPr>
      </w:pPr>
      <w:r w:rsidRPr="001677A2">
        <w:rPr>
          <w:sz w:val="24"/>
          <w:szCs w:val="24"/>
        </w:rPr>
        <w:t xml:space="preserve">1 ml opløsning indeholder 50 mg </w:t>
      </w:r>
      <w:proofErr w:type="spellStart"/>
      <w:r w:rsidRPr="001677A2">
        <w:rPr>
          <w:sz w:val="24"/>
          <w:szCs w:val="24"/>
        </w:rPr>
        <w:t>methotrexat</w:t>
      </w:r>
      <w:proofErr w:type="spellEnd"/>
      <w:r w:rsidRPr="001677A2">
        <w:rPr>
          <w:sz w:val="24"/>
          <w:szCs w:val="24"/>
        </w:rPr>
        <w:t xml:space="preserve"> (som </w:t>
      </w:r>
      <w:proofErr w:type="spellStart"/>
      <w:r w:rsidRPr="001677A2">
        <w:rPr>
          <w:sz w:val="24"/>
          <w:szCs w:val="24"/>
        </w:rPr>
        <w:t>methotrexatdinatrium</w:t>
      </w:r>
      <w:proofErr w:type="spellEnd"/>
      <w:r w:rsidRPr="001677A2">
        <w:rPr>
          <w:sz w:val="24"/>
          <w:szCs w:val="24"/>
        </w:rPr>
        <w:t>).</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1 fyldt injektionssprøjte med 0,15 ml indeholder 7,5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napToGrid w:val="0"/>
          <w:sz w:val="24"/>
          <w:szCs w:val="24"/>
        </w:rPr>
      </w:pPr>
      <w:r w:rsidRPr="001677A2">
        <w:rPr>
          <w:sz w:val="24"/>
          <w:szCs w:val="24"/>
        </w:rPr>
        <w:t xml:space="preserve">1 fyldt injektionssprøjte med 0,20 ml indeholder 10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z w:val="24"/>
          <w:szCs w:val="24"/>
        </w:rPr>
      </w:pPr>
      <w:r w:rsidRPr="001677A2">
        <w:rPr>
          <w:sz w:val="24"/>
          <w:szCs w:val="24"/>
        </w:rPr>
        <w:t xml:space="preserve">1 fyldt injektionssprøjte med 0,25 ml indeholder 12,5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napToGrid w:val="0"/>
          <w:sz w:val="24"/>
          <w:szCs w:val="24"/>
        </w:rPr>
      </w:pPr>
      <w:r w:rsidRPr="001677A2">
        <w:rPr>
          <w:sz w:val="24"/>
          <w:szCs w:val="24"/>
        </w:rPr>
        <w:t xml:space="preserve">1 fyldt injektionssprøjte med 0,30 ml indeholder 15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z w:val="24"/>
          <w:szCs w:val="24"/>
        </w:rPr>
      </w:pPr>
      <w:r w:rsidRPr="001677A2">
        <w:rPr>
          <w:sz w:val="24"/>
          <w:szCs w:val="24"/>
        </w:rPr>
        <w:t xml:space="preserve">1 fyldt injektionssprøjte med 0,35 ml indeholder 17,5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napToGrid w:val="0"/>
          <w:sz w:val="24"/>
          <w:szCs w:val="24"/>
        </w:rPr>
      </w:pPr>
      <w:r w:rsidRPr="001677A2">
        <w:rPr>
          <w:sz w:val="24"/>
          <w:szCs w:val="24"/>
        </w:rPr>
        <w:t xml:space="preserve">1 fyldt injektionssprøjte med 0,40 ml indeholder 20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napToGrid w:val="0"/>
          <w:sz w:val="24"/>
          <w:szCs w:val="24"/>
        </w:rPr>
      </w:pPr>
      <w:r w:rsidRPr="001677A2">
        <w:rPr>
          <w:sz w:val="24"/>
          <w:szCs w:val="24"/>
        </w:rPr>
        <w:t xml:space="preserve">1 fyldt injektionssprøjte med 0,45 ml indeholder 22,5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napToGrid w:val="0"/>
          <w:sz w:val="24"/>
          <w:szCs w:val="24"/>
        </w:rPr>
      </w:pPr>
      <w:r w:rsidRPr="001677A2">
        <w:rPr>
          <w:sz w:val="24"/>
          <w:szCs w:val="24"/>
        </w:rPr>
        <w:t xml:space="preserve">1 fyldt injektionssprøjte med 0,50 ml indeholder 25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z w:val="24"/>
          <w:szCs w:val="24"/>
        </w:rPr>
      </w:pPr>
      <w:r w:rsidRPr="001677A2">
        <w:rPr>
          <w:sz w:val="24"/>
          <w:szCs w:val="24"/>
        </w:rPr>
        <w:t xml:space="preserve">1 fyldt injektionssprøjte med 0,55 ml indeholder 27,5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z w:val="24"/>
          <w:szCs w:val="24"/>
        </w:rPr>
      </w:pPr>
      <w:r w:rsidRPr="001677A2">
        <w:rPr>
          <w:sz w:val="24"/>
          <w:szCs w:val="24"/>
        </w:rPr>
        <w:t xml:space="preserve">1 fyldt injektionssprøjte med 0,60 ml indeholder 30 mg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851"/>
        <w:rPr>
          <w:sz w:val="24"/>
          <w:szCs w:val="24"/>
        </w:rPr>
      </w:pPr>
    </w:p>
    <w:p w:rsidR="0023606F" w:rsidRPr="001677A2" w:rsidRDefault="0023606F" w:rsidP="0023606F">
      <w:pPr>
        <w:autoSpaceDE w:val="0"/>
        <w:autoSpaceDN w:val="0"/>
        <w:adjustRightInd w:val="0"/>
        <w:ind w:left="851"/>
        <w:jc w:val="both"/>
        <w:rPr>
          <w:sz w:val="24"/>
          <w:szCs w:val="24"/>
        </w:rPr>
      </w:pPr>
      <w:r w:rsidRPr="001677A2">
        <w:rPr>
          <w:sz w:val="24"/>
          <w:szCs w:val="24"/>
          <w:u w:val="single"/>
        </w:rPr>
        <w:t>Hjælpestof, som behandleren skal være opmærksom på:</w:t>
      </w:r>
    </w:p>
    <w:p w:rsidR="0023606F" w:rsidRPr="001677A2" w:rsidRDefault="0023606F" w:rsidP="0023606F">
      <w:pPr>
        <w:autoSpaceDE w:val="0"/>
        <w:autoSpaceDN w:val="0"/>
        <w:adjustRightInd w:val="0"/>
        <w:ind w:left="851"/>
        <w:jc w:val="both"/>
        <w:rPr>
          <w:sz w:val="24"/>
          <w:szCs w:val="24"/>
        </w:rPr>
      </w:pPr>
      <w:r w:rsidRPr="001677A2">
        <w:rPr>
          <w:sz w:val="24"/>
          <w:szCs w:val="24"/>
        </w:rPr>
        <w:t>Hver fyldt injektionssprøjte indeholder &lt;1 mmol natrium.</w:t>
      </w:r>
    </w:p>
    <w:p w:rsidR="0023606F" w:rsidRPr="001677A2" w:rsidRDefault="0023606F" w:rsidP="0023606F">
      <w:pPr>
        <w:ind w:left="851"/>
        <w:rPr>
          <w:sz w:val="24"/>
          <w:szCs w:val="24"/>
        </w:rPr>
      </w:pPr>
    </w:p>
    <w:p w:rsidR="0023606F" w:rsidRPr="001677A2" w:rsidRDefault="0023606F" w:rsidP="0023606F">
      <w:pPr>
        <w:ind w:left="851"/>
        <w:rPr>
          <w:sz w:val="24"/>
          <w:szCs w:val="24"/>
        </w:rPr>
      </w:pPr>
      <w:r w:rsidRPr="001677A2">
        <w:rPr>
          <w:sz w:val="24"/>
          <w:szCs w:val="24"/>
        </w:rPr>
        <w:t>Alle hjælpestoffer er anført under pkt. 6.1.</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3.</w:t>
      </w:r>
      <w:r w:rsidRPr="001677A2">
        <w:rPr>
          <w:b/>
          <w:sz w:val="24"/>
          <w:szCs w:val="24"/>
        </w:rPr>
        <w:tab/>
        <w:t>LÆGEMIDDELFORM</w:t>
      </w:r>
    </w:p>
    <w:p w:rsidR="0023606F" w:rsidRPr="001677A2" w:rsidRDefault="0023606F" w:rsidP="0023606F">
      <w:pPr>
        <w:ind w:left="851"/>
        <w:rPr>
          <w:sz w:val="24"/>
          <w:szCs w:val="24"/>
          <w:lang w:eastAsia="da-DK"/>
        </w:rPr>
      </w:pPr>
      <w:r w:rsidRPr="001677A2">
        <w:rPr>
          <w:sz w:val="24"/>
          <w:szCs w:val="24"/>
        </w:rPr>
        <w:t>Injektionsvæske, opløsning i fyldt injektionssprøjte</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Klar, gul til brun opløsning.</w:t>
      </w:r>
    </w:p>
    <w:p w:rsidR="0023606F" w:rsidRPr="001677A2" w:rsidRDefault="0023606F" w:rsidP="0023606F">
      <w:pPr>
        <w:ind w:left="851" w:hanging="851"/>
        <w:rPr>
          <w:sz w:val="24"/>
          <w:szCs w:val="24"/>
        </w:rPr>
      </w:pPr>
    </w:p>
    <w:p w:rsidR="0023606F" w:rsidRDefault="0023606F" w:rsidP="00AF6108">
      <w:pPr>
        <w:ind w:left="851"/>
        <w:rPr>
          <w:sz w:val="24"/>
          <w:szCs w:val="24"/>
        </w:rPr>
      </w:pPr>
      <w:r w:rsidRPr="001677A2">
        <w:rPr>
          <w:sz w:val="24"/>
          <w:szCs w:val="24"/>
        </w:rPr>
        <w:t>pH: Mellem 7,0-9,0</w:t>
      </w:r>
    </w:p>
    <w:p w:rsidR="00AF6108" w:rsidRDefault="00AF6108" w:rsidP="00AF6108">
      <w:pPr>
        <w:ind w:left="851"/>
        <w:rPr>
          <w:sz w:val="24"/>
          <w:szCs w:val="24"/>
        </w:rPr>
      </w:pPr>
    </w:p>
    <w:p w:rsidR="00AF6108" w:rsidRDefault="00AF6108" w:rsidP="00AF6108">
      <w:pPr>
        <w:ind w:left="851"/>
        <w:rPr>
          <w:sz w:val="24"/>
          <w:szCs w:val="24"/>
        </w:rPr>
      </w:pPr>
    </w:p>
    <w:p w:rsidR="00AF6108" w:rsidRDefault="00AF6108" w:rsidP="00AF6108">
      <w:pPr>
        <w:ind w:left="851"/>
        <w:rPr>
          <w:sz w:val="24"/>
          <w:szCs w:val="24"/>
        </w:rPr>
      </w:pPr>
    </w:p>
    <w:p w:rsidR="00AF6108" w:rsidRPr="001677A2" w:rsidRDefault="00AF6108" w:rsidP="00AF6108">
      <w:pPr>
        <w:ind w:left="851"/>
        <w:rPr>
          <w:sz w:val="24"/>
          <w:szCs w:val="24"/>
        </w:rPr>
      </w:pP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4.</w:t>
      </w:r>
      <w:r w:rsidRPr="001677A2">
        <w:rPr>
          <w:b/>
          <w:sz w:val="24"/>
          <w:szCs w:val="24"/>
        </w:rPr>
        <w:tab/>
        <w:t>KLINISKE OPLYSNINGER</w:t>
      </w:r>
    </w:p>
    <w:p w:rsidR="0023606F" w:rsidRPr="001677A2" w:rsidRDefault="0023606F" w:rsidP="0023606F">
      <w:pPr>
        <w:ind w:left="851" w:hanging="851"/>
        <w:rPr>
          <w:b/>
          <w:sz w:val="24"/>
          <w:szCs w:val="24"/>
        </w:rPr>
      </w:pPr>
    </w:p>
    <w:p w:rsidR="0023606F" w:rsidRPr="001677A2" w:rsidRDefault="0023606F" w:rsidP="0023606F">
      <w:pPr>
        <w:ind w:left="851" w:hanging="851"/>
        <w:rPr>
          <w:b/>
          <w:sz w:val="24"/>
          <w:szCs w:val="24"/>
          <w:u w:val="single"/>
        </w:rPr>
      </w:pPr>
      <w:r w:rsidRPr="001677A2">
        <w:rPr>
          <w:b/>
          <w:sz w:val="24"/>
          <w:szCs w:val="24"/>
        </w:rPr>
        <w:t>4.1</w:t>
      </w:r>
      <w:r w:rsidRPr="001677A2">
        <w:rPr>
          <w:b/>
          <w:sz w:val="24"/>
          <w:szCs w:val="24"/>
        </w:rPr>
        <w:tab/>
        <w:t>Terapeutiske indikationer</w:t>
      </w:r>
    </w:p>
    <w:p w:rsidR="0023606F" w:rsidRPr="001677A2" w:rsidRDefault="0023606F" w:rsidP="0023606F">
      <w:pPr>
        <w:ind w:left="851"/>
        <w:jc w:val="both"/>
        <w:rPr>
          <w:sz w:val="24"/>
          <w:szCs w:val="24"/>
          <w:lang w:eastAsia="da-DK"/>
        </w:rPr>
      </w:pPr>
      <w:proofErr w:type="spellStart"/>
      <w:r w:rsidRPr="001677A2">
        <w:rPr>
          <w:bCs/>
          <w:sz w:val="24"/>
          <w:szCs w:val="24"/>
        </w:rPr>
        <w:t>Injexate</w:t>
      </w:r>
      <w:proofErr w:type="spellEnd"/>
      <w:r w:rsidRPr="001677A2">
        <w:rPr>
          <w:sz w:val="24"/>
          <w:szCs w:val="24"/>
        </w:rPr>
        <w:t xml:space="preserve"> er indiceret til behandling af</w:t>
      </w:r>
    </w:p>
    <w:p w:rsidR="0023606F" w:rsidRPr="001677A2" w:rsidRDefault="0023606F" w:rsidP="0023606F">
      <w:pPr>
        <w:ind w:left="851" w:hanging="851"/>
        <w:jc w:val="both"/>
        <w:rPr>
          <w:sz w:val="24"/>
          <w:szCs w:val="24"/>
        </w:rPr>
      </w:pPr>
    </w:p>
    <w:p w:rsidR="0023606F" w:rsidRPr="001677A2" w:rsidRDefault="0023606F" w:rsidP="0023606F">
      <w:pPr>
        <w:numPr>
          <w:ilvl w:val="0"/>
          <w:numId w:val="9"/>
        </w:numPr>
        <w:ind w:left="1276" w:hanging="425"/>
        <w:rPr>
          <w:sz w:val="24"/>
          <w:szCs w:val="24"/>
        </w:rPr>
      </w:pPr>
      <w:r w:rsidRPr="001677A2">
        <w:rPr>
          <w:sz w:val="24"/>
          <w:szCs w:val="24"/>
        </w:rPr>
        <w:t xml:space="preserve">aktiv </w:t>
      </w:r>
      <w:proofErr w:type="spellStart"/>
      <w:r w:rsidRPr="001677A2">
        <w:rPr>
          <w:sz w:val="24"/>
          <w:szCs w:val="24"/>
        </w:rPr>
        <w:t>reumatoid</w:t>
      </w:r>
      <w:proofErr w:type="spellEnd"/>
      <w:r w:rsidRPr="001677A2">
        <w:rPr>
          <w:sz w:val="24"/>
          <w:szCs w:val="24"/>
        </w:rPr>
        <w:t xml:space="preserve"> artritis hos voksne patienter,</w:t>
      </w:r>
    </w:p>
    <w:p w:rsidR="0023606F" w:rsidRPr="001677A2" w:rsidRDefault="0023606F" w:rsidP="0023606F">
      <w:pPr>
        <w:ind w:left="1276" w:hanging="425"/>
        <w:rPr>
          <w:sz w:val="24"/>
          <w:szCs w:val="24"/>
        </w:rPr>
      </w:pPr>
    </w:p>
    <w:p w:rsidR="0023606F" w:rsidRPr="001677A2" w:rsidRDefault="0023606F" w:rsidP="0023606F">
      <w:pPr>
        <w:numPr>
          <w:ilvl w:val="0"/>
          <w:numId w:val="9"/>
        </w:numPr>
        <w:ind w:left="1276" w:hanging="425"/>
        <w:rPr>
          <w:sz w:val="24"/>
          <w:szCs w:val="24"/>
        </w:rPr>
      </w:pPr>
      <w:proofErr w:type="spellStart"/>
      <w:r w:rsidRPr="001677A2">
        <w:rPr>
          <w:sz w:val="24"/>
          <w:szCs w:val="24"/>
        </w:rPr>
        <w:t>polyartritiske</w:t>
      </w:r>
      <w:proofErr w:type="spellEnd"/>
      <w:r w:rsidRPr="001677A2">
        <w:rPr>
          <w:sz w:val="24"/>
          <w:szCs w:val="24"/>
        </w:rPr>
        <w:t xml:space="preserve"> former for svær, aktiv juvenil idiopatisk artritis, når responset på </w:t>
      </w:r>
      <w:proofErr w:type="spellStart"/>
      <w:r w:rsidRPr="001677A2">
        <w:rPr>
          <w:sz w:val="24"/>
          <w:szCs w:val="24"/>
        </w:rPr>
        <w:t>nonsteroide</w:t>
      </w:r>
      <w:proofErr w:type="spellEnd"/>
      <w:r w:rsidRPr="001677A2">
        <w:rPr>
          <w:sz w:val="24"/>
          <w:szCs w:val="24"/>
        </w:rPr>
        <w:t xml:space="preserve"> antiinflammatoriske lægemidler (</w:t>
      </w:r>
      <w:proofErr w:type="spellStart"/>
      <w:r w:rsidRPr="001677A2">
        <w:rPr>
          <w:sz w:val="24"/>
          <w:szCs w:val="24"/>
        </w:rPr>
        <w:t>NSAID’er</w:t>
      </w:r>
      <w:proofErr w:type="spellEnd"/>
      <w:r w:rsidRPr="001677A2">
        <w:rPr>
          <w:sz w:val="24"/>
          <w:szCs w:val="24"/>
        </w:rPr>
        <w:t>) ikke har været tilstrækkeligt,</w:t>
      </w:r>
    </w:p>
    <w:p w:rsidR="0023606F" w:rsidRPr="001677A2" w:rsidRDefault="0023606F" w:rsidP="0023606F">
      <w:pPr>
        <w:ind w:left="1276" w:hanging="425"/>
        <w:rPr>
          <w:sz w:val="24"/>
          <w:szCs w:val="24"/>
        </w:rPr>
      </w:pPr>
    </w:p>
    <w:p w:rsidR="0023606F" w:rsidRPr="001677A2" w:rsidRDefault="0023606F" w:rsidP="0023606F">
      <w:pPr>
        <w:numPr>
          <w:ilvl w:val="0"/>
          <w:numId w:val="9"/>
        </w:numPr>
        <w:ind w:left="1276" w:hanging="425"/>
        <w:rPr>
          <w:sz w:val="24"/>
          <w:szCs w:val="24"/>
        </w:rPr>
      </w:pPr>
      <w:r w:rsidRPr="001677A2">
        <w:rPr>
          <w:sz w:val="24"/>
          <w:szCs w:val="24"/>
        </w:rPr>
        <w:t xml:space="preserve">svær, genstridig, invaliderende psoriasis, der ikke responderer tilstrækkeligt på andre former for terapi såsom lysbehandling, PUVA og </w:t>
      </w:r>
      <w:proofErr w:type="spellStart"/>
      <w:r w:rsidRPr="001677A2">
        <w:rPr>
          <w:sz w:val="24"/>
          <w:szCs w:val="24"/>
        </w:rPr>
        <w:t>retinoider</w:t>
      </w:r>
      <w:proofErr w:type="spellEnd"/>
      <w:r w:rsidRPr="001677A2">
        <w:rPr>
          <w:sz w:val="24"/>
          <w:szCs w:val="24"/>
        </w:rPr>
        <w:t>, og svær psoriasisartritis hos voksne patienter.</w:t>
      </w:r>
    </w:p>
    <w:p w:rsidR="0023606F" w:rsidRPr="001677A2" w:rsidRDefault="0023606F" w:rsidP="0023606F">
      <w:pPr>
        <w:ind w:left="1276" w:hanging="425"/>
        <w:rPr>
          <w:sz w:val="24"/>
          <w:szCs w:val="24"/>
        </w:rPr>
      </w:pPr>
    </w:p>
    <w:p w:rsidR="0023606F" w:rsidRPr="001677A2" w:rsidRDefault="0023606F" w:rsidP="0023606F">
      <w:pPr>
        <w:numPr>
          <w:ilvl w:val="0"/>
          <w:numId w:val="9"/>
        </w:numPr>
        <w:ind w:left="1276" w:hanging="425"/>
        <w:rPr>
          <w:sz w:val="24"/>
          <w:szCs w:val="24"/>
        </w:rPr>
      </w:pPr>
      <w:r w:rsidRPr="001677A2">
        <w:rPr>
          <w:sz w:val="24"/>
          <w:szCs w:val="24"/>
        </w:rPr>
        <w:t xml:space="preserve">mild til moderat </w:t>
      </w:r>
      <w:proofErr w:type="spellStart"/>
      <w:r w:rsidRPr="001677A2">
        <w:rPr>
          <w:sz w:val="24"/>
          <w:szCs w:val="24"/>
        </w:rPr>
        <w:t>Crohns</w:t>
      </w:r>
      <w:proofErr w:type="spellEnd"/>
      <w:r w:rsidRPr="001677A2">
        <w:rPr>
          <w:sz w:val="24"/>
          <w:szCs w:val="24"/>
        </w:rPr>
        <w:t xml:space="preserve"> sygdom enten alene eller i kombination med </w:t>
      </w:r>
      <w:proofErr w:type="spellStart"/>
      <w:r w:rsidRPr="001677A2">
        <w:rPr>
          <w:sz w:val="24"/>
          <w:szCs w:val="24"/>
        </w:rPr>
        <w:t>kortikosteroider</w:t>
      </w:r>
      <w:proofErr w:type="spellEnd"/>
      <w:r w:rsidRPr="001677A2">
        <w:rPr>
          <w:sz w:val="24"/>
          <w:szCs w:val="24"/>
        </w:rPr>
        <w:t xml:space="preserve"> </w:t>
      </w:r>
      <w:r w:rsidRPr="001677A2">
        <w:rPr>
          <w:sz w:val="24"/>
          <w:szCs w:val="24"/>
          <w:u w:val="single"/>
        </w:rPr>
        <w:t xml:space="preserve">hos voksne patienter, der er refraktære eller intolerante over for </w:t>
      </w:r>
      <w:proofErr w:type="spellStart"/>
      <w:r w:rsidRPr="001677A2">
        <w:rPr>
          <w:sz w:val="24"/>
          <w:szCs w:val="24"/>
          <w:u w:val="single"/>
        </w:rPr>
        <w:t>thiopuriner</w:t>
      </w:r>
      <w:proofErr w:type="spellEnd"/>
      <w:r w:rsidRPr="001677A2">
        <w:rPr>
          <w:sz w:val="24"/>
          <w:szCs w:val="24"/>
          <w:u w:val="single"/>
        </w:rPr>
        <w:t>.</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4.2</w:t>
      </w:r>
      <w:r w:rsidRPr="001677A2">
        <w:rPr>
          <w:b/>
          <w:sz w:val="24"/>
          <w:szCs w:val="24"/>
        </w:rPr>
        <w:tab/>
        <w:t xml:space="preserve">Dosering og </w:t>
      </w:r>
      <w:r w:rsidR="004D13FF" w:rsidRPr="001677A2">
        <w:rPr>
          <w:b/>
          <w:sz w:val="24"/>
          <w:szCs w:val="24"/>
        </w:rPr>
        <w:t>administration</w:t>
      </w:r>
    </w:p>
    <w:p w:rsidR="00AB06FF" w:rsidRPr="001677A2" w:rsidRDefault="00AB06FF" w:rsidP="00AB06FF">
      <w:pPr>
        <w:ind w:left="851"/>
        <w:rPr>
          <w:sz w:val="24"/>
          <w:szCs w:val="24"/>
        </w:rPr>
      </w:pPr>
      <w:proofErr w:type="spellStart"/>
      <w:r w:rsidRPr="001677A2">
        <w:rPr>
          <w:sz w:val="24"/>
          <w:szCs w:val="24"/>
        </w:rPr>
        <w:t>Methotrexat</w:t>
      </w:r>
      <w:proofErr w:type="spellEnd"/>
      <w:r w:rsidRPr="001677A2">
        <w:rPr>
          <w:sz w:val="24"/>
          <w:szCs w:val="24"/>
        </w:rPr>
        <w:t xml:space="preserve"> bør kun ordineres af læger med ekspertise i brugen af </w:t>
      </w:r>
      <w:proofErr w:type="spellStart"/>
      <w:r w:rsidRPr="001677A2">
        <w:rPr>
          <w:sz w:val="24"/>
          <w:szCs w:val="24"/>
        </w:rPr>
        <w:t>methotrexat</w:t>
      </w:r>
      <w:proofErr w:type="spellEnd"/>
      <w:r w:rsidRPr="001677A2">
        <w:rPr>
          <w:sz w:val="24"/>
          <w:szCs w:val="24"/>
        </w:rPr>
        <w:t xml:space="preserve"> og med fuld forståelse for de risici, der er forbundet med </w:t>
      </w:r>
      <w:proofErr w:type="spellStart"/>
      <w:r w:rsidRPr="001677A2">
        <w:rPr>
          <w:sz w:val="24"/>
          <w:szCs w:val="24"/>
        </w:rPr>
        <w:t>methotrexat</w:t>
      </w:r>
      <w:proofErr w:type="spellEnd"/>
      <w:r w:rsidRPr="001677A2">
        <w:rPr>
          <w:sz w:val="24"/>
          <w:szCs w:val="24"/>
        </w:rPr>
        <w:t>-behandling.</w:t>
      </w:r>
    </w:p>
    <w:p w:rsidR="00BF6407" w:rsidRPr="001677A2" w:rsidRDefault="00AB06FF" w:rsidP="00BF6407">
      <w:pPr>
        <w:ind w:left="851"/>
        <w:rPr>
          <w:sz w:val="24"/>
          <w:szCs w:val="24"/>
          <w:lang w:eastAsia="da-DK"/>
        </w:rPr>
      </w:pPr>
      <w:r w:rsidRPr="001677A2">
        <w:rPr>
          <w:sz w:val="24"/>
          <w:szCs w:val="24"/>
        </w:rPr>
        <w:t xml:space="preserve">Indgift bør foretages rutinemæssigt af sundhedspersonalet. Hvis den kliniske situation tillader det, kan den behandlende læge i udvalgte tilfælde lade patienten selv stå for den subkutane indgift. </w:t>
      </w:r>
      <w:r w:rsidR="00BF6407" w:rsidRPr="001677A2">
        <w:rPr>
          <w:sz w:val="24"/>
          <w:szCs w:val="24"/>
        </w:rPr>
        <w:t xml:space="preserve">Patienterne skal undervises og oplæres i korrekt injektionsteknik, hvis de skal selvinjicere </w:t>
      </w:r>
      <w:proofErr w:type="spellStart"/>
      <w:r w:rsidR="00BF6407" w:rsidRPr="001677A2">
        <w:rPr>
          <w:sz w:val="24"/>
          <w:szCs w:val="24"/>
        </w:rPr>
        <w:t>methotrexat</w:t>
      </w:r>
      <w:proofErr w:type="spellEnd"/>
      <w:r w:rsidR="00BF6407" w:rsidRPr="001677A2">
        <w:rPr>
          <w:sz w:val="24"/>
          <w:szCs w:val="24"/>
        </w:rPr>
        <w:t xml:space="preserve">. Den første injektion af </w:t>
      </w:r>
      <w:proofErr w:type="spellStart"/>
      <w:r w:rsidR="00BF6407" w:rsidRPr="001677A2">
        <w:rPr>
          <w:sz w:val="24"/>
          <w:szCs w:val="24"/>
        </w:rPr>
        <w:t>Injexate</w:t>
      </w:r>
      <w:proofErr w:type="spellEnd"/>
      <w:r w:rsidR="00BF6407" w:rsidRPr="001677A2">
        <w:rPr>
          <w:sz w:val="24"/>
          <w:szCs w:val="24"/>
        </w:rPr>
        <w:t xml:space="preserve"> bør udføres under direkte medicinsk overvågning. </w:t>
      </w:r>
      <w:proofErr w:type="spellStart"/>
      <w:r w:rsidR="00BF6407" w:rsidRPr="001677A2">
        <w:rPr>
          <w:bCs/>
          <w:sz w:val="24"/>
          <w:szCs w:val="24"/>
        </w:rPr>
        <w:t>Injexate</w:t>
      </w:r>
      <w:proofErr w:type="spellEnd"/>
      <w:r w:rsidR="00BF6407" w:rsidRPr="001677A2">
        <w:rPr>
          <w:sz w:val="24"/>
          <w:szCs w:val="24"/>
        </w:rPr>
        <w:t xml:space="preserve"> injiceres </w:t>
      </w:r>
      <w:r w:rsidR="00BF6407" w:rsidRPr="001677A2">
        <w:rPr>
          <w:b/>
          <w:sz w:val="24"/>
          <w:szCs w:val="24"/>
        </w:rPr>
        <w:t>én gang ugentligt.</w:t>
      </w:r>
    </w:p>
    <w:p w:rsidR="00AB06FF" w:rsidRPr="001677A2" w:rsidRDefault="00AB06FF" w:rsidP="00BF6407">
      <w:pPr>
        <w:ind w:left="851"/>
        <w:rPr>
          <w:sz w:val="24"/>
          <w:szCs w:val="24"/>
        </w:rPr>
      </w:pPr>
    </w:p>
    <w:p w:rsidR="00AB06FF" w:rsidRPr="001677A2" w:rsidRDefault="00AB06FF" w:rsidP="00AB06FF">
      <w:pPr>
        <w:ind w:left="851"/>
        <w:rPr>
          <w:sz w:val="24"/>
          <w:szCs w:val="24"/>
        </w:rPr>
      </w:pPr>
      <w:r w:rsidRPr="001677A2">
        <w:rPr>
          <w:sz w:val="24"/>
          <w:szCs w:val="24"/>
        </w:rPr>
        <w:t>Patienten skal eksplicit oplyses om det</w:t>
      </w:r>
      <w:r w:rsidR="00AF6108">
        <w:rPr>
          <w:sz w:val="24"/>
          <w:szCs w:val="24"/>
        </w:rPr>
        <w:t xml:space="preserve"> usædvanlige</w:t>
      </w:r>
      <w:r w:rsidRPr="001677A2">
        <w:rPr>
          <w:sz w:val="24"/>
          <w:szCs w:val="24"/>
        </w:rPr>
        <w:t xml:space="preserve"> faktum, at lægemidlet kun skal indgives </w:t>
      </w:r>
      <w:r w:rsidRPr="001677A2">
        <w:rPr>
          <w:b/>
          <w:sz w:val="24"/>
          <w:szCs w:val="24"/>
        </w:rPr>
        <w:t>én gang ugentligt</w:t>
      </w:r>
      <w:r w:rsidRPr="001677A2">
        <w:rPr>
          <w:sz w:val="24"/>
          <w:szCs w:val="24"/>
        </w:rPr>
        <w:t>. Det er tilrådeligt at fastlægge en fast passende ugedag som injektionsdag.</w:t>
      </w:r>
    </w:p>
    <w:p w:rsidR="00AB06FF" w:rsidRPr="001677A2" w:rsidRDefault="00AB06FF" w:rsidP="00AB06FF">
      <w:pPr>
        <w:ind w:left="851" w:hanging="851"/>
        <w:rPr>
          <w:sz w:val="24"/>
          <w:szCs w:val="24"/>
        </w:rPr>
      </w:pPr>
    </w:p>
    <w:p w:rsidR="00AB06FF" w:rsidRPr="001677A2" w:rsidRDefault="00AB06FF" w:rsidP="00AB06FF">
      <w:pPr>
        <w:ind w:left="851"/>
        <w:rPr>
          <w:sz w:val="24"/>
          <w:szCs w:val="24"/>
        </w:rPr>
      </w:pPr>
      <w:r w:rsidRPr="001677A2">
        <w:rPr>
          <w:sz w:val="24"/>
          <w:szCs w:val="24"/>
        </w:rPr>
        <w:t xml:space="preserve">Eliminering af </w:t>
      </w:r>
      <w:proofErr w:type="spellStart"/>
      <w:r w:rsidRPr="001677A2">
        <w:rPr>
          <w:sz w:val="24"/>
          <w:szCs w:val="24"/>
        </w:rPr>
        <w:t>methotrexat</w:t>
      </w:r>
      <w:proofErr w:type="spellEnd"/>
      <w:r w:rsidRPr="001677A2">
        <w:rPr>
          <w:sz w:val="24"/>
          <w:szCs w:val="24"/>
        </w:rPr>
        <w:t xml:space="preserve"> er reduceret hos patienter med et tredje fordelingsrum (</w:t>
      </w:r>
      <w:proofErr w:type="spellStart"/>
      <w:r w:rsidRPr="001677A2">
        <w:rPr>
          <w:sz w:val="24"/>
          <w:szCs w:val="24"/>
        </w:rPr>
        <w:t>ascites</w:t>
      </w:r>
      <w:proofErr w:type="spellEnd"/>
      <w:r w:rsidRPr="001677A2">
        <w:rPr>
          <w:sz w:val="24"/>
          <w:szCs w:val="24"/>
        </w:rPr>
        <w:t xml:space="preserve">, </w:t>
      </w:r>
      <w:proofErr w:type="spellStart"/>
      <w:r w:rsidRPr="001677A2">
        <w:rPr>
          <w:sz w:val="24"/>
          <w:szCs w:val="24"/>
        </w:rPr>
        <w:t>pleuraeffusioner</w:t>
      </w:r>
      <w:proofErr w:type="spellEnd"/>
      <w:r w:rsidRPr="001677A2">
        <w:rPr>
          <w:sz w:val="24"/>
          <w:szCs w:val="24"/>
        </w:rPr>
        <w:t xml:space="preserve">). Sådanne patienter har behov for særlig omhyggelig overvågning for toksicitet og kræver dosisreduktion eller, i nogle tilfælde, </w:t>
      </w:r>
      <w:proofErr w:type="spellStart"/>
      <w:r w:rsidRPr="001677A2">
        <w:rPr>
          <w:sz w:val="24"/>
          <w:szCs w:val="24"/>
        </w:rPr>
        <w:t>seponering</w:t>
      </w:r>
      <w:proofErr w:type="spellEnd"/>
      <w:r w:rsidRPr="001677A2">
        <w:rPr>
          <w:sz w:val="24"/>
          <w:szCs w:val="24"/>
        </w:rPr>
        <w:t xml:space="preserve"> af </w:t>
      </w:r>
      <w:proofErr w:type="spellStart"/>
      <w:r w:rsidRPr="001677A2">
        <w:rPr>
          <w:sz w:val="24"/>
          <w:szCs w:val="24"/>
        </w:rPr>
        <w:t>methotrexat</w:t>
      </w:r>
      <w:r w:rsidRPr="001677A2">
        <w:rPr>
          <w:sz w:val="24"/>
          <w:szCs w:val="24"/>
        </w:rPr>
        <w:softHyphen/>
        <w:t>indgiften</w:t>
      </w:r>
      <w:proofErr w:type="spellEnd"/>
      <w:r w:rsidRPr="001677A2">
        <w:rPr>
          <w:sz w:val="24"/>
          <w:szCs w:val="24"/>
        </w:rPr>
        <w:t xml:space="preserve"> (se pkt. 5.2 og 4.4).</w:t>
      </w:r>
    </w:p>
    <w:p w:rsidR="00AB06FF" w:rsidRPr="001677A2" w:rsidRDefault="00AB06FF" w:rsidP="00AB06FF">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AB06FF" w:rsidRPr="001677A2" w:rsidTr="00AB06FF">
        <w:tc>
          <w:tcPr>
            <w:tcW w:w="9628" w:type="dxa"/>
            <w:tcBorders>
              <w:top w:val="single" w:sz="4" w:space="0" w:color="auto"/>
              <w:left w:val="single" w:sz="4" w:space="0" w:color="auto"/>
              <w:bottom w:val="single" w:sz="4" w:space="0" w:color="auto"/>
              <w:right w:val="single" w:sz="4" w:space="0" w:color="auto"/>
            </w:tcBorders>
          </w:tcPr>
          <w:p w:rsidR="00AB06FF" w:rsidRPr="001677A2" w:rsidRDefault="00AB06FF">
            <w:pPr>
              <w:rPr>
                <w:b/>
                <w:bCs/>
                <w:sz w:val="24"/>
                <w:szCs w:val="24"/>
              </w:rPr>
            </w:pPr>
            <w:r w:rsidRPr="001677A2">
              <w:rPr>
                <w:b/>
                <w:bCs/>
                <w:sz w:val="24"/>
                <w:szCs w:val="24"/>
              </w:rPr>
              <w:t xml:space="preserve">Vigtig advarsel om dosering af </w:t>
            </w:r>
            <w:proofErr w:type="spellStart"/>
            <w:r w:rsidRPr="001677A2">
              <w:rPr>
                <w:b/>
                <w:bCs/>
                <w:sz w:val="24"/>
                <w:szCs w:val="24"/>
              </w:rPr>
              <w:t>Injexate</w:t>
            </w:r>
            <w:proofErr w:type="spellEnd"/>
            <w:r w:rsidRPr="001677A2">
              <w:rPr>
                <w:b/>
                <w:bCs/>
                <w:sz w:val="24"/>
                <w:szCs w:val="24"/>
              </w:rPr>
              <w:t xml:space="preserve"> (</w:t>
            </w:r>
            <w:proofErr w:type="spellStart"/>
            <w:r w:rsidRPr="001677A2">
              <w:rPr>
                <w:b/>
                <w:bCs/>
                <w:sz w:val="24"/>
                <w:szCs w:val="24"/>
              </w:rPr>
              <w:t>methotrexat</w:t>
            </w:r>
            <w:proofErr w:type="spellEnd"/>
            <w:r w:rsidRPr="001677A2">
              <w:rPr>
                <w:b/>
                <w:bCs/>
                <w:sz w:val="24"/>
                <w:szCs w:val="24"/>
              </w:rPr>
              <w:t>)</w:t>
            </w:r>
          </w:p>
          <w:p w:rsidR="00AB06FF" w:rsidRPr="001677A2" w:rsidRDefault="00AB06FF">
            <w:pPr>
              <w:rPr>
                <w:sz w:val="24"/>
                <w:szCs w:val="24"/>
              </w:rPr>
            </w:pPr>
          </w:p>
          <w:p w:rsidR="00AB06FF" w:rsidRPr="001677A2" w:rsidRDefault="00AB06FF">
            <w:pPr>
              <w:rPr>
                <w:sz w:val="24"/>
                <w:szCs w:val="24"/>
              </w:rPr>
            </w:pPr>
            <w:r w:rsidRPr="001677A2">
              <w:rPr>
                <w:sz w:val="24"/>
                <w:szCs w:val="24"/>
              </w:rPr>
              <w:t xml:space="preserve">Ved behandlingen af Leddegigt, </w:t>
            </w:r>
            <w:proofErr w:type="spellStart"/>
            <w:r w:rsidRPr="001677A2">
              <w:rPr>
                <w:sz w:val="24"/>
                <w:szCs w:val="24"/>
              </w:rPr>
              <w:t>Børnegigt</w:t>
            </w:r>
            <w:proofErr w:type="spellEnd"/>
            <w:r w:rsidRPr="001677A2">
              <w:rPr>
                <w:sz w:val="24"/>
                <w:szCs w:val="24"/>
              </w:rPr>
              <w:t xml:space="preserve">, Psoriasisgigt, Psoriasis, </w:t>
            </w:r>
            <w:proofErr w:type="spellStart"/>
            <w:r w:rsidRPr="001677A2">
              <w:rPr>
                <w:sz w:val="24"/>
                <w:szCs w:val="24"/>
              </w:rPr>
              <w:t>Crohns</w:t>
            </w:r>
            <w:proofErr w:type="spellEnd"/>
            <w:r w:rsidRPr="001677A2">
              <w:rPr>
                <w:sz w:val="24"/>
                <w:szCs w:val="24"/>
              </w:rPr>
              <w:t xml:space="preserve"> sygdom må </w:t>
            </w:r>
            <w:proofErr w:type="spellStart"/>
            <w:r w:rsidRPr="001677A2">
              <w:rPr>
                <w:sz w:val="24"/>
                <w:szCs w:val="24"/>
              </w:rPr>
              <w:t>Injexate</w:t>
            </w:r>
            <w:proofErr w:type="spellEnd"/>
            <w:r w:rsidRPr="001677A2">
              <w:rPr>
                <w:sz w:val="24"/>
                <w:szCs w:val="24"/>
              </w:rPr>
              <w:t xml:space="preserve"> (</w:t>
            </w:r>
            <w:proofErr w:type="spellStart"/>
            <w:r w:rsidRPr="001677A2">
              <w:rPr>
                <w:sz w:val="24"/>
                <w:szCs w:val="24"/>
              </w:rPr>
              <w:t>methotrexat</w:t>
            </w:r>
            <w:proofErr w:type="spellEnd"/>
            <w:r w:rsidRPr="001677A2">
              <w:rPr>
                <w:sz w:val="24"/>
                <w:szCs w:val="24"/>
              </w:rPr>
              <w:t>)</w:t>
            </w:r>
            <w:r w:rsidRPr="001677A2">
              <w:rPr>
                <w:b/>
                <w:bCs/>
                <w:sz w:val="24"/>
                <w:szCs w:val="24"/>
              </w:rPr>
              <w:t xml:space="preserve"> kun bruges én gang ugentligt</w:t>
            </w:r>
            <w:r w:rsidRPr="001677A2">
              <w:rPr>
                <w:sz w:val="24"/>
                <w:szCs w:val="24"/>
              </w:rPr>
              <w:t xml:space="preserve">. Doseringsfejl under brug af </w:t>
            </w:r>
            <w:proofErr w:type="spellStart"/>
            <w:r w:rsidRPr="001677A2">
              <w:rPr>
                <w:sz w:val="24"/>
                <w:szCs w:val="24"/>
              </w:rPr>
              <w:t>Injexate</w:t>
            </w:r>
            <w:proofErr w:type="spellEnd"/>
            <w:r w:rsidRPr="001677A2">
              <w:rPr>
                <w:sz w:val="24"/>
                <w:szCs w:val="24"/>
              </w:rPr>
              <w:t xml:space="preserve"> (</w:t>
            </w:r>
            <w:proofErr w:type="spellStart"/>
            <w:r w:rsidRPr="001677A2">
              <w:rPr>
                <w:sz w:val="24"/>
                <w:szCs w:val="24"/>
              </w:rPr>
              <w:t>methotrexat</w:t>
            </w:r>
            <w:proofErr w:type="spellEnd"/>
            <w:r w:rsidRPr="001677A2">
              <w:rPr>
                <w:sz w:val="24"/>
                <w:szCs w:val="24"/>
              </w:rPr>
              <w:t>) kan resultere i alvorlige bivirkninger, herunder dødsfald. Læs dette punkt i produktresuméet meget omhyggeligt.</w:t>
            </w:r>
          </w:p>
        </w:tc>
      </w:tr>
    </w:tbl>
    <w:p w:rsidR="00AB06FF" w:rsidRPr="001677A2" w:rsidRDefault="00AB06FF" w:rsidP="0023606F">
      <w:pPr>
        <w:ind w:left="851"/>
        <w:rPr>
          <w:b/>
          <w:sz w:val="24"/>
          <w:szCs w:val="24"/>
          <w:u w:val="single"/>
        </w:rPr>
      </w:pPr>
    </w:p>
    <w:p w:rsidR="0023606F" w:rsidRPr="001677A2" w:rsidRDefault="0023606F" w:rsidP="0023606F">
      <w:pPr>
        <w:ind w:left="851"/>
        <w:rPr>
          <w:b/>
          <w:sz w:val="24"/>
          <w:szCs w:val="24"/>
          <w:u w:val="single"/>
        </w:rPr>
      </w:pPr>
      <w:r w:rsidRPr="001677A2">
        <w:rPr>
          <w:b/>
          <w:sz w:val="24"/>
          <w:szCs w:val="24"/>
          <w:u w:val="single"/>
        </w:rPr>
        <w:t>Dosering</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 xml:space="preserve">Dosering til voksne patienter med </w:t>
      </w:r>
      <w:proofErr w:type="spellStart"/>
      <w:r w:rsidRPr="001677A2">
        <w:rPr>
          <w:sz w:val="24"/>
          <w:szCs w:val="24"/>
          <w:u w:val="single"/>
        </w:rPr>
        <w:t>reumatoid</w:t>
      </w:r>
      <w:proofErr w:type="spellEnd"/>
      <w:r w:rsidRPr="001677A2">
        <w:rPr>
          <w:sz w:val="24"/>
          <w:szCs w:val="24"/>
          <w:u w:val="single"/>
        </w:rPr>
        <w:t xml:space="preserve"> artritis:</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Den anbefalede startdosis er 7,5 mg </w:t>
      </w:r>
      <w:proofErr w:type="spellStart"/>
      <w:r w:rsidRPr="001677A2">
        <w:rPr>
          <w:sz w:val="24"/>
          <w:szCs w:val="24"/>
        </w:rPr>
        <w:t>methotrexat</w:t>
      </w:r>
      <w:proofErr w:type="spellEnd"/>
      <w:r w:rsidRPr="001677A2">
        <w:rPr>
          <w:sz w:val="24"/>
          <w:szCs w:val="24"/>
        </w:rPr>
        <w:t xml:space="preserve"> </w:t>
      </w:r>
      <w:r w:rsidRPr="001677A2">
        <w:rPr>
          <w:b/>
          <w:sz w:val="24"/>
          <w:szCs w:val="24"/>
        </w:rPr>
        <w:t>én gang ugentligt</w:t>
      </w:r>
      <w:r w:rsidRPr="001677A2">
        <w:rPr>
          <w:sz w:val="24"/>
          <w:szCs w:val="24"/>
        </w:rPr>
        <w:t xml:space="preserve"> indgivet subkutant. Afhængigt af den enkelte patients sygdomsaktivitet og </w:t>
      </w:r>
      <w:proofErr w:type="spellStart"/>
      <w:r w:rsidRPr="001677A2">
        <w:rPr>
          <w:sz w:val="24"/>
          <w:szCs w:val="24"/>
        </w:rPr>
        <w:t>tolerabilitet</w:t>
      </w:r>
      <w:proofErr w:type="spellEnd"/>
      <w:r w:rsidRPr="001677A2">
        <w:rPr>
          <w:sz w:val="24"/>
          <w:szCs w:val="24"/>
        </w:rPr>
        <w:t xml:space="preserve"> kan startdosen øges gradvist med 2,5 mg pr. uge. Den ugentlige dosis bør normalt ikke overstige 25 mg. Doser over 20 mg pr. uge er dog forbundet med signifikant øget toksicitet, især </w:t>
      </w:r>
      <w:r w:rsidRPr="001677A2">
        <w:rPr>
          <w:sz w:val="24"/>
          <w:szCs w:val="24"/>
        </w:rPr>
        <w:lastRenderedPageBreak/>
        <w:t>knoglemarvsdepression. Behandlingsrespons kan forventes efter cirka 4-8 uger. Når det terapeutisk ønskede resultat er nået, bør dosen gradvist reduceres til den lavest mulige effektive vedligeholdelsesdosis.</w:t>
      </w:r>
    </w:p>
    <w:p w:rsidR="0023606F" w:rsidRPr="001677A2" w:rsidRDefault="0023606F" w:rsidP="0023606F">
      <w:pPr>
        <w:ind w:left="851" w:hanging="851"/>
        <w:rPr>
          <w:sz w:val="24"/>
          <w:szCs w:val="24"/>
        </w:rPr>
      </w:pPr>
    </w:p>
    <w:p w:rsidR="0023606F" w:rsidRPr="001677A2" w:rsidRDefault="0023606F" w:rsidP="0023606F">
      <w:pPr>
        <w:ind w:left="851"/>
        <w:rPr>
          <w:iCs/>
          <w:sz w:val="24"/>
          <w:szCs w:val="24"/>
          <w:u w:val="single"/>
        </w:rPr>
      </w:pPr>
      <w:r w:rsidRPr="001677A2">
        <w:rPr>
          <w:sz w:val="24"/>
          <w:szCs w:val="24"/>
          <w:u w:val="single"/>
        </w:rPr>
        <w:t xml:space="preserve">Dosering til børn og unge under 16 år med </w:t>
      </w:r>
      <w:proofErr w:type="spellStart"/>
      <w:r w:rsidRPr="001677A2">
        <w:rPr>
          <w:sz w:val="24"/>
          <w:szCs w:val="24"/>
          <w:u w:val="single"/>
        </w:rPr>
        <w:t>polyartritiske</w:t>
      </w:r>
      <w:proofErr w:type="spellEnd"/>
      <w:r w:rsidRPr="001677A2">
        <w:rPr>
          <w:sz w:val="24"/>
          <w:szCs w:val="24"/>
          <w:u w:val="single"/>
        </w:rPr>
        <w:t xml:space="preserve"> former for juvenil idiopatisk artritis (JIA)</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Børn med legemsoverfladeareal under 0,75 m</w:t>
      </w:r>
      <w:r w:rsidRPr="001677A2">
        <w:rPr>
          <w:sz w:val="24"/>
          <w:szCs w:val="24"/>
          <w:vertAlign w:val="superscript"/>
        </w:rPr>
        <w:t>2</w:t>
      </w:r>
      <w:r w:rsidRPr="001677A2">
        <w:rPr>
          <w:sz w:val="24"/>
          <w:szCs w:val="24"/>
        </w:rPr>
        <w:t xml:space="preserve"> kan ikke behandles med dette lægemiddel. Hvis doser lavere end 7,5 mg er nødvendige, skal der anvendes et andet lægemiddel.</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Den anbefalede dosis er 10-15 mg/m² legemsoverfladeareal (body </w:t>
      </w:r>
      <w:proofErr w:type="spellStart"/>
      <w:r w:rsidRPr="001677A2">
        <w:rPr>
          <w:sz w:val="24"/>
          <w:szCs w:val="24"/>
        </w:rPr>
        <w:t>surface</w:t>
      </w:r>
      <w:proofErr w:type="spellEnd"/>
      <w:r w:rsidRPr="001677A2">
        <w:rPr>
          <w:sz w:val="24"/>
          <w:szCs w:val="24"/>
        </w:rPr>
        <w:t xml:space="preserve"> </w:t>
      </w:r>
      <w:proofErr w:type="spellStart"/>
      <w:r w:rsidRPr="001677A2">
        <w:rPr>
          <w:sz w:val="24"/>
          <w:szCs w:val="24"/>
        </w:rPr>
        <w:t>area</w:t>
      </w:r>
      <w:proofErr w:type="spellEnd"/>
      <w:r w:rsidRPr="001677A2">
        <w:rPr>
          <w:sz w:val="24"/>
          <w:szCs w:val="24"/>
        </w:rPr>
        <w:t xml:space="preserve">/BSA) </w:t>
      </w:r>
      <w:r w:rsidRPr="001677A2">
        <w:rPr>
          <w:b/>
          <w:sz w:val="24"/>
          <w:szCs w:val="24"/>
        </w:rPr>
        <w:t>én gang ugentligt</w:t>
      </w:r>
      <w:r w:rsidRPr="001677A2">
        <w:rPr>
          <w:sz w:val="24"/>
          <w:szCs w:val="24"/>
        </w:rPr>
        <w:t xml:space="preserve">. I </w:t>
      </w:r>
      <w:proofErr w:type="spellStart"/>
      <w:r w:rsidRPr="001677A2">
        <w:rPr>
          <w:sz w:val="24"/>
          <w:szCs w:val="24"/>
        </w:rPr>
        <w:t>behandlingsrefraktoriske</w:t>
      </w:r>
      <w:proofErr w:type="spellEnd"/>
      <w:r w:rsidRPr="001677A2">
        <w:rPr>
          <w:sz w:val="24"/>
          <w:szCs w:val="24"/>
        </w:rPr>
        <w:t xml:space="preserve"> tilfælde kan den ugentlige dosis forøges til op til 20mg/m</w:t>
      </w:r>
      <w:r w:rsidRPr="001677A2">
        <w:rPr>
          <w:sz w:val="24"/>
          <w:szCs w:val="24"/>
          <w:vertAlign w:val="superscript"/>
        </w:rPr>
        <w:t>2</w:t>
      </w:r>
      <w:r w:rsidRPr="001677A2">
        <w:rPr>
          <w:sz w:val="24"/>
          <w:szCs w:val="24"/>
        </w:rPr>
        <w:t xml:space="preserve"> legemsoverfladeareal </w:t>
      </w:r>
      <w:r w:rsidRPr="001677A2">
        <w:rPr>
          <w:b/>
          <w:sz w:val="24"/>
          <w:szCs w:val="24"/>
        </w:rPr>
        <w:t>én gang ugentligt</w:t>
      </w:r>
      <w:r w:rsidRPr="001677A2">
        <w:rPr>
          <w:sz w:val="24"/>
          <w:szCs w:val="24"/>
        </w:rPr>
        <w:t>. En forøget monitoreringsfrekvens er dog indikeret, hvis dosen forøges.</w:t>
      </w:r>
    </w:p>
    <w:p w:rsidR="0023606F" w:rsidRPr="001677A2" w:rsidRDefault="0023606F" w:rsidP="0023606F">
      <w:pPr>
        <w:ind w:left="851" w:hanging="851"/>
        <w:rPr>
          <w:sz w:val="24"/>
          <w:szCs w:val="24"/>
        </w:rPr>
      </w:pPr>
    </w:p>
    <w:p w:rsidR="0023606F" w:rsidRPr="001677A2" w:rsidRDefault="0023606F" w:rsidP="0023606F">
      <w:pPr>
        <w:ind w:left="851"/>
        <w:rPr>
          <w:iCs/>
          <w:sz w:val="24"/>
          <w:szCs w:val="24"/>
        </w:rPr>
      </w:pPr>
      <w:r w:rsidRPr="001677A2">
        <w:rPr>
          <w:sz w:val="24"/>
          <w:szCs w:val="24"/>
        </w:rPr>
        <w:t>Patienter med JIA bør altid henvises til en speciallæge i reumatologi med speciale i behandling af børn/unge.</w:t>
      </w:r>
    </w:p>
    <w:p w:rsidR="0023606F" w:rsidRPr="001677A2" w:rsidRDefault="0023606F" w:rsidP="0023606F">
      <w:pPr>
        <w:ind w:left="851" w:hanging="851"/>
        <w:rPr>
          <w:iCs/>
          <w:sz w:val="24"/>
          <w:szCs w:val="24"/>
        </w:rPr>
      </w:pPr>
    </w:p>
    <w:p w:rsidR="0023606F" w:rsidRPr="001677A2" w:rsidRDefault="0023606F" w:rsidP="0023606F">
      <w:pPr>
        <w:ind w:left="851"/>
        <w:rPr>
          <w:sz w:val="24"/>
          <w:szCs w:val="24"/>
          <w:u w:val="single"/>
        </w:rPr>
      </w:pPr>
      <w:r w:rsidRPr="001677A2">
        <w:rPr>
          <w:sz w:val="24"/>
          <w:szCs w:val="24"/>
          <w:u w:val="single"/>
        </w:rPr>
        <w:t>Brug til børn &lt; 3 år anbefales ikke, da der ikke er tilstrækkelige data til rådighed om sikkerhed og virkning for denne population. (Se pkt. 4.4).</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 xml:space="preserve">Dosering til patienter med psoriasis </w:t>
      </w:r>
      <w:proofErr w:type="spellStart"/>
      <w:r w:rsidRPr="001677A2">
        <w:rPr>
          <w:sz w:val="24"/>
          <w:szCs w:val="24"/>
          <w:u w:val="single"/>
        </w:rPr>
        <w:t>vulgaris</w:t>
      </w:r>
      <w:proofErr w:type="spellEnd"/>
      <w:r w:rsidRPr="001677A2">
        <w:rPr>
          <w:sz w:val="24"/>
          <w:szCs w:val="24"/>
          <w:u w:val="single"/>
        </w:rPr>
        <w:t xml:space="preserve"> og psoriasisartritis:</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Det anbefales, at en testdosis på 5-10 mg indgives parenteralt én uge før behandlingsstart for at påvise eventuelle idiosynkratiske bivirkninger. Den anbefalede startdosis er 7,5 mg </w:t>
      </w:r>
      <w:proofErr w:type="spellStart"/>
      <w:r w:rsidRPr="001677A2">
        <w:rPr>
          <w:sz w:val="24"/>
          <w:szCs w:val="24"/>
        </w:rPr>
        <w:t>methotrexat</w:t>
      </w:r>
      <w:proofErr w:type="spellEnd"/>
      <w:r w:rsidRPr="001677A2">
        <w:rPr>
          <w:sz w:val="24"/>
          <w:szCs w:val="24"/>
        </w:rPr>
        <w:t xml:space="preserve"> </w:t>
      </w:r>
      <w:r w:rsidRPr="001677A2">
        <w:rPr>
          <w:b/>
          <w:sz w:val="24"/>
          <w:szCs w:val="24"/>
        </w:rPr>
        <w:t>én gang ugentligt</w:t>
      </w:r>
      <w:r w:rsidRPr="001677A2">
        <w:rPr>
          <w:sz w:val="24"/>
          <w:szCs w:val="24"/>
        </w:rPr>
        <w:t xml:space="preserve"> indgivet subkutant. Dosen skal øges gradvist, men bør normalt ikke overstige 25 mg </w:t>
      </w:r>
      <w:proofErr w:type="spellStart"/>
      <w:r w:rsidRPr="001677A2">
        <w:rPr>
          <w:sz w:val="24"/>
          <w:szCs w:val="24"/>
        </w:rPr>
        <w:t>methotrexat</w:t>
      </w:r>
      <w:proofErr w:type="spellEnd"/>
      <w:r w:rsidRPr="001677A2">
        <w:rPr>
          <w:sz w:val="24"/>
          <w:szCs w:val="24"/>
        </w:rPr>
        <w:t xml:space="preserve"> pr. uge. </w:t>
      </w:r>
      <w:r w:rsidRPr="001677A2">
        <w:rPr>
          <w:color w:val="000000"/>
          <w:sz w:val="24"/>
          <w:szCs w:val="24"/>
        </w:rPr>
        <w:t xml:space="preserve">Doser over 20 mg pr. uge kan være forbundet med signifikant øget toksicitet, især knoglemarvssuppression. </w:t>
      </w:r>
      <w:r w:rsidRPr="001677A2">
        <w:rPr>
          <w:sz w:val="24"/>
          <w:szCs w:val="24"/>
        </w:rPr>
        <w:t>Behandlingsrespons kan normalt forventes efter cirka 2-6 uger. Når det terapeutisk ønskede resultat er nået, bør dosen gradvist reduceres til den lavest mulige effektive vedligeholdelsesdosis.</w:t>
      </w:r>
    </w:p>
    <w:p w:rsidR="00BF6407" w:rsidRPr="001677A2" w:rsidRDefault="00BF6407" w:rsidP="0023606F">
      <w:pPr>
        <w:ind w:left="851"/>
        <w:rPr>
          <w:sz w:val="24"/>
          <w:szCs w:val="24"/>
        </w:rPr>
      </w:pPr>
    </w:p>
    <w:p w:rsidR="00BF6407" w:rsidRPr="001677A2" w:rsidRDefault="00BF6407" w:rsidP="00BF6407">
      <w:pPr>
        <w:ind w:left="851"/>
        <w:rPr>
          <w:sz w:val="24"/>
          <w:szCs w:val="24"/>
          <w:lang w:eastAsia="da-DK"/>
        </w:rPr>
      </w:pPr>
      <w:r w:rsidRPr="001677A2">
        <w:rPr>
          <w:sz w:val="24"/>
          <w:szCs w:val="24"/>
          <w:u w:val="single"/>
        </w:rPr>
        <w:t>Maksimal ugentlig dosis</w:t>
      </w:r>
      <w:r w:rsidRPr="001677A2">
        <w:rPr>
          <w:sz w:val="24"/>
          <w:szCs w:val="24"/>
          <w:lang w:eastAsia="da-DK"/>
        </w:rPr>
        <w:t xml:space="preserve"> </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Dosen skal øges som nødvendigt, men bør normalt ikke overstige den maksimalt anbefalede ugentlige dosis på 25 mg. I nogle få undtagelsestilfælde kan en højere dosis være klinisk berettiget, men den bør ikke overstige en maksimal ugentlig dosis på 30 mg </w:t>
      </w:r>
      <w:proofErr w:type="spellStart"/>
      <w:r w:rsidRPr="001677A2">
        <w:rPr>
          <w:sz w:val="24"/>
          <w:szCs w:val="24"/>
        </w:rPr>
        <w:t>methotrexat</w:t>
      </w:r>
      <w:proofErr w:type="spellEnd"/>
      <w:r w:rsidRPr="001677A2">
        <w:rPr>
          <w:sz w:val="24"/>
          <w:szCs w:val="24"/>
        </w:rPr>
        <w:t>, da toksiciteten vil forøges markant.</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 xml:space="preserve">Dosering til patienter med </w:t>
      </w:r>
      <w:proofErr w:type="spellStart"/>
      <w:r w:rsidRPr="001677A2">
        <w:rPr>
          <w:sz w:val="24"/>
          <w:szCs w:val="24"/>
          <w:u w:val="single"/>
        </w:rPr>
        <w:t>Crohns</w:t>
      </w:r>
      <w:proofErr w:type="spellEnd"/>
      <w:r w:rsidRPr="001677A2">
        <w:rPr>
          <w:sz w:val="24"/>
          <w:szCs w:val="24"/>
          <w:u w:val="single"/>
        </w:rPr>
        <w:t xml:space="preserve"> sygdom:</w:t>
      </w:r>
    </w:p>
    <w:p w:rsidR="0023606F" w:rsidRPr="001677A2" w:rsidRDefault="0023606F" w:rsidP="0023606F">
      <w:pPr>
        <w:ind w:left="851" w:hanging="851"/>
        <w:rPr>
          <w:sz w:val="24"/>
          <w:szCs w:val="24"/>
        </w:rPr>
      </w:pPr>
    </w:p>
    <w:p w:rsidR="0023606F" w:rsidRPr="001677A2" w:rsidRDefault="0023606F" w:rsidP="0023606F">
      <w:pPr>
        <w:pStyle w:val="Listeafsnit"/>
        <w:numPr>
          <w:ilvl w:val="0"/>
          <w:numId w:val="10"/>
        </w:numPr>
        <w:ind w:left="1276" w:hanging="425"/>
        <w:rPr>
          <w:sz w:val="24"/>
          <w:szCs w:val="24"/>
        </w:rPr>
      </w:pPr>
      <w:r w:rsidRPr="001677A2">
        <w:rPr>
          <w:sz w:val="24"/>
          <w:szCs w:val="24"/>
        </w:rPr>
        <w:t>Induktionsbehandling:</w:t>
      </w:r>
    </w:p>
    <w:p w:rsidR="0023606F" w:rsidRPr="001677A2" w:rsidRDefault="0023606F" w:rsidP="0023606F">
      <w:pPr>
        <w:ind w:left="851" w:hanging="851"/>
        <w:rPr>
          <w:sz w:val="24"/>
          <w:szCs w:val="24"/>
        </w:rPr>
      </w:pPr>
    </w:p>
    <w:p w:rsidR="0023606F" w:rsidRPr="001677A2" w:rsidRDefault="0023606F" w:rsidP="0023606F">
      <w:pPr>
        <w:ind w:left="851" w:firstLine="425"/>
        <w:rPr>
          <w:sz w:val="24"/>
          <w:szCs w:val="24"/>
        </w:rPr>
      </w:pPr>
      <w:r w:rsidRPr="001677A2">
        <w:rPr>
          <w:sz w:val="24"/>
          <w:szCs w:val="24"/>
        </w:rPr>
        <w:t xml:space="preserve">25 mg/uge indgivet subkutant. </w:t>
      </w:r>
    </w:p>
    <w:p w:rsidR="0023606F" w:rsidRPr="001677A2" w:rsidRDefault="0023606F" w:rsidP="0023606F">
      <w:pPr>
        <w:ind w:left="851" w:hanging="851"/>
        <w:rPr>
          <w:sz w:val="24"/>
          <w:szCs w:val="24"/>
        </w:rPr>
      </w:pPr>
    </w:p>
    <w:p w:rsidR="0023606F" w:rsidRPr="001677A2" w:rsidRDefault="0023606F" w:rsidP="0023606F">
      <w:pPr>
        <w:ind w:left="851" w:firstLine="425"/>
        <w:rPr>
          <w:sz w:val="24"/>
          <w:szCs w:val="24"/>
        </w:rPr>
      </w:pPr>
      <w:r w:rsidRPr="001677A2">
        <w:rPr>
          <w:sz w:val="24"/>
          <w:szCs w:val="24"/>
        </w:rPr>
        <w:t>Behandlingsrespons kan forventes efter cirka 8 til 12 uger.</w:t>
      </w:r>
    </w:p>
    <w:p w:rsidR="0023606F" w:rsidRPr="001677A2" w:rsidRDefault="0023606F" w:rsidP="0023606F">
      <w:pPr>
        <w:ind w:left="851" w:hanging="851"/>
        <w:rPr>
          <w:sz w:val="24"/>
          <w:szCs w:val="24"/>
        </w:rPr>
      </w:pPr>
    </w:p>
    <w:p w:rsidR="0023606F" w:rsidRPr="001677A2" w:rsidRDefault="0023606F" w:rsidP="0023606F">
      <w:pPr>
        <w:pStyle w:val="Listeafsnit"/>
        <w:numPr>
          <w:ilvl w:val="0"/>
          <w:numId w:val="10"/>
        </w:numPr>
        <w:ind w:left="1276" w:hanging="425"/>
        <w:rPr>
          <w:sz w:val="24"/>
          <w:szCs w:val="24"/>
        </w:rPr>
      </w:pPr>
      <w:r w:rsidRPr="001677A2">
        <w:rPr>
          <w:sz w:val="24"/>
          <w:szCs w:val="24"/>
        </w:rPr>
        <w:t>Vedligeholdelsesbehandling:</w:t>
      </w:r>
    </w:p>
    <w:p w:rsidR="0023606F" w:rsidRPr="001677A2" w:rsidRDefault="0023606F" w:rsidP="0023606F">
      <w:pPr>
        <w:ind w:left="851" w:hanging="851"/>
        <w:rPr>
          <w:sz w:val="24"/>
          <w:szCs w:val="24"/>
        </w:rPr>
      </w:pPr>
    </w:p>
    <w:p w:rsidR="0023606F" w:rsidRPr="001677A2" w:rsidRDefault="0023606F" w:rsidP="0023606F">
      <w:pPr>
        <w:ind w:left="851" w:firstLine="425"/>
        <w:rPr>
          <w:sz w:val="24"/>
          <w:szCs w:val="24"/>
        </w:rPr>
      </w:pPr>
      <w:r w:rsidRPr="001677A2">
        <w:rPr>
          <w:sz w:val="24"/>
          <w:szCs w:val="24"/>
        </w:rPr>
        <w:t>15 mg/uge indgivet subkutant.</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lastRenderedPageBreak/>
        <w:t xml:space="preserve">Der er ikke tilstrækkelig erfaring hos den pædiatriske population til at anbefale </w:t>
      </w:r>
      <w:proofErr w:type="spellStart"/>
      <w:r w:rsidRPr="001677A2">
        <w:rPr>
          <w:bCs/>
          <w:sz w:val="24"/>
          <w:szCs w:val="24"/>
        </w:rPr>
        <w:t>Injexate</w:t>
      </w:r>
      <w:proofErr w:type="spellEnd"/>
      <w:r w:rsidRPr="001677A2">
        <w:rPr>
          <w:sz w:val="24"/>
          <w:szCs w:val="24"/>
        </w:rPr>
        <w:t xml:space="preserve"> til behandling af </w:t>
      </w:r>
      <w:proofErr w:type="spellStart"/>
      <w:r w:rsidRPr="001677A2">
        <w:rPr>
          <w:sz w:val="24"/>
          <w:szCs w:val="24"/>
        </w:rPr>
        <w:t>Crohns</w:t>
      </w:r>
      <w:proofErr w:type="spellEnd"/>
      <w:r w:rsidRPr="001677A2">
        <w:rPr>
          <w:sz w:val="24"/>
          <w:szCs w:val="24"/>
        </w:rPr>
        <w:t xml:space="preserve"> sygdom hos denne population.</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Patienter med nedsat nyrefunktion:</w:t>
      </w:r>
    </w:p>
    <w:p w:rsidR="0023606F" w:rsidRPr="001677A2" w:rsidRDefault="0023606F" w:rsidP="0023606F">
      <w:pPr>
        <w:ind w:left="851" w:hanging="851"/>
        <w:rPr>
          <w:sz w:val="24"/>
          <w:szCs w:val="24"/>
        </w:rPr>
      </w:pPr>
    </w:p>
    <w:p w:rsidR="0023606F" w:rsidRPr="001677A2" w:rsidRDefault="0023606F" w:rsidP="0023606F">
      <w:pPr>
        <w:ind w:left="851"/>
        <w:rPr>
          <w:snapToGrid w:val="0"/>
          <w:sz w:val="24"/>
          <w:szCs w:val="24"/>
        </w:rPr>
      </w:pPr>
      <w:proofErr w:type="spellStart"/>
      <w:r w:rsidRPr="001677A2">
        <w:rPr>
          <w:bCs/>
          <w:sz w:val="24"/>
          <w:szCs w:val="24"/>
        </w:rPr>
        <w:t>Injexate</w:t>
      </w:r>
      <w:proofErr w:type="spellEnd"/>
      <w:r w:rsidRPr="001677A2">
        <w:rPr>
          <w:snapToGrid w:val="0"/>
          <w:sz w:val="24"/>
          <w:szCs w:val="24"/>
        </w:rPr>
        <w:t xml:space="preserve"> bør anvendes med forsigtighed hos patienter med nedsat nyrefunktion. Dosen bør tilpasses som følger:</w:t>
      </w:r>
    </w:p>
    <w:p w:rsidR="0023606F" w:rsidRPr="001677A2" w:rsidRDefault="0023606F" w:rsidP="0023606F">
      <w:pPr>
        <w:ind w:left="851"/>
        <w:rPr>
          <w:snapToGrid w:val="0"/>
          <w:sz w:val="24"/>
          <w:szCs w:val="24"/>
        </w:rPr>
      </w:pPr>
    </w:p>
    <w:p w:rsidR="0023606F" w:rsidRPr="001677A2" w:rsidRDefault="0023606F" w:rsidP="0023606F">
      <w:pPr>
        <w:keepNext/>
        <w:ind w:left="851"/>
        <w:rPr>
          <w:snapToGrid w:val="0"/>
          <w:sz w:val="24"/>
          <w:szCs w:val="24"/>
        </w:rPr>
      </w:pPr>
      <w:proofErr w:type="spellStart"/>
      <w:r w:rsidRPr="001677A2">
        <w:rPr>
          <w:snapToGrid w:val="0"/>
          <w:sz w:val="24"/>
          <w:szCs w:val="24"/>
        </w:rPr>
        <w:t>Kreatininclearance</w:t>
      </w:r>
      <w:proofErr w:type="spellEnd"/>
      <w:r w:rsidRPr="001677A2">
        <w:rPr>
          <w:snapToGrid w:val="0"/>
          <w:sz w:val="24"/>
          <w:szCs w:val="24"/>
        </w:rPr>
        <w:t xml:space="preserve"> (ml/min.)</w:t>
      </w:r>
      <w:r w:rsidRPr="001677A2">
        <w:rPr>
          <w:sz w:val="24"/>
          <w:szCs w:val="24"/>
        </w:rPr>
        <w:tab/>
      </w:r>
      <w:r w:rsidRPr="001677A2">
        <w:rPr>
          <w:snapToGrid w:val="0"/>
          <w:sz w:val="24"/>
          <w:szCs w:val="24"/>
        </w:rPr>
        <w:t>Dosis</w:t>
      </w:r>
    </w:p>
    <w:p w:rsidR="0023606F" w:rsidRPr="001677A2" w:rsidRDefault="0023606F" w:rsidP="0023606F">
      <w:pPr>
        <w:ind w:left="851"/>
        <w:rPr>
          <w:snapToGrid w:val="0"/>
          <w:sz w:val="24"/>
          <w:szCs w:val="24"/>
        </w:rPr>
      </w:pPr>
      <w:r w:rsidRPr="001677A2">
        <w:rPr>
          <w:snapToGrid w:val="0"/>
          <w:sz w:val="24"/>
          <w:szCs w:val="24"/>
        </w:rPr>
        <w:t>&gt; 60</w:t>
      </w:r>
      <w:r w:rsidRPr="001677A2">
        <w:rPr>
          <w:sz w:val="24"/>
          <w:szCs w:val="24"/>
        </w:rPr>
        <w:tab/>
      </w:r>
      <w:r w:rsidRPr="001677A2">
        <w:rPr>
          <w:sz w:val="24"/>
          <w:szCs w:val="24"/>
        </w:rPr>
        <w:tab/>
      </w:r>
      <w:r w:rsidRPr="001677A2">
        <w:rPr>
          <w:snapToGrid w:val="0"/>
          <w:sz w:val="24"/>
          <w:szCs w:val="24"/>
        </w:rPr>
        <w:t>100 %</w:t>
      </w:r>
    </w:p>
    <w:p w:rsidR="0023606F" w:rsidRPr="001677A2" w:rsidRDefault="0023606F" w:rsidP="0023606F">
      <w:pPr>
        <w:ind w:left="851"/>
        <w:rPr>
          <w:snapToGrid w:val="0"/>
          <w:sz w:val="24"/>
          <w:szCs w:val="24"/>
        </w:rPr>
      </w:pPr>
      <w:r w:rsidRPr="001677A2">
        <w:rPr>
          <w:snapToGrid w:val="0"/>
          <w:sz w:val="24"/>
          <w:szCs w:val="24"/>
        </w:rPr>
        <w:t>30 – 59</w:t>
      </w:r>
      <w:r w:rsidRPr="001677A2">
        <w:rPr>
          <w:sz w:val="24"/>
          <w:szCs w:val="24"/>
        </w:rPr>
        <w:tab/>
      </w:r>
      <w:r w:rsidRPr="001677A2">
        <w:rPr>
          <w:snapToGrid w:val="0"/>
          <w:sz w:val="24"/>
          <w:szCs w:val="24"/>
        </w:rPr>
        <w:t>50 %</w:t>
      </w:r>
    </w:p>
    <w:p w:rsidR="0023606F" w:rsidRPr="001677A2" w:rsidRDefault="0023606F" w:rsidP="0023606F">
      <w:pPr>
        <w:ind w:left="851"/>
        <w:rPr>
          <w:snapToGrid w:val="0"/>
          <w:sz w:val="24"/>
          <w:szCs w:val="24"/>
        </w:rPr>
      </w:pPr>
      <w:r w:rsidRPr="001677A2">
        <w:rPr>
          <w:snapToGrid w:val="0"/>
          <w:sz w:val="24"/>
          <w:szCs w:val="24"/>
        </w:rPr>
        <w:t>&lt; 30</w:t>
      </w:r>
      <w:r w:rsidRPr="001677A2">
        <w:rPr>
          <w:sz w:val="24"/>
          <w:szCs w:val="24"/>
        </w:rPr>
        <w:tab/>
      </w:r>
      <w:r w:rsidRPr="001677A2">
        <w:rPr>
          <w:sz w:val="24"/>
          <w:szCs w:val="24"/>
        </w:rPr>
        <w:tab/>
      </w:r>
      <w:proofErr w:type="spellStart"/>
      <w:r w:rsidRPr="001677A2">
        <w:rPr>
          <w:bCs/>
          <w:sz w:val="24"/>
          <w:szCs w:val="24"/>
        </w:rPr>
        <w:t>Injexate</w:t>
      </w:r>
      <w:proofErr w:type="spellEnd"/>
      <w:r w:rsidRPr="001677A2">
        <w:rPr>
          <w:snapToGrid w:val="0"/>
          <w:sz w:val="24"/>
          <w:szCs w:val="24"/>
        </w:rPr>
        <w:t xml:space="preserve"> må ikke anvendes</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Se pkt. 4.3.</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Patienter med nedsat leverfunktion:</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proofErr w:type="spellStart"/>
      <w:r w:rsidRPr="001677A2">
        <w:rPr>
          <w:sz w:val="24"/>
          <w:szCs w:val="24"/>
        </w:rPr>
        <w:t>Methotrexat</w:t>
      </w:r>
      <w:proofErr w:type="spellEnd"/>
      <w:r w:rsidRPr="001677A2">
        <w:rPr>
          <w:sz w:val="24"/>
          <w:szCs w:val="24"/>
        </w:rPr>
        <w:t xml:space="preserve"> bør indgives med stor forsigtighed, hvis overhovedet, hos patienter med signifikant aktuel eller tidligere leversygdom, især hvis sygdommen skyldes alkohol. Hvis bilirubin er </w:t>
      </w:r>
      <w:r w:rsidRPr="001677A2">
        <w:rPr>
          <w:sz w:val="24"/>
          <w:szCs w:val="24"/>
        </w:rPr>
        <w:sym w:font="Symbol" w:char="F03E"/>
      </w:r>
      <w:r w:rsidRPr="001677A2">
        <w:rPr>
          <w:sz w:val="24"/>
          <w:szCs w:val="24"/>
        </w:rPr>
        <w:t xml:space="preserve"> 5 mg/dl (85,5 µmol/l), er </w:t>
      </w:r>
      <w:proofErr w:type="spellStart"/>
      <w:r w:rsidRPr="001677A2">
        <w:rPr>
          <w:sz w:val="24"/>
          <w:szCs w:val="24"/>
        </w:rPr>
        <w:t>methotrexat</w:t>
      </w:r>
      <w:proofErr w:type="spellEnd"/>
      <w:r w:rsidRPr="001677A2">
        <w:rPr>
          <w:sz w:val="24"/>
          <w:szCs w:val="24"/>
        </w:rPr>
        <w:t xml:space="preserve"> kontraindiceret.</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Alle kontraindikationer er anført under pkt. 4.3.</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Brug hos ældre patienter:</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Dosisreduktion bør overvejes hos ældre patienter på grund af nedsat lever- og nyrefunktion og på grund af lavere </w:t>
      </w:r>
      <w:proofErr w:type="spellStart"/>
      <w:r w:rsidRPr="001677A2">
        <w:rPr>
          <w:sz w:val="24"/>
          <w:szCs w:val="24"/>
        </w:rPr>
        <w:t>folatreserver</w:t>
      </w:r>
      <w:proofErr w:type="spellEnd"/>
      <w:r w:rsidRPr="001677A2">
        <w:rPr>
          <w:sz w:val="24"/>
          <w:szCs w:val="24"/>
        </w:rPr>
        <w:t>, som er aldersbetinget.</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Brug hos patienter med et tredje fordelingsrum (</w:t>
      </w:r>
      <w:proofErr w:type="spellStart"/>
      <w:r w:rsidRPr="001677A2">
        <w:rPr>
          <w:sz w:val="24"/>
          <w:szCs w:val="24"/>
          <w:u w:val="single"/>
        </w:rPr>
        <w:t>pleuraeffusioner</w:t>
      </w:r>
      <w:proofErr w:type="spellEnd"/>
      <w:r w:rsidRPr="001677A2">
        <w:rPr>
          <w:sz w:val="24"/>
          <w:szCs w:val="24"/>
          <w:u w:val="single"/>
        </w:rPr>
        <w:t xml:space="preserve">, </w:t>
      </w:r>
      <w:proofErr w:type="spellStart"/>
      <w:r w:rsidRPr="001677A2">
        <w:rPr>
          <w:sz w:val="24"/>
          <w:szCs w:val="24"/>
          <w:u w:val="single"/>
        </w:rPr>
        <w:t>ascites</w:t>
      </w:r>
      <w:proofErr w:type="spellEnd"/>
      <w:r w:rsidRPr="001677A2">
        <w:rPr>
          <w:sz w:val="24"/>
          <w:szCs w:val="24"/>
          <w:u w:val="single"/>
        </w:rPr>
        <w:t>):</w:t>
      </w:r>
    </w:p>
    <w:p w:rsidR="0023606F" w:rsidRPr="001677A2" w:rsidRDefault="0023606F" w:rsidP="0023606F">
      <w:pPr>
        <w:ind w:left="851" w:hanging="851"/>
        <w:rPr>
          <w:sz w:val="24"/>
          <w:szCs w:val="24"/>
          <w:u w:val="single"/>
        </w:rPr>
      </w:pPr>
    </w:p>
    <w:p w:rsidR="0023606F" w:rsidRPr="001677A2" w:rsidRDefault="0023606F" w:rsidP="0023606F">
      <w:pPr>
        <w:ind w:left="851"/>
        <w:rPr>
          <w:sz w:val="24"/>
          <w:szCs w:val="24"/>
        </w:rPr>
      </w:pPr>
      <w:r w:rsidRPr="001677A2">
        <w:rPr>
          <w:sz w:val="24"/>
          <w:szCs w:val="24"/>
        </w:rPr>
        <w:t xml:space="preserve">Da halveringstiden for </w:t>
      </w:r>
      <w:proofErr w:type="spellStart"/>
      <w:r w:rsidRPr="001677A2">
        <w:rPr>
          <w:sz w:val="24"/>
          <w:szCs w:val="24"/>
        </w:rPr>
        <w:t>methotrexat</w:t>
      </w:r>
      <w:proofErr w:type="spellEnd"/>
      <w:r w:rsidRPr="001677A2">
        <w:rPr>
          <w:sz w:val="24"/>
          <w:szCs w:val="24"/>
        </w:rPr>
        <w:t xml:space="preserve"> kan være fire gange længere end normalt hos patienter med et tredje fordelingsrum, kan dosisreduktion eller, i nogle tilfælde, </w:t>
      </w:r>
      <w:proofErr w:type="spellStart"/>
      <w:r w:rsidRPr="001677A2">
        <w:rPr>
          <w:sz w:val="24"/>
          <w:szCs w:val="24"/>
        </w:rPr>
        <w:t>seponering</w:t>
      </w:r>
      <w:proofErr w:type="spellEnd"/>
      <w:r w:rsidRPr="001677A2">
        <w:rPr>
          <w:sz w:val="24"/>
          <w:szCs w:val="24"/>
        </w:rPr>
        <w:t xml:space="preserve"> af </w:t>
      </w:r>
      <w:proofErr w:type="spellStart"/>
      <w:r w:rsidRPr="001677A2">
        <w:rPr>
          <w:sz w:val="24"/>
          <w:szCs w:val="24"/>
        </w:rPr>
        <w:t>methotrexatindgiften</w:t>
      </w:r>
      <w:proofErr w:type="spellEnd"/>
      <w:r w:rsidRPr="001677A2">
        <w:rPr>
          <w:sz w:val="24"/>
          <w:szCs w:val="24"/>
        </w:rPr>
        <w:t xml:space="preserve"> være påkrævet (se pkt. 5.2 og 4.4).</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Behandlingsvarighed og indgivelsesmåde:</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Den fyldte injektionssprøjte er til engangsbrug. Bemærk, at hele indholdet skal anvendes.</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proofErr w:type="spellStart"/>
      <w:r w:rsidRPr="001677A2">
        <w:rPr>
          <w:bCs/>
          <w:sz w:val="24"/>
          <w:szCs w:val="24"/>
        </w:rPr>
        <w:t>Injexate</w:t>
      </w:r>
      <w:proofErr w:type="spellEnd"/>
      <w:r w:rsidRPr="001677A2">
        <w:rPr>
          <w:sz w:val="24"/>
          <w:szCs w:val="24"/>
        </w:rPr>
        <w:t xml:space="preserve"> injektionsvæske, opløsning, indgives subkutant.</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Lægen fastlægger den samlede behandlingsvarighed.</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Instruktioner til subkutan anvendelse (se pkt. 6.6)</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Bemærk:</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Hvis den orale indgift erstattes med parental indgift, kan dosisreduktion være påkrævet på grund af </w:t>
      </w:r>
      <w:proofErr w:type="spellStart"/>
      <w:r w:rsidRPr="001677A2">
        <w:rPr>
          <w:sz w:val="24"/>
          <w:szCs w:val="24"/>
        </w:rPr>
        <w:t>methotrexats</w:t>
      </w:r>
      <w:proofErr w:type="spellEnd"/>
      <w:r w:rsidRPr="001677A2">
        <w:rPr>
          <w:sz w:val="24"/>
          <w:szCs w:val="24"/>
        </w:rPr>
        <w:t xml:space="preserve"> varierende biotilgængelighed efter oral indgift.</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proofErr w:type="spellStart"/>
      <w:r w:rsidRPr="001677A2">
        <w:rPr>
          <w:snapToGrid w:val="0"/>
          <w:sz w:val="24"/>
          <w:szCs w:val="24"/>
        </w:rPr>
        <w:t>Folsyretilskud</w:t>
      </w:r>
      <w:proofErr w:type="spellEnd"/>
      <w:r w:rsidRPr="001677A2">
        <w:rPr>
          <w:snapToGrid w:val="0"/>
          <w:sz w:val="24"/>
          <w:szCs w:val="24"/>
        </w:rPr>
        <w:t xml:space="preserve"> kan</w:t>
      </w:r>
      <w:r w:rsidRPr="001677A2">
        <w:rPr>
          <w:sz w:val="24"/>
          <w:szCs w:val="24"/>
        </w:rPr>
        <w:t xml:space="preserve"> overvejes i henhold til de gældende behandlingsretningslinjer.</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lastRenderedPageBreak/>
        <w:t>4.3</w:t>
      </w:r>
      <w:r w:rsidRPr="001677A2">
        <w:rPr>
          <w:b/>
          <w:sz w:val="24"/>
          <w:szCs w:val="24"/>
        </w:rPr>
        <w:tab/>
        <w:t>Kontraindikationer</w:t>
      </w:r>
    </w:p>
    <w:p w:rsidR="0023606F" w:rsidRPr="001677A2" w:rsidRDefault="0023606F" w:rsidP="0023606F">
      <w:pPr>
        <w:ind w:left="851"/>
        <w:jc w:val="both"/>
        <w:rPr>
          <w:sz w:val="24"/>
          <w:szCs w:val="24"/>
          <w:lang w:eastAsia="da-DK"/>
        </w:rPr>
      </w:pPr>
      <w:proofErr w:type="spellStart"/>
      <w:r w:rsidRPr="001677A2">
        <w:rPr>
          <w:bCs/>
          <w:sz w:val="24"/>
          <w:szCs w:val="24"/>
        </w:rPr>
        <w:t>Injexate</w:t>
      </w:r>
      <w:proofErr w:type="spellEnd"/>
      <w:r w:rsidRPr="001677A2">
        <w:rPr>
          <w:sz w:val="24"/>
          <w:szCs w:val="24"/>
        </w:rPr>
        <w:t xml:space="preserve"> er kontraindiceret i tilfælde af</w:t>
      </w:r>
    </w:p>
    <w:p w:rsidR="0023606F" w:rsidRPr="001677A2" w:rsidRDefault="0023606F" w:rsidP="0023606F">
      <w:pPr>
        <w:ind w:left="851" w:hanging="851"/>
        <w:jc w:val="both"/>
        <w:rPr>
          <w:sz w:val="24"/>
          <w:szCs w:val="24"/>
        </w:rPr>
      </w:pPr>
    </w:p>
    <w:p w:rsidR="0023606F" w:rsidRPr="001677A2" w:rsidRDefault="0023606F" w:rsidP="0023606F">
      <w:pPr>
        <w:numPr>
          <w:ilvl w:val="0"/>
          <w:numId w:val="7"/>
        </w:numPr>
        <w:ind w:left="1276"/>
        <w:rPr>
          <w:sz w:val="24"/>
          <w:szCs w:val="24"/>
        </w:rPr>
      </w:pPr>
      <w:r w:rsidRPr="001677A2">
        <w:rPr>
          <w:sz w:val="24"/>
          <w:szCs w:val="24"/>
        </w:rPr>
        <w:t>overfølsomhed over for det aktive stof eller over for et eller flere af hjælpestofferne anført i punkt 6.1,</w:t>
      </w:r>
    </w:p>
    <w:p w:rsidR="0023606F" w:rsidRPr="001677A2" w:rsidRDefault="0023606F" w:rsidP="0023606F">
      <w:pPr>
        <w:numPr>
          <w:ilvl w:val="0"/>
          <w:numId w:val="7"/>
        </w:numPr>
        <w:ind w:left="1276"/>
        <w:rPr>
          <w:sz w:val="24"/>
          <w:szCs w:val="24"/>
        </w:rPr>
      </w:pPr>
      <w:r w:rsidRPr="001677A2">
        <w:rPr>
          <w:sz w:val="24"/>
          <w:szCs w:val="24"/>
        </w:rPr>
        <w:t>svært nedsat leverfunktion (se pkt. 4.2),</w:t>
      </w:r>
    </w:p>
    <w:p w:rsidR="0023606F" w:rsidRPr="001677A2" w:rsidRDefault="0023606F" w:rsidP="0023606F">
      <w:pPr>
        <w:numPr>
          <w:ilvl w:val="0"/>
          <w:numId w:val="7"/>
        </w:numPr>
        <w:ind w:left="1276"/>
        <w:rPr>
          <w:sz w:val="24"/>
          <w:szCs w:val="24"/>
        </w:rPr>
      </w:pPr>
      <w:r w:rsidRPr="001677A2">
        <w:rPr>
          <w:sz w:val="24"/>
          <w:szCs w:val="24"/>
        </w:rPr>
        <w:t>alkoholmisbrug,</w:t>
      </w:r>
    </w:p>
    <w:p w:rsidR="0023606F" w:rsidRPr="001677A2" w:rsidRDefault="0023606F" w:rsidP="0023606F">
      <w:pPr>
        <w:numPr>
          <w:ilvl w:val="0"/>
          <w:numId w:val="7"/>
        </w:numPr>
        <w:ind w:left="1276"/>
        <w:rPr>
          <w:sz w:val="24"/>
          <w:szCs w:val="24"/>
        </w:rPr>
      </w:pPr>
      <w:r w:rsidRPr="001677A2">
        <w:rPr>
          <w:sz w:val="24"/>
          <w:szCs w:val="24"/>
        </w:rPr>
        <w:t>svært nedsat nyrefunktion (</w:t>
      </w:r>
      <w:proofErr w:type="spellStart"/>
      <w:r w:rsidRPr="001677A2">
        <w:rPr>
          <w:sz w:val="24"/>
          <w:szCs w:val="24"/>
        </w:rPr>
        <w:t>kreatininclearance</w:t>
      </w:r>
      <w:proofErr w:type="spellEnd"/>
      <w:r w:rsidRPr="001677A2">
        <w:rPr>
          <w:sz w:val="24"/>
          <w:szCs w:val="24"/>
        </w:rPr>
        <w:t xml:space="preserve"> mindre end </w:t>
      </w:r>
      <w:r w:rsidR="00BF6407" w:rsidRPr="001677A2">
        <w:rPr>
          <w:sz w:val="24"/>
          <w:szCs w:val="24"/>
        </w:rPr>
        <w:t>3</w:t>
      </w:r>
      <w:r w:rsidRPr="001677A2">
        <w:rPr>
          <w:sz w:val="24"/>
          <w:szCs w:val="24"/>
        </w:rPr>
        <w:t>0 ml/min., se pkt. 4.2 og pkt. 4.4),</w:t>
      </w:r>
    </w:p>
    <w:p w:rsidR="0023606F" w:rsidRPr="001677A2" w:rsidRDefault="0023606F" w:rsidP="0023606F">
      <w:pPr>
        <w:numPr>
          <w:ilvl w:val="0"/>
          <w:numId w:val="7"/>
        </w:numPr>
        <w:ind w:left="1276"/>
        <w:rPr>
          <w:sz w:val="24"/>
          <w:szCs w:val="24"/>
        </w:rPr>
      </w:pPr>
      <w:r w:rsidRPr="001677A2">
        <w:rPr>
          <w:sz w:val="24"/>
          <w:szCs w:val="24"/>
        </w:rPr>
        <w:t xml:space="preserve">præeksisterende </w:t>
      </w:r>
      <w:proofErr w:type="spellStart"/>
      <w:r w:rsidRPr="001677A2">
        <w:rPr>
          <w:sz w:val="24"/>
          <w:szCs w:val="24"/>
        </w:rPr>
        <w:t>bloddyskrasi</w:t>
      </w:r>
      <w:proofErr w:type="spellEnd"/>
      <w:r w:rsidRPr="001677A2">
        <w:rPr>
          <w:sz w:val="24"/>
          <w:szCs w:val="24"/>
        </w:rPr>
        <w:t xml:space="preserve"> såsom </w:t>
      </w:r>
      <w:proofErr w:type="spellStart"/>
      <w:r w:rsidRPr="001677A2">
        <w:rPr>
          <w:sz w:val="24"/>
          <w:szCs w:val="24"/>
        </w:rPr>
        <w:t>knoglemarvshypoplasi</w:t>
      </w:r>
      <w:proofErr w:type="spellEnd"/>
      <w:r w:rsidRPr="001677A2">
        <w:rPr>
          <w:sz w:val="24"/>
          <w:szCs w:val="24"/>
        </w:rPr>
        <w:t xml:space="preserve">, </w:t>
      </w:r>
      <w:proofErr w:type="spellStart"/>
      <w:r w:rsidRPr="001677A2">
        <w:rPr>
          <w:sz w:val="24"/>
          <w:szCs w:val="24"/>
        </w:rPr>
        <w:t>leukopeni</w:t>
      </w:r>
      <w:proofErr w:type="spellEnd"/>
      <w:r w:rsidRPr="001677A2">
        <w:rPr>
          <w:sz w:val="24"/>
          <w:szCs w:val="24"/>
        </w:rPr>
        <w:t xml:space="preserve">, </w:t>
      </w:r>
      <w:proofErr w:type="spellStart"/>
      <w:r w:rsidRPr="001677A2">
        <w:rPr>
          <w:sz w:val="24"/>
          <w:szCs w:val="24"/>
        </w:rPr>
        <w:t>trombocytopeni</w:t>
      </w:r>
      <w:proofErr w:type="spellEnd"/>
      <w:r w:rsidRPr="001677A2">
        <w:rPr>
          <w:sz w:val="24"/>
          <w:szCs w:val="24"/>
        </w:rPr>
        <w:t xml:space="preserve"> eller signifikant anæmi,</w:t>
      </w:r>
    </w:p>
    <w:p w:rsidR="0023606F" w:rsidRPr="001677A2" w:rsidRDefault="0023606F" w:rsidP="0023606F">
      <w:pPr>
        <w:numPr>
          <w:ilvl w:val="0"/>
          <w:numId w:val="7"/>
        </w:numPr>
        <w:ind w:left="1276"/>
        <w:rPr>
          <w:sz w:val="24"/>
          <w:szCs w:val="24"/>
        </w:rPr>
      </w:pPr>
      <w:r w:rsidRPr="001677A2">
        <w:rPr>
          <w:sz w:val="24"/>
          <w:szCs w:val="24"/>
        </w:rPr>
        <w:t>alvorlige, akutte eller kroniske infektioner såsom tuberkulose, hiv eller andre immundefektsyndromer,</w:t>
      </w:r>
    </w:p>
    <w:p w:rsidR="0023606F" w:rsidRPr="001677A2" w:rsidRDefault="0023606F" w:rsidP="0023606F">
      <w:pPr>
        <w:numPr>
          <w:ilvl w:val="0"/>
          <w:numId w:val="7"/>
        </w:numPr>
        <w:ind w:left="1276"/>
        <w:rPr>
          <w:sz w:val="24"/>
          <w:szCs w:val="24"/>
        </w:rPr>
      </w:pPr>
      <w:proofErr w:type="spellStart"/>
      <w:r w:rsidRPr="001677A2">
        <w:rPr>
          <w:sz w:val="24"/>
          <w:szCs w:val="24"/>
        </w:rPr>
        <w:t>ulcerationer</w:t>
      </w:r>
      <w:proofErr w:type="spellEnd"/>
      <w:r w:rsidRPr="001677A2">
        <w:rPr>
          <w:sz w:val="24"/>
          <w:szCs w:val="24"/>
        </w:rPr>
        <w:t xml:space="preserve"> i mundhulen og kendt aktiv </w:t>
      </w:r>
      <w:proofErr w:type="spellStart"/>
      <w:r w:rsidRPr="001677A2">
        <w:rPr>
          <w:sz w:val="24"/>
          <w:szCs w:val="24"/>
        </w:rPr>
        <w:t>gastrointestinal</w:t>
      </w:r>
      <w:proofErr w:type="spellEnd"/>
      <w:r w:rsidRPr="001677A2">
        <w:rPr>
          <w:sz w:val="24"/>
          <w:szCs w:val="24"/>
        </w:rPr>
        <w:t xml:space="preserve"> </w:t>
      </w:r>
      <w:proofErr w:type="spellStart"/>
      <w:r w:rsidRPr="001677A2">
        <w:rPr>
          <w:sz w:val="24"/>
          <w:szCs w:val="24"/>
        </w:rPr>
        <w:t>ulceration</w:t>
      </w:r>
      <w:proofErr w:type="spellEnd"/>
      <w:r w:rsidRPr="001677A2">
        <w:rPr>
          <w:sz w:val="24"/>
          <w:szCs w:val="24"/>
        </w:rPr>
        <w:t>,</w:t>
      </w:r>
    </w:p>
    <w:p w:rsidR="0023606F" w:rsidRPr="001677A2" w:rsidRDefault="0023606F" w:rsidP="0023606F">
      <w:pPr>
        <w:numPr>
          <w:ilvl w:val="0"/>
          <w:numId w:val="7"/>
        </w:numPr>
        <w:ind w:left="1276"/>
        <w:rPr>
          <w:sz w:val="24"/>
          <w:szCs w:val="24"/>
        </w:rPr>
      </w:pPr>
      <w:r w:rsidRPr="001677A2">
        <w:rPr>
          <w:sz w:val="24"/>
          <w:szCs w:val="24"/>
        </w:rPr>
        <w:t>graviditet og amning (se pkt. 4.6),</w:t>
      </w:r>
    </w:p>
    <w:p w:rsidR="0023606F" w:rsidRPr="001677A2" w:rsidRDefault="0023606F" w:rsidP="0023606F">
      <w:pPr>
        <w:numPr>
          <w:ilvl w:val="0"/>
          <w:numId w:val="7"/>
        </w:numPr>
        <w:ind w:left="1276"/>
        <w:rPr>
          <w:sz w:val="24"/>
          <w:szCs w:val="24"/>
        </w:rPr>
      </w:pPr>
      <w:r w:rsidRPr="001677A2">
        <w:rPr>
          <w:sz w:val="24"/>
          <w:szCs w:val="24"/>
        </w:rPr>
        <w:t>samtidig vaccinering med levende vacciner.</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4.4</w:t>
      </w:r>
      <w:r w:rsidRPr="001677A2">
        <w:rPr>
          <w:b/>
          <w:sz w:val="24"/>
          <w:szCs w:val="24"/>
        </w:rPr>
        <w:tab/>
        <w:t>Særlige advarsler og forsigtighedsregler vedrørende brugen</w:t>
      </w:r>
    </w:p>
    <w:p w:rsidR="0023606F" w:rsidRPr="001677A2" w:rsidRDefault="0023606F" w:rsidP="0023606F">
      <w:pPr>
        <w:ind w:left="851"/>
        <w:rPr>
          <w:sz w:val="24"/>
          <w:szCs w:val="24"/>
          <w:lang w:eastAsia="da-DK"/>
        </w:rPr>
      </w:pPr>
      <w:r w:rsidRPr="001677A2">
        <w:rPr>
          <w:sz w:val="24"/>
          <w:szCs w:val="24"/>
        </w:rPr>
        <w:t xml:space="preserve">Patienterne skal have klar information om, at behandlingen kun skal foretages </w:t>
      </w:r>
      <w:r w:rsidRPr="001677A2">
        <w:rPr>
          <w:b/>
          <w:sz w:val="24"/>
          <w:szCs w:val="24"/>
        </w:rPr>
        <w:t>én gang om ugen</w:t>
      </w:r>
      <w:r w:rsidRPr="001677A2">
        <w:rPr>
          <w:sz w:val="24"/>
          <w:szCs w:val="24"/>
        </w:rPr>
        <w:t>, ikke hver dag.</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Patienter i behandling bør tilses på passende vis, således at tegn på mulige toksiske virkninger eller bivirkninger kan opdages og evalueres med minimal forsinkelse. </w:t>
      </w:r>
      <w:proofErr w:type="spellStart"/>
      <w:r w:rsidRPr="001677A2">
        <w:rPr>
          <w:bCs/>
          <w:sz w:val="24"/>
          <w:szCs w:val="24"/>
        </w:rPr>
        <w:t>Injexate</w:t>
      </w:r>
      <w:proofErr w:type="spellEnd"/>
      <w:r w:rsidRPr="001677A2">
        <w:rPr>
          <w:sz w:val="24"/>
          <w:szCs w:val="24"/>
        </w:rPr>
        <w:t xml:space="preserve"> bør derfor kun indgives af eller under overvågning af læger, der har viden om og erfaring i anvendelse af </w:t>
      </w:r>
      <w:proofErr w:type="spellStart"/>
      <w:r w:rsidRPr="001677A2">
        <w:rPr>
          <w:sz w:val="24"/>
          <w:szCs w:val="24"/>
        </w:rPr>
        <w:t>antimetabolitbehandling</w:t>
      </w:r>
      <w:proofErr w:type="spellEnd"/>
      <w:r w:rsidRPr="001677A2">
        <w:rPr>
          <w:sz w:val="24"/>
          <w:szCs w:val="24"/>
        </w:rPr>
        <w:t>. På grund af risikoen for svære eller endog fatale toksiske reaktioner bør lægen oplyse patienten fuldt ud om de involverede risici og de anbefalede sikkerhedsforanstaltninger.</w:t>
      </w:r>
    </w:p>
    <w:p w:rsidR="0023606F" w:rsidRPr="001677A2" w:rsidRDefault="0023606F" w:rsidP="0023606F">
      <w:pPr>
        <w:ind w:left="851" w:hanging="851"/>
        <w:rPr>
          <w:sz w:val="24"/>
          <w:szCs w:val="24"/>
        </w:rPr>
      </w:pPr>
    </w:p>
    <w:p w:rsidR="0023606F" w:rsidRPr="001677A2" w:rsidRDefault="0023606F" w:rsidP="0023606F">
      <w:pPr>
        <w:ind w:left="851"/>
        <w:rPr>
          <w:b/>
          <w:sz w:val="24"/>
          <w:szCs w:val="24"/>
        </w:rPr>
      </w:pPr>
      <w:r w:rsidRPr="001677A2">
        <w:rPr>
          <w:b/>
          <w:sz w:val="24"/>
          <w:szCs w:val="24"/>
        </w:rPr>
        <w:t>Anbefalede undersøgelser og sikkerhedsforanstaltninger</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 xml:space="preserve">Før påbegyndelse af </w:t>
      </w:r>
      <w:proofErr w:type="spellStart"/>
      <w:r w:rsidRPr="001677A2">
        <w:rPr>
          <w:sz w:val="24"/>
          <w:szCs w:val="24"/>
          <w:u w:val="single"/>
        </w:rPr>
        <w:t>methotrexatbehandling</w:t>
      </w:r>
      <w:proofErr w:type="spellEnd"/>
      <w:r w:rsidRPr="001677A2">
        <w:rPr>
          <w:sz w:val="24"/>
          <w:szCs w:val="24"/>
          <w:u w:val="single"/>
        </w:rPr>
        <w:t xml:space="preserve"> eller genoptagelse heraf efter en pause:</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Fuldstændig blodtælling med </w:t>
      </w:r>
      <w:proofErr w:type="spellStart"/>
      <w:r w:rsidRPr="001677A2">
        <w:rPr>
          <w:sz w:val="24"/>
          <w:szCs w:val="24"/>
        </w:rPr>
        <w:t>differentialblodtælling</w:t>
      </w:r>
      <w:proofErr w:type="spellEnd"/>
      <w:r w:rsidRPr="001677A2">
        <w:rPr>
          <w:sz w:val="24"/>
          <w:szCs w:val="24"/>
        </w:rPr>
        <w:t xml:space="preserve"> og </w:t>
      </w:r>
      <w:proofErr w:type="spellStart"/>
      <w:r w:rsidRPr="001677A2">
        <w:rPr>
          <w:sz w:val="24"/>
          <w:szCs w:val="24"/>
        </w:rPr>
        <w:t>trombocytter</w:t>
      </w:r>
      <w:proofErr w:type="spellEnd"/>
      <w:r w:rsidRPr="001677A2">
        <w:rPr>
          <w:sz w:val="24"/>
          <w:szCs w:val="24"/>
        </w:rPr>
        <w:t>, leverenzymer, bilirubin, serumalbumin, røntgen af thorax og nyrefunktionstest. Hvis klinisk indiceret, skal patienten undersøges for tuberkulose og hepatitis.</w:t>
      </w:r>
    </w:p>
    <w:p w:rsidR="0023606F" w:rsidRPr="001677A2" w:rsidRDefault="0023606F" w:rsidP="0023606F">
      <w:pPr>
        <w:ind w:left="851" w:hanging="851"/>
        <w:rPr>
          <w:sz w:val="24"/>
          <w:szCs w:val="24"/>
        </w:rPr>
      </w:pPr>
    </w:p>
    <w:p w:rsidR="0023606F" w:rsidRDefault="0023606F" w:rsidP="00AF6108">
      <w:pPr>
        <w:ind w:left="851"/>
        <w:rPr>
          <w:sz w:val="24"/>
          <w:szCs w:val="24"/>
          <w:u w:val="single"/>
        </w:rPr>
      </w:pPr>
      <w:r w:rsidRPr="001677A2">
        <w:rPr>
          <w:sz w:val="24"/>
          <w:szCs w:val="24"/>
          <w:u w:val="single"/>
        </w:rPr>
        <w:t>Under behandlingen</w:t>
      </w:r>
    </w:p>
    <w:p w:rsidR="00AF6108" w:rsidRDefault="00AF6108" w:rsidP="00AF6108">
      <w:pPr>
        <w:ind w:left="851"/>
        <w:rPr>
          <w:sz w:val="24"/>
          <w:szCs w:val="24"/>
        </w:rPr>
      </w:pPr>
    </w:p>
    <w:p w:rsidR="00AF6108" w:rsidRDefault="00AF6108" w:rsidP="00AF6108">
      <w:pPr>
        <w:ind w:left="851"/>
        <w:rPr>
          <w:sz w:val="24"/>
          <w:szCs w:val="24"/>
        </w:rPr>
      </w:pPr>
      <w:r>
        <w:rPr>
          <w:sz w:val="24"/>
          <w:szCs w:val="24"/>
        </w:rPr>
        <w:t>Nedenstående tests skal udføres hver uge i løbet af de første to uger, og derefter hver anden uge den følgende måned. Herefter skal der – afhængigt af leukocyttal og patientens tilstand – udføres test mindst én gang hver måned de næste seks måneder og derefter mindst hver tredje måned.</w:t>
      </w:r>
    </w:p>
    <w:p w:rsidR="00AF6108" w:rsidRDefault="00AF6108" w:rsidP="00AF6108">
      <w:pPr>
        <w:ind w:left="851" w:hanging="851"/>
        <w:rPr>
          <w:sz w:val="24"/>
          <w:szCs w:val="24"/>
        </w:rPr>
      </w:pPr>
    </w:p>
    <w:p w:rsidR="00AF6108" w:rsidRPr="001677A2" w:rsidRDefault="00AF6108" w:rsidP="00AF6108">
      <w:pPr>
        <w:ind w:left="851"/>
        <w:rPr>
          <w:sz w:val="24"/>
          <w:szCs w:val="24"/>
        </w:rPr>
      </w:pPr>
      <w:r>
        <w:rPr>
          <w:sz w:val="24"/>
          <w:szCs w:val="24"/>
        </w:rPr>
        <w:t>En øget overvågningsfrekvens bør også overvejes, når dosis øges. Især ældre patienter bør undersøges med korte mellemrum for tidlige tegn på toksicitet.</w:t>
      </w:r>
    </w:p>
    <w:p w:rsidR="0023606F" w:rsidRPr="001677A2" w:rsidRDefault="0023606F" w:rsidP="0023606F">
      <w:pPr>
        <w:ind w:left="851" w:hanging="851"/>
        <w:rPr>
          <w:sz w:val="24"/>
          <w:szCs w:val="24"/>
        </w:rPr>
      </w:pPr>
    </w:p>
    <w:p w:rsidR="0023606F" w:rsidRPr="001677A2" w:rsidRDefault="0023606F" w:rsidP="0023606F">
      <w:pPr>
        <w:pStyle w:val="Listeafsnit"/>
        <w:numPr>
          <w:ilvl w:val="0"/>
          <w:numId w:val="11"/>
        </w:numPr>
        <w:ind w:left="1276" w:hanging="425"/>
        <w:rPr>
          <w:sz w:val="24"/>
          <w:szCs w:val="24"/>
        </w:rPr>
      </w:pPr>
      <w:r w:rsidRPr="001677A2">
        <w:rPr>
          <w:sz w:val="24"/>
          <w:szCs w:val="24"/>
        </w:rPr>
        <w:t>Undersøgelse af munden og halsen for slimhindeforandringer.</w:t>
      </w:r>
    </w:p>
    <w:p w:rsidR="0023606F" w:rsidRPr="001677A2" w:rsidRDefault="0023606F" w:rsidP="0023606F">
      <w:pPr>
        <w:ind w:left="1276" w:hanging="425"/>
        <w:rPr>
          <w:sz w:val="24"/>
          <w:szCs w:val="24"/>
        </w:rPr>
      </w:pPr>
    </w:p>
    <w:p w:rsidR="0023606F" w:rsidRPr="001677A2" w:rsidRDefault="0023606F" w:rsidP="0023606F">
      <w:pPr>
        <w:pStyle w:val="Listeafsnit"/>
        <w:numPr>
          <w:ilvl w:val="0"/>
          <w:numId w:val="11"/>
        </w:numPr>
        <w:ind w:left="1276" w:hanging="425"/>
        <w:rPr>
          <w:sz w:val="24"/>
          <w:szCs w:val="24"/>
        </w:rPr>
      </w:pPr>
      <w:r w:rsidRPr="001677A2">
        <w:rPr>
          <w:sz w:val="24"/>
          <w:szCs w:val="24"/>
        </w:rPr>
        <w:t xml:space="preserve">Fuldstændig blodtælling med </w:t>
      </w:r>
      <w:proofErr w:type="spellStart"/>
      <w:r w:rsidRPr="001677A2">
        <w:rPr>
          <w:sz w:val="24"/>
          <w:szCs w:val="24"/>
        </w:rPr>
        <w:t>differentialblodtælling</w:t>
      </w:r>
      <w:proofErr w:type="spellEnd"/>
      <w:r w:rsidRPr="001677A2">
        <w:rPr>
          <w:sz w:val="24"/>
          <w:szCs w:val="24"/>
        </w:rPr>
        <w:t xml:space="preserve"> og </w:t>
      </w:r>
      <w:proofErr w:type="spellStart"/>
      <w:r w:rsidRPr="001677A2">
        <w:rPr>
          <w:sz w:val="24"/>
          <w:szCs w:val="24"/>
        </w:rPr>
        <w:t>trombocytter</w:t>
      </w:r>
      <w:proofErr w:type="spellEnd"/>
      <w:r w:rsidRPr="001677A2">
        <w:rPr>
          <w:sz w:val="24"/>
          <w:szCs w:val="24"/>
        </w:rPr>
        <w:t xml:space="preserve">. </w:t>
      </w:r>
      <w:proofErr w:type="spellStart"/>
      <w:r w:rsidRPr="001677A2">
        <w:rPr>
          <w:sz w:val="24"/>
          <w:szCs w:val="24"/>
        </w:rPr>
        <w:t>Hæmopoietisk</w:t>
      </w:r>
      <w:proofErr w:type="spellEnd"/>
      <w:r w:rsidRPr="001677A2">
        <w:rPr>
          <w:sz w:val="24"/>
          <w:szCs w:val="24"/>
        </w:rPr>
        <w:t xml:space="preserve"> suppression forårsaget af </w:t>
      </w:r>
      <w:proofErr w:type="spellStart"/>
      <w:r w:rsidRPr="001677A2">
        <w:rPr>
          <w:sz w:val="24"/>
          <w:szCs w:val="24"/>
        </w:rPr>
        <w:t>methotrexat</w:t>
      </w:r>
      <w:proofErr w:type="spellEnd"/>
      <w:r w:rsidRPr="001677A2">
        <w:rPr>
          <w:sz w:val="24"/>
          <w:szCs w:val="24"/>
        </w:rPr>
        <w:t xml:space="preserve"> kan opstå pludseligt og med tilsyneladende sikre doser. Ethvert dybt fald i leukocyt- eller </w:t>
      </w:r>
      <w:proofErr w:type="spellStart"/>
      <w:r w:rsidRPr="001677A2">
        <w:rPr>
          <w:sz w:val="24"/>
          <w:szCs w:val="24"/>
        </w:rPr>
        <w:t>trombocyttal</w:t>
      </w:r>
      <w:proofErr w:type="spellEnd"/>
      <w:r w:rsidRPr="001677A2">
        <w:rPr>
          <w:sz w:val="24"/>
          <w:szCs w:val="24"/>
        </w:rPr>
        <w:t xml:space="preserve"> indikerer øjeblikkelig </w:t>
      </w:r>
      <w:proofErr w:type="spellStart"/>
      <w:r w:rsidRPr="001677A2">
        <w:rPr>
          <w:sz w:val="24"/>
          <w:szCs w:val="24"/>
        </w:rPr>
        <w:lastRenderedPageBreak/>
        <w:t>seponering</w:t>
      </w:r>
      <w:proofErr w:type="spellEnd"/>
      <w:r w:rsidRPr="001677A2">
        <w:rPr>
          <w:sz w:val="24"/>
          <w:szCs w:val="24"/>
        </w:rPr>
        <w:t xml:space="preserve"> af lægemidlet og passende støtteterapi Patienterne bør oplyses om, at de skal rapportere alle tegn og symptomer på infektion. Patienter, der tager </w:t>
      </w:r>
      <w:proofErr w:type="spellStart"/>
      <w:r w:rsidRPr="001677A2">
        <w:rPr>
          <w:sz w:val="24"/>
          <w:szCs w:val="24"/>
        </w:rPr>
        <w:t>hæmatotoksiske</w:t>
      </w:r>
      <w:proofErr w:type="spellEnd"/>
      <w:r w:rsidRPr="001677A2">
        <w:rPr>
          <w:sz w:val="24"/>
          <w:szCs w:val="24"/>
        </w:rPr>
        <w:t xml:space="preserve"> lægemidler (f.eks. </w:t>
      </w:r>
      <w:proofErr w:type="spellStart"/>
      <w:r w:rsidRPr="001677A2">
        <w:rPr>
          <w:sz w:val="24"/>
          <w:szCs w:val="24"/>
        </w:rPr>
        <w:t>leflunomid</w:t>
      </w:r>
      <w:proofErr w:type="spellEnd"/>
      <w:r w:rsidRPr="001677A2">
        <w:rPr>
          <w:sz w:val="24"/>
          <w:szCs w:val="24"/>
        </w:rPr>
        <w:t xml:space="preserve">) samtidigt, bør overvåges tæt med blodtælling og </w:t>
      </w:r>
      <w:proofErr w:type="spellStart"/>
      <w:r w:rsidRPr="001677A2">
        <w:rPr>
          <w:sz w:val="24"/>
          <w:szCs w:val="24"/>
        </w:rPr>
        <w:t>trombocytter</w:t>
      </w:r>
      <w:proofErr w:type="spellEnd"/>
      <w:r w:rsidRPr="001677A2">
        <w:rPr>
          <w:sz w:val="24"/>
          <w:szCs w:val="24"/>
        </w:rPr>
        <w:t>.</w:t>
      </w:r>
    </w:p>
    <w:p w:rsidR="0023606F" w:rsidRPr="001677A2" w:rsidRDefault="0023606F" w:rsidP="0023606F">
      <w:pPr>
        <w:pStyle w:val="Listeafsnit"/>
        <w:ind w:left="1276"/>
        <w:rPr>
          <w:sz w:val="24"/>
          <w:szCs w:val="24"/>
        </w:rPr>
      </w:pPr>
    </w:p>
    <w:p w:rsidR="009556CB" w:rsidRPr="001677A2" w:rsidRDefault="0023606F" w:rsidP="0023606F">
      <w:pPr>
        <w:pStyle w:val="Listeafsnit"/>
        <w:numPr>
          <w:ilvl w:val="0"/>
          <w:numId w:val="11"/>
        </w:numPr>
        <w:ind w:left="1276" w:hanging="425"/>
        <w:rPr>
          <w:sz w:val="24"/>
          <w:szCs w:val="24"/>
        </w:rPr>
      </w:pPr>
      <w:r w:rsidRPr="001677A2">
        <w:rPr>
          <w:sz w:val="24"/>
          <w:szCs w:val="24"/>
        </w:rPr>
        <w:t xml:space="preserve">Test af leverfunktion: </w:t>
      </w:r>
    </w:p>
    <w:p w:rsidR="009556CB" w:rsidRPr="001677A2" w:rsidRDefault="009556CB" w:rsidP="009556CB">
      <w:pPr>
        <w:ind w:left="1276"/>
        <w:rPr>
          <w:sz w:val="24"/>
          <w:szCs w:val="24"/>
          <w:lang w:eastAsia="da-DK"/>
        </w:rPr>
      </w:pPr>
      <w:r w:rsidRPr="001677A2">
        <w:rPr>
          <w:sz w:val="24"/>
          <w:szCs w:val="24"/>
        </w:rPr>
        <w:t xml:space="preserve">Behandlingen skal ikke påbegyndes eller skal seponeres, hvis der konstateres vedvarende eller signifikante </w:t>
      </w:r>
      <w:proofErr w:type="spellStart"/>
      <w:r w:rsidRPr="001677A2">
        <w:rPr>
          <w:sz w:val="24"/>
          <w:szCs w:val="24"/>
        </w:rPr>
        <w:t>abnormaliteter</w:t>
      </w:r>
      <w:proofErr w:type="spellEnd"/>
      <w:r w:rsidRPr="001677A2">
        <w:rPr>
          <w:sz w:val="24"/>
          <w:szCs w:val="24"/>
        </w:rPr>
        <w:t xml:space="preserve"> i leverfunktionstests, andre ikkeinvasive undersøgelser af leverfibrose eller leverbiopsier.</w:t>
      </w:r>
      <w:r w:rsidRPr="001677A2">
        <w:rPr>
          <w:sz w:val="24"/>
          <w:szCs w:val="24"/>
        </w:rPr>
        <w:br/>
      </w:r>
      <w:r w:rsidRPr="001677A2">
        <w:rPr>
          <w:sz w:val="24"/>
          <w:szCs w:val="24"/>
        </w:rPr>
        <w:br/>
        <w:t xml:space="preserve">Midlertidigt forhøjede </w:t>
      </w:r>
      <w:proofErr w:type="spellStart"/>
      <w:r w:rsidRPr="001677A2">
        <w:rPr>
          <w:sz w:val="24"/>
          <w:szCs w:val="24"/>
        </w:rPr>
        <w:t>transaminaser</w:t>
      </w:r>
      <w:proofErr w:type="spellEnd"/>
      <w:r w:rsidRPr="001677A2">
        <w:rPr>
          <w:sz w:val="24"/>
          <w:szCs w:val="24"/>
        </w:rPr>
        <w:t xml:space="preserve"> til to eller tre gange mere end den øverste grænse for normalområdet er rapporteret hos patienter med en hyppighed på 13</w:t>
      </w:r>
      <w:r w:rsidRPr="001677A2">
        <w:rPr>
          <w:sz w:val="24"/>
          <w:szCs w:val="24"/>
        </w:rPr>
        <w:noBreakHyphen/>
        <w:t xml:space="preserve">20 %. En vedvarende stigning i leverenzymer og/eller fald i serumalbumin kan være tegn på alvorlig </w:t>
      </w:r>
      <w:proofErr w:type="spellStart"/>
      <w:r w:rsidRPr="001677A2">
        <w:rPr>
          <w:sz w:val="24"/>
          <w:szCs w:val="24"/>
        </w:rPr>
        <w:t>hepatotoksicitet</w:t>
      </w:r>
      <w:proofErr w:type="spellEnd"/>
      <w:r w:rsidRPr="001677A2">
        <w:rPr>
          <w:sz w:val="24"/>
          <w:szCs w:val="24"/>
        </w:rPr>
        <w:t>. I tilfælde af en vedvarende stigning i leverenzymer bør det overvejes at reducere dosis eller seponere behandlingen.</w:t>
      </w:r>
      <w:r w:rsidRPr="001677A2">
        <w:rPr>
          <w:sz w:val="24"/>
          <w:szCs w:val="24"/>
        </w:rPr>
        <w:br/>
      </w:r>
      <w:r w:rsidRPr="001677A2">
        <w:rPr>
          <w:sz w:val="24"/>
          <w:szCs w:val="24"/>
        </w:rPr>
        <w:br/>
        <w:t xml:space="preserve">Før histologiske forandringer, fibrose og - sjældnere - levercirrose ses der ikke nødvendigvis unormale resultater i leverfunktionstests. Der er tilfælde af cirrose med normale </w:t>
      </w:r>
      <w:proofErr w:type="spellStart"/>
      <w:r w:rsidRPr="001677A2">
        <w:rPr>
          <w:sz w:val="24"/>
          <w:szCs w:val="24"/>
        </w:rPr>
        <w:t>transaminaser</w:t>
      </w:r>
      <w:proofErr w:type="spellEnd"/>
      <w:r w:rsidRPr="001677A2">
        <w:rPr>
          <w:sz w:val="24"/>
          <w:szCs w:val="24"/>
        </w:rPr>
        <w:t xml:space="preserve">. Derfor bør ikkeinvasive diagnostiske metoder til monitorering af levertilstand overvejes som supplement til leverfunktionstests. Leverbiopsi bør overvejes på individuel basis, idet patientens </w:t>
      </w:r>
      <w:proofErr w:type="spellStart"/>
      <w:r w:rsidRPr="001677A2">
        <w:rPr>
          <w:sz w:val="24"/>
          <w:szCs w:val="24"/>
        </w:rPr>
        <w:t>komorbiditeter</w:t>
      </w:r>
      <w:proofErr w:type="spellEnd"/>
      <w:r w:rsidRPr="001677A2">
        <w:rPr>
          <w:sz w:val="24"/>
          <w:szCs w:val="24"/>
        </w:rPr>
        <w:t xml:space="preserve">, anamnese og risiciene ved biopsi tages i betragtning. Risikofaktorer for </w:t>
      </w:r>
      <w:proofErr w:type="spellStart"/>
      <w:r w:rsidRPr="001677A2">
        <w:rPr>
          <w:sz w:val="24"/>
          <w:szCs w:val="24"/>
        </w:rPr>
        <w:t>hepatotoksicitet</w:t>
      </w:r>
      <w:proofErr w:type="spellEnd"/>
      <w:r w:rsidRPr="001677A2">
        <w:rPr>
          <w:sz w:val="24"/>
          <w:szCs w:val="24"/>
        </w:rPr>
        <w:t xml:space="preserve"> inkluderer for stort indtag af alkohol, vedvarende stigning i leverenzymer, tidligere leversygdom, arvelige leverlidelser i familien, diabetes mellitus, fedme og tidligere kontakt med </w:t>
      </w:r>
      <w:proofErr w:type="spellStart"/>
      <w:r w:rsidRPr="001677A2">
        <w:rPr>
          <w:sz w:val="24"/>
          <w:szCs w:val="24"/>
        </w:rPr>
        <w:t>hepatotoksiske</w:t>
      </w:r>
      <w:proofErr w:type="spellEnd"/>
      <w:r w:rsidRPr="001677A2">
        <w:rPr>
          <w:sz w:val="24"/>
          <w:szCs w:val="24"/>
        </w:rPr>
        <w:t xml:space="preserve"> stoffer eller kemikalier og længerevarende </w:t>
      </w:r>
      <w:proofErr w:type="spellStart"/>
      <w:r w:rsidRPr="001677A2">
        <w:rPr>
          <w:sz w:val="24"/>
          <w:szCs w:val="24"/>
        </w:rPr>
        <w:t>methotrexatbehandling</w:t>
      </w:r>
      <w:proofErr w:type="spellEnd"/>
      <w:r w:rsidRPr="001677A2">
        <w:rPr>
          <w:sz w:val="24"/>
          <w:szCs w:val="24"/>
        </w:rPr>
        <w:t>.</w:t>
      </w:r>
      <w:r w:rsidRPr="001677A2">
        <w:rPr>
          <w:sz w:val="24"/>
          <w:szCs w:val="24"/>
        </w:rPr>
        <w:br/>
      </w:r>
      <w:r w:rsidRPr="001677A2">
        <w:rPr>
          <w:sz w:val="24"/>
          <w:szCs w:val="24"/>
        </w:rPr>
        <w:br/>
        <w:t xml:space="preserve">Der bør ikke gives yderligere </w:t>
      </w:r>
      <w:proofErr w:type="spellStart"/>
      <w:r w:rsidRPr="001677A2">
        <w:rPr>
          <w:sz w:val="24"/>
          <w:szCs w:val="24"/>
        </w:rPr>
        <w:t>hepatotoksiske</w:t>
      </w:r>
      <w:proofErr w:type="spellEnd"/>
      <w:r w:rsidRPr="001677A2">
        <w:rPr>
          <w:sz w:val="24"/>
          <w:szCs w:val="24"/>
        </w:rPr>
        <w:t xml:space="preserve"> lægemidler under behandlingen med </w:t>
      </w:r>
      <w:proofErr w:type="spellStart"/>
      <w:r w:rsidRPr="001677A2">
        <w:rPr>
          <w:sz w:val="24"/>
          <w:szCs w:val="24"/>
        </w:rPr>
        <w:t>methotrexat</w:t>
      </w:r>
      <w:proofErr w:type="spellEnd"/>
      <w:r w:rsidRPr="001677A2">
        <w:rPr>
          <w:sz w:val="24"/>
          <w:szCs w:val="24"/>
        </w:rPr>
        <w:t xml:space="preserve">, medmindre det er strengt nødvendigt. Indtagelse af alkohol bør undgås (se afsnit 4.3 og 4.5). Der bør foretages nærmere monitorering af leverenzymer hos patienter, der samtidig tager andre </w:t>
      </w:r>
      <w:proofErr w:type="spellStart"/>
      <w:r w:rsidRPr="001677A2">
        <w:rPr>
          <w:sz w:val="24"/>
          <w:szCs w:val="24"/>
        </w:rPr>
        <w:t>hepatotoksiske</w:t>
      </w:r>
      <w:proofErr w:type="spellEnd"/>
      <w:r w:rsidRPr="001677A2">
        <w:rPr>
          <w:sz w:val="24"/>
          <w:szCs w:val="24"/>
        </w:rPr>
        <w:t xml:space="preserve"> lægemidler.</w:t>
      </w:r>
      <w:r w:rsidRPr="001677A2">
        <w:rPr>
          <w:sz w:val="24"/>
          <w:szCs w:val="24"/>
        </w:rPr>
        <w:br/>
      </w:r>
      <w:r w:rsidRPr="001677A2">
        <w:rPr>
          <w:sz w:val="24"/>
          <w:szCs w:val="24"/>
        </w:rPr>
        <w:br/>
        <w:t xml:space="preserve">Der bør udvises særlig forsigtighed hos patienter med insulinafhængig diabetes mellitus, da der under </w:t>
      </w:r>
      <w:proofErr w:type="spellStart"/>
      <w:r w:rsidRPr="001677A2">
        <w:rPr>
          <w:sz w:val="24"/>
          <w:szCs w:val="24"/>
        </w:rPr>
        <w:t>methotrexatbehandling</w:t>
      </w:r>
      <w:proofErr w:type="spellEnd"/>
      <w:r w:rsidRPr="001677A2">
        <w:rPr>
          <w:sz w:val="24"/>
          <w:szCs w:val="24"/>
        </w:rPr>
        <w:t xml:space="preserve"> i isolerede tilfælde er opstået levercirrose uden forhøjelse af </w:t>
      </w:r>
      <w:proofErr w:type="spellStart"/>
      <w:r w:rsidRPr="001677A2">
        <w:rPr>
          <w:sz w:val="24"/>
          <w:szCs w:val="24"/>
        </w:rPr>
        <w:t>transaminaser</w:t>
      </w:r>
      <w:proofErr w:type="spellEnd"/>
      <w:r w:rsidRPr="001677A2">
        <w:rPr>
          <w:sz w:val="24"/>
          <w:szCs w:val="24"/>
        </w:rPr>
        <w:t>.</w:t>
      </w:r>
    </w:p>
    <w:p w:rsidR="0023606F" w:rsidRPr="001677A2" w:rsidRDefault="009556CB" w:rsidP="009556CB">
      <w:pPr>
        <w:ind w:left="1276"/>
        <w:rPr>
          <w:sz w:val="24"/>
          <w:szCs w:val="24"/>
        </w:rPr>
      </w:pPr>
      <w:r w:rsidRPr="001677A2">
        <w:rPr>
          <w:sz w:val="24"/>
          <w:szCs w:val="24"/>
          <w:lang w:eastAsia="da-DK"/>
        </w:rPr>
        <w:t xml:space="preserve"> </w:t>
      </w:r>
    </w:p>
    <w:p w:rsidR="0023606F" w:rsidRPr="001677A2" w:rsidRDefault="0023606F" w:rsidP="0023606F">
      <w:pPr>
        <w:pStyle w:val="Listeafsnit"/>
        <w:numPr>
          <w:ilvl w:val="0"/>
          <w:numId w:val="11"/>
        </w:numPr>
        <w:ind w:left="1276" w:hanging="425"/>
        <w:rPr>
          <w:sz w:val="24"/>
          <w:szCs w:val="24"/>
        </w:rPr>
      </w:pPr>
      <w:r w:rsidRPr="001677A2">
        <w:rPr>
          <w:sz w:val="24"/>
          <w:szCs w:val="24"/>
        </w:rPr>
        <w:t xml:space="preserve">Nyrefunktionen bør overvåges ved hjælp af nyrefunktionstest og urinanalyse (se pkt. 4.2 og 4.3).  </w:t>
      </w:r>
    </w:p>
    <w:p w:rsidR="0023606F" w:rsidRPr="001677A2" w:rsidRDefault="0023606F" w:rsidP="0023606F">
      <w:pPr>
        <w:ind w:left="1276" w:hanging="425"/>
        <w:rPr>
          <w:sz w:val="24"/>
          <w:szCs w:val="24"/>
        </w:rPr>
      </w:pPr>
    </w:p>
    <w:p w:rsidR="0023606F" w:rsidRPr="001677A2" w:rsidRDefault="0023606F" w:rsidP="0023606F">
      <w:pPr>
        <w:pStyle w:val="Listeafsnit"/>
        <w:ind w:left="1276"/>
        <w:rPr>
          <w:b/>
          <w:sz w:val="24"/>
          <w:szCs w:val="24"/>
        </w:rPr>
      </w:pPr>
      <w:r w:rsidRPr="001677A2">
        <w:rPr>
          <w:sz w:val="24"/>
          <w:szCs w:val="24"/>
        </w:rPr>
        <w:t xml:space="preserve">Da </w:t>
      </w:r>
      <w:proofErr w:type="spellStart"/>
      <w:r w:rsidRPr="001677A2">
        <w:rPr>
          <w:sz w:val="24"/>
          <w:szCs w:val="24"/>
        </w:rPr>
        <w:t>methotrexat</w:t>
      </w:r>
      <w:proofErr w:type="spellEnd"/>
      <w:r w:rsidRPr="001677A2">
        <w:rPr>
          <w:sz w:val="24"/>
          <w:szCs w:val="24"/>
        </w:rPr>
        <w:t xml:space="preserve"> hovedsageligt elimineres </w:t>
      </w:r>
      <w:proofErr w:type="spellStart"/>
      <w:r w:rsidRPr="001677A2">
        <w:rPr>
          <w:sz w:val="24"/>
          <w:szCs w:val="24"/>
        </w:rPr>
        <w:t>renalt</w:t>
      </w:r>
      <w:proofErr w:type="spellEnd"/>
      <w:r w:rsidRPr="001677A2">
        <w:rPr>
          <w:sz w:val="24"/>
          <w:szCs w:val="24"/>
        </w:rPr>
        <w:t xml:space="preserve">, må øgede serumkoncentrationer forventes i tilfælde af nedsat nyrefunktion, hvilket kan medføre svære bivirkninger. </w:t>
      </w:r>
    </w:p>
    <w:p w:rsidR="0023606F" w:rsidRPr="001677A2" w:rsidRDefault="0023606F" w:rsidP="0023606F">
      <w:pPr>
        <w:ind w:left="1276" w:hanging="425"/>
        <w:rPr>
          <w:sz w:val="24"/>
          <w:szCs w:val="24"/>
        </w:rPr>
      </w:pPr>
    </w:p>
    <w:p w:rsidR="0023606F" w:rsidRPr="001677A2" w:rsidRDefault="0023606F" w:rsidP="0023606F">
      <w:pPr>
        <w:pStyle w:val="Listeafsnit"/>
        <w:ind w:left="1276"/>
        <w:rPr>
          <w:sz w:val="24"/>
          <w:szCs w:val="24"/>
        </w:rPr>
      </w:pPr>
      <w:r w:rsidRPr="001677A2">
        <w:rPr>
          <w:sz w:val="24"/>
          <w:szCs w:val="24"/>
        </w:rPr>
        <w:t xml:space="preserve">Hvis nyrefunktionen er kompromitteret (f.eks. hos ældre), bør overvågningen finde sted oftere. Dette gælder især, når der samtidigt indgives lægemidler, som påvirker elimineringen af </w:t>
      </w:r>
      <w:proofErr w:type="spellStart"/>
      <w:r w:rsidRPr="001677A2">
        <w:rPr>
          <w:sz w:val="24"/>
          <w:szCs w:val="24"/>
        </w:rPr>
        <w:t>methotrexat</w:t>
      </w:r>
      <w:proofErr w:type="spellEnd"/>
      <w:r w:rsidRPr="001677A2">
        <w:rPr>
          <w:sz w:val="24"/>
          <w:szCs w:val="24"/>
        </w:rPr>
        <w:t xml:space="preserve">, forårsager nyreskader (f.eks. </w:t>
      </w:r>
      <w:proofErr w:type="spellStart"/>
      <w:r w:rsidRPr="001677A2">
        <w:rPr>
          <w:sz w:val="24"/>
          <w:szCs w:val="24"/>
        </w:rPr>
        <w:t>nonsteroide</w:t>
      </w:r>
      <w:proofErr w:type="spellEnd"/>
      <w:r w:rsidRPr="001677A2">
        <w:rPr>
          <w:sz w:val="24"/>
          <w:szCs w:val="24"/>
        </w:rPr>
        <w:t xml:space="preserve"> antiinflammatoriske lægemidler) eller kan føre til nedsat bloddannelse. Dehydrering kan også intensivere </w:t>
      </w:r>
      <w:proofErr w:type="spellStart"/>
      <w:r w:rsidRPr="001677A2">
        <w:rPr>
          <w:sz w:val="24"/>
          <w:szCs w:val="24"/>
        </w:rPr>
        <w:t>methotrexats</w:t>
      </w:r>
      <w:proofErr w:type="spellEnd"/>
      <w:r w:rsidRPr="001677A2">
        <w:rPr>
          <w:sz w:val="24"/>
          <w:szCs w:val="24"/>
        </w:rPr>
        <w:t xml:space="preserve"> toksicitet.</w:t>
      </w:r>
    </w:p>
    <w:p w:rsidR="0023606F" w:rsidRPr="001677A2" w:rsidRDefault="0023606F" w:rsidP="0023606F">
      <w:pPr>
        <w:pStyle w:val="Listeafsnit"/>
        <w:ind w:left="1276"/>
        <w:rPr>
          <w:sz w:val="24"/>
          <w:szCs w:val="24"/>
        </w:rPr>
      </w:pPr>
    </w:p>
    <w:p w:rsidR="0023606F" w:rsidRPr="001677A2" w:rsidRDefault="0023606F" w:rsidP="0023606F">
      <w:pPr>
        <w:pStyle w:val="Listeafsnit"/>
        <w:numPr>
          <w:ilvl w:val="0"/>
          <w:numId w:val="11"/>
        </w:numPr>
        <w:ind w:left="1276" w:hanging="425"/>
        <w:rPr>
          <w:sz w:val="24"/>
          <w:szCs w:val="24"/>
        </w:rPr>
      </w:pPr>
      <w:r w:rsidRPr="001677A2">
        <w:rPr>
          <w:sz w:val="24"/>
          <w:szCs w:val="24"/>
        </w:rPr>
        <w:t xml:space="preserve">Vurdering af åndedrætssystemet: Opmærksomhed på symptomer på nedsat lungefunktion og lungefunktionstest, om nødvendigt. Lungepåvirkning kræver hurtig diagnosticering og </w:t>
      </w:r>
      <w:proofErr w:type="spellStart"/>
      <w:r w:rsidRPr="001677A2">
        <w:rPr>
          <w:sz w:val="24"/>
          <w:szCs w:val="24"/>
        </w:rPr>
        <w:t>seponering</w:t>
      </w:r>
      <w:proofErr w:type="spellEnd"/>
      <w:r w:rsidRPr="001677A2">
        <w:rPr>
          <w:sz w:val="24"/>
          <w:szCs w:val="24"/>
        </w:rPr>
        <w:t xml:space="preserve"> af </w:t>
      </w:r>
      <w:proofErr w:type="spellStart"/>
      <w:r w:rsidRPr="001677A2">
        <w:rPr>
          <w:sz w:val="24"/>
          <w:szCs w:val="24"/>
        </w:rPr>
        <w:t>methotrexat</w:t>
      </w:r>
      <w:proofErr w:type="spellEnd"/>
      <w:r w:rsidRPr="001677A2">
        <w:rPr>
          <w:sz w:val="24"/>
          <w:szCs w:val="24"/>
        </w:rPr>
        <w:t>. Lungesymptomer (især en tør og ikke-produktiv hoste), eller en ikke-</w:t>
      </w:r>
      <w:proofErr w:type="gramStart"/>
      <w:r w:rsidRPr="001677A2">
        <w:rPr>
          <w:sz w:val="24"/>
          <w:szCs w:val="24"/>
        </w:rPr>
        <w:t>specifik pneumonitis</w:t>
      </w:r>
      <w:proofErr w:type="gramEnd"/>
      <w:r w:rsidRPr="001677A2">
        <w:rPr>
          <w:sz w:val="24"/>
          <w:szCs w:val="24"/>
        </w:rPr>
        <w:t xml:space="preserve">, der opstår under </w:t>
      </w:r>
      <w:proofErr w:type="spellStart"/>
      <w:r w:rsidRPr="001677A2">
        <w:rPr>
          <w:sz w:val="24"/>
          <w:szCs w:val="24"/>
        </w:rPr>
        <w:lastRenderedPageBreak/>
        <w:t>methotrexatbehandling</w:t>
      </w:r>
      <w:proofErr w:type="spellEnd"/>
      <w:r w:rsidRPr="001677A2">
        <w:rPr>
          <w:sz w:val="24"/>
          <w:szCs w:val="24"/>
        </w:rPr>
        <w:t xml:space="preserve">, kan være et tegn på en potentielt farlig læsion og kræve afbrydelse af behandlingen og omhyggelig udredning. Akut eller kronisk </w:t>
      </w:r>
      <w:proofErr w:type="spellStart"/>
      <w:r w:rsidRPr="001677A2">
        <w:rPr>
          <w:sz w:val="24"/>
          <w:szCs w:val="24"/>
        </w:rPr>
        <w:t>interstitiel</w:t>
      </w:r>
      <w:proofErr w:type="spellEnd"/>
      <w:r w:rsidRPr="001677A2">
        <w:rPr>
          <w:sz w:val="24"/>
          <w:szCs w:val="24"/>
        </w:rPr>
        <w:t xml:space="preserve"> pneumonitis, ofte i sammenhæng med </w:t>
      </w:r>
      <w:proofErr w:type="spellStart"/>
      <w:r w:rsidRPr="001677A2">
        <w:rPr>
          <w:sz w:val="24"/>
          <w:szCs w:val="24"/>
        </w:rPr>
        <w:t>blodeosinofili</w:t>
      </w:r>
      <w:proofErr w:type="spellEnd"/>
      <w:r w:rsidRPr="001677A2">
        <w:rPr>
          <w:sz w:val="24"/>
          <w:szCs w:val="24"/>
        </w:rPr>
        <w:t xml:space="preserve">, kan forekomme, og der er rapporteret om dødsfald. Selvom der er klinisk variabilitet, har den typiske patient med </w:t>
      </w:r>
      <w:proofErr w:type="spellStart"/>
      <w:r w:rsidRPr="001677A2">
        <w:rPr>
          <w:sz w:val="24"/>
          <w:szCs w:val="24"/>
        </w:rPr>
        <w:t>methotrexat</w:t>
      </w:r>
      <w:proofErr w:type="spellEnd"/>
      <w:r w:rsidRPr="001677A2">
        <w:rPr>
          <w:sz w:val="24"/>
          <w:szCs w:val="24"/>
        </w:rPr>
        <w:t xml:space="preserve">-induceret lungesygdom feber, hoste, dyspnø, </w:t>
      </w:r>
      <w:proofErr w:type="spellStart"/>
      <w:r w:rsidRPr="001677A2">
        <w:rPr>
          <w:sz w:val="24"/>
          <w:szCs w:val="24"/>
        </w:rPr>
        <w:t>hypoxæmi</w:t>
      </w:r>
      <w:proofErr w:type="spellEnd"/>
      <w:r w:rsidRPr="001677A2">
        <w:rPr>
          <w:sz w:val="24"/>
          <w:szCs w:val="24"/>
        </w:rPr>
        <w:t xml:space="preserve"> og et </w:t>
      </w:r>
      <w:proofErr w:type="spellStart"/>
      <w:r w:rsidRPr="001677A2">
        <w:rPr>
          <w:sz w:val="24"/>
          <w:szCs w:val="24"/>
        </w:rPr>
        <w:t>infiltrat</w:t>
      </w:r>
      <w:proofErr w:type="spellEnd"/>
      <w:r w:rsidRPr="001677A2">
        <w:rPr>
          <w:sz w:val="24"/>
          <w:szCs w:val="24"/>
        </w:rPr>
        <w:t xml:space="preserve"> på thorax-røntgen; infektion skal ekskluderes. </w:t>
      </w:r>
      <w:r w:rsidR="00AF6108">
        <w:rPr>
          <w:sz w:val="24"/>
          <w:szCs w:val="24"/>
        </w:rPr>
        <w:t xml:space="preserve">Lungesygdomme induceret af </w:t>
      </w:r>
      <w:proofErr w:type="spellStart"/>
      <w:r w:rsidR="00AF6108">
        <w:rPr>
          <w:sz w:val="24"/>
          <w:szCs w:val="24"/>
        </w:rPr>
        <w:t>methotrexat</w:t>
      </w:r>
      <w:proofErr w:type="spellEnd"/>
      <w:r w:rsidR="00AF6108">
        <w:rPr>
          <w:sz w:val="24"/>
          <w:szCs w:val="24"/>
        </w:rPr>
        <w:t xml:space="preserve"> er ikke altid fuldstændigt reversible. </w:t>
      </w:r>
      <w:r w:rsidRPr="001677A2">
        <w:rPr>
          <w:sz w:val="24"/>
          <w:szCs w:val="24"/>
        </w:rPr>
        <w:t>Denne læsion kan forekomme ved alle doser.</w:t>
      </w:r>
    </w:p>
    <w:p w:rsidR="0023606F" w:rsidRPr="001677A2" w:rsidRDefault="0023606F" w:rsidP="0023606F">
      <w:pPr>
        <w:pStyle w:val="Listeafsnit"/>
        <w:ind w:left="1276" w:hanging="425"/>
        <w:rPr>
          <w:sz w:val="24"/>
          <w:szCs w:val="24"/>
        </w:rPr>
      </w:pPr>
    </w:p>
    <w:p w:rsidR="0023606F" w:rsidRPr="001677A2" w:rsidRDefault="0023606F" w:rsidP="0023606F">
      <w:pPr>
        <w:ind w:left="1276"/>
        <w:rPr>
          <w:sz w:val="24"/>
          <w:szCs w:val="24"/>
        </w:rPr>
      </w:pPr>
      <w:r w:rsidRPr="001677A2">
        <w:rPr>
          <w:sz w:val="24"/>
          <w:szCs w:val="24"/>
        </w:rPr>
        <w:t xml:space="preserve">Derudover er der indberettet tilfælde af </w:t>
      </w:r>
      <w:proofErr w:type="spellStart"/>
      <w:r w:rsidRPr="001677A2">
        <w:rPr>
          <w:sz w:val="24"/>
          <w:szCs w:val="24"/>
        </w:rPr>
        <w:t>pulmonal</w:t>
      </w:r>
      <w:proofErr w:type="spellEnd"/>
      <w:r w:rsidRPr="001677A2">
        <w:rPr>
          <w:sz w:val="24"/>
          <w:szCs w:val="24"/>
        </w:rPr>
        <w:t xml:space="preserve"> alveolær blødning ved anvendelse af </w:t>
      </w:r>
      <w:proofErr w:type="spellStart"/>
      <w:r w:rsidRPr="001677A2">
        <w:rPr>
          <w:sz w:val="24"/>
          <w:szCs w:val="24"/>
        </w:rPr>
        <w:t>methotrexat</w:t>
      </w:r>
      <w:proofErr w:type="spellEnd"/>
      <w:r w:rsidRPr="001677A2">
        <w:rPr>
          <w:sz w:val="24"/>
          <w:szCs w:val="24"/>
        </w:rPr>
        <w:t xml:space="preserve"> i reumatologiske og relaterede indikationer. Denne bivirkning kan også være forbundet med </w:t>
      </w:r>
      <w:proofErr w:type="spellStart"/>
      <w:r w:rsidRPr="001677A2">
        <w:rPr>
          <w:sz w:val="24"/>
          <w:szCs w:val="24"/>
        </w:rPr>
        <w:t>vaskulitis</w:t>
      </w:r>
      <w:proofErr w:type="spellEnd"/>
      <w:r w:rsidRPr="001677A2">
        <w:rPr>
          <w:sz w:val="24"/>
          <w:szCs w:val="24"/>
        </w:rPr>
        <w:t xml:space="preserve"> og andre </w:t>
      </w:r>
      <w:proofErr w:type="spellStart"/>
      <w:r w:rsidRPr="001677A2">
        <w:rPr>
          <w:sz w:val="24"/>
          <w:szCs w:val="24"/>
        </w:rPr>
        <w:t>komorbiditeter</w:t>
      </w:r>
      <w:proofErr w:type="spellEnd"/>
      <w:r w:rsidRPr="001677A2">
        <w:rPr>
          <w:sz w:val="24"/>
          <w:szCs w:val="24"/>
        </w:rPr>
        <w:t xml:space="preserve">. Hvis der er mistanke om </w:t>
      </w:r>
      <w:proofErr w:type="spellStart"/>
      <w:r w:rsidRPr="001677A2">
        <w:rPr>
          <w:sz w:val="24"/>
          <w:szCs w:val="24"/>
        </w:rPr>
        <w:t>pulmonal</w:t>
      </w:r>
      <w:proofErr w:type="spellEnd"/>
      <w:r w:rsidRPr="001677A2">
        <w:rPr>
          <w:sz w:val="24"/>
          <w:szCs w:val="24"/>
        </w:rPr>
        <w:t xml:space="preserve"> alveolær blødning, skal dette øjeblikkeligt undersøges med henblik på at stille en diagnose.</w:t>
      </w:r>
    </w:p>
    <w:p w:rsidR="0023606F" w:rsidRPr="001677A2" w:rsidRDefault="0023606F" w:rsidP="0023606F">
      <w:pPr>
        <w:ind w:left="1276" w:hanging="425"/>
        <w:rPr>
          <w:sz w:val="24"/>
          <w:szCs w:val="24"/>
        </w:rPr>
      </w:pPr>
    </w:p>
    <w:p w:rsidR="0023606F" w:rsidRPr="001677A2" w:rsidRDefault="0023606F" w:rsidP="0023606F">
      <w:pPr>
        <w:pStyle w:val="Listeafsnit"/>
        <w:numPr>
          <w:ilvl w:val="0"/>
          <w:numId w:val="11"/>
        </w:numPr>
        <w:ind w:left="1276" w:hanging="425"/>
        <w:rPr>
          <w:sz w:val="24"/>
          <w:szCs w:val="24"/>
        </w:rPr>
      </w:pPr>
      <w:proofErr w:type="spellStart"/>
      <w:r w:rsidRPr="001677A2">
        <w:rPr>
          <w:sz w:val="24"/>
          <w:szCs w:val="24"/>
        </w:rPr>
        <w:t>Methotrexat</w:t>
      </w:r>
      <w:proofErr w:type="spellEnd"/>
      <w:r w:rsidRPr="001677A2">
        <w:rPr>
          <w:sz w:val="24"/>
          <w:szCs w:val="24"/>
        </w:rPr>
        <w:t xml:space="preserve"> kan på grund af dets virkning på immunsystemet nedsætte responsen på vaccinationer og påvirke resultatet af immunologiske test. Særlig forsigtighed er påkrævet ved tilstedeværelse af inaktive, kroniske infektioner (f.eks. herpes </w:t>
      </w:r>
      <w:proofErr w:type="spellStart"/>
      <w:r w:rsidRPr="001677A2">
        <w:rPr>
          <w:sz w:val="24"/>
          <w:szCs w:val="24"/>
        </w:rPr>
        <w:t>zoster</w:t>
      </w:r>
      <w:proofErr w:type="spellEnd"/>
      <w:r w:rsidRPr="001677A2">
        <w:rPr>
          <w:sz w:val="24"/>
          <w:szCs w:val="24"/>
        </w:rPr>
        <w:t xml:space="preserve">, tuberkulose, hepatitis B eller C) af hensyn til eventuel aktivering. Vaccination med levende vacciner må ikke foretages under behandling med </w:t>
      </w:r>
      <w:proofErr w:type="spellStart"/>
      <w:r w:rsidRPr="001677A2">
        <w:rPr>
          <w:sz w:val="24"/>
          <w:szCs w:val="24"/>
        </w:rPr>
        <w:t>methotrexat</w:t>
      </w:r>
      <w:proofErr w:type="spellEnd"/>
      <w:r w:rsidRPr="001677A2">
        <w:rPr>
          <w:sz w:val="24"/>
          <w:szCs w:val="24"/>
        </w:rPr>
        <w:t>.</w:t>
      </w:r>
    </w:p>
    <w:p w:rsidR="0023606F" w:rsidRPr="001677A2" w:rsidRDefault="0023606F" w:rsidP="0023606F">
      <w:pPr>
        <w:ind w:left="1276" w:hanging="425"/>
        <w:rPr>
          <w:sz w:val="24"/>
          <w:szCs w:val="24"/>
        </w:rPr>
      </w:pPr>
    </w:p>
    <w:p w:rsidR="0023606F" w:rsidRPr="001677A2" w:rsidRDefault="0023606F" w:rsidP="0023606F">
      <w:pPr>
        <w:ind w:left="851"/>
        <w:rPr>
          <w:sz w:val="24"/>
          <w:szCs w:val="24"/>
        </w:rPr>
      </w:pPr>
      <w:r w:rsidRPr="001677A2">
        <w:rPr>
          <w:sz w:val="24"/>
          <w:szCs w:val="24"/>
        </w:rPr>
        <w:t xml:space="preserve">Maligne </w:t>
      </w:r>
      <w:proofErr w:type="spellStart"/>
      <w:r w:rsidRPr="001677A2">
        <w:rPr>
          <w:sz w:val="24"/>
          <w:szCs w:val="24"/>
        </w:rPr>
        <w:t>lymfomer</w:t>
      </w:r>
      <w:proofErr w:type="spellEnd"/>
      <w:r w:rsidRPr="001677A2">
        <w:rPr>
          <w:sz w:val="24"/>
          <w:szCs w:val="24"/>
        </w:rPr>
        <w:t xml:space="preserve"> kan forekomme hos patienter, der får en lav dosis </w:t>
      </w:r>
      <w:proofErr w:type="spellStart"/>
      <w:r w:rsidRPr="001677A2">
        <w:rPr>
          <w:sz w:val="24"/>
          <w:szCs w:val="24"/>
        </w:rPr>
        <w:t>methotrexat</w:t>
      </w:r>
      <w:proofErr w:type="spellEnd"/>
      <w:r w:rsidRPr="001677A2">
        <w:rPr>
          <w:sz w:val="24"/>
          <w:szCs w:val="24"/>
        </w:rPr>
        <w:t xml:space="preserve">, og behandlingen skal i givet fald seponeres. Hvis </w:t>
      </w:r>
      <w:proofErr w:type="spellStart"/>
      <w:r w:rsidRPr="001677A2">
        <w:rPr>
          <w:sz w:val="24"/>
          <w:szCs w:val="24"/>
        </w:rPr>
        <w:t>lymfomet</w:t>
      </w:r>
      <w:proofErr w:type="spellEnd"/>
      <w:r w:rsidRPr="001677A2">
        <w:rPr>
          <w:sz w:val="24"/>
          <w:szCs w:val="24"/>
        </w:rPr>
        <w:t xml:space="preserve"> ikke viser tegn på spontan regression, skal en </w:t>
      </w:r>
      <w:proofErr w:type="spellStart"/>
      <w:r w:rsidRPr="001677A2">
        <w:rPr>
          <w:sz w:val="24"/>
          <w:szCs w:val="24"/>
        </w:rPr>
        <w:t>cytotoksisk</w:t>
      </w:r>
      <w:proofErr w:type="spellEnd"/>
      <w:r w:rsidRPr="001677A2">
        <w:rPr>
          <w:sz w:val="24"/>
          <w:szCs w:val="24"/>
        </w:rPr>
        <w:t xml:space="preserve"> behandling iværksættes.</w:t>
      </w:r>
    </w:p>
    <w:p w:rsidR="0023606F" w:rsidRPr="001677A2" w:rsidRDefault="0023606F" w:rsidP="0023606F">
      <w:pPr>
        <w:ind w:left="851" w:hanging="851"/>
        <w:rPr>
          <w:sz w:val="24"/>
          <w:szCs w:val="24"/>
        </w:rPr>
      </w:pPr>
    </w:p>
    <w:p w:rsidR="001677A2" w:rsidRPr="001677A2" w:rsidRDefault="001677A2" w:rsidP="001677A2">
      <w:pPr>
        <w:ind w:left="851"/>
        <w:rPr>
          <w:sz w:val="24"/>
          <w:szCs w:val="24"/>
        </w:rPr>
      </w:pPr>
      <w:r w:rsidRPr="001677A2">
        <w:rPr>
          <w:sz w:val="24"/>
          <w:szCs w:val="24"/>
        </w:rPr>
        <w:t xml:space="preserve">Der er rapporter om, at samtidig indgift af </w:t>
      </w:r>
      <w:proofErr w:type="spellStart"/>
      <w:r w:rsidRPr="001677A2">
        <w:rPr>
          <w:sz w:val="24"/>
          <w:szCs w:val="24"/>
        </w:rPr>
        <w:t>folatantagonister</w:t>
      </w:r>
      <w:proofErr w:type="spellEnd"/>
      <w:r w:rsidRPr="001677A2">
        <w:rPr>
          <w:sz w:val="24"/>
          <w:szCs w:val="24"/>
        </w:rPr>
        <w:t xml:space="preserve"> såsom </w:t>
      </w:r>
      <w:proofErr w:type="spellStart"/>
      <w:r w:rsidRPr="001677A2">
        <w:rPr>
          <w:sz w:val="24"/>
          <w:szCs w:val="24"/>
        </w:rPr>
        <w:t>trimetoprim</w:t>
      </w:r>
      <w:proofErr w:type="spellEnd"/>
      <w:r w:rsidRPr="001677A2">
        <w:rPr>
          <w:sz w:val="24"/>
          <w:szCs w:val="24"/>
        </w:rPr>
        <w:t>/</w:t>
      </w:r>
      <w:proofErr w:type="spellStart"/>
      <w:r w:rsidRPr="001677A2">
        <w:rPr>
          <w:sz w:val="24"/>
          <w:szCs w:val="24"/>
        </w:rPr>
        <w:t>sulfametoxazol</w:t>
      </w:r>
      <w:proofErr w:type="spellEnd"/>
      <w:r w:rsidRPr="001677A2">
        <w:rPr>
          <w:sz w:val="24"/>
          <w:szCs w:val="24"/>
        </w:rPr>
        <w:t xml:space="preserve"> i sjældne tilfælde kan forårsage akut </w:t>
      </w:r>
      <w:proofErr w:type="spellStart"/>
      <w:r w:rsidRPr="001677A2">
        <w:rPr>
          <w:sz w:val="24"/>
          <w:szCs w:val="24"/>
        </w:rPr>
        <w:t>megaloblastisk</w:t>
      </w:r>
      <w:proofErr w:type="spellEnd"/>
      <w:r w:rsidRPr="001677A2">
        <w:rPr>
          <w:sz w:val="24"/>
          <w:szCs w:val="24"/>
        </w:rPr>
        <w:t xml:space="preserve"> </w:t>
      </w:r>
      <w:proofErr w:type="spellStart"/>
      <w:r w:rsidRPr="001677A2">
        <w:rPr>
          <w:sz w:val="24"/>
          <w:szCs w:val="24"/>
        </w:rPr>
        <w:t>pancytopeni</w:t>
      </w:r>
      <w:proofErr w:type="spellEnd"/>
      <w:r w:rsidRPr="001677A2">
        <w:rPr>
          <w:sz w:val="24"/>
          <w:szCs w:val="24"/>
        </w:rPr>
        <w:t>.</w:t>
      </w:r>
    </w:p>
    <w:p w:rsidR="001677A2" w:rsidRPr="001677A2" w:rsidRDefault="001677A2" w:rsidP="001677A2">
      <w:pPr>
        <w:ind w:left="851"/>
        <w:rPr>
          <w:sz w:val="24"/>
          <w:szCs w:val="24"/>
        </w:rPr>
      </w:pPr>
    </w:p>
    <w:p w:rsidR="001677A2" w:rsidRPr="001677A2" w:rsidRDefault="001677A2" w:rsidP="001677A2">
      <w:pPr>
        <w:ind w:left="851"/>
        <w:rPr>
          <w:sz w:val="24"/>
          <w:szCs w:val="24"/>
          <w:u w:val="single"/>
        </w:rPr>
      </w:pPr>
      <w:r w:rsidRPr="001677A2">
        <w:rPr>
          <w:sz w:val="24"/>
          <w:szCs w:val="24"/>
          <w:u w:val="single"/>
        </w:rPr>
        <w:t>Fotosensitivitet</w:t>
      </w:r>
    </w:p>
    <w:p w:rsidR="001677A2" w:rsidRPr="001677A2" w:rsidRDefault="001677A2" w:rsidP="001677A2">
      <w:pPr>
        <w:ind w:left="851"/>
        <w:rPr>
          <w:sz w:val="24"/>
          <w:szCs w:val="24"/>
        </w:rPr>
      </w:pPr>
      <w:r w:rsidRPr="001677A2">
        <w:rPr>
          <w:sz w:val="24"/>
          <w:szCs w:val="24"/>
        </w:rPr>
        <w:t xml:space="preserve">Der er observeret fotosensitivitet manifesteret ved en overdreven solforbrændingsreaktion hos nogle personer, der tager </w:t>
      </w:r>
      <w:proofErr w:type="spellStart"/>
      <w:r w:rsidRPr="001677A2">
        <w:rPr>
          <w:sz w:val="24"/>
          <w:szCs w:val="24"/>
        </w:rPr>
        <w:t>methotrexat</w:t>
      </w:r>
      <w:proofErr w:type="spellEnd"/>
      <w:r w:rsidRPr="001677A2">
        <w:rPr>
          <w:sz w:val="24"/>
          <w:szCs w:val="24"/>
        </w:rPr>
        <w:t xml:space="preserve"> (se pkt. 4.8). Eksponering for intenst sollys eller UV-stråler bør undgås, medmindre det er medicinsk indiceret. Patienterne bør anvende tilstrækkelig solbeskyttelse for at beskytte sig mod intenst sollys. </w:t>
      </w:r>
    </w:p>
    <w:p w:rsidR="001677A2" w:rsidRPr="001677A2" w:rsidRDefault="001677A2" w:rsidP="001677A2">
      <w:pPr>
        <w:ind w:left="851"/>
        <w:rPr>
          <w:sz w:val="24"/>
          <w:szCs w:val="24"/>
        </w:rPr>
      </w:pPr>
    </w:p>
    <w:p w:rsidR="001677A2" w:rsidRPr="001677A2" w:rsidRDefault="001677A2" w:rsidP="001677A2">
      <w:pPr>
        <w:ind w:left="851"/>
        <w:rPr>
          <w:sz w:val="24"/>
          <w:szCs w:val="24"/>
        </w:rPr>
      </w:pPr>
      <w:r w:rsidRPr="001677A2">
        <w:rPr>
          <w:sz w:val="24"/>
          <w:szCs w:val="24"/>
        </w:rPr>
        <w:t xml:space="preserve">Strålingsinduceret </w:t>
      </w:r>
      <w:proofErr w:type="spellStart"/>
      <w:r w:rsidRPr="001677A2">
        <w:rPr>
          <w:sz w:val="24"/>
          <w:szCs w:val="24"/>
        </w:rPr>
        <w:t>dermatitis</w:t>
      </w:r>
      <w:proofErr w:type="spellEnd"/>
      <w:r w:rsidRPr="001677A2">
        <w:rPr>
          <w:sz w:val="24"/>
          <w:szCs w:val="24"/>
        </w:rPr>
        <w:t xml:space="preserve"> og solforbrændinger kan dukke op igen under behandling med </w:t>
      </w:r>
      <w:proofErr w:type="spellStart"/>
      <w:r w:rsidRPr="001677A2">
        <w:rPr>
          <w:sz w:val="24"/>
          <w:szCs w:val="24"/>
        </w:rPr>
        <w:t>methotrexat</w:t>
      </w:r>
      <w:proofErr w:type="spellEnd"/>
      <w:r w:rsidRPr="001677A2">
        <w:rPr>
          <w:sz w:val="24"/>
          <w:szCs w:val="24"/>
        </w:rPr>
        <w:t xml:space="preserve"> (</w:t>
      </w:r>
      <w:proofErr w:type="spellStart"/>
      <w:r w:rsidRPr="001677A2">
        <w:rPr>
          <w:sz w:val="24"/>
          <w:szCs w:val="24"/>
        </w:rPr>
        <w:t>recall</w:t>
      </w:r>
      <w:proofErr w:type="spellEnd"/>
      <w:r w:rsidRPr="001677A2">
        <w:rPr>
          <w:sz w:val="24"/>
          <w:szCs w:val="24"/>
        </w:rPr>
        <w:t xml:space="preserve">-reaktion). Psoriasislæsioner kan forværres under </w:t>
      </w:r>
      <w:proofErr w:type="spellStart"/>
      <w:r w:rsidRPr="001677A2">
        <w:rPr>
          <w:sz w:val="24"/>
          <w:szCs w:val="24"/>
        </w:rPr>
        <w:t>UV-stråling</w:t>
      </w:r>
      <w:proofErr w:type="spellEnd"/>
      <w:r w:rsidRPr="001677A2">
        <w:rPr>
          <w:sz w:val="24"/>
          <w:szCs w:val="24"/>
        </w:rPr>
        <w:t xml:space="preserve"> og samtidig administration af </w:t>
      </w:r>
      <w:proofErr w:type="spellStart"/>
      <w:r w:rsidRPr="001677A2">
        <w:rPr>
          <w:sz w:val="24"/>
          <w:szCs w:val="24"/>
        </w:rPr>
        <w:t>methotrexat</w:t>
      </w:r>
      <w:proofErr w:type="spellEnd"/>
    </w:p>
    <w:p w:rsidR="001677A2" w:rsidRPr="001677A2" w:rsidRDefault="001677A2" w:rsidP="001677A2">
      <w:pPr>
        <w:ind w:left="851" w:hanging="851"/>
        <w:rPr>
          <w:sz w:val="24"/>
          <w:szCs w:val="24"/>
        </w:rPr>
      </w:pPr>
    </w:p>
    <w:p w:rsidR="001677A2" w:rsidRPr="001677A2" w:rsidRDefault="001677A2" w:rsidP="001677A2">
      <w:pPr>
        <w:ind w:left="851"/>
        <w:rPr>
          <w:color w:val="000000"/>
          <w:sz w:val="24"/>
          <w:szCs w:val="24"/>
        </w:rPr>
      </w:pPr>
      <w:r w:rsidRPr="001677A2">
        <w:rPr>
          <w:sz w:val="24"/>
          <w:szCs w:val="24"/>
        </w:rPr>
        <w:t xml:space="preserve">Eliminering af </w:t>
      </w:r>
      <w:proofErr w:type="spellStart"/>
      <w:r w:rsidRPr="001677A2">
        <w:rPr>
          <w:sz w:val="24"/>
          <w:szCs w:val="24"/>
        </w:rPr>
        <w:t>methotrexat</w:t>
      </w:r>
      <w:proofErr w:type="spellEnd"/>
      <w:r w:rsidRPr="001677A2">
        <w:rPr>
          <w:sz w:val="24"/>
          <w:szCs w:val="24"/>
        </w:rPr>
        <w:t xml:space="preserve"> er reduceret hos patienter med et tredje fordelingsrum (</w:t>
      </w:r>
      <w:proofErr w:type="spellStart"/>
      <w:r w:rsidRPr="001677A2">
        <w:rPr>
          <w:sz w:val="24"/>
          <w:szCs w:val="24"/>
        </w:rPr>
        <w:t>ascites</w:t>
      </w:r>
      <w:proofErr w:type="spellEnd"/>
      <w:r w:rsidRPr="001677A2">
        <w:rPr>
          <w:sz w:val="24"/>
          <w:szCs w:val="24"/>
        </w:rPr>
        <w:t xml:space="preserve">, </w:t>
      </w:r>
      <w:proofErr w:type="spellStart"/>
      <w:r w:rsidRPr="001677A2">
        <w:rPr>
          <w:sz w:val="24"/>
          <w:szCs w:val="24"/>
        </w:rPr>
        <w:t>pleuraeffusioner</w:t>
      </w:r>
      <w:proofErr w:type="spellEnd"/>
      <w:r w:rsidRPr="001677A2">
        <w:rPr>
          <w:sz w:val="24"/>
          <w:szCs w:val="24"/>
        </w:rPr>
        <w:t xml:space="preserve">). Sådanne patienter har behov for særlig omhyggelig overvågning for toksicitet og kræver dosisreduktion eller, i nogle tilfælde, </w:t>
      </w:r>
      <w:proofErr w:type="spellStart"/>
      <w:r w:rsidRPr="001677A2">
        <w:rPr>
          <w:sz w:val="24"/>
          <w:szCs w:val="24"/>
        </w:rPr>
        <w:t>seponering</w:t>
      </w:r>
      <w:proofErr w:type="spellEnd"/>
      <w:r w:rsidRPr="001677A2">
        <w:rPr>
          <w:sz w:val="24"/>
          <w:szCs w:val="24"/>
        </w:rPr>
        <w:t xml:space="preserve"> af </w:t>
      </w:r>
      <w:proofErr w:type="spellStart"/>
      <w:r w:rsidRPr="001677A2">
        <w:rPr>
          <w:sz w:val="24"/>
          <w:szCs w:val="24"/>
        </w:rPr>
        <w:t>methotrexat</w:t>
      </w:r>
      <w:r w:rsidRPr="001677A2">
        <w:rPr>
          <w:sz w:val="24"/>
          <w:szCs w:val="24"/>
        </w:rPr>
        <w:softHyphen/>
        <w:t>indgiften</w:t>
      </w:r>
      <w:proofErr w:type="spellEnd"/>
      <w:r w:rsidRPr="001677A2">
        <w:rPr>
          <w:sz w:val="24"/>
          <w:szCs w:val="24"/>
        </w:rPr>
        <w:t xml:space="preserve">. </w:t>
      </w:r>
      <w:proofErr w:type="spellStart"/>
      <w:r w:rsidRPr="001677A2">
        <w:rPr>
          <w:sz w:val="24"/>
          <w:szCs w:val="24"/>
        </w:rPr>
        <w:t>Pleuraeffusioner</w:t>
      </w:r>
      <w:proofErr w:type="spellEnd"/>
      <w:r w:rsidRPr="001677A2">
        <w:rPr>
          <w:sz w:val="24"/>
          <w:szCs w:val="24"/>
        </w:rPr>
        <w:t xml:space="preserve"> og </w:t>
      </w:r>
      <w:proofErr w:type="spellStart"/>
      <w:r w:rsidRPr="001677A2">
        <w:rPr>
          <w:sz w:val="24"/>
          <w:szCs w:val="24"/>
        </w:rPr>
        <w:t>ascites</w:t>
      </w:r>
      <w:proofErr w:type="spellEnd"/>
      <w:r w:rsidRPr="001677A2">
        <w:rPr>
          <w:sz w:val="24"/>
          <w:szCs w:val="24"/>
        </w:rPr>
        <w:t xml:space="preserve"> bør drænes før påbegyndelse af </w:t>
      </w:r>
      <w:proofErr w:type="spellStart"/>
      <w:r w:rsidRPr="001677A2">
        <w:rPr>
          <w:sz w:val="24"/>
          <w:szCs w:val="24"/>
        </w:rPr>
        <w:t>methotrexat</w:t>
      </w:r>
      <w:r w:rsidRPr="001677A2">
        <w:rPr>
          <w:sz w:val="24"/>
          <w:szCs w:val="24"/>
        </w:rPr>
        <w:softHyphen/>
        <w:t>behandling</w:t>
      </w:r>
      <w:proofErr w:type="spellEnd"/>
      <w:r w:rsidRPr="001677A2">
        <w:rPr>
          <w:sz w:val="24"/>
          <w:szCs w:val="24"/>
        </w:rPr>
        <w:t xml:space="preserve"> (se pkt. 5.2).</w:t>
      </w:r>
      <w:r w:rsidRPr="001677A2">
        <w:rPr>
          <w:color w:val="000000"/>
          <w:sz w:val="24"/>
          <w:szCs w:val="24"/>
        </w:rPr>
        <w:t xml:space="preserve"> </w:t>
      </w:r>
    </w:p>
    <w:p w:rsidR="0023606F" w:rsidRPr="001677A2" w:rsidRDefault="0023606F" w:rsidP="0023606F">
      <w:pPr>
        <w:ind w:left="851" w:hanging="851"/>
        <w:rPr>
          <w:color w:val="000000"/>
          <w:sz w:val="24"/>
          <w:szCs w:val="24"/>
        </w:rPr>
      </w:pPr>
    </w:p>
    <w:p w:rsidR="0023606F" w:rsidRPr="001677A2" w:rsidRDefault="0023606F" w:rsidP="0023606F">
      <w:pPr>
        <w:ind w:left="851"/>
        <w:rPr>
          <w:color w:val="000000"/>
          <w:sz w:val="24"/>
          <w:szCs w:val="24"/>
        </w:rPr>
      </w:pPr>
      <w:r w:rsidRPr="001677A2">
        <w:rPr>
          <w:color w:val="000000"/>
          <w:sz w:val="24"/>
          <w:szCs w:val="24"/>
        </w:rPr>
        <w:t xml:space="preserve">Diarré og </w:t>
      </w:r>
      <w:proofErr w:type="spellStart"/>
      <w:r w:rsidRPr="001677A2">
        <w:rPr>
          <w:color w:val="000000"/>
          <w:sz w:val="24"/>
          <w:szCs w:val="24"/>
        </w:rPr>
        <w:t>ulcerativ</w:t>
      </w:r>
      <w:proofErr w:type="spellEnd"/>
      <w:r w:rsidRPr="001677A2">
        <w:rPr>
          <w:color w:val="000000"/>
          <w:sz w:val="24"/>
          <w:szCs w:val="24"/>
        </w:rPr>
        <w:t xml:space="preserve"> </w:t>
      </w:r>
      <w:proofErr w:type="spellStart"/>
      <w:r w:rsidRPr="001677A2">
        <w:rPr>
          <w:color w:val="000000"/>
          <w:sz w:val="24"/>
          <w:szCs w:val="24"/>
        </w:rPr>
        <w:t>stomatitis</w:t>
      </w:r>
      <w:proofErr w:type="spellEnd"/>
      <w:r w:rsidRPr="001677A2">
        <w:rPr>
          <w:color w:val="000000"/>
          <w:sz w:val="24"/>
          <w:szCs w:val="24"/>
        </w:rPr>
        <w:t xml:space="preserve"> kan være toksiske virkninger og kræver afbrydelse af behandlingen, da </w:t>
      </w:r>
      <w:proofErr w:type="spellStart"/>
      <w:r w:rsidRPr="001677A2">
        <w:rPr>
          <w:color w:val="000000"/>
          <w:sz w:val="24"/>
          <w:szCs w:val="24"/>
        </w:rPr>
        <w:t>hæmorragisk</w:t>
      </w:r>
      <w:proofErr w:type="spellEnd"/>
      <w:r w:rsidRPr="001677A2">
        <w:rPr>
          <w:color w:val="000000"/>
          <w:sz w:val="24"/>
          <w:szCs w:val="24"/>
        </w:rPr>
        <w:t xml:space="preserve"> </w:t>
      </w:r>
      <w:proofErr w:type="spellStart"/>
      <w:r w:rsidRPr="001677A2">
        <w:rPr>
          <w:color w:val="000000"/>
          <w:sz w:val="24"/>
          <w:szCs w:val="24"/>
        </w:rPr>
        <w:t>enteritis</w:t>
      </w:r>
      <w:proofErr w:type="spellEnd"/>
      <w:r w:rsidRPr="001677A2">
        <w:rPr>
          <w:color w:val="000000"/>
          <w:sz w:val="24"/>
          <w:szCs w:val="24"/>
        </w:rPr>
        <w:t xml:space="preserve"> og død på grund af </w:t>
      </w:r>
      <w:proofErr w:type="spellStart"/>
      <w:r w:rsidRPr="001677A2">
        <w:rPr>
          <w:color w:val="000000"/>
          <w:sz w:val="24"/>
          <w:szCs w:val="24"/>
        </w:rPr>
        <w:t>intestinal</w:t>
      </w:r>
      <w:proofErr w:type="spellEnd"/>
      <w:r w:rsidRPr="001677A2">
        <w:rPr>
          <w:color w:val="000000"/>
          <w:sz w:val="24"/>
          <w:szCs w:val="24"/>
        </w:rPr>
        <w:t xml:space="preserve"> perforation i modsat fald kan forekomme. </w:t>
      </w:r>
    </w:p>
    <w:p w:rsidR="0023606F" w:rsidRPr="001677A2" w:rsidRDefault="0023606F" w:rsidP="0023606F">
      <w:pPr>
        <w:ind w:left="851" w:hanging="851"/>
        <w:rPr>
          <w:color w:val="000000"/>
          <w:sz w:val="24"/>
          <w:szCs w:val="24"/>
        </w:rPr>
      </w:pPr>
    </w:p>
    <w:p w:rsidR="0023606F" w:rsidRPr="001677A2" w:rsidRDefault="0023606F" w:rsidP="0023606F">
      <w:pPr>
        <w:ind w:left="851"/>
        <w:rPr>
          <w:color w:val="000000"/>
          <w:sz w:val="24"/>
          <w:szCs w:val="24"/>
        </w:rPr>
      </w:pPr>
      <w:r w:rsidRPr="001677A2">
        <w:rPr>
          <w:color w:val="000000"/>
          <w:sz w:val="24"/>
          <w:szCs w:val="24"/>
        </w:rPr>
        <w:t xml:space="preserve">Vitaminpræparater eller andre produkter med </w:t>
      </w:r>
      <w:proofErr w:type="spellStart"/>
      <w:r w:rsidRPr="001677A2">
        <w:rPr>
          <w:color w:val="000000"/>
          <w:sz w:val="24"/>
          <w:szCs w:val="24"/>
        </w:rPr>
        <w:t>folsyre</w:t>
      </w:r>
      <w:proofErr w:type="spellEnd"/>
      <w:r w:rsidRPr="001677A2">
        <w:rPr>
          <w:color w:val="000000"/>
          <w:sz w:val="24"/>
          <w:szCs w:val="24"/>
        </w:rPr>
        <w:t xml:space="preserve">, </w:t>
      </w:r>
      <w:proofErr w:type="spellStart"/>
      <w:r w:rsidRPr="001677A2">
        <w:rPr>
          <w:color w:val="000000"/>
          <w:sz w:val="24"/>
          <w:szCs w:val="24"/>
        </w:rPr>
        <w:t>folinsyre</w:t>
      </w:r>
      <w:proofErr w:type="spellEnd"/>
      <w:r w:rsidRPr="001677A2">
        <w:rPr>
          <w:color w:val="000000"/>
          <w:sz w:val="24"/>
          <w:szCs w:val="24"/>
        </w:rPr>
        <w:t xml:space="preserve"> eller derivater deraf kan nedsætte virkningen af </w:t>
      </w:r>
      <w:proofErr w:type="spellStart"/>
      <w:r w:rsidRPr="001677A2">
        <w:rPr>
          <w:color w:val="000000"/>
          <w:sz w:val="24"/>
          <w:szCs w:val="24"/>
        </w:rPr>
        <w:t>methotrexat</w:t>
      </w:r>
      <w:proofErr w:type="spellEnd"/>
      <w:r w:rsidRPr="001677A2">
        <w:rPr>
          <w:color w:val="000000"/>
          <w:sz w:val="24"/>
          <w:szCs w:val="24"/>
        </w:rPr>
        <w:t xml:space="preserve">. </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lastRenderedPageBreak/>
        <w:t xml:space="preserve">Ved behandling af psoriasis bør </w:t>
      </w:r>
      <w:proofErr w:type="spellStart"/>
      <w:r w:rsidRPr="001677A2">
        <w:rPr>
          <w:sz w:val="24"/>
          <w:szCs w:val="24"/>
        </w:rPr>
        <w:t>methotrexat</w:t>
      </w:r>
      <w:proofErr w:type="spellEnd"/>
      <w:r w:rsidRPr="001677A2">
        <w:rPr>
          <w:sz w:val="24"/>
          <w:szCs w:val="24"/>
        </w:rPr>
        <w:t xml:space="preserve"> begrænses til svær, genstridig, invaliderende psoriasis hos patienter, der ikke på tilstrækkelig vis responderer på andre former for behandling, men kun når diagnosen er stillet på grundlag af biopsi og/eller efter dermatologisk konsultation.</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color w:val="000000"/>
          <w:sz w:val="24"/>
          <w:szCs w:val="24"/>
        </w:rPr>
        <w:t>Encefalopati/</w:t>
      </w:r>
      <w:proofErr w:type="spellStart"/>
      <w:r w:rsidRPr="001677A2">
        <w:rPr>
          <w:color w:val="000000"/>
          <w:sz w:val="24"/>
          <w:szCs w:val="24"/>
        </w:rPr>
        <w:t>leukoencefalopati</w:t>
      </w:r>
      <w:proofErr w:type="spellEnd"/>
      <w:r w:rsidRPr="001677A2">
        <w:rPr>
          <w:color w:val="000000"/>
          <w:sz w:val="24"/>
          <w:szCs w:val="24"/>
        </w:rPr>
        <w:t xml:space="preserve"> er blevet rapporteret hos onkologiske patienter, der fik behandling med </w:t>
      </w:r>
      <w:proofErr w:type="spellStart"/>
      <w:r w:rsidRPr="001677A2">
        <w:rPr>
          <w:color w:val="000000"/>
          <w:sz w:val="24"/>
          <w:szCs w:val="24"/>
        </w:rPr>
        <w:t>methotrexat</w:t>
      </w:r>
      <w:proofErr w:type="spellEnd"/>
      <w:r w:rsidRPr="001677A2">
        <w:rPr>
          <w:color w:val="000000"/>
          <w:sz w:val="24"/>
          <w:szCs w:val="24"/>
        </w:rPr>
        <w:t xml:space="preserve">, og kan ikke udelukkes ved behandling med </w:t>
      </w:r>
      <w:proofErr w:type="spellStart"/>
      <w:r w:rsidRPr="001677A2">
        <w:rPr>
          <w:color w:val="000000"/>
          <w:sz w:val="24"/>
          <w:szCs w:val="24"/>
        </w:rPr>
        <w:t>methotrexat</w:t>
      </w:r>
      <w:proofErr w:type="spellEnd"/>
      <w:r w:rsidRPr="001677A2">
        <w:rPr>
          <w:color w:val="000000"/>
          <w:sz w:val="24"/>
          <w:szCs w:val="24"/>
        </w:rPr>
        <w:t xml:space="preserve"> for ikke-onkologiske indikationer.</w:t>
      </w:r>
    </w:p>
    <w:p w:rsidR="0023606F" w:rsidRPr="001677A2" w:rsidRDefault="0023606F" w:rsidP="0023606F">
      <w:pPr>
        <w:ind w:left="851"/>
        <w:rPr>
          <w:color w:val="000000"/>
          <w:sz w:val="24"/>
          <w:szCs w:val="24"/>
        </w:rPr>
      </w:pPr>
    </w:p>
    <w:p w:rsidR="009556CB" w:rsidRPr="001677A2" w:rsidRDefault="009556CB" w:rsidP="009556CB">
      <w:pPr>
        <w:keepNext/>
        <w:ind w:left="851"/>
        <w:rPr>
          <w:sz w:val="24"/>
          <w:szCs w:val="24"/>
          <w:u w:val="single"/>
        </w:rPr>
      </w:pPr>
      <w:r w:rsidRPr="001677A2">
        <w:rPr>
          <w:sz w:val="24"/>
          <w:szCs w:val="24"/>
          <w:u w:val="single"/>
        </w:rPr>
        <w:t xml:space="preserve">Progressiv multifokal </w:t>
      </w:r>
      <w:proofErr w:type="spellStart"/>
      <w:r w:rsidRPr="001677A2">
        <w:rPr>
          <w:sz w:val="24"/>
          <w:szCs w:val="24"/>
          <w:u w:val="single"/>
        </w:rPr>
        <w:t>leukoencefalopati</w:t>
      </w:r>
      <w:proofErr w:type="spellEnd"/>
      <w:r w:rsidRPr="001677A2">
        <w:rPr>
          <w:sz w:val="24"/>
          <w:szCs w:val="24"/>
          <w:u w:val="single"/>
        </w:rPr>
        <w:t xml:space="preserve"> (PML)</w:t>
      </w:r>
    </w:p>
    <w:p w:rsidR="009556CB" w:rsidRPr="001677A2" w:rsidRDefault="009556CB" w:rsidP="009556CB">
      <w:pPr>
        <w:ind w:left="851"/>
        <w:rPr>
          <w:sz w:val="24"/>
          <w:szCs w:val="24"/>
        </w:rPr>
      </w:pPr>
      <w:r w:rsidRPr="001677A2">
        <w:rPr>
          <w:sz w:val="24"/>
          <w:szCs w:val="24"/>
        </w:rPr>
        <w:t xml:space="preserve">Der er indberettet tilfælde af progressiv multifokal </w:t>
      </w:r>
      <w:proofErr w:type="spellStart"/>
      <w:r w:rsidRPr="001677A2">
        <w:rPr>
          <w:sz w:val="24"/>
          <w:szCs w:val="24"/>
        </w:rPr>
        <w:t>leukoencefalopati</w:t>
      </w:r>
      <w:proofErr w:type="spellEnd"/>
      <w:r w:rsidRPr="001677A2">
        <w:rPr>
          <w:sz w:val="24"/>
          <w:szCs w:val="24"/>
        </w:rPr>
        <w:t xml:space="preserve"> (PML) hos patienter, der får </w:t>
      </w:r>
      <w:proofErr w:type="spellStart"/>
      <w:r w:rsidRPr="001677A2">
        <w:rPr>
          <w:sz w:val="24"/>
          <w:szCs w:val="24"/>
        </w:rPr>
        <w:t>methotrexat</w:t>
      </w:r>
      <w:proofErr w:type="spellEnd"/>
      <w:r w:rsidRPr="001677A2">
        <w:rPr>
          <w:sz w:val="24"/>
          <w:szCs w:val="24"/>
        </w:rPr>
        <w:t xml:space="preserve">, hovedsagelig i kombination med andre immunsuppressive lægemidler. PML kan være dødeligt og bør overvejes ved </w:t>
      </w:r>
      <w:proofErr w:type="spellStart"/>
      <w:r w:rsidRPr="001677A2">
        <w:rPr>
          <w:sz w:val="24"/>
          <w:szCs w:val="24"/>
        </w:rPr>
        <w:t>differentialdiagnosticering</w:t>
      </w:r>
      <w:proofErr w:type="spellEnd"/>
      <w:r w:rsidRPr="001677A2">
        <w:rPr>
          <w:sz w:val="24"/>
          <w:szCs w:val="24"/>
        </w:rPr>
        <w:t xml:space="preserve"> af immunsvækkede patienter med nye eller forværrede neurologiske symptomer.</w:t>
      </w:r>
    </w:p>
    <w:p w:rsidR="009556CB" w:rsidRPr="001677A2" w:rsidRDefault="009556CB" w:rsidP="0023606F">
      <w:pPr>
        <w:ind w:left="851"/>
        <w:rPr>
          <w:color w:val="000000"/>
          <w:sz w:val="24"/>
          <w:szCs w:val="24"/>
        </w:rPr>
      </w:pPr>
    </w:p>
    <w:p w:rsidR="0023606F" w:rsidRPr="001677A2" w:rsidRDefault="0023606F" w:rsidP="0023606F">
      <w:pPr>
        <w:ind w:left="851"/>
        <w:rPr>
          <w:b/>
          <w:sz w:val="24"/>
          <w:szCs w:val="24"/>
        </w:rPr>
      </w:pPr>
      <w:r w:rsidRPr="001677A2">
        <w:rPr>
          <w:b/>
          <w:sz w:val="24"/>
          <w:szCs w:val="24"/>
        </w:rPr>
        <w:t>Fertilitet og reproduktion</w:t>
      </w:r>
    </w:p>
    <w:p w:rsidR="0023606F" w:rsidRPr="001677A2" w:rsidRDefault="0023606F" w:rsidP="0023606F">
      <w:pPr>
        <w:ind w:left="851"/>
        <w:rPr>
          <w:b/>
          <w:sz w:val="24"/>
          <w:szCs w:val="24"/>
        </w:rPr>
      </w:pPr>
    </w:p>
    <w:p w:rsidR="0023606F" w:rsidRPr="001677A2" w:rsidRDefault="0023606F" w:rsidP="0023606F">
      <w:pPr>
        <w:ind w:left="851"/>
        <w:rPr>
          <w:b/>
          <w:sz w:val="24"/>
          <w:szCs w:val="24"/>
        </w:rPr>
      </w:pPr>
      <w:r w:rsidRPr="001677A2">
        <w:rPr>
          <w:b/>
          <w:sz w:val="24"/>
          <w:szCs w:val="24"/>
        </w:rPr>
        <w:t>Fertilitet</w:t>
      </w:r>
    </w:p>
    <w:p w:rsidR="0023606F" w:rsidRPr="001677A2" w:rsidRDefault="0023606F" w:rsidP="0023606F">
      <w:pPr>
        <w:ind w:left="851"/>
        <w:rPr>
          <w:sz w:val="24"/>
          <w:szCs w:val="24"/>
        </w:rPr>
      </w:pPr>
      <w:r w:rsidRPr="001677A2">
        <w:rPr>
          <w:sz w:val="24"/>
          <w:szCs w:val="24"/>
        </w:rPr>
        <w:t xml:space="preserve">Der er rapporter om, at </w:t>
      </w:r>
      <w:proofErr w:type="spellStart"/>
      <w:r w:rsidRPr="001677A2">
        <w:rPr>
          <w:sz w:val="24"/>
          <w:szCs w:val="24"/>
        </w:rPr>
        <w:t>methotrexat</w:t>
      </w:r>
      <w:proofErr w:type="spellEnd"/>
      <w:r w:rsidRPr="001677A2">
        <w:rPr>
          <w:sz w:val="24"/>
          <w:szCs w:val="24"/>
        </w:rPr>
        <w:t xml:space="preserve"> har medført </w:t>
      </w:r>
      <w:proofErr w:type="spellStart"/>
      <w:r w:rsidRPr="001677A2">
        <w:rPr>
          <w:sz w:val="24"/>
          <w:szCs w:val="24"/>
        </w:rPr>
        <w:t>oligospermi</w:t>
      </w:r>
      <w:proofErr w:type="spellEnd"/>
      <w:r w:rsidRPr="001677A2">
        <w:rPr>
          <w:sz w:val="24"/>
          <w:szCs w:val="24"/>
        </w:rPr>
        <w:t xml:space="preserve">, </w:t>
      </w:r>
      <w:proofErr w:type="spellStart"/>
      <w:r w:rsidRPr="001677A2">
        <w:rPr>
          <w:sz w:val="24"/>
          <w:szCs w:val="24"/>
        </w:rPr>
        <w:t>menstruel</w:t>
      </w:r>
      <w:proofErr w:type="spellEnd"/>
      <w:r w:rsidRPr="001677A2">
        <w:rPr>
          <w:sz w:val="24"/>
          <w:szCs w:val="24"/>
        </w:rPr>
        <w:t xml:space="preserve"> dysfunktion og </w:t>
      </w:r>
      <w:proofErr w:type="spellStart"/>
      <w:r w:rsidRPr="001677A2">
        <w:rPr>
          <w:sz w:val="24"/>
          <w:szCs w:val="24"/>
        </w:rPr>
        <w:t>amenorré</w:t>
      </w:r>
      <w:proofErr w:type="spellEnd"/>
      <w:r w:rsidRPr="001677A2">
        <w:rPr>
          <w:sz w:val="24"/>
          <w:szCs w:val="24"/>
        </w:rPr>
        <w:t xml:space="preserve"> hos mennesker under og i en kort periode efter behandlingen, og at det har medført nedsat fertilitet samt påvirket </w:t>
      </w:r>
      <w:proofErr w:type="spellStart"/>
      <w:r w:rsidRPr="001677A2">
        <w:rPr>
          <w:sz w:val="24"/>
          <w:szCs w:val="24"/>
        </w:rPr>
        <w:t>spermatogenesen</w:t>
      </w:r>
      <w:proofErr w:type="spellEnd"/>
      <w:r w:rsidRPr="001677A2">
        <w:rPr>
          <w:sz w:val="24"/>
          <w:szCs w:val="24"/>
        </w:rPr>
        <w:t xml:space="preserve"> og </w:t>
      </w:r>
      <w:proofErr w:type="spellStart"/>
      <w:r w:rsidRPr="001677A2">
        <w:rPr>
          <w:sz w:val="24"/>
          <w:szCs w:val="24"/>
        </w:rPr>
        <w:t>oogenesen</w:t>
      </w:r>
      <w:proofErr w:type="spellEnd"/>
      <w:r w:rsidRPr="001677A2">
        <w:rPr>
          <w:sz w:val="24"/>
          <w:szCs w:val="24"/>
        </w:rPr>
        <w:t xml:space="preserve"> i behandlingsperioden. Disse bivirkninger synes at være reversible efter </w:t>
      </w:r>
      <w:proofErr w:type="spellStart"/>
      <w:r w:rsidRPr="001677A2">
        <w:rPr>
          <w:sz w:val="24"/>
          <w:szCs w:val="24"/>
        </w:rPr>
        <w:t>seponering</w:t>
      </w:r>
      <w:proofErr w:type="spellEnd"/>
      <w:r w:rsidRPr="001677A2">
        <w:rPr>
          <w:sz w:val="24"/>
          <w:szCs w:val="24"/>
        </w:rPr>
        <w:t xml:space="preserve">. </w:t>
      </w:r>
    </w:p>
    <w:p w:rsidR="0023606F" w:rsidRPr="001677A2" w:rsidRDefault="0023606F" w:rsidP="0023606F">
      <w:pPr>
        <w:ind w:left="851"/>
        <w:rPr>
          <w:sz w:val="24"/>
          <w:szCs w:val="24"/>
        </w:rPr>
      </w:pPr>
    </w:p>
    <w:p w:rsidR="0023606F" w:rsidRPr="001677A2" w:rsidRDefault="0023606F" w:rsidP="0023606F">
      <w:pPr>
        <w:ind w:left="851"/>
        <w:rPr>
          <w:b/>
          <w:sz w:val="24"/>
          <w:szCs w:val="24"/>
        </w:rPr>
      </w:pPr>
      <w:proofErr w:type="spellStart"/>
      <w:r w:rsidRPr="001677A2">
        <w:rPr>
          <w:b/>
          <w:sz w:val="24"/>
          <w:szCs w:val="24"/>
        </w:rPr>
        <w:t>Teratogenicitet</w:t>
      </w:r>
      <w:proofErr w:type="spellEnd"/>
      <w:r w:rsidRPr="001677A2">
        <w:rPr>
          <w:b/>
          <w:sz w:val="24"/>
          <w:szCs w:val="24"/>
        </w:rPr>
        <w:t xml:space="preserve"> — reproduktionsrisiko </w:t>
      </w:r>
    </w:p>
    <w:p w:rsidR="0023606F" w:rsidRPr="001677A2" w:rsidRDefault="0023606F" w:rsidP="0023606F">
      <w:pPr>
        <w:ind w:left="851"/>
        <w:rPr>
          <w:sz w:val="24"/>
          <w:szCs w:val="24"/>
        </w:rPr>
      </w:pPr>
      <w:r w:rsidRPr="001677A2">
        <w:rPr>
          <w:sz w:val="24"/>
          <w:szCs w:val="24"/>
        </w:rPr>
        <w:t xml:space="preserve">Hos mennesker medfører </w:t>
      </w:r>
      <w:proofErr w:type="spellStart"/>
      <w:r w:rsidRPr="001677A2">
        <w:rPr>
          <w:sz w:val="24"/>
          <w:szCs w:val="24"/>
        </w:rPr>
        <w:t>methotrexat</w:t>
      </w:r>
      <w:proofErr w:type="spellEnd"/>
      <w:r w:rsidRPr="001677A2">
        <w:rPr>
          <w:sz w:val="24"/>
          <w:szCs w:val="24"/>
        </w:rPr>
        <w:t xml:space="preserve"> desuden embryotoksicitet, abort og fosterdefekter. Derfor bør de mulige risici for påvirkning af reproduktionsevnen, spontan abort og medfødte misdannelser drøftes med kvindelige, fertile patienter (se pkt. 4.6). Graviditet skal være udelukket, før </w:t>
      </w:r>
      <w:proofErr w:type="spellStart"/>
      <w:r w:rsidRPr="001677A2">
        <w:rPr>
          <w:sz w:val="24"/>
          <w:szCs w:val="24"/>
        </w:rPr>
        <w:t>Injexate</w:t>
      </w:r>
      <w:proofErr w:type="spellEnd"/>
      <w:r w:rsidRPr="001677A2">
        <w:rPr>
          <w:sz w:val="24"/>
          <w:szCs w:val="24"/>
        </w:rPr>
        <w:t xml:space="preserve"> anvendes. Hvis kønsmodne kvinder behandles, skal de anvende sikker prævention under og i mindst seks måneder efter behandlingen.</w:t>
      </w:r>
    </w:p>
    <w:p w:rsidR="0023606F" w:rsidRPr="001677A2" w:rsidRDefault="0023606F" w:rsidP="0023606F">
      <w:pPr>
        <w:ind w:left="851"/>
        <w:rPr>
          <w:sz w:val="24"/>
          <w:szCs w:val="24"/>
        </w:rPr>
      </w:pPr>
    </w:p>
    <w:p w:rsidR="0023606F" w:rsidRPr="001677A2" w:rsidRDefault="0023606F" w:rsidP="0023606F">
      <w:pPr>
        <w:ind w:left="851"/>
        <w:rPr>
          <w:sz w:val="24"/>
          <w:szCs w:val="24"/>
        </w:rPr>
      </w:pPr>
      <w:r w:rsidRPr="001677A2">
        <w:rPr>
          <w:sz w:val="24"/>
          <w:szCs w:val="24"/>
        </w:rPr>
        <w:t>Se præventionsrådene til mænd i pkt. 4.6.</w:t>
      </w:r>
    </w:p>
    <w:p w:rsidR="0023606F" w:rsidRPr="001677A2" w:rsidRDefault="0023606F" w:rsidP="0023606F">
      <w:pPr>
        <w:ind w:left="851"/>
        <w:rPr>
          <w:sz w:val="24"/>
          <w:szCs w:val="24"/>
        </w:rPr>
      </w:pPr>
    </w:p>
    <w:p w:rsidR="0023606F" w:rsidRPr="001677A2" w:rsidRDefault="0023606F" w:rsidP="0023606F">
      <w:pPr>
        <w:ind w:left="851"/>
        <w:rPr>
          <w:color w:val="000000"/>
          <w:sz w:val="24"/>
          <w:szCs w:val="24"/>
          <w:u w:val="single"/>
        </w:rPr>
      </w:pPr>
      <w:r w:rsidRPr="001677A2">
        <w:rPr>
          <w:color w:val="000000"/>
          <w:sz w:val="24"/>
          <w:szCs w:val="24"/>
          <w:u w:val="single"/>
        </w:rPr>
        <w:t>Natrium</w:t>
      </w:r>
    </w:p>
    <w:p w:rsidR="0023606F" w:rsidRPr="001677A2" w:rsidRDefault="0023606F" w:rsidP="0023606F">
      <w:pPr>
        <w:ind w:left="851"/>
        <w:rPr>
          <w:color w:val="000000"/>
          <w:sz w:val="24"/>
          <w:szCs w:val="24"/>
        </w:rPr>
      </w:pPr>
      <w:r w:rsidRPr="001677A2">
        <w:rPr>
          <w:color w:val="000000"/>
          <w:sz w:val="24"/>
          <w:szCs w:val="24"/>
        </w:rPr>
        <w:t xml:space="preserve">Dette lægemiddel indeholder mindre end 1 mmol (23 mg) natrium pr. dosis, dvs. det er i det væsentlige ”natriumfrit”. </w:t>
      </w:r>
    </w:p>
    <w:p w:rsidR="0023606F" w:rsidRPr="001677A2" w:rsidRDefault="0023606F" w:rsidP="0023606F">
      <w:pPr>
        <w:ind w:left="851"/>
        <w:rPr>
          <w:sz w:val="24"/>
          <w:szCs w:val="24"/>
        </w:rPr>
      </w:pPr>
    </w:p>
    <w:p w:rsidR="0023606F" w:rsidRPr="001677A2" w:rsidRDefault="0023606F" w:rsidP="0023606F">
      <w:pPr>
        <w:ind w:left="851"/>
        <w:rPr>
          <w:sz w:val="24"/>
          <w:szCs w:val="24"/>
          <w:u w:val="single"/>
        </w:rPr>
      </w:pPr>
      <w:r w:rsidRPr="001677A2">
        <w:rPr>
          <w:sz w:val="24"/>
          <w:szCs w:val="24"/>
          <w:u w:val="single"/>
        </w:rPr>
        <w:t>Pædiatrisk population</w:t>
      </w:r>
    </w:p>
    <w:p w:rsidR="0023606F" w:rsidRPr="001677A2" w:rsidRDefault="0023606F" w:rsidP="0023606F">
      <w:pPr>
        <w:ind w:left="851"/>
        <w:rPr>
          <w:sz w:val="24"/>
          <w:szCs w:val="24"/>
        </w:rPr>
      </w:pPr>
      <w:r w:rsidRPr="001677A2">
        <w:rPr>
          <w:sz w:val="24"/>
          <w:szCs w:val="24"/>
        </w:rPr>
        <w:t>Brug til børn &lt; 3 år anbefales ikke, da der ikke er tilstrækkelige data til rådighed om sikkerhed og virkning for denne population (se pkt. 4.2).</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4.5</w:t>
      </w:r>
      <w:r w:rsidRPr="001677A2">
        <w:rPr>
          <w:b/>
          <w:sz w:val="24"/>
          <w:szCs w:val="24"/>
        </w:rPr>
        <w:tab/>
        <w:t>Interaktion med andre lægemidler og andre former for interaktion</w:t>
      </w:r>
    </w:p>
    <w:p w:rsidR="0023606F" w:rsidRPr="001677A2" w:rsidRDefault="0023606F" w:rsidP="0023606F">
      <w:pPr>
        <w:ind w:left="851"/>
        <w:rPr>
          <w:sz w:val="24"/>
          <w:szCs w:val="24"/>
          <w:u w:val="single"/>
        </w:rPr>
      </w:pPr>
    </w:p>
    <w:p w:rsidR="0023606F" w:rsidRPr="001677A2" w:rsidRDefault="0023606F" w:rsidP="0023606F">
      <w:pPr>
        <w:ind w:left="851"/>
        <w:rPr>
          <w:sz w:val="24"/>
          <w:szCs w:val="24"/>
          <w:u w:val="single"/>
          <w:lang w:eastAsia="da-DK"/>
        </w:rPr>
      </w:pPr>
      <w:r w:rsidRPr="001677A2">
        <w:rPr>
          <w:sz w:val="24"/>
          <w:szCs w:val="24"/>
          <w:u w:val="single"/>
        </w:rPr>
        <w:t xml:space="preserve">Alkohol, </w:t>
      </w:r>
      <w:proofErr w:type="spellStart"/>
      <w:r w:rsidRPr="001677A2">
        <w:rPr>
          <w:sz w:val="24"/>
          <w:szCs w:val="24"/>
          <w:u w:val="single"/>
        </w:rPr>
        <w:t>hepatotoksiske</w:t>
      </w:r>
      <w:proofErr w:type="spellEnd"/>
      <w:r w:rsidRPr="001677A2">
        <w:rPr>
          <w:sz w:val="24"/>
          <w:szCs w:val="24"/>
          <w:u w:val="single"/>
        </w:rPr>
        <w:t xml:space="preserve"> lægemidler, </w:t>
      </w:r>
      <w:proofErr w:type="spellStart"/>
      <w:r w:rsidRPr="001677A2">
        <w:rPr>
          <w:sz w:val="24"/>
          <w:szCs w:val="24"/>
          <w:u w:val="single"/>
        </w:rPr>
        <w:t>hæmatotoksiske</w:t>
      </w:r>
      <w:proofErr w:type="spellEnd"/>
      <w:r w:rsidRPr="001677A2">
        <w:rPr>
          <w:sz w:val="24"/>
          <w:szCs w:val="24"/>
          <w:u w:val="single"/>
        </w:rPr>
        <w:t xml:space="preserve"> lægemidler</w:t>
      </w:r>
    </w:p>
    <w:p w:rsidR="0023606F" w:rsidRPr="001677A2" w:rsidRDefault="0023606F" w:rsidP="0023606F">
      <w:pPr>
        <w:ind w:left="851" w:hanging="851"/>
        <w:rPr>
          <w:sz w:val="24"/>
          <w:szCs w:val="24"/>
        </w:rPr>
      </w:pPr>
    </w:p>
    <w:p w:rsidR="001677A2" w:rsidRPr="001677A2" w:rsidRDefault="001677A2" w:rsidP="001677A2">
      <w:pPr>
        <w:ind w:left="851"/>
        <w:rPr>
          <w:sz w:val="24"/>
          <w:szCs w:val="24"/>
        </w:rPr>
      </w:pPr>
      <w:r w:rsidRPr="001677A2">
        <w:rPr>
          <w:sz w:val="24"/>
          <w:szCs w:val="24"/>
        </w:rPr>
        <w:t xml:space="preserve">Sandsynligheden for, at </w:t>
      </w:r>
      <w:proofErr w:type="spellStart"/>
      <w:r w:rsidRPr="001677A2">
        <w:rPr>
          <w:sz w:val="24"/>
          <w:szCs w:val="24"/>
        </w:rPr>
        <w:t>methotrexat</w:t>
      </w:r>
      <w:proofErr w:type="spellEnd"/>
      <w:r w:rsidRPr="001677A2">
        <w:rPr>
          <w:sz w:val="24"/>
          <w:szCs w:val="24"/>
        </w:rPr>
        <w:t xml:space="preserve"> har en </w:t>
      </w:r>
      <w:proofErr w:type="spellStart"/>
      <w:r w:rsidRPr="001677A2">
        <w:rPr>
          <w:sz w:val="24"/>
          <w:szCs w:val="24"/>
        </w:rPr>
        <w:t>hepatotoksisk</w:t>
      </w:r>
      <w:proofErr w:type="spellEnd"/>
      <w:r w:rsidRPr="001677A2">
        <w:rPr>
          <w:sz w:val="24"/>
          <w:szCs w:val="24"/>
        </w:rPr>
        <w:t xml:space="preserve"> virkning, øges ved regelmæssigt alkoholforbrug, og når andre </w:t>
      </w:r>
      <w:proofErr w:type="spellStart"/>
      <w:r w:rsidRPr="001677A2">
        <w:rPr>
          <w:sz w:val="24"/>
          <w:szCs w:val="24"/>
        </w:rPr>
        <w:t>hepatotoksiske</w:t>
      </w:r>
      <w:proofErr w:type="spellEnd"/>
      <w:r w:rsidRPr="001677A2">
        <w:rPr>
          <w:sz w:val="24"/>
          <w:szCs w:val="24"/>
        </w:rPr>
        <w:t xml:space="preserve"> lægemidler tages samtidigt (se pkt. 4.4). Patienter, der tager andre </w:t>
      </w:r>
      <w:proofErr w:type="spellStart"/>
      <w:r w:rsidRPr="001677A2">
        <w:rPr>
          <w:sz w:val="24"/>
          <w:szCs w:val="24"/>
        </w:rPr>
        <w:t>hepatotoksiske</w:t>
      </w:r>
      <w:proofErr w:type="spellEnd"/>
      <w:r w:rsidRPr="001677A2">
        <w:rPr>
          <w:sz w:val="24"/>
          <w:szCs w:val="24"/>
        </w:rPr>
        <w:t xml:space="preserve"> lægemidler samtidigt (f.eks. </w:t>
      </w:r>
      <w:proofErr w:type="spellStart"/>
      <w:r w:rsidRPr="001677A2">
        <w:rPr>
          <w:sz w:val="24"/>
          <w:szCs w:val="24"/>
        </w:rPr>
        <w:t>leflunomid</w:t>
      </w:r>
      <w:proofErr w:type="spellEnd"/>
      <w:r w:rsidRPr="001677A2">
        <w:rPr>
          <w:sz w:val="24"/>
          <w:szCs w:val="24"/>
        </w:rPr>
        <w:t xml:space="preserve">), bør overvåges særlig tæt. Der bør tages højde for det samme ved samtidig indgift af </w:t>
      </w:r>
      <w:proofErr w:type="spellStart"/>
      <w:r w:rsidRPr="001677A2">
        <w:rPr>
          <w:sz w:val="24"/>
          <w:szCs w:val="24"/>
        </w:rPr>
        <w:t>hæmatotoksiske</w:t>
      </w:r>
      <w:proofErr w:type="spellEnd"/>
      <w:r w:rsidRPr="001677A2">
        <w:rPr>
          <w:sz w:val="24"/>
          <w:szCs w:val="24"/>
        </w:rPr>
        <w:t xml:space="preserve"> lægemidler (f.eks. </w:t>
      </w:r>
      <w:proofErr w:type="spellStart"/>
      <w:r w:rsidRPr="001677A2">
        <w:rPr>
          <w:sz w:val="24"/>
          <w:szCs w:val="24"/>
        </w:rPr>
        <w:t>leflunomid</w:t>
      </w:r>
      <w:proofErr w:type="spellEnd"/>
      <w:r w:rsidRPr="001677A2">
        <w:rPr>
          <w:sz w:val="24"/>
          <w:szCs w:val="24"/>
        </w:rPr>
        <w:t xml:space="preserve">, </w:t>
      </w:r>
      <w:proofErr w:type="spellStart"/>
      <w:r w:rsidRPr="001677A2">
        <w:rPr>
          <w:sz w:val="24"/>
          <w:szCs w:val="24"/>
        </w:rPr>
        <w:t>azathioprin</w:t>
      </w:r>
      <w:proofErr w:type="spellEnd"/>
      <w:r w:rsidRPr="001677A2">
        <w:rPr>
          <w:sz w:val="24"/>
          <w:szCs w:val="24"/>
        </w:rPr>
        <w:t xml:space="preserve">, </w:t>
      </w:r>
      <w:proofErr w:type="spellStart"/>
      <w:r w:rsidRPr="001677A2">
        <w:rPr>
          <w:sz w:val="24"/>
          <w:szCs w:val="24"/>
        </w:rPr>
        <w:t>retinoider</w:t>
      </w:r>
      <w:proofErr w:type="spellEnd"/>
      <w:r w:rsidRPr="001677A2">
        <w:rPr>
          <w:sz w:val="24"/>
          <w:szCs w:val="24"/>
        </w:rPr>
        <w:t xml:space="preserve">, </w:t>
      </w:r>
      <w:proofErr w:type="spellStart"/>
      <w:r w:rsidRPr="001677A2">
        <w:rPr>
          <w:sz w:val="24"/>
          <w:szCs w:val="24"/>
        </w:rPr>
        <w:t>sulfasalazin</w:t>
      </w:r>
      <w:proofErr w:type="spellEnd"/>
      <w:r w:rsidRPr="001677A2">
        <w:rPr>
          <w:sz w:val="24"/>
          <w:szCs w:val="24"/>
        </w:rPr>
        <w:t xml:space="preserve">). </w:t>
      </w:r>
      <w:proofErr w:type="spellStart"/>
      <w:r w:rsidRPr="001677A2">
        <w:rPr>
          <w:sz w:val="24"/>
          <w:szCs w:val="24"/>
        </w:rPr>
        <w:t>Incidensen</w:t>
      </w:r>
      <w:proofErr w:type="spellEnd"/>
      <w:r w:rsidRPr="001677A2">
        <w:rPr>
          <w:sz w:val="24"/>
          <w:szCs w:val="24"/>
        </w:rPr>
        <w:t xml:space="preserve"> af </w:t>
      </w:r>
      <w:proofErr w:type="spellStart"/>
      <w:r w:rsidRPr="001677A2">
        <w:rPr>
          <w:sz w:val="24"/>
          <w:szCs w:val="24"/>
        </w:rPr>
        <w:t>pancytopeni</w:t>
      </w:r>
      <w:proofErr w:type="spellEnd"/>
      <w:r w:rsidRPr="001677A2">
        <w:rPr>
          <w:sz w:val="24"/>
          <w:szCs w:val="24"/>
        </w:rPr>
        <w:t xml:space="preserve"> og </w:t>
      </w:r>
      <w:proofErr w:type="spellStart"/>
      <w:r w:rsidRPr="001677A2">
        <w:rPr>
          <w:sz w:val="24"/>
          <w:szCs w:val="24"/>
        </w:rPr>
        <w:t>hepatotoksicitet</w:t>
      </w:r>
      <w:proofErr w:type="spellEnd"/>
      <w:r w:rsidRPr="001677A2">
        <w:rPr>
          <w:sz w:val="24"/>
          <w:szCs w:val="24"/>
        </w:rPr>
        <w:t xml:space="preserve"> kan øges, når </w:t>
      </w:r>
      <w:proofErr w:type="spellStart"/>
      <w:r w:rsidRPr="001677A2">
        <w:rPr>
          <w:sz w:val="24"/>
          <w:szCs w:val="24"/>
        </w:rPr>
        <w:t>leflunomid</w:t>
      </w:r>
      <w:proofErr w:type="spellEnd"/>
      <w:r w:rsidRPr="001677A2">
        <w:rPr>
          <w:sz w:val="24"/>
          <w:szCs w:val="24"/>
        </w:rPr>
        <w:t xml:space="preserve"> kombineres med </w:t>
      </w:r>
      <w:proofErr w:type="spellStart"/>
      <w:r w:rsidRPr="001677A2">
        <w:rPr>
          <w:sz w:val="24"/>
          <w:szCs w:val="24"/>
        </w:rPr>
        <w:t>methotrexat</w:t>
      </w:r>
      <w:proofErr w:type="spellEnd"/>
      <w:r w:rsidRPr="001677A2">
        <w:rPr>
          <w:sz w:val="24"/>
          <w:szCs w:val="24"/>
        </w:rPr>
        <w:t xml:space="preserve">. Administration af andre </w:t>
      </w:r>
      <w:proofErr w:type="spellStart"/>
      <w:r w:rsidRPr="001677A2">
        <w:rPr>
          <w:sz w:val="24"/>
          <w:szCs w:val="24"/>
        </w:rPr>
        <w:t>hæmatotoksiske</w:t>
      </w:r>
      <w:proofErr w:type="spellEnd"/>
      <w:r w:rsidRPr="001677A2">
        <w:rPr>
          <w:sz w:val="24"/>
          <w:szCs w:val="24"/>
        </w:rPr>
        <w:t xml:space="preserve"> lægemidler øger sandsynligheden </w:t>
      </w:r>
      <w:r w:rsidRPr="001677A2">
        <w:rPr>
          <w:sz w:val="24"/>
          <w:szCs w:val="24"/>
        </w:rPr>
        <w:lastRenderedPageBreak/>
        <w:t xml:space="preserve">for alvorlige </w:t>
      </w:r>
      <w:proofErr w:type="spellStart"/>
      <w:r w:rsidRPr="001677A2">
        <w:rPr>
          <w:sz w:val="24"/>
          <w:szCs w:val="24"/>
        </w:rPr>
        <w:t>hæmatotoksiske</w:t>
      </w:r>
      <w:proofErr w:type="spellEnd"/>
      <w:r w:rsidRPr="001677A2">
        <w:rPr>
          <w:sz w:val="24"/>
          <w:szCs w:val="24"/>
        </w:rPr>
        <w:t xml:space="preserve"> bivirkninger af </w:t>
      </w:r>
      <w:proofErr w:type="spellStart"/>
      <w:r w:rsidRPr="001677A2">
        <w:rPr>
          <w:sz w:val="24"/>
          <w:szCs w:val="24"/>
        </w:rPr>
        <w:t>methotrexat</w:t>
      </w:r>
      <w:proofErr w:type="spellEnd"/>
      <w:r w:rsidRPr="001677A2">
        <w:rPr>
          <w:sz w:val="24"/>
          <w:szCs w:val="24"/>
        </w:rPr>
        <w:t xml:space="preserve">. Samtidig administration af </w:t>
      </w:r>
      <w:proofErr w:type="spellStart"/>
      <w:r w:rsidRPr="001677A2">
        <w:rPr>
          <w:sz w:val="24"/>
          <w:szCs w:val="24"/>
        </w:rPr>
        <w:t>metamizol</w:t>
      </w:r>
      <w:proofErr w:type="spellEnd"/>
      <w:r w:rsidRPr="001677A2">
        <w:rPr>
          <w:sz w:val="24"/>
          <w:szCs w:val="24"/>
        </w:rPr>
        <w:t xml:space="preserve"> og </w:t>
      </w:r>
      <w:proofErr w:type="spellStart"/>
      <w:r w:rsidRPr="001677A2">
        <w:rPr>
          <w:sz w:val="24"/>
          <w:szCs w:val="24"/>
        </w:rPr>
        <w:t>methotrexat</w:t>
      </w:r>
      <w:proofErr w:type="spellEnd"/>
      <w:r w:rsidRPr="001677A2">
        <w:rPr>
          <w:sz w:val="24"/>
          <w:szCs w:val="24"/>
        </w:rPr>
        <w:t xml:space="preserve"> kan øge </w:t>
      </w:r>
      <w:proofErr w:type="spellStart"/>
      <w:r w:rsidRPr="001677A2">
        <w:rPr>
          <w:sz w:val="24"/>
          <w:szCs w:val="24"/>
        </w:rPr>
        <w:t>methotrexats</w:t>
      </w:r>
      <w:proofErr w:type="spellEnd"/>
      <w:r w:rsidRPr="001677A2">
        <w:rPr>
          <w:sz w:val="24"/>
          <w:szCs w:val="24"/>
        </w:rPr>
        <w:t xml:space="preserve"> </w:t>
      </w:r>
      <w:proofErr w:type="spellStart"/>
      <w:r w:rsidRPr="001677A2">
        <w:rPr>
          <w:sz w:val="24"/>
          <w:szCs w:val="24"/>
        </w:rPr>
        <w:t>hæmatotoksiske</w:t>
      </w:r>
      <w:proofErr w:type="spellEnd"/>
      <w:r w:rsidRPr="001677A2">
        <w:rPr>
          <w:sz w:val="24"/>
          <w:szCs w:val="24"/>
        </w:rPr>
        <w:t xml:space="preserve"> virkning, især hos ældre patienter. Samtidig administration bør derfor undgås. </w:t>
      </w:r>
    </w:p>
    <w:p w:rsidR="001677A2" w:rsidRPr="001677A2" w:rsidRDefault="001677A2" w:rsidP="009556CB">
      <w:pPr>
        <w:ind w:left="851"/>
        <w:rPr>
          <w:sz w:val="24"/>
          <w:szCs w:val="24"/>
          <w:u w:val="single"/>
        </w:rPr>
      </w:pPr>
    </w:p>
    <w:p w:rsidR="009556CB" w:rsidRPr="001677A2" w:rsidRDefault="009556CB" w:rsidP="009556CB">
      <w:pPr>
        <w:ind w:left="851"/>
        <w:rPr>
          <w:sz w:val="24"/>
          <w:szCs w:val="24"/>
          <w:lang w:eastAsia="da-DK"/>
        </w:rPr>
      </w:pPr>
      <w:proofErr w:type="spellStart"/>
      <w:r w:rsidRPr="001677A2">
        <w:rPr>
          <w:sz w:val="24"/>
          <w:szCs w:val="24"/>
          <w:u w:val="single"/>
        </w:rPr>
        <w:t>Dinitrogenoxid</w:t>
      </w:r>
      <w:proofErr w:type="spellEnd"/>
      <w:r w:rsidRPr="001677A2">
        <w:rPr>
          <w:sz w:val="24"/>
          <w:szCs w:val="24"/>
          <w:lang w:eastAsia="da-DK"/>
        </w:rPr>
        <w:t xml:space="preserve"> </w:t>
      </w:r>
    </w:p>
    <w:p w:rsidR="0023606F" w:rsidRPr="001677A2" w:rsidRDefault="0023606F" w:rsidP="009556CB">
      <w:pPr>
        <w:ind w:left="851"/>
        <w:rPr>
          <w:sz w:val="24"/>
          <w:szCs w:val="24"/>
        </w:rPr>
      </w:pPr>
    </w:p>
    <w:p w:rsidR="009556CB" w:rsidRPr="001677A2" w:rsidRDefault="0023606F" w:rsidP="009556CB">
      <w:pPr>
        <w:ind w:left="851"/>
        <w:rPr>
          <w:sz w:val="24"/>
          <w:szCs w:val="24"/>
          <w:lang w:eastAsia="da-DK"/>
        </w:rPr>
      </w:pPr>
      <w:r w:rsidRPr="001677A2">
        <w:rPr>
          <w:sz w:val="24"/>
          <w:szCs w:val="24"/>
        </w:rPr>
        <w:t xml:space="preserve">Anvendelse af </w:t>
      </w:r>
      <w:proofErr w:type="spellStart"/>
      <w:r w:rsidRPr="001677A2">
        <w:rPr>
          <w:sz w:val="24"/>
          <w:szCs w:val="24"/>
        </w:rPr>
        <w:t>dinitrogenoxid</w:t>
      </w:r>
      <w:proofErr w:type="spellEnd"/>
      <w:r w:rsidRPr="001677A2">
        <w:rPr>
          <w:sz w:val="24"/>
          <w:szCs w:val="24"/>
        </w:rPr>
        <w:t xml:space="preserve"> forstærker </w:t>
      </w:r>
      <w:proofErr w:type="spellStart"/>
      <w:r w:rsidRPr="001677A2">
        <w:rPr>
          <w:sz w:val="24"/>
          <w:szCs w:val="24"/>
        </w:rPr>
        <w:t>methotrexats</w:t>
      </w:r>
      <w:proofErr w:type="spellEnd"/>
      <w:r w:rsidRPr="001677A2">
        <w:rPr>
          <w:sz w:val="24"/>
          <w:szCs w:val="24"/>
        </w:rPr>
        <w:t xml:space="preserve"> indvirkning på </w:t>
      </w:r>
      <w:proofErr w:type="spellStart"/>
      <w:r w:rsidRPr="001677A2">
        <w:rPr>
          <w:sz w:val="24"/>
          <w:szCs w:val="24"/>
        </w:rPr>
        <w:t>folat</w:t>
      </w:r>
      <w:proofErr w:type="spellEnd"/>
      <w:r w:rsidRPr="001677A2">
        <w:rPr>
          <w:sz w:val="24"/>
          <w:szCs w:val="24"/>
        </w:rPr>
        <w:t xml:space="preserve">, hvilket kan medføre øget toksicitet i form af f.eks. uforudsigelig </w:t>
      </w:r>
      <w:proofErr w:type="spellStart"/>
      <w:r w:rsidRPr="001677A2">
        <w:rPr>
          <w:sz w:val="24"/>
          <w:szCs w:val="24"/>
        </w:rPr>
        <w:t>myelosuppression</w:t>
      </w:r>
      <w:proofErr w:type="spellEnd"/>
      <w:r w:rsidRPr="001677A2">
        <w:rPr>
          <w:sz w:val="24"/>
          <w:szCs w:val="24"/>
        </w:rPr>
        <w:t xml:space="preserve"> og </w:t>
      </w:r>
      <w:proofErr w:type="spellStart"/>
      <w:r w:rsidRPr="001677A2">
        <w:rPr>
          <w:sz w:val="24"/>
          <w:szCs w:val="24"/>
        </w:rPr>
        <w:t>stomatit</w:t>
      </w:r>
      <w:proofErr w:type="spellEnd"/>
      <w:r w:rsidRPr="001677A2">
        <w:rPr>
          <w:sz w:val="24"/>
          <w:szCs w:val="24"/>
        </w:rPr>
        <w:t xml:space="preserve">. Selvom denne interaktion kan reduceres ved at administrere </w:t>
      </w:r>
      <w:proofErr w:type="spellStart"/>
      <w:r w:rsidRPr="001677A2">
        <w:rPr>
          <w:sz w:val="24"/>
          <w:szCs w:val="24"/>
        </w:rPr>
        <w:t>calciumfolinat</w:t>
      </w:r>
      <w:proofErr w:type="spellEnd"/>
      <w:r w:rsidRPr="001677A2">
        <w:rPr>
          <w:sz w:val="24"/>
          <w:szCs w:val="24"/>
        </w:rPr>
        <w:t xml:space="preserve">, bør samtidig anvendelse </w:t>
      </w:r>
      <w:r w:rsidR="009556CB" w:rsidRPr="001677A2">
        <w:rPr>
          <w:sz w:val="24"/>
          <w:szCs w:val="24"/>
        </w:rPr>
        <w:t xml:space="preserve">af </w:t>
      </w:r>
      <w:proofErr w:type="spellStart"/>
      <w:r w:rsidR="009556CB" w:rsidRPr="001677A2">
        <w:rPr>
          <w:sz w:val="24"/>
          <w:szCs w:val="24"/>
        </w:rPr>
        <w:t>dinitrogenoxid</w:t>
      </w:r>
      <w:proofErr w:type="spellEnd"/>
      <w:r w:rsidR="009556CB" w:rsidRPr="001677A2">
        <w:rPr>
          <w:sz w:val="24"/>
          <w:szCs w:val="24"/>
        </w:rPr>
        <w:t xml:space="preserve"> og </w:t>
      </w:r>
      <w:proofErr w:type="spellStart"/>
      <w:r w:rsidR="009556CB" w:rsidRPr="001677A2">
        <w:rPr>
          <w:sz w:val="24"/>
          <w:szCs w:val="24"/>
        </w:rPr>
        <w:t>methotrexat</w:t>
      </w:r>
      <w:proofErr w:type="spellEnd"/>
      <w:r w:rsidR="009556CB" w:rsidRPr="001677A2">
        <w:rPr>
          <w:sz w:val="24"/>
          <w:szCs w:val="24"/>
        </w:rPr>
        <w:t xml:space="preserve"> undgås</w:t>
      </w:r>
      <w:r w:rsidR="009556CB" w:rsidRPr="001677A2">
        <w:rPr>
          <w:sz w:val="24"/>
          <w:szCs w:val="24"/>
          <w:lang w:eastAsia="da-DK"/>
        </w:rPr>
        <w:t xml:space="preserve"> </w:t>
      </w:r>
    </w:p>
    <w:p w:rsidR="0023606F" w:rsidRPr="001677A2" w:rsidRDefault="0023606F" w:rsidP="0023606F">
      <w:pPr>
        <w:ind w:left="851" w:hanging="851"/>
        <w:rPr>
          <w:sz w:val="24"/>
          <w:szCs w:val="24"/>
        </w:rPr>
      </w:pPr>
    </w:p>
    <w:p w:rsidR="0023606F" w:rsidRPr="001677A2" w:rsidRDefault="0023606F" w:rsidP="0023606F">
      <w:pPr>
        <w:ind w:left="851"/>
        <w:rPr>
          <w:color w:val="000000"/>
          <w:sz w:val="24"/>
          <w:szCs w:val="24"/>
        </w:rPr>
      </w:pPr>
      <w:r w:rsidRPr="001677A2">
        <w:rPr>
          <w:color w:val="000000"/>
          <w:sz w:val="24"/>
          <w:szCs w:val="24"/>
        </w:rPr>
        <w:t xml:space="preserve">Kombinationsbehandling med </w:t>
      </w:r>
      <w:proofErr w:type="spellStart"/>
      <w:r w:rsidRPr="001677A2">
        <w:rPr>
          <w:color w:val="000000"/>
          <w:sz w:val="24"/>
          <w:szCs w:val="24"/>
        </w:rPr>
        <w:t>methotrexat</w:t>
      </w:r>
      <w:proofErr w:type="spellEnd"/>
      <w:r w:rsidRPr="001677A2">
        <w:rPr>
          <w:color w:val="000000"/>
          <w:sz w:val="24"/>
          <w:szCs w:val="24"/>
        </w:rPr>
        <w:t xml:space="preserve"> og </w:t>
      </w:r>
      <w:proofErr w:type="spellStart"/>
      <w:r w:rsidRPr="001677A2">
        <w:rPr>
          <w:color w:val="000000"/>
          <w:sz w:val="24"/>
          <w:szCs w:val="24"/>
        </w:rPr>
        <w:t>retinoider</w:t>
      </w:r>
      <w:proofErr w:type="spellEnd"/>
      <w:r w:rsidRPr="001677A2">
        <w:rPr>
          <w:color w:val="000000"/>
          <w:sz w:val="24"/>
          <w:szCs w:val="24"/>
        </w:rPr>
        <w:t xml:space="preserve"> såsom </w:t>
      </w:r>
      <w:proofErr w:type="spellStart"/>
      <w:r w:rsidRPr="001677A2">
        <w:rPr>
          <w:color w:val="000000"/>
          <w:sz w:val="24"/>
          <w:szCs w:val="24"/>
        </w:rPr>
        <w:t>acitretin</w:t>
      </w:r>
      <w:proofErr w:type="spellEnd"/>
      <w:r w:rsidRPr="001677A2">
        <w:rPr>
          <w:color w:val="000000"/>
          <w:sz w:val="24"/>
          <w:szCs w:val="24"/>
        </w:rPr>
        <w:t xml:space="preserve"> eller </w:t>
      </w:r>
      <w:proofErr w:type="spellStart"/>
      <w:r w:rsidRPr="001677A2">
        <w:rPr>
          <w:color w:val="000000"/>
          <w:sz w:val="24"/>
          <w:szCs w:val="24"/>
        </w:rPr>
        <w:t>etretinat</w:t>
      </w:r>
      <w:proofErr w:type="spellEnd"/>
      <w:r w:rsidRPr="001677A2">
        <w:rPr>
          <w:color w:val="000000"/>
          <w:sz w:val="24"/>
          <w:szCs w:val="24"/>
        </w:rPr>
        <w:t xml:space="preserve"> øger risikoen for </w:t>
      </w:r>
      <w:proofErr w:type="spellStart"/>
      <w:r w:rsidRPr="001677A2">
        <w:rPr>
          <w:color w:val="000000"/>
          <w:sz w:val="24"/>
          <w:szCs w:val="24"/>
        </w:rPr>
        <w:t>hepatotoksicitet</w:t>
      </w:r>
      <w:proofErr w:type="spellEnd"/>
      <w:r w:rsidRPr="001677A2">
        <w:rPr>
          <w:color w:val="000000"/>
          <w:sz w:val="24"/>
          <w:szCs w:val="24"/>
        </w:rPr>
        <w:t xml:space="preserve">. </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Orale antibiotika</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Orale antibiotika såsom </w:t>
      </w:r>
      <w:proofErr w:type="spellStart"/>
      <w:r w:rsidRPr="001677A2">
        <w:rPr>
          <w:sz w:val="24"/>
          <w:szCs w:val="24"/>
        </w:rPr>
        <w:t>tetracycliner</w:t>
      </w:r>
      <w:proofErr w:type="spellEnd"/>
      <w:r w:rsidRPr="001677A2">
        <w:rPr>
          <w:sz w:val="24"/>
          <w:szCs w:val="24"/>
        </w:rPr>
        <w:t xml:space="preserve">, </w:t>
      </w:r>
      <w:proofErr w:type="spellStart"/>
      <w:r w:rsidRPr="001677A2">
        <w:rPr>
          <w:sz w:val="24"/>
          <w:szCs w:val="24"/>
        </w:rPr>
        <w:t>chloramfenicol</w:t>
      </w:r>
      <w:proofErr w:type="spellEnd"/>
      <w:r w:rsidRPr="001677A2">
        <w:rPr>
          <w:sz w:val="24"/>
          <w:szCs w:val="24"/>
        </w:rPr>
        <w:t xml:space="preserve"> og ikke-absorberbar bredspektret antibiotika kan påvirke den </w:t>
      </w:r>
      <w:proofErr w:type="spellStart"/>
      <w:r w:rsidRPr="001677A2">
        <w:rPr>
          <w:sz w:val="24"/>
          <w:szCs w:val="24"/>
        </w:rPr>
        <w:t>enterohepatiske</w:t>
      </w:r>
      <w:proofErr w:type="spellEnd"/>
      <w:r w:rsidRPr="001677A2">
        <w:rPr>
          <w:sz w:val="24"/>
          <w:szCs w:val="24"/>
        </w:rPr>
        <w:t xml:space="preserve"> cirkulation igennem hæmning af tarmfloraen eller suppression af den bakterielle metabolisme.</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Antibiotika</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Antibiotika såsom penicilliner, </w:t>
      </w:r>
      <w:proofErr w:type="spellStart"/>
      <w:r w:rsidRPr="001677A2">
        <w:rPr>
          <w:sz w:val="24"/>
          <w:szCs w:val="24"/>
        </w:rPr>
        <w:t>glykopeptider</w:t>
      </w:r>
      <w:proofErr w:type="spellEnd"/>
      <w:r w:rsidRPr="001677A2">
        <w:rPr>
          <w:sz w:val="24"/>
          <w:szCs w:val="24"/>
        </w:rPr>
        <w:t xml:space="preserve">, sulfonamider, </w:t>
      </w:r>
      <w:proofErr w:type="spellStart"/>
      <w:r w:rsidRPr="001677A2">
        <w:rPr>
          <w:sz w:val="24"/>
          <w:szCs w:val="24"/>
        </w:rPr>
        <w:t>ciprofloxacin</w:t>
      </w:r>
      <w:proofErr w:type="spellEnd"/>
      <w:r w:rsidRPr="001677A2">
        <w:rPr>
          <w:sz w:val="24"/>
          <w:szCs w:val="24"/>
        </w:rPr>
        <w:t xml:space="preserve"> og </w:t>
      </w:r>
      <w:proofErr w:type="spellStart"/>
      <w:r w:rsidRPr="001677A2">
        <w:rPr>
          <w:sz w:val="24"/>
          <w:szCs w:val="24"/>
        </w:rPr>
        <w:t>cefalotin</w:t>
      </w:r>
      <w:proofErr w:type="spellEnd"/>
      <w:r w:rsidRPr="001677A2">
        <w:rPr>
          <w:sz w:val="24"/>
          <w:szCs w:val="24"/>
        </w:rPr>
        <w:t xml:space="preserve"> kan hos enkelte patienter reducere den </w:t>
      </w:r>
      <w:proofErr w:type="spellStart"/>
      <w:r w:rsidRPr="001677A2">
        <w:rPr>
          <w:sz w:val="24"/>
          <w:szCs w:val="24"/>
        </w:rPr>
        <w:t>renale</w:t>
      </w:r>
      <w:proofErr w:type="spellEnd"/>
      <w:r w:rsidRPr="001677A2">
        <w:rPr>
          <w:sz w:val="24"/>
          <w:szCs w:val="24"/>
        </w:rPr>
        <w:t xml:space="preserve"> </w:t>
      </w:r>
      <w:proofErr w:type="spellStart"/>
      <w:r w:rsidRPr="001677A2">
        <w:rPr>
          <w:sz w:val="24"/>
          <w:szCs w:val="24"/>
        </w:rPr>
        <w:t>clearance</w:t>
      </w:r>
      <w:proofErr w:type="spellEnd"/>
      <w:r w:rsidRPr="001677A2">
        <w:rPr>
          <w:sz w:val="24"/>
          <w:szCs w:val="24"/>
        </w:rPr>
        <w:t xml:space="preserve"> af </w:t>
      </w:r>
      <w:proofErr w:type="spellStart"/>
      <w:r w:rsidRPr="001677A2">
        <w:rPr>
          <w:sz w:val="24"/>
          <w:szCs w:val="24"/>
        </w:rPr>
        <w:t>methotrexat</w:t>
      </w:r>
      <w:proofErr w:type="spellEnd"/>
      <w:r w:rsidRPr="001677A2">
        <w:rPr>
          <w:sz w:val="24"/>
          <w:szCs w:val="24"/>
        </w:rPr>
        <w:t xml:space="preserve">, således at der forekommer øgede serumkoncentrationer af </w:t>
      </w:r>
      <w:proofErr w:type="spellStart"/>
      <w:r w:rsidRPr="001677A2">
        <w:rPr>
          <w:sz w:val="24"/>
          <w:szCs w:val="24"/>
        </w:rPr>
        <w:t>methotrexat</w:t>
      </w:r>
      <w:proofErr w:type="spellEnd"/>
      <w:r w:rsidRPr="001677A2">
        <w:rPr>
          <w:sz w:val="24"/>
          <w:szCs w:val="24"/>
        </w:rPr>
        <w:t xml:space="preserve"> med samtidig hæmatologisk og </w:t>
      </w:r>
      <w:proofErr w:type="spellStart"/>
      <w:r w:rsidRPr="001677A2">
        <w:rPr>
          <w:sz w:val="24"/>
          <w:szCs w:val="24"/>
        </w:rPr>
        <w:t>gastrointestinal</w:t>
      </w:r>
      <w:proofErr w:type="spellEnd"/>
      <w:r w:rsidRPr="001677A2">
        <w:rPr>
          <w:sz w:val="24"/>
          <w:szCs w:val="24"/>
        </w:rPr>
        <w:t xml:space="preserve"> toksicitet.</w:t>
      </w:r>
    </w:p>
    <w:p w:rsidR="0023606F" w:rsidRPr="001677A2" w:rsidRDefault="0023606F" w:rsidP="0023606F">
      <w:pPr>
        <w:ind w:left="851" w:hanging="851"/>
        <w:rPr>
          <w:sz w:val="24"/>
          <w:szCs w:val="24"/>
        </w:rPr>
      </w:pPr>
    </w:p>
    <w:p w:rsidR="0023606F" w:rsidRPr="001677A2" w:rsidRDefault="0023606F" w:rsidP="0023606F">
      <w:pPr>
        <w:ind w:left="851"/>
        <w:rPr>
          <w:color w:val="000000"/>
          <w:sz w:val="24"/>
          <w:szCs w:val="24"/>
          <w:u w:val="single"/>
        </w:rPr>
      </w:pPr>
      <w:r w:rsidRPr="001677A2">
        <w:rPr>
          <w:color w:val="000000"/>
          <w:sz w:val="24"/>
          <w:szCs w:val="24"/>
          <w:u w:val="single"/>
        </w:rPr>
        <w:t xml:space="preserve">Lægemidler med høj plasmaproteinbinding </w:t>
      </w:r>
    </w:p>
    <w:p w:rsidR="0023606F" w:rsidRPr="001677A2" w:rsidRDefault="0023606F" w:rsidP="0023606F">
      <w:pPr>
        <w:ind w:left="851" w:hanging="851"/>
        <w:rPr>
          <w:sz w:val="24"/>
          <w:szCs w:val="24"/>
        </w:rPr>
      </w:pPr>
    </w:p>
    <w:p w:rsidR="0023606F" w:rsidRPr="001677A2" w:rsidRDefault="0023606F" w:rsidP="0023606F">
      <w:pPr>
        <w:ind w:left="851"/>
        <w:rPr>
          <w:color w:val="000000"/>
          <w:sz w:val="24"/>
          <w:szCs w:val="24"/>
        </w:rPr>
      </w:pPr>
      <w:proofErr w:type="spellStart"/>
      <w:r w:rsidRPr="001677A2">
        <w:rPr>
          <w:color w:val="000000"/>
          <w:sz w:val="24"/>
          <w:szCs w:val="24"/>
        </w:rPr>
        <w:t>Methotrexat</w:t>
      </w:r>
      <w:proofErr w:type="spellEnd"/>
      <w:r w:rsidRPr="001677A2">
        <w:rPr>
          <w:color w:val="000000"/>
          <w:sz w:val="24"/>
          <w:szCs w:val="24"/>
        </w:rPr>
        <w:t xml:space="preserve"> binder til plasmaprotein og kan blive fortrængt af andre proteinbundne lægemidler såsom </w:t>
      </w:r>
      <w:proofErr w:type="spellStart"/>
      <w:r w:rsidRPr="001677A2">
        <w:rPr>
          <w:color w:val="000000"/>
          <w:sz w:val="24"/>
          <w:szCs w:val="24"/>
        </w:rPr>
        <w:t>salicylater</w:t>
      </w:r>
      <w:proofErr w:type="spellEnd"/>
      <w:r w:rsidRPr="001677A2">
        <w:rPr>
          <w:color w:val="000000"/>
          <w:sz w:val="24"/>
          <w:szCs w:val="24"/>
        </w:rPr>
        <w:t xml:space="preserve">, </w:t>
      </w:r>
      <w:proofErr w:type="spellStart"/>
      <w:r w:rsidRPr="001677A2">
        <w:rPr>
          <w:color w:val="000000"/>
          <w:sz w:val="24"/>
          <w:szCs w:val="24"/>
        </w:rPr>
        <w:t>hypoglykæmika</w:t>
      </w:r>
      <w:proofErr w:type="spellEnd"/>
      <w:r w:rsidRPr="001677A2">
        <w:rPr>
          <w:color w:val="000000"/>
          <w:sz w:val="24"/>
          <w:szCs w:val="24"/>
        </w:rPr>
        <w:t xml:space="preserve">, </w:t>
      </w:r>
      <w:proofErr w:type="spellStart"/>
      <w:r w:rsidRPr="001677A2">
        <w:rPr>
          <w:color w:val="000000"/>
          <w:sz w:val="24"/>
          <w:szCs w:val="24"/>
        </w:rPr>
        <w:t>diuretika</w:t>
      </w:r>
      <w:proofErr w:type="spellEnd"/>
      <w:r w:rsidRPr="001677A2">
        <w:rPr>
          <w:color w:val="000000"/>
          <w:sz w:val="24"/>
          <w:szCs w:val="24"/>
        </w:rPr>
        <w:t xml:space="preserve">, sulfonamider, </w:t>
      </w:r>
      <w:proofErr w:type="spellStart"/>
      <w:r w:rsidRPr="001677A2">
        <w:rPr>
          <w:color w:val="000000"/>
          <w:sz w:val="24"/>
          <w:szCs w:val="24"/>
        </w:rPr>
        <w:t>difenylhydantoiner</w:t>
      </w:r>
      <w:proofErr w:type="spellEnd"/>
      <w:r w:rsidRPr="001677A2">
        <w:rPr>
          <w:color w:val="000000"/>
          <w:sz w:val="24"/>
          <w:szCs w:val="24"/>
        </w:rPr>
        <w:t xml:space="preserve">, </w:t>
      </w:r>
      <w:proofErr w:type="spellStart"/>
      <w:r w:rsidRPr="001677A2">
        <w:rPr>
          <w:color w:val="000000"/>
          <w:sz w:val="24"/>
          <w:szCs w:val="24"/>
        </w:rPr>
        <w:t>tetracycliner</w:t>
      </w:r>
      <w:proofErr w:type="spellEnd"/>
      <w:r w:rsidRPr="001677A2">
        <w:rPr>
          <w:color w:val="000000"/>
          <w:sz w:val="24"/>
          <w:szCs w:val="24"/>
        </w:rPr>
        <w:t xml:space="preserve">, </w:t>
      </w:r>
      <w:proofErr w:type="spellStart"/>
      <w:r w:rsidRPr="001677A2">
        <w:rPr>
          <w:color w:val="000000"/>
          <w:sz w:val="24"/>
          <w:szCs w:val="24"/>
        </w:rPr>
        <w:t>chloramfenicol</w:t>
      </w:r>
      <w:proofErr w:type="spellEnd"/>
      <w:r w:rsidRPr="001677A2">
        <w:rPr>
          <w:color w:val="000000"/>
          <w:sz w:val="24"/>
          <w:szCs w:val="24"/>
        </w:rPr>
        <w:t xml:space="preserve"> og p-</w:t>
      </w:r>
      <w:proofErr w:type="spellStart"/>
      <w:r w:rsidRPr="001677A2">
        <w:rPr>
          <w:color w:val="000000"/>
          <w:sz w:val="24"/>
          <w:szCs w:val="24"/>
        </w:rPr>
        <w:t>aminobenzoidsyre</w:t>
      </w:r>
      <w:proofErr w:type="spellEnd"/>
      <w:r w:rsidRPr="001677A2">
        <w:rPr>
          <w:color w:val="000000"/>
          <w:sz w:val="24"/>
          <w:szCs w:val="24"/>
        </w:rPr>
        <w:t xml:space="preserve"> samt af sure antiinflammatoriske stoffer, der kan føre til øget toksicitet ved samtidig anvendelse.</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proofErr w:type="spellStart"/>
      <w:r w:rsidRPr="001677A2">
        <w:rPr>
          <w:sz w:val="24"/>
          <w:szCs w:val="24"/>
          <w:u w:val="single"/>
        </w:rPr>
        <w:t>Probenecid</w:t>
      </w:r>
      <w:proofErr w:type="spellEnd"/>
      <w:r w:rsidRPr="001677A2">
        <w:rPr>
          <w:sz w:val="24"/>
          <w:szCs w:val="24"/>
          <w:u w:val="single"/>
        </w:rPr>
        <w:t xml:space="preserve">, svage organiske syrer, </w:t>
      </w:r>
      <w:proofErr w:type="spellStart"/>
      <w:r w:rsidRPr="001677A2">
        <w:rPr>
          <w:sz w:val="24"/>
          <w:szCs w:val="24"/>
          <w:u w:val="single"/>
        </w:rPr>
        <w:t>pyrazoler</w:t>
      </w:r>
      <w:proofErr w:type="spellEnd"/>
      <w:r w:rsidRPr="001677A2">
        <w:rPr>
          <w:sz w:val="24"/>
          <w:szCs w:val="24"/>
          <w:u w:val="single"/>
        </w:rPr>
        <w:t xml:space="preserve"> og </w:t>
      </w:r>
      <w:proofErr w:type="spellStart"/>
      <w:r w:rsidRPr="001677A2">
        <w:rPr>
          <w:sz w:val="24"/>
          <w:szCs w:val="24"/>
          <w:u w:val="single"/>
        </w:rPr>
        <w:t>nonsteroide</w:t>
      </w:r>
      <w:proofErr w:type="spellEnd"/>
      <w:r w:rsidRPr="001677A2">
        <w:rPr>
          <w:sz w:val="24"/>
          <w:szCs w:val="24"/>
          <w:u w:val="single"/>
        </w:rPr>
        <w:t xml:space="preserve"> antiinflammatoriske stoffer</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proofErr w:type="spellStart"/>
      <w:r w:rsidRPr="001677A2">
        <w:rPr>
          <w:sz w:val="24"/>
          <w:szCs w:val="24"/>
        </w:rPr>
        <w:t>Probenecid</w:t>
      </w:r>
      <w:proofErr w:type="spellEnd"/>
      <w:r w:rsidRPr="001677A2">
        <w:rPr>
          <w:sz w:val="24"/>
          <w:szCs w:val="24"/>
        </w:rPr>
        <w:t xml:space="preserve">, svage organiske syrer såsom loop </w:t>
      </w:r>
      <w:proofErr w:type="spellStart"/>
      <w:r w:rsidRPr="001677A2">
        <w:rPr>
          <w:sz w:val="24"/>
          <w:szCs w:val="24"/>
        </w:rPr>
        <w:t>diuretika</w:t>
      </w:r>
      <w:proofErr w:type="spellEnd"/>
      <w:r w:rsidRPr="001677A2">
        <w:rPr>
          <w:sz w:val="24"/>
          <w:szCs w:val="24"/>
        </w:rPr>
        <w:t xml:space="preserve"> og </w:t>
      </w:r>
      <w:proofErr w:type="spellStart"/>
      <w:r w:rsidRPr="001677A2">
        <w:rPr>
          <w:sz w:val="24"/>
          <w:szCs w:val="24"/>
        </w:rPr>
        <w:t>pyrazoler</w:t>
      </w:r>
      <w:proofErr w:type="spellEnd"/>
      <w:r w:rsidRPr="001677A2">
        <w:rPr>
          <w:sz w:val="24"/>
          <w:szCs w:val="24"/>
        </w:rPr>
        <w:t xml:space="preserve"> (</w:t>
      </w:r>
      <w:proofErr w:type="spellStart"/>
      <w:r w:rsidRPr="001677A2">
        <w:rPr>
          <w:sz w:val="24"/>
          <w:szCs w:val="24"/>
        </w:rPr>
        <w:t>fenylbutazon</w:t>
      </w:r>
      <w:proofErr w:type="spellEnd"/>
      <w:r w:rsidRPr="001677A2">
        <w:rPr>
          <w:sz w:val="24"/>
          <w:szCs w:val="24"/>
        </w:rPr>
        <w:t xml:space="preserve">) kan reducere elimineringen af </w:t>
      </w:r>
      <w:proofErr w:type="spellStart"/>
      <w:r w:rsidRPr="001677A2">
        <w:rPr>
          <w:sz w:val="24"/>
          <w:szCs w:val="24"/>
        </w:rPr>
        <w:t>methotrexat</w:t>
      </w:r>
      <w:proofErr w:type="spellEnd"/>
      <w:r w:rsidRPr="001677A2">
        <w:rPr>
          <w:sz w:val="24"/>
          <w:szCs w:val="24"/>
        </w:rPr>
        <w:t xml:space="preserve">, og højere serumkoncentrationer må forventes, hvilket kan inducere højere hæmatologisk toksicitet. Der er også risiko for øget toksicitet, når </w:t>
      </w:r>
      <w:proofErr w:type="spellStart"/>
      <w:r w:rsidRPr="001677A2">
        <w:rPr>
          <w:sz w:val="24"/>
          <w:szCs w:val="24"/>
        </w:rPr>
        <w:t>methotrexat</w:t>
      </w:r>
      <w:proofErr w:type="spellEnd"/>
      <w:r w:rsidRPr="001677A2">
        <w:rPr>
          <w:sz w:val="24"/>
          <w:szCs w:val="24"/>
        </w:rPr>
        <w:t xml:space="preserve"> i lave doser og </w:t>
      </w:r>
      <w:proofErr w:type="spellStart"/>
      <w:r w:rsidRPr="001677A2">
        <w:rPr>
          <w:sz w:val="24"/>
          <w:szCs w:val="24"/>
        </w:rPr>
        <w:t>nonsteroide</w:t>
      </w:r>
      <w:proofErr w:type="spellEnd"/>
      <w:r w:rsidRPr="001677A2">
        <w:rPr>
          <w:sz w:val="24"/>
          <w:szCs w:val="24"/>
        </w:rPr>
        <w:t xml:space="preserve"> antiinflammatoriske lægemidler eller </w:t>
      </w:r>
      <w:proofErr w:type="spellStart"/>
      <w:r w:rsidRPr="001677A2">
        <w:rPr>
          <w:sz w:val="24"/>
          <w:szCs w:val="24"/>
        </w:rPr>
        <w:t>salicylater</w:t>
      </w:r>
      <w:proofErr w:type="spellEnd"/>
      <w:r w:rsidRPr="001677A2">
        <w:rPr>
          <w:sz w:val="24"/>
          <w:szCs w:val="24"/>
        </w:rPr>
        <w:t xml:space="preserve"> kombineres.</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Lægemidler med bivirkninger på knoglemarven</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I tilfælde af behandling med lægemidler, der kan have bivirkninger på knoglemarven, f.eks. sulfonamider, </w:t>
      </w:r>
      <w:proofErr w:type="spellStart"/>
      <w:r w:rsidRPr="001677A2">
        <w:rPr>
          <w:sz w:val="24"/>
          <w:szCs w:val="24"/>
        </w:rPr>
        <w:t>trimetoprim-sulfametoxazol</w:t>
      </w:r>
      <w:proofErr w:type="spellEnd"/>
      <w:r w:rsidRPr="001677A2">
        <w:rPr>
          <w:sz w:val="24"/>
          <w:szCs w:val="24"/>
        </w:rPr>
        <w:t xml:space="preserve">, </w:t>
      </w:r>
      <w:proofErr w:type="spellStart"/>
      <w:r w:rsidRPr="001677A2">
        <w:rPr>
          <w:sz w:val="24"/>
          <w:szCs w:val="24"/>
        </w:rPr>
        <w:t>chloramfenicol</w:t>
      </w:r>
      <w:proofErr w:type="spellEnd"/>
      <w:r w:rsidRPr="001677A2">
        <w:rPr>
          <w:sz w:val="24"/>
          <w:szCs w:val="24"/>
        </w:rPr>
        <w:t xml:space="preserve"> og </w:t>
      </w:r>
      <w:proofErr w:type="spellStart"/>
      <w:r w:rsidRPr="001677A2">
        <w:rPr>
          <w:sz w:val="24"/>
          <w:szCs w:val="24"/>
        </w:rPr>
        <w:t>pyrimetamin</w:t>
      </w:r>
      <w:proofErr w:type="spellEnd"/>
      <w:r w:rsidRPr="001677A2">
        <w:rPr>
          <w:sz w:val="24"/>
          <w:szCs w:val="24"/>
        </w:rPr>
        <w:t>, bør man være opmærksom på muligheden for en markant nedsættelse af bloddannelsen.</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 xml:space="preserve">Lægemidler, der forårsager </w:t>
      </w:r>
      <w:proofErr w:type="spellStart"/>
      <w:r w:rsidRPr="001677A2">
        <w:rPr>
          <w:sz w:val="24"/>
          <w:szCs w:val="24"/>
          <w:u w:val="single"/>
        </w:rPr>
        <w:t>folatmangel</w:t>
      </w:r>
      <w:proofErr w:type="spellEnd"/>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lastRenderedPageBreak/>
        <w:t xml:space="preserve">Samtidig administration af produkter, der forårsager </w:t>
      </w:r>
      <w:proofErr w:type="spellStart"/>
      <w:r w:rsidRPr="001677A2">
        <w:rPr>
          <w:sz w:val="24"/>
          <w:szCs w:val="24"/>
        </w:rPr>
        <w:t>folatmangel</w:t>
      </w:r>
      <w:proofErr w:type="spellEnd"/>
      <w:r w:rsidRPr="001677A2">
        <w:rPr>
          <w:sz w:val="24"/>
          <w:szCs w:val="24"/>
        </w:rPr>
        <w:t xml:space="preserve">, f.eks. sulfonamider, </w:t>
      </w:r>
      <w:proofErr w:type="spellStart"/>
      <w:r w:rsidRPr="001677A2">
        <w:rPr>
          <w:sz w:val="24"/>
          <w:szCs w:val="24"/>
        </w:rPr>
        <w:t>trimetoprim-sulfametoxazol</w:t>
      </w:r>
      <w:proofErr w:type="spellEnd"/>
      <w:r w:rsidRPr="001677A2">
        <w:rPr>
          <w:sz w:val="24"/>
          <w:szCs w:val="24"/>
        </w:rPr>
        <w:t xml:space="preserve">, kan føre til øget </w:t>
      </w:r>
      <w:proofErr w:type="spellStart"/>
      <w:r w:rsidRPr="001677A2">
        <w:rPr>
          <w:sz w:val="24"/>
          <w:szCs w:val="24"/>
        </w:rPr>
        <w:t>methotrexattoksicitet</w:t>
      </w:r>
      <w:proofErr w:type="spellEnd"/>
      <w:r w:rsidRPr="001677A2">
        <w:rPr>
          <w:sz w:val="24"/>
          <w:szCs w:val="24"/>
        </w:rPr>
        <w:t xml:space="preserve">. Særlig forsigtighed er derfor tilrådeligt ved eksisterende </w:t>
      </w:r>
      <w:proofErr w:type="spellStart"/>
      <w:r w:rsidRPr="001677A2">
        <w:rPr>
          <w:sz w:val="24"/>
          <w:szCs w:val="24"/>
        </w:rPr>
        <w:t>folsyremangel</w:t>
      </w:r>
      <w:proofErr w:type="spellEnd"/>
      <w:r w:rsidRPr="001677A2">
        <w:rPr>
          <w:sz w:val="24"/>
          <w:szCs w:val="24"/>
        </w:rPr>
        <w:t>.</w:t>
      </w:r>
    </w:p>
    <w:p w:rsidR="0023606F" w:rsidRPr="001677A2" w:rsidRDefault="0023606F" w:rsidP="0023606F">
      <w:pPr>
        <w:ind w:left="851" w:hanging="851"/>
        <w:rPr>
          <w:sz w:val="24"/>
          <w:szCs w:val="24"/>
        </w:rPr>
      </w:pPr>
    </w:p>
    <w:p w:rsidR="0023606F" w:rsidRPr="001677A2" w:rsidRDefault="0023606F" w:rsidP="0023606F">
      <w:pPr>
        <w:ind w:left="851"/>
        <w:rPr>
          <w:color w:val="000000"/>
          <w:sz w:val="24"/>
          <w:szCs w:val="24"/>
          <w:u w:val="single"/>
        </w:rPr>
      </w:pPr>
      <w:r w:rsidRPr="001677A2">
        <w:rPr>
          <w:color w:val="000000"/>
          <w:sz w:val="24"/>
          <w:szCs w:val="24"/>
          <w:u w:val="single"/>
        </w:rPr>
        <w:t xml:space="preserve">Produkter med </w:t>
      </w:r>
      <w:proofErr w:type="spellStart"/>
      <w:r w:rsidRPr="001677A2">
        <w:rPr>
          <w:color w:val="000000"/>
          <w:sz w:val="24"/>
          <w:szCs w:val="24"/>
          <w:u w:val="single"/>
        </w:rPr>
        <w:t>folsyre</w:t>
      </w:r>
      <w:proofErr w:type="spellEnd"/>
      <w:r w:rsidRPr="001677A2">
        <w:rPr>
          <w:color w:val="000000"/>
          <w:sz w:val="24"/>
          <w:szCs w:val="24"/>
          <w:u w:val="single"/>
        </w:rPr>
        <w:t xml:space="preserve"> eller </w:t>
      </w:r>
      <w:proofErr w:type="spellStart"/>
      <w:r w:rsidRPr="001677A2">
        <w:rPr>
          <w:color w:val="000000"/>
          <w:sz w:val="24"/>
          <w:szCs w:val="24"/>
          <w:u w:val="single"/>
        </w:rPr>
        <w:t>folinsyre</w:t>
      </w:r>
      <w:proofErr w:type="spellEnd"/>
      <w:r w:rsidRPr="001677A2">
        <w:rPr>
          <w:color w:val="000000"/>
          <w:sz w:val="24"/>
          <w:szCs w:val="24"/>
          <w:u w:val="single"/>
        </w:rPr>
        <w:t xml:space="preserve"> </w:t>
      </w:r>
    </w:p>
    <w:p w:rsidR="0023606F" w:rsidRPr="001677A2" w:rsidRDefault="0023606F" w:rsidP="0023606F">
      <w:pPr>
        <w:ind w:left="851" w:hanging="851"/>
        <w:rPr>
          <w:sz w:val="24"/>
          <w:szCs w:val="24"/>
        </w:rPr>
      </w:pPr>
    </w:p>
    <w:p w:rsidR="0023606F" w:rsidRPr="001677A2" w:rsidRDefault="0023606F" w:rsidP="0023606F">
      <w:pPr>
        <w:ind w:left="851"/>
        <w:rPr>
          <w:color w:val="000000"/>
          <w:sz w:val="24"/>
          <w:szCs w:val="24"/>
        </w:rPr>
      </w:pPr>
      <w:r w:rsidRPr="001677A2">
        <w:rPr>
          <w:color w:val="000000"/>
          <w:sz w:val="24"/>
          <w:szCs w:val="24"/>
        </w:rPr>
        <w:t xml:space="preserve">Vitaminpræparater eller andre produkter med </w:t>
      </w:r>
      <w:proofErr w:type="spellStart"/>
      <w:r w:rsidRPr="001677A2">
        <w:rPr>
          <w:color w:val="000000"/>
          <w:sz w:val="24"/>
          <w:szCs w:val="24"/>
        </w:rPr>
        <w:t>folsyre</w:t>
      </w:r>
      <w:proofErr w:type="spellEnd"/>
      <w:r w:rsidRPr="001677A2">
        <w:rPr>
          <w:color w:val="000000"/>
          <w:sz w:val="24"/>
          <w:szCs w:val="24"/>
        </w:rPr>
        <w:t xml:space="preserve">, </w:t>
      </w:r>
      <w:proofErr w:type="spellStart"/>
      <w:r w:rsidRPr="001677A2">
        <w:rPr>
          <w:color w:val="000000"/>
          <w:sz w:val="24"/>
          <w:szCs w:val="24"/>
        </w:rPr>
        <w:t>folinsyre</w:t>
      </w:r>
      <w:proofErr w:type="spellEnd"/>
      <w:r w:rsidRPr="001677A2">
        <w:rPr>
          <w:color w:val="000000"/>
          <w:sz w:val="24"/>
          <w:szCs w:val="24"/>
        </w:rPr>
        <w:t xml:space="preserve"> eller derivater deraf kan nedsætte virkningen af </w:t>
      </w:r>
      <w:proofErr w:type="spellStart"/>
      <w:r w:rsidRPr="001677A2">
        <w:rPr>
          <w:color w:val="000000"/>
          <w:sz w:val="24"/>
          <w:szCs w:val="24"/>
        </w:rPr>
        <w:t>methotrexat</w:t>
      </w:r>
      <w:proofErr w:type="spellEnd"/>
      <w:r w:rsidRPr="001677A2">
        <w:rPr>
          <w:color w:val="000000"/>
          <w:sz w:val="24"/>
          <w:szCs w:val="24"/>
        </w:rPr>
        <w:t xml:space="preserve">. </w:t>
      </w:r>
    </w:p>
    <w:p w:rsidR="0023606F" w:rsidRPr="001677A2" w:rsidRDefault="0023606F" w:rsidP="0023606F">
      <w:pPr>
        <w:ind w:left="851" w:hanging="851"/>
        <w:rPr>
          <w:sz w:val="24"/>
          <w:szCs w:val="24"/>
        </w:rPr>
      </w:pPr>
    </w:p>
    <w:p w:rsidR="0023606F" w:rsidRPr="001677A2" w:rsidRDefault="0023606F" w:rsidP="00394BCC">
      <w:pPr>
        <w:keepNext/>
        <w:ind w:left="851"/>
        <w:rPr>
          <w:sz w:val="24"/>
          <w:szCs w:val="24"/>
          <w:u w:val="single"/>
        </w:rPr>
      </w:pPr>
      <w:r w:rsidRPr="001677A2">
        <w:rPr>
          <w:sz w:val="24"/>
          <w:szCs w:val="24"/>
          <w:u w:val="single"/>
        </w:rPr>
        <w:t>Andre antireumatiske lægemidler</w:t>
      </w:r>
    </w:p>
    <w:p w:rsidR="0023606F" w:rsidRPr="001677A2" w:rsidRDefault="0023606F" w:rsidP="00394BCC">
      <w:pPr>
        <w:keepNext/>
        <w:ind w:left="851" w:hanging="851"/>
        <w:rPr>
          <w:sz w:val="24"/>
          <w:szCs w:val="24"/>
        </w:rPr>
      </w:pPr>
    </w:p>
    <w:p w:rsidR="0023606F" w:rsidRDefault="0023606F" w:rsidP="0023606F">
      <w:pPr>
        <w:ind w:left="851"/>
        <w:rPr>
          <w:sz w:val="24"/>
          <w:szCs w:val="24"/>
        </w:rPr>
      </w:pPr>
      <w:r w:rsidRPr="001677A2">
        <w:rPr>
          <w:sz w:val="24"/>
          <w:szCs w:val="24"/>
        </w:rPr>
        <w:t xml:space="preserve">En stigning i de toksiske virkninger af </w:t>
      </w:r>
      <w:proofErr w:type="spellStart"/>
      <w:r w:rsidRPr="001677A2">
        <w:rPr>
          <w:sz w:val="24"/>
          <w:szCs w:val="24"/>
        </w:rPr>
        <w:t>methotrexat</w:t>
      </w:r>
      <w:proofErr w:type="spellEnd"/>
      <w:r w:rsidRPr="001677A2">
        <w:rPr>
          <w:sz w:val="24"/>
          <w:szCs w:val="24"/>
        </w:rPr>
        <w:t xml:space="preserve"> er generelt ikke forventelig, når </w:t>
      </w:r>
      <w:proofErr w:type="spellStart"/>
      <w:r w:rsidRPr="001677A2">
        <w:rPr>
          <w:sz w:val="24"/>
          <w:szCs w:val="24"/>
        </w:rPr>
        <w:t>methotrexat</w:t>
      </w:r>
      <w:proofErr w:type="spellEnd"/>
      <w:r w:rsidRPr="001677A2">
        <w:rPr>
          <w:sz w:val="24"/>
          <w:szCs w:val="24"/>
        </w:rPr>
        <w:t xml:space="preserve"> indgives samtidig med andre antireumatiske lægemidler (f.eks. guldforbindelser, </w:t>
      </w:r>
      <w:proofErr w:type="spellStart"/>
      <w:r w:rsidRPr="001677A2">
        <w:rPr>
          <w:sz w:val="24"/>
          <w:szCs w:val="24"/>
        </w:rPr>
        <w:t>penicillamin</w:t>
      </w:r>
      <w:proofErr w:type="spellEnd"/>
      <w:r w:rsidRPr="001677A2">
        <w:rPr>
          <w:sz w:val="24"/>
          <w:szCs w:val="24"/>
        </w:rPr>
        <w:t xml:space="preserve">, </w:t>
      </w:r>
      <w:proofErr w:type="spellStart"/>
      <w:r w:rsidRPr="001677A2">
        <w:rPr>
          <w:sz w:val="24"/>
          <w:szCs w:val="24"/>
        </w:rPr>
        <w:t>hydroxyklorokin</w:t>
      </w:r>
      <w:proofErr w:type="spellEnd"/>
      <w:r w:rsidRPr="001677A2">
        <w:rPr>
          <w:sz w:val="24"/>
          <w:szCs w:val="24"/>
        </w:rPr>
        <w:t xml:space="preserve">, </w:t>
      </w:r>
      <w:proofErr w:type="spellStart"/>
      <w:r w:rsidRPr="001677A2">
        <w:rPr>
          <w:sz w:val="24"/>
          <w:szCs w:val="24"/>
        </w:rPr>
        <w:t>sulfasalazin</w:t>
      </w:r>
      <w:proofErr w:type="spellEnd"/>
      <w:r w:rsidRPr="001677A2">
        <w:rPr>
          <w:sz w:val="24"/>
          <w:szCs w:val="24"/>
        </w:rPr>
        <w:t xml:space="preserve">, </w:t>
      </w:r>
      <w:proofErr w:type="spellStart"/>
      <w:r w:rsidRPr="001677A2">
        <w:rPr>
          <w:sz w:val="24"/>
          <w:szCs w:val="24"/>
        </w:rPr>
        <w:t>azathioprin</w:t>
      </w:r>
      <w:proofErr w:type="spellEnd"/>
      <w:r w:rsidRPr="001677A2">
        <w:rPr>
          <w:sz w:val="24"/>
          <w:szCs w:val="24"/>
        </w:rPr>
        <w:t xml:space="preserve"> og </w:t>
      </w:r>
      <w:proofErr w:type="spellStart"/>
      <w:r w:rsidRPr="001677A2">
        <w:rPr>
          <w:sz w:val="24"/>
          <w:szCs w:val="24"/>
        </w:rPr>
        <w:t>ciclosporin</w:t>
      </w:r>
      <w:proofErr w:type="spellEnd"/>
      <w:r w:rsidRPr="001677A2">
        <w:rPr>
          <w:sz w:val="24"/>
          <w:szCs w:val="24"/>
        </w:rPr>
        <w:t>).</w:t>
      </w:r>
    </w:p>
    <w:p w:rsidR="00AF6108" w:rsidRDefault="00AF6108" w:rsidP="0023606F">
      <w:pPr>
        <w:ind w:left="851"/>
        <w:rPr>
          <w:sz w:val="24"/>
          <w:szCs w:val="24"/>
        </w:rPr>
      </w:pPr>
    </w:p>
    <w:p w:rsidR="00AF6108" w:rsidRDefault="00AF6108" w:rsidP="00AF6108">
      <w:pPr>
        <w:ind w:left="851"/>
        <w:rPr>
          <w:sz w:val="24"/>
          <w:szCs w:val="24"/>
          <w:u w:val="single"/>
        </w:rPr>
      </w:pPr>
      <w:proofErr w:type="spellStart"/>
      <w:r>
        <w:rPr>
          <w:sz w:val="24"/>
          <w:szCs w:val="24"/>
          <w:u w:val="single"/>
        </w:rPr>
        <w:t>Ciclosporin</w:t>
      </w:r>
      <w:proofErr w:type="spellEnd"/>
    </w:p>
    <w:p w:rsidR="00AF6108" w:rsidRDefault="00AF6108" w:rsidP="00AF6108">
      <w:pPr>
        <w:ind w:left="851"/>
        <w:rPr>
          <w:sz w:val="24"/>
          <w:szCs w:val="24"/>
        </w:rPr>
      </w:pPr>
    </w:p>
    <w:p w:rsidR="00AF6108" w:rsidRPr="001677A2" w:rsidRDefault="00AF6108" w:rsidP="00AF6108">
      <w:pPr>
        <w:ind w:left="851"/>
        <w:rPr>
          <w:sz w:val="24"/>
          <w:szCs w:val="24"/>
        </w:rPr>
      </w:pPr>
      <w:proofErr w:type="spellStart"/>
      <w:r>
        <w:rPr>
          <w:sz w:val="24"/>
          <w:szCs w:val="24"/>
        </w:rPr>
        <w:t>Ciclosporin</w:t>
      </w:r>
      <w:proofErr w:type="spellEnd"/>
      <w:r>
        <w:rPr>
          <w:sz w:val="24"/>
          <w:szCs w:val="24"/>
        </w:rPr>
        <w:t xml:space="preserve"> kan forstærke </w:t>
      </w:r>
      <w:proofErr w:type="spellStart"/>
      <w:r>
        <w:rPr>
          <w:sz w:val="24"/>
          <w:szCs w:val="24"/>
        </w:rPr>
        <w:t>methotrexats</w:t>
      </w:r>
      <w:proofErr w:type="spellEnd"/>
      <w:r>
        <w:rPr>
          <w:sz w:val="24"/>
          <w:szCs w:val="24"/>
        </w:rPr>
        <w:t xml:space="preserve"> virkning og toksicitet. Der er en øget risiko for nyreinsufficiens. Derudover er der en biologisk sandsynlighed for overdreven immunsuppression og dens associerede komplikationer.</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proofErr w:type="spellStart"/>
      <w:r w:rsidRPr="001677A2">
        <w:rPr>
          <w:sz w:val="24"/>
          <w:szCs w:val="24"/>
          <w:u w:val="single"/>
        </w:rPr>
        <w:t>Sulfasalazin</w:t>
      </w:r>
      <w:proofErr w:type="spellEnd"/>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Selvom kombinationen af </w:t>
      </w:r>
      <w:proofErr w:type="spellStart"/>
      <w:r w:rsidRPr="001677A2">
        <w:rPr>
          <w:sz w:val="24"/>
          <w:szCs w:val="24"/>
        </w:rPr>
        <w:t>methotrexat</w:t>
      </w:r>
      <w:proofErr w:type="spellEnd"/>
      <w:r w:rsidRPr="001677A2">
        <w:rPr>
          <w:sz w:val="24"/>
          <w:szCs w:val="24"/>
        </w:rPr>
        <w:t xml:space="preserve"> og </w:t>
      </w:r>
      <w:proofErr w:type="spellStart"/>
      <w:r w:rsidRPr="001677A2">
        <w:rPr>
          <w:sz w:val="24"/>
          <w:szCs w:val="24"/>
        </w:rPr>
        <w:t>sulfasalazin</w:t>
      </w:r>
      <w:proofErr w:type="spellEnd"/>
      <w:r w:rsidRPr="001677A2">
        <w:rPr>
          <w:sz w:val="24"/>
          <w:szCs w:val="24"/>
        </w:rPr>
        <w:t xml:space="preserve"> kan forårsage en forstærkning af </w:t>
      </w:r>
      <w:proofErr w:type="spellStart"/>
      <w:r w:rsidRPr="001677A2">
        <w:rPr>
          <w:sz w:val="24"/>
          <w:szCs w:val="24"/>
        </w:rPr>
        <w:t>methotrexats</w:t>
      </w:r>
      <w:proofErr w:type="spellEnd"/>
      <w:r w:rsidRPr="001677A2">
        <w:rPr>
          <w:sz w:val="24"/>
          <w:szCs w:val="24"/>
        </w:rPr>
        <w:t xml:space="preserve"> virkning og som følge heraf flere bivirkninger på grund af hæmning af </w:t>
      </w:r>
      <w:proofErr w:type="spellStart"/>
      <w:r w:rsidRPr="001677A2">
        <w:rPr>
          <w:sz w:val="24"/>
          <w:szCs w:val="24"/>
        </w:rPr>
        <w:t>folsyresyntesen</w:t>
      </w:r>
      <w:proofErr w:type="spellEnd"/>
      <w:r w:rsidRPr="001677A2">
        <w:rPr>
          <w:sz w:val="24"/>
          <w:szCs w:val="24"/>
        </w:rPr>
        <w:t xml:space="preserve"> gennem </w:t>
      </w:r>
      <w:proofErr w:type="spellStart"/>
      <w:r w:rsidRPr="001677A2">
        <w:rPr>
          <w:sz w:val="24"/>
          <w:szCs w:val="24"/>
        </w:rPr>
        <w:t>sulfasalazin</w:t>
      </w:r>
      <w:proofErr w:type="spellEnd"/>
      <w:r w:rsidRPr="001677A2">
        <w:rPr>
          <w:sz w:val="24"/>
          <w:szCs w:val="24"/>
        </w:rPr>
        <w:t>, er sådanne bivirkninger kun observeret i sjældne tilfælde hos enkelte patienter i løbet af adskillige forsøg.</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proofErr w:type="spellStart"/>
      <w:r w:rsidRPr="001677A2">
        <w:rPr>
          <w:sz w:val="24"/>
          <w:szCs w:val="24"/>
          <w:u w:val="single"/>
        </w:rPr>
        <w:t>Mercaptopurin</w:t>
      </w:r>
      <w:proofErr w:type="spellEnd"/>
    </w:p>
    <w:p w:rsidR="0023606F" w:rsidRPr="001677A2" w:rsidRDefault="0023606F" w:rsidP="0023606F">
      <w:pPr>
        <w:ind w:left="851" w:hanging="851"/>
        <w:rPr>
          <w:sz w:val="24"/>
          <w:szCs w:val="24"/>
          <w:u w:val="single"/>
        </w:rPr>
      </w:pPr>
    </w:p>
    <w:p w:rsidR="0023606F" w:rsidRPr="001677A2" w:rsidRDefault="0023606F" w:rsidP="0023606F">
      <w:pPr>
        <w:ind w:left="851"/>
        <w:rPr>
          <w:sz w:val="24"/>
          <w:szCs w:val="24"/>
        </w:rPr>
      </w:pPr>
      <w:proofErr w:type="spellStart"/>
      <w:r w:rsidRPr="001677A2">
        <w:rPr>
          <w:sz w:val="24"/>
          <w:szCs w:val="24"/>
        </w:rPr>
        <w:t>Methotrexat</w:t>
      </w:r>
      <w:proofErr w:type="spellEnd"/>
      <w:r w:rsidRPr="001677A2">
        <w:rPr>
          <w:sz w:val="24"/>
          <w:szCs w:val="24"/>
        </w:rPr>
        <w:t xml:space="preserve"> øger plasmaniveauerne af </w:t>
      </w:r>
      <w:proofErr w:type="spellStart"/>
      <w:r w:rsidRPr="001677A2">
        <w:rPr>
          <w:sz w:val="24"/>
          <w:szCs w:val="24"/>
        </w:rPr>
        <w:t>mercaptopurin</w:t>
      </w:r>
      <w:proofErr w:type="spellEnd"/>
      <w:r w:rsidRPr="001677A2">
        <w:rPr>
          <w:sz w:val="24"/>
          <w:szCs w:val="24"/>
        </w:rPr>
        <w:t xml:space="preserve">. Kombinationen af </w:t>
      </w:r>
      <w:proofErr w:type="spellStart"/>
      <w:r w:rsidRPr="001677A2">
        <w:rPr>
          <w:sz w:val="24"/>
          <w:szCs w:val="24"/>
        </w:rPr>
        <w:t>methotrexat</w:t>
      </w:r>
      <w:proofErr w:type="spellEnd"/>
      <w:r w:rsidRPr="001677A2">
        <w:rPr>
          <w:sz w:val="24"/>
          <w:szCs w:val="24"/>
        </w:rPr>
        <w:t xml:space="preserve"> og </w:t>
      </w:r>
      <w:proofErr w:type="spellStart"/>
      <w:r w:rsidRPr="001677A2">
        <w:rPr>
          <w:sz w:val="24"/>
          <w:szCs w:val="24"/>
        </w:rPr>
        <w:t>mercaptopurin</w:t>
      </w:r>
      <w:proofErr w:type="spellEnd"/>
      <w:r w:rsidRPr="001677A2">
        <w:rPr>
          <w:sz w:val="24"/>
          <w:szCs w:val="24"/>
        </w:rPr>
        <w:t xml:space="preserve"> kan derfor kræve tilpasning af dosis.</w:t>
      </w:r>
    </w:p>
    <w:p w:rsidR="0023606F" w:rsidRPr="001677A2" w:rsidRDefault="0023606F" w:rsidP="0023606F">
      <w:pPr>
        <w:ind w:left="851" w:hanging="851"/>
        <w:rPr>
          <w:sz w:val="24"/>
          <w:szCs w:val="24"/>
        </w:rPr>
      </w:pPr>
    </w:p>
    <w:p w:rsidR="0023606F" w:rsidRPr="001677A2" w:rsidRDefault="0023606F" w:rsidP="0023606F">
      <w:pPr>
        <w:keepNext/>
        <w:ind w:left="851"/>
        <w:rPr>
          <w:sz w:val="24"/>
          <w:szCs w:val="24"/>
          <w:u w:val="single"/>
        </w:rPr>
      </w:pPr>
      <w:proofErr w:type="spellStart"/>
      <w:r w:rsidRPr="001677A2">
        <w:rPr>
          <w:sz w:val="24"/>
          <w:szCs w:val="24"/>
          <w:u w:val="single"/>
        </w:rPr>
        <w:t>Protonpumpehæmmere</w:t>
      </w:r>
      <w:proofErr w:type="spellEnd"/>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Samtidig administration af </w:t>
      </w:r>
      <w:proofErr w:type="spellStart"/>
      <w:r w:rsidRPr="001677A2">
        <w:rPr>
          <w:sz w:val="24"/>
          <w:szCs w:val="24"/>
        </w:rPr>
        <w:t>protonpumpehæmmere</w:t>
      </w:r>
      <w:proofErr w:type="spellEnd"/>
      <w:r w:rsidRPr="001677A2">
        <w:rPr>
          <w:sz w:val="24"/>
          <w:szCs w:val="24"/>
        </w:rPr>
        <w:t xml:space="preserve"> såsom </w:t>
      </w:r>
      <w:proofErr w:type="spellStart"/>
      <w:r w:rsidRPr="001677A2">
        <w:rPr>
          <w:sz w:val="24"/>
          <w:szCs w:val="24"/>
        </w:rPr>
        <w:t>omeprazol</w:t>
      </w:r>
      <w:proofErr w:type="spellEnd"/>
      <w:r w:rsidRPr="001677A2">
        <w:rPr>
          <w:sz w:val="24"/>
          <w:szCs w:val="24"/>
        </w:rPr>
        <w:t xml:space="preserve"> eller </w:t>
      </w:r>
      <w:proofErr w:type="spellStart"/>
      <w:r w:rsidRPr="001677A2">
        <w:rPr>
          <w:sz w:val="24"/>
          <w:szCs w:val="24"/>
        </w:rPr>
        <w:t>pantoprazol</w:t>
      </w:r>
      <w:proofErr w:type="spellEnd"/>
      <w:r w:rsidRPr="001677A2">
        <w:rPr>
          <w:sz w:val="24"/>
          <w:szCs w:val="24"/>
        </w:rPr>
        <w:t xml:space="preserve"> kan føre til interaktioner: Samtidig administration af </w:t>
      </w:r>
      <w:proofErr w:type="spellStart"/>
      <w:r w:rsidRPr="001677A2">
        <w:rPr>
          <w:sz w:val="24"/>
          <w:szCs w:val="24"/>
        </w:rPr>
        <w:t>methotrexat</w:t>
      </w:r>
      <w:proofErr w:type="spellEnd"/>
      <w:r w:rsidRPr="001677A2">
        <w:rPr>
          <w:sz w:val="24"/>
          <w:szCs w:val="24"/>
        </w:rPr>
        <w:t xml:space="preserve"> og </w:t>
      </w:r>
      <w:proofErr w:type="spellStart"/>
      <w:r w:rsidRPr="001677A2">
        <w:rPr>
          <w:sz w:val="24"/>
          <w:szCs w:val="24"/>
        </w:rPr>
        <w:t>omeprazol</w:t>
      </w:r>
      <w:proofErr w:type="spellEnd"/>
      <w:r w:rsidRPr="001677A2">
        <w:rPr>
          <w:sz w:val="24"/>
          <w:szCs w:val="24"/>
        </w:rPr>
        <w:t xml:space="preserve"> har ført til forsinket </w:t>
      </w:r>
      <w:proofErr w:type="spellStart"/>
      <w:r w:rsidRPr="001677A2">
        <w:rPr>
          <w:sz w:val="24"/>
          <w:szCs w:val="24"/>
        </w:rPr>
        <w:t>renal</w:t>
      </w:r>
      <w:proofErr w:type="spellEnd"/>
      <w:r w:rsidRPr="001677A2">
        <w:rPr>
          <w:sz w:val="24"/>
          <w:szCs w:val="24"/>
        </w:rPr>
        <w:t xml:space="preserve"> eliminering af </w:t>
      </w:r>
      <w:proofErr w:type="spellStart"/>
      <w:r w:rsidRPr="001677A2">
        <w:rPr>
          <w:sz w:val="24"/>
          <w:szCs w:val="24"/>
        </w:rPr>
        <w:t>methotrexat</w:t>
      </w:r>
      <w:proofErr w:type="spellEnd"/>
      <w:r w:rsidRPr="001677A2">
        <w:rPr>
          <w:sz w:val="24"/>
          <w:szCs w:val="24"/>
        </w:rPr>
        <w:t xml:space="preserve">. I ét tilfælde er der rapporteret om hæmmet </w:t>
      </w:r>
      <w:proofErr w:type="spellStart"/>
      <w:r w:rsidRPr="001677A2">
        <w:rPr>
          <w:sz w:val="24"/>
          <w:szCs w:val="24"/>
        </w:rPr>
        <w:t>renal</w:t>
      </w:r>
      <w:proofErr w:type="spellEnd"/>
      <w:r w:rsidRPr="001677A2">
        <w:rPr>
          <w:sz w:val="24"/>
          <w:szCs w:val="24"/>
        </w:rPr>
        <w:t xml:space="preserve"> eliminering af metabolitten 7-hydroxymethotrexat med myalgi og kulderysten til følge ved samtidig administration med </w:t>
      </w:r>
      <w:proofErr w:type="spellStart"/>
      <w:r w:rsidRPr="001677A2">
        <w:rPr>
          <w:sz w:val="24"/>
          <w:szCs w:val="24"/>
        </w:rPr>
        <w:t>pantoprazol</w:t>
      </w:r>
      <w:proofErr w:type="spellEnd"/>
      <w:r w:rsidRPr="001677A2">
        <w:rPr>
          <w:sz w:val="24"/>
          <w:szCs w:val="24"/>
        </w:rPr>
        <w:t>.</w:t>
      </w:r>
    </w:p>
    <w:p w:rsidR="0023606F" w:rsidRPr="001677A2" w:rsidRDefault="0023606F" w:rsidP="0023606F">
      <w:pPr>
        <w:ind w:left="851" w:hanging="851"/>
        <w:rPr>
          <w:sz w:val="24"/>
          <w:szCs w:val="24"/>
        </w:rPr>
      </w:pPr>
    </w:p>
    <w:p w:rsidR="0023606F" w:rsidRPr="001677A2" w:rsidRDefault="0023606F" w:rsidP="0023606F">
      <w:pPr>
        <w:ind w:left="851"/>
        <w:rPr>
          <w:snapToGrid w:val="0"/>
          <w:sz w:val="24"/>
          <w:szCs w:val="24"/>
          <w:u w:val="single"/>
        </w:rPr>
      </w:pPr>
      <w:proofErr w:type="spellStart"/>
      <w:r w:rsidRPr="001677A2">
        <w:rPr>
          <w:snapToGrid w:val="0"/>
          <w:sz w:val="24"/>
          <w:szCs w:val="24"/>
          <w:u w:val="single"/>
        </w:rPr>
        <w:t>Teophyllin</w:t>
      </w:r>
      <w:proofErr w:type="spellEnd"/>
    </w:p>
    <w:p w:rsidR="0023606F" w:rsidRPr="001677A2" w:rsidRDefault="0023606F" w:rsidP="0023606F">
      <w:pPr>
        <w:ind w:left="851" w:hanging="851"/>
        <w:rPr>
          <w:snapToGrid w:val="0"/>
          <w:sz w:val="24"/>
          <w:szCs w:val="24"/>
        </w:rPr>
      </w:pPr>
    </w:p>
    <w:p w:rsidR="0023606F" w:rsidRPr="001677A2" w:rsidRDefault="0023606F" w:rsidP="0023606F">
      <w:pPr>
        <w:ind w:left="851"/>
        <w:rPr>
          <w:snapToGrid w:val="0"/>
          <w:sz w:val="24"/>
          <w:szCs w:val="24"/>
        </w:rPr>
      </w:pPr>
      <w:proofErr w:type="spellStart"/>
      <w:r w:rsidRPr="001677A2">
        <w:rPr>
          <w:snapToGrid w:val="0"/>
          <w:sz w:val="24"/>
          <w:szCs w:val="24"/>
        </w:rPr>
        <w:t>Methotrexat</w:t>
      </w:r>
      <w:proofErr w:type="spellEnd"/>
      <w:r w:rsidRPr="001677A2">
        <w:rPr>
          <w:snapToGrid w:val="0"/>
          <w:sz w:val="24"/>
          <w:szCs w:val="24"/>
        </w:rPr>
        <w:t xml:space="preserve"> kan nedsætte </w:t>
      </w:r>
      <w:proofErr w:type="spellStart"/>
      <w:r w:rsidRPr="001677A2">
        <w:rPr>
          <w:snapToGrid w:val="0"/>
          <w:sz w:val="24"/>
          <w:szCs w:val="24"/>
        </w:rPr>
        <w:t>teophyllin-clearance</w:t>
      </w:r>
      <w:proofErr w:type="spellEnd"/>
      <w:r w:rsidRPr="001677A2">
        <w:rPr>
          <w:snapToGrid w:val="0"/>
          <w:sz w:val="24"/>
          <w:szCs w:val="24"/>
        </w:rPr>
        <w:t xml:space="preserve">, og </w:t>
      </w:r>
      <w:proofErr w:type="spellStart"/>
      <w:r w:rsidRPr="001677A2">
        <w:rPr>
          <w:snapToGrid w:val="0"/>
          <w:sz w:val="24"/>
          <w:szCs w:val="24"/>
        </w:rPr>
        <w:t>teophyllin</w:t>
      </w:r>
      <w:proofErr w:type="spellEnd"/>
      <w:r w:rsidRPr="001677A2">
        <w:rPr>
          <w:snapToGrid w:val="0"/>
          <w:sz w:val="24"/>
          <w:szCs w:val="24"/>
        </w:rPr>
        <w:t xml:space="preserve">-niveauerne bør derfor overvåges, når stoffet bruges samtidigt med </w:t>
      </w:r>
      <w:proofErr w:type="spellStart"/>
      <w:r w:rsidRPr="001677A2">
        <w:rPr>
          <w:snapToGrid w:val="0"/>
          <w:sz w:val="24"/>
          <w:szCs w:val="24"/>
        </w:rPr>
        <w:t>methotrexat</w:t>
      </w:r>
      <w:proofErr w:type="spellEnd"/>
      <w:r w:rsidRPr="001677A2">
        <w:rPr>
          <w:snapToGrid w:val="0"/>
          <w:sz w:val="24"/>
          <w:szCs w:val="24"/>
        </w:rPr>
        <w:t>.</w:t>
      </w:r>
    </w:p>
    <w:p w:rsidR="0023606F" w:rsidRPr="001677A2" w:rsidRDefault="0023606F" w:rsidP="0023606F">
      <w:pPr>
        <w:ind w:left="851" w:hanging="851"/>
        <w:rPr>
          <w:sz w:val="24"/>
          <w:szCs w:val="24"/>
        </w:rPr>
      </w:pPr>
    </w:p>
    <w:p w:rsidR="0023606F" w:rsidRPr="001677A2" w:rsidRDefault="0023606F" w:rsidP="0023606F">
      <w:pPr>
        <w:ind w:left="851"/>
        <w:rPr>
          <w:sz w:val="24"/>
          <w:szCs w:val="24"/>
          <w:u w:val="single"/>
        </w:rPr>
      </w:pPr>
      <w:r w:rsidRPr="001677A2">
        <w:rPr>
          <w:sz w:val="24"/>
          <w:szCs w:val="24"/>
          <w:u w:val="single"/>
        </w:rPr>
        <w:t xml:space="preserve">Koffein- eller </w:t>
      </w:r>
      <w:proofErr w:type="spellStart"/>
      <w:r w:rsidRPr="001677A2">
        <w:rPr>
          <w:sz w:val="24"/>
          <w:szCs w:val="24"/>
          <w:u w:val="single"/>
        </w:rPr>
        <w:t>teophyllinholdige</w:t>
      </w:r>
      <w:proofErr w:type="spellEnd"/>
      <w:r w:rsidRPr="001677A2">
        <w:rPr>
          <w:sz w:val="24"/>
          <w:szCs w:val="24"/>
          <w:u w:val="single"/>
        </w:rPr>
        <w:t xml:space="preserve"> drikke</w:t>
      </w:r>
    </w:p>
    <w:p w:rsidR="0023606F" w:rsidRPr="001677A2" w:rsidRDefault="0023606F" w:rsidP="0023606F">
      <w:pPr>
        <w:ind w:left="851" w:hanging="851"/>
        <w:rPr>
          <w:sz w:val="24"/>
          <w:szCs w:val="24"/>
        </w:rPr>
      </w:pPr>
    </w:p>
    <w:p w:rsidR="0023606F" w:rsidRPr="001677A2" w:rsidRDefault="0023606F" w:rsidP="0023606F">
      <w:pPr>
        <w:ind w:left="851"/>
        <w:rPr>
          <w:b/>
          <w:sz w:val="24"/>
          <w:szCs w:val="24"/>
        </w:rPr>
      </w:pPr>
      <w:r w:rsidRPr="001677A2">
        <w:rPr>
          <w:snapToGrid w:val="0"/>
          <w:sz w:val="24"/>
          <w:szCs w:val="24"/>
        </w:rPr>
        <w:t xml:space="preserve">Overdrevent forbrug af koffein- eller </w:t>
      </w:r>
      <w:proofErr w:type="spellStart"/>
      <w:r w:rsidRPr="001677A2">
        <w:rPr>
          <w:snapToGrid w:val="0"/>
          <w:sz w:val="24"/>
          <w:szCs w:val="24"/>
        </w:rPr>
        <w:t>teophyllinholdige</w:t>
      </w:r>
      <w:proofErr w:type="spellEnd"/>
      <w:r w:rsidRPr="001677A2">
        <w:rPr>
          <w:snapToGrid w:val="0"/>
          <w:sz w:val="24"/>
          <w:szCs w:val="24"/>
        </w:rPr>
        <w:t xml:space="preserve"> drikke (kaffe, koffeinholdige drikke og sort te), bør undgås under </w:t>
      </w:r>
      <w:proofErr w:type="spellStart"/>
      <w:r w:rsidRPr="001677A2">
        <w:rPr>
          <w:snapToGrid w:val="0"/>
          <w:sz w:val="24"/>
          <w:szCs w:val="24"/>
        </w:rPr>
        <w:t>methotrexatbehandlingen</w:t>
      </w:r>
      <w:proofErr w:type="spellEnd"/>
      <w:r w:rsidRPr="001677A2">
        <w:rPr>
          <w:snapToGrid w:val="0"/>
          <w:sz w:val="24"/>
          <w:szCs w:val="24"/>
        </w:rPr>
        <w:t>.</w:t>
      </w:r>
      <w:r w:rsidRPr="001677A2">
        <w:rPr>
          <w:b/>
          <w:sz w:val="24"/>
          <w:szCs w:val="24"/>
        </w:rPr>
        <w:t xml:space="preserve"> </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lastRenderedPageBreak/>
        <w:t>4.6</w:t>
      </w:r>
      <w:r w:rsidRPr="001677A2">
        <w:rPr>
          <w:b/>
          <w:sz w:val="24"/>
          <w:szCs w:val="24"/>
        </w:rPr>
        <w:tab/>
      </w:r>
      <w:r w:rsidR="004D13FF" w:rsidRPr="001677A2">
        <w:rPr>
          <w:b/>
          <w:sz w:val="24"/>
          <w:szCs w:val="24"/>
        </w:rPr>
        <w:t>Fertilitet, g</w:t>
      </w:r>
      <w:r w:rsidRPr="001677A2">
        <w:rPr>
          <w:b/>
          <w:sz w:val="24"/>
          <w:szCs w:val="24"/>
        </w:rPr>
        <w:t>raviditet og amning</w:t>
      </w:r>
    </w:p>
    <w:p w:rsidR="0023606F" w:rsidRPr="001677A2" w:rsidRDefault="0023606F" w:rsidP="0023606F">
      <w:pPr>
        <w:ind w:left="851"/>
        <w:jc w:val="both"/>
        <w:rPr>
          <w:sz w:val="24"/>
          <w:szCs w:val="24"/>
          <w:u w:val="single"/>
        </w:rPr>
      </w:pPr>
    </w:p>
    <w:p w:rsidR="0023606F" w:rsidRPr="001677A2" w:rsidRDefault="0023606F" w:rsidP="0023606F">
      <w:pPr>
        <w:ind w:left="851"/>
        <w:rPr>
          <w:b/>
          <w:sz w:val="24"/>
          <w:szCs w:val="24"/>
          <w:u w:val="single"/>
        </w:rPr>
      </w:pPr>
      <w:r w:rsidRPr="001677A2">
        <w:rPr>
          <w:b/>
          <w:sz w:val="24"/>
          <w:szCs w:val="24"/>
          <w:u w:val="single"/>
        </w:rPr>
        <w:t>Fertile kvinder / prævention hos kvinder</w:t>
      </w:r>
    </w:p>
    <w:p w:rsidR="0023606F" w:rsidRPr="001677A2" w:rsidRDefault="0023606F" w:rsidP="0023606F">
      <w:pPr>
        <w:ind w:left="851"/>
        <w:rPr>
          <w:snapToGrid w:val="0"/>
          <w:sz w:val="24"/>
          <w:szCs w:val="24"/>
        </w:rPr>
      </w:pPr>
      <w:r w:rsidRPr="001677A2">
        <w:rPr>
          <w:snapToGrid w:val="0"/>
          <w:sz w:val="24"/>
          <w:szCs w:val="24"/>
        </w:rPr>
        <w:t xml:space="preserve">Kvinder må ikke blive gravide under behandling med </w:t>
      </w:r>
      <w:proofErr w:type="spellStart"/>
      <w:r w:rsidRPr="001677A2">
        <w:rPr>
          <w:snapToGrid w:val="0"/>
          <w:sz w:val="24"/>
          <w:szCs w:val="24"/>
        </w:rPr>
        <w:t>methotrexat</w:t>
      </w:r>
      <w:proofErr w:type="spellEnd"/>
      <w:r w:rsidRPr="001677A2">
        <w:rPr>
          <w:snapToGrid w:val="0"/>
          <w:sz w:val="24"/>
          <w:szCs w:val="24"/>
        </w:rPr>
        <w:t xml:space="preserve">, og de skal derfor anvende sikker prævention under og i mindst seks måneder efter behandlingen (se pkt. 4.4). Før igangsættelse af behandling skal fertile kvinder oplyses om risikoen for misdannelser ved brug af </w:t>
      </w:r>
      <w:proofErr w:type="spellStart"/>
      <w:r w:rsidRPr="001677A2">
        <w:rPr>
          <w:snapToGrid w:val="0"/>
          <w:sz w:val="24"/>
          <w:szCs w:val="24"/>
        </w:rPr>
        <w:t>methotrexat</w:t>
      </w:r>
      <w:proofErr w:type="spellEnd"/>
      <w:r w:rsidRPr="001677A2">
        <w:rPr>
          <w:snapToGrid w:val="0"/>
          <w:sz w:val="24"/>
          <w:szCs w:val="24"/>
        </w:rPr>
        <w:t xml:space="preserve">,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 </w:t>
      </w:r>
    </w:p>
    <w:p w:rsidR="0023606F" w:rsidRPr="001677A2" w:rsidRDefault="0023606F" w:rsidP="0023606F">
      <w:pPr>
        <w:ind w:left="851"/>
        <w:rPr>
          <w:sz w:val="24"/>
          <w:szCs w:val="24"/>
          <w:u w:val="single"/>
        </w:rPr>
      </w:pPr>
    </w:p>
    <w:p w:rsidR="0023606F" w:rsidRPr="001677A2" w:rsidRDefault="0023606F" w:rsidP="0023606F">
      <w:pPr>
        <w:ind w:left="851"/>
        <w:rPr>
          <w:b/>
          <w:sz w:val="24"/>
          <w:szCs w:val="24"/>
        </w:rPr>
      </w:pPr>
      <w:r w:rsidRPr="001677A2">
        <w:rPr>
          <w:b/>
          <w:sz w:val="24"/>
          <w:szCs w:val="24"/>
          <w:u w:val="single"/>
        </w:rPr>
        <w:t>Prævention hos mænd</w:t>
      </w:r>
    </w:p>
    <w:p w:rsidR="0023606F" w:rsidRPr="001677A2" w:rsidRDefault="0023606F" w:rsidP="0023606F">
      <w:pPr>
        <w:ind w:left="851"/>
        <w:rPr>
          <w:sz w:val="24"/>
          <w:szCs w:val="24"/>
        </w:rPr>
      </w:pPr>
      <w:r w:rsidRPr="001677A2">
        <w:rPr>
          <w:sz w:val="24"/>
          <w:szCs w:val="24"/>
        </w:rPr>
        <w:t xml:space="preserve">Det vides ikke, om </w:t>
      </w:r>
      <w:proofErr w:type="spellStart"/>
      <w:r w:rsidRPr="001677A2">
        <w:rPr>
          <w:sz w:val="24"/>
          <w:szCs w:val="24"/>
        </w:rPr>
        <w:t>methotrexat</w:t>
      </w:r>
      <w:proofErr w:type="spellEnd"/>
      <w:r w:rsidRPr="001677A2">
        <w:rPr>
          <w:sz w:val="24"/>
          <w:szCs w:val="24"/>
        </w:rPr>
        <w:t xml:space="preserve"> udskilles i sæd. Det er i dyreforsøg påvist, at </w:t>
      </w:r>
      <w:proofErr w:type="spellStart"/>
      <w:r w:rsidRPr="001677A2">
        <w:rPr>
          <w:sz w:val="24"/>
          <w:szCs w:val="24"/>
        </w:rPr>
        <w:t>methotrexat</w:t>
      </w:r>
      <w:proofErr w:type="spellEnd"/>
      <w:r w:rsidRPr="001677A2">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1677A2">
        <w:rPr>
          <w:sz w:val="24"/>
          <w:szCs w:val="24"/>
        </w:rPr>
        <w:t>paternel</w:t>
      </w:r>
      <w:proofErr w:type="spellEnd"/>
      <w:r w:rsidRPr="001677A2">
        <w:rPr>
          <w:sz w:val="24"/>
          <w:szCs w:val="24"/>
        </w:rPr>
        <w:t xml:space="preserve"> eksponering for </w:t>
      </w:r>
      <w:proofErr w:type="spellStart"/>
      <w:r w:rsidRPr="001677A2">
        <w:rPr>
          <w:sz w:val="24"/>
          <w:szCs w:val="24"/>
        </w:rPr>
        <w:t>methotrexat</w:t>
      </w:r>
      <w:proofErr w:type="spellEnd"/>
      <w:r w:rsidRPr="001677A2">
        <w:rPr>
          <w:sz w:val="24"/>
          <w:szCs w:val="24"/>
        </w:rPr>
        <w:t xml:space="preserve"> i lave doser (mindre end 30 mg pr. uge). Hvad angår højere doser, er der ikke tilstrækkelige data til at estimere risikoen for misdannelser eller abort efter </w:t>
      </w:r>
      <w:proofErr w:type="spellStart"/>
      <w:r w:rsidRPr="001677A2">
        <w:rPr>
          <w:sz w:val="24"/>
          <w:szCs w:val="24"/>
        </w:rPr>
        <w:t>paternel</w:t>
      </w:r>
      <w:proofErr w:type="spellEnd"/>
      <w:r w:rsidRPr="001677A2">
        <w:rPr>
          <w:sz w:val="24"/>
          <w:szCs w:val="24"/>
        </w:rPr>
        <w:t xml:space="preserve"> eksponering.</w:t>
      </w:r>
    </w:p>
    <w:p w:rsidR="0023606F" w:rsidRPr="001677A2" w:rsidRDefault="0023606F" w:rsidP="0023606F">
      <w:pPr>
        <w:ind w:left="851"/>
        <w:rPr>
          <w:sz w:val="24"/>
          <w:szCs w:val="24"/>
        </w:rPr>
      </w:pPr>
    </w:p>
    <w:p w:rsidR="004D13FF" w:rsidRPr="001677A2" w:rsidRDefault="004D13FF" w:rsidP="004D13FF">
      <w:pPr>
        <w:ind w:left="851"/>
        <w:rPr>
          <w:sz w:val="24"/>
          <w:szCs w:val="24"/>
        </w:rPr>
      </w:pPr>
      <w:r w:rsidRPr="001677A2">
        <w:rPr>
          <w:sz w:val="24"/>
          <w:szCs w:val="24"/>
        </w:rPr>
        <w:t xml:space="preserve">Som forholdsregel anbefales seksuelt aktive mandlige patienter eller deres kvindelige partnere at anvende sikker prævention under behandlingen af den mandlige patient og i mindst 3 måneder efter </w:t>
      </w:r>
      <w:proofErr w:type="spellStart"/>
      <w:r w:rsidRPr="001677A2">
        <w:rPr>
          <w:sz w:val="24"/>
          <w:szCs w:val="24"/>
        </w:rPr>
        <w:t>seponering</w:t>
      </w:r>
      <w:proofErr w:type="spellEnd"/>
      <w:r w:rsidRPr="001677A2">
        <w:rPr>
          <w:sz w:val="24"/>
          <w:szCs w:val="24"/>
        </w:rPr>
        <w:t xml:space="preserve">. Mænd bør ikke donere sæd under behandling med </w:t>
      </w:r>
      <w:proofErr w:type="spellStart"/>
      <w:r w:rsidRPr="001677A2">
        <w:rPr>
          <w:sz w:val="24"/>
          <w:szCs w:val="24"/>
        </w:rPr>
        <w:t>methotrexat</w:t>
      </w:r>
      <w:proofErr w:type="spellEnd"/>
      <w:r w:rsidRPr="001677A2">
        <w:rPr>
          <w:sz w:val="24"/>
          <w:szCs w:val="24"/>
        </w:rPr>
        <w:t xml:space="preserve"> og i 3 måneder efter </w:t>
      </w:r>
      <w:proofErr w:type="spellStart"/>
      <w:r w:rsidRPr="001677A2">
        <w:rPr>
          <w:sz w:val="24"/>
          <w:szCs w:val="24"/>
        </w:rPr>
        <w:t>seponering</w:t>
      </w:r>
      <w:proofErr w:type="spellEnd"/>
      <w:r w:rsidRPr="001677A2">
        <w:rPr>
          <w:sz w:val="24"/>
          <w:szCs w:val="24"/>
        </w:rPr>
        <w:t>.</w:t>
      </w:r>
    </w:p>
    <w:p w:rsidR="0023606F" w:rsidRPr="001677A2" w:rsidRDefault="0023606F" w:rsidP="0023606F">
      <w:pPr>
        <w:ind w:left="851"/>
        <w:rPr>
          <w:sz w:val="24"/>
          <w:szCs w:val="24"/>
          <w:u w:val="single"/>
        </w:rPr>
      </w:pPr>
    </w:p>
    <w:p w:rsidR="0023606F" w:rsidRPr="001677A2" w:rsidRDefault="0023606F" w:rsidP="002E5F1B">
      <w:pPr>
        <w:keepNext/>
        <w:ind w:left="851"/>
        <w:rPr>
          <w:sz w:val="24"/>
          <w:szCs w:val="24"/>
          <w:u w:val="single"/>
          <w:lang w:eastAsia="da-DK"/>
        </w:rPr>
      </w:pPr>
      <w:r w:rsidRPr="001677A2">
        <w:rPr>
          <w:b/>
          <w:sz w:val="24"/>
          <w:szCs w:val="24"/>
          <w:u w:val="single"/>
        </w:rPr>
        <w:t>Graviditet</w:t>
      </w:r>
    </w:p>
    <w:p w:rsidR="0023606F" w:rsidRPr="001677A2" w:rsidRDefault="0023606F" w:rsidP="0023606F">
      <w:pPr>
        <w:ind w:left="851"/>
        <w:rPr>
          <w:bCs/>
          <w:sz w:val="24"/>
          <w:szCs w:val="24"/>
        </w:rPr>
      </w:pPr>
      <w:proofErr w:type="spellStart"/>
      <w:r w:rsidRPr="001677A2">
        <w:rPr>
          <w:bCs/>
          <w:sz w:val="24"/>
          <w:szCs w:val="24"/>
        </w:rPr>
        <w:t>Methotrexat</w:t>
      </w:r>
      <w:proofErr w:type="spellEnd"/>
      <w:r w:rsidRPr="001677A2">
        <w:rPr>
          <w:bCs/>
          <w:sz w:val="24"/>
          <w:szCs w:val="24"/>
        </w:rPr>
        <w:t xml:space="preserve"> er kontraindiceret under graviditet ved ikke-onkologiske indikationer (se pkt. 4.3). Hvis der opstår graviditet under eller op til seks måneder efter behandling med </w:t>
      </w:r>
      <w:proofErr w:type="spellStart"/>
      <w:r w:rsidRPr="001677A2">
        <w:rPr>
          <w:bCs/>
          <w:sz w:val="24"/>
          <w:szCs w:val="24"/>
        </w:rPr>
        <w:t>methotrexat</w:t>
      </w:r>
      <w:proofErr w:type="spellEnd"/>
      <w:r w:rsidRPr="001677A2">
        <w:rPr>
          <w:bCs/>
          <w:sz w:val="24"/>
          <w:szCs w:val="24"/>
        </w:rPr>
        <w:t>, bør patienten rådgives om risikoen for, at behandlingen skader barnet, og det bør ved ultralydsscanninger bekræftes, at fosterudviklingen er normal.</w:t>
      </w:r>
    </w:p>
    <w:p w:rsidR="0023606F" w:rsidRPr="001677A2" w:rsidRDefault="0023606F" w:rsidP="0023606F">
      <w:pPr>
        <w:ind w:left="851"/>
        <w:rPr>
          <w:bCs/>
          <w:sz w:val="24"/>
          <w:szCs w:val="24"/>
        </w:rPr>
      </w:pPr>
    </w:p>
    <w:p w:rsidR="0023606F" w:rsidRPr="001677A2" w:rsidRDefault="0023606F" w:rsidP="0023606F">
      <w:pPr>
        <w:ind w:left="851"/>
        <w:rPr>
          <w:bCs/>
          <w:sz w:val="24"/>
          <w:szCs w:val="24"/>
        </w:rPr>
      </w:pPr>
      <w:proofErr w:type="spellStart"/>
      <w:r w:rsidRPr="001677A2">
        <w:rPr>
          <w:bCs/>
          <w:sz w:val="24"/>
          <w:szCs w:val="24"/>
        </w:rPr>
        <w:t>Methotrexat</w:t>
      </w:r>
      <w:proofErr w:type="spellEnd"/>
      <w:r w:rsidRPr="001677A2">
        <w:rPr>
          <w:bCs/>
          <w:sz w:val="24"/>
          <w:szCs w:val="24"/>
        </w:rPr>
        <w:t xml:space="preserve"> har udvist reproduktionstoksicitet i dyreforsøg, navnlig i første tredjedel af drægtighedsperioden (se pkt. 5.3). Det er påvist, at </w:t>
      </w:r>
      <w:proofErr w:type="spellStart"/>
      <w:r w:rsidRPr="001677A2">
        <w:rPr>
          <w:bCs/>
          <w:sz w:val="24"/>
          <w:szCs w:val="24"/>
        </w:rPr>
        <w:t>methotrexat</w:t>
      </w:r>
      <w:proofErr w:type="spellEnd"/>
      <w:r w:rsidRPr="001677A2">
        <w:rPr>
          <w:bCs/>
          <w:sz w:val="24"/>
          <w:szCs w:val="24"/>
        </w:rPr>
        <w:t xml:space="preserve"> er </w:t>
      </w:r>
      <w:proofErr w:type="spellStart"/>
      <w:r w:rsidRPr="001677A2">
        <w:rPr>
          <w:bCs/>
          <w:sz w:val="24"/>
          <w:szCs w:val="24"/>
        </w:rPr>
        <w:t>teratogent</w:t>
      </w:r>
      <w:proofErr w:type="spellEnd"/>
      <w:r w:rsidRPr="001677A2">
        <w:rPr>
          <w:bCs/>
          <w:sz w:val="24"/>
          <w:szCs w:val="24"/>
        </w:rPr>
        <w:t xml:space="preserve"> for mennesker, idet der er rapporteret om fosterdød, aborter og/eller medfødte </w:t>
      </w:r>
      <w:proofErr w:type="spellStart"/>
      <w:r w:rsidRPr="001677A2">
        <w:rPr>
          <w:bCs/>
          <w:sz w:val="24"/>
          <w:szCs w:val="24"/>
        </w:rPr>
        <w:t>anomaliteter</w:t>
      </w:r>
      <w:proofErr w:type="spellEnd"/>
      <w:r w:rsidRPr="001677A2">
        <w:rPr>
          <w:bCs/>
          <w:sz w:val="24"/>
          <w:szCs w:val="24"/>
        </w:rPr>
        <w:t xml:space="preserve"> (f.eks. i kraniet/ansigtet, hjertet/blodkarrene, centralnervesystemet og ekstremiteterne). </w:t>
      </w:r>
    </w:p>
    <w:p w:rsidR="0023606F" w:rsidRPr="001677A2" w:rsidRDefault="0023606F" w:rsidP="0023606F">
      <w:pPr>
        <w:ind w:left="851"/>
        <w:rPr>
          <w:bCs/>
          <w:sz w:val="24"/>
          <w:szCs w:val="24"/>
        </w:rPr>
      </w:pPr>
    </w:p>
    <w:p w:rsidR="0023606F" w:rsidRPr="001677A2" w:rsidRDefault="0023606F" w:rsidP="0023606F">
      <w:pPr>
        <w:ind w:left="851"/>
        <w:rPr>
          <w:bCs/>
          <w:sz w:val="24"/>
          <w:szCs w:val="24"/>
        </w:rPr>
      </w:pPr>
      <w:proofErr w:type="spellStart"/>
      <w:r w:rsidRPr="001677A2">
        <w:rPr>
          <w:bCs/>
          <w:sz w:val="24"/>
          <w:szCs w:val="24"/>
        </w:rPr>
        <w:t>Methotrexat</w:t>
      </w:r>
      <w:proofErr w:type="spellEnd"/>
      <w:r w:rsidRPr="001677A2">
        <w:rPr>
          <w:bCs/>
          <w:sz w:val="24"/>
          <w:szCs w:val="24"/>
        </w:rPr>
        <w:t xml:space="preserve"> er et kraftigt humant </w:t>
      </w:r>
      <w:proofErr w:type="spellStart"/>
      <w:r w:rsidRPr="001677A2">
        <w:rPr>
          <w:bCs/>
          <w:sz w:val="24"/>
          <w:szCs w:val="24"/>
        </w:rPr>
        <w:t>teratogen</w:t>
      </w:r>
      <w:proofErr w:type="spellEnd"/>
      <w:r w:rsidRPr="001677A2">
        <w:rPr>
          <w:bCs/>
          <w:sz w:val="24"/>
          <w:szCs w:val="24"/>
        </w:rPr>
        <w:t xml:space="preserve">, der medfører øget risiko for spontan abort, intrauterin vækstbegrænsning og medfødte misdannelser i tilfælde af eksponering under graviditet. </w:t>
      </w:r>
    </w:p>
    <w:p w:rsidR="0023606F" w:rsidRPr="001677A2" w:rsidRDefault="0023606F" w:rsidP="0023606F">
      <w:pPr>
        <w:ind w:left="851"/>
        <w:rPr>
          <w:bCs/>
          <w:sz w:val="24"/>
          <w:szCs w:val="24"/>
        </w:rPr>
      </w:pPr>
    </w:p>
    <w:p w:rsidR="0023606F" w:rsidRPr="001677A2" w:rsidRDefault="0023606F" w:rsidP="0023606F">
      <w:pPr>
        <w:ind w:left="851"/>
        <w:rPr>
          <w:bCs/>
          <w:sz w:val="24"/>
          <w:szCs w:val="24"/>
        </w:rPr>
      </w:pPr>
      <w:r w:rsidRPr="001677A2">
        <w:rPr>
          <w:bCs/>
          <w:sz w:val="24"/>
          <w:szCs w:val="24"/>
        </w:rPr>
        <w:t xml:space="preserve">• Der er rapporteret om spontane aborter hos 42,5 % af de gravide kvinder, der blev behandlet med </w:t>
      </w:r>
      <w:proofErr w:type="spellStart"/>
      <w:r w:rsidRPr="001677A2">
        <w:rPr>
          <w:bCs/>
          <w:sz w:val="24"/>
          <w:szCs w:val="24"/>
        </w:rPr>
        <w:t>methotrexat</w:t>
      </w:r>
      <w:proofErr w:type="spellEnd"/>
      <w:r w:rsidRPr="001677A2">
        <w:rPr>
          <w:bCs/>
          <w:sz w:val="24"/>
          <w:szCs w:val="24"/>
        </w:rPr>
        <w:t xml:space="preserve"> i lave doser (mindre end 30 mg pr. uge), sammenholdt med en rapporteret forekomst på 22,5 % hos sygdomsmatchede patienter, der blev behandlet med andre lægemidler end </w:t>
      </w:r>
      <w:proofErr w:type="spellStart"/>
      <w:r w:rsidRPr="001677A2">
        <w:rPr>
          <w:bCs/>
          <w:sz w:val="24"/>
          <w:szCs w:val="24"/>
        </w:rPr>
        <w:t>methotrexat</w:t>
      </w:r>
      <w:proofErr w:type="spellEnd"/>
      <w:r w:rsidRPr="001677A2">
        <w:rPr>
          <w:bCs/>
          <w:sz w:val="24"/>
          <w:szCs w:val="24"/>
        </w:rPr>
        <w:t>.</w:t>
      </w:r>
    </w:p>
    <w:p w:rsidR="0023606F" w:rsidRPr="001677A2" w:rsidRDefault="0023606F" w:rsidP="0023606F">
      <w:pPr>
        <w:ind w:left="851"/>
        <w:rPr>
          <w:bCs/>
          <w:sz w:val="24"/>
          <w:szCs w:val="24"/>
        </w:rPr>
      </w:pPr>
    </w:p>
    <w:p w:rsidR="0023606F" w:rsidRPr="001677A2" w:rsidRDefault="0023606F" w:rsidP="0023606F">
      <w:pPr>
        <w:ind w:left="851"/>
        <w:rPr>
          <w:bCs/>
          <w:sz w:val="24"/>
          <w:szCs w:val="24"/>
        </w:rPr>
      </w:pPr>
      <w:r w:rsidRPr="001677A2">
        <w:rPr>
          <w:bCs/>
          <w:sz w:val="24"/>
          <w:szCs w:val="24"/>
        </w:rPr>
        <w:t xml:space="preserve">• Alvorlige fødselsdefekter sås hos 6,6 % af de levendefødte børn af kvinder, der var blevet behandlet med </w:t>
      </w:r>
      <w:proofErr w:type="spellStart"/>
      <w:r w:rsidRPr="001677A2">
        <w:rPr>
          <w:bCs/>
          <w:sz w:val="24"/>
          <w:szCs w:val="24"/>
        </w:rPr>
        <w:t>methotrexat</w:t>
      </w:r>
      <w:proofErr w:type="spellEnd"/>
      <w:r w:rsidRPr="001677A2">
        <w:rPr>
          <w:bCs/>
          <w:sz w:val="24"/>
          <w:szCs w:val="24"/>
        </w:rPr>
        <w:t xml:space="preserve"> i lave doser (mindre end 30 mg/uge) under graviditeten, sammenholdt med ca. 4 % af de levendefødte børn af sygdomsmatchede patienter, der var blevet behandlet med andre lægemidler end </w:t>
      </w:r>
      <w:proofErr w:type="spellStart"/>
      <w:r w:rsidRPr="001677A2">
        <w:rPr>
          <w:bCs/>
          <w:sz w:val="24"/>
          <w:szCs w:val="24"/>
        </w:rPr>
        <w:t>methotrexat</w:t>
      </w:r>
      <w:proofErr w:type="spellEnd"/>
      <w:r w:rsidRPr="001677A2">
        <w:rPr>
          <w:bCs/>
          <w:sz w:val="24"/>
          <w:szCs w:val="24"/>
        </w:rPr>
        <w:t>.</w:t>
      </w:r>
    </w:p>
    <w:p w:rsidR="0023606F" w:rsidRPr="001677A2" w:rsidRDefault="0023606F" w:rsidP="0023606F">
      <w:pPr>
        <w:ind w:left="851"/>
        <w:rPr>
          <w:bCs/>
          <w:sz w:val="24"/>
          <w:szCs w:val="24"/>
        </w:rPr>
      </w:pPr>
    </w:p>
    <w:p w:rsidR="0023606F" w:rsidRPr="001677A2" w:rsidRDefault="0023606F" w:rsidP="0023606F">
      <w:pPr>
        <w:ind w:left="851"/>
        <w:rPr>
          <w:bCs/>
          <w:sz w:val="24"/>
          <w:szCs w:val="24"/>
        </w:rPr>
      </w:pPr>
      <w:r w:rsidRPr="001677A2">
        <w:rPr>
          <w:bCs/>
          <w:sz w:val="24"/>
          <w:szCs w:val="24"/>
        </w:rPr>
        <w:lastRenderedPageBreak/>
        <w:t xml:space="preserve">De tilgængelige data for eksponering for </w:t>
      </w:r>
      <w:proofErr w:type="spellStart"/>
      <w:r w:rsidRPr="001677A2">
        <w:rPr>
          <w:bCs/>
          <w:sz w:val="24"/>
          <w:szCs w:val="24"/>
        </w:rPr>
        <w:t>methotrexat</w:t>
      </w:r>
      <w:proofErr w:type="spellEnd"/>
      <w:r w:rsidRPr="001677A2">
        <w:rPr>
          <w:bCs/>
          <w:sz w:val="24"/>
          <w:szCs w:val="24"/>
        </w:rPr>
        <w:t>-doser over 30 mg/uge under graviditet er begrænsede, men der forventes en højere forekomst af spontane aborter og medfødte misdannelser.</w:t>
      </w:r>
    </w:p>
    <w:p w:rsidR="0023606F" w:rsidRPr="001677A2" w:rsidRDefault="0023606F" w:rsidP="0023606F">
      <w:pPr>
        <w:ind w:left="851"/>
        <w:rPr>
          <w:bCs/>
          <w:sz w:val="24"/>
          <w:szCs w:val="24"/>
        </w:rPr>
      </w:pPr>
    </w:p>
    <w:p w:rsidR="0023606F" w:rsidRPr="001677A2" w:rsidRDefault="0023606F" w:rsidP="0023606F">
      <w:pPr>
        <w:ind w:left="851"/>
        <w:rPr>
          <w:bCs/>
          <w:sz w:val="24"/>
          <w:szCs w:val="24"/>
        </w:rPr>
      </w:pPr>
      <w:r w:rsidRPr="001677A2">
        <w:rPr>
          <w:bCs/>
          <w:sz w:val="24"/>
          <w:szCs w:val="24"/>
        </w:rPr>
        <w:t xml:space="preserve">Når </w:t>
      </w:r>
      <w:proofErr w:type="spellStart"/>
      <w:r w:rsidRPr="001677A2">
        <w:rPr>
          <w:bCs/>
          <w:sz w:val="24"/>
          <w:szCs w:val="24"/>
        </w:rPr>
        <w:t>methotrexat</w:t>
      </w:r>
      <w:proofErr w:type="spellEnd"/>
      <w:r w:rsidRPr="001677A2">
        <w:rPr>
          <w:bCs/>
          <w:sz w:val="24"/>
          <w:szCs w:val="24"/>
        </w:rPr>
        <w:t xml:space="preserve"> blev seponeret inden undfangelsen, blev der beskrevet normale graviditeter. </w:t>
      </w:r>
    </w:p>
    <w:p w:rsidR="0023606F" w:rsidRPr="001677A2" w:rsidRDefault="0023606F" w:rsidP="0023606F">
      <w:pPr>
        <w:ind w:left="851"/>
        <w:rPr>
          <w:bCs/>
          <w:sz w:val="24"/>
          <w:szCs w:val="24"/>
        </w:rPr>
      </w:pPr>
    </w:p>
    <w:p w:rsidR="0023606F" w:rsidRPr="001677A2" w:rsidRDefault="0023606F" w:rsidP="0023606F">
      <w:pPr>
        <w:ind w:left="851"/>
        <w:rPr>
          <w:sz w:val="24"/>
          <w:szCs w:val="24"/>
          <w:u w:val="single"/>
        </w:rPr>
      </w:pPr>
      <w:r w:rsidRPr="001677A2">
        <w:rPr>
          <w:b/>
          <w:sz w:val="24"/>
          <w:szCs w:val="24"/>
          <w:u w:val="single"/>
        </w:rPr>
        <w:t>Amning</w:t>
      </w:r>
    </w:p>
    <w:p w:rsidR="009C2904" w:rsidRPr="001677A2" w:rsidRDefault="009C2904" w:rsidP="009C2904">
      <w:pPr>
        <w:ind w:left="851"/>
        <w:rPr>
          <w:sz w:val="24"/>
          <w:szCs w:val="24"/>
          <w:lang w:eastAsia="da-DK"/>
        </w:rPr>
      </w:pPr>
      <w:proofErr w:type="spellStart"/>
      <w:r w:rsidRPr="001677A2">
        <w:rPr>
          <w:sz w:val="24"/>
          <w:szCs w:val="24"/>
        </w:rPr>
        <w:t>Methotrexat</w:t>
      </w:r>
      <w:proofErr w:type="spellEnd"/>
      <w:r w:rsidRPr="001677A2">
        <w:rPr>
          <w:sz w:val="24"/>
          <w:szCs w:val="24"/>
        </w:rPr>
        <w:t xml:space="preserve"> udskilles i human mælk. På grund af risikoen for alvorlige bivirkninger hos børn, der ammes, er </w:t>
      </w:r>
      <w:proofErr w:type="spellStart"/>
      <w:r w:rsidRPr="001677A2">
        <w:rPr>
          <w:sz w:val="24"/>
          <w:szCs w:val="24"/>
        </w:rPr>
        <w:t>Injexate</w:t>
      </w:r>
      <w:proofErr w:type="spellEnd"/>
      <w:r w:rsidRPr="001677A2">
        <w:rPr>
          <w:sz w:val="24"/>
          <w:szCs w:val="24"/>
        </w:rPr>
        <w:t xml:space="preserve"> (</w:t>
      </w:r>
      <w:proofErr w:type="spellStart"/>
      <w:r w:rsidRPr="001677A2">
        <w:rPr>
          <w:sz w:val="24"/>
          <w:szCs w:val="24"/>
        </w:rPr>
        <w:t>methotrexat</w:t>
      </w:r>
      <w:proofErr w:type="spellEnd"/>
      <w:r w:rsidRPr="001677A2">
        <w:rPr>
          <w:sz w:val="24"/>
          <w:szCs w:val="24"/>
        </w:rPr>
        <w:t>) kontraindiceret til ammende kvinder (se pkt. 4.3). Derfor skal amning seponeres inden og under behandlingen.</w:t>
      </w:r>
      <w:r w:rsidRPr="001677A2">
        <w:rPr>
          <w:sz w:val="24"/>
          <w:szCs w:val="24"/>
          <w:lang w:eastAsia="da-DK"/>
        </w:rPr>
        <w:t xml:space="preserve"> </w:t>
      </w:r>
    </w:p>
    <w:p w:rsidR="0023606F" w:rsidRPr="001677A2" w:rsidRDefault="0023606F" w:rsidP="009C2904">
      <w:pPr>
        <w:ind w:left="851"/>
        <w:rPr>
          <w:sz w:val="24"/>
          <w:szCs w:val="24"/>
          <w:u w:val="single"/>
        </w:rPr>
      </w:pPr>
    </w:p>
    <w:p w:rsidR="0023606F" w:rsidRPr="001677A2" w:rsidRDefault="0023606F" w:rsidP="0023606F">
      <w:pPr>
        <w:ind w:left="851"/>
        <w:rPr>
          <w:sz w:val="24"/>
          <w:szCs w:val="24"/>
          <w:u w:val="single"/>
        </w:rPr>
      </w:pPr>
      <w:r w:rsidRPr="001677A2">
        <w:rPr>
          <w:b/>
          <w:sz w:val="24"/>
          <w:szCs w:val="24"/>
          <w:u w:val="single"/>
        </w:rPr>
        <w:t>Fertilitet</w:t>
      </w:r>
    </w:p>
    <w:p w:rsidR="0023606F" w:rsidRPr="001677A2" w:rsidRDefault="0023606F" w:rsidP="0023606F">
      <w:pPr>
        <w:ind w:left="851"/>
        <w:rPr>
          <w:bCs/>
          <w:sz w:val="24"/>
          <w:szCs w:val="24"/>
        </w:rPr>
      </w:pPr>
      <w:proofErr w:type="spellStart"/>
      <w:r w:rsidRPr="001677A2">
        <w:rPr>
          <w:bCs/>
          <w:sz w:val="24"/>
          <w:szCs w:val="24"/>
        </w:rPr>
        <w:t>Methotrexat</w:t>
      </w:r>
      <w:proofErr w:type="spellEnd"/>
      <w:r w:rsidRPr="001677A2">
        <w:rPr>
          <w:bCs/>
          <w:sz w:val="24"/>
          <w:szCs w:val="24"/>
        </w:rPr>
        <w:t xml:space="preserve"> påvirker </w:t>
      </w:r>
      <w:proofErr w:type="spellStart"/>
      <w:r w:rsidRPr="001677A2">
        <w:rPr>
          <w:bCs/>
          <w:sz w:val="24"/>
          <w:szCs w:val="24"/>
        </w:rPr>
        <w:t>spermatogenesen</w:t>
      </w:r>
      <w:proofErr w:type="spellEnd"/>
      <w:r w:rsidRPr="001677A2">
        <w:rPr>
          <w:bCs/>
          <w:sz w:val="24"/>
          <w:szCs w:val="24"/>
        </w:rPr>
        <w:t xml:space="preserve"> og </w:t>
      </w:r>
      <w:proofErr w:type="spellStart"/>
      <w:r w:rsidRPr="001677A2">
        <w:rPr>
          <w:bCs/>
          <w:sz w:val="24"/>
          <w:szCs w:val="24"/>
        </w:rPr>
        <w:t>oogenesen</w:t>
      </w:r>
      <w:proofErr w:type="spellEnd"/>
      <w:r w:rsidRPr="001677A2">
        <w:rPr>
          <w:bCs/>
          <w:sz w:val="24"/>
          <w:szCs w:val="24"/>
        </w:rPr>
        <w:t xml:space="preserve"> og kan medføre nedsat fertilitet. Der er rapporter om, at </w:t>
      </w:r>
      <w:proofErr w:type="spellStart"/>
      <w:r w:rsidRPr="001677A2">
        <w:rPr>
          <w:bCs/>
          <w:sz w:val="24"/>
          <w:szCs w:val="24"/>
        </w:rPr>
        <w:t>methotrexat</w:t>
      </w:r>
      <w:proofErr w:type="spellEnd"/>
      <w:r w:rsidRPr="001677A2">
        <w:rPr>
          <w:bCs/>
          <w:sz w:val="24"/>
          <w:szCs w:val="24"/>
        </w:rPr>
        <w:t xml:space="preserve"> hos mennesker medfører </w:t>
      </w:r>
      <w:proofErr w:type="spellStart"/>
      <w:r w:rsidRPr="001677A2">
        <w:rPr>
          <w:bCs/>
          <w:sz w:val="24"/>
          <w:szCs w:val="24"/>
        </w:rPr>
        <w:t>oligospermi</w:t>
      </w:r>
      <w:proofErr w:type="spellEnd"/>
      <w:r w:rsidRPr="001677A2">
        <w:rPr>
          <w:bCs/>
          <w:sz w:val="24"/>
          <w:szCs w:val="24"/>
        </w:rPr>
        <w:t xml:space="preserve">, </w:t>
      </w:r>
      <w:proofErr w:type="spellStart"/>
      <w:r w:rsidRPr="001677A2">
        <w:rPr>
          <w:bCs/>
          <w:sz w:val="24"/>
          <w:szCs w:val="24"/>
        </w:rPr>
        <w:t>menstruel</w:t>
      </w:r>
      <w:proofErr w:type="spellEnd"/>
      <w:r w:rsidRPr="001677A2">
        <w:rPr>
          <w:bCs/>
          <w:sz w:val="24"/>
          <w:szCs w:val="24"/>
        </w:rPr>
        <w:t xml:space="preserve"> dysfunktion og </w:t>
      </w:r>
      <w:proofErr w:type="spellStart"/>
      <w:r w:rsidRPr="001677A2">
        <w:rPr>
          <w:bCs/>
          <w:sz w:val="24"/>
          <w:szCs w:val="24"/>
        </w:rPr>
        <w:t>amenorré</w:t>
      </w:r>
      <w:proofErr w:type="spellEnd"/>
      <w:r w:rsidRPr="001677A2">
        <w:rPr>
          <w:bCs/>
          <w:sz w:val="24"/>
          <w:szCs w:val="24"/>
        </w:rPr>
        <w:t xml:space="preserve">. Disse bivirkninger synes at være reversible efter </w:t>
      </w:r>
      <w:proofErr w:type="spellStart"/>
      <w:r w:rsidRPr="001677A2">
        <w:rPr>
          <w:bCs/>
          <w:sz w:val="24"/>
          <w:szCs w:val="24"/>
        </w:rPr>
        <w:t>seponering</w:t>
      </w:r>
      <w:proofErr w:type="spellEnd"/>
      <w:r w:rsidRPr="001677A2">
        <w:rPr>
          <w:bCs/>
          <w:sz w:val="24"/>
          <w:szCs w:val="24"/>
        </w:rPr>
        <w:t xml:space="preserve"> af behandlingen i de fleste tilfælde.</w:t>
      </w:r>
    </w:p>
    <w:p w:rsidR="0023606F" w:rsidRPr="001677A2" w:rsidRDefault="0023606F" w:rsidP="0023606F">
      <w:pPr>
        <w:ind w:left="851" w:hanging="851"/>
        <w:rPr>
          <w:sz w:val="24"/>
          <w:szCs w:val="24"/>
        </w:rPr>
      </w:pPr>
    </w:p>
    <w:p w:rsidR="0023606F" w:rsidRPr="001677A2" w:rsidRDefault="0023606F" w:rsidP="009C2904">
      <w:pPr>
        <w:keepNext/>
        <w:ind w:left="851" w:hanging="851"/>
        <w:rPr>
          <w:b/>
          <w:sz w:val="24"/>
          <w:szCs w:val="24"/>
        </w:rPr>
      </w:pPr>
      <w:r w:rsidRPr="001677A2">
        <w:rPr>
          <w:b/>
          <w:sz w:val="24"/>
          <w:szCs w:val="24"/>
        </w:rPr>
        <w:t>4.7</w:t>
      </w:r>
      <w:r w:rsidRPr="001677A2">
        <w:rPr>
          <w:b/>
          <w:sz w:val="24"/>
          <w:szCs w:val="24"/>
        </w:rPr>
        <w:tab/>
        <w:t xml:space="preserve">Virkning på evnen til at føre motorkøretøj </w:t>
      </w:r>
      <w:r w:rsidR="004D13FF" w:rsidRPr="001677A2">
        <w:rPr>
          <w:b/>
          <w:sz w:val="24"/>
          <w:szCs w:val="24"/>
        </w:rPr>
        <w:t>og</w:t>
      </w:r>
      <w:r w:rsidRPr="001677A2">
        <w:rPr>
          <w:b/>
          <w:sz w:val="24"/>
          <w:szCs w:val="24"/>
        </w:rPr>
        <w:t xml:space="preserve"> betjene maskiner</w:t>
      </w:r>
    </w:p>
    <w:p w:rsidR="0023606F" w:rsidRPr="001677A2" w:rsidRDefault="0023606F" w:rsidP="0023606F">
      <w:pPr>
        <w:ind w:left="851"/>
        <w:rPr>
          <w:sz w:val="24"/>
          <w:szCs w:val="24"/>
        </w:rPr>
      </w:pPr>
      <w:r w:rsidRPr="001677A2">
        <w:rPr>
          <w:sz w:val="24"/>
          <w:szCs w:val="24"/>
        </w:rPr>
        <w:t>Ikke mærkning.</w:t>
      </w:r>
    </w:p>
    <w:p w:rsidR="0023606F" w:rsidRPr="001677A2" w:rsidRDefault="0023606F" w:rsidP="0023606F">
      <w:pPr>
        <w:ind w:left="851"/>
        <w:rPr>
          <w:snapToGrid w:val="0"/>
          <w:sz w:val="24"/>
          <w:szCs w:val="24"/>
          <w:lang w:eastAsia="da-DK"/>
        </w:rPr>
      </w:pPr>
      <w:r w:rsidRPr="001677A2">
        <w:rPr>
          <w:sz w:val="24"/>
          <w:szCs w:val="24"/>
        </w:rPr>
        <w:t xml:space="preserve">Centralnervesymptomer såsom træthed og svimmelhed kan forekomme under behandlingen. </w:t>
      </w:r>
      <w:proofErr w:type="spellStart"/>
      <w:r w:rsidRPr="001677A2">
        <w:rPr>
          <w:bCs/>
          <w:sz w:val="24"/>
          <w:szCs w:val="24"/>
        </w:rPr>
        <w:t>Injexate</w:t>
      </w:r>
      <w:proofErr w:type="spellEnd"/>
      <w:r w:rsidRPr="001677A2">
        <w:rPr>
          <w:sz w:val="24"/>
          <w:szCs w:val="24"/>
        </w:rPr>
        <w:t xml:space="preserve"> påvirker i mindre eller moderat grad evnen til at føre motorkøretøj eller betjene maskiner.</w:t>
      </w:r>
    </w:p>
    <w:p w:rsidR="0023606F" w:rsidRPr="001677A2" w:rsidRDefault="0023606F" w:rsidP="0023606F">
      <w:pPr>
        <w:ind w:left="851" w:hanging="851"/>
        <w:rPr>
          <w:sz w:val="24"/>
          <w:szCs w:val="24"/>
        </w:rPr>
      </w:pPr>
    </w:p>
    <w:p w:rsidR="0023606F" w:rsidRPr="001677A2" w:rsidRDefault="0023606F" w:rsidP="002E5F1B">
      <w:pPr>
        <w:keepNext/>
        <w:ind w:left="851" w:hanging="851"/>
        <w:rPr>
          <w:b/>
          <w:sz w:val="24"/>
          <w:szCs w:val="24"/>
        </w:rPr>
      </w:pPr>
      <w:r w:rsidRPr="001677A2">
        <w:rPr>
          <w:b/>
          <w:sz w:val="24"/>
          <w:szCs w:val="24"/>
        </w:rPr>
        <w:t>4.8</w:t>
      </w:r>
      <w:r w:rsidRPr="001677A2">
        <w:rPr>
          <w:b/>
          <w:sz w:val="24"/>
          <w:szCs w:val="24"/>
        </w:rPr>
        <w:tab/>
        <w:t>Bivirkninger</w:t>
      </w:r>
    </w:p>
    <w:p w:rsidR="0023606F" w:rsidRPr="001677A2" w:rsidRDefault="0023606F" w:rsidP="0023606F">
      <w:pPr>
        <w:keepNext/>
        <w:keepLines/>
        <w:tabs>
          <w:tab w:val="left" w:pos="851"/>
        </w:tabs>
        <w:ind w:left="851"/>
        <w:rPr>
          <w:sz w:val="24"/>
          <w:szCs w:val="24"/>
          <w:u w:val="single"/>
        </w:rPr>
      </w:pPr>
    </w:p>
    <w:p w:rsidR="0023606F" w:rsidRPr="001677A2" w:rsidRDefault="0023606F" w:rsidP="0023606F">
      <w:pPr>
        <w:keepNext/>
        <w:keepLines/>
        <w:tabs>
          <w:tab w:val="left" w:pos="851"/>
        </w:tabs>
        <w:ind w:left="851"/>
        <w:rPr>
          <w:sz w:val="24"/>
          <w:szCs w:val="24"/>
          <w:u w:val="single"/>
        </w:rPr>
      </w:pPr>
      <w:r w:rsidRPr="001677A2">
        <w:rPr>
          <w:sz w:val="24"/>
          <w:szCs w:val="24"/>
          <w:u w:val="single"/>
        </w:rPr>
        <w:t>Oversigt over sikkerhedsprofilen</w:t>
      </w:r>
    </w:p>
    <w:p w:rsidR="0023606F" w:rsidRPr="001677A2" w:rsidRDefault="0023606F" w:rsidP="0023606F">
      <w:pPr>
        <w:keepNext/>
        <w:keepLines/>
        <w:tabs>
          <w:tab w:val="left" w:pos="851"/>
        </w:tabs>
        <w:ind w:left="851"/>
        <w:rPr>
          <w:sz w:val="24"/>
          <w:szCs w:val="24"/>
          <w:u w:val="single"/>
        </w:rPr>
      </w:pPr>
    </w:p>
    <w:p w:rsidR="0023606F" w:rsidRPr="001677A2" w:rsidRDefault="0023606F" w:rsidP="0023606F">
      <w:pPr>
        <w:keepNext/>
        <w:keepLines/>
        <w:tabs>
          <w:tab w:val="left" w:pos="851"/>
        </w:tabs>
        <w:ind w:left="851"/>
        <w:rPr>
          <w:sz w:val="24"/>
          <w:szCs w:val="24"/>
        </w:rPr>
      </w:pPr>
      <w:r w:rsidRPr="001677A2">
        <w:rPr>
          <w:sz w:val="24"/>
          <w:szCs w:val="24"/>
        </w:rPr>
        <w:t xml:space="preserve">De mest alvorlige bivirkninger for </w:t>
      </w:r>
      <w:proofErr w:type="spellStart"/>
      <w:r w:rsidRPr="001677A2">
        <w:rPr>
          <w:sz w:val="24"/>
          <w:szCs w:val="24"/>
        </w:rPr>
        <w:t>methotrexat</w:t>
      </w:r>
      <w:proofErr w:type="spellEnd"/>
      <w:r w:rsidRPr="001677A2">
        <w:rPr>
          <w:sz w:val="24"/>
          <w:szCs w:val="24"/>
        </w:rPr>
        <w:t xml:space="preserve"> omfatter knoglemarvsundertrykkelse, lungetoksicitet, </w:t>
      </w:r>
      <w:proofErr w:type="spellStart"/>
      <w:r w:rsidRPr="001677A2">
        <w:rPr>
          <w:sz w:val="24"/>
          <w:szCs w:val="24"/>
        </w:rPr>
        <w:t>hepatotoksicitet</w:t>
      </w:r>
      <w:proofErr w:type="spellEnd"/>
      <w:r w:rsidRPr="001677A2">
        <w:rPr>
          <w:sz w:val="24"/>
          <w:szCs w:val="24"/>
        </w:rPr>
        <w:t xml:space="preserve">, nyretoksicitet, </w:t>
      </w:r>
      <w:proofErr w:type="spellStart"/>
      <w:r w:rsidRPr="001677A2">
        <w:rPr>
          <w:sz w:val="24"/>
          <w:szCs w:val="24"/>
        </w:rPr>
        <w:t>neurotoksicitet</w:t>
      </w:r>
      <w:proofErr w:type="spellEnd"/>
      <w:r w:rsidRPr="001677A2">
        <w:rPr>
          <w:sz w:val="24"/>
          <w:szCs w:val="24"/>
        </w:rPr>
        <w:t xml:space="preserve">, </w:t>
      </w:r>
      <w:proofErr w:type="spellStart"/>
      <w:r w:rsidRPr="001677A2">
        <w:rPr>
          <w:sz w:val="24"/>
          <w:szCs w:val="24"/>
        </w:rPr>
        <w:t>tromboemboliske</w:t>
      </w:r>
      <w:proofErr w:type="spellEnd"/>
      <w:r w:rsidRPr="001677A2">
        <w:rPr>
          <w:sz w:val="24"/>
          <w:szCs w:val="24"/>
        </w:rPr>
        <w:t xml:space="preserve"> hændelser, </w:t>
      </w:r>
      <w:proofErr w:type="spellStart"/>
      <w:r w:rsidRPr="001677A2">
        <w:rPr>
          <w:sz w:val="24"/>
          <w:szCs w:val="24"/>
        </w:rPr>
        <w:t>anafylaktisk</w:t>
      </w:r>
      <w:proofErr w:type="spellEnd"/>
      <w:r w:rsidRPr="001677A2">
        <w:rPr>
          <w:sz w:val="24"/>
          <w:szCs w:val="24"/>
        </w:rPr>
        <w:t xml:space="preserve"> </w:t>
      </w:r>
      <w:proofErr w:type="spellStart"/>
      <w:r w:rsidRPr="001677A2">
        <w:rPr>
          <w:sz w:val="24"/>
          <w:szCs w:val="24"/>
        </w:rPr>
        <w:t>shock</w:t>
      </w:r>
      <w:proofErr w:type="spellEnd"/>
      <w:r w:rsidRPr="001677A2">
        <w:rPr>
          <w:sz w:val="24"/>
          <w:szCs w:val="24"/>
        </w:rPr>
        <w:t xml:space="preserve"> og Stevens-Johnsons syndrom.</w:t>
      </w:r>
    </w:p>
    <w:p w:rsidR="0023606F" w:rsidRPr="001677A2" w:rsidRDefault="0023606F" w:rsidP="0023606F">
      <w:pPr>
        <w:tabs>
          <w:tab w:val="left" w:pos="851"/>
        </w:tabs>
        <w:ind w:left="851" w:hanging="567"/>
        <w:rPr>
          <w:sz w:val="24"/>
          <w:szCs w:val="24"/>
        </w:rPr>
      </w:pPr>
    </w:p>
    <w:p w:rsidR="0023606F" w:rsidRPr="001677A2" w:rsidRDefault="0023606F" w:rsidP="0023606F">
      <w:pPr>
        <w:tabs>
          <w:tab w:val="left" w:pos="851"/>
        </w:tabs>
        <w:ind w:left="851"/>
        <w:rPr>
          <w:sz w:val="24"/>
          <w:szCs w:val="24"/>
        </w:rPr>
      </w:pPr>
      <w:r w:rsidRPr="001677A2">
        <w:rPr>
          <w:sz w:val="24"/>
          <w:szCs w:val="24"/>
        </w:rPr>
        <w:t xml:space="preserve">De hyppigste (meget almindelige) observerede bivirkninger for </w:t>
      </w:r>
      <w:proofErr w:type="spellStart"/>
      <w:r w:rsidRPr="001677A2">
        <w:rPr>
          <w:sz w:val="24"/>
          <w:szCs w:val="24"/>
        </w:rPr>
        <w:t>methotrexat</w:t>
      </w:r>
      <w:proofErr w:type="spellEnd"/>
      <w:r w:rsidRPr="001677A2">
        <w:rPr>
          <w:sz w:val="24"/>
          <w:szCs w:val="24"/>
        </w:rPr>
        <w:t xml:space="preserve"> omfatter mave-tarm-sygdomme, f.eks. </w:t>
      </w:r>
      <w:proofErr w:type="spellStart"/>
      <w:r w:rsidRPr="001677A2">
        <w:rPr>
          <w:sz w:val="24"/>
          <w:szCs w:val="24"/>
        </w:rPr>
        <w:t>stomatitis</w:t>
      </w:r>
      <w:proofErr w:type="spellEnd"/>
      <w:r w:rsidRPr="001677A2">
        <w:rPr>
          <w:sz w:val="24"/>
          <w:szCs w:val="24"/>
        </w:rPr>
        <w:t xml:space="preserve">, dyspepsi, </w:t>
      </w:r>
      <w:proofErr w:type="spellStart"/>
      <w:r w:rsidRPr="001677A2">
        <w:rPr>
          <w:sz w:val="24"/>
          <w:szCs w:val="24"/>
        </w:rPr>
        <w:t>abdominalsmerter</w:t>
      </w:r>
      <w:proofErr w:type="spellEnd"/>
      <w:r w:rsidRPr="001677A2">
        <w:rPr>
          <w:sz w:val="24"/>
          <w:szCs w:val="24"/>
        </w:rPr>
        <w:t xml:space="preserve">, kvalme, appetitløshed og unormale leverfunktionsprøver, f.eks. øget ALAT, ASAT, bilirubin, basisk fosfatase. Andre hyppigt forekommende (almindelige) bivirkninger er </w:t>
      </w:r>
      <w:proofErr w:type="spellStart"/>
      <w:r w:rsidRPr="001677A2">
        <w:rPr>
          <w:sz w:val="24"/>
          <w:szCs w:val="24"/>
        </w:rPr>
        <w:t>leukopeni</w:t>
      </w:r>
      <w:proofErr w:type="spellEnd"/>
      <w:r w:rsidRPr="001677A2">
        <w:rPr>
          <w:sz w:val="24"/>
          <w:szCs w:val="24"/>
        </w:rPr>
        <w:t xml:space="preserve">, anæmi, </w:t>
      </w:r>
      <w:proofErr w:type="spellStart"/>
      <w:r w:rsidRPr="001677A2">
        <w:rPr>
          <w:sz w:val="24"/>
          <w:szCs w:val="24"/>
        </w:rPr>
        <w:t>trombopeni</w:t>
      </w:r>
      <w:proofErr w:type="spellEnd"/>
      <w:r w:rsidRPr="001677A2">
        <w:rPr>
          <w:sz w:val="24"/>
          <w:szCs w:val="24"/>
        </w:rPr>
        <w:t xml:space="preserve">, hovedpine, træthed, døsighed, pneumoni, </w:t>
      </w:r>
      <w:proofErr w:type="spellStart"/>
      <w:r w:rsidRPr="001677A2">
        <w:rPr>
          <w:sz w:val="24"/>
          <w:szCs w:val="24"/>
        </w:rPr>
        <w:t>interstitiel</w:t>
      </w:r>
      <w:proofErr w:type="spellEnd"/>
      <w:r w:rsidRPr="001677A2">
        <w:rPr>
          <w:sz w:val="24"/>
          <w:szCs w:val="24"/>
        </w:rPr>
        <w:t xml:space="preserve"> </w:t>
      </w:r>
      <w:proofErr w:type="spellStart"/>
      <w:r w:rsidRPr="001677A2">
        <w:rPr>
          <w:sz w:val="24"/>
          <w:szCs w:val="24"/>
        </w:rPr>
        <w:t>alveolitis</w:t>
      </w:r>
      <w:proofErr w:type="spellEnd"/>
      <w:r w:rsidRPr="001677A2">
        <w:rPr>
          <w:sz w:val="24"/>
          <w:szCs w:val="24"/>
        </w:rPr>
        <w:t xml:space="preserve">/pneumonitis ofte forbundet med </w:t>
      </w:r>
      <w:proofErr w:type="spellStart"/>
      <w:r w:rsidRPr="001677A2">
        <w:rPr>
          <w:sz w:val="24"/>
          <w:szCs w:val="24"/>
        </w:rPr>
        <w:t>eosinofili</w:t>
      </w:r>
      <w:proofErr w:type="spellEnd"/>
      <w:r w:rsidRPr="001677A2">
        <w:rPr>
          <w:sz w:val="24"/>
          <w:szCs w:val="24"/>
        </w:rPr>
        <w:t xml:space="preserve">, orale </w:t>
      </w:r>
      <w:proofErr w:type="spellStart"/>
      <w:r w:rsidRPr="001677A2">
        <w:rPr>
          <w:sz w:val="24"/>
          <w:szCs w:val="24"/>
        </w:rPr>
        <w:t>ulcerationer</w:t>
      </w:r>
      <w:proofErr w:type="spellEnd"/>
      <w:r w:rsidRPr="001677A2">
        <w:rPr>
          <w:sz w:val="24"/>
          <w:szCs w:val="24"/>
        </w:rPr>
        <w:t xml:space="preserve">, </w:t>
      </w:r>
      <w:proofErr w:type="spellStart"/>
      <w:r w:rsidRPr="001677A2">
        <w:rPr>
          <w:sz w:val="24"/>
          <w:szCs w:val="24"/>
        </w:rPr>
        <w:t>diaré</w:t>
      </w:r>
      <w:proofErr w:type="spellEnd"/>
      <w:r w:rsidRPr="001677A2">
        <w:rPr>
          <w:sz w:val="24"/>
          <w:szCs w:val="24"/>
        </w:rPr>
        <w:t xml:space="preserve">, </w:t>
      </w:r>
      <w:proofErr w:type="spellStart"/>
      <w:r w:rsidRPr="001677A2">
        <w:rPr>
          <w:sz w:val="24"/>
          <w:szCs w:val="24"/>
        </w:rPr>
        <w:t>eksantem</w:t>
      </w:r>
      <w:proofErr w:type="spellEnd"/>
      <w:r w:rsidRPr="001677A2">
        <w:rPr>
          <w:sz w:val="24"/>
          <w:szCs w:val="24"/>
        </w:rPr>
        <w:t xml:space="preserve">, </w:t>
      </w:r>
      <w:proofErr w:type="spellStart"/>
      <w:r w:rsidRPr="001677A2">
        <w:rPr>
          <w:sz w:val="24"/>
          <w:szCs w:val="24"/>
        </w:rPr>
        <w:t>erytem</w:t>
      </w:r>
      <w:proofErr w:type="spellEnd"/>
      <w:r w:rsidRPr="001677A2">
        <w:rPr>
          <w:sz w:val="24"/>
          <w:szCs w:val="24"/>
        </w:rPr>
        <w:t xml:space="preserve"> og </w:t>
      </w:r>
      <w:proofErr w:type="spellStart"/>
      <w:r w:rsidRPr="001677A2">
        <w:rPr>
          <w:sz w:val="24"/>
          <w:szCs w:val="24"/>
        </w:rPr>
        <w:t>pruritus</w:t>
      </w:r>
      <w:proofErr w:type="spellEnd"/>
      <w:r w:rsidRPr="001677A2">
        <w:rPr>
          <w:sz w:val="24"/>
          <w:szCs w:val="24"/>
        </w:rPr>
        <w:t>.</w:t>
      </w:r>
    </w:p>
    <w:p w:rsidR="0023606F" w:rsidRPr="001677A2" w:rsidRDefault="0023606F" w:rsidP="0023606F">
      <w:pPr>
        <w:tabs>
          <w:tab w:val="left" w:pos="851"/>
        </w:tabs>
        <w:ind w:left="851"/>
        <w:rPr>
          <w:sz w:val="24"/>
          <w:szCs w:val="24"/>
        </w:rPr>
      </w:pPr>
    </w:p>
    <w:p w:rsidR="0023606F" w:rsidRPr="001677A2" w:rsidRDefault="0023606F" w:rsidP="0023606F">
      <w:pPr>
        <w:keepNext/>
        <w:tabs>
          <w:tab w:val="left" w:pos="851"/>
        </w:tabs>
        <w:ind w:left="851"/>
        <w:rPr>
          <w:sz w:val="24"/>
          <w:szCs w:val="24"/>
          <w:u w:val="single"/>
        </w:rPr>
      </w:pPr>
      <w:r w:rsidRPr="001677A2">
        <w:rPr>
          <w:sz w:val="24"/>
          <w:szCs w:val="24"/>
          <w:u w:val="single"/>
        </w:rPr>
        <w:t>Tabel over bivirkninger</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lang w:eastAsia="da-DK"/>
        </w:rPr>
      </w:pPr>
      <w:r w:rsidRPr="001677A2">
        <w:rPr>
          <w:sz w:val="24"/>
          <w:szCs w:val="24"/>
        </w:rPr>
        <w:t xml:space="preserve">De hyppigste bivirkninger er suppression af det </w:t>
      </w:r>
      <w:proofErr w:type="spellStart"/>
      <w:r w:rsidRPr="001677A2">
        <w:rPr>
          <w:sz w:val="24"/>
          <w:szCs w:val="24"/>
        </w:rPr>
        <w:t>hæmatopoietiske</w:t>
      </w:r>
      <w:proofErr w:type="spellEnd"/>
      <w:r w:rsidRPr="001677A2">
        <w:rPr>
          <w:sz w:val="24"/>
          <w:szCs w:val="24"/>
        </w:rPr>
        <w:t xml:space="preserve"> system og </w:t>
      </w:r>
      <w:proofErr w:type="spellStart"/>
      <w:r w:rsidRPr="001677A2">
        <w:rPr>
          <w:sz w:val="24"/>
          <w:szCs w:val="24"/>
        </w:rPr>
        <w:t>gastrointestinale</w:t>
      </w:r>
      <w:proofErr w:type="spellEnd"/>
      <w:r w:rsidRPr="001677A2">
        <w:rPr>
          <w:sz w:val="24"/>
          <w:szCs w:val="24"/>
        </w:rPr>
        <w:t xml:space="preserve"> lidelser.</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t>Følgende vendinger anvendes til at opstille bivirkningerne efter hyppighed:</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t>Meget almindelig (≥ 1/10), almindelig (≥ 1/100 til &lt; 1/10), ikke almindelig (≥ 1/1.000 til &lt; 1/100), sjælden (≥ 1/10.000 til &lt; 1/1.000), meget sjælden (&lt; 1/10.000), ikke kendt (kan ikke estimeres ud fra forhåndenværende data).</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u w:val="single"/>
        </w:rPr>
      </w:pPr>
      <w:r w:rsidRPr="001677A2">
        <w:rPr>
          <w:sz w:val="24"/>
          <w:szCs w:val="24"/>
          <w:u w:val="single"/>
        </w:rPr>
        <w:lastRenderedPageBreak/>
        <w:t>Infektioner og parasitære sygdomme</w:t>
      </w:r>
    </w:p>
    <w:p w:rsidR="0023606F" w:rsidRPr="001677A2" w:rsidRDefault="0023606F" w:rsidP="0023606F">
      <w:pPr>
        <w:tabs>
          <w:tab w:val="left" w:pos="851"/>
        </w:tabs>
        <w:ind w:left="851"/>
        <w:rPr>
          <w:sz w:val="24"/>
          <w:szCs w:val="24"/>
          <w:u w:val="single"/>
        </w:rPr>
      </w:pPr>
    </w:p>
    <w:p w:rsidR="0023606F" w:rsidRPr="001677A2" w:rsidRDefault="0023606F" w:rsidP="0023606F">
      <w:pPr>
        <w:tabs>
          <w:tab w:val="left" w:pos="851"/>
        </w:tabs>
        <w:ind w:left="851"/>
        <w:rPr>
          <w:sz w:val="24"/>
          <w:szCs w:val="24"/>
        </w:rPr>
      </w:pPr>
      <w:r w:rsidRPr="001677A2">
        <w:rPr>
          <w:sz w:val="24"/>
          <w:szCs w:val="24"/>
        </w:rPr>
        <w:t xml:space="preserve">Ikke almindelig: </w:t>
      </w:r>
      <w:proofErr w:type="spellStart"/>
      <w:r w:rsidRPr="001677A2">
        <w:rPr>
          <w:sz w:val="24"/>
          <w:szCs w:val="24"/>
        </w:rPr>
        <w:t>faryngitis</w:t>
      </w:r>
      <w:proofErr w:type="spellEnd"/>
    </w:p>
    <w:p w:rsidR="0023606F" w:rsidRPr="001677A2" w:rsidRDefault="0023606F" w:rsidP="0023606F">
      <w:pPr>
        <w:tabs>
          <w:tab w:val="left" w:pos="851"/>
        </w:tabs>
        <w:ind w:left="851"/>
        <w:rPr>
          <w:sz w:val="24"/>
          <w:szCs w:val="24"/>
        </w:rPr>
      </w:pPr>
      <w:r w:rsidRPr="001677A2">
        <w:rPr>
          <w:sz w:val="24"/>
          <w:szCs w:val="24"/>
        </w:rPr>
        <w:t xml:space="preserve">Sjælden: infektion (herunder reaktivering af inaktiv kronisk infektion), sepsis, </w:t>
      </w:r>
      <w:proofErr w:type="spellStart"/>
      <w:r w:rsidRPr="001677A2">
        <w:rPr>
          <w:sz w:val="24"/>
          <w:szCs w:val="24"/>
        </w:rPr>
        <w:t>konjunktivitis</w:t>
      </w:r>
      <w:proofErr w:type="spellEnd"/>
    </w:p>
    <w:p w:rsidR="0023606F" w:rsidRPr="001677A2" w:rsidRDefault="0023606F" w:rsidP="0023606F">
      <w:pPr>
        <w:tabs>
          <w:tab w:val="left" w:pos="851"/>
        </w:tabs>
        <w:ind w:left="851"/>
        <w:rPr>
          <w:sz w:val="24"/>
          <w:szCs w:val="24"/>
          <w:u w:val="single"/>
        </w:rPr>
      </w:pPr>
    </w:p>
    <w:p w:rsidR="0023606F" w:rsidRPr="001677A2" w:rsidRDefault="0023606F" w:rsidP="0023606F">
      <w:pPr>
        <w:tabs>
          <w:tab w:val="left" w:pos="851"/>
        </w:tabs>
        <w:ind w:left="851"/>
        <w:rPr>
          <w:sz w:val="24"/>
          <w:szCs w:val="24"/>
          <w:u w:val="single"/>
        </w:rPr>
      </w:pPr>
      <w:r w:rsidRPr="001677A2">
        <w:rPr>
          <w:sz w:val="24"/>
          <w:szCs w:val="24"/>
          <w:u w:val="single"/>
        </w:rPr>
        <w:t>Benigne, maligne og uspecificerede tumorer (inkl. cyster og polypper)</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t xml:space="preserve">Meget sjælden: Der er rapporteret om enkelte forekomster af </w:t>
      </w:r>
      <w:proofErr w:type="spellStart"/>
      <w:r w:rsidRPr="001677A2">
        <w:rPr>
          <w:sz w:val="24"/>
          <w:szCs w:val="24"/>
        </w:rPr>
        <w:t>lymfomer</w:t>
      </w:r>
      <w:proofErr w:type="spellEnd"/>
      <w:r w:rsidRPr="001677A2">
        <w:rPr>
          <w:sz w:val="24"/>
          <w:szCs w:val="24"/>
        </w:rPr>
        <w:t xml:space="preserve">, der i en række tilfælde fortog sig efter </w:t>
      </w:r>
      <w:proofErr w:type="spellStart"/>
      <w:r w:rsidRPr="001677A2">
        <w:rPr>
          <w:sz w:val="24"/>
          <w:szCs w:val="24"/>
        </w:rPr>
        <w:t>seponering</w:t>
      </w:r>
      <w:proofErr w:type="spellEnd"/>
      <w:r w:rsidRPr="001677A2">
        <w:rPr>
          <w:sz w:val="24"/>
          <w:szCs w:val="24"/>
        </w:rPr>
        <w:t xml:space="preserve"> af </w:t>
      </w:r>
      <w:proofErr w:type="spellStart"/>
      <w:r w:rsidRPr="001677A2">
        <w:rPr>
          <w:sz w:val="24"/>
          <w:szCs w:val="24"/>
        </w:rPr>
        <w:t>methotrexatbehandlingen</w:t>
      </w:r>
      <w:proofErr w:type="spellEnd"/>
      <w:r w:rsidRPr="001677A2">
        <w:rPr>
          <w:sz w:val="24"/>
          <w:szCs w:val="24"/>
        </w:rPr>
        <w:t xml:space="preserve">. I et nyligt forsøg kunne det ikke fastslås, at </w:t>
      </w:r>
      <w:proofErr w:type="spellStart"/>
      <w:r w:rsidRPr="001677A2">
        <w:rPr>
          <w:sz w:val="24"/>
          <w:szCs w:val="24"/>
        </w:rPr>
        <w:t>methotrexatbehandling</w:t>
      </w:r>
      <w:proofErr w:type="spellEnd"/>
      <w:r w:rsidRPr="001677A2">
        <w:rPr>
          <w:sz w:val="24"/>
          <w:szCs w:val="24"/>
        </w:rPr>
        <w:t xml:space="preserve"> øger </w:t>
      </w:r>
      <w:proofErr w:type="spellStart"/>
      <w:r w:rsidRPr="001677A2">
        <w:rPr>
          <w:sz w:val="24"/>
          <w:szCs w:val="24"/>
        </w:rPr>
        <w:t>incidensen</w:t>
      </w:r>
      <w:proofErr w:type="spellEnd"/>
      <w:r w:rsidRPr="001677A2">
        <w:rPr>
          <w:sz w:val="24"/>
          <w:szCs w:val="24"/>
        </w:rPr>
        <w:t xml:space="preserve"> af </w:t>
      </w:r>
      <w:proofErr w:type="spellStart"/>
      <w:r w:rsidRPr="001677A2">
        <w:rPr>
          <w:sz w:val="24"/>
          <w:szCs w:val="24"/>
        </w:rPr>
        <w:t>lymfomer</w:t>
      </w:r>
      <w:proofErr w:type="spellEnd"/>
      <w:r w:rsidRPr="001677A2">
        <w:rPr>
          <w:sz w:val="24"/>
          <w:szCs w:val="24"/>
        </w:rPr>
        <w:t>.</w:t>
      </w:r>
    </w:p>
    <w:p w:rsidR="0023606F" w:rsidRPr="001677A2" w:rsidRDefault="0023606F" w:rsidP="0023606F">
      <w:pPr>
        <w:tabs>
          <w:tab w:val="left" w:pos="851"/>
        </w:tabs>
        <w:ind w:left="851"/>
        <w:rPr>
          <w:sz w:val="24"/>
          <w:szCs w:val="24"/>
        </w:rPr>
      </w:pPr>
    </w:p>
    <w:p w:rsidR="0023606F" w:rsidRPr="001677A2" w:rsidRDefault="0023606F" w:rsidP="00394BCC">
      <w:pPr>
        <w:keepNext/>
        <w:tabs>
          <w:tab w:val="left" w:pos="851"/>
        </w:tabs>
        <w:ind w:left="851"/>
        <w:rPr>
          <w:sz w:val="24"/>
          <w:szCs w:val="24"/>
          <w:u w:val="single"/>
        </w:rPr>
      </w:pPr>
      <w:r w:rsidRPr="001677A2">
        <w:rPr>
          <w:sz w:val="24"/>
          <w:szCs w:val="24"/>
          <w:u w:val="single"/>
        </w:rPr>
        <w:t>Blod- og lymfesystem</w:t>
      </w:r>
    </w:p>
    <w:p w:rsidR="0023606F" w:rsidRPr="001677A2" w:rsidRDefault="0023606F" w:rsidP="00394BCC">
      <w:pPr>
        <w:keepNext/>
        <w:tabs>
          <w:tab w:val="left" w:pos="851"/>
        </w:tabs>
        <w:ind w:left="851"/>
        <w:rPr>
          <w:sz w:val="24"/>
          <w:szCs w:val="24"/>
        </w:rPr>
      </w:pPr>
    </w:p>
    <w:p w:rsidR="0023606F" w:rsidRPr="001677A2" w:rsidRDefault="0023606F" w:rsidP="00394BCC">
      <w:pPr>
        <w:keepNext/>
        <w:tabs>
          <w:tab w:val="left" w:pos="851"/>
        </w:tabs>
        <w:ind w:left="851"/>
        <w:rPr>
          <w:sz w:val="24"/>
          <w:szCs w:val="24"/>
        </w:rPr>
      </w:pPr>
      <w:r w:rsidRPr="001677A2">
        <w:rPr>
          <w:sz w:val="24"/>
          <w:szCs w:val="24"/>
        </w:rPr>
        <w:t xml:space="preserve">Almindelig: </w:t>
      </w:r>
      <w:proofErr w:type="spellStart"/>
      <w:r w:rsidRPr="001677A2">
        <w:rPr>
          <w:sz w:val="24"/>
          <w:szCs w:val="24"/>
        </w:rPr>
        <w:t>Leukopeni</w:t>
      </w:r>
      <w:proofErr w:type="spellEnd"/>
      <w:r w:rsidRPr="001677A2">
        <w:rPr>
          <w:sz w:val="24"/>
          <w:szCs w:val="24"/>
        </w:rPr>
        <w:t xml:space="preserve">, anæmi, </w:t>
      </w:r>
      <w:proofErr w:type="spellStart"/>
      <w:r w:rsidRPr="001677A2">
        <w:rPr>
          <w:sz w:val="24"/>
          <w:szCs w:val="24"/>
        </w:rPr>
        <w:t>trombopeni</w:t>
      </w:r>
      <w:proofErr w:type="spellEnd"/>
      <w:r w:rsidRPr="001677A2">
        <w:rPr>
          <w:sz w:val="24"/>
          <w:szCs w:val="24"/>
        </w:rPr>
        <w:t>.</w:t>
      </w:r>
    </w:p>
    <w:p w:rsidR="0023606F" w:rsidRPr="001677A2" w:rsidRDefault="0023606F" w:rsidP="0023606F">
      <w:pPr>
        <w:tabs>
          <w:tab w:val="left" w:pos="851"/>
        </w:tabs>
        <w:ind w:left="851"/>
        <w:rPr>
          <w:sz w:val="24"/>
          <w:szCs w:val="24"/>
        </w:rPr>
      </w:pPr>
      <w:r w:rsidRPr="001677A2">
        <w:rPr>
          <w:sz w:val="24"/>
          <w:szCs w:val="24"/>
        </w:rPr>
        <w:t xml:space="preserve">Ikke almindelig: </w:t>
      </w:r>
      <w:proofErr w:type="spellStart"/>
      <w:r w:rsidRPr="001677A2">
        <w:rPr>
          <w:sz w:val="24"/>
          <w:szCs w:val="24"/>
        </w:rPr>
        <w:t>Pancytopeni</w:t>
      </w:r>
      <w:proofErr w:type="spellEnd"/>
      <w:r w:rsidRPr="001677A2">
        <w:rPr>
          <w:sz w:val="24"/>
          <w:szCs w:val="24"/>
        </w:rPr>
        <w:t>.</w:t>
      </w:r>
    </w:p>
    <w:p w:rsidR="0023606F" w:rsidRPr="001677A2" w:rsidRDefault="0023606F" w:rsidP="0023606F">
      <w:pPr>
        <w:tabs>
          <w:tab w:val="left" w:pos="851"/>
        </w:tabs>
        <w:ind w:left="851"/>
        <w:rPr>
          <w:sz w:val="24"/>
          <w:szCs w:val="24"/>
        </w:rPr>
      </w:pPr>
      <w:r w:rsidRPr="001677A2">
        <w:rPr>
          <w:sz w:val="24"/>
          <w:szCs w:val="24"/>
        </w:rPr>
        <w:t xml:space="preserve">Meget sjælden: </w:t>
      </w:r>
      <w:proofErr w:type="spellStart"/>
      <w:r w:rsidRPr="001677A2">
        <w:rPr>
          <w:sz w:val="24"/>
          <w:szCs w:val="24"/>
        </w:rPr>
        <w:t>Agranulocytose</w:t>
      </w:r>
      <w:proofErr w:type="spellEnd"/>
      <w:r w:rsidRPr="001677A2">
        <w:rPr>
          <w:sz w:val="24"/>
          <w:szCs w:val="24"/>
        </w:rPr>
        <w:t xml:space="preserve">, svære forløb af knoglemarvsdepression, </w:t>
      </w:r>
      <w:proofErr w:type="spellStart"/>
      <w:r w:rsidRPr="001677A2">
        <w:rPr>
          <w:sz w:val="24"/>
          <w:szCs w:val="24"/>
        </w:rPr>
        <w:t>Lymfoproliferative</w:t>
      </w:r>
      <w:proofErr w:type="spellEnd"/>
      <w:r w:rsidRPr="001677A2">
        <w:rPr>
          <w:sz w:val="24"/>
          <w:szCs w:val="24"/>
        </w:rPr>
        <w:t xml:space="preserve"> sygdomme (se afsnittet "Beskrivelse af udvalgte bivirkninger" nedenfor)</w:t>
      </w:r>
    </w:p>
    <w:p w:rsidR="0023606F" w:rsidRPr="001677A2" w:rsidRDefault="0023606F" w:rsidP="0023606F">
      <w:pPr>
        <w:tabs>
          <w:tab w:val="left" w:pos="851"/>
        </w:tabs>
        <w:ind w:left="851"/>
        <w:rPr>
          <w:sz w:val="24"/>
          <w:szCs w:val="24"/>
        </w:rPr>
      </w:pPr>
      <w:r w:rsidRPr="001677A2">
        <w:rPr>
          <w:sz w:val="24"/>
          <w:szCs w:val="24"/>
        </w:rPr>
        <w:t xml:space="preserve">Ikke kendt: </w:t>
      </w:r>
      <w:proofErr w:type="spellStart"/>
      <w:r w:rsidRPr="001677A2">
        <w:rPr>
          <w:sz w:val="24"/>
          <w:szCs w:val="24"/>
        </w:rPr>
        <w:t>eosinofili</w:t>
      </w:r>
      <w:proofErr w:type="spellEnd"/>
      <w:r w:rsidRPr="001677A2">
        <w:rPr>
          <w:sz w:val="24"/>
          <w:szCs w:val="24"/>
        </w:rPr>
        <w:t>.</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u w:val="single"/>
        </w:rPr>
      </w:pPr>
      <w:r w:rsidRPr="001677A2">
        <w:rPr>
          <w:sz w:val="24"/>
          <w:szCs w:val="24"/>
          <w:u w:val="single"/>
        </w:rPr>
        <w:t>Immunsystemet</w:t>
      </w:r>
    </w:p>
    <w:p w:rsidR="0023606F" w:rsidRPr="001677A2" w:rsidRDefault="0023606F" w:rsidP="0023606F">
      <w:pPr>
        <w:tabs>
          <w:tab w:val="left" w:pos="851"/>
        </w:tabs>
        <w:ind w:left="851"/>
        <w:rPr>
          <w:sz w:val="24"/>
          <w:szCs w:val="24"/>
          <w:u w:val="single"/>
        </w:rPr>
      </w:pPr>
    </w:p>
    <w:p w:rsidR="0023606F" w:rsidRPr="001677A2" w:rsidRDefault="0023606F" w:rsidP="0023606F">
      <w:pPr>
        <w:tabs>
          <w:tab w:val="left" w:pos="851"/>
        </w:tabs>
        <w:ind w:left="851"/>
        <w:rPr>
          <w:sz w:val="24"/>
          <w:szCs w:val="24"/>
        </w:rPr>
      </w:pPr>
      <w:r w:rsidRPr="001677A2">
        <w:rPr>
          <w:sz w:val="24"/>
          <w:szCs w:val="24"/>
        </w:rPr>
        <w:t xml:space="preserve">Sjælden: allergiske reaktioner, </w:t>
      </w:r>
      <w:proofErr w:type="spellStart"/>
      <w:r w:rsidRPr="001677A2">
        <w:rPr>
          <w:sz w:val="24"/>
          <w:szCs w:val="24"/>
        </w:rPr>
        <w:t>anafylaktisk</w:t>
      </w:r>
      <w:proofErr w:type="spellEnd"/>
      <w:r w:rsidRPr="001677A2">
        <w:rPr>
          <w:sz w:val="24"/>
          <w:szCs w:val="24"/>
        </w:rPr>
        <w:t xml:space="preserve"> </w:t>
      </w:r>
      <w:proofErr w:type="spellStart"/>
      <w:r w:rsidRPr="001677A2">
        <w:rPr>
          <w:sz w:val="24"/>
          <w:szCs w:val="24"/>
        </w:rPr>
        <w:t>shock</w:t>
      </w:r>
      <w:proofErr w:type="spellEnd"/>
      <w:r w:rsidRPr="001677A2">
        <w:rPr>
          <w:sz w:val="24"/>
          <w:szCs w:val="24"/>
        </w:rPr>
        <w:t xml:space="preserve">, </w:t>
      </w:r>
      <w:proofErr w:type="spellStart"/>
      <w:r w:rsidRPr="001677A2">
        <w:rPr>
          <w:sz w:val="24"/>
          <w:szCs w:val="24"/>
        </w:rPr>
        <w:t>hypogammaglobulinæmi</w:t>
      </w:r>
      <w:proofErr w:type="spellEnd"/>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color w:val="000000"/>
          <w:sz w:val="24"/>
          <w:szCs w:val="24"/>
          <w:u w:val="single"/>
        </w:rPr>
      </w:pPr>
      <w:r w:rsidRPr="001677A2">
        <w:rPr>
          <w:color w:val="000000"/>
          <w:sz w:val="24"/>
          <w:szCs w:val="24"/>
          <w:u w:val="single"/>
        </w:rPr>
        <w:t xml:space="preserve">Metabolisme og ernæring </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color w:val="000000"/>
          <w:sz w:val="24"/>
          <w:szCs w:val="24"/>
        </w:rPr>
      </w:pPr>
      <w:r w:rsidRPr="001677A2">
        <w:rPr>
          <w:color w:val="000000"/>
          <w:sz w:val="24"/>
          <w:szCs w:val="24"/>
        </w:rPr>
        <w:t xml:space="preserve">Ikke almindelig: Fremskyndelse af diabetes mellitus. </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u w:val="single"/>
        </w:rPr>
      </w:pPr>
      <w:r w:rsidRPr="001677A2">
        <w:rPr>
          <w:sz w:val="24"/>
          <w:szCs w:val="24"/>
          <w:u w:val="single"/>
        </w:rPr>
        <w:t>Psykiske forstyrrelser</w:t>
      </w:r>
    </w:p>
    <w:p w:rsidR="0023606F" w:rsidRPr="001677A2" w:rsidRDefault="0023606F" w:rsidP="0023606F">
      <w:pPr>
        <w:tabs>
          <w:tab w:val="left" w:pos="851"/>
        </w:tabs>
        <w:ind w:left="851"/>
        <w:rPr>
          <w:sz w:val="24"/>
          <w:szCs w:val="24"/>
          <w:u w:val="single"/>
        </w:rPr>
      </w:pPr>
    </w:p>
    <w:p w:rsidR="0023606F" w:rsidRPr="001677A2" w:rsidRDefault="0023606F" w:rsidP="0023606F">
      <w:pPr>
        <w:tabs>
          <w:tab w:val="left" w:pos="851"/>
        </w:tabs>
        <w:ind w:left="851"/>
        <w:rPr>
          <w:sz w:val="24"/>
          <w:szCs w:val="24"/>
        </w:rPr>
      </w:pPr>
      <w:r w:rsidRPr="001677A2">
        <w:rPr>
          <w:sz w:val="24"/>
          <w:szCs w:val="24"/>
        </w:rPr>
        <w:t>Ikke almindelig: depression, konfusion</w:t>
      </w:r>
    </w:p>
    <w:p w:rsidR="0023606F" w:rsidRPr="001677A2" w:rsidRDefault="0023606F" w:rsidP="0023606F">
      <w:pPr>
        <w:tabs>
          <w:tab w:val="left" w:pos="851"/>
        </w:tabs>
        <w:ind w:left="851"/>
        <w:rPr>
          <w:sz w:val="24"/>
          <w:szCs w:val="24"/>
        </w:rPr>
      </w:pPr>
      <w:r w:rsidRPr="001677A2">
        <w:rPr>
          <w:sz w:val="24"/>
          <w:szCs w:val="24"/>
        </w:rPr>
        <w:t>Sjælden: humørændringer</w:t>
      </w:r>
    </w:p>
    <w:p w:rsidR="0023606F" w:rsidRPr="001677A2" w:rsidRDefault="0023606F" w:rsidP="0023606F">
      <w:pPr>
        <w:tabs>
          <w:tab w:val="left" w:pos="851"/>
        </w:tabs>
        <w:ind w:left="851"/>
        <w:rPr>
          <w:sz w:val="24"/>
          <w:szCs w:val="24"/>
        </w:rPr>
      </w:pPr>
    </w:p>
    <w:p w:rsidR="0023606F" w:rsidRPr="001677A2" w:rsidRDefault="0023606F" w:rsidP="0023606F">
      <w:pPr>
        <w:keepNext/>
        <w:tabs>
          <w:tab w:val="left" w:pos="851"/>
        </w:tabs>
        <w:ind w:left="851"/>
        <w:rPr>
          <w:sz w:val="24"/>
          <w:szCs w:val="24"/>
          <w:u w:val="single"/>
        </w:rPr>
      </w:pPr>
      <w:r w:rsidRPr="001677A2">
        <w:rPr>
          <w:sz w:val="24"/>
          <w:szCs w:val="24"/>
          <w:u w:val="single"/>
        </w:rPr>
        <w:t>Nervesystemet</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t>Almindelig: Hovedpine, træthed, døsighed.</w:t>
      </w:r>
    </w:p>
    <w:p w:rsidR="0023606F" w:rsidRPr="001677A2" w:rsidRDefault="0023606F" w:rsidP="0023606F">
      <w:pPr>
        <w:tabs>
          <w:tab w:val="left" w:pos="851"/>
        </w:tabs>
        <w:ind w:left="851"/>
        <w:rPr>
          <w:sz w:val="24"/>
          <w:szCs w:val="24"/>
        </w:rPr>
      </w:pPr>
      <w:r w:rsidRPr="001677A2">
        <w:rPr>
          <w:sz w:val="24"/>
          <w:szCs w:val="24"/>
        </w:rPr>
        <w:t>Ikke almindelig: Svimmelhed.</w:t>
      </w:r>
    </w:p>
    <w:p w:rsidR="0023606F" w:rsidRPr="001677A2" w:rsidRDefault="0023606F" w:rsidP="009C2904">
      <w:pPr>
        <w:ind w:left="851"/>
        <w:rPr>
          <w:sz w:val="24"/>
          <w:szCs w:val="24"/>
        </w:rPr>
      </w:pPr>
      <w:r w:rsidRPr="001677A2">
        <w:rPr>
          <w:sz w:val="24"/>
          <w:szCs w:val="24"/>
        </w:rPr>
        <w:t>Meget sjælden: Smerter, muskelasteni eller</w:t>
      </w:r>
      <w:r w:rsidR="009C2904" w:rsidRPr="001677A2">
        <w:rPr>
          <w:sz w:val="24"/>
          <w:szCs w:val="24"/>
        </w:rPr>
        <w:t xml:space="preserve"> </w:t>
      </w:r>
      <w:proofErr w:type="spellStart"/>
      <w:r w:rsidR="009C2904" w:rsidRPr="001677A2">
        <w:rPr>
          <w:sz w:val="24"/>
          <w:szCs w:val="24"/>
        </w:rPr>
        <w:t>paræstesi</w:t>
      </w:r>
      <w:proofErr w:type="spellEnd"/>
      <w:r w:rsidR="009C2904" w:rsidRPr="001677A2">
        <w:rPr>
          <w:sz w:val="24"/>
          <w:szCs w:val="24"/>
        </w:rPr>
        <w:t>/</w:t>
      </w:r>
      <w:proofErr w:type="spellStart"/>
      <w:r w:rsidR="009C2904" w:rsidRPr="001677A2">
        <w:rPr>
          <w:sz w:val="24"/>
          <w:szCs w:val="24"/>
        </w:rPr>
        <w:t>hypoæstesi</w:t>
      </w:r>
      <w:proofErr w:type="spellEnd"/>
      <w:r w:rsidR="009C2904" w:rsidRPr="001677A2">
        <w:rPr>
          <w:sz w:val="24"/>
          <w:szCs w:val="24"/>
        </w:rPr>
        <w:t xml:space="preserve">, </w:t>
      </w:r>
      <w:r w:rsidRPr="001677A2">
        <w:rPr>
          <w:sz w:val="24"/>
          <w:szCs w:val="24"/>
        </w:rPr>
        <w:t xml:space="preserve">forandringer i smagssansen (metallisk smag), konvulsioner, </w:t>
      </w:r>
      <w:proofErr w:type="spellStart"/>
      <w:r w:rsidRPr="001677A2">
        <w:rPr>
          <w:sz w:val="24"/>
          <w:szCs w:val="24"/>
        </w:rPr>
        <w:t>meningismus</w:t>
      </w:r>
      <w:proofErr w:type="spellEnd"/>
      <w:r w:rsidRPr="001677A2">
        <w:rPr>
          <w:sz w:val="24"/>
          <w:szCs w:val="24"/>
        </w:rPr>
        <w:t>, akut aseptisk meningitis, paralyse.</w:t>
      </w:r>
    </w:p>
    <w:p w:rsidR="0023606F" w:rsidRPr="001677A2" w:rsidRDefault="0023606F" w:rsidP="0023606F">
      <w:pPr>
        <w:tabs>
          <w:tab w:val="left" w:pos="851"/>
        </w:tabs>
        <w:ind w:left="851"/>
        <w:rPr>
          <w:sz w:val="24"/>
          <w:szCs w:val="24"/>
        </w:rPr>
      </w:pPr>
      <w:r w:rsidRPr="001677A2">
        <w:rPr>
          <w:sz w:val="24"/>
          <w:szCs w:val="24"/>
        </w:rPr>
        <w:t>Ikke kendt: encefalopati/</w:t>
      </w:r>
      <w:proofErr w:type="spellStart"/>
      <w:r w:rsidRPr="001677A2">
        <w:rPr>
          <w:sz w:val="24"/>
          <w:szCs w:val="24"/>
        </w:rPr>
        <w:t>leukoencefalopatie</w:t>
      </w:r>
      <w:proofErr w:type="spellEnd"/>
      <w:r w:rsidRPr="001677A2">
        <w:rPr>
          <w:sz w:val="24"/>
          <w:szCs w:val="24"/>
        </w:rPr>
        <w:t>.</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color w:val="000000"/>
          <w:sz w:val="24"/>
          <w:szCs w:val="24"/>
          <w:u w:val="single"/>
        </w:rPr>
      </w:pPr>
      <w:r w:rsidRPr="001677A2">
        <w:rPr>
          <w:color w:val="000000"/>
          <w:sz w:val="24"/>
          <w:szCs w:val="24"/>
          <w:u w:val="single"/>
        </w:rPr>
        <w:t xml:space="preserve">Øjne </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color w:val="000000"/>
          <w:sz w:val="24"/>
          <w:szCs w:val="24"/>
        </w:rPr>
      </w:pPr>
      <w:r w:rsidRPr="001677A2">
        <w:rPr>
          <w:color w:val="000000"/>
          <w:sz w:val="24"/>
          <w:szCs w:val="24"/>
        </w:rPr>
        <w:t xml:space="preserve">Sjælden: Synsforstyrrelser. </w:t>
      </w:r>
    </w:p>
    <w:p w:rsidR="0023606F" w:rsidRPr="001677A2" w:rsidRDefault="0023606F" w:rsidP="0023606F">
      <w:pPr>
        <w:tabs>
          <w:tab w:val="left" w:pos="851"/>
        </w:tabs>
        <w:ind w:left="851"/>
        <w:rPr>
          <w:color w:val="000000"/>
          <w:sz w:val="24"/>
          <w:szCs w:val="24"/>
        </w:rPr>
      </w:pPr>
      <w:r w:rsidRPr="001677A2">
        <w:rPr>
          <w:color w:val="000000"/>
          <w:sz w:val="24"/>
          <w:szCs w:val="24"/>
        </w:rPr>
        <w:t xml:space="preserve">Meget sjælden: Nedsat syn, </w:t>
      </w:r>
      <w:proofErr w:type="spellStart"/>
      <w:r w:rsidRPr="001677A2">
        <w:rPr>
          <w:color w:val="000000"/>
          <w:sz w:val="24"/>
          <w:szCs w:val="24"/>
        </w:rPr>
        <w:t>retinopati</w:t>
      </w:r>
      <w:proofErr w:type="spellEnd"/>
      <w:r w:rsidRPr="001677A2">
        <w:rPr>
          <w:color w:val="000000"/>
          <w:sz w:val="24"/>
          <w:szCs w:val="24"/>
        </w:rPr>
        <w:t xml:space="preserve">. </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color w:val="000000"/>
          <w:sz w:val="24"/>
          <w:szCs w:val="24"/>
          <w:u w:val="single"/>
        </w:rPr>
      </w:pPr>
      <w:r w:rsidRPr="001677A2">
        <w:rPr>
          <w:color w:val="000000"/>
          <w:sz w:val="24"/>
          <w:szCs w:val="24"/>
          <w:u w:val="single"/>
        </w:rPr>
        <w:t xml:space="preserve">Hjerte </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color w:val="000000"/>
          <w:sz w:val="24"/>
          <w:szCs w:val="24"/>
        </w:rPr>
      </w:pPr>
      <w:r w:rsidRPr="001677A2">
        <w:rPr>
          <w:color w:val="000000"/>
          <w:sz w:val="24"/>
          <w:szCs w:val="24"/>
        </w:rPr>
        <w:t xml:space="preserve">Sjælden: </w:t>
      </w:r>
      <w:proofErr w:type="spellStart"/>
      <w:r w:rsidRPr="001677A2">
        <w:rPr>
          <w:color w:val="000000"/>
          <w:sz w:val="24"/>
          <w:szCs w:val="24"/>
        </w:rPr>
        <w:t>Pericarditis</w:t>
      </w:r>
      <w:proofErr w:type="spellEnd"/>
      <w:r w:rsidRPr="001677A2">
        <w:rPr>
          <w:color w:val="000000"/>
          <w:sz w:val="24"/>
          <w:szCs w:val="24"/>
        </w:rPr>
        <w:t xml:space="preserve">, perikardial </w:t>
      </w:r>
      <w:proofErr w:type="spellStart"/>
      <w:r w:rsidRPr="001677A2">
        <w:rPr>
          <w:color w:val="000000"/>
          <w:sz w:val="24"/>
          <w:szCs w:val="24"/>
        </w:rPr>
        <w:t>effusion</w:t>
      </w:r>
      <w:proofErr w:type="spellEnd"/>
      <w:r w:rsidRPr="001677A2">
        <w:rPr>
          <w:color w:val="000000"/>
          <w:sz w:val="24"/>
          <w:szCs w:val="24"/>
        </w:rPr>
        <w:t>, perikardial tamponade.</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color w:val="000000"/>
          <w:sz w:val="24"/>
          <w:szCs w:val="24"/>
          <w:u w:val="single"/>
        </w:rPr>
      </w:pPr>
      <w:proofErr w:type="spellStart"/>
      <w:r w:rsidRPr="001677A2">
        <w:rPr>
          <w:color w:val="000000"/>
          <w:sz w:val="24"/>
          <w:szCs w:val="24"/>
          <w:u w:val="single"/>
        </w:rPr>
        <w:t>Vaskulære</w:t>
      </w:r>
      <w:proofErr w:type="spellEnd"/>
      <w:r w:rsidRPr="001677A2">
        <w:rPr>
          <w:color w:val="000000"/>
          <w:sz w:val="24"/>
          <w:szCs w:val="24"/>
          <w:u w:val="single"/>
        </w:rPr>
        <w:t xml:space="preserve"> sygdomme</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color w:val="000000"/>
          <w:sz w:val="24"/>
          <w:szCs w:val="24"/>
        </w:rPr>
      </w:pPr>
      <w:r w:rsidRPr="001677A2">
        <w:rPr>
          <w:color w:val="000000"/>
          <w:sz w:val="24"/>
          <w:szCs w:val="24"/>
        </w:rPr>
        <w:t xml:space="preserve">Sjælden: Hypotension, </w:t>
      </w:r>
      <w:proofErr w:type="spellStart"/>
      <w:r w:rsidRPr="001677A2">
        <w:rPr>
          <w:color w:val="000000"/>
          <w:sz w:val="24"/>
          <w:szCs w:val="24"/>
        </w:rPr>
        <w:t>tromboemboliske</w:t>
      </w:r>
      <w:proofErr w:type="spellEnd"/>
      <w:r w:rsidRPr="001677A2">
        <w:rPr>
          <w:color w:val="000000"/>
          <w:sz w:val="24"/>
          <w:szCs w:val="24"/>
        </w:rPr>
        <w:t xml:space="preserve"> hændelser.</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u w:val="single"/>
        </w:rPr>
      </w:pPr>
      <w:r w:rsidRPr="001677A2">
        <w:rPr>
          <w:sz w:val="24"/>
          <w:szCs w:val="24"/>
          <w:u w:val="single"/>
        </w:rPr>
        <w:t xml:space="preserve">Luftveje, thorax og </w:t>
      </w:r>
      <w:proofErr w:type="spellStart"/>
      <w:r w:rsidRPr="001677A2">
        <w:rPr>
          <w:sz w:val="24"/>
          <w:szCs w:val="24"/>
          <w:u w:val="single"/>
        </w:rPr>
        <w:t>mediastinum</w:t>
      </w:r>
      <w:proofErr w:type="spellEnd"/>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t xml:space="preserve">Almindelig: Pneumoni, </w:t>
      </w:r>
      <w:proofErr w:type="spellStart"/>
      <w:r w:rsidRPr="001677A2">
        <w:rPr>
          <w:sz w:val="24"/>
          <w:szCs w:val="24"/>
        </w:rPr>
        <w:t>interstitiel</w:t>
      </w:r>
      <w:proofErr w:type="spellEnd"/>
      <w:r w:rsidRPr="001677A2">
        <w:rPr>
          <w:sz w:val="24"/>
          <w:szCs w:val="24"/>
        </w:rPr>
        <w:t xml:space="preserve"> </w:t>
      </w:r>
      <w:proofErr w:type="spellStart"/>
      <w:r w:rsidRPr="001677A2">
        <w:rPr>
          <w:sz w:val="24"/>
          <w:szCs w:val="24"/>
        </w:rPr>
        <w:t>alveolitis</w:t>
      </w:r>
      <w:proofErr w:type="spellEnd"/>
      <w:r w:rsidRPr="001677A2">
        <w:rPr>
          <w:sz w:val="24"/>
          <w:szCs w:val="24"/>
        </w:rPr>
        <w:t xml:space="preserve">/pneumonitis ofte forbundet med </w:t>
      </w:r>
      <w:proofErr w:type="spellStart"/>
      <w:r w:rsidRPr="001677A2">
        <w:rPr>
          <w:sz w:val="24"/>
          <w:szCs w:val="24"/>
        </w:rPr>
        <w:t>eosinofili</w:t>
      </w:r>
      <w:proofErr w:type="spellEnd"/>
      <w:r w:rsidRPr="001677A2">
        <w:rPr>
          <w:sz w:val="24"/>
          <w:szCs w:val="24"/>
        </w:rPr>
        <w:t>. Symptomer, der indikerer potentielt svær lungeskade (</w:t>
      </w:r>
      <w:proofErr w:type="spellStart"/>
      <w:r w:rsidRPr="001677A2">
        <w:rPr>
          <w:sz w:val="24"/>
          <w:szCs w:val="24"/>
        </w:rPr>
        <w:t>interstitiel</w:t>
      </w:r>
      <w:proofErr w:type="spellEnd"/>
      <w:r w:rsidRPr="001677A2">
        <w:rPr>
          <w:sz w:val="24"/>
          <w:szCs w:val="24"/>
        </w:rPr>
        <w:t xml:space="preserve"> pneumonitis), er: tør, ikke-produktiv hoste, </w:t>
      </w:r>
      <w:proofErr w:type="spellStart"/>
      <w:r w:rsidRPr="001677A2">
        <w:rPr>
          <w:sz w:val="24"/>
          <w:szCs w:val="24"/>
        </w:rPr>
        <w:t>stakåndethed</w:t>
      </w:r>
      <w:proofErr w:type="spellEnd"/>
      <w:r w:rsidRPr="001677A2">
        <w:rPr>
          <w:sz w:val="24"/>
          <w:szCs w:val="24"/>
        </w:rPr>
        <w:t xml:space="preserve"> og feber.</w:t>
      </w:r>
    </w:p>
    <w:p w:rsidR="0023606F" w:rsidRPr="001677A2" w:rsidRDefault="0023606F" w:rsidP="009C2904">
      <w:pPr>
        <w:ind w:left="851"/>
        <w:rPr>
          <w:sz w:val="24"/>
          <w:szCs w:val="24"/>
        </w:rPr>
      </w:pPr>
      <w:r w:rsidRPr="001677A2">
        <w:rPr>
          <w:sz w:val="24"/>
          <w:szCs w:val="24"/>
        </w:rPr>
        <w:t xml:space="preserve">Sjælden: Lungefibrose, </w:t>
      </w:r>
      <w:proofErr w:type="spellStart"/>
      <w:r w:rsidR="009C2904" w:rsidRPr="001677A2">
        <w:rPr>
          <w:i/>
          <w:sz w:val="24"/>
          <w:szCs w:val="24"/>
        </w:rPr>
        <w:t>pneumocystis</w:t>
      </w:r>
      <w:proofErr w:type="spellEnd"/>
      <w:r w:rsidR="009C2904" w:rsidRPr="001677A2">
        <w:rPr>
          <w:i/>
          <w:sz w:val="24"/>
          <w:szCs w:val="24"/>
        </w:rPr>
        <w:t xml:space="preserve"> </w:t>
      </w:r>
      <w:proofErr w:type="spellStart"/>
      <w:r w:rsidR="009C2904" w:rsidRPr="001677A2">
        <w:rPr>
          <w:i/>
          <w:sz w:val="24"/>
          <w:szCs w:val="24"/>
        </w:rPr>
        <w:t>jirovecii</w:t>
      </w:r>
      <w:proofErr w:type="spellEnd"/>
      <w:r w:rsidR="009C2904" w:rsidRPr="001677A2">
        <w:rPr>
          <w:sz w:val="24"/>
          <w:szCs w:val="24"/>
        </w:rPr>
        <w:t xml:space="preserve">-pneumoni, </w:t>
      </w:r>
      <w:proofErr w:type="spellStart"/>
      <w:r w:rsidRPr="001677A2">
        <w:rPr>
          <w:sz w:val="24"/>
          <w:szCs w:val="24"/>
        </w:rPr>
        <w:t>stakåndethed</w:t>
      </w:r>
      <w:proofErr w:type="spellEnd"/>
      <w:r w:rsidRPr="001677A2">
        <w:rPr>
          <w:sz w:val="24"/>
          <w:szCs w:val="24"/>
        </w:rPr>
        <w:t xml:space="preserve"> og bronkial astma, </w:t>
      </w:r>
      <w:proofErr w:type="spellStart"/>
      <w:r w:rsidRPr="001677A2">
        <w:rPr>
          <w:sz w:val="24"/>
          <w:szCs w:val="24"/>
        </w:rPr>
        <w:t>pleuraeffusion</w:t>
      </w:r>
      <w:proofErr w:type="spellEnd"/>
      <w:r w:rsidRPr="001677A2">
        <w:rPr>
          <w:sz w:val="24"/>
          <w:szCs w:val="24"/>
        </w:rPr>
        <w:t>.</w:t>
      </w:r>
    </w:p>
    <w:p w:rsidR="0023606F" w:rsidRPr="001677A2" w:rsidRDefault="0023606F" w:rsidP="009C2904">
      <w:pPr>
        <w:pStyle w:val="Default"/>
        <w:tabs>
          <w:tab w:val="left" w:pos="851"/>
        </w:tabs>
        <w:ind w:left="851"/>
        <w:rPr>
          <w:rFonts w:ascii="Times New Roman" w:hAnsi="Times New Roman" w:cs="Times New Roman"/>
        </w:rPr>
      </w:pPr>
      <w:r w:rsidRPr="001677A2">
        <w:rPr>
          <w:rFonts w:ascii="Times New Roman" w:hAnsi="Times New Roman" w:cs="Times New Roman"/>
        </w:rPr>
        <w:t xml:space="preserve">Ikke kendt: </w:t>
      </w:r>
      <w:proofErr w:type="spellStart"/>
      <w:r w:rsidRPr="001677A2">
        <w:rPr>
          <w:rFonts w:ascii="Times New Roman" w:hAnsi="Times New Roman" w:cs="Times New Roman"/>
        </w:rPr>
        <w:t>Epistaxis</w:t>
      </w:r>
      <w:proofErr w:type="spellEnd"/>
      <w:r w:rsidRPr="001677A2">
        <w:rPr>
          <w:rFonts w:ascii="Times New Roman" w:hAnsi="Times New Roman" w:cs="Times New Roman"/>
        </w:rPr>
        <w:t xml:space="preserve">, </w:t>
      </w:r>
      <w:proofErr w:type="spellStart"/>
      <w:r w:rsidRPr="001677A2">
        <w:rPr>
          <w:rFonts w:ascii="Times New Roman" w:hAnsi="Times New Roman" w:cs="Times New Roman"/>
          <w:u w:val="single"/>
        </w:rPr>
        <w:t>pulmonal</w:t>
      </w:r>
      <w:proofErr w:type="spellEnd"/>
      <w:r w:rsidRPr="001677A2">
        <w:rPr>
          <w:rFonts w:ascii="Times New Roman" w:hAnsi="Times New Roman" w:cs="Times New Roman"/>
          <w:u w:val="single"/>
        </w:rPr>
        <w:t xml:space="preserve"> alveolær blødning </w:t>
      </w:r>
    </w:p>
    <w:p w:rsidR="0023606F" w:rsidRPr="001677A2" w:rsidRDefault="0023606F" w:rsidP="009C2904">
      <w:pPr>
        <w:tabs>
          <w:tab w:val="left" w:pos="851"/>
        </w:tabs>
        <w:ind w:left="851"/>
        <w:rPr>
          <w:sz w:val="24"/>
          <w:szCs w:val="24"/>
          <w:u w:val="single"/>
        </w:rPr>
      </w:pPr>
    </w:p>
    <w:p w:rsidR="0023606F" w:rsidRPr="001677A2" w:rsidRDefault="0023606F" w:rsidP="009C2904">
      <w:pPr>
        <w:keepNext/>
        <w:tabs>
          <w:tab w:val="left" w:pos="851"/>
        </w:tabs>
        <w:ind w:left="851"/>
        <w:rPr>
          <w:sz w:val="24"/>
          <w:szCs w:val="24"/>
          <w:u w:val="single"/>
        </w:rPr>
      </w:pPr>
      <w:r w:rsidRPr="001677A2">
        <w:rPr>
          <w:sz w:val="24"/>
          <w:szCs w:val="24"/>
          <w:u w:val="single"/>
        </w:rPr>
        <w:t>Mave-tarm-kanalen</w:t>
      </w:r>
    </w:p>
    <w:p w:rsidR="0023606F" w:rsidRPr="001677A2" w:rsidRDefault="0023606F" w:rsidP="009C2904">
      <w:pPr>
        <w:keepNext/>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t xml:space="preserve">Meget almindelig: </w:t>
      </w:r>
      <w:proofErr w:type="spellStart"/>
      <w:r w:rsidRPr="001677A2">
        <w:rPr>
          <w:sz w:val="24"/>
          <w:szCs w:val="24"/>
        </w:rPr>
        <w:t>Stomatitis</w:t>
      </w:r>
      <w:proofErr w:type="spellEnd"/>
      <w:r w:rsidRPr="001677A2">
        <w:rPr>
          <w:sz w:val="24"/>
          <w:szCs w:val="24"/>
        </w:rPr>
        <w:t>, dyspepsi, kvalme, appetitløshed, mavesmerter.</w:t>
      </w:r>
    </w:p>
    <w:p w:rsidR="0023606F" w:rsidRPr="001677A2" w:rsidRDefault="0023606F" w:rsidP="0023606F">
      <w:pPr>
        <w:tabs>
          <w:tab w:val="left" w:pos="851"/>
        </w:tabs>
        <w:ind w:left="851"/>
        <w:rPr>
          <w:sz w:val="24"/>
          <w:szCs w:val="24"/>
        </w:rPr>
      </w:pPr>
      <w:r w:rsidRPr="001677A2">
        <w:rPr>
          <w:sz w:val="24"/>
          <w:szCs w:val="24"/>
        </w:rPr>
        <w:t xml:space="preserve">Almindelig: Orale </w:t>
      </w:r>
      <w:proofErr w:type="spellStart"/>
      <w:r w:rsidRPr="001677A2">
        <w:rPr>
          <w:sz w:val="24"/>
          <w:szCs w:val="24"/>
        </w:rPr>
        <w:t>ulcerationer</w:t>
      </w:r>
      <w:proofErr w:type="spellEnd"/>
      <w:r w:rsidRPr="001677A2">
        <w:rPr>
          <w:sz w:val="24"/>
          <w:szCs w:val="24"/>
        </w:rPr>
        <w:t>, diarré.</w:t>
      </w:r>
    </w:p>
    <w:p w:rsidR="0023606F" w:rsidRPr="001677A2" w:rsidRDefault="0023606F" w:rsidP="0023606F">
      <w:pPr>
        <w:tabs>
          <w:tab w:val="left" w:pos="851"/>
        </w:tabs>
        <w:ind w:left="851"/>
        <w:rPr>
          <w:sz w:val="24"/>
          <w:szCs w:val="24"/>
        </w:rPr>
      </w:pPr>
      <w:r w:rsidRPr="001677A2">
        <w:rPr>
          <w:sz w:val="24"/>
          <w:szCs w:val="24"/>
        </w:rPr>
        <w:t xml:space="preserve">Ikke almindelig: </w:t>
      </w:r>
      <w:proofErr w:type="spellStart"/>
      <w:r w:rsidRPr="001677A2">
        <w:rPr>
          <w:sz w:val="24"/>
          <w:szCs w:val="24"/>
        </w:rPr>
        <w:t>Gastrointestinale</w:t>
      </w:r>
      <w:proofErr w:type="spellEnd"/>
      <w:r w:rsidRPr="001677A2">
        <w:rPr>
          <w:sz w:val="24"/>
          <w:szCs w:val="24"/>
        </w:rPr>
        <w:t xml:space="preserve"> </w:t>
      </w:r>
      <w:proofErr w:type="spellStart"/>
      <w:r w:rsidRPr="001677A2">
        <w:rPr>
          <w:sz w:val="24"/>
          <w:szCs w:val="24"/>
        </w:rPr>
        <w:t>ulcerationer</w:t>
      </w:r>
      <w:proofErr w:type="spellEnd"/>
      <w:r w:rsidRPr="001677A2">
        <w:rPr>
          <w:sz w:val="24"/>
          <w:szCs w:val="24"/>
        </w:rPr>
        <w:t xml:space="preserve"> og blødning, </w:t>
      </w:r>
      <w:proofErr w:type="spellStart"/>
      <w:r w:rsidRPr="001677A2">
        <w:rPr>
          <w:sz w:val="24"/>
          <w:szCs w:val="24"/>
        </w:rPr>
        <w:t>enteritis</w:t>
      </w:r>
      <w:proofErr w:type="spellEnd"/>
      <w:r w:rsidRPr="001677A2">
        <w:rPr>
          <w:sz w:val="24"/>
          <w:szCs w:val="24"/>
        </w:rPr>
        <w:t xml:space="preserve">, opkastning, </w:t>
      </w:r>
      <w:proofErr w:type="spellStart"/>
      <w:r w:rsidRPr="001677A2">
        <w:rPr>
          <w:sz w:val="24"/>
          <w:szCs w:val="24"/>
        </w:rPr>
        <w:t>pankreatitis</w:t>
      </w:r>
      <w:proofErr w:type="spellEnd"/>
      <w:r w:rsidRPr="001677A2">
        <w:rPr>
          <w:sz w:val="24"/>
          <w:szCs w:val="24"/>
        </w:rPr>
        <w:t>.</w:t>
      </w:r>
    </w:p>
    <w:p w:rsidR="0023606F" w:rsidRPr="001677A2" w:rsidRDefault="0023606F" w:rsidP="0023606F">
      <w:pPr>
        <w:tabs>
          <w:tab w:val="left" w:pos="851"/>
        </w:tabs>
        <w:ind w:left="851"/>
        <w:rPr>
          <w:sz w:val="24"/>
          <w:szCs w:val="24"/>
        </w:rPr>
      </w:pPr>
      <w:r w:rsidRPr="001677A2">
        <w:rPr>
          <w:sz w:val="24"/>
          <w:szCs w:val="24"/>
        </w:rPr>
        <w:t xml:space="preserve">Sjælden: </w:t>
      </w:r>
      <w:proofErr w:type="spellStart"/>
      <w:r w:rsidRPr="001677A2">
        <w:rPr>
          <w:sz w:val="24"/>
          <w:szCs w:val="24"/>
        </w:rPr>
        <w:t>Gingivitis</w:t>
      </w:r>
      <w:proofErr w:type="spellEnd"/>
      <w:r w:rsidRPr="001677A2">
        <w:rPr>
          <w:sz w:val="24"/>
          <w:szCs w:val="24"/>
        </w:rPr>
        <w:t>.</w:t>
      </w:r>
    </w:p>
    <w:p w:rsidR="0023606F" w:rsidRPr="001677A2" w:rsidRDefault="0023606F" w:rsidP="0023606F">
      <w:pPr>
        <w:tabs>
          <w:tab w:val="left" w:pos="851"/>
        </w:tabs>
        <w:ind w:left="851"/>
        <w:rPr>
          <w:sz w:val="24"/>
          <w:szCs w:val="24"/>
        </w:rPr>
      </w:pPr>
      <w:r w:rsidRPr="001677A2">
        <w:rPr>
          <w:sz w:val="24"/>
          <w:szCs w:val="24"/>
        </w:rPr>
        <w:t xml:space="preserve">Meget sjælden: </w:t>
      </w:r>
      <w:proofErr w:type="spellStart"/>
      <w:r w:rsidRPr="001677A2">
        <w:rPr>
          <w:sz w:val="24"/>
          <w:szCs w:val="24"/>
        </w:rPr>
        <w:t>Hæmatemese</w:t>
      </w:r>
      <w:proofErr w:type="spellEnd"/>
      <w:r w:rsidRPr="001677A2">
        <w:rPr>
          <w:sz w:val="24"/>
          <w:szCs w:val="24"/>
        </w:rPr>
        <w:t xml:space="preserve">, </w:t>
      </w:r>
      <w:proofErr w:type="spellStart"/>
      <w:r w:rsidRPr="001677A2">
        <w:rPr>
          <w:sz w:val="24"/>
          <w:szCs w:val="24"/>
        </w:rPr>
        <w:t>hæmatorré</w:t>
      </w:r>
      <w:proofErr w:type="spellEnd"/>
      <w:r w:rsidRPr="001677A2">
        <w:rPr>
          <w:sz w:val="24"/>
          <w:szCs w:val="24"/>
        </w:rPr>
        <w:t>, toksisk megakolon.</w:t>
      </w:r>
    </w:p>
    <w:p w:rsidR="0023606F" w:rsidRPr="001677A2" w:rsidRDefault="0023606F" w:rsidP="0023606F">
      <w:pPr>
        <w:tabs>
          <w:tab w:val="left" w:pos="851"/>
        </w:tabs>
        <w:ind w:left="851"/>
        <w:rPr>
          <w:sz w:val="24"/>
          <w:szCs w:val="24"/>
        </w:rPr>
      </w:pPr>
    </w:p>
    <w:p w:rsidR="0023606F" w:rsidRPr="001677A2" w:rsidRDefault="0023606F" w:rsidP="002E5F1B">
      <w:pPr>
        <w:keepNext/>
        <w:tabs>
          <w:tab w:val="left" w:pos="851"/>
        </w:tabs>
        <w:ind w:left="851"/>
        <w:rPr>
          <w:sz w:val="24"/>
          <w:szCs w:val="24"/>
          <w:u w:val="single"/>
        </w:rPr>
      </w:pPr>
      <w:r w:rsidRPr="001677A2">
        <w:rPr>
          <w:sz w:val="24"/>
          <w:szCs w:val="24"/>
          <w:u w:val="single"/>
        </w:rPr>
        <w:t>Lever og galdeveje (se pkt. 4.4)</w:t>
      </w:r>
    </w:p>
    <w:p w:rsidR="0023606F" w:rsidRPr="001677A2" w:rsidRDefault="0023606F" w:rsidP="0023606F">
      <w:pPr>
        <w:tabs>
          <w:tab w:val="left" w:pos="851"/>
        </w:tabs>
        <w:ind w:left="851"/>
        <w:rPr>
          <w:sz w:val="24"/>
          <w:szCs w:val="24"/>
          <w:u w:val="single"/>
        </w:rPr>
      </w:pPr>
    </w:p>
    <w:p w:rsidR="0023606F" w:rsidRPr="001677A2" w:rsidRDefault="0023606F" w:rsidP="0023606F">
      <w:pPr>
        <w:tabs>
          <w:tab w:val="left" w:pos="851"/>
        </w:tabs>
        <w:ind w:left="851"/>
        <w:rPr>
          <w:sz w:val="24"/>
          <w:szCs w:val="24"/>
        </w:rPr>
      </w:pPr>
      <w:r w:rsidRPr="001677A2">
        <w:rPr>
          <w:sz w:val="24"/>
          <w:szCs w:val="24"/>
        </w:rPr>
        <w:t>Meget almindelig: Unormale leverfunktionsprøver (øget ALAT, ASAT, basisk fosfatase og bilirubin).</w:t>
      </w:r>
    </w:p>
    <w:p w:rsidR="0023606F" w:rsidRPr="001677A2" w:rsidRDefault="0023606F" w:rsidP="0023606F">
      <w:pPr>
        <w:tabs>
          <w:tab w:val="left" w:pos="851"/>
        </w:tabs>
        <w:ind w:left="851"/>
        <w:rPr>
          <w:sz w:val="24"/>
          <w:szCs w:val="24"/>
        </w:rPr>
      </w:pPr>
      <w:r w:rsidRPr="001677A2">
        <w:rPr>
          <w:sz w:val="24"/>
          <w:szCs w:val="24"/>
        </w:rPr>
        <w:t>Ikke almindelig: Cirrose, fibrose og fedtdegenerering af leveren, fald i serumalbumin.</w:t>
      </w:r>
    </w:p>
    <w:p w:rsidR="0023606F" w:rsidRPr="001677A2" w:rsidRDefault="0023606F" w:rsidP="0023606F">
      <w:pPr>
        <w:tabs>
          <w:tab w:val="left" w:pos="851"/>
        </w:tabs>
        <w:ind w:left="851"/>
        <w:rPr>
          <w:sz w:val="24"/>
          <w:szCs w:val="24"/>
        </w:rPr>
      </w:pPr>
      <w:r w:rsidRPr="001677A2">
        <w:rPr>
          <w:sz w:val="24"/>
          <w:szCs w:val="24"/>
        </w:rPr>
        <w:t>Sjælden: Akut hepatitis.</w:t>
      </w:r>
    </w:p>
    <w:p w:rsidR="0023606F" w:rsidRPr="001677A2" w:rsidRDefault="0023606F" w:rsidP="0023606F">
      <w:pPr>
        <w:tabs>
          <w:tab w:val="left" w:pos="851"/>
        </w:tabs>
        <w:ind w:left="851"/>
        <w:rPr>
          <w:sz w:val="24"/>
          <w:szCs w:val="24"/>
        </w:rPr>
      </w:pPr>
      <w:r w:rsidRPr="001677A2">
        <w:rPr>
          <w:sz w:val="24"/>
          <w:szCs w:val="24"/>
        </w:rPr>
        <w:t>Meget sjælden: Leversvigt.</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u w:val="single"/>
        </w:rPr>
      </w:pPr>
      <w:r w:rsidRPr="001677A2">
        <w:rPr>
          <w:sz w:val="24"/>
          <w:szCs w:val="24"/>
          <w:u w:val="single"/>
        </w:rPr>
        <w:t>Hud og subkutane væv</w:t>
      </w:r>
    </w:p>
    <w:p w:rsidR="0023606F" w:rsidRPr="001677A2" w:rsidRDefault="0023606F" w:rsidP="0023606F">
      <w:pPr>
        <w:tabs>
          <w:tab w:val="left" w:pos="851"/>
        </w:tabs>
        <w:ind w:left="851"/>
        <w:rPr>
          <w:sz w:val="24"/>
          <w:szCs w:val="24"/>
        </w:rPr>
      </w:pPr>
    </w:p>
    <w:p w:rsidR="001677A2" w:rsidRPr="001677A2" w:rsidRDefault="001677A2" w:rsidP="001677A2">
      <w:pPr>
        <w:tabs>
          <w:tab w:val="left" w:pos="851"/>
        </w:tabs>
        <w:ind w:left="851"/>
        <w:rPr>
          <w:sz w:val="24"/>
          <w:szCs w:val="24"/>
        </w:rPr>
      </w:pPr>
      <w:r w:rsidRPr="001677A2">
        <w:rPr>
          <w:sz w:val="24"/>
          <w:szCs w:val="24"/>
        </w:rPr>
        <w:t xml:space="preserve">Almindelig: </w:t>
      </w:r>
      <w:proofErr w:type="spellStart"/>
      <w:r w:rsidRPr="001677A2">
        <w:rPr>
          <w:sz w:val="24"/>
          <w:szCs w:val="24"/>
        </w:rPr>
        <w:t>Eksantem</w:t>
      </w:r>
      <w:proofErr w:type="spellEnd"/>
      <w:r w:rsidRPr="001677A2">
        <w:rPr>
          <w:sz w:val="24"/>
          <w:szCs w:val="24"/>
        </w:rPr>
        <w:t xml:space="preserve">, </w:t>
      </w:r>
      <w:proofErr w:type="spellStart"/>
      <w:r w:rsidRPr="001677A2">
        <w:rPr>
          <w:sz w:val="24"/>
          <w:szCs w:val="24"/>
        </w:rPr>
        <w:t>erytem</w:t>
      </w:r>
      <w:proofErr w:type="spellEnd"/>
      <w:r w:rsidRPr="001677A2">
        <w:rPr>
          <w:sz w:val="24"/>
          <w:szCs w:val="24"/>
        </w:rPr>
        <w:t xml:space="preserve">, </w:t>
      </w:r>
      <w:proofErr w:type="spellStart"/>
      <w:r w:rsidRPr="001677A2">
        <w:rPr>
          <w:sz w:val="24"/>
          <w:szCs w:val="24"/>
        </w:rPr>
        <w:t>pruritus</w:t>
      </w:r>
      <w:proofErr w:type="spellEnd"/>
      <w:r w:rsidRPr="001677A2">
        <w:rPr>
          <w:sz w:val="24"/>
          <w:szCs w:val="24"/>
        </w:rPr>
        <w:t>.</w:t>
      </w:r>
    </w:p>
    <w:p w:rsidR="001677A2" w:rsidRPr="001677A2" w:rsidRDefault="001677A2" w:rsidP="001677A2">
      <w:pPr>
        <w:tabs>
          <w:tab w:val="left" w:pos="851"/>
        </w:tabs>
        <w:ind w:left="851"/>
        <w:rPr>
          <w:sz w:val="24"/>
          <w:szCs w:val="24"/>
        </w:rPr>
      </w:pPr>
      <w:r w:rsidRPr="001677A2">
        <w:rPr>
          <w:sz w:val="24"/>
          <w:szCs w:val="24"/>
        </w:rPr>
        <w:t xml:space="preserve">Ikke almindelig: Hårtab, stigning i </w:t>
      </w:r>
      <w:proofErr w:type="spellStart"/>
      <w:r w:rsidRPr="001677A2">
        <w:rPr>
          <w:sz w:val="24"/>
          <w:szCs w:val="24"/>
        </w:rPr>
        <w:t>reumatoide</w:t>
      </w:r>
      <w:proofErr w:type="spellEnd"/>
      <w:r w:rsidRPr="001677A2">
        <w:rPr>
          <w:sz w:val="24"/>
          <w:szCs w:val="24"/>
        </w:rPr>
        <w:t xml:space="preserve"> knuder, </w:t>
      </w:r>
      <w:proofErr w:type="spellStart"/>
      <w:r w:rsidRPr="001677A2">
        <w:rPr>
          <w:sz w:val="24"/>
          <w:szCs w:val="24"/>
        </w:rPr>
        <w:t>hudsår</w:t>
      </w:r>
      <w:proofErr w:type="spellEnd"/>
      <w:r w:rsidRPr="001677A2">
        <w:rPr>
          <w:sz w:val="24"/>
          <w:szCs w:val="24"/>
        </w:rPr>
        <w:t xml:space="preserve">, herpes </w:t>
      </w:r>
      <w:proofErr w:type="spellStart"/>
      <w:r w:rsidRPr="001677A2">
        <w:rPr>
          <w:sz w:val="24"/>
          <w:szCs w:val="24"/>
        </w:rPr>
        <w:t>zoster</w:t>
      </w:r>
      <w:proofErr w:type="spellEnd"/>
      <w:r w:rsidRPr="001677A2">
        <w:rPr>
          <w:sz w:val="24"/>
          <w:szCs w:val="24"/>
        </w:rPr>
        <w:t xml:space="preserve">, </w:t>
      </w:r>
      <w:proofErr w:type="spellStart"/>
      <w:r w:rsidRPr="001677A2">
        <w:rPr>
          <w:sz w:val="24"/>
          <w:szCs w:val="24"/>
        </w:rPr>
        <w:t>vaskulitis</w:t>
      </w:r>
      <w:proofErr w:type="spellEnd"/>
      <w:r w:rsidRPr="001677A2">
        <w:rPr>
          <w:sz w:val="24"/>
          <w:szCs w:val="24"/>
        </w:rPr>
        <w:t xml:space="preserve">, </w:t>
      </w:r>
      <w:proofErr w:type="spellStart"/>
      <w:r w:rsidRPr="001677A2">
        <w:rPr>
          <w:sz w:val="24"/>
          <w:szCs w:val="24"/>
        </w:rPr>
        <w:t>herpetiformt</w:t>
      </w:r>
      <w:proofErr w:type="spellEnd"/>
      <w:r w:rsidRPr="001677A2">
        <w:rPr>
          <w:sz w:val="24"/>
          <w:szCs w:val="24"/>
        </w:rPr>
        <w:t xml:space="preserve"> hududslæt, </w:t>
      </w:r>
      <w:proofErr w:type="spellStart"/>
      <w:r w:rsidRPr="001677A2">
        <w:rPr>
          <w:sz w:val="24"/>
          <w:szCs w:val="24"/>
        </w:rPr>
        <w:t>urticaria</w:t>
      </w:r>
      <w:proofErr w:type="spellEnd"/>
      <w:r w:rsidRPr="001677A2">
        <w:rPr>
          <w:sz w:val="24"/>
          <w:szCs w:val="24"/>
        </w:rPr>
        <w:t>, reaktioner på fotosensitivitet</w:t>
      </w:r>
    </w:p>
    <w:p w:rsidR="001677A2" w:rsidRPr="001677A2" w:rsidRDefault="001677A2" w:rsidP="001677A2">
      <w:pPr>
        <w:tabs>
          <w:tab w:val="left" w:pos="851"/>
        </w:tabs>
        <w:ind w:left="851"/>
        <w:rPr>
          <w:sz w:val="24"/>
          <w:szCs w:val="24"/>
        </w:rPr>
      </w:pPr>
      <w:r w:rsidRPr="001677A2">
        <w:rPr>
          <w:sz w:val="24"/>
          <w:szCs w:val="24"/>
        </w:rPr>
        <w:t xml:space="preserve">Sjælden: Øget pigmentering, akne, </w:t>
      </w:r>
      <w:proofErr w:type="spellStart"/>
      <w:r w:rsidRPr="001677A2">
        <w:rPr>
          <w:sz w:val="24"/>
          <w:szCs w:val="24"/>
        </w:rPr>
        <w:t>petekkier</w:t>
      </w:r>
      <w:proofErr w:type="spellEnd"/>
      <w:r w:rsidRPr="001677A2">
        <w:rPr>
          <w:sz w:val="24"/>
          <w:szCs w:val="24"/>
        </w:rPr>
        <w:t xml:space="preserve">, </w:t>
      </w:r>
      <w:proofErr w:type="spellStart"/>
      <w:r w:rsidRPr="001677A2">
        <w:rPr>
          <w:sz w:val="24"/>
          <w:szCs w:val="24"/>
        </w:rPr>
        <w:t>ekkymose</w:t>
      </w:r>
      <w:proofErr w:type="spellEnd"/>
      <w:r w:rsidRPr="001677A2">
        <w:rPr>
          <w:sz w:val="24"/>
          <w:szCs w:val="24"/>
        </w:rPr>
        <w:t xml:space="preserve">, allergisk </w:t>
      </w:r>
      <w:proofErr w:type="spellStart"/>
      <w:r w:rsidRPr="001677A2">
        <w:rPr>
          <w:sz w:val="24"/>
          <w:szCs w:val="24"/>
        </w:rPr>
        <w:t>vaskulitis</w:t>
      </w:r>
      <w:proofErr w:type="spellEnd"/>
      <w:r w:rsidRPr="001677A2">
        <w:rPr>
          <w:sz w:val="24"/>
          <w:szCs w:val="24"/>
        </w:rPr>
        <w:t>.</w:t>
      </w:r>
    </w:p>
    <w:p w:rsidR="001677A2" w:rsidRPr="001677A2" w:rsidRDefault="001677A2" w:rsidP="001677A2">
      <w:pPr>
        <w:tabs>
          <w:tab w:val="left" w:pos="851"/>
        </w:tabs>
        <w:ind w:left="851"/>
        <w:rPr>
          <w:sz w:val="24"/>
          <w:szCs w:val="24"/>
        </w:rPr>
      </w:pPr>
      <w:r w:rsidRPr="001677A2">
        <w:rPr>
          <w:sz w:val="24"/>
          <w:szCs w:val="24"/>
        </w:rPr>
        <w:t xml:space="preserve">Meget sjælden: Stevens-Johnsons syndrom, toksisk </w:t>
      </w:r>
      <w:proofErr w:type="spellStart"/>
      <w:r w:rsidRPr="001677A2">
        <w:rPr>
          <w:sz w:val="24"/>
          <w:szCs w:val="24"/>
        </w:rPr>
        <w:t>epidermisk</w:t>
      </w:r>
      <w:proofErr w:type="spellEnd"/>
      <w:r w:rsidRPr="001677A2">
        <w:rPr>
          <w:sz w:val="24"/>
          <w:szCs w:val="24"/>
        </w:rPr>
        <w:t xml:space="preserve"> </w:t>
      </w:r>
      <w:proofErr w:type="spellStart"/>
      <w:r w:rsidRPr="001677A2">
        <w:rPr>
          <w:sz w:val="24"/>
          <w:szCs w:val="24"/>
        </w:rPr>
        <w:t>nekrolyse</w:t>
      </w:r>
      <w:proofErr w:type="spellEnd"/>
      <w:r w:rsidRPr="001677A2">
        <w:rPr>
          <w:sz w:val="24"/>
          <w:szCs w:val="24"/>
        </w:rPr>
        <w:t xml:space="preserve"> (</w:t>
      </w:r>
      <w:proofErr w:type="spellStart"/>
      <w:r w:rsidRPr="001677A2">
        <w:rPr>
          <w:sz w:val="24"/>
          <w:szCs w:val="24"/>
        </w:rPr>
        <w:t>Lyells</w:t>
      </w:r>
      <w:proofErr w:type="spellEnd"/>
      <w:r w:rsidRPr="001677A2">
        <w:rPr>
          <w:sz w:val="24"/>
          <w:szCs w:val="24"/>
        </w:rPr>
        <w:t xml:space="preserve"> syndrom), øgede pigmentforandringer i neglene, akut </w:t>
      </w:r>
      <w:proofErr w:type="spellStart"/>
      <w:r w:rsidRPr="001677A2">
        <w:rPr>
          <w:sz w:val="24"/>
          <w:szCs w:val="24"/>
        </w:rPr>
        <w:t>paronychia</w:t>
      </w:r>
      <w:proofErr w:type="spellEnd"/>
      <w:r w:rsidRPr="001677A2">
        <w:rPr>
          <w:sz w:val="24"/>
          <w:szCs w:val="24"/>
        </w:rPr>
        <w:t xml:space="preserve">, </w:t>
      </w:r>
      <w:proofErr w:type="spellStart"/>
      <w:r w:rsidRPr="001677A2">
        <w:rPr>
          <w:sz w:val="24"/>
          <w:szCs w:val="24"/>
        </w:rPr>
        <w:t>furunkulose</w:t>
      </w:r>
      <w:proofErr w:type="spellEnd"/>
      <w:r w:rsidRPr="001677A2">
        <w:rPr>
          <w:sz w:val="24"/>
          <w:szCs w:val="24"/>
        </w:rPr>
        <w:t xml:space="preserve">, </w:t>
      </w:r>
      <w:proofErr w:type="spellStart"/>
      <w:r w:rsidRPr="001677A2">
        <w:rPr>
          <w:sz w:val="24"/>
          <w:szCs w:val="24"/>
        </w:rPr>
        <w:t>teleangiektasi</w:t>
      </w:r>
      <w:proofErr w:type="spellEnd"/>
      <w:r w:rsidRPr="001677A2">
        <w:rPr>
          <w:sz w:val="24"/>
          <w:szCs w:val="24"/>
        </w:rPr>
        <w:t>.</w:t>
      </w:r>
    </w:p>
    <w:p w:rsidR="001677A2" w:rsidRPr="001677A2" w:rsidRDefault="001677A2" w:rsidP="001677A2">
      <w:pPr>
        <w:ind w:left="851"/>
        <w:rPr>
          <w:sz w:val="24"/>
          <w:szCs w:val="24"/>
          <w:lang w:eastAsia="da-DK"/>
        </w:rPr>
      </w:pPr>
      <w:r w:rsidRPr="001677A2">
        <w:rPr>
          <w:color w:val="000000"/>
          <w:sz w:val="24"/>
          <w:szCs w:val="24"/>
        </w:rPr>
        <w:t xml:space="preserve">Ikke kendt: </w:t>
      </w:r>
      <w:proofErr w:type="spellStart"/>
      <w:r w:rsidRPr="001677A2">
        <w:rPr>
          <w:color w:val="000000"/>
          <w:sz w:val="24"/>
          <w:szCs w:val="24"/>
        </w:rPr>
        <w:t>Hudeksfoliation</w:t>
      </w:r>
      <w:proofErr w:type="spellEnd"/>
      <w:r w:rsidRPr="001677A2">
        <w:rPr>
          <w:color w:val="000000"/>
          <w:sz w:val="24"/>
          <w:szCs w:val="24"/>
        </w:rPr>
        <w:t>/</w:t>
      </w:r>
      <w:proofErr w:type="spellStart"/>
      <w:r w:rsidRPr="001677A2">
        <w:rPr>
          <w:color w:val="000000"/>
          <w:sz w:val="24"/>
          <w:szCs w:val="24"/>
        </w:rPr>
        <w:t>eksfoliativ</w:t>
      </w:r>
      <w:proofErr w:type="spellEnd"/>
      <w:r w:rsidRPr="001677A2">
        <w:rPr>
          <w:color w:val="000000"/>
          <w:sz w:val="24"/>
          <w:szCs w:val="24"/>
        </w:rPr>
        <w:t xml:space="preserve"> </w:t>
      </w:r>
      <w:proofErr w:type="spellStart"/>
      <w:r w:rsidRPr="001677A2">
        <w:rPr>
          <w:color w:val="000000"/>
          <w:sz w:val="24"/>
          <w:szCs w:val="24"/>
        </w:rPr>
        <w:t>dermatitis</w:t>
      </w:r>
      <w:proofErr w:type="spellEnd"/>
      <w:r w:rsidRPr="001677A2">
        <w:rPr>
          <w:sz w:val="24"/>
          <w:szCs w:val="24"/>
          <w:lang w:eastAsia="da-DK"/>
        </w:rPr>
        <w:t xml:space="preserve"> </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u w:val="single"/>
        </w:rPr>
      </w:pPr>
      <w:r w:rsidRPr="001677A2">
        <w:rPr>
          <w:sz w:val="24"/>
          <w:szCs w:val="24"/>
          <w:u w:val="single"/>
        </w:rPr>
        <w:t>Knogler, led, muskler og bindevæv</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t xml:space="preserve">Ikke almindelig: </w:t>
      </w:r>
      <w:proofErr w:type="spellStart"/>
      <w:r w:rsidRPr="001677A2">
        <w:rPr>
          <w:sz w:val="24"/>
          <w:szCs w:val="24"/>
        </w:rPr>
        <w:t>Artralgi</w:t>
      </w:r>
      <w:proofErr w:type="spellEnd"/>
      <w:r w:rsidRPr="001677A2">
        <w:rPr>
          <w:sz w:val="24"/>
          <w:szCs w:val="24"/>
        </w:rPr>
        <w:t>, myalgi, osteoporose.</w:t>
      </w:r>
    </w:p>
    <w:p w:rsidR="0023606F" w:rsidRPr="001677A2" w:rsidRDefault="0023606F" w:rsidP="0023606F">
      <w:pPr>
        <w:tabs>
          <w:tab w:val="left" w:pos="851"/>
        </w:tabs>
        <w:ind w:left="851"/>
        <w:rPr>
          <w:sz w:val="24"/>
          <w:szCs w:val="24"/>
        </w:rPr>
      </w:pPr>
      <w:r w:rsidRPr="001677A2">
        <w:rPr>
          <w:sz w:val="24"/>
          <w:szCs w:val="24"/>
        </w:rPr>
        <w:t>Sjælden: Stressfraktur</w:t>
      </w:r>
    </w:p>
    <w:p w:rsidR="0023606F" w:rsidRPr="001677A2" w:rsidRDefault="0023606F" w:rsidP="0023606F">
      <w:pPr>
        <w:tabs>
          <w:tab w:val="left" w:pos="851"/>
        </w:tabs>
        <w:ind w:left="851"/>
        <w:rPr>
          <w:sz w:val="24"/>
          <w:szCs w:val="24"/>
        </w:rPr>
      </w:pPr>
      <w:r w:rsidRPr="001677A2">
        <w:rPr>
          <w:sz w:val="24"/>
          <w:szCs w:val="24"/>
        </w:rPr>
        <w:t xml:space="preserve">Ikke kendt: </w:t>
      </w:r>
      <w:proofErr w:type="spellStart"/>
      <w:r w:rsidRPr="001677A2">
        <w:rPr>
          <w:sz w:val="24"/>
          <w:szCs w:val="24"/>
        </w:rPr>
        <w:t>Osteonekrose</w:t>
      </w:r>
      <w:proofErr w:type="spellEnd"/>
      <w:r w:rsidRPr="001677A2">
        <w:rPr>
          <w:sz w:val="24"/>
          <w:szCs w:val="24"/>
        </w:rPr>
        <w:t xml:space="preserve"> i kæberne (sekundært til </w:t>
      </w:r>
      <w:proofErr w:type="spellStart"/>
      <w:r w:rsidRPr="001677A2">
        <w:rPr>
          <w:sz w:val="24"/>
          <w:szCs w:val="24"/>
        </w:rPr>
        <w:t>lymfoproliferative</w:t>
      </w:r>
      <w:proofErr w:type="spellEnd"/>
      <w:r w:rsidRPr="001677A2">
        <w:rPr>
          <w:sz w:val="24"/>
          <w:szCs w:val="24"/>
        </w:rPr>
        <w:t xml:space="preserve"> sygdomme)</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u w:val="single"/>
        </w:rPr>
      </w:pPr>
      <w:r w:rsidRPr="001677A2">
        <w:rPr>
          <w:sz w:val="24"/>
          <w:szCs w:val="24"/>
          <w:u w:val="single"/>
        </w:rPr>
        <w:t>Nyrer og urinveje</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lastRenderedPageBreak/>
        <w:t xml:space="preserve">Ikke almindelig: Inflammation og </w:t>
      </w:r>
      <w:proofErr w:type="spellStart"/>
      <w:r w:rsidRPr="001677A2">
        <w:rPr>
          <w:sz w:val="24"/>
          <w:szCs w:val="24"/>
        </w:rPr>
        <w:t>ulceration</w:t>
      </w:r>
      <w:proofErr w:type="spellEnd"/>
      <w:r w:rsidRPr="001677A2">
        <w:rPr>
          <w:sz w:val="24"/>
          <w:szCs w:val="24"/>
        </w:rPr>
        <w:t xml:space="preserve"> af urinblæren, nedsat nyrefunktion, forstyrret </w:t>
      </w:r>
      <w:proofErr w:type="spellStart"/>
      <w:r w:rsidRPr="001677A2">
        <w:rPr>
          <w:sz w:val="24"/>
          <w:szCs w:val="24"/>
        </w:rPr>
        <w:t>miktion</w:t>
      </w:r>
      <w:proofErr w:type="spellEnd"/>
      <w:r w:rsidRPr="001677A2">
        <w:rPr>
          <w:sz w:val="24"/>
          <w:szCs w:val="24"/>
        </w:rPr>
        <w:t>.</w:t>
      </w:r>
    </w:p>
    <w:p w:rsidR="0023606F" w:rsidRPr="001677A2" w:rsidRDefault="0023606F" w:rsidP="0023606F">
      <w:pPr>
        <w:tabs>
          <w:tab w:val="left" w:pos="851"/>
        </w:tabs>
        <w:ind w:left="851"/>
        <w:rPr>
          <w:sz w:val="24"/>
          <w:szCs w:val="24"/>
        </w:rPr>
      </w:pPr>
      <w:r w:rsidRPr="001677A2">
        <w:rPr>
          <w:sz w:val="24"/>
          <w:szCs w:val="24"/>
        </w:rPr>
        <w:t xml:space="preserve">Sjælden: Nyresvigt, </w:t>
      </w:r>
      <w:proofErr w:type="spellStart"/>
      <w:r w:rsidRPr="001677A2">
        <w:rPr>
          <w:sz w:val="24"/>
          <w:szCs w:val="24"/>
        </w:rPr>
        <w:t>oliguri</w:t>
      </w:r>
      <w:proofErr w:type="spellEnd"/>
      <w:r w:rsidRPr="001677A2">
        <w:rPr>
          <w:sz w:val="24"/>
          <w:szCs w:val="24"/>
        </w:rPr>
        <w:t xml:space="preserve">, </w:t>
      </w:r>
      <w:proofErr w:type="spellStart"/>
      <w:r w:rsidRPr="001677A2">
        <w:rPr>
          <w:sz w:val="24"/>
          <w:szCs w:val="24"/>
        </w:rPr>
        <w:t>anuri</w:t>
      </w:r>
      <w:proofErr w:type="spellEnd"/>
      <w:r w:rsidRPr="001677A2">
        <w:rPr>
          <w:sz w:val="24"/>
          <w:szCs w:val="24"/>
        </w:rPr>
        <w:t>, elektrolytforstyrrelser.</w:t>
      </w:r>
    </w:p>
    <w:p w:rsidR="0023606F" w:rsidRPr="001677A2" w:rsidRDefault="0023606F" w:rsidP="0023606F">
      <w:pPr>
        <w:keepNext/>
        <w:tabs>
          <w:tab w:val="left" w:pos="851"/>
        </w:tabs>
        <w:ind w:left="851"/>
        <w:rPr>
          <w:sz w:val="24"/>
          <w:szCs w:val="24"/>
        </w:rPr>
      </w:pPr>
      <w:r w:rsidRPr="001677A2">
        <w:rPr>
          <w:sz w:val="24"/>
          <w:szCs w:val="24"/>
        </w:rPr>
        <w:t xml:space="preserve">Ikke kendt: </w:t>
      </w:r>
      <w:proofErr w:type="spellStart"/>
      <w:r w:rsidRPr="001677A2">
        <w:rPr>
          <w:sz w:val="24"/>
          <w:szCs w:val="24"/>
        </w:rPr>
        <w:t>Proteinuri</w:t>
      </w:r>
      <w:proofErr w:type="spellEnd"/>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u w:val="single"/>
        </w:rPr>
      </w:pPr>
      <w:r w:rsidRPr="001677A2">
        <w:rPr>
          <w:sz w:val="24"/>
          <w:szCs w:val="24"/>
          <w:u w:val="single"/>
        </w:rPr>
        <w:t>Det reproduktive system og mammae</w:t>
      </w:r>
    </w:p>
    <w:p w:rsidR="0023606F" w:rsidRPr="001677A2" w:rsidRDefault="0023606F" w:rsidP="0023606F">
      <w:pPr>
        <w:tabs>
          <w:tab w:val="left" w:pos="851"/>
        </w:tabs>
        <w:ind w:left="851"/>
        <w:rPr>
          <w:sz w:val="24"/>
          <w:szCs w:val="24"/>
        </w:rPr>
      </w:pPr>
    </w:p>
    <w:p w:rsidR="0023606F" w:rsidRPr="001677A2" w:rsidRDefault="0023606F" w:rsidP="0023606F">
      <w:pPr>
        <w:tabs>
          <w:tab w:val="left" w:pos="851"/>
        </w:tabs>
        <w:ind w:left="851"/>
        <w:rPr>
          <w:sz w:val="24"/>
          <w:szCs w:val="24"/>
        </w:rPr>
      </w:pPr>
      <w:r w:rsidRPr="001677A2">
        <w:rPr>
          <w:sz w:val="24"/>
          <w:szCs w:val="24"/>
        </w:rPr>
        <w:t xml:space="preserve">Ikke almindelig: Inflammation og </w:t>
      </w:r>
      <w:proofErr w:type="spellStart"/>
      <w:r w:rsidRPr="001677A2">
        <w:rPr>
          <w:sz w:val="24"/>
          <w:szCs w:val="24"/>
        </w:rPr>
        <w:t>ulceration</w:t>
      </w:r>
      <w:proofErr w:type="spellEnd"/>
      <w:r w:rsidRPr="001677A2">
        <w:rPr>
          <w:sz w:val="24"/>
          <w:szCs w:val="24"/>
        </w:rPr>
        <w:t xml:space="preserve"> af vagina.</w:t>
      </w:r>
    </w:p>
    <w:p w:rsidR="0023606F" w:rsidRPr="001677A2" w:rsidRDefault="0023606F" w:rsidP="0023606F">
      <w:pPr>
        <w:tabs>
          <w:tab w:val="left" w:pos="851"/>
        </w:tabs>
        <w:ind w:left="851"/>
        <w:rPr>
          <w:sz w:val="24"/>
          <w:szCs w:val="24"/>
        </w:rPr>
      </w:pPr>
      <w:r w:rsidRPr="001677A2">
        <w:rPr>
          <w:sz w:val="24"/>
          <w:szCs w:val="24"/>
        </w:rPr>
        <w:t xml:space="preserve">Meget sjælden: Tab af libido, impotens, </w:t>
      </w:r>
      <w:proofErr w:type="spellStart"/>
      <w:r w:rsidRPr="001677A2">
        <w:rPr>
          <w:sz w:val="24"/>
          <w:szCs w:val="24"/>
        </w:rPr>
        <w:t>gynækomasti</w:t>
      </w:r>
      <w:proofErr w:type="spellEnd"/>
      <w:r w:rsidRPr="001677A2">
        <w:rPr>
          <w:sz w:val="24"/>
          <w:szCs w:val="24"/>
        </w:rPr>
        <w:t xml:space="preserve">, </w:t>
      </w:r>
      <w:proofErr w:type="spellStart"/>
      <w:r w:rsidRPr="001677A2">
        <w:rPr>
          <w:sz w:val="24"/>
          <w:szCs w:val="24"/>
        </w:rPr>
        <w:t>oligospermia</w:t>
      </w:r>
      <w:proofErr w:type="spellEnd"/>
      <w:r w:rsidRPr="001677A2">
        <w:rPr>
          <w:sz w:val="24"/>
          <w:szCs w:val="24"/>
        </w:rPr>
        <w:t>, nedsat menstruation, vaginalt udflåd.</w:t>
      </w:r>
    </w:p>
    <w:p w:rsidR="0023606F" w:rsidRPr="001677A2" w:rsidRDefault="0023606F" w:rsidP="0023606F">
      <w:pPr>
        <w:tabs>
          <w:tab w:val="left" w:pos="851"/>
        </w:tabs>
        <w:ind w:left="851"/>
        <w:rPr>
          <w:sz w:val="24"/>
          <w:szCs w:val="24"/>
        </w:rPr>
      </w:pPr>
    </w:p>
    <w:p w:rsidR="00480150" w:rsidRPr="001677A2" w:rsidRDefault="00480150" w:rsidP="00394BCC">
      <w:pPr>
        <w:keepNext/>
        <w:tabs>
          <w:tab w:val="left" w:pos="851"/>
        </w:tabs>
        <w:ind w:left="851"/>
        <w:rPr>
          <w:sz w:val="24"/>
          <w:szCs w:val="24"/>
          <w:u w:val="single"/>
        </w:rPr>
      </w:pPr>
      <w:r w:rsidRPr="001677A2">
        <w:rPr>
          <w:sz w:val="24"/>
          <w:szCs w:val="24"/>
          <w:u w:val="single"/>
        </w:rPr>
        <w:t>Almene symptomer og reaktioner på administrationsstedet</w:t>
      </w:r>
    </w:p>
    <w:p w:rsidR="00480150" w:rsidRPr="001677A2" w:rsidRDefault="00480150" w:rsidP="00394BCC">
      <w:pPr>
        <w:keepNext/>
        <w:tabs>
          <w:tab w:val="left" w:pos="851"/>
        </w:tabs>
        <w:ind w:left="851"/>
        <w:rPr>
          <w:sz w:val="24"/>
          <w:szCs w:val="24"/>
        </w:rPr>
      </w:pPr>
    </w:p>
    <w:p w:rsidR="00480150" w:rsidRPr="001677A2" w:rsidRDefault="00480150" w:rsidP="00480150">
      <w:pPr>
        <w:tabs>
          <w:tab w:val="left" w:pos="851"/>
        </w:tabs>
        <w:ind w:left="851"/>
        <w:rPr>
          <w:sz w:val="24"/>
          <w:szCs w:val="24"/>
        </w:rPr>
      </w:pPr>
      <w:r w:rsidRPr="001677A2">
        <w:rPr>
          <w:sz w:val="24"/>
          <w:szCs w:val="24"/>
        </w:rPr>
        <w:t>Sjælden: Feber, nedsat sårhelingsevne.</w:t>
      </w:r>
    </w:p>
    <w:p w:rsidR="009C2904" w:rsidRPr="001677A2" w:rsidRDefault="009C2904" w:rsidP="009C2904">
      <w:pPr>
        <w:tabs>
          <w:tab w:val="left" w:pos="851"/>
        </w:tabs>
        <w:ind w:left="851"/>
        <w:rPr>
          <w:sz w:val="24"/>
          <w:szCs w:val="24"/>
        </w:rPr>
      </w:pPr>
      <w:r w:rsidRPr="001677A2">
        <w:rPr>
          <w:sz w:val="24"/>
          <w:szCs w:val="24"/>
        </w:rPr>
        <w:t xml:space="preserve">Meget sjælden: Lokal skade (dannelse af sterile abscesser, </w:t>
      </w:r>
      <w:proofErr w:type="spellStart"/>
      <w:r w:rsidRPr="001677A2">
        <w:rPr>
          <w:sz w:val="24"/>
          <w:szCs w:val="24"/>
        </w:rPr>
        <w:t>lipodystrofi</w:t>
      </w:r>
      <w:proofErr w:type="spellEnd"/>
      <w:r w:rsidRPr="001677A2">
        <w:rPr>
          <w:sz w:val="24"/>
          <w:szCs w:val="24"/>
        </w:rPr>
        <w:t>) på injektionsstedet efter intramuskulær eller subkutan indgift.</w:t>
      </w:r>
    </w:p>
    <w:p w:rsidR="009C2904" w:rsidRPr="001677A2" w:rsidRDefault="009C2904" w:rsidP="009C2904">
      <w:pPr>
        <w:tabs>
          <w:tab w:val="left" w:pos="851"/>
        </w:tabs>
        <w:ind w:left="851"/>
        <w:rPr>
          <w:sz w:val="24"/>
          <w:szCs w:val="24"/>
        </w:rPr>
      </w:pPr>
      <w:r w:rsidRPr="001677A2">
        <w:rPr>
          <w:sz w:val="24"/>
          <w:szCs w:val="24"/>
        </w:rPr>
        <w:t>Ikke kendt: Asteni, nekrose på injektionsstedet, ødem.</w:t>
      </w:r>
    </w:p>
    <w:p w:rsidR="00480150" w:rsidRPr="001677A2" w:rsidRDefault="00480150" w:rsidP="00480150">
      <w:pPr>
        <w:tabs>
          <w:tab w:val="left" w:pos="851"/>
        </w:tabs>
        <w:ind w:left="851"/>
        <w:rPr>
          <w:sz w:val="24"/>
          <w:szCs w:val="24"/>
        </w:rPr>
      </w:pPr>
    </w:p>
    <w:p w:rsidR="00480150" w:rsidRPr="001677A2" w:rsidRDefault="00480150" w:rsidP="00480150">
      <w:pPr>
        <w:tabs>
          <w:tab w:val="left" w:pos="851"/>
        </w:tabs>
        <w:ind w:left="851"/>
        <w:rPr>
          <w:sz w:val="24"/>
          <w:szCs w:val="24"/>
        </w:rPr>
      </w:pPr>
      <w:r w:rsidRPr="001677A2">
        <w:rPr>
          <w:sz w:val="24"/>
          <w:szCs w:val="24"/>
        </w:rPr>
        <w:t>Forekomsten og sværhedsgraden af bivirkninger afhænger af dosisniveauet og indgiftshyppigheden. Det er imidlertid bydende nødvendigt, at patienterne overvåges regelmæssigt af lægen med korte mellemrum, da svære bivirkninger kan forekomme selv ved lave doser.</w:t>
      </w:r>
    </w:p>
    <w:p w:rsidR="00480150" w:rsidRPr="001677A2" w:rsidRDefault="00480150" w:rsidP="00480150">
      <w:pPr>
        <w:tabs>
          <w:tab w:val="left" w:pos="851"/>
        </w:tabs>
        <w:ind w:left="851"/>
        <w:rPr>
          <w:sz w:val="24"/>
          <w:szCs w:val="24"/>
        </w:rPr>
      </w:pPr>
    </w:p>
    <w:p w:rsidR="00480150" w:rsidRPr="001677A2" w:rsidRDefault="00480150" w:rsidP="00480150">
      <w:pPr>
        <w:tabs>
          <w:tab w:val="left" w:pos="851"/>
        </w:tabs>
        <w:ind w:left="851"/>
        <w:rPr>
          <w:sz w:val="24"/>
          <w:szCs w:val="24"/>
        </w:rPr>
      </w:pPr>
      <w:r w:rsidRPr="001677A2">
        <w:rPr>
          <w:sz w:val="24"/>
          <w:szCs w:val="24"/>
        </w:rPr>
        <w:t xml:space="preserve">Subkutan anvendelse af </w:t>
      </w:r>
      <w:proofErr w:type="spellStart"/>
      <w:r w:rsidRPr="001677A2">
        <w:rPr>
          <w:sz w:val="24"/>
          <w:szCs w:val="24"/>
        </w:rPr>
        <w:t>methotrexat</w:t>
      </w:r>
      <w:proofErr w:type="spellEnd"/>
      <w:r w:rsidRPr="001677A2">
        <w:rPr>
          <w:sz w:val="24"/>
          <w:szCs w:val="24"/>
        </w:rPr>
        <w:t xml:space="preserve"> er lokalt veltolereret. Der er kun observeret milde lokale hudreaktioner (så som brændende fornemmelse, </w:t>
      </w:r>
      <w:proofErr w:type="spellStart"/>
      <w:r w:rsidRPr="001677A2">
        <w:rPr>
          <w:sz w:val="24"/>
          <w:szCs w:val="24"/>
        </w:rPr>
        <w:t>erytem</w:t>
      </w:r>
      <w:proofErr w:type="spellEnd"/>
      <w:r w:rsidRPr="001677A2">
        <w:rPr>
          <w:sz w:val="24"/>
          <w:szCs w:val="24"/>
        </w:rPr>
        <w:t xml:space="preserve">, hævelse, misfarvning, </w:t>
      </w:r>
      <w:proofErr w:type="spellStart"/>
      <w:r w:rsidRPr="001677A2">
        <w:rPr>
          <w:sz w:val="24"/>
          <w:szCs w:val="24"/>
        </w:rPr>
        <w:t>pruritus</w:t>
      </w:r>
      <w:proofErr w:type="spellEnd"/>
      <w:r w:rsidRPr="001677A2">
        <w:rPr>
          <w:sz w:val="24"/>
          <w:szCs w:val="24"/>
        </w:rPr>
        <w:t>, svær kløe, smerte) med svindende hyppighed i løbet af behandlingen.</w:t>
      </w:r>
    </w:p>
    <w:p w:rsidR="00480150" w:rsidRPr="001677A2" w:rsidRDefault="00480150" w:rsidP="00480150">
      <w:pPr>
        <w:tabs>
          <w:tab w:val="left" w:pos="851"/>
        </w:tabs>
        <w:ind w:left="851"/>
        <w:rPr>
          <w:sz w:val="24"/>
          <w:szCs w:val="24"/>
        </w:rPr>
      </w:pPr>
    </w:p>
    <w:p w:rsidR="00480150" w:rsidRPr="001677A2" w:rsidRDefault="00480150" w:rsidP="00480150">
      <w:pPr>
        <w:tabs>
          <w:tab w:val="left" w:pos="851"/>
        </w:tabs>
        <w:ind w:left="851"/>
        <w:rPr>
          <w:sz w:val="24"/>
          <w:szCs w:val="24"/>
          <w:u w:val="single"/>
        </w:rPr>
      </w:pPr>
      <w:r w:rsidRPr="001677A2">
        <w:rPr>
          <w:sz w:val="24"/>
          <w:szCs w:val="24"/>
          <w:u w:val="single"/>
        </w:rPr>
        <w:t>Beskrivelse af udvalgte bivirkninger</w:t>
      </w:r>
    </w:p>
    <w:p w:rsidR="00480150" w:rsidRPr="001677A2" w:rsidRDefault="00480150" w:rsidP="00480150">
      <w:pPr>
        <w:tabs>
          <w:tab w:val="left" w:pos="851"/>
        </w:tabs>
        <w:ind w:left="851"/>
        <w:rPr>
          <w:sz w:val="24"/>
          <w:szCs w:val="24"/>
        </w:rPr>
      </w:pPr>
      <w:proofErr w:type="spellStart"/>
      <w:r w:rsidRPr="001677A2">
        <w:rPr>
          <w:sz w:val="24"/>
          <w:szCs w:val="24"/>
        </w:rPr>
        <w:t>Lymfomer</w:t>
      </w:r>
      <w:proofErr w:type="spellEnd"/>
      <w:r w:rsidRPr="001677A2">
        <w:rPr>
          <w:sz w:val="24"/>
          <w:szCs w:val="24"/>
        </w:rPr>
        <w:t>/</w:t>
      </w:r>
      <w:proofErr w:type="spellStart"/>
      <w:r w:rsidRPr="001677A2">
        <w:rPr>
          <w:sz w:val="24"/>
          <w:szCs w:val="24"/>
        </w:rPr>
        <w:t>lymfoproliferative</w:t>
      </w:r>
      <w:proofErr w:type="spellEnd"/>
      <w:r w:rsidRPr="001677A2">
        <w:rPr>
          <w:sz w:val="24"/>
          <w:szCs w:val="24"/>
        </w:rPr>
        <w:t xml:space="preserve"> sygdomme: Der er rapporteret om enkelte tilfælde af </w:t>
      </w:r>
      <w:proofErr w:type="spellStart"/>
      <w:r w:rsidRPr="001677A2">
        <w:rPr>
          <w:sz w:val="24"/>
          <w:szCs w:val="24"/>
        </w:rPr>
        <w:t>lymfomer</w:t>
      </w:r>
      <w:proofErr w:type="spellEnd"/>
      <w:r w:rsidRPr="001677A2">
        <w:rPr>
          <w:sz w:val="24"/>
          <w:szCs w:val="24"/>
        </w:rPr>
        <w:t xml:space="preserve"> og andre </w:t>
      </w:r>
      <w:proofErr w:type="spellStart"/>
      <w:r w:rsidRPr="001677A2">
        <w:rPr>
          <w:sz w:val="24"/>
          <w:szCs w:val="24"/>
        </w:rPr>
        <w:t>lymfoproliferative</w:t>
      </w:r>
      <w:proofErr w:type="spellEnd"/>
      <w:r w:rsidRPr="001677A2">
        <w:rPr>
          <w:sz w:val="24"/>
          <w:szCs w:val="24"/>
        </w:rPr>
        <w:t xml:space="preserve"> sygdomme, der i en række tilfælde fortog sig efter </w:t>
      </w:r>
      <w:proofErr w:type="spellStart"/>
      <w:r w:rsidRPr="001677A2">
        <w:rPr>
          <w:sz w:val="24"/>
          <w:szCs w:val="24"/>
        </w:rPr>
        <w:t>seponering</w:t>
      </w:r>
      <w:proofErr w:type="spellEnd"/>
      <w:r w:rsidRPr="001677A2">
        <w:rPr>
          <w:sz w:val="24"/>
          <w:szCs w:val="24"/>
        </w:rPr>
        <w:t xml:space="preserve"> af </w:t>
      </w:r>
      <w:proofErr w:type="spellStart"/>
      <w:r w:rsidRPr="001677A2">
        <w:rPr>
          <w:sz w:val="24"/>
          <w:szCs w:val="24"/>
        </w:rPr>
        <w:t>methotrexatbehandlingen</w:t>
      </w:r>
      <w:proofErr w:type="spellEnd"/>
      <w:r w:rsidRPr="001677A2">
        <w:rPr>
          <w:sz w:val="24"/>
          <w:szCs w:val="24"/>
        </w:rPr>
        <w:t>.</w:t>
      </w:r>
    </w:p>
    <w:p w:rsidR="00480150" w:rsidRPr="001677A2" w:rsidRDefault="00480150" w:rsidP="00480150">
      <w:pPr>
        <w:tabs>
          <w:tab w:val="left" w:pos="851"/>
        </w:tabs>
        <w:ind w:left="851"/>
        <w:rPr>
          <w:sz w:val="24"/>
          <w:szCs w:val="24"/>
        </w:rPr>
      </w:pPr>
    </w:p>
    <w:p w:rsidR="00480150" w:rsidRPr="001677A2" w:rsidRDefault="00480150" w:rsidP="00480150">
      <w:pPr>
        <w:tabs>
          <w:tab w:val="left" w:pos="851"/>
        </w:tabs>
        <w:autoSpaceDE w:val="0"/>
        <w:autoSpaceDN w:val="0"/>
        <w:ind w:left="851"/>
        <w:rPr>
          <w:sz w:val="24"/>
          <w:szCs w:val="24"/>
          <w:u w:val="single"/>
        </w:rPr>
      </w:pPr>
      <w:r w:rsidRPr="001677A2">
        <w:rPr>
          <w:sz w:val="24"/>
          <w:szCs w:val="24"/>
          <w:u w:val="single"/>
        </w:rPr>
        <w:t>Indberetning af formodede bivirkninger</w:t>
      </w:r>
    </w:p>
    <w:p w:rsidR="00480150" w:rsidRPr="001677A2" w:rsidRDefault="00480150" w:rsidP="00480150">
      <w:pPr>
        <w:tabs>
          <w:tab w:val="left" w:pos="851"/>
        </w:tabs>
        <w:ind w:left="851"/>
        <w:rPr>
          <w:sz w:val="24"/>
          <w:szCs w:val="24"/>
        </w:rPr>
      </w:pPr>
      <w:r w:rsidRPr="001677A2">
        <w:rPr>
          <w:sz w:val="24"/>
          <w:szCs w:val="24"/>
        </w:rPr>
        <w:t>Når lægemidlet er godkendt, er indberetning af formodede bivirkninger vigtig. Det muliggør løbende overvågning af benefit/</w:t>
      </w:r>
      <w:proofErr w:type="spellStart"/>
      <w:r w:rsidRPr="001677A2">
        <w:rPr>
          <w:sz w:val="24"/>
          <w:szCs w:val="24"/>
        </w:rPr>
        <w:t>risk</w:t>
      </w:r>
      <w:proofErr w:type="spellEnd"/>
      <w:r w:rsidRPr="001677A2">
        <w:rPr>
          <w:sz w:val="24"/>
          <w:szCs w:val="24"/>
        </w:rPr>
        <w:t>-forholdet for lægemidlet. Sundhedspersoner anmodes om at indberette alle formodede bivirkninger via:</w:t>
      </w:r>
    </w:p>
    <w:p w:rsidR="00480150" w:rsidRPr="001677A2" w:rsidRDefault="00480150" w:rsidP="00480150">
      <w:pPr>
        <w:tabs>
          <w:tab w:val="left" w:pos="851"/>
          <w:tab w:val="left" w:pos="2440"/>
        </w:tabs>
        <w:ind w:left="851"/>
        <w:rPr>
          <w:sz w:val="24"/>
          <w:szCs w:val="24"/>
        </w:rPr>
      </w:pPr>
    </w:p>
    <w:p w:rsidR="00480150" w:rsidRPr="001677A2" w:rsidRDefault="00480150" w:rsidP="00480150">
      <w:pPr>
        <w:keepNext/>
        <w:tabs>
          <w:tab w:val="left" w:pos="851"/>
        </w:tabs>
        <w:ind w:left="851"/>
        <w:rPr>
          <w:sz w:val="24"/>
          <w:szCs w:val="24"/>
        </w:rPr>
      </w:pPr>
      <w:r w:rsidRPr="001677A2">
        <w:rPr>
          <w:sz w:val="24"/>
          <w:szCs w:val="24"/>
        </w:rPr>
        <w:t>Lægemiddelstyrelsen</w:t>
      </w:r>
    </w:p>
    <w:p w:rsidR="00480150" w:rsidRPr="001677A2" w:rsidRDefault="00480150" w:rsidP="00480150">
      <w:pPr>
        <w:tabs>
          <w:tab w:val="left" w:pos="851"/>
        </w:tabs>
        <w:ind w:left="851"/>
        <w:rPr>
          <w:sz w:val="24"/>
          <w:szCs w:val="24"/>
        </w:rPr>
      </w:pPr>
      <w:r w:rsidRPr="001677A2">
        <w:rPr>
          <w:sz w:val="24"/>
          <w:szCs w:val="24"/>
        </w:rPr>
        <w:t>Axel Heides Gade 1</w:t>
      </w:r>
    </w:p>
    <w:p w:rsidR="00480150" w:rsidRPr="001677A2" w:rsidRDefault="00480150" w:rsidP="00480150">
      <w:pPr>
        <w:tabs>
          <w:tab w:val="left" w:pos="851"/>
        </w:tabs>
        <w:ind w:left="851"/>
        <w:rPr>
          <w:sz w:val="24"/>
          <w:szCs w:val="24"/>
        </w:rPr>
      </w:pPr>
      <w:r w:rsidRPr="001677A2">
        <w:rPr>
          <w:sz w:val="24"/>
          <w:szCs w:val="24"/>
        </w:rPr>
        <w:t>DK-2300 København S</w:t>
      </w:r>
    </w:p>
    <w:p w:rsidR="00480150" w:rsidRPr="001677A2" w:rsidRDefault="00480150" w:rsidP="00480150">
      <w:pPr>
        <w:tabs>
          <w:tab w:val="left" w:pos="851"/>
        </w:tabs>
        <w:ind w:left="851"/>
        <w:rPr>
          <w:sz w:val="24"/>
          <w:szCs w:val="24"/>
        </w:rPr>
      </w:pPr>
      <w:r w:rsidRPr="001677A2">
        <w:rPr>
          <w:sz w:val="24"/>
          <w:szCs w:val="24"/>
        </w:rPr>
        <w:t xml:space="preserve">Websted: </w:t>
      </w:r>
      <w:hyperlink r:id="rId8" w:history="1">
        <w:r w:rsidRPr="001677A2">
          <w:rPr>
            <w:rStyle w:val="Hyperlink"/>
            <w:sz w:val="24"/>
            <w:szCs w:val="24"/>
          </w:rPr>
          <w:t>www.meldenbivirkning.dk</w:t>
        </w:r>
      </w:hyperlink>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4.9</w:t>
      </w:r>
      <w:r w:rsidRPr="001677A2">
        <w:rPr>
          <w:b/>
          <w:sz w:val="24"/>
          <w:szCs w:val="24"/>
        </w:rPr>
        <w:tab/>
        <w:t>Overdosering</w:t>
      </w:r>
    </w:p>
    <w:p w:rsidR="0023606F" w:rsidRPr="001677A2" w:rsidRDefault="0023606F" w:rsidP="0023606F">
      <w:pPr>
        <w:ind w:left="1276" w:hanging="425"/>
        <w:rPr>
          <w:sz w:val="24"/>
          <w:szCs w:val="24"/>
          <w:lang w:eastAsia="da-DK"/>
        </w:rPr>
      </w:pPr>
      <w:r w:rsidRPr="001677A2">
        <w:rPr>
          <w:sz w:val="24"/>
          <w:szCs w:val="24"/>
        </w:rPr>
        <w:t>a)</w:t>
      </w:r>
      <w:r w:rsidRPr="001677A2">
        <w:rPr>
          <w:sz w:val="24"/>
          <w:szCs w:val="24"/>
        </w:rPr>
        <w:tab/>
        <w:t>Symptomer på overdosering</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proofErr w:type="spellStart"/>
      <w:r w:rsidRPr="001677A2">
        <w:rPr>
          <w:sz w:val="24"/>
          <w:szCs w:val="24"/>
        </w:rPr>
        <w:t>Methotrexats</w:t>
      </w:r>
      <w:proofErr w:type="spellEnd"/>
      <w:r w:rsidRPr="001677A2">
        <w:rPr>
          <w:sz w:val="24"/>
          <w:szCs w:val="24"/>
        </w:rPr>
        <w:t xml:space="preserve"> toksicitet påvirker hovedsageligt det </w:t>
      </w:r>
      <w:proofErr w:type="spellStart"/>
      <w:r w:rsidRPr="001677A2">
        <w:rPr>
          <w:sz w:val="24"/>
          <w:szCs w:val="24"/>
        </w:rPr>
        <w:t>hæmatopoietiske</w:t>
      </w:r>
      <w:proofErr w:type="spellEnd"/>
      <w:r w:rsidRPr="001677A2">
        <w:rPr>
          <w:sz w:val="24"/>
          <w:szCs w:val="24"/>
        </w:rPr>
        <w:t xml:space="preserve"> system.</w:t>
      </w:r>
    </w:p>
    <w:p w:rsidR="0023606F" w:rsidRPr="001677A2" w:rsidRDefault="0023606F" w:rsidP="0023606F">
      <w:pPr>
        <w:ind w:left="851" w:hanging="851"/>
        <w:rPr>
          <w:sz w:val="24"/>
          <w:szCs w:val="24"/>
        </w:rPr>
      </w:pPr>
    </w:p>
    <w:p w:rsidR="0023606F" w:rsidRPr="001677A2" w:rsidRDefault="0023606F" w:rsidP="0023606F">
      <w:pPr>
        <w:ind w:left="1276" w:hanging="425"/>
        <w:rPr>
          <w:sz w:val="24"/>
          <w:szCs w:val="24"/>
        </w:rPr>
      </w:pPr>
      <w:r w:rsidRPr="001677A2">
        <w:rPr>
          <w:sz w:val="24"/>
          <w:szCs w:val="24"/>
        </w:rPr>
        <w:t>b)</w:t>
      </w:r>
      <w:r w:rsidRPr="001677A2">
        <w:rPr>
          <w:sz w:val="24"/>
          <w:szCs w:val="24"/>
        </w:rPr>
        <w:tab/>
        <w:t>Behandlingstiltag i tilfælde af overdosering</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proofErr w:type="spellStart"/>
      <w:r w:rsidRPr="001677A2">
        <w:rPr>
          <w:sz w:val="24"/>
          <w:szCs w:val="24"/>
        </w:rPr>
        <w:t>Calciumfolinat</w:t>
      </w:r>
      <w:proofErr w:type="spellEnd"/>
      <w:r w:rsidRPr="001677A2">
        <w:rPr>
          <w:sz w:val="24"/>
          <w:szCs w:val="24"/>
        </w:rPr>
        <w:t xml:space="preserve"> er den specifikke </w:t>
      </w:r>
      <w:proofErr w:type="spellStart"/>
      <w:r w:rsidRPr="001677A2">
        <w:rPr>
          <w:sz w:val="24"/>
          <w:szCs w:val="24"/>
        </w:rPr>
        <w:t>antidot</w:t>
      </w:r>
      <w:proofErr w:type="spellEnd"/>
      <w:r w:rsidRPr="001677A2">
        <w:rPr>
          <w:sz w:val="24"/>
          <w:szCs w:val="24"/>
        </w:rPr>
        <w:t xml:space="preserve"> til neutralisering af </w:t>
      </w:r>
      <w:proofErr w:type="spellStart"/>
      <w:r w:rsidRPr="001677A2">
        <w:rPr>
          <w:sz w:val="24"/>
          <w:szCs w:val="24"/>
        </w:rPr>
        <w:t>methotrexats</w:t>
      </w:r>
      <w:proofErr w:type="spellEnd"/>
      <w:r w:rsidRPr="001677A2">
        <w:rPr>
          <w:sz w:val="24"/>
          <w:szCs w:val="24"/>
        </w:rPr>
        <w:t xml:space="preserve"> toksiske bivirkninger.</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I tilfælde af utilsigtet overdosering bør en dosis </w:t>
      </w:r>
      <w:proofErr w:type="spellStart"/>
      <w:r w:rsidRPr="001677A2">
        <w:rPr>
          <w:sz w:val="24"/>
          <w:szCs w:val="24"/>
        </w:rPr>
        <w:t>calciumfolinat</w:t>
      </w:r>
      <w:proofErr w:type="spellEnd"/>
      <w:r w:rsidRPr="001677A2">
        <w:rPr>
          <w:sz w:val="24"/>
          <w:szCs w:val="24"/>
        </w:rPr>
        <w:t xml:space="preserve"> svarende til eller højere end overdosen af </w:t>
      </w:r>
      <w:proofErr w:type="spellStart"/>
      <w:r w:rsidRPr="001677A2">
        <w:rPr>
          <w:sz w:val="24"/>
          <w:szCs w:val="24"/>
        </w:rPr>
        <w:t>methotrexat</w:t>
      </w:r>
      <w:proofErr w:type="spellEnd"/>
      <w:r w:rsidRPr="001677A2">
        <w:rPr>
          <w:sz w:val="24"/>
          <w:szCs w:val="24"/>
        </w:rPr>
        <w:t xml:space="preserve"> indgives intravenøst eller intramuskulært inden for én time, og denne dosering skal fortsætte, indtil serumniveauerne af </w:t>
      </w:r>
      <w:proofErr w:type="spellStart"/>
      <w:r w:rsidRPr="001677A2">
        <w:rPr>
          <w:sz w:val="24"/>
          <w:szCs w:val="24"/>
        </w:rPr>
        <w:t>methotrexat</w:t>
      </w:r>
      <w:proofErr w:type="spellEnd"/>
      <w:r w:rsidRPr="001677A2">
        <w:rPr>
          <w:sz w:val="24"/>
          <w:szCs w:val="24"/>
        </w:rPr>
        <w:t xml:space="preserve"> er under 10</w:t>
      </w:r>
      <w:r w:rsidRPr="001677A2">
        <w:rPr>
          <w:sz w:val="24"/>
          <w:szCs w:val="24"/>
        </w:rPr>
        <w:noBreakHyphen/>
      </w:r>
      <w:r w:rsidRPr="001677A2">
        <w:rPr>
          <w:sz w:val="24"/>
          <w:szCs w:val="24"/>
          <w:vertAlign w:val="superscript"/>
        </w:rPr>
        <w:t>7</w:t>
      </w:r>
      <w:r w:rsidRPr="001677A2">
        <w:rPr>
          <w:sz w:val="24"/>
          <w:szCs w:val="24"/>
        </w:rPr>
        <w:t> mol/l.</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I tilfælde af massiv overdosering kan hydrering og </w:t>
      </w:r>
      <w:proofErr w:type="spellStart"/>
      <w:r w:rsidRPr="001677A2">
        <w:rPr>
          <w:sz w:val="24"/>
          <w:szCs w:val="24"/>
        </w:rPr>
        <w:t>urinalkalisering</w:t>
      </w:r>
      <w:proofErr w:type="spellEnd"/>
      <w:r w:rsidRPr="001677A2">
        <w:rPr>
          <w:sz w:val="24"/>
          <w:szCs w:val="24"/>
        </w:rPr>
        <w:t xml:space="preserve"> være nødvendig til at forebygge udfældning af </w:t>
      </w:r>
      <w:proofErr w:type="spellStart"/>
      <w:r w:rsidRPr="001677A2">
        <w:rPr>
          <w:sz w:val="24"/>
          <w:szCs w:val="24"/>
        </w:rPr>
        <w:t>methotrexat</w:t>
      </w:r>
      <w:proofErr w:type="spellEnd"/>
      <w:r w:rsidRPr="001677A2">
        <w:rPr>
          <w:sz w:val="24"/>
          <w:szCs w:val="24"/>
        </w:rPr>
        <w:t xml:space="preserve"> og/eller dets metabolitter i de </w:t>
      </w:r>
      <w:proofErr w:type="spellStart"/>
      <w:r w:rsidRPr="001677A2">
        <w:rPr>
          <w:sz w:val="24"/>
          <w:szCs w:val="24"/>
        </w:rPr>
        <w:t>renale</w:t>
      </w:r>
      <w:proofErr w:type="spellEnd"/>
      <w:r w:rsidRPr="001677A2">
        <w:rPr>
          <w:sz w:val="24"/>
          <w:szCs w:val="24"/>
        </w:rPr>
        <w:t xml:space="preserve"> </w:t>
      </w:r>
      <w:proofErr w:type="spellStart"/>
      <w:r w:rsidRPr="001677A2">
        <w:rPr>
          <w:sz w:val="24"/>
          <w:szCs w:val="24"/>
        </w:rPr>
        <w:t>tubuli</w:t>
      </w:r>
      <w:proofErr w:type="spellEnd"/>
      <w:r w:rsidRPr="001677A2">
        <w:rPr>
          <w:sz w:val="24"/>
          <w:szCs w:val="24"/>
        </w:rPr>
        <w:t xml:space="preserve">. Hverken hæmodialyse eller </w:t>
      </w:r>
      <w:proofErr w:type="spellStart"/>
      <w:r w:rsidRPr="001677A2">
        <w:rPr>
          <w:sz w:val="24"/>
          <w:szCs w:val="24"/>
        </w:rPr>
        <w:t>peritoneal</w:t>
      </w:r>
      <w:proofErr w:type="spellEnd"/>
      <w:r w:rsidRPr="001677A2">
        <w:rPr>
          <w:sz w:val="24"/>
          <w:szCs w:val="24"/>
        </w:rPr>
        <w:t xml:space="preserve"> dialyse har kunnet påvises at forbedre </w:t>
      </w:r>
      <w:proofErr w:type="spellStart"/>
      <w:r w:rsidRPr="001677A2">
        <w:rPr>
          <w:sz w:val="24"/>
          <w:szCs w:val="24"/>
        </w:rPr>
        <w:t>methotrexateliminering</w:t>
      </w:r>
      <w:proofErr w:type="spellEnd"/>
      <w:r w:rsidRPr="001677A2">
        <w:rPr>
          <w:sz w:val="24"/>
          <w:szCs w:val="24"/>
        </w:rPr>
        <w:t xml:space="preserve">. Der er rapporteret om effektiv </w:t>
      </w:r>
      <w:proofErr w:type="spellStart"/>
      <w:r w:rsidRPr="001677A2">
        <w:rPr>
          <w:sz w:val="24"/>
          <w:szCs w:val="24"/>
        </w:rPr>
        <w:t>clearance</w:t>
      </w:r>
      <w:proofErr w:type="spellEnd"/>
      <w:r w:rsidRPr="001677A2">
        <w:rPr>
          <w:sz w:val="24"/>
          <w:szCs w:val="24"/>
        </w:rPr>
        <w:t xml:space="preserve"> af </w:t>
      </w:r>
      <w:proofErr w:type="spellStart"/>
      <w:r w:rsidRPr="001677A2">
        <w:rPr>
          <w:sz w:val="24"/>
          <w:szCs w:val="24"/>
        </w:rPr>
        <w:t>methotrexat</w:t>
      </w:r>
      <w:proofErr w:type="spellEnd"/>
      <w:r w:rsidRPr="001677A2">
        <w:rPr>
          <w:sz w:val="24"/>
          <w:szCs w:val="24"/>
        </w:rPr>
        <w:t xml:space="preserve"> med akut periodisk hæmodialyse ved hjælp af en high flux-dialysemaskine.</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4.10</w:t>
      </w:r>
      <w:r w:rsidRPr="001677A2">
        <w:rPr>
          <w:b/>
          <w:sz w:val="24"/>
          <w:szCs w:val="24"/>
        </w:rPr>
        <w:tab/>
        <w:t>Udlevering</w:t>
      </w:r>
    </w:p>
    <w:p w:rsidR="0023606F" w:rsidRPr="001677A2" w:rsidRDefault="0023606F" w:rsidP="0023606F">
      <w:pPr>
        <w:ind w:left="851"/>
        <w:rPr>
          <w:sz w:val="24"/>
          <w:szCs w:val="24"/>
        </w:rPr>
      </w:pPr>
      <w:r w:rsidRPr="001677A2">
        <w:rPr>
          <w:sz w:val="24"/>
          <w:szCs w:val="24"/>
        </w:rPr>
        <w:t>A</w:t>
      </w:r>
    </w:p>
    <w:p w:rsidR="0023606F" w:rsidRPr="001677A2" w:rsidRDefault="0023606F" w:rsidP="0023606F">
      <w:pPr>
        <w:ind w:left="851" w:hanging="851"/>
        <w:rPr>
          <w:sz w:val="24"/>
          <w:szCs w:val="24"/>
        </w:rPr>
      </w:pPr>
    </w:p>
    <w:p w:rsidR="00394BCC" w:rsidRPr="001677A2" w:rsidRDefault="00394BCC"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5.</w:t>
      </w:r>
      <w:r w:rsidRPr="001677A2">
        <w:rPr>
          <w:b/>
          <w:sz w:val="24"/>
          <w:szCs w:val="24"/>
        </w:rPr>
        <w:tab/>
        <w:t>FARMAKOLOGISKE EGENSKABER</w:t>
      </w:r>
    </w:p>
    <w:p w:rsidR="0023606F" w:rsidRPr="001677A2" w:rsidRDefault="0023606F" w:rsidP="004D13FF">
      <w:pPr>
        <w:rPr>
          <w:sz w:val="24"/>
          <w:szCs w:val="24"/>
        </w:rPr>
      </w:pPr>
    </w:p>
    <w:p w:rsidR="004D13FF" w:rsidRPr="001677A2" w:rsidRDefault="0023606F" w:rsidP="004D13FF">
      <w:pPr>
        <w:ind w:left="851" w:hanging="851"/>
        <w:rPr>
          <w:b/>
          <w:sz w:val="24"/>
          <w:szCs w:val="24"/>
        </w:rPr>
      </w:pPr>
      <w:r w:rsidRPr="001677A2">
        <w:rPr>
          <w:b/>
          <w:sz w:val="24"/>
          <w:szCs w:val="24"/>
        </w:rPr>
        <w:t>5.1</w:t>
      </w:r>
      <w:r w:rsidRPr="001677A2">
        <w:rPr>
          <w:b/>
          <w:sz w:val="24"/>
          <w:szCs w:val="24"/>
        </w:rPr>
        <w:tab/>
      </w:r>
      <w:proofErr w:type="spellStart"/>
      <w:r w:rsidRPr="001677A2">
        <w:rPr>
          <w:b/>
          <w:sz w:val="24"/>
          <w:szCs w:val="24"/>
        </w:rPr>
        <w:t>Farmakodynamiske</w:t>
      </w:r>
      <w:proofErr w:type="spellEnd"/>
      <w:r w:rsidRPr="001677A2">
        <w:rPr>
          <w:b/>
          <w:sz w:val="24"/>
          <w:szCs w:val="24"/>
        </w:rPr>
        <w:t xml:space="preserve"> egenskaber</w:t>
      </w:r>
    </w:p>
    <w:p w:rsidR="004D13FF" w:rsidRPr="001677A2" w:rsidRDefault="004D13FF" w:rsidP="004D13FF">
      <w:pPr>
        <w:ind w:left="851" w:hanging="851"/>
        <w:rPr>
          <w:sz w:val="24"/>
          <w:szCs w:val="24"/>
        </w:rPr>
      </w:pPr>
      <w:r w:rsidRPr="001677A2">
        <w:rPr>
          <w:b/>
          <w:sz w:val="24"/>
          <w:szCs w:val="24"/>
        </w:rPr>
        <w:tab/>
      </w:r>
      <w:proofErr w:type="spellStart"/>
      <w:r w:rsidRPr="001677A2">
        <w:rPr>
          <w:sz w:val="24"/>
          <w:szCs w:val="24"/>
        </w:rPr>
        <w:t>Farmakoterapeutisk</w:t>
      </w:r>
      <w:proofErr w:type="spellEnd"/>
      <w:r w:rsidRPr="001677A2">
        <w:rPr>
          <w:sz w:val="24"/>
          <w:szCs w:val="24"/>
        </w:rPr>
        <w:t xml:space="preserve"> klassifikation: Andre </w:t>
      </w:r>
      <w:proofErr w:type="spellStart"/>
      <w:r w:rsidRPr="001677A2">
        <w:rPr>
          <w:sz w:val="24"/>
          <w:szCs w:val="24"/>
        </w:rPr>
        <w:t>immunosuppressiva</w:t>
      </w:r>
      <w:proofErr w:type="spellEnd"/>
      <w:r w:rsidRPr="001677A2">
        <w:rPr>
          <w:sz w:val="24"/>
          <w:szCs w:val="24"/>
        </w:rPr>
        <w:t>. ATC-kode: L04AX03.</w:t>
      </w:r>
    </w:p>
    <w:p w:rsidR="004D13FF" w:rsidRPr="001677A2" w:rsidRDefault="004D13FF" w:rsidP="004D13FF">
      <w:pPr>
        <w:ind w:left="851" w:hanging="851"/>
        <w:rPr>
          <w:b/>
          <w:sz w:val="24"/>
          <w:szCs w:val="24"/>
        </w:rPr>
      </w:pPr>
    </w:p>
    <w:p w:rsidR="0023606F" w:rsidRPr="001677A2" w:rsidRDefault="0023606F" w:rsidP="0023606F">
      <w:pPr>
        <w:autoSpaceDE w:val="0"/>
        <w:autoSpaceDN w:val="0"/>
        <w:adjustRightInd w:val="0"/>
        <w:ind w:left="851"/>
        <w:rPr>
          <w:sz w:val="24"/>
          <w:szCs w:val="24"/>
          <w:lang w:eastAsia="da-DK"/>
        </w:rPr>
      </w:pPr>
      <w:r w:rsidRPr="001677A2">
        <w:rPr>
          <w:sz w:val="24"/>
          <w:szCs w:val="24"/>
        </w:rPr>
        <w:t xml:space="preserve">Antireumatisk lægemiddel til behandling af kroniske, inflammatoriske reumatiske sygdomme og </w:t>
      </w:r>
      <w:proofErr w:type="spellStart"/>
      <w:r w:rsidRPr="001677A2">
        <w:rPr>
          <w:sz w:val="24"/>
          <w:szCs w:val="24"/>
        </w:rPr>
        <w:t>polyartritiske</w:t>
      </w:r>
      <w:proofErr w:type="spellEnd"/>
      <w:r w:rsidRPr="001677A2">
        <w:rPr>
          <w:sz w:val="24"/>
          <w:szCs w:val="24"/>
        </w:rPr>
        <w:t xml:space="preserve"> former for juvenil idiopatisk artritis. Immunmodulerende og antiinflammatorisk middel til behandling af </w:t>
      </w:r>
      <w:proofErr w:type="spellStart"/>
      <w:r w:rsidRPr="001677A2">
        <w:rPr>
          <w:sz w:val="24"/>
          <w:szCs w:val="24"/>
        </w:rPr>
        <w:t>Crohns</w:t>
      </w:r>
      <w:proofErr w:type="spellEnd"/>
      <w:r w:rsidRPr="001677A2">
        <w:rPr>
          <w:sz w:val="24"/>
          <w:szCs w:val="24"/>
        </w:rPr>
        <w:t xml:space="preserve"> sygdom.</w:t>
      </w:r>
    </w:p>
    <w:p w:rsidR="0023606F" w:rsidRPr="001677A2" w:rsidRDefault="0023606F" w:rsidP="0023606F">
      <w:pPr>
        <w:ind w:left="851"/>
        <w:rPr>
          <w:sz w:val="24"/>
          <w:szCs w:val="24"/>
        </w:rPr>
      </w:pPr>
    </w:p>
    <w:p w:rsidR="0023606F" w:rsidRPr="001677A2" w:rsidRDefault="0023606F" w:rsidP="002E5F1B">
      <w:pPr>
        <w:keepNext/>
        <w:ind w:left="851"/>
        <w:rPr>
          <w:sz w:val="24"/>
          <w:szCs w:val="24"/>
          <w:u w:val="single"/>
        </w:rPr>
      </w:pPr>
      <w:r w:rsidRPr="001677A2">
        <w:rPr>
          <w:sz w:val="24"/>
          <w:szCs w:val="24"/>
          <w:u w:val="single"/>
        </w:rPr>
        <w:t>Virkningsmekanisme</w:t>
      </w:r>
    </w:p>
    <w:p w:rsidR="0023606F" w:rsidRPr="001677A2" w:rsidRDefault="0023606F" w:rsidP="002E5F1B">
      <w:pPr>
        <w:keepNext/>
        <w:ind w:left="851"/>
        <w:rPr>
          <w:sz w:val="24"/>
          <w:szCs w:val="24"/>
        </w:rPr>
      </w:pPr>
    </w:p>
    <w:p w:rsidR="0023606F" w:rsidRPr="001677A2" w:rsidRDefault="0023606F" w:rsidP="0023606F">
      <w:pPr>
        <w:ind w:left="851"/>
        <w:rPr>
          <w:sz w:val="24"/>
          <w:szCs w:val="24"/>
        </w:rPr>
      </w:pPr>
      <w:proofErr w:type="spellStart"/>
      <w:r w:rsidRPr="001677A2">
        <w:rPr>
          <w:sz w:val="24"/>
          <w:szCs w:val="24"/>
        </w:rPr>
        <w:t>Methotrexat</w:t>
      </w:r>
      <w:proofErr w:type="spellEnd"/>
      <w:r w:rsidRPr="001677A2">
        <w:rPr>
          <w:sz w:val="24"/>
          <w:szCs w:val="24"/>
        </w:rPr>
        <w:t xml:space="preserve"> er en </w:t>
      </w:r>
      <w:proofErr w:type="spellStart"/>
      <w:r w:rsidRPr="001677A2">
        <w:rPr>
          <w:sz w:val="24"/>
          <w:szCs w:val="24"/>
        </w:rPr>
        <w:t>folsyreantagonist</w:t>
      </w:r>
      <w:proofErr w:type="spellEnd"/>
      <w:r w:rsidRPr="001677A2">
        <w:rPr>
          <w:sz w:val="24"/>
          <w:szCs w:val="24"/>
        </w:rPr>
        <w:t xml:space="preserve">, der hører til den gruppe af </w:t>
      </w:r>
      <w:proofErr w:type="spellStart"/>
      <w:r w:rsidRPr="001677A2">
        <w:rPr>
          <w:sz w:val="24"/>
          <w:szCs w:val="24"/>
        </w:rPr>
        <w:t>cytotoksiske</w:t>
      </w:r>
      <w:proofErr w:type="spellEnd"/>
      <w:r w:rsidRPr="001677A2">
        <w:rPr>
          <w:sz w:val="24"/>
          <w:szCs w:val="24"/>
        </w:rPr>
        <w:t xml:space="preserve"> stoffer, der er kendt som antimetabolitter. Det virker ved </w:t>
      </w:r>
      <w:proofErr w:type="spellStart"/>
      <w:r w:rsidRPr="001677A2">
        <w:rPr>
          <w:sz w:val="24"/>
          <w:szCs w:val="24"/>
        </w:rPr>
        <w:t>kompetitiv</w:t>
      </w:r>
      <w:proofErr w:type="spellEnd"/>
      <w:r w:rsidRPr="001677A2">
        <w:rPr>
          <w:sz w:val="24"/>
          <w:szCs w:val="24"/>
        </w:rPr>
        <w:t xml:space="preserve"> hæmning af enzymet </w:t>
      </w:r>
      <w:proofErr w:type="spellStart"/>
      <w:r w:rsidRPr="001677A2">
        <w:rPr>
          <w:sz w:val="24"/>
          <w:szCs w:val="24"/>
        </w:rPr>
        <w:t>dihydrofolat-reduktase</w:t>
      </w:r>
      <w:proofErr w:type="spellEnd"/>
      <w:r w:rsidRPr="001677A2">
        <w:rPr>
          <w:sz w:val="24"/>
          <w:szCs w:val="24"/>
        </w:rPr>
        <w:t xml:space="preserve"> og hæmmer derigennem dna-syntesen. Det er endnu ikke klarlagt, om </w:t>
      </w:r>
      <w:proofErr w:type="spellStart"/>
      <w:r w:rsidRPr="001677A2">
        <w:rPr>
          <w:sz w:val="24"/>
          <w:szCs w:val="24"/>
        </w:rPr>
        <w:t>methotrexats</w:t>
      </w:r>
      <w:proofErr w:type="spellEnd"/>
      <w:r w:rsidRPr="001677A2">
        <w:rPr>
          <w:sz w:val="24"/>
          <w:szCs w:val="24"/>
        </w:rPr>
        <w:t xml:space="preserve"> virkning ved behandling af psoriasis, psoriasisartritis, kronisk polyartritis og </w:t>
      </w:r>
      <w:proofErr w:type="spellStart"/>
      <w:r w:rsidRPr="001677A2">
        <w:rPr>
          <w:sz w:val="24"/>
          <w:szCs w:val="24"/>
        </w:rPr>
        <w:t>Crohns</w:t>
      </w:r>
      <w:proofErr w:type="spellEnd"/>
      <w:r w:rsidRPr="001677A2">
        <w:rPr>
          <w:sz w:val="24"/>
          <w:szCs w:val="24"/>
        </w:rPr>
        <w:t xml:space="preserve"> sygdom skyldes en antiinflammatorisk eller en immunsupprimerende virkning, og i hvilken grad en </w:t>
      </w:r>
      <w:proofErr w:type="spellStart"/>
      <w:r w:rsidRPr="001677A2">
        <w:rPr>
          <w:sz w:val="24"/>
          <w:szCs w:val="24"/>
        </w:rPr>
        <w:t>methotrexat</w:t>
      </w:r>
      <w:proofErr w:type="spellEnd"/>
      <w:r w:rsidRPr="001677A2">
        <w:rPr>
          <w:sz w:val="24"/>
          <w:szCs w:val="24"/>
        </w:rPr>
        <w:t xml:space="preserve">-induceret stigning i den ekstracellulære </w:t>
      </w:r>
      <w:proofErr w:type="spellStart"/>
      <w:r w:rsidRPr="001677A2">
        <w:rPr>
          <w:sz w:val="24"/>
          <w:szCs w:val="24"/>
        </w:rPr>
        <w:t>adenosinkoncentration</w:t>
      </w:r>
      <w:proofErr w:type="spellEnd"/>
      <w:r w:rsidRPr="001677A2">
        <w:rPr>
          <w:sz w:val="24"/>
          <w:szCs w:val="24"/>
        </w:rPr>
        <w:t xml:space="preserve"> ved inflammerede </w:t>
      </w:r>
      <w:proofErr w:type="spellStart"/>
      <w:r w:rsidRPr="001677A2">
        <w:rPr>
          <w:sz w:val="24"/>
          <w:szCs w:val="24"/>
        </w:rPr>
        <w:t>foci</w:t>
      </w:r>
      <w:proofErr w:type="spellEnd"/>
      <w:r w:rsidRPr="001677A2">
        <w:rPr>
          <w:sz w:val="24"/>
          <w:szCs w:val="24"/>
        </w:rPr>
        <w:t xml:space="preserve"> bidrager til disse virkninger.</w:t>
      </w:r>
    </w:p>
    <w:p w:rsidR="0023606F" w:rsidRPr="001677A2" w:rsidRDefault="0023606F" w:rsidP="0023606F">
      <w:pPr>
        <w:ind w:left="851"/>
        <w:rPr>
          <w:sz w:val="24"/>
          <w:szCs w:val="24"/>
        </w:rPr>
      </w:pPr>
    </w:p>
    <w:p w:rsidR="0023606F" w:rsidRPr="001677A2" w:rsidRDefault="0023606F" w:rsidP="0023606F">
      <w:pPr>
        <w:ind w:left="851"/>
        <w:rPr>
          <w:sz w:val="24"/>
          <w:szCs w:val="24"/>
        </w:rPr>
      </w:pPr>
      <w:r w:rsidRPr="001677A2">
        <w:rPr>
          <w:sz w:val="24"/>
          <w:szCs w:val="24"/>
        </w:rPr>
        <w:t xml:space="preserve">Internationale kliniske retningslinjer reflekterer brugen af </w:t>
      </w:r>
      <w:proofErr w:type="spellStart"/>
      <w:r w:rsidRPr="001677A2">
        <w:rPr>
          <w:sz w:val="24"/>
          <w:szCs w:val="24"/>
        </w:rPr>
        <w:t>methotrexat</w:t>
      </w:r>
      <w:proofErr w:type="spellEnd"/>
      <w:r w:rsidRPr="001677A2">
        <w:rPr>
          <w:sz w:val="24"/>
          <w:szCs w:val="24"/>
        </w:rPr>
        <w:t xml:space="preserve"> som et andet valg til patienter med </w:t>
      </w:r>
      <w:proofErr w:type="spellStart"/>
      <w:r w:rsidRPr="001677A2">
        <w:rPr>
          <w:sz w:val="24"/>
          <w:szCs w:val="24"/>
        </w:rPr>
        <w:t>Crohns</w:t>
      </w:r>
      <w:proofErr w:type="spellEnd"/>
      <w:r w:rsidRPr="001677A2">
        <w:rPr>
          <w:sz w:val="24"/>
          <w:szCs w:val="24"/>
        </w:rPr>
        <w:t xml:space="preserve"> sygdom, som er intolerante eller ikke har responderet på førstelinje-immunmodulerende midler som </w:t>
      </w:r>
      <w:proofErr w:type="spellStart"/>
      <w:r w:rsidRPr="001677A2">
        <w:rPr>
          <w:sz w:val="24"/>
          <w:szCs w:val="24"/>
        </w:rPr>
        <w:t>azathioprin</w:t>
      </w:r>
      <w:proofErr w:type="spellEnd"/>
      <w:r w:rsidRPr="001677A2">
        <w:rPr>
          <w:sz w:val="24"/>
          <w:szCs w:val="24"/>
        </w:rPr>
        <w:t xml:space="preserve"> (AZA) eller 6-mercaptopurin (6-MP).</w:t>
      </w:r>
    </w:p>
    <w:p w:rsidR="0023606F" w:rsidRPr="001677A2" w:rsidRDefault="0023606F" w:rsidP="0023606F">
      <w:pPr>
        <w:ind w:left="851"/>
        <w:rPr>
          <w:sz w:val="24"/>
          <w:szCs w:val="24"/>
        </w:rPr>
      </w:pPr>
    </w:p>
    <w:p w:rsidR="0023606F" w:rsidRPr="001677A2" w:rsidRDefault="0023606F" w:rsidP="0023606F">
      <w:pPr>
        <w:ind w:left="851"/>
        <w:rPr>
          <w:sz w:val="24"/>
          <w:szCs w:val="24"/>
        </w:rPr>
      </w:pPr>
      <w:r w:rsidRPr="001677A2">
        <w:rPr>
          <w:sz w:val="24"/>
          <w:szCs w:val="24"/>
        </w:rPr>
        <w:t xml:space="preserve">De uønskede bivirkninger, der blev observeret i studierne udført med </w:t>
      </w:r>
      <w:proofErr w:type="spellStart"/>
      <w:r w:rsidRPr="001677A2">
        <w:rPr>
          <w:sz w:val="24"/>
          <w:szCs w:val="24"/>
        </w:rPr>
        <w:t>methotrexat</w:t>
      </w:r>
      <w:proofErr w:type="spellEnd"/>
      <w:r w:rsidRPr="001677A2">
        <w:rPr>
          <w:sz w:val="24"/>
          <w:szCs w:val="24"/>
        </w:rPr>
        <w:t xml:space="preserve"> for </w:t>
      </w:r>
      <w:proofErr w:type="spellStart"/>
      <w:r w:rsidRPr="001677A2">
        <w:rPr>
          <w:sz w:val="24"/>
          <w:szCs w:val="24"/>
        </w:rPr>
        <w:t>Crohns</w:t>
      </w:r>
      <w:proofErr w:type="spellEnd"/>
      <w:r w:rsidRPr="001677A2">
        <w:rPr>
          <w:sz w:val="24"/>
          <w:szCs w:val="24"/>
        </w:rPr>
        <w:t xml:space="preserve"> sygdom ved kumulative doser har ikke påvist en anden sikkerhedsprofil for </w:t>
      </w:r>
      <w:proofErr w:type="spellStart"/>
      <w:r w:rsidRPr="001677A2">
        <w:rPr>
          <w:sz w:val="24"/>
          <w:szCs w:val="24"/>
        </w:rPr>
        <w:t>methotrexat</w:t>
      </w:r>
      <w:proofErr w:type="spellEnd"/>
      <w:r w:rsidRPr="001677A2">
        <w:rPr>
          <w:sz w:val="24"/>
          <w:szCs w:val="24"/>
        </w:rPr>
        <w:t xml:space="preserve"> end den allerede kendte sikkerhedsprofil. Der skal derfor træffes lignende </w:t>
      </w:r>
      <w:proofErr w:type="spellStart"/>
      <w:r w:rsidRPr="001677A2">
        <w:rPr>
          <w:sz w:val="24"/>
          <w:szCs w:val="24"/>
        </w:rPr>
        <w:t>sikkerhedhedsforanstaltninger</w:t>
      </w:r>
      <w:proofErr w:type="spellEnd"/>
      <w:r w:rsidRPr="001677A2">
        <w:rPr>
          <w:sz w:val="24"/>
          <w:szCs w:val="24"/>
        </w:rPr>
        <w:t xml:space="preserve"> med brugen af </w:t>
      </w:r>
      <w:proofErr w:type="spellStart"/>
      <w:r w:rsidRPr="001677A2">
        <w:rPr>
          <w:sz w:val="24"/>
          <w:szCs w:val="24"/>
        </w:rPr>
        <w:t>methotrexat</w:t>
      </w:r>
      <w:proofErr w:type="spellEnd"/>
      <w:r w:rsidRPr="001677A2">
        <w:rPr>
          <w:sz w:val="24"/>
          <w:szCs w:val="24"/>
        </w:rPr>
        <w:t xml:space="preserve"> i behandlingen af </w:t>
      </w:r>
      <w:proofErr w:type="spellStart"/>
      <w:r w:rsidRPr="001677A2">
        <w:rPr>
          <w:sz w:val="24"/>
          <w:szCs w:val="24"/>
        </w:rPr>
        <w:t>Crohns</w:t>
      </w:r>
      <w:proofErr w:type="spellEnd"/>
      <w:r w:rsidRPr="001677A2">
        <w:rPr>
          <w:sz w:val="24"/>
          <w:szCs w:val="24"/>
        </w:rPr>
        <w:t xml:space="preserve"> sygdom som for andre reumatiske eller ikke reumatiske indikationer for </w:t>
      </w:r>
      <w:proofErr w:type="spellStart"/>
      <w:r w:rsidRPr="001677A2">
        <w:rPr>
          <w:sz w:val="24"/>
          <w:szCs w:val="24"/>
        </w:rPr>
        <w:t>methotrexat</w:t>
      </w:r>
      <w:proofErr w:type="spellEnd"/>
      <w:r w:rsidRPr="001677A2">
        <w:rPr>
          <w:sz w:val="24"/>
          <w:szCs w:val="24"/>
        </w:rPr>
        <w:t xml:space="preserve"> (se pkt. 4.4 og 4.6).</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5.2</w:t>
      </w:r>
      <w:r w:rsidRPr="001677A2">
        <w:rPr>
          <w:b/>
          <w:sz w:val="24"/>
          <w:szCs w:val="24"/>
        </w:rPr>
        <w:tab/>
      </w:r>
      <w:proofErr w:type="spellStart"/>
      <w:r w:rsidRPr="001677A2">
        <w:rPr>
          <w:b/>
          <w:sz w:val="24"/>
          <w:szCs w:val="24"/>
        </w:rPr>
        <w:t>Farmakokinetiske</w:t>
      </w:r>
      <w:proofErr w:type="spellEnd"/>
      <w:r w:rsidRPr="001677A2">
        <w:rPr>
          <w:b/>
          <w:sz w:val="24"/>
          <w:szCs w:val="24"/>
        </w:rPr>
        <w:t xml:space="preserve"> egenskaber</w:t>
      </w:r>
    </w:p>
    <w:p w:rsidR="0023606F" w:rsidRPr="001677A2" w:rsidRDefault="0023606F" w:rsidP="0023606F">
      <w:pPr>
        <w:ind w:left="851"/>
        <w:rPr>
          <w:noProof/>
          <w:sz w:val="24"/>
          <w:szCs w:val="24"/>
          <w:u w:val="single"/>
        </w:rPr>
      </w:pPr>
    </w:p>
    <w:p w:rsidR="0023606F" w:rsidRPr="001677A2" w:rsidRDefault="0023606F" w:rsidP="0023606F">
      <w:pPr>
        <w:ind w:left="851"/>
        <w:rPr>
          <w:sz w:val="24"/>
          <w:szCs w:val="24"/>
          <w:lang w:eastAsia="da-DK"/>
        </w:rPr>
      </w:pPr>
      <w:r w:rsidRPr="001677A2">
        <w:rPr>
          <w:noProof/>
          <w:sz w:val="24"/>
          <w:szCs w:val="24"/>
          <w:u w:val="single"/>
        </w:rPr>
        <w:t>Absorption</w:t>
      </w:r>
      <w:r w:rsidRPr="001677A2">
        <w:rPr>
          <w:sz w:val="24"/>
          <w:szCs w:val="24"/>
        </w:rPr>
        <w:t xml:space="preserve"> </w:t>
      </w:r>
    </w:p>
    <w:p w:rsidR="0023606F" w:rsidRPr="001677A2" w:rsidRDefault="0023606F" w:rsidP="0023606F">
      <w:pPr>
        <w:ind w:left="851"/>
        <w:rPr>
          <w:sz w:val="24"/>
          <w:szCs w:val="24"/>
        </w:rPr>
      </w:pPr>
      <w:r w:rsidRPr="001677A2">
        <w:rPr>
          <w:sz w:val="24"/>
          <w:szCs w:val="24"/>
        </w:rPr>
        <w:t xml:space="preserve">Efter oral indgift absorberes </w:t>
      </w:r>
      <w:proofErr w:type="spellStart"/>
      <w:r w:rsidRPr="001677A2">
        <w:rPr>
          <w:sz w:val="24"/>
          <w:szCs w:val="24"/>
        </w:rPr>
        <w:t>methotrexat</w:t>
      </w:r>
      <w:proofErr w:type="spellEnd"/>
      <w:r w:rsidRPr="001677A2">
        <w:rPr>
          <w:sz w:val="24"/>
          <w:szCs w:val="24"/>
        </w:rPr>
        <w:t xml:space="preserve"> fra mave-tarm-kanalen. I tilfælde af lavdosisindgift (doseringer mellem 7,5 mg/m² og 80 mg/m² legemsoverflade) er den gennemsnitlige biotilgængelighed cirka 70 %, men der kan være betydelige </w:t>
      </w:r>
      <w:proofErr w:type="spellStart"/>
      <w:r w:rsidRPr="001677A2">
        <w:rPr>
          <w:sz w:val="24"/>
          <w:szCs w:val="24"/>
        </w:rPr>
        <w:lastRenderedPageBreak/>
        <w:t>interindividuelle</w:t>
      </w:r>
      <w:proofErr w:type="spellEnd"/>
      <w:r w:rsidRPr="001677A2">
        <w:rPr>
          <w:sz w:val="24"/>
          <w:szCs w:val="24"/>
        </w:rPr>
        <w:t xml:space="preserve"> og intraindividuelle afvigelser (25-100 %). Maksimale serumkoncentrationer nås efter 1-2 timer. Biotilgængeligheden efter subkutan, intravenøs og intramuskulær injektion er sammenlignelig og tæt på 100 %.</w:t>
      </w:r>
    </w:p>
    <w:p w:rsidR="0023606F" w:rsidRPr="001677A2" w:rsidRDefault="0023606F" w:rsidP="0023606F">
      <w:pPr>
        <w:ind w:left="851"/>
        <w:rPr>
          <w:sz w:val="24"/>
          <w:szCs w:val="24"/>
        </w:rPr>
      </w:pPr>
    </w:p>
    <w:p w:rsidR="0023606F" w:rsidRPr="001677A2" w:rsidRDefault="0023606F" w:rsidP="0023606F">
      <w:pPr>
        <w:ind w:left="851"/>
        <w:rPr>
          <w:sz w:val="24"/>
          <w:szCs w:val="24"/>
          <w:u w:val="single"/>
        </w:rPr>
      </w:pPr>
      <w:r w:rsidRPr="001677A2">
        <w:rPr>
          <w:noProof/>
          <w:sz w:val="24"/>
          <w:szCs w:val="24"/>
          <w:u w:val="single"/>
        </w:rPr>
        <w:t>Fordeling</w:t>
      </w:r>
    </w:p>
    <w:p w:rsidR="0023606F" w:rsidRPr="001677A2" w:rsidRDefault="0023606F" w:rsidP="0023606F">
      <w:pPr>
        <w:ind w:left="851"/>
        <w:rPr>
          <w:sz w:val="24"/>
          <w:szCs w:val="24"/>
        </w:rPr>
      </w:pPr>
      <w:r w:rsidRPr="001677A2">
        <w:rPr>
          <w:sz w:val="24"/>
          <w:szCs w:val="24"/>
        </w:rPr>
        <w:t xml:space="preserve">Cirka 50 % af </w:t>
      </w:r>
      <w:proofErr w:type="spellStart"/>
      <w:r w:rsidRPr="001677A2">
        <w:rPr>
          <w:sz w:val="24"/>
          <w:szCs w:val="24"/>
        </w:rPr>
        <w:t>methotrexat</w:t>
      </w:r>
      <w:proofErr w:type="spellEnd"/>
      <w:r w:rsidRPr="001677A2">
        <w:rPr>
          <w:sz w:val="24"/>
          <w:szCs w:val="24"/>
        </w:rPr>
        <w:t xml:space="preserve"> er bundet til serumproteiner. Når </w:t>
      </w:r>
      <w:proofErr w:type="spellStart"/>
      <w:r w:rsidRPr="001677A2">
        <w:rPr>
          <w:sz w:val="24"/>
          <w:szCs w:val="24"/>
        </w:rPr>
        <w:t>methotrexat</w:t>
      </w:r>
      <w:proofErr w:type="spellEnd"/>
      <w:r w:rsidRPr="001677A2">
        <w:rPr>
          <w:sz w:val="24"/>
          <w:szCs w:val="24"/>
        </w:rPr>
        <w:t xml:space="preserve"> fordeles til kropsvævet, ses der høje koncentrationer i form af polyglutamater i leveren, nyrerne og milten især, som kan vare ved i uger eller måneder. Når </w:t>
      </w:r>
      <w:proofErr w:type="spellStart"/>
      <w:r w:rsidRPr="001677A2">
        <w:rPr>
          <w:sz w:val="24"/>
          <w:szCs w:val="24"/>
        </w:rPr>
        <w:t>methotrexat</w:t>
      </w:r>
      <w:proofErr w:type="spellEnd"/>
      <w:r w:rsidRPr="001677A2">
        <w:rPr>
          <w:sz w:val="24"/>
          <w:szCs w:val="24"/>
        </w:rPr>
        <w:t xml:space="preserve"> indgives i små doser, passerer stoffet over i kropsvæsken i meget små mængder. </w:t>
      </w:r>
    </w:p>
    <w:p w:rsidR="0023606F" w:rsidRPr="001677A2" w:rsidRDefault="0023606F" w:rsidP="0023606F">
      <w:pPr>
        <w:ind w:left="851"/>
        <w:rPr>
          <w:sz w:val="24"/>
          <w:szCs w:val="24"/>
          <w:u w:val="single"/>
        </w:rPr>
      </w:pPr>
    </w:p>
    <w:p w:rsidR="0023606F" w:rsidRPr="001677A2" w:rsidRDefault="0023606F" w:rsidP="0023606F">
      <w:pPr>
        <w:ind w:left="851"/>
        <w:rPr>
          <w:sz w:val="24"/>
          <w:szCs w:val="24"/>
          <w:u w:val="single"/>
        </w:rPr>
      </w:pPr>
      <w:r w:rsidRPr="001677A2">
        <w:rPr>
          <w:sz w:val="24"/>
          <w:szCs w:val="24"/>
          <w:u w:val="single"/>
        </w:rPr>
        <w:t>Biotransformation</w:t>
      </w:r>
    </w:p>
    <w:p w:rsidR="0023606F" w:rsidRPr="001677A2" w:rsidRDefault="0023606F" w:rsidP="0023606F">
      <w:pPr>
        <w:ind w:left="851"/>
        <w:rPr>
          <w:sz w:val="24"/>
          <w:szCs w:val="24"/>
        </w:rPr>
      </w:pPr>
      <w:r w:rsidRPr="001677A2">
        <w:rPr>
          <w:sz w:val="24"/>
          <w:szCs w:val="24"/>
        </w:rPr>
        <w:t xml:space="preserve">Cirka 10 % af den indgivne </w:t>
      </w:r>
      <w:proofErr w:type="spellStart"/>
      <w:r w:rsidRPr="001677A2">
        <w:rPr>
          <w:sz w:val="24"/>
          <w:szCs w:val="24"/>
        </w:rPr>
        <w:t>metotrexatdose</w:t>
      </w:r>
      <w:proofErr w:type="spellEnd"/>
      <w:r w:rsidRPr="001677A2">
        <w:rPr>
          <w:sz w:val="24"/>
          <w:szCs w:val="24"/>
        </w:rPr>
        <w:t xml:space="preserve"> </w:t>
      </w:r>
      <w:proofErr w:type="spellStart"/>
      <w:r w:rsidRPr="001677A2">
        <w:rPr>
          <w:sz w:val="24"/>
          <w:szCs w:val="24"/>
        </w:rPr>
        <w:t>metaboliseres</w:t>
      </w:r>
      <w:proofErr w:type="spellEnd"/>
      <w:r w:rsidRPr="001677A2">
        <w:rPr>
          <w:sz w:val="24"/>
          <w:szCs w:val="24"/>
        </w:rPr>
        <w:t xml:space="preserve"> </w:t>
      </w:r>
      <w:proofErr w:type="spellStart"/>
      <w:r w:rsidRPr="001677A2">
        <w:rPr>
          <w:sz w:val="24"/>
          <w:szCs w:val="24"/>
        </w:rPr>
        <w:t>intrahepatisk</w:t>
      </w:r>
      <w:proofErr w:type="spellEnd"/>
      <w:r w:rsidRPr="001677A2">
        <w:rPr>
          <w:sz w:val="24"/>
          <w:szCs w:val="24"/>
        </w:rPr>
        <w:t>. Den primære metabolit er 7-hydroxymethotrexat.</w:t>
      </w:r>
    </w:p>
    <w:p w:rsidR="0023606F" w:rsidRPr="001677A2" w:rsidRDefault="0023606F" w:rsidP="0023606F">
      <w:pPr>
        <w:ind w:left="851"/>
        <w:rPr>
          <w:sz w:val="24"/>
          <w:szCs w:val="24"/>
        </w:rPr>
      </w:pPr>
    </w:p>
    <w:p w:rsidR="0023606F" w:rsidRPr="001677A2" w:rsidRDefault="0023606F" w:rsidP="0023606F">
      <w:pPr>
        <w:ind w:left="851"/>
        <w:rPr>
          <w:sz w:val="24"/>
          <w:szCs w:val="24"/>
          <w:u w:val="single"/>
        </w:rPr>
      </w:pPr>
      <w:r w:rsidRPr="001677A2">
        <w:rPr>
          <w:sz w:val="24"/>
          <w:szCs w:val="24"/>
          <w:u w:val="single"/>
        </w:rPr>
        <w:t>Elimination</w:t>
      </w:r>
    </w:p>
    <w:p w:rsidR="0023606F" w:rsidRPr="001677A2" w:rsidRDefault="0023606F" w:rsidP="0023606F">
      <w:pPr>
        <w:ind w:left="851"/>
        <w:rPr>
          <w:sz w:val="24"/>
          <w:szCs w:val="24"/>
        </w:rPr>
      </w:pPr>
      <w:r w:rsidRPr="001677A2">
        <w:rPr>
          <w:sz w:val="24"/>
          <w:szCs w:val="24"/>
        </w:rPr>
        <w:t xml:space="preserve">Udskillelse sker hovedsageligt som </w:t>
      </w:r>
      <w:proofErr w:type="spellStart"/>
      <w:r w:rsidRPr="001677A2">
        <w:rPr>
          <w:sz w:val="24"/>
          <w:szCs w:val="24"/>
        </w:rPr>
        <w:t>uomdannet</w:t>
      </w:r>
      <w:proofErr w:type="spellEnd"/>
      <w:r w:rsidRPr="001677A2">
        <w:rPr>
          <w:sz w:val="24"/>
          <w:szCs w:val="24"/>
        </w:rPr>
        <w:t xml:space="preserve"> stof og primært </w:t>
      </w:r>
      <w:proofErr w:type="spellStart"/>
      <w:r w:rsidRPr="001677A2">
        <w:rPr>
          <w:sz w:val="24"/>
          <w:szCs w:val="24"/>
        </w:rPr>
        <w:t>renalt</w:t>
      </w:r>
      <w:proofErr w:type="spellEnd"/>
      <w:r w:rsidRPr="001677A2">
        <w:rPr>
          <w:sz w:val="24"/>
          <w:szCs w:val="24"/>
        </w:rPr>
        <w:t xml:space="preserve"> via </w:t>
      </w:r>
      <w:proofErr w:type="spellStart"/>
      <w:r w:rsidRPr="001677A2">
        <w:rPr>
          <w:sz w:val="24"/>
          <w:szCs w:val="24"/>
        </w:rPr>
        <w:t>glomerulær</w:t>
      </w:r>
      <w:proofErr w:type="spellEnd"/>
      <w:r w:rsidRPr="001677A2">
        <w:rPr>
          <w:sz w:val="24"/>
          <w:szCs w:val="24"/>
        </w:rPr>
        <w:t xml:space="preserve"> filtration og aktiv udskillelse i den proksimale </w:t>
      </w:r>
      <w:proofErr w:type="spellStart"/>
      <w:r w:rsidRPr="001677A2">
        <w:rPr>
          <w:sz w:val="24"/>
          <w:szCs w:val="24"/>
        </w:rPr>
        <w:t>tubulus</w:t>
      </w:r>
      <w:proofErr w:type="spellEnd"/>
      <w:r w:rsidRPr="001677A2">
        <w:rPr>
          <w:sz w:val="24"/>
          <w:szCs w:val="24"/>
        </w:rPr>
        <w:t>.</w:t>
      </w:r>
    </w:p>
    <w:p w:rsidR="0023606F" w:rsidRPr="001677A2" w:rsidRDefault="0023606F" w:rsidP="0023606F">
      <w:pPr>
        <w:ind w:left="851"/>
        <w:rPr>
          <w:b/>
          <w:sz w:val="24"/>
          <w:szCs w:val="24"/>
        </w:rPr>
      </w:pPr>
      <w:r w:rsidRPr="001677A2">
        <w:rPr>
          <w:sz w:val="24"/>
          <w:szCs w:val="24"/>
        </w:rPr>
        <w:t xml:space="preserve">Cirka 5-20 % </w:t>
      </w:r>
      <w:proofErr w:type="spellStart"/>
      <w:r w:rsidRPr="001677A2">
        <w:rPr>
          <w:sz w:val="24"/>
          <w:szCs w:val="24"/>
        </w:rPr>
        <w:t>methotrexat</w:t>
      </w:r>
      <w:proofErr w:type="spellEnd"/>
      <w:r w:rsidRPr="001677A2">
        <w:rPr>
          <w:sz w:val="24"/>
          <w:szCs w:val="24"/>
        </w:rPr>
        <w:t xml:space="preserve"> og 1-5 % 7</w:t>
      </w:r>
      <w:r w:rsidRPr="001677A2">
        <w:rPr>
          <w:sz w:val="24"/>
          <w:szCs w:val="24"/>
        </w:rPr>
        <w:noBreakHyphen/>
        <w:t xml:space="preserve">hydroxymetotrexat elimineres biliært. Der er udtalt </w:t>
      </w:r>
      <w:proofErr w:type="spellStart"/>
      <w:r w:rsidRPr="001677A2">
        <w:rPr>
          <w:sz w:val="24"/>
          <w:szCs w:val="24"/>
        </w:rPr>
        <w:t>enterohepatisk</w:t>
      </w:r>
      <w:proofErr w:type="spellEnd"/>
      <w:r w:rsidRPr="001677A2">
        <w:rPr>
          <w:sz w:val="24"/>
          <w:szCs w:val="24"/>
        </w:rPr>
        <w:t xml:space="preserve"> cirkulation.</w:t>
      </w:r>
    </w:p>
    <w:p w:rsidR="0023606F" w:rsidRPr="001677A2" w:rsidRDefault="0023606F" w:rsidP="0023606F">
      <w:pPr>
        <w:ind w:left="851"/>
        <w:rPr>
          <w:b/>
          <w:sz w:val="24"/>
          <w:szCs w:val="24"/>
        </w:rPr>
      </w:pPr>
    </w:p>
    <w:p w:rsidR="0023606F" w:rsidRPr="001677A2" w:rsidRDefault="0023606F" w:rsidP="0023606F">
      <w:pPr>
        <w:ind w:left="851"/>
        <w:rPr>
          <w:sz w:val="24"/>
          <w:szCs w:val="24"/>
        </w:rPr>
      </w:pPr>
      <w:r w:rsidRPr="001677A2">
        <w:rPr>
          <w:sz w:val="24"/>
          <w:szCs w:val="24"/>
        </w:rPr>
        <w:t>Den terminale halveringstid er i gennemsnit 6-7 timer, og der er betydelig variation (3-17 timer). Halveringstiden kan forlænges til 4 gange den normale længde hos patienter med et tredje fordelingsrum (</w:t>
      </w:r>
      <w:proofErr w:type="spellStart"/>
      <w:r w:rsidRPr="001677A2">
        <w:rPr>
          <w:sz w:val="24"/>
          <w:szCs w:val="24"/>
        </w:rPr>
        <w:t>pleuraeffusion</w:t>
      </w:r>
      <w:proofErr w:type="spellEnd"/>
      <w:r w:rsidRPr="001677A2">
        <w:rPr>
          <w:sz w:val="24"/>
          <w:szCs w:val="24"/>
        </w:rPr>
        <w:t xml:space="preserve">, </w:t>
      </w:r>
      <w:proofErr w:type="spellStart"/>
      <w:r w:rsidRPr="001677A2">
        <w:rPr>
          <w:sz w:val="24"/>
          <w:szCs w:val="24"/>
        </w:rPr>
        <w:t>ascites</w:t>
      </w:r>
      <w:proofErr w:type="spellEnd"/>
      <w:r w:rsidRPr="001677A2">
        <w:rPr>
          <w:sz w:val="24"/>
          <w:szCs w:val="24"/>
        </w:rPr>
        <w:t>).</w:t>
      </w:r>
    </w:p>
    <w:p w:rsidR="0023606F" w:rsidRPr="001677A2" w:rsidRDefault="0023606F" w:rsidP="0023606F">
      <w:pPr>
        <w:ind w:left="851"/>
        <w:rPr>
          <w:sz w:val="24"/>
          <w:szCs w:val="24"/>
        </w:rPr>
      </w:pPr>
    </w:p>
    <w:p w:rsidR="0023606F" w:rsidRPr="001677A2" w:rsidRDefault="0023606F" w:rsidP="0023606F">
      <w:pPr>
        <w:ind w:left="851"/>
        <w:rPr>
          <w:sz w:val="24"/>
          <w:szCs w:val="24"/>
        </w:rPr>
      </w:pPr>
      <w:r w:rsidRPr="001677A2">
        <w:rPr>
          <w:sz w:val="24"/>
          <w:szCs w:val="24"/>
        </w:rPr>
        <w:t>I tilfælde af nedsat nyrefunktion forsinkes eliminering betydeligt. Nedsat eliminering som følge af nedsat leverfunktion er ikke kendt.</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5.3</w:t>
      </w:r>
      <w:r w:rsidRPr="001677A2">
        <w:rPr>
          <w:b/>
          <w:sz w:val="24"/>
          <w:szCs w:val="24"/>
        </w:rPr>
        <w:tab/>
      </w:r>
      <w:r w:rsidR="004D13FF" w:rsidRPr="001677A2">
        <w:rPr>
          <w:b/>
          <w:sz w:val="24"/>
          <w:szCs w:val="24"/>
        </w:rPr>
        <w:t>Non-</w:t>
      </w:r>
      <w:r w:rsidRPr="001677A2">
        <w:rPr>
          <w:b/>
          <w:sz w:val="24"/>
          <w:szCs w:val="24"/>
        </w:rPr>
        <w:t>kliniske sikkerhedsdata</w:t>
      </w:r>
    </w:p>
    <w:p w:rsidR="0023606F" w:rsidRPr="001677A2" w:rsidRDefault="0023606F" w:rsidP="0023606F">
      <w:pPr>
        <w:ind w:left="851"/>
        <w:rPr>
          <w:sz w:val="24"/>
          <w:szCs w:val="24"/>
        </w:rPr>
      </w:pPr>
      <w:r w:rsidRPr="001677A2">
        <w:rPr>
          <w:sz w:val="24"/>
          <w:szCs w:val="24"/>
        </w:rPr>
        <w:t xml:space="preserve">Det er i dyreforsøg påvist, at </w:t>
      </w:r>
      <w:proofErr w:type="spellStart"/>
      <w:r w:rsidRPr="001677A2">
        <w:rPr>
          <w:sz w:val="24"/>
          <w:szCs w:val="24"/>
        </w:rPr>
        <w:t>methotrexat</w:t>
      </w:r>
      <w:proofErr w:type="spellEnd"/>
      <w:r w:rsidRPr="001677A2">
        <w:rPr>
          <w:sz w:val="24"/>
          <w:szCs w:val="24"/>
        </w:rPr>
        <w:t xml:space="preserve"> nedsætter frugtbarheden, og at det er embryo- og fostertoksisk samt </w:t>
      </w:r>
      <w:proofErr w:type="spellStart"/>
      <w:r w:rsidRPr="001677A2">
        <w:rPr>
          <w:sz w:val="24"/>
          <w:szCs w:val="24"/>
        </w:rPr>
        <w:t>teratogent</w:t>
      </w:r>
      <w:proofErr w:type="spellEnd"/>
      <w:r w:rsidRPr="001677A2">
        <w:rPr>
          <w:sz w:val="24"/>
          <w:szCs w:val="24"/>
        </w:rPr>
        <w:t xml:space="preserve">. </w:t>
      </w:r>
      <w:proofErr w:type="spellStart"/>
      <w:r w:rsidRPr="001677A2">
        <w:rPr>
          <w:sz w:val="24"/>
          <w:szCs w:val="24"/>
        </w:rPr>
        <w:t>Methotrexat</w:t>
      </w:r>
      <w:proofErr w:type="spellEnd"/>
      <w:r w:rsidRPr="001677A2">
        <w:rPr>
          <w:sz w:val="24"/>
          <w:szCs w:val="24"/>
        </w:rPr>
        <w:t xml:space="preserve"> er mutagent </w:t>
      </w:r>
      <w:r w:rsidRPr="001677A2">
        <w:rPr>
          <w:i/>
          <w:sz w:val="24"/>
          <w:szCs w:val="24"/>
        </w:rPr>
        <w:t xml:space="preserve">in </w:t>
      </w:r>
      <w:proofErr w:type="spellStart"/>
      <w:r w:rsidRPr="001677A2">
        <w:rPr>
          <w:i/>
          <w:sz w:val="24"/>
          <w:szCs w:val="24"/>
        </w:rPr>
        <w:t>vivo</w:t>
      </w:r>
      <w:proofErr w:type="spellEnd"/>
      <w:r w:rsidRPr="001677A2">
        <w:rPr>
          <w:sz w:val="24"/>
          <w:szCs w:val="24"/>
        </w:rPr>
        <w:t xml:space="preserve"> og </w:t>
      </w:r>
      <w:r w:rsidRPr="001677A2">
        <w:rPr>
          <w:i/>
          <w:sz w:val="24"/>
          <w:szCs w:val="24"/>
        </w:rPr>
        <w:t xml:space="preserve">in </w:t>
      </w:r>
      <w:proofErr w:type="spellStart"/>
      <w:r w:rsidRPr="001677A2">
        <w:rPr>
          <w:i/>
          <w:sz w:val="24"/>
          <w:szCs w:val="24"/>
        </w:rPr>
        <w:t>vitro</w:t>
      </w:r>
      <w:proofErr w:type="spellEnd"/>
      <w:r w:rsidRPr="001677A2">
        <w:rPr>
          <w:sz w:val="24"/>
          <w:szCs w:val="24"/>
        </w:rPr>
        <w:t xml:space="preserve">. Eftersom der ikke er gennemført konventionelle </w:t>
      </w:r>
      <w:proofErr w:type="spellStart"/>
      <w:r w:rsidRPr="001677A2">
        <w:rPr>
          <w:sz w:val="24"/>
          <w:szCs w:val="24"/>
        </w:rPr>
        <w:t>karcinogenecitetsundersøgelser</w:t>
      </w:r>
      <w:proofErr w:type="spellEnd"/>
      <w:r w:rsidRPr="001677A2">
        <w:rPr>
          <w:sz w:val="24"/>
          <w:szCs w:val="24"/>
        </w:rPr>
        <w:t xml:space="preserve">, og data fra kroniske toksicitetsundersøgelser med gnavere er inkonsistente, anses </w:t>
      </w:r>
      <w:proofErr w:type="spellStart"/>
      <w:r w:rsidRPr="001677A2">
        <w:rPr>
          <w:sz w:val="24"/>
          <w:szCs w:val="24"/>
        </w:rPr>
        <w:t>methotrexat</w:t>
      </w:r>
      <w:proofErr w:type="spellEnd"/>
      <w:r w:rsidRPr="001677A2">
        <w:rPr>
          <w:sz w:val="24"/>
          <w:szCs w:val="24"/>
        </w:rPr>
        <w:t xml:space="preserve"> for at være </w:t>
      </w:r>
      <w:r w:rsidRPr="001677A2">
        <w:rPr>
          <w:b/>
          <w:sz w:val="24"/>
          <w:szCs w:val="24"/>
        </w:rPr>
        <w:t>ikke-</w:t>
      </w:r>
      <w:proofErr w:type="spellStart"/>
      <w:r w:rsidRPr="001677A2">
        <w:rPr>
          <w:b/>
          <w:sz w:val="24"/>
          <w:szCs w:val="24"/>
        </w:rPr>
        <w:t>klassificerbar</w:t>
      </w:r>
      <w:proofErr w:type="spellEnd"/>
      <w:r w:rsidRPr="001677A2">
        <w:rPr>
          <w:sz w:val="24"/>
          <w:szCs w:val="24"/>
        </w:rPr>
        <w:t xml:space="preserve">, for så vidt angår dets </w:t>
      </w:r>
      <w:proofErr w:type="spellStart"/>
      <w:r w:rsidRPr="001677A2">
        <w:rPr>
          <w:sz w:val="24"/>
          <w:szCs w:val="24"/>
        </w:rPr>
        <w:t>karcinogenecitet</w:t>
      </w:r>
      <w:proofErr w:type="spellEnd"/>
      <w:r w:rsidRPr="001677A2">
        <w:rPr>
          <w:sz w:val="24"/>
          <w:szCs w:val="24"/>
        </w:rPr>
        <w:t xml:space="preserve"> for mennesker.</w:t>
      </w:r>
    </w:p>
    <w:p w:rsidR="0023606F" w:rsidRPr="001677A2" w:rsidRDefault="0023606F" w:rsidP="0023606F">
      <w:pPr>
        <w:ind w:left="851" w:hanging="851"/>
        <w:rPr>
          <w:sz w:val="24"/>
          <w:szCs w:val="24"/>
        </w:rPr>
      </w:pP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6.</w:t>
      </w:r>
      <w:r w:rsidRPr="001677A2">
        <w:rPr>
          <w:b/>
          <w:sz w:val="24"/>
          <w:szCs w:val="24"/>
        </w:rPr>
        <w:tab/>
        <w:t>FARMACEUTISKE OPLYSNINGER</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6.1</w:t>
      </w:r>
      <w:r w:rsidRPr="001677A2">
        <w:rPr>
          <w:b/>
          <w:sz w:val="24"/>
          <w:szCs w:val="24"/>
        </w:rPr>
        <w:tab/>
        <w:t>Hjælpestoffer</w:t>
      </w:r>
    </w:p>
    <w:p w:rsidR="0023606F" w:rsidRPr="001677A2" w:rsidRDefault="0023606F" w:rsidP="0023606F">
      <w:pPr>
        <w:ind w:left="851"/>
        <w:rPr>
          <w:sz w:val="24"/>
          <w:szCs w:val="24"/>
          <w:lang w:eastAsia="da-DK"/>
        </w:rPr>
      </w:pPr>
      <w:proofErr w:type="spellStart"/>
      <w:r w:rsidRPr="001677A2">
        <w:rPr>
          <w:sz w:val="24"/>
          <w:szCs w:val="24"/>
        </w:rPr>
        <w:t>Natriumchlorid</w:t>
      </w:r>
      <w:proofErr w:type="spellEnd"/>
    </w:p>
    <w:p w:rsidR="0023606F" w:rsidRPr="001677A2" w:rsidRDefault="0023606F" w:rsidP="0023606F">
      <w:pPr>
        <w:ind w:left="851"/>
        <w:rPr>
          <w:sz w:val="24"/>
          <w:szCs w:val="24"/>
        </w:rPr>
      </w:pPr>
      <w:r w:rsidRPr="001677A2">
        <w:rPr>
          <w:sz w:val="24"/>
          <w:szCs w:val="24"/>
        </w:rPr>
        <w:t>Natriumhydroxid (til pH-justering)</w:t>
      </w:r>
    </w:p>
    <w:p w:rsidR="0023606F" w:rsidRPr="001677A2" w:rsidRDefault="0023606F" w:rsidP="0023606F">
      <w:pPr>
        <w:ind w:left="851"/>
        <w:rPr>
          <w:sz w:val="24"/>
          <w:szCs w:val="24"/>
        </w:rPr>
      </w:pPr>
      <w:r w:rsidRPr="001677A2">
        <w:rPr>
          <w:sz w:val="24"/>
          <w:szCs w:val="24"/>
        </w:rPr>
        <w:t>Vand til injektionsvæsker</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6.2</w:t>
      </w:r>
      <w:r w:rsidRPr="001677A2">
        <w:rPr>
          <w:b/>
          <w:sz w:val="24"/>
          <w:szCs w:val="24"/>
        </w:rPr>
        <w:tab/>
        <w:t>Uforligeligheder</w:t>
      </w:r>
    </w:p>
    <w:p w:rsidR="0023606F" w:rsidRPr="001677A2" w:rsidRDefault="0023606F" w:rsidP="0023606F">
      <w:pPr>
        <w:ind w:left="851"/>
        <w:rPr>
          <w:sz w:val="24"/>
          <w:szCs w:val="24"/>
          <w:lang w:eastAsia="da-DK"/>
        </w:rPr>
      </w:pPr>
      <w:r w:rsidRPr="001677A2">
        <w:rPr>
          <w:sz w:val="24"/>
          <w:szCs w:val="24"/>
        </w:rPr>
        <w:t>Da der ikke foreligger undersøgelser vedrørende eventuelle uforligeligheder, bør dette præparat ikke blandes med andre lægemidler.</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6.3</w:t>
      </w:r>
      <w:r w:rsidRPr="001677A2">
        <w:rPr>
          <w:b/>
          <w:sz w:val="24"/>
          <w:szCs w:val="24"/>
        </w:rPr>
        <w:tab/>
        <w:t>Opbevaringstid</w:t>
      </w:r>
    </w:p>
    <w:p w:rsidR="0023606F" w:rsidRPr="001677A2" w:rsidRDefault="0023606F" w:rsidP="0023606F">
      <w:pPr>
        <w:ind w:left="851" w:hanging="851"/>
        <w:rPr>
          <w:sz w:val="24"/>
          <w:szCs w:val="24"/>
          <w:lang w:eastAsia="da-DK"/>
        </w:rPr>
      </w:pPr>
      <w:r w:rsidRPr="001677A2">
        <w:rPr>
          <w:sz w:val="24"/>
          <w:szCs w:val="24"/>
        </w:rPr>
        <w:tab/>
      </w:r>
      <w:r w:rsidR="000C5930" w:rsidRPr="001677A2">
        <w:rPr>
          <w:sz w:val="24"/>
          <w:szCs w:val="24"/>
        </w:rPr>
        <w:t>3</w:t>
      </w:r>
      <w:r w:rsidRPr="001677A2">
        <w:rPr>
          <w:sz w:val="24"/>
          <w:szCs w:val="24"/>
        </w:rPr>
        <w:t xml:space="preserve"> år.</w:t>
      </w:r>
    </w:p>
    <w:p w:rsidR="0023606F" w:rsidRPr="001677A2" w:rsidRDefault="0023606F" w:rsidP="0023606F">
      <w:pPr>
        <w:ind w:left="851" w:hanging="851"/>
        <w:rPr>
          <w:sz w:val="24"/>
          <w:szCs w:val="24"/>
        </w:rPr>
      </w:pPr>
    </w:p>
    <w:p w:rsidR="0023606F" w:rsidRPr="001677A2" w:rsidRDefault="0023606F" w:rsidP="00AF6108">
      <w:pPr>
        <w:keepNext/>
        <w:ind w:left="851" w:hanging="851"/>
        <w:rPr>
          <w:b/>
          <w:sz w:val="24"/>
          <w:szCs w:val="24"/>
        </w:rPr>
      </w:pPr>
      <w:r w:rsidRPr="001677A2">
        <w:rPr>
          <w:b/>
          <w:sz w:val="24"/>
          <w:szCs w:val="24"/>
        </w:rPr>
        <w:lastRenderedPageBreak/>
        <w:t>6.4</w:t>
      </w:r>
      <w:r w:rsidRPr="001677A2">
        <w:rPr>
          <w:b/>
          <w:sz w:val="24"/>
          <w:szCs w:val="24"/>
        </w:rPr>
        <w:tab/>
        <w:t>Særlige opbevaringsforhold</w:t>
      </w:r>
    </w:p>
    <w:p w:rsidR="0023606F" w:rsidRPr="001677A2" w:rsidRDefault="0023606F" w:rsidP="0023606F">
      <w:pPr>
        <w:ind w:left="851"/>
        <w:rPr>
          <w:sz w:val="24"/>
          <w:szCs w:val="24"/>
          <w:lang w:eastAsia="da-DK"/>
        </w:rPr>
      </w:pPr>
      <w:r w:rsidRPr="001677A2">
        <w:rPr>
          <w:sz w:val="24"/>
          <w:szCs w:val="24"/>
        </w:rPr>
        <w:t>Opbevares ved temperaturer under 30°C. Opbevar de fyldte injektionssprøjter i den ydre karton for at beskytte mod lys.</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6.5</w:t>
      </w:r>
      <w:r w:rsidRPr="001677A2">
        <w:rPr>
          <w:b/>
          <w:sz w:val="24"/>
          <w:szCs w:val="24"/>
        </w:rPr>
        <w:tab/>
        <w:t>Emballagetype og pakningsstørrelser</w:t>
      </w:r>
    </w:p>
    <w:p w:rsidR="0023606F" w:rsidRPr="001677A2" w:rsidRDefault="0023606F" w:rsidP="0023606F">
      <w:pPr>
        <w:ind w:left="851"/>
        <w:rPr>
          <w:sz w:val="24"/>
          <w:szCs w:val="24"/>
        </w:rPr>
      </w:pPr>
    </w:p>
    <w:p w:rsidR="0023606F" w:rsidRPr="001677A2" w:rsidRDefault="0023606F" w:rsidP="0023606F">
      <w:pPr>
        <w:ind w:left="851"/>
        <w:rPr>
          <w:sz w:val="24"/>
          <w:szCs w:val="24"/>
          <w:u w:val="single"/>
          <w:lang w:eastAsia="da-DK"/>
        </w:rPr>
      </w:pPr>
      <w:r w:rsidRPr="001677A2">
        <w:rPr>
          <w:sz w:val="24"/>
          <w:szCs w:val="24"/>
          <w:u w:val="single"/>
        </w:rPr>
        <w:t>Emballagetype:</w:t>
      </w:r>
    </w:p>
    <w:p w:rsidR="0023606F" w:rsidRPr="001677A2" w:rsidRDefault="0023606F" w:rsidP="0023606F">
      <w:pPr>
        <w:ind w:left="851"/>
        <w:rPr>
          <w:sz w:val="24"/>
          <w:szCs w:val="24"/>
          <w:highlight w:val="yellow"/>
        </w:rPr>
      </w:pPr>
      <w:r w:rsidRPr="001677A2">
        <w:rPr>
          <w:sz w:val="24"/>
          <w:szCs w:val="24"/>
        </w:rPr>
        <w:t xml:space="preserve">Fyldte injektionssprøjter i farveløst glas (type I) med en volumen på 1 ml og isat injektionsnål dækket med stiv nålebeskyttelse. Fyldte injektionssprøjter med kanyle påsat sikkerhedshætte. Sprøjtestempler består af stempelstang med </w:t>
      </w:r>
    </w:p>
    <w:p w:rsidR="0023606F" w:rsidRPr="001677A2" w:rsidRDefault="0023606F" w:rsidP="0023606F">
      <w:pPr>
        <w:ind w:left="851" w:hanging="851"/>
        <w:rPr>
          <w:sz w:val="24"/>
          <w:szCs w:val="24"/>
          <w:highlight w:val="yellow"/>
        </w:rPr>
      </w:pPr>
    </w:p>
    <w:p w:rsidR="0023606F" w:rsidRPr="001677A2" w:rsidRDefault="0023606F" w:rsidP="00394BCC">
      <w:pPr>
        <w:keepNext/>
        <w:ind w:left="851"/>
        <w:rPr>
          <w:sz w:val="24"/>
          <w:szCs w:val="24"/>
          <w:u w:val="single"/>
        </w:rPr>
      </w:pPr>
      <w:r w:rsidRPr="001677A2">
        <w:rPr>
          <w:sz w:val="24"/>
          <w:szCs w:val="24"/>
          <w:u w:val="single"/>
        </w:rPr>
        <w:t>Pakningsstørrelser:</w:t>
      </w:r>
    </w:p>
    <w:p w:rsidR="0023606F" w:rsidRPr="001677A2" w:rsidRDefault="0023606F" w:rsidP="0023606F">
      <w:pPr>
        <w:ind w:left="851" w:hanging="851"/>
        <w:rPr>
          <w:sz w:val="24"/>
          <w:szCs w:val="24"/>
        </w:rPr>
      </w:pPr>
    </w:p>
    <w:p w:rsidR="0023606F" w:rsidRPr="001677A2" w:rsidRDefault="0023606F" w:rsidP="0023606F">
      <w:pPr>
        <w:pStyle w:val="Listeafsnit"/>
        <w:numPr>
          <w:ilvl w:val="0"/>
          <w:numId w:val="10"/>
        </w:numPr>
        <w:ind w:left="1276" w:hanging="425"/>
        <w:rPr>
          <w:sz w:val="24"/>
          <w:szCs w:val="24"/>
        </w:rPr>
      </w:pPr>
      <w:r w:rsidRPr="001677A2">
        <w:rPr>
          <w:sz w:val="24"/>
          <w:szCs w:val="24"/>
        </w:rPr>
        <w:t>For 0,15 ml, 0,20 ml, 0,30 ml og 0,40 ml: pakninger indeholdende 1, 2, 4, 5, 6, 8, 10, 12 og 24 fyldte injektionssprøjte(r) isat injektionsnål dækket med stiv nålebeskyttelse.</w:t>
      </w:r>
    </w:p>
    <w:p w:rsidR="0023606F" w:rsidRPr="001677A2" w:rsidRDefault="0023606F" w:rsidP="0023606F">
      <w:pPr>
        <w:ind w:left="1276"/>
        <w:rPr>
          <w:sz w:val="24"/>
          <w:szCs w:val="24"/>
        </w:rPr>
      </w:pPr>
      <w:r w:rsidRPr="001677A2">
        <w:rPr>
          <w:sz w:val="24"/>
          <w:szCs w:val="24"/>
        </w:rPr>
        <w:t>Fyldte injektionssprøjter med kanyle påsat sikkerhedshætte.</w:t>
      </w:r>
    </w:p>
    <w:p w:rsidR="0023606F" w:rsidRPr="001677A2" w:rsidRDefault="0023606F" w:rsidP="0023606F">
      <w:pPr>
        <w:ind w:left="1276" w:hanging="425"/>
        <w:rPr>
          <w:sz w:val="24"/>
          <w:szCs w:val="24"/>
        </w:rPr>
      </w:pPr>
    </w:p>
    <w:p w:rsidR="0023606F" w:rsidRPr="001677A2" w:rsidRDefault="0023606F" w:rsidP="0023606F">
      <w:pPr>
        <w:pStyle w:val="Listeafsnit"/>
        <w:numPr>
          <w:ilvl w:val="0"/>
          <w:numId w:val="10"/>
        </w:numPr>
        <w:ind w:left="1276" w:hanging="425"/>
        <w:rPr>
          <w:sz w:val="24"/>
          <w:szCs w:val="24"/>
        </w:rPr>
      </w:pPr>
      <w:r w:rsidRPr="001677A2">
        <w:rPr>
          <w:sz w:val="24"/>
          <w:szCs w:val="24"/>
        </w:rPr>
        <w:t>For 0,25 ml, 0,35 ml, 0,45 ml, 0,55 og 0,60 ml: pakninger indeholdende 1, 4, 5, 6, 8 og 12 fyldte injektionssprøjte(r) isat injektionsnål dækket med stiv nålebeskyttelse. Fyldte injektionssprøjter med kanyle påsat sikkerhedshætte.</w:t>
      </w:r>
    </w:p>
    <w:p w:rsidR="0023606F" w:rsidRPr="001677A2" w:rsidRDefault="0023606F" w:rsidP="0023606F">
      <w:pPr>
        <w:ind w:left="1276" w:hanging="425"/>
        <w:rPr>
          <w:sz w:val="24"/>
          <w:szCs w:val="24"/>
        </w:rPr>
      </w:pPr>
    </w:p>
    <w:p w:rsidR="0023606F" w:rsidRPr="001677A2" w:rsidRDefault="0023606F" w:rsidP="0023606F">
      <w:pPr>
        <w:pStyle w:val="Listeafsnit"/>
        <w:numPr>
          <w:ilvl w:val="0"/>
          <w:numId w:val="10"/>
        </w:numPr>
        <w:ind w:left="1276" w:hanging="425"/>
        <w:rPr>
          <w:sz w:val="24"/>
          <w:szCs w:val="24"/>
        </w:rPr>
      </w:pPr>
      <w:r w:rsidRPr="001677A2">
        <w:rPr>
          <w:sz w:val="24"/>
          <w:szCs w:val="24"/>
        </w:rPr>
        <w:t>For 0,50 ml: pakninger med 1, 2, 4, 5, 6, 8, 10 og 12 fyldte injektionssprøjte(r) isat injektionsnål dækket med stiv nålebeskyttelse. Fyldte injektionssprøjter med kanyle påsat sikkerhedshætte.</w:t>
      </w:r>
    </w:p>
    <w:p w:rsidR="0023606F" w:rsidRPr="001677A2" w:rsidRDefault="0023606F" w:rsidP="0023606F">
      <w:pPr>
        <w:ind w:left="1276" w:hanging="425"/>
        <w:rPr>
          <w:sz w:val="24"/>
          <w:szCs w:val="24"/>
        </w:rPr>
      </w:pPr>
    </w:p>
    <w:p w:rsidR="001677A2" w:rsidRPr="001677A2" w:rsidRDefault="001677A2" w:rsidP="001677A2">
      <w:pPr>
        <w:ind w:left="851"/>
        <w:rPr>
          <w:color w:val="000000"/>
          <w:sz w:val="24"/>
          <w:szCs w:val="24"/>
        </w:rPr>
      </w:pPr>
      <w:r w:rsidRPr="001677A2">
        <w:rPr>
          <w:color w:val="000000"/>
          <w:sz w:val="24"/>
          <w:szCs w:val="24"/>
        </w:rPr>
        <w:t>Alle pakningsstørrelser fås uden gradueringsmærker, indeholdende fyldte injektionssprøjter med blisterpakning og spritserviet. Blisterpakningerne er individuelle injektionssprøjter med kanyle påsat sikkerhedshætte.</w:t>
      </w:r>
    </w:p>
    <w:p w:rsidR="001677A2" w:rsidRPr="001677A2" w:rsidRDefault="001677A2" w:rsidP="001677A2">
      <w:pPr>
        <w:rPr>
          <w:sz w:val="24"/>
          <w:szCs w:val="24"/>
        </w:rPr>
      </w:pPr>
    </w:p>
    <w:p w:rsidR="001677A2" w:rsidRPr="001677A2" w:rsidRDefault="001677A2" w:rsidP="001677A2">
      <w:pPr>
        <w:ind w:left="851"/>
        <w:rPr>
          <w:sz w:val="24"/>
          <w:szCs w:val="24"/>
        </w:rPr>
      </w:pPr>
      <w:r w:rsidRPr="001677A2">
        <w:rPr>
          <w:sz w:val="24"/>
          <w:szCs w:val="24"/>
        </w:rPr>
        <w:t>Ikke alle pakningsstørrelser er nødvendigvis markedsført.</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6.6</w:t>
      </w:r>
      <w:r w:rsidRPr="001677A2">
        <w:rPr>
          <w:b/>
          <w:sz w:val="24"/>
          <w:szCs w:val="24"/>
        </w:rPr>
        <w:tab/>
        <w:t xml:space="preserve">Regler for </w:t>
      </w:r>
      <w:r w:rsidR="004D13FF" w:rsidRPr="001677A2">
        <w:rPr>
          <w:b/>
          <w:sz w:val="24"/>
          <w:szCs w:val="24"/>
        </w:rPr>
        <w:t>bortskaffelse</w:t>
      </w:r>
      <w:r w:rsidRPr="001677A2">
        <w:rPr>
          <w:b/>
          <w:sz w:val="24"/>
          <w:szCs w:val="24"/>
        </w:rPr>
        <w:t xml:space="preserve"> og anden håndtering</w:t>
      </w:r>
    </w:p>
    <w:p w:rsidR="0023606F" w:rsidRPr="001677A2" w:rsidRDefault="0023606F" w:rsidP="0023606F">
      <w:pPr>
        <w:ind w:left="851"/>
        <w:rPr>
          <w:sz w:val="24"/>
          <w:szCs w:val="24"/>
          <w:lang w:eastAsia="da-DK"/>
        </w:rPr>
      </w:pPr>
      <w:r w:rsidRPr="001677A2">
        <w:rPr>
          <w:sz w:val="24"/>
          <w:szCs w:val="24"/>
        </w:rPr>
        <w:t xml:space="preserve">Dette lægemiddel skal håndteres og bortskaffes på samme vis som andre </w:t>
      </w:r>
      <w:proofErr w:type="spellStart"/>
      <w:r w:rsidRPr="001677A2">
        <w:rPr>
          <w:sz w:val="24"/>
          <w:szCs w:val="24"/>
        </w:rPr>
        <w:t>cytotoksiske</w:t>
      </w:r>
      <w:proofErr w:type="spellEnd"/>
      <w:r w:rsidRPr="001677A2">
        <w:rPr>
          <w:sz w:val="24"/>
          <w:szCs w:val="24"/>
        </w:rPr>
        <w:t xml:space="preserve"> præparater i overensstemmelse med de lokale retningslinjer. Gravide kvinder, der arbejder som sundhedsfagligt personale, bør ikke håndtere og/eller indgive </w:t>
      </w:r>
      <w:proofErr w:type="spellStart"/>
      <w:r w:rsidRPr="001677A2">
        <w:rPr>
          <w:bCs/>
          <w:sz w:val="24"/>
          <w:szCs w:val="24"/>
        </w:rPr>
        <w:t>Injexate</w:t>
      </w:r>
      <w:proofErr w:type="spellEnd"/>
      <w:r w:rsidRPr="001677A2">
        <w:rPr>
          <w:sz w:val="24"/>
          <w:szCs w:val="24"/>
        </w:rPr>
        <w:t>.</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proofErr w:type="spellStart"/>
      <w:r w:rsidRPr="001677A2">
        <w:rPr>
          <w:sz w:val="24"/>
          <w:szCs w:val="24"/>
        </w:rPr>
        <w:t>Methotrexat</w:t>
      </w:r>
      <w:proofErr w:type="spellEnd"/>
      <w:r w:rsidRPr="001677A2">
        <w:rPr>
          <w:sz w:val="24"/>
          <w:szCs w:val="24"/>
        </w:rPr>
        <w:t xml:space="preserve"> bør ikke komme i kontakt med huden eller slimhinder. I tilfælde af kontaminering skal det berørte område straks skylles med rigelige mængder vand.</w:t>
      </w:r>
    </w:p>
    <w:p w:rsidR="0023606F" w:rsidRPr="001677A2" w:rsidRDefault="0023606F" w:rsidP="0023606F">
      <w:pPr>
        <w:ind w:left="851" w:hanging="851"/>
        <w:rPr>
          <w:snapToGrid w:val="0"/>
          <w:sz w:val="24"/>
          <w:szCs w:val="24"/>
        </w:rPr>
      </w:pPr>
    </w:p>
    <w:p w:rsidR="0023606F" w:rsidRPr="001677A2" w:rsidRDefault="0023606F" w:rsidP="0023606F">
      <w:pPr>
        <w:ind w:left="851"/>
        <w:rPr>
          <w:sz w:val="24"/>
          <w:szCs w:val="24"/>
        </w:rPr>
      </w:pPr>
      <w:r w:rsidRPr="001677A2">
        <w:rPr>
          <w:sz w:val="24"/>
          <w:szCs w:val="24"/>
        </w:rPr>
        <w:t xml:space="preserve">Kun til engangsbrug. Bemærk, at hele indholdet skal anvendes. </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 xml:space="preserve">Ikke anvendt lægemiddel samt affald heraf skal bortskaffes i henhold til lokale </w:t>
      </w:r>
      <w:proofErr w:type="spellStart"/>
      <w:r w:rsidRPr="001677A2">
        <w:rPr>
          <w:sz w:val="24"/>
          <w:szCs w:val="24"/>
        </w:rPr>
        <w:t>retningslinier</w:t>
      </w:r>
      <w:proofErr w:type="spellEnd"/>
      <w:r w:rsidRPr="001677A2">
        <w:rPr>
          <w:sz w:val="24"/>
          <w:szCs w:val="24"/>
        </w:rPr>
        <w:t>.</w:t>
      </w:r>
    </w:p>
    <w:p w:rsidR="0023606F" w:rsidRPr="001677A2" w:rsidRDefault="0023606F" w:rsidP="0023606F">
      <w:pPr>
        <w:ind w:left="851"/>
        <w:rPr>
          <w:b/>
          <w:sz w:val="24"/>
          <w:szCs w:val="24"/>
        </w:rPr>
      </w:pPr>
    </w:p>
    <w:p w:rsidR="0023606F" w:rsidRPr="001677A2" w:rsidRDefault="0023606F" w:rsidP="0023606F">
      <w:pPr>
        <w:ind w:left="851"/>
        <w:rPr>
          <w:sz w:val="24"/>
          <w:szCs w:val="24"/>
        </w:rPr>
      </w:pPr>
      <w:r w:rsidRPr="001677A2">
        <w:rPr>
          <w:b/>
          <w:sz w:val="24"/>
          <w:szCs w:val="24"/>
        </w:rPr>
        <w:t>Vejledning til subkutan anvendelse.</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De bedste steder at injicere er:</w:t>
      </w:r>
    </w:p>
    <w:p w:rsidR="0023606F" w:rsidRPr="001677A2" w:rsidRDefault="0023606F" w:rsidP="0023606F">
      <w:pPr>
        <w:pStyle w:val="Listeafsnit"/>
        <w:numPr>
          <w:ilvl w:val="0"/>
          <w:numId w:val="7"/>
        </w:numPr>
        <w:ind w:left="1276"/>
        <w:rPr>
          <w:sz w:val="24"/>
          <w:szCs w:val="24"/>
        </w:rPr>
      </w:pPr>
      <w:r w:rsidRPr="001677A2">
        <w:rPr>
          <w:sz w:val="24"/>
          <w:szCs w:val="24"/>
        </w:rPr>
        <w:t>øverst på lårene,</w:t>
      </w:r>
    </w:p>
    <w:p w:rsidR="0023606F" w:rsidRPr="001677A2" w:rsidRDefault="0023606F" w:rsidP="0023606F">
      <w:pPr>
        <w:pStyle w:val="Listeafsnit"/>
        <w:numPr>
          <w:ilvl w:val="0"/>
          <w:numId w:val="7"/>
        </w:numPr>
        <w:ind w:left="1276"/>
        <w:rPr>
          <w:sz w:val="24"/>
          <w:szCs w:val="24"/>
        </w:rPr>
      </w:pPr>
      <w:r w:rsidRPr="001677A2">
        <w:rPr>
          <w:sz w:val="24"/>
          <w:szCs w:val="24"/>
        </w:rPr>
        <w:t>maven, bortset fra området omkring navlen.</w:t>
      </w:r>
    </w:p>
    <w:p w:rsidR="0023606F" w:rsidRPr="001677A2" w:rsidRDefault="0023606F" w:rsidP="0023606F">
      <w:pPr>
        <w:ind w:left="851" w:hanging="851"/>
        <w:rPr>
          <w:sz w:val="24"/>
          <w:szCs w:val="24"/>
        </w:rPr>
      </w:pPr>
    </w:p>
    <w:p w:rsidR="0023606F" w:rsidRPr="001677A2" w:rsidRDefault="0023606F" w:rsidP="0023606F">
      <w:pPr>
        <w:numPr>
          <w:ilvl w:val="0"/>
          <w:numId w:val="8"/>
        </w:numPr>
        <w:ind w:left="1276" w:hanging="425"/>
        <w:rPr>
          <w:sz w:val="24"/>
          <w:szCs w:val="24"/>
        </w:rPr>
      </w:pPr>
      <w:r w:rsidRPr="001677A2">
        <w:rPr>
          <w:sz w:val="24"/>
          <w:szCs w:val="24"/>
        </w:rPr>
        <w:lastRenderedPageBreak/>
        <w:t>Rens området omkring det valgte injektionssted (f.eks. med anvendelse af alkoholserviet).</w:t>
      </w:r>
    </w:p>
    <w:p w:rsidR="0023606F" w:rsidRPr="001677A2" w:rsidRDefault="0023606F" w:rsidP="0023606F">
      <w:pPr>
        <w:numPr>
          <w:ilvl w:val="0"/>
          <w:numId w:val="8"/>
        </w:numPr>
        <w:ind w:left="1276" w:hanging="425"/>
        <w:rPr>
          <w:sz w:val="24"/>
          <w:szCs w:val="24"/>
        </w:rPr>
      </w:pPr>
      <w:r w:rsidRPr="001677A2">
        <w:rPr>
          <w:sz w:val="24"/>
          <w:szCs w:val="24"/>
        </w:rPr>
        <w:t>Træk den beskyttende plasthætte af i en lige bevægelse.</w:t>
      </w:r>
    </w:p>
    <w:p w:rsidR="0023606F" w:rsidRPr="001677A2" w:rsidRDefault="0023606F" w:rsidP="0023606F">
      <w:pPr>
        <w:numPr>
          <w:ilvl w:val="0"/>
          <w:numId w:val="8"/>
        </w:numPr>
        <w:ind w:left="1276" w:hanging="425"/>
        <w:rPr>
          <w:sz w:val="24"/>
          <w:szCs w:val="24"/>
        </w:rPr>
      </w:pPr>
      <w:r w:rsidRPr="001677A2">
        <w:rPr>
          <w:sz w:val="24"/>
          <w:szCs w:val="24"/>
        </w:rPr>
        <w:t>Lav en fold i huden ved forsigtigt at klemme på området ved injektionsstedet.</w:t>
      </w:r>
    </w:p>
    <w:p w:rsidR="0023606F" w:rsidRPr="001677A2" w:rsidRDefault="0023606F" w:rsidP="0023606F">
      <w:pPr>
        <w:numPr>
          <w:ilvl w:val="0"/>
          <w:numId w:val="8"/>
        </w:numPr>
        <w:ind w:left="1276" w:hanging="425"/>
        <w:rPr>
          <w:sz w:val="24"/>
          <w:szCs w:val="24"/>
        </w:rPr>
      </w:pPr>
      <w:r w:rsidRPr="001677A2">
        <w:rPr>
          <w:sz w:val="24"/>
          <w:szCs w:val="24"/>
        </w:rPr>
        <w:t>Folden skal holdes, indtil sprøjten fjernes fra huden efter injektionen.</w:t>
      </w:r>
    </w:p>
    <w:p w:rsidR="0023606F" w:rsidRPr="001677A2" w:rsidRDefault="0023606F" w:rsidP="0023606F">
      <w:pPr>
        <w:numPr>
          <w:ilvl w:val="0"/>
          <w:numId w:val="8"/>
        </w:numPr>
        <w:ind w:left="1276" w:hanging="425"/>
        <w:rPr>
          <w:sz w:val="24"/>
          <w:szCs w:val="24"/>
        </w:rPr>
      </w:pPr>
      <w:r w:rsidRPr="001677A2">
        <w:rPr>
          <w:sz w:val="24"/>
          <w:szCs w:val="24"/>
        </w:rPr>
        <w:t>Skub kanylen helt ind i huden med en vinkel på 90 grader.</w:t>
      </w:r>
    </w:p>
    <w:p w:rsidR="0023606F" w:rsidRPr="001677A2" w:rsidRDefault="0023606F" w:rsidP="0023606F">
      <w:pPr>
        <w:numPr>
          <w:ilvl w:val="0"/>
          <w:numId w:val="8"/>
        </w:numPr>
        <w:ind w:left="1276" w:hanging="425"/>
        <w:rPr>
          <w:sz w:val="24"/>
          <w:szCs w:val="24"/>
        </w:rPr>
      </w:pPr>
      <w:r w:rsidRPr="001677A2">
        <w:rPr>
          <w:sz w:val="24"/>
          <w:szCs w:val="24"/>
        </w:rPr>
        <w:t xml:space="preserve">Skub stemplet langsomt og ensartet i bund, indtil hele dosis er indgivet og stemplet ikke kan trykkes længere ned. Mens trykket fastholdes på stemplet fjernes injektionssprøjten fra huden med samme vinkel på 90 grader. Kanylens sikkerhedshætte vil dække kanylen, når stemplet slippes. Kanylens sikkerhedshætte dækker kanylen efter injektion for at beskytte mod utilsigtet kanylestik. Dette påvirker ikke injektionssprøjtens normale funktion. </w:t>
      </w:r>
    </w:p>
    <w:p w:rsidR="0023606F" w:rsidRPr="001677A2" w:rsidRDefault="0023606F" w:rsidP="0023606F">
      <w:pPr>
        <w:ind w:left="851" w:hanging="851"/>
        <w:rPr>
          <w:sz w:val="24"/>
          <w:szCs w:val="24"/>
        </w:rPr>
      </w:pPr>
    </w:p>
    <w:p w:rsidR="0023606F" w:rsidRPr="001677A2" w:rsidRDefault="0023606F" w:rsidP="0023606F">
      <w:pPr>
        <w:ind w:left="851"/>
        <w:rPr>
          <w:sz w:val="24"/>
          <w:szCs w:val="24"/>
        </w:rPr>
      </w:pPr>
      <w:r w:rsidRPr="001677A2">
        <w:rPr>
          <w:sz w:val="24"/>
          <w:szCs w:val="24"/>
        </w:rPr>
        <w:t>Bemærk venligst, at hele sprøjtens indhold skal anvendes; dette produkt er ikke beregnet til at levere en delvis dosis.</w:t>
      </w:r>
    </w:p>
    <w:p w:rsidR="0023606F" w:rsidRPr="001677A2" w:rsidRDefault="0023606F" w:rsidP="0023606F">
      <w:pPr>
        <w:ind w:left="851" w:hanging="851"/>
        <w:jc w:val="both"/>
        <w:rPr>
          <w:sz w:val="24"/>
          <w:szCs w:val="24"/>
        </w:rPr>
      </w:pPr>
    </w:p>
    <w:p w:rsidR="0023606F" w:rsidRPr="001677A2" w:rsidRDefault="0023606F" w:rsidP="009C2904">
      <w:pPr>
        <w:keepNext/>
        <w:ind w:left="851" w:hanging="851"/>
        <w:rPr>
          <w:b/>
          <w:sz w:val="24"/>
          <w:szCs w:val="24"/>
        </w:rPr>
      </w:pPr>
      <w:r w:rsidRPr="001677A2">
        <w:rPr>
          <w:b/>
          <w:sz w:val="24"/>
          <w:szCs w:val="24"/>
        </w:rPr>
        <w:t>7.</w:t>
      </w:r>
      <w:r w:rsidRPr="001677A2">
        <w:rPr>
          <w:b/>
          <w:sz w:val="24"/>
          <w:szCs w:val="24"/>
        </w:rPr>
        <w:tab/>
        <w:t>INDEHAVER AF MARKEDSFØRINGSTILLADELSEN</w:t>
      </w:r>
    </w:p>
    <w:p w:rsidR="00771C9E" w:rsidRPr="001677A2" w:rsidRDefault="00771C9E" w:rsidP="009C2904">
      <w:pPr>
        <w:keepNext/>
        <w:ind w:left="851"/>
        <w:rPr>
          <w:sz w:val="24"/>
          <w:szCs w:val="24"/>
        </w:rPr>
      </w:pPr>
      <w:proofErr w:type="spellStart"/>
      <w:r w:rsidRPr="001677A2">
        <w:rPr>
          <w:sz w:val="24"/>
          <w:szCs w:val="24"/>
        </w:rPr>
        <w:t>Accord</w:t>
      </w:r>
      <w:proofErr w:type="spellEnd"/>
      <w:r w:rsidRPr="001677A2">
        <w:rPr>
          <w:sz w:val="24"/>
          <w:szCs w:val="24"/>
        </w:rPr>
        <w:t xml:space="preserve"> Healthcare B.V.</w:t>
      </w:r>
    </w:p>
    <w:p w:rsidR="00771C9E" w:rsidRPr="001677A2" w:rsidRDefault="00771C9E" w:rsidP="009C2904">
      <w:pPr>
        <w:keepNext/>
        <w:ind w:left="851"/>
        <w:rPr>
          <w:sz w:val="24"/>
          <w:szCs w:val="24"/>
        </w:rPr>
      </w:pPr>
      <w:proofErr w:type="spellStart"/>
      <w:r w:rsidRPr="001677A2">
        <w:rPr>
          <w:sz w:val="24"/>
          <w:szCs w:val="24"/>
        </w:rPr>
        <w:t>Winthontlaan</w:t>
      </w:r>
      <w:proofErr w:type="spellEnd"/>
      <w:r w:rsidRPr="001677A2">
        <w:rPr>
          <w:sz w:val="24"/>
          <w:szCs w:val="24"/>
        </w:rPr>
        <w:t xml:space="preserve"> 200</w:t>
      </w:r>
    </w:p>
    <w:p w:rsidR="00771C9E" w:rsidRPr="001677A2" w:rsidRDefault="00771C9E" w:rsidP="009C2904">
      <w:pPr>
        <w:keepNext/>
        <w:ind w:left="851"/>
        <w:rPr>
          <w:sz w:val="24"/>
          <w:szCs w:val="24"/>
        </w:rPr>
      </w:pPr>
      <w:r w:rsidRPr="001677A2">
        <w:rPr>
          <w:sz w:val="24"/>
          <w:szCs w:val="24"/>
        </w:rPr>
        <w:t>3526 KV Utrecht</w:t>
      </w:r>
    </w:p>
    <w:p w:rsidR="0023606F" w:rsidRPr="001677A2" w:rsidRDefault="00771C9E" w:rsidP="0023606F">
      <w:pPr>
        <w:ind w:left="851"/>
        <w:rPr>
          <w:bCs/>
          <w:sz w:val="24"/>
          <w:szCs w:val="24"/>
        </w:rPr>
      </w:pPr>
      <w:r w:rsidRPr="001677A2">
        <w:rPr>
          <w:sz w:val="24"/>
          <w:szCs w:val="24"/>
        </w:rPr>
        <w:t>Holland</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8.</w:t>
      </w:r>
      <w:r w:rsidRPr="001677A2">
        <w:rPr>
          <w:b/>
          <w:sz w:val="24"/>
          <w:szCs w:val="24"/>
        </w:rPr>
        <w:tab/>
        <w:t>MARKEDSFØRINGSTILLADELSESNUMMER (</w:t>
      </w:r>
      <w:r w:rsidR="004D13FF" w:rsidRPr="001677A2">
        <w:rPr>
          <w:b/>
          <w:sz w:val="24"/>
          <w:szCs w:val="24"/>
        </w:rPr>
        <w:t>-</w:t>
      </w:r>
      <w:r w:rsidRPr="001677A2">
        <w:rPr>
          <w:b/>
          <w:sz w:val="24"/>
          <w:szCs w:val="24"/>
        </w:rPr>
        <w:t>NUMRE)</w:t>
      </w:r>
    </w:p>
    <w:p w:rsidR="0023606F" w:rsidRPr="001677A2" w:rsidRDefault="0023606F" w:rsidP="0023606F">
      <w:pPr>
        <w:ind w:left="851"/>
        <w:rPr>
          <w:sz w:val="24"/>
          <w:szCs w:val="24"/>
        </w:rPr>
      </w:pPr>
      <w:r w:rsidRPr="001677A2">
        <w:rPr>
          <w:sz w:val="24"/>
          <w:szCs w:val="24"/>
        </w:rPr>
        <w:t>54402</w:t>
      </w:r>
    </w:p>
    <w:p w:rsidR="0023606F" w:rsidRPr="001677A2" w:rsidRDefault="0023606F" w:rsidP="0023606F">
      <w:pPr>
        <w:ind w:left="851" w:hanging="851"/>
        <w:jc w:val="both"/>
        <w:rPr>
          <w:sz w:val="24"/>
          <w:szCs w:val="24"/>
        </w:rPr>
      </w:pPr>
    </w:p>
    <w:p w:rsidR="0023606F" w:rsidRPr="001677A2" w:rsidRDefault="0023606F" w:rsidP="0023606F">
      <w:pPr>
        <w:ind w:left="851" w:hanging="851"/>
        <w:rPr>
          <w:b/>
          <w:sz w:val="24"/>
          <w:szCs w:val="24"/>
        </w:rPr>
      </w:pPr>
      <w:r w:rsidRPr="001677A2">
        <w:rPr>
          <w:b/>
          <w:sz w:val="24"/>
          <w:szCs w:val="24"/>
        </w:rPr>
        <w:t>9.</w:t>
      </w:r>
      <w:r w:rsidRPr="001677A2">
        <w:rPr>
          <w:b/>
          <w:sz w:val="24"/>
          <w:szCs w:val="24"/>
        </w:rPr>
        <w:tab/>
        <w:t>DATO FOR FØRSTE MARKEDSFØRINGSTILLADELSE</w:t>
      </w:r>
    </w:p>
    <w:p w:rsidR="0023606F" w:rsidRPr="001677A2" w:rsidRDefault="0023606F" w:rsidP="0023606F">
      <w:pPr>
        <w:ind w:left="851"/>
        <w:rPr>
          <w:sz w:val="24"/>
          <w:szCs w:val="24"/>
        </w:rPr>
      </w:pPr>
      <w:r w:rsidRPr="001677A2">
        <w:rPr>
          <w:sz w:val="24"/>
          <w:szCs w:val="24"/>
        </w:rPr>
        <w:t>1. december 2015</w:t>
      </w:r>
    </w:p>
    <w:p w:rsidR="0023606F" w:rsidRPr="001677A2" w:rsidRDefault="0023606F" w:rsidP="0023606F">
      <w:pPr>
        <w:ind w:left="851" w:hanging="851"/>
        <w:rPr>
          <w:sz w:val="24"/>
          <w:szCs w:val="24"/>
        </w:rPr>
      </w:pPr>
    </w:p>
    <w:p w:rsidR="0023606F" w:rsidRPr="001677A2" w:rsidRDefault="0023606F" w:rsidP="0023606F">
      <w:pPr>
        <w:ind w:left="851" w:hanging="851"/>
        <w:rPr>
          <w:b/>
          <w:sz w:val="24"/>
          <w:szCs w:val="24"/>
        </w:rPr>
      </w:pPr>
      <w:r w:rsidRPr="001677A2">
        <w:rPr>
          <w:b/>
          <w:sz w:val="24"/>
          <w:szCs w:val="24"/>
        </w:rPr>
        <w:t>10.</w:t>
      </w:r>
      <w:r w:rsidRPr="001677A2">
        <w:rPr>
          <w:b/>
          <w:sz w:val="24"/>
          <w:szCs w:val="24"/>
        </w:rPr>
        <w:tab/>
        <w:t>DATO FOR ÆNDRING AF TEKSTEN</w:t>
      </w:r>
    </w:p>
    <w:p w:rsidR="0023606F" w:rsidRPr="001677A2" w:rsidRDefault="00AF6108" w:rsidP="0023606F">
      <w:pPr>
        <w:ind w:left="851"/>
        <w:rPr>
          <w:sz w:val="24"/>
          <w:szCs w:val="24"/>
        </w:rPr>
      </w:pPr>
      <w:r>
        <w:rPr>
          <w:sz w:val="24"/>
          <w:szCs w:val="24"/>
        </w:rPr>
        <w:t>24</w:t>
      </w:r>
      <w:bookmarkStart w:id="0" w:name="_GoBack"/>
      <w:bookmarkEnd w:id="0"/>
      <w:r w:rsidR="001677A2">
        <w:rPr>
          <w:sz w:val="24"/>
          <w:szCs w:val="24"/>
        </w:rPr>
        <w:t>. februar 2025</w:t>
      </w:r>
    </w:p>
    <w:p w:rsidR="0023606F" w:rsidRPr="001677A2" w:rsidRDefault="0023606F" w:rsidP="0023606F">
      <w:pPr>
        <w:rPr>
          <w:sz w:val="24"/>
          <w:szCs w:val="24"/>
        </w:rPr>
      </w:pPr>
    </w:p>
    <w:p w:rsidR="0023606F" w:rsidRPr="001677A2" w:rsidRDefault="0023606F" w:rsidP="0023606F">
      <w:pPr>
        <w:rPr>
          <w:sz w:val="24"/>
          <w:szCs w:val="24"/>
        </w:rPr>
      </w:pPr>
    </w:p>
    <w:p w:rsidR="009260DE" w:rsidRPr="001677A2" w:rsidRDefault="009260DE" w:rsidP="0023606F">
      <w:pPr>
        <w:rPr>
          <w:sz w:val="24"/>
          <w:szCs w:val="24"/>
        </w:rPr>
      </w:pPr>
    </w:p>
    <w:sectPr w:rsidR="009260DE" w:rsidRPr="001677A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6CB" w:rsidRDefault="009556CB">
      <w:r>
        <w:separator/>
      </w:r>
    </w:p>
  </w:endnote>
  <w:endnote w:type="continuationSeparator" w:id="0">
    <w:p w:rsidR="009556CB" w:rsidRDefault="0095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6CB" w:rsidRDefault="009556CB">
    <w:pPr>
      <w:pStyle w:val="Sidefod"/>
      <w:pBdr>
        <w:bottom w:val="single" w:sz="6" w:space="1" w:color="auto"/>
      </w:pBdr>
    </w:pPr>
  </w:p>
  <w:p w:rsidR="009556CB" w:rsidRDefault="009556CB" w:rsidP="00C42586">
    <w:pPr>
      <w:pStyle w:val="Sidefod"/>
      <w:tabs>
        <w:tab w:val="clear" w:pos="4819"/>
        <w:tab w:val="left" w:pos="8505"/>
      </w:tabs>
      <w:rPr>
        <w:i/>
        <w:sz w:val="18"/>
        <w:szCs w:val="18"/>
      </w:rPr>
    </w:pPr>
  </w:p>
  <w:p w:rsidR="009556CB" w:rsidRPr="00B373D7" w:rsidRDefault="009556CB" w:rsidP="00C42586">
    <w:pPr>
      <w:pStyle w:val="Sidefod"/>
      <w:tabs>
        <w:tab w:val="clear" w:pos="4819"/>
        <w:tab w:val="left" w:pos="8505"/>
      </w:tabs>
      <w:rPr>
        <w:i/>
        <w:sz w:val="18"/>
        <w:szCs w:val="18"/>
      </w:rPr>
    </w:pPr>
    <w:proofErr w:type="spellStart"/>
    <w:r w:rsidRPr="00904DAE">
      <w:rPr>
        <w:i/>
        <w:sz w:val="18"/>
        <w:szCs w:val="18"/>
      </w:rPr>
      <w:t>Injexate</w:t>
    </w:r>
    <w:proofErr w:type="spellEnd"/>
    <w:r w:rsidRPr="00904DAE">
      <w:rPr>
        <w:i/>
        <w:sz w:val="18"/>
        <w:szCs w:val="18"/>
      </w:rPr>
      <w:t>, injektionsvæske, opløsning i fyldt injektionssprøjte 50 mg-ml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6CB" w:rsidRDefault="009556CB">
      <w:r>
        <w:separator/>
      </w:r>
    </w:p>
  </w:footnote>
  <w:footnote w:type="continuationSeparator" w:id="0">
    <w:p w:rsidR="009556CB" w:rsidRDefault="00955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37CB"/>
    <w:multiLevelType w:val="multilevel"/>
    <w:tmpl w:val="73B09CA6"/>
    <w:numStyleLink w:val="Aufgezhlt"/>
  </w:abstractNum>
  <w:abstractNum w:abstractNumId="1" w15:restartNumberingAfterBreak="0">
    <w:nsid w:val="12127E74"/>
    <w:multiLevelType w:val="hybridMultilevel"/>
    <w:tmpl w:val="F33E1350"/>
    <w:lvl w:ilvl="0" w:tplc="8C4A82E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77E12"/>
    <w:multiLevelType w:val="hybridMultilevel"/>
    <w:tmpl w:val="A594BB2A"/>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9C40E5D"/>
    <w:multiLevelType w:val="multilevel"/>
    <w:tmpl w:val="73B09CA6"/>
    <w:styleLink w:val="Aufgezhlt"/>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6F6830"/>
    <w:multiLevelType w:val="hybridMultilevel"/>
    <w:tmpl w:val="8E0CFE9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0" w15:restartNumberingAfterBreak="0">
    <w:nsid w:val="77763927"/>
    <w:multiLevelType w:val="hybridMultilevel"/>
    <w:tmpl w:val="C2EA3FA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6F"/>
    <w:rsid w:val="000259B9"/>
    <w:rsid w:val="000307D2"/>
    <w:rsid w:val="00041491"/>
    <w:rsid w:val="00050D16"/>
    <w:rsid w:val="00067086"/>
    <w:rsid w:val="00074F2A"/>
    <w:rsid w:val="000A1CA8"/>
    <w:rsid w:val="000A466B"/>
    <w:rsid w:val="000B058C"/>
    <w:rsid w:val="000C20C5"/>
    <w:rsid w:val="000C5930"/>
    <w:rsid w:val="000E4EE6"/>
    <w:rsid w:val="001353D9"/>
    <w:rsid w:val="001454E2"/>
    <w:rsid w:val="001677A2"/>
    <w:rsid w:val="001B001F"/>
    <w:rsid w:val="00206CE8"/>
    <w:rsid w:val="00210B5F"/>
    <w:rsid w:val="0021526C"/>
    <w:rsid w:val="002208DB"/>
    <w:rsid w:val="0023606F"/>
    <w:rsid w:val="00283A2B"/>
    <w:rsid w:val="002B30AD"/>
    <w:rsid w:val="002C2C01"/>
    <w:rsid w:val="002E5F1B"/>
    <w:rsid w:val="0032647A"/>
    <w:rsid w:val="00375B9E"/>
    <w:rsid w:val="00380B00"/>
    <w:rsid w:val="00394BCC"/>
    <w:rsid w:val="003A29AE"/>
    <w:rsid w:val="003A32D7"/>
    <w:rsid w:val="003B4074"/>
    <w:rsid w:val="003C769A"/>
    <w:rsid w:val="003F1838"/>
    <w:rsid w:val="00414B5D"/>
    <w:rsid w:val="00440CEC"/>
    <w:rsid w:val="0045746C"/>
    <w:rsid w:val="00480150"/>
    <w:rsid w:val="0049104B"/>
    <w:rsid w:val="004D13FF"/>
    <w:rsid w:val="004E3B12"/>
    <w:rsid w:val="00532310"/>
    <w:rsid w:val="00560ECC"/>
    <w:rsid w:val="00565F0F"/>
    <w:rsid w:val="00594A86"/>
    <w:rsid w:val="00596D86"/>
    <w:rsid w:val="005A43D4"/>
    <w:rsid w:val="005F6FF2"/>
    <w:rsid w:val="00607B19"/>
    <w:rsid w:val="00637F5A"/>
    <w:rsid w:val="00650A8F"/>
    <w:rsid w:val="006560B1"/>
    <w:rsid w:val="006756DD"/>
    <w:rsid w:val="006B7E95"/>
    <w:rsid w:val="006E1580"/>
    <w:rsid w:val="00737275"/>
    <w:rsid w:val="00740EEC"/>
    <w:rsid w:val="00771C9E"/>
    <w:rsid w:val="0078011A"/>
    <w:rsid w:val="00782AF4"/>
    <w:rsid w:val="00790EE7"/>
    <w:rsid w:val="007B6649"/>
    <w:rsid w:val="0081546F"/>
    <w:rsid w:val="0082576E"/>
    <w:rsid w:val="008872EE"/>
    <w:rsid w:val="00904DAE"/>
    <w:rsid w:val="00907F75"/>
    <w:rsid w:val="009260DE"/>
    <w:rsid w:val="0093258A"/>
    <w:rsid w:val="009556CB"/>
    <w:rsid w:val="00960A54"/>
    <w:rsid w:val="009C2904"/>
    <w:rsid w:val="009C7BA3"/>
    <w:rsid w:val="009D1F5A"/>
    <w:rsid w:val="009F19F4"/>
    <w:rsid w:val="00A06831"/>
    <w:rsid w:val="00AB06FF"/>
    <w:rsid w:val="00AB2FD8"/>
    <w:rsid w:val="00AF6108"/>
    <w:rsid w:val="00B003BF"/>
    <w:rsid w:val="00B373D7"/>
    <w:rsid w:val="00BF6407"/>
    <w:rsid w:val="00C10F30"/>
    <w:rsid w:val="00C20813"/>
    <w:rsid w:val="00C36276"/>
    <w:rsid w:val="00C42586"/>
    <w:rsid w:val="00C60CCD"/>
    <w:rsid w:val="00C84483"/>
    <w:rsid w:val="00C95551"/>
    <w:rsid w:val="00CB20D7"/>
    <w:rsid w:val="00D020B0"/>
    <w:rsid w:val="00D11748"/>
    <w:rsid w:val="00D24858"/>
    <w:rsid w:val="00D366CF"/>
    <w:rsid w:val="00DA4F55"/>
    <w:rsid w:val="00E108AA"/>
    <w:rsid w:val="00E31812"/>
    <w:rsid w:val="00E3749A"/>
    <w:rsid w:val="00E7437F"/>
    <w:rsid w:val="00E865B8"/>
    <w:rsid w:val="00EC0B9B"/>
    <w:rsid w:val="00ED5E9F"/>
    <w:rsid w:val="00EF72A7"/>
    <w:rsid w:val="00F43EA6"/>
    <w:rsid w:val="00F66D4F"/>
    <w:rsid w:val="00F737D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3015F"/>
  <w15:chartTrackingRefBased/>
  <w15:docId w15:val="{7443F833-477B-425F-A26D-44978FDB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numbering" w:customStyle="1" w:styleId="Aufgezhlt">
    <w:name w:val="Aufgezählt"/>
    <w:rsid w:val="0023606F"/>
    <w:pPr>
      <w:numPr>
        <w:numId w:val="6"/>
      </w:numPr>
    </w:pPr>
  </w:style>
  <w:style w:type="paragraph" w:styleId="Listeafsnit">
    <w:name w:val="List Paragraph"/>
    <w:basedOn w:val="Normal"/>
    <w:uiPriority w:val="34"/>
    <w:qFormat/>
    <w:rsid w:val="0023606F"/>
    <w:pPr>
      <w:ind w:left="720"/>
    </w:pPr>
    <w:rPr>
      <w:sz w:val="22"/>
      <w:lang w:eastAsia="da-DK" w:bidi="da-DK"/>
    </w:rPr>
  </w:style>
  <w:style w:type="character" w:styleId="Hyperlink">
    <w:name w:val="Hyperlink"/>
    <w:basedOn w:val="Standardskrifttypeiafsnit"/>
    <w:uiPriority w:val="99"/>
    <w:unhideWhenUsed/>
    <w:rsid w:val="0023606F"/>
    <w:rPr>
      <w:color w:val="0563C1" w:themeColor="hyperlink"/>
      <w:u w:val="single"/>
    </w:rPr>
  </w:style>
  <w:style w:type="paragraph" w:customStyle="1" w:styleId="Default">
    <w:name w:val="Default"/>
    <w:rsid w:val="0023606F"/>
    <w:pPr>
      <w:autoSpaceDE w:val="0"/>
      <w:autoSpaceDN w:val="0"/>
      <w:adjustRightInd w:val="0"/>
    </w:pPr>
    <w:rPr>
      <w:rFonts w:ascii="Verdana" w:hAnsi="Verdana" w:cs="Verdana"/>
      <w:color w:val="000000"/>
      <w:sz w:val="24"/>
      <w:szCs w:val="24"/>
    </w:rPr>
  </w:style>
  <w:style w:type="table" w:styleId="Tabel-Gitter">
    <w:name w:val="Table Grid"/>
    <w:basedOn w:val="Tabel-Normal"/>
    <w:uiPriority w:val="59"/>
    <w:rsid w:val="00AB06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76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5411816">
      <w:bodyDiv w:val="1"/>
      <w:marLeft w:val="0"/>
      <w:marRight w:val="0"/>
      <w:marTop w:val="0"/>
      <w:marBottom w:val="0"/>
      <w:divBdr>
        <w:top w:val="none" w:sz="0" w:space="0" w:color="auto"/>
        <w:left w:val="none" w:sz="0" w:space="0" w:color="auto"/>
        <w:bottom w:val="none" w:sz="0" w:space="0" w:color="auto"/>
        <w:right w:val="none" w:sz="0" w:space="0" w:color="auto"/>
      </w:divBdr>
    </w:div>
    <w:div w:id="594948373">
      <w:bodyDiv w:val="1"/>
      <w:marLeft w:val="0"/>
      <w:marRight w:val="0"/>
      <w:marTop w:val="0"/>
      <w:marBottom w:val="0"/>
      <w:divBdr>
        <w:top w:val="none" w:sz="0" w:space="0" w:color="auto"/>
        <w:left w:val="none" w:sz="0" w:space="0" w:color="auto"/>
        <w:bottom w:val="none" w:sz="0" w:space="0" w:color="auto"/>
        <w:right w:val="none" w:sz="0" w:space="0" w:color="auto"/>
      </w:divBdr>
    </w:div>
    <w:div w:id="682902508">
      <w:bodyDiv w:val="1"/>
      <w:marLeft w:val="0"/>
      <w:marRight w:val="0"/>
      <w:marTop w:val="0"/>
      <w:marBottom w:val="0"/>
      <w:divBdr>
        <w:top w:val="none" w:sz="0" w:space="0" w:color="auto"/>
        <w:left w:val="none" w:sz="0" w:space="0" w:color="auto"/>
        <w:bottom w:val="none" w:sz="0" w:space="0" w:color="auto"/>
        <w:right w:val="none" w:sz="0" w:space="0" w:color="auto"/>
      </w:divBdr>
    </w:div>
    <w:div w:id="745688265">
      <w:bodyDiv w:val="1"/>
      <w:marLeft w:val="0"/>
      <w:marRight w:val="0"/>
      <w:marTop w:val="0"/>
      <w:marBottom w:val="0"/>
      <w:divBdr>
        <w:top w:val="none" w:sz="0" w:space="0" w:color="auto"/>
        <w:left w:val="none" w:sz="0" w:space="0" w:color="auto"/>
        <w:bottom w:val="none" w:sz="0" w:space="0" w:color="auto"/>
        <w:right w:val="none" w:sz="0" w:space="0" w:color="auto"/>
      </w:divBdr>
    </w:div>
    <w:div w:id="780882453">
      <w:bodyDiv w:val="1"/>
      <w:marLeft w:val="0"/>
      <w:marRight w:val="0"/>
      <w:marTop w:val="0"/>
      <w:marBottom w:val="0"/>
      <w:divBdr>
        <w:top w:val="none" w:sz="0" w:space="0" w:color="auto"/>
        <w:left w:val="none" w:sz="0" w:space="0" w:color="auto"/>
        <w:bottom w:val="none" w:sz="0" w:space="0" w:color="auto"/>
        <w:right w:val="none" w:sz="0" w:space="0" w:color="auto"/>
      </w:divBdr>
    </w:div>
    <w:div w:id="1202127507">
      <w:bodyDiv w:val="1"/>
      <w:marLeft w:val="0"/>
      <w:marRight w:val="0"/>
      <w:marTop w:val="0"/>
      <w:marBottom w:val="0"/>
      <w:divBdr>
        <w:top w:val="none" w:sz="0" w:space="0" w:color="auto"/>
        <w:left w:val="none" w:sz="0" w:space="0" w:color="auto"/>
        <w:bottom w:val="none" w:sz="0" w:space="0" w:color="auto"/>
        <w:right w:val="none" w:sz="0" w:space="0" w:color="auto"/>
      </w:divBdr>
    </w:div>
    <w:div w:id="1220020604">
      <w:bodyDiv w:val="1"/>
      <w:marLeft w:val="0"/>
      <w:marRight w:val="0"/>
      <w:marTop w:val="0"/>
      <w:marBottom w:val="0"/>
      <w:divBdr>
        <w:top w:val="none" w:sz="0" w:space="0" w:color="auto"/>
        <w:left w:val="none" w:sz="0" w:space="0" w:color="auto"/>
        <w:bottom w:val="none" w:sz="0" w:space="0" w:color="auto"/>
        <w:right w:val="none" w:sz="0" w:space="0" w:color="auto"/>
      </w:divBdr>
    </w:div>
    <w:div w:id="1325350952">
      <w:bodyDiv w:val="1"/>
      <w:marLeft w:val="0"/>
      <w:marRight w:val="0"/>
      <w:marTop w:val="0"/>
      <w:marBottom w:val="0"/>
      <w:divBdr>
        <w:top w:val="none" w:sz="0" w:space="0" w:color="auto"/>
        <w:left w:val="none" w:sz="0" w:space="0" w:color="auto"/>
        <w:bottom w:val="none" w:sz="0" w:space="0" w:color="auto"/>
        <w:right w:val="none" w:sz="0" w:space="0" w:color="auto"/>
      </w:divBdr>
    </w:div>
    <w:div w:id="1352023891">
      <w:bodyDiv w:val="1"/>
      <w:marLeft w:val="0"/>
      <w:marRight w:val="0"/>
      <w:marTop w:val="0"/>
      <w:marBottom w:val="0"/>
      <w:divBdr>
        <w:top w:val="none" w:sz="0" w:space="0" w:color="auto"/>
        <w:left w:val="none" w:sz="0" w:space="0" w:color="auto"/>
        <w:bottom w:val="none" w:sz="0" w:space="0" w:color="auto"/>
        <w:right w:val="none" w:sz="0" w:space="0" w:color="auto"/>
      </w:divBdr>
    </w:div>
    <w:div w:id="1398479442">
      <w:bodyDiv w:val="1"/>
      <w:marLeft w:val="0"/>
      <w:marRight w:val="0"/>
      <w:marTop w:val="0"/>
      <w:marBottom w:val="0"/>
      <w:divBdr>
        <w:top w:val="none" w:sz="0" w:space="0" w:color="auto"/>
        <w:left w:val="none" w:sz="0" w:space="0" w:color="auto"/>
        <w:bottom w:val="none" w:sz="0" w:space="0" w:color="auto"/>
        <w:right w:val="none" w:sz="0" w:space="0" w:color="auto"/>
      </w:divBdr>
    </w:div>
    <w:div w:id="1561330265">
      <w:bodyDiv w:val="1"/>
      <w:marLeft w:val="0"/>
      <w:marRight w:val="0"/>
      <w:marTop w:val="0"/>
      <w:marBottom w:val="0"/>
      <w:divBdr>
        <w:top w:val="none" w:sz="0" w:space="0" w:color="auto"/>
        <w:left w:val="none" w:sz="0" w:space="0" w:color="auto"/>
        <w:bottom w:val="none" w:sz="0" w:space="0" w:color="auto"/>
        <w:right w:val="none" w:sz="0" w:space="0" w:color="auto"/>
      </w:divBdr>
    </w:div>
    <w:div w:id="1638492356">
      <w:bodyDiv w:val="1"/>
      <w:marLeft w:val="0"/>
      <w:marRight w:val="0"/>
      <w:marTop w:val="0"/>
      <w:marBottom w:val="0"/>
      <w:divBdr>
        <w:top w:val="none" w:sz="0" w:space="0" w:color="auto"/>
        <w:left w:val="none" w:sz="0" w:space="0" w:color="auto"/>
        <w:bottom w:val="none" w:sz="0" w:space="0" w:color="auto"/>
        <w:right w:val="none" w:sz="0" w:space="0" w:color="auto"/>
      </w:divBdr>
    </w:div>
    <w:div w:id="1670792146">
      <w:bodyDiv w:val="1"/>
      <w:marLeft w:val="0"/>
      <w:marRight w:val="0"/>
      <w:marTop w:val="0"/>
      <w:marBottom w:val="0"/>
      <w:divBdr>
        <w:top w:val="none" w:sz="0" w:space="0" w:color="auto"/>
        <w:left w:val="none" w:sz="0" w:space="0" w:color="auto"/>
        <w:bottom w:val="none" w:sz="0" w:space="0" w:color="auto"/>
        <w:right w:val="none" w:sz="0" w:space="0" w:color="auto"/>
      </w:divBdr>
    </w:div>
    <w:div w:id="18715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5399</Words>
  <Characters>37133</Characters>
  <Application>Microsoft Office Word</Application>
  <DocSecurity>0</DocSecurity>
  <Lines>309</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2024074383 _x000d_
SPC pkt. 4.2, 4.4, 4.5</dc:description>
  <cp:lastModifiedBy>Victoria Alexsandra Ringgaard</cp:lastModifiedBy>
  <cp:revision>3</cp:revision>
  <cp:lastPrinted>2012-08-22T08:53:00Z</cp:lastPrinted>
  <dcterms:created xsi:type="dcterms:W3CDTF">2025-02-20T13:18:00Z</dcterms:created>
  <dcterms:modified xsi:type="dcterms:W3CDTF">2025-02-20T13:24:00Z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