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3407C" w14:textId="77777777" w:rsidR="009260DE" w:rsidRPr="00443037" w:rsidRDefault="0021526C" w:rsidP="009260DE">
      <w:pPr>
        <w:rPr>
          <w:sz w:val="24"/>
          <w:szCs w:val="24"/>
        </w:rPr>
      </w:pPr>
      <w:bookmarkStart w:id="0" w:name="_GoBack"/>
      <w:bookmarkEnd w:id="0"/>
      <w:r w:rsidRPr="00443037">
        <w:rPr>
          <w:noProof/>
          <w:sz w:val="24"/>
          <w:szCs w:val="24"/>
          <w:lang w:eastAsia="da-DK"/>
        </w:rPr>
        <w:drawing>
          <wp:anchor distT="0" distB="0" distL="114300" distR="114300" simplePos="0" relativeHeight="251658240" behindDoc="0" locked="0" layoutInCell="1" allowOverlap="1" wp14:anchorId="096A90DB" wp14:editId="5843D54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43037">
        <w:rPr>
          <w:sz w:val="24"/>
          <w:szCs w:val="24"/>
        </w:rPr>
        <w:br w:type="textWrapping" w:clear="all"/>
      </w:r>
    </w:p>
    <w:p w14:paraId="1980F764" w14:textId="014BED61" w:rsidR="009260DE" w:rsidRPr="00443037" w:rsidRDefault="009260DE" w:rsidP="009260DE">
      <w:pPr>
        <w:pStyle w:val="Titel"/>
        <w:tabs>
          <w:tab w:val="right" w:pos="9356"/>
        </w:tabs>
        <w:jc w:val="left"/>
        <w:rPr>
          <w:b w:val="0"/>
          <w:szCs w:val="24"/>
          <w:lang w:eastAsia="en-US"/>
        </w:rPr>
      </w:pPr>
      <w:r w:rsidRPr="00443037">
        <w:rPr>
          <w:b w:val="0"/>
          <w:szCs w:val="24"/>
          <w:lang w:eastAsia="en-US"/>
        </w:rPr>
        <w:tab/>
      </w:r>
      <w:r w:rsidR="00BF2649" w:rsidRPr="00443037">
        <w:rPr>
          <w:szCs w:val="24"/>
        </w:rPr>
        <w:t>7. november 2024</w:t>
      </w:r>
    </w:p>
    <w:p w14:paraId="039F779F" w14:textId="77777777" w:rsidR="009260DE" w:rsidRPr="00443037" w:rsidRDefault="009260DE" w:rsidP="009260DE">
      <w:pPr>
        <w:pStyle w:val="Titel"/>
        <w:tabs>
          <w:tab w:val="left" w:pos="8222"/>
        </w:tabs>
        <w:jc w:val="left"/>
        <w:rPr>
          <w:b w:val="0"/>
          <w:szCs w:val="24"/>
        </w:rPr>
      </w:pPr>
    </w:p>
    <w:p w14:paraId="17BCBC65" w14:textId="77777777" w:rsidR="009260DE" w:rsidRPr="00443037" w:rsidRDefault="009260DE" w:rsidP="009260DE">
      <w:pPr>
        <w:pStyle w:val="Titel"/>
        <w:jc w:val="left"/>
        <w:rPr>
          <w:b w:val="0"/>
          <w:szCs w:val="24"/>
        </w:rPr>
      </w:pPr>
    </w:p>
    <w:p w14:paraId="3E9439EB" w14:textId="77777777" w:rsidR="009260DE" w:rsidRPr="00443037" w:rsidRDefault="009260DE" w:rsidP="009260DE">
      <w:pPr>
        <w:pStyle w:val="Titel"/>
        <w:jc w:val="left"/>
        <w:rPr>
          <w:b w:val="0"/>
          <w:szCs w:val="24"/>
        </w:rPr>
      </w:pPr>
    </w:p>
    <w:p w14:paraId="577ED44C" w14:textId="77777777" w:rsidR="009260DE" w:rsidRPr="00443037" w:rsidRDefault="009260DE" w:rsidP="009260DE">
      <w:pPr>
        <w:jc w:val="center"/>
        <w:rPr>
          <w:b/>
          <w:sz w:val="24"/>
          <w:szCs w:val="24"/>
        </w:rPr>
      </w:pPr>
      <w:r w:rsidRPr="00443037">
        <w:rPr>
          <w:b/>
          <w:sz w:val="24"/>
          <w:szCs w:val="24"/>
        </w:rPr>
        <w:t>PRODUKTRESUMÉ</w:t>
      </w:r>
    </w:p>
    <w:p w14:paraId="37A33EFA" w14:textId="77777777" w:rsidR="009260DE" w:rsidRPr="00443037" w:rsidRDefault="009260DE" w:rsidP="009260DE">
      <w:pPr>
        <w:jc w:val="center"/>
        <w:rPr>
          <w:b/>
          <w:sz w:val="24"/>
          <w:szCs w:val="24"/>
        </w:rPr>
      </w:pPr>
    </w:p>
    <w:p w14:paraId="0CB3CEB8" w14:textId="77777777" w:rsidR="009260DE" w:rsidRPr="00443037" w:rsidRDefault="009260DE" w:rsidP="009260DE">
      <w:pPr>
        <w:jc w:val="center"/>
        <w:rPr>
          <w:b/>
          <w:sz w:val="24"/>
          <w:szCs w:val="24"/>
        </w:rPr>
      </w:pPr>
      <w:r w:rsidRPr="00443037">
        <w:rPr>
          <w:b/>
          <w:sz w:val="24"/>
          <w:szCs w:val="24"/>
        </w:rPr>
        <w:t>for</w:t>
      </w:r>
    </w:p>
    <w:p w14:paraId="690E30C6" w14:textId="77777777" w:rsidR="000B058C" w:rsidRPr="00443037" w:rsidRDefault="000B058C" w:rsidP="009260DE">
      <w:pPr>
        <w:jc w:val="center"/>
        <w:rPr>
          <w:b/>
          <w:sz w:val="24"/>
          <w:szCs w:val="24"/>
        </w:rPr>
      </w:pPr>
    </w:p>
    <w:p w14:paraId="60720427" w14:textId="40FF485C" w:rsidR="009260DE" w:rsidRPr="00443037" w:rsidRDefault="00BF2649" w:rsidP="009260DE">
      <w:pPr>
        <w:jc w:val="center"/>
        <w:rPr>
          <w:b/>
          <w:sz w:val="24"/>
          <w:szCs w:val="24"/>
        </w:rPr>
      </w:pPr>
      <w:proofErr w:type="spellStart"/>
      <w:r w:rsidRPr="00443037">
        <w:rPr>
          <w:b/>
          <w:sz w:val="24"/>
          <w:szCs w:val="24"/>
        </w:rPr>
        <w:t>Innohep</w:t>
      </w:r>
      <w:proofErr w:type="spellEnd"/>
      <w:r w:rsidRPr="00443037">
        <w:rPr>
          <w:b/>
          <w:sz w:val="24"/>
          <w:szCs w:val="24"/>
        </w:rPr>
        <w:t xml:space="preserve">, injektionsvæske, opløsning 20.000 </w:t>
      </w:r>
      <w:proofErr w:type="spellStart"/>
      <w:r w:rsidRPr="00443037">
        <w:rPr>
          <w:b/>
          <w:sz w:val="24"/>
          <w:szCs w:val="24"/>
        </w:rPr>
        <w:t>anti-Xa</w:t>
      </w:r>
      <w:proofErr w:type="spellEnd"/>
      <w:r w:rsidRPr="00443037">
        <w:rPr>
          <w:b/>
          <w:sz w:val="24"/>
          <w:szCs w:val="24"/>
        </w:rPr>
        <w:t xml:space="preserve"> IE/ml</w:t>
      </w:r>
      <w:r w:rsidRPr="00443037">
        <w:rPr>
          <w:rStyle w:val="Kommentarhenvisning"/>
          <w:sz w:val="24"/>
          <w:szCs w:val="24"/>
          <w:lang w:eastAsia="da-DK"/>
        </w:rPr>
        <w:t xml:space="preserve"> </w:t>
      </w:r>
    </w:p>
    <w:p w14:paraId="11163F69" w14:textId="77777777" w:rsidR="009260DE" w:rsidRPr="00443037" w:rsidRDefault="009260DE" w:rsidP="009260DE">
      <w:pPr>
        <w:jc w:val="both"/>
        <w:rPr>
          <w:sz w:val="24"/>
          <w:szCs w:val="24"/>
        </w:rPr>
      </w:pPr>
    </w:p>
    <w:p w14:paraId="1D8B608F" w14:textId="77777777" w:rsidR="009260DE" w:rsidRPr="00443037" w:rsidRDefault="009260DE" w:rsidP="009260DE">
      <w:pPr>
        <w:jc w:val="both"/>
        <w:rPr>
          <w:sz w:val="24"/>
          <w:szCs w:val="24"/>
        </w:rPr>
      </w:pPr>
    </w:p>
    <w:p w14:paraId="07041762" w14:textId="77777777" w:rsidR="009260DE" w:rsidRPr="00443037" w:rsidRDefault="009260DE" w:rsidP="009260DE">
      <w:pPr>
        <w:tabs>
          <w:tab w:val="left" w:pos="851"/>
        </w:tabs>
        <w:ind w:left="851" w:hanging="851"/>
        <w:rPr>
          <w:b/>
          <w:sz w:val="24"/>
          <w:szCs w:val="24"/>
        </w:rPr>
      </w:pPr>
      <w:r w:rsidRPr="00443037">
        <w:rPr>
          <w:b/>
          <w:sz w:val="24"/>
          <w:szCs w:val="24"/>
        </w:rPr>
        <w:t>0.</w:t>
      </w:r>
      <w:r w:rsidRPr="00443037">
        <w:rPr>
          <w:b/>
          <w:sz w:val="24"/>
          <w:szCs w:val="24"/>
        </w:rPr>
        <w:tab/>
        <w:t>D.SP.NR.</w:t>
      </w:r>
    </w:p>
    <w:p w14:paraId="33A17DD4" w14:textId="77777777" w:rsidR="00BF2649" w:rsidRPr="00443037" w:rsidRDefault="00BF2649" w:rsidP="00BF2649">
      <w:pPr>
        <w:ind w:left="851" w:hanging="851"/>
        <w:rPr>
          <w:spacing w:val="-3"/>
          <w:sz w:val="24"/>
          <w:szCs w:val="24"/>
        </w:rPr>
      </w:pPr>
      <w:r w:rsidRPr="00443037">
        <w:rPr>
          <w:spacing w:val="-3"/>
          <w:sz w:val="24"/>
          <w:szCs w:val="24"/>
        </w:rPr>
        <w:tab/>
        <w:t>08346</w:t>
      </w:r>
    </w:p>
    <w:p w14:paraId="34F1566C" w14:textId="77777777" w:rsidR="009260DE" w:rsidRPr="00443037" w:rsidRDefault="009260DE" w:rsidP="009260DE">
      <w:pPr>
        <w:tabs>
          <w:tab w:val="left" w:pos="851"/>
        </w:tabs>
        <w:ind w:left="851"/>
        <w:rPr>
          <w:sz w:val="24"/>
          <w:szCs w:val="24"/>
        </w:rPr>
      </w:pPr>
    </w:p>
    <w:p w14:paraId="298D3624" w14:textId="77777777" w:rsidR="009260DE" w:rsidRPr="00443037" w:rsidRDefault="009260DE" w:rsidP="009260DE">
      <w:pPr>
        <w:tabs>
          <w:tab w:val="left" w:pos="851"/>
        </w:tabs>
        <w:ind w:left="851" w:hanging="851"/>
        <w:rPr>
          <w:b/>
          <w:sz w:val="24"/>
          <w:szCs w:val="24"/>
        </w:rPr>
      </w:pPr>
      <w:r w:rsidRPr="00443037">
        <w:rPr>
          <w:b/>
          <w:sz w:val="24"/>
          <w:szCs w:val="24"/>
        </w:rPr>
        <w:t>1.</w:t>
      </w:r>
      <w:r w:rsidRPr="00443037">
        <w:rPr>
          <w:b/>
          <w:sz w:val="24"/>
          <w:szCs w:val="24"/>
        </w:rPr>
        <w:tab/>
        <w:t>LÆGEMIDLETS NAVN</w:t>
      </w:r>
    </w:p>
    <w:p w14:paraId="5319CF60" w14:textId="77777777" w:rsidR="00BF2649" w:rsidRPr="00443037" w:rsidRDefault="00BF2649" w:rsidP="00BF2649">
      <w:pPr>
        <w:ind w:left="851" w:hanging="851"/>
        <w:rPr>
          <w:spacing w:val="-3"/>
          <w:sz w:val="24"/>
          <w:szCs w:val="24"/>
        </w:rPr>
      </w:pPr>
      <w:r w:rsidRPr="00443037">
        <w:rPr>
          <w:spacing w:val="-3"/>
          <w:sz w:val="24"/>
          <w:szCs w:val="24"/>
        </w:rPr>
        <w:tab/>
      </w:r>
      <w:proofErr w:type="spellStart"/>
      <w:r w:rsidRPr="00443037">
        <w:rPr>
          <w:spacing w:val="-3"/>
          <w:sz w:val="24"/>
          <w:szCs w:val="24"/>
        </w:rPr>
        <w:t>Innohep</w:t>
      </w:r>
      <w:proofErr w:type="spellEnd"/>
    </w:p>
    <w:p w14:paraId="4F3DE680" w14:textId="77777777" w:rsidR="009260DE" w:rsidRPr="00443037" w:rsidRDefault="009260DE" w:rsidP="009260DE">
      <w:pPr>
        <w:tabs>
          <w:tab w:val="left" w:pos="851"/>
        </w:tabs>
        <w:ind w:left="851"/>
        <w:rPr>
          <w:sz w:val="24"/>
          <w:szCs w:val="24"/>
        </w:rPr>
      </w:pPr>
    </w:p>
    <w:p w14:paraId="14C0A926" w14:textId="77777777" w:rsidR="009260DE" w:rsidRPr="00443037" w:rsidRDefault="009260DE" w:rsidP="009260DE">
      <w:pPr>
        <w:tabs>
          <w:tab w:val="left" w:pos="851"/>
        </w:tabs>
        <w:ind w:left="851" w:hanging="851"/>
        <w:rPr>
          <w:b/>
          <w:sz w:val="24"/>
          <w:szCs w:val="24"/>
        </w:rPr>
      </w:pPr>
      <w:r w:rsidRPr="00443037">
        <w:rPr>
          <w:b/>
          <w:sz w:val="24"/>
          <w:szCs w:val="24"/>
        </w:rPr>
        <w:t>2.</w:t>
      </w:r>
      <w:r w:rsidRPr="00443037">
        <w:rPr>
          <w:b/>
          <w:sz w:val="24"/>
          <w:szCs w:val="24"/>
        </w:rPr>
        <w:tab/>
        <w:t>KVALITATIV OG KVANTITATIV SAMMENSÆTNING</w:t>
      </w:r>
    </w:p>
    <w:p w14:paraId="47E18B74" w14:textId="77777777" w:rsidR="00BF2649" w:rsidRPr="00443037" w:rsidRDefault="00BF2649" w:rsidP="00BF2649">
      <w:pPr>
        <w:ind w:left="851"/>
        <w:rPr>
          <w:spacing w:val="-3"/>
          <w:sz w:val="24"/>
          <w:szCs w:val="24"/>
          <w:lang w:val="sv-SE"/>
        </w:rPr>
      </w:pPr>
      <w:proofErr w:type="spellStart"/>
      <w:r w:rsidRPr="00443037">
        <w:rPr>
          <w:spacing w:val="-3"/>
          <w:sz w:val="24"/>
          <w:szCs w:val="24"/>
          <w:lang w:val="sv-SE"/>
        </w:rPr>
        <w:t>Tinzaparinnatrium</w:t>
      </w:r>
      <w:proofErr w:type="spellEnd"/>
      <w:r w:rsidRPr="00443037">
        <w:rPr>
          <w:spacing w:val="-3"/>
          <w:sz w:val="24"/>
          <w:szCs w:val="24"/>
          <w:lang w:val="sv-SE"/>
        </w:rPr>
        <w:t xml:space="preserve"> </w:t>
      </w:r>
      <w:proofErr w:type="gramStart"/>
      <w:r w:rsidRPr="00443037">
        <w:rPr>
          <w:spacing w:val="-3"/>
          <w:sz w:val="24"/>
          <w:szCs w:val="24"/>
          <w:lang w:val="sv-SE"/>
        </w:rPr>
        <w:t>20.000</w:t>
      </w:r>
      <w:proofErr w:type="gramEnd"/>
      <w:r w:rsidRPr="00443037">
        <w:rPr>
          <w:spacing w:val="-3"/>
          <w:sz w:val="24"/>
          <w:szCs w:val="24"/>
          <w:lang w:val="sv-SE"/>
        </w:rPr>
        <w:t xml:space="preserve"> anti-</w:t>
      </w:r>
      <w:proofErr w:type="spellStart"/>
      <w:r w:rsidRPr="00443037">
        <w:rPr>
          <w:spacing w:val="-3"/>
          <w:sz w:val="24"/>
          <w:szCs w:val="24"/>
          <w:lang w:val="sv-SE"/>
        </w:rPr>
        <w:t>Xa</w:t>
      </w:r>
      <w:proofErr w:type="spellEnd"/>
      <w:r w:rsidRPr="00443037">
        <w:rPr>
          <w:spacing w:val="-3"/>
          <w:sz w:val="24"/>
          <w:szCs w:val="24"/>
          <w:lang w:val="sv-SE"/>
        </w:rPr>
        <w:t xml:space="preserve"> IE/ml.</w:t>
      </w:r>
    </w:p>
    <w:p w14:paraId="32AFB031" w14:textId="77777777" w:rsidR="00BF2649" w:rsidRPr="00443037" w:rsidRDefault="00BF2649" w:rsidP="00BF2649">
      <w:pPr>
        <w:ind w:left="851"/>
        <w:rPr>
          <w:spacing w:val="-3"/>
          <w:sz w:val="24"/>
          <w:szCs w:val="24"/>
          <w:lang w:val="sv-SE"/>
        </w:rPr>
      </w:pPr>
    </w:p>
    <w:p w14:paraId="1907137B" w14:textId="77777777" w:rsidR="00BF2649" w:rsidRPr="00443037" w:rsidRDefault="00BF2649" w:rsidP="00BF2649">
      <w:pPr>
        <w:ind w:left="851"/>
        <w:rPr>
          <w:spacing w:val="-3"/>
          <w:sz w:val="24"/>
          <w:szCs w:val="24"/>
          <w:u w:val="single"/>
        </w:rPr>
      </w:pPr>
      <w:r w:rsidRPr="00443037">
        <w:rPr>
          <w:spacing w:val="-3"/>
          <w:sz w:val="24"/>
          <w:szCs w:val="24"/>
          <w:u w:val="single"/>
        </w:rPr>
        <w:t>Hjælpestoffer, som behandleren skal være opmærksom på</w:t>
      </w:r>
    </w:p>
    <w:p w14:paraId="3F831AB1" w14:textId="77777777" w:rsidR="00BF2649" w:rsidRPr="00443037" w:rsidRDefault="00BF2649" w:rsidP="00BF2649">
      <w:pPr>
        <w:ind w:left="851"/>
        <w:rPr>
          <w:spacing w:val="-3"/>
          <w:sz w:val="24"/>
          <w:szCs w:val="24"/>
        </w:rPr>
      </w:pPr>
      <w:proofErr w:type="spellStart"/>
      <w:r w:rsidRPr="00443037">
        <w:rPr>
          <w:spacing w:val="-3"/>
          <w:sz w:val="24"/>
          <w:szCs w:val="24"/>
        </w:rPr>
        <w:t>Benzylalkohol</w:t>
      </w:r>
      <w:proofErr w:type="spellEnd"/>
      <w:r w:rsidRPr="00443037">
        <w:rPr>
          <w:spacing w:val="-3"/>
          <w:sz w:val="24"/>
          <w:szCs w:val="24"/>
        </w:rPr>
        <w:t xml:space="preserve"> (10 mg/ml), </w:t>
      </w:r>
      <w:proofErr w:type="spellStart"/>
      <w:r w:rsidRPr="00443037">
        <w:rPr>
          <w:spacing w:val="-3"/>
          <w:sz w:val="24"/>
          <w:szCs w:val="24"/>
        </w:rPr>
        <w:t>natriummetabisulfit</w:t>
      </w:r>
      <w:proofErr w:type="spellEnd"/>
      <w:r w:rsidRPr="00443037">
        <w:rPr>
          <w:spacing w:val="-3"/>
          <w:sz w:val="24"/>
          <w:szCs w:val="24"/>
        </w:rPr>
        <w:t xml:space="preserve"> (1,83 mg/ml) og natrium (op til 40 mg/ml).</w:t>
      </w:r>
    </w:p>
    <w:p w14:paraId="23A3DD4E" w14:textId="77777777" w:rsidR="00BF2649" w:rsidRPr="00443037" w:rsidRDefault="00BF2649" w:rsidP="00BF2649">
      <w:pPr>
        <w:ind w:left="851"/>
        <w:rPr>
          <w:spacing w:val="-3"/>
          <w:sz w:val="24"/>
          <w:szCs w:val="24"/>
        </w:rPr>
      </w:pPr>
    </w:p>
    <w:p w14:paraId="606DCD7B" w14:textId="77777777" w:rsidR="00BF2649" w:rsidRPr="00443037" w:rsidRDefault="00BF2649" w:rsidP="00BF2649">
      <w:pPr>
        <w:ind w:left="851"/>
        <w:rPr>
          <w:spacing w:val="-3"/>
          <w:sz w:val="24"/>
          <w:szCs w:val="24"/>
        </w:rPr>
      </w:pPr>
      <w:r w:rsidRPr="00443037">
        <w:rPr>
          <w:spacing w:val="-3"/>
          <w:sz w:val="24"/>
          <w:szCs w:val="24"/>
        </w:rPr>
        <w:t>Alle hjælpestoffer er anført under pkt. 6.1.</w:t>
      </w:r>
    </w:p>
    <w:p w14:paraId="4CFBA4BD" w14:textId="77777777" w:rsidR="009260DE" w:rsidRPr="00443037" w:rsidRDefault="009260DE" w:rsidP="009260DE">
      <w:pPr>
        <w:tabs>
          <w:tab w:val="left" w:pos="851"/>
        </w:tabs>
        <w:ind w:left="851"/>
        <w:rPr>
          <w:sz w:val="24"/>
          <w:szCs w:val="24"/>
        </w:rPr>
      </w:pPr>
    </w:p>
    <w:p w14:paraId="6CEBC631" w14:textId="77777777" w:rsidR="009260DE" w:rsidRPr="00443037" w:rsidRDefault="009260DE" w:rsidP="009260DE">
      <w:pPr>
        <w:tabs>
          <w:tab w:val="left" w:pos="851"/>
        </w:tabs>
        <w:ind w:left="851" w:hanging="851"/>
        <w:rPr>
          <w:b/>
          <w:sz w:val="24"/>
          <w:szCs w:val="24"/>
        </w:rPr>
      </w:pPr>
      <w:r w:rsidRPr="00443037">
        <w:rPr>
          <w:b/>
          <w:sz w:val="24"/>
          <w:szCs w:val="24"/>
        </w:rPr>
        <w:t>3.</w:t>
      </w:r>
      <w:r w:rsidRPr="00443037">
        <w:rPr>
          <w:b/>
          <w:sz w:val="24"/>
          <w:szCs w:val="24"/>
        </w:rPr>
        <w:tab/>
        <w:t>LÆGEMIDDELFORM</w:t>
      </w:r>
    </w:p>
    <w:p w14:paraId="48A435AC" w14:textId="77777777" w:rsidR="00BF2649" w:rsidRPr="00443037" w:rsidRDefault="00BF2649" w:rsidP="00BF2649">
      <w:pPr>
        <w:ind w:left="851"/>
        <w:rPr>
          <w:spacing w:val="-3"/>
          <w:sz w:val="24"/>
          <w:szCs w:val="24"/>
        </w:rPr>
      </w:pPr>
      <w:r w:rsidRPr="00443037">
        <w:rPr>
          <w:spacing w:val="-3"/>
          <w:sz w:val="24"/>
          <w:szCs w:val="24"/>
        </w:rPr>
        <w:t>Injektionsvæske, opløsning</w:t>
      </w:r>
    </w:p>
    <w:p w14:paraId="5EABDFC0" w14:textId="77777777" w:rsidR="00BF2649" w:rsidRPr="00443037" w:rsidRDefault="00BF2649" w:rsidP="00BF2649">
      <w:pPr>
        <w:ind w:left="851"/>
        <w:rPr>
          <w:spacing w:val="-3"/>
          <w:sz w:val="24"/>
          <w:szCs w:val="24"/>
        </w:rPr>
      </w:pPr>
    </w:p>
    <w:p w14:paraId="02B3A18B" w14:textId="77777777" w:rsidR="00BF2649" w:rsidRPr="00443037" w:rsidRDefault="00BF2649" w:rsidP="00BF2649">
      <w:pPr>
        <w:pStyle w:val="Brdtekstindrykning1"/>
        <w:tabs>
          <w:tab w:val="clear" w:pos="0"/>
          <w:tab w:val="clear" w:pos="851"/>
          <w:tab w:val="clear" w:pos="1217"/>
          <w:tab w:val="left" w:pos="1304"/>
        </w:tabs>
        <w:ind w:left="851" w:firstLine="0"/>
        <w:jc w:val="left"/>
        <w:rPr>
          <w:szCs w:val="24"/>
        </w:rPr>
      </w:pPr>
      <w:r w:rsidRPr="00443037">
        <w:rPr>
          <w:szCs w:val="24"/>
        </w:rPr>
        <w:t>Hætteglas á 2 ml indeholdende en farveløs eller strågul væske, fri for uklarheder og for substans, der bundfældes.</w:t>
      </w:r>
    </w:p>
    <w:p w14:paraId="4474A137" w14:textId="77777777" w:rsidR="009260DE" w:rsidRPr="00443037" w:rsidRDefault="009260DE" w:rsidP="009260DE">
      <w:pPr>
        <w:tabs>
          <w:tab w:val="left" w:pos="851"/>
        </w:tabs>
        <w:ind w:left="851"/>
        <w:rPr>
          <w:sz w:val="24"/>
          <w:szCs w:val="24"/>
        </w:rPr>
      </w:pPr>
    </w:p>
    <w:p w14:paraId="49598D40" w14:textId="77777777" w:rsidR="009260DE" w:rsidRPr="00443037" w:rsidRDefault="009260DE" w:rsidP="009260DE">
      <w:pPr>
        <w:tabs>
          <w:tab w:val="left" w:pos="851"/>
        </w:tabs>
        <w:ind w:left="851"/>
        <w:rPr>
          <w:sz w:val="24"/>
          <w:szCs w:val="24"/>
        </w:rPr>
      </w:pPr>
    </w:p>
    <w:p w14:paraId="0B8CBB07" w14:textId="77777777" w:rsidR="009260DE" w:rsidRPr="00443037" w:rsidRDefault="009260DE" w:rsidP="009260DE">
      <w:pPr>
        <w:tabs>
          <w:tab w:val="left" w:pos="851"/>
        </w:tabs>
        <w:ind w:left="851" w:hanging="851"/>
        <w:rPr>
          <w:b/>
          <w:sz w:val="24"/>
          <w:szCs w:val="24"/>
        </w:rPr>
      </w:pPr>
      <w:r w:rsidRPr="00443037">
        <w:rPr>
          <w:b/>
          <w:sz w:val="24"/>
          <w:szCs w:val="24"/>
        </w:rPr>
        <w:t>4.</w:t>
      </w:r>
      <w:r w:rsidRPr="00443037">
        <w:rPr>
          <w:b/>
          <w:sz w:val="24"/>
          <w:szCs w:val="24"/>
        </w:rPr>
        <w:tab/>
        <w:t>KLINISKE OPLYSNINGER</w:t>
      </w:r>
    </w:p>
    <w:p w14:paraId="30EFA8CD" w14:textId="77777777" w:rsidR="009260DE" w:rsidRPr="00443037" w:rsidRDefault="009260DE" w:rsidP="009260DE">
      <w:pPr>
        <w:tabs>
          <w:tab w:val="left" w:pos="851"/>
        </w:tabs>
        <w:ind w:left="851"/>
        <w:rPr>
          <w:b/>
          <w:sz w:val="24"/>
          <w:szCs w:val="24"/>
        </w:rPr>
      </w:pPr>
    </w:p>
    <w:p w14:paraId="752B8F38" w14:textId="77777777" w:rsidR="009260DE" w:rsidRPr="00443037" w:rsidRDefault="009260DE" w:rsidP="009260DE">
      <w:pPr>
        <w:tabs>
          <w:tab w:val="left" w:pos="851"/>
        </w:tabs>
        <w:ind w:left="851" w:hanging="851"/>
        <w:rPr>
          <w:b/>
          <w:sz w:val="24"/>
          <w:szCs w:val="24"/>
          <w:u w:val="single"/>
        </w:rPr>
      </w:pPr>
      <w:r w:rsidRPr="00443037">
        <w:rPr>
          <w:b/>
          <w:sz w:val="24"/>
          <w:szCs w:val="24"/>
        </w:rPr>
        <w:t>4.1</w:t>
      </w:r>
      <w:r w:rsidRPr="00443037">
        <w:rPr>
          <w:b/>
          <w:sz w:val="24"/>
          <w:szCs w:val="24"/>
        </w:rPr>
        <w:tab/>
        <w:t>Terapeutiske indikationer</w:t>
      </w:r>
    </w:p>
    <w:p w14:paraId="281290A7" w14:textId="77777777" w:rsidR="00BF2649" w:rsidRPr="00443037" w:rsidRDefault="00BF2649" w:rsidP="00BF2649">
      <w:pPr>
        <w:ind w:left="851"/>
        <w:rPr>
          <w:spacing w:val="-3"/>
          <w:sz w:val="24"/>
          <w:szCs w:val="24"/>
        </w:rPr>
      </w:pPr>
      <w:r w:rsidRPr="00443037">
        <w:rPr>
          <w:spacing w:val="-3"/>
          <w:sz w:val="24"/>
          <w:szCs w:val="24"/>
        </w:rPr>
        <w:t xml:space="preserve">Behandling af venøs trombose og </w:t>
      </w:r>
      <w:proofErr w:type="spellStart"/>
      <w:r w:rsidRPr="00443037">
        <w:rPr>
          <w:spacing w:val="-3"/>
          <w:sz w:val="24"/>
          <w:szCs w:val="24"/>
        </w:rPr>
        <w:t>tromboembolisk</w:t>
      </w:r>
      <w:proofErr w:type="spellEnd"/>
      <w:r w:rsidRPr="00443037">
        <w:rPr>
          <w:spacing w:val="-3"/>
          <w:sz w:val="24"/>
          <w:szCs w:val="24"/>
        </w:rPr>
        <w:t xml:space="preserve"> sygdom inkl. dyb venøs trombose og </w:t>
      </w:r>
      <w:proofErr w:type="spellStart"/>
      <w:r w:rsidRPr="00443037">
        <w:rPr>
          <w:spacing w:val="-3"/>
          <w:sz w:val="24"/>
          <w:szCs w:val="24"/>
        </w:rPr>
        <w:t>lungeemboli</w:t>
      </w:r>
      <w:proofErr w:type="spellEnd"/>
      <w:r w:rsidRPr="00443037">
        <w:rPr>
          <w:spacing w:val="-3"/>
          <w:sz w:val="24"/>
          <w:szCs w:val="24"/>
        </w:rPr>
        <w:t xml:space="preserve"> hos voksne.</w:t>
      </w:r>
    </w:p>
    <w:p w14:paraId="6B442DBB" w14:textId="77777777" w:rsidR="00BF2649" w:rsidRPr="00443037" w:rsidRDefault="00BF2649" w:rsidP="00BF2649">
      <w:pPr>
        <w:ind w:left="851"/>
        <w:rPr>
          <w:spacing w:val="-3"/>
          <w:sz w:val="24"/>
          <w:szCs w:val="24"/>
        </w:rPr>
      </w:pPr>
    </w:p>
    <w:p w14:paraId="319B61AF" w14:textId="77777777" w:rsidR="00BF2649" w:rsidRPr="00443037" w:rsidRDefault="00BF2649" w:rsidP="00BF2649">
      <w:pPr>
        <w:ind w:left="851"/>
        <w:rPr>
          <w:spacing w:val="-3"/>
          <w:sz w:val="24"/>
          <w:szCs w:val="24"/>
        </w:rPr>
      </w:pPr>
      <w:r w:rsidRPr="00443037">
        <w:rPr>
          <w:spacing w:val="-3"/>
          <w:sz w:val="24"/>
          <w:szCs w:val="24"/>
        </w:rPr>
        <w:t xml:space="preserve">Langtidsbehandling af venøs </w:t>
      </w:r>
      <w:proofErr w:type="spellStart"/>
      <w:r w:rsidRPr="00443037">
        <w:rPr>
          <w:spacing w:val="-3"/>
          <w:sz w:val="24"/>
          <w:szCs w:val="24"/>
        </w:rPr>
        <w:t>tromboembolisme</w:t>
      </w:r>
      <w:proofErr w:type="spellEnd"/>
      <w:r w:rsidRPr="00443037">
        <w:rPr>
          <w:spacing w:val="-3"/>
          <w:sz w:val="24"/>
          <w:szCs w:val="24"/>
        </w:rPr>
        <w:t xml:space="preserve"> og forebyggelse af tilbagefald hos voksne patienter med aktiv cancer.</w:t>
      </w:r>
    </w:p>
    <w:p w14:paraId="30FF4F11" w14:textId="77777777" w:rsidR="00BF2649" w:rsidRPr="00443037" w:rsidRDefault="00BF2649" w:rsidP="00BF2649">
      <w:pPr>
        <w:ind w:left="851"/>
        <w:rPr>
          <w:spacing w:val="-3"/>
          <w:sz w:val="24"/>
          <w:szCs w:val="24"/>
        </w:rPr>
      </w:pPr>
    </w:p>
    <w:p w14:paraId="4D890682" w14:textId="77777777" w:rsidR="00BF2649" w:rsidRPr="00443037" w:rsidRDefault="00BF2649" w:rsidP="00BF2649">
      <w:pPr>
        <w:ind w:left="851"/>
        <w:rPr>
          <w:spacing w:val="-3"/>
          <w:sz w:val="24"/>
          <w:szCs w:val="24"/>
        </w:rPr>
      </w:pPr>
      <w:r w:rsidRPr="00443037">
        <w:rPr>
          <w:spacing w:val="-3"/>
          <w:sz w:val="24"/>
          <w:szCs w:val="24"/>
        </w:rPr>
        <w:t xml:space="preserve">For visse patienter med </w:t>
      </w:r>
      <w:proofErr w:type="spellStart"/>
      <w:r w:rsidRPr="00443037">
        <w:rPr>
          <w:spacing w:val="-3"/>
          <w:sz w:val="24"/>
          <w:szCs w:val="24"/>
        </w:rPr>
        <w:t>lungeemboli</w:t>
      </w:r>
      <w:proofErr w:type="spellEnd"/>
      <w:r w:rsidRPr="00443037">
        <w:rPr>
          <w:spacing w:val="-3"/>
          <w:sz w:val="24"/>
          <w:szCs w:val="24"/>
        </w:rPr>
        <w:t xml:space="preserve"> (f.eks. dem med svær </w:t>
      </w:r>
      <w:proofErr w:type="spellStart"/>
      <w:r w:rsidRPr="00443037">
        <w:rPr>
          <w:spacing w:val="-3"/>
          <w:sz w:val="24"/>
          <w:szCs w:val="24"/>
        </w:rPr>
        <w:t>hæmodynamisk</w:t>
      </w:r>
      <w:proofErr w:type="spellEnd"/>
      <w:r w:rsidRPr="00443037">
        <w:rPr>
          <w:spacing w:val="-3"/>
          <w:sz w:val="24"/>
          <w:szCs w:val="24"/>
        </w:rPr>
        <w:t xml:space="preserve"> ustabilitet) kan alternativ behandling, såsom operation eller </w:t>
      </w:r>
      <w:proofErr w:type="spellStart"/>
      <w:r w:rsidRPr="00443037">
        <w:rPr>
          <w:spacing w:val="-3"/>
          <w:sz w:val="24"/>
          <w:szCs w:val="24"/>
        </w:rPr>
        <w:t>trombolyse</w:t>
      </w:r>
      <w:proofErr w:type="spellEnd"/>
      <w:r w:rsidRPr="00443037">
        <w:rPr>
          <w:spacing w:val="-3"/>
          <w:sz w:val="24"/>
          <w:szCs w:val="24"/>
        </w:rPr>
        <w:t xml:space="preserve">, være indiceret. </w:t>
      </w:r>
    </w:p>
    <w:p w14:paraId="76F88E04" w14:textId="610092FE" w:rsidR="000624B8" w:rsidRPr="00443037" w:rsidRDefault="000624B8">
      <w:pPr>
        <w:rPr>
          <w:sz w:val="24"/>
          <w:szCs w:val="24"/>
        </w:rPr>
      </w:pPr>
      <w:r w:rsidRPr="00443037">
        <w:rPr>
          <w:sz w:val="24"/>
          <w:szCs w:val="24"/>
        </w:rPr>
        <w:br w:type="page"/>
      </w:r>
    </w:p>
    <w:p w14:paraId="6E13F5C2" w14:textId="77777777" w:rsidR="009260DE" w:rsidRPr="00443037" w:rsidRDefault="009260DE" w:rsidP="009260DE">
      <w:pPr>
        <w:tabs>
          <w:tab w:val="left" w:pos="851"/>
        </w:tabs>
        <w:ind w:left="851"/>
        <w:rPr>
          <w:sz w:val="24"/>
          <w:szCs w:val="24"/>
        </w:rPr>
      </w:pPr>
    </w:p>
    <w:p w14:paraId="386D20E5" w14:textId="77777777" w:rsidR="009260DE" w:rsidRPr="00443037" w:rsidRDefault="009260DE" w:rsidP="009260DE">
      <w:pPr>
        <w:tabs>
          <w:tab w:val="left" w:pos="851"/>
        </w:tabs>
        <w:ind w:left="851" w:hanging="851"/>
        <w:rPr>
          <w:b/>
          <w:sz w:val="24"/>
          <w:szCs w:val="24"/>
        </w:rPr>
      </w:pPr>
      <w:r w:rsidRPr="00443037">
        <w:rPr>
          <w:b/>
          <w:sz w:val="24"/>
          <w:szCs w:val="24"/>
        </w:rPr>
        <w:t>4.2</w:t>
      </w:r>
      <w:r w:rsidRPr="00443037">
        <w:rPr>
          <w:b/>
          <w:sz w:val="24"/>
          <w:szCs w:val="24"/>
        </w:rPr>
        <w:tab/>
        <w:t xml:space="preserve">Dosering og </w:t>
      </w:r>
      <w:r w:rsidR="002C1EC0" w:rsidRPr="00443037">
        <w:rPr>
          <w:b/>
          <w:sz w:val="24"/>
          <w:szCs w:val="24"/>
        </w:rPr>
        <w:t>administration</w:t>
      </w:r>
    </w:p>
    <w:p w14:paraId="4224FC82" w14:textId="77777777" w:rsidR="00BF2649" w:rsidRPr="00443037" w:rsidRDefault="00BF2649" w:rsidP="00BF2649">
      <w:pPr>
        <w:ind w:left="851"/>
        <w:rPr>
          <w:b/>
          <w:spacing w:val="-3"/>
          <w:sz w:val="24"/>
          <w:szCs w:val="24"/>
        </w:rPr>
      </w:pPr>
    </w:p>
    <w:p w14:paraId="05833D6B" w14:textId="658533E6" w:rsidR="00BF2649" w:rsidRPr="00443037" w:rsidRDefault="00BF2649" w:rsidP="00BF2649">
      <w:pPr>
        <w:ind w:left="851"/>
        <w:rPr>
          <w:b/>
          <w:spacing w:val="-3"/>
          <w:sz w:val="24"/>
          <w:szCs w:val="24"/>
        </w:rPr>
      </w:pPr>
      <w:r w:rsidRPr="00443037">
        <w:rPr>
          <w:b/>
          <w:spacing w:val="-3"/>
          <w:sz w:val="24"/>
          <w:szCs w:val="24"/>
        </w:rPr>
        <w:t>Dosering</w:t>
      </w:r>
    </w:p>
    <w:p w14:paraId="16D7DF81" w14:textId="77777777" w:rsidR="00BF2649" w:rsidRPr="00443037" w:rsidRDefault="00BF2649" w:rsidP="00BF2649">
      <w:pPr>
        <w:ind w:left="851"/>
        <w:rPr>
          <w:spacing w:val="-3"/>
          <w:sz w:val="24"/>
          <w:szCs w:val="24"/>
        </w:rPr>
      </w:pPr>
    </w:p>
    <w:p w14:paraId="72A62317" w14:textId="77777777" w:rsidR="00BF2649" w:rsidRPr="00443037" w:rsidRDefault="00BF2649" w:rsidP="00BF2649">
      <w:pPr>
        <w:ind w:left="851"/>
        <w:rPr>
          <w:spacing w:val="-3"/>
          <w:sz w:val="24"/>
          <w:szCs w:val="24"/>
          <w:u w:val="single"/>
        </w:rPr>
      </w:pPr>
      <w:r w:rsidRPr="00443037">
        <w:rPr>
          <w:spacing w:val="-3"/>
          <w:sz w:val="24"/>
          <w:szCs w:val="24"/>
          <w:u w:val="single"/>
        </w:rPr>
        <w:t>Voksne</w:t>
      </w:r>
    </w:p>
    <w:p w14:paraId="6A9D1147" w14:textId="77777777" w:rsidR="00BF2649" w:rsidRPr="00443037" w:rsidRDefault="00BF2649" w:rsidP="00BF2649">
      <w:pPr>
        <w:ind w:left="851"/>
        <w:rPr>
          <w:spacing w:val="-3"/>
          <w:sz w:val="24"/>
          <w:szCs w:val="24"/>
        </w:rPr>
      </w:pPr>
      <w:r w:rsidRPr="00443037">
        <w:rPr>
          <w:spacing w:val="-3"/>
          <w:sz w:val="24"/>
          <w:szCs w:val="24"/>
        </w:rPr>
        <w:t xml:space="preserve">175 </w:t>
      </w:r>
      <w:proofErr w:type="spellStart"/>
      <w:r w:rsidRPr="00443037">
        <w:rPr>
          <w:spacing w:val="-3"/>
          <w:sz w:val="24"/>
          <w:szCs w:val="24"/>
        </w:rPr>
        <w:t>anti-Xa</w:t>
      </w:r>
      <w:proofErr w:type="spellEnd"/>
      <w:r w:rsidRPr="00443037">
        <w:rPr>
          <w:spacing w:val="-3"/>
          <w:sz w:val="24"/>
          <w:szCs w:val="24"/>
        </w:rPr>
        <w:t xml:space="preserve"> IE/kg legemsvægt givet subkutant 1 gang daglig i mindst 6 dage og indtil tilstrækkelig peroral antikoagulation er igangsat.</w:t>
      </w:r>
    </w:p>
    <w:p w14:paraId="26ACCE99" w14:textId="77777777" w:rsidR="00BF2649" w:rsidRPr="00443037" w:rsidRDefault="00BF2649" w:rsidP="00BF2649">
      <w:pPr>
        <w:ind w:left="851"/>
        <w:rPr>
          <w:i/>
          <w:spacing w:val="-3"/>
          <w:sz w:val="24"/>
          <w:szCs w:val="24"/>
        </w:rPr>
      </w:pPr>
    </w:p>
    <w:p w14:paraId="4E7E9C72" w14:textId="77777777" w:rsidR="00BF2649" w:rsidRPr="00443037" w:rsidRDefault="00BF2649" w:rsidP="00BF2649">
      <w:pPr>
        <w:ind w:left="851"/>
        <w:rPr>
          <w:spacing w:val="-3"/>
          <w:sz w:val="24"/>
          <w:szCs w:val="24"/>
        </w:rPr>
      </w:pPr>
      <w:r w:rsidRPr="00443037">
        <w:rPr>
          <w:i/>
          <w:spacing w:val="-3"/>
          <w:sz w:val="24"/>
          <w:szCs w:val="24"/>
        </w:rPr>
        <w:t>Langtidsbehandling hos voksne patienter med aktiv cancer</w:t>
      </w:r>
    </w:p>
    <w:p w14:paraId="6A44AB96" w14:textId="77777777" w:rsidR="00BF2649" w:rsidRPr="00443037" w:rsidRDefault="00BF2649" w:rsidP="00BF2649">
      <w:pPr>
        <w:ind w:left="851"/>
        <w:rPr>
          <w:i/>
          <w:spacing w:val="-3"/>
          <w:sz w:val="24"/>
          <w:szCs w:val="24"/>
        </w:rPr>
      </w:pPr>
      <w:r w:rsidRPr="00443037">
        <w:rPr>
          <w:spacing w:val="-3"/>
          <w:sz w:val="24"/>
          <w:szCs w:val="24"/>
        </w:rPr>
        <w:t xml:space="preserve">175 IE </w:t>
      </w:r>
      <w:proofErr w:type="spellStart"/>
      <w:r w:rsidRPr="00443037">
        <w:rPr>
          <w:spacing w:val="-3"/>
          <w:sz w:val="24"/>
          <w:szCs w:val="24"/>
        </w:rPr>
        <w:t>anti-Xa</w:t>
      </w:r>
      <w:proofErr w:type="spellEnd"/>
      <w:r w:rsidRPr="00443037">
        <w:rPr>
          <w:spacing w:val="-3"/>
          <w:sz w:val="24"/>
          <w:szCs w:val="24"/>
        </w:rPr>
        <w:t xml:space="preserve">/kg givet subkutant 1 gang daglig. Den anbefalede behandlingsvarighed er 6 måneder. Fordelen ved fortsat </w:t>
      </w:r>
      <w:proofErr w:type="spellStart"/>
      <w:r w:rsidRPr="00443037">
        <w:rPr>
          <w:spacing w:val="-3"/>
          <w:sz w:val="24"/>
          <w:szCs w:val="24"/>
        </w:rPr>
        <w:t>antikoagulant</w:t>
      </w:r>
      <w:proofErr w:type="spellEnd"/>
      <w:r w:rsidRPr="00443037">
        <w:rPr>
          <w:spacing w:val="-3"/>
          <w:sz w:val="24"/>
          <w:szCs w:val="24"/>
        </w:rPr>
        <w:t xml:space="preserve"> behandling ud over 6 måneder bør evalueres.</w:t>
      </w:r>
      <w:r w:rsidRPr="00443037">
        <w:rPr>
          <w:i/>
          <w:spacing w:val="-3"/>
          <w:sz w:val="24"/>
          <w:szCs w:val="24"/>
        </w:rPr>
        <w:t xml:space="preserve"> </w:t>
      </w:r>
    </w:p>
    <w:p w14:paraId="67778217" w14:textId="77777777" w:rsidR="00BF2649" w:rsidRPr="00443037" w:rsidRDefault="00BF2649" w:rsidP="00BF2649">
      <w:pPr>
        <w:ind w:left="851"/>
        <w:rPr>
          <w:i/>
          <w:spacing w:val="-3"/>
          <w:sz w:val="24"/>
          <w:szCs w:val="24"/>
        </w:rPr>
      </w:pPr>
    </w:p>
    <w:p w14:paraId="6EC69C12" w14:textId="77777777" w:rsidR="00BF2649" w:rsidRPr="00443037" w:rsidRDefault="00BF2649" w:rsidP="00BF2649">
      <w:pPr>
        <w:ind w:left="851"/>
        <w:rPr>
          <w:spacing w:val="-3"/>
          <w:sz w:val="24"/>
          <w:szCs w:val="24"/>
        </w:rPr>
      </w:pPr>
      <w:proofErr w:type="spellStart"/>
      <w:r w:rsidRPr="00443037">
        <w:rPr>
          <w:i/>
          <w:spacing w:val="-3"/>
          <w:sz w:val="24"/>
          <w:szCs w:val="24"/>
        </w:rPr>
        <w:t>Neuraksial</w:t>
      </w:r>
      <w:proofErr w:type="spellEnd"/>
      <w:r w:rsidRPr="00443037">
        <w:rPr>
          <w:i/>
          <w:spacing w:val="-3"/>
          <w:sz w:val="24"/>
          <w:szCs w:val="24"/>
        </w:rPr>
        <w:t xml:space="preserve"> anæstesi</w:t>
      </w:r>
    </w:p>
    <w:p w14:paraId="545E5812" w14:textId="77777777" w:rsidR="00BF2649" w:rsidRPr="00443037" w:rsidRDefault="00BF2649" w:rsidP="00BF2649">
      <w:pPr>
        <w:ind w:left="851"/>
        <w:rPr>
          <w:spacing w:val="-3"/>
          <w:sz w:val="24"/>
          <w:szCs w:val="24"/>
        </w:rPr>
      </w:pPr>
      <w:r w:rsidRPr="00443037">
        <w:rPr>
          <w:spacing w:val="-3"/>
          <w:sz w:val="24"/>
          <w:szCs w:val="24"/>
        </w:rPr>
        <w:t xml:space="preserve">Behandlingsdoser af </w:t>
      </w:r>
      <w:proofErr w:type="spellStart"/>
      <w:r w:rsidRPr="00443037">
        <w:rPr>
          <w:spacing w:val="-3"/>
          <w:sz w:val="24"/>
          <w:szCs w:val="24"/>
        </w:rPr>
        <w:t>Innohep</w:t>
      </w:r>
      <w:proofErr w:type="spellEnd"/>
      <w:r w:rsidRPr="00443037">
        <w:rPr>
          <w:spacing w:val="-3"/>
          <w:sz w:val="24"/>
          <w:szCs w:val="24"/>
        </w:rPr>
        <w:t xml:space="preserve"> (175 </w:t>
      </w:r>
      <w:proofErr w:type="spellStart"/>
      <w:r w:rsidRPr="00443037">
        <w:rPr>
          <w:spacing w:val="-3"/>
          <w:sz w:val="24"/>
          <w:szCs w:val="24"/>
        </w:rPr>
        <w:t>anti-Xa</w:t>
      </w:r>
      <w:proofErr w:type="spellEnd"/>
      <w:r w:rsidRPr="00443037">
        <w:rPr>
          <w:spacing w:val="-3"/>
          <w:sz w:val="24"/>
          <w:szCs w:val="24"/>
        </w:rPr>
        <w:t xml:space="preserve"> IE/kg) er kontraindiceret i patienter, der modtager </w:t>
      </w:r>
      <w:proofErr w:type="spellStart"/>
      <w:r w:rsidRPr="00443037">
        <w:rPr>
          <w:spacing w:val="-3"/>
          <w:sz w:val="24"/>
          <w:szCs w:val="24"/>
        </w:rPr>
        <w:t>neuraksial</w:t>
      </w:r>
      <w:proofErr w:type="spellEnd"/>
      <w:r w:rsidRPr="00443037">
        <w:rPr>
          <w:spacing w:val="-3"/>
          <w:sz w:val="24"/>
          <w:szCs w:val="24"/>
        </w:rPr>
        <w:t xml:space="preserve"> anæstesi, se pkt. 4.3. Hvis der planlægges </w:t>
      </w:r>
      <w:proofErr w:type="spellStart"/>
      <w:r w:rsidRPr="00443037">
        <w:rPr>
          <w:spacing w:val="-3"/>
          <w:sz w:val="24"/>
          <w:szCs w:val="24"/>
        </w:rPr>
        <w:t>neuraksial</w:t>
      </w:r>
      <w:proofErr w:type="spellEnd"/>
      <w:r w:rsidRPr="00443037">
        <w:rPr>
          <w:spacing w:val="-3"/>
          <w:sz w:val="24"/>
          <w:szCs w:val="24"/>
        </w:rPr>
        <w:t xml:space="preserve"> anæstesi, bør behandling med </w:t>
      </w:r>
      <w:proofErr w:type="spellStart"/>
      <w:r w:rsidRPr="00443037">
        <w:rPr>
          <w:spacing w:val="-3"/>
          <w:sz w:val="24"/>
          <w:szCs w:val="24"/>
        </w:rPr>
        <w:t>Innohep</w:t>
      </w:r>
      <w:proofErr w:type="spellEnd"/>
      <w:r w:rsidRPr="00443037">
        <w:rPr>
          <w:spacing w:val="-3"/>
          <w:sz w:val="24"/>
          <w:szCs w:val="24"/>
        </w:rPr>
        <w:t xml:space="preserve"> afbrydes mindst 24 timer før proceduren udføres. Behandling med </w:t>
      </w:r>
      <w:proofErr w:type="spellStart"/>
      <w:r w:rsidRPr="00443037">
        <w:rPr>
          <w:spacing w:val="-3"/>
          <w:sz w:val="24"/>
          <w:szCs w:val="24"/>
        </w:rPr>
        <w:t>Innohep</w:t>
      </w:r>
      <w:proofErr w:type="spellEnd"/>
      <w:r w:rsidRPr="00443037">
        <w:rPr>
          <w:spacing w:val="-3"/>
          <w:sz w:val="24"/>
          <w:szCs w:val="24"/>
        </w:rPr>
        <w:t xml:space="preserve"> bør ikke genoptages før mindst 4-6 timer efter brug af spinal anæstesi eller efter kateteret er fjernet.</w:t>
      </w:r>
    </w:p>
    <w:p w14:paraId="42659C5B" w14:textId="77777777" w:rsidR="00BF2649" w:rsidRPr="00443037" w:rsidRDefault="00BF2649" w:rsidP="00BF2649">
      <w:pPr>
        <w:ind w:left="851"/>
        <w:rPr>
          <w:spacing w:val="-3"/>
          <w:sz w:val="24"/>
          <w:szCs w:val="24"/>
        </w:rPr>
      </w:pPr>
    </w:p>
    <w:p w14:paraId="4F2C2586" w14:textId="77777777" w:rsidR="00BF2649" w:rsidRPr="00443037" w:rsidRDefault="00BF2649" w:rsidP="00BF2649">
      <w:pPr>
        <w:ind w:left="851"/>
        <w:rPr>
          <w:spacing w:val="-3"/>
          <w:sz w:val="24"/>
          <w:szCs w:val="24"/>
        </w:rPr>
      </w:pPr>
      <w:r w:rsidRPr="00443037">
        <w:rPr>
          <w:i/>
          <w:spacing w:val="-3"/>
          <w:sz w:val="24"/>
          <w:szCs w:val="24"/>
        </w:rPr>
        <w:t>Udskiftelighed</w:t>
      </w:r>
    </w:p>
    <w:p w14:paraId="6BA8770B" w14:textId="77777777" w:rsidR="00BF2649" w:rsidRPr="00443037" w:rsidRDefault="00BF2649" w:rsidP="00BF2649">
      <w:pPr>
        <w:ind w:left="851"/>
        <w:rPr>
          <w:spacing w:val="-3"/>
          <w:sz w:val="24"/>
          <w:szCs w:val="24"/>
        </w:rPr>
      </w:pPr>
      <w:r w:rsidRPr="00443037">
        <w:rPr>
          <w:spacing w:val="-3"/>
          <w:sz w:val="24"/>
          <w:szCs w:val="24"/>
        </w:rPr>
        <w:t xml:space="preserve">Se pkt. 4.4 for udskiftelighed med andre lavmolekylære </w:t>
      </w:r>
      <w:proofErr w:type="spellStart"/>
      <w:r w:rsidRPr="00443037">
        <w:rPr>
          <w:spacing w:val="-3"/>
          <w:sz w:val="24"/>
          <w:szCs w:val="24"/>
        </w:rPr>
        <w:t>hepariner</w:t>
      </w:r>
      <w:proofErr w:type="spellEnd"/>
      <w:r w:rsidRPr="00443037">
        <w:rPr>
          <w:spacing w:val="-3"/>
          <w:sz w:val="24"/>
          <w:szCs w:val="24"/>
        </w:rPr>
        <w:t>.</w:t>
      </w:r>
    </w:p>
    <w:p w14:paraId="38EBDA61" w14:textId="77777777" w:rsidR="00BF2649" w:rsidRPr="00443037" w:rsidRDefault="00BF2649" w:rsidP="00BF2649">
      <w:pPr>
        <w:ind w:left="851"/>
        <w:rPr>
          <w:spacing w:val="-3"/>
          <w:sz w:val="24"/>
          <w:szCs w:val="24"/>
        </w:rPr>
      </w:pPr>
    </w:p>
    <w:p w14:paraId="4B259EF8" w14:textId="77777777" w:rsidR="00BF2649" w:rsidRPr="00443037" w:rsidRDefault="00BF2649" w:rsidP="00BF2649">
      <w:pPr>
        <w:ind w:left="851"/>
        <w:rPr>
          <w:spacing w:val="-3"/>
          <w:sz w:val="24"/>
          <w:szCs w:val="24"/>
          <w:u w:val="single"/>
        </w:rPr>
      </w:pPr>
      <w:r w:rsidRPr="00443037">
        <w:rPr>
          <w:spacing w:val="-3"/>
          <w:sz w:val="24"/>
          <w:szCs w:val="24"/>
          <w:u w:val="single"/>
        </w:rPr>
        <w:t>Pædiatrisk population</w:t>
      </w:r>
    </w:p>
    <w:p w14:paraId="7D5060DD" w14:textId="77777777" w:rsidR="00BF2649" w:rsidRPr="00443037" w:rsidRDefault="00BF2649" w:rsidP="00BF2649">
      <w:pPr>
        <w:ind w:left="851"/>
        <w:rPr>
          <w:spacing w:val="-3"/>
          <w:sz w:val="24"/>
          <w:szCs w:val="24"/>
        </w:rPr>
      </w:pPr>
      <w:proofErr w:type="spellStart"/>
      <w:r w:rsidRPr="00443037">
        <w:rPr>
          <w:spacing w:val="-3"/>
          <w:sz w:val="24"/>
          <w:szCs w:val="24"/>
        </w:rPr>
        <w:t>Innoheps</w:t>
      </w:r>
      <w:proofErr w:type="spellEnd"/>
      <w:r w:rsidRPr="00443037">
        <w:rPr>
          <w:spacing w:val="-3"/>
          <w:sz w:val="24"/>
          <w:szCs w:val="24"/>
        </w:rPr>
        <w:t xml:space="preserve"> sikkerhed og virkning hos børn i alderen under 18 år er endnu ikke klarlagt. Nuværende tilgængelige data er beskrevet i pkt. 5.2, men ingen doseringsrekommandation kan udarbejdes. </w:t>
      </w:r>
    </w:p>
    <w:p w14:paraId="0FA0F726" w14:textId="77777777" w:rsidR="00BF2649" w:rsidRPr="00443037" w:rsidRDefault="00BF2649" w:rsidP="00BF2649">
      <w:pPr>
        <w:ind w:left="851"/>
        <w:rPr>
          <w:spacing w:val="-3"/>
          <w:sz w:val="24"/>
          <w:szCs w:val="24"/>
        </w:rPr>
      </w:pPr>
    </w:p>
    <w:p w14:paraId="2D361FD5" w14:textId="77777777" w:rsidR="00BF2649" w:rsidRPr="00443037" w:rsidRDefault="00BF2649" w:rsidP="00BF2649">
      <w:pPr>
        <w:ind w:left="851"/>
        <w:rPr>
          <w:b/>
          <w:bCs/>
          <w:iCs/>
          <w:spacing w:val="-3"/>
          <w:sz w:val="24"/>
          <w:szCs w:val="24"/>
          <w:u w:val="single"/>
        </w:rPr>
      </w:pPr>
      <w:r w:rsidRPr="00443037">
        <w:rPr>
          <w:bCs/>
          <w:iCs/>
          <w:spacing w:val="-3"/>
          <w:sz w:val="24"/>
          <w:szCs w:val="24"/>
          <w:u w:val="single"/>
        </w:rPr>
        <w:t>Nedsat nyrefunktion</w:t>
      </w:r>
    </w:p>
    <w:p w14:paraId="106FFC9B" w14:textId="77777777" w:rsidR="00BF2649" w:rsidRPr="00443037" w:rsidRDefault="00BF2649" w:rsidP="00BF2649">
      <w:pPr>
        <w:ind w:left="851"/>
        <w:rPr>
          <w:spacing w:val="-3"/>
          <w:sz w:val="24"/>
          <w:szCs w:val="24"/>
        </w:rPr>
      </w:pPr>
      <w:r w:rsidRPr="00443037">
        <w:rPr>
          <w:spacing w:val="-3"/>
          <w:sz w:val="24"/>
          <w:szCs w:val="24"/>
        </w:rPr>
        <w:t xml:space="preserve">Ved mistanke om nedsat nyrefunktion, skal nyrefunktionen vurderes ved hjælp af en </w:t>
      </w:r>
      <w:proofErr w:type="spellStart"/>
      <w:r w:rsidRPr="00443037">
        <w:rPr>
          <w:spacing w:val="-3"/>
          <w:sz w:val="24"/>
          <w:szCs w:val="24"/>
        </w:rPr>
        <w:t>serumkreatinin</w:t>
      </w:r>
      <w:proofErr w:type="spellEnd"/>
      <w:r w:rsidRPr="00443037">
        <w:rPr>
          <w:spacing w:val="-3"/>
          <w:sz w:val="24"/>
          <w:szCs w:val="24"/>
        </w:rPr>
        <w:t xml:space="preserve"> baseret formel til beregning af </w:t>
      </w:r>
      <w:proofErr w:type="spellStart"/>
      <w:r w:rsidRPr="00443037">
        <w:rPr>
          <w:spacing w:val="-3"/>
          <w:sz w:val="24"/>
          <w:szCs w:val="24"/>
        </w:rPr>
        <w:t>kreatininclearance</w:t>
      </w:r>
      <w:proofErr w:type="spellEnd"/>
      <w:r w:rsidRPr="00443037">
        <w:rPr>
          <w:spacing w:val="-3"/>
          <w:sz w:val="24"/>
          <w:szCs w:val="24"/>
        </w:rPr>
        <w:t xml:space="preserve">-niveau. </w:t>
      </w:r>
    </w:p>
    <w:p w14:paraId="333A9210" w14:textId="77777777" w:rsidR="00BF2649" w:rsidRPr="00443037" w:rsidRDefault="00BF2649" w:rsidP="00BF2649">
      <w:pPr>
        <w:ind w:left="851"/>
        <w:rPr>
          <w:spacing w:val="-3"/>
          <w:sz w:val="24"/>
          <w:szCs w:val="24"/>
        </w:rPr>
      </w:pPr>
      <w:r w:rsidRPr="00443037">
        <w:rPr>
          <w:spacing w:val="-3"/>
          <w:sz w:val="24"/>
          <w:szCs w:val="24"/>
        </w:rPr>
        <w:t xml:space="preserve">Anvendelse til patienter med et </w:t>
      </w:r>
      <w:proofErr w:type="spellStart"/>
      <w:r w:rsidRPr="00443037">
        <w:rPr>
          <w:spacing w:val="-3"/>
          <w:sz w:val="24"/>
          <w:szCs w:val="24"/>
        </w:rPr>
        <w:t>kreatininclearance</w:t>
      </w:r>
      <w:proofErr w:type="spellEnd"/>
      <w:r w:rsidRPr="00443037">
        <w:rPr>
          <w:spacing w:val="-3"/>
          <w:sz w:val="24"/>
          <w:szCs w:val="24"/>
        </w:rPr>
        <w:t xml:space="preserve">-niveau &lt;30 ml/minut anbefales ikke, da doseringen i denne population ikke er fastlagt. Tilgængelige oplysninger viser ingen akkumulering hos patienter med </w:t>
      </w:r>
      <w:proofErr w:type="spellStart"/>
      <w:r w:rsidRPr="00443037">
        <w:rPr>
          <w:spacing w:val="-3"/>
          <w:sz w:val="24"/>
          <w:szCs w:val="24"/>
        </w:rPr>
        <w:t>kreatininclearance</w:t>
      </w:r>
      <w:proofErr w:type="spellEnd"/>
      <w:r w:rsidRPr="00443037">
        <w:rPr>
          <w:spacing w:val="-3"/>
          <w:sz w:val="24"/>
          <w:szCs w:val="24"/>
        </w:rPr>
        <w:t>-niv</w:t>
      </w:r>
      <w:bookmarkStart w:id="1" w:name="_Hlk177739768"/>
      <w:r w:rsidRPr="00443037">
        <w:rPr>
          <w:spacing w:val="-3"/>
          <w:sz w:val="24"/>
          <w:szCs w:val="24"/>
        </w:rPr>
        <w:t>eauer</w:t>
      </w:r>
      <w:bookmarkEnd w:id="1"/>
      <w:r w:rsidRPr="00443037">
        <w:rPr>
          <w:spacing w:val="-3"/>
          <w:sz w:val="24"/>
          <w:szCs w:val="24"/>
        </w:rPr>
        <w:t xml:space="preserve"> ned til 20 ml/minut. Når det er påkrævet for disse patienter, kan </w:t>
      </w:r>
      <w:proofErr w:type="spellStart"/>
      <w:r w:rsidRPr="00443037">
        <w:rPr>
          <w:spacing w:val="-3"/>
          <w:sz w:val="24"/>
          <w:szCs w:val="24"/>
        </w:rPr>
        <w:t>Innohep</w:t>
      </w:r>
      <w:proofErr w:type="spellEnd"/>
      <w:r w:rsidRPr="00443037">
        <w:rPr>
          <w:spacing w:val="-3"/>
          <w:sz w:val="24"/>
          <w:szCs w:val="24"/>
        </w:rPr>
        <w:t xml:space="preserve">-behandling iværksættes med </w:t>
      </w:r>
      <w:proofErr w:type="spellStart"/>
      <w:r w:rsidRPr="00443037">
        <w:rPr>
          <w:spacing w:val="-3"/>
          <w:sz w:val="24"/>
          <w:szCs w:val="24"/>
        </w:rPr>
        <w:t>anti-Xa</w:t>
      </w:r>
      <w:proofErr w:type="spellEnd"/>
      <w:r w:rsidRPr="00443037">
        <w:rPr>
          <w:spacing w:val="-3"/>
          <w:sz w:val="24"/>
          <w:szCs w:val="24"/>
        </w:rPr>
        <w:t xml:space="preserve"> monitorering, hvis fordele opvejer risici (se pkt. 4.4: Nedsat nyrefunktion). I en sådan situation bør dosering af </w:t>
      </w:r>
      <w:proofErr w:type="spellStart"/>
      <w:r w:rsidRPr="00443037">
        <w:rPr>
          <w:spacing w:val="-3"/>
          <w:sz w:val="24"/>
          <w:szCs w:val="24"/>
        </w:rPr>
        <w:t>Innohep</w:t>
      </w:r>
      <w:proofErr w:type="spellEnd"/>
      <w:r w:rsidRPr="00443037">
        <w:rPr>
          <w:spacing w:val="-3"/>
          <w:sz w:val="24"/>
          <w:szCs w:val="24"/>
        </w:rPr>
        <w:t xml:space="preserve"> justeres, hvis nødvendigt, baseret på anti-factor </w:t>
      </w:r>
      <w:proofErr w:type="spellStart"/>
      <w:r w:rsidRPr="00443037">
        <w:rPr>
          <w:spacing w:val="-3"/>
          <w:sz w:val="24"/>
          <w:szCs w:val="24"/>
        </w:rPr>
        <w:t>Xa</w:t>
      </w:r>
      <w:proofErr w:type="spellEnd"/>
      <w:r w:rsidRPr="00443037">
        <w:rPr>
          <w:spacing w:val="-3"/>
          <w:sz w:val="24"/>
          <w:szCs w:val="24"/>
        </w:rPr>
        <w:t xml:space="preserve"> aktivitet. Hvis anti-faktor </w:t>
      </w:r>
      <w:proofErr w:type="spellStart"/>
      <w:r w:rsidRPr="00443037">
        <w:rPr>
          <w:spacing w:val="-3"/>
          <w:sz w:val="24"/>
          <w:szCs w:val="24"/>
        </w:rPr>
        <w:t>Xa</w:t>
      </w:r>
      <w:proofErr w:type="spellEnd"/>
      <w:r w:rsidRPr="00443037">
        <w:rPr>
          <w:spacing w:val="-3"/>
          <w:sz w:val="24"/>
          <w:szCs w:val="24"/>
        </w:rPr>
        <w:t xml:space="preserve"> niveauet er under eller over det ønskede område, bør dosering af </w:t>
      </w:r>
      <w:proofErr w:type="spellStart"/>
      <w:r w:rsidRPr="00443037">
        <w:rPr>
          <w:spacing w:val="-3"/>
          <w:sz w:val="24"/>
          <w:szCs w:val="24"/>
        </w:rPr>
        <w:t>Innohep</w:t>
      </w:r>
      <w:proofErr w:type="spellEnd"/>
      <w:r w:rsidRPr="00443037">
        <w:rPr>
          <w:spacing w:val="-3"/>
          <w:sz w:val="24"/>
          <w:szCs w:val="24"/>
        </w:rPr>
        <w:t xml:space="preserve"> henholdsvis forhøjes eller nedsættes, og anti-faktor </w:t>
      </w:r>
      <w:proofErr w:type="spellStart"/>
      <w:r w:rsidRPr="00443037">
        <w:rPr>
          <w:spacing w:val="-3"/>
          <w:sz w:val="24"/>
          <w:szCs w:val="24"/>
        </w:rPr>
        <w:t>Xa</w:t>
      </w:r>
      <w:proofErr w:type="spellEnd"/>
      <w:r w:rsidRPr="00443037">
        <w:rPr>
          <w:spacing w:val="-3"/>
          <w:sz w:val="24"/>
          <w:szCs w:val="24"/>
        </w:rPr>
        <w:t xml:space="preserve"> måling bør gentages efter 3-4 nye doser. Denne dosisjustering bør gentages, indtil det ønskede anti-faktor </w:t>
      </w:r>
      <w:proofErr w:type="spellStart"/>
      <w:r w:rsidRPr="00443037">
        <w:rPr>
          <w:spacing w:val="-3"/>
          <w:sz w:val="24"/>
          <w:szCs w:val="24"/>
        </w:rPr>
        <w:t>Xa</w:t>
      </w:r>
      <w:proofErr w:type="spellEnd"/>
      <w:r w:rsidRPr="00443037">
        <w:rPr>
          <w:spacing w:val="-3"/>
          <w:sz w:val="24"/>
          <w:szCs w:val="24"/>
        </w:rPr>
        <w:t xml:space="preserve"> niveau er opnået. Vejledende: Middelniveauer mellem 4 og 6 timer efter administration hos raske frivillige og patienter uden svær nedsat nyrefunktion har været mellem 0,5 og 1,5 IE/anti-faktor </w:t>
      </w:r>
      <w:proofErr w:type="spellStart"/>
      <w:r w:rsidRPr="00443037">
        <w:rPr>
          <w:spacing w:val="-3"/>
          <w:sz w:val="24"/>
          <w:szCs w:val="24"/>
        </w:rPr>
        <w:t>Xa</w:t>
      </w:r>
      <w:proofErr w:type="spellEnd"/>
      <w:r w:rsidRPr="00443037">
        <w:rPr>
          <w:spacing w:val="-3"/>
          <w:sz w:val="24"/>
          <w:szCs w:val="24"/>
        </w:rPr>
        <w:t xml:space="preserve"> IE/ml. Anti-faktor </w:t>
      </w:r>
      <w:proofErr w:type="spellStart"/>
      <w:r w:rsidRPr="00443037">
        <w:rPr>
          <w:spacing w:val="-3"/>
          <w:sz w:val="24"/>
          <w:szCs w:val="24"/>
        </w:rPr>
        <w:t>Xa</w:t>
      </w:r>
      <w:proofErr w:type="spellEnd"/>
      <w:r w:rsidRPr="00443037">
        <w:rPr>
          <w:spacing w:val="-3"/>
          <w:sz w:val="24"/>
          <w:szCs w:val="24"/>
        </w:rPr>
        <w:t xml:space="preserve">-aktivitetsberegninger blev bestemt ved en </w:t>
      </w:r>
      <w:proofErr w:type="spellStart"/>
      <w:r w:rsidRPr="00443037">
        <w:rPr>
          <w:spacing w:val="-3"/>
          <w:sz w:val="24"/>
          <w:szCs w:val="24"/>
        </w:rPr>
        <w:t>kromogen</w:t>
      </w:r>
      <w:proofErr w:type="spellEnd"/>
      <w:r w:rsidRPr="00443037">
        <w:rPr>
          <w:spacing w:val="-3"/>
          <w:sz w:val="24"/>
          <w:szCs w:val="24"/>
        </w:rPr>
        <w:t xml:space="preserve"> analyse.</w:t>
      </w:r>
    </w:p>
    <w:p w14:paraId="69023BCA" w14:textId="77777777" w:rsidR="00BF2649" w:rsidRPr="00443037" w:rsidRDefault="00BF2649" w:rsidP="00BF2649">
      <w:pPr>
        <w:ind w:left="851"/>
        <w:rPr>
          <w:spacing w:val="-3"/>
          <w:sz w:val="24"/>
          <w:szCs w:val="24"/>
        </w:rPr>
      </w:pPr>
    </w:p>
    <w:p w14:paraId="15BC9545" w14:textId="77777777" w:rsidR="00BF2649" w:rsidRPr="00443037" w:rsidRDefault="00BF2649" w:rsidP="00BF2649">
      <w:pPr>
        <w:ind w:left="851"/>
        <w:rPr>
          <w:spacing w:val="-3"/>
          <w:sz w:val="24"/>
          <w:szCs w:val="24"/>
          <w:u w:val="single"/>
        </w:rPr>
      </w:pPr>
      <w:r w:rsidRPr="00443037">
        <w:rPr>
          <w:spacing w:val="-3"/>
          <w:sz w:val="24"/>
          <w:szCs w:val="24"/>
          <w:u w:val="single"/>
        </w:rPr>
        <w:t>Ældre patienter</w:t>
      </w:r>
    </w:p>
    <w:p w14:paraId="7EB72638" w14:textId="77777777" w:rsidR="00BF2649" w:rsidRPr="00443037" w:rsidRDefault="00BF2649" w:rsidP="00BF2649">
      <w:pPr>
        <w:ind w:left="851"/>
        <w:rPr>
          <w:spacing w:val="-3"/>
          <w:sz w:val="24"/>
          <w:szCs w:val="24"/>
        </w:rPr>
      </w:pPr>
      <w:proofErr w:type="spellStart"/>
      <w:r w:rsidRPr="00443037">
        <w:rPr>
          <w:spacing w:val="-3"/>
          <w:sz w:val="24"/>
          <w:szCs w:val="24"/>
        </w:rPr>
        <w:t>Innohep</w:t>
      </w:r>
      <w:proofErr w:type="spellEnd"/>
      <w:r w:rsidRPr="00443037">
        <w:rPr>
          <w:spacing w:val="-3"/>
          <w:sz w:val="24"/>
          <w:szCs w:val="24"/>
        </w:rPr>
        <w:t xml:space="preserve"> skal anvendes i standard doser hos ældre. Forsigtighed anbefales ved behandling af ældre patienter med nedsat nyrefunktion. Hvis nedsat nyrefunktion mistænkes, se pkt. 4.2: Nedsat nyrefunktion og pkt. 4.4: Nedsat nyrefunktion.</w:t>
      </w:r>
    </w:p>
    <w:p w14:paraId="53422E59" w14:textId="77777777" w:rsidR="00BF2649" w:rsidRPr="00443037" w:rsidRDefault="00BF2649" w:rsidP="00BF2649">
      <w:pPr>
        <w:ind w:left="851"/>
        <w:rPr>
          <w:spacing w:val="-3"/>
          <w:sz w:val="24"/>
          <w:szCs w:val="24"/>
        </w:rPr>
      </w:pPr>
    </w:p>
    <w:p w14:paraId="2CF8FDDA" w14:textId="77777777" w:rsidR="00BF2649" w:rsidRPr="00443037" w:rsidRDefault="00BF2649" w:rsidP="00BF2649">
      <w:pPr>
        <w:ind w:left="851"/>
        <w:rPr>
          <w:b/>
          <w:spacing w:val="-3"/>
          <w:sz w:val="24"/>
          <w:szCs w:val="24"/>
        </w:rPr>
      </w:pPr>
      <w:r w:rsidRPr="00443037">
        <w:rPr>
          <w:b/>
          <w:spacing w:val="-3"/>
          <w:sz w:val="24"/>
          <w:szCs w:val="24"/>
        </w:rPr>
        <w:t>Administration</w:t>
      </w:r>
    </w:p>
    <w:p w14:paraId="672F4ECA" w14:textId="77777777" w:rsidR="00BF2649" w:rsidRPr="00443037" w:rsidRDefault="00BF2649" w:rsidP="00BF2649">
      <w:pPr>
        <w:ind w:left="851"/>
        <w:rPr>
          <w:spacing w:val="-3"/>
          <w:sz w:val="24"/>
          <w:szCs w:val="24"/>
        </w:rPr>
      </w:pPr>
      <w:r w:rsidRPr="00443037">
        <w:rPr>
          <w:spacing w:val="-3"/>
          <w:sz w:val="24"/>
          <w:szCs w:val="24"/>
        </w:rPr>
        <w:t>Parenterale produkter skal undersøges visuelt før indgift. Må ikke anvendes, hvis uklarhed eller bundfald observeres. Væsken kan blive gul under opbevaring, men er stadig anvendelig.</w:t>
      </w:r>
    </w:p>
    <w:p w14:paraId="1CEE76DF" w14:textId="77777777" w:rsidR="00BF2649" w:rsidRPr="00443037" w:rsidRDefault="00BF2649" w:rsidP="00BF2649">
      <w:pPr>
        <w:ind w:left="851"/>
        <w:rPr>
          <w:spacing w:val="-3"/>
          <w:sz w:val="24"/>
          <w:szCs w:val="24"/>
        </w:rPr>
      </w:pPr>
    </w:p>
    <w:p w14:paraId="03531A8A" w14:textId="77777777" w:rsidR="00BF2649" w:rsidRPr="00443037" w:rsidRDefault="00BF2649" w:rsidP="00BF2649">
      <w:pPr>
        <w:ind w:left="851"/>
        <w:rPr>
          <w:spacing w:val="-3"/>
          <w:sz w:val="24"/>
          <w:szCs w:val="24"/>
        </w:rPr>
      </w:pPr>
      <w:r w:rsidRPr="00443037">
        <w:rPr>
          <w:spacing w:val="-3"/>
          <w:sz w:val="24"/>
          <w:szCs w:val="24"/>
        </w:rPr>
        <w:t xml:space="preserve">Administration ved subkutan injektion. Dette kan gøres i den </w:t>
      </w:r>
      <w:proofErr w:type="spellStart"/>
      <w:r w:rsidRPr="00443037">
        <w:rPr>
          <w:spacing w:val="-3"/>
          <w:sz w:val="24"/>
          <w:szCs w:val="24"/>
        </w:rPr>
        <w:t>abdominale</w:t>
      </w:r>
      <w:proofErr w:type="spellEnd"/>
      <w:r w:rsidRPr="00443037">
        <w:rPr>
          <w:spacing w:val="-3"/>
          <w:sz w:val="24"/>
          <w:szCs w:val="24"/>
        </w:rPr>
        <w:t xml:space="preserve"> hud, ydersiden af låret, nedre ryg, låret eller overarmen. Injicer ikke i området omkring navlen, nær ar eller i sår. For </w:t>
      </w:r>
      <w:proofErr w:type="spellStart"/>
      <w:r w:rsidRPr="00443037">
        <w:rPr>
          <w:spacing w:val="-3"/>
          <w:sz w:val="24"/>
          <w:szCs w:val="24"/>
        </w:rPr>
        <w:t>abdominale</w:t>
      </w:r>
      <w:proofErr w:type="spellEnd"/>
      <w:r w:rsidRPr="00443037">
        <w:rPr>
          <w:spacing w:val="-3"/>
          <w:sz w:val="24"/>
          <w:szCs w:val="24"/>
        </w:rPr>
        <w:t xml:space="preserve"> injektioner skal patienten være i liggende position og skiftevis injiceres i højre og venstre side. Luftboblen i injektionssprøjten må ikke fjernes. Under injektion, bør huden holdes i en fold.</w:t>
      </w:r>
    </w:p>
    <w:p w14:paraId="39EC4310" w14:textId="77777777" w:rsidR="009260DE" w:rsidRPr="00443037" w:rsidRDefault="009260DE" w:rsidP="009260DE">
      <w:pPr>
        <w:tabs>
          <w:tab w:val="left" w:pos="851"/>
        </w:tabs>
        <w:ind w:left="851"/>
        <w:rPr>
          <w:sz w:val="24"/>
          <w:szCs w:val="24"/>
        </w:rPr>
      </w:pPr>
    </w:p>
    <w:p w14:paraId="37D585B8" w14:textId="77777777" w:rsidR="009260DE" w:rsidRPr="00443037" w:rsidRDefault="009260DE" w:rsidP="009260DE">
      <w:pPr>
        <w:tabs>
          <w:tab w:val="left" w:pos="851"/>
        </w:tabs>
        <w:ind w:left="851" w:hanging="851"/>
        <w:rPr>
          <w:b/>
          <w:sz w:val="24"/>
          <w:szCs w:val="24"/>
        </w:rPr>
      </w:pPr>
      <w:r w:rsidRPr="00443037">
        <w:rPr>
          <w:b/>
          <w:sz w:val="24"/>
          <w:szCs w:val="24"/>
        </w:rPr>
        <w:t>4.3</w:t>
      </w:r>
      <w:r w:rsidRPr="00443037">
        <w:rPr>
          <w:b/>
          <w:sz w:val="24"/>
          <w:szCs w:val="24"/>
        </w:rPr>
        <w:tab/>
        <w:t>Kontraindikationer</w:t>
      </w:r>
    </w:p>
    <w:p w14:paraId="36CE47E7" w14:textId="77777777" w:rsidR="00BF2649" w:rsidRPr="00443037" w:rsidRDefault="00BF2649" w:rsidP="00BF2649">
      <w:pPr>
        <w:ind w:left="851"/>
        <w:rPr>
          <w:spacing w:val="-3"/>
          <w:sz w:val="24"/>
          <w:szCs w:val="24"/>
        </w:rPr>
      </w:pPr>
      <w:r w:rsidRPr="00443037">
        <w:rPr>
          <w:spacing w:val="-3"/>
          <w:sz w:val="24"/>
          <w:szCs w:val="24"/>
        </w:rPr>
        <w:t>Overfølsomhed over for det aktive stof eller over for et eller flere af hjælpestofferne anført i pkt. 6.1.</w:t>
      </w:r>
    </w:p>
    <w:p w14:paraId="22A92B88" w14:textId="1FF7EE08" w:rsidR="00BF2649" w:rsidRPr="00443037" w:rsidRDefault="00BF2649" w:rsidP="00BF2649">
      <w:pPr>
        <w:ind w:left="851"/>
        <w:rPr>
          <w:spacing w:val="-3"/>
          <w:sz w:val="24"/>
          <w:szCs w:val="24"/>
        </w:rPr>
      </w:pPr>
    </w:p>
    <w:p w14:paraId="4EF7C63D" w14:textId="77777777" w:rsidR="00BF2649" w:rsidRPr="00443037" w:rsidRDefault="00BF2649" w:rsidP="00BF2649">
      <w:pPr>
        <w:ind w:left="851"/>
        <w:rPr>
          <w:spacing w:val="-3"/>
          <w:sz w:val="24"/>
          <w:szCs w:val="24"/>
        </w:rPr>
      </w:pPr>
      <w:r w:rsidRPr="00443037">
        <w:rPr>
          <w:spacing w:val="-3"/>
          <w:sz w:val="24"/>
          <w:szCs w:val="24"/>
        </w:rPr>
        <w:t xml:space="preserve">Aktuel eller tidligere immunmedieret </w:t>
      </w:r>
      <w:proofErr w:type="spellStart"/>
      <w:r w:rsidRPr="00443037">
        <w:rPr>
          <w:spacing w:val="-3"/>
          <w:sz w:val="24"/>
          <w:szCs w:val="24"/>
        </w:rPr>
        <w:t>heparin</w:t>
      </w:r>
      <w:proofErr w:type="spellEnd"/>
      <w:r w:rsidRPr="00443037">
        <w:rPr>
          <w:spacing w:val="-3"/>
          <w:sz w:val="24"/>
          <w:szCs w:val="24"/>
        </w:rPr>
        <w:t xml:space="preserve">- induceret </w:t>
      </w:r>
      <w:proofErr w:type="spellStart"/>
      <w:r w:rsidRPr="00443037">
        <w:rPr>
          <w:spacing w:val="-3"/>
          <w:sz w:val="24"/>
          <w:szCs w:val="24"/>
        </w:rPr>
        <w:t>trombocytopeni</w:t>
      </w:r>
      <w:proofErr w:type="spellEnd"/>
      <w:r w:rsidRPr="00443037">
        <w:rPr>
          <w:spacing w:val="-3"/>
          <w:sz w:val="24"/>
          <w:szCs w:val="24"/>
        </w:rPr>
        <w:t xml:space="preserve"> (type II), se pkt. 4.4.</w:t>
      </w:r>
    </w:p>
    <w:p w14:paraId="127CF717" w14:textId="77777777" w:rsidR="00BF2649" w:rsidRPr="00443037" w:rsidRDefault="00BF2649" w:rsidP="00BF2649">
      <w:pPr>
        <w:ind w:left="851"/>
        <w:rPr>
          <w:spacing w:val="-3"/>
          <w:sz w:val="24"/>
          <w:szCs w:val="24"/>
        </w:rPr>
      </w:pPr>
    </w:p>
    <w:p w14:paraId="5F1FFA88" w14:textId="77777777" w:rsidR="00BF2649" w:rsidRPr="00443037" w:rsidRDefault="00BF2649" w:rsidP="00BF2649">
      <w:pPr>
        <w:ind w:left="851"/>
        <w:rPr>
          <w:spacing w:val="-3"/>
          <w:sz w:val="24"/>
          <w:szCs w:val="24"/>
        </w:rPr>
      </w:pPr>
      <w:r w:rsidRPr="00443037">
        <w:rPr>
          <w:spacing w:val="-3"/>
          <w:sz w:val="24"/>
          <w:szCs w:val="24"/>
        </w:rPr>
        <w:t>Aktiv kraftig blødning eller tilstande som kan disponere for større blødning. Kraftig blødning defineres ved ét af følgende kriterier:</w:t>
      </w:r>
    </w:p>
    <w:p w14:paraId="68DB10B1" w14:textId="77777777" w:rsidR="00BF2649" w:rsidRPr="00443037" w:rsidRDefault="00BF2649" w:rsidP="00BF2649">
      <w:pPr>
        <w:ind w:left="1134" w:hanging="283"/>
        <w:rPr>
          <w:spacing w:val="-3"/>
          <w:sz w:val="24"/>
          <w:szCs w:val="24"/>
        </w:rPr>
      </w:pPr>
      <w:r w:rsidRPr="00443037">
        <w:rPr>
          <w:spacing w:val="-3"/>
          <w:sz w:val="24"/>
          <w:szCs w:val="24"/>
        </w:rPr>
        <w:t>a)</w:t>
      </w:r>
      <w:r w:rsidRPr="00443037">
        <w:rPr>
          <w:spacing w:val="-3"/>
          <w:sz w:val="24"/>
          <w:szCs w:val="24"/>
        </w:rPr>
        <w:tab/>
        <w:t xml:space="preserve">forekommer i et kritisk område eller organ (f.eks. </w:t>
      </w:r>
      <w:proofErr w:type="spellStart"/>
      <w:r w:rsidRPr="00443037">
        <w:rPr>
          <w:spacing w:val="-3"/>
          <w:sz w:val="24"/>
          <w:szCs w:val="24"/>
        </w:rPr>
        <w:t>intrakraniel</w:t>
      </w:r>
      <w:proofErr w:type="spellEnd"/>
      <w:r w:rsidRPr="00443037">
        <w:rPr>
          <w:spacing w:val="-3"/>
          <w:sz w:val="24"/>
          <w:szCs w:val="24"/>
        </w:rPr>
        <w:t xml:space="preserve">, intraspinal, </w:t>
      </w:r>
      <w:proofErr w:type="spellStart"/>
      <w:r w:rsidRPr="00443037">
        <w:rPr>
          <w:spacing w:val="-3"/>
          <w:sz w:val="24"/>
          <w:szCs w:val="24"/>
        </w:rPr>
        <w:t>intraokulær</w:t>
      </w:r>
      <w:proofErr w:type="spellEnd"/>
      <w:r w:rsidRPr="00443037">
        <w:rPr>
          <w:spacing w:val="-3"/>
          <w:sz w:val="24"/>
          <w:szCs w:val="24"/>
        </w:rPr>
        <w:t xml:space="preserve">, </w:t>
      </w:r>
      <w:proofErr w:type="spellStart"/>
      <w:r w:rsidRPr="00443037">
        <w:rPr>
          <w:spacing w:val="-3"/>
          <w:sz w:val="24"/>
          <w:szCs w:val="24"/>
        </w:rPr>
        <w:t>retro</w:t>
      </w:r>
      <w:r w:rsidRPr="00443037">
        <w:rPr>
          <w:spacing w:val="-3"/>
          <w:sz w:val="24"/>
          <w:szCs w:val="24"/>
        </w:rPr>
        <w:softHyphen/>
        <w:t>peritoneal</w:t>
      </w:r>
      <w:proofErr w:type="spellEnd"/>
      <w:r w:rsidRPr="00443037">
        <w:rPr>
          <w:spacing w:val="-3"/>
          <w:sz w:val="24"/>
          <w:szCs w:val="24"/>
        </w:rPr>
        <w:t xml:space="preserve">, </w:t>
      </w:r>
      <w:proofErr w:type="spellStart"/>
      <w:r w:rsidRPr="00443037">
        <w:rPr>
          <w:spacing w:val="-3"/>
          <w:sz w:val="24"/>
          <w:szCs w:val="24"/>
        </w:rPr>
        <w:t>intra-artikulær</w:t>
      </w:r>
      <w:proofErr w:type="spellEnd"/>
      <w:r w:rsidRPr="00443037">
        <w:rPr>
          <w:spacing w:val="-3"/>
          <w:sz w:val="24"/>
          <w:szCs w:val="24"/>
        </w:rPr>
        <w:t xml:space="preserve"> eller perikardial, intrauterin eller intramuskulær med </w:t>
      </w:r>
      <w:proofErr w:type="spellStart"/>
      <w:r w:rsidRPr="00443037">
        <w:rPr>
          <w:spacing w:val="-3"/>
          <w:sz w:val="24"/>
          <w:szCs w:val="24"/>
        </w:rPr>
        <w:t>kompart</w:t>
      </w:r>
      <w:r w:rsidRPr="00443037">
        <w:rPr>
          <w:spacing w:val="-3"/>
          <w:sz w:val="24"/>
          <w:szCs w:val="24"/>
        </w:rPr>
        <w:softHyphen/>
        <w:t>ment</w:t>
      </w:r>
      <w:r w:rsidRPr="00443037">
        <w:rPr>
          <w:spacing w:val="-3"/>
          <w:sz w:val="24"/>
          <w:szCs w:val="24"/>
        </w:rPr>
        <w:softHyphen/>
        <w:t>syndrom</w:t>
      </w:r>
      <w:proofErr w:type="spellEnd"/>
      <w:r w:rsidRPr="00443037">
        <w:rPr>
          <w:spacing w:val="-3"/>
          <w:sz w:val="24"/>
          <w:szCs w:val="24"/>
        </w:rPr>
        <w:t>)</w:t>
      </w:r>
    </w:p>
    <w:p w14:paraId="371C359C" w14:textId="77777777" w:rsidR="00BF2649" w:rsidRPr="00443037" w:rsidRDefault="00BF2649" w:rsidP="00BF2649">
      <w:pPr>
        <w:ind w:left="1134" w:hanging="283"/>
        <w:rPr>
          <w:spacing w:val="-3"/>
          <w:sz w:val="24"/>
          <w:szCs w:val="24"/>
        </w:rPr>
      </w:pPr>
      <w:r w:rsidRPr="00443037">
        <w:rPr>
          <w:spacing w:val="-3"/>
          <w:sz w:val="24"/>
          <w:szCs w:val="24"/>
        </w:rPr>
        <w:t>b)</w:t>
      </w:r>
      <w:r w:rsidRPr="00443037">
        <w:rPr>
          <w:spacing w:val="-3"/>
          <w:sz w:val="24"/>
          <w:szCs w:val="24"/>
        </w:rPr>
        <w:tab/>
        <w:t>giver et fald i hæmoglobinniveau på 20 g/l (1,24 mmol/l) eller derover, eller</w:t>
      </w:r>
    </w:p>
    <w:p w14:paraId="50417D4F" w14:textId="77777777" w:rsidR="00BF2649" w:rsidRPr="00443037" w:rsidRDefault="00BF2649" w:rsidP="00BF2649">
      <w:pPr>
        <w:ind w:left="1134" w:hanging="283"/>
        <w:rPr>
          <w:spacing w:val="-3"/>
          <w:sz w:val="24"/>
          <w:szCs w:val="24"/>
        </w:rPr>
      </w:pPr>
      <w:r w:rsidRPr="00443037">
        <w:rPr>
          <w:spacing w:val="-3"/>
          <w:sz w:val="24"/>
          <w:szCs w:val="24"/>
        </w:rPr>
        <w:t>c)</w:t>
      </w:r>
      <w:r w:rsidRPr="00443037">
        <w:rPr>
          <w:spacing w:val="-3"/>
          <w:sz w:val="24"/>
          <w:szCs w:val="24"/>
        </w:rPr>
        <w:tab/>
        <w:t>fører til transfusion af to eller flere portioner af blod eller røde blodlegemer.</w:t>
      </w:r>
    </w:p>
    <w:p w14:paraId="7B711F28" w14:textId="77777777" w:rsidR="00BF2649" w:rsidRPr="00443037" w:rsidRDefault="00BF2649" w:rsidP="00BF2649">
      <w:pPr>
        <w:ind w:left="851"/>
        <w:rPr>
          <w:spacing w:val="-3"/>
          <w:sz w:val="24"/>
          <w:szCs w:val="24"/>
        </w:rPr>
      </w:pPr>
    </w:p>
    <w:p w14:paraId="3DC52B1B" w14:textId="77777777" w:rsidR="00BF2649" w:rsidRPr="00443037" w:rsidRDefault="00BF2649" w:rsidP="00BF2649">
      <w:pPr>
        <w:ind w:left="851"/>
        <w:rPr>
          <w:spacing w:val="-3"/>
          <w:sz w:val="24"/>
          <w:szCs w:val="24"/>
        </w:rPr>
      </w:pPr>
      <w:r w:rsidRPr="00443037">
        <w:rPr>
          <w:spacing w:val="-3"/>
          <w:sz w:val="24"/>
          <w:szCs w:val="24"/>
        </w:rPr>
        <w:t xml:space="preserve">Septisk </w:t>
      </w:r>
      <w:proofErr w:type="spellStart"/>
      <w:r w:rsidRPr="00443037">
        <w:rPr>
          <w:spacing w:val="-3"/>
          <w:sz w:val="24"/>
          <w:szCs w:val="24"/>
        </w:rPr>
        <w:t>endocarditis</w:t>
      </w:r>
      <w:proofErr w:type="spellEnd"/>
      <w:r w:rsidRPr="00443037">
        <w:rPr>
          <w:spacing w:val="-3"/>
          <w:sz w:val="24"/>
          <w:szCs w:val="24"/>
        </w:rPr>
        <w:t>.</w:t>
      </w:r>
    </w:p>
    <w:p w14:paraId="50138219" w14:textId="77777777" w:rsidR="00BF2649" w:rsidRPr="00443037" w:rsidRDefault="00BF2649" w:rsidP="00BF2649">
      <w:pPr>
        <w:ind w:left="851"/>
        <w:rPr>
          <w:spacing w:val="-3"/>
          <w:sz w:val="24"/>
          <w:szCs w:val="24"/>
        </w:rPr>
      </w:pPr>
    </w:p>
    <w:p w14:paraId="1772EA60" w14:textId="77777777" w:rsidR="00BF2649" w:rsidRPr="00443037" w:rsidRDefault="00BF2649" w:rsidP="00BF2649">
      <w:pPr>
        <w:ind w:left="851"/>
        <w:rPr>
          <w:spacing w:val="-3"/>
          <w:sz w:val="24"/>
          <w:szCs w:val="24"/>
        </w:rPr>
      </w:pPr>
      <w:r w:rsidRPr="00443037">
        <w:rPr>
          <w:spacing w:val="-3"/>
          <w:sz w:val="24"/>
          <w:szCs w:val="24"/>
        </w:rPr>
        <w:t xml:space="preserve">Flerdosis formuleringen af </w:t>
      </w:r>
      <w:proofErr w:type="spellStart"/>
      <w:r w:rsidRPr="00443037">
        <w:rPr>
          <w:spacing w:val="-3"/>
          <w:sz w:val="24"/>
          <w:szCs w:val="24"/>
        </w:rPr>
        <w:t>Innohep</w:t>
      </w:r>
      <w:proofErr w:type="spellEnd"/>
      <w:r w:rsidRPr="00443037">
        <w:rPr>
          <w:spacing w:val="-3"/>
          <w:sz w:val="24"/>
          <w:szCs w:val="24"/>
        </w:rPr>
        <w:t xml:space="preserve"> i hætteglas indeholder 10 mg/ml af konserveringsmidlet </w:t>
      </w:r>
      <w:proofErr w:type="spellStart"/>
      <w:r w:rsidRPr="00443037">
        <w:rPr>
          <w:spacing w:val="-3"/>
          <w:sz w:val="24"/>
          <w:szCs w:val="24"/>
        </w:rPr>
        <w:t>benzylalkohol</w:t>
      </w:r>
      <w:proofErr w:type="spellEnd"/>
      <w:r w:rsidRPr="00443037">
        <w:rPr>
          <w:spacing w:val="-3"/>
          <w:sz w:val="24"/>
          <w:szCs w:val="24"/>
        </w:rPr>
        <w:t xml:space="preserve">. Disse formuleringer må ikke gives til præmature spædbørn og nyfødte pga. risikoen for Gasping </w:t>
      </w:r>
      <w:proofErr w:type="spellStart"/>
      <w:r w:rsidRPr="00443037">
        <w:rPr>
          <w:spacing w:val="-3"/>
          <w:sz w:val="24"/>
          <w:szCs w:val="24"/>
        </w:rPr>
        <w:t>syndrome</w:t>
      </w:r>
      <w:proofErr w:type="spellEnd"/>
      <w:r w:rsidRPr="00443037">
        <w:rPr>
          <w:spacing w:val="-3"/>
          <w:sz w:val="24"/>
          <w:szCs w:val="24"/>
        </w:rPr>
        <w:t>.</w:t>
      </w:r>
    </w:p>
    <w:p w14:paraId="2E9630EE" w14:textId="77777777" w:rsidR="00BF2649" w:rsidRPr="00443037" w:rsidRDefault="00BF2649" w:rsidP="00BF2649">
      <w:pPr>
        <w:ind w:left="851"/>
        <w:rPr>
          <w:spacing w:val="-3"/>
          <w:sz w:val="24"/>
          <w:szCs w:val="24"/>
        </w:rPr>
      </w:pPr>
    </w:p>
    <w:p w14:paraId="52DFDBF3" w14:textId="77777777" w:rsidR="00BF2649" w:rsidRPr="00443037" w:rsidRDefault="00BF2649" w:rsidP="00BF2649">
      <w:pPr>
        <w:ind w:left="851"/>
        <w:rPr>
          <w:b/>
          <w:spacing w:val="-3"/>
          <w:sz w:val="24"/>
          <w:szCs w:val="24"/>
        </w:rPr>
      </w:pPr>
      <w:r w:rsidRPr="00443037">
        <w:rPr>
          <w:spacing w:val="-3"/>
          <w:sz w:val="24"/>
          <w:szCs w:val="24"/>
        </w:rPr>
        <w:t xml:space="preserve">Behandlingsdoser af </w:t>
      </w:r>
      <w:proofErr w:type="spellStart"/>
      <w:r w:rsidRPr="00443037">
        <w:rPr>
          <w:spacing w:val="-3"/>
          <w:sz w:val="24"/>
          <w:szCs w:val="24"/>
        </w:rPr>
        <w:t>Innohep</w:t>
      </w:r>
      <w:proofErr w:type="spellEnd"/>
      <w:r w:rsidRPr="00443037">
        <w:rPr>
          <w:spacing w:val="-3"/>
          <w:sz w:val="24"/>
          <w:szCs w:val="24"/>
        </w:rPr>
        <w:t xml:space="preserve"> (175 IE/kg) er kontraindiceret hos patienter, der får </w:t>
      </w:r>
      <w:proofErr w:type="spellStart"/>
      <w:r w:rsidRPr="00443037">
        <w:rPr>
          <w:spacing w:val="-3"/>
          <w:sz w:val="24"/>
          <w:szCs w:val="24"/>
        </w:rPr>
        <w:t>neuraksial</w:t>
      </w:r>
      <w:proofErr w:type="spellEnd"/>
      <w:r w:rsidRPr="00443037">
        <w:rPr>
          <w:spacing w:val="-3"/>
          <w:sz w:val="24"/>
          <w:szCs w:val="24"/>
        </w:rPr>
        <w:t xml:space="preserve"> anæstesi. Ved planlagt </w:t>
      </w:r>
      <w:proofErr w:type="spellStart"/>
      <w:r w:rsidRPr="00443037">
        <w:rPr>
          <w:spacing w:val="-3"/>
          <w:sz w:val="24"/>
          <w:szCs w:val="24"/>
        </w:rPr>
        <w:t>neuraksial</w:t>
      </w:r>
      <w:proofErr w:type="spellEnd"/>
      <w:r w:rsidRPr="00443037">
        <w:rPr>
          <w:spacing w:val="-3"/>
          <w:sz w:val="24"/>
          <w:szCs w:val="24"/>
        </w:rPr>
        <w:t xml:space="preserve"> anæstesi skal </w:t>
      </w:r>
      <w:proofErr w:type="spellStart"/>
      <w:r w:rsidRPr="00443037">
        <w:rPr>
          <w:spacing w:val="-3"/>
          <w:sz w:val="24"/>
          <w:szCs w:val="24"/>
        </w:rPr>
        <w:t>Innohep</w:t>
      </w:r>
      <w:proofErr w:type="spellEnd"/>
      <w:r w:rsidRPr="00443037">
        <w:rPr>
          <w:spacing w:val="-3"/>
          <w:sz w:val="24"/>
          <w:szCs w:val="24"/>
        </w:rPr>
        <w:t xml:space="preserve"> seponeres mindst 24 timer inden indgrebet. </w:t>
      </w:r>
      <w:proofErr w:type="spellStart"/>
      <w:r w:rsidRPr="00443037">
        <w:rPr>
          <w:spacing w:val="-3"/>
          <w:sz w:val="24"/>
          <w:szCs w:val="24"/>
        </w:rPr>
        <w:t>Innohep</w:t>
      </w:r>
      <w:proofErr w:type="spellEnd"/>
      <w:r w:rsidRPr="00443037">
        <w:rPr>
          <w:spacing w:val="-3"/>
          <w:sz w:val="24"/>
          <w:szCs w:val="24"/>
        </w:rPr>
        <w:t xml:space="preserve"> bør først genoptages 4-6 timer efter brug af spinal anæstesi eller efter, at kateteret er fjernet. Patienter skal overvåges nøje for tegn og symptomer på neurologisk skade.</w:t>
      </w:r>
    </w:p>
    <w:p w14:paraId="2C30A5B5" w14:textId="77777777" w:rsidR="009260DE" w:rsidRPr="00443037" w:rsidRDefault="009260DE" w:rsidP="009260DE">
      <w:pPr>
        <w:tabs>
          <w:tab w:val="left" w:pos="851"/>
        </w:tabs>
        <w:ind w:left="851"/>
        <w:rPr>
          <w:sz w:val="24"/>
          <w:szCs w:val="24"/>
        </w:rPr>
      </w:pPr>
    </w:p>
    <w:p w14:paraId="6151D709" w14:textId="77777777" w:rsidR="009260DE" w:rsidRPr="00443037" w:rsidRDefault="009260DE" w:rsidP="009260DE">
      <w:pPr>
        <w:tabs>
          <w:tab w:val="left" w:pos="851"/>
        </w:tabs>
        <w:ind w:left="851" w:hanging="851"/>
        <w:rPr>
          <w:b/>
          <w:sz w:val="24"/>
          <w:szCs w:val="24"/>
        </w:rPr>
      </w:pPr>
      <w:r w:rsidRPr="00443037">
        <w:rPr>
          <w:b/>
          <w:sz w:val="24"/>
          <w:szCs w:val="24"/>
        </w:rPr>
        <w:t>4.4</w:t>
      </w:r>
      <w:r w:rsidRPr="00443037">
        <w:rPr>
          <w:b/>
          <w:sz w:val="24"/>
          <w:szCs w:val="24"/>
        </w:rPr>
        <w:tab/>
        <w:t>Særlige advarsler og forsigtighedsregler vedrørende brugen</w:t>
      </w:r>
    </w:p>
    <w:p w14:paraId="36E25F4F" w14:textId="77777777" w:rsidR="00BF2649" w:rsidRPr="00443037" w:rsidRDefault="00BF2649" w:rsidP="00BF2649">
      <w:pPr>
        <w:ind w:left="850"/>
        <w:rPr>
          <w:spacing w:val="-3"/>
          <w:sz w:val="24"/>
          <w:szCs w:val="24"/>
          <w:u w:val="single"/>
        </w:rPr>
      </w:pPr>
    </w:p>
    <w:p w14:paraId="3172D148" w14:textId="0573647A" w:rsidR="00BF2649" w:rsidRPr="00443037" w:rsidRDefault="00BF2649" w:rsidP="00BF2649">
      <w:pPr>
        <w:ind w:left="850"/>
        <w:rPr>
          <w:spacing w:val="-3"/>
          <w:sz w:val="24"/>
          <w:szCs w:val="24"/>
          <w:u w:val="single"/>
        </w:rPr>
      </w:pPr>
      <w:r w:rsidRPr="00443037">
        <w:rPr>
          <w:spacing w:val="-3"/>
          <w:sz w:val="24"/>
          <w:szCs w:val="24"/>
          <w:u w:val="single"/>
        </w:rPr>
        <w:t>Blødning</w:t>
      </w:r>
    </w:p>
    <w:p w14:paraId="1CD385FC" w14:textId="77777777" w:rsidR="00BF2649" w:rsidRPr="00443037" w:rsidRDefault="00BF2649" w:rsidP="00BF2649">
      <w:pPr>
        <w:ind w:left="850"/>
        <w:rPr>
          <w:spacing w:val="-3"/>
          <w:sz w:val="24"/>
          <w:szCs w:val="24"/>
        </w:rPr>
      </w:pPr>
      <w:r w:rsidRPr="00443037">
        <w:rPr>
          <w:spacing w:val="-3"/>
          <w:sz w:val="24"/>
          <w:szCs w:val="24"/>
        </w:rPr>
        <w:t xml:space="preserve">Forsigtighed tilrådes ved administration af </w:t>
      </w:r>
      <w:proofErr w:type="spellStart"/>
      <w:r w:rsidRPr="00443037">
        <w:rPr>
          <w:spacing w:val="-3"/>
          <w:sz w:val="24"/>
          <w:szCs w:val="24"/>
        </w:rPr>
        <w:t>Innohep</w:t>
      </w:r>
      <w:proofErr w:type="spellEnd"/>
      <w:r w:rsidRPr="00443037">
        <w:rPr>
          <w:spacing w:val="-3"/>
          <w:sz w:val="24"/>
          <w:szCs w:val="24"/>
        </w:rPr>
        <w:t xml:space="preserve"> til patienter med risiko for blødning. For patienter med risiko for større blødning, se pkt. 4.3. Kombination med lægemidler, der påvirker </w:t>
      </w:r>
      <w:proofErr w:type="spellStart"/>
      <w:r w:rsidRPr="00443037">
        <w:rPr>
          <w:spacing w:val="-3"/>
          <w:sz w:val="24"/>
          <w:szCs w:val="24"/>
        </w:rPr>
        <w:t>trombocytfunktionen</w:t>
      </w:r>
      <w:proofErr w:type="spellEnd"/>
      <w:r w:rsidRPr="00443037">
        <w:rPr>
          <w:spacing w:val="-3"/>
          <w:sz w:val="24"/>
          <w:szCs w:val="24"/>
        </w:rPr>
        <w:t xml:space="preserve"> eller koagulationssystemet bør undgås eller nøje overvåges (se pkt. 4.5).</w:t>
      </w:r>
    </w:p>
    <w:p w14:paraId="79C7CB51" w14:textId="77777777" w:rsidR="00BF2649" w:rsidRPr="00443037" w:rsidRDefault="00BF2649" w:rsidP="00BF2649">
      <w:pPr>
        <w:ind w:left="850"/>
        <w:rPr>
          <w:spacing w:val="-3"/>
          <w:sz w:val="24"/>
          <w:szCs w:val="24"/>
        </w:rPr>
      </w:pPr>
    </w:p>
    <w:p w14:paraId="00CFDA2A" w14:textId="77777777" w:rsidR="00BF2649" w:rsidRPr="00443037" w:rsidRDefault="00BF2649" w:rsidP="00BF2649">
      <w:pPr>
        <w:ind w:left="850"/>
        <w:rPr>
          <w:spacing w:val="-3"/>
          <w:sz w:val="24"/>
          <w:szCs w:val="24"/>
          <w:u w:val="single"/>
        </w:rPr>
      </w:pPr>
      <w:r w:rsidRPr="00443037">
        <w:rPr>
          <w:spacing w:val="-3"/>
          <w:sz w:val="24"/>
          <w:szCs w:val="24"/>
          <w:u w:val="single"/>
        </w:rPr>
        <w:t>Intramuskulære injektioner</w:t>
      </w:r>
    </w:p>
    <w:p w14:paraId="40F13AED" w14:textId="77777777" w:rsidR="00BF2649" w:rsidRPr="00443037" w:rsidRDefault="00BF2649" w:rsidP="00BF2649">
      <w:pPr>
        <w:ind w:left="850"/>
        <w:rPr>
          <w:spacing w:val="-3"/>
          <w:sz w:val="24"/>
          <w:szCs w:val="24"/>
        </w:rPr>
      </w:pPr>
      <w:proofErr w:type="spellStart"/>
      <w:r w:rsidRPr="00443037">
        <w:rPr>
          <w:spacing w:val="-3"/>
          <w:sz w:val="24"/>
          <w:szCs w:val="24"/>
        </w:rPr>
        <w:t>Innohep</w:t>
      </w:r>
      <w:proofErr w:type="spellEnd"/>
      <w:r w:rsidRPr="00443037">
        <w:rPr>
          <w:spacing w:val="-3"/>
          <w:sz w:val="24"/>
          <w:szCs w:val="24"/>
        </w:rPr>
        <w:t xml:space="preserve"> må ikke administreres ved intramuskulær injektion på grund af risikoen for </w:t>
      </w:r>
      <w:proofErr w:type="spellStart"/>
      <w:r w:rsidRPr="00443037">
        <w:rPr>
          <w:spacing w:val="-3"/>
          <w:sz w:val="24"/>
          <w:szCs w:val="24"/>
        </w:rPr>
        <w:t>hæma</w:t>
      </w:r>
      <w:r w:rsidRPr="00443037">
        <w:rPr>
          <w:spacing w:val="-3"/>
          <w:sz w:val="24"/>
          <w:szCs w:val="24"/>
        </w:rPr>
        <w:softHyphen/>
        <w:t>tom</w:t>
      </w:r>
      <w:proofErr w:type="spellEnd"/>
      <w:r w:rsidRPr="00443037">
        <w:rPr>
          <w:spacing w:val="-3"/>
          <w:sz w:val="24"/>
          <w:szCs w:val="24"/>
        </w:rPr>
        <w:t>.</w:t>
      </w:r>
    </w:p>
    <w:p w14:paraId="016E5C63" w14:textId="77777777" w:rsidR="00BF2649" w:rsidRPr="00443037" w:rsidRDefault="00BF2649" w:rsidP="00BF2649">
      <w:pPr>
        <w:ind w:left="850"/>
        <w:rPr>
          <w:spacing w:val="-3"/>
          <w:sz w:val="24"/>
          <w:szCs w:val="24"/>
        </w:rPr>
      </w:pPr>
      <w:r w:rsidRPr="00443037">
        <w:rPr>
          <w:spacing w:val="-3"/>
          <w:sz w:val="24"/>
          <w:szCs w:val="24"/>
        </w:rPr>
        <w:t xml:space="preserve">På grund af risikoen for </w:t>
      </w:r>
      <w:proofErr w:type="spellStart"/>
      <w:r w:rsidRPr="00443037">
        <w:rPr>
          <w:spacing w:val="-3"/>
          <w:sz w:val="24"/>
          <w:szCs w:val="24"/>
        </w:rPr>
        <w:t>hæmatom</w:t>
      </w:r>
      <w:proofErr w:type="spellEnd"/>
      <w:r w:rsidRPr="00443037">
        <w:rPr>
          <w:spacing w:val="-3"/>
          <w:sz w:val="24"/>
          <w:szCs w:val="24"/>
        </w:rPr>
        <w:t xml:space="preserve"> bør samtidige intramuskulære injektioner også undgås.</w:t>
      </w:r>
    </w:p>
    <w:p w14:paraId="01DAE915" w14:textId="77777777" w:rsidR="00BF2649" w:rsidRPr="00443037" w:rsidRDefault="00BF2649" w:rsidP="00BF2649">
      <w:pPr>
        <w:ind w:left="850"/>
        <w:rPr>
          <w:spacing w:val="-3"/>
          <w:sz w:val="24"/>
          <w:szCs w:val="24"/>
        </w:rPr>
      </w:pPr>
    </w:p>
    <w:p w14:paraId="462C7710" w14:textId="77777777" w:rsidR="00BF2649" w:rsidRPr="00443037" w:rsidRDefault="00BF2649" w:rsidP="00BF2649">
      <w:pPr>
        <w:ind w:left="850"/>
        <w:rPr>
          <w:spacing w:val="-3"/>
          <w:sz w:val="24"/>
          <w:szCs w:val="24"/>
          <w:u w:val="single"/>
        </w:rPr>
      </w:pPr>
      <w:proofErr w:type="spellStart"/>
      <w:r w:rsidRPr="00443037">
        <w:rPr>
          <w:spacing w:val="-3"/>
          <w:sz w:val="24"/>
          <w:szCs w:val="24"/>
          <w:u w:val="single"/>
        </w:rPr>
        <w:t>Heparin</w:t>
      </w:r>
      <w:proofErr w:type="spellEnd"/>
      <w:r w:rsidRPr="00443037">
        <w:rPr>
          <w:spacing w:val="-3"/>
          <w:sz w:val="24"/>
          <w:szCs w:val="24"/>
          <w:u w:val="single"/>
        </w:rPr>
        <w:t xml:space="preserve">-induceret </w:t>
      </w:r>
      <w:proofErr w:type="spellStart"/>
      <w:r w:rsidRPr="00443037">
        <w:rPr>
          <w:spacing w:val="-3"/>
          <w:sz w:val="24"/>
          <w:szCs w:val="24"/>
          <w:u w:val="single"/>
        </w:rPr>
        <w:t>trombocytopeni</w:t>
      </w:r>
      <w:proofErr w:type="spellEnd"/>
    </w:p>
    <w:p w14:paraId="32E07B23" w14:textId="77777777" w:rsidR="00BF2649" w:rsidRPr="00443037" w:rsidRDefault="00BF2649" w:rsidP="00BF2649">
      <w:pPr>
        <w:ind w:left="850"/>
        <w:rPr>
          <w:spacing w:val="-3"/>
          <w:sz w:val="24"/>
          <w:szCs w:val="24"/>
        </w:rPr>
      </w:pPr>
      <w:proofErr w:type="spellStart"/>
      <w:r w:rsidRPr="00443037">
        <w:rPr>
          <w:spacing w:val="-3"/>
          <w:sz w:val="24"/>
          <w:szCs w:val="24"/>
        </w:rPr>
        <w:t>Trombocyttal</w:t>
      </w:r>
      <w:proofErr w:type="spellEnd"/>
      <w:r w:rsidRPr="00443037">
        <w:rPr>
          <w:spacing w:val="-3"/>
          <w:sz w:val="24"/>
          <w:szCs w:val="24"/>
        </w:rPr>
        <w:t xml:space="preserve"> bør måles før behandlingsstart og derefter regelmæssigt på grund af risikoen for immunmedieret </w:t>
      </w:r>
      <w:proofErr w:type="spellStart"/>
      <w:r w:rsidRPr="00443037">
        <w:rPr>
          <w:spacing w:val="-3"/>
          <w:sz w:val="24"/>
          <w:szCs w:val="24"/>
        </w:rPr>
        <w:t>heparin</w:t>
      </w:r>
      <w:proofErr w:type="spellEnd"/>
      <w:r w:rsidRPr="00443037">
        <w:rPr>
          <w:spacing w:val="-3"/>
          <w:sz w:val="24"/>
          <w:szCs w:val="24"/>
        </w:rPr>
        <w:t xml:space="preserve">-induceret </w:t>
      </w:r>
      <w:proofErr w:type="spellStart"/>
      <w:r w:rsidRPr="00443037">
        <w:rPr>
          <w:spacing w:val="-3"/>
          <w:sz w:val="24"/>
          <w:szCs w:val="24"/>
        </w:rPr>
        <w:t>trombocytopeni</w:t>
      </w:r>
      <w:proofErr w:type="spellEnd"/>
      <w:r w:rsidRPr="00443037">
        <w:rPr>
          <w:spacing w:val="-3"/>
          <w:sz w:val="24"/>
          <w:szCs w:val="24"/>
        </w:rPr>
        <w:t xml:space="preserve"> (type II). </w:t>
      </w:r>
      <w:proofErr w:type="spellStart"/>
      <w:r w:rsidRPr="00443037">
        <w:rPr>
          <w:spacing w:val="-3"/>
          <w:sz w:val="24"/>
          <w:szCs w:val="24"/>
        </w:rPr>
        <w:t>Innohep</w:t>
      </w:r>
      <w:proofErr w:type="spellEnd"/>
      <w:r w:rsidRPr="00443037">
        <w:rPr>
          <w:spacing w:val="-3"/>
          <w:sz w:val="24"/>
          <w:szCs w:val="24"/>
        </w:rPr>
        <w:t xml:space="preserve"> skal seponeres hos patienter, som udvikler immunmedieret </w:t>
      </w:r>
      <w:proofErr w:type="spellStart"/>
      <w:r w:rsidRPr="00443037">
        <w:rPr>
          <w:spacing w:val="-3"/>
          <w:sz w:val="24"/>
          <w:szCs w:val="24"/>
        </w:rPr>
        <w:t>heparin</w:t>
      </w:r>
      <w:proofErr w:type="spellEnd"/>
      <w:r w:rsidRPr="00443037">
        <w:rPr>
          <w:spacing w:val="-3"/>
          <w:sz w:val="24"/>
          <w:szCs w:val="24"/>
        </w:rPr>
        <w:t xml:space="preserve">-induceret </w:t>
      </w:r>
      <w:proofErr w:type="spellStart"/>
      <w:r w:rsidRPr="00443037">
        <w:rPr>
          <w:spacing w:val="-3"/>
          <w:sz w:val="24"/>
          <w:szCs w:val="24"/>
        </w:rPr>
        <w:t>trombocytopeni</w:t>
      </w:r>
      <w:proofErr w:type="spellEnd"/>
      <w:r w:rsidRPr="00443037">
        <w:rPr>
          <w:spacing w:val="-3"/>
          <w:sz w:val="24"/>
          <w:szCs w:val="24"/>
        </w:rPr>
        <w:t xml:space="preserve"> (type II), se pkt. 4.3 og 4.8). </w:t>
      </w:r>
      <w:proofErr w:type="spellStart"/>
      <w:r w:rsidRPr="00443037">
        <w:rPr>
          <w:spacing w:val="-3"/>
          <w:sz w:val="24"/>
          <w:szCs w:val="24"/>
        </w:rPr>
        <w:t>Trombocyttallene</w:t>
      </w:r>
      <w:proofErr w:type="spellEnd"/>
      <w:r w:rsidRPr="00443037">
        <w:rPr>
          <w:spacing w:val="-3"/>
          <w:sz w:val="24"/>
          <w:szCs w:val="24"/>
        </w:rPr>
        <w:t xml:space="preserve"> vil sædvanligvis normaliseres inden for 2 til 4 uger efter ophør med behandlingen.</w:t>
      </w:r>
    </w:p>
    <w:p w14:paraId="68E0C288" w14:textId="77777777" w:rsidR="00BF2649" w:rsidRPr="00443037" w:rsidRDefault="00BF2649" w:rsidP="00BF2649">
      <w:pPr>
        <w:ind w:left="851"/>
        <w:rPr>
          <w:spacing w:val="-3"/>
          <w:sz w:val="24"/>
          <w:szCs w:val="24"/>
        </w:rPr>
      </w:pPr>
      <w:r w:rsidRPr="00443037">
        <w:rPr>
          <w:spacing w:val="-3"/>
          <w:sz w:val="24"/>
          <w:szCs w:val="24"/>
        </w:rPr>
        <w:t xml:space="preserve">Regelmæssig monitorering af </w:t>
      </w:r>
      <w:proofErr w:type="spellStart"/>
      <w:r w:rsidRPr="00443037">
        <w:rPr>
          <w:spacing w:val="-3"/>
          <w:sz w:val="24"/>
          <w:szCs w:val="24"/>
        </w:rPr>
        <w:t>trombocyttal</w:t>
      </w:r>
      <w:proofErr w:type="spellEnd"/>
      <w:r w:rsidRPr="00443037">
        <w:rPr>
          <w:spacing w:val="-3"/>
          <w:sz w:val="24"/>
          <w:szCs w:val="24"/>
        </w:rPr>
        <w:t xml:space="preserve"> gælder også ved langtidsbehandling af cancerrelateret trombose især i løbet af den første måned taget i betragtning, at cancer og dens behandling, såsom kemoterapi, også kan forårsage </w:t>
      </w:r>
      <w:proofErr w:type="spellStart"/>
      <w:r w:rsidRPr="00443037">
        <w:rPr>
          <w:spacing w:val="-3"/>
          <w:sz w:val="24"/>
          <w:szCs w:val="24"/>
        </w:rPr>
        <w:t>trombocytopeni</w:t>
      </w:r>
      <w:proofErr w:type="spellEnd"/>
      <w:r w:rsidRPr="00443037">
        <w:rPr>
          <w:spacing w:val="-3"/>
          <w:sz w:val="24"/>
          <w:szCs w:val="24"/>
        </w:rPr>
        <w:t>.</w:t>
      </w:r>
    </w:p>
    <w:p w14:paraId="1193CCED" w14:textId="77777777" w:rsidR="00BF2649" w:rsidRPr="00443037" w:rsidRDefault="00BF2649" w:rsidP="00BF2649">
      <w:pPr>
        <w:ind w:left="850"/>
        <w:rPr>
          <w:spacing w:val="-3"/>
          <w:sz w:val="24"/>
          <w:szCs w:val="24"/>
        </w:rPr>
      </w:pPr>
    </w:p>
    <w:p w14:paraId="6E295AB0" w14:textId="77777777" w:rsidR="00BF2649" w:rsidRPr="00443037" w:rsidRDefault="00BF2649" w:rsidP="00BF2649">
      <w:pPr>
        <w:ind w:left="850"/>
        <w:rPr>
          <w:spacing w:val="-3"/>
          <w:sz w:val="24"/>
          <w:szCs w:val="24"/>
          <w:u w:val="single"/>
        </w:rPr>
      </w:pPr>
      <w:proofErr w:type="spellStart"/>
      <w:r w:rsidRPr="00443037">
        <w:rPr>
          <w:spacing w:val="-3"/>
          <w:sz w:val="24"/>
          <w:szCs w:val="24"/>
          <w:u w:val="single"/>
        </w:rPr>
        <w:t>Hyperkaliæmi</w:t>
      </w:r>
      <w:proofErr w:type="spellEnd"/>
    </w:p>
    <w:p w14:paraId="438913CA" w14:textId="77777777" w:rsidR="00BF2649" w:rsidRPr="00443037" w:rsidRDefault="00BF2649" w:rsidP="00BF2649">
      <w:pPr>
        <w:ind w:left="850"/>
        <w:rPr>
          <w:spacing w:val="-3"/>
          <w:sz w:val="24"/>
          <w:szCs w:val="24"/>
        </w:rPr>
      </w:pPr>
      <w:proofErr w:type="spellStart"/>
      <w:r w:rsidRPr="00443037">
        <w:rPr>
          <w:spacing w:val="-3"/>
          <w:sz w:val="24"/>
          <w:szCs w:val="24"/>
        </w:rPr>
        <w:t>Heparin</w:t>
      </w:r>
      <w:proofErr w:type="spellEnd"/>
      <w:r w:rsidRPr="00443037">
        <w:rPr>
          <w:spacing w:val="-3"/>
          <w:sz w:val="24"/>
          <w:szCs w:val="24"/>
        </w:rPr>
        <w:t xml:space="preserve">-produkter kan undertrykke </w:t>
      </w:r>
      <w:proofErr w:type="spellStart"/>
      <w:r w:rsidRPr="00443037">
        <w:rPr>
          <w:spacing w:val="-3"/>
          <w:sz w:val="24"/>
          <w:szCs w:val="24"/>
        </w:rPr>
        <w:t>adrenal</w:t>
      </w:r>
      <w:proofErr w:type="spellEnd"/>
      <w:r w:rsidRPr="00443037">
        <w:rPr>
          <w:spacing w:val="-3"/>
          <w:sz w:val="24"/>
          <w:szCs w:val="24"/>
        </w:rPr>
        <w:t xml:space="preserve"> sekretion af </w:t>
      </w:r>
      <w:proofErr w:type="spellStart"/>
      <w:r w:rsidRPr="00443037">
        <w:rPr>
          <w:spacing w:val="-3"/>
          <w:sz w:val="24"/>
          <w:szCs w:val="24"/>
        </w:rPr>
        <w:t>aldosteron</w:t>
      </w:r>
      <w:proofErr w:type="spellEnd"/>
      <w:r w:rsidRPr="00443037">
        <w:rPr>
          <w:spacing w:val="-3"/>
          <w:sz w:val="24"/>
          <w:szCs w:val="24"/>
        </w:rPr>
        <w:t xml:space="preserve">, hvilket fører til </w:t>
      </w:r>
      <w:proofErr w:type="spellStart"/>
      <w:r w:rsidRPr="00443037">
        <w:rPr>
          <w:spacing w:val="-3"/>
          <w:sz w:val="24"/>
          <w:szCs w:val="24"/>
        </w:rPr>
        <w:t>hyper</w:t>
      </w:r>
      <w:r w:rsidRPr="00443037">
        <w:rPr>
          <w:spacing w:val="-3"/>
          <w:sz w:val="24"/>
          <w:szCs w:val="24"/>
        </w:rPr>
        <w:softHyphen/>
        <w:t>kaliæmi</w:t>
      </w:r>
      <w:proofErr w:type="spellEnd"/>
      <w:r w:rsidRPr="00443037">
        <w:rPr>
          <w:spacing w:val="-3"/>
          <w:sz w:val="24"/>
          <w:szCs w:val="24"/>
        </w:rPr>
        <w:t>. Risikofaktorer omfatter diabetes mellitus, kronisk nyresvigt, tidligere meta</w:t>
      </w:r>
      <w:r w:rsidRPr="00443037">
        <w:rPr>
          <w:spacing w:val="-3"/>
          <w:sz w:val="24"/>
          <w:szCs w:val="24"/>
        </w:rPr>
        <w:softHyphen/>
        <w:t xml:space="preserve">bolisk </w:t>
      </w:r>
      <w:proofErr w:type="spellStart"/>
      <w:r w:rsidRPr="00443037">
        <w:rPr>
          <w:spacing w:val="-3"/>
          <w:sz w:val="24"/>
          <w:szCs w:val="24"/>
        </w:rPr>
        <w:t>acidose</w:t>
      </w:r>
      <w:proofErr w:type="spellEnd"/>
      <w:r w:rsidRPr="00443037">
        <w:rPr>
          <w:spacing w:val="-3"/>
          <w:sz w:val="24"/>
          <w:szCs w:val="24"/>
        </w:rPr>
        <w:t xml:space="preserve">, forhøjet plasmakalium før behandling, samtidig behandling med lægemidler, der kan øge plasmakalium og langvarig brug af </w:t>
      </w:r>
      <w:proofErr w:type="spellStart"/>
      <w:r w:rsidRPr="00443037">
        <w:rPr>
          <w:spacing w:val="-3"/>
          <w:sz w:val="24"/>
          <w:szCs w:val="24"/>
        </w:rPr>
        <w:t>Innohep</w:t>
      </w:r>
      <w:proofErr w:type="spellEnd"/>
      <w:r w:rsidRPr="00443037">
        <w:rPr>
          <w:spacing w:val="-3"/>
          <w:sz w:val="24"/>
          <w:szCs w:val="24"/>
        </w:rPr>
        <w:t>. Hos patienter i risi</w:t>
      </w:r>
      <w:r w:rsidRPr="00443037">
        <w:rPr>
          <w:spacing w:val="-3"/>
          <w:sz w:val="24"/>
          <w:szCs w:val="24"/>
        </w:rPr>
        <w:softHyphen/>
        <w:t xml:space="preserve">kogruppen bør kaliumniveauet måles, før behandling startes med </w:t>
      </w:r>
      <w:proofErr w:type="spellStart"/>
      <w:r w:rsidRPr="00443037">
        <w:rPr>
          <w:spacing w:val="-3"/>
          <w:sz w:val="24"/>
          <w:szCs w:val="24"/>
        </w:rPr>
        <w:t>Innohep</w:t>
      </w:r>
      <w:proofErr w:type="spellEnd"/>
      <w:r w:rsidRPr="00443037">
        <w:rPr>
          <w:spacing w:val="-3"/>
          <w:sz w:val="24"/>
          <w:szCs w:val="24"/>
        </w:rPr>
        <w:t xml:space="preserve"> og regel</w:t>
      </w:r>
      <w:r w:rsidRPr="00443037">
        <w:rPr>
          <w:spacing w:val="-3"/>
          <w:sz w:val="24"/>
          <w:szCs w:val="24"/>
        </w:rPr>
        <w:softHyphen/>
        <w:t>mæs</w:t>
      </w:r>
      <w:r w:rsidRPr="00443037">
        <w:rPr>
          <w:spacing w:val="-3"/>
          <w:sz w:val="24"/>
          <w:szCs w:val="24"/>
        </w:rPr>
        <w:softHyphen/>
        <w:t xml:space="preserve">sigt overvåges derefter. </w:t>
      </w:r>
      <w:proofErr w:type="spellStart"/>
      <w:r w:rsidRPr="00443037">
        <w:rPr>
          <w:spacing w:val="-3"/>
          <w:sz w:val="24"/>
          <w:szCs w:val="24"/>
        </w:rPr>
        <w:t>Heparin</w:t>
      </w:r>
      <w:proofErr w:type="spellEnd"/>
      <w:r w:rsidRPr="00443037">
        <w:rPr>
          <w:spacing w:val="-3"/>
          <w:sz w:val="24"/>
          <w:szCs w:val="24"/>
        </w:rPr>
        <w:t xml:space="preserve">-relateret </w:t>
      </w:r>
      <w:proofErr w:type="spellStart"/>
      <w:r w:rsidRPr="00443037">
        <w:rPr>
          <w:spacing w:val="-3"/>
          <w:sz w:val="24"/>
          <w:szCs w:val="24"/>
        </w:rPr>
        <w:t>hyperkaliæmi</w:t>
      </w:r>
      <w:proofErr w:type="spellEnd"/>
      <w:r w:rsidRPr="00443037">
        <w:rPr>
          <w:spacing w:val="-3"/>
          <w:sz w:val="24"/>
          <w:szCs w:val="24"/>
        </w:rPr>
        <w:t xml:space="preserve"> er normalt reversibel ved behand</w:t>
      </w:r>
      <w:r w:rsidRPr="00443037">
        <w:rPr>
          <w:spacing w:val="-3"/>
          <w:sz w:val="24"/>
          <w:szCs w:val="24"/>
        </w:rPr>
        <w:softHyphen/>
        <w:t xml:space="preserve">lingsophør, men det kan være nødvendigt at overveje andre metoder, hvis behandling med </w:t>
      </w:r>
      <w:proofErr w:type="spellStart"/>
      <w:r w:rsidRPr="00443037">
        <w:rPr>
          <w:spacing w:val="-3"/>
          <w:sz w:val="24"/>
          <w:szCs w:val="24"/>
        </w:rPr>
        <w:t>Innohep</w:t>
      </w:r>
      <w:proofErr w:type="spellEnd"/>
      <w:r w:rsidRPr="00443037">
        <w:rPr>
          <w:spacing w:val="-3"/>
          <w:sz w:val="24"/>
          <w:szCs w:val="24"/>
        </w:rPr>
        <w:t xml:space="preserve"> anses livred</w:t>
      </w:r>
      <w:r w:rsidRPr="00443037">
        <w:rPr>
          <w:spacing w:val="-3"/>
          <w:sz w:val="24"/>
          <w:szCs w:val="24"/>
        </w:rPr>
        <w:softHyphen/>
        <w:t>dende (f.eks. mindske kalium indtaget, seponere andre lægemidler, der kan påvirke kalium</w:t>
      </w:r>
      <w:r w:rsidRPr="00443037">
        <w:rPr>
          <w:spacing w:val="-3"/>
          <w:sz w:val="24"/>
          <w:szCs w:val="24"/>
        </w:rPr>
        <w:softHyphen/>
        <w:t>balancen).</w:t>
      </w:r>
    </w:p>
    <w:p w14:paraId="7CC8FDFA" w14:textId="77777777" w:rsidR="00BF2649" w:rsidRPr="00443037" w:rsidRDefault="00BF2649" w:rsidP="00BF2649">
      <w:pPr>
        <w:tabs>
          <w:tab w:val="left" w:pos="0"/>
          <w:tab w:val="left" w:pos="851"/>
          <w:tab w:val="left" w:pos="1217"/>
        </w:tabs>
        <w:ind w:left="850"/>
        <w:rPr>
          <w:spacing w:val="-3"/>
          <w:sz w:val="24"/>
          <w:szCs w:val="24"/>
        </w:rPr>
      </w:pPr>
    </w:p>
    <w:p w14:paraId="45C4589B" w14:textId="77777777" w:rsidR="00BF2649" w:rsidRPr="00443037" w:rsidRDefault="00BF2649" w:rsidP="00BF2649">
      <w:pPr>
        <w:tabs>
          <w:tab w:val="left" w:pos="0"/>
          <w:tab w:val="left" w:pos="851"/>
          <w:tab w:val="left" w:pos="1217"/>
        </w:tabs>
        <w:ind w:left="850"/>
        <w:rPr>
          <w:spacing w:val="-3"/>
          <w:sz w:val="24"/>
          <w:szCs w:val="24"/>
          <w:u w:val="single"/>
        </w:rPr>
      </w:pPr>
      <w:r w:rsidRPr="00443037">
        <w:rPr>
          <w:b/>
          <w:spacing w:val="-3"/>
          <w:sz w:val="24"/>
          <w:szCs w:val="24"/>
          <w:u w:val="single"/>
        </w:rPr>
        <w:tab/>
      </w:r>
      <w:r w:rsidRPr="00443037">
        <w:rPr>
          <w:spacing w:val="-3"/>
          <w:sz w:val="24"/>
          <w:szCs w:val="24"/>
          <w:u w:val="single"/>
        </w:rPr>
        <w:t>Kunstige hjerteklapper</w:t>
      </w:r>
    </w:p>
    <w:p w14:paraId="188804A8" w14:textId="77777777" w:rsidR="00BF2649" w:rsidRPr="00443037" w:rsidRDefault="00BF2649" w:rsidP="00BF2649">
      <w:pPr>
        <w:tabs>
          <w:tab w:val="left" w:pos="0"/>
          <w:tab w:val="left" w:pos="851"/>
          <w:tab w:val="left" w:pos="1217"/>
        </w:tabs>
        <w:ind w:left="850"/>
        <w:rPr>
          <w:spacing w:val="-3"/>
          <w:sz w:val="24"/>
          <w:szCs w:val="24"/>
        </w:rPr>
      </w:pPr>
      <w:r w:rsidRPr="00443037">
        <w:rPr>
          <w:spacing w:val="-3"/>
          <w:sz w:val="24"/>
          <w:szCs w:val="24"/>
        </w:rPr>
        <w:tab/>
        <w:t>Terapeutiske svigt er blevet rapporteret hos patienter med kunstige hjerteklapper på normale anti</w:t>
      </w:r>
      <w:r w:rsidRPr="00443037">
        <w:rPr>
          <w:spacing w:val="-3"/>
          <w:sz w:val="24"/>
          <w:szCs w:val="24"/>
        </w:rPr>
        <w:softHyphen/>
        <w:t xml:space="preserve">koagulerende doser af </w:t>
      </w:r>
      <w:proofErr w:type="spellStart"/>
      <w:r w:rsidRPr="00443037">
        <w:rPr>
          <w:spacing w:val="-3"/>
          <w:sz w:val="24"/>
          <w:szCs w:val="24"/>
        </w:rPr>
        <w:t>Innohep</w:t>
      </w:r>
      <w:proofErr w:type="spellEnd"/>
      <w:r w:rsidRPr="00443037">
        <w:rPr>
          <w:spacing w:val="-3"/>
          <w:sz w:val="24"/>
          <w:szCs w:val="24"/>
        </w:rPr>
        <w:t xml:space="preserve"> og andre lavmolekylære </w:t>
      </w:r>
      <w:proofErr w:type="spellStart"/>
      <w:r w:rsidRPr="00443037">
        <w:rPr>
          <w:spacing w:val="-3"/>
          <w:sz w:val="24"/>
          <w:szCs w:val="24"/>
        </w:rPr>
        <w:t>hepariner</w:t>
      </w:r>
      <w:proofErr w:type="spellEnd"/>
      <w:r w:rsidRPr="00443037">
        <w:rPr>
          <w:spacing w:val="-3"/>
          <w:sz w:val="24"/>
          <w:szCs w:val="24"/>
        </w:rPr>
        <w:t xml:space="preserve">. </w:t>
      </w:r>
      <w:proofErr w:type="spellStart"/>
      <w:r w:rsidRPr="00443037">
        <w:rPr>
          <w:spacing w:val="-3"/>
          <w:sz w:val="24"/>
          <w:szCs w:val="24"/>
        </w:rPr>
        <w:t>Innohep</w:t>
      </w:r>
      <w:proofErr w:type="spellEnd"/>
      <w:r w:rsidRPr="00443037">
        <w:rPr>
          <w:spacing w:val="-3"/>
          <w:sz w:val="24"/>
          <w:szCs w:val="24"/>
        </w:rPr>
        <w:t xml:space="preserve"> anbefales ikke til denne patientgruppe.</w:t>
      </w:r>
    </w:p>
    <w:p w14:paraId="35276C69" w14:textId="77777777" w:rsidR="00BF2649" w:rsidRPr="00443037" w:rsidRDefault="00BF2649" w:rsidP="00BF2649">
      <w:pPr>
        <w:tabs>
          <w:tab w:val="left" w:pos="0"/>
          <w:tab w:val="left" w:pos="851"/>
          <w:tab w:val="left" w:pos="1217"/>
        </w:tabs>
        <w:ind w:left="850"/>
        <w:rPr>
          <w:spacing w:val="-3"/>
          <w:sz w:val="24"/>
          <w:szCs w:val="24"/>
        </w:rPr>
      </w:pPr>
    </w:p>
    <w:p w14:paraId="4476C7A5" w14:textId="77777777" w:rsidR="00BF2649" w:rsidRPr="00443037" w:rsidRDefault="00BF2649" w:rsidP="00BF2649">
      <w:pPr>
        <w:tabs>
          <w:tab w:val="left" w:pos="0"/>
          <w:tab w:val="left" w:pos="851"/>
          <w:tab w:val="left" w:pos="1217"/>
        </w:tabs>
        <w:ind w:left="850"/>
        <w:rPr>
          <w:spacing w:val="-3"/>
          <w:sz w:val="24"/>
          <w:szCs w:val="24"/>
          <w:u w:val="single"/>
        </w:rPr>
      </w:pPr>
      <w:r w:rsidRPr="00443037">
        <w:rPr>
          <w:b/>
          <w:spacing w:val="-3"/>
          <w:sz w:val="24"/>
          <w:szCs w:val="24"/>
          <w:u w:val="single"/>
        </w:rPr>
        <w:tab/>
      </w:r>
      <w:r w:rsidRPr="00443037">
        <w:rPr>
          <w:spacing w:val="-3"/>
          <w:sz w:val="24"/>
          <w:szCs w:val="24"/>
          <w:u w:val="single"/>
        </w:rPr>
        <w:t>Nedsat nyrefunktion</w:t>
      </w:r>
    </w:p>
    <w:p w14:paraId="1BD5D411" w14:textId="77777777" w:rsidR="00BF2649" w:rsidRPr="00443037" w:rsidRDefault="00BF2649" w:rsidP="00BF2649">
      <w:pPr>
        <w:tabs>
          <w:tab w:val="left" w:pos="0"/>
          <w:tab w:val="left" w:pos="851"/>
          <w:tab w:val="left" w:pos="1217"/>
        </w:tabs>
        <w:ind w:left="850"/>
        <w:rPr>
          <w:spacing w:val="-3"/>
          <w:sz w:val="24"/>
          <w:szCs w:val="24"/>
        </w:rPr>
      </w:pPr>
      <w:r w:rsidRPr="00443037">
        <w:rPr>
          <w:spacing w:val="-3"/>
          <w:sz w:val="24"/>
          <w:szCs w:val="24"/>
        </w:rPr>
        <w:tab/>
        <w:t xml:space="preserve">Tilgængelige oplysninger viser ingen akkumulering hos patienter med </w:t>
      </w:r>
      <w:proofErr w:type="spellStart"/>
      <w:r w:rsidRPr="00443037">
        <w:rPr>
          <w:spacing w:val="-3"/>
          <w:sz w:val="24"/>
          <w:szCs w:val="24"/>
        </w:rPr>
        <w:t>kreatininclearance</w:t>
      </w:r>
      <w:proofErr w:type="spellEnd"/>
      <w:r w:rsidRPr="00443037">
        <w:rPr>
          <w:spacing w:val="-3"/>
          <w:sz w:val="24"/>
          <w:szCs w:val="24"/>
        </w:rPr>
        <w:t xml:space="preserve">- Anvendelse hos patienter med et </w:t>
      </w:r>
      <w:proofErr w:type="spellStart"/>
      <w:r w:rsidRPr="00443037">
        <w:rPr>
          <w:spacing w:val="-3"/>
          <w:sz w:val="24"/>
          <w:szCs w:val="24"/>
        </w:rPr>
        <w:t>kreatininclearance</w:t>
      </w:r>
      <w:proofErr w:type="spellEnd"/>
      <w:r w:rsidRPr="00443037">
        <w:rPr>
          <w:spacing w:val="-3"/>
          <w:sz w:val="24"/>
          <w:szCs w:val="24"/>
        </w:rPr>
        <w:t xml:space="preserve"> niveau &lt;30 ml/minut anbefales ikke, da doseringen i denne population ikke er fastlagt. Den foreliggende dokumentation viser ingen akkumulering hos patienter med </w:t>
      </w:r>
      <w:proofErr w:type="spellStart"/>
      <w:r w:rsidRPr="00443037">
        <w:rPr>
          <w:spacing w:val="-3"/>
          <w:sz w:val="24"/>
          <w:szCs w:val="24"/>
        </w:rPr>
        <w:t>kreatininclearance</w:t>
      </w:r>
      <w:proofErr w:type="spellEnd"/>
      <w:r w:rsidRPr="00443037">
        <w:rPr>
          <w:spacing w:val="-3"/>
          <w:sz w:val="24"/>
          <w:szCs w:val="24"/>
        </w:rPr>
        <w:t xml:space="preserve"> niveau ned til 20 ml/minut. Når nødvendigt hos disse patienter, kan behandling med </w:t>
      </w:r>
      <w:proofErr w:type="spellStart"/>
      <w:r w:rsidRPr="00443037">
        <w:rPr>
          <w:spacing w:val="-3"/>
          <w:sz w:val="24"/>
          <w:szCs w:val="24"/>
        </w:rPr>
        <w:t>Innohep</w:t>
      </w:r>
      <w:proofErr w:type="spellEnd"/>
      <w:r w:rsidRPr="00443037">
        <w:rPr>
          <w:spacing w:val="-3"/>
          <w:sz w:val="24"/>
          <w:szCs w:val="24"/>
        </w:rPr>
        <w:t xml:space="preserve"> anvendes med forsigtighed med </w:t>
      </w:r>
      <w:proofErr w:type="spellStart"/>
      <w:r w:rsidRPr="00443037">
        <w:rPr>
          <w:spacing w:val="-3"/>
          <w:sz w:val="24"/>
          <w:szCs w:val="24"/>
        </w:rPr>
        <w:t>anti-Xa</w:t>
      </w:r>
      <w:proofErr w:type="spellEnd"/>
      <w:r w:rsidRPr="00443037">
        <w:rPr>
          <w:spacing w:val="-3"/>
          <w:sz w:val="24"/>
          <w:szCs w:val="24"/>
        </w:rPr>
        <w:t xml:space="preserve"> monitorering, hvis fordelen opvejer risikoen (se pkt. 4.2). Selvom </w:t>
      </w:r>
      <w:proofErr w:type="spellStart"/>
      <w:r w:rsidRPr="00443037">
        <w:rPr>
          <w:spacing w:val="-3"/>
          <w:sz w:val="24"/>
          <w:szCs w:val="24"/>
        </w:rPr>
        <w:t>anti-Xa</w:t>
      </w:r>
      <w:proofErr w:type="spellEnd"/>
      <w:r w:rsidRPr="00443037">
        <w:rPr>
          <w:spacing w:val="-3"/>
          <w:sz w:val="24"/>
          <w:szCs w:val="24"/>
        </w:rPr>
        <w:t xml:space="preserve"> </w:t>
      </w:r>
      <w:proofErr w:type="spellStart"/>
      <w:r w:rsidRPr="00443037">
        <w:rPr>
          <w:spacing w:val="-3"/>
          <w:sz w:val="24"/>
          <w:szCs w:val="24"/>
        </w:rPr>
        <w:t>monitoring</w:t>
      </w:r>
      <w:proofErr w:type="spellEnd"/>
      <w:r w:rsidRPr="00443037">
        <w:rPr>
          <w:spacing w:val="-3"/>
          <w:sz w:val="24"/>
          <w:szCs w:val="24"/>
        </w:rPr>
        <w:t xml:space="preserve"> fortsat er en dårlig indikator for risiko for blødning, er det den mest hensigtsmæssige målemetode af </w:t>
      </w:r>
      <w:proofErr w:type="spellStart"/>
      <w:r w:rsidRPr="00443037">
        <w:rPr>
          <w:spacing w:val="-3"/>
          <w:sz w:val="24"/>
          <w:szCs w:val="24"/>
        </w:rPr>
        <w:t>Innoheps</w:t>
      </w:r>
      <w:proofErr w:type="spellEnd"/>
      <w:r w:rsidRPr="00443037">
        <w:rPr>
          <w:spacing w:val="-3"/>
          <w:sz w:val="24"/>
          <w:szCs w:val="24"/>
        </w:rPr>
        <w:t xml:space="preserve"> </w:t>
      </w:r>
      <w:proofErr w:type="spellStart"/>
      <w:r w:rsidRPr="00443037">
        <w:rPr>
          <w:spacing w:val="-3"/>
          <w:sz w:val="24"/>
          <w:szCs w:val="24"/>
        </w:rPr>
        <w:t>farmakodynamiske</w:t>
      </w:r>
      <w:proofErr w:type="spellEnd"/>
      <w:r w:rsidRPr="00443037">
        <w:rPr>
          <w:spacing w:val="-3"/>
          <w:sz w:val="24"/>
          <w:szCs w:val="24"/>
        </w:rPr>
        <w:t xml:space="preserve"> virkning.</w:t>
      </w:r>
    </w:p>
    <w:p w14:paraId="753562D2" w14:textId="77777777" w:rsidR="00BF2649" w:rsidRPr="00443037" w:rsidRDefault="00BF2649" w:rsidP="00BF2649">
      <w:pPr>
        <w:tabs>
          <w:tab w:val="left" w:pos="0"/>
          <w:tab w:val="left" w:pos="851"/>
          <w:tab w:val="left" w:pos="1217"/>
        </w:tabs>
        <w:ind w:left="850"/>
        <w:rPr>
          <w:spacing w:val="-3"/>
          <w:sz w:val="24"/>
          <w:szCs w:val="24"/>
        </w:rPr>
      </w:pPr>
    </w:p>
    <w:p w14:paraId="1C1CF98B" w14:textId="77777777" w:rsidR="00BF2649" w:rsidRPr="00443037" w:rsidRDefault="00BF2649" w:rsidP="00BF2649">
      <w:pPr>
        <w:tabs>
          <w:tab w:val="left" w:pos="0"/>
          <w:tab w:val="left" w:pos="851"/>
          <w:tab w:val="left" w:pos="1217"/>
        </w:tabs>
        <w:ind w:left="850"/>
        <w:rPr>
          <w:spacing w:val="-3"/>
          <w:sz w:val="24"/>
          <w:szCs w:val="24"/>
          <w:u w:val="single"/>
        </w:rPr>
      </w:pPr>
      <w:r w:rsidRPr="00443037">
        <w:rPr>
          <w:b/>
          <w:spacing w:val="-3"/>
          <w:sz w:val="24"/>
          <w:szCs w:val="24"/>
          <w:u w:val="single"/>
        </w:rPr>
        <w:tab/>
      </w:r>
      <w:r w:rsidRPr="00443037">
        <w:rPr>
          <w:spacing w:val="-3"/>
          <w:sz w:val="24"/>
          <w:szCs w:val="24"/>
          <w:u w:val="single"/>
        </w:rPr>
        <w:t>Ældre</w:t>
      </w:r>
    </w:p>
    <w:p w14:paraId="1E9E08AA" w14:textId="77777777" w:rsidR="00BF2649" w:rsidRPr="00443037" w:rsidRDefault="00BF2649" w:rsidP="00BF2649">
      <w:pPr>
        <w:tabs>
          <w:tab w:val="left" w:pos="0"/>
          <w:tab w:val="left" w:pos="851"/>
          <w:tab w:val="left" w:pos="1217"/>
        </w:tabs>
        <w:ind w:left="850"/>
        <w:rPr>
          <w:spacing w:val="-3"/>
          <w:sz w:val="24"/>
          <w:szCs w:val="24"/>
        </w:rPr>
      </w:pPr>
      <w:r w:rsidRPr="00443037">
        <w:rPr>
          <w:spacing w:val="-3"/>
          <w:sz w:val="24"/>
          <w:szCs w:val="24"/>
        </w:rPr>
        <w:tab/>
        <w:t xml:space="preserve">Ældre er mere tilbøjelige til at få nedsat nyrefunktion (se pkt. 4.4: Nedsat nyrefunktion), derfor bør forsigtighed udvises ved ordination af </w:t>
      </w:r>
      <w:proofErr w:type="spellStart"/>
      <w:r w:rsidRPr="00443037">
        <w:rPr>
          <w:spacing w:val="-3"/>
          <w:sz w:val="24"/>
          <w:szCs w:val="24"/>
        </w:rPr>
        <w:t>Innohep</w:t>
      </w:r>
      <w:proofErr w:type="spellEnd"/>
      <w:r w:rsidRPr="00443037">
        <w:rPr>
          <w:spacing w:val="-3"/>
          <w:sz w:val="24"/>
          <w:szCs w:val="24"/>
        </w:rPr>
        <w:t xml:space="preserve"> til ældre.</w:t>
      </w:r>
    </w:p>
    <w:p w14:paraId="2FBF19F5" w14:textId="77777777" w:rsidR="00BF2649" w:rsidRPr="00443037" w:rsidRDefault="00BF2649" w:rsidP="00BF2649">
      <w:pPr>
        <w:tabs>
          <w:tab w:val="left" w:pos="0"/>
          <w:tab w:val="left" w:pos="851"/>
          <w:tab w:val="left" w:pos="1217"/>
        </w:tabs>
        <w:ind w:left="850"/>
        <w:rPr>
          <w:spacing w:val="-3"/>
          <w:sz w:val="24"/>
          <w:szCs w:val="24"/>
        </w:rPr>
      </w:pPr>
    </w:p>
    <w:p w14:paraId="51538852" w14:textId="77777777" w:rsidR="00BF2649" w:rsidRPr="00443037" w:rsidRDefault="00BF2649" w:rsidP="00BF2649">
      <w:pPr>
        <w:ind w:left="851"/>
        <w:rPr>
          <w:spacing w:val="-3"/>
          <w:sz w:val="24"/>
          <w:szCs w:val="24"/>
          <w:u w:val="single"/>
        </w:rPr>
      </w:pPr>
      <w:r w:rsidRPr="00443037">
        <w:rPr>
          <w:spacing w:val="-3"/>
          <w:sz w:val="24"/>
          <w:szCs w:val="24"/>
          <w:u w:val="single"/>
        </w:rPr>
        <w:t>Udskiftelighed</w:t>
      </w:r>
    </w:p>
    <w:p w14:paraId="0CA19419" w14:textId="77777777" w:rsidR="00BF2649" w:rsidRPr="00443037" w:rsidRDefault="00BF2649" w:rsidP="00BF2649">
      <w:pPr>
        <w:ind w:left="851"/>
        <w:rPr>
          <w:spacing w:val="-3"/>
          <w:sz w:val="24"/>
          <w:szCs w:val="24"/>
        </w:rPr>
      </w:pPr>
      <w:r w:rsidRPr="00443037">
        <w:rPr>
          <w:spacing w:val="-3"/>
          <w:sz w:val="24"/>
          <w:szCs w:val="24"/>
        </w:rPr>
        <w:t xml:space="preserve">Lavmolekylært </w:t>
      </w:r>
      <w:proofErr w:type="spellStart"/>
      <w:r w:rsidRPr="00443037">
        <w:rPr>
          <w:spacing w:val="-3"/>
          <w:sz w:val="24"/>
          <w:szCs w:val="24"/>
        </w:rPr>
        <w:t>heparin</w:t>
      </w:r>
      <w:proofErr w:type="spellEnd"/>
      <w:r w:rsidRPr="00443037">
        <w:rPr>
          <w:spacing w:val="-3"/>
          <w:sz w:val="24"/>
          <w:szCs w:val="24"/>
        </w:rPr>
        <w:t xml:space="preserve"> bør ikke udskiftes på grund af forskelle i farmakokinetik og biologisk aktivitet. Skift til et alternativt lavmolekylært </w:t>
      </w:r>
      <w:proofErr w:type="spellStart"/>
      <w:r w:rsidRPr="00443037">
        <w:rPr>
          <w:spacing w:val="-3"/>
          <w:sz w:val="24"/>
          <w:szCs w:val="24"/>
        </w:rPr>
        <w:t>heparin</w:t>
      </w:r>
      <w:proofErr w:type="spellEnd"/>
      <w:r w:rsidRPr="00443037">
        <w:rPr>
          <w:spacing w:val="-3"/>
          <w:sz w:val="24"/>
          <w:szCs w:val="24"/>
        </w:rPr>
        <w:t>, især ved længere tids brug, skal gøres med særlig forsigtighed og specifik doseringsvejledning for hvert enkelt produkt skal følges.</w:t>
      </w:r>
    </w:p>
    <w:p w14:paraId="2DBB428C" w14:textId="77777777" w:rsidR="00BF2649" w:rsidRPr="00443037" w:rsidRDefault="00BF2649" w:rsidP="00BF2649">
      <w:pPr>
        <w:tabs>
          <w:tab w:val="left" w:pos="0"/>
          <w:tab w:val="left" w:pos="851"/>
          <w:tab w:val="left" w:pos="1217"/>
        </w:tabs>
        <w:ind w:left="850"/>
        <w:rPr>
          <w:spacing w:val="-3"/>
          <w:sz w:val="24"/>
          <w:szCs w:val="24"/>
        </w:rPr>
      </w:pPr>
    </w:p>
    <w:p w14:paraId="03F4C8EF" w14:textId="77777777" w:rsidR="00BF2649" w:rsidRPr="00443037" w:rsidRDefault="00BF2649" w:rsidP="00BF2649">
      <w:pPr>
        <w:tabs>
          <w:tab w:val="left" w:pos="0"/>
          <w:tab w:val="left" w:pos="851"/>
          <w:tab w:val="left" w:pos="1217"/>
        </w:tabs>
        <w:ind w:left="850"/>
        <w:rPr>
          <w:spacing w:val="-3"/>
          <w:sz w:val="24"/>
          <w:szCs w:val="24"/>
          <w:u w:val="single"/>
        </w:rPr>
      </w:pPr>
      <w:r w:rsidRPr="00443037">
        <w:rPr>
          <w:b/>
          <w:spacing w:val="-3"/>
          <w:sz w:val="24"/>
          <w:szCs w:val="24"/>
          <w:u w:val="single"/>
        </w:rPr>
        <w:tab/>
      </w:r>
      <w:r w:rsidRPr="00443037">
        <w:rPr>
          <w:spacing w:val="-3"/>
          <w:sz w:val="24"/>
          <w:szCs w:val="24"/>
          <w:u w:val="single"/>
        </w:rPr>
        <w:t>Advarsel vedrørende hjælpestoffer</w:t>
      </w:r>
    </w:p>
    <w:p w14:paraId="60CD24A8" w14:textId="77777777" w:rsidR="00BF2649" w:rsidRPr="00443037" w:rsidRDefault="00BF2649" w:rsidP="00BF2649">
      <w:pPr>
        <w:ind w:left="851" w:hanging="1"/>
        <w:rPr>
          <w:spacing w:val="-3"/>
          <w:sz w:val="24"/>
          <w:szCs w:val="24"/>
        </w:rPr>
      </w:pPr>
      <w:proofErr w:type="spellStart"/>
      <w:r w:rsidRPr="00443037">
        <w:rPr>
          <w:spacing w:val="-3"/>
          <w:sz w:val="24"/>
          <w:szCs w:val="24"/>
        </w:rPr>
        <w:t>Innohep</w:t>
      </w:r>
      <w:proofErr w:type="spellEnd"/>
      <w:r w:rsidRPr="00443037">
        <w:rPr>
          <w:spacing w:val="-3"/>
          <w:sz w:val="24"/>
          <w:szCs w:val="24"/>
        </w:rPr>
        <w:t xml:space="preserve"> i hætteglas indeholder 10 mg/ml af konserveringsmidlet </w:t>
      </w:r>
      <w:proofErr w:type="spellStart"/>
      <w:r w:rsidRPr="00443037">
        <w:rPr>
          <w:spacing w:val="-3"/>
          <w:sz w:val="24"/>
          <w:szCs w:val="24"/>
        </w:rPr>
        <w:t>benzylalkohol</w:t>
      </w:r>
      <w:proofErr w:type="spellEnd"/>
      <w:r w:rsidRPr="00443037">
        <w:rPr>
          <w:spacing w:val="-3"/>
          <w:sz w:val="24"/>
          <w:szCs w:val="24"/>
        </w:rPr>
        <w:t>.</w:t>
      </w:r>
    </w:p>
    <w:p w14:paraId="390424D6" w14:textId="77777777" w:rsidR="00BF2649" w:rsidRPr="00443037" w:rsidRDefault="00BF2649" w:rsidP="00BF2649">
      <w:pPr>
        <w:ind w:left="851" w:hanging="1"/>
        <w:rPr>
          <w:spacing w:val="-3"/>
          <w:sz w:val="24"/>
          <w:szCs w:val="24"/>
        </w:rPr>
      </w:pPr>
      <w:proofErr w:type="spellStart"/>
      <w:r w:rsidRPr="00443037">
        <w:rPr>
          <w:spacing w:val="-3"/>
          <w:sz w:val="24"/>
          <w:szCs w:val="24"/>
        </w:rPr>
        <w:t>Benzylalkohol</w:t>
      </w:r>
      <w:proofErr w:type="spellEnd"/>
      <w:r w:rsidRPr="00443037">
        <w:rPr>
          <w:spacing w:val="-3"/>
          <w:sz w:val="24"/>
          <w:szCs w:val="24"/>
        </w:rPr>
        <w:t xml:space="preserve"> kan forårsage allergiske reaktioner.</w:t>
      </w:r>
    </w:p>
    <w:p w14:paraId="6F05FD7B" w14:textId="77777777" w:rsidR="00BF2649" w:rsidRPr="00443037" w:rsidRDefault="00BF2649" w:rsidP="00BF2649">
      <w:pPr>
        <w:ind w:left="851" w:hanging="1"/>
        <w:rPr>
          <w:spacing w:val="-3"/>
          <w:sz w:val="24"/>
          <w:szCs w:val="24"/>
        </w:rPr>
      </w:pPr>
      <w:proofErr w:type="spellStart"/>
      <w:r w:rsidRPr="00443037">
        <w:rPr>
          <w:spacing w:val="-3"/>
          <w:sz w:val="24"/>
          <w:szCs w:val="24"/>
        </w:rPr>
        <w:t>Benzylalkohol</w:t>
      </w:r>
      <w:proofErr w:type="spellEnd"/>
      <w:r w:rsidRPr="00443037">
        <w:rPr>
          <w:spacing w:val="-3"/>
          <w:sz w:val="24"/>
          <w:szCs w:val="24"/>
        </w:rPr>
        <w:t xml:space="preserve"> kan forårsage </w:t>
      </w:r>
      <w:proofErr w:type="spellStart"/>
      <w:r w:rsidRPr="00443037">
        <w:rPr>
          <w:spacing w:val="-3"/>
          <w:sz w:val="24"/>
          <w:szCs w:val="24"/>
        </w:rPr>
        <w:t>anafylaktoide</w:t>
      </w:r>
      <w:proofErr w:type="spellEnd"/>
      <w:r w:rsidRPr="00443037">
        <w:rPr>
          <w:spacing w:val="-3"/>
          <w:sz w:val="24"/>
          <w:szCs w:val="24"/>
        </w:rPr>
        <w:t xml:space="preserve"> reaktioner hos spædbørn og børn op til 3 år.</w:t>
      </w:r>
    </w:p>
    <w:p w14:paraId="53DA4C6C" w14:textId="77777777" w:rsidR="00BF2649" w:rsidRPr="00443037" w:rsidRDefault="00BF2649" w:rsidP="00BF2649">
      <w:pPr>
        <w:ind w:left="851" w:hanging="1"/>
        <w:rPr>
          <w:spacing w:val="-3"/>
          <w:sz w:val="24"/>
          <w:szCs w:val="24"/>
        </w:rPr>
      </w:pPr>
      <w:r w:rsidRPr="00443037">
        <w:rPr>
          <w:spacing w:val="-3"/>
          <w:sz w:val="24"/>
          <w:szCs w:val="24"/>
        </w:rPr>
        <w:t xml:space="preserve">Store mængder skal anvendes med forsigtighed og kun om nødvendigt, især hos personer med nedsat lever- eller nyrefunktion pga. risiko for akkumulering og toksicitet (metabolisk </w:t>
      </w:r>
      <w:proofErr w:type="spellStart"/>
      <w:r w:rsidRPr="00443037">
        <w:rPr>
          <w:spacing w:val="-3"/>
          <w:sz w:val="24"/>
          <w:szCs w:val="24"/>
        </w:rPr>
        <w:t>acidose</w:t>
      </w:r>
      <w:proofErr w:type="spellEnd"/>
      <w:r w:rsidRPr="00443037">
        <w:rPr>
          <w:spacing w:val="-3"/>
          <w:sz w:val="24"/>
          <w:szCs w:val="24"/>
        </w:rPr>
        <w:t>).</w:t>
      </w:r>
    </w:p>
    <w:p w14:paraId="78B2A512" w14:textId="77777777" w:rsidR="00BF2649" w:rsidRPr="00443037" w:rsidRDefault="00BF2649" w:rsidP="00BF2649">
      <w:pPr>
        <w:ind w:left="851"/>
        <w:rPr>
          <w:spacing w:val="-3"/>
          <w:sz w:val="24"/>
          <w:szCs w:val="24"/>
        </w:rPr>
      </w:pPr>
    </w:p>
    <w:p w14:paraId="78739B92" w14:textId="77777777" w:rsidR="00BF2649" w:rsidRPr="00443037" w:rsidRDefault="00BF2649" w:rsidP="00BF2649">
      <w:pPr>
        <w:ind w:left="851"/>
        <w:rPr>
          <w:spacing w:val="-3"/>
          <w:sz w:val="24"/>
          <w:szCs w:val="24"/>
        </w:rPr>
      </w:pPr>
      <w:proofErr w:type="spellStart"/>
      <w:r w:rsidRPr="00443037">
        <w:rPr>
          <w:spacing w:val="-3"/>
          <w:sz w:val="24"/>
          <w:szCs w:val="24"/>
        </w:rPr>
        <w:t>Innohep</w:t>
      </w:r>
      <w:proofErr w:type="spellEnd"/>
      <w:r w:rsidRPr="00443037">
        <w:rPr>
          <w:spacing w:val="-3"/>
          <w:sz w:val="24"/>
          <w:szCs w:val="24"/>
        </w:rPr>
        <w:t xml:space="preserve"> 20.000 </w:t>
      </w:r>
      <w:proofErr w:type="spellStart"/>
      <w:r w:rsidRPr="00443037">
        <w:rPr>
          <w:spacing w:val="-3"/>
          <w:sz w:val="24"/>
          <w:szCs w:val="24"/>
        </w:rPr>
        <w:t>anti-Xa</w:t>
      </w:r>
      <w:proofErr w:type="spellEnd"/>
      <w:r w:rsidRPr="00443037">
        <w:rPr>
          <w:spacing w:val="-3"/>
          <w:sz w:val="24"/>
          <w:szCs w:val="24"/>
        </w:rPr>
        <w:t xml:space="preserve"> IE/ml indeholder </w:t>
      </w:r>
      <w:proofErr w:type="spellStart"/>
      <w:r w:rsidRPr="00443037">
        <w:rPr>
          <w:spacing w:val="-3"/>
          <w:sz w:val="24"/>
          <w:szCs w:val="24"/>
        </w:rPr>
        <w:t>natriummetabisulfit</w:t>
      </w:r>
      <w:proofErr w:type="spellEnd"/>
      <w:r w:rsidRPr="00443037">
        <w:rPr>
          <w:spacing w:val="-3"/>
          <w:sz w:val="24"/>
          <w:szCs w:val="24"/>
        </w:rPr>
        <w:t xml:space="preserve">. </w:t>
      </w:r>
      <w:proofErr w:type="spellStart"/>
      <w:r w:rsidRPr="00443037">
        <w:rPr>
          <w:spacing w:val="-3"/>
          <w:sz w:val="24"/>
          <w:szCs w:val="24"/>
        </w:rPr>
        <w:t>Metabisulfitter</w:t>
      </w:r>
      <w:proofErr w:type="spellEnd"/>
      <w:r w:rsidRPr="00443037">
        <w:rPr>
          <w:spacing w:val="-3"/>
          <w:sz w:val="24"/>
          <w:szCs w:val="24"/>
        </w:rPr>
        <w:t xml:space="preserve"> kan i sjældne tilfælde medføre alvorlige overfølsomhedsreaktioner og </w:t>
      </w:r>
      <w:proofErr w:type="spellStart"/>
      <w:r w:rsidRPr="00443037">
        <w:rPr>
          <w:spacing w:val="-3"/>
          <w:sz w:val="24"/>
          <w:szCs w:val="24"/>
        </w:rPr>
        <w:t>bronkospasme</w:t>
      </w:r>
      <w:proofErr w:type="spellEnd"/>
      <w:r w:rsidRPr="00443037">
        <w:rPr>
          <w:spacing w:val="-3"/>
          <w:sz w:val="24"/>
          <w:szCs w:val="24"/>
        </w:rPr>
        <w:t xml:space="preserve">. </w:t>
      </w:r>
      <w:proofErr w:type="spellStart"/>
      <w:r w:rsidRPr="00443037">
        <w:rPr>
          <w:spacing w:val="-3"/>
          <w:sz w:val="24"/>
          <w:szCs w:val="24"/>
        </w:rPr>
        <w:t>Innohep</w:t>
      </w:r>
      <w:proofErr w:type="spellEnd"/>
      <w:r w:rsidRPr="00443037">
        <w:rPr>
          <w:spacing w:val="-3"/>
          <w:sz w:val="24"/>
          <w:szCs w:val="24"/>
        </w:rPr>
        <w:t xml:space="preserve"> lægemiddelformer indeholdende </w:t>
      </w:r>
      <w:proofErr w:type="spellStart"/>
      <w:r w:rsidRPr="00443037">
        <w:rPr>
          <w:spacing w:val="-3"/>
          <w:sz w:val="24"/>
          <w:szCs w:val="24"/>
        </w:rPr>
        <w:t>natriummetabisulfit</w:t>
      </w:r>
      <w:proofErr w:type="spellEnd"/>
      <w:r w:rsidRPr="00443037">
        <w:rPr>
          <w:spacing w:val="-3"/>
          <w:sz w:val="24"/>
          <w:szCs w:val="24"/>
        </w:rPr>
        <w:t xml:space="preserve"> skal anvendes med forsigtighed til astmapatienter. </w:t>
      </w:r>
    </w:p>
    <w:p w14:paraId="06242FF2" w14:textId="77777777" w:rsidR="00BF2649" w:rsidRPr="00443037" w:rsidRDefault="00BF2649" w:rsidP="00BF2649">
      <w:pPr>
        <w:ind w:left="851"/>
        <w:rPr>
          <w:spacing w:val="-3"/>
          <w:sz w:val="24"/>
          <w:szCs w:val="24"/>
        </w:rPr>
      </w:pPr>
      <w:r w:rsidRPr="00443037">
        <w:rPr>
          <w:spacing w:val="-3"/>
          <w:sz w:val="24"/>
          <w:szCs w:val="24"/>
        </w:rPr>
        <w:t>Denne medicin indeholder op til 40 mg/ml natrium. Mængden på 40 mg svarer til 2 % af WHO’s maksimalt anbefalede daglige indtag på 2 g natrium for en voksen.</w:t>
      </w:r>
    </w:p>
    <w:p w14:paraId="4AF600C1" w14:textId="77777777" w:rsidR="009260DE" w:rsidRPr="00443037" w:rsidRDefault="009260DE" w:rsidP="009260DE">
      <w:pPr>
        <w:tabs>
          <w:tab w:val="left" w:pos="851"/>
        </w:tabs>
        <w:ind w:left="851"/>
        <w:rPr>
          <w:sz w:val="24"/>
          <w:szCs w:val="24"/>
        </w:rPr>
      </w:pPr>
    </w:p>
    <w:p w14:paraId="5A87CBA5" w14:textId="77777777" w:rsidR="009260DE" w:rsidRPr="00443037" w:rsidRDefault="009260DE" w:rsidP="009260DE">
      <w:pPr>
        <w:tabs>
          <w:tab w:val="left" w:pos="851"/>
        </w:tabs>
        <w:ind w:left="851" w:hanging="851"/>
        <w:rPr>
          <w:b/>
          <w:sz w:val="24"/>
          <w:szCs w:val="24"/>
        </w:rPr>
      </w:pPr>
      <w:r w:rsidRPr="00443037">
        <w:rPr>
          <w:b/>
          <w:sz w:val="24"/>
          <w:szCs w:val="24"/>
        </w:rPr>
        <w:t>4.5</w:t>
      </w:r>
      <w:r w:rsidRPr="00443037">
        <w:rPr>
          <w:b/>
          <w:sz w:val="24"/>
          <w:szCs w:val="24"/>
        </w:rPr>
        <w:tab/>
        <w:t>Interaktion med andre lægemidler og andre former for interaktion</w:t>
      </w:r>
    </w:p>
    <w:p w14:paraId="61A150F4" w14:textId="77777777" w:rsidR="00BF2649" w:rsidRPr="00443037" w:rsidRDefault="00BF2649" w:rsidP="00BF2649">
      <w:pPr>
        <w:ind w:left="851"/>
        <w:rPr>
          <w:spacing w:val="-3"/>
          <w:sz w:val="24"/>
          <w:szCs w:val="24"/>
        </w:rPr>
      </w:pPr>
      <w:r w:rsidRPr="00443037">
        <w:rPr>
          <w:spacing w:val="-3"/>
          <w:sz w:val="24"/>
          <w:szCs w:val="24"/>
        </w:rPr>
        <w:t xml:space="preserve">Den antikoagulerende virkning af </w:t>
      </w:r>
      <w:proofErr w:type="spellStart"/>
      <w:r w:rsidRPr="00443037">
        <w:rPr>
          <w:spacing w:val="-3"/>
          <w:sz w:val="24"/>
          <w:szCs w:val="24"/>
        </w:rPr>
        <w:t>Innohep</w:t>
      </w:r>
      <w:proofErr w:type="spellEnd"/>
      <w:r w:rsidRPr="00443037">
        <w:rPr>
          <w:spacing w:val="-3"/>
          <w:sz w:val="24"/>
          <w:szCs w:val="24"/>
        </w:rPr>
        <w:t xml:space="preserve"> kan forstærkes af andre lægemidler, der påvirker koagulationssystemet, så som de der inhiberer </w:t>
      </w:r>
      <w:proofErr w:type="spellStart"/>
      <w:r w:rsidRPr="00443037">
        <w:rPr>
          <w:spacing w:val="-3"/>
          <w:sz w:val="24"/>
          <w:szCs w:val="24"/>
        </w:rPr>
        <w:t>trombocytfunktionen</w:t>
      </w:r>
      <w:proofErr w:type="spellEnd"/>
      <w:r w:rsidRPr="00443037">
        <w:rPr>
          <w:spacing w:val="-3"/>
          <w:sz w:val="24"/>
          <w:szCs w:val="24"/>
        </w:rPr>
        <w:t xml:space="preserve"> (f.eks. acetylsalicylsyre og andre non-</w:t>
      </w:r>
      <w:proofErr w:type="spellStart"/>
      <w:r w:rsidRPr="00443037">
        <w:rPr>
          <w:spacing w:val="-3"/>
          <w:sz w:val="24"/>
          <w:szCs w:val="24"/>
        </w:rPr>
        <w:t>steroide</w:t>
      </w:r>
      <w:proofErr w:type="spellEnd"/>
      <w:r w:rsidRPr="00443037">
        <w:rPr>
          <w:spacing w:val="-3"/>
          <w:sz w:val="24"/>
          <w:szCs w:val="24"/>
        </w:rPr>
        <w:t xml:space="preserve"> antiinflammatoriske lægemidler), </w:t>
      </w:r>
      <w:proofErr w:type="spellStart"/>
      <w:r w:rsidRPr="00443037">
        <w:rPr>
          <w:spacing w:val="-3"/>
          <w:sz w:val="24"/>
          <w:szCs w:val="24"/>
        </w:rPr>
        <w:t>trombolytika</w:t>
      </w:r>
      <w:proofErr w:type="spellEnd"/>
      <w:r w:rsidRPr="00443037">
        <w:rPr>
          <w:spacing w:val="-3"/>
          <w:sz w:val="24"/>
          <w:szCs w:val="24"/>
        </w:rPr>
        <w:t xml:space="preserve">, vitamin K-antagonister, aktiveret protein C, direkte faktor </w:t>
      </w:r>
      <w:proofErr w:type="spellStart"/>
      <w:r w:rsidRPr="00443037">
        <w:rPr>
          <w:spacing w:val="-3"/>
          <w:sz w:val="24"/>
          <w:szCs w:val="24"/>
        </w:rPr>
        <w:t>Xa</w:t>
      </w:r>
      <w:proofErr w:type="spellEnd"/>
      <w:r w:rsidRPr="00443037">
        <w:rPr>
          <w:spacing w:val="-3"/>
          <w:sz w:val="24"/>
          <w:szCs w:val="24"/>
        </w:rPr>
        <w:t xml:space="preserve">- og </w:t>
      </w:r>
      <w:proofErr w:type="spellStart"/>
      <w:r w:rsidRPr="00443037">
        <w:rPr>
          <w:spacing w:val="-3"/>
          <w:sz w:val="24"/>
          <w:szCs w:val="24"/>
        </w:rPr>
        <w:t>IIa</w:t>
      </w:r>
      <w:proofErr w:type="spellEnd"/>
      <w:r w:rsidRPr="00443037">
        <w:rPr>
          <w:spacing w:val="-3"/>
          <w:sz w:val="24"/>
          <w:szCs w:val="24"/>
        </w:rPr>
        <w:t>-inhibitorer. Disse kombinationer bør undgås eller nøje overvåges (se pkt. 4.4).</w:t>
      </w:r>
    </w:p>
    <w:p w14:paraId="59878D24" w14:textId="77777777" w:rsidR="009260DE" w:rsidRPr="00443037" w:rsidRDefault="009260DE" w:rsidP="009260DE">
      <w:pPr>
        <w:tabs>
          <w:tab w:val="left" w:pos="851"/>
        </w:tabs>
        <w:ind w:left="851"/>
        <w:rPr>
          <w:sz w:val="24"/>
          <w:szCs w:val="24"/>
        </w:rPr>
      </w:pPr>
    </w:p>
    <w:p w14:paraId="403E88C7" w14:textId="77777777" w:rsidR="009260DE" w:rsidRPr="00443037" w:rsidRDefault="009260DE" w:rsidP="009260DE">
      <w:pPr>
        <w:tabs>
          <w:tab w:val="left" w:pos="851"/>
        </w:tabs>
        <w:ind w:left="851" w:hanging="851"/>
        <w:rPr>
          <w:b/>
          <w:sz w:val="24"/>
          <w:szCs w:val="24"/>
        </w:rPr>
      </w:pPr>
      <w:r w:rsidRPr="00443037">
        <w:rPr>
          <w:b/>
          <w:sz w:val="24"/>
          <w:szCs w:val="24"/>
        </w:rPr>
        <w:t>4.6</w:t>
      </w:r>
      <w:r w:rsidRPr="00443037">
        <w:rPr>
          <w:b/>
          <w:sz w:val="24"/>
          <w:szCs w:val="24"/>
        </w:rPr>
        <w:tab/>
      </w:r>
      <w:r w:rsidR="0071241E" w:rsidRPr="00443037">
        <w:rPr>
          <w:b/>
          <w:sz w:val="24"/>
          <w:szCs w:val="24"/>
        </w:rPr>
        <w:t>Fertilitet, g</w:t>
      </w:r>
      <w:r w:rsidRPr="00443037">
        <w:rPr>
          <w:b/>
          <w:sz w:val="24"/>
          <w:szCs w:val="24"/>
        </w:rPr>
        <w:t>raviditet og amning</w:t>
      </w:r>
    </w:p>
    <w:p w14:paraId="32926F6A" w14:textId="77777777" w:rsidR="00BF2649" w:rsidRPr="00443037" w:rsidRDefault="00BF2649" w:rsidP="00BF2649">
      <w:pPr>
        <w:ind w:left="851"/>
        <w:rPr>
          <w:spacing w:val="-3"/>
          <w:sz w:val="24"/>
          <w:szCs w:val="24"/>
          <w:u w:val="single"/>
        </w:rPr>
      </w:pPr>
    </w:p>
    <w:p w14:paraId="507455D6" w14:textId="256F1C03" w:rsidR="00BF2649" w:rsidRPr="00443037" w:rsidRDefault="00BF2649" w:rsidP="00BF2649">
      <w:pPr>
        <w:ind w:left="851"/>
        <w:rPr>
          <w:spacing w:val="-3"/>
          <w:sz w:val="24"/>
          <w:szCs w:val="24"/>
          <w:u w:val="single"/>
        </w:rPr>
      </w:pPr>
      <w:r w:rsidRPr="00443037">
        <w:rPr>
          <w:spacing w:val="-3"/>
          <w:sz w:val="24"/>
          <w:szCs w:val="24"/>
          <w:u w:val="single"/>
        </w:rPr>
        <w:t>Fertilitet</w:t>
      </w:r>
    </w:p>
    <w:p w14:paraId="1A0DDF8A" w14:textId="77777777" w:rsidR="00BF2649" w:rsidRPr="00443037" w:rsidRDefault="00BF2649" w:rsidP="00BF2649">
      <w:pPr>
        <w:ind w:left="851"/>
        <w:rPr>
          <w:spacing w:val="-3"/>
          <w:sz w:val="24"/>
          <w:szCs w:val="24"/>
        </w:rPr>
      </w:pPr>
      <w:r w:rsidRPr="00443037">
        <w:rPr>
          <w:spacing w:val="-3"/>
          <w:sz w:val="24"/>
          <w:szCs w:val="24"/>
        </w:rPr>
        <w:t xml:space="preserve">Der findes ingen kliniske studier på </w:t>
      </w:r>
      <w:proofErr w:type="spellStart"/>
      <w:r w:rsidRPr="00443037">
        <w:rPr>
          <w:spacing w:val="-3"/>
          <w:sz w:val="24"/>
          <w:szCs w:val="24"/>
        </w:rPr>
        <w:t>Innohep</w:t>
      </w:r>
      <w:proofErr w:type="spellEnd"/>
      <w:r w:rsidRPr="00443037">
        <w:rPr>
          <w:spacing w:val="-3"/>
          <w:sz w:val="24"/>
          <w:szCs w:val="24"/>
        </w:rPr>
        <w:t xml:space="preserve"> </w:t>
      </w:r>
      <w:bookmarkStart w:id="2" w:name="_Hlk177740006"/>
      <w:r w:rsidRPr="00443037">
        <w:rPr>
          <w:spacing w:val="-3"/>
          <w:sz w:val="24"/>
          <w:szCs w:val="24"/>
        </w:rPr>
        <w:t>vedrørende</w:t>
      </w:r>
      <w:bookmarkEnd w:id="2"/>
      <w:r w:rsidRPr="00443037">
        <w:rPr>
          <w:spacing w:val="-3"/>
          <w:sz w:val="24"/>
          <w:szCs w:val="24"/>
        </w:rPr>
        <w:t xml:space="preserve"> fertilitet.</w:t>
      </w:r>
    </w:p>
    <w:p w14:paraId="21458115" w14:textId="77777777" w:rsidR="00BF2649" w:rsidRPr="00443037" w:rsidRDefault="00BF2649" w:rsidP="00BF2649">
      <w:pPr>
        <w:ind w:left="851"/>
        <w:rPr>
          <w:spacing w:val="-3"/>
          <w:sz w:val="24"/>
          <w:szCs w:val="24"/>
        </w:rPr>
      </w:pPr>
    </w:p>
    <w:p w14:paraId="0275D534" w14:textId="77777777" w:rsidR="00BF2649" w:rsidRPr="00443037" w:rsidRDefault="00BF2649" w:rsidP="00BF2649">
      <w:pPr>
        <w:ind w:left="851"/>
        <w:rPr>
          <w:spacing w:val="-3"/>
          <w:sz w:val="24"/>
          <w:szCs w:val="24"/>
          <w:u w:val="single"/>
        </w:rPr>
      </w:pPr>
      <w:r w:rsidRPr="00443037">
        <w:rPr>
          <w:spacing w:val="-3"/>
          <w:sz w:val="24"/>
          <w:szCs w:val="24"/>
          <w:u w:val="single"/>
        </w:rPr>
        <w:t>Graviditet</w:t>
      </w:r>
    </w:p>
    <w:p w14:paraId="7D80E5CF" w14:textId="77777777" w:rsidR="00BF2649" w:rsidRPr="00443037" w:rsidRDefault="00BF2649" w:rsidP="00BF2649">
      <w:pPr>
        <w:ind w:left="851"/>
        <w:rPr>
          <w:iCs/>
          <w:spacing w:val="-3"/>
          <w:sz w:val="24"/>
          <w:szCs w:val="24"/>
        </w:rPr>
      </w:pPr>
      <w:proofErr w:type="spellStart"/>
      <w:r w:rsidRPr="00443037">
        <w:rPr>
          <w:iCs/>
          <w:spacing w:val="-3"/>
          <w:sz w:val="24"/>
          <w:szCs w:val="24"/>
        </w:rPr>
        <w:t>Antikoagulationsbehandling</w:t>
      </w:r>
      <w:proofErr w:type="spellEnd"/>
      <w:r w:rsidRPr="00443037">
        <w:rPr>
          <w:iCs/>
          <w:spacing w:val="-3"/>
          <w:sz w:val="24"/>
          <w:szCs w:val="24"/>
        </w:rPr>
        <w:t xml:space="preserve"> af gravide kvinder kræver specialistinddragelse.</w:t>
      </w:r>
    </w:p>
    <w:p w14:paraId="54FD1FB3" w14:textId="77777777" w:rsidR="00BF2649" w:rsidRPr="00443037" w:rsidRDefault="00BF2649" w:rsidP="00BF2649">
      <w:pPr>
        <w:ind w:left="851"/>
        <w:rPr>
          <w:spacing w:val="-3"/>
          <w:sz w:val="24"/>
          <w:szCs w:val="24"/>
        </w:rPr>
      </w:pPr>
      <w:r w:rsidRPr="00443037">
        <w:rPr>
          <w:spacing w:val="-3"/>
          <w:sz w:val="24"/>
          <w:szCs w:val="24"/>
        </w:rPr>
        <w:tab/>
      </w:r>
    </w:p>
    <w:p w14:paraId="0DB5FD5B" w14:textId="77777777" w:rsidR="00BF2649" w:rsidRPr="00443037" w:rsidRDefault="00BF2649" w:rsidP="00BF2649">
      <w:pPr>
        <w:ind w:left="851"/>
        <w:rPr>
          <w:spacing w:val="-3"/>
          <w:sz w:val="24"/>
          <w:szCs w:val="24"/>
        </w:rPr>
      </w:pPr>
      <w:r w:rsidRPr="00443037">
        <w:rPr>
          <w:spacing w:val="-3"/>
          <w:sz w:val="24"/>
          <w:szCs w:val="24"/>
        </w:rPr>
        <w:t xml:space="preserve">Dyreforsøg indikerer hverken direkte eller indirekte skadelige virkninger hvad angår reproduktionstoksicitet (se pkt. 5.3). </w:t>
      </w:r>
    </w:p>
    <w:p w14:paraId="19C5520B" w14:textId="77777777" w:rsidR="00BF2649" w:rsidRPr="00443037" w:rsidRDefault="00BF2649" w:rsidP="00BF2649">
      <w:pPr>
        <w:ind w:left="851"/>
        <w:rPr>
          <w:spacing w:val="-3"/>
          <w:sz w:val="24"/>
          <w:szCs w:val="24"/>
        </w:rPr>
      </w:pPr>
    </w:p>
    <w:p w14:paraId="41E93C80" w14:textId="77777777" w:rsidR="00BF2649" w:rsidRPr="00443037" w:rsidRDefault="00BF2649" w:rsidP="00BF2649">
      <w:pPr>
        <w:ind w:left="851"/>
        <w:rPr>
          <w:spacing w:val="-3"/>
          <w:sz w:val="24"/>
          <w:szCs w:val="24"/>
        </w:rPr>
      </w:pPr>
      <w:r w:rsidRPr="00443037">
        <w:rPr>
          <w:iCs/>
          <w:spacing w:val="-3"/>
          <w:sz w:val="24"/>
          <w:szCs w:val="24"/>
        </w:rPr>
        <w:t>D</w:t>
      </w:r>
      <w:r w:rsidRPr="00443037">
        <w:rPr>
          <w:spacing w:val="-3"/>
          <w:sz w:val="24"/>
          <w:szCs w:val="24"/>
        </w:rPr>
        <w:t xml:space="preserve">ata fra anvendelse af </w:t>
      </w:r>
      <w:proofErr w:type="spellStart"/>
      <w:r w:rsidRPr="00443037">
        <w:rPr>
          <w:spacing w:val="-3"/>
          <w:sz w:val="24"/>
          <w:szCs w:val="24"/>
        </w:rPr>
        <w:t>tinzaparin</w:t>
      </w:r>
      <w:proofErr w:type="spellEnd"/>
      <w:r w:rsidRPr="00443037">
        <w:rPr>
          <w:spacing w:val="-3"/>
          <w:sz w:val="24"/>
          <w:szCs w:val="24"/>
        </w:rPr>
        <w:t xml:space="preserve"> hos et stort </w:t>
      </w:r>
      <w:r w:rsidRPr="00443037">
        <w:rPr>
          <w:iCs/>
          <w:spacing w:val="-3"/>
          <w:sz w:val="24"/>
          <w:szCs w:val="24"/>
        </w:rPr>
        <w:t>antal</w:t>
      </w:r>
      <w:r w:rsidRPr="00443037">
        <w:rPr>
          <w:spacing w:val="-3"/>
          <w:sz w:val="24"/>
          <w:szCs w:val="24"/>
        </w:rPr>
        <w:t xml:space="preserve"> gravide kvinder (mere end 2.200) indikerer ingen mis</w:t>
      </w:r>
      <w:r w:rsidRPr="00443037">
        <w:rPr>
          <w:spacing w:val="-3"/>
          <w:sz w:val="24"/>
          <w:szCs w:val="24"/>
        </w:rPr>
        <w:softHyphen/>
        <w:t xml:space="preserve">dannelser eller </w:t>
      </w:r>
      <w:proofErr w:type="spellStart"/>
      <w:r w:rsidRPr="00443037">
        <w:rPr>
          <w:spacing w:val="-3"/>
          <w:sz w:val="24"/>
          <w:szCs w:val="24"/>
        </w:rPr>
        <w:t>føtal</w:t>
      </w:r>
      <w:proofErr w:type="spellEnd"/>
      <w:r w:rsidRPr="00443037">
        <w:rPr>
          <w:spacing w:val="-3"/>
          <w:sz w:val="24"/>
          <w:szCs w:val="24"/>
        </w:rPr>
        <w:t xml:space="preserve">/neonatal toksicitet af </w:t>
      </w:r>
      <w:proofErr w:type="spellStart"/>
      <w:r w:rsidRPr="00443037">
        <w:rPr>
          <w:spacing w:val="-3"/>
          <w:sz w:val="24"/>
          <w:szCs w:val="24"/>
        </w:rPr>
        <w:t>tinzaparin</w:t>
      </w:r>
      <w:proofErr w:type="spellEnd"/>
      <w:r w:rsidRPr="00443037">
        <w:rPr>
          <w:spacing w:val="-3"/>
          <w:sz w:val="24"/>
          <w:szCs w:val="24"/>
        </w:rPr>
        <w:t xml:space="preserve">. </w:t>
      </w:r>
      <w:proofErr w:type="spellStart"/>
      <w:r w:rsidRPr="00443037">
        <w:rPr>
          <w:spacing w:val="-3"/>
          <w:sz w:val="24"/>
          <w:szCs w:val="24"/>
        </w:rPr>
        <w:t>Tinzaparin</w:t>
      </w:r>
      <w:proofErr w:type="spellEnd"/>
      <w:r w:rsidRPr="00443037">
        <w:rPr>
          <w:spacing w:val="-3"/>
          <w:sz w:val="24"/>
          <w:szCs w:val="24"/>
        </w:rPr>
        <w:t xml:space="preserve"> passerer ikke placenta. </w:t>
      </w:r>
      <w:proofErr w:type="spellStart"/>
      <w:r w:rsidRPr="00443037">
        <w:rPr>
          <w:spacing w:val="-3"/>
          <w:sz w:val="24"/>
          <w:szCs w:val="24"/>
        </w:rPr>
        <w:t>Innohep</w:t>
      </w:r>
      <w:proofErr w:type="spellEnd"/>
      <w:r w:rsidRPr="00443037">
        <w:rPr>
          <w:spacing w:val="-3"/>
          <w:sz w:val="24"/>
          <w:szCs w:val="24"/>
        </w:rPr>
        <w:t xml:space="preserve"> kan anvendes i alle trimestre af graviditeten, hvis det er klinisk nødvendigt.</w:t>
      </w:r>
    </w:p>
    <w:p w14:paraId="2BC2BF70" w14:textId="77777777" w:rsidR="00BF2649" w:rsidRPr="00443037" w:rsidRDefault="00BF2649" w:rsidP="00BF2649">
      <w:pPr>
        <w:ind w:left="851"/>
        <w:rPr>
          <w:spacing w:val="-3"/>
          <w:sz w:val="24"/>
          <w:szCs w:val="24"/>
        </w:rPr>
      </w:pPr>
    </w:p>
    <w:p w14:paraId="6936E35B" w14:textId="77777777" w:rsidR="00BF2649" w:rsidRPr="00443037" w:rsidRDefault="00BF2649" w:rsidP="00BF2649">
      <w:pPr>
        <w:ind w:left="851"/>
        <w:rPr>
          <w:i/>
          <w:spacing w:val="-3"/>
          <w:sz w:val="24"/>
          <w:szCs w:val="24"/>
        </w:rPr>
      </w:pPr>
      <w:proofErr w:type="spellStart"/>
      <w:r w:rsidRPr="00443037">
        <w:rPr>
          <w:i/>
          <w:spacing w:val="-3"/>
          <w:sz w:val="24"/>
          <w:szCs w:val="24"/>
        </w:rPr>
        <w:t>Epidural</w:t>
      </w:r>
      <w:proofErr w:type="spellEnd"/>
      <w:r w:rsidRPr="00443037">
        <w:rPr>
          <w:i/>
          <w:spacing w:val="-3"/>
          <w:sz w:val="24"/>
          <w:szCs w:val="24"/>
        </w:rPr>
        <w:t xml:space="preserve"> anæstesi</w:t>
      </w:r>
    </w:p>
    <w:p w14:paraId="79BD18AF" w14:textId="77777777" w:rsidR="00BF2649" w:rsidRPr="00443037" w:rsidRDefault="00BF2649" w:rsidP="00BF2649">
      <w:pPr>
        <w:ind w:left="851"/>
        <w:rPr>
          <w:spacing w:val="-3"/>
          <w:sz w:val="24"/>
          <w:szCs w:val="24"/>
        </w:rPr>
      </w:pPr>
      <w:r w:rsidRPr="00443037">
        <w:rPr>
          <w:spacing w:val="-3"/>
          <w:sz w:val="24"/>
          <w:szCs w:val="24"/>
        </w:rPr>
        <w:t xml:space="preserve">På grund af risikoen for spinalt </w:t>
      </w:r>
      <w:proofErr w:type="spellStart"/>
      <w:r w:rsidRPr="00443037">
        <w:rPr>
          <w:spacing w:val="-3"/>
          <w:sz w:val="24"/>
          <w:szCs w:val="24"/>
        </w:rPr>
        <w:t>hæmatom</w:t>
      </w:r>
      <w:proofErr w:type="spellEnd"/>
      <w:r w:rsidRPr="00443037">
        <w:rPr>
          <w:spacing w:val="-3"/>
          <w:sz w:val="24"/>
          <w:szCs w:val="24"/>
        </w:rPr>
        <w:t xml:space="preserve">, er behandlingsdoser af </w:t>
      </w:r>
      <w:proofErr w:type="spellStart"/>
      <w:r w:rsidRPr="00443037">
        <w:rPr>
          <w:spacing w:val="-3"/>
          <w:sz w:val="24"/>
          <w:szCs w:val="24"/>
        </w:rPr>
        <w:t>Innohep</w:t>
      </w:r>
      <w:proofErr w:type="spellEnd"/>
      <w:r w:rsidRPr="00443037">
        <w:rPr>
          <w:spacing w:val="-3"/>
          <w:sz w:val="24"/>
          <w:szCs w:val="24"/>
        </w:rPr>
        <w:t xml:space="preserve"> (175 IE/kg) kontraindiceret hos patienter, der får </w:t>
      </w:r>
      <w:proofErr w:type="spellStart"/>
      <w:r w:rsidRPr="00443037">
        <w:rPr>
          <w:spacing w:val="-3"/>
          <w:sz w:val="24"/>
          <w:szCs w:val="24"/>
        </w:rPr>
        <w:t>neuroaksial</w:t>
      </w:r>
      <w:proofErr w:type="spellEnd"/>
      <w:r w:rsidRPr="00443037">
        <w:rPr>
          <w:spacing w:val="-3"/>
          <w:sz w:val="24"/>
          <w:szCs w:val="24"/>
        </w:rPr>
        <w:t xml:space="preserve"> anæstesi. Derfor bør man altid vente med </w:t>
      </w:r>
      <w:proofErr w:type="spellStart"/>
      <w:r w:rsidRPr="00443037">
        <w:rPr>
          <w:spacing w:val="-3"/>
          <w:sz w:val="24"/>
          <w:szCs w:val="24"/>
        </w:rPr>
        <w:t>epidural</w:t>
      </w:r>
      <w:proofErr w:type="spellEnd"/>
      <w:r w:rsidRPr="00443037">
        <w:rPr>
          <w:spacing w:val="-3"/>
          <w:sz w:val="24"/>
          <w:szCs w:val="24"/>
        </w:rPr>
        <w:t xml:space="preserve"> anæstesi til gravide kvinder mindst 24 timer efter administration af den sidste behandling med </w:t>
      </w:r>
      <w:proofErr w:type="spellStart"/>
      <w:r w:rsidRPr="00443037">
        <w:rPr>
          <w:spacing w:val="-3"/>
          <w:sz w:val="24"/>
          <w:szCs w:val="24"/>
        </w:rPr>
        <w:t>Innohep</w:t>
      </w:r>
      <w:proofErr w:type="spellEnd"/>
      <w:r w:rsidRPr="00443037">
        <w:rPr>
          <w:spacing w:val="-3"/>
          <w:sz w:val="24"/>
          <w:szCs w:val="24"/>
        </w:rPr>
        <w:t xml:space="preserve">. Profylaktiske doser kan anvendes, så længe der går mindst 12 timer fra sidste indgift af </w:t>
      </w:r>
      <w:proofErr w:type="spellStart"/>
      <w:r w:rsidRPr="00443037">
        <w:rPr>
          <w:spacing w:val="-3"/>
          <w:sz w:val="24"/>
          <w:szCs w:val="24"/>
        </w:rPr>
        <w:t>Innohep</w:t>
      </w:r>
      <w:proofErr w:type="spellEnd"/>
      <w:r w:rsidRPr="00443037">
        <w:rPr>
          <w:spacing w:val="-3"/>
          <w:sz w:val="24"/>
          <w:szCs w:val="24"/>
        </w:rPr>
        <w:t xml:space="preserve"> til indsættelse af nål eller kateter.</w:t>
      </w:r>
    </w:p>
    <w:p w14:paraId="6668F0BA" w14:textId="77777777" w:rsidR="00BF2649" w:rsidRPr="00443037" w:rsidRDefault="00BF2649" w:rsidP="00BF2649">
      <w:pPr>
        <w:ind w:left="851"/>
        <w:rPr>
          <w:spacing w:val="-3"/>
          <w:sz w:val="24"/>
          <w:szCs w:val="24"/>
        </w:rPr>
      </w:pPr>
    </w:p>
    <w:p w14:paraId="62E7F2D9" w14:textId="77777777" w:rsidR="00BF2649" w:rsidRPr="00443037" w:rsidRDefault="00BF2649" w:rsidP="00BF2649">
      <w:pPr>
        <w:ind w:left="851"/>
        <w:rPr>
          <w:i/>
          <w:spacing w:val="-3"/>
          <w:sz w:val="24"/>
          <w:szCs w:val="24"/>
        </w:rPr>
      </w:pPr>
      <w:r w:rsidRPr="00443037">
        <w:rPr>
          <w:i/>
          <w:spacing w:val="-3"/>
          <w:sz w:val="24"/>
          <w:szCs w:val="24"/>
        </w:rPr>
        <w:t>Gravide kvinder med kunstige hjerteklapper</w:t>
      </w:r>
    </w:p>
    <w:p w14:paraId="775C6285" w14:textId="77777777" w:rsidR="00BF2649" w:rsidRPr="00443037" w:rsidRDefault="00BF2649" w:rsidP="00BF2649">
      <w:pPr>
        <w:ind w:left="851"/>
        <w:rPr>
          <w:spacing w:val="-3"/>
          <w:sz w:val="24"/>
          <w:szCs w:val="24"/>
        </w:rPr>
      </w:pPr>
      <w:r w:rsidRPr="00443037">
        <w:rPr>
          <w:spacing w:val="-3"/>
          <w:sz w:val="24"/>
          <w:szCs w:val="24"/>
        </w:rPr>
        <w:t xml:space="preserve">Der er set behandlingssvigt hos gravide kvinder med kunstige hjerteklapper ved fuld </w:t>
      </w:r>
      <w:proofErr w:type="spellStart"/>
      <w:r w:rsidRPr="00443037">
        <w:rPr>
          <w:spacing w:val="-3"/>
          <w:sz w:val="24"/>
          <w:szCs w:val="24"/>
        </w:rPr>
        <w:t>antikoagulans</w:t>
      </w:r>
      <w:proofErr w:type="spellEnd"/>
      <w:r w:rsidRPr="00443037">
        <w:rPr>
          <w:spacing w:val="-3"/>
          <w:sz w:val="24"/>
          <w:szCs w:val="24"/>
        </w:rPr>
        <w:t xml:space="preserve">-dosis af </w:t>
      </w:r>
      <w:proofErr w:type="spellStart"/>
      <w:r w:rsidRPr="00443037">
        <w:rPr>
          <w:spacing w:val="-3"/>
          <w:sz w:val="24"/>
          <w:szCs w:val="24"/>
        </w:rPr>
        <w:t>Innohep</w:t>
      </w:r>
      <w:proofErr w:type="spellEnd"/>
      <w:r w:rsidRPr="00443037">
        <w:rPr>
          <w:spacing w:val="-3"/>
          <w:sz w:val="24"/>
          <w:szCs w:val="24"/>
        </w:rPr>
        <w:t xml:space="preserve"> og andre lavmolekylære </w:t>
      </w:r>
      <w:proofErr w:type="spellStart"/>
      <w:r w:rsidRPr="00443037">
        <w:rPr>
          <w:spacing w:val="-3"/>
          <w:sz w:val="24"/>
          <w:szCs w:val="24"/>
        </w:rPr>
        <w:t>hepariner</w:t>
      </w:r>
      <w:proofErr w:type="spellEnd"/>
      <w:r w:rsidRPr="00443037">
        <w:rPr>
          <w:spacing w:val="-3"/>
          <w:sz w:val="24"/>
          <w:szCs w:val="24"/>
        </w:rPr>
        <w:t xml:space="preserve">. </w:t>
      </w:r>
      <w:proofErr w:type="spellStart"/>
      <w:r w:rsidRPr="00443037">
        <w:rPr>
          <w:spacing w:val="-3"/>
          <w:sz w:val="24"/>
          <w:szCs w:val="24"/>
        </w:rPr>
        <w:t>Innohep</w:t>
      </w:r>
      <w:proofErr w:type="spellEnd"/>
      <w:r w:rsidRPr="00443037">
        <w:rPr>
          <w:spacing w:val="-3"/>
          <w:sz w:val="24"/>
          <w:szCs w:val="24"/>
        </w:rPr>
        <w:t xml:space="preserve"> anbefales ikke til denne patientgruppe.</w:t>
      </w:r>
    </w:p>
    <w:p w14:paraId="2E3C738A" w14:textId="77777777" w:rsidR="00BF2649" w:rsidRPr="00443037" w:rsidRDefault="00BF2649" w:rsidP="00BF2649">
      <w:pPr>
        <w:ind w:left="851"/>
        <w:rPr>
          <w:i/>
          <w:spacing w:val="-3"/>
          <w:sz w:val="24"/>
          <w:szCs w:val="24"/>
        </w:rPr>
      </w:pPr>
    </w:p>
    <w:p w14:paraId="60294C46" w14:textId="77777777" w:rsidR="00BF2649" w:rsidRPr="00443037" w:rsidRDefault="00BF2649" w:rsidP="00BF2649">
      <w:pPr>
        <w:ind w:left="851"/>
        <w:rPr>
          <w:i/>
          <w:spacing w:val="-3"/>
          <w:sz w:val="24"/>
          <w:szCs w:val="24"/>
        </w:rPr>
      </w:pPr>
      <w:r w:rsidRPr="00443037">
        <w:rPr>
          <w:i/>
          <w:spacing w:val="-3"/>
          <w:sz w:val="24"/>
          <w:szCs w:val="24"/>
        </w:rPr>
        <w:t>Hjælpestoffer</w:t>
      </w:r>
    </w:p>
    <w:p w14:paraId="2B5FFCC9" w14:textId="77777777" w:rsidR="00BF2649" w:rsidRPr="00443037" w:rsidRDefault="00BF2649" w:rsidP="00BF2649">
      <w:pPr>
        <w:ind w:left="851"/>
        <w:rPr>
          <w:spacing w:val="-3"/>
          <w:sz w:val="24"/>
          <w:szCs w:val="24"/>
        </w:rPr>
      </w:pPr>
      <w:proofErr w:type="spellStart"/>
      <w:r w:rsidRPr="00443037">
        <w:rPr>
          <w:spacing w:val="-3"/>
          <w:sz w:val="24"/>
          <w:szCs w:val="24"/>
        </w:rPr>
        <w:t>Innohep</w:t>
      </w:r>
      <w:proofErr w:type="spellEnd"/>
      <w:r w:rsidRPr="00443037">
        <w:rPr>
          <w:spacing w:val="-3"/>
          <w:sz w:val="24"/>
          <w:szCs w:val="24"/>
        </w:rPr>
        <w:t xml:space="preserve"> i hætteglas indeholder </w:t>
      </w:r>
      <w:proofErr w:type="spellStart"/>
      <w:r w:rsidRPr="00443037">
        <w:rPr>
          <w:spacing w:val="-3"/>
          <w:sz w:val="24"/>
          <w:szCs w:val="24"/>
        </w:rPr>
        <w:t>benzylalkohol</w:t>
      </w:r>
      <w:proofErr w:type="spellEnd"/>
      <w:r w:rsidRPr="00443037">
        <w:rPr>
          <w:spacing w:val="-3"/>
          <w:sz w:val="24"/>
          <w:szCs w:val="24"/>
        </w:rPr>
        <w:t xml:space="preserve">. Da dette konserveringsmiddel passerer placenta og kan medføre akkumulering og toksicitet (metabolisk </w:t>
      </w:r>
      <w:proofErr w:type="spellStart"/>
      <w:r w:rsidRPr="00443037">
        <w:rPr>
          <w:spacing w:val="-3"/>
          <w:sz w:val="24"/>
          <w:szCs w:val="24"/>
        </w:rPr>
        <w:t>acidose</w:t>
      </w:r>
      <w:proofErr w:type="spellEnd"/>
      <w:r w:rsidRPr="00443037">
        <w:rPr>
          <w:spacing w:val="-3"/>
          <w:sz w:val="24"/>
          <w:szCs w:val="24"/>
        </w:rPr>
        <w:t xml:space="preserve">), skal </w:t>
      </w:r>
      <w:proofErr w:type="spellStart"/>
      <w:r w:rsidRPr="00443037">
        <w:rPr>
          <w:spacing w:val="-3"/>
          <w:sz w:val="24"/>
          <w:szCs w:val="24"/>
        </w:rPr>
        <w:t>Innohep</w:t>
      </w:r>
      <w:proofErr w:type="spellEnd"/>
      <w:r w:rsidRPr="00443037">
        <w:rPr>
          <w:spacing w:val="-3"/>
          <w:sz w:val="24"/>
          <w:szCs w:val="24"/>
        </w:rPr>
        <w:t xml:space="preserve"> uden </w:t>
      </w:r>
      <w:proofErr w:type="spellStart"/>
      <w:r w:rsidRPr="00443037">
        <w:rPr>
          <w:spacing w:val="-3"/>
          <w:sz w:val="24"/>
          <w:szCs w:val="24"/>
        </w:rPr>
        <w:t>benzylalkohol</w:t>
      </w:r>
      <w:proofErr w:type="spellEnd"/>
      <w:r w:rsidRPr="00443037">
        <w:rPr>
          <w:spacing w:val="-3"/>
          <w:sz w:val="24"/>
          <w:szCs w:val="24"/>
        </w:rPr>
        <w:t xml:space="preserve"> (fyldt injektionssprøjte) anvendes under graviditet.</w:t>
      </w:r>
    </w:p>
    <w:p w14:paraId="1C717F51" w14:textId="77777777" w:rsidR="00BF2649" w:rsidRPr="00443037" w:rsidRDefault="00BF2649" w:rsidP="00BF2649">
      <w:pPr>
        <w:ind w:left="851"/>
        <w:rPr>
          <w:spacing w:val="-3"/>
          <w:sz w:val="24"/>
          <w:szCs w:val="24"/>
        </w:rPr>
      </w:pPr>
    </w:p>
    <w:p w14:paraId="492E072A" w14:textId="77777777" w:rsidR="00BF2649" w:rsidRPr="00443037" w:rsidRDefault="00BF2649" w:rsidP="00BF2649">
      <w:pPr>
        <w:ind w:left="851"/>
        <w:rPr>
          <w:spacing w:val="-3"/>
          <w:sz w:val="24"/>
          <w:szCs w:val="24"/>
          <w:u w:val="single"/>
        </w:rPr>
      </w:pPr>
      <w:r w:rsidRPr="00443037">
        <w:rPr>
          <w:spacing w:val="-3"/>
          <w:sz w:val="24"/>
          <w:szCs w:val="24"/>
          <w:u w:val="single"/>
        </w:rPr>
        <w:t>Amning</w:t>
      </w:r>
    </w:p>
    <w:p w14:paraId="05D5ADB4" w14:textId="77777777" w:rsidR="00BF2649" w:rsidRPr="00443037" w:rsidRDefault="00BF2649" w:rsidP="00BF2649">
      <w:pPr>
        <w:ind w:left="851"/>
        <w:rPr>
          <w:spacing w:val="-3"/>
          <w:sz w:val="24"/>
          <w:szCs w:val="24"/>
        </w:rPr>
      </w:pPr>
      <w:r w:rsidRPr="00443037">
        <w:rPr>
          <w:spacing w:val="-3"/>
          <w:sz w:val="24"/>
          <w:szCs w:val="24"/>
        </w:rPr>
        <w:t xml:space="preserve">Data fra dyreforsøg indikerer, at udskillelsen af </w:t>
      </w:r>
      <w:proofErr w:type="spellStart"/>
      <w:r w:rsidRPr="00443037">
        <w:rPr>
          <w:spacing w:val="-3"/>
          <w:sz w:val="24"/>
          <w:szCs w:val="24"/>
        </w:rPr>
        <w:t>Innohep</w:t>
      </w:r>
      <w:proofErr w:type="spellEnd"/>
      <w:r w:rsidRPr="00443037">
        <w:rPr>
          <w:spacing w:val="-3"/>
          <w:sz w:val="24"/>
          <w:szCs w:val="24"/>
        </w:rPr>
        <w:t xml:space="preserve"> i modermælk er minimal.</w:t>
      </w:r>
    </w:p>
    <w:p w14:paraId="717584E4" w14:textId="77777777" w:rsidR="00BF2649" w:rsidRPr="00443037" w:rsidRDefault="00BF2649" w:rsidP="00BF2649">
      <w:pPr>
        <w:ind w:left="851"/>
        <w:rPr>
          <w:spacing w:val="-3"/>
          <w:sz w:val="24"/>
          <w:szCs w:val="24"/>
        </w:rPr>
      </w:pPr>
    </w:p>
    <w:p w14:paraId="44780900" w14:textId="77777777" w:rsidR="00BF2649" w:rsidRPr="00443037" w:rsidRDefault="00BF2649" w:rsidP="00BF2649">
      <w:pPr>
        <w:ind w:left="851"/>
        <w:rPr>
          <w:spacing w:val="-3"/>
          <w:sz w:val="24"/>
          <w:szCs w:val="24"/>
        </w:rPr>
      </w:pPr>
      <w:r w:rsidRPr="00443037">
        <w:rPr>
          <w:spacing w:val="-3"/>
          <w:sz w:val="24"/>
          <w:szCs w:val="24"/>
        </w:rPr>
        <w:t xml:space="preserve">Det er ukendt, om </w:t>
      </w:r>
      <w:proofErr w:type="spellStart"/>
      <w:r w:rsidRPr="00443037">
        <w:rPr>
          <w:spacing w:val="-3"/>
          <w:sz w:val="24"/>
          <w:szCs w:val="24"/>
        </w:rPr>
        <w:t>tinzaparin</w:t>
      </w:r>
      <w:proofErr w:type="spellEnd"/>
      <w:r w:rsidRPr="00443037">
        <w:rPr>
          <w:spacing w:val="-3"/>
          <w:sz w:val="24"/>
          <w:szCs w:val="24"/>
        </w:rPr>
        <w:t xml:space="preserve"> udskilles i human mælk. Selv om oral absorption af lavmolekylære </w:t>
      </w:r>
      <w:proofErr w:type="spellStart"/>
      <w:r w:rsidRPr="00443037">
        <w:rPr>
          <w:spacing w:val="-3"/>
          <w:sz w:val="24"/>
          <w:szCs w:val="24"/>
        </w:rPr>
        <w:t>hepariner</w:t>
      </w:r>
      <w:proofErr w:type="spellEnd"/>
      <w:r w:rsidRPr="00443037">
        <w:rPr>
          <w:spacing w:val="-3"/>
          <w:sz w:val="24"/>
          <w:szCs w:val="24"/>
        </w:rPr>
        <w:t xml:space="preserve"> er usandsynlig, kan en risiko for nyfødte/spædbørn ikke udelukkes. Hos patienter i risikogrup</w:t>
      </w:r>
      <w:r w:rsidRPr="00443037">
        <w:rPr>
          <w:spacing w:val="-3"/>
          <w:sz w:val="24"/>
          <w:szCs w:val="24"/>
        </w:rPr>
        <w:softHyphen/>
        <w:t xml:space="preserve">pen er forekomsten af venøs </w:t>
      </w:r>
      <w:proofErr w:type="spellStart"/>
      <w:r w:rsidRPr="00443037">
        <w:rPr>
          <w:spacing w:val="-3"/>
          <w:sz w:val="24"/>
          <w:szCs w:val="24"/>
        </w:rPr>
        <w:t>tromboembolisme</w:t>
      </w:r>
      <w:proofErr w:type="spellEnd"/>
      <w:r w:rsidRPr="00443037">
        <w:rPr>
          <w:spacing w:val="-3"/>
          <w:sz w:val="24"/>
          <w:szCs w:val="24"/>
        </w:rPr>
        <w:t xml:space="preserve"> særlig høj i de første seks uger efter barnets fødsel. Det skal besluttes, om amning skal ophøre eller behandling med </w:t>
      </w:r>
      <w:proofErr w:type="spellStart"/>
      <w:r w:rsidRPr="00443037">
        <w:rPr>
          <w:spacing w:val="-3"/>
          <w:sz w:val="24"/>
          <w:szCs w:val="24"/>
        </w:rPr>
        <w:t>Innohep</w:t>
      </w:r>
      <w:proofErr w:type="spellEnd"/>
      <w:r w:rsidRPr="00443037">
        <w:rPr>
          <w:spacing w:val="-3"/>
          <w:sz w:val="24"/>
          <w:szCs w:val="24"/>
        </w:rPr>
        <w:t xml:space="preserve"> seponeres, idet der tages højde for fordelene ved amning for barnet i forhold til de terapeutiske fordele for moderen.</w:t>
      </w:r>
    </w:p>
    <w:p w14:paraId="4BFE2DAD" w14:textId="77777777" w:rsidR="00BF2649" w:rsidRPr="00443037" w:rsidRDefault="00BF2649" w:rsidP="00BF2649">
      <w:pPr>
        <w:ind w:left="851"/>
        <w:rPr>
          <w:spacing w:val="-3"/>
          <w:sz w:val="24"/>
          <w:szCs w:val="24"/>
        </w:rPr>
      </w:pPr>
    </w:p>
    <w:p w14:paraId="712B162B" w14:textId="77777777" w:rsidR="00BF2649" w:rsidRPr="00443037" w:rsidRDefault="00BF2649" w:rsidP="00BF2649">
      <w:pPr>
        <w:ind w:left="851"/>
        <w:rPr>
          <w:i/>
          <w:spacing w:val="-3"/>
          <w:sz w:val="24"/>
          <w:szCs w:val="24"/>
        </w:rPr>
      </w:pPr>
      <w:r w:rsidRPr="00443037">
        <w:rPr>
          <w:i/>
          <w:spacing w:val="-3"/>
          <w:sz w:val="24"/>
          <w:szCs w:val="24"/>
        </w:rPr>
        <w:t>Hjælpestoffer</w:t>
      </w:r>
    </w:p>
    <w:p w14:paraId="1CFE6509" w14:textId="35927160" w:rsidR="00BF2649" w:rsidRPr="00443037" w:rsidRDefault="00BF2649" w:rsidP="00BF2649">
      <w:pPr>
        <w:ind w:left="851"/>
        <w:rPr>
          <w:spacing w:val="-3"/>
          <w:sz w:val="24"/>
          <w:szCs w:val="24"/>
        </w:rPr>
      </w:pPr>
      <w:proofErr w:type="spellStart"/>
      <w:r w:rsidRPr="00443037">
        <w:rPr>
          <w:spacing w:val="-3"/>
          <w:sz w:val="24"/>
          <w:szCs w:val="24"/>
        </w:rPr>
        <w:t>Innohep</w:t>
      </w:r>
      <w:proofErr w:type="spellEnd"/>
      <w:r w:rsidRPr="00443037">
        <w:rPr>
          <w:spacing w:val="-3"/>
          <w:sz w:val="24"/>
          <w:szCs w:val="24"/>
        </w:rPr>
        <w:t xml:space="preserve"> i hætteglas indeholder </w:t>
      </w:r>
      <w:proofErr w:type="spellStart"/>
      <w:r w:rsidRPr="00443037">
        <w:rPr>
          <w:spacing w:val="-3"/>
          <w:sz w:val="24"/>
          <w:szCs w:val="24"/>
        </w:rPr>
        <w:t>benzyla</w:t>
      </w:r>
      <w:r w:rsidR="00443037">
        <w:rPr>
          <w:spacing w:val="-3"/>
          <w:sz w:val="24"/>
          <w:szCs w:val="24"/>
        </w:rPr>
        <w:t>l</w:t>
      </w:r>
      <w:r w:rsidRPr="00443037">
        <w:rPr>
          <w:spacing w:val="-3"/>
          <w:sz w:val="24"/>
          <w:szCs w:val="24"/>
        </w:rPr>
        <w:t>kohol</w:t>
      </w:r>
      <w:proofErr w:type="spellEnd"/>
      <w:r w:rsidRPr="00443037">
        <w:rPr>
          <w:spacing w:val="-3"/>
          <w:sz w:val="24"/>
          <w:szCs w:val="24"/>
        </w:rPr>
        <w:t xml:space="preserve">. På grund af risiko for akkumulering og toksicitet (metabolisk </w:t>
      </w:r>
      <w:proofErr w:type="spellStart"/>
      <w:r w:rsidRPr="00443037">
        <w:rPr>
          <w:spacing w:val="-3"/>
          <w:sz w:val="24"/>
          <w:szCs w:val="24"/>
        </w:rPr>
        <w:t>acidose</w:t>
      </w:r>
      <w:proofErr w:type="spellEnd"/>
      <w:r w:rsidRPr="00443037">
        <w:rPr>
          <w:spacing w:val="-3"/>
          <w:sz w:val="24"/>
          <w:szCs w:val="24"/>
        </w:rPr>
        <w:t xml:space="preserve">) er </w:t>
      </w:r>
      <w:proofErr w:type="spellStart"/>
      <w:r w:rsidRPr="00443037">
        <w:rPr>
          <w:spacing w:val="-3"/>
          <w:sz w:val="24"/>
          <w:szCs w:val="24"/>
        </w:rPr>
        <w:t>Innohep</w:t>
      </w:r>
      <w:proofErr w:type="spellEnd"/>
      <w:r w:rsidRPr="00443037">
        <w:rPr>
          <w:spacing w:val="-3"/>
          <w:sz w:val="24"/>
          <w:szCs w:val="24"/>
        </w:rPr>
        <w:t xml:space="preserve"> formuleringer uden </w:t>
      </w:r>
      <w:proofErr w:type="spellStart"/>
      <w:r w:rsidRPr="00443037">
        <w:rPr>
          <w:spacing w:val="-3"/>
          <w:sz w:val="24"/>
          <w:szCs w:val="24"/>
        </w:rPr>
        <w:t>benzylalkohol</w:t>
      </w:r>
      <w:proofErr w:type="spellEnd"/>
      <w:r w:rsidRPr="00443037">
        <w:rPr>
          <w:spacing w:val="-3"/>
          <w:sz w:val="24"/>
          <w:szCs w:val="24"/>
        </w:rPr>
        <w:t xml:space="preserve"> (</w:t>
      </w:r>
      <w:bookmarkStart w:id="3" w:name="_Hlk26883573"/>
      <w:r w:rsidRPr="00443037">
        <w:rPr>
          <w:spacing w:val="-3"/>
          <w:sz w:val="24"/>
          <w:szCs w:val="24"/>
        </w:rPr>
        <w:t>fyldt injektionssprøjte</w:t>
      </w:r>
      <w:bookmarkEnd w:id="3"/>
      <w:r w:rsidRPr="00443037">
        <w:rPr>
          <w:spacing w:val="-3"/>
          <w:sz w:val="24"/>
          <w:szCs w:val="24"/>
        </w:rPr>
        <w:t>) det foretrukne valg under amning.</w:t>
      </w:r>
    </w:p>
    <w:p w14:paraId="60A144C8" w14:textId="77777777" w:rsidR="009260DE" w:rsidRPr="00443037" w:rsidRDefault="009260DE" w:rsidP="009260DE">
      <w:pPr>
        <w:tabs>
          <w:tab w:val="left" w:pos="851"/>
        </w:tabs>
        <w:ind w:left="851"/>
        <w:rPr>
          <w:sz w:val="24"/>
          <w:szCs w:val="24"/>
        </w:rPr>
      </w:pPr>
    </w:p>
    <w:p w14:paraId="25D8A8D0" w14:textId="77777777" w:rsidR="009260DE" w:rsidRPr="00443037" w:rsidRDefault="009260DE" w:rsidP="009260DE">
      <w:pPr>
        <w:tabs>
          <w:tab w:val="left" w:pos="851"/>
        </w:tabs>
        <w:ind w:left="851" w:hanging="851"/>
        <w:rPr>
          <w:b/>
          <w:sz w:val="24"/>
          <w:szCs w:val="24"/>
        </w:rPr>
      </w:pPr>
      <w:r w:rsidRPr="00443037">
        <w:rPr>
          <w:b/>
          <w:sz w:val="24"/>
          <w:szCs w:val="24"/>
        </w:rPr>
        <w:t>4.7</w:t>
      </w:r>
      <w:r w:rsidRPr="00443037">
        <w:rPr>
          <w:b/>
          <w:sz w:val="24"/>
          <w:szCs w:val="24"/>
        </w:rPr>
        <w:tab/>
        <w:t xml:space="preserve">Virkning på evnen til at føre motorkøretøj </w:t>
      </w:r>
      <w:r w:rsidR="0071241E" w:rsidRPr="00443037">
        <w:rPr>
          <w:b/>
          <w:sz w:val="24"/>
          <w:szCs w:val="24"/>
        </w:rPr>
        <w:t>og</w:t>
      </w:r>
      <w:r w:rsidRPr="00443037">
        <w:rPr>
          <w:b/>
          <w:sz w:val="24"/>
          <w:szCs w:val="24"/>
        </w:rPr>
        <w:t xml:space="preserve"> betjene maskiner</w:t>
      </w:r>
    </w:p>
    <w:p w14:paraId="63364179" w14:textId="77777777" w:rsidR="00BF2649" w:rsidRPr="00443037" w:rsidRDefault="00BF2649" w:rsidP="00BF2649">
      <w:pPr>
        <w:ind w:left="851"/>
        <w:rPr>
          <w:spacing w:val="-3"/>
          <w:sz w:val="24"/>
          <w:szCs w:val="24"/>
        </w:rPr>
      </w:pPr>
      <w:r w:rsidRPr="00443037">
        <w:rPr>
          <w:spacing w:val="-3"/>
          <w:sz w:val="24"/>
          <w:szCs w:val="24"/>
        </w:rPr>
        <w:t>Ikke mærkning.</w:t>
      </w:r>
    </w:p>
    <w:p w14:paraId="337AA4B6" w14:textId="77777777" w:rsidR="00BF2649" w:rsidRPr="00443037" w:rsidRDefault="00BF2649" w:rsidP="00BF2649">
      <w:pPr>
        <w:ind w:left="851"/>
        <w:rPr>
          <w:spacing w:val="-3"/>
          <w:sz w:val="24"/>
          <w:szCs w:val="24"/>
        </w:rPr>
      </w:pPr>
      <w:proofErr w:type="spellStart"/>
      <w:r w:rsidRPr="00443037">
        <w:rPr>
          <w:spacing w:val="-3"/>
          <w:sz w:val="24"/>
          <w:szCs w:val="24"/>
        </w:rPr>
        <w:t>Innohep</w:t>
      </w:r>
      <w:proofErr w:type="spellEnd"/>
      <w:r w:rsidRPr="00443037">
        <w:rPr>
          <w:spacing w:val="-3"/>
          <w:sz w:val="24"/>
          <w:szCs w:val="24"/>
        </w:rPr>
        <w:t xml:space="preserve"> påvirker ikke eller kun i ubetydelig grad evnen til at føre motorkøretøj og betjene maskiner.</w:t>
      </w:r>
    </w:p>
    <w:p w14:paraId="05DC5B84" w14:textId="77777777" w:rsidR="009260DE" w:rsidRPr="00443037" w:rsidRDefault="009260DE" w:rsidP="009260DE">
      <w:pPr>
        <w:tabs>
          <w:tab w:val="left" w:pos="851"/>
        </w:tabs>
        <w:ind w:left="851"/>
        <w:rPr>
          <w:sz w:val="24"/>
          <w:szCs w:val="24"/>
        </w:rPr>
      </w:pPr>
    </w:p>
    <w:p w14:paraId="71AF90F2" w14:textId="77777777" w:rsidR="009260DE" w:rsidRPr="00443037" w:rsidRDefault="009260DE" w:rsidP="009260DE">
      <w:pPr>
        <w:tabs>
          <w:tab w:val="left" w:pos="851"/>
        </w:tabs>
        <w:ind w:left="851" w:hanging="851"/>
        <w:rPr>
          <w:b/>
          <w:sz w:val="24"/>
          <w:szCs w:val="24"/>
        </w:rPr>
      </w:pPr>
      <w:r w:rsidRPr="00443037">
        <w:rPr>
          <w:b/>
          <w:sz w:val="24"/>
          <w:szCs w:val="24"/>
        </w:rPr>
        <w:t>4.8</w:t>
      </w:r>
      <w:r w:rsidRPr="00443037">
        <w:rPr>
          <w:b/>
          <w:sz w:val="24"/>
          <w:szCs w:val="24"/>
        </w:rPr>
        <w:tab/>
        <w:t>Bivirkninger</w:t>
      </w:r>
    </w:p>
    <w:p w14:paraId="0D3A3A7B" w14:textId="77777777" w:rsidR="00BF2649" w:rsidRPr="00443037" w:rsidRDefault="00BF2649" w:rsidP="00BF2649">
      <w:pPr>
        <w:ind w:left="851"/>
        <w:rPr>
          <w:spacing w:val="-3"/>
          <w:sz w:val="24"/>
          <w:szCs w:val="24"/>
        </w:rPr>
      </w:pPr>
      <w:r w:rsidRPr="00443037">
        <w:rPr>
          <w:spacing w:val="-3"/>
          <w:sz w:val="24"/>
          <w:szCs w:val="24"/>
        </w:rPr>
        <w:t>De hyppigst rapporterede bivirkninger er blødninger, sekundær anæmi som følge af blødning og reaktioner ved injektionsstedet.</w:t>
      </w:r>
    </w:p>
    <w:p w14:paraId="0DE231EA" w14:textId="77777777" w:rsidR="00BF2649" w:rsidRPr="00443037" w:rsidRDefault="00BF2649" w:rsidP="00BF2649">
      <w:pPr>
        <w:ind w:left="851"/>
        <w:rPr>
          <w:spacing w:val="-3"/>
          <w:sz w:val="24"/>
          <w:szCs w:val="24"/>
        </w:rPr>
      </w:pPr>
    </w:p>
    <w:p w14:paraId="39A19E72" w14:textId="77777777" w:rsidR="00BF2649" w:rsidRPr="00443037" w:rsidRDefault="00BF2649" w:rsidP="00BF2649">
      <w:pPr>
        <w:ind w:left="851"/>
        <w:rPr>
          <w:spacing w:val="-3"/>
          <w:sz w:val="24"/>
          <w:szCs w:val="24"/>
        </w:rPr>
      </w:pPr>
      <w:r w:rsidRPr="00443037">
        <w:rPr>
          <w:spacing w:val="-3"/>
          <w:sz w:val="24"/>
          <w:szCs w:val="24"/>
        </w:rPr>
        <w:t>Blødning kan opstå i ethvert organ og har forskellige grader af alvorlighed. Komplikationer kan forekomme, især når høje doser administreres. Selv om store blødninger er ualmindelige, er dødsfald eller invaliditet blevet rapporteret i nogle tilfælde.</w:t>
      </w:r>
    </w:p>
    <w:p w14:paraId="08485D59" w14:textId="77777777" w:rsidR="00BF2649" w:rsidRPr="00443037" w:rsidRDefault="00BF2649" w:rsidP="00BF2649">
      <w:pPr>
        <w:ind w:left="851"/>
        <w:rPr>
          <w:spacing w:val="-3"/>
          <w:sz w:val="24"/>
          <w:szCs w:val="24"/>
        </w:rPr>
      </w:pPr>
    </w:p>
    <w:p w14:paraId="5B31E251" w14:textId="77777777" w:rsidR="00BF2649" w:rsidRPr="00443037" w:rsidRDefault="00BF2649" w:rsidP="00BF2649">
      <w:pPr>
        <w:ind w:left="851"/>
        <w:rPr>
          <w:spacing w:val="-3"/>
          <w:sz w:val="24"/>
          <w:szCs w:val="24"/>
        </w:rPr>
      </w:pPr>
      <w:r w:rsidRPr="00443037">
        <w:rPr>
          <w:spacing w:val="-3"/>
          <w:sz w:val="24"/>
          <w:szCs w:val="24"/>
        </w:rPr>
        <w:t xml:space="preserve">Immunmedieret </w:t>
      </w:r>
      <w:proofErr w:type="spellStart"/>
      <w:r w:rsidRPr="00443037">
        <w:rPr>
          <w:spacing w:val="-3"/>
          <w:sz w:val="24"/>
          <w:szCs w:val="24"/>
        </w:rPr>
        <w:t>heparin</w:t>
      </w:r>
      <w:proofErr w:type="spellEnd"/>
      <w:r w:rsidRPr="00443037">
        <w:rPr>
          <w:spacing w:val="-3"/>
          <w:sz w:val="24"/>
          <w:szCs w:val="24"/>
        </w:rPr>
        <w:t xml:space="preserve">-induceret </w:t>
      </w:r>
      <w:proofErr w:type="spellStart"/>
      <w:r w:rsidRPr="00443037">
        <w:rPr>
          <w:spacing w:val="-3"/>
          <w:sz w:val="24"/>
          <w:szCs w:val="24"/>
        </w:rPr>
        <w:t>trombocytopeni</w:t>
      </w:r>
      <w:proofErr w:type="spellEnd"/>
      <w:r w:rsidRPr="00443037">
        <w:rPr>
          <w:spacing w:val="-3"/>
          <w:sz w:val="24"/>
          <w:szCs w:val="24"/>
        </w:rPr>
        <w:t xml:space="preserve"> (type II) opstår i oftest inden for 5 til 14 dage efter den første dosis. Desuden er en hurtig indsættende form beskrevet hos patienter som tidligere har fået </w:t>
      </w:r>
      <w:proofErr w:type="spellStart"/>
      <w:r w:rsidRPr="00443037">
        <w:rPr>
          <w:spacing w:val="-3"/>
          <w:sz w:val="24"/>
          <w:szCs w:val="24"/>
        </w:rPr>
        <w:t>heparin</w:t>
      </w:r>
      <w:proofErr w:type="spellEnd"/>
      <w:r w:rsidRPr="00443037">
        <w:rPr>
          <w:spacing w:val="-3"/>
          <w:sz w:val="24"/>
          <w:szCs w:val="24"/>
        </w:rPr>
        <w:t xml:space="preserve">. Immunmedieret </w:t>
      </w:r>
      <w:proofErr w:type="spellStart"/>
      <w:r w:rsidRPr="00443037">
        <w:rPr>
          <w:spacing w:val="-3"/>
          <w:sz w:val="24"/>
          <w:szCs w:val="24"/>
        </w:rPr>
        <w:t>heparin</w:t>
      </w:r>
      <w:proofErr w:type="spellEnd"/>
      <w:r w:rsidRPr="00443037">
        <w:rPr>
          <w:spacing w:val="-3"/>
          <w:sz w:val="24"/>
          <w:szCs w:val="24"/>
        </w:rPr>
        <w:t xml:space="preserve">-induceret </w:t>
      </w:r>
      <w:proofErr w:type="spellStart"/>
      <w:r w:rsidRPr="00443037">
        <w:rPr>
          <w:spacing w:val="-3"/>
          <w:sz w:val="24"/>
          <w:szCs w:val="24"/>
        </w:rPr>
        <w:t>trombocytopeni</w:t>
      </w:r>
      <w:proofErr w:type="spellEnd"/>
      <w:r w:rsidRPr="00443037">
        <w:rPr>
          <w:spacing w:val="-3"/>
          <w:sz w:val="24"/>
          <w:szCs w:val="24"/>
        </w:rPr>
        <w:t xml:space="preserve"> (type II) kan være forbundet med arteriel og venøs trombose. </w:t>
      </w:r>
      <w:proofErr w:type="spellStart"/>
      <w:r w:rsidRPr="00443037">
        <w:rPr>
          <w:spacing w:val="-3"/>
          <w:sz w:val="24"/>
          <w:szCs w:val="24"/>
        </w:rPr>
        <w:t>Innohep</w:t>
      </w:r>
      <w:proofErr w:type="spellEnd"/>
      <w:r w:rsidRPr="00443037">
        <w:rPr>
          <w:spacing w:val="-3"/>
          <w:sz w:val="24"/>
          <w:szCs w:val="24"/>
        </w:rPr>
        <w:t xml:space="preserve"> skal seponeres i alle tilfælde af immunmedieret </w:t>
      </w:r>
      <w:proofErr w:type="spellStart"/>
      <w:r w:rsidRPr="00443037">
        <w:rPr>
          <w:spacing w:val="-3"/>
          <w:sz w:val="24"/>
          <w:szCs w:val="24"/>
        </w:rPr>
        <w:t>heparin</w:t>
      </w:r>
      <w:proofErr w:type="spellEnd"/>
      <w:r w:rsidRPr="00443037">
        <w:rPr>
          <w:spacing w:val="-3"/>
          <w:sz w:val="24"/>
          <w:szCs w:val="24"/>
        </w:rPr>
        <w:t xml:space="preserve">-induceret </w:t>
      </w:r>
      <w:proofErr w:type="spellStart"/>
      <w:r w:rsidRPr="00443037">
        <w:rPr>
          <w:spacing w:val="-3"/>
          <w:sz w:val="24"/>
          <w:szCs w:val="24"/>
        </w:rPr>
        <w:t>trombocytopeni</w:t>
      </w:r>
      <w:proofErr w:type="spellEnd"/>
      <w:r w:rsidRPr="00443037">
        <w:rPr>
          <w:spacing w:val="-3"/>
          <w:sz w:val="24"/>
          <w:szCs w:val="24"/>
        </w:rPr>
        <w:t xml:space="preserve"> (se pkt. 4.4).</w:t>
      </w:r>
    </w:p>
    <w:p w14:paraId="23C4261A" w14:textId="77777777" w:rsidR="00BF2649" w:rsidRPr="00443037" w:rsidRDefault="00BF2649" w:rsidP="00BF2649">
      <w:pPr>
        <w:ind w:left="851"/>
        <w:rPr>
          <w:spacing w:val="-3"/>
          <w:sz w:val="24"/>
          <w:szCs w:val="24"/>
        </w:rPr>
      </w:pPr>
    </w:p>
    <w:p w14:paraId="36F683C5" w14:textId="77777777" w:rsidR="00BF2649" w:rsidRPr="00443037" w:rsidRDefault="00BF2649" w:rsidP="00BF2649">
      <w:pPr>
        <w:ind w:left="851"/>
        <w:rPr>
          <w:spacing w:val="-3"/>
          <w:sz w:val="24"/>
          <w:szCs w:val="24"/>
        </w:rPr>
      </w:pPr>
      <w:r w:rsidRPr="00443037">
        <w:rPr>
          <w:spacing w:val="-3"/>
          <w:sz w:val="24"/>
          <w:szCs w:val="24"/>
        </w:rPr>
        <w:t xml:space="preserve">I sjældne tilfælde kan </w:t>
      </w:r>
      <w:proofErr w:type="spellStart"/>
      <w:r w:rsidRPr="00443037">
        <w:rPr>
          <w:spacing w:val="-3"/>
          <w:sz w:val="24"/>
          <w:szCs w:val="24"/>
        </w:rPr>
        <w:t>Innohep</w:t>
      </w:r>
      <w:proofErr w:type="spellEnd"/>
      <w:r w:rsidRPr="00443037">
        <w:rPr>
          <w:spacing w:val="-3"/>
          <w:sz w:val="24"/>
          <w:szCs w:val="24"/>
        </w:rPr>
        <w:t xml:space="preserve"> forårsage </w:t>
      </w:r>
      <w:proofErr w:type="spellStart"/>
      <w:r w:rsidRPr="00443037">
        <w:rPr>
          <w:spacing w:val="-3"/>
          <w:sz w:val="24"/>
          <w:szCs w:val="24"/>
        </w:rPr>
        <w:t>hyperkaliæmi</w:t>
      </w:r>
      <w:proofErr w:type="spellEnd"/>
      <w:r w:rsidRPr="00443037">
        <w:rPr>
          <w:spacing w:val="-3"/>
          <w:sz w:val="24"/>
          <w:szCs w:val="24"/>
        </w:rPr>
        <w:t xml:space="preserve"> på grund </w:t>
      </w:r>
      <w:proofErr w:type="spellStart"/>
      <w:r w:rsidRPr="00443037">
        <w:rPr>
          <w:spacing w:val="-3"/>
          <w:sz w:val="24"/>
          <w:szCs w:val="24"/>
        </w:rPr>
        <w:t>hypoaldosteronisme</w:t>
      </w:r>
      <w:proofErr w:type="spellEnd"/>
      <w:r w:rsidRPr="00443037">
        <w:rPr>
          <w:spacing w:val="-3"/>
          <w:sz w:val="24"/>
          <w:szCs w:val="24"/>
        </w:rPr>
        <w:t>. Risikogruppen omfatter patienter med diabetes mellitus eller nedsat nyrefunktion (se pkt. 4.4).</w:t>
      </w:r>
    </w:p>
    <w:p w14:paraId="2A29EB9E" w14:textId="77777777" w:rsidR="00BF2649" w:rsidRPr="00443037" w:rsidRDefault="00BF2649" w:rsidP="00BF2649">
      <w:pPr>
        <w:ind w:left="851"/>
        <w:rPr>
          <w:spacing w:val="-3"/>
          <w:sz w:val="24"/>
          <w:szCs w:val="24"/>
        </w:rPr>
      </w:pPr>
    </w:p>
    <w:p w14:paraId="2540D814" w14:textId="0EC80B5D" w:rsidR="00BF2649" w:rsidRPr="00443037" w:rsidRDefault="00BF2649" w:rsidP="00BF2649">
      <w:pPr>
        <w:ind w:left="851"/>
        <w:rPr>
          <w:spacing w:val="-3"/>
          <w:sz w:val="24"/>
          <w:szCs w:val="24"/>
        </w:rPr>
      </w:pPr>
      <w:r w:rsidRPr="00443037">
        <w:rPr>
          <w:spacing w:val="-3"/>
          <w:sz w:val="24"/>
          <w:szCs w:val="24"/>
        </w:rPr>
        <w:t>Alvorlige allergiske reaktioner kan forekomme. Disse omfatter sjældne tilfælde af hud</w:t>
      </w:r>
      <w:r w:rsidRPr="00443037">
        <w:rPr>
          <w:spacing w:val="-3"/>
          <w:sz w:val="24"/>
          <w:szCs w:val="24"/>
        </w:rPr>
        <w:softHyphen/>
        <w:t>ne</w:t>
      </w:r>
      <w:r w:rsidRPr="00443037">
        <w:rPr>
          <w:spacing w:val="-3"/>
          <w:sz w:val="24"/>
          <w:szCs w:val="24"/>
        </w:rPr>
        <w:softHyphen/>
        <w:t xml:space="preserve">krose, toksiske hududslæt (f.eks. Stevens-Johnsons syndrom), </w:t>
      </w:r>
      <w:proofErr w:type="spellStart"/>
      <w:r w:rsidRPr="00443037">
        <w:rPr>
          <w:spacing w:val="-3"/>
          <w:sz w:val="24"/>
          <w:szCs w:val="24"/>
        </w:rPr>
        <w:t>angioødem</w:t>
      </w:r>
      <w:proofErr w:type="spellEnd"/>
      <w:r w:rsidRPr="00443037">
        <w:rPr>
          <w:spacing w:val="-3"/>
          <w:sz w:val="24"/>
          <w:szCs w:val="24"/>
        </w:rPr>
        <w:t xml:space="preserve"> og anafylaksi. Behandlingen skal straks afbrydes ved mindste mistanke om sådanne alvorlige reaktioner.</w:t>
      </w:r>
    </w:p>
    <w:p w14:paraId="43AE3C46" w14:textId="77777777" w:rsidR="00BF2649" w:rsidRPr="00443037" w:rsidRDefault="00BF2649" w:rsidP="00BF2649">
      <w:pPr>
        <w:ind w:left="851"/>
        <w:rPr>
          <w:spacing w:val="-3"/>
          <w:sz w:val="24"/>
          <w:szCs w:val="24"/>
        </w:rPr>
      </w:pPr>
    </w:p>
    <w:p w14:paraId="0E4B2E70" w14:textId="77777777" w:rsidR="00BF2649" w:rsidRPr="00443037" w:rsidRDefault="00BF2649" w:rsidP="00BF2649">
      <w:pPr>
        <w:ind w:left="851"/>
        <w:rPr>
          <w:spacing w:val="-3"/>
          <w:sz w:val="24"/>
          <w:szCs w:val="24"/>
        </w:rPr>
      </w:pPr>
      <w:r w:rsidRPr="00443037">
        <w:rPr>
          <w:spacing w:val="-3"/>
          <w:sz w:val="24"/>
          <w:szCs w:val="24"/>
        </w:rPr>
        <w:t>Beregnet hyppighed af bivirkninger er baseret på en samlet analyse af data fra kliniske studier og fra spontan rapportering.</w:t>
      </w:r>
    </w:p>
    <w:p w14:paraId="75412C77" w14:textId="77777777" w:rsidR="00BF2649" w:rsidRPr="00443037" w:rsidRDefault="00BF2649" w:rsidP="00BF2649">
      <w:pPr>
        <w:ind w:left="851"/>
        <w:rPr>
          <w:spacing w:val="-3"/>
          <w:sz w:val="24"/>
          <w:szCs w:val="24"/>
        </w:rPr>
      </w:pPr>
    </w:p>
    <w:p w14:paraId="6053D0C2" w14:textId="77777777" w:rsidR="00BF2649" w:rsidRPr="00443037" w:rsidRDefault="00BF2649" w:rsidP="00BF2649">
      <w:pPr>
        <w:ind w:left="851"/>
        <w:rPr>
          <w:spacing w:val="-3"/>
          <w:sz w:val="24"/>
          <w:szCs w:val="24"/>
        </w:rPr>
      </w:pPr>
      <w:r w:rsidRPr="00443037">
        <w:rPr>
          <w:spacing w:val="-3"/>
          <w:sz w:val="24"/>
          <w:szCs w:val="24"/>
        </w:rPr>
        <w:t xml:space="preserve">Bivirkningerne er opført efter </w:t>
      </w:r>
      <w:proofErr w:type="spellStart"/>
      <w:r w:rsidRPr="00443037">
        <w:rPr>
          <w:spacing w:val="-3"/>
          <w:sz w:val="24"/>
          <w:szCs w:val="24"/>
        </w:rPr>
        <w:t>MedDRA</w:t>
      </w:r>
      <w:proofErr w:type="spellEnd"/>
      <w:r w:rsidRPr="00443037">
        <w:rPr>
          <w:spacing w:val="-3"/>
          <w:sz w:val="24"/>
          <w:szCs w:val="24"/>
        </w:rPr>
        <w:t xml:space="preserve"> SOC og de enkelte bivirkninger rapporteres med den mest almindelige først. Inden for hver frekvensgruppe er bivirkningerne opstillet i rækkefølge efter faldende alvorlighed.</w:t>
      </w:r>
    </w:p>
    <w:p w14:paraId="0A7C8250" w14:textId="77777777" w:rsidR="00BF2649" w:rsidRPr="00443037" w:rsidRDefault="00BF2649" w:rsidP="00BF2649">
      <w:pPr>
        <w:ind w:left="851"/>
        <w:rPr>
          <w:spacing w:val="-3"/>
          <w:sz w:val="24"/>
          <w:szCs w:val="24"/>
        </w:rPr>
      </w:pPr>
    </w:p>
    <w:p w14:paraId="659FF6C0" w14:textId="77777777" w:rsidR="00BF2649" w:rsidRPr="00443037" w:rsidRDefault="00BF2649" w:rsidP="00BF2649">
      <w:pPr>
        <w:ind w:left="851"/>
        <w:rPr>
          <w:sz w:val="24"/>
          <w:szCs w:val="24"/>
        </w:rPr>
      </w:pPr>
      <w:r w:rsidRPr="00443037">
        <w:rPr>
          <w:sz w:val="24"/>
          <w:szCs w:val="24"/>
        </w:rPr>
        <w:t>Meget almindelig (≥ 1/10)</w:t>
      </w:r>
    </w:p>
    <w:p w14:paraId="44CA0CB9" w14:textId="77777777" w:rsidR="00BF2649" w:rsidRPr="00443037" w:rsidRDefault="00BF2649" w:rsidP="00BF2649">
      <w:pPr>
        <w:ind w:left="851"/>
        <w:rPr>
          <w:sz w:val="24"/>
          <w:szCs w:val="24"/>
        </w:rPr>
      </w:pPr>
      <w:r w:rsidRPr="00443037">
        <w:rPr>
          <w:sz w:val="24"/>
          <w:szCs w:val="24"/>
        </w:rPr>
        <w:t>Almindelig (≥ 1/100 til &lt; 1/10)</w:t>
      </w:r>
    </w:p>
    <w:p w14:paraId="16570168" w14:textId="77777777" w:rsidR="00BF2649" w:rsidRPr="00443037" w:rsidRDefault="00BF2649" w:rsidP="00BF2649">
      <w:pPr>
        <w:ind w:left="851"/>
        <w:rPr>
          <w:sz w:val="24"/>
          <w:szCs w:val="24"/>
        </w:rPr>
      </w:pPr>
      <w:r w:rsidRPr="00443037">
        <w:rPr>
          <w:sz w:val="24"/>
          <w:szCs w:val="24"/>
        </w:rPr>
        <w:t>Ikke almindelig (≥ 1/1.000 til &lt; 1/100)</w:t>
      </w:r>
    </w:p>
    <w:p w14:paraId="22DDB159" w14:textId="77777777" w:rsidR="00BF2649" w:rsidRPr="00443037" w:rsidRDefault="00BF2649" w:rsidP="00BF2649">
      <w:pPr>
        <w:ind w:left="851"/>
        <w:rPr>
          <w:sz w:val="24"/>
          <w:szCs w:val="24"/>
        </w:rPr>
      </w:pPr>
      <w:r w:rsidRPr="00443037">
        <w:rPr>
          <w:sz w:val="24"/>
          <w:szCs w:val="24"/>
        </w:rPr>
        <w:t>Sjælden (≥ 1/10.000 til &lt; 1/1.000)</w:t>
      </w:r>
    </w:p>
    <w:p w14:paraId="2DE97082" w14:textId="77777777" w:rsidR="00BF2649" w:rsidRPr="00443037" w:rsidRDefault="00BF2649" w:rsidP="00BF2649">
      <w:pPr>
        <w:ind w:left="851"/>
        <w:rPr>
          <w:sz w:val="24"/>
          <w:szCs w:val="24"/>
        </w:rPr>
      </w:pPr>
      <w:r w:rsidRPr="00443037">
        <w:rPr>
          <w:sz w:val="24"/>
          <w:szCs w:val="24"/>
        </w:rPr>
        <w:t>Meget sjælden (&lt; 1/10.000), ikke kendt (kan ikke estimeres ud fra forhåndenværende data)</w:t>
      </w:r>
    </w:p>
    <w:p w14:paraId="6F8E0882" w14:textId="2B68BA3D" w:rsidR="000624B8" w:rsidRPr="00443037" w:rsidRDefault="000624B8">
      <w:pPr>
        <w:rPr>
          <w:spacing w:val="-3"/>
          <w:sz w:val="24"/>
          <w:szCs w:val="24"/>
        </w:rPr>
      </w:pPr>
      <w:r w:rsidRPr="00443037">
        <w:rPr>
          <w:spacing w:val="-3"/>
          <w:sz w:val="24"/>
          <w:szCs w:val="24"/>
        </w:rPr>
        <w:br w:type="page"/>
      </w:r>
    </w:p>
    <w:p w14:paraId="6BBD8CA0" w14:textId="77777777" w:rsidR="00BF2649" w:rsidRPr="00443037" w:rsidRDefault="00BF2649" w:rsidP="00BF2649">
      <w:pPr>
        <w:ind w:left="851" w:hanging="851"/>
        <w:rPr>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75"/>
        <w:gridCol w:w="4853"/>
      </w:tblGrid>
      <w:tr w:rsidR="00BF2649" w:rsidRPr="00443037" w14:paraId="336A1B31"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36E968E6" w14:textId="77777777" w:rsidR="00BF2649" w:rsidRPr="00443037" w:rsidRDefault="00BF2649">
            <w:pPr>
              <w:ind w:left="142" w:hanging="1"/>
              <w:rPr>
                <w:b/>
                <w:spacing w:val="-3"/>
                <w:sz w:val="24"/>
                <w:szCs w:val="24"/>
                <w:lang w:val="fi-FI"/>
              </w:rPr>
            </w:pPr>
            <w:r w:rsidRPr="00443037">
              <w:rPr>
                <w:b/>
                <w:spacing w:val="-3"/>
                <w:sz w:val="24"/>
                <w:szCs w:val="24"/>
                <w:lang w:val="fi-FI"/>
              </w:rPr>
              <w:t>Blod og lymfesystem</w:t>
            </w:r>
          </w:p>
        </w:tc>
      </w:tr>
      <w:tr w:rsidR="00BF2649" w:rsidRPr="00443037" w14:paraId="347D2771"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08A20643" w14:textId="77777777" w:rsidR="00BF2649" w:rsidRPr="00443037" w:rsidRDefault="00BF2649">
            <w:pPr>
              <w:ind w:left="142" w:hanging="1"/>
              <w:rPr>
                <w:spacing w:val="-3"/>
                <w:sz w:val="24"/>
                <w:szCs w:val="24"/>
                <w:lang w:val="fi-FI"/>
              </w:rPr>
            </w:pPr>
            <w:r w:rsidRPr="00443037">
              <w:rPr>
                <w:spacing w:val="-3"/>
                <w:sz w:val="24"/>
                <w:szCs w:val="24"/>
                <w:lang w:val="fi-FI"/>
              </w:rPr>
              <w:t>Almindelig ≥1/100 til &lt; 1/10</w:t>
            </w:r>
          </w:p>
        </w:tc>
        <w:tc>
          <w:tcPr>
            <w:tcW w:w="2520" w:type="pct"/>
            <w:tcBorders>
              <w:top w:val="single" w:sz="4" w:space="0" w:color="auto"/>
              <w:left w:val="single" w:sz="4" w:space="0" w:color="auto"/>
              <w:bottom w:val="single" w:sz="4" w:space="0" w:color="auto"/>
              <w:right w:val="single" w:sz="4" w:space="0" w:color="auto"/>
            </w:tcBorders>
            <w:hideMark/>
          </w:tcPr>
          <w:p w14:paraId="4AD6FB8D" w14:textId="77777777" w:rsidR="00BF2649" w:rsidRPr="00443037" w:rsidRDefault="00BF2649">
            <w:pPr>
              <w:ind w:left="142" w:hanging="1"/>
              <w:rPr>
                <w:spacing w:val="-3"/>
                <w:sz w:val="24"/>
                <w:szCs w:val="24"/>
                <w:lang w:val="fi-FI"/>
              </w:rPr>
            </w:pPr>
            <w:r w:rsidRPr="00443037">
              <w:rPr>
                <w:spacing w:val="-3"/>
                <w:sz w:val="24"/>
                <w:szCs w:val="24"/>
                <w:lang w:val="fi-FI"/>
              </w:rPr>
              <w:t>Anæmi (inkl. nedsat hæmoglobin)</w:t>
            </w:r>
          </w:p>
        </w:tc>
      </w:tr>
      <w:tr w:rsidR="00BF2649" w:rsidRPr="00443037" w14:paraId="1D3C96D1"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405EDE03" w14:textId="77777777" w:rsidR="00BF2649" w:rsidRPr="00443037" w:rsidRDefault="00BF2649">
            <w:pPr>
              <w:ind w:left="142" w:hanging="1"/>
              <w:rPr>
                <w:spacing w:val="-3"/>
                <w:sz w:val="24"/>
                <w:szCs w:val="24"/>
                <w:lang w:val="fi-FI"/>
              </w:rPr>
            </w:pPr>
            <w:r w:rsidRPr="00443037">
              <w:rPr>
                <w:spacing w:val="-3"/>
                <w:sz w:val="24"/>
                <w:szCs w:val="24"/>
                <w:lang w:val="fi-FI"/>
              </w:rPr>
              <w:t>Ikke almindelig ≥1/1.000 til &lt;1/100</w:t>
            </w:r>
          </w:p>
        </w:tc>
        <w:tc>
          <w:tcPr>
            <w:tcW w:w="2520" w:type="pct"/>
            <w:tcBorders>
              <w:top w:val="single" w:sz="4" w:space="0" w:color="auto"/>
              <w:left w:val="single" w:sz="4" w:space="0" w:color="auto"/>
              <w:bottom w:val="single" w:sz="4" w:space="0" w:color="auto"/>
              <w:right w:val="single" w:sz="4" w:space="0" w:color="auto"/>
            </w:tcBorders>
            <w:hideMark/>
          </w:tcPr>
          <w:p w14:paraId="1277E944" w14:textId="77777777" w:rsidR="00BF2649" w:rsidRPr="00443037" w:rsidRDefault="00BF2649">
            <w:pPr>
              <w:ind w:left="142" w:hanging="1"/>
              <w:rPr>
                <w:spacing w:val="-3"/>
                <w:sz w:val="24"/>
                <w:szCs w:val="24"/>
                <w:lang w:val="fi-FI"/>
              </w:rPr>
            </w:pPr>
            <w:r w:rsidRPr="00443037">
              <w:rPr>
                <w:spacing w:val="-3"/>
                <w:sz w:val="24"/>
                <w:szCs w:val="24"/>
                <w:lang w:val="fi-FI"/>
              </w:rPr>
              <w:t>Trombocytopeni (type I, inkl. fald i trombocyttal)</w:t>
            </w:r>
          </w:p>
        </w:tc>
      </w:tr>
      <w:tr w:rsidR="00BF2649" w:rsidRPr="00443037" w14:paraId="44B2DE67"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3872A3D9" w14:textId="77777777" w:rsidR="00BF2649" w:rsidRPr="00443037" w:rsidRDefault="00BF2649">
            <w:pPr>
              <w:ind w:left="142" w:hanging="1"/>
              <w:rPr>
                <w:spacing w:val="-3"/>
                <w:sz w:val="24"/>
                <w:szCs w:val="24"/>
                <w:lang w:val="fi-FI"/>
              </w:rPr>
            </w:pPr>
            <w:r w:rsidRPr="00443037">
              <w:rPr>
                <w:spacing w:val="-3"/>
                <w:sz w:val="24"/>
                <w:szCs w:val="24"/>
                <w:lang w:val="fi-FI"/>
              </w:rPr>
              <w:t>Sjælden ≥1/10.000 til &lt;1/1.000</w:t>
            </w:r>
          </w:p>
        </w:tc>
        <w:tc>
          <w:tcPr>
            <w:tcW w:w="2520" w:type="pct"/>
            <w:tcBorders>
              <w:top w:val="single" w:sz="4" w:space="0" w:color="auto"/>
              <w:left w:val="single" w:sz="4" w:space="0" w:color="auto"/>
              <w:bottom w:val="single" w:sz="4" w:space="0" w:color="auto"/>
              <w:right w:val="single" w:sz="4" w:space="0" w:color="auto"/>
            </w:tcBorders>
            <w:hideMark/>
          </w:tcPr>
          <w:p w14:paraId="21048018" w14:textId="77777777" w:rsidR="00BF2649" w:rsidRPr="00443037" w:rsidRDefault="00BF2649">
            <w:pPr>
              <w:ind w:left="142" w:hanging="1"/>
              <w:rPr>
                <w:spacing w:val="-3"/>
                <w:sz w:val="24"/>
                <w:szCs w:val="24"/>
                <w:lang w:val="fi-FI"/>
              </w:rPr>
            </w:pPr>
            <w:r w:rsidRPr="00443037">
              <w:rPr>
                <w:spacing w:val="-3"/>
                <w:sz w:val="24"/>
                <w:szCs w:val="24"/>
                <w:lang w:val="fi-FI"/>
              </w:rPr>
              <w:t>Heparin-induceret trombocytopeni (type II) Trombocytose</w:t>
            </w:r>
          </w:p>
        </w:tc>
      </w:tr>
      <w:tr w:rsidR="00BF2649" w:rsidRPr="00443037" w14:paraId="471C4D90"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1D0AEC6A" w14:textId="77777777" w:rsidR="00BF2649" w:rsidRPr="00443037" w:rsidRDefault="00BF2649">
            <w:pPr>
              <w:ind w:left="142" w:hanging="1"/>
              <w:rPr>
                <w:b/>
                <w:spacing w:val="-3"/>
                <w:sz w:val="24"/>
                <w:szCs w:val="24"/>
                <w:lang w:val="fi-FI"/>
              </w:rPr>
            </w:pPr>
            <w:r w:rsidRPr="00443037">
              <w:rPr>
                <w:b/>
                <w:spacing w:val="-3"/>
                <w:sz w:val="24"/>
                <w:szCs w:val="24"/>
                <w:lang w:val="fi-FI"/>
              </w:rPr>
              <w:t>Immunsystemet</w:t>
            </w:r>
          </w:p>
        </w:tc>
      </w:tr>
      <w:tr w:rsidR="00BF2649" w:rsidRPr="00443037" w14:paraId="79E5398E"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23D869DA" w14:textId="77777777" w:rsidR="00BF2649" w:rsidRPr="00443037" w:rsidRDefault="00BF2649">
            <w:pPr>
              <w:ind w:left="142" w:hanging="1"/>
              <w:rPr>
                <w:spacing w:val="-3"/>
                <w:sz w:val="24"/>
                <w:szCs w:val="24"/>
                <w:lang w:val="fi-FI"/>
              </w:rPr>
            </w:pPr>
            <w:r w:rsidRPr="00443037">
              <w:rPr>
                <w:spacing w:val="-3"/>
                <w:sz w:val="24"/>
                <w:szCs w:val="24"/>
                <w:lang w:val="fi-FI"/>
              </w:rPr>
              <w:t>Ikke almindelig ≥1/1.000 til &lt;1/100</w:t>
            </w:r>
          </w:p>
        </w:tc>
        <w:tc>
          <w:tcPr>
            <w:tcW w:w="2520" w:type="pct"/>
            <w:tcBorders>
              <w:top w:val="single" w:sz="4" w:space="0" w:color="auto"/>
              <w:left w:val="single" w:sz="4" w:space="0" w:color="auto"/>
              <w:bottom w:val="single" w:sz="4" w:space="0" w:color="auto"/>
              <w:right w:val="single" w:sz="4" w:space="0" w:color="auto"/>
            </w:tcBorders>
            <w:hideMark/>
          </w:tcPr>
          <w:p w14:paraId="4061902F" w14:textId="77777777" w:rsidR="00BF2649" w:rsidRPr="00443037" w:rsidRDefault="00BF2649">
            <w:pPr>
              <w:ind w:left="142" w:hanging="1"/>
              <w:rPr>
                <w:spacing w:val="-3"/>
                <w:sz w:val="24"/>
                <w:szCs w:val="24"/>
                <w:lang w:val="fi-FI"/>
              </w:rPr>
            </w:pPr>
            <w:r w:rsidRPr="00443037">
              <w:rPr>
                <w:spacing w:val="-3"/>
                <w:sz w:val="24"/>
                <w:szCs w:val="24"/>
                <w:lang w:val="fi-FI"/>
              </w:rPr>
              <w:t>Overfølsomhed</w:t>
            </w:r>
          </w:p>
        </w:tc>
      </w:tr>
      <w:tr w:rsidR="00BF2649" w:rsidRPr="00443037" w14:paraId="2A5780BE"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69DDFEA9" w14:textId="77777777" w:rsidR="00BF2649" w:rsidRPr="00443037" w:rsidRDefault="00BF2649">
            <w:pPr>
              <w:ind w:left="142" w:hanging="1"/>
              <w:rPr>
                <w:spacing w:val="-3"/>
                <w:sz w:val="24"/>
                <w:szCs w:val="24"/>
                <w:lang w:val="fi-FI"/>
              </w:rPr>
            </w:pPr>
            <w:r w:rsidRPr="00443037">
              <w:rPr>
                <w:spacing w:val="-3"/>
                <w:sz w:val="24"/>
                <w:szCs w:val="24"/>
                <w:lang w:val="fi-FI"/>
              </w:rPr>
              <w:t>Sjælden ≥1/10.000 til &lt;1/1.000</w:t>
            </w:r>
          </w:p>
        </w:tc>
        <w:tc>
          <w:tcPr>
            <w:tcW w:w="2520" w:type="pct"/>
            <w:tcBorders>
              <w:top w:val="single" w:sz="4" w:space="0" w:color="auto"/>
              <w:left w:val="single" w:sz="4" w:space="0" w:color="auto"/>
              <w:bottom w:val="single" w:sz="4" w:space="0" w:color="auto"/>
              <w:right w:val="single" w:sz="4" w:space="0" w:color="auto"/>
            </w:tcBorders>
            <w:hideMark/>
          </w:tcPr>
          <w:p w14:paraId="047F7FD3" w14:textId="77777777" w:rsidR="00BF2649" w:rsidRPr="00443037" w:rsidRDefault="00BF2649">
            <w:pPr>
              <w:ind w:left="142" w:hanging="1"/>
              <w:rPr>
                <w:spacing w:val="-3"/>
                <w:sz w:val="24"/>
                <w:szCs w:val="24"/>
                <w:lang w:val="fi-FI"/>
              </w:rPr>
            </w:pPr>
            <w:r w:rsidRPr="00443037">
              <w:rPr>
                <w:spacing w:val="-3"/>
                <w:sz w:val="24"/>
                <w:szCs w:val="24"/>
                <w:lang w:val="fi-FI"/>
              </w:rPr>
              <w:t>Anafylaktisk reaktion</w:t>
            </w:r>
          </w:p>
        </w:tc>
      </w:tr>
      <w:tr w:rsidR="00BF2649" w:rsidRPr="00443037" w14:paraId="7339FDD5"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79F2D09D" w14:textId="77777777" w:rsidR="00BF2649" w:rsidRPr="00443037" w:rsidRDefault="00BF2649">
            <w:pPr>
              <w:ind w:left="142" w:hanging="1"/>
              <w:rPr>
                <w:b/>
                <w:spacing w:val="-3"/>
                <w:sz w:val="24"/>
                <w:szCs w:val="24"/>
                <w:lang w:val="fi-FI"/>
              </w:rPr>
            </w:pPr>
            <w:r w:rsidRPr="00443037">
              <w:rPr>
                <w:b/>
                <w:spacing w:val="-3"/>
                <w:sz w:val="24"/>
                <w:szCs w:val="24"/>
                <w:lang w:val="fi-FI"/>
              </w:rPr>
              <w:t>Metabolisme og ernæring</w:t>
            </w:r>
          </w:p>
        </w:tc>
      </w:tr>
      <w:tr w:rsidR="00BF2649" w:rsidRPr="00443037" w14:paraId="1DB302ED"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12CBDCAD" w14:textId="77777777" w:rsidR="00BF2649" w:rsidRPr="00443037" w:rsidRDefault="00BF2649">
            <w:pPr>
              <w:ind w:left="142" w:hanging="1"/>
              <w:rPr>
                <w:spacing w:val="-3"/>
                <w:sz w:val="24"/>
                <w:szCs w:val="24"/>
                <w:lang w:val="fi-FI"/>
              </w:rPr>
            </w:pPr>
            <w:r w:rsidRPr="00443037">
              <w:rPr>
                <w:spacing w:val="-3"/>
                <w:sz w:val="24"/>
                <w:szCs w:val="24"/>
                <w:lang w:val="fi-FI"/>
              </w:rPr>
              <w:t>Sjælden ≥1/10.000 til &lt;1/1.000</w:t>
            </w:r>
          </w:p>
        </w:tc>
        <w:tc>
          <w:tcPr>
            <w:tcW w:w="2520" w:type="pct"/>
            <w:tcBorders>
              <w:top w:val="single" w:sz="4" w:space="0" w:color="auto"/>
              <w:left w:val="single" w:sz="4" w:space="0" w:color="auto"/>
              <w:bottom w:val="single" w:sz="4" w:space="0" w:color="auto"/>
              <w:right w:val="single" w:sz="4" w:space="0" w:color="auto"/>
            </w:tcBorders>
            <w:hideMark/>
          </w:tcPr>
          <w:p w14:paraId="31DD9BE9" w14:textId="77777777" w:rsidR="00BF2649" w:rsidRPr="00443037" w:rsidRDefault="00BF2649">
            <w:pPr>
              <w:ind w:left="142" w:hanging="1"/>
              <w:rPr>
                <w:spacing w:val="-3"/>
                <w:sz w:val="24"/>
                <w:szCs w:val="24"/>
                <w:lang w:val="fi-FI"/>
              </w:rPr>
            </w:pPr>
            <w:r w:rsidRPr="00443037">
              <w:rPr>
                <w:spacing w:val="-3"/>
                <w:sz w:val="24"/>
                <w:szCs w:val="24"/>
                <w:lang w:val="fi-FI"/>
              </w:rPr>
              <w:t>Hyperkaliæmi</w:t>
            </w:r>
          </w:p>
        </w:tc>
      </w:tr>
      <w:tr w:rsidR="00BF2649" w:rsidRPr="00443037" w14:paraId="1F8BFB66"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77840A4C" w14:textId="77777777" w:rsidR="00BF2649" w:rsidRPr="00443037" w:rsidRDefault="00BF2649">
            <w:pPr>
              <w:ind w:left="142" w:hanging="1"/>
              <w:rPr>
                <w:b/>
                <w:spacing w:val="-3"/>
                <w:sz w:val="24"/>
                <w:szCs w:val="24"/>
                <w:lang w:val="fi-FI"/>
              </w:rPr>
            </w:pPr>
            <w:r w:rsidRPr="00443037">
              <w:rPr>
                <w:b/>
                <w:spacing w:val="-3"/>
                <w:sz w:val="24"/>
                <w:szCs w:val="24"/>
                <w:lang w:val="fi-FI"/>
              </w:rPr>
              <w:t>Vaskulære sygdomme</w:t>
            </w:r>
          </w:p>
        </w:tc>
      </w:tr>
      <w:tr w:rsidR="00BF2649" w:rsidRPr="00443037" w14:paraId="40A6CD39" w14:textId="77777777" w:rsidTr="00BF2649">
        <w:trPr>
          <w:trHeight w:val="453"/>
        </w:trPr>
        <w:tc>
          <w:tcPr>
            <w:tcW w:w="2480" w:type="pct"/>
            <w:tcBorders>
              <w:top w:val="single" w:sz="4" w:space="0" w:color="auto"/>
              <w:left w:val="single" w:sz="4" w:space="0" w:color="auto"/>
              <w:bottom w:val="single" w:sz="4" w:space="0" w:color="auto"/>
              <w:right w:val="single" w:sz="4" w:space="0" w:color="auto"/>
            </w:tcBorders>
            <w:hideMark/>
          </w:tcPr>
          <w:p w14:paraId="58384036" w14:textId="77777777" w:rsidR="00BF2649" w:rsidRPr="00443037" w:rsidRDefault="00BF2649">
            <w:pPr>
              <w:ind w:left="142" w:hanging="1"/>
              <w:rPr>
                <w:spacing w:val="-3"/>
                <w:sz w:val="24"/>
                <w:szCs w:val="24"/>
                <w:lang w:val="fi-FI"/>
              </w:rPr>
            </w:pPr>
            <w:r w:rsidRPr="00443037">
              <w:rPr>
                <w:spacing w:val="-3"/>
                <w:sz w:val="24"/>
                <w:szCs w:val="24"/>
                <w:lang w:val="fi-FI"/>
              </w:rPr>
              <w:t>Almindelig ≥1/100 til &lt; 1/10</w:t>
            </w:r>
          </w:p>
        </w:tc>
        <w:tc>
          <w:tcPr>
            <w:tcW w:w="2520" w:type="pct"/>
            <w:tcBorders>
              <w:top w:val="single" w:sz="4" w:space="0" w:color="auto"/>
              <w:left w:val="single" w:sz="4" w:space="0" w:color="auto"/>
              <w:bottom w:val="single" w:sz="4" w:space="0" w:color="auto"/>
              <w:right w:val="single" w:sz="4" w:space="0" w:color="auto"/>
            </w:tcBorders>
            <w:hideMark/>
          </w:tcPr>
          <w:p w14:paraId="01042E63" w14:textId="77777777" w:rsidR="00BF2649" w:rsidRPr="00443037" w:rsidRDefault="00BF2649">
            <w:pPr>
              <w:ind w:left="142" w:hanging="1"/>
              <w:rPr>
                <w:spacing w:val="-3"/>
                <w:sz w:val="24"/>
                <w:szCs w:val="24"/>
                <w:lang w:val="fi-FI"/>
              </w:rPr>
            </w:pPr>
            <w:r w:rsidRPr="00443037">
              <w:rPr>
                <w:spacing w:val="-3"/>
                <w:sz w:val="24"/>
                <w:szCs w:val="24"/>
                <w:lang w:val="fi-FI"/>
              </w:rPr>
              <w:t>Blødning</w:t>
            </w:r>
          </w:p>
          <w:p w14:paraId="18744C7B" w14:textId="77777777" w:rsidR="00BF2649" w:rsidRPr="00443037" w:rsidRDefault="00BF2649">
            <w:pPr>
              <w:ind w:left="142" w:hanging="1"/>
              <w:rPr>
                <w:spacing w:val="-3"/>
                <w:sz w:val="24"/>
                <w:szCs w:val="24"/>
                <w:lang w:val="fi-FI"/>
              </w:rPr>
            </w:pPr>
            <w:r w:rsidRPr="00443037">
              <w:rPr>
                <w:spacing w:val="-3"/>
                <w:sz w:val="24"/>
                <w:szCs w:val="24"/>
                <w:lang w:val="fi-FI"/>
              </w:rPr>
              <w:t>Hæmatom</w:t>
            </w:r>
          </w:p>
        </w:tc>
      </w:tr>
      <w:tr w:rsidR="00BF2649" w:rsidRPr="00443037" w14:paraId="3BEEE14F" w14:textId="77777777" w:rsidTr="00BF2649">
        <w:trPr>
          <w:trHeight w:val="169"/>
        </w:trPr>
        <w:tc>
          <w:tcPr>
            <w:tcW w:w="2480" w:type="pct"/>
            <w:tcBorders>
              <w:top w:val="single" w:sz="4" w:space="0" w:color="auto"/>
              <w:left w:val="single" w:sz="4" w:space="0" w:color="auto"/>
              <w:bottom w:val="single" w:sz="4" w:space="0" w:color="auto"/>
              <w:right w:val="single" w:sz="4" w:space="0" w:color="auto"/>
            </w:tcBorders>
            <w:hideMark/>
          </w:tcPr>
          <w:p w14:paraId="5A1BCE12" w14:textId="77777777" w:rsidR="00BF2649" w:rsidRPr="00443037" w:rsidRDefault="00BF2649">
            <w:pPr>
              <w:ind w:left="142" w:hanging="1"/>
              <w:rPr>
                <w:spacing w:val="-3"/>
                <w:sz w:val="24"/>
                <w:szCs w:val="24"/>
                <w:lang w:val="fi-FI"/>
              </w:rPr>
            </w:pPr>
            <w:r w:rsidRPr="00443037">
              <w:rPr>
                <w:spacing w:val="-3"/>
                <w:sz w:val="24"/>
                <w:szCs w:val="24"/>
                <w:lang w:val="fi-FI"/>
              </w:rPr>
              <w:t>Ikke almindelig ≥1/1.000 til &lt;1/100</w:t>
            </w:r>
          </w:p>
        </w:tc>
        <w:tc>
          <w:tcPr>
            <w:tcW w:w="2520" w:type="pct"/>
            <w:tcBorders>
              <w:top w:val="single" w:sz="4" w:space="0" w:color="auto"/>
              <w:left w:val="single" w:sz="4" w:space="0" w:color="auto"/>
              <w:bottom w:val="single" w:sz="4" w:space="0" w:color="auto"/>
              <w:right w:val="single" w:sz="4" w:space="0" w:color="auto"/>
            </w:tcBorders>
            <w:hideMark/>
          </w:tcPr>
          <w:p w14:paraId="77BD8045" w14:textId="77777777" w:rsidR="00BF2649" w:rsidRPr="00443037" w:rsidRDefault="00BF2649">
            <w:pPr>
              <w:ind w:left="142" w:hanging="1"/>
              <w:rPr>
                <w:spacing w:val="-3"/>
                <w:sz w:val="24"/>
                <w:szCs w:val="24"/>
                <w:lang w:val="fi-FI"/>
              </w:rPr>
            </w:pPr>
            <w:r w:rsidRPr="00443037">
              <w:rPr>
                <w:spacing w:val="-3"/>
                <w:sz w:val="24"/>
                <w:szCs w:val="24"/>
                <w:lang w:val="fi-FI"/>
              </w:rPr>
              <w:t>Blå mærker og purpura</w:t>
            </w:r>
          </w:p>
        </w:tc>
      </w:tr>
      <w:tr w:rsidR="00BF2649" w:rsidRPr="00443037" w14:paraId="67A2D044"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5646727C" w14:textId="77777777" w:rsidR="00BF2649" w:rsidRPr="00443037" w:rsidRDefault="00BF2649">
            <w:pPr>
              <w:ind w:left="142" w:hanging="1"/>
              <w:rPr>
                <w:b/>
                <w:spacing w:val="-3"/>
                <w:sz w:val="24"/>
                <w:szCs w:val="24"/>
                <w:lang w:val="fi-FI"/>
              </w:rPr>
            </w:pPr>
            <w:r w:rsidRPr="00443037">
              <w:rPr>
                <w:b/>
                <w:spacing w:val="-3"/>
                <w:sz w:val="24"/>
                <w:szCs w:val="24"/>
                <w:lang w:val="fi-FI"/>
              </w:rPr>
              <w:t>Lever og galdeveje</w:t>
            </w:r>
          </w:p>
        </w:tc>
      </w:tr>
      <w:tr w:rsidR="00BF2649" w:rsidRPr="00443037" w14:paraId="019DC8DF"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6C1CBD02" w14:textId="77777777" w:rsidR="00BF2649" w:rsidRPr="00443037" w:rsidRDefault="00BF2649">
            <w:pPr>
              <w:ind w:left="142" w:hanging="1"/>
              <w:rPr>
                <w:spacing w:val="-3"/>
                <w:sz w:val="24"/>
                <w:szCs w:val="24"/>
                <w:lang w:val="fi-FI"/>
              </w:rPr>
            </w:pPr>
            <w:r w:rsidRPr="00443037">
              <w:rPr>
                <w:spacing w:val="-3"/>
                <w:sz w:val="24"/>
                <w:szCs w:val="24"/>
                <w:lang w:val="fi-FI"/>
              </w:rPr>
              <w:t>Ikke almindelig ≥1/1.000 til &lt;1/100</w:t>
            </w:r>
          </w:p>
        </w:tc>
        <w:tc>
          <w:tcPr>
            <w:tcW w:w="2520" w:type="pct"/>
            <w:tcBorders>
              <w:top w:val="single" w:sz="4" w:space="0" w:color="auto"/>
              <w:left w:val="single" w:sz="4" w:space="0" w:color="auto"/>
              <w:bottom w:val="single" w:sz="4" w:space="0" w:color="auto"/>
              <w:right w:val="single" w:sz="4" w:space="0" w:color="auto"/>
            </w:tcBorders>
            <w:hideMark/>
          </w:tcPr>
          <w:p w14:paraId="258BDCAE" w14:textId="77777777" w:rsidR="00BF2649" w:rsidRPr="00443037" w:rsidRDefault="00BF2649">
            <w:pPr>
              <w:ind w:left="142" w:hanging="1"/>
              <w:rPr>
                <w:spacing w:val="-3"/>
                <w:sz w:val="24"/>
                <w:szCs w:val="24"/>
                <w:lang w:val="fi-FI"/>
              </w:rPr>
            </w:pPr>
            <w:r w:rsidRPr="00443037">
              <w:rPr>
                <w:spacing w:val="-3"/>
                <w:sz w:val="24"/>
                <w:szCs w:val="24"/>
                <w:lang w:val="fi-FI"/>
              </w:rPr>
              <w:t>Forhøjede leverenzymer (inkl. forhøjede transa</w:t>
            </w:r>
            <w:r w:rsidRPr="00443037">
              <w:rPr>
                <w:spacing w:val="-3"/>
                <w:sz w:val="24"/>
                <w:szCs w:val="24"/>
                <w:lang w:val="fi-FI"/>
              </w:rPr>
              <w:softHyphen/>
              <w:t>minaser, ALT, AST og GGT)</w:t>
            </w:r>
          </w:p>
        </w:tc>
      </w:tr>
      <w:tr w:rsidR="00BF2649" w:rsidRPr="00443037" w14:paraId="4A4C38B3"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1D2FB555" w14:textId="77777777" w:rsidR="00BF2649" w:rsidRPr="00443037" w:rsidRDefault="00BF2649">
            <w:pPr>
              <w:ind w:left="142" w:hanging="1"/>
              <w:rPr>
                <w:b/>
                <w:spacing w:val="-3"/>
                <w:sz w:val="24"/>
                <w:szCs w:val="24"/>
                <w:lang w:val="fi-FI"/>
              </w:rPr>
            </w:pPr>
            <w:r w:rsidRPr="00443037">
              <w:rPr>
                <w:b/>
                <w:spacing w:val="-3"/>
                <w:sz w:val="24"/>
                <w:szCs w:val="24"/>
                <w:lang w:val="fi-FI"/>
              </w:rPr>
              <w:t>Hud og subkutane væv</w:t>
            </w:r>
          </w:p>
        </w:tc>
      </w:tr>
      <w:tr w:rsidR="00BF2649" w:rsidRPr="00443037" w14:paraId="01970BBA"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6928008E" w14:textId="77777777" w:rsidR="00BF2649" w:rsidRPr="00443037" w:rsidRDefault="00BF2649">
            <w:pPr>
              <w:ind w:left="142" w:hanging="1"/>
              <w:rPr>
                <w:spacing w:val="-3"/>
                <w:sz w:val="24"/>
                <w:szCs w:val="24"/>
                <w:lang w:val="fi-FI"/>
              </w:rPr>
            </w:pPr>
            <w:r w:rsidRPr="00443037">
              <w:rPr>
                <w:spacing w:val="-3"/>
                <w:sz w:val="24"/>
                <w:szCs w:val="24"/>
                <w:lang w:val="fi-FI"/>
              </w:rPr>
              <w:t>Ikke almindelig ≥1/1.000 til &lt;1/100</w:t>
            </w:r>
          </w:p>
        </w:tc>
        <w:tc>
          <w:tcPr>
            <w:tcW w:w="2520" w:type="pct"/>
            <w:tcBorders>
              <w:top w:val="single" w:sz="4" w:space="0" w:color="auto"/>
              <w:left w:val="single" w:sz="4" w:space="0" w:color="auto"/>
              <w:bottom w:val="single" w:sz="4" w:space="0" w:color="auto"/>
              <w:right w:val="single" w:sz="4" w:space="0" w:color="auto"/>
            </w:tcBorders>
            <w:hideMark/>
          </w:tcPr>
          <w:p w14:paraId="3EAA41B8" w14:textId="77777777" w:rsidR="00BF2649" w:rsidRPr="00443037" w:rsidRDefault="00BF2649">
            <w:pPr>
              <w:ind w:left="142" w:hanging="1"/>
              <w:rPr>
                <w:spacing w:val="-3"/>
                <w:sz w:val="24"/>
                <w:szCs w:val="24"/>
                <w:lang w:val="fi-FI"/>
              </w:rPr>
            </w:pPr>
            <w:r w:rsidRPr="00443037">
              <w:rPr>
                <w:spacing w:val="-3"/>
                <w:sz w:val="24"/>
                <w:szCs w:val="24"/>
                <w:lang w:val="fi-FI"/>
              </w:rPr>
              <w:t>Dermatitis</w:t>
            </w:r>
          </w:p>
          <w:p w14:paraId="24A80C88" w14:textId="77777777" w:rsidR="00BF2649" w:rsidRPr="00443037" w:rsidRDefault="00BF2649">
            <w:pPr>
              <w:ind w:left="142" w:hanging="1"/>
              <w:rPr>
                <w:spacing w:val="-3"/>
                <w:sz w:val="24"/>
                <w:szCs w:val="24"/>
                <w:lang w:val="fi-FI"/>
              </w:rPr>
            </w:pPr>
            <w:r w:rsidRPr="00443037">
              <w:rPr>
                <w:spacing w:val="-3"/>
                <w:sz w:val="24"/>
                <w:szCs w:val="24"/>
                <w:lang w:val="fi-FI"/>
              </w:rPr>
              <w:t>(inkl. allergisk dermatitis og bulløs)</w:t>
            </w:r>
          </w:p>
          <w:p w14:paraId="5DF58B55" w14:textId="77777777" w:rsidR="00BF2649" w:rsidRPr="00443037" w:rsidRDefault="00BF2649">
            <w:pPr>
              <w:ind w:left="142" w:hanging="1"/>
              <w:rPr>
                <w:spacing w:val="-3"/>
                <w:sz w:val="24"/>
                <w:szCs w:val="24"/>
                <w:lang w:val="fi-FI"/>
              </w:rPr>
            </w:pPr>
            <w:r w:rsidRPr="00443037">
              <w:rPr>
                <w:spacing w:val="-3"/>
                <w:sz w:val="24"/>
                <w:szCs w:val="24"/>
                <w:lang w:val="fi-FI"/>
              </w:rPr>
              <w:t>Udslæt</w:t>
            </w:r>
          </w:p>
          <w:p w14:paraId="2FEF121F" w14:textId="77777777" w:rsidR="00BF2649" w:rsidRPr="00443037" w:rsidRDefault="00BF2649">
            <w:pPr>
              <w:ind w:left="142" w:hanging="1"/>
              <w:rPr>
                <w:spacing w:val="-3"/>
                <w:sz w:val="24"/>
                <w:szCs w:val="24"/>
                <w:lang w:val="fi-FI"/>
              </w:rPr>
            </w:pPr>
            <w:r w:rsidRPr="00443037">
              <w:rPr>
                <w:spacing w:val="-3"/>
                <w:sz w:val="24"/>
                <w:szCs w:val="24"/>
                <w:lang w:val="fi-FI"/>
              </w:rPr>
              <w:t>Kløe</w:t>
            </w:r>
          </w:p>
        </w:tc>
      </w:tr>
      <w:tr w:rsidR="00BF2649" w:rsidRPr="00443037" w14:paraId="30FC0727"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1AA99798" w14:textId="77777777" w:rsidR="00BF2649" w:rsidRPr="00443037" w:rsidRDefault="00BF2649">
            <w:pPr>
              <w:ind w:left="142" w:hanging="1"/>
              <w:rPr>
                <w:spacing w:val="-3"/>
                <w:sz w:val="24"/>
                <w:szCs w:val="24"/>
                <w:lang w:val="fi-FI"/>
              </w:rPr>
            </w:pPr>
            <w:r w:rsidRPr="00443037">
              <w:rPr>
                <w:spacing w:val="-3"/>
                <w:sz w:val="24"/>
                <w:szCs w:val="24"/>
                <w:lang w:val="fi-FI"/>
              </w:rPr>
              <w:t>Sjælden ≥1/10.000 til &lt;1/1.000</w:t>
            </w:r>
          </w:p>
        </w:tc>
        <w:tc>
          <w:tcPr>
            <w:tcW w:w="2520" w:type="pct"/>
            <w:tcBorders>
              <w:top w:val="single" w:sz="4" w:space="0" w:color="auto"/>
              <w:left w:val="single" w:sz="4" w:space="0" w:color="auto"/>
              <w:bottom w:val="single" w:sz="4" w:space="0" w:color="auto"/>
              <w:right w:val="single" w:sz="4" w:space="0" w:color="auto"/>
            </w:tcBorders>
            <w:hideMark/>
          </w:tcPr>
          <w:p w14:paraId="77295E76" w14:textId="61C8C77D" w:rsidR="00BF2649" w:rsidRPr="00443037" w:rsidRDefault="00BF2649">
            <w:pPr>
              <w:ind w:left="142" w:hanging="1"/>
              <w:rPr>
                <w:spacing w:val="-3"/>
                <w:sz w:val="24"/>
                <w:szCs w:val="24"/>
                <w:lang w:val="fi-FI"/>
              </w:rPr>
            </w:pPr>
            <w:r w:rsidRPr="00443037">
              <w:rPr>
                <w:spacing w:val="-3"/>
                <w:sz w:val="24"/>
                <w:szCs w:val="24"/>
                <w:lang w:val="fi-FI"/>
              </w:rPr>
              <w:t>Toksisk hududslæt (herunder Stevens-Johnsons syndrom)</w:t>
            </w:r>
          </w:p>
          <w:p w14:paraId="0919BBB6" w14:textId="77777777" w:rsidR="00BF2649" w:rsidRPr="00443037" w:rsidRDefault="00BF2649">
            <w:pPr>
              <w:ind w:left="142" w:hanging="1"/>
              <w:rPr>
                <w:spacing w:val="-3"/>
                <w:sz w:val="24"/>
                <w:szCs w:val="24"/>
                <w:lang w:val="fi-FI"/>
              </w:rPr>
            </w:pPr>
            <w:r w:rsidRPr="00443037">
              <w:rPr>
                <w:spacing w:val="-3"/>
                <w:sz w:val="24"/>
                <w:szCs w:val="24"/>
                <w:lang w:val="fi-FI"/>
              </w:rPr>
              <w:t>Hudnekroser</w:t>
            </w:r>
          </w:p>
          <w:p w14:paraId="3B42E11A" w14:textId="77777777" w:rsidR="00BF2649" w:rsidRPr="00443037" w:rsidRDefault="00BF2649">
            <w:pPr>
              <w:ind w:left="142" w:hanging="1"/>
              <w:rPr>
                <w:spacing w:val="-3"/>
                <w:sz w:val="24"/>
                <w:szCs w:val="24"/>
                <w:lang w:val="fi-FI"/>
              </w:rPr>
            </w:pPr>
            <w:r w:rsidRPr="00443037">
              <w:rPr>
                <w:spacing w:val="-3"/>
                <w:sz w:val="24"/>
                <w:szCs w:val="24"/>
                <w:lang w:val="fi-FI"/>
              </w:rPr>
              <w:t>Angioødem</w:t>
            </w:r>
          </w:p>
          <w:p w14:paraId="0FC26DD4" w14:textId="77777777" w:rsidR="00BF2649" w:rsidRPr="00443037" w:rsidRDefault="00BF2649">
            <w:pPr>
              <w:ind w:left="142" w:hanging="1"/>
              <w:rPr>
                <w:spacing w:val="-3"/>
                <w:sz w:val="24"/>
                <w:szCs w:val="24"/>
                <w:lang w:val="fi-FI"/>
              </w:rPr>
            </w:pPr>
            <w:r w:rsidRPr="00443037">
              <w:rPr>
                <w:spacing w:val="-3"/>
                <w:sz w:val="24"/>
                <w:szCs w:val="24"/>
                <w:lang w:val="fi-FI"/>
              </w:rPr>
              <w:t>Urticaria</w:t>
            </w:r>
          </w:p>
        </w:tc>
      </w:tr>
      <w:tr w:rsidR="00BF2649" w:rsidRPr="00443037" w14:paraId="75B539E4"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4FAB324B" w14:textId="77777777" w:rsidR="00BF2649" w:rsidRPr="00443037" w:rsidRDefault="00BF2649">
            <w:pPr>
              <w:ind w:left="142" w:hanging="1"/>
              <w:rPr>
                <w:b/>
                <w:spacing w:val="-3"/>
                <w:sz w:val="24"/>
                <w:szCs w:val="24"/>
                <w:lang w:val="fi-FI"/>
              </w:rPr>
            </w:pPr>
            <w:r w:rsidRPr="00443037">
              <w:rPr>
                <w:b/>
                <w:spacing w:val="-3"/>
                <w:sz w:val="24"/>
                <w:szCs w:val="24"/>
                <w:lang w:val="fi-FI"/>
              </w:rPr>
              <w:t xml:space="preserve">Knogler, led, muskler og bindevæv </w:t>
            </w:r>
          </w:p>
        </w:tc>
      </w:tr>
      <w:tr w:rsidR="00BF2649" w:rsidRPr="00443037" w14:paraId="2E1A5D4F"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447AC714" w14:textId="77777777" w:rsidR="00BF2649" w:rsidRPr="00443037" w:rsidRDefault="00BF2649">
            <w:pPr>
              <w:ind w:left="142" w:hanging="1"/>
              <w:rPr>
                <w:spacing w:val="-3"/>
                <w:sz w:val="24"/>
                <w:szCs w:val="24"/>
                <w:lang w:val="fi-FI"/>
              </w:rPr>
            </w:pPr>
            <w:r w:rsidRPr="00443037">
              <w:rPr>
                <w:spacing w:val="-3"/>
                <w:sz w:val="24"/>
                <w:szCs w:val="24"/>
                <w:lang w:val="fi-FI"/>
              </w:rPr>
              <w:t>Sjælden ≥1/10.000 til &lt;1/1.000</w:t>
            </w:r>
          </w:p>
        </w:tc>
        <w:tc>
          <w:tcPr>
            <w:tcW w:w="2520" w:type="pct"/>
            <w:tcBorders>
              <w:top w:val="single" w:sz="4" w:space="0" w:color="auto"/>
              <w:left w:val="single" w:sz="4" w:space="0" w:color="auto"/>
              <w:bottom w:val="single" w:sz="4" w:space="0" w:color="auto"/>
              <w:right w:val="single" w:sz="4" w:space="0" w:color="auto"/>
            </w:tcBorders>
            <w:hideMark/>
          </w:tcPr>
          <w:p w14:paraId="35342FCB" w14:textId="77777777" w:rsidR="00BF2649" w:rsidRPr="00443037" w:rsidRDefault="00BF2649">
            <w:pPr>
              <w:ind w:left="142" w:hanging="1"/>
              <w:rPr>
                <w:spacing w:val="-3"/>
                <w:sz w:val="24"/>
                <w:szCs w:val="24"/>
                <w:lang w:val="fi-FI"/>
              </w:rPr>
            </w:pPr>
            <w:r w:rsidRPr="00443037">
              <w:rPr>
                <w:spacing w:val="-3"/>
                <w:sz w:val="24"/>
                <w:szCs w:val="24"/>
                <w:lang w:val="fi-FI"/>
              </w:rPr>
              <w:t>Osteoporose (i forbindelse med langvarig behandling)</w:t>
            </w:r>
          </w:p>
        </w:tc>
      </w:tr>
      <w:tr w:rsidR="00BF2649" w:rsidRPr="00443037" w14:paraId="2528E7C3"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447A5C04" w14:textId="77777777" w:rsidR="00BF2649" w:rsidRPr="00443037" w:rsidRDefault="00BF2649">
            <w:pPr>
              <w:ind w:left="142" w:hanging="1"/>
              <w:rPr>
                <w:b/>
                <w:spacing w:val="-3"/>
                <w:sz w:val="24"/>
                <w:szCs w:val="24"/>
                <w:lang w:val="fi-FI"/>
              </w:rPr>
            </w:pPr>
            <w:r w:rsidRPr="00443037">
              <w:rPr>
                <w:b/>
                <w:spacing w:val="-3"/>
                <w:sz w:val="24"/>
                <w:szCs w:val="24"/>
                <w:lang w:val="fi-FI"/>
              </w:rPr>
              <w:t>Det reproduktive system og mammae</w:t>
            </w:r>
          </w:p>
        </w:tc>
      </w:tr>
      <w:tr w:rsidR="00BF2649" w:rsidRPr="00443037" w14:paraId="01EC96FB" w14:textId="77777777" w:rsidTr="00BF2649">
        <w:tc>
          <w:tcPr>
            <w:tcW w:w="2480" w:type="pct"/>
            <w:tcBorders>
              <w:top w:val="single" w:sz="4" w:space="0" w:color="auto"/>
              <w:left w:val="single" w:sz="4" w:space="0" w:color="auto"/>
              <w:bottom w:val="single" w:sz="4" w:space="0" w:color="auto"/>
              <w:right w:val="single" w:sz="4" w:space="0" w:color="auto"/>
            </w:tcBorders>
            <w:hideMark/>
          </w:tcPr>
          <w:p w14:paraId="2D4FE34E" w14:textId="77777777" w:rsidR="00BF2649" w:rsidRPr="00443037" w:rsidRDefault="00BF2649">
            <w:pPr>
              <w:ind w:left="142" w:hanging="1"/>
              <w:rPr>
                <w:spacing w:val="-3"/>
                <w:sz w:val="24"/>
                <w:szCs w:val="24"/>
                <w:lang w:val="fi-FI"/>
              </w:rPr>
            </w:pPr>
            <w:r w:rsidRPr="00443037">
              <w:rPr>
                <w:spacing w:val="-3"/>
                <w:sz w:val="24"/>
                <w:szCs w:val="24"/>
                <w:lang w:val="fi-FI"/>
              </w:rPr>
              <w:t>Sjælden ≥1/10.000 til &lt;1/1.000</w:t>
            </w:r>
          </w:p>
        </w:tc>
        <w:tc>
          <w:tcPr>
            <w:tcW w:w="2520" w:type="pct"/>
            <w:tcBorders>
              <w:top w:val="single" w:sz="4" w:space="0" w:color="auto"/>
              <w:left w:val="single" w:sz="4" w:space="0" w:color="auto"/>
              <w:bottom w:val="single" w:sz="4" w:space="0" w:color="auto"/>
              <w:right w:val="single" w:sz="4" w:space="0" w:color="auto"/>
            </w:tcBorders>
            <w:hideMark/>
          </w:tcPr>
          <w:p w14:paraId="6CCFFB67" w14:textId="77777777" w:rsidR="00BF2649" w:rsidRPr="00443037" w:rsidRDefault="00BF2649">
            <w:pPr>
              <w:ind w:left="142" w:hanging="1"/>
              <w:rPr>
                <w:spacing w:val="-3"/>
                <w:sz w:val="24"/>
                <w:szCs w:val="24"/>
                <w:lang w:val="fi-FI"/>
              </w:rPr>
            </w:pPr>
            <w:r w:rsidRPr="00443037">
              <w:rPr>
                <w:spacing w:val="-3"/>
                <w:sz w:val="24"/>
                <w:szCs w:val="24"/>
                <w:lang w:val="fi-FI"/>
              </w:rPr>
              <w:t>Priapisme</w:t>
            </w:r>
          </w:p>
        </w:tc>
      </w:tr>
      <w:tr w:rsidR="00BF2649" w:rsidRPr="00443037" w14:paraId="0D4E29BE" w14:textId="77777777" w:rsidTr="00BF2649">
        <w:tc>
          <w:tcPr>
            <w:tcW w:w="5000" w:type="pct"/>
            <w:gridSpan w:val="2"/>
            <w:tcBorders>
              <w:top w:val="single" w:sz="4" w:space="0" w:color="auto"/>
              <w:left w:val="single" w:sz="4" w:space="0" w:color="auto"/>
              <w:bottom w:val="single" w:sz="4" w:space="0" w:color="auto"/>
              <w:right w:val="single" w:sz="4" w:space="0" w:color="auto"/>
            </w:tcBorders>
            <w:hideMark/>
          </w:tcPr>
          <w:p w14:paraId="6C68D8B3" w14:textId="77777777" w:rsidR="00BF2649" w:rsidRPr="00443037" w:rsidRDefault="00BF2649">
            <w:pPr>
              <w:ind w:left="142" w:hanging="1"/>
              <w:rPr>
                <w:b/>
                <w:spacing w:val="-3"/>
                <w:sz w:val="24"/>
                <w:szCs w:val="24"/>
                <w:lang w:val="fi-FI"/>
              </w:rPr>
            </w:pPr>
            <w:r w:rsidRPr="00443037">
              <w:rPr>
                <w:b/>
                <w:spacing w:val="-3"/>
                <w:sz w:val="24"/>
                <w:szCs w:val="24"/>
                <w:lang w:val="fi-FI"/>
              </w:rPr>
              <w:t>Almene symptomer og reaktioner på administrationsstedet</w:t>
            </w:r>
          </w:p>
        </w:tc>
      </w:tr>
      <w:tr w:rsidR="00BF2649" w:rsidRPr="00443037" w14:paraId="73932770" w14:textId="77777777" w:rsidTr="00BF2649">
        <w:trPr>
          <w:trHeight w:val="790"/>
        </w:trPr>
        <w:tc>
          <w:tcPr>
            <w:tcW w:w="2480" w:type="pct"/>
            <w:tcBorders>
              <w:top w:val="single" w:sz="4" w:space="0" w:color="auto"/>
              <w:left w:val="single" w:sz="4" w:space="0" w:color="auto"/>
              <w:bottom w:val="single" w:sz="4" w:space="0" w:color="auto"/>
              <w:right w:val="single" w:sz="4" w:space="0" w:color="auto"/>
            </w:tcBorders>
            <w:hideMark/>
          </w:tcPr>
          <w:p w14:paraId="0AA418FF" w14:textId="77777777" w:rsidR="00BF2649" w:rsidRPr="00443037" w:rsidRDefault="00BF2649">
            <w:pPr>
              <w:ind w:left="142" w:hanging="1"/>
              <w:rPr>
                <w:spacing w:val="-3"/>
                <w:sz w:val="24"/>
                <w:szCs w:val="24"/>
                <w:lang w:val="fi-FI"/>
              </w:rPr>
            </w:pPr>
            <w:r w:rsidRPr="00443037">
              <w:rPr>
                <w:spacing w:val="-3"/>
                <w:sz w:val="24"/>
                <w:szCs w:val="24"/>
                <w:lang w:val="fi-FI"/>
              </w:rPr>
              <w:t>Almindelig ≥1/100 til &lt; 1/10</w:t>
            </w:r>
          </w:p>
        </w:tc>
        <w:tc>
          <w:tcPr>
            <w:tcW w:w="2520" w:type="pct"/>
            <w:tcBorders>
              <w:top w:val="single" w:sz="4" w:space="0" w:color="auto"/>
              <w:left w:val="single" w:sz="4" w:space="0" w:color="auto"/>
              <w:bottom w:val="single" w:sz="4" w:space="0" w:color="auto"/>
              <w:right w:val="single" w:sz="4" w:space="0" w:color="auto"/>
            </w:tcBorders>
            <w:hideMark/>
          </w:tcPr>
          <w:p w14:paraId="545FA03D" w14:textId="77777777" w:rsidR="00BF2649" w:rsidRPr="00443037" w:rsidRDefault="00BF2649">
            <w:pPr>
              <w:ind w:left="142" w:hanging="1"/>
              <w:rPr>
                <w:spacing w:val="-3"/>
                <w:sz w:val="24"/>
                <w:szCs w:val="24"/>
                <w:lang w:val="fi-FI"/>
              </w:rPr>
            </w:pPr>
            <w:r w:rsidRPr="00443037">
              <w:rPr>
                <w:spacing w:val="-3"/>
                <w:sz w:val="24"/>
                <w:szCs w:val="24"/>
                <w:lang w:val="fi-FI"/>
              </w:rPr>
              <w:t xml:space="preserve">Reaktion på injektionsstedet (inkl. hæmatom på injektionsstedet, blødning, smerter, kløe, knuder, erytem) </w:t>
            </w:r>
          </w:p>
        </w:tc>
      </w:tr>
    </w:tbl>
    <w:p w14:paraId="6F5CE760" w14:textId="77777777" w:rsidR="00BF2649" w:rsidRPr="00443037" w:rsidRDefault="00BF2649" w:rsidP="00BF2649">
      <w:pPr>
        <w:ind w:left="851"/>
        <w:rPr>
          <w:spacing w:val="-3"/>
          <w:sz w:val="24"/>
          <w:szCs w:val="24"/>
        </w:rPr>
      </w:pPr>
    </w:p>
    <w:p w14:paraId="5A253919" w14:textId="77777777" w:rsidR="00BF2649" w:rsidRPr="00443037" w:rsidRDefault="00BF2649" w:rsidP="00BF2649">
      <w:pPr>
        <w:autoSpaceDE w:val="0"/>
        <w:autoSpaceDN w:val="0"/>
        <w:adjustRightInd w:val="0"/>
        <w:ind w:left="851"/>
        <w:rPr>
          <w:noProof/>
          <w:sz w:val="24"/>
          <w:szCs w:val="24"/>
          <w:u w:val="single"/>
        </w:rPr>
      </w:pPr>
      <w:r w:rsidRPr="00443037">
        <w:rPr>
          <w:noProof/>
          <w:sz w:val="24"/>
          <w:szCs w:val="24"/>
          <w:u w:val="single"/>
        </w:rPr>
        <w:t xml:space="preserve">Cancerpatienter i langvaring behandling </w:t>
      </w:r>
    </w:p>
    <w:p w14:paraId="610C4B39" w14:textId="77777777" w:rsidR="00BF2649" w:rsidRPr="00443037" w:rsidRDefault="00BF2649" w:rsidP="00BF2649">
      <w:pPr>
        <w:autoSpaceDE w:val="0"/>
        <w:autoSpaceDN w:val="0"/>
        <w:adjustRightInd w:val="0"/>
        <w:ind w:left="851"/>
        <w:rPr>
          <w:noProof/>
          <w:sz w:val="24"/>
          <w:szCs w:val="24"/>
        </w:rPr>
      </w:pPr>
      <w:r w:rsidRPr="00443037">
        <w:rPr>
          <w:noProof/>
          <w:sz w:val="24"/>
          <w:szCs w:val="24"/>
        </w:rPr>
        <w:t>I et forsøg med cancerpatienter i langvarig (6 måneder) behandling med Innohep, var den samlede frekvens af bivirkninger sammenlignelig med hvad der blev observeret i andre patienter behandlet med Innohep. Cancerpatienter har generelt en øget risiko for blødning, hvilket yderligere er påvirket af alder, comorbiditet, kirurgiske indgreb og samtidig medicinering. Således var forekomsten af blødninger, som forventet højere end tidligere observeret i kortvarig brug og ligner frekvensen set ved langvarig brug af antikoagulanter i cancerpatienter.</w:t>
      </w:r>
    </w:p>
    <w:p w14:paraId="2FAEAD10" w14:textId="77777777" w:rsidR="00BF2649" w:rsidRPr="00443037" w:rsidRDefault="00BF2649" w:rsidP="00BF2649">
      <w:pPr>
        <w:autoSpaceDE w:val="0"/>
        <w:autoSpaceDN w:val="0"/>
        <w:adjustRightInd w:val="0"/>
        <w:ind w:left="851"/>
        <w:rPr>
          <w:noProof/>
          <w:sz w:val="24"/>
          <w:szCs w:val="24"/>
        </w:rPr>
      </w:pPr>
    </w:p>
    <w:p w14:paraId="5B32131B" w14:textId="77777777" w:rsidR="00BF2649" w:rsidRPr="00443037" w:rsidRDefault="00BF2649" w:rsidP="00BF2649">
      <w:pPr>
        <w:autoSpaceDE w:val="0"/>
        <w:autoSpaceDN w:val="0"/>
        <w:adjustRightInd w:val="0"/>
        <w:ind w:left="851"/>
        <w:rPr>
          <w:noProof/>
          <w:sz w:val="24"/>
          <w:szCs w:val="24"/>
          <w:u w:val="single"/>
        </w:rPr>
      </w:pPr>
      <w:r w:rsidRPr="00443037">
        <w:rPr>
          <w:noProof/>
          <w:sz w:val="24"/>
          <w:szCs w:val="24"/>
          <w:u w:val="single"/>
        </w:rPr>
        <w:t>Pædiatrisk population</w:t>
      </w:r>
    </w:p>
    <w:p w14:paraId="2B13D9E9" w14:textId="77777777" w:rsidR="00BF2649" w:rsidRPr="00443037" w:rsidRDefault="00BF2649" w:rsidP="00BF2649">
      <w:pPr>
        <w:autoSpaceDE w:val="0"/>
        <w:autoSpaceDN w:val="0"/>
        <w:adjustRightInd w:val="0"/>
        <w:ind w:left="851"/>
        <w:rPr>
          <w:noProof/>
          <w:sz w:val="24"/>
          <w:szCs w:val="24"/>
        </w:rPr>
      </w:pPr>
      <w:r w:rsidRPr="00443037">
        <w:rPr>
          <w:noProof/>
          <w:sz w:val="24"/>
          <w:szCs w:val="24"/>
        </w:rPr>
        <w:t>Begrænset information, der stammer fra et studie og post-marketing data, indikerer at mønsteret af bivirkninger i børn og unge er sammenlignelige med voksnes.</w:t>
      </w:r>
    </w:p>
    <w:p w14:paraId="339B9716" w14:textId="77777777" w:rsidR="00BF2649" w:rsidRPr="00443037" w:rsidRDefault="00BF2649" w:rsidP="00BF2649">
      <w:pPr>
        <w:ind w:left="851"/>
        <w:rPr>
          <w:spacing w:val="-3"/>
          <w:sz w:val="24"/>
          <w:szCs w:val="24"/>
        </w:rPr>
      </w:pPr>
    </w:p>
    <w:p w14:paraId="72FFFFDB" w14:textId="77777777" w:rsidR="00BF2649" w:rsidRPr="00443037" w:rsidRDefault="00BF2649" w:rsidP="00BF2649">
      <w:pPr>
        <w:autoSpaceDE w:val="0"/>
        <w:autoSpaceDN w:val="0"/>
        <w:adjustRightInd w:val="0"/>
        <w:ind w:left="851"/>
        <w:rPr>
          <w:sz w:val="24"/>
          <w:szCs w:val="24"/>
          <w:u w:val="single"/>
        </w:rPr>
      </w:pPr>
      <w:r w:rsidRPr="00443037">
        <w:rPr>
          <w:noProof/>
          <w:sz w:val="24"/>
          <w:szCs w:val="24"/>
          <w:u w:val="single"/>
        </w:rPr>
        <w:t>Indberetning af formodede bivirkninger</w:t>
      </w:r>
    </w:p>
    <w:p w14:paraId="62075EBB" w14:textId="77777777" w:rsidR="00BF2649" w:rsidRPr="00443037" w:rsidRDefault="00BF2649" w:rsidP="00BF2649">
      <w:pPr>
        <w:tabs>
          <w:tab w:val="left" w:pos="851"/>
        </w:tabs>
        <w:ind w:left="851"/>
        <w:rPr>
          <w:noProof/>
          <w:sz w:val="24"/>
          <w:szCs w:val="24"/>
        </w:rPr>
      </w:pPr>
      <w:r w:rsidRPr="00443037">
        <w:rPr>
          <w:noProof/>
          <w:sz w:val="24"/>
          <w:szCs w:val="24"/>
        </w:rPr>
        <w:t>Når lægemidlet er godkendt, er indberetning af formodede bivirkninger vigtig.</w:t>
      </w:r>
      <w:r w:rsidRPr="00443037">
        <w:rPr>
          <w:sz w:val="24"/>
          <w:szCs w:val="24"/>
        </w:rPr>
        <w:t xml:space="preserve"> </w:t>
      </w:r>
      <w:r w:rsidRPr="00443037">
        <w:rPr>
          <w:noProof/>
          <w:sz w:val="24"/>
          <w:szCs w:val="24"/>
        </w:rPr>
        <w:t>Det muliggør løbende overvågning af benefit/risk-forholdet for lægemidlet.</w:t>
      </w:r>
      <w:r w:rsidRPr="00443037">
        <w:rPr>
          <w:sz w:val="24"/>
          <w:szCs w:val="24"/>
        </w:rPr>
        <w:t xml:space="preserve"> </w:t>
      </w:r>
      <w:r w:rsidRPr="00443037">
        <w:rPr>
          <w:noProof/>
          <w:sz w:val="24"/>
          <w:szCs w:val="24"/>
        </w:rPr>
        <w:t>Sundhedspersoner anmodes om at indberette alle formodede bivirkninger via:</w:t>
      </w:r>
    </w:p>
    <w:p w14:paraId="4FCA149C" w14:textId="77777777" w:rsidR="00BF2649" w:rsidRPr="00443037" w:rsidRDefault="00BF2649" w:rsidP="00BF2649">
      <w:pPr>
        <w:tabs>
          <w:tab w:val="left" w:pos="851"/>
        </w:tabs>
        <w:ind w:left="851"/>
        <w:rPr>
          <w:noProof/>
          <w:sz w:val="24"/>
          <w:szCs w:val="24"/>
        </w:rPr>
      </w:pPr>
    </w:p>
    <w:p w14:paraId="168574FF" w14:textId="77777777" w:rsidR="00BF2649" w:rsidRPr="00443037" w:rsidRDefault="00BF2649" w:rsidP="00BF2649">
      <w:pPr>
        <w:tabs>
          <w:tab w:val="left" w:pos="851"/>
        </w:tabs>
        <w:ind w:left="851"/>
        <w:rPr>
          <w:noProof/>
          <w:sz w:val="24"/>
          <w:szCs w:val="24"/>
        </w:rPr>
      </w:pPr>
      <w:r w:rsidRPr="00443037">
        <w:rPr>
          <w:noProof/>
          <w:sz w:val="24"/>
          <w:szCs w:val="24"/>
        </w:rPr>
        <w:t>Lægemiddelstyrelsen</w:t>
      </w:r>
    </w:p>
    <w:p w14:paraId="18E629B0" w14:textId="77777777" w:rsidR="00BF2649" w:rsidRPr="00443037" w:rsidRDefault="00BF2649" w:rsidP="00BF2649">
      <w:pPr>
        <w:tabs>
          <w:tab w:val="left" w:pos="851"/>
        </w:tabs>
        <w:ind w:left="851"/>
        <w:rPr>
          <w:noProof/>
          <w:sz w:val="24"/>
          <w:szCs w:val="24"/>
        </w:rPr>
      </w:pPr>
      <w:r w:rsidRPr="00443037">
        <w:rPr>
          <w:noProof/>
          <w:sz w:val="24"/>
          <w:szCs w:val="24"/>
        </w:rPr>
        <w:t>Axel Heides Gade 1</w:t>
      </w:r>
    </w:p>
    <w:p w14:paraId="50DA109D" w14:textId="77777777" w:rsidR="00BF2649" w:rsidRPr="00443037" w:rsidRDefault="00BF2649" w:rsidP="00BF2649">
      <w:pPr>
        <w:tabs>
          <w:tab w:val="left" w:pos="851"/>
        </w:tabs>
        <w:ind w:left="851"/>
        <w:rPr>
          <w:noProof/>
          <w:sz w:val="24"/>
          <w:szCs w:val="24"/>
        </w:rPr>
      </w:pPr>
      <w:r w:rsidRPr="00443037">
        <w:rPr>
          <w:noProof/>
          <w:sz w:val="24"/>
          <w:szCs w:val="24"/>
        </w:rPr>
        <w:t>DK-2300 København S</w:t>
      </w:r>
    </w:p>
    <w:p w14:paraId="58BC4268" w14:textId="77777777" w:rsidR="00BF2649" w:rsidRPr="00443037" w:rsidRDefault="00BF2649" w:rsidP="00BF2649">
      <w:pPr>
        <w:tabs>
          <w:tab w:val="left" w:pos="851"/>
        </w:tabs>
        <w:ind w:left="851"/>
        <w:rPr>
          <w:noProof/>
          <w:sz w:val="24"/>
          <w:szCs w:val="24"/>
        </w:rPr>
      </w:pPr>
      <w:r w:rsidRPr="00443037">
        <w:rPr>
          <w:noProof/>
          <w:sz w:val="24"/>
          <w:szCs w:val="24"/>
        </w:rPr>
        <w:t xml:space="preserve">Websted: </w:t>
      </w:r>
      <w:r w:rsidRPr="00443037">
        <w:rPr>
          <w:rStyle w:val="Hyperlink"/>
          <w:noProof/>
          <w:sz w:val="24"/>
          <w:szCs w:val="24"/>
        </w:rPr>
        <w:t>www.meldenbivirkning.dk</w:t>
      </w:r>
    </w:p>
    <w:p w14:paraId="19DB6FCE" w14:textId="77777777" w:rsidR="009260DE" w:rsidRPr="00443037" w:rsidRDefault="009260DE" w:rsidP="00A10294">
      <w:pPr>
        <w:tabs>
          <w:tab w:val="left" w:pos="851"/>
        </w:tabs>
        <w:ind w:left="851"/>
        <w:rPr>
          <w:sz w:val="24"/>
          <w:szCs w:val="24"/>
        </w:rPr>
      </w:pPr>
    </w:p>
    <w:p w14:paraId="125D0157" w14:textId="77777777" w:rsidR="009260DE" w:rsidRPr="00443037" w:rsidRDefault="009260DE" w:rsidP="009260DE">
      <w:pPr>
        <w:tabs>
          <w:tab w:val="left" w:pos="851"/>
        </w:tabs>
        <w:ind w:left="851" w:hanging="851"/>
        <w:rPr>
          <w:b/>
          <w:sz w:val="24"/>
          <w:szCs w:val="24"/>
        </w:rPr>
      </w:pPr>
      <w:r w:rsidRPr="00443037">
        <w:rPr>
          <w:b/>
          <w:sz w:val="24"/>
          <w:szCs w:val="24"/>
        </w:rPr>
        <w:t>4.9</w:t>
      </w:r>
      <w:r w:rsidRPr="00443037">
        <w:rPr>
          <w:b/>
          <w:sz w:val="24"/>
          <w:szCs w:val="24"/>
        </w:rPr>
        <w:tab/>
        <w:t>Overdosering</w:t>
      </w:r>
    </w:p>
    <w:p w14:paraId="20C95FDD" w14:textId="77777777" w:rsidR="00BF2649" w:rsidRPr="00443037" w:rsidRDefault="00BF2649" w:rsidP="00BF2649">
      <w:pPr>
        <w:ind w:left="851"/>
        <w:rPr>
          <w:b/>
          <w:spacing w:val="-3"/>
          <w:sz w:val="24"/>
          <w:szCs w:val="24"/>
        </w:rPr>
      </w:pPr>
      <w:r w:rsidRPr="00443037">
        <w:rPr>
          <w:spacing w:val="-3"/>
          <w:sz w:val="24"/>
          <w:szCs w:val="24"/>
        </w:rPr>
        <w:t>Blødning er den almindeligste komplikation ved overdosis. På grund af den relativt korte hal</w:t>
      </w:r>
      <w:r w:rsidRPr="00443037">
        <w:rPr>
          <w:spacing w:val="-3"/>
          <w:sz w:val="24"/>
          <w:szCs w:val="24"/>
        </w:rPr>
        <w:softHyphen/>
        <w:t xml:space="preserve">veringstid for </w:t>
      </w:r>
      <w:proofErr w:type="spellStart"/>
      <w:r w:rsidRPr="00443037">
        <w:rPr>
          <w:spacing w:val="-3"/>
          <w:sz w:val="24"/>
          <w:szCs w:val="24"/>
        </w:rPr>
        <w:t>Innohep</w:t>
      </w:r>
      <w:proofErr w:type="spellEnd"/>
      <w:r w:rsidRPr="00443037">
        <w:rPr>
          <w:spacing w:val="-3"/>
          <w:sz w:val="24"/>
          <w:szCs w:val="24"/>
        </w:rPr>
        <w:t xml:space="preserve"> (se pkt. 5.2), kan mindre blødninger behandles konservativt efter afbrudt behandling. Alvorlig blødning kan kræve administration af </w:t>
      </w:r>
      <w:proofErr w:type="spellStart"/>
      <w:r w:rsidRPr="00443037">
        <w:rPr>
          <w:spacing w:val="-3"/>
          <w:sz w:val="24"/>
          <w:szCs w:val="24"/>
        </w:rPr>
        <w:t>antidoten</w:t>
      </w:r>
      <w:proofErr w:type="spellEnd"/>
      <w:r w:rsidRPr="00443037">
        <w:rPr>
          <w:spacing w:val="-3"/>
          <w:sz w:val="24"/>
          <w:szCs w:val="24"/>
        </w:rPr>
        <w:t xml:space="preserve"> </w:t>
      </w:r>
      <w:proofErr w:type="spellStart"/>
      <w:r w:rsidRPr="00443037">
        <w:rPr>
          <w:spacing w:val="-3"/>
          <w:sz w:val="24"/>
          <w:szCs w:val="24"/>
        </w:rPr>
        <w:t>protaminsulfat</w:t>
      </w:r>
      <w:proofErr w:type="spellEnd"/>
      <w:r w:rsidRPr="00443037">
        <w:rPr>
          <w:spacing w:val="-3"/>
          <w:sz w:val="24"/>
          <w:szCs w:val="24"/>
        </w:rPr>
        <w:t>. Patienter skal nøje overvåges.</w:t>
      </w:r>
    </w:p>
    <w:p w14:paraId="179F5BCC" w14:textId="77777777" w:rsidR="009260DE" w:rsidRPr="00443037" w:rsidRDefault="009260DE" w:rsidP="009260DE">
      <w:pPr>
        <w:tabs>
          <w:tab w:val="left" w:pos="851"/>
        </w:tabs>
        <w:ind w:left="851"/>
        <w:rPr>
          <w:sz w:val="24"/>
          <w:szCs w:val="24"/>
        </w:rPr>
      </w:pPr>
    </w:p>
    <w:p w14:paraId="579161FF" w14:textId="77777777" w:rsidR="009260DE" w:rsidRPr="00443037" w:rsidRDefault="009260DE" w:rsidP="009260DE">
      <w:pPr>
        <w:tabs>
          <w:tab w:val="left" w:pos="851"/>
        </w:tabs>
        <w:ind w:left="851" w:hanging="851"/>
        <w:rPr>
          <w:b/>
          <w:sz w:val="24"/>
          <w:szCs w:val="24"/>
        </w:rPr>
      </w:pPr>
      <w:r w:rsidRPr="00443037">
        <w:rPr>
          <w:b/>
          <w:sz w:val="24"/>
          <w:szCs w:val="24"/>
        </w:rPr>
        <w:t>4.10</w:t>
      </w:r>
      <w:r w:rsidRPr="00443037">
        <w:rPr>
          <w:b/>
          <w:sz w:val="24"/>
          <w:szCs w:val="24"/>
        </w:rPr>
        <w:tab/>
        <w:t>Udlevering</w:t>
      </w:r>
    </w:p>
    <w:p w14:paraId="7F695903" w14:textId="15D68331" w:rsidR="009260DE" w:rsidRPr="00443037" w:rsidRDefault="00BF2649" w:rsidP="009260DE">
      <w:pPr>
        <w:tabs>
          <w:tab w:val="left" w:pos="851"/>
        </w:tabs>
        <w:ind w:left="851"/>
        <w:rPr>
          <w:sz w:val="24"/>
          <w:szCs w:val="24"/>
        </w:rPr>
      </w:pPr>
      <w:r w:rsidRPr="00443037">
        <w:rPr>
          <w:sz w:val="24"/>
          <w:szCs w:val="24"/>
        </w:rPr>
        <w:t>B</w:t>
      </w:r>
    </w:p>
    <w:p w14:paraId="0788BF14" w14:textId="77777777" w:rsidR="009260DE" w:rsidRPr="00443037" w:rsidRDefault="009260DE" w:rsidP="009260DE">
      <w:pPr>
        <w:tabs>
          <w:tab w:val="left" w:pos="851"/>
        </w:tabs>
        <w:ind w:left="851"/>
        <w:rPr>
          <w:sz w:val="24"/>
          <w:szCs w:val="24"/>
        </w:rPr>
      </w:pPr>
    </w:p>
    <w:p w14:paraId="241726D4" w14:textId="77777777" w:rsidR="009260DE" w:rsidRPr="00443037" w:rsidRDefault="009260DE" w:rsidP="009260DE">
      <w:pPr>
        <w:tabs>
          <w:tab w:val="left" w:pos="851"/>
        </w:tabs>
        <w:ind w:left="851"/>
        <w:rPr>
          <w:sz w:val="24"/>
          <w:szCs w:val="24"/>
        </w:rPr>
      </w:pPr>
    </w:p>
    <w:p w14:paraId="27394E36" w14:textId="77777777" w:rsidR="009260DE" w:rsidRPr="00443037" w:rsidRDefault="009260DE" w:rsidP="009260DE">
      <w:pPr>
        <w:tabs>
          <w:tab w:val="left" w:pos="851"/>
        </w:tabs>
        <w:ind w:left="851" w:hanging="851"/>
        <w:rPr>
          <w:b/>
          <w:sz w:val="24"/>
          <w:szCs w:val="24"/>
        </w:rPr>
      </w:pPr>
      <w:r w:rsidRPr="00443037">
        <w:rPr>
          <w:b/>
          <w:sz w:val="24"/>
          <w:szCs w:val="24"/>
        </w:rPr>
        <w:t>5.</w:t>
      </w:r>
      <w:r w:rsidRPr="00443037">
        <w:rPr>
          <w:b/>
          <w:sz w:val="24"/>
          <w:szCs w:val="24"/>
        </w:rPr>
        <w:tab/>
        <w:t>FARMAKOLOGISKE EGENSKABER</w:t>
      </w:r>
    </w:p>
    <w:p w14:paraId="5C7A3420" w14:textId="77777777" w:rsidR="009260DE" w:rsidRPr="00443037" w:rsidRDefault="009260DE" w:rsidP="009260DE">
      <w:pPr>
        <w:tabs>
          <w:tab w:val="left" w:pos="851"/>
        </w:tabs>
        <w:ind w:left="851"/>
        <w:rPr>
          <w:sz w:val="24"/>
          <w:szCs w:val="24"/>
        </w:rPr>
      </w:pPr>
    </w:p>
    <w:p w14:paraId="572E868A" w14:textId="77777777" w:rsidR="009260DE" w:rsidRPr="00443037" w:rsidRDefault="009260DE" w:rsidP="009260DE">
      <w:pPr>
        <w:tabs>
          <w:tab w:val="num" w:pos="851"/>
        </w:tabs>
        <w:ind w:left="851" w:hanging="851"/>
        <w:rPr>
          <w:b/>
          <w:sz w:val="24"/>
          <w:szCs w:val="24"/>
        </w:rPr>
      </w:pPr>
      <w:r w:rsidRPr="00443037">
        <w:rPr>
          <w:b/>
          <w:sz w:val="24"/>
          <w:szCs w:val="24"/>
        </w:rPr>
        <w:t>5.1</w:t>
      </w:r>
      <w:r w:rsidRPr="00443037">
        <w:rPr>
          <w:b/>
          <w:sz w:val="24"/>
          <w:szCs w:val="24"/>
        </w:rPr>
        <w:tab/>
      </w:r>
      <w:proofErr w:type="spellStart"/>
      <w:r w:rsidRPr="00443037">
        <w:rPr>
          <w:b/>
          <w:sz w:val="24"/>
          <w:szCs w:val="24"/>
        </w:rPr>
        <w:t>Farmakodynamiske</w:t>
      </w:r>
      <w:proofErr w:type="spellEnd"/>
      <w:r w:rsidRPr="00443037">
        <w:rPr>
          <w:b/>
          <w:sz w:val="24"/>
          <w:szCs w:val="24"/>
        </w:rPr>
        <w:t xml:space="preserve"> egenskaber</w:t>
      </w:r>
    </w:p>
    <w:p w14:paraId="6BFD6A73" w14:textId="77777777" w:rsidR="00BF2649" w:rsidRPr="00443037" w:rsidRDefault="00BF2649" w:rsidP="00BF2649">
      <w:pPr>
        <w:ind w:left="851"/>
        <w:rPr>
          <w:sz w:val="24"/>
          <w:szCs w:val="24"/>
          <w:lang w:eastAsia="da-DK"/>
        </w:rPr>
      </w:pPr>
      <w:proofErr w:type="spellStart"/>
      <w:r w:rsidRPr="00443037">
        <w:rPr>
          <w:sz w:val="24"/>
          <w:szCs w:val="24"/>
        </w:rPr>
        <w:t>Farmakoterapeutisk</w:t>
      </w:r>
      <w:proofErr w:type="spellEnd"/>
      <w:r w:rsidRPr="00443037">
        <w:rPr>
          <w:sz w:val="24"/>
          <w:szCs w:val="24"/>
        </w:rPr>
        <w:t xml:space="preserve"> klassifikation: </w:t>
      </w:r>
      <w:proofErr w:type="spellStart"/>
      <w:r w:rsidRPr="00443037">
        <w:rPr>
          <w:sz w:val="24"/>
          <w:szCs w:val="24"/>
        </w:rPr>
        <w:t>Antithrombosemidler</w:t>
      </w:r>
      <w:proofErr w:type="spellEnd"/>
      <w:r w:rsidRPr="00443037">
        <w:rPr>
          <w:sz w:val="24"/>
          <w:szCs w:val="24"/>
        </w:rPr>
        <w:t xml:space="preserve">, </w:t>
      </w:r>
      <w:proofErr w:type="spellStart"/>
      <w:r w:rsidRPr="00443037">
        <w:rPr>
          <w:sz w:val="24"/>
          <w:szCs w:val="24"/>
        </w:rPr>
        <w:t>Heparingruppen</w:t>
      </w:r>
      <w:proofErr w:type="spellEnd"/>
      <w:r w:rsidRPr="00443037">
        <w:rPr>
          <w:sz w:val="24"/>
          <w:szCs w:val="24"/>
        </w:rPr>
        <w:t>, ATC-kode: B01AB10.</w:t>
      </w:r>
    </w:p>
    <w:p w14:paraId="73E9AEC4" w14:textId="77777777" w:rsidR="00BF2649" w:rsidRPr="00443037" w:rsidRDefault="00BF2649" w:rsidP="00BF2649">
      <w:pPr>
        <w:ind w:left="851"/>
        <w:rPr>
          <w:sz w:val="24"/>
          <w:szCs w:val="24"/>
        </w:rPr>
      </w:pPr>
    </w:p>
    <w:p w14:paraId="66E2921B" w14:textId="77777777" w:rsidR="00BF2649" w:rsidRPr="00443037" w:rsidRDefault="00BF2649" w:rsidP="00BF2649">
      <w:pPr>
        <w:ind w:left="851"/>
        <w:rPr>
          <w:sz w:val="24"/>
          <w:szCs w:val="24"/>
        </w:rPr>
      </w:pPr>
      <w:r w:rsidRPr="00443037">
        <w:rPr>
          <w:bCs/>
          <w:sz w:val="24"/>
          <w:szCs w:val="24"/>
          <w:u w:val="single"/>
        </w:rPr>
        <w:t>Virkningsmekanisme</w:t>
      </w:r>
    </w:p>
    <w:p w14:paraId="1D0C0E39" w14:textId="77777777" w:rsidR="00BF2649" w:rsidRPr="00443037" w:rsidRDefault="00BF2649" w:rsidP="00BF2649">
      <w:pPr>
        <w:ind w:left="851"/>
        <w:rPr>
          <w:spacing w:val="-3"/>
          <w:sz w:val="24"/>
          <w:szCs w:val="24"/>
        </w:rPr>
      </w:pPr>
      <w:proofErr w:type="spellStart"/>
      <w:r w:rsidRPr="00443037">
        <w:rPr>
          <w:spacing w:val="-3"/>
          <w:sz w:val="24"/>
          <w:szCs w:val="24"/>
        </w:rPr>
        <w:t>Tinzaparinnatrium</w:t>
      </w:r>
      <w:proofErr w:type="spellEnd"/>
      <w:r w:rsidRPr="00443037">
        <w:rPr>
          <w:spacing w:val="-3"/>
          <w:sz w:val="24"/>
          <w:szCs w:val="24"/>
        </w:rPr>
        <w:t xml:space="preserve"> er et lavmolekylært </w:t>
      </w:r>
      <w:proofErr w:type="spellStart"/>
      <w:r w:rsidRPr="00443037">
        <w:rPr>
          <w:spacing w:val="-3"/>
          <w:sz w:val="24"/>
          <w:szCs w:val="24"/>
        </w:rPr>
        <w:t>heparin</w:t>
      </w:r>
      <w:proofErr w:type="spellEnd"/>
      <w:r w:rsidRPr="00443037">
        <w:rPr>
          <w:spacing w:val="-3"/>
          <w:sz w:val="24"/>
          <w:szCs w:val="24"/>
        </w:rPr>
        <w:t xml:space="preserve"> af </w:t>
      </w:r>
      <w:proofErr w:type="spellStart"/>
      <w:r w:rsidRPr="00443037">
        <w:rPr>
          <w:spacing w:val="-3"/>
          <w:sz w:val="24"/>
          <w:szCs w:val="24"/>
        </w:rPr>
        <w:t>porcin</w:t>
      </w:r>
      <w:proofErr w:type="spellEnd"/>
      <w:r w:rsidRPr="00443037">
        <w:rPr>
          <w:spacing w:val="-3"/>
          <w:sz w:val="24"/>
          <w:szCs w:val="24"/>
        </w:rPr>
        <w:t xml:space="preserve"> oprindelse med et </w:t>
      </w:r>
      <w:proofErr w:type="spellStart"/>
      <w:r w:rsidRPr="00443037">
        <w:rPr>
          <w:spacing w:val="-3"/>
          <w:sz w:val="24"/>
          <w:szCs w:val="24"/>
        </w:rPr>
        <w:t>anti-Xa</w:t>
      </w:r>
      <w:proofErr w:type="spellEnd"/>
      <w:r w:rsidRPr="00443037">
        <w:rPr>
          <w:spacing w:val="-3"/>
          <w:sz w:val="24"/>
          <w:szCs w:val="24"/>
        </w:rPr>
        <w:t>/</w:t>
      </w:r>
      <w:proofErr w:type="spellStart"/>
      <w:r w:rsidRPr="00443037">
        <w:rPr>
          <w:spacing w:val="-3"/>
          <w:sz w:val="24"/>
          <w:szCs w:val="24"/>
        </w:rPr>
        <w:t>anti-IIa</w:t>
      </w:r>
      <w:proofErr w:type="spellEnd"/>
      <w:r w:rsidRPr="00443037">
        <w:rPr>
          <w:spacing w:val="-3"/>
          <w:sz w:val="24"/>
          <w:szCs w:val="24"/>
        </w:rPr>
        <w:t xml:space="preserve"> forhold mellem 1,5 og 2,5. </w:t>
      </w:r>
      <w:proofErr w:type="spellStart"/>
      <w:r w:rsidRPr="00443037">
        <w:rPr>
          <w:spacing w:val="-3"/>
          <w:sz w:val="24"/>
          <w:szCs w:val="24"/>
        </w:rPr>
        <w:t>Tinzaparinnatrium</w:t>
      </w:r>
      <w:proofErr w:type="spellEnd"/>
      <w:r w:rsidRPr="00443037">
        <w:rPr>
          <w:spacing w:val="-3"/>
          <w:sz w:val="24"/>
          <w:szCs w:val="24"/>
        </w:rPr>
        <w:t xml:space="preserve"> fremstilles ved enzymatisk </w:t>
      </w:r>
      <w:proofErr w:type="spellStart"/>
      <w:r w:rsidRPr="00443037">
        <w:rPr>
          <w:spacing w:val="-3"/>
          <w:sz w:val="24"/>
          <w:szCs w:val="24"/>
        </w:rPr>
        <w:t>depolymerisering</w:t>
      </w:r>
      <w:proofErr w:type="spellEnd"/>
      <w:r w:rsidRPr="00443037">
        <w:rPr>
          <w:spacing w:val="-3"/>
          <w:sz w:val="24"/>
          <w:szCs w:val="24"/>
        </w:rPr>
        <w:t xml:space="preserve"> af konventionel </w:t>
      </w:r>
      <w:proofErr w:type="spellStart"/>
      <w:r w:rsidRPr="00443037">
        <w:rPr>
          <w:spacing w:val="-3"/>
          <w:sz w:val="24"/>
          <w:szCs w:val="24"/>
        </w:rPr>
        <w:t>ufraktioneret</w:t>
      </w:r>
      <w:proofErr w:type="spellEnd"/>
      <w:r w:rsidRPr="00443037">
        <w:rPr>
          <w:spacing w:val="-3"/>
          <w:sz w:val="24"/>
          <w:szCs w:val="24"/>
        </w:rPr>
        <w:t xml:space="preserve"> </w:t>
      </w:r>
      <w:proofErr w:type="spellStart"/>
      <w:r w:rsidRPr="00443037">
        <w:rPr>
          <w:spacing w:val="-3"/>
          <w:sz w:val="24"/>
          <w:szCs w:val="24"/>
        </w:rPr>
        <w:t>heparin</w:t>
      </w:r>
      <w:proofErr w:type="spellEnd"/>
      <w:r w:rsidRPr="00443037">
        <w:rPr>
          <w:spacing w:val="-3"/>
          <w:sz w:val="24"/>
          <w:szCs w:val="24"/>
        </w:rPr>
        <w:t xml:space="preserve">. Ligesom konventionel </w:t>
      </w:r>
      <w:proofErr w:type="spellStart"/>
      <w:r w:rsidRPr="00443037">
        <w:rPr>
          <w:spacing w:val="-3"/>
          <w:sz w:val="24"/>
          <w:szCs w:val="24"/>
        </w:rPr>
        <w:t>heparin</w:t>
      </w:r>
      <w:proofErr w:type="spellEnd"/>
      <w:r w:rsidRPr="00443037">
        <w:rPr>
          <w:spacing w:val="-3"/>
          <w:sz w:val="24"/>
          <w:szCs w:val="24"/>
        </w:rPr>
        <w:t xml:space="preserve"> virker </w:t>
      </w:r>
      <w:proofErr w:type="spellStart"/>
      <w:r w:rsidRPr="00443037">
        <w:rPr>
          <w:spacing w:val="-3"/>
          <w:sz w:val="24"/>
          <w:szCs w:val="24"/>
        </w:rPr>
        <w:t>tinzaparinnatrium</w:t>
      </w:r>
      <w:proofErr w:type="spellEnd"/>
      <w:r w:rsidRPr="00443037">
        <w:rPr>
          <w:spacing w:val="-3"/>
          <w:sz w:val="24"/>
          <w:szCs w:val="24"/>
        </w:rPr>
        <w:t xml:space="preserve"> antikoagulerende ved at potensere </w:t>
      </w:r>
      <w:proofErr w:type="spellStart"/>
      <w:r w:rsidRPr="00443037">
        <w:rPr>
          <w:spacing w:val="-3"/>
          <w:sz w:val="24"/>
          <w:szCs w:val="24"/>
        </w:rPr>
        <w:t>antitrombin</w:t>
      </w:r>
      <w:proofErr w:type="spellEnd"/>
      <w:r w:rsidRPr="00443037">
        <w:rPr>
          <w:spacing w:val="-3"/>
          <w:sz w:val="24"/>
          <w:szCs w:val="24"/>
        </w:rPr>
        <w:t xml:space="preserve"> III's hæmning af aktiverede koagulationsfaktorer, især faktor </w:t>
      </w:r>
      <w:proofErr w:type="spellStart"/>
      <w:r w:rsidRPr="00443037">
        <w:rPr>
          <w:spacing w:val="-3"/>
          <w:sz w:val="24"/>
          <w:szCs w:val="24"/>
        </w:rPr>
        <w:t>Xa</w:t>
      </w:r>
      <w:proofErr w:type="spellEnd"/>
      <w:r w:rsidRPr="00443037">
        <w:rPr>
          <w:spacing w:val="-3"/>
          <w:sz w:val="24"/>
          <w:szCs w:val="24"/>
        </w:rPr>
        <w:t>.</w:t>
      </w:r>
    </w:p>
    <w:p w14:paraId="728A5035" w14:textId="77777777" w:rsidR="00BF2649" w:rsidRPr="00443037" w:rsidRDefault="00BF2649" w:rsidP="00BF2649">
      <w:pPr>
        <w:ind w:left="851"/>
        <w:rPr>
          <w:spacing w:val="-3"/>
          <w:sz w:val="24"/>
          <w:szCs w:val="24"/>
        </w:rPr>
      </w:pPr>
      <w:proofErr w:type="spellStart"/>
      <w:r w:rsidRPr="00443037">
        <w:rPr>
          <w:spacing w:val="-3"/>
          <w:sz w:val="24"/>
          <w:szCs w:val="24"/>
        </w:rPr>
        <w:t>Tinzaparinnatriums</w:t>
      </w:r>
      <w:proofErr w:type="spellEnd"/>
      <w:r w:rsidRPr="00443037">
        <w:rPr>
          <w:spacing w:val="-3"/>
          <w:sz w:val="24"/>
          <w:szCs w:val="24"/>
        </w:rPr>
        <w:t xml:space="preserve"> biologiske virkning er standardiseret i henhold til aktuelle "International standards for low </w:t>
      </w:r>
      <w:proofErr w:type="spellStart"/>
      <w:r w:rsidRPr="00443037">
        <w:rPr>
          <w:spacing w:val="-3"/>
          <w:sz w:val="24"/>
          <w:szCs w:val="24"/>
        </w:rPr>
        <w:t>molecular</w:t>
      </w:r>
      <w:proofErr w:type="spellEnd"/>
      <w:r w:rsidRPr="00443037">
        <w:rPr>
          <w:spacing w:val="-3"/>
          <w:sz w:val="24"/>
          <w:szCs w:val="24"/>
        </w:rPr>
        <w:t xml:space="preserve"> </w:t>
      </w:r>
      <w:proofErr w:type="spellStart"/>
      <w:r w:rsidRPr="00443037">
        <w:rPr>
          <w:spacing w:val="-3"/>
          <w:sz w:val="24"/>
          <w:szCs w:val="24"/>
        </w:rPr>
        <w:t>weight</w:t>
      </w:r>
      <w:proofErr w:type="spellEnd"/>
      <w:r w:rsidRPr="00443037">
        <w:rPr>
          <w:spacing w:val="-3"/>
          <w:sz w:val="24"/>
          <w:szCs w:val="24"/>
        </w:rPr>
        <w:t xml:space="preserve"> </w:t>
      </w:r>
      <w:proofErr w:type="spellStart"/>
      <w:r w:rsidRPr="00443037">
        <w:rPr>
          <w:spacing w:val="-3"/>
          <w:sz w:val="24"/>
          <w:szCs w:val="24"/>
        </w:rPr>
        <w:t>heparins</w:t>
      </w:r>
      <w:proofErr w:type="spellEnd"/>
      <w:r w:rsidRPr="00443037">
        <w:rPr>
          <w:spacing w:val="-3"/>
          <w:sz w:val="24"/>
          <w:szCs w:val="24"/>
        </w:rPr>
        <w:t xml:space="preserve">" og udtrykkes i </w:t>
      </w:r>
      <w:proofErr w:type="spellStart"/>
      <w:r w:rsidRPr="00443037">
        <w:rPr>
          <w:spacing w:val="-3"/>
          <w:sz w:val="24"/>
          <w:szCs w:val="24"/>
        </w:rPr>
        <w:t>anti-Xa</w:t>
      </w:r>
      <w:proofErr w:type="spellEnd"/>
      <w:r w:rsidRPr="00443037">
        <w:rPr>
          <w:spacing w:val="-3"/>
          <w:sz w:val="24"/>
          <w:szCs w:val="24"/>
        </w:rPr>
        <w:t xml:space="preserve"> internationale enheder (IE).</w:t>
      </w:r>
    </w:p>
    <w:p w14:paraId="3F34079A" w14:textId="77777777" w:rsidR="00BF2649" w:rsidRPr="00443037" w:rsidRDefault="00BF2649" w:rsidP="00BF2649">
      <w:pPr>
        <w:ind w:left="851"/>
        <w:rPr>
          <w:spacing w:val="-3"/>
          <w:sz w:val="24"/>
          <w:szCs w:val="24"/>
        </w:rPr>
      </w:pPr>
    </w:p>
    <w:p w14:paraId="4A146CA5" w14:textId="77777777" w:rsidR="00BF2649" w:rsidRPr="00443037" w:rsidRDefault="00BF2649" w:rsidP="00BF2649">
      <w:pPr>
        <w:ind w:left="851"/>
        <w:rPr>
          <w:spacing w:val="-3"/>
          <w:sz w:val="24"/>
          <w:szCs w:val="24"/>
        </w:rPr>
      </w:pPr>
      <w:proofErr w:type="spellStart"/>
      <w:r w:rsidRPr="00443037">
        <w:rPr>
          <w:spacing w:val="-3"/>
          <w:sz w:val="24"/>
          <w:szCs w:val="24"/>
        </w:rPr>
        <w:t>Tinzaparinnatriums</w:t>
      </w:r>
      <w:proofErr w:type="spellEnd"/>
      <w:r w:rsidRPr="00443037">
        <w:rPr>
          <w:spacing w:val="-3"/>
          <w:sz w:val="24"/>
          <w:szCs w:val="24"/>
        </w:rPr>
        <w:t xml:space="preserve"> </w:t>
      </w:r>
      <w:proofErr w:type="spellStart"/>
      <w:r w:rsidRPr="00443037">
        <w:rPr>
          <w:spacing w:val="-3"/>
          <w:sz w:val="24"/>
          <w:szCs w:val="24"/>
        </w:rPr>
        <w:t>anti-Xa</w:t>
      </w:r>
      <w:proofErr w:type="spellEnd"/>
      <w:r w:rsidRPr="00443037">
        <w:rPr>
          <w:spacing w:val="-3"/>
          <w:sz w:val="24"/>
          <w:szCs w:val="24"/>
        </w:rPr>
        <w:t xml:space="preserve"> aktivitet er mindst 70 og højst 120 IE/mg. </w:t>
      </w:r>
      <w:proofErr w:type="spellStart"/>
      <w:r w:rsidRPr="00443037">
        <w:rPr>
          <w:spacing w:val="-3"/>
          <w:sz w:val="24"/>
          <w:szCs w:val="24"/>
        </w:rPr>
        <w:t>Tinzaparinnatriums</w:t>
      </w:r>
      <w:proofErr w:type="spellEnd"/>
      <w:r w:rsidRPr="00443037">
        <w:rPr>
          <w:spacing w:val="-3"/>
          <w:sz w:val="24"/>
          <w:szCs w:val="24"/>
        </w:rPr>
        <w:t xml:space="preserve"> </w:t>
      </w:r>
      <w:proofErr w:type="spellStart"/>
      <w:r w:rsidRPr="00443037">
        <w:rPr>
          <w:spacing w:val="-3"/>
          <w:sz w:val="24"/>
          <w:szCs w:val="24"/>
        </w:rPr>
        <w:t>anti-IIa</w:t>
      </w:r>
      <w:proofErr w:type="spellEnd"/>
      <w:r w:rsidRPr="00443037">
        <w:rPr>
          <w:spacing w:val="-3"/>
          <w:sz w:val="24"/>
          <w:szCs w:val="24"/>
        </w:rPr>
        <w:t xml:space="preserve"> aktivitet er ca. 55 IE/mg. Den karakteristiske værdi af </w:t>
      </w:r>
      <w:proofErr w:type="spellStart"/>
      <w:r w:rsidRPr="00443037">
        <w:rPr>
          <w:spacing w:val="-3"/>
          <w:sz w:val="24"/>
          <w:szCs w:val="24"/>
        </w:rPr>
        <w:t>tinzaparinnatriums</w:t>
      </w:r>
      <w:proofErr w:type="spellEnd"/>
      <w:r w:rsidRPr="00443037">
        <w:rPr>
          <w:spacing w:val="-3"/>
          <w:sz w:val="24"/>
          <w:szCs w:val="24"/>
        </w:rPr>
        <w:t xml:space="preserve"> gennemsnitlige molekylvægt er ca. 6.500 </w:t>
      </w:r>
      <w:proofErr w:type="spellStart"/>
      <w:r w:rsidRPr="00443037">
        <w:rPr>
          <w:spacing w:val="-3"/>
          <w:sz w:val="24"/>
          <w:szCs w:val="24"/>
        </w:rPr>
        <w:t>dalton</w:t>
      </w:r>
      <w:proofErr w:type="spellEnd"/>
      <w:r w:rsidRPr="00443037">
        <w:rPr>
          <w:spacing w:val="-3"/>
          <w:sz w:val="24"/>
          <w:szCs w:val="24"/>
        </w:rPr>
        <w:t xml:space="preserve">. </w:t>
      </w:r>
    </w:p>
    <w:p w14:paraId="0C98DDA5" w14:textId="77777777" w:rsidR="00BF2649" w:rsidRPr="00443037" w:rsidRDefault="00BF2649" w:rsidP="00BF2649">
      <w:pPr>
        <w:ind w:left="851"/>
        <w:rPr>
          <w:spacing w:val="-3"/>
          <w:sz w:val="24"/>
          <w:szCs w:val="24"/>
        </w:rPr>
      </w:pPr>
    </w:p>
    <w:p w14:paraId="5F7BC567" w14:textId="77777777" w:rsidR="00BF2649" w:rsidRPr="00443037" w:rsidRDefault="00BF2649" w:rsidP="00BF2649">
      <w:pPr>
        <w:ind w:left="851"/>
        <w:rPr>
          <w:spacing w:val="-3"/>
          <w:sz w:val="24"/>
          <w:szCs w:val="24"/>
          <w:u w:val="single"/>
        </w:rPr>
      </w:pPr>
      <w:proofErr w:type="spellStart"/>
      <w:r w:rsidRPr="00443037">
        <w:rPr>
          <w:spacing w:val="-3"/>
          <w:sz w:val="24"/>
          <w:szCs w:val="24"/>
          <w:u w:val="single"/>
        </w:rPr>
        <w:t>Farmakodynamiske</w:t>
      </w:r>
      <w:proofErr w:type="spellEnd"/>
      <w:r w:rsidRPr="00443037">
        <w:rPr>
          <w:spacing w:val="-3"/>
          <w:sz w:val="24"/>
          <w:szCs w:val="24"/>
          <w:u w:val="single"/>
        </w:rPr>
        <w:t xml:space="preserve"> egenskaber</w:t>
      </w:r>
    </w:p>
    <w:p w14:paraId="2A50DEAE" w14:textId="77777777" w:rsidR="00BF2649" w:rsidRPr="00443037" w:rsidRDefault="00BF2649" w:rsidP="00BF2649">
      <w:pPr>
        <w:ind w:left="851"/>
        <w:rPr>
          <w:sz w:val="24"/>
          <w:szCs w:val="24"/>
          <w:u w:val="single"/>
          <w:lang w:val="sv-SE"/>
        </w:rPr>
      </w:pPr>
      <w:proofErr w:type="spellStart"/>
      <w:r w:rsidRPr="00443037">
        <w:rPr>
          <w:sz w:val="24"/>
          <w:szCs w:val="24"/>
          <w:lang w:bidi="da-DK"/>
        </w:rPr>
        <w:t>Tinzaparin</w:t>
      </w:r>
      <w:proofErr w:type="spellEnd"/>
      <w:r w:rsidRPr="00443037">
        <w:rPr>
          <w:sz w:val="24"/>
          <w:szCs w:val="24"/>
          <w:lang w:bidi="da-DK"/>
        </w:rPr>
        <w:t xml:space="preserve"> har en høj </w:t>
      </w:r>
      <w:proofErr w:type="spellStart"/>
      <w:r w:rsidRPr="00443037">
        <w:rPr>
          <w:sz w:val="24"/>
          <w:szCs w:val="24"/>
          <w:lang w:bidi="da-DK"/>
        </w:rPr>
        <w:t>antitrombinaktivitet</w:t>
      </w:r>
      <w:proofErr w:type="spellEnd"/>
      <w:r w:rsidRPr="00443037">
        <w:rPr>
          <w:sz w:val="24"/>
          <w:szCs w:val="24"/>
          <w:lang w:bidi="da-DK"/>
        </w:rPr>
        <w:t xml:space="preserve"> (</w:t>
      </w:r>
      <w:proofErr w:type="spellStart"/>
      <w:r w:rsidRPr="00443037">
        <w:rPr>
          <w:sz w:val="24"/>
          <w:szCs w:val="24"/>
          <w:lang w:bidi="da-DK"/>
        </w:rPr>
        <w:t>anti-IIa</w:t>
      </w:r>
      <w:proofErr w:type="spellEnd"/>
      <w:r w:rsidRPr="00443037">
        <w:rPr>
          <w:sz w:val="24"/>
          <w:szCs w:val="24"/>
          <w:lang w:bidi="da-DK"/>
        </w:rPr>
        <w:t xml:space="preserve">), et lavt </w:t>
      </w:r>
      <w:proofErr w:type="spellStart"/>
      <w:r w:rsidRPr="00443037">
        <w:rPr>
          <w:sz w:val="24"/>
          <w:szCs w:val="24"/>
          <w:lang w:bidi="da-DK"/>
        </w:rPr>
        <w:t>anti-Xa</w:t>
      </w:r>
      <w:proofErr w:type="spellEnd"/>
      <w:r w:rsidRPr="00443037">
        <w:rPr>
          <w:sz w:val="24"/>
          <w:szCs w:val="24"/>
          <w:lang w:bidi="da-DK"/>
        </w:rPr>
        <w:t>-/</w:t>
      </w:r>
      <w:proofErr w:type="spellStart"/>
      <w:r w:rsidRPr="00443037">
        <w:rPr>
          <w:sz w:val="24"/>
          <w:szCs w:val="24"/>
          <w:lang w:bidi="da-DK"/>
        </w:rPr>
        <w:t>anti</w:t>
      </w:r>
      <w:proofErr w:type="spellEnd"/>
      <w:r w:rsidRPr="00443037">
        <w:rPr>
          <w:sz w:val="24"/>
          <w:szCs w:val="24"/>
          <w:lang w:bidi="da-DK"/>
        </w:rPr>
        <w:t>-</w:t>
      </w:r>
      <w:proofErr w:type="spellStart"/>
      <w:r w:rsidRPr="00443037">
        <w:rPr>
          <w:sz w:val="24"/>
          <w:szCs w:val="24"/>
          <w:lang w:bidi="da-DK"/>
        </w:rPr>
        <w:t>IIa</w:t>
      </w:r>
      <w:proofErr w:type="spellEnd"/>
      <w:r w:rsidRPr="00443037">
        <w:rPr>
          <w:sz w:val="24"/>
          <w:szCs w:val="24"/>
          <w:lang w:bidi="da-DK"/>
        </w:rPr>
        <w:t xml:space="preserve">-forhold og en hæmning af </w:t>
      </w:r>
      <w:proofErr w:type="spellStart"/>
      <w:r w:rsidRPr="00443037">
        <w:rPr>
          <w:sz w:val="24"/>
          <w:szCs w:val="24"/>
          <w:lang w:bidi="da-DK"/>
        </w:rPr>
        <w:t>trombindannelse</w:t>
      </w:r>
      <w:proofErr w:type="spellEnd"/>
      <w:r w:rsidRPr="00443037">
        <w:rPr>
          <w:sz w:val="24"/>
          <w:szCs w:val="24"/>
          <w:lang w:bidi="da-DK"/>
        </w:rPr>
        <w:t xml:space="preserve"> med næsten samme styrke som </w:t>
      </w:r>
      <w:proofErr w:type="spellStart"/>
      <w:r w:rsidRPr="00443037">
        <w:rPr>
          <w:sz w:val="24"/>
          <w:szCs w:val="24"/>
          <w:lang w:bidi="da-DK"/>
        </w:rPr>
        <w:t>ufraktioneret</w:t>
      </w:r>
      <w:proofErr w:type="spellEnd"/>
      <w:r w:rsidRPr="00443037">
        <w:rPr>
          <w:sz w:val="24"/>
          <w:szCs w:val="24"/>
          <w:lang w:bidi="da-DK"/>
        </w:rPr>
        <w:t xml:space="preserve"> </w:t>
      </w:r>
      <w:proofErr w:type="spellStart"/>
      <w:r w:rsidRPr="00443037">
        <w:rPr>
          <w:sz w:val="24"/>
          <w:szCs w:val="24"/>
          <w:lang w:bidi="da-DK"/>
        </w:rPr>
        <w:t>heparin</w:t>
      </w:r>
      <w:proofErr w:type="spellEnd"/>
      <w:r w:rsidRPr="00443037">
        <w:rPr>
          <w:sz w:val="24"/>
          <w:szCs w:val="24"/>
          <w:lang w:bidi="da-DK"/>
        </w:rPr>
        <w:t xml:space="preserve">. Ud over </w:t>
      </w:r>
      <w:proofErr w:type="spellStart"/>
      <w:r w:rsidRPr="00443037">
        <w:rPr>
          <w:sz w:val="24"/>
          <w:szCs w:val="24"/>
          <w:lang w:bidi="da-DK"/>
        </w:rPr>
        <w:t>anti-Xa</w:t>
      </w:r>
      <w:proofErr w:type="spellEnd"/>
      <w:r w:rsidRPr="00443037">
        <w:rPr>
          <w:sz w:val="24"/>
          <w:szCs w:val="24"/>
          <w:lang w:bidi="da-DK"/>
        </w:rPr>
        <w:t>-/</w:t>
      </w:r>
      <w:proofErr w:type="spellStart"/>
      <w:r w:rsidRPr="00443037">
        <w:rPr>
          <w:sz w:val="24"/>
          <w:szCs w:val="24"/>
          <w:lang w:bidi="da-DK"/>
        </w:rPr>
        <w:t>IIa</w:t>
      </w:r>
      <w:proofErr w:type="spellEnd"/>
      <w:r w:rsidRPr="00443037">
        <w:rPr>
          <w:sz w:val="24"/>
          <w:szCs w:val="24"/>
          <w:lang w:bidi="da-DK"/>
        </w:rPr>
        <w:t>-aktiviteten er der identificeret induktion af TFPI (</w:t>
      </w:r>
      <w:proofErr w:type="spellStart"/>
      <w:r w:rsidRPr="00443037">
        <w:rPr>
          <w:sz w:val="24"/>
          <w:szCs w:val="24"/>
          <w:lang w:bidi="da-DK"/>
        </w:rPr>
        <w:t>Tissue</w:t>
      </w:r>
      <w:proofErr w:type="spellEnd"/>
      <w:r w:rsidRPr="00443037">
        <w:rPr>
          <w:sz w:val="24"/>
          <w:szCs w:val="24"/>
          <w:lang w:bidi="da-DK"/>
        </w:rPr>
        <w:t xml:space="preserve"> Factor </w:t>
      </w:r>
      <w:proofErr w:type="spellStart"/>
      <w:r w:rsidRPr="00443037">
        <w:rPr>
          <w:sz w:val="24"/>
          <w:szCs w:val="24"/>
          <w:lang w:bidi="da-DK"/>
        </w:rPr>
        <w:t>Pathway</w:t>
      </w:r>
      <w:proofErr w:type="spellEnd"/>
      <w:r w:rsidRPr="00443037">
        <w:rPr>
          <w:sz w:val="24"/>
          <w:szCs w:val="24"/>
          <w:lang w:bidi="da-DK"/>
        </w:rPr>
        <w:t xml:space="preserve"> Inhibitor) hos patienter.</w:t>
      </w:r>
    </w:p>
    <w:p w14:paraId="7B7B8004" w14:textId="77777777" w:rsidR="00BF2649" w:rsidRPr="00443037" w:rsidRDefault="00BF2649" w:rsidP="00BF2649">
      <w:pPr>
        <w:ind w:left="851" w:hanging="851"/>
        <w:rPr>
          <w:spacing w:val="-3"/>
          <w:sz w:val="24"/>
          <w:szCs w:val="24"/>
          <w:lang w:val="sv-SE"/>
        </w:rPr>
      </w:pPr>
    </w:p>
    <w:p w14:paraId="4BEB0C3E" w14:textId="77777777" w:rsidR="00BF2649" w:rsidRPr="00443037" w:rsidRDefault="00BF2649" w:rsidP="00BF2649">
      <w:pPr>
        <w:autoSpaceDE w:val="0"/>
        <w:autoSpaceDN w:val="0"/>
        <w:adjustRightInd w:val="0"/>
        <w:ind w:left="851"/>
        <w:rPr>
          <w:sz w:val="24"/>
          <w:szCs w:val="24"/>
          <w:u w:val="single"/>
        </w:rPr>
      </w:pPr>
      <w:r w:rsidRPr="00443037">
        <w:rPr>
          <w:sz w:val="24"/>
          <w:szCs w:val="24"/>
          <w:u w:val="single"/>
          <w:lang w:bidi="da-DK"/>
        </w:rPr>
        <w:t>Klinisk virkning og sikkerhed</w:t>
      </w:r>
    </w:p>
    <w:p w14:paraId="13418ADB" w14:textId="77777777" w:rsidR="00BF2649" w:rsidRPr="00443037" w:rsidRDefault="00BF2649" w:rsidP="00BF2649">
      <w:pPr>
        <w:autoSpaceDE w:val="0"/>
        <w:autoSpaceDN w:val="0"/>
        <w:adjustRightInd w:val="0"/>
        <w:ind w:left="851"/>
        <w:rPr>
          <w:i/>
          <w:iCs/>
          <w:sz w:val="24"/>
          <w:szCs w:val="24"/>
        </w:rPr>
      </w:pPr>
      <w:r w:rsidRPr="00443037">
        <w:rPr>
          <w:i/>
          <w:sz w:val="24"/>
          <w:szCs w:val="24"/>
          <w:lang w:bidi="da-DK"/>
        </w:rPr>
        <w:t xml:space="preserve">Indledende behandling af akut dyb venetrombose og </w:t>
      </w:r>
      <w:proofErr w:type="spellStart"/>
      <w:r w:rsidRPr="00443037">
        <w:rPr>
          <w:i/>
          <w:sz w:val="24"/>
          <w:szCs w:val="24"/>
          <w:lang w:bidi="da-DK"/>
        </w:rPr>
        <w:t>lungeemboli</w:t>
      </w:r>
      <w:proofErr w:type="spellEnd"/>
    </w:p>
    <w:p w14:paraId="5478AF5A"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I et dobbeltblindet klinisk forsøg blev </w:t>
      </w:r>
      <w:proofErr w:type="spellStart"/>
      <w:r w:rsidRPr="00443037">
        <w:rPr>
          <w:sz w:val="24"/>
          <w:szCs w:val="24"/>
          <w:lang w:bidi="da-DK"/>
        </w:rPr>
        <w:t>tinzaparin</w:t>
      </w:r>
      <w:proofErr w:type="spellEnd"/>
      <w:r w:rsidRPr="00443037">
        <w:rPr>
          <w:sz w:val="24"/>
          <w:szCs w:val="24"/>
          <w:lang w:bidi="da-DK"/>
        </w:rPr>
        <w:t xml:space="preserve"> (175 IE/kg subkutant én gang dagligt) sammenlignet med dosisjusteret </w:t>
      </w:r>
      <w:proofErr w:type="spellStart"/>
      <w:r w:rsidRPr="00443037">
        <w:rPr>
          <w:sz w:val="24"/>
          <w:szCs w:val="24"/>
          <w:lang w:bidi="da-DK"/>
        </w:rPr>
        <w:t>heparin</w:t>
      </w:r>
      <w:proofErr w:type="spellEnd"/>
      <w:r w:rsidRPr="00443037">
        <w:rPr>
          <w:sz w:val="24"/>
          <w:szCs w:val="24"/>
          <w:lang w:bidi="da-DK"/>
        </w:rPr>
        <w:t xml:space="preserve"> indgivet ved kontinuerlig intravenøs infusion til indledende behandling af patienter med proksimal venetrombose. Alle patienter påbegyndte oral </w:t>
      </w:r>
      <w:proofErr w:type="spellStart"/>
      <w:r w:rsidRPr="00443037">
        <w:rPr>
          <w:sz w:val="24"/>
          <w:szCs w:val="24"/>
          <w:lang w:bidi="da-DK"/>
        </w:rPr>
        <w:t>antikoagulationsbehandling</w:t>
      </w:r>
      <w:proofErr w:type="spellEnd"/>
      <w:r w:rsidRPr="00443037">
        <w:rPr>
          <w:sz w:val="24"/>
          <w:szCs w:val="24"/>
          <w:lang w:bidi="da-DK"/>
        </w:rPr>
        <w:t xml:space="preserve"> med </w:t>
      </w:r>
      <w:proofErr w:type="spellStart"/>
      <w:r w:rsidRPr="00443037">
        <w:rPr>
          <w:sz w:val="24"/>
          <w:szCs w:val="24"/>
          <w:lang w:bidi="da-DK"/>
        </w:rPr>
        <w:t>warfarin</w:t>
      </w:r>
      <w:proofErr w:type="spellEnd"/>
      <w:r w:rsidRPr="00443037">
        <w:rPr>
          <w:sz w:val="24"/>
          <w:szCs w:val="24"/>
          <w:lang w:bidi="da-DK"/>
        </w:rPr>
        <w:t xml:space="preserve"> på dag 2 og blev behandlet med </w:t>
      </w:r>
      <w:proofErr w:type="spellStart"/>
      <w:r w:rsidRPr="00443037">
        <w:rPr>
          <w:sz w:val="24"/>
          <w:szCs w:val="24"/>
          <w:lang w:bidi="da-DK"/>
        </w:rPr>
        <w:t>tinzaparin</w:t>
      </w:r>
      <w:proofErr w:type="spellEnd"/>
      <w:r w:rsidRPr="00443037">
        <w:rPr>
          <w:sz w:val="24"/>
          <w:szCs w:val="24"/>
          <w:lang w:bidi="da-DK"/>
        </w:rPr>
        <w:t xml:space="preserve"> eller </w:t>
      </w:r>
      <w:proofErr w:type="spellStart"/>
      <w:r w:rsidRPr="00443037">
        <w:rPr>
          <w:sz w:val="24"/>
          <w:szCs w:val="24"/>
          <w:lang w:bidi="da-DK"/>
        </w:rPr>
        <w:t>heparin</w:t>
      </w:r>
      <w:proofErr w:type="spellEnd"/>
      <w:r w:rsidRPr="00443037">
        <w:rPr>
          <w:sz w:val="24"/>
          <w:szCs w:val="24"/>
          <w:lang w:bidi="da-DK"/>
        </w:rPr>
        <w:t xml:space="preserve"> i mindst seks dage. Seks ud af 213 patienter, der fik </w:t>
      </w:r>
      <w:proofErr w:type="spellStart"/>
      <w:r w:rsidRPr="00443037">
        <w:rPr>
          <w:sz w:val="24"/>
          <w:szCs w:val="24"/>
          <w:lang w:bidi="da-DK"/>
        </w:rPr>
        <w:t>tinzaparin</w:t>
      </w:r>
      <w:proofErr w:type="spellEnd"/>
      <w:r w:rsidRPr="00443037">
        <w:rPr>
          <w:sz w:val="24"/>
          <w:szCs w:val="24"/>
          <w:lang w:bidi="da-DK"/>
        </w:rPr>
        <w:t xml:space="preserve"> (2,8 %) og 15 ud af 219 patienter, der fik </w:t>
      </w:r>
      <w:proofErr w:type="spellStart"/>
      <w:r w:rsidRPr="00443037">
        <w:rPr>
          <w:sz w:val="24"/>
          <w:szCs w:val="24"/>
          <w:lang w:bidi="da-DK"/>
        </w:rPr>
        <w:t>heparin</w:t>
      </w:r>
      <w:proofErr w:type="spellEnd"/>
      <w:r w:rsidRPr="00443037">
        <w:rPr>
          <w:sz w:val="24"/>
          <w:szCs w:val="24"/>
          <w:lang w:bidi="da-DK"/>
        </w:rPr>
        <w:t xml:space="preserve"> (6,9 %) havde en recidiverende episode af venøs </w:t>
      </w:r>
      <w:proofErr w:type="spellStart"/>
      <w:r w:rsidRPr="00443037">
        <w:rPr>
          <w:sz w:val="24"/>
          <w:szCs w:val="24"/>
          <w:lang w:bidi="da-DK"/>
        </w:rPr>
        <w:t>tromboemboli</w:t>
      </w:r>
      <w:proofErr w:type="spellEnd"/>
      <w:r w:rsidRPr="00443037">
        <w:rPr>
          <w:sz w:val="24"/>
          <w:szCs w:val="24"/>
          <w:lang w:bidi="da-DK"/>
        </w:rPr>
        <w:t xml:space="preserve"> (VTE) (p = 0,07) i løbet af forsøgets 3-måneders opfølgningsperiode. Alvorlige blødninger, som blev konstateret at hænge sammen med den indledende behandling, forekom hos én patient, som fik </w:t>
      </w:r>
      <w:proofErr w:type="spellStart"/>
      <w:r w:rsidRPr="00443037">
        <w:rPr>
          <w:sz w:val="24"/>
          <w:szCs w:val="24"/>
          <w:lang w:bidi="da-DK"/>
        </w:rPr>
        <w:t>tinzaparin</w:t>
      </w:r>
      <w:proofErr w:type="spellEnd"/>
      <w:r w:rsidRPr="00443037">
        <w:rPr>
          <w:sz w:val="24"/>
          <w:szCs w:val="24"/>
          <w:lang w:bidi="da-DK"/>
        </w:rPr>
        <w:t xml:space="preserve"> (0,5 %) og hos 11 patienter, som fik </w:t>
      </w:r>
      <w:proofErr w:type="spellStart"/>
      <w:r w:rsidRPr="00443037">
        <w:rPr>
          <w:sz w:val="24"/>
          <w:szCs w:val="24"/>
          <w:lang w:bidi="da-DK"/>
        </w:rPr>
        <w:t>heparin</w:t>
      </w:r>
      <w:proofErr w:type="spellEnd"/>
      <w:r w:rsidRPr="00443037">
        <w:rPr>
          <w:sz w:val="24"/>
          <w:szCs w:val="24"/>
          <w:lang w:bidi="da-DK"/>
        </w:rPr>
        <w:t xml:space="preserve"> (5,0 %), svarende til en risikoreduktion på 91 % (p = 0,006). Der var 10 dødsfald i </w:t>
      </w:r>
      <w:proofErr w:type="spellStart"/>
      <w:r w:rsidRPr="00443037">
        <w:rPr>
          <w:sz w:val="24"/>
          <w:szCs w:val="24"/>
          <w:lang w:bidi="da-DK"/>
        </w:rPr>
        <w:t>tinzaparingruppen</w:t>
      </w:r>
      <w:proofErr w:type="spellEnd"/>
      <w:r w:rsidRPr="00443037">
        <w:rPr>
          <w:sz w:val="24"/>
          <w:szCs w:val="24"/>
          <w:lang w:bidi="da-DK"/>
        </w:rPr>
        <w:t xml:space="preserve"> (4,7 %) og 21 i </w:t>
      </w:r>
      <w:proofErr w:type="spellStart"/>
      <w:r w:rsidRPr="00443037">
        <w:rPr>
          <w:sz w:val="24"/>
          <w:szCs w:val="24"/>
          <w:lang w:bidi="da-DK"/>
        </w:rPr>
        <w:t>heparingruppen</w:t>
      </w:r>
      <w:proofErr w:type="spellEnd"/>
      <w:r w:rsidRPr="00443037">
        <w:rPr>
          <w:sz w:val="24"/>
          <w:szCs w:val="24"/>
          <w:lang w:bidi="da-DK"/>
        </w:rPr>
        <w:t xml:space="preserve"> (9,6 %), hvilket svarer til en risikoreduktion på 51 % (p = 0,049).</w:t>
      </w:r>
    </w:p>
    <w:p w14:paraId="34EBE796" w14:textId="77777777" w:rsidR="00BF2649" w:rsidRPr="00443037" w:rsidRDefault="00BF2649" w:rsidP="00BF2649">
      <w:pPr>
        <w:autoSpaceDE w:val="0"/>
        <w:autoSpaceDN w:val="0"/>
        <w:adjustRightInd w:val="0"/>
        <w:ind w:left="851" w:hanging="851"/>
        <w:rPr>
          <w:sz w:val="24"/>
          <w:szCs w:val="24"/>
        </w:rPr>
      </w:pPr>
    </w:p>
    <w:p w14:paraId="592041CD"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I et ikke-blindet forsøg (THESEE) blev 612 patienter med symptomatisk </w:t>
      </w:r>
      <w:proofErr w:type="spellStart"/>
      <w:r w:rsidRPr="00443037">
        <w:rPr>
          <w:sz w:val="24"/>
          <w:szCs w:val="24"/>
          <w:lang w:bidi="da-DK"/>
        </w:rPr>
        <w:t>lungeemboli</w:t>
      </w:r>
      <w:proofErr w:type="spellEnd"/>
      <w:r w:rsidRPr="00443037">
        <w:rPr>
          <w:sz w:val="24"/>
          <w:szCs w:val="24"/>
          <w:lang w:bidi="da-DK"/>
        </w:rPr>
        <w:t xml:space="preserve"> randomiseret til </w:t>
      </w:r>
      <w:proofErr w:type="spellStart"/>
      <w:r w:rsidRPr="00443037">
        <w:rPr>
          <w:sz w:val="24"/>
          <w:szCs w:val="24"/>
          <w:lang w:bidi="da-DK"/>
        </w:rPr>
        <w:t>tinzaparin</w:t>
      </w:r>
      <w:proofErr w:type="spellEnd"/>
      <w:r w:rsidRPr="00443037">
        <w:rPr>
          <w:sz w:val="24"/>
          <w:szCs w:val="24"/>
          <w:lang w:bidi="da-DK"/>
        </w:rPr>
        <w:t xml:space="preserve"> (175 IE/kg subkutant én gang dagligt) eller dosisjusteret intravenøs </w:t>
      </w:r>
      <w:proofErr w:type="spellStart"/>
      <w:r w:rsidRPr="00443037">
        <w:rPr>
          <w:sz w:val="24"/>
          <w:szCs w:val="24"/>
          <w:lang w:bidi="da-DK"/>
        </w:rPr>
        <w:t>heparin</w:t>
      </w:r>
      <w:proofErr w:type="spellEnd"/>
      <w:r w:rsidRPr="00443037">
        <w:rPr>
          <w:sz w:val="24"/>
          <w:szCs w:val="24"/>
          <w:lang w:bidi="da-DK"/>
        </w:rPr>
        <w:t xml:space="preserve"> i de første 8 behandlingsdage. Oral </w:t>
      </w:r>
      <w:proofErr w:type="spellStart"/>
      <w:r w:rsidRPr="00443037">
        <w:rPr>
          <w:sz w:val="24"/>
          <w:szCs w:val="24"/>
          <w:lang w:bidi="da-DK"/>
        </w:rPr>
        <w:t>antikoagulationsbehandling</w:t>
      </w:r>
      <w:proofErr w:type="spellEnd"/>
      <w:r w:rsidRPr="00443037">
        <w:rPr>
          <w:sz w:val="24"/>
          <w:szCs w:val="24"/>
          <w:lang w:bidi="da-DK"/>
        </w:rPr>
        <w:t xml:space="preserve"> blev introduceret på dag 1-3 og blev indgivet i mindst 3 måneder. Baseret på et kombineret endepunkt (recidiverende VTE, svær blødning og død) havde 9 ud af 308 patienter i </w:t>
      </w:r>
      <w:proofErr w:type="spellStart"/>
      <w:r w:rsidRPr="00443037">
        <w:rPr>
          <w:sz w:val="24"/>
          <w:szCs w:val="24"/>
          <w:lang w:bidi="da-DK"/>
        </w:rPr>
        <w:t>heparingruppen</w:t>
      </w:r>
      <w:proofErr w:type="spellEnd"/>
      <w:r w:rsidRPr="00443037">
        <w:rPr>
          <w:sz w:val="24"/>
          <w:szCs w:val="24"/>
          <w:lang w:bidi="da-DK"/>
        </w:rPr>
        <w:t xml:space="preserve"> (2,9 %) og 9 ud af 304 patienter i </w:t>
      </w:r>
      <w:proofErr w:type="spellStart"/>
      <w:r w:rsidRPr="00443037">
        <w:rPr>
          <w:sz w:val="24"/>
          <w:szCs w:val="24"/>
          <w:lang w:bidi="da-DK"/>
        </w:rPr>
        <w:t>tinzaparingruppen</w:t>
      </w:r>
      <w:proofErr w:type="spellEnd"/>
      <w:r w:rsidRPr="00443037">
        <w:rPr>
          <w:sz w:val="24"/>
          <w:szCs w:val="24"/>
          <w:lang w:bidi="da-DK"/>
        </w:rPr>
        <w:t xml:space="preserve"> (3,0 %) opnået mindst ét endepunkt på dag 8 (absolut forskel: -0,1 %; 95 % </w:t>
      </w:r>
      <w:proofErr w:type="spellStart"/>
      <w:r w:rsidRPr="00443037">
        <w:rPr>
          <w:sz w:val="24"/>
          <w:szCs w:val="24"/>
          <w:lang w:bidi="da-DK"/>
        </w:rPr>
        <w:t>Kl</w:t>
      </w:r>
      <w:proofErr w:type="spellEnd"/>
      <w:r w:rsidRPr="00443037">
        <w:rPr>
          <w:sz w:val="24"/>
          <w:szCs w:val="24"/>
          <w:lang w:bidi="da-DK"/>
        </w:rPr>
        <w:t>: -2,7 til 2,6).</w:t>
      </w:r>
    </w:p>
    <w:p w14:paraId="45894D48" w14:textId="77777777" w:rsidR="00BF2649" w:rsidRPr="00443037" w:rsidRDefault="00BF2649" w:rsidP="00BF2649">
      <w:pPr>
        <w:autoSpaceDE w:val="0"/>
        <w:autoSpaceDN w:val="0"/>
        <w:adjustRightInd w:val="0"/>
        <w:ind w:left="851" w:hanging="851"/>
        <w:rPr>
          <w:sz w:val="24"/>
          <w:szCs w:val="24"/>
        </w:rPr>
      </w:pPr>
    </w:p>
    <w:p w14:paraId="3F66AE01" w14:textId="77777777" w:rsidR="00BF2649" w:rsidRPr="00443037" w:rsidRDefault="00BF2649" w:rsidP="00BF2649">
      <w:pPr>
        <w:autoSpaceDE w:val="0"/>
        <w:autoSpaceDN w:val="0"/>
        <w:adjustRightInd w:val="0"/>
        <w:ind w:left="851"/>
        <w:rPr>
          <w:sz w:val="24"/>
          <w:szCs w:val="24"/>
        </w:rPr>
      </w:pPr>
      <w:r w:rsidRPr="00443037">
        <w:rPr>
          <w:i/>
          <w:sz w:val="24"/>
          <w:szCs w:val="24"/>
          <w:lang w:bidi="da-DK"/>
        </w:rPr>
        <w:t xml:space="preserve">Langvarig behandling af akut dyb venetrombose og </w:t>
      </w:r>
      <w:proofErr w:type="spellStart"/>
      <w:r w:rsidRPr="00443037">
        <w:rPr>
          <w:i/>
          <w:sz w:val="24"/>
          <w:szCs w:val="24"/>
          <w:lang w:bidi="da-DK"/>
        </w:rPr>
        <w:t>lungeemboli</w:t>
      </w:r>
      <w:proofErr w:type="spellEnd"/>
    </w:p>
    <w:p w14:paraId="612E36F3" w14:textId="77777777" w:rsidR="00BF2649" w:rsidRPr="00443037" w:rsidRDefault="00BF2649" w:rsidP="00BF2649">
      <w:pPr>
        <w:autoSpaceDE w:val="0"/>
        <w:autoSpaceDN w:val="0"/>
        <w:adjustRightInd w:val="0"/>
        <w:ind w:left="851"/>
        <w:rPr>
          <w:sz w:val="24"/>
          <w:szCs w:val="24"/>
        </w:rPr>
      </w:pPr>
      <w:r w:rsidRPr="00443037">
        <w:rPr>
          <w:sz w:val="24"/>
          <w:szCs w:val="24"/>
          <w:lang w:bidi="da-DK"/>
        </w:rPr>
        <w:t>I en underanalyse ("Main-</w:t>
      </w:r>
      <w:proofErr w:type="gramStart"/>
      <w:r w:rsidRPr="00443037">
        <w:rPr>
          <w:sz w:val="24"/>
          <w:szCs w:val="24"/>
          <w:lang w:bidi="da-DK"/>
        </w:rPr>
        <w:t>LITE cancer</w:t>
      </w:r>
      <w:proofErr w:type="gramEnd"/>
      <w:r w:rsidRPr="00443037">
        <w:rPr>
          <w:sz w:val="24"/>
          <w:szCs w:val="24"/>
          <w:lang w:bidi="da-DK"/>
        </w:rPr>
        <w:t xml:space="preserve">") af et randomiseret, open-label, klinisk forsøg, blev </w:t>
      </w:r>
      <w:proofErr w:type="spellStart"/>
      <w:r w:rsidRPr="00443037">
        <w:rPr>
          <w:sz w:val="24"/>
          <w:szCs w:val="24"/>
          <w:lang w:bidi="da-DK"/>
        </w:rPr>
        <w:t>tinzaparin</w:t>
      </w:r>
      <w:proofErr w:type="spellEnd"/>
      <w:r w:rsidRPr="00443037">
        <w:rPr>
          <w:sz w:val="24"/>
          <w:szCs w:val="24"/>
          <w:lang w:bidi="da-DK"/>
        </w:rPr>
        <w:t xml:space="preserve"> (175 IE/kg subkutant én gang dagligt) sammenlignet med </w:t>
      </w:r>
      <w:proofErr w:type="spellStart"/>
      <w:r w:rsidRPr="00443037">
        <w:rPr>
          <w:sz w:val="24"/>
          <w:szCs w:val="24"/>
          <w:lang w:bidi="da-DK"/>
        </w:rPr>
        <w:t>warfarin</w:t>
      </w:r>
      <w:proofErr w:type="spellEnd"/>
      <w:r w:rsidRPr="00443037">
        <w:rPr>
          <w:sz w:val="24"/>
          <w:szCs w:val="24"/>
          <w:lang w:bidi="da-DK"/>
        </w:rPr>
        <w:t xml:space="preserve"> i 3 måneders behandling hos patienter med proksimal venetrombose. Af de 200 patienter, der havde cancer (100 patienter i hver gruppe), var der flere tilfælde af recidiverende VTE efter 12 måneder i </w:t>
      </w:r>
      <w:proofErr w:type="spellStart"/>
      <w:r w:rsidRPr="00443037">
        <w:rPr>
          <w:sz w:val="24"/>
          <w:szCs w:val="24"/>
          <w:lang w:bidi="da-DK"/>
        </w:rPr>
        <w:t>warfaringruppen</w:t>
      </w:r>
      <w:proofErr w:type="spellEnd"/>
      <w:r w:rsidRPr="00443037">
        <w:rPr>
          <w:sz w:val="24"/>
          <w:szCs w:val="24"/>
          <w:lang w:bidi="da-DK"/>
        </w:rPr>
        <w:t xml:space="preserve"> (16 %) sammenlignet med </w:t>
      </w:r>
      <w:proofErr w:type="spellStart"/>
      <w:r w:rsidRPr="00443037">
        <w:rPr>
          <w:sz w:val="24"/>
          <w:szCs w:val="24"/>
          <w:lang w:bidi="da-DK"/>
        </w:rPr>
        <w:t>tinzaparingruppen</w:t>
      </w:r>
      <w:proofErr w:type="spellEnd"/>
      <w:r w:rsidRPr="00443037">
        <w:rPr>
          <w:sz w:val="24"/>
          <w:szCs w:val="24"/>
          <w:lang w:bidi="da-DK"/>
        </w:rPr>
        <w:t xml:space="preserve"> (7 %) (absolut forskel: -9,0; 95 % CI: -21,7 til -0,7). I løbet af 3 måneder blev der rapporteret alvorlig blødning hos 7 % af patienterne i begge grupper. Efter et år var dødeligheden 47 % i begge grupper.</w:t>
      </w:r>
    </w:p>
    <w:p w14:paraId="44FEF945" w14:textId="77777777" w:rsidR="00BF2649" w:rsidRPr="00443037" w:rsidRDefault="00BF2649" w:rsidP="00BF2649">
      <w:pPr>
        <w:autoSpaceDE w:val="0"/>
        <w:autoSpaceDN w:val="0"/>
        <w:adjustRightInd w:val="0"/>
        <w:ind w:left="851" w:hanging="851"/>
        <w:rPr>
          <w:sz w:val="24"/>
          <w:szCs w:val="24"/>
        </w:rPr>
      </w:pPr>
    </w:p>
    <w:p w14:paraId="04ADA29D"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I et open-label, randomiseret studie med 241 patienter med akut proksimal dyb venetrombose (DVT), hvoraf 69 havde cancer, blev </w:t>
      </w:r>
      <w:proofErr w:type="spellStart"/>
      <w:r w:rsidRPr="00443037">
        <w:rPr>
          <w:sz w:val="24"/>
          <w:szCs w:val="24"/>
          <w:lang w:bidi="da-DK"/>
        </w:rPr>
        <w:t>tinzaparin</w:t>
      </w:r>
      <w:proofErr w:type="spellEnd"/>
      <w:r w:rsidRPr="00443037">
        <w:rPr>
          <w:sz w:val="24"/>
          <w:szCs w:val="24"/>
          <w:lang w:bidi="da-DK"/>
        </w:rPr>
        <w:t xml:space="preserve"> (175 IE/kg subkutant én gang dagligt) sammenlignet med en oral vitamin K-antagonist (VKA) under 6 måneders DVT-behandling. Hos patienter med cancer var forekomsten af recidiverende VTE lavere i </w:t>
      </w:r>
      <w:proofErr w:type="spellStart"/>
      <w:r w:rsidRPr="00443037">
        <w:rPr>
          <w:sz w:val="24"/>
          <w:szCs w:val="24"/>
          <w:lang w:bidi="da-DK"/>
        </w:rPr>
        <w:t>tinzaparingruppen</w:t>
      </w:r>
      <w:proofErr w:type="spellEnd"/>
      <w:r w:rsidRPr="00443037">
        <w:rPr>
          <w:sz w:val="24"/>
          <w:szCs w:val="24"/>
          <w:lang w:bidi="da-DK"/>
        </w:rPr>
        <w:t xml:space="preserve"> (2/36 [5,5 %]) sammenlignet med syv ud af 33 [21,2 %]). Der forekom én alvorlig blødning i </w:t>
      </w:r>
      <w:proofErr w:type="spellStart"/>
      <w:r w:rsidRPr="00443037">
        <w:rPr>
          <w:sz w:val="24"/>
          <w:szCs w:val="24"/>
          <w:lang w:bidi="da-DK"/>
        </w:rPr>
        <w:t>tinzaparingruppen</w:t>
      </w:r>
      <w:proofErr w:type="spellEnd"/>
      <w:r w:rsidRPr="00443037">
        <w:rPr>
          <w:sz w:val="24"/>
          <w:szCs w:val="24"/>
          <w:lang w:bidi="da-DK"/>
        </w:rPr>
        <w:t xml:space="preserve"> sammenlignet med 3 i VKA-gruppen.</w:t>
      </w:r>
    </w:p>
    <w:p w14:paraId="14440CA5" w14:textId="77777777" w:rsidR="00BF2649" w:rsidRPr="00443037" w:rsidRDefault="00BF2649" w:rsidP="00BF2649">
      <w:pPr>
        <w:autoSpaceDE w:val="0"/>
        <w:autoSpaceDN w:val="0"/>
        <w:adjustRightInd w:val="0"/>
        <w:ind w:left="851" w:hanging="851"/>
        <w:rPr>
          <w:sz w:val="24"/>
          <w:szCs w:val="24"/>
        </w:rPr>
      </w:pPr>
    </w:p>
    <w:p w14:paraId="11A5E4D8"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I et kontrolleret, open-label, randomiseret klinisk forsøg (CATCH) blev virkningen og sikkerheden af </w:t>
      </w:r>
      <w:proofErr w:type="spellStart"/>
      <w:r w:rsidRPr="00443037">
        <w:rPr>
          <w:sz w:val="24"/>
          <w:szCs w:val="24"/>
          <w:lang w:bidi="da-DK"/>
        </w:rPr>
        <w:t>tinzaparin</w:t>
      </w:r>
      <w:proofErr w:type="spellEnd"/>
      <w:r w:rsidRPr="00443037">
        <w:rPr>
          <w:sz w:val="24"/>
          <w:szCs w:val="24"/>
          <w:lang w:bidi="da-DK"/>
        </w:rPr>
        <w:t xml:space="preserve"> sammenlignet med </w:t>
      </w:r>
      <w:proofErr w:type="spellStart"/>
      <w:r w:rsidRPr="00443037">
        <w:rPr>
          <w:sz w:val="24"/>
          <w:szCs w:val="24"/>
          <w:lang w:bidi="da-DK"/>
        </w:rPr>
        <w:t>warfarin</w:t>
      </w:r>
      <w:proofErr w:type="spellEnd"/>
      <w:r w:rsidRPr="00443037">
        <w:rPr>
          <w:sz w:val="24"/>
          <w:szCs w:val="24"/>
          <w:lang w:bidi="da-DK"/>
        </w:rPr>
        <w:t xml:space="preserve"> efter 6 måneders behandling af akut, symptomatisk DVT eller </w:t>
      </w:r>
      <w:proofErr w:type="spellStart"/>
      <w:r w:rsidRPr="00443037">
        <w:rPr>
          <w:sz w:val="24"/>
          <w:szCs w:val="24"/>
          <w:lang w:bidi="da-DK"/>
        </w:rPr>
        <w:t>lungeemboli</w:t>
      </w:r>
      <w:proofErr w:type="spellEnd"/>
      <w:r w:rsidRPr="00443037">
        <w:rPr>
          <w:sz w:val="24"/>
          <w:szCs w:val="24"/>
          <w:lang w:bidi="da-DK"/>
        </w:rPr>
        <w:t xml:space="preserve"> hos patienter med aktiv cancer. Undersøgelsen omfattede 900 patienter med nyrefunktion svarende til en </w:t>
      </w:r>
      <w:proofErr w:type="spellStart"/>
      <w:r w:rsidRPr="00443037">
        <w:rPr>
          <w:sz w:val="24"/>
          <w:szCs w:val="24"/>
          <w:lang w:bidi="da-DK"/>
        </w:rPr>
        <w:t>kreatininclearance</w:t>
      </w:r>
      <w:proofErr w:type="spellEnd"/>
      <w:r w:rsidRPr="00443037">
        <w:rPr>
          <w:sz w:val="24"/>
          <w:szCs w:val="24"/>
          <w:lang w:bidi="da-DK"/>
        </w:rPr>
        <w:t xml:space="preserve"> (</w:t>
      </w:r>
      <w:proofErr w:type="spellStart"/>
      <w:r w:rsidRPr="00443037">
        <w:rPr>
          <w:sz w:val="24"/>
          <w:szCs w:val="24"/>
          <w:lang w:bidi="da-DK"/>
        </w:rPr>
        <w:t>CrCl</w:t>
      </w:r>
      <w:proofErr w:type="spellEnd"/>
      <w:r w:rsidRPr="00443037">
        <w:rPr>
          <w:sz w:val="24"/>
          <w:szCs w:val="24"/>
          <w:lang w:bidi="da-DK"/>
        </w:rPr>
        <w:t xml:space="preserve">) på ned til 20 ml/min. Patienter med et </w:t>
      </w:r>
      <w:proofErr w:type="spellStart"/>
      <w:r w:rsidRPr="00443037">
        <w:rPr>
          <w:sz w:val="24"/>
          <w:szCs w:val="24"/>
          <w:lang w:bidi="da-DK"/>
        </w:rPr>
        <w:t>trombocyttal</w:t>
      </w:r>
      <w:proofErr w:type="spellEnd"/>
      <w:r w:rsidRPr="00443037">
        <w:rPr>
          <w:sz w:val="24"/>
          <w:szCs w:val="24"/>
          <w:lang w:bidi="da-DK"/>
        </w:rPr>
        <w:t xml:space="preserve"> under 50 × 10</w:t>
      </w:r>
      <w:r w:rsidRPr="00443037">
        <w:rPr>
          <w:sz w:val="24"/>
          <w:szCs w:val="24"/>
          <w:vertAlign w:val="superscript"/>
          <w:lang w:bidi="da-DK"/>
        </w:rPr>
        <w:t>9</w:t>
      </w:r>
      <w:r w:rsidRPr="00443037">
        <w:rPr>
          <w:sz w:val="24"/>
          <w:szCs w:val="24"/>
          <w:lang w:bidi="da-DK"/>
        </w:rPr>
        <w:t xml:space="preserve">/l var ikke inkluderet i undersøgelsen. Patienterne i </w:t>
      </w:r>
      <w:proofErr w:type="spellStart"/>
      <w:r w:rsidRPr="00443037">
        <w:rPr>
          <w:sz w:val="24"/>
          <w:szCs w:val="24"/>
          <w:lang w:bidi="da-DK"/>
        </w:rPr>
        <w:t>tinzaparingruppen</w:t>
      </w:r>
      <w:proofErr w:type="spellEnd"/>
      <w:r w:rsidRPr="00443037">
        <w:rPr>
          <w:sz w:val="24"/>
          <w:szCs w:val="24"/>
          <w:lang w:bidi="da-DK"/>
        </w:rPr>
        <w:t xml:space="preserve"> fik </w:t>
      </w:r>
      <w:proofErr w:type="spellStart"/>
      <w:r w:rsidRPr="00443037">
        <w:rPr>
          <w:sz w:val="24"/>
          <w:szCs w:val="24"/>
          <w:lang w:bidi="da-DK"/>
        </w:rPr>
        <w:t>tinzaparininjektioner</w:t>
      </w:r>
      <w:proofErr w:type="spellEnd"/>
      <w:r w:rsidRPr="00443037">
        <w:rPr>
          <w:sz w:val="24"/>
          <w:szCs w:val="24"/>
          <w:lang w:bidi="da-DK"/>
        </w:rPr>
        <w:t xml:space="preserve"> med fuld dosis (175 IE/kg subkutant) én gang dagligt i hele behandlingsperioden (6 måneder) og blev sammenlignet med patienter, der fik </w:t>
      </w:r>
      <w:proofErr w:type="spellStart"/>
      <w:r w:rsidRPr="00443037">
        <w:rPr>
          <w:sz w:val="24"/>
          <w:szCs w:val="24"/>
          <w:lang w:bidi="da-DK"/>
        </w:rPr>
        <w:t>tinzaparin</w:t>
      </w:r>
      <w:proofErr w:type="spellEnd"/>
      <w:r w:rsidRPr="00443037">
        <w:rPr>
          <w:sz w:val="24"/>
          <w:szCs w:val="24"/>
          <w:lang w:bidi="da-DK"/>
        </w:rPr>
        <w:t xml:space="preserve"> én gang dagligt i 5-10 dage, efterfulgt af dosisjusteret </w:t>
      </w:r>
      <w:proofErr w:type="spellStart"/>
      <w:r w:rsidRPr="00443037">
        <w:rPr>
          <w:sz w:val="24"/>
          <w:szCs w:val="24"/>
          <w:lang w:bidi="da-DK"/>
        </w:rPr>
        <w:t>warfarin</w:t>
      </w:r>
      <w:proofErr w:type="spellEnd"/>
      <w:r w:rsidRPr="00443037">
        <w:rPr>
          <w:sz w:val="24"/>
          <w:szCs w:val="24"/>
          <w:lang w:bidi="da-DK"/>
        </w:rPr>
        <w:t xml:space="preserve"> (INR: 2,0-3,0) i 6 måneder. Effektresultater (DVT i underekstremiteterne og </w:t>
      </w:r>
      <w:proofErr w:type="spellStart"/>
      <w:r w:rsidRPr="00443037">
        <w:rPr>
          <w:sz w:val="24"/>
          <w:szCs w:val="24"/>
          <w:lang w:bidi="da-DK"/>
        </w:rPr>
        <w:t>lungeemboli</w:t>
      </w:r>
      <w:proofErr w:type="spellEnd"/>
      <w:r w:rsidRPr="00443037">
        <w:rPr>
          <w:sz w:val="24"/>
          <w:szCs w:val="24"/>
          <w:lang w:bidi="da-DK"/>
        </w:rPr>
        <w:t xml:space="preserve">) og sikkerhedsresultater (blødningshændelser, </w:t>
      </w:r>
      <w:proofErr w:type="spellStart"/>
      <w:r w:rsidRPr="00443037">
        <w:rPr>
          <w:sz w:val="24"/>
          <w:szCs w:val="24"/>
          <w:lang w:bidi="da-DK"/>
        </w:rPr>
        <w:t>heparininduceret</w:t>
      </w:r>
      <w:proofErr w:type="spellEnd"/>
      <w:r w:rsidRPr="00443037">
        <w:rPr>
          <w:sz w:val="24"/>
          <w:szCs w:val="24"/>
          <w:lang w:bidi="da-DK"/>
        </w:rPr>
        <w:t xml:space="preserve"> </w:t>
      </w:r>
      <w:proofErr w:type="spellStart"/>
      <w:r w:rsidRPr="00443037">
        <w:rPr>
          <w:sz w:val="24"/>
          <w:szCs w:val="24"/>
          <w:lang w:bidi="da-DK"/>
        </w:rPr>
        <w:t>trombocytopeni</w:t>
      </w:r>
      <w:proofErr w:type="spellEnd"/>
      <w:r w:rsidRPr="00443037">
        <w:rPr>
          <w:sz w:val="24"/>
          <w:szCs w:val="24"/>
          <w:lang w:bidi="da-DK"/>
        </w:rPr>
        <w:t xml:space="preserve"> og død) blev vurderet af en blindet komité. Recidiverende VTE forekom hos 31 ud af 449 patienter i </w:t>
      </w:r>
      <w:proofErr w:type="spellStart"/>
      <w:r w:rsidRPr="00443037">
        <w:rPr>
          <w:sz w:val="24"/>
          <w:szCs w:val="24"/>
          <w:lang w:bidi="da-DK"/>
        </w:rPr>
        <w:t>tinzaparingruppen</w:t>
      </w:r>
      <w:proofErr w:type="spellEnd"/>
      <w:r w:rsidRPr="00443037">
        <w:rPr>
          <w:sz w:val="24"/>
          <w:szCs w:val="24"/>
          <w:lang w:bidi="da-DK"/>
        </w:rPr>
        <w:t xml:space="preserve"> og 45 ud af 451 patienter i </w:t>
      </w:r>
      <w:proofErr w:type="spellStart"/>
      <w:r w:rsidRPr="00443037">
        <w:rPr>
          <w:sz w:val="24"/>
          <w:szCs w:val="24"/>
          <w:lang w:bidi="da-DK"/>
        </w:rPr>
        <w:t>warfaringruppen</w:t>
      </w:r>
      <w:proofErr w:type="spellEnd"/>
      <w:r w:rsidRPr="00443037">
        <w:rPr>
          <w:sz w:val="24"/>
          <w:szCs w:val="24"/>
          <w:lang w:bidi="da-DK"/>
        </w:rPr>
        <w:t xml:space="preserve"> (6 måneders kumulativ forekomst: 7,2 % for </w:t>
      </w:r>
      <w:proofErr w:type="spellStart"/>
      <w:r w:rsidRPr="00443037">
        <w:rPr>
          <w:sz w:val="24"/>
          <w:szCs w:val="24"/>
          <w:lang w:bidi="da-DK"/>
        </w:rPr>
        <w:t>tinzaparin</w:t>
      </w:r>
      <w:proofErr w:type="spellEnd"/>
      <w:r w:rsidRPr="00443037">
        <w:rPr>
          <w:sz w:val="24"/>
          <w:szCs w:val="24"/>
          <w:lang w:bidi="da-DK"/>
        </w:rPr>
        <w:t xml:space="preserve"> sammenlignet med 10,5 % for </w:t>
      </w:r>
      <w:proofErr w:type="spellStart"/>
      <w:r w:rsidRPr="00443037">
        <w:rPr>
          <w:sz w:val="24"/>
          <w:szCs w:val="24"/>
          <w:lang w:bidi="da-DK"/>
        </w:rPr>
        <w:t>warfarin</w:t>
      </w:r>
      <w:proofErr w:type="spellEnd"/>
      <w:r w:rsidRPr="00443037">
        <w:rPr>
          <w:sz w:val="24"/>
          <w:szCs w:val="24"/>
          <w:lang w:bidi="da-DK"/>
        </w:rPr>
        <w:t xml:space="preserve">; </w:t>
      </w:r>
      <w:proofErr w:type="spellStart"/>
      <w:r w:rsidRPr="00443037">
        <w:rPr>
          <w:sz w:val="24"/>
          <w:szCs w:val="24"/>
          <w:lang w:bidi="da-DK"/>
        </w:rPr>
        <w:t>hazard</w:t>
      </w:r>
      <w:proofErr w:type="spellEnd"/>
      <w:r w:rsidRPr="00443037">
        <w:rPr>
          <w:sz w:val="24"/>
          <w:szCs w:val="24"/>
          <w:lang w:bidi="da-DK"/>
        </w:rPr>
        <w:t xml:space="preserve"> ratio [HR]: 0,65; 95 % CI: 0,41-1,03; p = 0,07). Symptomatisk DVT forekom hos 12 patienter i </w:t>
      </w:r>
      <w:proofErr w:type="spellStart"/>
      <w:r w:rsidRPr="00443037">
        <w:rPr>
          <w:sz w:val="24"/>
          <w:szCs w:val="24"/>
          <w:lang w:bidi="da-DK"/>
        </w:rPr>
        <w:t>tinzaparingruppen</w:t>
      </w:r>
      <w:proofErr w:type="spellEnd"/>
      <w:r w:rsidRPr="00443037">
        <w:rPr>
          <w:sz w:val="24"/>
          <w:szCs w:val="24"/>
          <w:lang w:bidi="da-DK"/>
        </w:rPr>
        <w:t xml:space="preserve"> og hos 24 patienter i </w:t>
      </w:r>
      <w:proofErr w:type="spellStart"/>
      <w:r w:rsidRPr="00443037">
        <w:rPr>
          <w:sz w:val="24"/>
          <w:szCs w:val="24"/>
          <w:lang w:bidi="da-DK"/>
        </w:rPr>
        <w:t>warfaringruppen</w:t>
      </w:r>
      <w:proofErr w:type="spellEnd"/>
      <w:r w:rsidRPr="00443037">
        <w:rPr>
          <w:sz w:val="24"/>
          <w:szCs w:val="24"/>
          <w:lang w:bidi="da-DK"/>
        </w:rPr>
        <w:t xml:space="preserve"> (HR: 0,48; 95 % Cl: 0,24-0,96; p = 0,04) Der var ingen signifikant forskel i alvorlige blødningshændelser (HR: 0,89; 95 % CI: 0,40-1,99; p = 0,77), eller dødelighed af alle årsager (1,08; 95 % CI: 0,85-1,36; p = 0,54), men samtidig var der en statistisk signifikant reduceret risiko for klinisk relevant, ikke-alvorlig blødning i </w:t>
      </w:r>
      <w:proofErr w:type="spellStart"/>
      <w:r w:rsidRPr="00443037">
        <w:rPr>
          <w:sz w:val="24"/>
          <w:szCs w:val="24"/>
          <w:lang w:bidi="da-DK"/>
        </w:rPr>
        <w:t>tinzaparingruppen</w:t>
      </w:r>
      <w:proofErr w:type="spellEnd"/>
      <w:r w:rsidRPr="00443037">
        <w:rPr>
          <w:sz w:val="24"/>
          <w:szCs w:val="24"/>
          <w:lang w:bidi="da-DK"/>
        </w:rPr>
        <w:t xml:space="preserve"> sammenlignet med </w:t>
      </w:r>
      <w:proofErr w:type="spellStart"/>
      <w:r w:rsidRPr="00443037">
        <w:rPr>
          <w:sz w:val="24"/>
          <w:szCs w:val="24"/>
          <w:lang w:bidi="da-DK"/>
        </w:rPr>
        <w:t>warfaringruppen</w:t>
      </w:r>
      <w:proofErr w:type="spellEnd"/>
      <w:r w:rsidRPr="00443037">
        <w:rPr>
          <w:sz w:val="24"/>
          <w:szCs w:val="24"/>
          <w:lang w:bidi="da-DK"/>
        </w:rPr>
        <w:t xml:space="preserve"> (HR: 0,58; 95 % CI: 0,40-0,84; p = 0,004).</w:t>
      </w:r>
    </w:p>
    <w:p w14:paraId="2448F036" w14:textId="77777777" w:rsidR="00BF2649" w:rsidRPr="00443037" w:rsidRDefault="00BF2649" w:rsidP="00BF2649">
      <w:pPr>
        <w:autoSpaceDE w:val="0"/>
        <w:autoSpaceDN w:val="0"/>
        <w:adjustRightInd w:val="0"/>
        <w:ind w:left="851" w:hanging="851"/>
        <w:rPr>
          <w:sz w:val="24"/>
          <w:szCs w:val="24"/>
        </w:rPr>
      </w:pPr>
    </w:p>
    <w:p w14:paraId="1D3414DF" w14:textId="77777777" w:rsidR="00BF2649" w:rsidRPr="00443037" w:rsidRDefault="00BF2649" w:rsidP="00BF2649">
      <w:pPr>
        <w:autoSpaceDE w:val="0"/>
        <w:autoSpaceDN w:val="0"/>
        <w:adjustRightInd w:val="0"/>
        <w:ind w:left="851"/>
        <w:rPr>
          <w:sz w:val="24"/>
          <w:szCs w:val="24"/>
          <w:lang w:bidi="da-DK"/>
        </w:rPr>
      </w:pPr>
      <w:r w:rsidRPr="00443037">
        <w:rPr>
          <w:sz w:val="24"/>
          <w:szCs w:val="24"/>
          <w:lang w:bidi="da-DK"/>
        </w:rPr>
        <w:t xml:space="preserve">I en </w:t>
      </w:r>
      <w:proofErr w:type="spellStart"/>
      <w:r w:rsidRPr="00443037">
        <w:rPr>
          <w:sz w:val="24"/>
          <w:szCs w:val="24"/>
          <w:lang w:bidi="da-DK"/>
        </w:rPr>
        <w:t>forudspecificeret</w:t>
      </w:r>
      <w:proofErr w:type="spellEnd"/>
      <w:r w:rsidRPr="00443037">
        <w:rPr>
          <w:sz w:val="24"/>
          <w:szCs w:val="24"/>
          <w:lang w:bidi="da-DK"/>
        </w:rPr>
        <w:t xml:space="preserve"> sekundær analyse af CATCH-studiet, hvor konkurrerende resultater blev brugt til en regressionsanalyse af tiden til den første klinisk-relevante blødning (CRB; alvorlige og klinisk-relevante, ikke-alvorlige hændelser), var risikoen for at få mindst én CRB-hændelse under det 6 måneder lange forsøg signifikant lavere i </w:t>
      </w:r>
      <w:proofErr w:type="spellStart"/>
      <w:r w:rsidRPr="00443037">
        <w:rPr>
          <w:sz w:val="24"/>
          <w:szCs w:val="24"/>
          <w:lang w:bidi="da-DK"/>
        </w:rPr>
        <w:t>tinzaparingruppen</w:t>
      </w:r>
      <w:proofErr w:type="spellEnd"/>
      <w:r w:rsidRPr="00443037">
        <w:rPr>
          <w:sz w:val="24"/>
          <w:szCs w:val="24"/>
          <w:lang w:bidi="da-DK"/>
        </w:rPr>
        <w:t xml:space="preserve"> (n = 60/449) end i </w:t>
      </w:r>
      <w:proofErr w:type="spellStart"/>
      <w:r w:rsidRPr="00443037">
        <w:rPr>
          <w:sz w:val="24"/>
          <w:szCs w:val="24"/>
          <w:lang w:bidi="da-DK"/>
        </w:rPr>
        <w:t>warfaringruppen</w:t>
      </w:r>
      <w:proofErr w:type="spellEnd"/>
      <w:r w:rsidRPr="00443037">
        <w:rPr>
          <w:sz w:val="24"/>
          <w:szCs w:val="24"/>
          <w:lang w:bidi="da-DK"/>
        </w:rPr>
        <w:t xml:space="preserve"> (n = 78/451), HR: 0,64; 95 % Cl: 0,45-0,89; p = 0,009. De kumulative CRB-</w:t>
      </w:r>
      <w:proofErr w:type="spellStart"/>
      <w:r w:rsidRPr="00443037">
        <w:rPr>
          <w:sz w:val="24"/>
          <w:szCs w:val="24"/>
          <w:lang w:bidi="da-DK"/>
        </w:rPr>
        <w:t>incidenser</w:t>
      </w:r>
      <w:proofErr w:type="spellEnd"/>
      <w:r w:rsidRPr="00443037">
        <w:rPr>
          <w:sz w:val="24"/>
          <w:szCs w:val="24"/>
          <w:lang w:bidi="da-DK"/>
        </w:rPr>
        <w:t xml:space="preserve"> i de to grupper afveg næsten øjeblikkeligt fra hinanden og fortsatte med at vise en fordel for </w:t>
      </w:r>
      <w:proofErr w:type="spellStart"/>
      <w:r w:rsidRPr="00443037">
        <w:rPr>
          <w:sz w:val="24"/>
          <w:szCs w:val="24"/>
          <w:lang w:bidi="da-DK"/>
        </w:rPr>
        <w:t>tinzaparinpatienter</w:t>
      </w:r>
      <w:proofErr w:type="spellEnd"/>
      <w:r w:rsidRPr="00443037">
        <w:rPr>
          <w:sz w:val="24"/>
          <w:szCs w:val="24"/>
          <w:lang w:bidi="da-DK"/>
        </w:rPr>
        <w:t xml:space="preserve"> i den seks måneder lange behandlingsperiode (se figur 1). I en </w:t>
      </w:r>
      <w:proofErr w:type="spellStart"/>
      <w:r w:rsidRPr="00443037">
        <w:rPr>
          <w:sz w:val="24"/>
          <w:szCs w:val="24"/>
          <w:lang w:bidi="da-DK"/>
        </w:rPr>
        <w:t>multivariat</w:t>
      </w:r>
      <w:proofErr w:type="spellEnd"/>
      <w:r w:rsidRPr="00443037">
        <w:rPr>
          <w:sz w:val="24"/>
          <w:szCs w:val="24"/>
          <w:lang w:bidi="da-DK"/>
        </w:rPr>
        <w:t xml:space="preserve"> analyse for alle behandlingsgrupper fandt man, at risikoen for CRB stiger med alderen &gt; 75 år (HR 1,83) og </w:t>
      </w:r>
      <w:proofErr w:type="spellStart"/>
      <w:r w:rsidRPr="00443037">
        <w:rPr>
          <w:sz w:val="24"/>
          <w:szCs w:val="24"/>
          <w:lang w:bidi="da-DK"/>
        </w:rPr>
        <w:t>intrakraniel</w:t>
      </w:r>
      <w:proofErr w:type="spellEnd"/>
      <w:r w:rsidRPr="00443037">
        <w:rPr>
          <w:sz w:val="24"/>
          <w:szCs w:val="24"/>
          <w:lang w:bidi="da-DK"/>
        </w:rPr>
        <w:t xml:space="preserve"> </w:t>
      </w:r>
      <w:proofErr w:type="spellStart"/>
      <w:r w:rsidRPr="00443037">
        <w:rPr>
          <w:sz w:val="24"/>
          <w:szCs w:val="24"/>
          <w:lang w:bidi="da-DK"/>
        </w:rPr>
        <w:t>malignitet</w:t>
      </w:r>
      <w:proofErr w:type="spellEnd"/>
      <w:r w:rsidRPr="00443037">
        <w:rPr>
          <w:sz w:val="24"/>
          <w:szCs w:val="24"/>
          <w:lang w:bidi="da-DK"/>
        </w:rPr>
        <w:t xml:space="preserve"> (HR 1,97).</w:t>
      </w:r>
    </w:p>
    <w:p w14:paraId="72116CE6" w14:textId="77777777" w:rsidR="00BF2649" w:rsidRPr="00443037" w:rsidRDefault="00BF2649" w:rsidP="00BF2649">
      <w:pPr>
        <w:ind w:left="851"/>
        <w:rPr>
          <w:sz w:val="24"/>
          <w:szCs w:val="24"/>
          <w:lang w:bidi="da-DK"/>
        </w:rPr>
      </w:pPr>
    </w:p>
    <w:p w14:paraId="218BB51C" w14:textId="7431BD56" w:rsidR="00BF2649" w:rsidRPr="00443037" w:rsidRDefault="00BF2649" w:rsidP="00BF2649">
      <w:pPr>
        <w:ind w:left="851"/>
        <w:rPr>
          <w:sz w:val="24"/>
          <w:szCs w:val="24"/>
          <w:lang w:bidi="da-DK"/>
        </w:rPr>
      </w:pPr>
      <w:r w:rsidRPr="00443037">
        <w:rPr>
          <w:noProof/>
          <w:sz w:val="24"/>
          <w:szCs w:val="24"/>
          <w:lang w:bidi="da-DK"/>
        </w:rPr>
        <w:drawing>
          <wp:inline distT="0" distB="0" distL="0" distR="0" wp14:anchorId="3AA87781" wp14:editId="5BA8C245">
            <wp:extent cx="3253740" cy="2438400"/>
            <wp:effectExtent l="0" t="0" r="381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3740" cy="2438400"/>
                    </a:xfrm>
                    <a:prstGeom prst="rect">
                      <a:avLst/>
                    </a:prstGeom>
                    <a:noFill/>
                    <a:ln>
                      <a:noFill/>
                    </a:ln>
                  </pic:spPr>
                </pic:pic>
              </a:graphicData>
            </a:graphic>
          </wp:inline>
        </w:drawing>
      </w:r>
    </w:p>
    <w:p w14:paraId="07AFA8E6" w14:textId="77777777" w:rsidR="00BF2649" w:rsidRPr="00443037" w:rsidRDefault="00BF2649" w:rsidP="00BF2649">
      <w:pPr>
        <w:ind w:left="851"/>
        <w:rPr>
          <w:sz w:val="24"/>
          <w:szCs w:val="24"/>
          <w:lang w:bidi="da-DK"/>
        </w:rPr>
      </w:pPr>
      <w:r w:rsidRPr="00443037">
        <w:rPr>
          <w:sz w:val="24"/>
          <w:szCs w:val="24"/>
          <w:lang w:bidi="da-DK"/>
        </w:rPr>
        <w:t>Figur 1</w:t>
      </w:r>
    </w:p>
    <w:p w14:paraId="78EF3C18" w14:textId="77777777" w:rsidR="00BF2649" w:rsidRPr="00443037" w:rsidRDefault="00BF2649" w:rsidP="00BF2649">
      <w:pPr>
        <w:ind w:left="851"/>
        <w:rPr>
          <w:spacing w:val="-3"/>
          <w:sz w:val="24"/>
          <w:szCs w:val="24"/>
        </w:rPr>
      </w:pPr>
    </w:p>
    <w:p w14:paraId="0CE15BEF"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I en sekundær analyse af CATCH-studiet blev effekten af nedsat nyrefunktion (RI, defineret som </w:t>
      </w:r>
      <w:proofErr w:type="spellStart"/>
      <w:r w:rsidRPr="00443037">
        <w:rPr>
          <w:sz w:val="24"/>
          <w:szCs w:val="24"/>
          <w:lang w:bidi="da-DK"/>
        </w:rPr>
        <w:t>glomerulær</w:t>
      </w:r>
      <w:proofErr w:type="spellEnd"/>
      <w:r w:rsidRPr="00443037">
        <w:rPr>
          <w:sz w:val="24"/>
          <w:szCs w:val="24"/>
          <w:lang w:bidi="da-DK"/>
        </w:rPr>
        <w:t xml:space="preserve"> filtrationshastighed [GFR] &lt; 60 m/min/1,73 m</w:t>
      </w:r>
      <w:r w:rsidRPr="00443037">
        <w:rPr>
          <w:sz w:val="24"/>
          <w:szCs w:val="24"/>
          <w:vertAlign w:val="superscript"/>
          <w:lang w:bidi="da-DK"/>
        </w:rPr>
        <w:t>2</w:t>
      </w:r>
      <w:r w:rsidRPr="00443037">
        <w:rPr>
          <w:sz w:val="24"/>
          <w:szCs w:val="24"/>
          <w:lang w:bidi="da-DK"/>
        </w:rPr>
        <w:t xml:space="preserve">) vurderet baseret på virkningen og sikkerheden af </w:t>
      </w:r>
      <w:proofErr w:type="spellStart"/>
      <w:r w:rsidRPr="00443037">
        <w:rPr>
          <w:sz w:val="24"/>
          <w:szCs w:val="24"/>
          <w:lang w:bidi="da-DK"/>
        </w:rPr>
        <w:t>antikoagulationsbehandling</w:t>
      </w:r>
      <w:proofErr w:type="spellEnd"/>
      <w:r w:rsidRPr="00443037">
        <w:rPr>
          <w:sz w:val="24"/>
          <w:szCs w:val="24"/>
          <w:lang w:bidi="da-DK"/>
        </w:rPr>
        <w:t xml:space="preserve"> hos patienter med cancerassocieret trombose. Undersøgelsespopulationen for denne analyse omfattede 864 patienter (96 %), som der fandtes en GFR-værdi fra et centrallaboratorium for på </w:t>
      </w:r>
      <w:proofErr w:type="spellStart"/>
      <w:r w:rsidRPr="00443037">
        <w:rPr>
          <w:sz w:val="24"/>
          <w:szCs w:val="24"/>
          <w:lang w:bidi="da-DK"/>
        </w:rPr>
        <w:t>randomiseringstidspunktet</w:t>
      </w:r>
      <w:proofErr w:type="spellEnd"/>
      <w:r w:rsidRPr="00443037">
        <w:rPr>
          <w:sz w:val="24"/>
          <w:szCs w:val="24"/>
          <w:lang w:bidi="da-DK"/>
        </w:rPr>
        <w:t xml:space="preserve">. Af disse havde 131 patienter (15 %) nedsat nyrefunktion ved baseline (69 i </w:t>
      </w:r>
      <w:proofErr w:type="spellStart"/>
      <w:r w:rsidRPr="00443037">
        <w:rPr>
          <w:sz w:val="24"/>
          <w:szCs w:val="24"/>
          <w:lang w:bidi="da-DK"/>
        </w:rPr>
        <w:t>tinzaparingruppen</w:t>
      </w:r>
      <w:proofErr w:type="spellEnd"/>
      <w:r w:rsidRPr="00443037">
        <w:rPr>
          <w:sz w:val="24"/>
          <w:szCs w:val="24"/>
          <w:lang w:bidi="da-DK"/>
        </w:rPr>
        <w:t xml:space="preserve"> og 62 i </w:t>
      </w:r>
      <w:proofErr w:type="spellStart"/>
      <w:r w:rsidRPr="00443037">
        <w:rPr>
          <w:sz w:val="24"/>
          <w:szCs w:val="24"/>
          <w:lang w:bidi="da-DK"/>
        </w:rPr>
        <w:t>warfaringruppen</w:t>
      </w:r>
      <w:proofErr w:type="spellEnd"/>
      <w:r w:rsidRPr="00443037">
        <w:rPr>
          <w:sz w:val="24"/>
          <w:szCs w:val="24"/>
          <w:lang w:bidi="da-DK"/>
        </w:rPr>
        <w:t xml:space="preserve">). Nedsat nyrefunktion hos patienter med cancerassocieret trombose, der fik </w:t>
      </w:r>
      <w:proofErr w:type="spellStart"/>
      <w:r w:rsidRPr="00443037">
        <w:rPr>
          <w:sz w:val="24"/>
          <w:szCs w:val="24"/>
          <w:lang w:bidi="da-DK"/>
        </w:rPr>
        <w:t>antikoagulationsbehandling</w:t>
      </w:r>
      <w:proofErr w:type="spellEnd"/>
      <w:r w:rsidRPr="00443037">
        <w:rPr>
          <w:sz w:val="24"/>
          <w:szCs w:val="24"/>
          <w:lang w:bidi="da-DK"/>
        </w:rPr>
        <w:t xml:space="preserve">, var associeret med en statistisk signifikant stigning i recidiverende VTE og alvorlig blødning, men der blev ikke observeret nogen signifikant stigning i klinisk relevant blødning (CRB) eller dødelighed. Langtidsbehandling med </w:t>
      </w:r>
      <w:proofErr w:type="spellStart"/>
      <w:r w:rsidRPr="00443037">
        <w:rPr>
          <w:sz w:val="24"/>
          <w:szCs w:val="24"/>
          <w:lang w:bidi="da-DK"/>
        </w:rPr>
        <w:t>tinzaparin</w:t>
      </w:r>
      <w:proofErr w:type="spellEnd"/>
      <w:r w:rsidRPr="00443037">
        <w:rPr>
          <w:sz w:val="24"/>
          <w:szCs w:val="24"/>
          <w:lang w:bidi="da-DK"/>
        </w:rPr>
        <w:t xml:space="preserve"> med fuld terapeutisk dosis uden dosisjustering hos patienter med nedsat nyrefunktion øgede ikke forekomsten af recidiverende VTE, CRB, alvorlig blødning eller dødelighed sammenlignet med </w:t>
      </w:r>
      <w:proofErr w:type="spellStart"/>
      <w:r w:rsidRPr="00443037">
        <w:rPr>
          <w:sz w:val="24"/>
          <w:szCs w:val="24"/>
          <w:lang w:bidi="da-DK"/>
        </w:rPr>
        <w:t>warfarin</w:t>
      </w:r>
      <w:proofErr w:type="spellEnd"/>
      <w:r w:rsidRPr="00443037">
        <w:rPr>
          <w:sz w:val="24"/>
          <w:szCs w:val="24"/>
          <w:lang w:bidi="da-DK"/>
        </w:rPr>
        <w:t>.</w:t>
      </w:r>
    </w:p>
    <w:p w14:paraId="3C909300" w14:textId="77777777" w:rsidR="00BF2649" w:rsidRPr="00443037" w:rsidRDefault="00BF2649" w:rsidP="00BF2649">
      <w:pPr>
        <w:autoSpaceDE w:val="0"/>
        <w:autoSpaceDN w:val="0"/>
        <w:adjustRightInd w:val="0"/>
        <w:ind w:left="851" w:hanging="851"/>
        <w:rPr>
          <w:sz w:val="24"/>
          <w:szCs w:val="24"/>
        </w:rPr>
      </w:pPr>
    </w:p>
    <w:p w14:paraId="1164432A"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Et </w:t>
      </w:r>
      <w:proofErr w:type="spellStart"/>
      <w:r w:rsidRPr="00443037">
        <w:rPr>
          <w:sz w:val="24"/>
          <w:szCs w:val="24"/>
          <w:lang w:bidi="da-DK"/>
        </w:rPr>
        <w:t>prospektivt</w:t>
      </w:r>
      <w:proofErr w:type="spellEnd"/>
      <w:r w:rsidRPr="00443037">
        <w:rPr>
          <w:sz w:val="24"/>
          <w:szCs w:val="24"/>
          <w:lang w:bidi="da-DK"/>
        </w:rPr>
        <w:t xml:space="preserve">, open-label, klinisk studie ("TICAT") omfattede 247 patienter med aktiv cancer og </w:t>
      </w:r>
      <w:proofErr w:type="spellStart"/>
      <w:r w:rsidRPr="00443037">
        <w:rPr>
          <w:sz w:val="24"/>
          <w:szCs w:val="24"/>
          <w:lang w:bidi="da-DK"/>
        </w:rPr>
        <w:t>nydiagnosticeret</w:t>
      </w:r>
      <w:proofErr w:type="spellEnd"/>
      <w:r w:rsidRPr="00443037">
        <w:rPr>
          <w:sz w:val="24"/>
          <w:szCs w:val="24"/>
          <w:lang w:bidi="da-DK"/>
        </w:rPr>
        <w:t xml:space="preserve"> DVT og/eller </w:t>
      </w:r>
      <w:proofErr w:type="spellStart"/>
      <w:r w:rsidRPr="00443037">
        <w:rPr>
          <w:sz w:val="24"/>
          <w:szCs w:val="24"/>
          <w:lang w:bidi="da-DK"/>
        </w:rPr>
        <w:t>lungeemboli</w:t>
      </w:r>
      <w:proofErr w:type="spellEnd"/>
      <w:r w:rsidRPr="00443037">
        <w:rPr>
          <w:sz w:val="24"/>
          <w:szCs w:val="24"/>
          <w:lang w:bidi="da-DK"/>
        </w:rPr>
        <w:t xml:space="preserve">. Den gennemsnitlige behandlingsvarighed med </w:t>
      </w:r>
      <w:proofErr w:type="spellStart"/>
      <w:r w:rsidRPr="00443037">
        <w:rPr>
          <w:sz w:val="24"/>
          <w:szCs w:val="24"/>
          <w:lang w:bidi="da-DK"/>
        </w:rPr>
        <w:t>tinzaparin</w:t>
      </w:r>
      <w:proofErr w:type="spellEnd"/>
      <w:r w:rsidRPr="00443037">
        <w:rPr>
          <w:sz w:val="24"/>
          <w:szCs w:val="24"/>
          <w:lang w:bidi="da-DK"/>
        </w:rPr>
        <w:t xml:space="preserve"> (175 IE/kg subkutant én gang dagligt) var 15,6 (SD: 13,2) måneder. Hyppigheden af recidiverende VTE faldt i løbet af undersøgelsen fra 4,5 % i løbet af de første 6 måneder (95 % CI: 2,2 % –7,8 %) til 1,1 % (95 % CI: 0,1 % –3,9 %) i 7.-12. måned (p = 0,08). Forekomsten af klinisk relevant blødning var 0,9 % pr. patientmåned (95 % CI: 0,5 % –1,6 %) i løbet af de første 6 måneder og 0,6 % pr. patientmåned (95 % CI: 0,2 % –1,4 %) i 7.-12. måned. Én patient (0,4 %) døde som følge af recidiverende </w:t>
      </w:r>
      <w:proofErr w:type="spellStart"/>
      <w:r w:rsidRPr="00443037">
        <w:rPr>
          <w:sz w:val="24"/>
          <w:szCs w:val="24"/>
          <w:lang w:bidi="da-DK"/>
        </w:rPr>
        <w:t>lungeemboli</w:t>
      </w:r>
      <w:proofErr w:type="spellEnd"/>
      <w:r w:rsidRPr="00443037">
        <w:rPr>
          <w:sz w:val="24"/>
          <w:szCs w:val="24"/>
          <w:lang w:bidi="da-DK"/>
        </w:rPr>
        <w:t>, og 2 patienter (0,8 %) døde som følge af blødning.</w:t>
      </w:r>
    </w:p>
    <w:p w14:paraId="4E7165C5" w14:textId="77777777" w:rsidR="00BF2649" w:rsidRPr="00443037" w:rsidRDefault="00BF2649" w:rsidP="00BF2649">
      <w:pPr>
        <w:autoSpaceDE w:val="0"/>
        <w:autoSpaceDN w:val="0"/>
        <w:adjustRightInd w:val="0"/>
        <w:ind w:left="851" w:hanging="851"/>
        <w:rPr>
          <w:sz w:val="24"/>
          <w:szCs w:val="24"/>
        </w:rPr>
      </w:pPr>
    </w:p>
    <w:p w14:paraId="6F5A034A" w14:textId="77777777" w:rsidR="00BF2649" w:rsidRPr="00443037" w:rsidRDefault="00BF2649" w:rsidP="00BF2649">
      <w:pPr>
        <w:ind w:left="851"/>
        <w:rPr>
          <w:i/>
          <w:sz w:val="24"/>
          <w:szCs w:val="24"/>
          <w:lang w:bidi="da-DK"/>
        </w:rPr>
      </w:pPr>
      <w:r w:rsidRPr="00443037">
        <w:rPr>
          <w:i/>
          <w:sz w:val="24"/>
          <w:szCs w:val="24"/>
          <w:lang w:bidi="da-DK"/>
        </w:rPr>
        <w:t>Særlige patientpopulationer</w:t>
      </w:r>
    </w:p>
    <w:p w14:paraId="6B3D2E15" w14:textId="77777777" w:rsidR="00BF2649" w:rsidRPr="00443037" w:rsidRDefault="00BF2649" w:rsidP="00BF2649">
      <w:pPr>
        <w:ind w:left="851"/>
        <w:rPr>
          <w:i/>
          <w:sz w:val="24"/>
          <w:szCs w:val="24"/>
          <w:lang w:bidi="da-DK"/>
        </w:rPr>
      </w:pPr>
    </w:p>
    <w:p w14:paraId="251DD3BE" w14:textId="77777777" w:rsidR="00BF2649" w:rsidRPr="00443037" w:rsidRDefault="00BF2649" w:rsidP="00BF2649">
      <w:pPr>
        <w:ind w:left="851"/>
        <w:rPr>
          <w:i/>
          <w:iCs/>
          <w:sz w:val="24"/>
          <w:szCs w:val="24"/>
        </w:rPr>
      </w:pPr>
      <w:r w:rsidRPr="00443037">
        <w:rPr>
          <w:i/>
          <w:sz w:val="24"/>
          <w:szCs w:val="24"/>
          <w:lang w:bidi="da-DK"/>
        </w:rPr>
        <w:t>Patienter med nedsat nyrefunktion</w:t>
      </w:r>
    </w:p>
    <w:p w14:paraId="0450DA19"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Sikkerhedsprofilen for </w:t>
      </w:r>
      <w:proofErr w:type="spellStart"/>
      <w:r w:rsidRPr="00443037">
        <w:rPr>
          <w:sz w:val="24"/>
          <w:szCs w:val="24"/>
          <w:lang w:bidi="da-DK"/>
        </w:rPr>
        <w:t>tinzaparin</w:t>
      </w:r>
      <w:proofErr w:type="spellEnd"/>
      <w:r w:rsidRPr="00443037">
        <w:rPr>
          <w:sz w:val="24"/>
          <w:szCs w:val="24"/>
          <w:lang w:bidi="da-DK"/>
        </w:rPr>
        <w:t xml:space="preserve"> (175 IE/kg én gang dagligt) i op til 30 dage blev undersøgt i et forsøg med deltagelse af 200 indlagte ældre patienter med en </w:t>
      </w:r>
      <w:proofErr w:type="spellStart"/>
      <w:r w:rsidRPr="00443037">
        <w:rPr>
          <w:sz w:val="24"/>
          <w:szCs w:val="24"/>
          <w:lang w:bidi="da-DK"/>
        </w:rPr>
        <w:t>CrCl</w:t>
      </w:r>
      <w:proofErr w:type="spellEnd"/>
      <w:r w:rsidRPr="00443037">
        <w:rPr>
          <w:sz w:val="24"/>
          <w:szCs w:val="24"/>
          <w:lang w:bidi="da-DK"/>
        </w:rPr>
        <w:t xml:space="preserve"> på &gt; 20 ml/min. </w:t>
      </w:r>
      <w:proofErr w:type="spellStart"/>
      <w:r w:rsidRPr="00443037">
        <w:rPr>
          <w:sz w:val="24"/>
          <w:szCs w:val="24"/>
          <w:lang w:bidi="da-DK"/>
        </w:rPr>
        <w:t>Anti</w:t>
      </w:r>
      <w:proofErr w:type="spellEnd"/>
      <w:r w:rsidRPr="00443037">
        <w:rPr>
          <w:sz w:val="24"/>
          <w:szCs w:val="24"/>
          <w:lang w:bidi="da-DK"/>
        </w:rPr>
        <w:t>-</w:t>
      </w:r>
      <w:proofErr w:type="spellStart"/>
      <w:r w:rsidRPr="00443037">
        <w:rPr>
          <w:sz w:val="24"/>
          <w:szCs w:val="24"/>
          <w:lang w:bidi="da-DK"/>
        </w:rPr>
        <w:t>Xa</w:t>
      </w:r>
      <w:proofErr w:type="spellEnd"/>
      <w:r w:rsidRPr="00443037">
        <w:rPr>
          <w:sz w:val="24"/>
          <w:szCs w:val="24"/>
          <w:lang w:bidi="da-DK"/>
        </w:rPr>
        <w:t xml:space="preserve">-aktiviteten i plasma blev målt regelmæssigt. Gennemsnitsalderen var 85,2 år (interval: 70 til 102 år), og den gennemsnitlige </w:t>
      </w:r>
      <w:proofErr w:type="spellStart"/>
      <w:r w:rsidRPr="00443037">
        <w:rPr>
          <w:sz w:val="24"/>
          <w:szCs w:val="24"/>
          <w:lang w:bidi="da-DK"/>
        </w:rPr>
        <w:t>CrCl</w:t>
      </w:r>
      <w:proofErr w:type="spellEnd"/>
      <w:r w:rsidRPr="00443037">
        <w:rPr>
          <w:sz w:val="24"/>
          <w:szCs w:val="24"/>
          <w:lang w:bidi="da-DK"/>
        </w:rPr>
        <w:t xml:space="preserve"> var 51,2 ± 22,9 ml/min. Ved ét dødsfald var der mistanke om relation til </w:t>
      </w:r>
      <w:proofErr w:type="spellStart"/>
      <w:r w:rsidRPr="00443037">
        <w:rPr>
          <w:sz w:val="24"/>
          <w:szCs w:val="24"/>
          <w:lang w:bidi="da-DK"/>
        </w:rPr>
        <w:t>antikoagulationsbehandling</w:t>
      </w:r>
      <w:proofErr w:type="spellEnd"/>
      <w:r w:rsidRPr="00443037">
        <w:rPr>
          <w:sz w:val="24"/>
          <w:szCs w:val="24"/>
          <w:lang w:bidi="da-DK"/>
        </w:rPr>
        <w:t xml:space="preserve">. Der blev rapporteret tre alvorlige blødningsepisoder (1,5 %). </w:t>
      </w:r>
      <w:proofErr w:type="spellStart"/>
      <w:r w:rsidRPr="00443037">
        <w:rPr>
          <w:sz w:val="24"/>
          <w:szCs w:val="24"/>
          <w:lang w:bidi="da-DK"/>
        </w:rPr>
        <w:t>Heparininduceret</w:t>
      </w:r>
      <w:proofErr w:type="spellEnd"/>
      <w:r w:rsidRPr="00443037">
        <w:rPr>
          <w:sz w:val="24"/>
          <w:szCs w:val="24"/>
          <w:lang w:bidi="da-DK"/>
        </w:rPr>
        <w:t xml:space="preserve"> </w:t>
      </w:r>
      <w:proofErr w:type="spellStart"/>
      <w:r w:rsidRPr="00443037">
        <w:rPr>
          <w:sz w:val="24"/>
          <w:szCs w:val="24"/>
          <w:lang w:bidi="da-DK"/>
        </w:rPr>
        <w:t>trombocytopeni</w:t>
      </w:r>
      <w:proofErr w:type="spellEnd"/>
      <w:r w:rsidRPr="00443037">
        <w:rPr>
          <w:sz w:val="24"/>
          <w:szCs w:val="24"/>
          <w:lang w:bidi="da-DK"/>
        </w:rPr>
        <w:t xml:space="preserve"> blev bekræftet hos 2 patienter (1 %). Der blev ikke observeret nogen korrelation mellem </w:t>
      </w:r>
      <w:proofErr w:type="spellStart"/>
      <w:r w:rsidRPr="00443037">
        <w:rPr>
          <w:sz w:val="24"/>
          <w:szCs w:val="24"/>
          <w:lang w:bidi="da-DK"/>
        </w:rPr>
        <w:t>anti-Xa</w:t>
      </w:r>
      <w:proofErr w:type="spellEnd"/>
      <w:r w:rsidRPr="00443037">
        <w:rPr>
          <w:sz w:val="24"/>
          <w:szCs w:val="24"/>
          <w:lang w:bidi="da-DK"/>
        </w:rPr>
        <w:t xml:space="preserve"> aktivitet og </w:t>
      </w:r>
      <w:proofErr w:type="spellStart"/>
      <w:r w:rsidRPr="00443037">
        <w:rPr>
          <w:sz w:val="24"/>
          <w:szCs w:val="24"/>
          <w:lang w:bidi="da-DK"/>
        </w:rPr>
        <w:t>CrCI</w:t>
      </w:r>
      <w:proofErr w:type="spellEnd"/>
      <w:r w:rsidRPr="00443037">
        <w:rPr>
          <w:sz w:val="24"/>
          <w:szCs w:val="24"/>
          <w:lang w:bidi="da-DK"/>
        </w:rPr>
        <w:t xml:space="preserve"> eller alder.</w:t>
      </w:r>
    </w:p>
    <w:p w14:paraId="3AEA3492" w14:textId="77777777" w:rsidR="009260DE" w:rsidRPr="00443037" w:rsidRDefault="009260DE" w:rsidP="009260DE">
      <w:pPr>
        <w:tabs>
          <w:tab w:val="left" w:pos="851"/>
        </w:tabs>
        <w:ind w:left="851"/>
        <w:rPr>
          <w:sz w:val="24"/>
          <w:szCs w:val="24"/>
        </w:rPr>
      </w:pPr>
    </w:p>
    <w:p w14:paraId="45EFAB04" w14:textId="77777777" w:rsidR="009260DE" w:rsidRPr="00443037" w:rsidRDefault="009260DE" w:rsidP="009260DE">
      <w:pPr>
        <w:tabs>
          <w:tab w:val="left" w:pos="851"/>
        </w:tabs>
        <w:ind w:left="851" w:hanging="851"/>
        <w:rPr>
          <w:b/>
          <w:sz w:val="24"/>
          <w:szCs w:val="24"/>
        </w:rPr>
      </w:pPr>
      <w:r w:rsidRPr="00443037">
        <w:rPr>
          <w:b/>
          <w:sz w:val="24"/>
          <w:szCs w:val="24"/>
        </w:rPr>
        <w:t>5.2</w:t>
      </w:r>
      <w:r w:rsidRPr="00443037">
        <w:rPr>
          <w:b/>
          <w:sz w:val="24"/>
          <w:szCs w:val="24"/>
        </w:rPr>
        <w:tab/>
      </w:r>
      <w:proofErr w:type="spellStart"/>
      <w:r w:rsidRPr="00443037">
        <w:rPr>
          <w:b/>
          <w:sz w:val="24"/>
          <w:szCs w:val="24"/>
        </w:rPr>
        <w:t>Farmakokinetiske</w:t>
      </w:r>
      <w:proofErr w:type="spellEnd"/>
      <w:r w:rsidRPr="00443037">
        <w:rPr>
          <w:b/>
          <w:sz w:val="24"/>
          <w:szCs w:val="24"/>
        </w:rPr>
        <w:t xml:space="preserve"> egenskaber</w:t>
      </w:r>
    </w:p>
    <w:p w14:paraId="2124FE3A" w14:textId="77777777" w:rsidR="00BF2649" w:rsidRPr="00443037" w:rsidRDefault="00BF2649" w:rsidP="00BF2649">
      <w:pPr>
        <w:ind w:left="851"/>
        <w:rPr>
          <w:spacing w:val="-3"/>
          <w:sz w:val="24"/>
          <w:szCs w:val="24"/>
        </w:rPr>
      </w:pPr>
      <w:r w:rsidRPr="00443037">
        <w:rPr>
          <w:spacing w:val="-3"/>
          <w:sz w:val="24"/>
          <w:szCs w:val="24"/>
        </w:rPr>
        <w:t xml:space="preserve">Den absolutte biotilgængelighed baseret på </w:t>
      </w:r>
      <w:proofErr w:type="spellStart"/>
      <w:r w:rsidRPr="00443037">
        <w:rPr>
          <w:spacing w:val="-3"/>
          <w:sz w:val="24"/>
          <w:szCs w:val="24"/>
        </w:rPr>
        <w:t>anti</w:t>
      </w:r>
      <w:proofErr w:type="spellEnd"/>
      <w:r w:rsidRPr="00443037">
        <w:rPr>
          <w:spacing w:val="-3"/>
          <w:sz w:val="24"/>
          <w:szCs w:val="24"/>
        </w:rPr>
        <w:t>-</w:t>
      </w:r>
      <w:proofErr w:type="spellStart"/>
      <w:r w:rsidRPr="00443037">
        <w:rPr>
          <w:spacing w:val="-3"/>
          <w:sz w:val="24"/>
          <w:szCs w:val="24"/>
        </w:rPr>
        <w:t>Xa</w:t>
      </w:r>
      <w:proofErr w:type="spellEnd"/>
      <w:r w:rsidRPr="00443037">
        <w:rPr>
          <w:spacing w:val="-3"/>
          <w:sz w:val="24"/>
          <w:szCs w:val="24"/>
        </w:rPr>
        <w:t xml:space="preserve">-aktiviteten efter subkutan injektion er ca. 90 % og maksimal aktivitet nås efter 4-6 timer. Den terminale halveringstid er ca. 3,7 timer. </w:t>
      </w:r>
    </w:p>
    <w:p w14:paraId="2339B2A4" w14:textId="77777777" w:rsidR="00BF2649" w:rsidRPr="00443037" w:rsidRDefault="00BF2649" w:rsidP="00BF2649">
      <w:pPr>
        <w:ind w:left="851"/>
        <w:rPr>
          <w:spacing w:val="-3"/>
          <w:sz w:val="24"/>
          <w:szCs w:val="24"/>
        </w:rPr>
      </w:pPr>
    </w:p>
    <w:p w14:paraId="77870090" w14:textId="77777777" w:rsidR="00BF2649" w:rsidRPr="00443037" w:rsidRDefault="00BF2649" w:rsidP="00BF2649">
      <w:pPr>
        <w:pStyle w:val="BodyTextIndent1"/>
        <w:tabs>
          <w:tab w:val="clear" w:pos="0"/>
          <w:tab w:val="clear" w:pos="851"/>
          <w:tab w:val="clear" w:pos="1217"/>
          <w:tab w:val="left" w:pos="1304"/>
        </w:tabs>
        <w:ind w:left="851" w:firstLine="0"/>
        <w:jc w:val="left"/>
        <w:rPr>
          <w:szCs w:val="24"/>
        </w:rPr>
      </w:pPr>
      <w:proofErr w:type="spellStart"/>
      <w:r w:rsidRPr="00443037">
        <w:rPr>
          <w:szCs w:val="24"/>
        </w:rPr>
        <w:t>Tinzaparinnatrium</w:t>
      </w:r>
      <w:proofErr w:type="spellEnd"/>
      <w:r w:rsidRPr="00443037">
        <w:rPr>
          <w:szCs w:val="24"/>
        </w:rPr>
        <w:t xml:space="preserve"> er genstand for en mindre </w:t>
      </w:r>
      <w:proofErr w:type="spellStart"/>
      <w:r w:rsidRPr="00443037">
        <w:rPr>
          <w:szCs w:val="24"/>
        </w:rPr>
        <w:t>metabolisering</w:t>
      </w:r>
      <w:proofErr w:type="spellEnd"/>
      <w:r w:rsidRPr="00443037">
        <w:rPr>
          <w:szCs w:val="24"/>
        </w:rPr>
        <w:t xml:space="preserve"> i leveren ved en </w:t>
      </w:r>
      <w:proofErr w:type="spellStart"/>
      <w:r w:rsidRPr="00443037">
        <w:rPr>
          <w:szCs w:val="24"/>
        </w:rPr>
        <w:t>depolymerisering</w:t>
      </w:r>
      <w:proofErr w:type="spellEnd"/>
      <w:r w:rsidRPr="00443037">
        <w:rPr>
          <w:szCs w:val="24"/>
        </w:rPr>
        <w:t xml:space="preserve"> og udskilles via nyrerne i uændret eller næsten uændret form.</w:t>
      </w:r>
    </w:p>
    <w:p w14:paraId="112D7CFE" w14:textId="77777777" w:rsidR="00BF2649" w:rsidRPr="00443037" w:rsidRDefault="00BF2649" w:rsidP="00BF2649">
      <w:pPr>
        <w:ind w:left="851"/>
        <w:rPr>
          <w:spacing w:val="-3"/>
          <w:sz w:val="24"/>
          <w:szCs w:val="24"/>
        </w:rPr>
      </w:pPr>
    </w:p>
    <w:p w14:paraId="1920C650" w14:textId="34775C02" w:rsidR="00BF2649" w:rsidRPr="00443037" w:rsidRDefault="00BF2649" w:rsidP="00BF2649">
      <w:pPr>
        <w:tabs>
          <w:tab w:val="left" w:pos="0"/>
        </w:tabs>
        <w:ind w:left="851"/>
        <w:rPr>
          <w:i/>
          <w:iCs/>
          <w:sz w:val="24"/>
          <w:szCs w:val="24"/>
          <w:lang w:bidi="da-DK"/>
        </w:rPr>
      </w:pPr>
      <w:r w:rsidRPr="00443037">
        <w:rPr>
          <w:i/>
          <w:iCs/>
          <w:sz w:val="24"/>
          <w:szCs w:val="24"/>
          <w:lang w:bidi="da-DK"/>
        </w:rPr>
        <w:t>Særlige patientpopulationer</w:t>
      </w:r>
    </w:p>
    <w:p w14:paraId="24F9D259" w14:textId="77777777" w:rsidR="000624B8" w:rsidRPr="00443037" w:rsidRDefault="000624B8" w:rsidP="00BF2649">
      <w:pPr>
        <w:tabs>
          <w:tab w:val="left" w:pos="0"/>
        </w:tabs>
        <w:ind w:left="851"/>
        <w:rPr>
          <w:i/>
          <w:iCs/>
          <w:sz w:val="24"/>
          <w:szCs w:val="24"/>
          <w:lang w:bidi="da-DK"/>
        </w:rPr>
      </w:pPr>
    </w:p>
    <w:p w14:paraId="19649AB8" w14:textId="6E99FFDE" w:rsidR="00BF2649" w:rsidRPr="00443037" w:rsidRDefault="00BF2649" w:rsidP="00BF2649">
      <w:pPr>
        <w:tabs>
          <w:tab w:val="left" w:pos="0"/>
        </w:tabs>
        <w:ind w:left="851"/>
        <w:rPr>
          <w:i/>
          <w:iCs/>
          <w:sz w:val="24"/>
          <w:szCs w:val="24"/>
          <w:lang w:bidi="da-DK"/>
        </w:rPr>
      </w:pPr>
      <w:r w:rsidRPr="00443037">
        <w:rPr>
          <w:i/>
          <w:iCs/>
          <w:sz w:val="24"/>
          <w:szCs w:val="24"/>
          <w:lang w:bidi="da-DK"/>
        </w:rPr>
        <w:t>Gravide kvinder</w:t>
      </w:r>
    </w:p>
    <w:p w14:paraId="11CFD0CE" w14:textId="77777777" w:rsidR="00BF2649" w:rsidRPr="00443037" w:rsidRDefault="00BF2649" w:rsidP="00BF2649">
      <w:pPr>
        <w:ind w:left="851"/>
        <w:rPr>
          <w:spacing w:val="-3"/>
          <w:sz w:val="24"/>
          <w:szCs w:val="24"/>
        </w:rPr>
      </w:pPr>
      <w:r w:rsidRPr="00443037">
        <w:rPr>
          <w:spacing w:val="-3"/>
          <w:sz w:val="24"/>
          <w:szCs w:val="24"/>
        </w:rPr>
        <w:t xml:space="preserve">Den </w:t>
      </w:r>
      <w:proofErr w:type="spellStart"/>
      <w:r w:rsidRPr="00443037">
        <w:rPr>
          <w:spacing w:val="-3"/>
          <w:sz w:val="24"/>
          <w:szCs w:val="24"/>
        </w:rPr>
        <w:t>farmakokinetiske</w:t>
      </w:r>
      <w:proofErr w:type="spellEnd"/>
      <w:r w:rsidRPr="00443037">
        <w:rPr>
          <w:spacing w:val="-3"/>
          <w:sz w:val="24"/>
          <w:szCs w:val="24"/>
        </w:rPr>
        <w:t xml:space="preserve"> aktivitet af </w:t>
      </w:r>
      <w:proofErr w:type="spellStart"/>
      <w:r w:rsidRPr="00443037">
        <w:rPr>
          <w:spacing w:val="-3"/>
          <w:sz w:val="24"/>
          <w:szCs w:val="24"/>
        </w:rPr>
        <w:t>tinzaparin</w:t>
      </w:r>
      <w:proofErr w:type="spellEnd"/>
      <w:r w:rsidRPr="00443037">
        <w:rPr>
          <w:spacing w:val="-3"/>
          <w:sz w:val="24"/>
          <w:szCs w:val="24"/>
        </w:rPr>
        <w:t xml:space="preserve"> er undersøgt hos gravide kvinder</w:t>
      </w:r>
      <w:r w:rsidRPr="00443037">
        <w:rPr>
          <w:color w:val="000000"/>
          <w:spacing w:val="-3"/>
          <w:sz w:val="24"/>
          <w:szCs w:val="24"/>
        </w:rPr>
        <w:t xml:space="preserve">. Data fra sekventiel </w:t>
      </w:r>
      <w:proofErr w:type="spellStart"/>
      <w:r w:rsidRPr="00443037">
        <w:rPr>
          <w:color w:val="000000"/>
          <w:spacing w:val="-3"/>
          <w:sz w:val="24"/>
          <w:szCs w:val="24"/>
        </w:rPr>
        <w:t>farmakokinetisk</w:t>
      </w:r>
      <w:proofErr w:type="spellEnd"/>
      <w:r w:rsidRPr="00443037">
        <w:rPr>
          <w:color w:val="000000"/>
          <w:spacing w:val="-3"/>
          <w:sz w:val="24"/>
          <w:szCs w:val="24"/>
        </w:rPr>
        <w:t xml:space="preserve"> monitorering af 55 gravide kvinder indikerer at de </w:t>
      </w:r>
      <w:proofErr w:type="spellStart"/>
      <w:r w:rsidRPr="00443037">
        <w:rPr>
          <w:color w:val="000000"/>
          <w:spacing w:val="-3"/>
          <w:sz w:val="24"/>
          <w:szCs w:val="24"/>
        </w:rPr>
        <w:t>farmakokinetiske</w:t>
      </w:r>
      <w:proofErr w:type="spellEnd"/>
      <w:r w:rsidRPr="00443037">
        <w:rPr>
          <w:color w:val="000000"/>
          <w:spacing w:val="-3"/>
          <w:sz w:val="24"/>
          <w:szCs w:val="24"/>
        </w:rPr>
        <w:t xml:space="preserve"> egenskaber ikke adskiller sig fra de </w:t>
      </w:r>
      <w:proofErr w:type="spellStart"/>
      <w:r w:rsidRPr="00443037">
        <w:rPr>
          <w:color w:val="000000"/>
          <w:spacing w:val="-3"/>
          <w:sz w:val="24"/>
          <w:szCs w:val="24"/>
        </w:rPr>
        <w:t>farmakokinetiske</w:t>
      </w:r>
      <w:proofErr w:type="spellEnd"/>
      <w:r w:rsidRPr="00443037">
        <w:rPr>
          <w:color w:val="000000"/>
          <w:spacing w:val="-3"/>
          <w:sz w:val="24"/>
          <w:szCs w:val="24"/>
        </w:rPr>
        <w:t xml:space="preserve"> egenskaber hos ikke-gravide.</w:t>
      </w:r>
    </w:p>
    <w:p w14:paraId="6C8A29F4" w14:textId="77777777" w:rsidR="00BF2649" w:rsidRPr="00443037" w:rsidRDefault="00BF2649" w:rsidP="00BF2649">
      <w:pPr>
        <w:ind w:left="851"/>
        <w:rPr>
          <w:spacing w:val="-3"/>
          <w:sz w:val="24"/>
          <w:szCs w:val="24"/>
        </w:rPr>
      </w:pPr>
    </w:p>
    <w:p w14:paraId="0B785B8C" w14:textId="52F4E71A" w:rsidR="00BF2649" w:rsidRPr="00443037" w:rsidRDefault="00BF2649" w:rsidP="00BF2649">
      <w:pPr>
        <w:numPr>
          <w:ilvl w:val="12"/>
          <w:numId w:val="0"/>
        </w:numPr>
        <w:tabs>
          <w:tab w:val="left" w:pos="0"/>
        </w:tabs>
        <w:ind w:left="851"/>
        <w:rPr>
          <w:i/>
          <w:iCs/>
          <w:sz w:val="24"/>
          <w:szCs w:val="24"/>
        </w:rPr>
      </w:pPr>
      <w:r w:rsidRPr="00443037">
        <w:rPr>
          <w:i/>
          <w:sz w:val="24"/>
          <w:szCs w:val="24"/>
          <w:lang w:bidi="da-DK"/>
        </w:rPr>
        <w:t>Nedsat nyrefunktion</w:t>
      </w:r>
    </w:p>
    <w:p w14:paraId="235CBE89" w14:textId="1852BCF2" w:rsidR="00BF2649" w:rsidRPr="00443037" w:rsidRDefault="00BF2649" w:rsidP="00BF2649">
      <w:pPr>
        <w:numPr>
          <w:ilvl w:val="12"/>
          <w:numId w:val="0"/>
        </w:numPr>
        <w:tabs>
          <w:tab w:val="left" w:pos="0"/>
        </w:tabs>
        <w:ind w:left="851"/>
        <w:rPr>
          <w:sz w:val="24"/>
          <w:szCs w:val="24"/>
          <w:lang w:bidi="da-DK"/>
        </w:rPr>
      </w:pPr>
      <w:proofErr w:type="spellStart"/>
      <w:r w:rsidRPr="00443037">
        <w:rPr>
          <w:sz w:val="24"/>
          <w:szCs w:val="24"/>
          <w:lang w:bidi="da-DK"/>
        </w:rPr>
        <w:t>Tinzaparin</w:t>
      </w:r>
      <w:proofErr w:type="spellEnd"/>
      <w:r w:rsidRPr="00443037">
        <w:rPr>
          <w:sz w:val="24"/>
          <w:szCs w:val="24"/>
          <w:lang w:bidi="da-DK"/>
        </w:rPr>
        <w:t xml:space="preserve"> har en høj gennemsnitlig molekylvægt, og der er klinisk og præklinisk evidens for signifikant ikke-</w:t>
      </w:r>
      <w:proofErr w:type="spellStart"/>
      <w:r w:rsidRPr="00443037">
        <w:rPr>
          <w:sz w:val="24"/>
          <w:szCs w:val="24"/>
          <w:lang w:bidi="da-DK"/>
        </w:rPr>
        <w:t>renal</w:t>
      </w:r>
      <w:proofErr w:type="spellEnd"/>
      <w:r w:rsidRPr="00443037">
        <w:rPr>
          <w:sz w:val="24"/>
          <w:szCs w:val="24"/>
          <w:lang w:bidi="da-DK"/>
        </w:rPr>
        <w:t xml:space="preserve"> elimination af </w:t>
      </w:r>
      <w:proofErr w:type="spellStart"/>
      <w:r w:rsidRPr="00443037">
        <w:rPr>
          <w:sz w:val="24"/>
          <w:szCs w:val="24"/>
          <w:lang w:bidi="da-DK"/>
        </w:rPr>
        <w:t>tinzaparin</w:t>
      </w:r>
      <w:proofErr w:type="spellEnd"/>
      <w:r w:rsidRPr="00443037">
        <w:rPr>
          <w:sz w:val="24"/>
          <w:szCs w:val="24"/>
          <w:lang w:bidi="da-DK"/>
        </w:rPr>
        <w:t>.</w:t>
      </w:r>
    </w:p>
    <w:p w14:paraId="38065BD8" w14:textId="392743FD" w:rsidR="00BF2649" w:rsidRPr="00443037" w:rsidRDefault="00BF2649" w:rsidP="00BF2649">
      <w:pPr>
        <w:numPr>
          <w:ilvl w:val="12"/>
          <w:numId w:val="0"/>
        </w:numPr>
        <w:tabs>
          <w:tab w:val="left" w:pos="0"/>
        </w:tabs>
        <w:ind w:left="851"/>
        <w:rPr>
          <w:iCs/>
          <w:sz w:val="24"/>
          <w:szCs w:val="24"/>
        </w:rPr>
      </w:pPr>
    </w:p>
    <w:p w14:paraId="66FE51A5" w14:textId="326823F7" w:rsidR="00BF2649" w:rsidRPr="00443037" w:rsidRDefault="00BF2649" w:rsidP="00BF2649">
      <w:pPr>
        <w:numPr>
          <w:ilvl w:val="12"/>
          <w:numId w:val="0"/>
        </w:numPr>
        <w:tabs>
          <w:tab w:val="left" w:pos="0"/>
        </w:tabs>
        <w:ind w:left="851"/>
        <w:rPr>
          <w:sz w:val="24"/>
          <w:szCs w:val="24"/>
        </w:rPr>
      </w:pPr>
      <w:r w:rsidRPr="00443037">
        <w:rPr>
          <w:sz w:val="24"/>
          <w:szCs w:val="24"/>
          <w:lang w:bidi="da-DK"/>
        </w:rPr>
        <w:t xml:space="preserve">Den observerede halveringstid af en intravenøs </w:t>
      </w:r>
      <w:proofErr w:type="spellStart"/>
      <w:r w:rsidRPr="00443037">
        <w:rPr>
          <w:sz w:val="24"/>
          <w:szCs w:val="24"/>
          <w:lang w:bidi="da-DK"/>
        </w:rPr>
        <w:t>bolusinjektion</w:t>
      </w:r>
      <w:proofErr w:type="spellEnd"/>
      <w:r w:rsidRPr="00443037">
        <w:rPr>
          <w:sz w:val="24"/>
          <w:szCs w:val="24"/>
          <w:lang w:bidi="da-DK"/>
        </w:rPr>
        <w:t>, der blev givet til dialysepatienter, er kortere end ved subkutan indgift til raske frivillige (ca. 2,5 timer sammenlignet med ca. 3,7 timer).</w:t>
      </w:r>
    </w:p>
    <w:p w14:paraId="458F2186" w14:textId="77777777" w:rsidR="00BF2649" w:rsidRPr="00443037" w:rsidRDefault="00BF2649" w:rsidP="00BF2649">
      <w:pPr>
        <w:numPr>
          <w:ilvl w:val="12"/>
          <w:numId w:val="0"/>
        </w:numPr>
        <w:tabs>
          <w:tab w:val="left" w:pos="0"/>
        </w:tabs>
        <w:ind w:left="851"/>
        <w:rPr>
          <w:sz w:val="24"/>
          <w:szCs w:val="24"/>
        </w:rPr>
      </w:pPr>
    </w:p>
    <w:p w14:paraId="1F05F1D1" w14:textId="77777777" w:rsidR="00BF2649" w:rsidRPr="00443037" w:rsidRDefault="00BF2649" w:rsidP="00BF2649">
      <w:pPr>
        <w:autoSpaceDE w:val="0"/>
        <w:autoSpaceDN w:val="0"/>
        <w:adjustRightInd w:val="0"/>
        <w:ind w:left="851"/>
        <w:rPr>
          <w:sz w:val="24"/>
          <w:szCs w:val="24"/>
        </w:rPr>
      </w:pPr>
      <w:r w:rsidRPr="00443037">
        <w:rPr>
          <w:sz w:val="24"/>
          <w:szCs w:val="24"/>
          <w:lang w:bidi="da-DK"/>
        </w:rPr>
        <w:t xml:space="preserve">I et </w:t>
      </w:r>
      <w:proofErr w:type="spellStart"/>
      <w:r w:rsidRPr="00443037">
        <w:rPr>
          <w:sz w:val="24"/>
          <w:szCs w:val="24"/>
          <w:lang w:bidi="da-DK"/>
        </w:rPr>
        <w:t>prospektivt</w:t>
      </w:r>
      <w:proofErr w:type="spellEnd"/>
      <w:r w:rsidRPr="00443037">
        <w:rPr>
          <w:sz w:val="24"/>
          <w:szCs w:val="24"/>
          <w:lang w:bidi="da-DK"/>
        </w:rPr>
        <w:t xml:space="preserve"> forsøg blev det undersøgt, om </w:t>
      </w:r>
      <w:proofErr w:type="spellStart"/>
      <w:r w:rsidRPr="00443037">
        <w:rPr>
          <w:sz w:val="24"/>
          <w:szCs w:val="24"/>
          <w:lang w:bidi="da-DK"/>
        </w:rPr>
        <w:t>tinzaparin</w:t>
      </w:r>
      <w:proofErr w:type="spellEnd"/>
      <w:r w:rsidRPr="00443037">
        <w:rPr>
          <w:sz w:val="24"/>
          <w:szCs w:val="24"/>
          <w:lang w:bidi="da-DK"/>
        </w:rPr>
        <w:t xml:space="preserve"> (175 </w:t>
      </w:r>
      <w:proofErr w:type="spellStart"/>
      <w:r w:rsidRPr="00443037">
        <w:rPr>
          <w:sz w:val="24"/>
          <w:szCs w:val="24"/>
          <w:lang w:bidi="da-DK"/>
        </w:rPr>
        <w:t>anti-Xa</w:t>
      </w:r>
      <w:proofErr w:type="spellEnd"/>
      <w:r w:rsidRPr="00443037">
        <w:rPr>
          <w:sz w:val="24"/>
          <w:szCs w:val="24"/>
          <w:lang w:bidi="da-DK"/>
        </w:rPr>
        <w:t xml:space="preserve"> IE/kg subkutant én gang dagligt) akkumulerede i løbet af 10 dages behandling hos 30 indlagte patienter over 70 år, som fik en terapeutisk dosis mod akut </w:t>
      </w:r>
      <w:proofErr w:type="spellStart"/>
      <w:r w:rsidRPr="00443037">
        <w:rPr>
          <w:sz w:val="24"/>
          <w:szCs w:val="24"/>
          <w:lang w:bidi="da-DK"/>
        </w:rPr>
        <w:t>tromboembolisk</w:t>
      </w:r>
      <w:proofErr w:type="spellEnd"/>
      <w:r w:rsidRPr="00443037">
        <w:rPr>
          <w:sz w:val="24"/>
          <w:szCs w:val="24"/>
          <w:lang w:bidi="da-DK"/>
        </w:rPr>
        <w:t xml:space="preserve"> sygdom. Plasmaniveauer af </w:t>
      </w:r>
      <w:proofErr w:type="spellStart"/>
      <w:r w:rsidRPr="00443037">
        <w:rPr>
          <w:sz w:val="24"/>
          <w:szCs w:val="24"/>
          <w:lang w:bidi="da-DK"/>
        </w:rPr>
        <w:t>anti-Xa</w:t>
      </w:r>
      <w:proofErr w:type="spellEnd"/>
      <w:r w:rsidRPr="00443037">
        <w:rPr>
          <w:sz w:val="24"/>
          <w:szCs w:val="24"/>
          <w:lang w:bidi="da-DK"/>
        </w:rPr>
        <w:t xml:space="preserve"> og </w:t>
      </w:r>
      <w:proofErr w:type="spellStart"/>
      <w:r w:rsidRPr="00443037">
        <w:rPr>
          <w:sz w:val="24"/>
          <w:szCs w:val="24"/>
          <w:lang w:bidi="da-DK"/>
        </w:rPr>
        <w:t>anti-IIa</w:t>
      </w:r>
      <w:proofErr w:type="spellEnd"/>
      <w:r w:rsidRPr="00443037">
        <w:rPr>
          <w:sz w:val="24"/>
          <w:szCs w:val="24"/>
          <w:lang w:bidi="da-DK"/>
        </w:rPr>
        <w:t xml:space="preserve"> samt aktiveret partiel </w:t>
      </w:r>
      <w:proofErr w:type="spellStart"/>
      <w:r w:rsidRPr="00443037">
        <w:rPr>
          <w:sz w:val="24"/>
          <w:szCs w:val="24"/>
          <w:lang w:bidi="da-DK"/>
        </w:rPr>
        <w:t>tromboplastintid</w:t>
      </w:r>
      <w:proofErr w:type="spellEnd"/>
      <w:r w:rsidRPr="00443037">
        <w:rPr>
          <w:sz w:val="24"/>
          <w:szCs w:val="24"/>
          <w:lang w:bidi="da-DK"/>
        </w:rPr>
        <w:t xml:space="preserve"> (APTT) blev bestemt før den første injektion ved topniveauer, dvs. 5 timer efter den anden injektion (dag 2) og på dag 5, 7 og 10. Patienterne var i gennemsnit 87 år gamle (interval: 71-96 år), havde en kropsvægt på 62,7 kg (interval: 38-90 kg) og et gennemsnitligt </w:t>
      </w:r>
      <w:proofErr w:type="spellStart"/>
      <w:r w:rsidRPr="00443037">
        <w:rPr>
          <w:sz w:val="24"/>
          <w:szCs w:val="24"/>
          <w:lang w:bidi="da-DK"/>
        </w:rPr>
        <w:t>CrCl</w:t>
      </w:r>
      <w:proofErr w:type="spellEnd"/>
      <w:r w:rsidRPr="00443037">
        <w:rPr>
          <w:sz w:val="24"/>
          <w:szCs w:val="24"/>
          <w:lang w:bidi="da-DK"/>
        </w:rPr>
        <w:t xml:space="preserve"> på 40,6 ± 15,3 ml/min (interval: 20-72 ml/min). Eftersom ingen af patienterne havde en </w:t>
      </w:r>
      <w:proofErr w:type="spellStart"/>
      <w:r w:rsidRPr="00443037">
        <w:rPr>
          <w:sz w:val="24"/>
          <w:szCs w:val="24"/>
          <w:lang w:bidi="da-DK"/>
        </w:rPr>
        <w:t>anti</w:t>
      </w:r>
      <w:proofErr w:type="spellEnd"/>
      <w:r w:rsidRPr="00443037">
        <w:rPr>
          <w:sz w:val="24"/>
          <w:szCs w:val="24"/>
          <w:lang w:bidi="da-DK"/>
        </w:rPr>
        <w:t>-</w:t>
      </w:r>
      <w:proofErr w:type="spellStart"/>
      <w:r w:rsidRPr="00443037">
        <w:rPr>
          <w:sz w:val="24"/>
          <w:szCs w:val="24"/>
          <w:lang w:bidi="da-DK"/>
        </w:rPr>
        <w:t>Xa</w:t>
      </w:r>
      <w:proofErr w:type="spellEnd"/>
      <w:r w:rsidRPr="00443037">
        <w:rPr>
          <w:sz w:val="24"/>
          <w:szCs w:val="24"/>
          <w:lang w:bidi="da-DK"/>
        </w:rPr>
        <w:t xml:space="preserve">-aktivitet over 1,5 IE/ml, blev der ikke foretaget dosisjustering. Det gennemsnitlige maksimale </w:t>
      </w:r>
      <w:proofErr w:type="spellStart"/>
      <w:r w:rsidRPr="00443037">
        <w:rPr>
          <w:sz w:val="24"/>
          <w:szCs w:val="24"/>
          <w:lang w:bidi="da-DK"/>
        </w:rPr>
        <w:t>anti</w:t>
      </w:r>
      <w:proofErr w:type="spellEnd"/>
      <w:r w:rsidRPr="00443037">
        <w:rPr>
          <w:sz w:val="24"/>
          <w:szCs w:val="24"/>
          <w:lang w:bidi="da-DK"/>
        </w:rPr>
        <w:t>-</w:t>
      </w:r>
      <w:proofErr w:type="spellStart"/>
      <w:r w:rsidRPr="00443037">
        <w:rPr>
          <w:sz w:val="24"/>
          <w:szCs w:val="24"/>
          <w:lang w:bidi="da-DK"/>
        </w:rPr>
        <w:t>Xa</w:t>
      </w:r>
      <w:proofErr w:type="spellEnd"/>
      <w:r w:rsidRPr="00443037">
        <w:rPr>
          <w:sz w:val="24"/>
          <w:szCs w:val="24"/>
          <w:lang w:bidi="da-DK"/>
        </w:rPr>
        <w:t xml:space="preserve">-niveau var 0,66 ± 0,20 IE/ml (interval: 0,26-1,04) på dag 2. Der var ingen progressiv stigning i </w:t>
      </w:r>
      <w:proofErr w:type="spellStart"/>
      <w:r w:rsidRPr="00443037">
        <w:rPr>
          <w:sz w:val="24"/>
          <w:szCs w:val="24"/>
          <w:lang w:bidi="da-DK"/>
        </w:rPr>
        <w:t>anti-Xa</w:t>
      </w:r>
      <w:proofErr w:type="spellEnd"/>
      <w:r w:rsidRPr="00443037">
        <w:rPr>
          <w:sz w:val="24"/>
          <w:szCs w:val="24"/>
          <w:lang w:bidi="da-DK"/>
        </w:rPr>
        <w:t xml:space="preserve">- eller </w:t>
      </w:r>
      <w:proofErr w:type="spellStart"/>
      <w:r w:rsidRPr="00443037">
        <w:rPr>
          <w:sz w:val="24"/>
          <w:szCs w:val="24"/>
          <w:lang w:bidi="da-DK"/>
        </w:rPr>
        <w:t>anti-IIa</w:t>
      </w:r>
      <w:proofErr w:type="spellEnd"/>
      <w:r w:rsidRPr="00443037">
        <w:rPr>
          <w:sz w:val="24"/>
          <w:szCs w:val="24"/>
          <w:lang w:bidi="da-DK"/>
        </w:rPr>
        <w:t xml:space="preserve"> aktivitet efter gentagen daglig behandling med </w:t>
      </w:r>
      <w:proofErr w:type="spellStart"/>
      <w:r w:rsidRPr="00443037">
        <w:rPr>
          <w:sz w:val="24"/>
          <w:szCs w:val="24"/>
          <w:lang w:bidi="da-DK"/>
        </w:rPr>
        <w:t>tinzaparin</w:t>
      </w:r>
      <w:proofErr w:type="spellEnd"/>
      <w:r w:rsidRPr="00443037">
        <w:rPr>
          <w:sz w:val="24"/>
          <w:szCs w:val="24"/>
          <w:lang w:bidi="da-DK"/>
        </w:rPr>
        <w:t xml:space="preserve"> i 10 dage. Der blev ikke fundet nogen sammenhæng mellem </w:t>
      </w:r>
      <w:proofErr w:type="spellStart"/>
      <w:r w:rsidRPr="00443037">
        <w:rPr>
          <w:sz w:val="24"/>
          <w:szCs w:val="24"/>
          <w:lang w:bidi="da-DK"/>
        </w:rPr>
        <w:t>anti-Xa</w:t>
      </w:r>
      <w:proofErr w:type="spellEnd"/>
      <w:r w:rsidRPr="00443037">
        <w:rPr>
          <w:sz w:val="24"/>
          <w:szCs w:val="24"/>
          <w:lang w:bidi="da-DK"/>
        </w:rPr>
        <w:t xml:space="preserve">- og </w:t>
      </w:r>
      <w:proofErr w:type="spellStart"/>
      <w:r w:rsidRPr="00443037">
        <w:rPr>
          <w:sz w:val="24"/>
          <w:szCs w:val="24"/>
          <w:lang w:bidi="da-DK"/>
        </w:rPr>
        <w:t>anti-IIa</w:t>
      </w:r>
      <w:proofErr w:type="spellEnd"/>
      <w:r w:rsidRPr="00443037">
        <w:rPr>
          <w:sz w:val="24"/>
          <w:szCs w:val="24"/>
          <w:lang w:bidi="da-DK"/>
        </w:rPr>
        <w:t xml:space="preserve"> aktiviteter og alder, vægt eller </w:t>
      </w:r>
      <w:proofErr w:type="spellStart"/>
      <w:r w:rsidRPr="00443037">
        <w:rPr>
          <w:sz w:val="24"/>
          <w:szCs w:val="24"/>
          <w:lang w:bidi="da-DK"/>
        </w:rPr>
        <w:t>CrCl</w:t>
      </w:r>
      <w:proofErr w:type="spellEnd"/>
      <w:r w:rsidRPr="00443037">
        <w:rPr>
          <w:sz w:val="24"/>
          <w:szCs w:val="24"/>
          <w:lang w:bidi="da-DK"/>
        </w:rPr>
        <w:t xml:space="preserve">. Der opstod ingen alvorlig blødning, og der var ingen </w:t>
      </w:r>
      <w:proofErr w:type="spellStart"/>
      <w:r w:rsidRPr="00443037">
        <w:rPr>
          <w:sz w:val="24"/>
          <w:szCs w:val="24"/>
          <w:lang w:bidi="da-DK"/>
        </w:rPr>
        <w:t>tromboemboliske</w:t>
      </w:r>
      <w:proofErr w:type="spellEnd"/>
      <w:r w:rsidRPr="00443037">
        <w:rPr>
          <w:sz w:val="24"/>
          <w:szCs w:val="24"/>
          <w:lang w:bidi="da-DK"/>
        </w:rPr>
        <w:t xml:space="preserve"> komplikationer eller dødsfald.</w:t>
      </w:r>
    </w:p>
    <w:p w14:paraId="421A9420" w14:textId="77777777" w:rsidR="00BF2649" w:rsidRPr="00443037" w:rsidRDefault="00BF2649" w:rsidP="00BF2649">
      <w:pPr>
        <w:ind w:left="851"/>
        <w:rPr>
          <w:spacing w:val="-3"/>
          <w:sz w:val="24"/>
          <w:szCs w:val="24"/>
        </w:rPr>
      </w:pPr>
    </w:p>
    <w:p w14:paraId="10B1681E" w14:textId="77777777" w:rsidR="00BF2649" w:rsidRPr="00443037" w:rsidRDefault="00BF2649" w:rsidP="00BF2649">
      <w:pPr>
        <w:ind w:left="851"/>
        <w:rPr>
          <w:spacing w:val="-3"/>
          <w:sz w:val="24"/>
          <w:szCs w:val="24"/>
        </w:rPr>
      </w:pPr>
      <w:r w:rsidRPr="00443037">
        <w:rPr>
          <w:spacing w:val="-3"/>
          <w:sz w:val="24"/>
          <w:szCs w:val="24"/>
          <w:u w:val="single"/>
        </w:rPr>
        <w:t>Pædiatrisk population</w:t>
      </w:r>
      <w:r w:rsidRPr="00443037">
        <w:rPr>
          <w:spacing w:val="-3"/>
          <w:sz w:val="24"/>
          <w:szCs w:val="24"/>
          <w:u w:val="single"/>
        </w:rPr>
        <w:br/>
      </w:r>
      <w:r w:rsidRPr="00443037">
        <w:rPr>
          <w:spacing w:val="-3"/>
          <w:sz w:val="24"/>
          <w:szCs w:val="24"/>
        </w:rPr>
        <w:t xml:space="preserve">Midlertidige data på brugen af </w:t>
      </w:r>
      <w:proofErr w:type="spellStart"/>
      <w:r w:rsidRPr="00443037">
        <w:rPr>
          <w:spacing w:val="-3"/>
          <w:sz w:val="24"/>
          <w:szCs w:val="24"/>
        </w:rPr>
        <w:t>tinzaparin</w:t>
      </w:r>
      <w:proofErr w:type="spellEnd"/>
      <w:r w:rsidRPr="00443037">
        <w:rPr>
          <w:spacing w:val="-3"/>
          <w:sz w:val="24"/>
          <w:szCs w:val="24"/>
        </w:rPr>
        <w:t xml:space="preserve"> indikerer at yngre børn herunder neonatale og nyfødte udskiller </w:t>
      </w:r>
      <w:proofErr w:type="spellStart"/>
      <w:r w:rsidRPr="00443037">
        <w:rPr>
          <w:spacing w:val="-3"/>
          <w:sz w:val="24"/>
          <w:szCs w:val="24"/>
        </w:rPr>
        <w:t>tinzaparin</w:t>
      </w:r>
      <w:proofErr w:type="spellEnd"/>
      <w:r w:rsidRPr="00443037">
        <w:rPr>
          <w:spacing w:val="-3"/>
          <w:sz w:val="24"/>
          <w:szCs w:val="24"/>
        </w:rPr>
        <w:t xml:space="preserve"> hurtigere og derfor eventuelt har brug for højere doser end ældre børn. Dog er data ikke tilstrækkelige for at kunne udarbejde doseringsrekommandation (se pkt. 4.2).</w:t>
      </w:r>
    </w:p>
    <w:p w14:paraId="5EB26AD2" w14:textId="77777777" w:rsidR="009260DE" w:rsidRPr="00443037" w:rsidRDefault="009260DE" w:rsidP="009260DE">
      <w:pPr>
        <w:tabs>
          <w:tab w:val="left" w:pos="851"/>
        </w:tabs>
        <w:ind w:left="851"/>
        <w:rPr>
          <w:sz w:val="24"/>
          <w:szCs w:val="24"/>
        </w:rPr>
      </w:pPr>
    </w:p>
    <w:p w14:paraId="7DB8DED7" w14:textId="77777777" w:rsidR="009260DE" w:rsidRPr="00443037" w:rsidRDefault="009260DE" w:rsidP="009260DE">
      <w:pPr>
        <w:tabs>
          <w:tab w:val="left" w:pos="851"/>
        </w:tabs>
        <w:ind w:left="851" w:hanging="851"/>
        <w:rPr>
          <w:b/>
          <w:sz w:val="24"/>
          <w:szCs w:val="24"/>
        </w:rPr>
      </w:pPr>
      <w:r w:rsidRPr="00443037">
        <w:rPr>
          <w:b/>
          <w:sz w:val="24"/>
          <w:szCs w:val="24"/>
        </w:rPr>
        <w:t>5.3</w:t>
      </w:r>
      <w:r w:rsidRPr="00443037">
        <w:rPr>
          <w:b/>
          <w:sz w:val="24"/>
          <w:szCs w:val="24"/>
        </w:rPr>
        <w:tab/>
      </w:r>
      <w:r w:rsidR="00BD7931" w:rsidRPr="00443037">
        <w:rPr>
          <w:b/>
          <w:sz w:val="24"/>
          <w:szCs w:val="24"/>
        </w:rPr>
        <w:t>Non-</w:t>
      </w:r>
      <w:r w:rsidRPr="00443037">
        <w:rPr>
          <w:b/>
          <w:sz w:val="24"/>
          <w:szCs w:val="24"/>
        </w:rPr>
        <w:t>kliniske sikkerhedsdata</w:t>
      </w:r>
    </w:p>
    <w:p w14:paraId="54300B8F" w14:textId="77777777" w:rsidR="00BF2649" w:rsidRPr="00443037" w:rsidRDefault="00BF2649" w:rsidP="00BF2649">
      <w:pPr>
        <w:ind w:left="851"/>
        <w:rPr>
          <w:spacing w:val="-3"/>
          <w:sz w:val="24"/>
          <w:szCs w:val="24"/>
        </w:rPr>
      </w:pPr>
      <w:proofErr w:type="spellStart"/>
      <w:r w:rsidRPr="00443037">
        <w:rPr>
          <w:spacing w:val="-3"/>
          <w:sz w:val="24"/>
          <w:szCs w:val="24"/>
        </w:rPr>
        <w:t>Hepariner</w:t>
      </w:r>
      <w:proofErr w:type="spellEnd"/>
      <w:r w:rsidRPr="00443037">
        <w:rPr>
          <w:spacing w:val="-3"/>
          <w:sz w:val="24"/>
          <w:szCs w:val="24"/>
        </w:rPr>
        <w:t xml:space="preserve"> og lav molekylære </w:t>
      </w:r>
      <w:proofErr w:type="spellStart"/>
      <w:r w:rsidRPr="00443037">
        <w:rPr>
          <w:spacing w:val="-3"/>
          <w:sz w:val="24"/>
          <w:szCs w:val="24"/>
        </w:rPr>
        <w:t>hepariner</w:t>
      </w:r>
      <w:proofErr w:type="spellEnd"/>
      <w:r w:rsidRPr="00443037">
        <w:rPr>
          <w:spacing w:val="-3"/>
          <w:sz w:val="24"/>
          <w:szCs w:val="24"/>
        </w:rPr>
        <w:t xml:space="preserve"> (LMWH) er generelt meget lidt toksiske, og dette gælder også for </w:t>
      </w:r>
      <w:proofErr w:type="spellStart"/>
      <w:r w:rsidRPr="00443037">
        <w:rPr>
          <w:spacing w:val="-3"/>
          <w:sz w:val="24"/>
          <w:szCs w:val="24"/>
        </w:rPr>
        <w:t>tinzaparinnatrium</w:t>
      </w:r>
      <w:proofErr w:type="spellEnd"/>
      <w:r w:rsidRPr="00443037">
        <w:rPr>
          <w:spacing w:val="-3"/>
          <w:sz w:val="24"/>
          <w:szCs w:val="24"/>
        </w:rPr>
        <w:t xml:space="preserve">. Den vigtigste virkning, der er set i studier af akut, </w:t>
      </w:r>
      <w:proofErr w:type="spellStart"/>
      <w:r w:rsidRPr="00443037">
        <w:rPr>
          <w:spacing w:val="-3"/>
          <w:sz w:val="24"/>
          <w:szCs w:val="24"/>
        </w:rPr>
        <w:t>subakut</w:t>
      </w:r>
      <w:proofErr w:type="spellEnd"/>
      <w:r w:rsidRPr="00443037">
        <w:rPr>
          <w:spacing w:val="-3"/>
          <w:sz w:val="24"/>
          <w:szCs w:val="24"/>
        </w:rPr>
        <w:t xml:space="preserve"> og kronisk toksicitet, reproduktionstoksicitet og </w:t>
      </w:r>
      <w:proofErr w:type="spellStart"/>
      <w:r w:rsidRPr="00443037">
        <w:rPr>
          <w:spacing w:val="-3"/>
          <w:sz w:val="24"/>
          <w:szCs w:val="24"/>
        </w:rPr>
        <w:t>mutagenicitet</w:t>
      </w:r>
      <w:proofErr w:type="spellEnd"/>
      <w:r w:rsidRPr="00443037">
        <w:rPr>
          <w:spacing w:val="-3"/>
          <w:sz w:val="24"/>
          <w:szCs w:val="24"/>
        </w:rPr>
        <w:t xml:space="preserve"> er blødning forårsaget af de meget store indgivne doser.</w:t>
      </w:r>
    </w:p>
    <w:p w14:paraId="52384D15" w14:textId="60389983" w:rsidR="00BF2649" w:rsidRPr="00443037" w:rsidRDefault="00BF2649" w:rsidP="00BF2649">
      <w:pPr>
        <w:ind w:left="851"/>
        <w:rPr>
          <w:spacing w:val="-3"/>
          <w:sz w:val="24"/>
          <w:szCs w:val="24"/>
        </w:rPr>
      </w:pPr>
    </w:p>
    <w:p w14:paraId="54F1FA31" w14:textId="77777777" w:rsidR="00BF2649" w:rsidRPr="00443037" w:rsidRDefault="00BF2649" w:rsidP="00BF2649">
      <w:pPr>
        <w:ind w:left="851"/>
        <w:rPr>
          <w:spacing w:val="-3"/>
          <w:sz w:val="24"/>
          <w:szCs w:val="24"/>
        </w:rPr>
      </w:pPr>
      <w:proofErr w:type="spellStart"/>
      <w:r w:rsidRPr="00443037">
        <w:rPr>
          <w:spacing w:val="-3"/>
          <w:sz w:val="24"/>
          <w:szCs w:val="24"/>
        </w:rPr>
        <w:t>Nekrotiserende</w:t>
      </w:r>
      <w:proofErr w:type="spellEnd"/>
      <w:r w:rsidRPr="00443037">
        <w:rPr>
          <w:spacing w:val="-3"/>
          <w:sz w:val="24"/>
          <w:szCs w:val="24"/>
        </w:rPr>
        <w:t xml:space="preserve"> </w:t>
      </w:r>
      <w:proofErr w:type="spellStart"/>
      <w:r w:rsidRPr="00443037">
        <w:rPr>
          <w:spacing w:val="-3"/>
          <w:sz w:val="24"/>
          <w:szCs w:val="24"/>
        </w:rPr>
        <w:t>hæmatomer</w:t>
      </w:r>
      <w:proofErr w:type="spellEnd"/>
      <w:r w:rsidRPr="00443037">
        <w:rPr>
          <w:spacing w:val="-3"/>
          <w:sz w:val="24"/>
          <w:szCs w:val="24"/>
        </w:rPr>
        <w:t xml:space="preserve"> blev observeret efter intramuskulær indgift af LMWH i dyr. </w:t>
      </w:r>
      <w:proofErr w:type="spellStart"/>
      <w:r w:rsidRPr="00443037">
        <w:rPr>
          <w:spacing w:val="-3"/>
          <w:sz w:val="24"/>
          <w:szCs w:val="24"/>
        </w:rPr>
        <w:t>Osteoporotiske</w:t>
      </w:r>
      <w:proofErr w:type="spellEnd"/>
      <w:r w:rsidRPr="00443037">
        <w:rPr>
          <w:spacing w:val="-3"/>
          <w:sz w:val="24"/>
          <w:szCs w:val="24"/>
        </w:rPr>
        <w:t xml:space="preserve"> virkninger blev påvist i et 12 måneders studie med rotter. Dyrestudier med rotter og kaniner har ikke vist et </w:t>
      </w:r>
      <w:proofErr w:type="spellStart"/>
      <w:r w:rsidRPr="00443037">
        <w:rPr>
          <w:spacing w:val="-3"/>
          <w:sz w:val="24"/>
          <w:szCs w:val="24"/>
        </w:rPr>
        <w:t>teratogent</w:t>
      </w:r>
      <w:proofErr w:type="spellEnd"/>
      <w:r w:rsidRPr="00443037">
        <w:rPr>
          <w:spacing w:val="-3"/>
          <w:sz w:val="24"/>
          <w:szCs w:val="24"/>
        </w:rPr>
        <w:t xml:space="preserve"> potentiale hos LMWH i doser på op til 25 mg/kg legemsvægt. Fostre, der prænatalt blev udsat for 10 mg/kg legemsvægt, viste sig at have mindre legemsvægt end kontrolgruppen.</w:t>
      </w:r>
    </w:p>
    <w:p w14:paraId="03839E3A" w14:textId="77777777" w:rsidR="009260DE" w:rsidRPr="00443037" w:rsidRDefault="009260DE" w:rsidP="009260DE">
      <w:pPr>
        <w:tabs>
          <w:tab w:val="left" w:pos="851"/>
        </w:tabs>
        <w:ind w:left="851"/>
        <w:rPr>
          <w:sz w:val="24"/>
          <w:szCs w:val="24"/>
        </w:rPr>
      </w:pPr>
    </w:p>
    <w:p w14:paraId="6B59D51C" w14:textId="77777777" w:rsidR="009260DE" w:rsidRPr="00443037" w:rsidRDefault="009260DE" w:rsidP="009260DE">
      <w:pPr>
        <w:tabs>
          <w:tab w:val="left" w:pos="851"/>
        </w:tabs>
        <w:ind w:left="851"/>
        <w:rPr>
          <w:sz w:val="24"/>
          <w:szCs w:val="24"/>
        </w:rPr>
      </w:pPr>
    </w:p>
    <w:p w14:paraId="70517C4B" w14:textId="77777777" w:rsidR="009260DE" w:rsidRPr="00443037" w:rsidRDefault="009260DE" w:rsidP="009260DE">
      <w:pPr>
        <w:tabs>
          <w:tab w:val="left" w:pos="851"/>
        </w:tabs>
        <w:ind w:left="851" w:hanging="851"/>
        <w:rPr>
          <w:b/>
          <w:sz w:val="24"/>
          <w:szCs w:val="24"/>
        </w:rPr>
      </w:pPr>
      <w:r w:rsidRPr="00443037">
        <w:rPr>
          <w:b/>
          <w:sz w:val="24"/>
          <w:szCs w:val="24"/>
        </w:rPr>
        <w:t>6.</w:t>
      </w:r>
      <w:r w:rsidRPr="00443037">
        <w:rPr>
          <w:b/>
          <w:sz w:val="24"/>
          <w:szCs w:val="24"/>
        </w:rPr>
        <w:tab/>
        <w:t>FARMACEUTISKE OPLYSNINGER</w:t>
      </w:r>
    </w:p>
    <w:p w14:paraId="011A4375" w14:textId="77777777" w:rsidR="009260DE" w:rsidRPr="00443037" w:rsidRDefault="009260DE" w:rsidP="009260DE">
      <w:pPr>
        <w:tabs>
          <w:tab w:val="left" w:pos="851"/>
        </w:tabs>
        <w:ind w:left="851"/>
        <w:rPr>
          <w:sz w:val="24"/>
          <w:szCs w:val="24"/>
        </w:rPr>
      </w:pPr>
    </w:p>
    <w:p w14:paraId="679A9CDE" w14:textId="77777777" w:rsidR="009260DE" w:rsidRPr="00443037" w:rsidRDefault="009260DE" w:rsidP="009260DE">
      <w:pPr>
        <w:tabs>
          <w:tab w:val="left" w:pos="851"/>
        </w:tabs>
        <w:ind w:left="851" w:hanging="851"/>
        <w:rPr>
          <w:b/>
          <w:sz w:val="24"/>
          <w:szCs w:val="24"/>
        </w:rPr>
      </w:pPr>
      <w:r w:rsidRPr="00443037">
        <w:rPr>
          <w:b/>
          <w:sz w:val="24"/>
          <w:szCs w:val="24"/>
        </w:rPr>
        <w:t>6.1</w:t>
      </w:r>
      <w:r w:rsidRPr="00443037">
        <w:rPr>
          <w:b/>
          <w:sz w:val="24"/>
          <w:szCs w:val="24"/>
        </w:rPr>
        <w:tab/>
        <w:t>Hjælpestoffer</w:t>
      </w:r>
    </w:p>
    <w:p w14:paraId="3E39F291" w14:textId="77777777" w:rsidR="00BF2649" w:rsidRPr="00443037" w:rsidRDefault="00BF2649" w:rsidP="00BF2649">
      <w:pPr>
        <w:ind w:left="851"/>
        <w:rPr>
          <w:spacing w:val="-3"/>
          <w:sz w:val="24"/>
          <w:szCs w:val="24"/>
        </w:rPr>
      </w:pPr>
      <w:proofErr w:type="spellStart"/>
      <w:r w:rsidRPr="00443037">
        <w:rPr>
          <w:spacing w:val="-3"/>
          <w:sz w:val="24"/>
          <w:szCs w:val="24"/>
        </w:rPr>
        <w:t>Benzylalkohol</w:t>
      </w:r>
      <w:proofErr w:type="spellEnd"/>
    </w:p>
    <w:p w14:paraId="501B75E6" w14:textId="77777777" w:rsidR="00BF2649" w:rsidRPr="00443037" w:rsidRDefault="00BF2649" w:rsidP="00BF2649">
      <w:pPr>
        <w:ind w:left="851"/>
        <w:rPr>
          <w:spacing w:val="-3"/>
          <w:sz w:val="24"/>
          <w:szCs w:val="24"/>
        </w:rPr>
      </w:pPr>
      <w:proofErr w:type="spellStart"/>
      <w:r w:rsidRPr="00443037">
        <w:rPr>
          <w:spacing w:val="-3"/>
          <w:sz w:val="24"/>
          <w:szCs w:val="24"/>
        </w:rPr>
        <w:t>Natriummetabisulfit</w:t>
      </w:r>
      <w:proofErr w:type="spellEnd"/>
      <w:r w:rsidRPr="00443037">
        <w:rPr>
          <w:spacing w:val="-3"/>
          <w:sz w:val="24"/>
          <w:szCs w:val="24"/>
        </w:rPr>
        <w:t xml:space="preserve"> (E223)</w:t>
      </w:r>
    </w:p>
    <w:p w14:paraId="4886CE7F" w14:textId="77777777" w:rsidR="00BF2649" w:rsidRPr="00443037" w:rsidRDefault="00BF2649" w:rsidP="00BF2649">
      <w:pPr>
        <w:ind w:left="851"/>
        <w:rPr>
          <w:spacing w:val="-3"/>
          <w:sz w:val="24"/>
          <w:szCs w:val="24"/>
        </w:rPr>
      </w:pPr>
      <w:r w:rsidRPr="00443037">
        <w:rPr>
          <w:spacing w:val="-3"/>
          <w:sz w:val="24"/>
          <w:szCs w:val="24"/>
        </w:rPr>
        <w:t>Natriumhydroxid</w:t>
      </w:r>
    </w:p>
    <w:p w14:paraId="76ACC516" w14:textId="77777777" w:rsidR="00BF2649" w:rsidRPr="00443037" w:rsidRDefault="00BF2649" w:rsidP="00BF2649">
      <w:pPr>
        <w:ind w:left="851"/>
        <w:rPr>
          <w:spacing w:val="-3"/>
          <w:sz w:val="24"/>
          <w:szCs w:val="24"/>
        </w:rPr>
      </w:pPr>
      <w:r w:rsidRPr="00443037">
        <w:rPr>
          <w:spacing w:val="-3"/>
          <w:sz w:val="24"/>
          <w:szCs w:val="24"/>
        </w:rPr>
        <w:t>Vand til injektionsvæsker</w:t>
      </w:r>
    </w:p>
    <w:p w14:paraId="3948E7FB" w14:textId="77777777" w:rsidR="009260DE" w:rsidRPr="00443037" w:rsidRDefault="009260DE" w:rsidP="009260DE">
      <w:pPr>
        <w:tabs>
          <w:tab w:val="left" w:pos="851"/>
        </w:tabs>
        <w:ind w:left="851"/>
        <w:rPr>
          <w:sz w:val="24"/>
          <w:szCs w:val="24"/>
        </w:rPr>
      </w:pPr>
    </w:p>
    <w:p w14:paraId="3CF8597B" w14:textId="77777777" w:rsidR="009260DE" w:rsidRPr="00443037" w:rsidRDefault="009260DE" w:rsidP="009260DE">
      <w:pPr>
        <w:tabs>
          <w:tab w:val="left" w:pos="851"/>
        </w:tabs>
        <w:ind w:left="851" w:hanging="851"/>
        <w:rPr>
          <w:b/>
          <w:sz w:val="24"/>
          <w:szCs w:val="24"/>
        </w:rPr>
      </w:pPr>
      <w:r w:rsidRPr="00443037">
        <w:rPr>
          <w:b/>
          <w:sz w:val="24"/>
          <w:szCs w:val="24"/>
        </w:rPr>
        <w:t>6.2</w:t>
      </w:r>
      <w:r w:rsidRPr="00443037">
        <w:rPr>
          <w:b/>
          <w:sz w:val="24"/>
          <w:szCs w:val="24"/>
        </w:rPr>
        <w:tab/>
        <w:t>Uforligeligheder</w:t>
      </w:r>
    </w:p>
    <w:p w14:paraId="01FEE35E" w14:textId="77777777" w:rsidR="00BF2649" w:rsidRPr="00443037" w:rsidRDefault="00BF2649" w:rsidP="00BF2649">
      <w:pPr>
        <w:ind w:left="851"/>
        <w:rPr>
          <w:spacing w:val="-3"/>
          <w:sz w:val="24"/>
          <w:szCs w:val="24"/>
        </w:rPr>
      </w:pPr>
      <w:r w:rsidRPr="00443037">
        <w:rPr>
          <w:spacing w:val="-3"/>
          <w:sz w:val="24"/>
          <w:szCs w:val="24"/>
        </w:rPr>
        <w:t>Dette lægemiddel må ikke blandes med andre lægemidler.</w:t>
      </w:r>
    </w:p>
    <w:p w14:paraId="3A56CA0D" w14:textId="77777777" w:rsidR="009260DE" w:rsidRPr="00443037" w:rsidRDefault="009260DE" w:rsidP="009260DE">
      <w:pPr>
        <w:tabs>
          <w:tab w:val="left" w:pos="851"/>
        </w:tabs>
        <w:ind w:left="851"/>
        <w:rPr>
          <w:sz w:val="24"/>
          <w:szCs w:val="24"/>
        </w:rPr>
      </w:pPr>
    </w:p>
    <w:p w14:paraId="2E921E9A" w14:textId="77777777" w:rsidR="009260DE" w:rsidRPr="00443037" w:rsidRDefault="009260DE" w:rsidP="009260DE">
      <w:pPr>
        <w:tabs>
          <w:tab w:val="left" w:pos="851"/>
        </w:tabs>
        <w:ind w:left="851" w:hanging="851"/>
        <w:rPr>
          <w:b/>
          <w:sz w:val="24"/>
          <w:szCs w:val="24"/>
        </w:rPr>
      </w:pPr>
      <w:r w:rsidRPr="00443037">
        <w:rPr>
          <w:b/>
          <w:sz w:val="24"/>
          <w:szCs w:val="24"/>
        </w:rPr>
        <w:t>6.3</w:t>
      </w:r>
      <w:r w:rsidRPr="00443037">
        <w:rPr>
          <w:b/>
          <w:sz w:val="24"/>
          <w:szCs w:val="24"/>
        </w:rPr>
        <w:tab/>
        <w:t>Opbevaringstid</w:t>
      </w:r>
    </w:p>
    <w:p w14:paraId="5FB4B05F" w14:textId="77777777" w:rsidR="00BF2649" w:rsidRPr="00443037" w:rsidRDefault="00BF2649" w:rsidP="00BF2649">
      <w:pPr>
        <w:ind w:left="851"/>
        <w:rPr>
          <w:spacing w:val="-3"/>
          <w:sz w:val="24"/>
          <w:szCs w:val="24"/>
        </w:rPr>
      </w:pPr>
      <w:r w:rsidRPr="00443037">
        <w:rPr>
          <w:spacing w:val="-3"/>
          <w:sz w:val="24"/>
          <w:szCs w:val="24"/>
        </w:rPr>
        <w:t>2 år.</w:t>
      </w:r>
    </w:p>
    <w:p w14:paraId="31DF0B39" w14:textId="77777777" w:rsidR="00BF2649" w:rsidRPr="00443037" w:rsidRDefault="00BF2649" w:rsidP="00BF2649">
      <w:pPr>
        <w:ind w:left="851"/>
        <w:rPr>
          <w:spacing w:val="-3"/>
          <w:sz w:val="24"/>
          <w:szCs w:val="24"/>
        </w:rPr>
      </w:pPr>
    </w:p>
    <w:p w14:paraId="54BE53F6" w14:textId="77777777" w:rsidR="00BF2649" w:rsidRPr="00443037" w:rsidRDefault="00BF2649" w:rsidP="00BF2649">
      <w:pPr>
        <w:ind w:left="851"/>
        <w:rPr>
          <w:spacing w:val="-3"/>
          <w:sz w:val="24"/>
          <w:szCs w:val="24"/>
        </w:rPr>
      </w:pPr>
      <w:r w:rsidRPr="00443037">
        <w:rPr>
          <w:spacing w:val="-3"/>
          <w:sz w:val="24"/>
          <w:szCs w:val="24"/>
        </w:rPr>
        <w:t xml:space="preserve">Efter åbning: Kemisk og fysisk stabilitet er dokumenteret i 28 dage ved 30 °C. </w:t>
      </w:r>
    </w:p>
    <w:p w14:paraId="24A7DE6F" w14:textId="77777777" w:rsidR="00BF2649" w:rsidRPr="00443037" w:rsidRDefault="00BF2649" w:rsidP="00BF2649">
      <w:pPr>
        <w:ind w:left="851"/>
        <w:rPr>
          <w:spacing w:val="-3"/>
          <w:sz w:val="24"/>
          <w:szCs w:val="24"/>
        </w:rPr>
      </w:pPr>
    </w:p>
    <w:p w14:paraId="570D0889" w14:textId="77777777" w:rsidR="00BF2649" w:rsidRPr="00443037" w:rsidRDefault="00BF2649" w:rsidP="00BF2649">
      <w:pPr>
        <w:ind w:left="851"/>
        <w:rPr>
          <w:spacing w:val="-3"/>
          <w:sz w:val="24"/>
          <w:szCs w:val="24"/>
        </w:rPr>
      </w:pPr>
      <w:r w:rsidRPr="00443037">
        <w:rPr>
          <w:spacing w:val="-3"/>
          <w:sz w:val="24"/>
          <w:szCs w:val="24"/>
        </w:rPr>
        <w:t>Ud fra et mikrobiologisk synspunkt kan præparatet maksimalt opbevares i 28 dage ved 30 °C. Andre opbevaringstider og -betingelser er på brugerens eget ansvar.</w:t>
      </w:r>
    </w:p>
    <w:p w14:paraId="1FD5513A" w14:textId="77777777" w:rsidR="009260DE" w:rsidRPr="00443037" w:rsidRDefault="009260DE" w:rsidP="009260DE">
      <w:pPr>
        <w:tabs>
          <w:tab w:val="left" w:pos="851"/>
        </w:tabs>
        <w:ind w:left="851"/>
        <w:rPr>
          <w:sz w:val="24"/>
          <w:szCs w:val="24"/>
        </w:rPr>
      </w:pPr>
    </w:p>
    <w:p w14:paraId="5599E939" w14:textId="77777777" w:rsidR="009260DE" w:rsidRPr="00443037" w:rsidRDefault="009260DE" w:rsidP="009260DE">
      <w:pPr>
        <w:tabs>
          <w:tab w:val="left" w:pos="851"/>
        </w:tabs>
        <w:ind w:left="851" w:hanging="851"/>
        <w:rPr>
          <w:b/>
          <w:sz w:val="24"/>
          <w:szCs w:val="24"/>
        </w:rPr>
      </w:pPr>
      <w:r w:rsidRPr="00443037">
        <w:rPr>
          <w:b/>
          <w:sz w:val="24"/>
          <w:szCs w:val="24"/>
        </w:rPr>
        <w:t>6.4</w:t>
      </w:r>
      <w:r w:rsidRPr="00443037">
        <w:rPr>
          <w:b/>
          <w:sz w:val="24"/>
          <w:szCs w:val="24"/>
        </w:rPr>
        <w:tab/>
        <w:t>Særlige opbevaringsforhold</w:t>
      </w:r>
    </w:p>
    <w:p w14:paraId="057BC899" w14:textId="77777777" w:rsidR="00BF2649" w:rsidRPr="00443037" w:rsidRDefault="00BF2649" w:rsidP="00BF2649">
      <w:pPr>
        <w:ind w:left="851"/>
        <w:rPr>
          <w:spacing w:val="-3"/>
          <w:sz w:val="24"/>
          <w:szCs w:val="24"/>
        </w:rPr>
      </w:pPr>
      <w:r w:rsidRPr="00443037">
        <w:rPr>
          <w:spacing w:val="-3"/>
          <w:sz w:val="24"/>
          <w:szCs w:val="24"/>
        </w:rPr>
        <w:t>Dette lægemiddel kræver ingen særlige forholdsregler vedrørende opbevaringen.</w:t>
      </w:r>
    </w:p>
    <w:p w14:paraId="78CB43F6" w14:textId="77777777" w:rsidR="00BF2649" w:rsidRPr="00443037" w:rsidRDefault="00BF2649" w:rsidP="00BF2649">
      <w:pPr>
        <w:ind w:left="851"/>
        <w:rPr>
          <w:spacing w:val="-3"/>
          <w:sz w:val="24"/>
          <w:szCs w:val="24"/>
        </w:rPr>
      </w:pPr>
    </w:p>
    <w:p w14:paraId="28FB1EEB" w14:textId="77777777" w:rsidR="00BF2649" w:rsidRPr="00443037" w:rsidRDefault="00BF2649" w:rsidP="00BF2649">
      <w:pPr>
        <w:ind w:left="851"/>
        <w:rPr>
          <w:spacing w:val="-3"/>
          <w:sz w:val="24"/>
          <w:szCs w:val="24"/>
        </w:rPr>
      </w:pPr>
      <w:r w:rsidRPr="00443037">
        <w:rPr>
          <w:spacing w:val="-3"/>
          <w:sz w:val="24"/>
          <w:szCs w:val="24"/>
        </w:rPr>
        <w:t>Opbevaringsforhold efter anbrud af lægemidlet, se pkt. 6.3.</w:t>
      </w:r>
    </w:p>
    <w:p w14:paraId="4DAD253F" w14:textId="77777777" w:rsidR="009260DE" w:rsidRPr="00443037" w:rsidRDefault="009260DE" w:rsidP="009260DE">
      <w:pPr>
        <w:tabs>
          <w:tab w:val="left" w:pos="851"/>
        </w:tabs>
        <w:ind w:left="851"/>
        <w:rPr>
          <w:sz w:val="24"/>
          <w:szCs w:val="24"/>
        </w:rPr>
      </w:pPr>
    </w:p>
    <w:p w14:paraId="067AB36A" w14:textId="77777777" w:rsidR="009260DE" w:rsidRPr="00443037" w:rsidRDefault="009260DE" w:rsidP="009260DE">
      <w:pPr>
        <w:tabs>
          <w:tab w:val="left" w:pos="851"/>
        </w:tabs>
        <w:ind w:left="851" w:hanging="851"/>
        <w:rPr>
          <w:b/>
          <w:sz w:val="24"/>
          <w:szCs w:val="24"/>
        </w:rPr>
      </w:pPr>
      <w:r w:rsidRPr="00443037">
        <w:rPr>
          <w:b/>
          <w:sz w:val="24"/>
          <w:szCs w:val="24"/>
        </w:rPr>
        <w:t>6.5</w:t>
      </w:r>
      <w:r w:rsidRPr="00443037">
        <w:rPr>
          <w:b/>
          <w:sz w:val="24"/>
          <w:szCs w:val="24"/>
        </w:rPr>
        <w:tab/>
        <w:t>Emballagetype og pakningsstørrelser</w:t>
      </w:r>
    </w:p>
    <w:p w14:paraId="3A028EE5" w14:textId="77777777" w:rsidR="00BF2649" w:rsidRPr="00443037" w:rsidRDefault="00BF2649" w:rsidP="00BF2649">
      <w:pPr>
        <w:ind w:left="851"/>
        <w:rPr>
          <w:spacing w:val="-3"/>
          <w:sz w:val="24"/>
          <w:szCs w:val="24"/>
        </w:rPr>
      </w:pPr>
      <w:r w:rsidRPr="00443037">
        <w:rPr>
          <w:spacing w:val="-3"/>
          <w:sz w:val="24"/>
          <w:szCs w:val="24"/>
        </w:rPr>
        <w:t>Flerdosis hætteglas á 2 ml.</w:t>
      </w:r>
    </w:p>
    <w:p w14:paraId="0F30C7C7" w14:textId="77777777" w:rsidR="00BF2649" w:rsidRPr="00443037" w:rsidRDefault="00BF2649" w:rsidP="00BF2649">
      <w:pPr>
        <w:ind w:left="851"/>
        <w:rPr>
          <w:spacing w:val="-3"/>
          <w:sz w:val="24"/>
          <w:szCs w:val="24"/>
        </w:rPr>
      </w:pPr>
    </w:p>
    <w:p w14:paraId="5D6CD5F0" w14:textId="77777777" w:rsidR="00BF2649" w:rsidRPr="00443037" w:rsidRDefault="00BF2649" w:rsidP="00BF2649">
      <w:pPr>
        <w:ind w:left="851"/>
        <w:rPr>
          <w:spacing w:val="-3"/>
          <w:sz w:val="24"/>
          <w:szCs w:val="24"/>
        </w:rPr>
      </w:pPr>
      <w:r w:rsidRPr="00443037">
        <w:rPr>
          <w:spacing w:val="-3"/>
          <w:sz w:val="24"/>
          <w:szCs w:val="24"/>
        </w:rPr>
        <w:t>Pakningsstørrelser 1 og 10 stk.</w:t>
      </w:r>
    </w:p>
    <w:p w14:paraId="33583E51" w14:textId="77777777" w:rsidR="00BF2649" w:rsidRPr="00443037" w:rsidRDefault="00BF2649" w:rsidP="00BF2649">
      <w:pPr>
        <w:ind w:left="851"/>
        <w:rPr>
          <w:spacing w:val="-3"/>
          <w:sz w:val="24"/>
          <w:szCs w:val="24"/>
        </w:rPr>
      </w:pPr>
      <w:r w:rsidRPr="00443037">
        <w:rPr>
          <w:spacing w:val="-3"/>
          <w:sz w:val="24"/>
          <w:szCs w:val="24"/>
        </w:rPr>
        <w:t>Ikke alle pakningsstørrelser er nødvendigvis markedsført.</w:t>
      </w:r>
    </w:p>
    <w:p w14:paraId="6A085A0C" w14:textId="77777777" w:rsidR="009260DE" w:rsidRPr="00443037" w:rsidRDefault="009260DE" w:rsidP="009260DE">
      <w:pPr>
        <w:tabs>
          <w:tab w:val="left" w:pos="851"/>
        </w:tabs>
        <w:ind w:left="851"/>
        <w:rPr>
          <w:sz w:val="24"/>
          <w:szCs w:val="24"/>
        </w:rPr>
      </w:pPr>
    </w:p>
    <w:p w14:paraId="5D736FB9" w14:textId="77777777" w:rsidR="009260DE" w:rsidRPr="00443037" w:rsidRDefault="009260DE" w:rsidP="009260DE">
      <w:pPr>
        <w:tabs>
          <w:tab w:val="left" w:pos="851"/>
        </w:tabs>
        <w:ind w:left="851" w:hanging="851"/>
        <w:rPr>
          <w:b/>
          <w:sz w:val="24"/>
          <w:szCs w:val="24"/>
        </w:rPr>
      </w:pPr>
      <w:r w:rsidRPr="00443037">
        <w:rPr>
          <w:b/>
          <w:sz w:val="24"/>
          <w:szCs w:val="24"/>
        </w:rPr>
        <w:t>6.6</w:t>
      </w:r>
      <w:r w:rsidRPr="00443037">
        <w:rPr>
          <w:b/>
          <w:sz w:val="24"/>
          <w:szCs w:val="24"/>
        </w:rPr>
        <w:tab/>
        <w:t xml:space="preserve">Regler for </w:t>
      </w:r>
      <w:r w:rsidR="00BD7931" w:rsidRPr="00443037">
        <w:rPr>
          <w:b/>
          <w:sz w:val="24"/>
          <w:szCs w:val="24"/>
        </w:rPr>
        <w:t>bortskaffelse</w:t>
      </w:r>
      <w:r w:rsidRPr="00443037">
        <w:rPr>
          <w:b/>
          <w:sz w:val="24"/>
          <w:szCs w:val="24"/>
        </w:rPr>
        <w:t xml:space="preserve"> og anden håndtering</w:t>
      </w:r>
    </w:p>
    <w:p w14:paraId="00273860" w14:textId="77777777" w:rsidR="00BF2649" w:rsidRPr="00443037" w:rsidRDefault="00BF2649" w:rsidP="00BF2649">
      <w:pPr>
        <w:ind w:left="851"/>
        <w:rPr>
          <w:spacing w:val="-3"/>
          <w:sz w:val="24"/>
          <w:szCs w:val="24"/>
        </w:rPr>
      </w:pPr>
      <w:r w:rsidRPr="00443037">
        <w:rPr>
          <w:spacing w:val="-3"/>
          <w:sz w:val="24"/>
          <w:szCs w:val="24"/>
        </w:rPr>
        <w:t>Ikke anvendt lægemiddel samt affald heraf skal bortskaffes i henhold til lokale retningslinjer.</w:t>
      </w:r>
    </w:p>
    <w:p w14:paraId="6CED5595" w14:textId="77777777" w:rsidR="009260DE" w:rsidRPr="00443037" w:rsidRDefault="009260DE" w:rsidP="000730CA">
      <w:pPr>
        <w:tabs>
          <w:tab w:val="left" w:pos="851"/>
        </w:tabs>
        <w:ind w:left="851"/>
        <w:rPr>
          <w:sz w:val="24"/>
          <w:szCs w:val="24"/>
        </w:rPr>
      </w:pPr>
    </w:p>
    <w:p w14:paraId="67F92C43" w14:textId="77777777" w:rsidR="009260DE" w:rsidRPr="00443037" w:rsidRDefault="009260DE" w:rsidP="009260DE">
      <w:pPr>
        <w:tabs>
          <w:tab w:val="left" w:pos="851"/>
        </w:tabs>
        <w:ind w:left="851" w:hanging="851"/>
        <w:rPr>
          <w:b/>
          <w:sz w:val="24"/>
          <w:szCs w:val="24"/>
        </w:rPr>
      </w:pPr>
      <w:r w:rsidRPr="00443037">
        <w:rPr>
          <w:b/>
          <w:sz w:val="24"/>
          <w:szCs w:val="24"/>
        </w:rPr>
        <w:t>7.</w:t>
      </w:r>
      <w:r w:rsidRPr="00443037">
        <w:rPr>
          <w:b/>
          <w:sz w:val="24"/>
          <w:szCs w:val="24"/>
        </w:rPr>
        <w:tab/>
        <w:t>INDEHAVER AF MARKEDSFØRINGSTILLADELSEN</w:t>
      </w:r>
    </w:p>
    <w:p w14:paraId="5008787B" w14:textId="77777777" w:rsidR="00BF2649" w:rsidRPr="00443037" w:rsidRDefault="00BF2649" w:rsidP="00BF2649">
      <w:pPr>
        <w:ind w:left="851"/>
        <w:rPr>
          <w:spacing w:val="-3"/>
          <w:sz w:val="24"/>
          <w:szCs w:val="24"/>
        </w:rPr>
      </w:pPr>
      <w:r w:rsidRPr="00443037">
        <w:rPr>
          <w:spacing w:val="-3"/>
          <w:sz w:val="24"/>
          <w:szCs w:val="24"/>
        </w:rPr>
        <w:t>LEO Pharma A/S</w:t>
      </w:r>
    </w:p>
    <w:p w14:paraId="7002E4A4" w14:textId="77777777" w:rsidR="00BF2649" w:rsidRPr="00443037" w:rsidRDefault="00BF2649" w:rsidP="00BF2649">
      <w:pPr>
        <w:ind w:left="851"/>
        <w:rPr>
          <w:spacing w:val="-3"/>
          <w:sz w:val="24"/>
          <w:szCs w:val="24"/>
        </w:rPr>
      </w:pPr>
      <w:r w:rsidRPr="00443037">
        <w:rPr>
          <w:spacing w:val="-3"/>
          <w:sz w:val="24"/>
          <w:szCs w:val="24"/>
        </w:rPr>
        <w:t>Industriparken 55</w:t>
      </w:r>
    </w:p>
    <w:p w14:paraId="3A0A5F3D" w14:textId="77777777" w:rsidR="00BF2649" w:rsidRPr="00443037" w:rsidRDefault="00BF2649" w:rsidP="00BF2649">
      <w:pPr>
        <w:ind w:left="851"/>
        <w:rPr>
          <w:spacing w:val="-3"/>
          <w:sz w:val="24"/>
          <w:szCs w:val="24"/>
        </w:rPr>
      </w:pPr>
      <w:r w:rsidRPr="00443037">
        <w:rPr>
          <w:spacing w:val="-3"/>
          <w:sz w:val="24"/>
          <w:szCs w:val="24"/>
        </w:rPr>
        <w:t>2750 Ballerup</w:t>
      </w:r>
    </w:p>
    <w:p w14:paraId="4BEECFC1" w14:textId="77777777" w:rsidR="00641C65" w:rsidRPr="00443037" w:rsidRDefault="00641C65" w:rsidP="009260DE">
      <w:pPr>
        <w:tabs>
          <w:tab w:val="left" w:pos="851"/>
        </w:tabs>
        <w:ind w:left="851"/>
        <w:rPr>
          <w:sz w:val="24"/>
          <w:szCs w:val="24"/>
        </w:rPr>
      </w:pPr>
    </w:p>
    <w:p w14:paraId="23A500BF" w14:textId="77777777" w:rsidR="009260DE" w:rsidRPr="00443037" w:rsidRDefault="009260DE" w:rsidP="009260DE">
      <w:pPr>
        <w:tabs>
          <w:tab w:val="left" w:pos="851"/>
        </w:tabs>
        <w:ind w:left="851" w:hanging="851"/>
        <w:rPr>
          <w:b/>
          <w:sz w:val="24"/>
          <w:szCs w:val="24"/>
        </w:rPr>
      </w:pPr>
      <w:r w:rsidRPr="00443037">
        <w:rPr>
          <w:b/>
          <w:sz w:val="24"/>
          <w:szCs w:val="24"/>
        </w:rPr>
        <w:t>8.</w:t>
      </w:r>
      <w:r w:rsidRPr="00443037">
        <w:rPr>
          <w:b/>
          <w:sz w:val="24"/>
          <w:szCs w:val="24"/>
        </w:rPr>
        <w:tab/>
        <w:t>MARKEDSFØRINGSTILLADELSESNUMMER (</w:t>
      </w:r>
      <w:r w:rsidR="00BF6243" w:rsidRPr="00443037">
        <w:rPr>
          <w:b/>
          <w:sz w:val="24"/>
          <w:szCs w:val="24"/>
        </w:rPr>
        <w:t>-</w:t>
      </w:r>
      <w:r w:rsidRPr="00443037">
        <w:rPr>
          <w:b/>
          <w:sz w:val="24"/>
          <w:szCs w:val="24"/>
        </w:rPr>
        <w:t>NUMRE)</w:t>
      </w:r>
    </w:p>
    <w:p w14:paraId="2977FB84" w14:textId="77777777" w:rsidR="00BF2649" w:rsidRPr="00443037" w:rsidRDefault="00BF2649" w:rsidP="00BF2649">
      <w:pPr>
        <w:ind w:left="851"/>
        <w:rPr>
          <w:spacing w:val="-3"/>
          <w:sz w:val="24"/>
          <w:szCs w:val="24"/>
        </w:rPr>
      </w:pPr>
      <w:r w:rsidRPr="00443037">
        <w:rPr>
          <w:spacing w:val="-3"/>
          <w:sz w:val="24"/>
          <w:szCs w:val="24"/>
        </w:rPr>
        <w:t>15643</w:t>
      </w:r>
    </w:p>
    <w:p w14:paraId="6CCF2D14" w14:textId="77777777" w:rsidR="009260DE" w:rsidRPr="00443037" w:rsidRDefault="009260DE" w:rsidP="009260DE">
      <w:pPr>
        <w:tabs>
          <w:tab w:val="left" w:pos="851"/>
        </w:tabs>
        <w:ind w:left="851"/>
        <w:jc w:val="both"/>
        <w:rPr>
          <w:sz w:val="24"/>
          <w:szCs w:val="24"/>
        </w:rPr>
      </w:pPr>
    </w:p>
    <w:p w14:paraId="63014D74" w14:textId="77777777" w:rsidR="009260DE" w:rsidRPr="00443037" w:rsidRDefault="009260DE" w:rsidP="009260DE">
      <w:pPr>
        <w:tabs>
          <w:tab w:val="left" w:pos="851"/>
        </w:tabs>
        <w:ind w:left="851" w:hanging="851"/>
        <w:rPr>
          <w:b/>
          <w:sz w:val="24"/>
          <w:szCs w:val="24"/>
        </w:rPr>
      </w:pPr>
      <w:r w:rsidRPr="00443037">
        <w:rPr>
          <w:b/>
          <w:sz w:val="24"/>
          <w:szCs w:val="24"/>
        </w:rPr>
        <w:t>9.</w:t>
      </w:r>
      <w:r w:rsidRPr="00443037">
        <w:rPr>
          <w:b/>
          <w:sz w:val="24"/>
          <w:szCs w:val="24"/>
        </w:rPr>
        <w:tab/>
        <w:t>DATO FOR FØRSTE MARKEDSFØRINGSTILLADELSE</w:t>
      </w:r>
    </w:p>
    <w:p w14:paraId="19CDB927" w14:textId="77777777" w:rsidR="00BF2649" w:rsidRPr="00443037" w:rsidRDefault="00BF2649" w:rsidP="00BF2649">
      <w:pPr>
        <w:ind w:left="851"/>
        <w:rPr>
          <w:sz w:val="24"/>
          <w:szCs w:val="24"/>
        </w:rPr>
      </w:pPr>
      <w:r w:rsidRPr="00443037">
        <w:rPr>
          <w:sz w:val="24"/>
          <w:szCs w:val="24"/>
        </w:rPr>
        <w:t>1. februar 1991</w:t>
      </w:r>
    </w:p>
    <w:p w14:paraId="174CCD2B" w14:textId="77777777" w:rsidR="009260DE" w:rsidRPr="00443037" w:rsidRDefault="009260DE" w:rsidP="009260DE">
      <w:pPr>
        <w:tabs>
          <w:tab w:val="left" w:pos="851"/>
        </w:tabs>
        <w:ind w:left="851"/>
        <w:rPr>
          <w:sz w:val="24"/>
          <w:szCs w:val="24"/>
        </w:rPr>
      </w:pPr>
    </w:p>
    <w:p w14:paraId="7867A822" w14:textId="77777777" w:rsidR="009260DE" w:rsidRPr="00443037" w:rsidRDefault="009260DE" w:rsidP="009260DE">
      <w:pPr>
        <w:tabs>
          <w:tab w:val="left" w:pos="851"/>
        </w:tabs>
        <w:ind w:left="851" w:hanging="851"/>
        <w:rPr>
          <w:b/>
          <w:sz w:val="24"/>
          <w:szCs w:val="24"/>
        </w:rPr>
      </w:pPr>
      <w:r w:rsidRPr="00443037">
        <w:rPr>
          <w:b/>
          <w:sz w:val="24"/>
          <w:szCs w:val="24"/>
        </w:rPr>
        <w:t>10.</w:t>
      </w:r>
      <w:r w:rsidRPr="00443037">
        <w:rPr>
          <w:b/>
          <w:sz w:val="24"/>
          <w:szCs w:val="24"/>
        </w:rPr>
        <w:tab/>
        <w:t>DATO FOR ÆNDRING AF TEKSTEN</w:t>
      </w:r>
    </w:p>
    <w:p w14:paraId="3BAA256D" w14:textId="57A99325" w:rsidR="009260DE" w:rsidRPr="00443037" w:rsidRDefault="00BF2649" w:rsidP="009260DE">
      <w:pPr>
        <w:tabs>
          <w:tab w:val="left" w:pos="851"/>
        </w:tabs>
        <w:ind w:left="851"/>
        <w:rPr>
          <w:sz w:val="24"/>
          <w:szCs w:val="24"/>
        </w:rPr>
      </w:pPr>
      <w:r w:rsidRPr="00443037">
        <w:rPr>
          <w:sz w:val="24"/>
          <w:szCs w:val="24"/>
        </w:rPr>
        <w:t>7. november 2024</w:t>
      </w:r>
    </w:p>
    <w:sectPr w:rsidR="009260DE" w:rsidRPr="004430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D3A7E" w14:textId="77777777" w:rsidR="00AF08CC" w:rsidRDefault="00AF08CC">
      <w:r>
        <w:separator/>
      </w:r>
    </w:p>
  </w:endnote>
  <w:endnote w:type="continuationSeparator" w:id="0">
    <w:p w14:paraId="3970FE4F" w14:textId="77777777" w:rsidR="00AF08CC" w:rsidRDefault="00AF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E615" w14:textId="77777777" w:rsidR="000259B9" w:rsidRDefault="000259B9">
    <w:pPr>
      <w:pStyle w:val="Sidefod"/>
      <w:pBdr>
        <w:bottom w:val="single" w:sz="6" w:space="1" w:color="auto"/>
      </w:pBdr>
    </w:pPr>
  </w:p>
  <w:p w14:paraId="6D8D8838" w14:textId="77777777" w:rsidR="000259B9" w:rsidRDefault="000259B9" w:rsidP="00C42586">
    <w:pPr>
      <w:pStyle w:val="Sidefod"/>
      <w:tabs>
        <w:tab w:val="clear" w:pos="4819"/>
        <w:tab w:val="left" w:pos="8505"/>
      </w:tabs>
      <w:rPr>
        <w:i/>
        <w:sz w:val="18"/>
        <w:szCs w:val="18"/>
      </w:rPr>
    </w:pPr>
  </w:p>
  <w:p w14:paraId="69AFCF51" w14:textId="7AECD26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624B8">
      <w:rPr>
        <w:i/>
        <w:noProof/>
        <w:sz w:val="18"/>
        <w:szCs w:val="18"/>
      </w:rPr>
      <w:t>Innohep, injektionsvæske, opløsning 20.000 anti-Xa IE-ml.docx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087B" w14:textId="77777777" w:rsidR="00AF08CC" w:rsidRDefault="00AF08CC">
      <w:r>
        <w:separator/>
      </w:r>
    </w:p>
  </w:footnote>
  <w:footnote w:type="continuationSeparator" w:id="0">
    <w:p w14:paraId="559F418C" w14:textId="77777777" w:rsidR="00AF08CC" w:rsidRDefault="00AF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CC"/>
    <w:rsid w:val="000259B9"/>
    <w:rsid w:val="00041491"/>
    <w:rsid w:val="00050D16"/>
    <w:rsid w:val="000624B8"/>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43037"/>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91FEB"/>
    <w:rsid w:val="00AF08CC"/>
    <w:rsid w:val="00B003BF"/>
    <w:rsid w:val="00B373D7"/>
    <w:rsid w:val="00B55271"/>
    <w:rsid w:val="00BD7931"/>
    <w:rsid w:val="00BF264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5C1A7"/>
  <w15:chartTrackingRefBased/>
  <w15:docId w15:val="{EA1632A1-C176-4E8C-930D-219336B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IndentChar">
    <w:name w:val="Body Text Indent Char"/>
    <w:link w:val="Brdtekstindrykning1"/>
    <w:locked/>
    <w:rsid w:val="00BF2649"/>
    <w:rPr>
      <w:sz w:val="24"/>
    </w:rPr>
  </w:style>
  <w:style w:type="paragraph" w:customStyle="1" w:styleId="Brdtekstindrykning1">
    <w:name w:val="Brødtekstindrykning1"/>
    <w:basedOn w:val="Normal"/>
    <w:link w:val="BodyTextIndentChar"/>
    <w:rsid w:val="00BF2649"/>
    <w:pPr>
      <w:tabs>
        <w:tab w:val="left" w:pos="0"/>
        <w:tab w:val="left" w:pos="851"/>
        <w:tab w:val="left" w:pos="1217"/>
      </w:tabs>
      <w:ind w:left="850" w:hanging="850"/>
      <w:jc w:val="both"/>
    </w:pPr>
    <w:rPr>
      <w:sz w:val="24"/>
      <w:lang w:eastAsia="da-DK"/>
    </w:rPr>
  </w:style>
  <w:style w:type="character" w:styleId="Hyperlink">
    <w:name w:val="Hyperlink"/>
    <w:uiPriority w:val="99"/>
    <w:semiHidden/>
    <w:unhideWhenUsed/>
    <w:rsid w:val="00BF2649"/>
    <w:rPr>
      <w:color w:val="0000FF"/>
      <w:u w:val="single"/>
    </w:rPr>
  </w:style>
  <w:style w:type="paragraph" w:styleId="Brdtekstindrykning2">
    <w:name w:val="Body Text Indent 2"/>
    <w:basedOn w:val="Normal"/>
    <w:link w:val="Brdtekstindrykning2Tegn"/>
    <w:semiHidden/>
    <w:unhideWhenUsed/>
    <w:rsid w:val="00BF2649"/>
    <w:pPr>
      <w:tabs>
        <w:tab w:val="left" w:pos="0"/>
        <w:tab w:val="left" w:pos="851"/>
      </w:tabs>
      <w:ind w:left="850" w:hanging="850"/>
      <w:jc w:val="both"/>
    </w:pPr>
    <w:rPr>
      <w:spacing w:val="-3"/>
      <w:sz w:val="24"/>
      <w:lang w:eastAsia="da-DK"/>
    </w:rPr>
  </w:style>
  <w:style w:type="character" w:customStyle="1" w:styleId="Brdtekstindrykning2Tegn">
    <w:name w:val="Brødtekstindrykning 2 Tegn"/>
    <w:basedOn w:val="Standardskrifttypeiafsnit"/>
    <w:link w:val="Brdtekstindrykning2"/>
    <w:semiHidden/>
    <w:rsid w:val="00BF2649"/>
    <w:rPr>
      <w:spacing w:val="-3"/>
      <w:sz w:val="24"/>
    </w:rPr>
  </w:style>
  <w:style w:type="paragraph" w:customStyle="1" w:styleId="BodyTextIndent1">
    <w:name w:val="Body Text Indent1"/>
    <w:basedOn w:val="Normal"/>
    <w:rsid w:val="00BF2649"/>
    <w:pPr>
      <w:tabs>
        <w:tab w:val="left" w:pos="0"/>
        <w:tab w:val="left" w:pos="851"/>
        <w:tab w:val="left" w:pos="1217"/>
      </w:tabs>
      <w:ind w:left="850" w:hanging="850"/>
      <w:jc w:val="both"/>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3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9611977">
      <w:bodyDiv w:val="1"/>
      <w:marLeft w:val="0"/>
      <w:marRight w:val="0"/>
      <w:marTop w:val="0"/>
      <w:marBottom w:val="0"/>
      <w:divBdr>
        <w:top w:val="none" w:sz="0" w:space="0" w:color="auto"/>
        <w:left w:val="none" w:sz="0" w:space="0" w:color="auto"/>
        <w:bottom w:val="none" w:sz="0" w:space="0" w:color="auto"/>
        <w:right w:val="none" w:sz="0" w:space="0" w:color="auto"/>
      </w:divBdr>
    </w:div>
    <w:div w:id="587008110">
      <w:bodyDiv w:val="1"/>
      <w:marLeft w:val="0"/>
      <w:marRight w:val="0"/>
      <w:marTop w:val="0"/>
      <w:marBottom w:val="0"/>
      <w:divBdr>
        <w:top w:val="none" w:sz="0" w:space="0" w:color="auto"/>
        <w:left w:val="none" w:sz="0" w:space="0" w:color="auto"/>
        <w:bottom w:val="none" w:sz="0" w:space="0" w:color="auto"/>
        <w:right w:val="none" w:sz="0" w:space="0" w:color="auto"/>
      </w:divBdr>
    </w:div>
    <w:div w:id="610404864">
      <w:bodyDiv w:val="1"/>
      <w:marLeft w:val="0"/>
      <w:marRight w:val="0"/>
      <w:marTop w:val="0"/>
      <w:marBottom w:val="0"/>
      <w:divBdr>
        <w:top w:val="none" w:sz="0" w:space="0" w:color="auto"/>
        <w:left w:val="none" w:sz="0" w:space="0" w:color="auto"/>
        <w:bottom w:val="none" w:sz="0" w:space="0" w:color="auto"/>
        <w:right w:val="none" w:sz="0" w:space="0" w:color="auto"/>
      </w:divBdr>
    </w:div>
    <w:div w:id="855466596">
      <w:bodyDiv w:val="1"/>
      <w:marLeft w:val="0"/>
      <w:marRight w:val="0"/>
      <w:marTop w:val="0"/>
      <w:marBottom w:val="0"/>
      <w:divBdr>
        <w:top w:val="none" w:sz="0" w:space="0" w:color="auto"/>
        <w:left w:val="none" w:sz="0" w:space="0" w:color="auto"/>
        <w:bottom w:val="none" w:sz="0" w:space="0" w:color="auto"/>
        <w:right w:val="none" w:sz="0" w:space="0" w:color="auto"/>
      </w:divBdr>
    </w:div>
    <w:div w:id="864248789">
      <w:bodyDiv w:val="1"/>
      <w:marLeft w:val="0"/>
      <w:marRight w:val="0"/>
      <w:marTop w:val="0"/>
      <w:marBottom w:val="0"/>
      <w:divBdr>
        <w:top w:val="none" w:sz="0" w:space="0" w:color="auto"/>
        <w:left w:val="none" w:sz="0" w:space="0" w:color="auto"/>
        <w:bottom w:val="none" w:sz="0" w:space="0" w:color="auto"/>
        <w:right w:val="none" w:sz="0" w:space="0" w:color="auto"/>
      </w:divBdr>
    </w:div>
    <w:div w:id="866287028">
      <w:bodyDiv w:val="1"/>
      <w:marLeft w:val="0"/>
      <w:marRight w:val="0"/>
      <w:marTop w:val="0"/>
      <w:marBottom w:val="0"/>
      <w:divBdr>
        <w:top w:val="none" w:sz="0" w:space="0" w:color="auto"/>
        <w:left w:val="none" w:sz="0" w:space="0" w:color="auto"/>
        <w:bottom w:val="none" w:sz="0" w:space="0" w:color="auto"/>
        <w:right w:val="none" w:sz="0" w:space="0" w:color="auto"/>
      </w:divBdr>
    </w:div>
    <w:div w:id="870530518">
      <w:bodyDiv w:val="1"/>
      <w:marLeft w:val="0"/>
      <w:marRight w:val="0"/>
      <w:marTop w:val="0"/>
      <w:marBottom w:val="0"/>
      <w:divBdr>
        <w:top w:val="none" w:sz="0" w:space="0" w:color="auto"/>
        <w:left w:val="none" w:sz="0" w:space="0" w:color="auto"/>
        <w:bottom w:val="none" w:sz="0" w:space="0" w:color="auto"/>
        <w:right w:val="none" w:sz="0" w:space="0" w:color="auto"/>
      </w:divBdr>
    </w:div>
    <w:div w:id="884754008">
      <w:bodyDiv w:val="1"/>
      <w:marLeft w:val="0"/>
      <w:marRight w:val="0"/>
      <w:marTop w:val="0"/>
      <w:marBottom w:val="0"/>
      <w:divBdr>
        <w:top w:val="none" w:sz="0" w:space="0" w:color="auto"/>
        <w:left w:val="none" w:sz="0" w:space="0" w:color="auto"/>
        <w:bottom w:val="none" w:sz="0" w:space="0" w:color="auto"/>
        <w:right w:val="none" w:sz="0" w:space="0" w:color="auto"/>
      </w:divBdr>
    </w:div>
    <w:div w:id="987441717">
      <w:bodyDiv w:val="1"/>
      <w:marLeft w:val="0"/>
      <w:marRight w:val="0"/>
      <w:marTop w:val="0"/>
      <w:marBottom w:val="0"/>
      <w:divBdr>
        <w:top w:val="none" w:sz="0" w:space="0" w:color="auto"/>
        <w:left w:val="none" w:sz="0" w:space="0" w:color="auto"/>
        <w:bottom w:val="none" w:sz="0" w:space="0" w:color="auto"/>
        <w:right w:val="none" w:sz="0" w:space="0" w:color="auto"/>
      </w:divBdr>
    </w:div>
    <w:div w:id="1034578808">
      <w:bodyDiv w:val="1"/>
      <w:marLeft w:val="0"/>
      <w:marRight w:val="0"/>
      <w:marTop w:val="0"/>
      <w:marBottom w:val="0"/>
      <w:divBdr>
        <w:top w:val="none" w:sz="0" w:space="0" w:color="auto"/>
        <w:left w:val="none" w:sz="0" w:space="0" w:color="auto"/>
        <w:bottom w:val="none" w:sz="0" w:space="0" w:color="auto"/>
        <w:right w:val="none" w:sz="0" w:space="0" w:color="auto"/>
      </w:divBdr>
    </w:div>
    <w:div w:id="1070037067">
      <w:bodyDiv w:val="1"/>
      <w:marLeft w:val="0"/>
      <w:marRight w:val="0"/>
      <w:marTop w:val="0"/>
      <w:marBottom w:val="0"/>
      <w:divBdr>
        <w:top w:val="none" w:sz="0" w:space="0" w:color="auto"/>
        <w:left w:val="none" w:sz="0" w:space="0" w:color="auto"/>
        <w:bottom w:val="none" w:sz="0" w:space="0" w:color="auto"/>
        <w:right w:val="none" w:sz="0" w:space="0" w:color="auto"/>
      </w:divBdr>
    </w:div>
    <w:div w:id="1187058386">
      <w:bodyDiv w:val="1"/>
      <w:marLeft w:val="0"/>
      <w:marRight w:val="0"/>
      <w:marTop w:val="0"/>
      <w:marBottom w:val="0"/>
      <w:divBdr>
        <w:top w:val="none" w:sz="0" w:space="0" w:color="auto"/>
        <w:left w:val="none" w:sz="0" w:space="0" w:color="auto"/>
        <w:bottom w:val="none" w:sz="0" w:space="0" w:color="auto"/>
        <w:right w:val="none" w:sz="0" w:space="0" w:color="auto"/>
      </w:divBdr>
    </w:div>
    <w:div w:id="1345594060">
      <w:bodyDiv w:val="1"/>
      <w:marLeft w:val="0"/>
      <w:marRight w:val="0"/>
      <w:marTop w:val="0"/>
      <w:marBottom w:val="0"/>
      <w:divBdr>
        <w:top w:val="none" w:sz="0" w:space="0" w:color="auto"/>
        <w:left w:val="none" w:sz="0" w:space="0" w:color="auto"/>
        <w:bottom w:val="none" w:sz="0" w:space="0" w:color="auto"/>
        <w:right w:val="none" w:sz="0" w:space="0" w:color="auto"/>
      </w:divBdr>
    </w:div>
    <w:div w:id="1354964927">
      <w:bodyDiv w:val="1"/>
      <w:marLeft w:val="0"/>
      <w:marRight w:val="0"/>
      <w:marTop w:val="0"/>
      <w:marBottom w:val="0"/>
      <w:divBdr>
        <w:top w:val="none" w:sz="0" w:space="0" w:color="auto"/>
        <w:left w:val="none" w:sz="0" w:space="0" w:color="auto"/>
        <w:bottom w:val="none" w:sz="0" w:space="0" w:color="auto"/>
        <w:right w:val="none" w:sz="0" w:space="0" w:color="auto"/>
      </w:divBdr>
    </w:div>
    <w:div w:id="1362585651">
      <w:bodyDiv w:val="1"/>
      <w:marLeft w:val="0"/>
      <w:marRight w:val="0"/>
      <w:marTop w:val="0"/>
      <w:marBottom w:val="0"/>
      <w:divBdr>
        <w:top w:val="none" w:sz="0" w:space="0" w:color="auto"/>
        <w:left w:val="none" w:sz="0" w:space="0" w:color="auto"/>
        <w:bottom w:val="none" w:sz="0" w:space="0" w:color="auto"/>
        <w:right w:val="none" w:sz="0" w:space="0" w:color="auto"/>
      </w:divBdr>
    </w:div>
    <w:div w:id="1392727858">
      <w:bodyDiv w:val="1"/>
      <w:marLeft w:val="0"/>
      <w:marRight w:val="0"/>
      <w:marTop w:val="0"/>
      <w:marBottom w:val="0"/>
      <w:divBdr>
        <w:top w:val="none" w:sz="0" w:space="0" w:color="auto"/>
        <w:left w:val="none" w:sz="0" w:space="0" w:color="auto"/>
        <w:bottom w:val="none" w:sz="0" w:space="0" w:color="auto"/>
        <w:right w:val="none" w:sz="0" w:space="0" w:color="auto"/>
      </w:divBdr>
    </w:div>
    <w:div w:id="1427072187">
      <w:bodyDiv w:val="1"/>
      <w:marLeft w:val="0"/>
      <w:marRight w:val="0"/>
      <w:marTop w:val="0"/>
      <w:marBottom w:val="0"/>
      <w:divBdr>
        <w:top w:val="none" w:sz="0" w:space="0" w:color="auto"/>
        <w:left w:val="none" w:sz="0" w:space="0" w:color="auto"/>
        <w:bottom w:val="none" w:sz="0" w:space="0" w:color="auto"/>
        <w:right w:val="none" w:sz="0" w:space="0" w:color="auto"/>
      </w:divBdr>
    </w:div>
    <w:div w:id="1570580015">
      <w:bodyDiv w:val="1"/>
      <w:marLeft w:val="0"/>
      <w:marRight w:val="0"/>
      <w:marTop w:val="0"/>
      <w:marBottom w:val="0"/>
      <w:divBdr>
        <w:top w:val="none" w:sz="0" w:space="0" w:color="auto"/>
        <w:left w:val="none" w:sz="0" w:space="0" w:color="auto"/>
        <w:bottom w:val="none" w:sz="0" w:space="0" w:color="auto"/>
        <w:right w:val="none" w:sz="0" w:space="0" w:color="auto"/>
      </w:divBdr>
    </w:div>
    <w:div w:id="1643388408">
      <w:bodyDiv w:val="1"/>
      <w:marLeft w:val="0"/>
      <w:marRight w:val="0"/>
      <w:marTop w:val="0"/>
      <w:marBottom w:val="0"/>
      <w:divBdr>
        <w:top w:val="none" w:sz="0" w:space="0" w:color="auto"/>
        <w:left w:val="none" w:sz="0" w:space="0" w:color="auto"/>
        <w:bottom w:val="none" w:sz="0" w:space="0" w:color="auto"/>
        <w:right w:val="none" w:sz="0" w:space="0" w:color="auto"/>
      </w:divBdr>
    </w:div>
    <w:div w:id="1684628647">
      <w:bodyDiv w:val="1"/>
      <w:marLeft w:val="0"/>
      <w:marRight w:val="0"/>
      <w:marTop w:val="0"/>
      <w:marBottom w:val="0"/>
      <w:divBdr>
        <w:top w:val="none" w:sz="0" w:space="0" w:color="auto"/>
        <w:left w:val="none" w:sz="0" w:space="0" w:color="auto"/>
        <w:bottom w:val="none" w:sz="0" w:space="0" w:color="auto"/>
        <w:right w:val="none" w:sz="0" w:space="0" w:color="auto"/>
      </w:divBdr>
    </w:div>
    <w:div w:id="1707173490">
      <w:bodyDiv w:val="1"/>
      <w:marLeft w:val="0"/>
      <w:marRight w:val="0"/>
      <w:marTop w:val="0"/>
      <w:marBottom w:val="0"/>
      <w:divBdr>
        <w:top w:val="none" w:sz="0" w:space="0" w:color="auto"/>
        <w:left w:val="none" w:sz="0" w:space="0" w:color="auto"/>
        <w:bottom w:val="none" w:sz="0" w:space="0" w:color="auto"/>
        <w:right w:val="none" w:sz="0" w:space="0" w:color="auto"/>
      </w:divBdr>
    </w:div>
    <w:div w:id="1789080288">
      <w:bodyDiv w:val="1"/>
      <w:marLeft w:val="0"/>
      <w:marRight w:val="0"/>
      <w:marTop w:val="0"/>
      <w:marBottom w:val="0"/>
      <w:divBdr>
        <w:top w:val="none" w:sz="0" w:space="0" w:color="auto"/>
        <w:left w:val="none" w:sz="0" w:space="0" w:color="auto"/>
        <w:bottom w:val="none" w:sz="0" w:space="0" w:color="auto"/>
        <w:right w:val="none" w:sz="0" w:space="0" w:color="auto"/>
      </w:divBdr>
    </w:div>
    <w:div w:id="1968703176">
      <w:bodyDiv w:val="1"/>
      <w:marLeft w:val="0"/>
      <w:marRight w:val="0"/>
      <w:marTop w:val="0"/>
      <w:marBottom w:val="0"/>
      <w:divBdr>
        <w:top w:val="none" w:sz="0" w:space="0" w:color="auto"/>
        <w:left w:val="none" w:sz="0" w:space="0" w:color="auto"/>
        <w:bottom w:val="none" w:sz="0" w:space="0" w:color="auto"/>
        <w:right w:val="none" w:sz="0" w:space="0" w:color="auto"/>
      </w:divBdr>
    </w:div>
    <w:div w:id="2039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13</Pages>
  <Words>4237</Words>
  <Characters>26994</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2024011218, WS268, pkt. 4.2, 4.6, 5.1 og 5.2</dc:description>
  <cp:lastModifiedBy>Gitte Jørgensen</cp:lastModifiedBy>
  <cp:revision>5</cp:revision>
  <cp:lastPrinted>2012-08-22T08:53:00Z</cp:lastPrinted>
  <dcterms:created xsi:type="dcterms:W3CDTF">2024-11-07T07:59:00Z</dcterms:created>
  <dcterms:modified xsi:type="dcterms:W3CDTF">2024-11-07T09:13:00Z</dcterms:modified>
</cp:coreProperties>
</file>