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028E" w:rsidRPr="008F49E1" w:rsidRDefault="00D2028E" w:rsidP="00D2028E">
      <w:pPr>
        <w:rPr>
          <w:sz w:val="24"/>
          <w:szCs w:val="24"/>
        </w:rPr>
      </w:pPr>
      <w:r w:rsidRPr="008F49E1">
        <w:rPr>
          <w:noProof/>
          <w:sz w:val="24"/>
          <w:szCs w:val="24"/>
          <w:lang w:eastAsia="da-DK"/>
        </w:rPr>
        <w:drawing>
          <wp:inline distT="0" distB="0" distL="0" distR="0" wp14:anchorId="2595B8E9" wp14:editId="7BE37C43">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rsidR="00D2028E" w:rsidRPr="003C2BEF" w:rsidRDefault="00D2028E" w:rsidP="00D2028E">
      <w:pPr>
        <w:pStyle w:val="Titel"/>
        <w:tabs>
          <w:tab w:val="right" w:pos="9356"/>
        </w:tabs>
        <w:jc w:val="left"/>
        <w:rPr>
          <w:b w:val="0"/>
          <w:szCs w:val="24"/>
          <w:lang w:eastAsia="en-US"/>
        </w:rPr>
      </w:pPr>
    </w:p>
    <w:p w:rsidR="00D2028E" w:rsidRDefault="00D2028E" w:rsidP="00D2028E">
      <w:pPr>
        <w:pStyle w:val="Titel"/>
        <w:tabs>
          <w:tab w:val="right" w:pos="9356"/>
        </w:tabs>
        <w:jc w:val="left"/>
        <w:rPr>
          <w:szCs w:val="24"/>
        </w:rPr>
      </w:pPr>
      <w:r w:rsidRPr="003C2BEF">
        <w:rPr>
          <w:b w:val="0"/>
          <w:szCs w:val="24"/>
          <w:lang w:eastAsia="en-US"/>
        </w:rPr>
        <w:tab/>
      </w:r>
      <w:r w:rsidR="005E26FB">
        <w:rPr>
          <w:szCs w:val="24"/>
        </w:rPr>
        <w:t>6</w:t>
      </w:r>
      <w:r>
        <w:rPr>
          <w:szCs w:val="24"/>
        </w:rPr>
        <w:t xml:space="preserve">. </w:t>
      </w:r>
      <w:r w:rsidR="005E26FB">
        <w:rPr>
          <w:szCs w:val="24"/>
        </w:rPr>
        <w:t>november</w:t>
      </w:r>
      <w:r>
        <w:rPr>
          <w:szCs w:val="24"/>
        </w:rPr>
        <w:t xml:space="preserve"> 20</w:t>
      </w:r>
      <w:r w:rsidR="005E26FB">
        <w:rPr>
          <w:szCs w:val="24"/>
        </w:rPr>
        <w:t>24</w:t>
      </w:r>
    </w:p>
    <w:p w:rsidR="00D2028E" w:rsidRDefault="00D2028E" w:rsidP="00D2028E">
      <w:pPr>
        <w:rPr>
          <w:b/>
          <w:sz w:val="24"/>
          <w:szCs w:val="24"/>
        </w:rPr>
      </w:pPr>
    </w:p>
    <w:p w:rsidR="005E26FB" w:rsidRPr="005A762F" w:rsidRDefault="005E26FB" w:rsidP="00D2028E">
      <w:pPr>
        <w:rPr>
          <w:b/>
          <w:sz w:val="24"/>
          <w:szCs w:val="24"/>
        </w:rPr>
      </w:pPr>
    </w:p>
    <w:p w:rsidR="00D2028E" w:rsidRPr="003C2BEF" w:rsidRDefault="00D2028E" w:rsidP="00D2028E">
      <w:pPr>
        <w:jc w:val="center"/>
        <w:rPr>
          <w:b/>
          <w:sz w:val="24"/>
          <w:szCs w:val="24"/>
        </w:rPr>
      </w:pPr>
      <w:r w:rsidRPr="003C2BEF">
        <w:rPr>
          <w:b/>
          <w:sz w:val="24"/>
          <w:szCs w:val="24"/>
        </w:rPr>
        <w:t>PRODUKTRESUMÉ</w:t>
      </w:r>
    </w:p>
    <w:p w:rsidR="00D2028E" w:rsidRPr="003C2BEF" w:rsidRDefault="00D2028E" w:rsidP="00D2028E">
      <w:pPr>
        <w:jc w:val="center"/>
        <w:rPr>
          <w:b/>
          <w:sz w:val="24"/>
          <w:szCs w:val="24"/>
        </w:rPr>
      </w:pPr>
    </w:p>
    <w:p w:rsidR="00D2028E" w:rsidRPr="003C2BEF" w:rsidRDefault="00D2028E" w:rsidP="00D2028E">
      <w:pPr>
        <w:tabs>
          <w:tab w:val="left" w:pos="218"/>
          <w:tab w:val="center" w:pos="4819"/>
        </w:tabs>
        <w:rPr>
          <w:b/>
          <w:sz w:val="24"/>
          <w:szCs w:val="24"/>
        </w:rPr>
      </w:pPr>
      <w:r>
        <w:rPr>
          <w:b/>
          <w:sz w:val="24"/>
          <w:szCs w:val="24"/>
        </w:rPr>
        <w:tab/>
      </w:r>
      <w:r>
        <w:rPr>
          <w:b/>
          <w:sz w:val="24"/>
          <w:szCs w:val="24"/>
        </w:rPr>
        <w:tab/>
      </w:r>
      <w:r w:rsidRPr="003C2BEF">
        <w:rPr>
          <w:b/>
          <w:sz w:val="24"/>
          <w:szCs w:val="24"/>
        </w:rPr>
        <w:t>for</w:t>
      </w:r>
    </w:p>
    <w:p w:rsidR="00D2028E" w:rsidRPr="003C2BEF" w:rsidRDefault="00D2028E" w:rsidP="00D2028E">
      <w:pPr>
        <w:jc w:val="center"/>
        <w:rPr>
          <w:b/>
          <w:sz w:val="24"/>
          <w:szCs w:val="24"/>
        </w:rPr>
      </w:pPr>
    </w:p>
    <w:p w:rsidR="00D2028E" w:rsidRPr="003C2BEF" w:rsidRDefault="00D2028E" w:rsidP="00D2028E">
      <w:pPr>
        <w:jc w:val="center"/>
        <w:rPr>
          <w:b/>
          <w:sz w:val="24"/>
          <w:szCs w:val="24"/>
        </w:rPr>
      </w:pPr>
      <w:proofErr w:type="spellStart"/>
      <w:r>
        <w:rPr>
          <w:b/>
          <w:sz w:val="24"/>
          <w:szCs w:val="24"/>
        </w:rPr>
        <w:t>Ipratropium</w:t>
      </w:r>
      <w:proofErr w:type="spellEnd"/>
      <w:r>
        <w:rPr>
          <w:b/>
          <w:sz w:val="24"/>
          <w:szCs w:val="24"/>
        </w:rPr>
        <w:t>/</w:t>
      </w:r>
      <w:proofErr w:type="spellStart"/>
      <w:r>
        <w:rPr>
          <w:b/>
          <w:sz w:val="24"/>
          <w:szCs w:val="24"/>
        </w:rPr>
        <w:t>salbutamol</w:t>
      </w:r>
      <w:proofErr w:type="spellEnd"/>
      <w:r>
        <w:rPr>
          <w:b/>
          <w:sz w:val="24"/>
          <w:szCs w:val="24"/>
        </w:rPr>
        <w:t xml:space="preserve"> ”Orion”</w:t>
      </w:r>
      <w:r w:rsidRPr="003C2BEF">
        <w:rPr>
          <w:b/>
          <w:sz w:val="24"/>
          <w:szCs w:val="24"/>
        </w:rPr>
        <w:t>,</w:t>
      </w:r>
    </w:p>
    <w:p w:rsidR="00D2028E" w:rsidRPr="003C2BEF" w:rsidRDefault="00D2028E" w:rsidP="00D2028E">
      <w:pPr>
        <w:jc w:val="center"/>
        <w:rPr>
          <w:b/>
          <w:sz w:val="24"/>
          <w:szCs w:val="24"/>
        </w:rPr>
      </w:pPr>
      <w:r w:rsidRPr="003C2BEF">
        <w:rPr>
          <w:b/>
          <w:sz w:val="24"/>
          <w:szCs w:val="24"/>
        </w:rPr>
        <w:t xml:space="preserve">inhalationsvæske til </w:t>
      </w:r>
      <w:proofErr w:type="spellStart"/>
      <w:r w:rsidRPr="003C2BEF">
        <w:rPr>
          <w:b/>
          <w:sz w:val="24"/>
          <w:szCs w:val="24"/>
        </w:rPr>
        <w:t>nebulisator</w:t>
      </w:r>
      <w:proofErr w:type="spellEnd"/>
      <w:r w:rsidRPr="003C2BEF">
        <w:rPr>
          <w:b/>
          <w:sz w:val="24"/>
          <w:szCs w:val="24"/>
        </w:rPr>
        <w:t>, opløsning, enkeltdosisbeholder</w:t>
      </w:r>
    </w:p>
    <w:p w:rsidR="00D2028E" w:rsidRPr="003C2BEF" w:rsidRDefault="00D2028E" w:rsidP="00D2028E">
      <w:pPr>
        <w:jc w:val="both"/>
        <w:rPr>
          <w:sz w:val="24"/>
          <w:szCs w:val="24"/>
        </w:rPr>
      </w:pPr>
    </w:p>
    <w:p w:rsidR="00D2028E" w:rsidRPr="003C2BEF" w:rsidRDefault="00D2028E" w:rsidP="00D2028E">
      <w:pPr>
        <w:jc w:val="both"/>
        <w:rPr>
          <w:sz w:val="24"/>
          <w:szCs w:val="24"/>
        </w:rPr>
      </w:pPr>
    </w:p>
    <w:p w:rsidR="00D2028E" w:rsidRPr="003C2BEF" w:rsidRDefault="00D2028E" w:rsidP="00D2028E">
      <w:pPr>
        <w:tabs>
          <w:tab w:val="left" w:pos="851"/>
        </w:tabs>
        <w:ind w:left="851" w:hanging="851"/>
        <w:rPr>
          <w:b/>
          <w:sz w:val="24"/>
          <w:szCs w:val="24"/>
        </w:rPr>
      </w:pPr>
      <w:r w:rsidRPr="003C2BEF">
        <w:rPr>
          <w:b/>
          <w:sz w:val="24"/>
          <w:szCs w:val="24"/>
        </w:rPr>
        <w:t>0.</w:t>
      </w:r>
      <w:r w:rsidRPr="003C2BEF">
        <w:rPr>
          <w:b/>
          <w:sz w:val="24"/>
          <w:szCs w:val="24"/>
        </w:rPr>
        <w:tab/>
        <w:t>D.SP.NR.</w:t>
      </w:r>
    </w:p>
    <w:p w:rsidR="00D2028E" w:rsidRPr="003C2BEF" w:rsidRDefault="00D2028E" w:rsidP="00D2028E">
      <w:pPr>
        <w:tabs>
          <w:tab w:val="left" w:pos="851"/>
        </w:tabs>
        <w:rPr>
          <w:sz w:val="24"/>
          <w:szCs w:val="24"/>
        </w:rPr>
      </w:pPr>
      <w:r w:rsidRPr="003C2BEF">
        <w:rPr>
          <w:sz w:val="24"/>
          <w:szCs w:val="24"/>
        </w:rPr>
        <w:tab/>
        <w:t>28938</w:t>
      </w:r>
    </w:p>
    <w:p w:rsidR="00D2028E" w:rsidRPr="003C2BEF" w:rsidRDefault="00D2028E" w:rsidP="00D2028E">
      <w:pPr>
        <w:tabs>
          <w:tab w:val="left" w:pos="851"/>
        </w:tabs>
        <w:rPr>
          <w:sz w:val="24"/>
          <w:szCs w:val="24"/>
        </w:rPr>
      </w:pPr>
    </w:p>
    <w:p w:rsidR="00D2028E" w:rsidRPr="003C2BEF" w:rsidRDefault="00D2028E" w:rsidP="00D2028E">
      <w:pPr>
        <w:tabs>
          <w:tab w:val="left" w:pos="851"/>
        </w:tabs>
        <w:ind w:left="851" w:hanging="851"/>
        <w:rPr>
          <w:b/>
          <w:sz w:val="24"/>
          <w:szCs w:val="24"/>
        </w:rPr>
      </w:pPr>
      <w:r w:rsidRPr="003C2BEF">
        <w:rPr>
          <w:b/>
          <w:sz w:val="24"/>
          <w:szCs w:val="24"/>
        </w:rPr>
        <w:t>1.</w:t>
      </w:r>
      <w:r w:rsidRPr="003C2BEF">
        <w:rPr>
          <w:b/>
          <w:sz w:val="24"/>
          <w:szCs w:val="24"/>
        </w:rPr>
        <w:tab/>
        <w:t>LÆGEMIDLETS NAVN</w:t>
      </w:r>
    </w:p>
    <w:p w:rsidR="00D2028E" w:rsidRPr="003C2BEF" w:rsidRDefault="00D2028E" w:rsidP="00D2028E">
      <w:pPr>
        <w:tabs>
          <w:tab w:val="left" w:pos="851"/>
        </w:tabs>
        <w:rPr>
          <w:sz w:val="24"/>
          <w:szCs w:val="24"/>
        </w:rPr>
      </w:pPr>
      <w:r w:rsidRPr="003C2BEF">
        <w:rPr>
          <w:sz w:val="24"/>
          <w:szCs w:val="24"/>
        </w:rPr>
        <w:tab/>
      </w:r>
      <w:proofErr w:type="spellStart"/>
      <w:r>
        <w:rPr>
          <w:sz w:val="24"/>
          <w:szCs w:val="24"/>
        </w:rPr>
        <w:t>Ipratropium</w:t>
      </w:r>
      <w:proofErr w:type="spellEnd"/>
      <w:r>
        <w:rPr>
          <w:sz w:val="24"/>
          <w:szCs w:val="24"/>
        </w:rPr>
        <w:t>/</w:t>
      </w:r>
      <w:proofErr w:type="spellStart"/>
      <w:r>
        <w:rPr>
          <w:sz w:val="24"/>
          <w:szCs w:val="24"/>
        </w:rPr>
        <w:t>salbutamol</w:t>
      </w:r>
      <w:proofErr w:type="spellEnd"/>
      <w:r>
        <w:rPr>
          <w:sz w:val="24"/>
          <w:szCs w:val="24"/>
        </w:rPr>
        <w:t xml:space="preserve"> ”Orion”</w:t>
      </w:r>
    </w:p>
    <w:p w:rsidR="00D2028E" w:rsidRPr="003C2BEF" w:rsidRDefault="00D2028E" w:rsidP="00D2028E">
      <w:pPr>
        <w:tabs>
          <w:tab w:val="left" w:pos="851"/>
        </w:tabs>
        <w:rPr>
          <w:sz w:val="24"/>
          <w:szCs w:val="24"/>
        </w:rPr>
      </w:pPr>
      <w:r w:rsidRPr="003C2BEF">
        <w:rPr>
          <w:sz w:val="24"/>
          <w:szCs w:val="24"/>
        </w:rPr>
        <w:tab/>
      </w:r>
    </w:p>
    <w:p w:rsidR="00D2028E" w:rsidRPr="003C2BEF" w:rsidRDefault="00D2028E" w:rsidP="00D2028E">
      <w:pPr>
        <w:tabs>
          <w:tab w:val="left" w:pos="851"/>
        </w:tabs>
        <w:ind w:left="851" w:hanging="851"/>
        <w:rPr>
          <w:b/>
          <w:sz w:val="24"/>
          <w:szCs w:val="24"/>
        </w:rPr>
      </w:pPr>
      <w:r w:rsidRPr="003C2BEF">
        <w:rPr>
          <w:b/>
          <w:sz w:val="24"/>
          <w:szCs w:val="24"/>
        </w:rPr>
        <w:t>2.</w:t>
      </w:r>
      <w:r w:rsidRPr="003C2BEF">
        <w:rPr>
          <w:b/>
          <w:sz w:val="24"/>
          <w:szCs w:val="24"/>
        </w:rPr>
        <w:tab/>
        <w:t>KVALITATIV OG KVANTITATIV SAMMENSÆTNING</w:t>
      </w:r>
    </w:p>
    <w:p w:rsidR="00D2028E" w:rsidRPr="001F696A" w:rsidRDefault="00D2028E" w:rsidP="00D2028E">
      <w:pPr>
        <w:widowControl w:val="0"/>
        <w:autoSpaceDE w:val="0"/>
        <w:autoSpaceDN w:val="0"/>
        <w:adjustRightInd w:val="0"/>
        <w:ind w:left="851"/>
        <w:rPr>
          <w:sz w:val="24"/>
          <w:szCs w:val="24"/>
          <w:lang w:eastAsia="en-IN"/>
        </w:rPr>
      </w:pPr>
      <w:r w:rsidRPr="001F696A">
        <w:rPr>
          <w:sz w:val="24"/>
          <w:szCs w:val="24"/>
          <w:lang w:eastAsia="en-IN"/>
        </w:rPr>
        <w:t xml:space="preserve">Hver 2,5 ml ampul indeholder 0,5 mg </w:t>
      </w:r>
      <w:proofErr w:type="spellStart"/>
      <w:r w:rsidRPr="001F696A">
        <w:rPr>
          <w:sz w:val="24"/>
          <w:szCs w:val="24"/>
          <w:lang w:eastAsia="en-IN"/>
        </w:rPr>
        <w:t>ipratropiumbromid</w:t>
      </w:r>
      <w:proofErr w:type="spellEnd"/>
      <w:r w:rsidRPr="001F696A">
        <w:rPr>
          <w:sz w:val="24"/>
          <w:szCs w:val="24"/>
          <w:lang w:eastAsia="en-IN"/>
        </w:rPr>
        <w:t xml:space="preserve"> (som 525 mikrogram </w:t>
      </w:r>
      <w:proofErr w:type="spellStart"/>
      <w:r w:rsidRPr="001F696A">
        <w:rPr>
          <w:sz w:val="24"/>
          <w:szCs w:val="24"/>
          <w:lang w:eastAsia="en-IN"/>
        </w:rPr>
        <w:t>ipratropiumbromidmonohydrat</w:t>
      </w:r>
      <w:proofErr w:type="spellEnd"/>
      <w:r w:rsidRPr="001F696A">
        <w:rPr>
          <w:sz w:val="24"/>
          <w:szCs w:val="24"/>
          <w:lang w:eastAsia="en-IN"/>
        </w:rPr>
        <w:t xml:space="preserve">) og 2,5 mg </w:t>
      </w:r>
      <w:proofErr w:type="spellStart"/>
      <w:r w:rsidRPr="001F696A">
        <w:rPr>
          <w:sz w:val="24"/>
          <w:szCs w:val="24"/>
          <w:lang w:eastAsia="en-IN"/>
        </w:rPr>
        <w:t>salbutamol</w:t>
      </w:r>
      <w:proofErr w:type="spellEnd"/>
      <w:r w:rsidRPr="001F696A">
        <w:rPr>
          <w:sz w:val="24"/>
          <w:szCs w:val="24"/>
          <w:lang w:eastAsia="en-IN"/>
        </w:rPr>
        <w:t xml:space="preserve"> (som sulfat).</w:t>
      </w:r>
    </w:p>
    <w:p w:rsidR="00D2028E" w:rsidRPr="001F696A" w:rsidRDefault="00D2028E" w:rsidP="00D2028E">
      <w:pPr>
        <w:widowControl w:val="0"/>
        <w:autoSpaceDE w:val="0"/>
        <w:autoSpaceDN w:val="0"/>
        <w:adjustRightInd w:val="0"/>
        <w:ind w:left="851"/>
        <w:rPr>
          <w:sz w:val="24"/>
          <w:szCs w:val="24"/>
          <w:lang w:eastAsia="en-IN"/>
        </w:rPr>
      </w:pPr>
    </w:p>
    <w:p w:rsidR="00D2028E" w:rsidRPr="003C2BEF" w:rsidRDefault="00D2028E" w:rsidP="00D2028E">
      <w:pPr>
        <w:tabs>
          <w:tab w:val="left" w:pos="851"/>
        </w:tabs>
        <w:ind w:left="851"/>
        <w:rPr>
          <w:sz w:val="24"/>
          <w:szCs w:val="24"/>
        </w:rPr>
      </w:pPr>
      <w:r w:rsidRPr="003C2BEF">
        <w:rPr>
          <w:sz w:val="24"/>
          <w:szCs w:val="24"/>
          <w:lang w:eastAsia="en-IN"/>
        </w:rPr>
        <w:t>Alle hjælpestoffer er anført under pkt. 6.1.</w:t>
      </w:r>
    </w:p>
    <w:p w:rsidR="00D2028E" w:rsidRPr="003C2BEF" w:rsidRDefault="00D2028E" w:rsidP="00D2028E">
      <w:pPr>
        <w:tabs>
          <w:tab w:val="left" w:pos="851"/>
        </w:tabs>
        <w:rPr>
          <w:sz w:val="24"/>
          <w:szCs w:val="24"/>
        </w:rPr>
      </w:pPr>
    </w:p>
    <w:p w:rsidR="00D2028E" w:rsidRPr="003C2BEF" w:rsidRDefault="00D2028E" w:rsidP="00D2028E">
      <w:pPr>
        <w:tabs>
          <w:tab w:val="left" w:pos="851"/>
        </w:tabs>
        <w:ind w:left="851" w:hanging="851"/>
        <w:rPr>
          <w:b/>
          <w:sz w:val="24"/>
          <w:szCs w:val="24"/>
        </w:rPr>
      </w:pPr>
      <w:r w:rsidRPr="003C2BEF">
        <w:rPr>
          <w:b/>
          <w:sz w:val="24"/>
          <w:szCs w:val="24"/>
        </w:rPr>
        <w:t>3.</w:t>
      </w:r>
      <w:r w:rsidRPr="003C2BEF">
        <w:rPr>
          <w:b/>
          <w:sz w:val="24"/>
          <w:szCs w:val="24"/>
        </w:rPr>
        <w:tab/>
        <w:t>LÆGEMIDDELFORM</w:t>
      </w:r>
    </w:p>
    <w:p w:rsidR="00D2028E" w:rsidRPr="003C2BEF" w:rsidRDefault="00D2028E" w:rsidP="00D2028E">
      <w:pPr>
        <w:ind w:left="851"/>
        <w:rPr>
          <w:b/>
          <w:sz w:val="24"/>
          <w:szCs w:val="24"/>
        </w:rPr>
      </w:pPr>
      <w:r w:rsidRPr="003C2BEF">
        <w:rPr>
          <w:sz w:val="24"/>
          <w:szCs w:val="24"/>
        </w:rPr>
        <w:t xml:space="preserve">Inhalationsvæske til </w:t>
      </w:r>
      <w:proofErr w:type="spellStart"/>
      <w:r w:rsidRPr="003C2BEF">
        <w:rPr>
          <w:sz w:val="24"/>
          <w:szCs w:val="24"/>
        </w:rPr>
        <w:t>nebulisator</w:t>
      </w:r>
      <w:proofErr w:type="spellEnd"/>
      <w:r w:rsidRPr="003C2BEF">
        <w:rPr>
          <w:sz w:val="24"/>
          <w:szCs w:val="24"/>
        </w:rPr>
        <w:t>, opløsning, enkeltdosisbeholder</w:t>
      </w:r>
    </w:p>
    <w:p w:rsidR="00D2028E" w:rsidRPr="001F696A" w:rsidRDefault="00D2028E" w:rsidP="00D2028E">
      <w:pPr>
        <w:widowControl w:val="0"/>
        <w:autoSpaceDE w:val="0"/>
        <w:autoSpaceDN w:val="0"/>
        <w:adjustRightInd w:val="0"/>
        <w:ind w:left="851"/>
        <w:rPr>
          <w:sz w:val="24"/>
          <w:szCs w:val="24"/>
          <w:lang w:eastAsia="en-IN"/>
        </w:rPr>
      </w:pPr>
    </w:p>
    <w:p w:rsidR="00D2028E" w:rsidRPr="001F696A" w:rsidRDefault="00D2028E" w:rsidP="00D2028E">
      <w:pPr>
        <w:widowControl w:val="0"/>
        <w:autoSpaceDE w:val="0"/>
        <w:autoSpaceDN w:val="0"/>
        <w:adjustRightInd w:val="0"/>
        <w:ind w:left="851"/>
        <w:rPr>
          <w:sz w:val="24"/>
          <w:szCs w:val="24"/>
          <w:lang w:eastAsia="en-IN"/>
        </w:rPr>
      </w:pPr>
      <w:r>
        <w:rPr>
          <w:sz w:val="24"/>
          <w:szCs w:val="24"/>
          <w:lang w:eastAsia="en-IN"/>
        </w:rPr>
        <w:t>K</w:t>
      </w:r>
      <w:r w:rsidRPr="001F696A">
        <w:rPr>
          <w:sz w:val="24"/>
          <w:szCs w:val="24"/>
          <w:lang w:eastAsia="en-IN"/>
        </w:rPr>
        <w:t>lar, farveløs opløsning.</w:t>
      </w:r>
    </w:p>
    <w:p w:rsidR="00D2028E" w:rsidRPr="003C2BEF" w:rsidRDefault="00D2028E" w:rsidP="00D2028E">
      <w:pPr>
        <w:tabs>
          <w:tab w:val="left" w:pos="851"/>
        </w:tabs>
        <w:rPr>
          <w:sz w:val="24"/>
          <w:szCs w:val="24"/>
        </w:rPr>
      </w:pPr>
    </w:p>
    <w:p w:rsidR="00D2028E" w:rsidRPr="003C2BEF" w:rsidRDefault="00D2028E" w:rsidP="00D2028E">
      <w:pPr>
        <w:tabs>
          <w:tab w:val="left" w:pos="851"/>
        </w:tabs>
        <w:rPr>
          <w:sz w:val="24"/>
          <w:szCs w:val="24"/>
        </w:rPr>
      </w:pPr>
    </w:p>
    <w:p w:rsidR="00D2028E" w:rsidRPr="003C2BEF" w:rsidRDefault="00D2028E" w:rsidP="00D2028E">
      <w:pPr>
        <w:tabs>
          <w:tab w:val="left" w:pos="851"/>
        </w:tabs>
        <w:ind w:left="851" w:hanging="851"/>
        <w:rPr>
          <w:b/>
          <w:sz w:val="24"/>
          <w:szCs w:val="24"/>
        </w:rPr>
      </w:pPr>
      <w:r w:rsidRPr="003C2BEF">
        <w:rPr>
          <w:b/>
          <w:sz w:val="24"/>
          <w:szCs w:val="24"/>
        </w:rPr>
        <w:t>4.</w:t>
      </w:r>
      <w:r w:rsidRPr="003C2BEF">
        <w:rPr>
          <w:b/>
          <w:sz w:val="24"/>
          <w:szCs w:val="24"/>
        </w:rPr>
        <w:tab/>
        <w:t>KLINISKE OPLYSNINGER</w:t>
      </w:r>
    </w:p>
    <w:p w:rsidR="00D2028E" w:rsidRPr="003C2BEF" w:rsidRDefault="00D2028E" w:rsidP="00D2028E">
      <w:pPr>
        <w:tabs>
          <w:tab w:val="left" w:pos="851"/>
        </w:tabs>
        <w:rPr>
          <w:b/>
          <w:sz w:val="24"/>
          <w:szCs w:val="24"/>
        </w:rPr>
      </w:pPr>
    </w:p>
    <w:p w:rsidR="00D2028E" w:rsidRPr="003C2BEF" w:rsidRDefault="00D2028E" w:rsidP="00D2028E">
      <w:pPr>
        <w:tabs>
          <w:tab w:val="left" w:pos="851"/>
        </w:tabs>
        <w:ind w:left="851" w:hanging="851"/>
        <w:rPr>
          <w:b/>
          <w:sz w:val="24"/>
          <w:szCs w:val="24"/>
          <w:u w:val="single"/>
        </w:rPr>
      </w:pPr>
      <w:r w:rsidRPr="003C2BEF">
        <w:rPr>
          <w:b/>
          <w:sz w:val="24"/>
          <w:szCs w:val="24"/>
        </w:rPr>
        <w:t>4.1</w:t>
      </w:r>
      <w:r w:rsidRPr="003C2BEF">
        <w:rPr>
          <w:b/>
          <w:sz w:val="24"/>
          <w:szCs w:val="24"/>
        </w:rPr>
        <w:tab/>
        <w:t>Terapeutiske indikationer</w:t>
      </w:r>
    </w:p>
    <w:p w:rsidR="00D2028E" w:rsidRPr="003C2BEF" w:rsidRDefault="00D2028E" w:rsidP="00D2028E">
      <w:pPr>
        <w:widowControl w:val="0"/>
        <w:autoSpaceDE w:val="0"/>
        <w:autoSpaceDN w:val="0"/>
        <w:adjustRightInd w:val="0"/>
        <w:ind w:left="851"/>
        <w:rPr>
          <w:sz w:val="24"/>
          <w:szCs w:val="24"/>
          <w:lang w:eastAsia="en-IN"/>
        </w:rPr>
      </w:pPr>
      <w:proofErr w:type="spellStart"/>
      <w:r>
        <w:rPr>
          <w:sz w:val="24"/>
          <w:szCs w:val="24"/>
          <w:lang w:eastAsia="en-IN"/>
        </w:rPr>
        <w:t>Ipratropium</w:t>
      </w:r>
      <w:proofErr w:type="spellEnd"/>
      <w:r>
        <w:rPr>
          <w:sz w:val="24"/>
          <w:szCs w:val="24"/>
          <w:lang w:eastAsia="en-IN"/>
        </w:rPr>
        <w:t>/</w:t>
      </w:r>
      <w:proofErr w:type="spellStart"/>
      <w:r>
        <w:rPr>
          <w:sz w:val="24"/>
          <w:szCs w:val="24"/>
          <w:lang w:eastAsia="en-IN"/>
        </w:rPr>
        <w:t>salbutamol</w:t>
      </w:r>
      <w:proofErr w:type="spellEnd"/>
      <w:r>
        <w:rPr>
          <w:sz w:val="24"/>
          <w:szCs w:val="24"/>
          <w:lang w:eastAsia="en-IN"/>
        </w:rPr>
        <w:t xml:space="preserve"> ”Orion”</w:t>
      </w:r>
      <w:r w:rsidRPr="00F55E16">
        <w:rPr>
          <w:sz w:val="24"/>
          <w:szCs w:val="24"/>
          <w:lang w:eastAsia="en-IN"/>
        </w:rPr>
        <w:t xml:space="preserve"> er indiceret til behandling af </w:t>
      </w:r>
      <w:proofErr w:type="spellStart"/>
      <w:r w:rsidRPr="00F55E16">
        <w:rPr>
          <w:sz w:val="24"/>
          <w:szCs w:val="24"/>
          <w:lang w:eastAsia="en-IN"/>
        </w:rPr>
        <w:t>bronkospasmer</w:t>
      </w:r>
      <w:proofErr w:type="spellEnd"/>
      <w:r w:rsidRPr="00F55E16">
        <w:rPr>
          <w:sz w:val="24"/>
          <w:szCs w:val="24"/>
          <w:lang w:eastAsia="en-IN"/>
        </w:rPr>
        <w:t xml:space="preserve"> hos voksne</w:t>
      </w:r>
      <w:r>
        <w:rPr>
          <w:sz w:val="24"/>
          <w:szCs w:val="24"/>
          <w:lang w:eastAsia="en-IN"/>
        </w:rPr>
        <w:t xml:space="preserve"> </w:t>
      </w:r>
      <w:r w:rsidRPr="00955707">
        <w:rPr>
          <w:rStyle w:val="shorttext"/>
          <w:color w:val="222222"/>
          <w:sz w:val="24"/>
          <w:szCs w:val="24"/>
        </w:rPr>
        <w:t>og unge patienter, der lider af</w:t>
      </w:r>
      <w:r w:rsidRPr="00F55E16">
        <w:rPr>
          <w:sz w:val="24"/>
          <w:szCs w:val="24"/>
          <w:lang w:eastAsia="en-IN"/>
        </w:rPr>
        <w:t xml:space="preserve"> kronisk obstruktiv lungesygdom, der har brug for symptomatisk behandling med både </w:t>
      </w:r>
      <w:proofErr w:type="spellStart"/>
      <w:r w:rsidRPr="00F55E16">
        <w:rPr>
          <w:sz w:val="24"/>
          <w:szCs w:val="24"/>
          <w:lang w:eastAsia="en-IN"/>
        </w:rPr>
        <w:t>ipratropiumbromid</w:t>
      </w:r>
      <w:proofErr w:type="spellEnd"/>
      <w:r w:rsidRPr="00F55E16">
        <w:rPr>
          <w:sz w:val="24"/>
          <w:szCs w:val="24"/>
          <w:lang w:eastAsia="en-IN"/>
        </w:rPr>
        <w:t xml:space="preserve"> og </w:t>
      </w:r>
      <w:proofErr w:type="spellStart"/>
      <w:r w:rsidRPr="00F55E16">
        <w:rPr>
          <w:sz w:val="24"/>
          <w:szCs w:val="24"/>
          <w:lang w:eastAsia="en-IN"/>
        </w:rPr>
        <w:t>salbutamol</w:t>
      </w:r>
      <w:proofErr w:type="spellEnd"/>
      <w:r w:rsidRPr="00F55E16">
        <w:rPr>
          <w:sz w:val="24"/>
          <w:szCs w:val="24"/>
          <w:lang w:eastAsia="en-IN"/>
        </w:rPr>
        <w:t>.</w:t>
      </w:r>
    </w:p>
    <w:p w:rsidR="00D2028E" w:rsidRPr="003C2BEF" w:rsidRDefault="00D2028E" w:rsidP="00D2028E">
      <w:pPr>
        <w:tabs>
          <w:tab w:val="left" w:pos="851"/>
        </w:tabs>
        <w:rPr>
          <w:sz w:val="24"/>
          <w:szCs w:val="24"/>
        </w:rPr>
      </w:pPr>
    </w:p>
    <w:p w:rsidR="00D2028E" w:rsidRPr="003C2BEF" w:rsidRDefault="00D2028E" w:rsidP="00D2028E">
      <w:pPr>
        <w:tabs>
          <w:tab w:val="left" w:pos="851"/>
        </w:tabs>
        <w:ind w:left="851" w:hanging="851"/>
        <w:rPr>
          <w:b/>
          <w:sz w:val="24"/>
          <w:szCs w:val="24"/>
        </w:rPr>
      </w:pPr>
      <w:r w:rsidRPr="003C2BEF">
        <w:rPr>
          <w:b/>
          <w:sz w:val="24"/>
          <w:szCs w:val="24"/>
        </w:rPr>
        <w:t>4.2</w:t>
      </w:r>
      <w:r w:rsidRPr="003C2BEF">
        <w:rPr>
          <w:b/>
          <w:sz w:val="24"/>
          <w:szCs w:val="24"/>
        </w:rPr>
        <w:tab/>
        <w:t xml:space="preserve">Dosering og </w:t>
      </w:r>
      <w:r w:rsidR="005E26FB">
        <w:rPr>
          <w:b/>
          <w:sz w:val="24"/>
          <w:szCs w:val="24"/>
        </w:rPr>
        <w:t>administration</w:t>
      </w:r>
    </w:p>
    <w:p w:rsidR="00D2028E" w:rsidRDefault="00D2028E" w:rsidP="00D2028E">
      <w:pPr>
        <w:ind w:left="851"/>
        <w:rPr>
          <w:sz w:val="24"/>
          <w:szCs w:val="24"/>
          <w:u w:val="single"/>
        </w:rPr>
      </w:pPr>
    </w:p>
    <w:p w:rsidR="00D2028E" w:rsidRDefault="00D2028E" w:rsidP="00D2028E">
      <w:pPr>
        <w:ind w:left="851"/>
        <w:rPr>
          <w:i/>
          <w:sz w:val="24"/>
          <w:szCs w:val="24"/>
        </w:rPr>
      </w:pPr>
      <w:r>
        <w:rPr>
          <w:sz w:val="24"/>
          <w:szCs w:val="24"/>
          <w:u w:val="single"/>
        </w:rPr>
        <w:t>Dosering</w:t>
      </w:r>
    </w:p>
    <w:p w:rsidR="00D2028E" w:rsidRPr="00910382" w:rsidRDefault="00D2028E" w:rsidP="00D2028E">
      <w:pPr>
        <w:ind w:left="851"/>
        <w:rPr>
          <w:sz w:val="24"/>
          <w:szCs w:val="24"/>
          <w:lang w:eastAsia="en-IN"/>
        </w:rPr>
      </w:pPr>
      <w:r>
        <w:t>Behandling bør påbegyndes og administreres under opsyn af sundhedspersonale, f.eks. i hospitalsregi. Behandling i hjemmet kan foregå i særlige tilfælde</w:t>
      </w:r>
      <w:r w:rsidRPr="00910382">
        <w:rPr>
          <w:color w:val="222222"/>
          <w:sz w:val="24"/>
          <w:szCs w:val="24"/>
        </w:rPr>
        <w:t xml:space="preserve"> (alvorlige symptomer eller erfarne patienter, der kræver højere doser), når en lavdosis hurtigvirkende beta-</w:t>
      </w:r>
      <w:proofErr w:type="spellStart"/>
      <w:r w:rsidRPr="00910382">
        <w:rPr>
          <w:color w:val="222222"/>
          <w:sz w:val="24"/>
          <w:szCs w:val="24"/>
        </w:rPr>
        <w:t>agonistbronkodila</w:t>
      </w:r>
      <w:r w:rsidR="005E26FB">
        <w:rPr>
          <w:color w:val="222222"/>
          <w:sz w:val="24"/>
          <w:szCs w:val="24"/>
        </w:rPr>
        <w:t>ta</w:t>
      </w:r>
      <w:r w:rsidRPr="00910382">
        <w:rPr>
          <w:color w:val="222222"/>
          <w:sz w:val="24"/>
          <w:szCs w:val="24"/>
        </w:rPr>
        <w:t>tor</w:t>
      </w:r>
      <w:proofErr w:type="spellEnd"/>
      <w:r w:rsidRPr="00910382">
        <w:rPr>
          <w:color w:val="222222"/>
          <w:sz w:val="24"/>
          <w:szCs w:val="24"/>
        </w:rPr>
        <w:t xml:space="preserve"> har været utilstrækkelig til at give </w:t>
      </w:r>
      <w:r>
        <w:rPr>
          <w:color w:val="222222"/>
          <w:sz w:val="24"/>
          <w:szCs w:val="24"/>
        </w:rPr>
        <w:t>lindring</w:t>
      </w:r>
      <w:r w:rsidRPr="00910382">
        <w:rPr>
          <w:color w:val="222222"/>
          <w:sz w:val="24"/>
          <w:szCs w:val="24"/>
        </w:rPr>
        <w:t xml:space="preserve"> efter samråd med en erfaren læge.</w:t>
      </w:r>
      <w:r w:rsidRPr="00910382">
        <w:rPr>
          <w:color w:val="222222"/>
          <w:sz w:val="24"/>
          <w:szCs w:val="24"/>
        </w:rPr>
        <w:br/>
      </w:r>
      <w:r w:rsidRPr="00910382">
        <w:rPr>
          <w:color w:val="222222"/>
          <w:sz w:val="24"/>
          <w:szCs w:val="24"/>
        </w:rPr>
        <w:br/>
        <w:t xml:space="preserve">Behandlingen med </w:t>
      </w:r>
      <w:proofErr w:type="spellStart"/>
      <w:r w:rsidRPr="003C2BEF">
        <w:rPr>
          <w:sz w:val="24"/>
          <w:szCs w:val="24"/>
        </w:rPr>
        <w:t>nebulisator</w:t>
      </w:r>
      <w:r w:rsidRPr="00910382">
        <w:rPr>
          <w:color w:val="222222"/>
          <w:sz w:val="24"/>
          <w:szCs w:val="24"/>
        </w:rPr>
        <w:t>opløsningen</w:t>
      </w:r>
      <w:proofErr w:type="spellEnd"/>
      <w:r w:rsidRPr="00910382">
        <w:rPr>
          <w:color w:val="222222"/>
          <w:sz w:val="24"/>
          <w:szCs w:val="24"/>
        </w:rPr>
        <w:t xml:space="preserve"> i </w:t>
      </w:r>
      <w:proofErr w:type="spellStart"/>
      <w:r w:rsidRPr="00910382">
        <w:rPr>
          <w:color w:val="222222"/>
          <w:sz w:val="24"/>
          <w:szCs w:val="24"/>
        </w:rPr>
        <w:t>UDV'er</w:t>
      </w:r>
      <w:proofErr w:type="spellEnd"/>
      <w:r w:rsidRPr="00910382">
        <w:rPr>
          <w:color w:val="222222"/>
          <w:sz w:val="24"/>
          <w:szCs w:val="24"/>
        </w:rPr>
        <w:t xml:space="preserve"> bør altid startes med den</w:t>
      </w:r>
      <w:r>
        <w:rPr>
          <w:rFonts w:ascii="Arial" w:hAnsi="Arial" w:cs="Arial"/>
          <w:color w:val="222222"/>
        </w:rPr>
        <w:t xml:space="preserve"> </w:t>
      </w:r>
      <w:r w:rsidRPr="00910382">
        <w:rPr>
          <w:color w:val="222222"/>
          <w:sz w:val="24"/>
          <w:szCs w:val="24"/>
        </w:rPr>
        <w:t xml:space="preserve">laveste </w:t>
      </w:r>
      <w:r w:rsidRPr="00910382">
        <w:rPr>
          <w:color w:val="222222"/>
          <w:sz w:val="24"/>
          <w:szCs w:val="24"/>
        </w:rPr>
        <w:lastRenderedPageBreak/>
        <w:t>anbefalede dosis (1 UDV). I meget al</w:t>
      </w:r>
      <w:r w:rsidRPr="00B71E71">
        <w:rPr>
          <w:color w:val="222222"/>
          <w:sz w:val="24"/>
          <w:szCs w:val="24"/>
        </w:rPr>
        <w:t xml:space="preserve">vorlige tilfælde kan der kræves </w:t>
      </w:r>
      <w:r w:rsidRPr="000B0F74">
        <w:rPr>
          <w:color w:val="222222"/>
          <w:sz w:val="24"/>
          <w:szCs w:val="24"/>
        </w:rPr>
        <w:t>to en</w:t>
      </w:r>
      <w:r w:rsidRPr="00274594">
        <w:rPr>
          <w:color w:val="222222"/>
          <w:sz w:val="24"/>
          <w:szCs w:val="24"/>
        </w:rPr>
        <w:t xml:space="preserve">keltdosis ampuller </w:t>
      </w:r>
      <w:r w:rsidRPr="000B0F74">
        <w:rPr>
          <w:color w:val="222222"/>
          <w:sz w:val="24"/>
          <w:szCs w:val="24"/>
        </w:rPr>
        <w:t>til symptomlindring.</w:t>
      </w:r>
      <w:r w:rsidRPr="00910382">
        <w:rPr>
          <w:color w:val="222222"/>
          <w:sz w:val="24"/>
          <w:szCs w:val="24"/>
        </w:rPr>
        <w:br/>
      </w:r>
      <w:r w:rsidRPr="00910382">
        <w:rPr>
          <w:color w:val="222222"/>
          <w:sz w:val="24"/>
          <w:szCs w:val="24"/>
        </w:rPr>
        <w:br/>
        <w:t xml:space="preserve">Patienten bør instrueres om straks at konsultere en læge i tilfælde af akut, hurtigt forværret dyspnø. Derudover skal patienten </w:t>
      </w:r>
      <w:r>
        <w:rPr>
          <w:color w:val="222222"/>
          <w:sz w:val="24"/>
          <w:szCs w:val="24"/>
        </w:rPr>
        <w:t xml:space="preserve">tilrådes til </w:t>
      </w:r>
      <w:r w:rsidRPr="00910382">
        <w:rPr>
          <w:color w:val="222222"/>
          <w:sz w:val="24"/>
          <w:szCs w:val="24"/>
        </w:rPr>
        <w:t>at søge lægehjælp, hvis et reduceret respons bliver synligt.</w:t>
      </w:r>
    </w:p>
    <w:p w:rsidR="00D2028E" w:rsidRPr="008A007A" w:rsidRDefault="00D2028E" w:rsidP="00D2028E">
      <w:pPr>
        <w:ind w:left="851"/>
        <w:rPr>
          <w:sz w:val="24"/>
          <w:szCs w:val="24"/>
          <w:lang w:eastAsia="da-DK"/>
        </w:rPr>
      </w:pPr>
    </w:p>
    <w:p w:rsidR="00D2028E" w:rsidRDefault="00D2028E" w:rsidP="00D2028E">
      <w:pPr>
        <w:pStyle w:val="Brdtekstindrykning"/>
        <w:tabs>
          <w:tab w:val="left" w:pos="851"/>
        </w:tabs>
        <w:jc w:val="left"/>
      </w:pPr>
      <w:r>
        <w:t>Behandling bør stoppes, når der er opnået tilstrækkelig symptomlindring.</w:t>
      </w:r>
    </w:p>
    <w:p w:rsidR="00D2028E" w:rsidRPr="008A007A" w:rsidRDefault="00D2028E" w:rsidP="00D2028E">
      <w:pPr>
        <w:ind w:left="851"/>
        <w:rPr>
          <w:sz w:val="24"/>
          <w:szCs w:val="24"/>
          <w:lang w:eastAsia="da-DK"/>
        </w:rPr>
      </w:pPr>
    </w:p>
    <w:p w:rsidR="00D2028E" w:rsidRPr="008A007A" w:rsidRDefault="00D2028E" w:rsidP="00D2028E">
      <w:pPr>
        <w:ind w:left="851"/>
        <w:rPr>
          <w:b/>
          <w:sz w:val="24"/>
          <w:szCs w:val="24"/>
          <w:lang w:eastAsia="da-DK"/>
        </w:rPr>
      </w:pPr>
      <w:r w:rsidRPr="003C2BEF">
        <w:rPr>
          <w:b/>
          <w:sz w:val="24"/>
          <w:szCs w:val="24"/>
          <w:lang w:eastAsia="da-DK"/>
        </w:rPr>
        <w:t>Den anbefalede dosis er</w:t>
      </w:r>
    </w:p>
    <w:p w:rsidR="00D2028E" w:rsidRPr="008A007A" w:rsidRDefault="00D2028E" w:rsidP="00D2028E">
      <w:pPr>
        <w:ind w:left="851"/>
        <w:rPr>
          <w:sz w:val="24"/>
          <w:szCs w:val="24"/>
          <w:lang w:eastAsia="da-DK"/>
        </w:rPr>
      </w:pPr>
    </w:p>
    <w:p w:rsidR="00D2028E" w:rsidRPr="003C2BEF" w:rsidRDefault="00D2028E" w:rsidP="00D2028E">
      <w:pPr>
        <w:ind w:left="851"/>
        <w:rPr>
          <w:sz w:val="24"/>
          <w:szCs w:val="24"/>
          <w:u w:val="single"/>
          <w:lang w:eastAsia="da-DK"/>
        </w:rPr>
      </w:pPr>
      <w:r w:rsidRPr="008A007A">
        <w:rPr>
          <w:sz w:val="24"/>
          <w:szCs w:val="24"/>
          <w:u w:val="single"/>
          <w:lang w:eastAsia="da-DK"/>
        </w:rPr>
        <w:t>Voksne (herunder ældre patienter og børn over 12 år)</w:t>
      </w:r>
    </w:p>
    <w:p w:rsidR="00D2028E" w:rsidRPr="008A007A" w:rsidRDefault="00D2028E" w:rsidP="00D2028E">
      <w:pPr>
        <w:ind w:left="851"/>
        <w:rPr>
          <w:sz w:val="24"/>
          <w:szCs w:val="24"/>
          <w:lang w:eastAsia="da-DK"/>
        </w:rPr>
      </w:pPr>
      <w:r w:rsidRPr="003C2BEF">
        <w:rPr>
          <w:sz w:val="24"/>
          <w:szCs w:val="24"/>
          <w:u w:val="single"/>
          <w:lang w:eastAsia="da-DK"/>
        </w:rPr>
        <w:t>I</w:t>
      </w:r>
      <w:r w:rsidRPr="008A007A">
        <w:rPr>
          <w:sz w:val="24"/>
          <w:szCs w:val="24"/>
          <w:lang w:eastAsia="da-DK"/>
        </w:rPr>
        <w:t xml:space="preserve">ndholdet af </w:t>
      </w:r>
      <w:r w:rsidRPr="003C2BEF">
        <w:rPr>
          <w:sz w:val="24"/>
          <w:szCs w:val="24"/>
          <w:lang w:eastAsia="da-DK"/>
        </w:rPr>
        <w:t>en</w:t>
      </w:r>
      <w:r w:rsidRPr="008A007A">
        <w:rPr>
          <w:sz w:val="24"/>
          <w:szCs w:val="24"/>
          <w:lang w:eastAsia="da-DK"/>
        </w:rPr>
        <w:t xml:space="preserve"> ampul tre eller fire gange </w:t>
      </w:r>
      <w:r w:rsidRPr="003C2BEF">
        <w:rPr>
          <w:sz w:val="24"/>
          <w:szCs w:val="24"/>
          <w:lang w:eastAsia="da-DK"/>
        </w:rPr>
        <w:t>daglig</w:t>
      </w:r>
      <w:r w:rsidRPr="008A007A">
        <w:rPr>
          <w:sz w:val="24"/>
          <w:szCs w:val="24"/>
          <w:lang w:eastAsia="da-DK"/>
        </w:rPr>
        <w:t>.</w:t>
      </w:r>
    </w:p>
    <w:p w:rsidR="00D2028E" w:rsidRPr="008A007A" w:rsidRDefault="00D2028E" w:rsidP="00D2028E">
      <w:pPr>
        <w:ind w:left="851"/>
        <w:rPr>
          <w:sz w:val="24"/>
          <w:szCs w:val="24"/>
          <w:lang w:eastAsia="da-DK"/>
        </w:rPr>
      </w:pPr>
    </w:p>
    <w:p w:rsidR="00D2028E" w:rsidRPr="003C2BEF" w:rsidRDefault="00D2028E" w:rsidP="00D2028E">
      <w:pPr>
        <w:ind w:left="851"/>
        <w:rPr>
          <w:i/>
          <w:sz w:val="24"/>
          <w:szCs w:val="24"/>
          <w:lang w:eastAsia="da-DK"/>
        </w:rPr>
      </w:pPr>
      <w:r w:rsidRPr="008A007A">
        <w:rPr>
          <w:sz w:val="24"/>
          <w:szCs w:val="24"/>
          <w:u w:val="single"/>
          <w:lang w:eastAsia="da-DK"/>
        </w:rPr>
        <w:t>Pædiatrisk population</w:t>
      </w:r>
    </w:p>
    <w:p w:rsidR="00D2028E" w:rsidRDefault="00D2028E" w:rsidP="00D2028E">
      <w:pPr>
        <w:ind w:left="851"/>
        <w:rPr>
          <w:sz w:val="24"/>
          <w:szCs w:val="24"/>
          <w:lang w:eastAsia="da-DK"/>
        </w:rPr>
      </w:pPr>
      <w:proofErr w:type="spellStart"/>
      <w:r>
        <w:rPr>
          <w:sz w:val="24"/>
          <w:szCs w:val="24"/>
          <w:lang w:eastAsia="da-DK"/>
        </w:rPr>
        <w:t>Ipratropium</w:t>
      </w:r>
      <w:proofErr w:type="spellEnd"/>
      <w:r>
        <w:rPr>
          <w:sz w:val="24"/>
          <w:szCs w:val="24"/>
          <w:lang w:eastAsia="da-DK"/>
        </w:rPr>
        <w:t>/</w:t>
      </w:r>
      <w:proofErr w:type="spellStart"/>
      <w:r>
        <w:rPr>
          <w:sz w:val="24"/>
          <w:szCs w:val="24"/>
          <w:lang w:eastAsia="da-DK"/>
        </w:rPr>
        <w:t>salbutamol</w:t>
      </w:r>
      <w:proofErr w:type="spellEnd"/>
      <w:r>
        <w:rPr>
          <w:sz w:val="24"/>
          <w:szCs w:val="24"/>
          <w:lang w:eastAsia="da-DK"/>
        </w:rPr>
        <w:t xml:space="preserve"> ”Orion”</w:t>
      </w:r>
      <w:r w:rsidRPr="008A007A">
        <w:rPr>
          <w:sz w:val="24"/>
          <w:szCs w:val="24"/>
          <w:lang w:eastAsia="da-DK"/>
        </w:rPr>
        <w:t xml:space="preserve"> er ikke anbefalet til børn under 12 år på grund af manglende data vedrørende sikkerhed og virkning.</w:t>
      </w:r>
    </w:p>
    <w:p w:rsidR="00D2028E" w:rsidRDefault="00D2028E" w:rsidP="00D2028E">
      <w:pPr>
        <w:ind w:left="851"/>
        <w:rPr>
          <w:sz w:val="24"/>
          <w:szCs w:val="24"/>
          <w:lang w:eastAsia="da-DK"/>
        </w:rPr>
      </w:pPr>
    </w:p>
    <w:p w:rsidR="00D2028E" w:rsidRPr="008A007A" w:rsidRDefault="00D2028E" w:rsidP="00D2028E">
      <w:pPr>
        <w:ind w:left="851"/>
        <w:rPr>
          <w:sz w:val="24"/>
          <w:szCs w:val="24"/>
          <w:u w:val="single"/>
          <w:lang w:eastAsia="da-DK"/>
        </w:rPr>
      </w:pPr>
      <w:r>
        <w:rPr>
          <w:sz w:val="24"/>
          <w:szCs w:val="24"/>
          <w:u w:val="single"/>
          <w:lang w:eastAsia="da-DK"/>
        </w:rPr>
        <w:t>Nyre- eller leverinsufficiens</w:t>
      </w:r>
    </w:p>
    <w:p w:rsidR="00D2028E" w:rsidRPr="003C2BEF" w:rsidRDefault="00D2028E" w:rsidP="00D2028E">
      <w:pPr>
        <w:ind w:left="851"/>
        <w:rPr>
          <w:sz w:val="24"/>
          <w:szCs w:val="24"/>
          <w:lang w:eastAsia="da-DK"/>
        </w:rPr>
      </w:pPr>
      <w:r w:rsidRPr="008A007A">
        <w:rPr>
          <w:sz w:val="24"/>
          <w:szCs w:val="24"/>
          <w:lang w:eastAsia="da-DK"/>
        </w:rPr>
        <w:t xml:space="preserve">Der foreligger ingen data. </w:t>
      </w:r>
      <w:proofErr w:type="spellStart"/>
      <w:r>
        <w:rPr>
          <w:sz w:val="24"/>
          <w:szCs w:val="24"/>
          <w:lang w:eastAsia="da-DK"/>
        </w:rPr>
        <w:t>Ipratropium</w:t>
      </w:r>
      <w:proofErr w:type="spellEnd"/>
      <w:r>
        <w:rPr>
          <w:sz w:val="24"/>
          <w:szCs w:val="24"/>
          <w:lang w:eastAsia="da-DK"/>
        </w:rPr>
        <w:t>/</w:t>
      </w:r>
      <w:proofErr w:type="spellStart"/>
      <w:r>
        <w:rPr>
          <w:sz w:val="24"/>
          <w:szCs w:val="24"/>
          <w:lang w:eastAsia="da-DK"/>
        </w:rPr>
        <w:t>salbutamol</w:t>
      </w:r>
      <w:proofErr w:type="spellEnd"/>
      <w:r>
        <w:rPr>
          <w:sz w:val="24"/>
          <w:szCs w:val="24"/>
          <w:lang w:eastAsia="da-DK"/>
        </w:rPr>
        <w:t xml:space="preserve"> ”Orion”</w:t>
      </w:r>
      <w:r w:rsidRPr="008A007A">
        <w:rPr>
          <w:sz w:val="24"/>
          <w:szCs w:val="24"/>
          <w:lang w:eastAsia="da-DK"/>
        </w:rPr>
        <w:t xml:space="preserve"> er ikke blevet undersøgt hos patienter med nyre- eller leverinsufficiens og bør derfor administreres med forsigtighed hos sådanne patienter.</w:t>
      </w:r>
    </w:p>
    <w:p w:rsidR="00D2028E" w:rsidRPr="008A007A" w:rsidRDefault="00D2028E" w:rsidP="00D2028E">
      <w:pPr>
        <w:ind w:left="851"/>
        <w:rPr>
          <w:sz w:val="24"/>
          <w:szCs w:val="24"/>
          <w:lang w:eastAsia="da-DK"/>
        </w:rPr>
      </w:pPr>
    </w:p>
    <w:p w:rsidR="00D2028E" w:rsidRDefault="00D2028E" w:rsidP="00D2028E">
      <w:pPr>
        <w:ind w:left="851"/>
        <w:rPr>
          <w:b/>
          <w:sz w:val="24"/>
          <w:szCs w:val="24"/>
          <w:lang w:eastAsia="da-DK"/>
        </w:rPr>
      </w:pPr>
      <w:r w:rsidRPr="003C2BEF">
        <w:rPr>
          <w:b/>
          <w:sz w:val="24"/>
          <w:szCs w:val="24"/>
          <w:lang w:eastAsia="da-DK"/>
        </w:rPr>
        <w:t>Administration</w:t>
      </w:r>
    </w:p>
    <w:p w:rsidR="00D2028E" w:rsidRDefault="00D2028E" w:rsidP="00D2028E">
      <w:pPr>
        <w:ind w:left="851"/>
        <w:rPr>
          <w:b/>
          <w:sz w:val="24"/>
          <w:szCs w:val="24"/>
          <w:lang w:eastAsia="da-DK"/>
        </w:rPr>
      </w:pPr>
    </w:p>
    <w:p w:rsidR="00D2028E" w:rsidRDefault="00D2028E" w:rsidP="00D2028E">
      <w:pPr>
        <w:ind w:left="851"/>
        <w:rPr>
          <w:sz w:val="24"/>
          <w:szCs w:val="24"/>
          <w:lang w:eastAsia="da-DK"/>
        </w:rPr>
      </w:pPr>
      <w:r>
        <w:rPr>
          <w:sz w:val="24"/>
          <w:szCs w:val="24"/>
          <w:lang w:eastAsia="da-DK"/>
        </w:rPr>
        <w:t>Til inhalation</w:t>
      </w:r>
    </w:p>
    <w:p w:rsidR="00D2028E" w:rsidRPr="008A007A" w:rsidRDefault="00D2028E" w:rsidP="00D2028E">
      <w:pPr>
        <w:ind w:left="851"/>
        <w:rPr>
          <w:sz w:val="24"/>
          <w:szCs w:val="24"/>
          <w:lang w:eastAsia="da-DK"/>
        </w:rPr>
      </w:pPr>
      <w:proofErr w:type="spellStart"/>
      <w:r>
        <w:rPr>
          <w:sz w:val="24"/>
          <w:szCs w:val="24"/>
          <w:lang w:eastAsia="da-DK"/>
        </w:rPr>
        <w:t>Ipratropium</w:t>
      </w:r>
      <w:proofErr w:type="spellEnd"/>
      <w:r>
        <w:rPr>
          <w:sz w:val="24"/>
          <w:szCs w:val="24"/>
          <w:lang w:eastAsia="da-DK"/>
        </w:rPr>
        <w:t>/</w:t>
      </w:r>
      <w:proofErr w:type="spellStart"/>
      <w:r>
        <w:rPr>
          <w:sz w:val="24"/>
          <w:szCs w:val="24"/>
          <w:lang w:eastAsia="da-DK"/>
        </w:rPr>
        <w:t>salbutamol</w:t>
      </w:r>
      <w:proofErr w:type="spellEnd"/>
      <w:r>
        <w:rPr>
          <w:sz w:val="24"/>
          <w:szCs w:val="24"/>
          <w:lang w:eastAsia="da-DK"/>
        </w:rPr>
        <w:t xml:space="preserve"> ”Orion”</w:t>
      </w:r>
      <w:r w:rsidRPr="008A007A">
        <w:rPr>
          <w:sz w:val="24"/>
          <w:szCs w:val="24"/>
          <w:lang w:eastAsia="da-DK"/>
        </w:rPr>
        <w:t xml:space="preserve"> kan administreres via en velegnet </w:t>
      </w:r>
      <w:proofErr w:type="spellStart"/>
      <w:r w:rsidRPr="008A007A">
        <w:rPr>
          <w:sz w:val="24"/>
          <w:szCs w:val="24"/>
          <w:lang w:eastAsia="da-DK"/>
        </w:rPr>
        <w:t>nebulisator</w:t>
      </w:r>
      <w:proofErr w:type="spellEnd"/>
      <w:r w:rsidRPr="008A007A">
        <w:rPr>
          <w:sz w:val="24"/>
          <w:szCs w:val="24"/>
          <w:lang w:eastAsia="da-DK"/>
        </w:rPr>
        <w:t>, f.eks. PARI LC PLUS-</w:t>
      </w:r>
      <w:proofErr w:type="spellStart"/>
      <w:r w:rsidRPr="008A007A">
        <w:rPr>
          <w:sz w:val="24"/>
          <w:szCs w:val="24"/>
          <w:lang w:eastAsia="da-DK"/>
        </w:rPr>
        <w:t>nebulisator</w:t>
      </w:r>
      <w:proofErr w:type="spellEnd"/>
      <w:r w:rsidRPr="008A007A">
        <w:rPr>
          <w:sz w:val="24"/>
          <w:szCs w:val="24"/>
          <w:lang w:eastAsia="da-DK"/>
        </w:rPr>
        <w:t>, jet-</w:t>
      </w:r>
      <w:proofErr w:type="spellStart"/>
      <w:r w:rsidRPr="008A007A">
        <w:rPr>
          <w:sz w:val="24"/>
          <w:szCs w:val="24"/>
          <w:lang w:eastAsia="da-DK"/>
        </w:rPr>
        <w:t>nebulisator</w:t>
      </w:r>
      <w:proofErr w:type="spellEnd"/>
      <w:r w:rsidRPr="008A007A">
        <w:rPr>
          <w:sz w:val="24"/>
          <w:szCs w:val="24"/>
          <w:lang w:eastAsia="da-DK"/>
        </w:rPr>
        <w:t xml:space="preserve"> eller en IPPV (</w:t>
      </w:r>
      <w:proofErr w:type="spellStart"/>
      <w:r w:rsidRPr="005E26FB">
        <w:rPr>
          <w:i/>
          <w:sz w:val="24"/>
          <w:szCs w:val="24"/>
          <w:lang w:eastAsia="da-DK"/>
        </w:rPr>
        <w:t>intermittent</w:t>
      </w:r>
      <w:proofErr w:type="spellEnd"/>
      <w:r w:rsidRPr="005E26FB">
        <w:rPr>
          <w:i/>
          <w:sz w:val="24"/>
          <w:szCs w:val="24"/>
          <w:lang w:eastAsia="da-DK"/>
        </w:rPr>
        <w:t xml:space="preserve"> positive </w:t>
      </w:r>
      <w:proofErr w:type="spellStart"/>
      <w:r w:rsidRPr="005E26FB">
        <w:rPr>
          <w:i/>
          <w:sz w:val="24"/>
          <w:szCs w:val="24"/>
          <w:lang w:eastAsia="da-DK"/>
        </w:rPr>
        <w:t>pressure</w:t>
      </w:r>
      <w:proofErr w:type="spellEnd"/>
      <w:r w:rsidRPr="008A007A">
        <w:rPr>
          <w:sz w:val="24"/>
          <w:szCs w:val="24"/>
          <w:lang w:eastAsia="da-DK"/>
        </w:rPr>
        <w:t xml:space="preserve"> ventilator), efter at enkeltdosis-ampullen er blevet åbnet og indholdet overført til </w:t>
      </w:r>
      <w:proofErr w:type="spellStart"/>
      <w:r w:rsidRPr="008A007A">
        <w:rPr>
          <w:sz w:val="24"/>
          <w:szCs w:val="24"/>
          <w:lang w:eastAsia="da-DK"/>
        </w:rPr>
        <w:t>nebulisatorens</w:t>
      </w:r>
      <w:proofErr w:type="spellEnd"/>
      <w:r w:rsidRPr="008A007A">
        <w:rPr>
          <w:sz w:val="24"/>
          <w:szCs w:val="24"/>
          <w:lang w:eastAsia="da-DK"/>
        </w:rPr>
        <w:t xml:space="preserve"> kammer. Brugen af inhalationsvæsken er ikke kun begrænset til de nævnte eksempler men kan også baseres på lægens erfaring. Patienten skal instrueres i at læse indlægssedlen til den relevante </w:t>
      </w:r>
      <w:proofErr w:type="spellStart"/>
      <w:r w:rsidRPr="008A007A">
        <w:rPr>
          <w:sz w:val="24"/>
          <w:szCs w:val="24"/>
          <w:lang w:eastAsia="da-DK"/>
        </w:rPr>
        <w:t>nebulisator</w:t>
      </w:r>
      <w:proofErr w:type="spellEnd"/>
      <w:r w:rsidRPr="008A007A">
        <w:rPr>
          <w:sz w:val="24"/>
          <w:szCs w:val="24"/>
          <w:lang w:eastAsia="da-DK"/>
        </w:rPr>
        <w:t xml:space="preserve"> omhyggeligt, før inhalationen startes, for at få den komplette vejledning i brug af </w:t>
      </w:r>
      <w:proofErr w:type="spellStart"/>
      <w:r w:rsidRPr="008A007A">
        <w:rPr>
          <w:sz w:val="24"/>
          <w:szCs w:val="24"/>
          <w:lang w:eastAsia="da-DK"/>
        </w:rPr>
        <w:t>nebulisatoren</w:t>
      </w:r>
      <w:proofErr w:type="spellEnd"/>
      <w:r w:rsidRPr="008A007A">
        <w:rPr>
          <w:sz w:val="24"/>
          <w:szCs w:val="24"/>
          <w:lang w:eastAsia="da-DK"/>
        </w:rPr>
        <w:t>.</w:t>
      </w:r>
    </w:p>
    <w:p w:rsidR="00D2028E" w:rsidRPr="008A007A" w:rsidRDefault="00D2028E" w:rsidP="00D2028E">
      <w:pPr>
        <w:ind w:left="851"/>
        <w:rPr>
          <w:sz w:val="24"/>
          <w:szCs w:val="24"/>
          <w:lang w:eastAsia="da-DK"/>
        </w:rPr>
      </w:pPr>
    </w:p>
    <w:p w:rsidR="00D2028E" w:rsidRDefault="00D2028E" w:rsidP="00D2028E">
      <w:pPr>
        <w:ind w:left="851"/>
        <w:rPr>
          <w:sz w:val="24"/>
          <w:szCs w:val="24"/>
          <w:lang w:eastAsia="da-DK"/>
        </w:rPr>
      </w:pPr>
      <w:r w:rsidRPr="008A007A">
        <w:rPr>
          <w:sz w:val="24"/>
          <w:szCs w:val="24"/>
          <w:lang w:eastAsia="da-DK"/>
        </w:rPr>
        <w:t xml:space="preserve">Karakteristikaene for lægemiddelafgivelsen blev undersøgt in </w:t>
      </w:r>
      <w:proofErr w:type="spellStart"/>
      <w:r w:rsidRPr="008A007A">
        <w:rPr>
          <w:sz w:val="24"/>
          <w:szCs w:val="24"/>
          <w:lang w:eastAsia="da-DK"/>
        </w:rPr>
        <w:t>vitro</w:t>
      </w:r>
      <w:proofErr w:type="spellEnd"/>
      <w:r w:rsidRPr="008A007A">
        <w:rPr>
          <w:sz w:val="24"/>
          <w:szCs w:val="24"/>
          <w:lang w:eastAsia="da-DK"/>
        </w:rPr>
        <w:t xml:space="preserve"> ved brug af en PARI LC PLUS-</w:t>
      </w:r>
      <w:proofErr w:type="spellStart"/>
      <w:r w:rsidRPr="008A007A">
        <w:rPr>
          <w:sz w:val="24"/>
          <w:szCs w:val="24"/>
          <w:lang w:eastAsia="da-DK"/>
        </w:rPr>
        <w:t>nebulisator</w:t>
      </w:r>
      <w:proofErr w:type="spellEnd"/>
      <w:r w:rsidRPr="008A007A">
        <w:rPr>
          <w:sz w:val="24"/>
          <w:szCs w:val="24"/>
          <w:lang w:eastAsia="da-DK"/>
        </w:rPr>
        <w:t>:</w:t>
      </w:r>
    </w:p>
    <w:p w:rsidR="00D2028E" w:rsidRPr="008A007A" w:rsidRDefault="00D2028E" w:rsidP="00D2028E">
      <w:pPr>
        <w:ind w:left="851"/>
        <w:rPr>
          <w:sz w:val="24"/>
          <w:szCs w:val="24"/>
          <w:lang w:eastAsia="da-DK"/>
        </w:rPr>
      </w:pPr>
    </w:p>
    <w:tbl>
      <w:tblPr>
        <w:tblW w:w="8563" w:type="dxa"/>
        <w:tblInd w:w="1033" w:type="dxa"/>
        <w:tblLayout w:type="fixed"/>
        <w:tblCellMar>
          <w:left w:w="0" w:type="dxa"/>
          <w:right w:w="0" w:type="dxa"/>
        </w:tblCellMar>
        <w:tblLook w:val="0000" w:firstRow="0" w:lastRow="0" w:firstColumn="0" w:lastColumn="0" w:noHBand="0" w:noVBand="0"/>
      </w:tblPr>
      <w:tblGrid>
        <w:gridCol w:w="658"/>
        <w:gridCol w:w="709"/>
        <w:gridCol w:w="992"/>
        <w:gridCol w:w="3119"/>
        <w:gridCol w:w="3085"/>
      </w:tblGrid>
      <w:tr w:rsidR="00D2028E" w:rsidRPr="008A007A" w:rsidTr="003B4BCE">
        <w:trPr>
          <w:trHeight w:hRule="exact" w:val="812"/>
        </w:trPr>
        <w:tc>
          <w:tcPr>
            <w:tcW w:w="2359" w:type="dxa"/>
            <w:gridSpan w:val="3"/>
            <w:tcBorders>
              <w:top w:val="single" w:sz="8" w:space="0" w:color="000000"/>
              <w:left w:val="single" w:sz="8" w:space="0" w:color="000000"/>
              <w:bottom w:val="single" w:sz="8" w:space="0" w:color="000000"/>
              <w:right w:val="single" w:sz="8" w:space="0" w:color="000000"/>
            </w:tcBorders>
          </w:tcPr>
          <w:p w:rsidR="00D2028E" w:rsidRDefault="00D2028E" w:rsidP="003B4BCE">
            <w:pPr>
              <w:widowControl w:val="0"/>
              <w:autoSpaceDE w:val="0"/>
              <w:autoSpaceDN w:val="0"/>
              <w:adjustRightInd w:val="0"/>
              <w:ind w:left="91" w:right="631"/>
              <w:rPr>
                <w:b/>
                <w:bCs/>
                <w:spacing w:val="-1"/>
                <w:sz w:val="24"/>
                <w:szCs w:val="24"/>
                <w:lang w:eastAsia="en-IN"/>
              </w:rPr>
            </w:pPr>
            <w:r w:rsidRPr="008A007A">
              <w:rPr>
                <w:b/>
                <w:bCs/>
                <w:spacing w:val="-1"/>
                <w:sz w:val="24"/>
                <w:szCs w:val="24"/>
                <w:lang w:eastAsia="en-IN"/>
              </w:rPr>
              <w:t>Administreret dråbestørrelse</w:t>
            </w:r>
          </w:p>
          <w:p w:rsidR="00D2028E" w:rsidRPr="008A007A" w:rsidRDefault="00D2028E" w:rsidP="003B4BCE">
            <w:pPr>
              <w:widowControl w:val="0"/>
              <w:autoSpaceDE w:val="0"/>
              <w:autoSpaceDN w:val="0"/>
              <w:adjustRightInd w:val="0"/>
              <w:ind w:left="91" w:right="631"/>
              <w:rPr>
                <w:b/>
                <w:bCs/>
                <w:spacing w:val="-1"/>
                <w:sz w:val="24"/>
                <w:szCs w:val="24"/>
                <w:lang w:eastAsia="en-IN"/>
              </w:rPr>
            </w:pPr>
            <w:r w:rsidRPr="008A007A">
              <w:rPr>
                <w:bCs/>
                <w:spacing w:val="-1"/>
                <w:sz w:val="24"/>
                <w:szCs w:val="24"/>
                <w:lang w:eastAsia="en-IN"/>
              </w:rPr>
              <w:t>(mikrometer)</w:t>
            </w:r>
            <w:r w:rsidRPr="008A007A">
              <w:rPr>
                <w:b/>
                <w:bCs/>
                <w:spacing w:val="-1"/>
                <w:sz w:val="24"/>
                <w:szCs w:val="24"/>
                <w:lang w:eastAsia="en-IN"/>
              </w:rPr>
              <w:t xml:space="preserve"> </w:t>
            </w:r>
          </w:p>
        </w:tc>
        <w:tc>
          <w:tcPr>
            <w:tcW w:w="3119" w:type="dxa"/>
            <w:vMerge w:val="restart"/>
            <w:tcBorders>
              <w:top w:val="single" w:sz="8" w:space="0" w:color="000000"/>
              <w:left w:val="single" w:sz="8" w:space="0" w:color="000000"/>
              <w:bottom w:val="single" w:sz="8" w:space="0" w:color="000000"/>
              <w:right w:val="single" w:sz="8" w:space="0" w:color="000000"/>
            </w:tcBorders>
          </w:tcPr>
          <w:p w:rsidR="00D2028E" w:rsidRPr="008A007A" w:rsidRDefault="00D2028E" w:rsidP="003B4BCE">
            <w:pPr>
              <w:ind w:left="142"/>
              <w:rPr>
                <w:sz w:val="24"/>
                <w:szCs w:val="24"/>
                <w:lang w:eastAsia="da-DK"/>
              </w:rPr>
            </w:pPr>
            <w:r w:rsidRPr="008A007A">
              <w:rPr>
                <w:b/>
                <w:bCs/>
                <w:spacing w:val="-1"/>
                <w:sz w:val="24"/>
                <w:szCs w:val="24"/>
                <w:lang w:eastAsia="en-IN"/>
              </w:rPr>
              <w:t xml:space="preserve">Lægemiddelafgivelsestempo </w:t>
            </w:r>
            <w:r w:rsidRPr="008A007A">
              <w:rPr>
                <w:sz w:val="24"/>
                <w:szCs w:val="24"/>
                <w:lang w:eastAsia="da-DK"/>
              </w:rPr>
              <w:t>(mikrogram/min)</w:t>
            </w:r>
          </w:p>
        </w:tc>
        <w:tc>
          <w:tcPr>
            <w:tcW w:w="3085" w:type="dxa"/>
            <w:vMerge w:val="restart"/>
            <w:tcBorders>
              <w:top w:val="single" w:sz="8" w:space="0" w:color="000000"/>
              <w:left w:val="single" w:sz="8" w:space="0" w:color="000000"/>
              <w:bottom w:val="single" w:sz="8" w:space="0" w:color="000000"/>
              <w:right w:val="single" w:sz="8" w:space="0" w:color="000000"/>
            </w:tcBorders>
          </w:tcPr>
          <w:p w:rsidR="00D2028E" w:rsidRPr="008A007A" w:rsidRDefault="00D2028E" w:rsidP="003B4BCE">
            <w:pPr>
              <w:ind w:left="142"/>
              <w:rPr>
                <w:sz w:val="24"/>
                <w:szCs w:val="24"/>
                <w:lang w:eastAsia="da-DK"/>
              </w:rPr>
            </w:pPr>
            <w:r w:rsidRPr="008A007A">
              <w:rPr>
                <w:b/>
                <w:sz w:val="24"/>
                <w:szCs w:val="24"/>
                <w:lang w:eastAsia="da-DK"/>
              </w:rPr>
              <w:t>Total mængde afgivet lægemiddel</w:t>
            </w:r>
          </w:p>
          <w:p w:rsidR="00D2028E" w:rsidRPr="008A007A" w:rsidRDefault="00D2028E" w:rsidP="003B4BCE">
            <w:pPr>
              <w:ind w:left="142"/>
              <w:rPr>
                <w:sz w:val="24"/>
                <w:szCs w:val="24"/>
                <w:lang w:eastAsia="da-DK"/>
              </w:rPr>
            </w:pPr>
            <w:r w:rsidRPr="008A007A">
              <w:rPr>
                <w:sz w:val="24"/>
                <w:szCs w:val="24"/>
                <w:lang w:eastAsia="da-DK"/>
              </w:rPr>
              <w:t>(mikrogram/2,5 ml)</w:t>
            </w:r>
          </w:p>
        </w:tc>
      </w:tr>
      <w:tr w:rsidR="00D2028E" w:rsidRPr="008A007A" w:rsidTr="003B4BCE">
        <w:trPr>
          <w:trHeight w:hRule="exact" w:val="402"/>
        </w:trPr>
        <w:tc>
          <w:tcPr>
            <w:tcW w:w="658" w:type="dxa"/>
            <w:tcBorders>
              <w:top w:val="single" w:sz="8" w:space="0" w:color="000000"/>
              <w:left w:val="single" w:sz="8" w:space="0" w:color="000000"/>
              <w:bottom w:val="single" w:sz="8" w:space="0" w:color="000000"/>
              <w:right w:val="single" w:sz="8" w:space="0" w:color="000000"/>
            </w:tcBorders>
          </w:tcPr>
          <w:p w:rsidR="00D2028E" w:rsidRPr="008A007A" w:rsidRDefault="00D2028E" w:rsidP="003B4BCE">
            <w:pPr>
              <w:ind w:left="91"/>
              <w:rPr>
                <w:sz w:val="24"/>
                <w:szCs w:val="24"/>
                <w:lang w:eastAsia="da-DK"/>
              </w:rPr>
            </w:pPr>
            <w:r w:rsidRPr="008A007A">
              <w:rPr>
                <w:sz w:val="24"/>
                <w:szCs w:val="24"/>
                <w:lang w:eastAsia="da-DK"/>
              </w:rPr>
              <w:t>D10</w:t>
            </w:r>
          </w:p>
        </w:tc>
        <w:tc>
          <w:tcPr>
            <w:tcW w:w="709" w:type="dxa"/>
            <w:tcBorders>
              <w:top w:val="single" w:sz="8" w:space="0" w:color="000000"/>
              <w:left w:val="single" w:sz="8" w:space="0" w:color="000000"/>
              <w:bottom w:val="single" w:sz="8" w:space="0" w:color="000000"/>
              <w:right w:val="single" w:sz="8" w:space="0" w:color="000000"/>
            </w:tcBorders>
          </w:tcPr>
          <w:p w:rsidR="00D2028E" w:rsidRPr="008A007A" w:rsidRDefault="00D2028E" w:rsidP="003B4BCE">
            <w:pPr>
              <w:ind w:left="142"/>
              <w:rPr>
                <w:sz w:val="24"/>
                <w:szCs w:val="24"/>
                <w:lang w:eastAsia="da-DK"/>
              </w:rPr>
            </w:pPr>
            <w:r w:rsidRPr="008A007A">
              <w:rPr>
                <w:sz w:val="24"/>
                <w:szCs w:val="24"/>
                <w:lang w:eastAsia="da-DK"/>
              </w:rPr>
              <w:t>D50</w:t>
            </w:r>
          </w:p>
        </w:tc>
        <w:tc>
          <w:tcPr>
            <w:tcW w:w="992" w:type="dxa"/>
            <w:tcBorders>
              <w:top w:val="single" w:sz="8" w:space="0" w:color="000000"/>
              <w:left w:val="single" w:sz="8" w:space="0" w:color="000000"/>
              <w:bottom w:val="single" w:sz="8" w:space="0" w:color="000000"/>
              <w:right w:val="single" w:sz="8" w:space="0" w:color="000000"/>
            </w:tcBorders>
          </w:tcPr>
          <w:p w:rsidR="00D2028E" w:rsidRPr="008A007A" w:rsidRDefault="00D2028E" w:rsidP="003B4BCE">
            <w:pPr>
              <w:ind w:left="142"/>
              <w:rPr>
                <w:sz w:val="24"/>
                <w:szCs w:val="24"/>
                <w:lang w:eastAsia="da-DK"/>
              </w:rPr>
            </w:pPr>
            <w:r w:rsidRPr="008A007A">
              <w:rPr>
                <w:sz w:val="24"/>
                <w:szCs w:val="24"/>
                <w:lang w:eastAsia="da-DK"/>
              </w:rPr>
              <w:t>D90</w:t>
            </w:r>
          </w:p>
        </w:tc>
        <w:tc>
          <w:tcPr>
            <w:tcW w:w="3119" w:type="dxa"/>
            <w:vMerge/>
            <w:tcBorders>
              <w:top w:val="single" w:sz="8" w:space="0" w:color="000000"/>
              <w:left w:val="single" w:sz="8" w:space="0" w:color="000000"/>
              <w:bottom w:val="single" w:sz="8" w:space="0" w:color="000000"/>
              <w:right w:val="single" w:sz="8" w:space="0" w:color="000000"/>
            </w:tcBorders>
          </w:tcPr>
          <w:p w:rsidR="00D2028E" w:rsidRPr="008A007A" w:rsidRDefault="00D2028E" w:rsidP="003B4BCE">
            <w:pPr>
              <w:ind w:left="851"/>
              <w:rPr>
                <w:sz w:val="24"/>
                <w:szCs w:val="24"/>
                <w:lang w:eastAsia="da-DK"/>
              </w:rPr>
            </w:pPr>
          </w:p>
        </w:tc>
        <w:tc>
          <w:tcPr>
            <w:tcW w:w="3085" w:type="dxa"/>
            <w:vMerge/>
            <w:tcBorders>
              <w:top w:val="single" w:sz="8" w:space="0" w:color="000000"/>
              <w:left w:val="single" w:sz="8" w:space="0" w:color="000000"/>
              <w:bottom w:val="single" w:sz="8" w:space="0" w:color="000000"/>
              <w:right w:val="single" w:sz="8" w:space="0" w:color="000000"/>
            </w:tcBorders>
          </w:tcPr>
          <w:p w:rsidR="00D2028E" w:rsidRPr="008A007A" w:rsidRDefault="00D2028E" w:rsidP="003B4BCE">
            <w:pPr>
              <w:ind w:left="851"/>
              <w:rPr>
                <w:sz w:val="24"/>
                <w:szCs w:val="24"/>
                <w:lang w:eastAsia="da-DK"/>
              </w:rPr>
            </w:pPr>
          </w:p>
        </w:tc>
      </w:tr>
      <w:tr w:rsidR="00D2028E" w:rsidRPr="008A007A" w:rsidTr="003B4BCE">
        <w:trPr>
          <w:trHeight w:hRule="exact" w:val="697"/>
        </w:trPr>
        <w:tc>
          <w:tcPr>
            <w:tcW w:w="658" w:type="dxa"/>
            <w:tcBorders>
              <w:top w:val="single" w:sz="8" w:space="0" w:color="000000"/>
              <w:left w:val="single" w:sz="8" w:space="0" w:color="000000"/>
              <w:bottom w:val="single" w:sz="8" w:space="0" w:color="000000"/>
              <w:right w:val="single" w:sz="8" w:space="0" w:color="000000"/>
            </w:tcBorders>
          </w:tcPr>
          <w:p w:rsidR="005E26FB" w:rsidRDefault="005E26FB" w:rsidP="003B4BCE">
            <w:pPr>
              <w:widowControl w:val="0"/>
              <w:autoSpaceDE w:val="0"/>
              <w:autoSpaceDN w:val="0"/>
              <w:adjustRightInd w:val="0"/>
              <w:ind w:left="91"/>
              <w:rPr>
                <w:sz w:val="24"/>
                <w:szCs w:val="24"/>
                <w:lang w:eastAsia="en-IN"/>
              </w:rPr>
            </w:pPr>
          </w:p>
          <w:p w:rsidR="00D2028E" w:rsidRPr="008A007A" w:rsidRDefault="00D2028E" w:rsidP="003B4BCE">
            <w:pPr>
              <w:widowControl w:val="0"/>
              <w:autoSpaceDE w:val="0"/>
              <w:autoSpaceDN w:val="0"/>
              <w:adjustRightInd w:val="0"/>
              <w:ind w:left="91"/>
              <w:rPr>
                <w:sz w:val="24"/>
                <w:szCs w:val="24"/>
                <w:lang w:eastAsia="en-IN"/>
              </w:rPr>
            </w:pPr>
            <w:r w:rsidRPr="008A007A">
              <w:rPr>
                <w:sz w:val="24"/>
                <w:szCs w:val="24"/>
                <w:lang w:eastAsia="en-IN"/>
              </w:rPr>
              <w:t>1</w:t>
            </w:r>
          </w:p>
        </w:tc>
        <w:tc>
          <w:tcPr>
            <w:tcW w:w="709" w:type="dxa"/>
            <w:tcBorders>
              <w:top w:val="single" w:sz="8" w:space="0" w:color="000000"/>
              <w:left w:val="single" w:sz="8" w:space="0" w:color="000000"/>
              <w:bottom w:val="single" w:sz="8" w:space="0" w:color="000000"/>
              <w:right w:val="single" w:sz="8" w:space="0" w:color="000000"/>
            </w:tcBorders>
          </w:tcPr>
          <w:p w:rsidR="00D2028E" w:rsidRPr="008A007A" w:rsidRDefault="00D2028E" w:rsidP="003B4BCE">
            <w:pPr>
              <w:widowControl w:val="0"/>
              <w:autoSpaceDE w:val="0"/>
              <w:autoSpaceDN w:val="0"/>
              <w:adjustRightInd w:val="0"/>
              <w:ind w:left="142"/>
              <w:rPr>
                <w:sz w:val="24"/>
                <w:szCs w:val="24"/>
                <w:lang w:eastAsia="en-IN"/>
              </w:rPr>
            </w:pPr>
          </w:p>
          <w:p w:rsidR="00D2028E" w:rsidRPr="008A007A" w:rsidRDefault="00D2028E" w:rsidP="003B4BCE">
            <w:pPr>
              <w:widowControl w:val="0"/>
              <w:autoSpaceDE w:val="0"/>
              <w:autoSpaceDN w:val="0"/>
              <w:adjustRightInd w:val="0"/>
              <w:ind w:left="142"/>
              <w:rPr>
                <w:sz w:val="24"/>
                <w:szCs w:val="24"/>
                <w:lang w:eastAsia="en-IN"/>
              </w:rPr>
            </w:pPr>
            <w:r w:rsidRPr="008A007A">
              <w:rPr>
                <w:sz w:val="24"/>
                <w:szCs w:val="24"/>
                <w:lang w:eastAsia="en-IN"/>
              </w:rPr>
              <w:t>4</w:t>
            </w:r>
          </w:p>
        </w:tc>
        <w:tc>
          <w:tcPr>
            <w:tcW w:w="992" w:type="dxa"/>
            <w:tcBorders>
              <w:top w:val="single" w:sz="8" w:space="0" w:color="000000"/>
              <w:left w:val="single" w:sz="8" w:space="0" w:color="000000"/>
              <w:bottom w:val="single" w:sz="8" w:space="0" w:color="000000"/>
              <w:right w:val="single" w:sz="8" w:space="0" w:color="000000"/>
            </w:tcBorders>
          </w:tcPr>
          <w:p w:rsidR="00D2028E" w:rsidRPr="008A007A" w:rsidRDefault="00D2028E" w:rsidP="003B4BCE">
            <w:pPr>
              <w:widowControl w:val="0"/>
              <w:autoSpaceDE w:val="0"/>
              <w:autoSpaceDN w:val="0"/>
              <w:adjustRightInd w:val="0"/>
              <w:ind w:left="142"/>
              <w:rPr>
                <w:sz w:val="24"/>
                <w:szCs w:val="24"/>
                <w:lang w:eastAsia="en-IN"/>
              </w:rPr>
            </w:pPr>
          </w:p>
          <w:p w:rsidR="00D2028E" w:rsidRPr="008A007A" w:rsidRDefault="00D2028E" w:rsidP="003B4BCE">
            <w:pPr>
              <w:widowControl w:val="0"/>
              <w:autoSpaceDE w:val="0"/>
              <w:autoSpaceDN w:val="0"/>
              <w:adjustRightInd w:val="0"/>
              <w:ind w:left="142"/>
              <w:rPr>
                <w:sz w:val="24"/>
                <w:szCs w:val="24"/>
                <w:lang w:eastAsia="en-IN"/>
              </w:rPr>
            </w:pPr>
            <w:r w:rsidRPr="008A007A">
              <w:rPr>
                <w:sz w:val="24"/>
                <w:szCs w:val="24"/>
                <w:lang w:eastAsia="en-IN"/>
              </w:rPr>
              <w:t>11</w:t>
            </w:r>
          </w:p>
        </w:tc>
        <w:tc>
          <w:tcPr>
            <w:tcW w:w="3119" w:type="dxa"/>
            <w:tcBorders>
              <w:top w:val="single" w:sz="8" w:space="0" w:color="000000"/>
              <w:left w:val="single" w:sz="8" w:space="0" w:color="000000"/>
              <w:bottom w:val="single" w:sz="8" w:space="0" w:color="000000"/>
              <w:right w:val="single" w:sz="8" w:space="0" w:color="000000"/>
            </w:tcBorders>
          </w:tcPr>
          <w:p w:rsidR="00D2028E" w:rsidRPr="008A007A" w:rsidRDefault="00D2028E" w:rsidP="003B4BCE">
            <w:pPr>
              <w:widowControl w:val="0"/>
              <w:autoSpaceDE w:val="0"/>
              <w:autoSpaceDN w:val="0"/>
              <w:adjustRightInd w:val="0"/>
              <w:ind w:left="142"/>
              <w:rPr>
                <w:sz w:val="24"/>
                <w:szCs w:val="24"/>
                <w:lang w:eastAsia="en-IN"/>
              </w:rPr>
            </w:pPr>
            <w:proofErr w:type="spellStart"/>
            <w:r w:rsidRPr="008A007A">
              <w:rPr>
                <w:sz w:val="24"/>
                <w:szCs w:val="24"/>
                <w:lang w:eastAsia="en-IN"/>
              </w:rPr>
              <w:t>Salbutamol</w:t>
            </w:r>
            <w:proofErr w:type="spellEnd"/>
            <w:r w:rsidRPr="008A007A">
              <w:rPr>
                <w:sz w:val="24"/>
                <w:szCs w:val="24"/>
                <w:lang w:eastAsia="en-IN"/>
              </w:rPr>
              <w:t>: 78,30</w:t>
            </w:r>
          </w:p>
          <w:p w:rsidR="00D2028E" w:rsidRPr="008A007A" w:rsidRDefault="00D2028E" w:rsidP="003B4BCE">
            <w:pPr>
              <w:widowControl w:val="0"/>
              <w:autoSpaceDE w:val="0"/>
              <w:autoSpaceDN w:val="0"/>
              <w:adjustRightInd w:val="0"/>
              <w:ind w:left="142"/>
              <w:rPr>
                <w:sz w:val="24"/>
                <w:szCs w:val="24"/>
                <w:lang w:eastAsia="en-IN"/>
              </w:rPr>
            </w:pPr>
            <w:proofErr w:type="spellStart"/>
            <w:r w:rsidRPr="008A007A">
              <w:rPr>
                <w:sz w:val="24"/>
                <w:szCs w:val="24"/>
                <w:lang w:eastAsia="en-IN"/>
              </w:rPr>
              <w:t>Ipratropium</w:t>
            </w:r>
            <w:proofErr w:type="spellEnd"/>
            <w:r w:rsidRPr="008A007A">
              <w:rPr>
                <w:sz w:val="24"/>
                <w:szCs w:val="24"/>
                <w:lang w:eastAsia="en-IN"/>
              </w:rPr>
              <w:t>: 15,31</w:t>
            </w:r>
          </w:p>
        </w:tc>
        <w:tc>
          <w:tcPr>
            <w:tcW w:w="3085" w:type="dxa"/>
            <w:tcBorders>
              <w:top w:val="single" w:sz="8" w:space="0" w:color="000000"/>
              <w:left w:val="single" w:sz="8" w:space="0" w:color="000000"/>
              <w:bottom w:val="single" w:sz="8" w:space="0" w:color="000000"/>
              <w:right w:val="single" w:sz="8" w:space="0" w:color="000000"/>
            </w:tcBorders>
          </w:tcPr>
          <w:p w:rsidR="00D2028E" w:rsidRPr="008A007A" w:rsidRDefault="00D2028E" w:rsidP="003B4BCE">
            <w:pPr>
              <w:widowControl w:val="0"/>
              <w:autoSpaceDE w:val="0"/>
              <w:autoSpaceDN w:val="0"/>
              <w:adjustRightInd w:val="0"/>
              <w:ind w:left="142"/>
              <w:rPr>
                <w:sz w:val="24"/>
                <w:szCs w:val="24"/>
                <w:lang w:eastAsia="en-IN"/>
              </w:rPr>
            </w:pPr>
            <w:proofErr w:type="spellStart"/>
            <w:r w:rsidRPr="008A007A">
              <w:rPr>
                <w:sz w:val="24"/>
                <w:szCs w:val="24"/>
                <w:lang w:eastAsia="en-IN"/>
              </w:rPr>
              <w:t>Salbutamol</w:t>
            </w:r>
            <w:proofErr w:type="spellEnd"/>
            <w:r w:rsidRPr="008A007A">
              <w:rPr>
                <w:sz w:val="24"/>
                <w:szCs w:val="24"/>
                <w:lang w:eastAsia="en-IN"/>
              </w:rPr>
              <w:t>: 532,96</w:t>
            </w:r>
          </w:p>
          <w:p w:rsidR="00D2028E" w:rsidRPr="008A007A" w:rsidRDefault="00D2028E" w:rsidP="003B4BCE">
            <w:pPr>
              <w:widowControl w:val="0"/>
              <w:autoSpaceDE w:val="0"/>
              <w:autoSpaceDN w:val="0"/>
              <w:adjustRightInd w:val="0"/>
              <w:ind w:left="142"/>
              <w:rPr>
                <w:sz w:val="24"/>
                <w:szCs w:val="24"/>
                <w:lang w:eastAsia="en-IN"/>
              </w:rPr>
            </w:pPr>
            <w:proofErr w:type="spellStart"/>
            <w:r w:rsidRPr="008A007A">
              <w:rPr>
                <w:sz w:val="24"/>
                <w:szCs w:val="24"/>
                <w:lang w:eastAsia="en-IN"/>
              </w:rPr>
              <w:t>Ipratropium</w:t>
            </w:r>
            <w:proofErr w:type="spellEnd"/>
            <w:r w:rsidRPr="008A007A">
              <w:rPr>
                <w:sz w:val="24"/>
                <w:szCs w:val="24"/>
                <w:lang w:eastAsia="en-IN"/>
              </w:rPr>
              <w:t>: 106,23</w:t>
            </w:r>
          </w:p>
        </w:tc>
      </w:tr>
    </w:tbl>
    <w:p w:rsidR="00D2028E" w:rsidRPr="008A007A" w:rsidRDefault="00D2028E" w:rsidP="00D2028E">
      <w:pPr>
        <w:ind w:left="851"/>
        <w:rPr>
          <w:sz w:val="24"/>
          <w:szCs w:val="24"/>
          <w:lang w:eastAsia="da-DK"/>
        </w:rPr>
      </w:pPr>
    </w:p>
    <w:p w:rsidR="00D2028E" w:rsidRPr="008A007A" w:rsidRDefault="00D2028E" w:rsidP="00D2028E">
      <w:pPr>
        <w:ind w:left="851"/>
        <w:rPr>
          <w:sz w:val="24"/>
          <w:szCs w:val="24"/>
          <w:lang w:eastAsia="da-DK"/>
        </w:rPr>
      </w:pPr>
      <w:r w:rsidRPr="008A007A">
        <w:rPr>
          <w:sz w:val="24"/>
          <w:szCs w:val="24"/>
          <w:lang w:eastAsia="da-DK"/>
        </w:rPr>
        <w:t xml:space="preserve">Der foreligger ingen oplysninger angående </w:t>
      </w:r>
      <w:proofErr w:type="spellStart"/>
      <w:r w:rsidRPr="008A007A">
        <w:rPr>
          <w:sz w:val="24"/>
          <w:szCs w:val="24"/>
          <w:lang w:eastAsia="da-DK"/>
        </w:rPr>
        <w:t>pulmonal</w:t>
      </w:r>
      <w:proofErr w:type="spellEnd"/>
      <w:r w:rsidRPr="008A007A">
        <w:rPr>
          <w:sz w:val="24"/>
          <w:szCs w:val="24"/>
          <w:lang w:eastAsia="da-DK"/>
        </w:rPr>
        <w:t xml:space="preserve"> inhalation og </w:t>
      </w:r>
      <w:proofErr w:type="spellStart"/>
      <w:r w:rsidRPr="008A007A">
        <w:rPr>
          <w:sz w:val="24"/>
          <w:szCs w:val="24"/>
          <w:lang w:eastAsia="da-DK"/>
        </w:rPr>
        <w:t>pulmonale</w:t>
      </w:r>
      <w:proofErr w:type="spellEnd"/>
      <w:r w:rsidRPr="008A007A">
        <w:rPr>
          <w:sz w:val="24"/>
          <w:szCs w:val="24"/>
          <w:lang w:eastAsia="da-DK"/>
        </w:rPr>
        <w:t xml:space="preserve"> aflejringsmønstre med ikke-undersøgte </w:t>
      </w:r>
      <w:proofErr w:type="spellStart"/>
      <w:r w:rsidRPr="008A007A">
        <w:rPr>
          <w:sz w:val="24"/>
          <w:szCs w:val="24"/>
          <w:lang w:eastAsia="da-DK"/>
        </w:rPr>
        <w:t>nebulisationssystemer</w:t>
      </w:r>
      <w:proofErr w:type="spellEnd"/>
      <w:r w:rsidRPr="008A007A">
        <w:rPr>
          <w:sz w:val="24"/>
          <w:szCs w:val="24"/>
          <w:lang w:eastAsia="da-DK"/>
        </w:rPr>
        <w:t>.</w:t>
      </w:r>
    </w:p>
    <w:p w:rsidR="00D2028E" w:rsidRPr="008A007A" w:rsidRDefault="00D2028E" w:rsidP="00D2028E">
      <w:pPr>
        <w:ind w:left="851"/>
        <w:rPr>
          <w:sz w:val="24"/>
          <w:szCs w:val="24"/>
          <w:lang w:eastAsia="da-DK"/>
        </w:rPr>
      </w:pPr>
      <w:r w:rsidRPr="008A007A">
        <w:rPr>
          <w:sz w:val="24"/>
          <w:szCs w:val="24"/>
          <w:lang w:eastAsia="da-DK"/>
        </w:rPr>
        <w:t xml:space="preserve">Brug af et andet, ikke-afprøvet </w:t>
      </w:r>
      <w:proofErr w:type="spellStart"/>
      <w:r w:rsidRPr="008A007A">
        <w:rPr>
          <w:sz w:val="24"/>
          <w:szCs w:val="24"/>
          <w:lang w:eastAsia="da-DK"/>
        </w:rPr>
        <w:t>nebulisationssystem</w:t>
      </w:r>
      <w:proofErr w:type="spellEnd"/>
      <w:r w:rsidRPr="008A007A">
        <w:rPr>
          <w:sz w:val="24"/>
          <w:szCs w:val="24"/>
          <w:lang w:eastAsia="da-DK"/>
        </w:rPr>
        <w:t xml:space="preserve"> kan ændre den </w:t>
      </w:r>
      <w:proofErr w:type="spellStart"/>
      <w:r w:rsidRPr="008A007A">
        <w:rPr>
          <w:sz w:val="24"/>
          <w:szCs w:val="24"/>
          <w:lang w:eastAsia="da-DK"/>
        </w:rPr>
        <w:t>pulmonale</w:t>
      </w:r>
      <w:proofErr w:type="spellEnd"/>
      <w:r w:rsidRPr="008A007A">
        <w:rPr>
          <w:sz w:val="24"/>
          <w:szCs w:val="24"/>
          <w:lang w:eastAsia="da-DK"/>
        </w:rPr>
        <w:t xml:space="preserve"> aflejring af de aktive stoffer og dermed ændre produktets virkning og sikkerhed, så det kan blive nødvendigt at justere doseringen.</w:t>
      </w:r>
    </w:p>
    <w:p w:rsidR="00D2028E" w:rsidRPr="008A007A" w:rsidRDefault="00D2028E" w:rsidP="00D2028E">
      <w:pPr>
        <w:ind w:left="851"/>
        <w:rPr>
          <w:sz w:val="24"/>
          <w:szCs w:val="24"/>
          <w:lang w:eastAsia="da-DK"/>
        </w:rPr>
      </w:pPr>
    </w:p>
    <w:p w:rsidR="00D2028E" w:rsidRPr="008A007A" w:rsidRDefault="00D2028E" w:rsidP="00D2028E">
      <w:pPr>
        <w:ind w:left="851"/>
        <w:rPr>
          <w:sz w:val="24"/>
          <w:szCs w:val="24"/>
          <w:lang w:eastAsia="da-DK"/>
        </w:rPr>
      </w:pPr>
      <w:r w:rsidRPr="008A007A">
        <w:rPr>
          <w:sz w:val="24"/>
          <w:szCs w:val="24"/>
          <w:lang w:eastAsia="da-DK"/>
        </w:rPr>
        <w:lastRenderedPageBreak/>
        <w:t xml:space="preserve">Inhalationsvæsken til </w:t>
      </w:r>
      <w:proofErr w:type="spellStart"/>
      <w:r w:rsidRPr="008A007A">
        <w:rPr>
          <w:sz w:val="24"/>
          <w:szCs w:val="24"/>
          <w:lang w:eastAsia="da-DK"/>
        </w:rPr>
        <w:t>nebulisator</w:t>
      </w:r>
      <w:r w:rsidR="005E26FB">
        <w:rPr>
          <w:sz w:val="24"/>
          <w:szCs w:val="24"/>
          <w:lang w:eastAsia="da-DK"/>
        </w:rPr>
        <w:t>e</w:t>
      </w:r>
      <w:r w:rsidRPr="008A007A">
        <w:rPr>
          <w:sz w:val="24"/>
          <w:szCs w:val="24"/>
          <w:lang w:eastAsia="da-DK"/>
        </w:rPr>
        <w:t>n</w:t>
      </w:r>
      <w:proofErr w:type="spellEnd"/>
      <w:r w:rsidRPr="008A007A">
        <w:rPr>
          <w:sz w:val="24"/>
          <w:szCs w:val="24"/>
          <w:lang w:eastAsia="da-DK"/>
        </w:rPr>
        <w:t xml:space="preserve"> i enkeltdosis-ampullerne er kun beregnet til inhalation og må ikke tages oralt eller administreres parenteralt.</w:t>
      </w:r>
    </w:p>
    <w:p w:rsidR="00D2028E" w:rsidRDefault="00D2028E" w:rsidP="00D2028E">
      <w:pPr>
        <w:ind w:left="851"/>
        <w:rPr>
          <w:sz w:val="24"/>
          <w:szCs w:val="24"/>
          <w:lang w:eastAsia="da-DK"/>
        </w:rPr>
      </w:pPr>
    </w:p>
    <w:p w:rsidR="00D2028E" w:rsidRPr="008A007A" w:rsidRDefault="00D2028E" w:rsidP="00D2028E">
      <w:pPr>
        <w:ind w:left="1276" w:hanging="425"/>
        <w:rPr>
          <w:sz w:val="24"/>
          <w:szCs w:val="24"/>
          <w:lang w:eastAsia="da-DK"/>
        </w:rPr>
      </w:pPr>
      <w:r w:rsidRPr="008A007A">
        <w:rPr>
          <w:sz w:val="24"/>
          <w:szCs w:val="24"/>
          <w:lang w:eastAsia="da-DK"/>
        </w:rPr>
        <w:t>i.</w:t>
      </w:r>
      <w:r>
        <w:rPr>
          <w:sz w:val="24"/>
          <w:szCs w:val="24"/>
          <w:lang w:eastAsia="da-DK"/>
        </w:rPr>
        <w:tab/>
      </w:r>
      <w:r w:rsidRPr="008A007A">
        <w:rPr>
          <w:sz w:val="24"/>
          <w:szCs w:val="24"/>
          <w:lang w:eastAsia="da-DK"/>
        </w:rPr>
        <w:t xml:space="preserve">Klargør </w:t>
      </w:r>
      <w:proofErr w:type="spellStart"/>
      <w:r w:rsidRPr="008A007A">
        <w:rPr>
          <w:sz w:val="24"/>
          <w:szCs w:val="24"/>
          <w:lang w:eastAsia="da-DK"/>
        </w:rPr>
        <w:t>nebulisatoren</w:t>
      </w:r>
      <w:proofErr w:type="spellEnd"/>
      <w:r w:rsidRPr="008A007A">
        <w:rPr>
          <w:sz w:val="24"/>
          <w:szCs w:val="24"/>
          <w:lang w:eastAsia="da-DK"/>
        </w:rPr>
        <w:t xml:space="preserve"> i henhold til producentens instruktioner og lægens anvisning.</w:t>
      </w:r>
    </w:p>
    <w:p w:rsidR="00D2028E" w:rsidRPr="008A007A" w:rsidRDefault="00D2028E" w:rsidP="00D2028E">
      <w:pPr>
        <w:ind w:left="1276" w:hanging="425"/>
        <w:rPr>
          <w:sz w:val="24"/>
          <w:szCs w:val="24"/>
          <w:lang w:eastAsia="da-DK"/>
        </w:rPr>
      </w:pPr>
    </w:p>
    <w:p w:rsidR="00D2028E" w:rsidRPr="008A007A" w:rsidRDefault="00D2028E" w:rsidP="00D2028E">
      <w:pPr>
        <w:ind w:left="1276" w:hanging="425"/>
        <w:rPr>
          <w:sz w:val="24"/>
          <w:szCs w:val="24"/>
          <w:lang w:eastAsia="da-DK"/>
        </w:rPr>
      </w:pPr>
      <w:r w:rsidRPr="008A007A">
        <w:rPr>
          <w:sz w:val="24"/>
          <w:szCs w:val="24"/>
          <w:lang w:eastAsia="da-DK"/>
        </w:rPr>
        <w:t>ii.</w:t>
      </w:r>
      <w:r>
        <w:rPr>
          <w:sz w:val="24"/>
          <w:szCs w:val="24"/>
          <w:lang w:eastAsia="da-DK"/>
        </w:rPr>
        <w:tab/>
      </w:r>
      <w:r w:rsidRPr="008A007A">
        <w:rPr>
          <w:sz w:val="24"/>
          <w:szCs w:val="24"/>
          <w:lang w:eastAsia="da-DK"/>
        </w:rPr>
        <w:t>Træk forsigtigt en ny ampul fra strippen. Brug aldrig en ampul, som allerede er åben.</w:t>
      </w:r>
    </w:p>
    <w:p w:rsidR="00D2028E" w:rsidRPr="008A007A" w:rsidRDefault="00D2028E" w:rsidP="00D2028E">
      <w:pPr>
        <w:ind w:left="1276" w:hanging="425"/>
        <w:rPr>
          <w:sz w:val="24"/>
          <w:szCs w:val="24"/>
          <w:lang w:eastAsia="da-DK"/>
        </w:rPr>
      </w:pPr>
    </w:p>
    <w:p w:rsidR="00D2028E" w:rsidRPr="008A007A" w:rsidRDefault="00D2028E" w:rsidP="00D2028E">
      <w:pPr>
        <w:ind w:left="1276" w:hanging="425"/>
        <w:rPr>
          <w:sz w:val="24"/>
          <w:szCs w:val="24"/>
          <w:lang w:eastAsia="da-DK"/>
        </w:rPr>
      </w:pPr>
      <w:r w:rsidRPr="008A007A">
        <w:rPr>
          <w:sz w:val="24"/>
          <w:szCs w:val="24"/>
          <w:lang w:eastAsia="da-DK"/>
        </w:rPr>
        <w:t>iii.</w:t>
      </w:r>
      <w:r>
        <w:rPr>
          <w:sz w:val="24"/>
          <w:szCs w:val="24"/>
          <w:lang w:eastAsia="da-DK"/>
        </w:rPr>
        <w:tab/>
      </w:r>
      <w:r w:rsidRPr="008A007A">
        <w:rPr>
          <w:sz w:val="24"/>
          <w:szCs w:val="24"/>
          <w:lang w:eastAsia="da-DK"/>
        </w:rPr>
        <w:t>Åbn ampullen: Dette gøres helt enkelt ved at skrue toppen af, alt imens du sørger for at holde den i opret stilling.</w:t>
      </w:r>
    </w:p>
    <w:p w:rsidR="00D2028E" w:rsidRPr="008A007A" w:rsidRDefault="00D2028E" w:rsidP="00D2028E">
      <w:pPr>
        <w:ind w:left="1276" w:hanging="425"/>
        <w:rPr>
          <w:sz w:val="24"/>
          <w:szCs w:val="24"/>
          <w:lang w:eastAsia="da-DK"/>
        </w:rPr>
      </w:pPr>
    </w:p>
    <w:p w:rsidR="00D2028E" w:rsidRPr="008A007A" w:rsidRDefault="00D2028E" w:rsidP="00D2028E">
      <w:pPr>
        <w:ind w:left="1276" w:hanging="425"/>
        <w:rPr>
          <w:sz w:val="24"/>
          <w:szCs w:val="24"/>
          <w:lang w:eastAsia="da-DK"/>
        </w:rPr>
      </w:pPr>
      <w:r w:rsidRPr="008A007A">
        <w:rPr>
          <w:sz w:val="24"/>
          <w:szCs w:val="24"/>
          <w:lang w:eastAsia="da-DK"/>
        </w:rPr>
        <w:t>iv.</w:t>
      </w:r>
      <w:r>
        <w:rPr>
          <w:sz w:val="24"/>
          <w:szCs w:val="24"/>
          <w:lang w:eastAsia="da-DK"/>
        </w:rPr>
        <w:tab/>
      </w:r>
      <w:r w:rsidRPr="008A007A">
        <w:rPr>
          <w:sz w:val="24"/>
          <w:szCs w:val="24"/>
          <w:lang w:eastAsia="da-DK"/>
        </w:rPr>
        <w:t xml:space="preserve">Medmindre lægen har anvist andet, skal du trykke hele indholdet i plastampullen ind i </w:t>
      </w:r>
      <w:proofErr w:type="spellStart"/>
      <w:r w:rsidRPr="008A007A">
        <w:rPr>
          <w:sz w:val="24"/>
          <w:szCs w:val="24"/>
          <w:lang w:eastAsia="da-DK"/>
        </w:rPr>
        <w:t>nebulisatorens</w:t>
      </w:r>
      <w:proofErr w:type="spellEnd"/>
      <w:r w:rsidRPr="008A007A">
        <w:rPr>
          <w:sz w:val="24"/>
          <w:szCs w:val="24"/>
          <w:lang w:eastAsia="da-DK"/>
        </w:rPr>
        <w:t xml:space="preserve"> kammer.</w:t>
      </w:r>
    </w:p>
    <w:p w:rsidR="00D2028E" w:rsidRPr="008A007A" w:rsidRDefault="00D2028E" w:rsidP="00D2028E">
      <w:pPr>
        <w:ind w:left="1276" w:hanging="425"/>
        <w:rPr>
          <w:sz w:val="24"/>
          <w:szCs w:val="24"/>
          <w:lang w:eastAsia="da-DK"/>
        </w:rPr>
      </w:pPr>
    </w:p>
    <w:p w:rsidR="00D2028E" w:rsidRPr="008A007A" w:rsidRDefault="00D2028E" w:rsidP="00D2028E">
      <w:pPr>
        <w:ind w:left="1276" w:hanging="425"/>
        <w:rPr>
          <w:sz w:val="24"/>
          <w:szCs w:val="24"/>
          <w:lang w:eastAsia="da-DK"/>
        </w:rPr>
      </w:pPr>
      <w:r w:rsidRPr="008A007A">
        <w:rPr>
          <w:sz w:val="24"/>
          <w:szCs w:val="24"/>
          <w:lang w:eastAsia="da-DK"/>
        </w:rPr>
        <w:t>v.</w:t>
      </w:r>
      <w:r>
        <w:rPr>
          <w:sz w:val="24"/>
          <w:szCs w:val="24"/>
          <w:lang w:eastAsia="da-DK"/>
        </w:rPr>
        <w:tab/>
      </w:r>
      <w:r w:rsidRPr="008A007A">
        <w:rPr>
          <w:sz w:val="24"/>
          <w:szCs w:val="24"/>
          <w:lang w:eastAsia="da-DK"/>
        </w:rPr>
        <w:t xml:space="preserve">Saml </w:t>
      </w:r>
      <w:proofErr w:type="spellStart"/>
      <w:r w:rsidRPr="008A007A">
        <w:rPr>
          <w:sz w:val="24"/>
          <w:szCs w:val="24"/>
          <w:lang w:eastAsia="da-DK"/>
        </w:rPr>
        <w:t>nebulisatoren</w:t>
      </w:r>
      <w:proofErr w:type="spellEnd"/>
      <w:r w:rsidRPr="008A007A">
        <w:rPr>
          <w:sz w:val="24"/>
          <w:szCs w:val="24"/>
          <w:lang w:eastAsia="da-DK"/>
        </w:rPr>
        <w:t>, og brug den, som anvist af lægen. Inhalation af en komplet dosis varer som regel mellem 5 og 15 minutter.</w:t>
      </w:r>
    </w:p>
    <w:p w:rsidR="00D2028E" w:rsidRPr="008A007A" w:rsidRDefault="00D2028E" w:rsidP="00D2028E">
      <w:pPr>
        <w:ind w:left="1276" w:hanging="425"/>
        <w:rPr>
          <w:sz w:val="24"/>
          <w:szCs w:val="24"/>
          <w:lang w:eastAsia="da-DK"/>
        </w:rPr>
      </w:pPr>
    </w:p>
    <w:p w:rsidR="00D2028E" w:rsidRPr="008A007A" w:rsidRDefault="00D2028E" w:rsidP="00D2028E">
      <w:pPr>
        <w:ind w:left="1276" w:hanging="425"/>
        <w:rPr>
          <w:sz w:val="24"/>
          <w:szCs w:val="24"/>
          <w:lang w:eastAsia="da-DK"/>
        </w:rPr>
      </w:pPr>
      <w:r w:rsidRPr="008A007A">
        <w:rPr>
          <w:sz w:val="24"/>
          <w:szCs w:val="24"/>
          <w:lang w:eastAsia="da-DK"/>
        </w:rPr>
        <w:t>vi.</w:t>
      </w:r>
      <w:r>
        <w:rPr>
          <w:sz w:val="24"/>
          <w:szCs w:val="24"/>
          <w:lang w:eastAsia="da-DK"/>
        </w:rPr>
        <w:tab/>
      </w:r>
      <w:r w:rsidRPr="008A007A">
        <w:rPr>
          <w:sz w:val="24"/>
          <w:szCs w:val="24"/>
          <w:lang w:eastAsia="da-DK"/>
        </w:rPr>
        <w:t xml:space="preserve">Rengør </w:t>
      </w:r>
      <w:proofErr w:type="spellStart"/>
      <w:r w:rsidRPr="008A007A">
        <w:rPr>
          <w:sz w:val="24"/>
          <w:szCs w:val="24"/>
          <w:lang w:eastAsia="da-DK"/>
        </w:rPr>
        <w:t>nebulisatoren</w:t>
      </w:r>
      <w:proofErr w:type="spellEnd"/>
      <w:r w:rsidRPr="008A007A">
        <w:rPr>
          <w:sz w:val="24"/>
          <w:szCs w:val="24"/>
          <w:lang w:eastAsia="da-DK"/>
        </w:rPr>
        <w:t xml:space="preserve"> efter brug i henhold til producentens vejledning. Det er vigtigt, at </w:t>
      </w:r>
      <w:proofErr w:type="spellStart"/>
      <w:r w:rsidRPr="008A007A">
        <w:rPr>
          <w:sz w:val="24"/>
          <w:szCs w:val="24"/>
          <w:lang w:eastAsia="da-DK"/>
        </w:rPr>
        <w:t>nebulisatoren</w:t>
      </w:r>
      <w:proofErr w:type="spellEnd"/>
      <w:r w:rsidRPr="008A007A">
        <w:rPr>
          <w:sz w:val="24"/>
          <w:szCs w:val="24"/>
          <w:lang w:eastAsia="da-DK"/>
        </w:rPr>
        <w:t xml:space="preserve"> holdes ren.</w:t>
      </w:r>
    </w:p>
    <w:p w:rsidR="00D2028E" w:rsidRDefault="00D2028E" w:rsidP="00D2028E">
      <w:pPr>
        <w:ind w:left="851"/>
        <w:rPr>
          <w:sz w:val="24"/>
          <w:szCs w:val="24"/>
          <w:lang w:eastAsia="da-DK"/>
        </w:rPr>
      </w:pPr>
    </w:p>
    <w:p w:rsidR="00D2028E" w:rsidRPr="008A007A" w:rsidRDefault="00D2028E" w:rsidP="00D2028E">
      <w:pPr>
        <w:ind w:left="851"/>
        <w:rPr>
          <w:sz w:val="24"/>
          <w:szCs w:val="24"/>
          <w:lang w:eastAsia="da-DK"/>
        </w:rPr>
      </w:pPr>
      <w:r w:rsidRPr="008A007A">
        <w:rPr>
          <w:sz w:val="24"/>
          <w:szCs w:val="24"/>
          <w:lang w:eastAsia="da-DK"/>
        </w:rPr>
        <w:t>Enkeltdosisbeholderne indeholder ingen konserveringsmidler. Det er derfor vigtigt at bruge indholdet straks efter åbning og at bruge en ny ampul hver gang for at undgå mikrobiel forurening. Delvist brugte, åbnede eller beskadigede enkeltdosisbeholdere skal kasseres.</w:t>
      </w:r>
    </w:p>
    <w:p w:rsidR="00D2028E" w:rsidRPr="008A007A" w:rsidRDefault="00D2028E" w:rsidP="00D2028E">
      <w:pPr>
        <w:ind w:left="851"/>
        <w:rPr>
          <w:sz w:val="24"/>
          <w:szCs w:val="24"/>
          <w:lang w:eastAsia="da-DK"/>
        </w:rPr>
      </w:pPr>
    </w:p>
    <w:p w:rsidR="00D2028E" w:rsidRPr="008A007A" w:rsidRDefault="00D2028E" w:rsidP="00D2028E">
      <w:pPr>
        <w:ind w:left="851"/>
        <w:rPr>
          <w:sz w:val="24"/>
          <w:szCs w:val="24"/>
          <w:lang w:eastAsia="da-DK"/>
        </w:rPr>
      </w:pPr>
      <w:r w:rsidRPr="008A007A">
        <w:rPr>
          <w:sz w:val="24"/>
          <w:szCs w:val="24"/>
          <w:lang w:eastAsia="da-DK"/>
        </w:rPr>
        <w:t xml:space="preserve">Eventuelt resterende opløsning i </w:t>
      </w:r>
      <w:proofErr w:type="spellStart"/>
      <w:r w:rsidRPr="008A007A">
        <w:rPr>
          <w:sz w:val="24"/>
          <w:szCs w:val="24"/>
          <w:lang w:eastAsia="da-DK"/>
        </w:rPr>
        <w:t>nebulisatorens</w:t>
      </w:r>
      <w:proofErr w:type="spellEnd"/>
      <w:r w:rsidRPr="008A007A">
        <w:rPr>
          <w:sz w:val="24"/>
          <w:szCs w:val="24"/>
          <w:lang w:eastAsia="da-DK"/>
        </w:rPr>
        <w:t xml:space="preserve"> kammer skal kasseres.</w:t>
      </w:r>
    </w:p>
    <w:p w:rsidR="00D2028E" w:rsidRPr="008A007A" w:rsidRDefault="00D2028E" w:rsidP="00D2028E">
      <w:pPr>
        <w:ind w:left="851"/>
        <w:rPr>
          <w:sz w:val="24"/>
          <w:szCs w:val="24"/>
          <w:lang w:eastAsia="da-DK"/>
        </w:rPr>
      </w:pPr>
    </w:p>
    <w:p w:rsidR="00D2028E" w:rsidRPr="008A007A" w:rsidRDefault="00D2028E" w:rsidP="00D2028E">
      <w:pPr>
        <w:ind w:left="851"/>
        <w:rPr>
          <w:sz w:val="24"/>
          <w:szCs w:val="24"/>
          <w:lang w:eastAsia="da-DK"/>
        </w:rPr>
      </w:pPr>
      <w:r w:rsidRPr="008A007A">
        <w:rPr>
          <w:sz w:val="24"/>
          <w:szCs w:val="24"/>
          <w:lang w:eastAsia="da-DK"/>
        </w:rPr>
        <w:t>Der skal gå mindst 6 timer, før der tages endnu en dosis.</w:t>
      </w:r>
    </w:p>
    <w:p w:rsidR="00D2028E" w:rsidRPr="008A007A" w:rsidRDefault="00D2028E" w:rsidP="00D2028E">
      <w:pPr>
        <w:ind w:left="851"/>
        <w:rPr>
          <w:sz w:val="24"/>
          <w:szCs w:val="24"/>
          <w:lang w:eastAsia="da-DK"/>
        </w:rPr>
      </w:pPr>
      <w:r w:rsidRPr="008A007A">
        <w:rPr>
          <w:sz w:val="24"/>
          <w:szCs w:val="24"/>
          <w:lang w:eastAsia="da-DK"/>
        </w:rPr>
        <w:t>Den daglige dosis bør ikke overstige 4 ampuller.</w:t>
      </w:r>
    </w:p>
    <w:p w:rsidR="00D2028E" w:rsidRPr="008A007A" w:rsidRDefault="00D2028E" w:rsidP="00D2028E">
      <w:pPr>
        <w:ind w:left="851"/>
        <w:rPr>
          <w:sz w:val="24"/>
          <w:szCs w:val="24"/>
          <w:lang w:eastAsia="da-DK"/>
        </w:rPr>
      </w:pPr>
    </w:p>
    <w:p w:rsidR="00D2028E" w:rsidRPr="008A007A" w:rsidRDefault="00D2028E" w:rsidP="00D2028E">
      <w:pPr>
        <w:ind w:left="851"/>
        <w:rPr>
          <w:sz w:val="24"/>
          <w:szCs w:val="24"/>
          <w:lang w:eastAsia="da-DK"/>
        </w:rPr>
      </w:pPr>
      <w:r w:rsidRPr="008A007A">
        <w:rPr>
          <w:sz w:val="24"/>
          <w:szCs w:val="24"/>
          <w:lang w:eastAsia="da-DK"/>
        </w:rPr>
        <w:t xml:space="preserve">Det frarådes på det kraftigste at blande </w:t>
      </w:r>
      <w:proofErr w:type="spellStart"/>
      <w:r>
        <w:rPr>
          <w:sz w:val="24"/>
          <w:szCs w:val="24"/>
          <w:lang w:eastAsia="da-DK"/>
        </w:rPr>
        <w:t>Ipratropium</w:t>
      </w:r>
      <w:proofErr w:type="spellEnd"/>
      <w:r>
        <w:rPr>
          <w:sz w:val="24"/>
          <w:szCs w:val="24"/>
          <w:lang w:eastAsia="da-DK"/>
        </w:rPr>
        <w:t>/</w:t>
      </w:r>
      <w:proofErr w:type="spellStart"/>
      <w:r>
        <w:rPr>
          <w:sz w:val="24"/>
          <w:szCs w:val="24"/>
          <w:lang w:eastAsia="da-DK"/>
        </w:rPr>
        <w:t>salbutamol</w:t>
      </w:r>
      <w:proofErr w:type="spellEnd"/>
      <w:r>
        <w:rPr>
          <w:sz w:val="24"/>
          <w:szCs w:val="24"/>
          <w:lang w:eastAsia="da-DK"/>
        </w:rPr>
        <w:t xml:space="preserve"> ”Orion”</w:t>
      </w:r>
      <w:r w:rsidRPr="008A007A">
        <w:rPr>
          <w:sz w:val="24"/>
          <w:szCs w:val="24"/>
          <w:lang w:eastAsia="da-DK"/>
        </w:rPr>
        <w:t xml:space="preserve"> med andre lægemidler i samme </w:t>
      </w:r>
      <w:proofErr w:type="spellStart"/>
      <w:r w:rsidRPr="008A007A">
        <w:rPr>
          <w:sz w:val="24"/>
          <w:szCs w:val="24"/>
          <w:lang w:eastAsia="da-DK"/>
        </w:rPr>
        <w:t>nebulisator</w:t>
      </w:r>
      <w:proofErr w:type="spellEnd"/>
      <w:r w:rsidRPr="008A007A">
        <w:rPr>
          <w:sz w:val="24"/>
          <w:szCs w:val="24"/>
          <w:lang w:eastAsia="da-DK"/>
        </w:rPr>
        <w:t>.</w:t>
      </w:r>
    </w:p>
    <w:p w:rsidR="00D2028E" w:rsidRPr="008A007A" w:rsidRDefault="00D2028E" w:rsidP="00D2028E">
      <w:pPr>
        <w:ind w:left="851"/>
        <w:rPr>
          <w:sz w:val="24"/>
          <w:szCs w:val="24"/>
          <w:lang w:eastAsia="da-DK"/>
        </w:rPr>
      </w:pPr>
    </w:p>
    <w:p w:rsidR="00D2028E" w:rsidRPr="003C2BEF" w:rsidRDefault="00D2028E" w:rsidP="00D2028E">
      <w:pPr>
        <w:tabs>
          <w:tab w:val="left" w:pos="851"/>
        </w:tabs>
        <w:ind w:left="851" w:hanging="851"/>
        <w:rPr>
          <w:b/>
          <w:sz w:val="24"/>
          <w:szCs w:val="24"/>
        </w:rPr>
      </w:pPr>
      <w:r w:rsidRPr="003C2BEF">
        <w:rPr>
          <w:b/>
          <w:sz w:val="24"/>
          <w:szCs w:val="24"/>
        </w:rPr>
        <w:t>4.3</w:t>
      </w:r>
      <w:r w:rsidRPr="003C2BEF">
        <w:rPr>
          <w:b/>
          <w:sz w:val="24"/>
          <w:szCs w:val="24"/>
        </w:rPr>
        <w:tab/>
        <w:t>Kontraindikationer</w:t>
      </w:r>
    </w:p>
    <w:p w:rsidR="00D2028E" w:rsidRDefault="00D2028E" w:rsidP="00D2028E">
      <w:pPr>
        <w:ind w:left="851"/>
        <w:rPr>
          <w:sz w:val="24"/>
          <w:szCs w:val="24"/>
          <w:lang w:eastAsia="da-DK"/>
        </w:rPr>
      </w:pPr>
      <w:r>
        <w:rPr>
          <w:sz w:val="24"/>
          <w:szCs w:val="24"/>
          <w:lang w:eastAsia="da-DK"/>
        </w:rPr>
        <w:t xml:space="preserve">Patienter med </w:t>
      </w:r>
      <w:proofErr w:type="spellStart"/>
      <w:r>
        <w:rPr>
          <w:sz w:val="24"/>
          <w:szCs w:val="24"/>
          <w:lang w:eastAsia="da-DK"/>
        </w:rPr>
        <w:t>hypertrofisk</w:t>
      </w:r>
      <w:proofErr w:type="spellEnd"/>
      <w:r>
        <w:rPr>
          <w:sz w:val="24"/>
          <w:szCs w:val="24"/>
          <w:lang w:eastAsia="da-DK"/>
        </w:rPr>
        <w:t xml:space="preserve"> obstruktiv </w:t>
      </w:r>
      <w:proofErr w:type="spellStart"/>
      <w:r>
        <w:rPr>
          <w:sz w:val="24"/>
          <w:szCs w:val="24"/>
          <w:lang w:eastAsia="da-DK"/>
        </w:rPr>
        <w:t>kardiomyopati</w:t>
      </w:r>
      <w:proofErr w:type="spellEnd"/>
      <w:r>
        <w:rPr>
          <w:sz w:val="24"/>
          <w:szCs w:val="24"/>
          <w:lang w:eastAsia="da-DK"/>
        </w:rPr>
        <w:t xml:space="preserve"> eller </w:t>
      </w:r>
      <w:proofErr w:type="spellStart"/>
      <w:r>
        <w:rPr>
          <w:sz w:val="24"/>
          <w:szCs w:val="24"/>
          <w:lang w:eastAsia="da-DK"/>
        </w:rPr>
        <w:t>takyarytmi</w:t>
      </w:r>
      <w:proofErr w:type="spellEnd"/>
      <w:r>
        <w:rPr>
          <w:sz w:val="24"/>
          <w:szCs w:val="24"/>
          <w:lang w:eastAsia="da-DK"/>
        </w:rPr>
        <w:t>.</w:t>
      </w:r>
    </w:p>
    <w:p w:rsidR="00D2028E" w:rsidRDefault="00D2028E" w:rsidP="00D2028E">
      <w:pPr>
        <w:ind w:left="851"/>
        <w:rPr>
          <w:sz w:val="24"/>
          <w:szCs w:val="24"/>
          <w:lang w:eastAsia="da-DK"/>
        </w:rPr>
      </w:pPr>
    </w:p>
    <w:p w:rsidR="00D2028E" w:rsidRDefault="00D2028E" w:rsidP="00D2028E">
      <w:pPr>
        <w:ind w:left="851"/>
        <w:rPr>
          <w:sz w:val="24"/>
          <w:szCs w:val="24"/>
          <w:lang w:eastAsia="da-DK"/>
        </w:rPr>
      </w:pPr>
      <w:r>
        <w:rPr>
          <w:sz w:val="24"/>
          <w:szCs w:val="24"/>
          <w:lang w:eastAsia="da-DK"/>
        </w:rPr>
        <w:t>Overfølsomhed over for de aktive stoffer (</w:t>
      </w:r>
      <w:proofErr w:type="spellStart"/>
      <w:r>
        <w:rPr>
          <w:sz w:val="24"/>
          <w:szCs w:val="24"/>
          <w:lang w:eastAsia="da-DK"/>
        </w:rPr>
        <w:t>salbutamol</w:t>
      </w:r>
      <w:proofErr w:type="spellEnd"/>
      <w:r>
        <w:rPr>
          <w:sz w:val="24"/>
          <w:szCs w:val="24"/>
          <w:lang w:eastAsia="da-DK"/>
        </w:rPr>
        <w:t xml:space="preserve"> sulfat og </w:t>
      </w:r>
      <w:proofErr w:type="spellStart"/>
      <w:r>
        <w:rPr>
          <w:sz w:val="24"/>
          <w:szCs w:val="24"/>
          <w:lang w:eastAsia="da-DK"/>
        </w:rPr>
        <w:t>ipratropiumbromid</w:t>
      </w:r>
      <w:proofErr w:type="spellEnd"/>
      <w:r>
        <w:rPr>
          <w:sz w:val="24"/>
          <w:szCs w:val="24"/>
          <w:lang w:eastAsia="da-DK"/>
        </w:rPr>
        <w:t xml:space="preserve">), atropin eller dets derivater og/eller over for andre </w:t>
      </w:r>
      <w:proofErr w:type="spellStart"/>
      <w:r>
        <w:rPr>
          <w:sz w:val="24"/>
          <w:szCs w:val="24"/>
          <w:lang w:eastAsia="da-DK"/>
        </w:rPr>
        <w:t>antikolinergika</w:t>
      </w:r>
      <w:proofErr w:type="spellEnd"/>
      <w:r>
        <w:rPr>
          <w:sz w:val="24"/>
          <w:szCs w:val="24"/>
          <w:lang w:eastAsia="da-DK"/>
        </w:rPr>
        <w:t>/beta-</w:t>
      </w:r>
      <w:proofErr w:type="spellStart"/>
      <w:r>
        <w:rPr>
          <w:sz w:val="24"/>
          <w:szCs w:val="24"/>
          <w:lang w:eastAsia="da-DK"/>
        </w:rPr>
        <w:t>sympatomimetika</w:t>
      </w:r>
      <w:proofErr w:type="spellEnd"/>
      <w:r>
        <w:rPr>
          <w:sz w:val="24"/>
          <w:szCs w:val="24"/>
          <w:lang w:eastAsia="da-DK"/>
        </w:rPr>
        <w:t>. eller over for et eller flere af hjælpestofferne anført i pkt. 6.1.</w:t>
      </w:r>
    </w:p>
    <w:p w:rsidR="00D2028E" w:rsidRPr="003C2BEF" w:rsidRDefault="00D2028E" w:rsidP="00D2028E">
      <w:pPr>
        <w:tabs>
          <w:tab w:val="left" w:pos="851"/>
        </w:tabs>
        <w:rPr>
          <w:sz w:val="24"/>
          <w:szCs w:val="24"/>
        </w:rPr>
      </w:pPr>
    </w:p>
    <w:p w:rsidR="00D2028E" w:rsidRPr="003C2BEF" w:rsidRDefault="00D2028E" w:rsidP="00D2028E">
      <w:pPr>
        <w:tabs>
          <w:tab w:val="left" w:pos="851"/>
        </w:tabs>
        <w:ind w:left="851" w:hanging="851"/>
        <w:rPr>
          <w:b/>
          <w:sz w:val="24"/>
          <w:szCs w:val="24"/>
        </w:rPr>
      </w:pPr>
      <w:r w:rsidRPr="003C2BEF">
        <w:rPr>
          <w:b/>
          <w:sz w:val="24"/>
          <w:szCs w:val="24"/>
        </w:rPr>
        <w:t>4.4</w:t>
      </w:r>
      <w:r w:rsidRPr="003C2BEF">
        <w:rPr>
          <w:b/>
          <w:sz w:val="24"/>
          <w:szCs w:val="24"/>
        </w:rPr>
        <w:tab/>
        <w:t>Særlige advarsler og forsigtighedsregler vedrørende brugen</w:t>
      </w:r>
    </w:p>
    <w:p w:rsidR="00D2028E" w:rsidRDefault="00D2028E" w:rsidP="00D2028E">
      <w:pPr>
        <w:ind w:left="851"/>
        <w:rPr>
          <w:sz w:val="24"/>
          <w:szCs w:val="24"/>
          <w:lang w:eastAsia="da-DK"/>
        </w:rPr>
      </w:pPr>
      <w:r w:rsidRPr="003C2BEF">
        <w:rPr>
          <w:sz w:val="24"/>
          <w:szCs w:val="24"/>
          <w:lang w:eastAsia="da-DK"/>
        </w:rPr>
        <w:t>Patienter skal instrueres i omgående at konsultere en læge, hvis de oplever en akut og hurtig forværring af dyspnø eller nedsat respons på behandlingen.</w:t>
      </w:r>
    </w:p>
    <w:p w:rsidR="005E26FB" w:rsidRDefault="005E26FB" w:rsidP="00D2028E">
      <w:pPr>
        <w:ind w:left="851"/>
        <w:rPr>
          <w:sz w:val="24"/>
          <w:szCs w:val="24"/>
          <w:lang w:eastAsia="da-DK"/>
        </w:rPr>
      </w:pPr>
    </w:p>
    <w:p w:rsidR="005E26FB" w:rsidRDefault="005E26FB" w:rsidP="005E26FB">
      <w:pPr>
        <w:ind w:left="851"/>
        <w:rPr>
          <w:sz w:val="24"/>
          <w:szCs w:val="24"/>
          <w:lang w:eastAsia="da-DK"/>
        </w:rPr>
      </w:pPr>
      <w:r>
        <w:rPr>
          <w:sz w:val="24"/>
          <w:szCs w:val="24"/>
          <w:lang w:eastAsia="da-DK"/>
        </w:rPr>
        <w:t xml:space="preserve">Patienter, som får ordineret regelmæssig antiinflammatorisk behandling (f.eks. inhalerede </w:t>
      </w:r>
      <w:proofErr w:type="spellStart"/>
      <w:r>
        <w:rPr>
          <w:sz w:val="24"/>
          <w:szCs w:val="24"/>
          <w:lang w:eastAsia="da-DK"/>
        </w:rPr>
        <w:t>kortikosteroider</w:t>
      </w:r>
      <w:proofErr w:type="spellEnd"/>
      <w:r>
        <w:rPr>
          <w:sz w:val="24"/>
          <w:szCs w:val="24"/>
          <w:lang w:eastAsia="da-DK"/>
        </w:rPr>
        <w:t xml:space="preserve">), bør rådes til at fortsætte med at tage deres antiinflammatoriske medicin, selv når symptomerne aftager, og de ikke kræver </w:t>
      </w:r>
      <w:proofErr w:type="spellStart"/>
      <w:r>
        <w:rPr>
          <w:sz w:val="24"/>
          <w:szCs w:val="24"/>
          <w:lang w:eastAsia="da-DK"/>
        </w:rPr>
        <w:t>Ipratropium</w:t>
      </w:r>
      <w:proofErr w:type="spellEnd"/>
      <w:r>
        <w:rPr>
          <w:sz w:val="24"/>
          <w:szCs w:val="24"/>
          <w:lang w:eastAsia="da-DK"/>
        </w:rPr>
        <w:t>/</w:t>
      </w:r>
      <w:proofErr w:type="spellStart"/>
      <w:r>
        <w:rPr>
          <w:sz w:val="24"/>
          <w:szCs w:val="24"/>
          <w:lang w:eastAsia="da-DK"/>
        </w:rPr>
        <w:t>salbutamol</w:t>
      </w:r>
      <w:proofErr w:type="spellEnd"/>
      <w:r>
        <w:rPr>
          <w:sz w:val="24"/>
          <w:szCs w:val="24"/>
          <w:lang w:eastAsia="da-DK"/>
        </w:rPr>
        <w:t xml:space="preserve"> ”Orion”.</w:t>
      </w:r>
    </w:p>
    <w:p w:rsidR="005E26FB" w:rsidRDefault="005E26FB" w:rsidP="005E26FB">
      <w:pPr>
        <w:ind w:left="851"/>
        <w:rPr>
          <w:sz w:val="24"/>
          <w:szCs w:val="24"/>
          <w:lang w:eastAsia="da-DK"/>
        </w:rPr>
      </w:pPr>
    </w:p>
    <w:p w:rsidR="005E26FB" w:rsidRDefault="005E26FB" w:rsidP="005E26FB">
      <w:pPr>
        <w:ind w:left="851"/>
        <w:rPr>
          <w:sz w:val="24"/>
          <w:szCs w:val="24"/>
          <w:lang w:eastAsia="da-DK"/>
        </w:rPr>
      </w:pPr>
      <w:r>
        <w:rPr>
          <w:sz w:val="24"/>
          <w:szCs w:val="24"/>
          <w:lang w:eastAsia="da-DK"/>
        </w:rPr>
        <w:t xml:space="preserve">Øget brug af korttidsvirkende </w:t>
      </w:r>
      <w:proofErr w:type="spellStart"/>
      <w:r>
        <w:rPr>
          <w:sz w:val="24"/>
          <w:szCs w:val="24"/>
          <w:lang w:eastAsia="da-DK"/>
        </w:rPr>
        <w:t>bronkodilatatorer</w:t>
      </w:r>
      <w:proofErr w:type="spellEnd"/>
      <w:r>
        <w:rPr>
          <w:sz w:val="24"/>
          <w:szCs w:val="24"/>
          <w:lang w:eastAsia="da-DK"/>
        </w:rPr>
        <w:t>, især beta-2-agonister til at lindre symptomer, indikerer forringelse af astmakontrollen, og patienter bør informeres om at søge læge hurtigst muligt. Under disse forhold bør patientens behandlingsplan revurderes.</w:t>
      </w:r>
    </w:p>
    <w:p w:rsidR="005E26FB" w:rsidRDefault="005E26FB" w:rsidP="005E26FB">
      <w:pPr>
        <w:ind w:left="851"/>
        <w:rPr>
          <w:sz w:val="24"/>
          <w:szCs w:val="24"/>
          <w:lang w:eastAsia="da-DK"/>
        </w:rPr>
      </w:pPr>
    </w:p>
    <w:p w:rsidR="005E26FB" w:rsidRDefault="005E26FB" w:rsidP="005E26FB">
      <w:pPr>
        <w:ind w:left="851"/>
        <w:rPr>
          <w:sz w:val="24"/>
          <w:szCs w:val="24"/>
          <w:lang w:eastAsia="da-DK"/>
        </w:rPr>
      </w:pPr>
      <w:r>
        <w:rPr>
          <w:sz w:val="24"/>
          <w:szCs w:val="24"/>
          <w:lang w:eastAsia="da-DK"/>
        </w:rPr>
        <w:lastRenderedPageBreak/>
        <w:t xml:space="preserve">Overforbrug af korttidsvirkende beta-agonister kan skjule udviklingen af den underliggende sygdom og bidrage til forværring af astmakontrol, hvilket fører til en øget risiko for alvorlige </w:t>
      </w:r>
      <w:proofErr w:type="spellStart"/>
      <w:r>
        <w:rPr>
          <w:sz w:val="24"/>
          <w:szCs w:val="24"/>
          <w:lang w:eastAsia="da-DK"/>
        </w:rPr>
        <w:t>astmaeksacerbationer</w:t>
      </w:r>
      <w:proofErr w:type="spellEnd"/>
      <w:r>
        <w:rPr>
          <w:sz w:val="24"/>
          <w:szCs w:val="24"/>
          <w:lang w:eastAsia="da-DK"/>
        </w:rPr>
        <w:t xml:space="preserve"> og dødelighed.</w:t>
      </w:r>
    </w:p>
    <w:p w:rsidR="005E26FB" w:rsidRDefault="005E26FB" w:rsidP="005E26FB">
      <w:pPr>
        <w:ind w:left="851"/>
        <w:rPr>
          <w:sz w:val="24"/>
          <w:szCs w:val="24"/>
          <w:lang w:eastAsia="da-DK"/>
        </w:rPr>
      </w:pPr>
    </w:p>
    <w:p w:rsidR="005E26FB" w:rsidRPr="003C2BEF" w:rsidRDefault="005E26FB" w:rsidP="005E26FB">
      <w:pPr>
        <w:ind w:left="851"/>
        <w:rPr>
          <w:sz w:val="24"/>
          <w:szCs w:val="24"/>
          <w:lang w:eastAsia="da-DK"/>
        </w:rPr>
      </w:pPr>
      <w:r>
        <w:rPr>
          <w:sz w:val="24"/>
          <w:szCs w:val="24"/>
          <w:lang w:eastAsia="da-DK"/>
        </w:rPr>
        <w:t xml:space="preserve">Patienter, der mere end to gange om ugen tager </w:t>
      </w:r>
      <w:proofErr w:type="spellStart"/>
      <w:r>
        <w:rPr>
          <w:sz w:val="24"/>
          <w:szCs w:val="24"/>
          <w:lang w:eastAsia="da-DK"/>
        </w:rPr>
        <w:t>salbutamol</w:t>
      </w:r>
      <w:proofErr w:type="spellEnd"/>
      <w:r>
        <w:rPr>
          <w:sz w:val="24"/>
          <w:szCs w:val="24"/>
          <w:lang w:eastAsia="da-DK"/>
        </w:rPr>
        <w:t xml:space="preserve"> "efter behov", undtagen profylaktisk før træning, bør revurderes (f.eks. symptomer i dagtimerne, opvågning om natten og aktivitetsbegrænsning på grund af astma) for korrekt behandlingsjustering, da disse patienter er i risiko for </w:t>
      </w:r>
      <w:proofErr w:type="spellStart"/>
      <w:r>
        <w:rPr>
          <w:sz w:val="24"/>
          <w:szCs w:val="24"/>
          <w:lang w:eastAsia="da-DK"/>
        </w:rPr>
        <w:t>salbutamol</w:t>
      </w:r>
      <w:proofErr w:type="spellEnd"/>
      <w:r>
        <w:rPr>
          <w:sz w:val="24"/>
          <w:szCs w:val="24"/>
          <w:lang w:eastAsia="da-DK"/>
        </w:rPr>
        <w:t>-overforbrug.</w:t>
      </w:r>
    </w:p>
    <w:p w:rsidR="00D2028E" w:rsidRDefault="00D2028E" w:rsidP="00D2028E">
      <w:pPr>
        <w:tabs>
          <w:tab w:val="left" w:pos="851"/>
        </w:tabs>
        <w:ind w:left="851"/>
        <w:rPr>
          <w:i/>
          <w:u w:val="single"/>
        </w:rPr>
      </w:pPr>
    </w:p>
    <w:p w:rsidR="00D2028E" w:rsidRPr="008A3ABA" w:rsidRDefault="00D2028E" w:rsidP="00D2028E">
      <w:pPr>
        <w:tabs>
          <w:tab w:val="left" w:pos="851"/>
        </w:tabs>
        <w:ind w:left="851"/>
        <w:rPr>
          <w:i/>
          <w:sz w:val="24"/>
          <w:u w:val="single"/>
          <w:lang w:eastAsia="da-DK"/>
        </w:rPr>
      </w:pPr>
      <w:r w:rsidRPr="006674BD">
        <w:rPr>
          <w:i/>
          <w:u w:val="single"/>
        </w:rPr>
        <w:t>Hypersensitivitet</w:t>
      </w:r>
    </w:p>
    <w:p w:rsidR="00D2028E" w:rsidRDefault="00D2028E" w:rsidP="00D2028E">
      <w:pPr>
        <w:ind w:left="851"/>
        <w:rPr>
          <w:sz w:val="24"/>
          <w:szCs w:val="24"/>
          <w:lang w:eastAsia="da-DK"/>
        </w:rPr>
      </w:pPr>
      <w:r w:rsidRPr="003C2BEF">
        <w:rPr>
          <w:sz w:val="24"/>
          <w:szCs w:val="24"/>
          <w:lang w:eastAsia="da-DK"/>
        </w:rPr>
        <w:t xml:space="preserve">Øjeblikkelige overfølsomhedsreaktioner kan indtræde efter administration, idet der er set sjældne tilfælde af </w:t>
      </w:r>
      <w:proofErr w:type="spellStart"/>
      <w:r w:rsidRPr="003C2BEF">
        <w:rPr>
          <w:sz w:val="24"/>
          <w:szCs w:val="24"/>
          <w:lang w:eastAsia="da-DK"/>
        </w:rPr>
        <w:t>urticaria</w:t>
      </w:r>
      <w:proofErr w:type="spellEnd"/>
      <w:r w:rsidRPr="003C2BEF">
        <w:rPr>
          <w:sz w:val="24"/>
          <w:szCs w:val="24"/>
          <w:lang w:eastAsia="da-DK"/>
        </w:rPr>
        <w:t xml:space="preserve">, </w:t>
      </w:r>
      <w:proofErr w:type="spellStart"/>
      <w:r w:rsidRPr="003C2BEF">
        <w:rPr>
          <w:sz w:val="24"/>
          <w:szCs w:val="24"/>
          <w:lang w:eastAsia="da-DK"/>
        </w:rPr>
        <w:t>angioødem</w:t>
      </w:r>
      <w:proofErr w:type="spellEnd"/>
      <w:r w:rsidRPr="003C2BEF">
        <w:rPr>
          <w:sz w:val="24"/>
          <w:szCs w:val="24"/>
          <w:lang w:eastAsia="da-DK"/>
        </w:rPr>
        <w:t xml:space="preserve">, udslæt, </w:t>
      </w:r>
      <w:proofErr w:type="spellStart"/>
      <w:r w:rsidRPr="003C2BEF">
        <w:rPr>
          <w:sz w:val="24"/>
          <w:szCs w:val="24"/>
          <w:lang w:eastAsia="da-DK"/>
        </w:rPr>
        <w:t>bronkospasmer</w:t>
      </w:r>
      <w:proofErr w:type="spellEnd"/>
      <w:r w:rsidRPr="003C2BEF">
        <w:rPr>
          <w:sz w:val="24"/>
          <w:szCs w:val="24"/>
          <w:lang w:eastAsia="da-DK"/>
        </w:rPr>
        <w:t xml:space="preserve">, </w:t>
      </w:r>
      <w:proofErr w:type="spellStart"/>
      <w:r>
        <w:rPr>
          <w:sz w:val="24"/>
          <w:szCs w:val="24"/>
          <w:lang w:eastAsia="da-DK"/>
        </w:rPr>
        <w:t>oro</w:t>
      </w:r>
      <w:r w:rsidRPr="003C2BEF">
        <w:rPr>
          <w:sz w:val="24"/>
          <w:szCs w:val="24"/>
          <w:lang w:eastAsia="da-DK"/>
        </w:rPr>
        <w:t>faryngealt</w:t>
      </w:r>
      <w:proofErr w:type="spellEnd"/>
      <w:r w:rsidRPr="003C2BEF">
        <w:rPr>
          <w:sz w:val="24"/>
          <w:szCs w:val="24"/>
          <w:lang w:eastAsia="da-DK"/>
        </w:rPr>
        <w:t xml:space="preserve"> ødem og anafylaksi.</w:t>
      </w:r>
    </w:p>
    <w:p w:rsidR="00D2028E" w:rsidRDefault="00D2028E" w:rsidP="00D2028E">
      <w:pPr>
        <w:ind w:left="851"/>
        <w:rPr>
          <w:sz w:val="24"/>
          <w:szCs w:val="24"/>
          <w:lang w:eastAsia="da-DK"/>
        </w:rPr>
      </w:pPr>
    </w:p>
    <w:p w:rsidR="00D2028E" w:rsidRPr="003C2BEF" w:rsidRDefault="00D2028E" w:rsidP="00D2028E">
      <w:pPr>
        <w:ind w:left="851"/>
        <w:rPr>
          <w:sz w:val="24"/>
          <w:szCs w:val="24"/>
          <w:lang w:eastAsia="da-DK"/>
        </w:rPr>
      </w:pPr>
      <w:r w:rsidRPr="006674BD">
        <w:rPr>
          <w:i/>
          <w:u w:val="single"/>
        </w:rPr>
        <w:t>Paradoks</w:t>
      </w:r>
      <w:r>
        <w:rPr>
          <w:i/>
          <w:u w:val="single"/>
        </w:rPr>
        <w:t>al</w:t>
      </w:r>
      <w:r w:rsidRPr="006674BD">
        <w:rPr>
          <w:i/>
          <w:u w:val="single"/>
        </w:rPr>
        <w:t xml:space="preserve"> </w:t>
      </w:r>
      <w:proofErr w:type="spellStart"/>
      <w:r w:rsidRPr="006674BD">
        <w:rPr>
          <w:i/>
          <w:u w:val="single"/>
        </w:rPr>
        <w:t>bronkospasme</w:t>
      </w:r>
      <w:proofErr w:type="spellEnd"/>
    </w:p>
    <w:p w:rsidR="00D2028E" w:rsidRDefault="00D2028E" w:rsidP="00D2028E">
      <w:pPr>
        <w:ind w:left="851"/>
        <w:rPr>
          <w:sz w:val="24"/>
          <w:szCs w:val="24"/>
          <w:lang w:eastAsia="da-DK"/>
        </w:rPr>
      </w:pPr>
      <w:r w:rsidRPr="003C2BEF">
        <w:rPr>
          <w:sz w:val="24"/>
          <w:szCs w:val="24"/>
          <w:lang w:eastAsia="da-DK"/>
        </w:rPr>
        <w:t xml:space="preserve">Ligesom det er tilfældet med andre inhalationsbehandlinger, er der en risiko for inhalationsinduceret </w:t>
      </w:r>
      <w:proofErr w:type="spellStart"/>
      <w:r w:rsidRPr="003C2BEF">
        <w:rPr>
          <w:sz w:val="24"/>
          <w:szCs w:val="24"/>
          <w:lang w:eastAsia="da-DK"/>
        </w:rPr>
        <w:t>bronkokonstriktion</w:t>
      </w:r>
      <w:proofErr w:type="spellEnd"/>
      <w:r w:rsidRPr="003C2BEF">
        <w:rPr>
          <w:sz w:val="24"/>
          <w:szCs w:val="24"/>
          <w:lang w:eastAsia="da-DK"/>
        </w:rPr>
        <w:t xml:space="preserve"> eller paradoksale </w:t>
      </w:r>
      <w:proofErr w:type="spellStart"/>
      <w:r w:rsidRPr="003C2BEF">
        <w:rPr>
          <w:sz w:val="24"/>
          <w:szCs w:val="24"/>
          <w:lang w:eastAsia="da-DK"/>
        </w:rPr>
        <w:t>bronkospasmer</w:t>
      </w:r>
      <w:proofErr w:type="spellEnd"/>
      <w:r w:rsidRPr="003C2BEF">
        <w:rPr>
          <w:sz w:val="24"/>
          <w:szCs w:val="24"/>
          <w:lang w:eastAsia="da-DK"/>
        </w:rPr>
        <w:t xml:space="preserve">. I så tilfælde vil patienten efter administrationen opleve en øjeblikkelig forværring af hvæsende vejrtrækning og åndenød. Dette skal omgående behandles med en anden lægemiddelform eller en anden hurtigvirkende </w:t>
      </w:r>
      <w:proofErr w:type="spellStart"/>
      <w:r w:rsidRPr="003C2BEF">
        <w:rPr>
          <w:sz w:val="24"/>
          <w:szCs w:val="24"/>
          <w:lang w:eastAsia="da-DK"/>
        </w:rPr>
        <w:t>bronkodilatator</w:t>
      </w:r>
      <w:proofErr w:type="spellEnd"/>
      <w:r w:rsidRPr="003C2BEF">
        <w:rPr>
          <w:sz w:val="24"/>
          <w:szCs w:val="24"/>
          <w:lang w:eastAsia="da-DK"/>
        </w:rPr>
        <w:t xml:space="preserve"> til inhalation. </w:t>
      </w:r>
      <w:proofErr w:type="spellStart"/>
      <w:r>
        <w:rPr>
          <w:sz w:val="24"/>
          <w:szCs w:val="24"/>
          <w:lang w:eastAsia="da-DK"/>
        </w:rPr>
        <w:t>Ipratropiumbromid</w:t>
      </w:r>
      <w:proofErr w:type="spellEnd"/>
      <w:r>
        <w:rPr>
          <w:sz w:val="24"/>
          <w:szCs w:val="24"/>
          <w:lang w:eastAsia="da-DK"/>
        </w:rPr>
        <w:t>/</w:t>
      </w:r>
      <w:proofErr w:type="spellStart"/>
      <w:r>
        <w:rPr>
          <w:sz w:val="24"/>
          <w:szCs w:val="24"/>
          <w:lang w:eastAsia="da-DK"/>
        </w:rPr>
        <w:t>salbutamol</w:t>
      </w:r>
      <w:proofErr w:type="spellEnd"/>
      <w:r>
        <w:rPr>
          <w:sz w:val="24"/>
          <w:szCs w:val="24"/>
          <w:lang w:eastAsia="da-DK"/>
        </w:rPr>
        <w:t xml:space="preserve"> </w:t>
      </w:r>
      <w:r w:rsidRPr="003C2BEF">
        <w:rPr>
          <w:sz w:val="24"/>
          <w:szCs w:val="24"/>
          <w:lang w:eastAsia="da-DK"/>
        </w:rPr>
        <w:t>bør omgående seponeres, og patienten bør undersøges. Om nødvendigt iværksættes anden behandling.</w:t>
      </w:r>
    </w:p>
    <w:p w:rsidR="00D2028E" w:rsidRDefault="00D2028E" w:rsidP="00D2028E">
      <w:pPr>
        <w:ind w:left="851"/>
        <w:rPr>
          <w:sz w:val="24"/>
          <w:szCs w:val="24"/>
          <w:lang w:eastAsia="da-DK"/>
        </w:rPr>
      </w:pPr>
    </w:p>
    <w:p w:rsidR="00D2028E" w:rsidRPr="003C2BEF" w:rsidRDefault="00D2028E" w:rsidP="00D2028E">
      <w:pPr>
        <w:ind w:left="851"/>
        <w:rPr>
          <w:sz w:val="24"/>
          <w:szCs w:val="24"/>
          <w:lang w:eastAsia="da-DK"/>
        </w:rPr>
      </w:pPr>
      <w:r w:rsidRPr="006674BD">
        <w:rPr>
          <w:i/>
          <w:u w:val="single"/>
        </w:rPr>
        <w:t>Øjenkomplikationer</w:t>
      </w:r>
    </w:p>
    <w:p w:rsidR="00D2028E" w:rsidRPr="003C2BEF" w:rsidRDefault="00D2028E" w:rsidP="00D2028E">
      <w:pPr>
        <w:ind w:left="851"/>
        <w:rPr>
          <w:sz w:val="24"/>
          <w:szCs w:val="24"/>
          <w:lang w:eastAsia="da-DK"/>
        </w:rPr>
      </w:pPr>
      <w:r w:rsidRPr="003C2BEF">
        <w:rPr>
          <w:sz w:val="24"/>
          <w:szCs w:val="24"/>
          <w:lang w:eastAsia="da-DK"/>
        </w:rPr>
        <w:t xml:space="preserve">Der er også rapporteret om sjældne tilfælde af øjenkomplikationer, når forstøvet </w:t>
      </w:r>
      <w:proofErr w:type="spellStart"/>
      <w:r w:rsidRPr="003C2BEF">
        <w:rPr>
          <w:sz w:val="24"/>
          <w:szCs w:val="24"/>
          <w:lang w:eastAsia="da-DK"/>
        </w:rPr>
        <w:t>ipratropiumbromid</w:t>
      </w:r>
      <w:proofErr w:type="spellEnd"/>
      <w:r w:rsidRPr="003C2BEF">
        <w:rPr>
          <w:sz w:val="24"/>
          <w:szCs w:val="24"/>
          <w:lang w:eastAsia="da-DK"/>
        </w:rPr>
        <w:t xml:space="preserve"> (enten alene eller i kombination med en </w:t>
      </w:r>
      <w:proofErr w:type="spellStart"/>
      <w:r w:rsidRPr="003C2BEF">
        <w:rPr>
          <w:sz w:val="24"/>
          <w:szCs w:val="24"/>
          <w:lang w:eastAsia="da-DK"/>
        </w:rPr>
        <w:t>adrenerg</w:t>
      </w:r>
      <w:proofErr w:type="spellEnd"/>
      <w:r w:rsidRPr="003C2BEF">
        <w:rPr>
          <w:sz w:val="24"/>
          <w:szCs w:val="24"/>
          <w:lang w:eastAsia="da-DK"/>
        </w:rPr>
        <w:t xml:space="preserve"> beta 2-agonist) ved et uheld er kommet i kontakt med øjnene. Derfor skal patienterne instrueres i korrekt brug af </w:t>
      </w:r>
      <w:proofErr w:type="spellStart"/>
      <w:r>
        <w:rPr>
          <w:sz w:val="24"/>
          <w:szCs w:val="24"/>
          <w:lang w:eastAsia="da-DK"/>
        </w:rPr>
        <w:t>ipratropiumbromid</w:t>
      </w:r>
      <w:proofErr w:type="spellEnd"/>
      <w:r>
        <w:rPr>
          <w:sz w:val="24"/>
          <w:szCs w:val="24"/>
          <w:lang w:eastAsia="da-DK"/>
        </w:rPr>
        <w:t>/</w:t>
      </w:r>
      <w:proofErr w:type="spellStart"/>
      <w:r>
        <w:rPr>
          <w:sz w:val="24"/>
          <w:szCs w:val="24"/>
          <w:lang w:eastAsia="da-DK"/>
        </w:rPr>
        <w:t>salbutamol</w:t>
      </w:r>
      <w:proofErr w:type="spellEnd"/>
      <w:r>
        <w:rPr>
          <w:sz w:val="24"/>
          <w:szCs w:val="24"/>
          <w:lang w:eastAsia="da-DK"/>
        </w:rPr>
        <w:t xml:space="preserve"> </w:t>
      </w:r>
      <w:r w:rsidRPr="003C2BEF">
        <w:rPr>
          <w:sz w:val="24"/>
          <w:szCs w:val="24"/>
          <w:lang w:eastAsia="da-DK"/>
        </w:rPr>
        <w:t xml:space="preserve">sammen med deres </w:t>
      </w:r>
      <w:proofErr w:type="spellStart"/>
      <w:r w:rsidRPr="003C2BEF">
        <w:rPr>
          <w:sz w:val="24"/>
          <w:szCs w:val="24"/>
          <w:lang w:eastAsia="da-DK"/>
        </w:rPr>
        <w:t>nebulisator</w:t>
      </w:r>
      <w:proofErr w:type="spellEnd"/>
      <w:r w:rsidRPr="003C2BEF">
        <w:rPr>
          <w:sz w:val="24"/>
          <w:szCs w:val="24"/>
          <w:lang w:eastAsia="da-DK"/>
        </w:rPr>
        <w:t xml:space="preserve"> og i at undgå at få opløsningen eller forstøvet opløsning i øjnene. For at undgå at lægemidlet utilsigtet kommer i kontakt med øjnene, er det mest hensigtsmæssigt at administrere den forstøvede suspension via et mundstykke frem for en ansigtsmaske.</w:t>
      </w:r>
    </w:p>
    <w:p w:rsidR="00D2028E" w:rsidRPr="003C2BEF" w:rsidRDefault="00D2028E" w:rsidP="00D2028E">
      <w:pPr>
        <w:ind w:left="851"/>
        <w:rPr>
          <w:sz w:val="24"/>
          <w:szCs w:val="24"/>
          <w:lang w:eastAsia="da-DK"/>
        </w:rPr>
      </w:pPr>
    </w:p>
    <w:p w:rsidR="00D2028E" w:rsidRPr="003C2BEF" w:rsidRDefault="00D2028E" w:rsidP="00D2028E">
      <w:pPr>
        <w:ind w:left="851"/>
        <w:rPr>
          <w:sz w:val="24"/>
          <w:szCs w:val="24"/>
          <w:lang w:eastAsia="da-DK"/>
        </w:rPr>
      </w:pPr>
      <w:r w:rsidRPr="003C2BEF">
        <w:rPr>
          <w:sz w:val="24"/>
          <w:szCs w:val="24"/>
          <w:lang w:eastAsia="da-DK"/>
        </w:rPr>
        <w:t xml:space="preserve">Ovennævnte øjenkomplikationer kan omfatte </w:t>
      </w:r>
      <w:proofErr w:type="spellStart"/>
      <w:r w:rsidRPr="003C2BEF">
        <w:rPr>
          <w:sz w:val="24"/>
          <w:szCs w:val="24"/>
          <w:lang w:eastAsia="da-DK"/>
        </w:rPr>
        <w:t>mydriasis</w:t>
      </w:r>
      <w:proofErr w:type="spellEnd"/>
      <w:r w:rsidRPr="003C2BEF">
        <w:rPr>
          <w:sz w:val="24"/>
          <w:szCs w:val="24"/>
          <w:lang w:eastAsia="da-DK"/>
        </w:rPr>
        <w:t xml:space="preserve">, sløret syn, øget </w:t>
      </w:r>
      <w:proofErr w:type="spellStart"/>
      <w:r w:rsidRPr="003C2BEF">
        <w:rPr>
          <w:sz w:val="24"/>
          <w:szCs w:val="24"/>
          <w:lang w:eastAsia="da-DK"/>
        </w:rPr>
        <w:t>intraokulært</w:t>
      </w:r>
      <w:proofErr w:type="spellEnd"/>
      <w:r w:rsidRPr="003C2BEF">
        <w:rPr>
          <w:sz w:val="24"/>
          <w:szCs w:val="24"/>
          <w:lang w:eastAsia="da-DK"/>
        </w:rPr>
        <w:t xml:space="preserve"> tryk, øjensmerter og snævervinkel </w:t>
      </w:r>
      <w:proofErr w:type="spellStart"/>
      <w:r w:rsidRPr="003C2BEF">
        <w:rPr>
          <w:sz w:val="24"/>
          <w:szCs w:val="24"/>
          <w:lang w:eastAsia="da-DK"/>
        </w:rPr>
        <w:t>glaukom</w:t>
      </w:r>
      <w:proofErr w:type="spellEnd"/>
      <w:r w:rsidRPr="003C2BEF">
        <w:rPr>
          <w:sz w:val="24"/>
          <w:szCs w:val="24"/>
          <w:lang w:eastAsia="da-DK"/>
        </w:rPr>
        <w:t xml:space="preserve"> (inklusive akut snævervinklet </w:t>
      </w:r>
      <w:proofErr w:type="spellStart"/>
      <w:r w:rsidRPr="003C2BEF">
        <w:rPr>
          <w:sz w:val="24"/>
          <w:szCs w:val="24"/>
          <w:lang w:eastAsia="da-DK"/>
        </w:rPr>
        <w:t>glaukom</w:t>
      </w:r>
      <w:proofErr w:type="spellEnd"/>
      <w:r w:rsidRPr="003C2BEF">
        <w:rPr>
          <w:sz w:val="24"/>
          <w:szCs w:val="24"/>
          <w:lang w:eastAsia="da-DK"/>
        </w:rPr>
        <w:t xml:space="preserve">). Patienter med eventuel disposition for </w:t>
      </w:r>
      <w:proofErr w:type="spellStart"/>
      <w:r w:rsidRPr="003C2BEF">
        <w:rPr>
          <w:sz w:val="24"/>
          <w:szCs w:val="24"/>
          <w:lang w:eastAsia="da-DK"/>
        </w:rPr>
        <w:t>glaukom</w:t>
      </w:r>
      <w:proofErr w:type="spellEnd"/>
      <w:r w:rsidRPr="003C2BEF">
        <w:rPr>
          <w:sz w:val="24"/>
          <w:szCs w:val="24"/>
          <w:lang w:eastAsia="da-DK"/>
        </w:rPr>
        <w:t xml:space="preserve"> skal informeres specifikt om behovet for at beskytte øjnene. Hos disponerede patienter kan akut snævervinklet </w:t>
      </w:r>
      <w:proofErr w:type="spellStart"/>
      <w:r w:rsidRPr="003C2BEF">
        <w:rPr>
          <w:sz w:val="24"/>
          <w:szCs w:val="24"/>
          <w:lang w:eastAsia="da-DK"/>
        </w:rPr>
        <w:t>glaukom</w:t>
      </w:r>
      <w:proofErr w:type="spellEnd"/>
      <w:r w:rsidRPr="003C2BEF">
        <w:rPr>
          <w:sz w:val="24"/>
          <w:szCs w:val="24"/>
          <w:lang w:eastAsia="da-DK"/>
        </w:rPr>
        <w:t xml:space="preserve"> forebygges med midler mod </w:t>
      </w:r>
      <w:proofErr w:type="spellStart"/>
      <w:r w:rsidRPr="003C2BEF">
        <w:rPr>
          <w:sz w:val="24"/>
          <w:szCs w:val="24"/>
          <w:lang w:eastAsia="da-DK"/>
        </w:rPr>
        <w:t>glaukom</w:t>
      </w:r>
      <w:proofErr w:type="spellEnd"/>
      <w:r w:rsidRPr="003C2BEF">
        <w:rPr>
          <w:sz w:val="24"/>
          <w:szCs w:val="24"/>
          <w:lang w:eastAsia="da-DK"/>
        </w:rPr>
        <w:t>.</w:t>
      </w:r>
    </w:p>
    <w:p w:rsidR="00D2028E" w:rsidRPr="003C2BEF" w:rsidRDefault="00D2028E" w:rsidP="00D2028E">
      <w:pPr>
        <w:ind w:left="851"/>
        <w:rPr>
          <w:sz w:val="24"/>
          <w:szCs w:val="24"/>
          <w:lang w:eastAsia="da-DK"/>
        </w:rPr>
      </w:pPr>
    </w:p>
    <w:p w:rsidR="00D2028E" w:rsidRPr="003C2BEF" w:rsidRDefault="00D2028E" w:rsidP="00D2028E">
      <w:pPr>
        <w:ind w:left="851"/>
        <w:rPr>
          <w:sz w:val="24"/>
          <w:szCs w:val="24"/>
          <w:lang w:eastAsia="da-DK"/>
        </w:rPr>
      </w:pPr>
      <w:r w:rsidRPr="003C2BEF">
        <w:rPr>
          <w:sz w:val="24"/>
          <w:szCs w:val="24"/>
          <w:lang w:eastAsia="da-DK"/>
        </w:rPr>
        <w:t xml:space="preserve">Øjensmerter eller -gener, sløret syn, regnbuesyn eller farvede pletter i synsfeltet og røde øjne på grund af </w:t>
      </w:r>
      <w:proofErr w:type="spellStart"/>
      <w:r w:rsidRPr="003C2BEF">
        <w:rPr>
          <w:sz w:val="24"/>
          <w:szCs w:val="24"/>
          <w:lang w:eastAsia="da-DK"/>
        </w:rPr>
        <w:t>konjunktival</w:t>
      </w:r>
      <w:proofErr w:type="spellEnd"/>
      <w:r w:rsidRPr="003C2BEF">
        <w:rPr>
          <w:sz w:val="24"/>
          <w:szCs w:val="24"/>
          <w:lang w:eastAsia="da-DK"/>
        </w:rPr>
        <w:t xml:space="preserve"> injektion eller </w:t>
      </w:r>
      <w:proofErr w:type="spellStart"/>
      <w:r w:rsidRPr="003C2BEF">
        <w:rPr>
          <w:sz w:val="24"/>
          <w:szCs w:val="24"/>
          <w:lang w:eastAsia="da-DK"/>
        </w:rPr>
        <w:t>corneaødem</w:t>
      </w:r>
      <w:proofErr w:type="spellEnd"/>
      <w:r w:rsidRPr="003C2BEF">
        <w:rPr>
          <w:sz w:val="24"/>
          <w:szCs w:val="24"/>
          <w:lang w:eastAsia="da-DK"/>
        </w:rPr>
        <w:t xml:space="preserve"> kan være tegn på akut snævervinklet </w:t>
      </w:r>
      <w:proofErr w:type="spellStart"/>
      <w:r w:rsidRPr="003C2BEF">
        <w:rPr>
          <w:sz w:val="24"/>
          <w:szCs w:val="24"/>
          <w:lang w:eastAsia="da-DK"/>
        </w:rPr>
        <w:t>glaukom</w:t>
      </w:r>
      <w:proofErr w:type="spellEnd"/>
      <w:r w:rsidRPr="003C2BEF">
        <w:rPr>
          <w:sz w:val="24"/>
          <w:szCs w:val="24"/>
          <w:lang w:eastAsia="da-DK"/>
        </w:rPr>
        <w:t xml:space="preserve">. Hvis der udvikles en kombination af disse symptomer, bør der indledes behandling med </w:t>
      </w:r>
      <w:proofErr w:type="spellStart"/>
      <w:r w:rsidRPr="003C2BEF">
        <w:rPr>
          <w:sz w:val="24"/>
          <w:szCs w:val="24"/>
          <w:lang w:eastAsia="da-DK"/>
        </w:rPr>
        <w:t>miotiske</w:t>
      </w:r>
      <w:proofErr w:type="spellEnd"/>
      <w:r w:rsidRPr="003C2BEF">
        <w:rPr>
          <w:sz w:val="24"/>
          <w:szCs w:val="24"/>
          <w:lang w:eastAsia="da-DK"/>
        </w:rPr>
        <w:t xml:space="preserve"> øjendråber, og patienten bør omgående tilses at en specialist.</w:t>
      </w:r>
    </w:p>
    <w:p w:rsidR="00D2028E" w:rsidRDefault="00D2028E" w:rsidP="00D2028E">
      <w:pPr>
        <w:ind w:left="851"/>
        <w:rPr>
          <w:sz w:val="24"/>
          <w:szCs w:val="24"/>
          <w:lang w:eastAsia="da-DK"/>
        </w:rPr>
      </w:pPr>
    </w:p>
    <w:p w:rsidR="00D2028E" w:rsidRPr="00233B78" w:rsidRDefault="00D2028E" w:rsidP="00D2028E">
      <w:pPr>
        <w:tabs>
          <w:tab w:val="left" w:pos="851"/>
        </w:tabs>
        <w:ind w:left="851"/>
        <w:rPr>
          <w:i/>
          <w:sz w:val="24"/>
          <w:lang w:eastAsia="da-DK"/>
        </w:rPr>
      </w:pPr>
      <w:r w:rsidRPr="00CE768A">
        <w:rPr>
          <w:i/>
          <w:u w:val="single"/>
        </w:rPr>
        <w:t>Systemisk virkning</w:t>
      </w:r>
    </w:p>
    <w:p w:rsidR="00D2028E" w:rsidRPr="003C2BEF" w:rsidRDefault="00D2028E" w:rsidP="00D2028E">
      <w:pPr>
        <w:ind w:left="851"/>
        <w:rPr>
          <w:sz w:val="24"/>
          <w:szCs w:val="24"/>
          <w:lang w:eastAsia="da-DK"/>
        </w:rPr>
      </w:pPr>
      <w:r w:rsidRPr="003C2BEF">
        <w:rPr>
          <w:sz w:val="24"/>
          <w:szCs w:val="24"/>
          <w:lang w:eastAsia="da-DK"/>
        </w:rPr>
        <w:t xml:space="preserve">Ved følgende tilstande bør </w:t>
      </w:r>
      <w:proofErr w:type="spellStart"/>
      <w:r>
        <w:rPr>
          <w:sz w:val="24"/>
          <w:szCs w:val="24"/>
          <w:lang w:eastAsia="da-DK"/>
        </w:rPr>
        <w:t>ipratropiumbromid</w:t>
      </w:r>
      <w:proofErr w:type="spellEnd"/>
      <w:r>
        <w:rPr>
          <w:sz w:val="24"/>
          <w:szCs w:val="24"/>
          <w:lang w:eastAsia="da-DK"/>
        </w:rPr>
        <w:t>/</w:t>
      </w:r>
      <w:proofErr w:type="spellStart"/>
      <w:r>
        <w:rPr>
          <w:sz w:val="24"/>
          <w:szCs w:val="24"/>
          <w:lang w:eastAsia="da-DK"/>
        </w:rPr>
        <w:t>salbutamol</w:t>
      </w:r>
      <w:proofErr w:type="spellEnd"/>
      <w:r w:rsidRPr="003C2BEF">
        <w:rPr>
          <w:sz w:val="24"/>
          <w:szCs w:val="24"/>
          <w:lang w:eastAsia="da-DK"/>
        </w:rPr>
        <w:t xml:space="preserve"> kun anvendes efter en omhyggelig vurdering af fordelene i forhold til risiciene: utilstrækkeligt kontrolleret diabetes mellitus, nyligt myokardieinfarkt og/eller svær organisk hjerte- eller karsygdom, </w:t>
      </w:r>
      <w:proofErr w:type="spellStart"/>
      <w:r w:rsidRPr="003C2BEF">
        <w:rPr>
          <w:sz w:val="24"/>
          <w:szCs w:val="24"/>
          <w:lang w:eastAsia="da-DK"/>
        </w:rPr>
        <w:t>hyperthyreoidisme</w:t>
      </w:r>
      <w:proofErr w:type="spellEnd"/>
      <w:r w:rsidRPr="003C2BEF">
        <w:rPr>
          <w:sz w:val="24"/>
          <w:szCs w:val="24"/>
          <w:lang w:eastAsia="da-DK"/>
        </w:rPr>
        <w:t xml:space="preserve">, </w:t>
      </w:r>
      <w:proofErr w:type="spellStart"/>
      <w:r w:rsidRPr="003C2BEF">
        <w:rPr>
          <w:sz w:val="24"/>
          <w:szCs w:val="24"/>
          <w:lang w:eastAsia="da-DK"/>
        </w:rPr>
        <w:t>fæokromocytom</w:t>
      </w:r>
      <w:proofErr w:type="spellEnd"/>
      <w:r w:rsidRPr="003C2BEF">
        <w:rPr>
          <w:sz w:val="24"/>
          <w:szCs w:val="24"/>
          <w:lang w:eastAsia="da-DK"/>
        </w:rPr>
        <w:t xml:space="preserve">, prostatahypertrofi, </w:t>
      </w:r>
      <w:r>
        <w:t>blærehalsobstruktion</w:t>
      </w:r>
      <w:r w:rsidRPr="003C2BEF">
        <w:rPr>
          <w:sz w:val="24"/>
          <w:szCs w:val="24"/>
          <w:lang w:eastAsia="da-DK"/>
        </w:rPr>
        <w:t xml:space="preserve"> og risiko for snævervinklet </w:t>
      </w:r>
      <w:proofErr w:type="spellStart"/>
      <w:r w:rsidRPr="003C2BEF">
        <w:rPr>
          <w:sz w:val="24"/>
          <w:szCs w:val="24"/>
          <w:lang w:eastAsia="da-DK"/>
        </w:rPr>
        <w:t>glaukom</w:t>
      </w:r>
      <w:proofErr w:type="spellEnd"/>
      <w:r w:rsidRPr="003C2BEF">
        <w:rPr>
          <w:sz w:val="24"/>
          <w:szCs w:val="24"/>
          <w:lang w:eastAsia="da-DK"/>
        </w:rPr>
        <w:t>.</w:t>
      </w:r>
    </w:p>
    <w:p w:rsidR="00D2028E" w:rsidRDefault="00D2028E" w:rsidP="00D2028E">
      <w:pPr>
        <w:ind w:left="851"/>
        <w:rPr>
          <w:sz w:val="24"/>
          <w:szCs w:val="24"/>
          <w:lang w:eastAsia="da-DK"/>
        </w:rPr>
      </w:pPr>
    </w:p>
    <w:p w:rsidR="00D2028E" w:rsidRPr="006674BD" w:rsidRDefault="00D2028E" w:rsidP="00D2028E">
      <w:pPr>
        <w:tabs>
          <w:tab w:val="left" w:pos="851"/>
        </w:tabs>
        <w:ind w:left="851"/>
        <w:rPr>
          <w:i/>
          <w:sz w:val="24"/>
          <w:szCs w:val="24"/>
          <w:u w:val="single"/>
          <w:lang w:eastAsia="da-DK"/>
        </w:rPr>
      </w:pPr>
      <w:proofErr w:type="spellStart"/>
      <w:r w:rsidRPr="006674BD">
        <w:rPr>
          <w:i/>
          <w:sz w:val="24"/>
          <w:szCs w:val="24"/>
          <w:u w:val="single"/>
        </w:rPr>
        <w:lastRenderedPageBreak/>
        <w:t>Kardiovaskulære</w:t>
      </w:r>
      <w:proofErr w:type="spellEnd"/>
      <w:r w:rsidRPr="006674BD">
        <w:rPr>
          <w:i/>
          <w:sz w:val="24"/>
          <w:szCs w:val="24"/>
          <w:u w:val="single"/>
        </w:rPr>
        <w:t xml:space="preserve"> virkninger</w:t>
      </w:r>
    </w:p>
    <w:p w:rsidR="00D2028E" w:rsidRPr="003C2BEF" w:rsidRDefault="00D2028E" w:rsidP="00D2028E">
      <w:pPr>
        <w:ind w:left="851"/>
        <w:rPr>
          <w:sz w:val="24"/>
          <w:szCs w:val="24"/>
          <w:lang w:eastAsia="da-DK"/>
        </w:rPr>
      </w:pPr>
      <w:r w:rsidRPr="003C2BEF">
        <w:rPr>
          <w:sz w:val="24"/>
          <w:szCs w:val="24"/>
          <w:lang w:eastAsia="da-DK"/>
        </w:rPr>
        <w:t xml:space="preserve">Der bør udvises forsigtighed, når </w:t>
      </w:r>
      <w:proofErr w:type="spellStart"/>
      <w:r>
        <w:rPr>
          <w:sz w:val="24"/>
          <w:szCs w:val="24"/>
          <w:lang w:eastAsia="da-DK"/>
        </w:rPr>
        <w:t>ipratropiumbromid</w:t>
      </w:r>
      <w:proofErr w:type="spellEnd"/>
      <w:r>
        <w:rPr>
          <w:sz w:val="24"/>
          <w:szCs w:val="24"/>
          <w:lang w:eastAsia="da-DK"/>
        </w:rPr>
        <w:t>/</w:t>
      </w:r>
      <w:proofErr w:type="spellStart"/>
      <w:r>
        <w:rPr>
          <w:sz w:val="24"/>
          <w:szCs w:val="24"/>
          <w:lang w:eastAsia="da-DK"/>
        </w:rPr>
        <w:t>salbutamol</w:t>
      </w:r>
      <w:proofErr w:type="spellEnd"/>
      <w:r w:rsidRPr="003C2BEF">
        <w:rPr>
          <w:sz w:val="24"/>
          <w:szCs w:val="24"/>
          <w:lang w:eastAsia="da-DK"/>
        </w:rPr>
        <w:t xml:space="preserve"> anvendes til patienter med hjertesygdom (</w:t>
      </w:r>
      <w:proofErr w:type="gramStart"/>
      <w:r w:rsidRPr="003C2BEF">
        <w:rPr>
          <w:sz w:val="24"/>
          <w:szCs w:val="24"/>
          <w:lang w:eastAsia="da-DK"/>
        </w:rPr>
        <w:t>svær hjerte</w:t>
      </w:r>
      <w:r w:rsidRPr="005D67CB">
        <w:rPr>
          <w:sz w:val="24"/>
          <w:szCs w:val="24"/>
          <w:lang w:eastAsia="da-DK"/>
        </w:rPr>
        <w:t>svigt</w:t>
      </w:r>
      <w:proofErr w:type="gramEnd"/>
      <w:r w:rsidRPr="003C2BEF">
        <w:rPr>
          <w:sz w:val="24"/>
          <w:szCs w:val="24"/>
          <w:lang w:eastAsia="da-DK"/>
        </w:rPr>
        <w:t xml:space="preserve">, iskæmisk </w:t>
      </w:r>
      <w:r>
        <w:rPr>
          <w:sz w:val="24"/>
          <w:szCs w:val="24"/>
          <w:lang w:eastAsia="da-DK"/>
        </w:rPr>
        <w:t>hjerte</w:t>
      </w:r>
      <w:r w:rsidRPr="003C2BEF">
        <w:rPr>
          <w:sz w:val="24"/>
          <w:szCs w:val="24"/>
          <w:lang w:eastAsia="da-DK"/>
        </w:rPr>
        <w:t xml:space="preserve">sygdom, </w:t>
      </w:r>
      <w:proofErr w:type="spellStart"/>
      <w:r w:rsidRPr="003C2BEF">
        <w:rPr>
          <w:sz w:val="24"/>
          <w:szCs w:val="24"/>
          <w:lang w:eastAsia="da-DK"/>
        </w:rPr>
        <w:t>arytmier</w:t>
      </w:r>
      <w:proofErr w:type="spellEnd"/>
      <w:r w:rsidRPr="003C2BEF">
        <w:rPr>
          <w:sz w:val="24"/>
          <w:szCs w:val="24"/>
          <w:lang w:eastAsia="da-DK"/>
        </w:rPr>
        <w:t xml:space="preserve">). Der kan ses </w:t>
      </w:r>
      <w:proofErr w:type="spellStart"/>
      <w:r w:rsidRPr="003C2BEF">
        <w:rPr>
          <w:sz w:val="24"/>
          <w:szCs w:val="24"/>
          <w:lang w:eastAsia="da-DK"/>
        </w:rPr>
        <w:t>kardiovaskulære</w:t>
      </w:r>
      <w:proofErr w:type="spellEnd"/>
      <w:r w:rsidRPr="003C2BEF">
        <w:rPr>
          <w:sz w:val="24"/>
          <w:szCs w:val="24"/>
          <w:lang w:eastAsia="da-DK"/>
        </w:rPr>
        <w:t xml:space="preserve"> virkninger ved brug af </w:t>
      </w:r>
      <w:proofErr w:type="spellStart"/>
      <w:r w:rsidRPr="003C2BEF">
        <w:rPr>
          <w:sz w:val="24"/>
          <w:szCs w:val="24"/>
          <w:lang w:eastAsia="da-DK"/>
        </w:rPr>
        <w:t>sympatomimetika</w:t>
      </w:r>
      <w:proofErr w:type="spellEnd"/>
      <w:r w:rsidRPr="003C2BEF">
        <w:rPr>
          <w:sz w:val="24"/>
          <w:szCs w:val="24"/>
          <w:lang w:eastAsia="da-DK"/>
        </w:rPr>
        <w:t xml:space="preserve">, herunder </w:t>
      </w:r>
      <w:proofErr w:type="spellStart"/>
      <w:r w:rsidRPr="003C2BEF">
        <w:rPr>
          <w:sz w:val="24"/>
          <w:szCs w:val="24"/>
          <w:lang w:eastAsia="da-DK"/>
        </w:rPr>
        <w:t>salbutamol</w:t>
      </w:r>
      <w:proofErr w:type="spellEnd"/>
      <w:r w:rsidRPr="003C2BEF">
        <w:rPr>
          <w:sz w:val="24"/>
          <w:szCs w:val="24"/>
          <w:lang w:eastAsia="da-DK"/>
        </w:rPr>
        <w:t xml:space="preserve">. I data indhentet efter markedsføringen og i litteraturen er der evidens for sjældne tilfælde af </w:t>
      </w:r>
      <w:proofErr w:type="spellStart"/>
      <w:r w:rsidRPr="003C2BEF">
        <w:rPr>
          <w:sz w:val="24"/>
          <w:szCs w:val="24"/>
          <w:lang w:eastAsia="da-DK"/>
        </w:rPr>
        <w:t>myokardieiskæmi</w:t>
      </w:r>
      <w:proofErr w:type="spellEnd"/>
      <w:r w:rsidRPr="003C2BEF">
        <w:rPr>
          <w:sz w:val="24"/>
          <w:szCs w:val="24"/>
          <w:lang w:eastAsia="da-DK"/>
        </w:rPr>
        <w:t xml:space="preserve"> i forbindelse med korttidsvirkende beta-agonister</w:t>
      </w:r>
      <w:r>
        <w:rPr>
          <w:sz w:val="24"/>
          <w:szCs w:val="24"/>
          <w:lang w:eastAsia="da-DK"/>
        </w:rPr>
        <w:t xml:space="preserve"> </w:t>
      </w:r>
      <w:r w:rsidRPr="005D67CB">
        <w:rPr>
          <w:sz w:val="24"/>
          <w:szCs w:val="24"/>
          <w:lang w:eastAsia="da-DK"/>
        </w:rPr>
        <w:t xml:space="preserve">såsom </w:t>
      </w:r>
      <w:proofErr w:type="spellStart"/>
      <w:r w:rsidRPr="005D67CB">
        <w:rPr>
          <w:sz w:val="24"/>
          <w:szCs w:val="24"/>
          <w:lang w:eastAsia="da-DK"/>
        </w:rPr>
        <w:t>salbutamol</w:t>
      </w:r>
      <w:proofErr w:type="spellEnd"/>
      <w:r w:rsidRPr="005D67CB">
        <w:rPr>
          <w:sz w:val="24"/>
          <w:szCs w:val="24"/>
          <w:lang w:eastAsia="da-DK"/>
        </w:rPr>
        <w:t>.</w:t>
      </w:r>
      <w:r w:rsidRPr="003C2BEF">
        <w:rPr>
          <w:sz w:val="24"/>
          <w:szCs w:val="24"/>
          <w:lang w:eastAsia="da-DK"/>
        </w:rPr>
        <w:t xml:space="preserve">  </w:t>
      </w:r>
    </w:p>
    <w:p w:rsidR="00D2028E" w:rsidRPr="003C2BEF" w:rsidRDefault="00D2028E" w:rsidP="00D2028E">
      <w:pPr>
        <w:ind w:left="851"/>
        <w:rPr>
          <w:sz w:val="24"/>
          <w:szCs w:val="24"/>
          <w:lang w:eastAsia="da-DK"/>
        </w:rPr>
      </w:pPr>
    </w:p>
    <w:p w:rsidR="00D2028E" w:rsidRDefault="00D2028E" w:rsidP="00D2028E">
      <w:pPr>
        <w:ind w:left="851"/>
        <w:rPr>
          <w:sz w:val="24"/>
          <w:szCs w:val="24"/>
          <w:lang w:eastAsia="da-DK"/>
        </w:rPr>
      </w:pPr>
      <w:r w:rsidRPr="003C2BEF">
        <w:rPr>
          <w:sz w:val="24"/>
          <w:szCs w:val="24"/>
          <w:lang w:eastAsia="da-DK"/>
        </w:rPr>
        <w:t xml:space="preserve">Patienter med underliggende svær hjertesygdom (f.eks. iskæmisk hjertesygdom, </w:t>
      </w:r>
      <w:proofErr w:type="spellStart"/>
      <w:r w:rsidRPr="003C2BEF">
        <w:rPr>
          <w:sz w:val="24"/>
          <w:szCs w:val="24"/>
          <w:lang w:eastAsia="da-DK"/>
        </w:rPr>
        <w:t>arytmier</w:t>
      </w:r>
      <w:proofErr w:type="spellEnd"/>
      <w:r w:rsidRPr="003C2BEF">
        <w:rPr>
          <w:sz w:val="24"/>
          <w:szCs w:val="24"/>
          <w:lang w:eastAsia="da-DK"/>
        </w:rPr>
        <w:t xml:space="preserve"> eller svær hjerteinsufficiens), der får </w:t>
      </w:r>
      <w:proofErr w:type="spellStart"/>
      <w:r w:rsidRPr="003C2BEF">
        <w:rPr>
          <w:sz w:val="24"/>
          <w:szCs w:val="24"/>
          <w:lang w:eastAsia="da-DK"/>
        </w:rPr>
        <w:t>salbutamol</w:t>
      </w:r>
      <w:proofErr w:type="spellEnd"/>
      <w:r w:rsidRPr="003C2BEF">
        <w:rPr>
          <w:sz w:val="24"/>
          <w:szCs w:val="24"/>
          <w:lang w:eastAsia="da-DK"/>
        </w:rPr>
        <w:t xml:space="preserve"> for respiratorisk sygdom, skal instrueres i at søge læge, hvis de får brystsmerter eller andre symptomer på forværret hjertesygdom. Symptomer såsom dyspnø og brystsmerter bør vurderes omhyggeligt, da disse kan være af enten respiratorisk eller </w:t>
      </w:r>
      <w:proofErr w:type="spellStart"/>
      <w:r w:rsidRPr="003C2BEF">
        <w:rPr>
          <w:sz w:val="24"/>
          <w:szCs w:val="24"/>
          <w:lang w:eastAsia="da-DK"/>
        </w:rPr>
        <w:t>kardiel</w:t>
      </w:r>
      <w:proofErr w:type="spellEnd"/>
      <w:r w:rsidRPr="003C2BEF">
        <w:rPr>
          <w:sz w:val="24"/>
          <w:szCs w:val="24"/>
          <w:lang w:eastAsia="da-DK"/>
        </w:rPr>
        <w:t xml:space="preserve"> oprindelse.</w:t>
      </w:r>
    </w:p>
    <w:p w:rsidR="00D2028E" w:rsidRDefault="00D2028E" w:rsidP="00D2028E">
      <w:pPr>
        <w:ind w:left="851"/>
        <w:rPr>
          <w:sz w:val="24"/>
          <w:szCs w:val="24"/>
          <w:lang w:eastAsia="da-DK"/>
        </w:rPr>
      </w:pPr>
    </w:p>
    <w:p w:rsidR="00D2028E" w:rsidRPr="004E03F6" w:rsidRDefault="00D2028E" w:rsidP="00D2028E">
      <w:pPr>
        <w:ind w:left="851"/>
        <w:rPr>
          <w:i/>
          <w:color w:val="222222"/>
          <w:sz w:val="24"/>
          <w:szCs w:val="24"/>
          <w:u w:val="single"/>
        </w:rPr>
      </w:pPr>
      <w:proofErr w:type="spellStart"/>
      <w:r w:rsidRPr="004E03F6">
        <w:rPr>
          <w:rStyle w:val="shorttext"/>
          <w:i/>
          <w:color w:val="222222"/>
          <w:sz w:val="24"/>
          <w:szCs w:val="24"/>
          <w:u w:val="single"/>
        </w:rPr>
        <w:t>Hypokaliæmi</w:t>
      </w:r>
      <w:proofErr w:type="spellEnd"/>
    </w:p>
    <w:p w:rsidR="00D2028E" w:rsidRDefault="00D2028E" w:rsidP="00D2028E">
      <w:pPr>
        <w:ind w:left="851"/>
        <w:rPr>
          <w:sz w:val="24"/>
          <w:szCs w:val="24"/>
          <w:lang w:eastAsia="da-DK"/>
        </w:rPr>
      </w:pPr>
      <w:r w:rsidRPr="003C2BEF">
        <w:rPr>
          <w:sz w:val="24"/>
          <w:szCs w:val="24"/>
          <w:lang w:eastAsia="da-DK"/>
        </w:rPr>
        <w:t>Behandling med beta</w:t>
      </w:r>
      <w:r w:rsidRPr="003C2BEF">
        <w:rPr>
          <w:sz w:val="24"/>
          <w:szCs w:val="24"/>
          <w:vertAlign w:val="subscript"/>
          <w:lang w:eastAsia="da-DK"/>
        </w:rPr>
        <w:t>2</w:t>
      </w:r>
      <w:r w:rsidRPr="003C2BEF">
        <w:rPr>
          <w:sz w:val="24"/>
          <w:szCs w:val="24"/>
          <w:lang w:eastAsia="da-DK"/>
        </w:rPr>
        <w:t xml:space="preserve">-agonister kan resultere i potentielt alvorlig </w:t>
      </w:r>
      <w:proofErr w:type="spellStart"/>
      <w:r w:rsidRPr="003C2BEF">
        <w:rPr>
          <w:sz w:val="24"/>
          <w:szCs w:val="24"/>
          <w:lang w:eastAsia="da-DK"/>
        </w:rPr>
        <w:t>hypokaliæmi</w:t>
      </w:r>
      <w:proofErr w:type="spellEnd"/>
      <w:r w:rsidRPr="003C2BEF">
        <w:rPr>
          <w:sz w:val="24"/>
          <w:szCs w:val="24"/>
          <w:lang w:eastAsia="da-DK"/>
        </w:rPr>
        <w:t xml:space="preserve">. Der bør udvises særlig forsigtighed ved svær luftvejsobstruktion, idet denne virkning kan forstærkes af samtidig behandling med </w:t>
      </w:r>
      <w:proofErr w:type="spellStart"/>
      <w:r w:rsidRPr="003C2BEF">
        <w:rPr>
          <w:sz w:val="24"/>
          <w:szCs w:val="24"/>
          <w:lang w:eastAsia="da-DK"/>
        </w:rPr>
        <w:t>xanthinderivater</w:t>
      </w:r>
      <w:proofErr w:type="spellEnd"/>
      <w:r w:rsidRPr="003C2BEF">
        <w:rPr>
          <w:sz w:val="24"/>
          <w:szCs w:val="24"/>
          <w:lang w:eastAsia="da-DK"/>
        </w:rPr>
        <w:t xml:space="preserve">, </w:t>
      </w:r>
      <w:proofErr w:type="spellStart"/>
      <w:r w:rsidRPr="003C2BEF">
        <w:rPr>
          <w:sz w:val="24"/>
          <w:szCs w:val="24"/>
          <w:lang w:eastAsia="da-DK"/>
        </w:rPr>
        <w:t>diuretika</w:t>
      </w:r>
      <w:proofErr w:type="spellEnd"/>
      <w:r w:rsidRPr="003C2BEF">
        <w:rPr>
          <w:sz w:val="24"/>
          <w:szCs w:val="24"/>
          <w:lang w:eastAsia="da-DK"/>
        </w:rPr>
        <w:t xml:space="preserve"> og steroider. </w:t>
      </w:r>
      <w:proofErr w:type="spellStart"/>
      <w:r w:rsidRPr="003C2BEF">
        <w:rPr>
          <w:sz w:val="24"/>
          <w:szCs w:val="24"/>
          <w:lang w:eastAsia="da-DK"/>
        </w:rPr>
        <w:t>Hypokaliæmi</w:t>
      </w:r>
      <w:proofErr w:type="spellEnd"/>
      <w:r w:rsidRPr="003C2BEF">
        <w:rPr>
          <w:sz w:val="24"/>
          <w:szCs w:val="24"/>
          <w:lang w:eastAsia="da-DK"/>
        </w:rPr>
        <w:t xml:space="preserve"> kan øge risikoen for </w:t>
      </w:r>
      <w:proofErr w:type="spellStart"/>
      <w:r w:rsidRPr="003C2BEF">
        <w:rPr>
          <w:sz w:val="24"/>
          <w:szCs w:val="24"/>
          <w:lang w:eastAsia="da-DK"/>
        </w:rPr>
        <w:t>arytmier</w:t>
      </w:r>
      <w:proofErr w:type="spellEnd"/>
      <w:r w:rsidRPr="003C2BEF">
        <w:rPr>
          <w:sz w:val="24"/>
          <w:szCs w:val="24"/>
          <w:lang w:eastAsia="da-DK"/>
        </w:rPr>
        <w:t xml:space="preserve"> hos patienter i behandling med </w:t>
      </w:r>
      <w:proofErr w:type="spellStart"/>
      <w:r w:rsidRPr="003C2BEF">
        <w:rPr>
          <w:sz w:val="24"/>
          <w:szCs w:val="24"/>
          <w:lang w:eastAsia="da-DK"/>
        </w:rPr>
        <w:t>digoxin</w:t>
      </w:r>
      <w:proofErr w:type="spellEnd"/>
      <w:r w:rsidRPr="003C2BEF">
        <w:rPr>
          <w:sz w:val="24"/>
          <w:szCs w:val="24"/>
          <w:lang w:eastAsia="da-DK"/>
        </w:rPr>
        <w:t xml:space="preserve">. Derudover kan </w:t>
      </w:r>
      <w:proofErr w:type="spellStart"/>
      <w:r w:rsidRPr="003C2BEF">
        <w:rPr>
          <w:sz w:val="24"/>
          <w:szCs w:val="24"/>
          <w:lang w:eastAsia="da-DK"/>
        </w:rPr>
        <w:t>hypoksi</w:t>
      </w:r>
      <w:proofErr w:type="spellEnd"/>
      <w:r w:rsidRPr="003C2BEF">
        <w:rPr>
          <w:sz w:val="24"/>
          <w:szCs w:val="24"/>
          <w:lang w:eastAsia="da-DK"/>
        </w:rPr>
        <w:t xml:space="preserve"> forværre de virkninger, som </w:t>
      </w:r>
      <w:proofErr w:type="spellStart"/>
      <w:r w:rsidRPr="003C2BEF">
        <w:rPr>
          <w:sz w:val="24"/>
          <w:szCs w:val="24"/>
          <w:lang w:eastAsia="da-DK"/>
        </w:rPr>
        <w:t>hypokaliæmi</w:t>
      </w:r>
      <w:proofErr w:type="spellEnd"/>
      <w:r w:rsidRPr="003C2BEF">
        <w:rPr>
          <w:sz w:val="24"/>
          <w:szCs w:val="24"/>
          <w:lang w:eastAsia="da-DK"/>
        </w:rPr>
        <w:t xml:space="preserve"> har på hjerterytmen. I sådanne situationer anbefales det at monitorere serumkaliumniveauerne.</w:t>
      </w:r>
    </w:p>
    <w:p w:rsidR="00D2028E" w:rsidRDefault="00D2028E" w:rsidP="00D2028E">
      <w:pPr>
        <w:ind w:left="851"/>
        <w:rPr>
          <w:sz w:val="24"/>
          <w:szCs w:val="24"/>
          <w:lang w:eastAsia="da-DK"/>
        </w:rPr>
      </w:pPr>
    </w:p>
    <w:p w:rsidR="00D2028E" w:rsidRPr="006674BD" w:rsidRDefault="00D2028E" w:rsidP="00D2028E">
      <w:pPr>
        <w:tabs>
          <w:tab w:val="left" w:pos="851"/>
        </w:tabs>
        <w:ind w:left="851"/>
        <w:rPr>
          <w:i/>
          <w:sz w:val="24"/>
          <w:szCs w:val="24"/>
          <w:u w:val="single"/>
          <w:lang w:eastAsia="da-DK"/>
        </w:rPr>
      </w:pPr>
      <w:r w:rsidRPr="006674BD">
        <w:rPr>
          <w:i/>
          <w:sz w:val="24"/>
          <w:szCs w:val="24"/>
          <w:u w:val="single"/>
        </w:rPr>
        <w:t xml:space="preserve">Forstyrrelser i </w:t>
      </w:r>
      <w:proofErr w:type="spellStart"/>
      <w:r w:rsidRPr="006674BD">
        <w:rPr>
          <w:i/>
          <w:sz w:val="24"/>
          <w:szCs w:val="24"/>
          <w:u w:val="single"/>
        </w:rPr>
        <w:t>gastrointestinal</w:t>
      </w:r>
      <w:proofErr w:type="spellEnd"/>
      <w:r w:rsidRPr="006674BD">
        <w:rPr>
          <w:i/>
          <w:sz w:val="24"/>
          <w:szCs w:val="24"/>
          <w:u w:val="single"/>
        </w:rPr>
        <w:t xml:space="preserve"> mobilitet</w:t>
      </w:r>
    </w:p>
    <w:p w:rsidR="00D2028E" w:rsidRPr="003C2BEF" w:rsidRDefault="00D2028E" w:rsidP="00D2028E">
      <w:pPr>
        <w:ind w:left="851"/>
        <w:rPr>
          <w:sz w:val="24"/>
          <w:szCs w:val="24"/>
          <w:lang w:eastAsia="da-DK"/>
        </w:rPr>
      </w:pPr>
      <w:r w:rsidRPr="003C2BEF">
        <w:rPr>
          <w:sz w:val="24"/>
          <w:szCs w:val="24"/>
          <w:lang w:eastAsia="da-DK"/>
        </w:rPr>
        <w:t xml:space="preserve">Patienter med cystisk fibrose kan være mere udsatte for forstyrrelser i den </w:t>
      </w:r>
      <w:proofErr w:type="spellStart"/>
      <w:r w:rsidRPr="003C2BEF">
        <w:rPr>
          <w:sz w:val="24"/>
          <w:szCs w:val="24"/>
          <w:lang w:eastAsia="da-DK"/>
        </w:rPr>
        <w:t>gastrointestinale</w:t>
      </w:r>
      <w:proofErr w:type="spellEnd"/>
      <w:r w:rsidRPr="003C2BEF">
        <w:rPr>
          <w:sz w:val="24"/>
          <w:szCs w:val="24"/>
          <w:lang w:eastAsia="da-DK"/>
        </w:rPr>
        <w:t xml:space="preserve"> </w:t>
      </w:r>
      <w:proofErr w:type="spellStart"/>
      <w:r w:rsidRPr="003C2BEF">
        <w:rPr>
          <w:sz w:val="24"/>
          <w:szCs w:val="24"/>
          <w:lang w:eastAsia="da-DK"/>
        </w:rPr>
        <w:t>motilitet</w:t>
      </w:r>
      <w:proofErr w:type="spellEnd"/>
      <w:r w:rsidRPr="003C2BEF">
        <w:rPr>
          <w:sz w:val="24"/>
          <w:szCs w:val="24"/>
          <w:lang w:eastAsia="da-DK"/>
        </w:rPr>
        <w:t xml:space="preserve">, og derfor bør </w:t>
      </w:r>
      <w:proofErr w:type="spellStart"/>
      <w:r w:rsidRPr="003C2BEF">
        <w:rPr>
          <w:sz w:val="24"/>
          <w:szCs w:val="24"/>
          <w:lang w:eastAsia="da-DK"/>
        </w:rPr>
        <w:t>ipratropiumbromid</w:t>
      </w:r>
      <w:proofErr w:type="spellEnd"/>
      <w:r w:rsidRPr="003C2BEF">
        <w:rPr>
          <w:sz w:val="24"/>
          <w:szCs w:val="24"/>
          <w:lang w:eastAsia="da-DK"/>
        </w:rPr>
        <w:t xml:space="preserve">, ligesom andre </w:t>
      </w:r>
      <w:proofErr w:type="spellStart"/>
      <w:r w:rsidRPr="003C2BEF">
        <w:rPr>
          <w:sz w:val="24"/>
          <w:szCs w:val="24"/>
          <w:lang w:eastAsia="da-DK"/>
        </w:rPr>
        <w:t>antikolinergika</w:t>
      </w:r>
      <w:proofErr w:type="spellEnd"/>
      <w:r w:rsidRPr="003C2BEF">
        <w:rPr>
          <w:sz w:val="24"/>
          <w:szCs w:val="24"/>
          <w:lang w:eastAsia="da-DK"/>
        </w:rPr>
        <w:t>, anvendes med forsigtighed hos sådanne patienter.</w:t>
      </w:r>
    </w:p>
    <w:p w:rsidR="00D2028E" w:rsidRDefault="00D2028E" w:rsidP="00D2028E">
      <w:pPr>
        <w:ind w:left="851"/>
        <w:rPr>
          <w:sz w:val="24"/>
          <w:szCs w:val="24"/>
          <w:lang w:eastAsia="da-DK"/>
        </w:rPr>
      </w:pPr>
    </w:p>
    <w:p w:rsidR="00D2028E" w:rsidRPr="00D50387" w:rsidRDefault="00D2028E" w:rsidP="00D2028E">
      <w:pPr>
        <w:ind w:left="851"/>
        <w:rPr>
          <w:i/>
          <w:sz w:val="24"/>
          <w:szCs w:val="24"/>
          <w:u w:val="single"/>
          <w:lang w:eastAsia="da-DK"/>
        </w:rPr>
      </w:pPr>
      <w:proofErr w:type="gramStart"/>
      <w:r w:rsidRPr="00D50387">
        <w:rPr>
          <w:i/>
          <w:sz w:val="24"/>
          <w:szCs w:val="24"/>
          <w:u w:val="single"/>
          <w:lang w:eastAsia="da-DK"/>
        </w:rPr>
        <w:t>Dental</w:t>
      </w:r>
      <w:proofErr w:type="gramEnd"/>
      <w:r w:rsidRPr="00D50387">
        <w:rPr>
          <w:i/>
          <w:sz w:val="24"/>
          <w:szCs w:val="24"/>
          <w:u w:val="single"/>
          <w:lang w:eastAsia="da-DK"/>
        </w:rPr>
        <w:t xml:space="preserve"> effekter</w:t>
      </w:r>
    </w:p>
    <w:p w:rsidR="00D2028E" w:rsidRDefault="00D2028E" w:rsidP="00D2028E">
      <w:pPr>
        <w:ind w:left="851"/>
        <w:rPr>
          <w:sz w:val="24"/>
          <w:szCs w:val="24"/>
          <w:lang w:eastAsia="da-DK"/>
        </w:rPr>
      </w:pPr>
      <w:r>
        <w:rPr>
          <w:sz w:val="24"/>
          <w:szCs w:val="24"/>
          <w:lang w:eastAsia="da-DK"/>
        </w:rPr>
        <w:t xml:space="preserve">Der er rapporter om karies ved brug af </w:t>
      </w:r>
      <w:proofErr w:type="spellStart"/>
      <w:r>
        <w:rPr>
          <w:sz w:val="24"/>
          <w:szCs w:val="24"/>
          <w:lang w:eastAsia="da-DK"/>
        </w:rPr>
        <w:t>salbutamol</w:t>
      </w:r>
      <w:proofErr w:type="spellEnd"/>
      <w:r>
        <w:rPr>
          <w:sz w:val="24"/>
          <w:szCs w:val="24"/>
          <w:lang w:eastAsia="da-DK"/>
        </w:rPr>
        <w:t xml:space="preserve">. Særlig opmærksomhed på tandhygiejnen og regelmæssig tandkontrol anbefales, især hos børn. </w:t>
      </w:r>
    </w:p>
    <w:p w:rsidR="00D2028E" w:rsidRDefault="00D2028E" w:rsidP="00D2028E">
      <w:pPr>
        <w:ind w:left="851"/>
        <w:rPr>
          <w:sz w:val="24"/>
          <w:szCs w:val="24"/>
          <w:lang w:eastAsia="da-DK"/>
        </w:rPr>
      </w:pPr>
    </w:p>
    <w:p w:rsidR="00D2028E" w:rsidRPr="00D50387" w:rsidRDefault="00D2028E" w:rsidP="00D2028E">
      <w:pPr>
        <w:ind w:left="851"/>
        <w:rPr>
          <w:i/>
          <w:sz w:val="24"/>
          <w:szCs w:val="24"/>
          <w:u w:val="single"/>
        </w:rPr>
      </w:pPr>
      <w:proofErr w:type="spellStart"/>
      <w:r w:rsidRPr="00D50387">
        <w:rPr>
          <w:i/>
          <w:sz w:val="24"/>
          <w:szCs w:val="24"/>
          <w:u w:val="single"/>
        </w:rPr>
        <w:t>Laktatacidose</w:t>
      </w:r>
      <w:proofErr w:type="spellEnd"/>
      <w:r w:rsidRPr="00D50387">
        <w:rPr>
          <w:i/>
          <w:sz w:val="24"/>
          <w:szCs w:val="24"/>
          <w:u w:val="single"/>
        </w:rPr>
        <w:t xml:space="preserve"> </w:t>
      </w:r>
    </w:p>
    <w:p w:rsidR="00D2028E" w:rsidRDefault="00D2028E" w:rsidP="00D2028E">
      <w:pPr>
        <w:ind w:left="851"/>
        <w:rPr>
          <w:color w:val="222222"/>
          <w:sz w:val="24"/>
          <w:szCs w:val="24"/>
        </w:rPr>
      </w:pPr>
      <w:proofErr w:type="spellStart"/>
      <w:r>
        <w:rPr>
          <w:color w:val="222222"/>
          <w:sz w:val="24"/>
          <w:szCs w:val="24"/>
        </w:rPr>
        <w:t>Lactinsyreose</w:t>
      </w:r>
      <w:proofErr w:type="spellEnd"/>
      <w:r>
        <w:rPr>
          <w:color w:val="222222"/>
          <w:sz w:val="24"/>
          <w:szCs w:val="24"/>
        </w:rPr>
        <w:t xml:space="preserve"> er blevet rapporteret i forbindelse med høje terapeutiske doser af intravenøs og </w:t>
      </w:r>
      <w:proofErr w:type="spellStart"/>
      <w:r>
        <w:rPr>
          <w:color w:val="222222"/>
          <w:sz w:val="24"/>
          <w:szCs w:val="24"/>
        </w:rPr>
        <w:t>nebuliseret</w:t>
      </w:r>
      <w:proofErr w:type="spellEnd"/>
      <w:r>
        <w:rPr>
          <w:color w:val="222222"/>
          <w:sz w:val="24"/>
          <w:szCs w:val="24"/>
        </w:rPr>
        <w:t xml:space="preserve"> korttidsvirkende beta-agonistbehandling, hovedsageligt hos patienter, der behandles for akut forværring af </w:t>
      </w:r>
      <w:proofErr w:type="spellStart"/>
      <w:r>
        <w:rPr>
          <w:color w:val="222222"/>
          <w:sz w:val="24"/>
          <w:szCs w:val="24"/>
        </w:rPr>
        <w:t>bronchospasme</w:t>
      </w:r>
      <w:proofErr w:type="spellEnd"/>
      <w:r>
        <w:rPr>
          <w:color w:val="222222"/>
          <w:sz w:val="24"/>
          <w:szCs w:val="24"/>
        </w:rPr>
        <w:t xml:space="preserve"> ved alvorlig astma eller kronisk obstruktiv lungesygdom (se pkt. 4.8 og 4.9). Stigning i laktatniveau kan føre til dyspnø og kompensatorisk hyperventilation, som kan fejltolkes som et tegn på behandlingssvigt af astma og føre til uhensigtsmæssig intensivering af behandling med korttidsvirkende beta-agonister. Det anbefales derfor, at patienterne monitoreres med henblik på udvikling af forhøjet serumlaktat og deraf metabolisk </w:t>
      </w:r>
      <w:proofErr w:type="spellStart"/>
      <w:r>
        <w:rPr>
          <w:color w:val="222222"/>
          <w:sz w:val="24"/>
          <w:szCs w:val="24"/>
        </w:rPr>
        <w:t>acidose</w:t>
      </w:r>
      <w:proofErr w:type="spellEnd"/>
      <w:r>
        <w:rPr>
          <w:color w:val="222222"/>
          <w:sz w:val="24"/>
          <w:szCs w:val="24"/>
        </w:rPr>
        <w:t xml:space="preserve"> i disse </w:t>
      </w:r>
      <w:r>
        <w:rPr>
          <w:sz w:val="24"/>
          <w:szCs w:val="24"/>
        </w:rPr>
        <w:t>tilfælde</w:t>
      </w:r>
      <w:r>
        <w:rPr>
          <w:color w:val="222222"/>
          <w:sz w:val="24"/>
          <w:szCs w:val="24"/>
        </w:rPr>
        <w:t>.</w:t>
      </w:r>
    </w:p>
    <w:p w:rsidR="00D2028E" w:rsidRDefault="00D2028E" w:rsidP="00D2028E">
      <w:pPr>
        <w:ind w:left="851"/>
        <w:rPr>
          <w:sz w:val="24"/>
          <w:szCs w:val="24"/>
          <w:lang w:eastAsia="da-DK"/>
        </w:rPr>
      </w:pPr>
    </w:p>
    <w:p w:rsidR="00D2028E" w:rsidRDefault="00D2028E" w:rsidP="00D2028E">
      <w:pPr>
        <w:ind w:left="851"/>
        <w:rPr>
          <w:sz w:val="24"/>
          <w:szCs w:val="24"/>
          <w:lang w:eastAsia="da-DK"/>
        </w:rPr>
      </w:pPr>
      <w:r>
        <w:rPr>
          <w:sz w:val="24"/>
          <w:szCs w:val="24"/>
          <w:lang w:eastAsia="da-DK"/>
        </w:rPr>
        <w:t xml:space="preserve">Ampullerne er klar til brug og skal ikke fortyndes. Visse typer af anordninger kræver dog en volumen over 2,5 ml. I så tilfælde føjes der saltvand til </w:t>
      </w:r>
      <w:proofErr w:type="spellStart"/>
      <w:r>
        <w:rPr>
          <w:sz w:val="24"/>
          <w:szCs w:val="24"/>
          <w:lang w:eastAsia="da-DK"/>
        </w:rPr>
        <w:t>ipratropiumbromid</w:t>
      </w:r>
      <w:proofErr w:type="spellEnd"/>
      <w:r>
        <w:rPr>
          <w:sz w:val="24"/>
          <w:szCs w:val="24"/>
          <w:lang w:eastAsia="da-DK"/>
        </w:rPr>
        <w:t>/</w:t>
      </w:r>
      <w:proofErr w:type="spellStart"/>
      <w:r>
        <w:rPr>
          <w:sz w:val="24"/>
          <w:szCs w:val="24"/>
          <w:lang w:eastAsia="da-DK"/>
        </w:rPr>
        <w:t>salbutamol</w:t>
      </w:r>
      <w:proofErr w:type="spellEnd"/>
      <w:r>
        <w:rPr>
          <w:sz w:val="24"/>
          <w:szCs w:val="24"/>
          <w:lang w:eastAsia="da-DK"/>
        </w:rPr>
        <w:t xml:space="preserve"> for at opnå den påkrævede volumen.</w:t>
      </w:r>
    </w:p>
    <w:p w:rsidR="00D2028E" w:rsidRDefault="00D2028E" w:rsidP="00D2028E">
      <w:pPr>
        <w:ind w:left="851"/>
        <w:rPr>
          <w:sz w:val="24"/>
          <w:szCs w:val="24"/>
          <w:lang w:eastAsia="da-DK"/>
        </w:rPr>
      </w:pPr>
    </w:p>
    <w:p w:rsidR="00D2028E" w:rsidRDefault="00D2028E" w:rsidP="00D2028E">
      <w:pPr>
        <w:ind w:left="851"/>
        <w:rPr>
          <w:sz w:val="24"/>
          <w:szCs w:val="24"/>
          <w:u w:val="single"/>
          <w:lang w:eastAsia="da-DK"/>
        </w:rPr>
      </w:pPr>
      <w:r>
        <w:rPr>
          <w:sz w:val="24"/>
          <w:szCs w:val="24"/>
          <w:u w:val="single"/>
          <w:lang w:eastAsia="da-DK"/>
        </w:rPr>
        <w:t>Pædiatrisk population</w:t>
      </w:r>
    </w:p>
    <w:p w:rsidR="00D2028E" w:rsidRDefault="00D2028E" w:rsidP="00D2028E">
      <w:pPr>
        <w:ind w:left="851"/>
        <w:rPr>
          <w:sz w:val="24"/>
          <w:szCs w:val="24"/>
          <w:lang w:eastAsia="da-DK"/>
        </w:rPr>
      </w:pPr>
      <w:proofErr w:type="spellStart"/>
      <w:r>
        <w:rPr>
          <w:sz w:val="24"/>
          <w:szCs w:val="24"/>
          <w:lang w:eastAsia="da-DK"/>
        </w:rPr>
        <w:t>Ipratropiumbromid</w:t>
      </w:r>
      <w:proofErr w:type="spellEnd"/>
      <w:r>
        <w:rPr>
          <w:sz w:val="24"/>
          <w:szCs w:val="24"/>
          <w:lang w:eastAsia="da-DK"/>
        </w:rPr>
        <w:t>/</w:t>
      </w:r>
      <w:proofErr w:type="spellStart"/>
      <w:r>
        <w:rPr>
          <w:sz w:val="24"/>
          <w:szCs w:val="24"/>
          <w:lang w:eastAsia="da-DK"/>
        </w:rPr>
        <w:t>salbutamol</w:t>
      </w:r>
      <w:proofErr w:type="spellEnd"/>
      <w:r>
        <w:rPr>
          <w:sz w:val="24"/>
          <w:szCs w:val="24"/>
          <w:lang w:eastAsia="da-DK"/>
        </w:rPr>
        <w:t xml:space="preserve"> bør ikke anvendes til børn (se pkt. 4.2).</w:t>
      </w:r>
    </w:p>
    <w:p w:rsidR="00D2028E" w:rsidRPr="003C2BEF" w:rsidRDefault="00D2028E" w:rsidP="00D2028E">
      <w:pPr>
        <w:tabs>
          <w:tab w:val="left" w:pos="851"/>
        </w:tabs>
        <w:rPr>
          <w:sz w:val="24"/>
          <w:szCs w:val="24"/>
        </w:rPr>
      </w:pPr>
    </w:p>
    <w:p w:rsidR="00D2028E" w:rsidRPr="003C2BEF" w:rsidRDefault="00D2028E" w:rsidP="00D2028E">
      <w:pPr>
        <w:tabs>
          <w:tab w:val="left" w:pos="851"/>
        </w:tabs>
        <w:ind w:left="851" w:hanging="851"/>
        <w:rPr>
          <w:b/>
          <w:sz w:val="24"/>
          <w:szCs w:val="24"/>
        </w:rPr>
      </w:pPr>
      <w:r w:rsidRPr="003C2BEF">
        <w:rPr>
          <w:b/>
          <w:sz w:val="24"/>
          <w:szCs w:val="24"/>
        </w:rPr>
        <w:t>4.5</w:t>
      </w:r>
      <w:r w:rsidRPr="003C2BEF">
        <w:rPr>
          <w:b/>
          <w:sz w:val="24"/>
          <w:szCs w:val="24"/>
        </w:rPr>
        <w:tab/>
        <w:t>Interaktion med andre lægemidler og andre former for interaktion</w:t>
      </w:r>
    </w:p>
    <w:p w:rsidR="00D2028E" w:rsidRPr="00D71B15" w:rsidRDefault="00D2028E" w:rsidP="00D2028E">
      <w:pPr>
        <w:ind w:left="851"/>
        <w:rPr>
          <w:sz w:val="24"/>
          <w:szCs w:val="24"/>
          <w:lang w:eastAsia="da-DK"/>
        </w:rPr>
      </w:pPr>
      <w:r w:rsidRPr="00D71B15">
        <w:rPr>
          <w:sz w:val="24"/>
          <w:szCs w:val="24"/>
          <w:lang w:eastAsia="da-DK"/>
        </w:rPr>
        <w:t>Samtidig brug af yderligere beta</w:t>
      </w:r>
      <w:r w:rsidRPr="00D71B15">
        <w:rPr>
          <w:sz w:val="24"/>
          <w:szCs w:val="24"/>
          <w:vertAlign w:val="subscript"/>
          <w:lang w:eastAsia="da-DK"/>
        </w:rPr>
        <w:t>2</w:t>
      </w:r>
      <w:r w:rsidRPr="00D71B15">
        <w:rPr>
          <w:sz w:val="24"/>
          <w:szCs w:val="24"/>
          <w:lang w:eastAsia="da-DK"/>
        </w:rPr>
        <w:t xml:space="preserve">-agonister, </w:t>
      </w:r>
      <w:proofErr w:type="spellStart"/>
      <w:r w:rsidRPr="00D71B15">
        <w:rPr>
          <w:sz w:val="24"/>
          <w:szCs w:val="24"/>
          <w:lang w:eastAsia="da-DK"/>
        </w:rPr>
        <w:t>kortikosteroider</w:t>
      </w:r>
      <w:proofErr w:type="spellEnd"/>
      <w:r w:rsidRPr="00D71B15">
        <w:rPr>
          <w:sz w:val="24"/>
          <w:szCs w:val="24"/>
          <w:lang w:eastAsia="da-DK"/>
        </w:rPr>
        <w:t xml:space="preserve">, </w:t>
      </w:r>
      <w:proofErr w:type="spellStart"/>
      <w:r w:rsidRPr="00D71B15">
        <w:rPr>
          <w:sz w:val="24"/>
          <w:szCs w:val="24"/>
          <w:lang w:eastAsia="da-DK"/>
        </w:rPr>
        <w:t>antikolinergika</w:t>
      </w:r>
      <w:proofErr w:type="spellEnd"/>
      <w:r w:rsidRPr="00D71B15">
        <w:rPr>
          <w:sz w:val="24"/>
          <w:szCs w:val="24"/>
          <w:lang w:eastAsia="da-DK"/>
        </w:rPr>
        <w:t xml:space="preserve"> og </w:t>
      </w:r>
      <w:proofErr w:type="spellStart"/>
      <w:r w:rsidRPr="00D71B15">
        <w:rPr>
          <w:sz w:val="24"/>
          <w:szCs w:val="24"/>
          <w:lang w:eastAsia="da-DK"/>
        </w:rPr>
        <w:t>xanthinderivater</w:t>
      </w:r>
      <w:proofErr w:type="spellEnd"/>
      <w:r w:rsidRPr="00D71B15">
        <w:rPr>
          <w:sz w:val="24"/>
          <w:szCs w:val="24"/>
          <w:lang w:eastAsia="da-DK"/>
        </w:rPr>
        <w:t xml:space="preserve"> (f.eks. </w:t>
      </w:r>
      <w:proofErr w:type="spellStart"/>
      <w:r w:rsidRPr="00D71B15">
        <w:rPr>
          <w:sz w:val="24"/>
          <w:szCs w:val="24"/>
          <w:lang w:eastAsia="da-DK"/>
        </w:rPr>
        <w:t>theophyllin</w:t>
      </w:r>
      <w:proofErr w:type="spellEnd"/>
      <w:r w:rsidRPr="00D71B15">
        <w:rPr>
          <w:sz w:val="24"/>
          <w:szCs w:val="24"/>
          <w:lang w:eastAsia="da-DK"/>
        </w:rPr>
        <w:t xml:space="preserve">) kan forstærke </w:t>
      </w:r>
      <w:proofErr w:type="spellStart"/>
      <w:r>
        <w:rPr>
          <w:sz w:val="24"/>
          <w:szCs w:val="24"/>
          <w:lang w:eastAsia="da-DK"/>
        </w:rPr>
        <w:t>ipratropiumbromid</w:t>
      </w:r>
      <w:proofErr w:type="spellEnd"/>
      <w:r>
        <w:rPr>
          <w:sz w:val="24"/>
          <w:szCs w:val="24"/>
          <w:lang w:eastAsia="da-DK"/>
        </w:rPr>
        <w:t>/</w:t>
      </w:r>
      <w:proofErr w:type="spellStart"/>
      <w:r>
        <w:rPr>
          <w:sz w:val="24"/>
          <w:szCs w:val="24"/>
          <w:lang w:eastAsia="da-DK"/>
        </w:rPr>
        <w:t>salbutamol</w:t>
      </w:r>
      <w:r w:rsidRPr="00D71B15">
        <w:rPr>
          <w:sz w:val="24"/>
          <w:szCs w:val="24"/>
          <w:lang w:eastAsia="da-DK"/>
        </w:rPr>
        <w:t>s</w:t>
      </w:r>
      <w:proofErr w:type="spellEnd"/>
      <w:r w:rsidRPr="00D71B15">
        <w:rPr>
          <w:sz w:val="24"/>
          <w:szCs w:val="24"/>
          <w:lang w:eastAsia="da-DK"/>
        </w:rPr>
        <w:t xml:space="preserve"> virkning på luftvejsfunktionen og øge sværhedsgraden af bivirkninger. Der kan indtræde </w:t>
      </w:r>
      <w:r w:rsidRPr="00D71B15">
        <w:rPr>
          <w:sz w:val="24"/>
          <w:szCs w:val="24"/>
          <w:lang w:eastAsia="da-DK"/>
        </w:rPr>
        <w:lastRenderedPageBreak/>
        <w:t xml:space="preserve">en potentielt alvorlig nedsættelse af virkningen ved samtidig administration af betablokkere, såsom </w:t>
      </w:r>
      <w:proofErr w:type="spellStart"/>
      <w:r w:rsidRPr="00D71B15">
        <w:rPr>
          <w:sz w:val="24"/>
          <w:szCs w:val="24"/>
          <w:lang w:eastAsia="da-DK"/>
        </w:rPr>
        <w:t>propranolol</w:t>
      </w:r>
      <w:proofErr w:type="spellEnd"/>
      <w:r w:rsidRPr="00D71B15">
        <w:rPr>
          <w:sz w:val="24"/>
          <w:szCs w:val="24"/>
          <w:lang w:eastAsia="da-DK"/>
        </w:rPr>
        <w:t xml:space="preserve">, på grund af en negativ </w:t>
      </w:r>
      <w:proofErr w:type="spellStart"/>
      <w:r w:rsidRPr="00D71B15">
        <w:rPr>
          <w:sz w:val="24"/>
          <w:szCs w:val="24"/>
          <w:lang w:eastAsia="da-DK"/>
        </w:rPr>
        <w:t>farmakodynamisk</w:t>
      </w:r>
      <w:proofErr w:type="spellEnd"/>
      <w:r w:rsidRPr="00D71B15">
        <w:rPr>
          <w:sz w:val="24"/>
          <w:szCs w:val="24"/>
          <w:lang w:eastAsia="da-DK"/>
        </w:rPr>
        <w:t xml:space="preserve"> interaktion med </w:t>
      </w:r>
      <w:proofErr w:type="spellStart"/>
      <w:r w:rsidRPr="00D71B15">
        <w:rPr>
          <w:sz w:val="24"/>
          <w:szCs w:val="24"/>
          <w:lang w:eastAsia="da-DK"/>
        </w:rPr>
        <w:t>salbutamolkomponenten</w:t>
      </w:r>
      <w:proofErr w:type="spellEnd"/>
      <w:r w:rsidRPr="00D71B15">
        <w:rPr>
          <w:sz w:val="24"/>
          <w:szCs w:val="24"/>
          <w:lang w:eastAsia="da-DK"/>
        </w:rPr>
        <w:t>.</w:t>
      </w:r>
    </w:p>
    <w:p w:rsidR="00D2028E" w:rsidRPr="00D71B15" w:rsidRDefault="00D2028E" w:rsidP="00D2028E">
      <w:pPr>
        <w:ind w:left="851"/>
        <w:rPr>
          <w:sz w:val="24"/>
          <w:szCs w:val="24"/>
          <w:lang w:eastAsia="da-DK"/>
        </w:rPr>
      </w:pPr>
    </w:p>
    <w:p w:rsidR="00D2028E" w:rsidRPr="00D71B15" w:rsidRDefault="00D2028E" w:rsidP="00D2028E">
      <w:pPr>
        <w:ind w:left="851"/>
        <w:rPr>
          <w:sz w:val="24"/>
          <w:szCs w:val="24"/>
          <w:lang w:eastAsia="da-DK"/>
        </w:rPr>
      </w:pPr>
      <w:proofErr w:type="spellStart"/>
      <w:r w:rsidRPr="00D71B15">
        <w:rPr>
          <w:sz w:val="24"/>
          <w:szCs w:val="24"/>
          <w:lang w:eastAsia="da-DK"/>
        </w:rPr>
        <w:t>Salbutamol</w:t>
      </w:r>
      <w:proofErr w:type="spellEnd"/>
      <w:r w:rsidRPr="00D71B15">
        <w:rPr>
          <w:sz w:val="24"/>
          <w:szCs w:val="24"/>
          <w:lang w:eastAsia="da-DK"/>
        </w:rPr>
        <w:t xml:space="preserve"> bør administreres med forsigtighed til patienter, der er i behandling med </w:t>
      </w:r>
      <w:proofErr w:type="spellStart"/>
      <w:r w:rsidRPr="00D71B15">
        <w:rPr>
          <w:sz w:val="24"/>
          <w:szCs w:val="24"/>
          <w:lang w:eastAsia="da-DK"/>
        </w:rPr>
        <w:t>monoaminooxidasehæmmere</w:t>
      </w:r>
      <w:proofErr w:type="spellEnd"/>
      <w:r w:rsidRPr="00D71B15">
        <w:rPr>
          <w:sz w:val="24"/>
          <w:szCs w:val="24"/>
          <w:lang w:eastAsia="da-DK"/>
        </w:rPr>
        <w:t xml:space="preserve"> eller tricykliske </w:t>
      </w:r>
      <w:proofErr w:type="spellStart"/>
      <w:r w:rsidRPr="00D71B15">
        <w:rPr>
          <w:sz w:val="24"/>
          <w:szCs w:val="24"/>
          <w:lang w:eastAsia="da-DK"/>
        </w:rPr>
        <w:t>antidepressiva</w:t>
      </w:r>
      <w:proofErr w:type="spellEnd"/>
      <w:r w:rsidRPr="00D71B15">
        <w:rPr>
          <w:sz w:val="24"/>
          <w:szCs w:val="24"/>
          <w:lang w:eastAsia="da-DK"/>
        </w:rPr>
        <w:t xml:space="preserve">, da effekten af </w:t>
      </w:r>
      <w:proofErr w:type="spellStart"/>
      <w:r w:rsidRPr="00D71B15">
        <w:rPr>
          <w:sz w:val="24"/>
          <w:szCs w:val="24"/>
          <w:lang w:eastAsia="da-DK"/>
        </w:rPr>
        <w:t>adrenerge</w:t>
      </w:r>
      <w:proofErr w:type="spellEnd"/>
      <w:r w:rsidRPr="00D71B15">
        <w:rPr>
          <w:sz w:val="24"/>
          <w:szCs w:val="24"/>
          <w:lang w:eastAsia="da-DK"/>
        </w:rPr>
        <w:t xml:space="preserve"> beta</w:t>
      </w:r>
      <w:r w:rsidRPr="00D71B15">
        <w:rPr>
          <w:sz w:val="24"/>
          <w:szCs w:val="24"/>
          <w:vertAlign w:val="subscript"/>
          <w:lang w:eastAsia="da-DK"/>
        </w:rPr>
        <w:t>2</w:t>
      </w:r>
      <w:r w:rsidRPr="00D71B15">
        <w:rPr>
          <w:sz w:val="24"/>
          <w:szCs w:val="24"/>
          <w:lang w:eastAsia="da-DK"/>
        </w:rPr>
        <w:t>-agonister kan blive forstærket.</w:t>
      </w:r>
    </w:p>
    <w:p w:rsidR="00D2028E" w:rsidRPr="00D71B15" w:rsidRDefault="00D2028E" w:rsidP="00D2028E">
      <w:pPr>
        <w:ind w:left="851"/>
        <w:rPr>
          <w:sz w:val="24"/>
          <w:szCs w:val="24"/>
          <w:lang w:eastAsia="da-DK"/>
        </w:rPr>
      </w:pPr>
    </w:p>
    <w:p w:rsidR="00D2028E" w:rsidRPr="00D71B15" w:rsidRDefault="00D2028E" w:rsidP="00D2028E">
      <w:pPr>
        <w:ind w:left="851"/>
        <w:rPr>
          <w:sz w:val="24"/>
          <w:szCs w:val="24"/>
          <w:lang w:eastAsia="da-DK"/>
        </w:rPr>
      </w:pPr>
      <w:r w:rsidRPr="00D71B15">
        <w:rPr>
          <w:sz w:val="24"/>
          <w:szCs w:val="24"/>
          <w:lang w:eastAsia="da-DK"/>
        </w:rPr>
        <w:t xml:space="preserve">Inhalation af </w:t>
      </w:r>
      <w:proofErr w:type="spellStart"/>
      <w:r w:rsidRPr="00D71B15">
        <w:rPr>
          <w:sz w:val="24"/>
          <w:szCs w:val="24"/>
          <w:lang w:eastAsia="da-DK"/>
        </w:rPr>
        <w:t>anæstetika</w:t>
      </w:r>
      <w:proofErr w:type="spellEnd"/>
      <w:r w:rsidRPr="00D71B15">
        <w:rPr>
          <w:sz w:val="24"/>
          <w:szCs w:val="24"/>
          <w:lang w:eastAsia="da-DK"/>
        </w:rPr>
        <w:t xml:space="preserve">, som indeholder </w:t>
      </w:r>
      <w:proofErr w:type="spellStart"/>
      <w:r w:rsidRPr="00D71B15">
        <w:rPr>
          <w:sz w:val="24"/>
          <w:szCs w:val="24"/>
          <w:lang w:eastAsia="da-DK"/>
        </w:rPr>
        <w:t>halogenerede</w:t>
      </w:r>
      <w:proofErr w:type="spellEnd"/>
      <w:r w:rsidRPr="00D71B15">
        <w:rPr>
          <w:sz w:val="24"/>
          <w:szCs w:val="24"/>
          <w:lang w:eastAsia="da-DK"/>
        </w:rPr>
        <w:t xml:space="preserve"> kulbrinter, f.eks. </w:t>
      </w:r>
      <w:proofErr w:type="spellStart"/>
      <w:r w:rsidRPr="00D71B15">
        <w:rPr>
          <w:sz w:val="24"/>
          <w:szCs w:val="24"/>
          <w:lang w:eastAsia="da-DK"/>
        </w:rPr>
        <w:t>halothan</w:t>
      </w:r>
      <w:proofErr w:type="spellEnd"/>
      <w:r w:rsidRPr="00D71B15">
        <w:rPr>
          <w:sz w:val="24"/>
          <w:szCs w:val="24"/>
          <w:lang w:eastAsia="da-DK"/>
        </w:rPr>
        <w:t xml:space="preserve">, </w:t>
      </w:r>
      <w:proofErr w:type="spellStart"/>
      <w:r w:rsidRPr="00D71B15">
        <w:rPr>
          <w:sz w:val="24"/>
          <w:szCs w:val="24"/>
          <w:lang w:eastAsia="da-DK"/>
        </w:rPr>
        <w:t>trichlorethylen</w:t>
      </w:r>
      <w:proofErr w:type="spellEnd"/>
      <w:r w:rsidRPr="00D71B15">
        <w:rPr>
          <w:sz w:val="24"/>
          <w:szCs w:val="24"/>
          <w:lang w:eastAsia="da-DK"/>
        </w:rPr>
        <w:t xml:space="preserve"> og </w:t>
      </w:r>
      <w:proofErr w:type="spellStart"/>
      <w:r w:rsidRPr="00D71B15">
        <w:rPr>
          <w:sz w:val="24"/>
          <w:szCs w:val="24"/>
          <w:lang w:eastAsia="da-DK"/>
        </w:rPr>
        <w:t>enfluran</w:t>
      </w:r>
      <w:proofErr w:type="spellEnd"/>
      <w:r w:rsidRPr="00D71B15">
        <w:rPr>
          <w:sz w:val="24"/>
          <w:szCs w:val="24"/>
          <w:lang w:eastAsia="da-DK"/>
        </w:rPr>
        <w:t xml:space="preserve">, kan øge risikoen for </w:t>
      </w:r>
      <w:proofErr w:type="spellStart"/>
      <w:r w:rsidRPr="00D71B15">
        <w:rPr>
          <w:sz w:val="24"/>
          <w:szCs w:val="24"/>
          <w:lang w:eastAsia="da-DK"/>
        </w:rPr>
        <w:t>kardiovaskulære</w:t>
      </w:r>
      <w:proofErr w:type="spellEnd"/>
      <w:r w:rsidRPr="00D71B15">
        <w:rPr>
          <w:sz w:val="24"/>
          <w:szCs w:val="24"/>
          <w:lang w:eastAsia="da-DK"/>
        </w:rPr>
        <w:t xml:space="preserve"> bivirkninger af beta</w:t>
      </w:r>
      <w:r w:rsidRPr="00D71B15">
        <w:rPr>
          <w:sz w:val="24"/>
          <w:szCs w:val="24"/>
          <w:vertAlign w:val="subscript"/>
          <w:lang w:eastAsia="da-DK"/>
        </w:rPr>
        <w:t>2</w:t>
      </w:r>
      <w:r w:rsidRPr="00D71B15">
        <w:rPr>
          <w:sz w:val="24"/>
          <w:szCs w:val="24"/>
          <w:lang w:eastAsia="da-DK"/>
        </w:rPr>
        <w:t xml:space="preserve">-agonister, og disse bør derfor monitoreres tæt. Alternativt kan det overvejes at seponere </w:t>
      </w:r>
      <w:proofErr w:type="spellStart"/>
      <w:r>
        <w:rPr>
          <w:sz w:val="24"/>
          <w:szCs w:val="24"/>
          <w:lang w:eastAsia="da-DK"/>
        </w:rPr>
        <w:t>ipratropiumbromid</w:t>
      </w:r>
      <w:proofErr w:type="spellEnd"/>
      <w:r>
        <w:rPr>
          <w:sz w:val="24"/>
          <w:szCs w:val="24"/>
          <w:lang w:eastAsia="da-DK"/>
        </w:rPr>
        <w:t>/</w:t>
      </w:r>
      <w:proofErr w:type="spellStart"/>
      <w:r>
        <w:rPr>
          <w:sz w:val="24"/>
          <w:szCs w:val="24"/>
          <w:lang w:eastAsia="da-DK"/>
        </w:rPr>
        <w:t>salbutamol</w:t>
      </w:r>
      <w:proofErr w:type="spellEnd"/>
      <w:r w:rsidRPr="00D71B15">
        <w:rPr>
          <w:sz w:val="24"/>
          <w:szCs w:val="24"/>
          <w:lang w:eastAsia="da-DK"/>
        </w:rPr>
        <w:t xml:space="preserve"> før kirurgiske indgreb.</w:t>
      </w:r>
    </w:p>
    <w:p w:rsidR="00D2028E" w:rsidRPr="00D71B15" w:rsidRDefault="00D2028E" w:rsidP="00D2028E">
      <w:pPr>
        <w:ind w:left="851"/>
        <w:rPr>
          <w:sz w:val="24"/>
          <w:szCs w:val="24"/>
          <w:lang w:eastAsia="da-DK"/>
        </w:rPr>
      </w:pPr>
    </w:p>
    <w:p w:rsidR="00D2028E" w:rsidRPr="00D71B15" w:rsidRDefault="00D2028E" w:rsidP="00D2028E">
      <w:pPr>
        <w:ind w:left="851"/>
        <w:rPr>
          <w:sz w:val="24"/>
          <w:szCs w:val="24"/>
          <w:lang w:eastAsia="da-DK"/>
        </w:rPr>
      </w:pPr>
      <w:r w:rsidRPr="00D71B15">
        <w:rPr>
          <w:sz w:val="24"/>
          <w:szCs w:val="24"/>
          <w:lang w:eastAsia="da-DK"/>
        </w:rPr>
        <w:t>Behandling med beta</w:t>
      </w:r>
      <w:r w:rsidRPr="00D71B15">
        <w:rPr>
          <w:sz w:val="24"/>
          <w:szCs w:val="24"/>
          <w:vertAlign w:val="subscript"/>
          <w:lang w:eastAsia="da-DK"/>
        </w:rPr>
        <w:t>2</w:t>
      </w:r>
      <w:r w:rsidRPr="00D71B15">
        <w:rPr>
          <w:sz w:val="24"/>
          <w:szCs w:val="24"/>
          <w:lang w:eastAsia="da-DK"/>
        </w:rPr>
        <w:t xml:space="preserve">-agonister kan resultere i potentielt alvorlig </w:t>
      </w:r>
      <w:proofErr w:type="spellStart"/>
      <w:r w:rsidRPr="00D71B15">
        <w:rPr>
          <w:sz w:val="24"/>
          <w:szCs w:val="24"/>
          <w:lang w:eastAsia="da-DK"/>
        </w:rPr>
        <w:t>hypokaliæmi</w:t>
      </w:r>
      <w:proofErr w:type="spellEnd"/>
      <w:r w:rsidRPr="00D71B15">
        <w:rPr>
          <w:sz w:val="24"/>
          <w:szCs w:val="24"/>
          <w:lang w:eastAsia="da-DK"/>
        </w:rPr>
        <w:t xml:space="preserve">. Der bør udvises særlig forsigtighed ved svær luftvejsobstruktion, da denne effekt kan forstærkes ved samtidig behandling med </w:t>
      </w:r>
      <w:proofErr w:type="spellStart"/>
      <w:r w:rsidRPr="00D71B15">
        <w:rPr>
          <w:sz w:val="24"/>
          <w:szCs w:val="24"/>
          <w:lang w:eastAsia="da-DK"/>
        </w:rPr>
        <w:t>xanthinderivater</w:t>
      </w:r>
      <w:proofErr w:type="spellEnd"/>
      <w:r w:rsidRPr="00D71B15">
        <w:rPr>
          <w:sz w:val="24"/>
          <w:szCs w:val="24"/>
          <w:lang w:eastAsia="da-DK"/>
        </w:rPr>
        <w:t xml:space="preserve">, </w:t>
      </w:r>
      <w:proofErr w:type="spellStart"/>
      <w:r w:rsidRPr="00D71B15">
        <w:rPr>
          <w:sz w:val="24"/>
          <w:szCs w:val="24"/>
          <w:lang w:eastAsia="da-DK"/>
        </w:rPr>
        <w:t>diuretika</w:t>
      </w:r>
      <w:proofErr w:type="spellEnd"/>
      <w:r w:rsidRPr="00D71B15">
        <w:rPr>
          <w:sz w:val="24"/>
          <w:szCs w:val="24"/>
          <w:lang w:eastAsia="da-DK"/>
        </w:rPr>
        <w:t xml:space="preserve"> og steroider. Der kan forekomme potentielt alvorlige </w:t>
      </w:r>
      <w:proofErr w:type="spellStart"/>
      <w:r w:rsidRPr="00D71B15">
        <w:rPr>
          <w:sz w:val="24"/>
          <w:szCs w:val="24"/>
          <w:lang w:eastAsia="da-DK"/>
        </w:rPr>
        <w:t>arytmier</w:t>
      </w:r>
      <w:proofErr w:type="spellEnd"/>
      <w:r w:rsidRPr="00D71B15">
        <w:rPr>
          <w:sz w:val="24"/>
          <w:szCs w:val="24"/>
          <w:lang w:eastAsia="da-DK"/>
        </w:rPr>
        <w:t xml:space="preserve"> ved samtidig administration af </w:t>
      </w:r>
      <w:proofErr w:type="spellStart"/>
      <w:r w:rsidRPr="00D71B15">
        <w:rPr>
          <w:sz w:val="24"/>
          <w:szCs w:val="24"/>
          <w:lang w:eastAsia="da-DK"/>
        </w:rPr>
        <w:t>digoxin</w:t>
      </w:r>
      <w:proofErr w:type="spellEnd"/>
      <w:r w:rsidRPr="00D71B15">
        <w:rPr>
          <w:sz w:val="24"/>
          <w:szCs w:val="24"/>
          <w:lang w:eastAsia="da-DK"/>
        </w:rPr>
        <w:t xml:space="preserve"> og </w:t>
      </w:r>
      <w:proofErr w:type="spellStart"/>
      <w:r>
        <w:rPr>
          <w:sz w:val="24"/>
          <w:szCs w:val="24"/>
          <w:lang w:eastAsia="da-DK"/>
        </w:rPr>
        <w:t>ipratropiumbromid</w:t>
      </w:r>
      <w:proofErr w:type="spellEnd"/>
      <w:r>
        <w:rPr>
          <w:sz w:val="24"/>
          <w:szCs w:val="24"/>
          <w:lang w:eastAsia="da-DK"/>
        </w:rPr>
        <w:t>/</w:t>
      </w:r>
      <w:proofErr w:type="spellStart"/>
      <w:r>
        <w:rPr>
          <w:sz w:val="24"/>
          <w:szCs w:val="24"/>
          <w:lang w:eastAsia="da-DK"/>
        </w:rPr>
        <w:t>salbutamol</w:t>
      </w:r>
      <w:proofErr w:type="spellEnd"/>
      <w:r>
        <w:rPr>
          <w:sz w:val="24"/>
          <w:szCs w:val="24"/>
          <w:lang w:eastAsia="da-DK"/>
        </w:rPr>
        <w:t xml:space="preserve">. </w:t>
      </w:r>
      <w:proofErr w:type="spellStart"/>
      <w:r w:rsidRPr="00D71B15">
        <w:rPr>
          <w:sz w:val="24"/>
          <w:szCs w:val="24"/>
          <w:lang w:eastAsia="da-DK"/>
        </w:rPr>
        <w:t>Hypokaliæmi</w:t>
      </w:r>
      <w:proofErr w:type="spellEnd"/>
      <w:r w:rsidRPr="00D71B15">
        <w:rPr>
          <w:sz w:val="24"/>
          <w:szCs w:val="24"/>
          <w:lang w:eastAsia="da-DK"/>
        </w:rPr>
        <w:t xml:space="preserve"> øger risikoen for interaktioner, og kaliumniveauerne bør kontrolleres regelmæssigt. </w:t>
      </w:r>
      <w:proofErr w:type="spellStart"/>
      <w:r w:rsidRPr="00D71B15">
        <w:rPr>
          <w:sz w:val="24"/>
          <w:szCs w:val="24"/>
          <w:lang w:eastAsia="da-DK"/>
        </w:rPr>
        <w:t>Hypokaliæmi</w:t>
      </w:r>
      <w:proofErr w:type="spellEnd"/>
      <w:r w:rsidRPr="00D71B15">
        <w:rPr>
          <w:sz w:val="24"/>
          <w:szCs w:val="24"/>
          <w:lang w:eastAsia="da-DK"/>
        </w:rPr>
        <w:t xml:space="preserve"> kan medføre øget risiko for </w:t>
      </w:r>
      <w:proofErr w:type="spellStart"/>
      <w:r w:rsidRPr="00D71B15">
        <w:rPr>
          <w:sz w:val="24"/>
          <w:szCs w:val="24"/>
          <w:lang w:eastAsia="da-DK"/>
        </w:rPr>
        <w:t>arytmier</w:t>
      </w:r>
      <w:proofErr w:type="spellEnd"/>
      <w:r w:rsidRPr="00D71B15">
        <w:rPr>
          <w:sz w:val="24"/>
          <w:szCs w:val="24"/>
          <w:lang w:eastAsia="da-DK"/>
        </w:rPr>
        <w:t xml:space="preserve"> hos patienter i behandling med </w:t>
      </w:r>
      <w:proofErr w:type="spellStart"/>
      <w:r w:rsidRPr="00D71B15">
        <w:rPr>
          <w:sz w:val="24"/>
          <w:szCs w:val="24"/>
          <w:lang w:eastAsia="da-DK"/>
        </w:rPr>
        <w:t>digoxin</w:t>
      </w:r>
      <w:proofErr w:type="spellEnd"/>
      <w:r w:rsidRPr="00D71B15">
        <w:rPr>
          <w:sz w:val="24"/>
          <w:szCs w:val="24"/>
          <w:lang w:eastAsia="da-DK"/>
        </w:rPr>
        <w:t>.</w:t>
      </w:r>
    </w:p>
    <w:p w:rsidR="00D2028E" w:rsidRPr="00D71B15" w:rsidRDefault="00D2028E" w:rsidP="00D2028E">
      <w:pPr>
        <w:ind w:left="851"/>
        <w:rPr>
          <w:sz w:val="24"/>
          <w:szCs w:val="24"/>
          <w:lang w:eastAsia="da-DK"/>
        </w:rPr>
      </w:pPr>
    </w:p>
    <w:p w:rsidR="00D2028E" w:rsidRPr="003C2BEF" w:rsidRDefault="00D2028E" w:rsidP="00D2028E">
      <w:pPr>
        <w:ind w:left="851"/>
        <w:rPr>
          <w:sz w:val="24"/>
          <w:szCs w:val="24"/>
          <w:lang w:eastAsia="da-DK"/>
        </w:rPr>
      </w:pPr>
      <w:r w:rsidRPr="00D71B15">
        <w:rPr>
          <w:sz w:val="24"/>
          <w:szCs w:val="24"/>
          <w:lang w:eastAsia="da-DK"/>
        </w:rPr>
        <w:t xml:space="preserve">Virkningen af andre </w:t>
      </w:r>
      <w:proofErr w:type="spellStart"/>
      <w:r w:rsidRPr="00D71B15">
        <w:rPr>
          <w:sz w:val="24"/>
          <w:szCs w:val="24"/>
          <w:lang w:eastAsia="da-DK"/>
        </w:rPr>
        <w:t>antikolinergika</w:t>
      </w:r>
      <w:proofErr w:type="spellEnd"/>
      <w:r w:rsidRPr="00D71B15">
        <w:rPr>
          <w:sz w:val="24"/>
          <w:szCs w:val="24"/>
          <w:lang w:eastAsia="da-DK"/>
        </w:rPr>
        <w:t xml:space="preserve"> kan blive forstærket.</w:t>
      </w:r>
    </w:p>
    <w:p w:rsidR="00D2028E" w:rsidRPr="003C2BEF" w:rsidRDefault="00D2028E" w:rsidP="00D2028E">
      <w:pPr>
        <w:tabs>
          <w:tab w:val="left" w:pos="851"/>
        </w:tabs>
        <w:rPr>
          <w:sz w:val="24"/>
          <w:szCs w:val="24"/>
        </w:rPr>
      </w:pPr>
    </w:p>
    <w:p w:rsidR="00D2028E" w:rsidRPr="003C2BEF" w:rsidRDefault="00D2028E" w:rsidP="00D2028E">
      <w:pPr>
        <w:tabs>
          <w:tab w:val="left" w:pos="851"/>
        </w:tabs>
        <w:ind w:left="851" w:hanging="851"/>
        <w:rPr>
          <w:b/>
          <w:sz w:val="24"/>
          <w:szCs w:val="24"/>
        </w:rPr>
      </w:pPr>
      <w:r w:rsidRPr="003C2BEF">
        <w:rPr>
          <w:b/>
          <w:sz w:val="24"/>
          <w:szCs w:val="24"/>
        </w:rPr>
        <w:t>4.6</w:t>
      </w:r>
      <w:r w:rsidRPr="003C2BEF">
        <w:rPr>
          <w:b/>
          <w:sz w:val="24"/>
          <w:szCs w:val="24"/>
        </w:rPr>
        <w:tab/>
      </w:r>
      <w:r w:rsidR="005E26FB">
        <w:rPr>
          <w:b/>
          <w:sz w:val="24"/>
          <w:szCs w:val="24"/>
        </w:rPr>
        <w:t>Fertilitet, g</w:t>
      </w:r>
      <w:r w:rsidRPr="003C2BEF">
        <w:rPr>
          <w:b/>
          <w:sz w:val="24"/>
          <w:szCs w:val="24"/>
        </w:rPr>
        <w:t>raviditet og amning</w:t>
      </w:r>
    </w:p>
    <w:p w:rsidR="00D2028E" w:rsidRPr="00D71B15" w:rsidRDefault="00D2028E" w:rsidP="00D2028E">
      <w:pPr>
        <w:ind w:left="851"/>
        <w:rPr>
          <w:sz w:val="24"/>
          <w:szCs w:val="24"/>
          <w:u w:val="single"/>
          <w:lang w:eastAsia="da-DK"/>
        </w:rPr>
      </w:pPr>
      <w:r w:rsidRPr="00D71B15">
        <w:rPr>
          <w:sz w:val="24"/>
          <w:szCs w:val="24"/>
          <w:u w:val="single"/>
          <w:lang w:eastAsia="da-DK"/>
        </w:rPr>
        <w:t>Fertilitet</w:t>
      </w:r>
    </w:p>
    <w:p w:rsidR="00D2028E" w:rsidRPr="00D71B15" w:rsidRDefault="00D2028E" w:rsidP="00D2028E">
      <w:pPr>
        <w:ind w:left="851"/>
        <w:rPr>
          <w:sz w:val="24"/>
          <w:szCs w:val="24"/>
          <w:lang w:eastAsia="da-DK"/>
        </w:rPr>
      </w:pPr>
      <w:r w:rsidRPr="00D71B15">
        <w:rPr>
          <w:sz w:val="24"/>
          <w:szCs w:val="24"/>
          <w:lang w:eastAsia="da-DK"/>
        </w:rPr>
        <w:t xml:space="preserve">Der er ikke udført studier af </w:t>
      </w:r>
      <w:proofErr w:type="spellStart"/>
      <w:r>
        <w:rPr>
          <w:sz w:val="24"/>
          <w:szCs w:val="24"/>
          <w:lang w:eastAsia="da-DK"/>
        </w:rPr>
        <w:t>ipratropiumbromid</w:t>
      </w:r>
      <w:proofErr w:type="spellEnd"/>
      <w:r>
        <w:rPr>
          <w:sz w:val="24"/>
          <w:szCs w:val="24"/>
          <w:lang w:eastAsia="da-DK"/>
        </w:rPr>
        <w:t>/</w:t>
      </w:r>
      <w:proofErr w:type="spellStart"/>
      <w:r>
        <w:rPr>
          <w:sz w:val="24"/>
          <w:szCs w:val="24"/>
          <w:lang w:eastAsia="da-DK"/>
        </w:rPr>
        <w:t>salbutamol</w:t>
      </w:r>
      <w:r w:rsidRPr="00D71B15">
        <w:rPr>
          <w:sz w:val="24"/>
          <w:szCs w:val="24"/>
          <w:lang w:eastAsia="da-DK"/>
        </w:rPr>
        <w:t>s</w:t>
      </w:r>
      <w:proofErr w:type="spellEnd"/>
      <w:r w:rsidRPr="00D71B15">
        <w:rPr>
          <w:sz w:val="24"/>
          <w:szCs w:val="24"/>
          <w:lang w:eastAsia="da-DK"/>
        </w:rPr>
        <w:t xml:space="preserve"> virkning på fertiliteten hos mennesker. Dyreforsøg viser ingen særlig risiko for mennesker vurderet ud fra konventionelle studier af reproduktionstoksicitet (se pkt. 5.3).</w:t>
      </w:r>
    </w:p>
    <w:p w:rsidR="00D2028E" w:rsidRPr="00D36C1D" w:rsidRDefault="00D2028E" w:rsidP="00D2028E">
      <w:pPr>
        <w:tabs>
          <w:tab w:val="left" w:pos="851"/>
        </w:tabs>
        <w:ind w:left="851" w:hanging="851"/>
        <w:rPr>
          <w:sz w:val="24"/>
          <w:szCs w:val="24"/>
        </w:rPr>
      </w:pPr>
      <w:r w:rsidRPr="003C2BEF">
        <w:rPr>
          <w:sz w:val="24"/>
          <w:szCs w:val="24"/>
        </w:rPr>
        <w:tab/>
      </w:r>
    </w:p>
    <w:p w:rsidR="00D2028E" w:rsidRPr="00D71B15" w:rsidRDefault="00D2028E" w:rsidP="00D2028E">
      <w:pPr>
        <w:ind w:left="851"/>
        <w:rPr>
          <w:sz w:val="24"/>
          <w:szCs w:val="24"/>
          <w:u w:val="single"/>
          <w:lang w:eastAsia="da-DK"/>
        </w:rPr>
      </w:pPr>
      <w:r w:rsidRPr="00D71B15">
        <w:rPr>
          <w:sz w:val="24"/>
          <w:szCs w:val="24"/>
          <w:u w:val="single"/>
          <w:lang w:eastAsia="da-DK"/>
        </w:rPr>
        <w:t>Graviditet</w:t>
      </w:r>
    </w:p>
    <w:p w:rsidR="00D2028E" w:rsidRPr="00D71B15" w:rsidRDefault="00D2028E" w:rsidP="00D2028E">
      <w:pPr>
        <w:ind w:left="851"/>
        <w:rPr>
          <w:sz w:val="24"/>
          <w:szCs w:val="24"/>
          <w:lang w:eastAsia="da-DK"/>
        </w:rPr>
      </w:pPr>
      <w:r w:rsidRPr="00D71B15">
        <w:rPr>
          <w:sz w:val="24"/>
          <w:szCs w:val="24"/>
          <w:lang w:eastAsia="da-DK"/>
        </w:rPr>
        <w:t xml:space="preserve">Der er utilstrækkelige data fra samtidig anvendelse af </w:t>
      </w:r>
      <w:proofErr w:type="spellStart"/>
      <w:r w:rsidRPr="00D71B15">
        <w:rPr>
          <w:sz w:val="24"/>
          <w:szCs w:val="24"/>
          <w:lang w:eastAsia="da-DK"/>
        </w:rPr>
        <w:t>ipratropiumbromid</w:t>
      </w:r>
      <w:proofErr w:type="spellEnd"/>
      <w:r w:rsidRPr="00D71B15">
        <w:rPr>
          <w:sz w:val="24"/>
          <w:szCs w:val="24"/>
          <w:lang w:eastAsia="da-DK"/>
        </w:rPr>
        <w:t xml:space="preserve"> og </w:t>
      </w:r>
      <w:proofErr w:type="spellStart"/>
      <w:r w:rsidRPr="00D71B15">
        <w:rPr>
          <w:sz w:val="24"/>
          <w:szCs w:val="24"/>
          <w:lang w:eastAsia="da-DK"/>
        </w:rPr>
        <w:t>salbutamol</w:t>
      </w:r>
      <w:proofErr w:type="spellEnd"/>
      <w:r w:rsidRPr="00D71B15">
        <w:rPr>
          <w:sz w:val="24"/>
          <w:szCs w:val="24"/>
          <w:lang w:eastAsia="da-DK"/>
        </w:rPr>
        <w:t xml:space="preserve"> til gravide kvinder (i de tidlige stadier af graviditeten). I dyreforsøg er der set evidens for skadelige virkninger på fosteret ved meget høje dosisniveauer. Den potentielle risiko for </w:t>
      </w:r>
      <w:r>
        <w:rPr>
          <w:sz w:val="24"/>
          <w:szCs w:val="24"/>
          <w:lang w:eastAsia="da-DK"/>
        </w:rPr>
        <w:t xml:space="preserve">et </w:t>
      </w:r>
      <w:r w:rsidRPr="00D71B15">
        <w:rPr>
          <w:sz w:val="24"/>
          <w:szCs w:val="24"/>
          <w:lang w:eastAsia="da-DK"/>
        </w:rPr>
        <w:t>menneske</w:t>
      </w:r>
      <w:r>
        <w:rPr>
          <w:sz w:val="24"/>
          <w:szCs w:val="24"/>
          <w:lang w:eastAsia="da-DK"/>
        </w:rPr>
        <w:t>foster er ukendt</w:t>
      </w:r>
      <w:r w:rsidRPr="00D71B15">
        <w:rPr>
          <w:sz w:val="24"/>
          <w:szCs w:val="24"/>
          <w:lang w:eastAsia="da-DK"/>
        </w:rPr>
        <w:t xml:space="preserve">. </w:t>
      </w:r>
      <w:proofErr w:type="spellStart"/>
      <w:r>
        <w:rPr>
          <w:sz w:val="24"/>
          <w:szCs w:val="24"/>
          <w:lang w:eastAsia="da-DK"/>
        </w:rPr>
        <w:t>Ipratropiumbromid</w:t>
      </w:r>
      <w:proofErr w:type="spellEnd"/>
      <w:r>
        <w:rPr>
          <w:sz w:val="24"/>
          <w:szCs w:val="24"/>
          <w:lang w:eastAsia="da-DK"/>
        </w:rPr>
        <w:t>/</w:t>
      </w:r>
      <w:proofErr w:type="spellStart"/>
      <w:r>
        <w:rPr>
          <w:sz w:val="24"/>
          <w:szCs w:val="24"/>
          <w:lang w:eastAsia="da-DK"/>
        </w:rPr>
        <w:t>salbutamol</w:t>
      </w:r>
      <w:proofErr w:type="spellEnd"/>
      <w:r w:rsidRPr="00D71B15">
        <w:rPr>
          <w:sz w:val="24"/>
          <w:szCs w:val="24"/>
          <w:lang w:eastAsia="da-DK"/>
        </w:rPr>
        <w:t xml:space="preserve"> bør kun anvendes under graviditet på tvingende indikation, og der bør udvises forsigtighed ved ordination til gravide kvinder (særligt i første trimester).</w:t>
      </w:r>
    </w:p>
    <w:p w:rsidR="00D2028E" w:rsidRDefault="00D2028E" w:rsidP="00D2028E">
      <w:pPr>
        <w:ind w:left="851"/>
        <w:rPr>
          <w:sz w:val="24"/>
          <w:szCs w:val="24"/>
          <w:lang w:eastAsia="da-DK"/>
        </w:rPr>
      </w:pPr>
    </w:p>
    <w:p w:rsidR="00D2028E" w:rsidRPr="00D71B15" w:rsidRDefault="00D2028E" w:rsidP="00D2028E">
      <w:pPr>
        <w:ind w:left="851"/>
        <w:rPr>
          <w:i/>
          <w:sz w:val="24"/>
          <w:szCs w:val="24"/>
          <w:lang w:eastAsia="da-DK"/>
        </w:rPr>
      </w:pPr>
      <w:proofErr w:type="spellStart"/>
      <w:r w:rsidRPr="00D71B15">
        <w:rPr>
          <w:i/>
          <w:sz w:val="24"/>
          <w:szCs w:val="24"/>
          <w:lang w:eastAsia="da-DK"/>
        </w:rPr>
        <w:t>Salbutamol</w:t>
      </w:r>
      <w:proofErr w:type="spellEnd"/>
    </w:p>
    <w:p w:rsidR="00D2028E" w:rsidRPr="00D71B15" w:rsidRDefault="00D2028E" w:rsidP="00D2028E">
      <w:pPr>
        <w:ind w:left="851"/>
        <w:rPr>
          <w:sz w:val="24"/>
          <w:szCs w:val="24"/>
          <w:lang w:eastAsia="da-DK"/>
        </w:rPr>
      </w:pPr>
      <w:r w:rsidRPr="00D71B15">
        <w:rPr>
          <w:sz w:val="24"/>
          <w:szCs w:val="24"/>
          <w:lang w:eastAsia="da-DK"/>
        </w:rPr>
        <w:t xml:space="preserve">Erfaringen med brug af beta-agonister i den tidlige graviditet tyder på, at der ikke er nogen skadelige virkninger ved brug af de almindeligt anvendte doser ved inhalationsbehandling. Høje systemiske doser i slutningen af graviditeten kan forårsage </w:t>
      </w:r>
      <w:proofErr w:type="spellStart"/>
      <w:r w:rsidRPr="00D71B15">
        <w:rPr>
          <w:sz w:val="24"/>
          <w:szCs w:val="24"/>
          <w:lang w:eastAsia="da-DK"/>
        </w:rPr>
        <w:t>vehæmning</w:t>
      </w:r>
      <w:proofErr w:type="spellEnd"/>
      <w:r w:rsidRPr="00D71B15">
        <w:rPr>
          <w:sz w:val="24"/>
          <w:szCs w:val="24"/>
          <w:lang w:eastAsia="da-DK"/>
        </w:rPr>
        <w:t xml:space="preserve"> og beta</w:t>
      </w:r>
      <w:r w:rsidRPr="00D71B15">
        <w:rPr>
          <w:sz w:val="24"/>
          <w:szCs w:val="24"/>
          <w:vertAlign w:val="subscript"/>
          <w:lang w:eastAsia="da-DK"/>
        </w:rPr>
        <w:t>2</w:t>
      </w:r>
      <w:r w:rsidRPr="00D71B15">
        <w:rPr>
          <w:sz w:val="24"/>
          <w:szCs w:val="24"/>
          <w:lang w:eastAsia="da-DK"/>
        </w:rPr>
        <w:t xml:space="preserve">-specifikke reaktioner såsom </w:t>
      </w:r>
      <w:proofErr w:type="spellStart"/>
      <w:r w:rsidRPr="00D71B15">
        <w:rPr>
          <w:sz w:val="24"/>
          <w:szCs w:val="24"/>
          <w:lang w:eastAsia="da-DK"/>
        </w:rPr>
        <w:t>takykardi</w:t>
      </w:r>
      <w:proofErr w:type="spellEnd"/>
      <w:r w:rsidRPr="00D71B15">
        <w:rPr>
          <w:sz w:val="24"/>
          <w:szCs w:val="24"/>
          <w:lang w:eastAsia="da-DK"/>
        </w:rPr>
        <w:t xml:space="preserve"> og hypoglykæmi hos fostret/det nyfødte barn. Disse bivirkninger forventes ikke at indtræde ved inhalationsbehandling med de anbefalede doser i slutningen af graviditeten. </w:t>
      </w:r>
    </w:p>
    <w:p w:rsidR="00D2028E" w:rsidRPr="00D36C1D" w:rsidRDefault="00D2028E" w:rsidP="00D2028E">
      <w:pPr>
        <w:ind w:left="851"/>
        <w:rPr>
          <w:sz w:val="24"/>
          <w:szCs w:val="24"/>
          <w:lang w:eastAsia="da-DK"/>
        </w:rPr>
      </w:pPr>
    </w:p>
    <w:p w:rsidR="00D2028E" w:rsidRPr="00D71B15" w:rsidRDefault="00D2028E" w:rsidP="00D2028E">
      <w:pPr>
        <w:ind w:left="851"/>
        <w:rPr>
          <w:i/>
          <w:sz w:val="24"/>
          <w:szCs w:val="24"/>
          <w:lang w:eastAsia="da-DK"/>
        </w:rPr>
      </w:pPr>
      <w:proofErr w:type="spellStart"/>
      <w:r w:rsidRPr="00D71B15">
        <w:rPr>
          <w:i/>
          <w:sz w:val="24"/>
          <w:szCs w:val="24"/>
          <w:lang w:eastAsia="da-DK"/>
        </w:rPr>
        <w:t>Ipratropiumbromid</w:t>
      </w:r>
      <w:proofErr w:type="spellEnd"/>
    </w:p>
    <w:p w:rsidR="00D2028E" w:rsidRPr="00D71B15" w:rsidRDefault="00D2028E" w:rsidP="00D2028E">
      <w:pPr>
        <w:ind w:left="851"/>
        <w:rPr>
          <w:sz w:val="24"/>
          <w:szCs w:val="24"/>
          <w:lang w:eastAsia="da-DK"/>
        </w:rPr>
      </w:pPr>
      <w:r w:rsidRPr="00D71B15">
        <w:rPr>
          <w:sz w:val="24"/>
          <w:szCs w:val="24"/>
          <w:lang w:eastAsia="da-DK"/>
        </w:rPr>
        <w:t xml:space="preserve">Der foreligger ingen data vedrørende brug under graviditeten hos mennesker. Dyreforsøg indikerer hverken direkte eller indirekte skadelige virkninger i drægtighedsperioden. Den potentielle risiko for mennesker kendes ikke. </w:t>
      </w:r>
    </w:p>
    <w:p w:rsidR="00D2028E" w:rsidRPr="00D71B15" w:rsidRDefault="00D2028E" w:rsidP="00D2028E">
      <w:pPr>
        <w:ind w:left="851"/>
        <w:rPr>
          <w:sz w:val="24"/>
          <w:szCs w:val="24"/>
          <w:lang w:eastAsia="da-DK"/>
        </w:rPr>
      </w:pPr>
    </w:p>
    <w:p w:rsidR="00D2028E" w:rsidRPr="00D71B15" w:rsidRDefault="00D2028E" w:rsidP="005E26FB">
      <w:pPr>
        <w:keepNext/>
        <w:ind w:left="851"/>
        <w:rPr>
          <w:sz w:val="24"/>
          <w:szCs w:val="24"/>
          <w:u w:val="single"/>
          <w:lang w:eastAsia="da-DK"/>
        </w:rPr>
      </w:pPr>
      <w:r w:rsidRPr="00D71B15">
        <w:rPr>
          <w:sz w:val="24"/>
          <w:szCs w:val="24"/>
          <w:u w:val="single"/>
          <w:lang w:eastAsia="da-DK"/>
        </w:rPr>
        <w:lastRenderedPageBreak/>
        <w:t xml:space="preserve">Amning </w:t>
      </w:r>
    </w:p>
    <w:p w:rsidR="00D2028E" w:rsidRPr="00F112CA" w:rsidRDefault="00D2028E" w:rsidP="00D2028E">
      <w:pPr>
        <w:ind w:left="851"/>
        <w:rPr>
          <w:sz w:val="24"/>
          <w:szCs w:val="24"/>
          <w:lang w:eastAsia="da-DK"/>
        </w:rPr>
      </w:pPr>
      <w:proofErr w:type="spellStart"/>
      <w:r w:rsidRPr="00D71B15">
        <w:rPr>
          <w:sz w:val="24"/>
          <w:szCs w:val="24"/>
          <w:lang w:eastAsia="da-DK"/>
        </w:rPr>
        <w:t>Salbutamol</w:t>
      </w:r>
      <w:proofErr w:type="spellEnd"/>
      <w:r w:rsidRPr="00D71B15">
        <w:rPr>
          <w:sz w:val="24"/>
          <w:szCs w:val="24"/>
          <w:lang w:eastAsia="da-DK"/>
        </w:rPr>
        <w:t xml:space="preserve"> kan anvendes under amning. Det vides ikke i hvilket omfang, </w:t>
      </w:r>
      <w:proofErr w:type="spellStart"/>
      <w:r w:rsidRPr="00D71B15">
        <w:rPr>
          <w:sz w:val="24"/>
          <w:szCs w:val="24"/>
          <w:lang w:eastAsia="da-DK"/>
        </w:rPr>
        <w:t>ipratropiumbromid</w:t>
      </w:r>
      <w:proofErr w:type="spellEnd"/>
      <w:r w:rsidRPr="00D71B15">
        <w:rPr>
          <w:sz w:val="24"/>
          <w:szCs w:val="24"/>
          <w:lang w:eastAsia="da-DK"/>
        </w:rPr>
        <w:t xml:space="preserve"> udskilles i modermælken. Baseret på stoffets </w:t>
      </w:r>
      <w:proofErr w:type="spellStart"/>
      <w:r w:rsidRPr="00D71B15">
        <w:rPr>
          <w:sz w:val="24"/>
          <w:szCs w:val="24"/>
          <w:lang w:eastAsia="da-DK"/>
        </w:rPr>
        <w:t>farmakokinetiske</w:t>
      </w:r>
      <w:proofErr w:type="spellEnd"/>
      <w:r w:rsidRPr="00D71B15">
        <w:rPr>
          <w:sz w:val="24"/>
          <w:szCs w:val="24"/>
          <w:lang w:eastAsia="da-DK"/>
        </w:rPr>
        <w:t xml:space="preserve"> egenskaber er det dog usandsynligt, at der udskilles store mængder i mælken. </w:t>
      </w:r>
      <w:r w:rsidRPr="00F112CA">
        <w:rPr>
          <w:color w:val="222222"/>
          <w:sz w:val="24"/>
          <w:szCs w:val="24"/>
        </w:rPr>
        <w:t xml:space="preserve">En beslutning om, hvorvidt man skal fortsætte/afbryde amning eller fortsætte/afbryde behandlingen med </w:t>
      </w:r>
      <w:proofErr w:type="spellStart"/>
      <w:r>
        <w:rPr>
          <w:color w:val="222222"/>
          <w:sz w:val="24"/>
          <w:szCs w:val="24"/>
        </w:rPr>
        <w:t>i</w:t>
      </w:r>
      <w:r w:rsidRPr="00F112CA">
        <w:rPr>
          <w:color w:val="222222"/>
          <w:sz w:val="24"/>
          <w:szCs w:val="24"/>
        </w:rPr>
        <w:t>p</w:t>
      </w:r>
      <w:r w:rsidR="005E26FB">
        <w:rPr>
          <w:color w:val="222222"/>
          <w:sz w:val="24"/>
          <w:szCs w:val="24"/>
        </w:rPr>
        <w:t>r</w:t>
      </w:r>
      <w:r w:rsidRPr="00F112CA">
        <w:rPr>
          <w:color w:val="222222"/>
          <w:sz w:val="24"/>
          <w:szCs w:val="24"/>
        </w:rPr>
        <w:t>atropiumbromid</w:t>
      </w:r>
      <w:proofErr w:type="spellEnd"/>
      <w:r w:rsidRPr="00F112CA">
        <w:rPr>
          <w:color w:val="222222"/>
          <w:sz w:val="24"/>
          <w:szCs w:val="24"/>
        </w:rPr>
        <w:t>/</w:t>
      </w:r>
      <w:proofErr w:type="spellStart"/>
      <w:r w:rsidRPr="00F112CA">
        <w:rPr>
          <w:color w:val="222222"/>
          <w:sz w:val="24"/>
          <w:szCs w:val="24"/>
        </w:rPr>
        <w:t>salbutamol</w:t>
      </w:r>
      <w:proofErr w:type="spellEnd"/>
      <w:r w:rsidRPr="00F112CA">
        <w:rPr>
          <w:color w:val="222222"/>
          <w:sz w:val="24"/>
          <w:szCs w:val="24"/>
        </w:rPr>
        <w:t xml:space="preserve"> bør foretages under hensyntagen til fordelene ved amning til barnet og fordelene ved behandling med </w:t>
      </w:r>
      <w:proofErr w:type="spellStart"/>
      <w:r>
        <w:rPr>
          <w:color w:val="222222"/>
          <w:sz w:val="24"/>
          <w:szCs w:val="24"/>
        </w:rPr>
        <w:t>i</w:t>
      </w:r>
      <w:r w:rsidRPr="00F112CA">
        <w:rPr>
          <w:color w:val="222222"/>
          <w:sz w:val="24"/>
          <w:szCs w:val="24"/>
        </w:rPr>
        <w:t>p</w:t>
      </w:r>
      <w:r w:rsidR="005E26FB">
        <w:rPr>
          <w:color w:val="222222"/>
          <w:sz w:val="24"/>
          <w:szCs w:val="24"/>
        </w:rPr>
        <w:t>r</w:t>
      </w:r>
      <w:r w:rsidRPr="00F112CA">
        <w:rPr>
          <w:color w:val="222222"/>
          <w:sz w:val="24"/>
          <w:szCs w:val="24"/>
        </w:rPr>
        <w:t>atropium</w:t>
      </w:r>
      <w:r>
        <w:rPr>
          <w:color w:val="222222"/>
          <w:sz w:val="24"/>
          <w:szCs w:val="24"/>
        </w:rPr>
        <w:t>bromid</w:t>
      </w:r>
      <w:proofErr w:type="spellEnd"/>
      <w:r w:rsidRPr="00F112CA">
        <w:rPr>
          <w:color w:val="222222"/>
          <w:sz w:val="24"/>
          <w:szCs w:val="24"/>
        </w:rPr>
        <w:t>/</w:t>
      </w:r>
      <w:proofErr w:type="spellStart"/>
      <w:r>
        <w:rPr>
          <w:color w:val="222222"/>
          <w:sz w:val="24"/>
          <w:szCs w:val="24"/>
        </w:rPr>
        <w:t>s</w:t>
      </w:r>
      <w:r w:rsidRPr="00F112CA">
        <w:rPr>
          <w:color w:val="222222"/>
          <w:sz w:val="24"/>
          <w:szCs w:val="24"/>
        </w:rPr>
        <w:t>albutamol</w:t>
      </w:r>
      <w:proofErr w:type="spellEnd"/>
      <w:r w:rsidRPr="00F112CA">
        <w:rPr>
          <w:color w:val="222222"/>
          <w:sz w:val="24"/>
          <w:szCs w:val="24"/>
        </w:rPr>
        <w:t xml:space="preserve"> til kvinden.</w:t>
      </w:r>
    </w:p>
    <w:p w:rsidR="00D2028E" w:rsidRPr="003C2BEF" w:rsidRDefault="00D2028E" w:rsidP="00D2028E">
      <w:pPr>
        <w:tabs>
          <w:tab w:val="left" w:pos="851"/>
        </w:tabs>
        <w:rPr>
          <w:sz w:val="24"/>
          <w:szCs w:val="24"/>
        </w:rPr>
      </w:pPr>
    </w:p>
    <w:p w:rsidR="00D2028E" w:rsidRPr="003C2BEF" w:rsidRDefault="00D2028E" w:rsidP="00D2028E">
      <w:pPr>
        <w:tabs>
          <w:tab w:val="left" w:pos="851"/>
        </w:tabs>
        <w:ind w:left="851" w:hanging="851"/>
        <w:rPr>
          <w:b/>
          <w:sz w:val="24"/>
          <w:szCs w:val="24"/>
        </w:rPr>
      </w:pPr>
      <w:r w:rsidRPr="003C2BEF">
        <w:rPr>
          <w:b/>
          <w:sz w:val="24"/>
          <w:szCs w:val="24"/>
        </w:rPr>
        <w:t>4.7</w:t>
      </w:r>
      <w:r w:rsidRPr="003C2BEF">
        <w:rPr>
          <w:b/>
          <w:sz w:val="24"/>
          <w:szCs w:val="24"/>
        </w:rPr>
        <w:tab/>
        <w:t>Virkninger på evnen til at føre motorkøretøj eller betjene maskiner</w:t>
      </w:r>
    </w:p>
    <w:p w:rsidR="00D2028E" w:rsidRDefault="00D2028E" w:rsidP="00D2028E">
      <w:pPr>
        <w:ind w:left="851"/>
        <w:rPr>
          <w:sz w:val="24"/>
          <w:szCs w:val="24"/>
          <w:lang w:eastAsia="da-DK"/>
        </w:rPr>
      </w:pPr>
      <w:r>
        <w:rPr>
          <w:sz w:val="24"/>
          <w:szCs w:val="24"/>
          <w:lang w:eastAsia="da-DK"/>
        </w:rPr>
        <w:t>Ikke mærkning.</w:t>
      </w:r>
    </w:p>
    <w:p w:rsidR="00D2028E" w:rsidRPr="003C2BEF" w:rsidRDefault="00D2028E" w:rsidP="00D2028E">
      <w:pPr>
        <w:ind w:left="851"/>
        <w:rPr>
          <w:sz w:val="24"/>
          <w:szCs w:val="24"/>
          <w:lang w:eastAsia="da-DK"/>
        </w:rPr>
      </w:pPr>
      <w:r w:rsidRPr="00D71B15">
        <w:rPr>
          <w:sz w:val="24"/>
          <w:szCs w:val="24"/>
          <w:lang w:eastAsia="da-DK"/>
        </w:rPr>
        <w:t xml:space="preserve">Der er ikke udført studier af virkningen på evnen til at føre motorkøretøj og betjene maskiner. Patienterne skal dog informeres om, at de kan få bivirkninger som f.eks. svimmelhed, akkommodationsforstyrrelser, </w:t>
      </w:r>
      <w:proofErr w:type="spellStart"/>
      <w:r w:rsidRPr="00D71B15">
        <w:rPr>
          <w:sz w:val="24"/>
          <w:szCs w:val="24"/>
          <w:lang w:eastAsia="da-DK"/>
        </w:rPr>
        <w:t>mydriasis</w:t>
      </w:r>
      <w:proofErr w:type="spellEnd"/>
      <w:r w:rsidRPr="00D71B15">
        <w:rPr>
          <w:sz w:val="24"/>
          <w:szCs w:val="24"/>
          <w:lang w:eastAsia="da-DK"/>
        </w:rPr>
        <w:t xml:space="preserve"> og sløret syn under behandlingen med </w:t>
      </w:r>
      <w:proofErr w:type="spellStart"/>
      <w:r>
        <w:rPr>
          <w:sz w:val="24"/>
          <w:szCs w:val="24"/>
          <w:lang w:eastAsia="da-DK"/>
        </w:rPr>
        <w:t>ipratropiumbromid</w:t>
      </w:r>
      <w:proofErr w:type="spellEnd"/>
      <w:r>
        <w:rPr>
          <w:sz w:val="24"/>
          <w:szCs w:val="24"/>
          <w:lang w:eastAsia="da-DK"/>
        </w:rPr>
        <w:t>/</w:t>
      </w:r>
      <w:proofErr w:type="spellStart"/>
      <w:r>
        <w:rPr>
          <w:sz w:val="24"/>
          <w:szCs w:val="24"/>
          <w:lang w:eastAsia="da-DK"/>
        </w:rPr>
        <w:t>salbutamol</w:t>
      </w:r>
      <w:proofErr w:type="spellEnd"/>
      <w:r w:rsidRPr="00D71B15">
        <w:rPr>
          <w:sz w:val="24"/>
          <w:szCs w:val="24"/>
          <w:lang w:eastAsia="da-DK"/>
        </w:rPr>
        <w:t xml:space="preserve">. Hvis patienterne oplever ovennævnte bivirkninger, skal de undgå potentielt risikable aktiviteter, såsom at føre motorkøretøj og betjene maskiner. </w:t>
      </w:r>
    </w:p>
    <w:p w:rsidR="00D2028E" w:rsidRPr="003C2BEF" w:rsidRDefault="00D2028E" w:rsidP="00D2028E">
      <w:pPr>
        <w:tabs>
          <w:tab w:val="left" w:pos="851"/>
        </w:tabs>
        <w:rPr>
          <w:sz w:val="24"/>
          <w:szCs w:val="24"/>
        </w:rPr>
      </w:pPr>
    </w:p>
    <w:p w:rsidR="00D2028E" w:rsidRDefault="00D2028E" w:rsidP="00D2028E">
      <w:pPr>
        <w:keepNext/>
        <w:tabs>
          <w:tab w:val="left" w:pos="851"/>
        </w:tabs>
        <w:ind w:left="851" w:hanging="851"/>
        <w:rPr>
          <w:b/>
          <w:sz w:val="24"/>
          <w:szCs w:val="24"/>
        </w:rPr>
      </w:pPr>
      <w:r w:rsidRPr="003C2BEF">
        <w:rPr>
          <w:b/>
          <w:sz w:val="24"/>
          <w:szCs w:val="24"/>
        </w:rPr>
        <w:t>4.8</w:t>
      </w:r>
      <w:r w:rsidRPr="003C2BEF">
        <w:rPr>
          <w:b/>
          <w:sz w:val="24"/>
          <w:szCs w:val="24"/>
        </w:rPr>
        <w:tab/>
        <w:t>Bivirkninger</w:t>
      </w:r>
    </w:p>
    <w:p w:rsidR="00D2028E" w:rsidRPr="00CE768A" w:rsidRDefault="00D2028E" w:rsidP="00D2028E">
      <w:pPr>
        <w:tabs>
          <w:tab w:val="left" w:pos="851"/>
        </w:tabs>
        <w:ind w:left="851"/>
        <w:rPr>
          <w:sz w:val="24"/>
          <w:szCs w:val="24"/>
        </w:rPr>
      </w:pPr>
      <w:r w:rsidRPr="00CE768A">
        <w:rPr>
          <w:sz w:val="24"/>
          <w:szCs w:val="24"/>
        </w:rPr>
        <w:t xml:space="preserve">Mange af de anførte bivirkninger kan henføres til </w:t>
      </w:r>
      <w:r w:rsidRPr="00CE768A">
        <w:rPr>
          <w:color w:val="222222"/>
          <w:sz w:val="24"/>
          <w:szCs w:val="24"/>
        </w:rPr>
        <w:t xml:space="preserve">de </w:t>
      </w:r>
      <w:proofErr w:type="spellStart"/>
      <w:r w:rsidRPr="00CE768A">
        <w:rPr>
          <w:color w:val="222222"/>
          <w:sz w:val="24"/>
          <w:szCs w:val="24"/>
        </w:rPr>
        <w:t>antikolinerge</w:t>
      </w:r>
      <w:proofErr w:type="spellEnd"/>
      <w:r w:rsidRPr="00CE768A">
        <w:rPr>
          <w:color w:val="222222"/>
          <w:sz w:val="24"/>
          <w:szCs w:val="24"/>
        </w:rPr>
        <w:t xml:space="preserve"> og beta-2-sympatomimetiske egenskaber for </w:t>
      </w:r>
      <w:proofErr w:type="spellStart"/>
      <w:r w:rsidRPr="00CE768A">
        <w:rPr>
          <w:color w:val="222222"/>
          <w:sz w:val="24"/>
          <w:szCs w:val="24"/>
        </w:rPr>
        <w:t>ipratropiumbromid</w:t>
      </w:r>
      <w:proofErr w:type="spellEnd"/>
      <w:r w:rsidRPr="00CE768A">
        <w:rPr>
          <w:color w:val="222222"/>
          <w:sz w:val="24"/>
          <w:szCs w:val="24"/>
        </w:rPr>
        <w:t>/</w:t>
      </w:r>
      <w:proofErr w:type="spellStart"/>
      <w:r w:rsidRPr="00CE768A">
        <w:rPr>
          <w:color w:val="222222"/>
          <w:sz w:val="24"/>
          <w:szCs w:val="24"/>
        </w:rPr>
        <w:t>salbutamol</w:t>
      </w:r>
      <w:proofErr w:type="spellEnd"/>
      <w:r w:rsidRPr="00CE768A">
        <w:rPr>
          <w:color w:val="222222"/>
          <w:sz w:val="24"/>
          <w:szCs w:val="24"/>
        </w:rPr>
        <w:t xml:space="preserve">. </w:t>
      </w:r>
      <w:r w:rsidRPr="00CE768A">
        <w:rPr>
          <w:sz w:val="24"/>
          <w:szCs w:val="24"/>
        </w:rPr>
        <w:t xml:space="preserve">Som ved al inhalationsbehandling kan </w:t>
      </w:r>
      <w:proofErr w:type="spellStart"/>
      <w:r w:rsidRPr="00CE768A">
        <w:rPr>
          <w:color w:val="222222"/>
          <w:sz w:val="24"/>
          <w:szCs w:val="24"/>
        </w:rPr>
        <w:t>ipratropiumbromid</w:t>
      </w:r>
      <w:proofErr w:type="spellEnd"/>
      <w:r w:rsidRPr="00CE768A">
        <w:rPr>
          <w:color w:val="222222"/>
          <w:sz w:val="24"/>
          <w:szCs w:val="24"/>
        </w:rPr>
        <w:t>/</w:t>
      </w:r>
      <w:proofErr w:type="spellStart"/>
      <w:r w:rsidRPr="00CE768A">
        <w:rPr>
          <w:color w:val="222222"/>
          <w:sz w:val="24"/>
          <w:szCs w:val="24"/>
        </w:rPr>
        <w:t>salbutamol</w:t>
      </w:r>
      <w:proofErr w:type="spellEnd"/>
      <w:r w:rsidRPr="00CE768A">
        <w:rPr>
          <w:color w:val="222222"/>
          <w:sz w:val="24"/>
          <w:szCs w:val="24"/>
        </w:rPr>
        <w:t xml:space="preserve"> vise symptomer på lokalirritation. </w:t>
      </w:r>
    </w:p>
    <w:p w:rsidR="00D2028E" w:rsidRPr="00CE768A" w:rsidRDefault="00D2028E" w:rsidP="00D2028E">
      <w:pPr>
        <w:tabs>
          <w:tab w:val="left" w:pos="851"/>
        </w:tabs>
        <w:ind w:left="851"/>
        <w:rPr>
          <w:sz w:val="24"/>
          <w:szCs w:val="24"/>
        </w:rPr>
      </w:pPr>
      <w:r w:rsidRPr="00CE768A">
        <w:rPr>
          <w:sz w:val="24"/>
          <w:szCs w:val="24"/>
        </w:rPr>
        <w:t xml:space="preserve">De anførte bivirkninger er set dels i kliniske studier dels fra lægemiddelovervågning efter markedsføring. </w:t>
      </w:r>
    </w:p>
    <w:p w:rsidR="00D2028E" w:rsidRPr="00CE768A" w:rsidRDefault="00D2028E" w:rsidP="00D2028E">
      <w:pPr>
        <w:tabs>
          <w:tab w:val="left" w:pos="851"/>
        </w:tabs>
        <w:ind w:left="851"/>
        <w:rPr>
          <w:sz w:val="24"/>
          <w:szCs w:val="24"/>
          <w:lang w:eastAsia="da-DK"/>
        </w:rPr>
      </w:pPr>
    </w:p>
    <w:p w:rsidR="00D2028E" w:rsidRPr="00CE768A" w:rsidRDefault="00D2028E" w:rsidP="00D2028E">
      <w:pPr>
        <w:tabs>
          <w:tab w:val="left" w:pos="851"/>
        </w:tabs>
        <w:ind w:left="851"/>
        <w:rPr>
          <w:sz w:val="24"/>
          <w:szCs w:val="24"/>
        </w:rPr>
      </w:pPr>
      <w:r w:rsidRPr="00CE768A">
        <w:rPr>
          <w:sz w:val="24"/>
          <w:szCs w:val="24"/>
        </w:rPr>
        <w:t xml:space="preserve">De mest almindelige bivirkninger set i kliniske studier </w:t>
      </w:r>
      <w:r>
        <w:rPr>
          <w:sz w:val="24"/>
          <w:szCs w:val="24"/>
        </w:rPr>
        <w:t>va</w:t>
      </w:r>
      <w:r w:rsidRPr="00CE768A">
        <w:rPr>
          <w:sz w:val="24"/>
          <w:szCs w:val="24"/>
        </w:rPr>
        <w:t xml:space="preserve">r hovedpine, halsirritation, hoste, mundtørhed, forstyrrelser i den </w:t>
      </w:r>
      <w:proofErr w:type="spellStart"/>
      <w:r w:rsidRPr="00CE768A">
        <w:rPr>
          <w:sz w:val="24"/>
          <w:szCs w:val="24"/>
        </w:rPr>
        <w:t>gastrointestinale</w:t>
      </w:r>
      <w:proofErr w:type="spellEnd"/>
      <w:r w:rsidRPr="00CE768A">
        <w:rPr>
          <w:sz w:val="24"/>
          <w:szCs w:val="24"/>
        </w:rPr>
        <w:t xml:space="preserve"> </w:t>
      </w:r>
      <w:proofErr w:type="spellStart"/>
      <w:r w:rsidRPr="00CE768A">
        <w:rPr>
          <w:sz w:val="24"/>
          <w:szCs w:val="24"/>
        </w:rPr>
        <w:t>motilitet</w:t>
      </w:r>
      <w:proofErr w:type="spellEnd"/>
      <w:r w:rsidRPr="00CE768A">
        <w:rPr>
          <w:sz w:val="24"/>
          <w:szCs w:val="24"/>
        </w:rPr>
        <w:t xml:space="preserve"> (</w:t>
      </w:r>
      <w:r>
        <w:rPr>
          <w:sz w:val="24"/>
          <w:szCs w:val="24"/>
        </w:rPr>
        <w:t>inklusiv</w:t>
      </w:r>
      <w:r w:rsidR="005E26FB">
        <w:rPr>
          <w:sz w:val="24"/>
          <w:szCs w:val="24"/>
        </w:rPr>
        <w:t>e</w:t>
      </w:r>
      <w:r>
        <w:rPr>
          <w:sz w:val="24"/>
          <w:szCs w:val="24"/>
        </w:rPr>
        <w:t xml:space="preserve"> </w:t>
      </w:r>
      <w:r w:rsidRPr="00CE768A">
        <w:rPr>
          <w:sz w:val="24"/>
          <w:szCs w:val="24"/>
        </w:rPr>
        <w:t>forstoppelse, diarré og opkastning), kvalme og svimmelhed.</w:t>
      </w:r>
    </w:p>
    <w:p w:rsidR="00D2028E" w:rsidRPr="00870137" w:rsidRDefault="00D2028E" w:rsidP="00D2028E">
      <w:pPr>
        <w:ind w:left="851"/>
        <w:rPr>
          <w:color w:val="222222"/>
          <w:sz w:val="24"/>
          <w:szCs w:val="24"/>
        </w:rPr>
      </w:pPr>
      <w:r w:rsidRPr="00CE768A">
        <w:rPr>
          <w:color w:val="222222"/>
          <w:sz w:val="24"/>
          <w:szCs w:val="24"/>
        </w:rPr>
        <w:br/>
      </w:r>
      <w:r w:rsidRPr="00870137">
        <w:rPr>
          <w:color w:val="222222"/>
          <w:sz w:val="24"/>
          <w:szCs w:val="24"/>
        </w:rPr>
        <w:t xml:space="preserve">Følgende bivirkninger er blevet rapporteret ud fra kliniske </w:t>
      </w:r>
      <w:r>
        <w:rPr>
          <w:color w:val="222222"/>
          <w:sz w:val="24"/>
          <w:szCs w:val="24"/>
        </w:rPr>
        <w:t>studier</w:t>
      </w:r>
      <w:r w:rsidRPr="00870137">
        <w:rPr>
          <w:color w:val="222222"/>
          <w:sz w:val="24"/>
          <w:szCs w:val="24"/>
        </w:rPr>
        <w:t xml:space="preserve"> med 3488 patienter.</w:t>
      </w:r>
    </w:p>
    <w:p w:rsidR="00D2028E" w:rsidRPr="003C2BEF" w:rsidRDefault="00D2028E" w:rsidP="00D2028E">
      <w:pPr>
        <w:tabs>
          <w:tab w:val="left" w:pos="851"/>
        </w:tabs>
        <w:ind w:left="851" w:hanging="851"/>
        <w:rPr>
          <w:b/>
          <w:sz w:val="24"/>
          <w:szCs w:val="24"/>
        </w:rPr>
      </w:pPr>
    </w:p>
    <w:p w:rsidR="00D2028E" w:rsidRPr="00D71B15" w:rsidRDefault="00D2028E" w:rsidP="00D2028E">
      <w:pPr>
        <w:ind w:left="851"/>
        <w:rPr>
          <w:sz w:val="24"/>
          <w:szCs w:val="24"/>
          <w:lang w:eastAsia="da-DK"/>
        </w:rPr>
      </w:pPr>
      <w:r w:rsidRPr="00D71B15">
        <w:rPr>
          <w:sz w:val="24"/>
          <w:szCs w:val="24"/>
          <w:lang w:eastAsia="da-DK"/>
        </w:rPr>
        <w:t xml:space="preserve">Bivirkninger er angivet i tabellen nedenfor i henhold til </w:t>
      </w:r>
      <w:proofErr w:type="spellStart"/>
      <w:r w:rsidRPr="00D71B15">
        <w:rPr>
          <w:sz w:val="24"/>
          <w:szCs w:val="24"/>
          <w:lang w:eastAsia="da-DK"/>
        </w:rPr>
        <w:t>MedDRAs</w:t>
      </w:r>
      <w:proofErr w:type="spellEnd"/>
      <w:r w:rsidRPr="00D71B15">
        <w:rPr>
          <w:sz w:val="24"/>
          <w:szCs w:val="24"/>
          <w:lang w:eastAsia="da-DK"/>
        </w:rPr>
        <w:t xml:space="preserve"> systemorganklasser og hyppigheder</w:t>
      </w:r>
    </w:p>
    <w:p w:rsidR="00D2028E" w:rsidRPr="00D71B15" w:rsidRDefault="00D2028E" w:rsidP="00D2028E">
      <w:pPr>
        <w:ind w:left="851"/>
        <w:rPr>
          <w:sz w:val="24"/>
          <w:szCs w:val="24"/>
          <w:lang w:eastAsia="da-DK"/>
        </w:rPr>
      </w:pPr>
    </w:p>
    <w:p w:rsidR="00D2028E" w:rsidRPr="00D71B15" w:rsidRDefault="00D2028E" w:rsidP="00D2028E">
      <w:pPr>
        <w:ind w:left="851"/>
        <w:rPr>
          <w:sz w:val="24"/>
          <w:szCs w:val="24"/>
          <w:lang w:eastAsia="da-DK"/>
        </w:rPr>
      </w:pPr>
      <w:r w:rsidRPr="00D71B15">
        <w:rPr>
          <w:sz w:val="24"/>
          <w:szCs w:val="24"/>
          <w:lang w:eastAsia="da-DK"/>
        </w:rPr>
        <w:t>Hyppighederne er defineret som: Meget almindelig (≥ 1/10), almindelig (≥ 1/100 til &lt; 1/10), ikke almindelig (≥ 1/1000 til &lt; 1/100), sjælden (≥ 10/000 til &lt; 1/000), meget sjælden (&lt; 10/000), ikke kendt (kan ikke estimeres ud fra forhåndenværende data).</w:t>
      </w:r>
    </w:p>
    <w:p w:rsidR="00D2028E" w:rsidRDefault="00D2028E" w:rsidP="00D2028E">
      <w:pPr>
        <w:ind w:left="851"/>
        <w:rPr>
          <w:sz w:val="24"/>
          <w:szCs w:val="24"/>
          <w:lang w:eastAsia="da-DK"/>
        </w:rPr>
      </w:pPr>
    </w:p>
    <w:tbl>
      <w:tblPr>
        <w:tblW w:w="0" w:type="auto"/>
        <w:tblInd w:w="1064" w:type="dxa"/>
        <w:tblLayout w:type="fixed"/>
        <w:tblCellMar>
          <w:left w:w="0" w:type="dxa"/>
          <w:right w:w="0" w:type="dxa"/>
        </w:tblCellMar>
        <w:tblLook w:val="04A0" w:firstRow="1" w:lastRow="0" w:firstColumn="1" w:lastColumn="0" w:noHBand="0" w:noVBand="1"/>
      </w:tblPr>
      <w:tblGrid>
        <w:gridCol w:w="2667"/>
        <w:gridCol w:w="2801"/>
        <w:gridCol w:w="2401"/>
      </w:tblGrid>
      <w:tr w:rsidR="00D2028E" w:rsidTr="003B4BCE">
        <w:trPr>
          <w:trHeight w:hRule="exact" w:val="273"/>
        </w:trPr>
        <w:tc>
          <w:tcPr>
            <w:tcW w:w="2667" w:type="dxa"/>
            <w:tcBorders>
              <w:top w:val="single" w:sz="4" w:space="0" w:color="000000"/>
              <w:left w:val="single" w:sz="4" w:space="0" w:color="000000"/>
              <w:bottom w:val="single" w:sz="4" w:space="0" w:color="000000"/>
              <w:right w:val="single" w:sz="4" w:space="0" w:color="000000"/>
            </w:tcBorders>
            <w:hideMark/>
          </w:tcPr>
          <w:p w:rsidR="00D2028E" w:rsidRDefault="00D2028E" w:rsidP="003B4BCE">
            <w:pPr>
              <w:ind w:left="207"/>
              <w:rPr>
                <w:sz w:val="24"/>
                <w:szCs w:val="24"/>
                <w:lang w:eastAsia="da-DK"/>
              </w:rPr>
            </w:pPr>
            <w:r>
              <w:rPr>
                <w:b/>
                <w:sz w:val="24"/>
                <w:szCs w:val="24"/>
                <w:lang w:eastAsia="da-DK"/>
              </w:rPr>
              <w:t>Systemorganklasse</w:t>
            </w:r>
          </w:p>
        </w:tc>
        <w:tc>
          <w:tcPr>
            <w:tcW w:w="2801" w:type="dxa"/>
            <w:tcBorders>
              <w:top w:val="single" w:sz="4" w:space="0" w:color="000000"/>
              <w:left w:val="single" w:sz="4" w:space="0" w:color="000000"/>
              <w:bottom w:val="single" w:sz="4" w:space="0" w:color="000000"/>
              <w:right w:val="single" w:sz="4" w:space="0" w:color="000000"/>
            </w:tcBorders>
            <w:hideMark/>
          </w:tcPr>
          <w:p w:rsidR="00D2028E" w:rsidRDefault="00D2028E" w:rsidP="003B4BCE">
            <w:pPr>
              <w:ind w:left="92"/>
              <w:rPr>
                <w:sz w:val="24"/>
                <w:szCs w:val="24"/>
                <w:lang w:eastAsia="da-DK"/>
              </w:rPr>
            </w:pPr>
            <w:r>
              <w:rPr>
                <w:b/>
                <w:sz w:val="24"/>
                <w:szCs w:val="24"/>
                <w:lang w:eastAsia="da-DK"/>
              </w:rPr>
              <w:t>Symptom</w:t>
            </w:r>
          </w:p>
        </w:tc>
        <w:tc>
          <w:tcPr>
            <w:tcW w:w="2401" w:type="dxa"/>
            <w:tcBorders>
              <w:top w:val="single" w:sz="4" w:space="0" w:color="000000"/>
              <w:left w:val="single" w:sz="4" w:space="0" w:color="000000"/>
              <w:bottom w:val="single" w:sz="4" w:space="0" w:color="000000"/>
              <w:right w:val="single" w:sz="4" w:space="0" w:color="000000"/>
            </w:tcBorders>
            <w:hideMark/>
          </w:tcPr>
          <w:p w:rsidR="00D2028E" w:rsidRDefault="00D2028E" w:rsidP="003B4BCE">
            <w:pPr>
              <w:ind w:left="126"/>
              <w:rPr>
                <w:sz w:val="24"/>
                <w:szCs w:val="24"/>
                <w:lang w:eastAsia="da-DK"/>
              </w:rPr>
            </w:pPr>
            <w:r>
              <w:rPr>
                <w:b/>
                <w:sz w:val="24"/>
                <w:szCs w:val="24"/>
                <w:lang w:eastAsia="da-DK"/>
              </w:rPr>
              <w:t>Hyppighed</w:t>
            </w:r>
          </w:p>
        </w:tc>
      </w:tr>
      <w:tr w:rsidR="00D2028E" w:rsidTr="003B4BCE">
        <w:tc>
          <w:tcPr>
            <w:tcW w:w="2667" w:type="dxa"/>
            <w:tcBorders>
              <w:top w:val="single" w:sz="4" w:space="0" w:color="000000"/>
              <w:left w:val="single" w:sz="4" w:space="0" w:color="000000"/>
              <w:bottom w:val="single" w:sz="4" w:space="0" w:color="000000"/>
              <w:right w:val="single" w:sz="4" w:space="0" w:color="000000"/>
            </w:tcBorders>
            <w:hideMark/>
          </w:tcPr>
          <w:p w:rsidR="00D2028E" w:rsidRDefault="00D2028E" w:rsidP="003B4BCE">
            <w:pPr>
              <w:ind w:left="207"/>
              <w:rPr>
                <w:sz w:val="24"/>
                <w:szCs w:val="24"/>
                <w:lang w:eastAsia="da-DK"/>
              </w:rPr>
            </w:pPr>
            <w:r>
              <w:rPr>
                <w:sz w:val="24"/>
                <w:szCs w:val="24"/>
                <w:lang w:eastAsia="da-DK"/>
              </w:rPr>
              <w:t>Immunsystemet</w:t>
            </w:r>
          </w:p>
        </w:tc>
        <w:tc>
          <w:tcPr>
            <w:tcW w:w="2801" w:type="dxa"/>
            <w:tcBorders>
              <w:top w:val="single" w:sz="4" w:space="0" w:color="000000"/>
              <w:left w:val="single" w:sz="4" w:space="0" w:color="000000"/>
              <w:bottom w:val="single" w:sz="4" w:space="0" w:color="000000"/>
              <w:right w:val="single" w:sz="4" w:space="0" w:color="000000"/>
            </w:tcBorders>
            <w:hideMark/>
          </w:tcPr>
          <w:p w:rsidR="00D2028E" w:rsidRDefault="00D2028E" w:rsidP="003B4BCE">
            <w:pPr>
              <w:ind w:left="92"/>
              <w:rPr>
                <w:sz w:val="24"/>
                <w:szCs w:val="24"/>
                <w:lang w:eastAsia="da-DK"/>
              </w:rPr>
            </w:pPr>
            <w:proofErr w:type="spellStart"/>
            <w:r>
              <w:rPr>
                <w:b/>
                <w:sz w:val="24"/>
                <w:szCs w:val="24"/>
                <w:lang w:eastAsia="da-DK"/>
              </w:rPr>
              <w:t>Anafylaktisk</w:t>
            </w:r>
            <w:proofErr w:type="spellEnd"/>
            <w:r>
              <w:rPr>
                <w:b/>
                <w:sz w:val="24"/>
                <w:szCs w:val="24"/>
                <w:lang w:eastAsia="da-DK"/>
              </w:rPr>
              <w:t xml:space="preserve"> reaktion, overfølsomhed</w:t>
            </w:r>
            <w:r>
              <w:rPr>
                <w:sz w:val="24"/>
                <w:szCs w:val="24"/>
                <w:lang w:eastAsia="da-DK"/>
              </w:rPr>
              <w:t xml:space="preserve">, </w:t>
            </w:r>
            <w:proofErr w:type="spellStart"/>
            <w:r>
              <w:rPr>
                <w:sz w:val="24"/>
                <w:szCs w:val="24"/>
                <w:lang w:eastAsia="da-DK"/>
              </w:rPr>
              <w:t>angioødem</w:t>
            </w:r>
            <w:proofErr w:type="spellEnd"/>
            <w:r>
              <w:rPr>
                <w:sz w:val="24"/>
                <w:szCs w:val="24"/>
                <w:lang w:eastAsia="da-DK"/>
              </w:rPr>
              <w:t xml:space="preserve"> i tunge, læber og ansigt.</w:t>
            </w:r>
          </w:p>
          <w:p w:rsidR="00D2028E" w:rsidRDefault="00D2028E" w:rsidP="003B4BCE">
            <w:pPr>
              <w:ind w:left="92"/>
              <w:rPr>
                <w:sz w:val="24"/>
                <w:szCs w:val="24"/>
                <w:lang w:eastAsia="da-DK"/>
              </w:rPr>
            </w:pPr>
          </w:p>
        </w:tc>
        <w:tc>
          <w:tcPr>
            <w:tcW w:w="2401" w:type="dxa"/>
            <w:tcBorders>
              <w:top w:val="single" w:sz="4" w:space="0" w:color="000000"/>
              <w:left w:val="single" w:sz="4" w:space="0" w:color="000000"/>
              <w:bottom w:val="single" w:sz="4" w:space="0" w:color="000000"/>
              <w:right w:val="single" w:sz="4" w:space="0" w:color="000000"/>
            </w:tcBorders>
          </w:tcPr>
          <w:p w:rsidR="00D2028E" w:rsidRDefault="00D2028E" w:rsidP="003B4BCE">
            <w:pPr>
              <w:ind w:left="126"/>
              <w:rPr>
                <w:sz w:val="24"/>
                <w:szCs w:val="24"/>
                <w:lang w:eastAsia="da-DK"/>
              </w:rPr>
            </w:pPr>
            <w:r>
              <w:rPr>
                <w:sz w:val="24"/>
                <w:szCs w:val="24"/>
                <w:lang w:eastAsia="da-DK"/>
              </w:rPr>
              <w:t>Sjælden</w:t>
            </w:r>
          </w:p>
          <w:p w:rsidR="00D2028E" w:rsidRDefault="00D2028E" w:rsidP="003B4BCE">
            <w:pPr>
              <w:ind w:left="126"/>
              <w:rPr>
                <w:sz w:val="24"/>
                <w:szCs w:val="24"/>
                <w:lang w:eastAsia="da-DK"/>
              </w:rPr>
            </w:pPr>
          </w:p>
        </w:tc>
      </w:tr>
      <w:tr w:rsidR="00D2028E" w:rsidTr="003B4BCE">
        <w:tc>
          <w:tcPr>
            <w:tcW w:w="2667" w:type="dxa"/>
            <w:tcBorders>
              <w:top w:val="single" w:sz="4" w:space="0" w:color="000000"/>
              <w:left w:val="single" w:sz="4" w:space="0" w:color="000000"/>
              <w:bottom w:val="single" w:sz="4" w:space="0" w:color="000000"/>
              <w:right w:val="single" w:sz="4" w:space="0" w:color="000000"/>
            </w:tcBorders>
            <w:hideMark/>
          </w:tcPr>
          <w:p w:rsidR="00D2028E" w:rsidRDefault="00D2028E" w:rsidP="003B4BCE">
            <w:pPr>
              <w:ind w:left="207"/>
              <w:rPr>
                <w:sz w:val="24"/>
                <w:szCs w:val="24"/>
                <w:lang w:eastAsia="da-DK"/>
              </w:rPr>
            </w:pPr>
            <w:r>
              <w:rPr>
                <w:sz w:val="24"/>
                <w:szCs w:val="24"/>
                <w:lang w:eastAsia="da-DK"/>
              </w:rPr>
              <w:t>Metabolisme og ernæring</w:t>
            </w:r>
          </w:p>
        </w:tc>
        <w:tc>
          <w:tcPr>
            <w:tcW w:w="2801" w:type="dxa"/>
            <w:tcBorders>
              <w:top w:val="single" w:sz="4" w:space="0" w:color="000000"/>
              <w:left w:val="single" w:sz="4" w:space="0" w:color="000000"/>
              <w:bottom w:val="single" w:sz="4" w:space="0" w:color="000000"/>
              <w:right w:val="single" w:sz="4" w:space="0" w:color="000000"/>
            </w:tcBorders>
            <w:hideMark/>
          </w:tcPr>
          <w:p w:rsidR="00D2028E" w:rsidRDefault="00D2028E" w:rsidP="003B4BCE">
            <w:pPr>
              <w:ind w:left="92"/>
              <w:rPr>
                <w:b/>
                <w:sz w:val="24"/>
                <w:szCs w:val="24"/>
                <w:lang w:eastAsia="da-DK"/>
              </w:rPr>
            </w:pPr>
            <w:proofErr w:type="spellStart"/>
            <w:r w:rsidRPr="005E26FB">
              <w:rPr>
                <w:b/>
                <w:sz w:val="24"/>
                <w:szCs w:val="24"/>
                <w:lang w:eastAsia="da-DK"/>
              </w:rPr>
              <w:t>Hypokaliæmi</w:t>
            </w:r>
            <w:proofErr w:type="spellEnd"/>
          </w:p>
          <w:p w:rsidR="005E26FB" w:rsidRPr="005E26FB" w:rsidRDefault="005E26FB" w:rsidP="003B4BCE">
            <w:pPr>
              <w:ind w:left="92"/>
              <w:rPr>
                <w:b/>
                <w:sz w:val="24"/>
                <w:szCs w:val="24"/>
                <w:lang w:eastAsia="da-DK"/>
              </w:rPr>
            </w:pPr>
          </w:p>
          <w:p w:rsidR="00D2028E" w:rsidRDefault="00D2028E" w:rsidP="003B4BCE">
            <w:pPr>
              <w:ind w:left="92"/>
              <w:rPr>
                <w:sz w:val="24"/>
                <w:szCs w:val="24"/>
              </w:rPr>
            </w:pPr>
            <w:proofErr w:type="spellStart"/>
            <w:r>
              <w:rPr>
                <w:sz w:val="24"/>
                <w:szCs w:val="24"/>
              </w:rPr>
              <w:t>Laktatacidose</w:t>
            </w:r>
            <w:proofErr w:type="spellEnd"/>
            <w:r>
              <w:rPr>
                <w:sz w:val="24"/>
                <w:szCs w:val="24"/>
              </w:rPr>
              <w:t xml:space="preserve"> (se punkt 4.4)</w:t>
            </w:r>
          </w:p>
          <w:p w:rsidR="00D2028E" w:rsidRDefault="00D2028E" w:rsidP="003B4BCE">
            <w:pPr>
              <w:ind w:left="92"/>
              <w:rPr>
                <w:sz w:val="24"/>
                <w:szCs w:val="24"/>
                <w:lang w:eastAsia="da-DK"/>
              </w:rPr>
            </w:pPr>
          </w:p>
        </w:tc>
        <w:tc>
          <w:tcPr>
            <w:tcW w:w="2401" w:type="dxa"/>
            <w:tcBorders>
              <w:top w:val="single" w:sz="4" w:space="0" w:color="000000"/>
              <w:left w:val="single" w:sz="4" w:space="0" w:color="000000"/>
              <w:bottom w:val="single" w:sz="4" w:space="0" w:color="000000"/>
              <w:right w:val="single" w:sz="4" w:space="0" w:color="000000"/>
            </w:tcBorders>
            <w:hideMark/>
          </w:tcPr>
          <w:p w:rsidR="00D2028E" w:rsidRDefault="00D2028E" w:rsidP="003B4BCE">
            <w:pPr>
              <w:ind w:left="126"/>
              <w:rPr>
                <w:sz w:val="24"/>
                <w:szCs w:val="24"/>
                <w:lang w:eastAsia="da-DK"/>
              </w:rPr>
            </w:pPr>
            <w:r>
              <w:rPr>
                <w:sz w:val="24"/>
                <w:szCs w:val="24"/>
                <w:lang w:eastAsia="da-DK"/>
              </w:rPr>
              <w:t>Sjælden</w:t>
            </w:r>
          </w:p>
          <w:p w:rsidR="005E26FB" w:rsidRDefault="005E26FB" w:rsidP="003B4BCE">
            <w:pPr>
              <w:ind w:left="126"/>
              <w:rPr>
                <w:sz w:val="24"/>
                <w:szCs w:val="24"/>
                <w:lang w:eastAsia="da-DK"/>
              </w:rPr>
            </w:pPr>
          </w:p>
          <w:p w:rsidR="00D2028E" w:rsidRDefault="00D2028E" w:rsidP="003B4BCE">
            <w:pPr>
              <w:ind w:left="126"/>
              <w:rPr>
                <w:sz w:val="24"/>
                <w:szCs w:val="24"/>
                <w:lang w:eastAsia="da-DK"/>
              </w:rPr>
            </w:pPr>
            <w:r>
              <w:rPr>
                <w:sz w:val="24"/>
                <w:szCs w:val="24"/>
                <w:lang w:eastAsia="da-DK"/>
              </w:rPr>
              <w:t>Ikke kendt</w:t>
            </w:r>
          </w:p>
        </w:tc>
      </w:tr>
      <w:tr w:rsidR="00D2028E" w:rsidTr="003B4BCE">
        <w:tc>
          <w:tcPr>
            <w:tcW w:w="2667" w:type="dxa"/>
            <w:tcBorders>
              <w:top w:val="single" w:sz="4" w:space="0" w:color="000000"/>
              <w:left w:val="single" w:sz="4" w:space="0" w:color="000000"/>
              <w:bottom w:val="nil"/>
              <w:right w:val="single" w:sz="4" w:space="0" w:color="000000"/>
            </w:tcBorders>
            <w:hideMark/>
          </w:tcPr>
          <w:p w:rsidR="00D2028E" w:rsidRDefault="00D2028E" w:rsidP="003B4BCE">
            <w:pPr>
              <w:ind w:left="207"/>
              <w:rPr>
                <w:sz w:val="24"/>
                <w:szCs w:val="24"/>
                <w:lang w:eastAsia="da-DK"/>
              </w:rPr>
            </w:pPr>
            <w:r>
              <w:rPr>
                <w:sz w:val="24"/>
                <w:szCs w:val="24"/>
                <w:lang w:eastAsia="da-DK"/>
              </w:rPr>
              <w:t>Psykiske forstyrrelser</w:t>
            </w:r>
          </w:p>
        </w:tc>
        <w:tc>
          <w:tcPr>
            <w:tcW w:w="2801" w:type="dxa"/>
            <w:tcBorders>
              <w:top w:val="single" w:sz="4" w:space="0" w:color="000000"/>
              <w:left w:val="single" w:sz="4" w:space="0" w:color="000000"/>
              <w:bottom w:val="nil"/>
              <w:right w:val="single" w:sz="4" w:space="0" w:color="000000"/>
            </w:tcBorders>
            <w:hideMark/>
          </w:tcPr>
          <w:p w:rsidR="00D2028E" w:rsidRDefault="00D2028E" w:rsidP="003B4BCE">
            <w:pPr>
              <w:ind w:left="92"/>
              <w:rPr>
                <w:sz w:val="24"/>
                <w:szCs w:val="24"/>
                <w:lang w:eastAsia="da-DK"/>
              </w:rPr>
            </w:pPr>
            <w:r>
              <w:rPr>
                <w:sz w:val="24"/>
                <w:szCs w:val="24"/>
                <w:lang w:eastAsia="da-DK"/>
              </w:rPr>
              <w:t>Mentale forstyrrelser</w:t>
            </w:r>
          </w:p>
        </w:tc>
        <w:tc>
          <w:tcPr>
            <w:tcW w:w="2401" w:type="dxa"/>
            <w:tcBorders>
              <w:top w:val="single" w:sz="4" w:space="0" w:color="000000"/>
              <w:left w:val="single" w:sz="4" w:space="0" w:color="000000"/>
              <w:bottom w:val="nil"/>
              <w:right w:val="single" w:sz="4" w:space="0" w:color="000000"/>
            </w:tcBorders>
            <w:hideMark/>
          </w:tcPr>
          <w:p w:rsidR="00D2028E" w:rsidRDefault="00D2028E" w:rsidP="003B4BCE">
            <w:pPr>
              <w:ind w:left="126"/>
              <w:rPr>
                <w:sz w:val="24"/>
                <w:szCs w:val="24"/>
                <w:lang w:eastAsia="da-DK"/>
              </w:rPr>
            </w:pPr>
            <w:r>
              <w:rPr>
                <w:sz w:val="24"/>
                <w:szCs w:val="24"/>
                <w:lang w:eastAsia="da-DK"/>
              </w:rPr>
              <w:t>Sjælden</w:t>
            </w:r>
          </w:p>
        </w:tc>
      </w:tr>
      <w:tr w:rsidR="00D2028E" w:rsidTr="003B4BCE">
        <w:tc>
          <w:tcPr>
            <w:tcW w:w="2667" w:type="dxa"/>
            <w:tcBorders>
              <w:top w:val="nil"/>
              <w:left w:val="single" w:sz="4" w:space="0" w:color="000000"/>
              <w:bottom w:val="single" w:sz="4" w:space="0" w:color="000000"/>
              <w:right w:val="single" w:sz="4" w:space="0" w:color="000000"/>
            </w:tcBorders>
          </w:tcPr>
          <w:p w:rsidR="00D2028E" w:rsidRDefault="00D2028E" w:rsidP="003B4BCE">
            <w:pPr>
              <w:ind w:left="207"/>
              <w:rPr>
                <w:sz w:val="24"/>
                <w:szCs w:val="24"/>
                <w:lang w:eastAsia="da-DK"/>
              </w:rPr>
            </w:pPr>
          </w:p>
        </w:tc>
        <w:tc>
          <w:tcPr>
            <w:tcW w:w="2801" w:type="dxa"/>
            <w:tcBorders>
              <w:top w:val="nil"/>
              <w:left w:val="single" w:sz="4" w:space="0" w:color="000000"/>
              <w:bottom w:val="single" w:sz="4" w:space="0" w:color="000000"/>
              <w:right w:val="single" w:sz="4" w:space="0" w:color="000000"/>
            </w:tcBorders>
          </w:tcPr>
          <w:p w:rsidR="00D2028E" w:rsidRDefault="00D2028E" w:rsidP="003B4BCE">
            <w:pPr>
              <w:ind w:left="92"/>
              <w:rPr>
                <w:sz w:val="24"/>
                <w:szCs w:val="24"/>
                <w:lang w:eastAsia="da-DK"/>
              </w:rPr>
            </w:pPr>
          </w:p>
          <w:p w:rsidR="00D2028E" w:rsidRDefault="00D2028E" w:rsidP="003B4BCE">
            <w:pPr>
              <w:ind w:left="92"/>
              <w:rPr>
                <w:sz w:val="24"/>
                <w:szCs w:val="24"/>
                <w:lang w:eastAsia="da-DK"/>
              </w:rPr>
            </w:pPr>
            <w:r>
              <w:rPr>
                <w:sz w:val="24"/>
                <w:szCs w:val="24"/>
                <w:lang w:eastAsia="da-DK"/>
              </w:rPr>
              <w:t>Nervøsitet</w:t>
            </w:r>
          </w:p>
        </w:tc>
        <w:tc>
          <w:tcPr>
            <w:tcW w:w="2401" w:type="dxa"/>
            <w:tcBorders>
              <w:top w:val="nil"/>
              <w:left w:val="single" w:sz="4" w:space="0" w:color="000000"/>
              <w:bottom w:val="single" w:sz="4" w:space="0" w:color="000000"/>
              <w:right w:val="single" w:sz="4" w:space="0" w:color="000000"/>
            </w:tcBorders>
          </w:tcPr>
          <w:p w:rsidR="00D2028E" w:rsidRDefault="00D2028E" w:rsidP="003B4BCE">
            <w:pPr>
              <w:ind w:left="126"/>
              <w:rPr>
                <w:sz w:val="24"/>
                <w:szCs w:val="24"/>
                <w:lang w:eastAsia="da-DK"/>
              </w:rPr>
            </w:pPr>
          </w:p>
          <w:p w:rsidR="00D2028E" w:rsidRDefault="00D2028E" w:rsidP="003B4BCE">
            <w:pPr>
              <w:ind w:left="126"/>
              <w:rPr>
                <w:sz w:val="24"/>
                <w:szCs w:val="24"/>
                <w:lang w:eastAsia="da-DK"/>
              </w:rPr>
            </w:pPr>
            <w:r>
              <w:rPr>
                <w:sz w:val="24"/>
                <w:szCs w:val="24"/>
                <w:lang w:eastAsia="da-DK"/>
              </w:rPr>
              <w:t>Ikke almindelig</w:t>
            </w:r>
          </w:p>
          <w:p w:rsidR="00D2028E" w:rsidRDefault="00D2028E" w:rsidP="003B4BCE">
            <w:pPr>
              <w:ind w:left="126"/>
              <w:rPr>
                <w:sz w:val="24"/>
                <w:szCs w:val="24"/>
                <w:lang w:eastAsia="da-DK"/>
              </w:rPr>
            </w:pPr>
          </w:p>
        </w:tc>
      </w:tr>
      <w:tr w:rsidR="00D2028E" w:rsidTr="003B4BCE">
        <w:tc>
          <w:tcPr>
            <w:tcW w:w="2667" w:type="dxa"/>
            <w:tcBorders>
              <w:top w:val="single" w:sz="4" w:space="0" w:color="000000"/>
              <w:left w:val="single" w:sz="4" w:space="0" w:color="000000"/>
              <w:bottom w:val="single" w:sz="4" w:space="0" w:color="000000"/>
              <w:right w:val="single" w:sz="4" w:space="0" w:color="000000"/>
            </w:tcBorders>
            <w:hideMark/>
          </w:tcPr>
          <w:p w:rsidR="00D2028E" w:rsidRDefault="00D2028E" w:rsidP="003B4BCE">
            <w:pPr>
              <w:ind w:left="207"/>
              <w:rPr>
                <w:sz w:val="24"/>
                <w:szCs w:val="24"/>
                <w:lang w:eastAsia="da-DK"/>
              </w:rPr>
            </w:pPr>
            <w:r>
              <w:rPr>
                <w:sz w:val="24"/>
                <w:szCs w:val="24"/>
                <w:lang w:eastAsia="da-DK"/>
              </w:rPr>
              <w:lastRenderedPageBreak/>
              <w:t>Nervesystemet</w:t>
            </w:r>
          </w:p>
        </w:tc>
        <w:tc>
          <w:tcPr>
            <w:tcW w:w="2801" w:type="dxa"/>
            <w:tcBorders>
              <w:top w:val="single" w:sz="4" w:space="0" w:color="000000"/>
              <w:left w:val="single" w:sz="4" w:space="0" w:color="000000"/>
              <w:bottom w:val="single" w:sz="4" w:space="0" w:color="000000"/>
              <w:right w:val="single" w:sz="4" w:space="0" w:color="000000"/>
            </w:tcBorders>
          </w:tcPr>
          <w:p w:rsidR="00D2028E" w:rsidRDefault="00D2028E" w:rsidP="003B4BCE">
            <w:pPr>
              <w:ind w:left="92"/>
              <w:rPr>
                <w:sz w:val="24"/>
                <w:szCs w:val="24"/>
                <w:lang w:eastAsia="da-DK"/>
              </w:rPr>
            </w:pPr>
            <w:r>
              <w:rPr>
                <w:sz w:val="24"/>
                <w:szCs w:val="24"/>
                <w:lang w:eastAsia="da-DK"/>
              </w:rPr>
              <w:t>Hovedpine</w:t>
            </w:r>
          </w:p>
          <w:p w:rsidR="00D2028E" w:rsidRDefault="00D2028E" w:rsidP="003B4BCE">
            <w:pPr>
              <w:ind w:left="92"/>
              <w:rPr>
                <w:sz w:val="24"/>
                <w:szCs w:val="24"/>
                <w:lang w:eastAsia="da-DK"/>
              </w:rPr>
            </w:pPr>
          </w:p>
          <w:p w:rsidR="00D2028E" w:rsidRDefault="00D2028E" w:rsidP="003B4BCE">
            <w:pPr>
              <w:ind w:left="92"/>
              <w:rPr>
                <w:sz w:val="24"/>
                <w:szCs w:val="24"/>
                <w:lang w:eastAsia="da-DK"/>
              </w:rPr>
            </w:pPr>
            <w:r>
              <w:rPr>
                <w:sz w:val="24"/>
                <w:szCs w:val="24"/>
                <w:lang w:eastAsia="da-DK"/>
              </w:rPr>
              <w:t>Svimmelhed</w:t>
            </w:r>
            <w:r w:rsidR="005E26FB">
              <w:rPr>
                <w:sz w:val="24"/>
                <w:szCs w:val="24"/>
                <w:lang w:eastAsia="da-DK"/>
              </w:rPr>
              <w:t xml:space="preserve">, </w:t>
            </w:r>
            <w:r>
              <w:rPr>
                <w:sz w:val="24"/>
                <w:szCs w:val="24"/>
                <w:lang w:eastAsia="da-DK"/>
              </w:rPr>
              <w:t xml:space="preserve">nervøsitet, </w:t>
            </w:r>
            <w:proofErr w:type="spellStart"/>
            <w:r>
              <w:rPr>
                <w:sz w:val="24"/>
                <w:szCs w:val="24"/>
                <w:lang w:eastAsia="da-DK"/>
              </w:rPr>
              <w:t>tremor</w:t>
            </w:r>
            <w:proofErr w:type="spellEnd"/>
            <w:r>
              <w:rPr>
                <w:sz w:val="24"/>
                <w:szCs w:val="24"/>
                <w:lang w:eastAsia="da-DK"/>
              </w:rPr>
              <w:t xml:space="preserve">, </w:t>
            </w:r>
            <w:proofErr w:type="spellStart"/>
            <w:r>
              <w:rPr>
                <w:sz w:val="24"/>
                <w:szCs w:val="24"/>
                <w:lang w:eastAsia="da-DK"/>
              </w:rPr>
              <w:t>vertigo</w:t>
            </w:r>
            <w:proofErr w:type="spellEnd"/>
          </w:p>
          <w:p w:rsidR="00D2028E" w:rsidRDefault="00D2028E" w:rsidP="003B4BCE">
            <w:pPr>
              <w:ind w:left="92"/>
              <w:rPr>
                <w:sz w:val="24"/>
                <w:szCs w:val="24"/>
                <w:lang w:eastAsia="da-DK"/>
              </w:rPr>
            </w:pPr>
          </w:p>
          <w:p w:rsidR="00D2028E" w:rsidRDefault="00D2028E" w:rsidP="003B4BCE">
            <w:pPr>
              <w:ind w:left="92"/>
              <w:rPr>
                <w:sz w:val="24"/>
                <w:szCs w:val="24"/>
                <w:lang w:eastAsia="da-DK"/>
              </w:rPr>
            </w:pPr>
            <w:r>
              <w:rPr>
                <w:sz w:val="24"/>
                <w:szCs w:val="24"/>
                <w:lang w:eastAsia="da-DK"/>
              </w:rPr>
              <w:t>Svedtendens</w:t>
            </w:r>
          </w:p>
        </w:tc>
        <w:tc>
          <w:tcPr>
            <w:tcW w:w="2401" w:type="dxa"/>
            <w:tcBorders>
              <w:top w:val="single" w:sz="4" w:space="0" w:color="000000"/>
              <w:left w:val="single" w:sz="4" w:space="0" w:color="000000"/>
              <w:bottom w:val="single" w:sz="4" w:space="0" w:color="000000"/>
              <w:right w:val="single" w:sz="4" w:space="0" w:color="000000"/>
            </w:tcBorders>
          </w:tcPr>
          <w:p w:rsidR="00D2028E" w:rsidRDefault="00D2028E" w:rsidP="003B4BCE">
            <w:pPr>
              <w:ind w:left="126"/>
              <w:rPr>
                <w:sz w:val="24"/>
                <w:szCs w:val="24"/>
                <w:lang w:eastAsia="da-DK"/>
              </w:rPr>
            </w:pPr>
            <w:r>
              <w:rPr>
                <w:sz w:val="24"/>
                <w:szCs w:val="24"/>
                <w:lang w:eastAsia="da-DK"/>
              </w:rPr>
              <w:t>Ikke almindelig</w:t>
            </w:r>
          </w:p>
          <w:p w:rsidR="00D2028E" w:rsidRDefault="00D2028E" w:rsidP="003B4BCE">
            <w:pPr>
              <w:ind w:left="126"/>
              <w:rPr>
                <w:sz w:val="24"/>
                <w:szCs w:val="24"/>
                <w:lang w:eastAsia="da-DK"/>
              </w:rPr>
            </w:pPr>
          </w:p>
          <w:p w:rsidR="00D2028E" w:rsidRDefault="00D2028E" w:rsidP="003B4BCE">
            <w:pPr>
              <w:ind w:left="126"/>
              <w:rPr>
                <w:sz w:val="24"/>
                <w:szCs w:val="24"/>
                <w:lang w:eastAsia="da-DK"/>
              </w:rPr>
            </w:pPr>
            <w:r>
              <w:rPr>
                <w:sz w:val="24"/>
                <w:szCs w:val="24"/>
                <w:lang w:eastAsia="da-DK"/>
              </w:rPr>
              <w:t>Ikke almindelig</w:t>
            </w:r>
          </w:p>
          <w:p w:rsidR="00D2028E" w:rsidRDefault="00D2028E" w:rsidP="003B4BCE">
            <w:pPr>
              <w:ind w:left="126"/>
              <w:rPr>
                <w:sz w:val="24"/>
                <w:szCs w:val="24"/>
                <w:lang w:eastAsia="da-DK"/>
              </w:rPr>
            </w:pPr>
          </w:p>
          <w:p w:rsidR="00D2028E" w:rsidRDefault="00D2028E" w:rsidP="003B4BCE">
            <w:pPr>
              <w:ind w:left="126"/>
              <w:rPr>
                <w:sz w:val="24"/>
                <w:szCs w:val="24"/>
                <w:lang w:eastAsia="da-DK"/>
              </w:rPr>
            </w:pPr>
          </w:p>
          <w:p w:rsidR="00D2028E" w:rsidRDefault="00D2028E" w:rsidP="003B4BCE">
            <w:pPr>
              <w:ind w:left="126"/>
              <w:rPr>
                <w:sz w:val="24"/>
                <w:szCs w:val="24"/>
                <w:lang w:eastAsia="da-DK"/>
              </w:rPr>
            </w:pPr>
            <w:r>
              <w:rPr>
                <w:sz w:val="24"/>
                <w:szCs w:val="24"/>
                <w:lang w:eastAsia="da-DK"/>
              </w:rPr>
              <w:t>Sjælden</w:t>
            </w:r>
          </w:p>
          <w:p w:rsidR="00D2028E" w:rsidRDefault="00D2028E" w:rsidP="003B4BCE">
            <w:pPr>
              <w:ind w:left="126"/>
              <w:rPr>
                <w:sz w:val="24"/>
                <w:szCs w:val="24"/>
                <w:lang w:eastAsia="da-DK"/>
              </w:rPr>
            </w:pPr>
          </w:p>
        </w:tc>
      </w:tr>
      <w:tr w:rsidR="00D2028E" w:rsidTr="003B4BCE">
        <w:tc>
          <w:tcPr>
            <w:tcW w:w="2667" w:type="dxa"/>
            <w:tcBorders>
              <w:top w:val="single" w:sz="4" w:space="0" w:color="000000"/>
              <w:left w:val="single" w:sz="4" w:space="0" w:color="000000"/>
              <w:bottom w:val="single" w:sz="4" w:space="0" w:color="000000"/>
              <w:right w:val="single" w:sz="4" w:space="0" w:color="000000"/>
            </w:tcBorders>
            <w:hideMark/>
          </w:tcPr>
          <w:p w:rsidR="00D2028E" w:rsidRDefault="00D2028E" w:rsidP="003B4BCE">
            <w:pPr>
              <w:ind w:left="207"/>
              <w:rPr>
                <w:sz w:val="24"/>
                <w:szCs w:val="24"/>
                <w:lang w:eastAsia="da-DK"/>
              </w:rPr>
            </w:pPr>
            <w:r>
              <w:rPr>
                <w:sz w:val="24"/>
                <w:szCs w:val="24"/>
                <w:lang w:eastAsia="da-DK"/>
              </w:rPr>
              <w:t>Øjne</w:t>
            </w:r>
          </w:p>
        </w:tc>
        <w:tc>
          <w:tcPr>
            <w:tcW w:w="2801" w:type="dxa"/>
            <w:tcBorders>
              <w:top w:val="single" w:sz="4" w:space="0" w:color="000000"/>
              <w:left w:val="single" w:sz="4" w:space="0" w:color="000000"/>
              <w:bottom w:val="single" w:sz="4" w:space="0" w:color="000000"/>
              <w:right w:val="single" w:sz="4" w:space="0" w:color="000000"/>
            </w:tcBorders>
            <w:hideMark/>
          </w:tcPr>
          <w:p w:rsidR="00D2028E" w:rsidRDefault="00D2028E" w:rsidP="003B4BCE">
            <w:pPr>
              <w:ind w:left="92"/>
              <w:rPr>
                <w:sz w:val="24"/>
                <w:szCs w:val="24"/>
                <w:lang w:eastAsia="da-DK"/>
              </w:rPr>
            </w:pPr>
            <w:r>
              <w:rPr>
                <w:sz w:val="24"/>
                <w:szCs w:val="24"/>
                <w:lang w:eastAsia="da-DK"/>
              </w:rPr>
              <w:t>Akkommodationsforstyrrelser</w:t>
            </w:r>
            <w:r w:rsidR="005E26FB">
              <w:rPr>
                <w:sz w:val="24"/>
                <w:szCs w:val="24"/>
                <w:lang w:eastAsia="da-DK"/>
              </w:rPr>
              <w:t xml:space="preserve">, </w:t>
            </w:r>
            <w:proofErr w:type="spellStart"/>
            <w:r w:rsidR="005E26FB">
              <w:rPr>
                <w:sz w:val="24"/>
                <w:szCs w:val="24"/>
                <w:lang w:eastAsia="da-DK"/>
              </w:rPr>
              <w:t>c</w:t>
            </w:r>
            <w:r>
              <w:rPr>
                <w:sz w:val="24"/>
                <w:szCs w:val="24"/>
                <w:lang w:eastAsia="da-DK"/>
              </w:rPr>
              <w:t>orneaødem</w:t>
            </w:r>
            <w:proofErr w:type="spellEnd"/>
            <w:r>
              <w:rPr>
                <w:sz w:val="24"/>
                <w:szCs w:val="24"/>
                <w:lang w:eastAsia="da-DK"/>
              </w:rPr>
              <w:t xml:space="preserve">, </w:t>
            </w:r>
            <w:proofErr w:type="spellStart"/>
            <w:proofErr w:type="gramStart"/>
            <w:r>
              <w:rPr>
                <w:sz w:val="24"/>
                <w:szCs w:val="24"/>
                <w:lang w:eastAsia="da-DK"/>
              </w:rPr>
              <w:t>glaukom</w:t>
            </w:r>
            <w:proofErr w:type="spellEnd"/>
            <w:r>
              <w:rPr>
                <w:spacing w:val="1"/>
                <w:w w:val="102"/>
                <w:vertAlign w:val="superscript"/>
              </w:rPr>
              <w:t>(</w:t>
            </w:r>
            <w:proofErr w:type="gramEnd"/>
            <w:r>
              <w:rPr>
                <w:spacing w:val="1"/>
                <w:w w:val="102"/>
                <w:vertAlign w:val="superscript"/>
              </w:rPr>
              <w:t>1)</w:t>
            </w:r>
            <w:r>
              <w:rPr>
                <w:sz w:val="24"/>
                <w:szCs w:val="24"/>
                <w:lang w:eastAsia="da-DK"/>
              </w:rPr>
              <w:t>, øjensmerter</w:t>
            </w:r>
            <w:r>
              <w:rPr>
                <w:spacing w:val="1"/>
                <w:w w:val="102"/>
                <w:vertAlign w:val="superscript"/>
              </w:rPr>
              <w:t>(1)</w:t>
            </w:r>
            <w:r>
              <w:rPr>
                <w:sz w:val="24"/>
                <w:szCs w:val="24"/>
                <w:lang w:eastAsia="da-DK"/>
              </w:rPr>
              <w:t xml:space="preserve"> øget </w:t>
            </w:r>
            <w:proofErr w:type="spellStart"/>
            <w:r>
              <w:rPr>
                <w:sz w:val="24"/>
                <w:szCs w:val="24"/>
                <w:lang w:eastAsia="da-DK"/>
              </w:rPr>
              <w:t>intraokulært</w:t>
            </w:r>
            <w:proofErr w:type="spellEnd"/>
            <w:r>
              <w:rPr>
                <w:sz w:val="24"/>
                <w:szCs w:val="24"/>
                <w:lang w:eastAsia="da-DK"/>
              </w:rPr>
              <w:t xml:space="preserve"> tryk</w:t>
            </w:r>
            <w:r>
              <w:rPr>
                <w:spacing w:val="1"/>
                <w:w w:val="102"/>
                <w:vertAlign w:val="superscript"/>
              </w:rPr>
              <w:t>(1)</w:t>
            </w:r>
            <w:r>
              <w:rPr>
                <w:sz w:val="24"/>
                <w:szCs w:val="24"/>
                <w:lang w:eastAsia="da-DK"/>
              </w:rPr>
              <w:t>,</w:t>
            </w:r>
            <w:proofErr w:type="spellStart"/>
            <w:r>
              <w:rPr>
                <w:sz w:val="24"/>
                <w:szCs w:val="24"/>
                <w:lang w:eastAsia="da-DK"/>
              </w:rPr>
              <w:t>mydriasis</w:t>
            </w:r>
            <w:proofErr w:type="spellEnd"/>
            <w:r>
              <w:rPr>
                <w:spacing w:val="1"/>
                <w:w w:val="102"/>
                <w:vertAlign w:val="superscript"/>
              </w:rPr>
              <w:t>(1)</w:t>
            </w:r>
            <w:r>
              <w:rPr>
                <w:sz w:val="24"/>
                <w:szCs w:val="24"/>
                <w:lang w:eastAsia="da-DK"/>
              </w:rPr>
              <w:t xml:space="preserve">, sløret syn, </w:t>
            </w:r>
            <w:proofErr w:type="spellStart"/>
            <w:r>
              <w:rPr>
                <w:sz w:val="24"/>
                <w:szCs w:val="24"/>
                <w:lang w:eastAsia="da-DK"/>
              </w:rPr>
              <w:t>konjunktival</w:t>
            </w:r>
            <w:proofErr w:type="spellEnd"/>
            <w:r>
              <w:rPr>
                <w:sz w:val="24"/>
                <w:szCs w:val="24"/>
                <w:lang w:eastAsia="da-DK"/>
              </w:rPr>
              <w:t xml:space="preserve"> </w:t>
            </w:r>
            <w:proofErr w:type="spellStart"/>
            <w:r>
              <w:rPr>
                <w:sz w:val="24"/>
                <w:szCs w:val="24"/>
                <w:lang w:eastAsia="da-DK"/>
              </w:rPr>
              <w:t>hyperæmi</w:t>
            </w:r>
            <w:proofErr w:type="spellEnd"/>
            <w:r>
              <w:rPr>
                <w:sz w:val="24"/>
                <w:szCs w:val="24"/>
                <w:lang w:eastAsia="da-DK"/>
              </w:rPr>
              <w:t>, visuel halo.</w:t>
            </w:r>
          </w:p>
          <w:p w:rsidR="00D2028E" w:rsidRDefault="00D2028E" w:rsidP="003B4BCE">
            <w:pPr>
              <w:ind w:left="92"/>
              <w:rPr>
                <w:sz w:val="24"/>
                <w:szCs w:val="24"/>
                <w:lang w:eastAsia="da-DK"/>
              </w:rPr>
            </w:pPr>
          </w:p>
        </w:tc>
        <w:tc>
          <w:tcPr>
            <w:tcW w:w="2401" w:type="dxa"/>
            <w:tcBorders>
              <w:top w:val="single" w:sz="4" w:space="0" w:color="000000"/>
              <w:left w:val="single" w:sz="4" w:space="0" w:color="000000"/>
              <w:bottom w:val="single" w:sz="4" w:space="0" w:color="000000"/>
              <w:right w:val="single" w:sz="4" w:space="0" w:color="000000"/>
            </w:tcBorders>
          </w:tcPr>
          <w:p w:rsidR="00D2028E" w:rsidRDefault="00D2028E" w:rsidP="003B4BCE">
            <w:pPr>
              <w:ind w:left="126"/>
              <w:rPr>
                <w:sz w:val="24"/>
                <w:szCs w:val="24"/>
                <w:lang w:eastAsia="da-DK"/>
              </w:rPr>
            </w:pPr>
            <w:r>
              <w:rPr>
                <w:sz w:val="24"/>
                <w:szCs w:val="24"/>
                <w:lang w:eastAsia="da-DK"/>
              </w:rPr>
              <w:t xml:space="preserve"> Sjælden</w:t>
            </w:r>
          </w:p>
          <w:p w:rsidR="00D2028E" w:rsidRDefault="00D2028E" w:rsidP="003B4BCE">
            <w:pPr>
              <w:ind w:left="126"/>
              <w:rPr>
                <w:sz w:val="24"/>
                <w:szCs w:val="24"/>
                <w:lang w:eastAsia="da-DK"/>
              </w:rPr>
            </w:pPr>
          </w:p>
        </w:tc>
      </w:tr>
      <w:tr w:rsidR="00D2028E" w:rsidTr="003B4BCE">
        <w:tc>
          <w:tcPr>
            <w:tcW w:w="2667" w:type="dxa"/>
            <w:tcBorders>
              <w:top w:val="single" w:sz="4" w:space="0" w:color="000000"/>
              <w:left w:val="single" w:sz="4" w:space="0" w:color="000000"/>
              <w:bottom w:val="single" w:sz="4" w:space="0" w:color="000000"/>
              <w:right w:val="single" w:sz="4" w:space="0" w:color="000000"/>
            </w:tcBorders>
            <w:hideMark/>
          </w:tcPr>
          <w:p w:rsidR="00D2028E" w:rsidRDefault="00D2028E" w:rsidP="003B4BCE">
            <w:pPr>
              <w:ind w:left="207"/>
              <w:rPr>
                <w:sz w:val="24"/>
                <w:szCs w:val="24"/>
                <w:lang w:eastAsia="da-DK"/>
              </w:rPr>
            </w:pPr>
            <w:r>
              <w:rPr>
                <w:sz w:val="24"/>
                <w:szCs w:val="24"/>
                <w:lang w:eastAsia="da-DK"/>
              </w:rPr>
              <w:t>Hjerte</w:t>
            </w:r>
          </w:p>
        </w:tc>
        <w:tc>
          <w:tcPr>
            <w:tcW w:w="2801" w:type="dxa"/>
            <w:tcBorders>
              <w:top w:val="single" w:sz="4" w:space="0" w:color="000000"/>
              <w:left w:val="single" w:sz="4" w:space="0" w:color="000000"/>
              <w:bottom w:val="single" w:sz="4" w:space="0" w:color="000000"/>
              <w:right w:val="single" w:sz="4" w:space="0" w:color="000000"/>
            </w:tcBorders>
          </w:tcPr>
          <w:p w:rsidR="00D2028E" w:rsidRDefault="00D2028E" w:rsidP="003B4BCE">
            <w:pPr>
              <w:ind w:left="92"/>
              <w:rPr>
                <w:sz w:val="24"/>
                <w:szCs w:val="24"/>
                <w:lang w:eastAsia="da-DK"/>
              </w:rPr>
            </w:pPr>
            <w:proofErr w:type="spellStart"/>
            <w:r>
              <w:rPr>
                <w:sz w:val="24"/>
                <w:szCs w:val="24"/>
                <w:lang w:eastAsia="da-DK"/>
              </w:rPr>
              <w:t>Palpitationer</w:t>
            </w:r>
            <w:proofErr w:type="spellEnd"/>
            <w:r>
              <w:rPr>
                <w:sz w:val="24"/>
                <w:szCs w:val="24"/>
                <w:lang w:eastAsia="da-DK"/>
              </w:rPr>
              <w:t xml:space="preserve">, </w:t>
            </w:r>
            <w:proofErr w:type="spellStart"/>
            <w:r>
              <w:rPr>
                <w:sz w:val="24"/>
                <w:szCs w:val="24"/>
                <w:lang w:eastAsia="da-DK"/>
              </w:rPr>
              <w:t>takykardi</w:t>
            </w:r>
            <w:proofErr w:type="spellEnd"/>
            <w:r>
              <w:rPr>
                <w:sz w:val="24"/>
                <w:szCs w:val="24"/>
                <w:lang w:eastAsia="da-DK"/>
              </w:rPr>
              <w:t xml:space="preserve">, øget systolisk blodtryk </w:t>
            </w:r>
          </w:p>
          <w:p w:rsidR="005E26FB" w:rsidRDefault="005E26FB" w:rsidP="003B4BCE">
            <w:pPr>
              <w:ind w:left="92"/>
              <w:rPr>
                <w:sz w:val="24"/>
                <w:szCs w:val="24"/>
                <w:lang w:eastAsia="da-DK"/>
              </w:rPr>
            </w:pPr>
          </w:p>
          <w:p w:rsidR="00D2028E" w:rsidRDefault="00D2028E" w:rsidP="003B4BCE">
            <w:pPr>
              <w:ind w:left="92"/>
              <w:rPr>
                <w:sz w:val="24"/>
                <w:szCs w:val="24"/>
                <w:lang w:eastAsia="da-DK"/>
              </w:rPr>
            </w:pPr>
            <w:proofErr w:type="spellStart"/>
            <w:r>
              <w:rPr>
                <w:sz w:val="24"/>
                <w:szCs w:val="24"/>
                <w:lang w:eastAsia="da-DK"/>
              </w:rPr>
              <w:t>Arytmier</w:t>
            </w:r>
            <w:proofErr w:type="spellEnd"/>
          </w:p>
          <w:p w:rsidR="00D2028E" w:rsidRDefault="00D2028E" w:rsidP="003B4BCE">
            <w:pPr>
              <w:ind w:left="92"/>
              <w:rPr>
                <w:sz w:val="24"/>
                <w:szCs w:val="24"/>
                <w:lang w:eastAsia="da-DK"/>
              </w:rPr>
            </w:pPr>
            <w:proofErr w:type="spellStart"/>
            <w:r>
              <w:rPr>
                <w:sz w:val="24"/>
                <w:szCs w:val="24"/>
                <w:lang w:eastAsia="da-DK"/>
              </w:rPr>
              <w:t>Hjertearytmi</w:t>
            </w:r>
            <w:proofErr w:type="spellEnd"/>
            <w:r>
              <w:rPr>
                <w:sz w:val="24"/>
                <w:szCs w:val="24"/>
                <w:lang w:eastAsia="da-DK"/>
              </w:rPr>
              <w:t xml:space="preserve">, atrieflimren, </w:t>
            </w:r>
            <w:proofErr w:type="spellStart"/>
            <w:r>
              <w:rPr>
                <w:sz w:val="24"/>
                <w:szCs w:val="24"/>
                <w:lang w:eastAsia="da-DK"/>
              </w:rPr>
              <w:t>myokardieiskæmi</w:t>
            </w:r>
            <w:proofErr w:type="spellEnd"/>
            <w:r>
              <w:rPr>
                <w:sz w:val="24"/>
                <w:szCs w:val="24"/>
                <w:lang w:eastAsia="da-DK"/>
              </w:rPr>
              <w:t xml:space="preserve"> (se</w:t>
            </w:r>
          </w:p>
          <w:p w:rsidR="00D2028E" w:rsidRDefault="00D2028E" w:rsidP="003B4BCE">
            <w:pPr>
              <w:ind w:left="92"/>
              <w:rPr>
                <w:sz w:val="24"/>
                <w:szCs w:val="24"/>
                <w:lang w:eastAsia="da-DK"/>
              </w:rPr>
            </w:pPr>
            <w:r>
              <w:rPr>
                <w:sz w:val="24"/>
                <w:szCs w:val="24"/>
                <w:lang w:eastAsia="da-DK"/>
              </w:rPr>
              <w:t xml:space="preserve">pkt. </w:t>
            </w:r>
            <w:proofErr w:type="gramStart"/>
            <w:r>
              <w:rPr>
                <w:sz w:val="24"/>
                <w:szCs w:val="24"/>
                <w:lang w:eastAsia="da-DK"/>
              </w:rPr>
              <w:t>4.4)*</w:t>
            </w:r>
            <w:proofErr w:type="gramEnd"/>
            <w:r>
              <w:rPr>
                <w:sz w:val="24"/>
                <w:szCs w:val="24"/>
                <w:lang w:eastAsia="da-DK"/>
              </w:rPr>
              <w:t xml:space="preserve">, </w:t>
            </w:r>
            <w:proofErr w:type="spellStart"/>
            <w:r>
              <w:rPr>
                <w:sz w:val="24"/>
                <w:szCs w:val="24"/>
                <w:lang w:eastAsia="da-DK"/>
              </w:rPr>
              <w:t>supraventrikulær</w:t>
            </w:r>
            <w:proofErr w:type="spellEnd"/>
            <w:r>
              <w:rPr>
                <w:sz w:val="24"/>
                <w:szCs w:val="24"/>
                <w:lang w:eastAsia="da-DK"/>
              </w:rPr>
              <w:t xml:space="preserve"> </w:t>
            </w:r>
            <w:proofErr w:type="spellStart"/>
            <w:r>
              <w:rPr>
                <w:sz w:val="24"/>
                <w:szCs w:val="24"/>
                <w:lang w:eastAsia="da-DK"/>
              </w:rPr>
              <w:t>takykardi</w:t>
            </w:r>
            <w:proofErr w:type="spellEnd"/>
            <w:r>
              <w:rPr>
                <w:sz w:val="24"/>
                <w:szCs w:val="24"/>
                <w:lang w:eastAsia="da-DK"/>
              </w:rPr>
              <w:t>, forhøjet diastolisk blodtryk</w:t>
            </w:r>
          </w:p>
          <w:p w:rsidR="00D2028E" w:rsidRDefault="00D2028E" w:rsidP="003B4BCE">
            <w:pPr>
              <w:ind w:left="92"/>
              <w:rPr>
                <w:sz w:val="24"/>
                <w:szCs w:val="24"/>
                <w:lang w:eastAsia="da-DK"/>
              </w:rPr>
            </w:pPr>
          </w:p>
        </w:tc>
        <w:tc>
          <w:tcPr>
            <w:tcW w:w="2401" w:type="dxa"/>
            <w:tcBorders>
              <w:top w:val="single" w:sz="4" w:space="0" w:color="000000"/>
              <w:left w:val="single" w:sz="4" w:space="0" w:color="000000"/>
              <w:bottom w:val="single" w:sz="4" w:space="0" w:color="000000"/>
              <w:right w:val="single" w:sz="4" w:space="0" w:color="000000"/>
            </w:tcBorders>
          </w:tcPr>
          <w:p w:rsidR="00D2028E" w:rsidRDefault="00D2028E" w:rsidP="003B4BCE">
            <w:pPr>
              <w:ind w:left="126"/>
              <w:rPr>
                <w:sz w:val="24"/>
                <w:szCs w:val="24"/>
                <w:lang w:eastAsia="da-DK"/>
              </w:rPr>
            </w:pPr>
            <w:r>
              <w:rPr>
                <w:sz w:val="24"/>
                <w:szCs w:val="24"/>
                <w:lang w:eastAsia="da-DK"/>
              </w:rPr>
              <w:t>Ikke almindelig</w:t>
            </w:r>
          </w:p>
          <w:p w:rsidR="00D2028E" w:rsidRDefault="00D2028E" w:rsidP="003B4BCE">
            <w:pPr>
              <w:ind w:left="126"/>
              <w:rPr>
                <w:sz w:val="24"/>
                <w:szCs w:val="24"/>
                <w:lang w:eastAsia="da-DK"/>
              </w:rPr>
            </w:pPr>
          </w:p>
          <w:p w:rsidR="00D2028E" w:rsidRDefault="00D2028E" w:rsidP="003B4BCE">
            <w:pPr>
              <w:ind w:left="126"/>
              <w:rPr>
                <w:sz w:val="24"/>
                <w:szCs w:val="24"/>
                <w:lang w:eastAsia="da-DK"/>
              </w:rPr>
            </w:pPr>
          </w:p>
          <w:p w:rsidR="00D2028E" w:rsidRDefault="00D2028E" w:rsidP="003B4BCE">
            <w:pPr>
              <w:ind w:left="126"/>
              <w:rPr>
                <w:sz w:val="24"/>
                <w:szCs w:val="24"/>
                <w:lang w:eastAsia="da-DK"/>
              </w:rPr>
            </w:pPr>
          </w:p>
          <w:p w:rsidR="00D2028E" w:rsidRDefault="00D2028E" w:rsidP="003B4BCE">
            <w:pPr>
              <w:ind w:left="126"/>
              <w:rPr>
                <w:sz w:val="24"/>
                <w:szCs w:val="24"/>
                <w:lang w:eastAsia="da-DK"/>
              </w:rPr>
            </w:pPr>
            <w:r>
              <w:rPr>
                <w:sz w:val="24"/>
                <w:szCs w:val="24"/>
                <w:lang w:eastAsia="da-DK"/>
              </w:rPr>
              <w:t>Sjælden</w:t>
            </w:r>
          </w:p>
          <w:p w:rsidR="00D2028E" w:rsidRDefault="00D2028E" w:rsidP="003B4BCE">
            <w:pPr>
              <w:ind w:left="126"/>
              <w:rPr>
                <w:sz w:val="24"/>
                <w:szCs w:val="24"/>
                <w:lang w:eastAsia="da-DK"/>
              </w:rPr>
            </w:pPr>
          </w:p>
        </w:tc>
      </w:tr>
      <w:tr w:rsidR="00D2028E" w:rsidTr="003B4BCE">
        <w:tc>
          <w:tcPr>
            <w:tcW w:w="2667" w:type="dxa"/>
            <w:tcBorders>
              <w:top w:val="single" w:sz="4" w:space="0" w:color="000000"/>
              <w:left w:val="single" w:sz="4" w:space="0" w:color="000000"/>
              <w:bottom w:val="single" w:sz="4" w:space="0" w:color="000000"/>
              <w:right w:val="single" w:sz="4" w:space="0" w:color="000000"/>
            </w:tcBorders>
            <w:hideMark/>
          </w:tcPr>
          <w:p w:rsidR="00D2028E" w:rsidRDefault="00D2028E" w:rsidP="003B4BCE">
            <w:pPr>
              <w:ind w:left="207"/>
              <w:rPr>
                <w:sz w:val="24"/>
                <w:szCs w:val="24"/>
                <w:lang w:eastAsia="da-DK"/>
              </w:rPr>
            </w:pPr>
            <w:r>
              <w:rPr>
                <w:sz w:val="24"/>
                <w:szCs w:val="24"/>
                <w:lang w:eastAsia="da-DK"/>
              </w:rPr>
              <w:t xml:space="preserve">Luftveje, thorax og </w:t>
            </w:r>
            <w:proofErr w:type="spellStart"/>
            <w:r>
              <w:rPr>
                <w:sz w:val="24"/>
                <w:szCs w:val="24"/>
                <w:lang w:eastAsia="da-DK"/>
              </w:rPr>
              <w:t>mediastinum</w:t>
            </w:r>
            <w:proofErr w:type="spellEnd"/>
          </w:p>
        </w:tc>
        <w:tc>
          <w:tcPr>
            <w:tcW w:w="2801" w:type="dxa"/>
            <w:tcBorders>
              <w:top w:val="single" w:sz="4" w:space="0" w:color="000000"/>
              <w:left w:val="single" w:sz="4" w:space="0" w:color="000000"/>
              <w:bottom w:val="single" w:sz="4" w:space="0" w:color="000000"/>
              <w:right w:val="single" w:sz="4" w:space="0" w:color="000000"/>
            </w:tcBorders>
            <w:hideMark/>
          </w:tcPr>
          <w:p w:rsidR="00D2028E" w:rsidRDefault="00D2028E" w:rsidP="003B4BCE">
            <w:pPr>
              <w:ind w:left="92"/>
              <w:rPr>
                <w:sz w:val="24"/>
                <w:szCs w:val="24"/>
                <w:lang w:eastAsia="da-DK"/>
              </w:rPr>
            </w:pPr>
            <w:r>
              <w:rPr>
                <w:sz w:val="24"/>
                <w:szCs w:val="24"/>
                <w:lang w:eastAsia="da-DK"/>
              </w:rPr>
              <w:t xml:space="preserve">Hoste, </w:t>
            </w:r>
            <w:proofErr w:type="spellStart"/>
            <w:r>
              <w:rPr>
                <w:sz w:val="24"/>
                <w:szCs w:val="24"/>
                <w:lang w:eastAsia="da-DK"/>
              </w:rPr>
              <w:t>dysfoni</w:t>
            </w:r>
            <w:proofErr w:type="spellEnd"/>
            <w:r>
              <w:rPr>
                <w:sz w:val="24"/>
                <w:szCs w:val="24"/>
                <w:lang w:eastAsia="da-DK"/>
              </w:rPr>
              <w:t>, irritation i halsen</w:t>
            </w:r>
          </w:p>
          <w:p w:rsidR="005E26FB" w:rsidRDefault="005E26FB" w:rsidP="003B4BCE">
            <w:pPr>
              <w:ind w:left="92"/>
              <w:rPr>
                <w:sz w:val="24"/>
                <w:szCs w:val="24"/>
                <w:lang w:eastAsia="da-DK"/>
              </w:rPr>
            </w:pPr>
          </w:p>
          <w:p w:rsidR="00D2028E" w:rsidRDefault="00D2028E" w:rsidP="003B4BCE">
            <w:pPr>
              <w:ind w:left="92"/>
              <w:rPr>
                <w:sz w:val="24"/>
                <w:szCs w:val="24"/>
                <w:lang w:eastAsia="da-DK"/>
              </w:rPr>
            </w:pPr>
            <w:proofErr w:type="spellStart"/>
            <w:r>
              <w:rPr>
                <w:sz w:val="24"/>
                <w:szCs w:val="24"/>
                <w:lang w:eastAsia="da-DK"/>
              </w:rPr>
              <w:t>Bronkospasmer</w:t>
            </w:r>
            <w:proofErr w:type="spellEnd"/>
            <w:r>
              <w:rPr>
                <w:sz w:val="24"/>
                <w:szCs w:val="24"/>
                <w:lang w:eastAsia="da-DK"/>
              </w:rPr>
              <w:t xml:space="preserve">, paradoksale </w:t>
            </w:r>
            <w:proofErr w:type="spellStart"/>
            <w:proofErr w:type="gramStart"/>
            <w:r>
              <w:rPr>
                <w:sz w:val="24"/>
                <w:szCs w:val="24"/>
                <w:lang w:eastAsia="da-DK"/>
              </w:rPr>
              <w:t>bronkospasmer</w:t>
            </w:r>
            <w:proofErr w:type="spellEnd"/>
            <w:r>
              <w:rPr>
                <w:w w:val="102"/>
                <w:vertAlign w:val="superscript"/>
              </w:rPr>
              <w:t>(</w:t>
            </w:r>
            <w:proofErr w:type="gramEnd"/>
            <w:r>
              <w:rPr>
                <w:w w:val="102"/>
                <w:vertAlign w:val="superscript"/>
              </w:rPr>
              <w:t>2)</w:t>
            </w:r>
            <w:r>
              <w:rPr>
                <w:sz w:val="24"/>
                <w:szCs w:val="24"/>
                <w:lang w:eastAsia="da-DK"/>
              </w:rPr>
              <w:t xml:space="preserve"> (dvs. inhalationsinducerede </w:t>
            </w:r>
            <w:proofErr w:type="spellStart"/>
            <w:r>
              <w:rPr>
                <w:sz w:val="24"/>
                <w:szCs w:val="24"/>
                <w:lang w:eastAsia="da-DK"/>
              </w:rPr>
              <w:t>bronkospasmer</w:t>
            </w:r>
            <w:proofErr w:type="spellEnd"/>
            <w:r>
              <w:rPr>
                <w:sz w:val="24"/>
                <w:szCs w:val="24"/>
                <w:lang w:eastAsia="da-DK"/>
              </w:rPr>
              <w:t xml:space="preserve">), tørhed i halsen, </w:t>
            </w:r>
            <w:proofErr w:type="spellStart"/>
            <w:r>
              <w:rPr>
                <w:sz w:val="24"/>
                <w:szCs w:val="24"/>
                <w:lang w:eastAsia="da-DK"/>
              </w:rPr>
              <w:t>laryngospasmer</w:t>
            </w:r>
            <w:proofErr w:type="spellEnd"/>
            <w:r>
              <w:rPr>
                <w:sz w:val="24"/>
                <w:szCs w:val="24"/>
                <w:lang w:eastAsia="da-DK"/>
              </w:rPr>
              <w:t xml:space="preserve">, </w:t>
            </w:r>
            <w:proofErr w:type="spellStart"/>
            <w:r>
              <w:rPr>
                <w:sz w:val="24"/>
                <w:szCs w:val="24"/>
                <w:lang w:eastAsia="da-DK"/>
              </w:rPr>
              <w:t>faryngealt</w:t>
            </w:r>
            <w:proofErr w:type="spellEnd"/>
            <w:r>
              <w:rPr>
                <w:sz w:val="24"/>
                <w:szCs w:val="24"/>
                <w:lang w:eastAsia="da-DK"/>
              </w:rPr>
              <w:t xml:space="preserve"> ødem.</w:t>
            </w:r>
          </w:p>
          <w:p w:rsidR="00D2028E" w:rsidRDefault="00D2028E" w:rsidP="003B4BCE">
            <w:pPr>
              <w:ind w:left="92"/>
              <w:rPr>
                <w:sz w:val="24"/>
                <w:szCs w:val="24"/>
                <w:lang w:eastAsia="da-DK"/>
              </w:rPr>
            </w:pPr>
          </w:p>
        </w:tc>
        <w:tc>
          <w:tcPr>
            <w:tcW w:w="2401" w:type="dxa"/>
            <w:tcBorders>
              <w:top w:val="single" w:sz="4" w:space="0" w:color="000000"/>
              <w:left w:val="single" w:sz="4" w:space="0" w:color="000000"/>
              <w:bottom w:val="single" w:sz="4" w:space="0" w:color="000000"/>
              <w:right w:val="single" w:sz="4" w:space="0" w:color="000000"/>
            </w:tcBorders>
          </w:tcPr>
          <w:p w:rsidR="00D2028E" w:rsidRDefault="00D2028E" w:rsidP="003B4BCE">
            <w:pPr>
              <w:ind w:left="126"/>
              <w:rPr>
                <w:sz w:val="24"/>
                <w:szCs w:val="24"/>
                <w:lang w:eastAsia="da-DK"/>
              </w:rPr>
            </w:pPr>
            <w:r>
              <w:rPr>
                <w:sz w:val="24"/>
                <w:szCs w:val="24"/>
                <w:lang w:eastAsia="da-DK"/>
              </w:rPr>
              <w:t>Ikke almindelig</w:t>
            </w:r>
          </w:p>
          <w:p w:rsidR="00D2028E" w:rsidRDefault="00D2028E" w:rsidP="003B4BCE">
            <w:pPr>
              <w:ind w:left="126"/>
              <w:rPr>
                <w:sz w:val="24"/>
                <w:szCs w:val="24"/>
                <w:lang w:eastAsia="da-DK"/>
              </w:rPr>
            </w:pPr>
          </w:p>
          <w:p w:rsidR="005E26FB" w:rsidRDefault="005E26FB" w:rsidP="003B4BCE">
            <w:pPr>
              <w:ind w:left="126"/>
              <w:rPr>
                <w:sz w:val="24"/>
                <w:szCs w:val="24"/>
                <w:lang w:eastAsia="da-DK"/>
              </w:rPr>
            </w:pPr>
          </w:p>
          <w:p w:rsidR="00D2028E" w:rsidRDefault="00D2028E" w:rsidP="003B4BCE">
            <w:pPr>
              <w:ind w:left="126"/>
              <w:rPr>
                <w:sz w:val="24"/>
                <w:szCs w:val="24"/>
                <w:lang w:eastAsia="da-DK"/>
              </w:rPr>
            </w:pPr>
            <w:r>
              <w:rPr>
                <w:sz w:val="24"/>
                <w:szCs w:val="24"/>
                <w:lang w:eastAsia="da-DK"/>
              </w:rPr>
              <w:t>Sjælden</w:t>
            </w:r>
          </w:p>
        </w:tc>
      </w:tr>
      <w:tr w:rsidR="00D2028E" w:rsidTr="003B4BCE">
        <w:tc>
          <w:tcPr>
            <w:tcW w:w="2667" w:type="dxa"/>
            <w:tcBorders>
              <w:top w:val="single" w:sz="4" w:space="0" w:color="000000"/>
              <w:left w:val="single" w:sz="4" w:space="0" w:color="000000"/>
              <w:bottom w:val="single" w:sz="4" w:space="0" w:color="000000"/>
              <w:right w:val="single" w:sz="4" w:space="0" w:color="000000"/>
            </w:tcBorders>
            <w:hideMark/>
          </w:tcPr>
          <w:p w:rsidR="00D2028E" w:rsidRDefault="00D2028E" w:rsidP="003B4BCE">
            <w:pPr>
              <w:ind w:left="207"/>
              <w:rPr>
                <w:sz w:val="24"/>
                <w:szCs w:val="24"/>
                <w:lang w:eastAsia="da-DK"/>
              </w:rPr>
            </w:pPr>
            <w:r>
              <w:rPr>
                <w:sz w:val="24"/>
                <w:szCs w:val="24"/>
                <w:lang w:eastAsia="da-DK"/>
              </w:rPr>
              <w:t>Mave-tarm-kanalen</w:t>
            </w:r>
          </w:p>
        </w:tc>
        <w:tc>
          <w:tcPr>
            <w:tcW w:w="2801" w:type="dxa"/>
            <w:tcBorders>
              <w:top w:val="single" w:sz="4" w:space="0" w:color="000000"/>
              <w:left w:val="single" w:sz="4" w:space="0" w:color="000000"/>
              <w:bottom w:val="single" w:sz="4" w:space="0" w:color="000000"/>
              <w:right w:val="single" w:sz="4" w:space="0" w:color="000000"/>
            </w:tcBorders>
            <w:hideMark/>
          </w:tcPr>
          <w:p w:rsidR="00D2028E" w:rsidRDefault="00D2028E" w:rsidP="003B4BCE">
            <w:pPr>
              <w:ind w:left="92"/>
              <w:rPr>
                <w:sz w:val="24"/>
                <w:szCs w:val="24"/>
                <w:lang w:eastAsia="da-DK"/>
              </w:rPr>
            </w:pPr>
            <w:r>
              <w:rPr>
                <w:sz w:val="24"/>
                <w:szCs w:val="24"/>
                <w:lang w:eastAsia="da-DK"/>
              </w:rPr>
              <w:t>Mundtørhed, kvalme</w:t>
            </w:r>
          </w:p>
          <w:p w:rsidR="005E26FB" w:rsidRDefault="005E26FB" w:rsidP="003B4BCE">
            <w:pPr>
              <w:ind w:left="92"/>
              <w:rPr>
                <w:sz w:val="24"/>
                <w:szCs w:val="24"/>
                <w:lang w:eastAsia="da-DK"/>
              </w:rPr>
            </w:pPr>
          </w:p>
          <w:p w:rsidR="00D2028E" w:rsidRDefault="00D2028E" w:rsidP="003B4BCE">
            <w:pPr>
              <w:ind w:left="92"/>
              <w:rPr>
                <w:sz w:val="24"/>
                <w:szCs w:val="24"/>
                <w:lang w:eastAsia="da-DK"/>
              </w:rPr>
            </w:pPr>
            <w:proofErr w:type="spellStart"/>
            <w:r>
              <w:t>Gastrointestinale</w:t>
            </w:r>
            <w:proofErr w:type="spellEnd"/>
            <w:r>
              <w:t xml:space="preserve"> </w:t>
            </w:r>
            <w:proofErr w:type="spellStart"/>
            <w:r>
              <w:t>motilitets</w:t>
            </w:r>
            <w:r>
              <w:rPr>
                <w:sz w:val="24"/>
                <w:szCs w:val="24"/>
                <w:lang w:eastAsia="da-DK"/>
              </w:rPr>
              <w:t>forstyrrelser</w:t>
            </w:r>
            <w:proofErr w:type="spellEnd"/>
            <w:r>
              <w:rPr>
                <w:sz w:val="24"/>
                <w:szCs w:val="24"/>
                <w:lang w:eastAsia="da-DK"/>
              </w:rPr>
              <w:t xml:space="preserve"> (f.eks. diarré, obstipation, opkastning), karies, mundødem, </w:t>
            </w:r>
            <w:proofErr w:type="spellStart"/>
            <w:r>
              <w:rPr>
                <w:sz w:val="24"/>
                <w:szCs w:val="24"/>
                <w:lang w:eastAsia="da-DK"/>
              </w:rPr>
              <w:t>stomatitis</w:t>
            </w:r>
            <w:proofErr w:type="spellEnd"/>
            <w:r>
              <w:rPr>
                <w:sz w:val="24"/>
                <w:szCs w:val="24"/>
                <w:lang w:eastAsia="da-DK"/>
              </w:rPr>
              <w:t>, smagsforandringer</w:t>
            </w:r>
          </w:p>
          <w:p w:rsidR="00D2028E" w:rsidRDefault="00D2028E" w:rsidP="003B4BCE">
            <w:pPr>
              <w:ind w:left="92"/>
              <w:rPr>
                <w:sz w:val="24"/>
                <w:szCs w:val="24"/>
                <w:lang w:eastAsia="da-DK"/>
              </w:rPr>
            </w:pPr>
          </w:p>
        </w:tc>
        <w:tc>
          <w:tcPr>
            <w:tcW w:w="2401" w:type="dxa"/>
            <w:tcBorders>
              <w:top w:val="single" w:sz="4" w:space="0" w:color="000000"/>
              <w:left w:val="single" w:sz="4" w:space="0" w:color="000000"/>
              <w:bottom w:val="single" w:sz="4" w:space="0" w:color="000000"/>
              <w:right w:val="single" w:sz="4" w:space="0" w:color="000000"/>
            </w:tcBorders>
          </w:tcPr>
          <w:p w:rsidR="00D2028E" w:rsidRDefault="00D2028E" w:rsidP="003B4BCE">
            <w:pPr>
              <w:ind w:left="126"/>
              <w:rPr>
                <w:sz w:val="24"/>
                <w:szCs w:val="24"/>
                <w:lang w:eastAsia="da-DK"/>
              </w:rPr>
            </w:pPr>
            <w:r>
              <w:rPr>
                <w:sz w:val="24"/>
                <w:szCs w:val="24"/>
                <w:lang w:eastAsia="da-DK"/>
              </w:rPr>
              <w:t xml:space="preserve">Almindelig </w:t>
            </w:r>
          </w:p>
          <w:p w:rsidR="00D2028E" w:rsidRDefault="00D2028E" w:rsidP="003B4BCE">
            <w:pPr>
              <w:ind w:left="126"/>
              <w:rPr>
                <w:sz w:val="24"/>
                <w:szCs w:val="24"/>
                <w:lang w:eastAsia="da-DK"/>
              </w:rPr>
            </w:pPr>
          </w:p>
          <w:p w:rsidR="00D2028E" w:rsidRDefault="00D2028E" w:rsidP="003B4BCE">
            <w:pPr>
              <w:ind w:left="126"/>
              <w:rPr>
                <w:sz w:val="24"/>
                <w:szCs w:val="24"/>
                <w:lang w:eastAsia="da-DK"/>
              </w:rPr>
            </w:pPr>
            <w:r>
              <w:rPr>
                <w:sz w:val="24"/>
                <w:szCs w:val="24"/>
                <w:lang w:eastAsia="da-DK"/>
              </w:rPr>
              <w:t>Sjælden</w:t>
            </w:r>
          </w:p>
        </w:tc>
      </w:tr>
      <w:tr w:rsidR="00D2028E" w:rsidTr="003B4BCE">
        <w:tc>
          <w:tcPr>
            <w:tcW w:w="2667" w:type="dxa"/>
            <w:tcBorders>
              <w:top w:val="single" w:sz="4" w:space="0" w:color="000000"/>
              <w:left w:val="single" w:sz="4" w:space="0" w:color="000000"/>
              <w:bottom w:val="single" w:sz="4" w:space="0" w:color="000000"/>
              <w:right w:val="single" w:sz="4" w:space="0" w:color="000000"/>
            </w:tcBorders>
            <w:hideMark/>
          </w:tcPr>
          <w:p w:rsidR="00D2028E" w:rsidRDefault="00D2028E" w:rsidP="003B4BCE">
            <w:pPr>
              <w:ind w:left="207"/>
              <w:rPr>
                <w:sz w:val="24"/>
                <w:szCs w:val="24"/>
                <w:lang w:eastAsia="da-DK"/>
              </w:rPr>
            </w:pPr>
            <w:r>
              <w:rPr>
                <w:sz w:val="24"/>
                <w:szCs w:val="24"/>
                <w:lang w:eastAsia="da-DK"/>
              </w:rPr>
              <w:t>Hud og subkutane væv</w:t>
            </w:r>
          </w:p>
        </w:tc>
        <w:tc>
          <w:tcPr>
            <w:tcW w:w="2801" w:type="dxa"/>
            <w:tcBorders>
              <w:top w:val="single" w:sz="4" w:space="0" w:color="000000"/>
              <w:left w:val="single" w:sz="4" w:space="0" w:color="000000"/>
              <w:bottom w:val="single" w:sz="4" w:space="0" w:color="000000"/>
              <w:right w:val="single" w:sz="4" w:space="0" w:color="000000"/>
            </w:tcBorders>
            <w:hideMark/>
          </w:tcPr>
          <w:p w:rsidR="00D2028E" w:rsidRDefault="00D2028E" w:rsidP="003B4BCE">
            <w:pPr>
              <w:ind w:left="92"/>
              <w:rPr>
                <w:sz w:val="24"/>
                <w:szCs w:val="24"/>
                <w:lang w:eastAsia="da-DK"/>
              </w:rPr>
            </w:pPr>
            <w:r>
              <w:rPr>
                <w:sz w:val="24"/>
                <w:szCs w:val="24"/>
                <w:lang w:eastAsia="da-DK"/>
              </w:rPr>
              <w:t>Hudreaktioner</w:t>
            </w:r>
          </w:p>
          <w:p w:rsidR="005E26FB" w:rsidRDefault="005E26FB" w:rsidP="003B4BCE">
            <w:pPr>
              <w:ind w:left="92"/>
              <w:rPr>
                <w:sz w:val="24"/>
                <w:szCs w:val="24"/>
                <w:lang w:eastAsia="da-DK"/>
              </w:rPr>
            </w:pPr>
          </w:p>
          <w:p w:rsidR="00D2028E" w:rsidRDefault="00D2028E" w:rsidP="003B4BCE">
            <w:pPr>
              <w:ind w:left="92"/>
              <w:rPr>
                <w:sz w:val="24"/>
                <w:szCs w:val="24"/>
                <w:lang w:eastAsia="da-DK"/>
              </w:rPr>
            </w:pPr>
            <w:proofErr w:type="spellStart"/>
            <w:r>
              <w:rPr>
                <w:sz w:val="24"/>
                <w:szCs w:val="24"/>
                <w:lang w:eastAsia="da-DK"/>
              </w:rPr>
              <w:t>Hyperhidrose</w:t>
            </w:r>
            <w:proofErr w:type="spellEnd"/>
            <w:r>
              <w:rPr>
                <w:sz w:val="24"/>
                <w:szCs w:val="24"/>
                <w:lang w:eastAsia="da-DK"/>
              </w:rPr>
              <w:t xml:space="preserve">, udslæt, kløe, </w:t>
            </w:r>
            <w:proofErr w:type="spellStart"/>
            <w:r>
              <w:rPr>
                <w:sz w:val="24"/>
                <w:szCs w:val="24"/>
                <w:lang w:eastAsia="da-DK"/>
              </w:rPr>
              <w:t>urticaria</w:t>
            </w:r>
            <w:proofErr w:type="spellEnd"/>
            <w:r>
              <w:rPr>
                <w:sz w:val="24"/>
                <w:szCs w:val="24"/>
                <w:lang w:eastAsia="da-DK"/>
              </w:rPr>
              <w:t xml:space="preserve">, </w:t>
            </w:r>
            <w:proofErr w:type="spellStart"/>
            <w:r>
              <w:rPr>
                <w:sz w:val="24"/>
                <w:szCs w:val="24"/>
                <w:lang w:eastAsia="da-DK"/>
              </w:rPr>
              <w:t>angioødem</w:t>
            </w:r>
            <w:proofErr w:type="spellEnd"/>
          </w:p>
          <w:p w:rsidR="00D2028E" w:rsidRDefault="00D2028E" w:rsidP="003B4BCE">
            <w:pPr>
              <w:ind w:left="92"/>
              <w:rPr>
                <w:sz w:val="24"/>
                <w:szCs w:val="24"/>
                <w:lang w:eastAsia="da-DK"/>
              </w:rPr>
            </w:pPr>
          </w:p>
        </w:tc>
        <w:tc>
          <w:tcPr>
            <w:tcW w:w="2401" w:type="dxa"/>
            <w:tcBorders>
              <w:top w:val="single" w:sz="4" w:space="0" w:color="000000"/>
              <w:left w:val="single" w:sz="4" w:space="0" w:color="000000"/>
              <w:bottom w:val="single" w:sz="4" w:space="0" w:color="000000"/>
              <w:right w:val="single" w:sz="4" w:space="0" w:color="000000"/>
            </w:tcBorders>
          </w:tcPr>
          <w:p w:rsidR="005E26FB" w:rsidRDefault="00D2028E" w:rsidP="003B4BCE">
            <w:pPr>
              <w:ind w:left="126"/>
              <w:rPr>
                <w:sz w:val="24"/>
                <w:szCs w:val="24"/>
                <w:lang w:eastAsia="da-DK"/>
              </w:rPr>
            </w:pPr>
            <w:r>
              <w:rPr>
                <w:sz w:val="24"/>
                <w:szCs w:val="24"/>
                <w:lang w:eastAsia="da-DK"/>
              </w:rPr>
              <w:t xml:space="preserve">Ikke almindelig </w:t>
            </w:r>
          </w:p>
          <w:p w:rsidR="005E26FB" w:rsidRDefault="005E26FB" w:rsidP="003B4BCE">
            <w:pPr>
              <w:ind w:left="126"/>
              <w:rPr>
                <w:sz w:val="24"/>
                <w:szCs w:val="24"/>
                <w:lang w:eastAsia="da-DK"/>
              </w:rPr>
            </w:pPr>
          </w:p>
          <w:p w:rsidR="00D2028E" w:rsidRDefault="00D2028E" w:rsidP="003B4BCE">
            <w:pPr>
              <w:ind w:left="126"/>
              <w:rPr>
                <w:sz w:val="24"/>
                <w:szCs w:val="24"/>
                <w:lang w:eastAsia="da-DK"/>
              </w:rPr>
            </w:pPr>
            <w:r>
              <w:rPr>
                <w:sz w:val="24"/>
                <w:szCs w:val="24"/>
                <w:lang w:eastAsia="da-DK"/>
              </w:rPr>
              <w:t>Sjælden</w:t>
            </w:r>
          </w:p>
          <w:p w:rsidR="00D2028E" w:rsidRDefault="00D2028E" w:rsidP="003B4BCE">
            <w:pPr>
              <w:ind w:left="126"/>
              <w:rPr>
                <w:sz w:val="24"/>
                <w:szCs w:val="24"/>
                <w:lang w:eastAsia="da-DK"/>
              </w:rPr>
            </w:pPr>
          </w:p>
        </w:tc>
      </w:tr>
      <w:tr w:rsidR="00D2028E" w:rsidTr="003B4BCE">
        <w:tc>
          <w:tcPr>
            <w:tcW w:w="2667" w:type="dxa"/>
            <w:tcBorders>
              <w:top w:val="single" w:sz="4" w:space="0" w:color="000000"/>
              <w:left w:val="single" w:sz="4" w:space="0" w:color="000000"/>
              <w:bottom w:val="single" w:sz="4" w:space="0" w:color="000000"/>
              <w:right w:val="single" w:sz="4" w:space="0" w:color="000000"/>
            </w:tcBorders>
            <w:hideMark/>
          </w:tcPr>
          <w:p w:rsidR="00D2028E" w:rsidRDefault="00D2028E" w:rsidP="003B4BCE">
            <w:pPr>
              <w:ind w:left="207"/>
              <w:rPr>
                <w:sz w:val="24"/>
                <w:szCs w:val="24"/>
                <w:lang w:eastAsia="da-DK"/>
              </w:rPr>
            </w:pPr>
            <w:r>
              <w:rPr>
                <w:sz w:val="24"/>
                <w:szCs w:val="24"/>
                <w:lang w:eastAsia="da-DK"/>
              </w:rPr>
              <w:t>Knogler, led, muskler og bindevæv</w:t>
            </w:r>
          </w:p>
        </w:tc>
        <w:tc>
          <w:tcPr>
            <w:tcW w:w="2801" w:type="dxa"/>
            <w:tcBorders>
              <w:top w:val="single" w:sz="4" w:space="0" w:color="000000"/>
              <w:left w:val="single" w:sz="4" w:space="0" w:color="000000"/>
              <w:bottom w:val="single" w:sz="4" w:space="0" w:color="000000"/>
              <w:right w:val="single" w:sz="4" w:space="0" w:color="000000"/>
            </w:tcBorders>
            <w:hideMark/>
          </w:tcPr>
          <w:p w:rsidR="00D2028E" w:rsidRDefault="00D2028E" w:rsidP="003B4BCE">
            <w:pPr>
              <w:ind w:left="92"/>
              <w:rPr>
                <w:sz w:val="24"/>
                <w:szCs w:val="24"/>
                <w:lang w:eastAsia="da-DK"/>
              </w:rPr>
            </w:pPr>
            <w:r>
              <w:rPr>
                <w:sz w:val="24"/>
                <w:szCs w:val="24"/>
                <w:lang w:eastAsia="da-DK"/>
              </w:rPr>
              <w:t>Muskelspasmer, muskelsvaghed, myalgi, muskelkramper</w:t>
            </w:r>
            <w:r w:rsidR="005E26FB">
              <w:rPr>
                <w:sz w:val="24"/>
                <w:szCs w:val="24"/>
                <w:lang w:eastAsia="da-DK"/>
              </w:rPr>
              <w:t xml:space="preserve"> </w:t>
            </w:r>
            <w:r>
              <w:rPr>
                <w:sz w:val="24"/>
                <w:szCs w:val="24"/>
                <w:lang w:eastAsia="da-DK"/>
              </w:rPr>
              <w:t>og -svaghed, muskelspasmer</w:t>
            </w:r>
          </w:p>
          <w:p w:rsidR="00D2028E" w:rsidRDefault="00D2028E" w:rsidP="003B4BCE">
            <w:pPr>
              <w:ind w:left="92"/>
              <w:rPr>
                <w:sz w:val="24"/>
                <w:szCs w:val="24"/>
                <w:lang w:eastAsia="da-DK"/>
              </w:rPr>
            </w:pPr>
          </w:p>
        </w:tc>
        <w:tc>
          <w:tcPr>
            <w:tcW w:w="2401" w:type="dxa"/>
            <w:tcBorders>
              <w:top w:val="single" w:sz="4" w:space="0" w:color="000000"/>
              <w:left w:val="single" w:sz="4" w:space="0" w:color="000000"/>
              <w:bottom w:val="single" w:sz="4" w:space="0" w:color="000000"/>
              <w:right w:val="single" w:sz="4" w:space="0" w:color="000000"/>
            </w:tcBorders>
            <w:hideMark/>
          </w:tcPr>
          <w:p w:rsidR="00D2028E" w:rsidRDefault="00D2028E" w:rsidP="003B4BCE">
            <w:pPr>
              <w:ind w:left="126"/>
              <w:rPr>
                <w:sz w:val="24"/>
                <w:szCs w:val="24"/>
                <w:lang w:eastAsia="da-DK"/>
              </w:rPr>
            </w:pPr>
            <w:r>
              <w:rPr>
                <w:sz w:val="24"/>
                <w:szCs w:val="24"/>
                <w:lang w:eastAsia="da-DK"/>
              </w:rPr>
              <w:t>Sjælden</w:t>
            </w:r>
          </w:p>
        </w:tc>
      </w:tr>
      <w:tr w:rsidR="00D2028E" w:rsidTr="003B4BCE">
        <w:tc>
          <w:tcPr>
            <w:tcW w:w="2667" w:type="dxa"/>
            <w:tcBorders>
              <w:top w:val="single" w:sz="4" w:space="0" w:color="000000"/>
              <w:left w:val="single" w:sz="4" w:space="0" w:color="000000"/>
              <w:bottom w:val="single" w:sz="4" w:space="0" w:color="000000"/>
              <w:right w:val="single" w:sz="4" w:space="0" w:color="000000"/>
            </w:tcBorders>
            <w:hideMark/>
          </w:tcPr>
          <w:p w:rsidR="00D2028E" w:rsidRDefault="00D2028E" w:rsidP="003B4BCE">
            <w:pPr>
              <w:ind w:left="207"/>
              <w:rPr>
                <w:sz w:val="24"/>
                <w:szCs w:val="24"/>
                <w:lang w:eastAsia="da-DK"/>
              </w:rPr>
            </w:pPr>
            <w:r>
              <w:rPr>
                <w:sz w:val="24"/>
                <w:szCs w:val="24"/>
                <w:lang w:eastAsia="da-DK"/>
              </w:rPr>
              <w:t>Nyrer og urinveje</w:t>
            </w:r>
          </w:p>
        </w:tc>
        <w:tc>
          <w:tcPr>
            <w:tcW w:w="2801" w:type="dxa"/>
            <w:tcBorders>
              <w:top w:val="single" w:sz="4" w:space="0" w:color="000000"/>
              <w:left w:val="single" w:sz="4" w:space="0" w:color="000000"/>
              <w:bottom w:val="single" w:sz="4" w:space="0" w:color="000000"/>
              <w:right w:val="single" w:sz="4" w:space="0" w:color="000000"/>
            </w:tcBorders>
            <w:hideMark/>
          </w:tcPr>
          <w:p w:rsidR="00D2028E" w:rsidRDefault="00D2028E" w:rsidP="003B4BCE">
            <w:pPr>
              <w:ind w:left="92"/>
              <w:rPr>
                <w:sz w:val="24"/>
                <w:szCs w:val="24"/>
                <w:lang w:eastAsia="da-DK"/>
              </w:rPr>
            </w:pPr>
            <w:proofErr w:type="gramStart"/>
            <w:r>
              <w:rPr>
                <w:sz w:val="24"/>
                <w:szCs w:val="24"/>
                <w:lang w:eastAsia="da-DK"/>
              </w:rPr>
              <w:t>Urinretention</w:t>
            </w:r>
            <w:r>
              <w:rPr>
                <w:w w:val="102"/>
                <w:vertAlign w:val="superscript"/>
              </w:rPr>
              <w:t>(</w:t>
            </w:r>
            <w:proofErr w:type="gramEnd"/>
            <w:r>
              <w:rPr>
                <w:w w:val="102"/>
                <w:vertAlign w:val="superscript"/>
              </w:rPr>
              <w:t>3)</w:t>
            </w:r>
            <w:r>
              <w:rPr>
                <w:sz w:val="24"/>
                <w:szCs w:val="24"/>
                <w:lang w:eastAsia="da-DK"/>
              </w:rPr>
              <w:t>.</w:t>
            </w:r>
          </w:p>
          <w:p w:rsidR="00D2028E" w:rsidRDefault="00D2028E" w:rsidP="003B4BCE">
            <w:pPr>
              <w:ind w:left="92"/>
              <w:rPr>
                <w:sz w:val="24"/>
                <w:szCs w:val="24"/>
                <w:lang w:eastAsia="da-DK"/>
              </w:rPr>
            </w:pPr>
          </w:p>
        </w:tc>
        <w:tc>
          <w:tcPr>
            <w:tcW w:w="2401" w:type="dxa"/>
            <w:tcBorders>
              <w:top w:val="single" w:sz="4" w:space="0" w:color="000000"/>
              <w:left w:val="single" w:sz="4" w:space="0" w:color="000000"/>
              <w:bottom w:val="single" w:sz="4" w:space="0" w:color="000000"/>
              <w:right w:val="single" w:sz="4" w:space="0" w:color="000000"/>
            </w:tcBorders>
            <w:hideMark/>
          </w:tcPr>
          <w:p w:rsidR="00D2028E" w:rsidRDefault="00D2028E" w:rsidP="003B4BCE">
            <w:pPr>
              <w:ind w:left="126"/>
              <w:rPr>
                <w:sz w:val="24"/>
                <w:szCs w:val="24"/>
                <w:lang w:eastAsia="da-DK"/>
              </w:rPr>
            </w:pPr>
            <w:r>
              <w:rPr>
                <w:sz w:val="24"/>
                <w:szCs w:val="24"/>
                <w:lang w:eastAsia="da-DK"/>
              </w:rPr>
              <w:t>Sjælden</w:t>
            </w:r>
          </w:p>
        </w:tc>
      </w:tr>
      <w:tr w:rsidR="00D2028E" w:rsidTr="003B4BCE">
        <w:tc>
          <w:tcPr>
            <w:tcW w:w="2667" w:type="dxa"/>
            <w:tcBorders>
              <w:top w:val="single" w:sz="4" w:space="0" w:color="000000"/>
              <w:left w:val="single" w:sz="4" w:space="0" w:color="000000"/>
              <w:bottom w:val="single" w:sz="4" w:space="0" w:color="000000"/>
              <w:right w:val="single" w:sz="4" w:space="0" w:color="000000"/>
            </w:tcBorders>
            <w:hideMark/>
          </w:tcPr>
          <w:p w:rsidR="00D2028E" w:rsidRDefault="00D2028E" w:rsidP="003B4BCE">
            <w:pPr>
              <w:ind w:left="207"/>
              <w:rPr>
                <w:sz w:val="24"/>
                <w:szCs w:val="24"/>
                <w:lang w:eastAsia="da-DK"/>
              </w:rPr>
            </w:pPr>
            <w:r>
              <w:rPr>
                <w:sz w:val="24"/>
                <w:szCs w:val="24"/>
                <w:lang w:eastAsia="da-DK"/>
              </w:rPr>
              <w:lastRenderedPageBreak/>
              <w:t>Almene symptomer og reaktioner på administrationsstedet</w:t>
            </w:r>
          </w:p>
          <w:p w:rsidR="00D2028E" w:rsidRDefault="00D2028E" w:rsidP="003B4BCE">
            <w:pPr>
              <w:ind w:left="207"/>
              <w:rPr>
                <w:sz w:val="24"/>
                <w:szCs w:val="24"/>
                <w:lang w:eastAsia="da-DK"/>
              </w:rPr>
            </w:pPr>
          </w:p>
        </w:tc>
        <w:tc>
          <w:tcPr>
            <w:tcW w:w="2801" w:type="dxa"/>
            <w:tcBorders>
              <w:top w:val="single" w:sz="4" w:space="0" w:color="000000"/>
              <w:left w:val="single" w:sz="4" w:space="0" w:color="000000"/>
              <w:bottom w:val="single" w:sz="4" w:space="0" w:color="000000"/>
              <w:right w:val="single" w:sz="4" w:space="0" w:color="000000"/>
            </w:tcBorders>
            <w:hideMark/>
          </w:tcPr>
          <w:p w:rsidR="00D2028E" w:rsidRDefault="00D2028E" w:rsidP="003B4BCE">
            <w:pPr>
              <w:ind w:left="92"/>
              <w:rPr>
                <w:sz w:val="24"/>
                <w:szCs w:val="24"/>
                <w:lang w:eastAsia="da-DK"/>
              </w:rPr>
            </w:pPr>
            <w:r>
              <w:rPr>
                <w:sz w:val="24"/>
                <w:szCs w:val="24"/>
                <w:lang w:eastAsia="da-DK"/>
              </w:rPr>
              <w:t>Asteni</w:t>
            </w:r>
          </w:p>
        </w:tc>
        <w:tc>
          <w:tcPr>
            <w:tcW w:w="2401" w:type="dxa"/>
            <w:tcBorders>
              <w:top w:val="single" w:sz="4" w:space="0" w:color="000000"/>
              <w:left w:val="single" w:sz="4" w:space="0" w:color="000000"/>
              <w:bottom w:val="single" w:sz="4" w:space="0" w:color="000000"/>
              <w:right w:val="single" w:sz="4" w:space="0" w:color="000000"/>
            </w:tcBorders>
            <w:hideMark/>
          </w:tcPr>
          <w:p w:rsidR="00D2028E" w:rsidRDefault="00D2028E" w:rsidP="003B4BCE">
            <w:pPr>
              <w:ind w:left="126"/>
              <w:rPr>
                <w:sz w:val="24"/>
                <w:szCs w:val="24"/>
                <w:lang w:eastAsia="da-DK"/>
              </w:rPr>
            </w:pPr>
            <w:r>
              <w:rPr>
                <w:sz w:val="24"/>
                <w:szCs w:val="24"/>
                <w:lang w:eastAsia="da-DK"/>
              </w:rPr>
              <w:t>Sjælden</w:t>
            </w:r>
          </w:p>
        </w:tc>
      </w:tr>
    </w:tbl>
    <w:p w:rsidR="00D2028E" w:rsidRDefault="00D2028E" w:rsidP="00D2028E">
      <w:pPr>
        <w:ind w:left="851"/>
        <w:rPr>
          <w:sz w:val="24"/>
          <w:szCs w:val="24"/>
          <w:lang w:eastAsia="da-DK"/>
        </w:rPr>
      </w:pPr>
    </w:p>
    <w:p w:rsidR="00D2028E" w:rsidRDefault="00D2028E" w:rsidP="00D2028E">
      <w:pPr>
        <w:pStyle w:val="Sidehoved"/>
        <w:tabs>
          <w:tab w:val="left" w:pos="851"/>
        </w:tabs>
        <w:ind w:left="1211"/>
      </w:pPr>
      <w:r w:rsidRPr="00F9596F">
        <w:rPr>
          <w:vertAlign w:val="superscript"/>
        </w:rPr>
        <w:t>(1)</w:t>
      </w:r>
      <w:r w:rsidRPr="00F9596F">
        <w:t xml:space="preserve"> </w:t>
      </w:r>
      <w:r>
        <w:rPr>
          <w:color w:val="222222"/>
          <w:szCs w:val="24"/>
        </w:rPr>
        <w:t>Der er rapporteret om ø</w:t>
      </w:r>
      <w:r>
        <w:rPr>
          <w:u w:val="single"/>
        </w:rPr>
        <w:t>jen</w:t>
      </w:r>
      <w:r>
        <w:rPr>
          <w:color w:val="222222"/>
          <w:szCs w:val="24"/>
        </w:rPr>
        <w:t xml:space="preserve">komplikationer, efter at </w:t>
      </w:r>
      <w:r>
        <w:t xml:space="preserve">forstøvet </w:t>
      </w:r>
      <w:proofErr w:type="spellStart"/>
      <w:r>
        <w:t>ipratropiumbromid</w:t>
      </w:r>
      <w:proofErr w:type="spellEnd"/>
      <w:r>
        <w:t xml:space="preserve"> som monoterapi eller sammen med </w:t>
      </w:r>
      <w:proofErr w:type="spellStart"/>
      <w:r>
        <w:t>adrenerg</w:t>
      </w:r>
      <w:proofErr w:type="spellEnd"/>
      <w:r>
        <w:t xml:space="preserve"> betabeta-2-agonist er kommet i øjnene.</w:t>
      </w:r>
    </w:p>
    <w:p w:rsidR="00D2028E" w:rsidRDefault="00D2028E" w:rsidP="00D2028E">
      <w:pPr>
        <w:pStyle w:val="Listeafsnit"/>
        <w:ind w:left="1211"/>
        <w:rPr>
          <w:color w:val="222222"/>
          <w:sz w:val="24"/>
          <w:szCs w:val="24"/>
        </w:rPr>
      </w:pPr>
      <w:r>
        <w:rPr>
          <w:color w:val="222222"/>
          <w:sz w:val="24"/>
          <w:szCs w:val="24"/>
        </w:rPr>
        <w:t xml:space="preserve"> - se pkt. 4.4.</w:t>
      </w:r>
    </w:p>
    <w:p w:rsidR="00D2028E" w:rsidRDefault="00D2028E" w:rsidP="00D2028E">
      <w:pPr>
        <w:pStyle w:val="Listeafsnit"/>
        <w:ind w:left="1211"/>
        <w:rPr>
          <w:color w:val="222222"/>
          <w:sz w:val="24"/>
          <w:szCs w:val="24"/>
        </w:rPr>
      </w:pPr>
    </w:p>
    <w:p w:rsidR="00D2028E" w:rsidRDefault="00D2028E" w:rsidP="00D2028E">
      <w:pPr>
        <w:pStyle w:val="Listeafsnit"/>
        <w:ind w:left="1211"/>
        <w:rPr>
          <w:color w:val="222222"/>
          <w:sz w:val="24"/>
          <w:szCs w:val="24"/>
        </w:rPr>
      </w:pPr>
      <w:r w:rsidRPr="00F9596F">
        <w:rPr>
          <w:vertAlign w:val="superscript"/>
        </w:rPr>
        <w:t>(2)</w:t>
      </w:r>
      <w:r w:rsidRPr="00F9596F">
        <w:rPr>
          <w:color w:val="222222"/>
          <w:sz w:val="24"/>
          <w:szCs w:val="24"/>
        </w:rPr>
        <w:t xml:space="preserve"> </w:t>
      </w:r>
      <w:r>
        <w:rPr>
          <w:color w:val="222222"/>
          <w:sz w:val="24"/>
          <w:szCs w:val="24"/>
        </w:rPr>
        <w:t xml:space="preserve">som med anden inhalationsterapi kan paradoksalt </w:t>
      </w:r>
      <w:proofErr w:type="spellStart"/>
      <w:r>
        <w:rPr>
          <w:color w:val="222222"/>
          <w:sz w:val="24"/>
          <w:szCs w:val="24"/>
        </w:rPr>
        <w:t>bronkospasme</w:t>
      </w:r>
      <w:proofErr w:type="spellEnd"/>
      <w:r>
        <w:rPr>
          <w:color w:val="222222"/>
          <w:sz w:val="24"/>
          <w:szCs w:val="24"/>
        </w:rPr>
        <w:t xml:space="preserve"> forekomme med en øjeblikkelig stigning i </w:t>
      </w:r>
      <w:proofErr w:type="spellStart"/>
      <w:r>
        <w:t>hiven</w:t>
      </w:r>
      <w:proofErr w:type="spellEnd"/>
      <w:r>
        <w:t xml:space="preserve"> efter vejret </w:t>
      </w:r>
      <w:r>
        <w:rPr>
          <w:color w:val="222222"/>
          <w:sz w:val="24"/>
          <w:szCs w:val="24"/>
        </w:rPr>
        <w:t xml:space="preserve">og åndenød efter dosering. Paradoksal </w:t>
      </w:r>
      <w:proofErr w:type="spellStart"/>
      <w:r>
        <w:rPr>
          <w:color w:val="222222"/>
          <w:sz w:val="24"/>
          <w:szCs w:val="24"/>
        </w:rPr>
        <w:t>bronkospasme</w:t>
      </w:r>
      <w:proofErr w:type="spellEnd"/>
      <w:r>
        <w:rPr>
          <w:color w:val="222222"/>
          <w:sz w:val="24"/>
          <w:szCs w:val="24"/>
        </w:rPr>
        <w:t xml:space="preserve"> reagerer på en hurtigtvirkende inhaleret </w:t>
      </w:r>
      <w:proofErr w:type="spellStart"/>
      <w:r>
        <w:rPr>
          <w:color w:val="222222"/>
          <w:sz w:val="24"/>
          <w:szCs w:val="24"/>
        </w:rPr>
        <w:t>bronkodila</w:t>
      </w:r>
      <w:r w:rsidR="005E26FB">
        <w:rPr>
          <w:color w:val="222222"/>
          <w:sz w:val="24"/>
          <w:szCs w:val="24"/>
        </w:rPr>
        <w:t>ta</w:t>
      </w:r>
      <w:r>
        <w:rPr>
          <w:color w:val="222222"/>
          <w:sz w:val="24"/>
          <w:szCs w:val="24"/>
        </w:rPr>
        <w:t>tor</w:t>
      </w:r>
      <w:proofErr w:type="spellEnd"/>
      <w:r>
        <w:rPr>
          <w:color w:val="222222"/>
          <w:sz w:val="24"/>
          <w:szCs w:val="24"/>
        </w:rPr>
        <w:t xml:space="preserve"> og bør behandles straks. </w:t>
      </w:r>
      <w:proofErr w:type="spellStart"/>
      <w:r>
        <w:rPr>
          <w:color w:val="222222"/>
          <w:sz w:val="24"/>
          <w:szCs w:val="24"/>
        </w:rPr>
        <w:t>Ipratropiumbromid</w:t>
      </w:r>
      <w:proofErr w:type="spellEnd"/>
      <w:r>
        <w:rPr>
          <w:color w:val="222222"/>
          <w:sz w:val="24"/>
          <w:szCs w:val="24"/>
        </w:rPr>
        <w:t>/</w:t>
      </w:r>
      <w:proofErr w:type="spellStart"/>
      <w:r>
        <w:rPr>
          <w:color w:val="222222"/>
          <w:sz w:val="24"/>
          <w:szCs w:val="24"/>
        </w:rPr>
        <w:t>salbutamol</w:t>
      </w:r>
      <w:proofErr w:type="spellEnd"/>
      <w:r>
        <w:rPr>
          <w:color w:val="222222"/>
          <w:sz w:val="24"/>
          <w:szCs w:val="24"/>
        </w:rPr>
        <w:t xml:space="preserve"> bør seponeres straks, patienten skal vurderes, og alternativ behandling indledes om nødvendigt - se pkt. 4.4</w:t>
      </w:r>
      <w:r>
        <w:rPr>
          <w:color w:val="222222"/>
          <w:sz w:val="24"/>
          <w:szCs w:val="24"/>
        </w:rPr>
        <w:br/>
      </w:r>
      <w:r>
        <w:rPr>
          <w:color w:val="222222"/>
          <w:sz w:val="24"/>
          <w:szCs w:val="24"/>
        </w:rPr>
        <w:br/>
      </w:r>
      <w:r w:rsidRPr="00F9596F">
        <w:rPr>
          <w:vertAlign w:val="superscript"/>
        </w:rPr>
        <w:t>(3)</w:t>
      </w:r>
      <w:r w:rsidRPr="00F9596F">
        <w:t xml:space="preserve"> </w:t>
      </w:r>
      <w:r>
        <w:rPr>
          <w:color w:val="222222"/>
          <w:sz w:val="24"/>
          <w:szCs w:val="24"/>
        </w:rPr>
        <w:t>risikoen for urinretention kan øges hos patienter med tidligere forekommende</w:t>
      </w:r>
      <w:r>
        <w:rPr>
          <w:color w:val="222222"/>
          <w:sz w:val="24"/>
          <w:szCs w:val="24"/>
        </w:rPr>
        <w:br/>
      </w:r>
      <w:r>
        <w:rPr>
          <w:sz w:val="24"/>
          <w:lang w:eastAsia="da-DK"/>
        </w:rPr>
        <w:t>urinvejs</w:t>
      </w:r>
      <w:r>
        <w:t>obstruktion</w:t>
      </w:r>
    </w:p>
    <w:p w:rsidR="00D2028E" w:rsidRDefault="00D2028E" w:rsidP="00D2028E">
      <w:pPr>
        <w:pStyle w:val="Sidehoved"/>
        <w:tabs>
          <w:tab w:val="left" w:pos="851"/>
        </w:tabs>
        <w:ind w:left="1211"/>
      </w:pPr>
    </w:p>
    <w:p w:rsidR="00D2028E" w:rsidRPr="00A31044" w:rsidRDefault="00D2028E" w:rsidP="00D2028E">
      <w:pPr>
        <w:pStyle w:val="Sidehoved"/>
        <w:tabs>
          <w:tab w:val="left" w:pos="851"/>
        </w:tabs>
        <w:ind w:left="1211"/>
      </w:pPr>
      <w:r w:rsidRPr="00D71B15">
        <w:rPr>
          <w:szCs w:val="24"/>
        </w:rPr>
        <w:t>Se pkt. 4.4 Særlige advarsler og forsigtighedsregler vedrørende brugen.</w:t>
      </w:r>
    </w:p>
    <w:p w:rsidR="00D2028E" w:rsidRPr="00121A99" w:rsidRDefault="00D2028E" w:rsidP="00D2028E">
      <w:pPr>
        <w:tabs>
          <w:tab w:val="left" w:pos="1304"/>
          <w:tab w:val="center" w:pos="4819"/>
          <w:tab w:val="right" w:pos="9638"/>
        </w:tabs>
        <w:spacing w:line="240" w:lineRule="atLeast"/>
        <w:ind w:left="851" w:hanging="851"/>
        <w:rPr>
          <w:sz w:val="24"/>
          <w:szCs w:val="24"/>
          <w:lang w:eastAsia="da-DK"/>
        </w:rPr>
      </w:pPr>
    </w:p>
    <w:p w:rsidR="00D2028E" w:rsidRPr="008F49E1" w:rsidRDefault="00D2028E" w:rsidP="00D2028E">
      <w:pPr>
        <w:autoSpaceDE w:val="0"/>
        <w:autoSpaceDN w:val="0"/>
        <w:ind w:left="851"/>
        <w:rPr>
          <w:sz w:val="24"/>
          <w:szCs w:val="24"/>
          <w:u w:val="single"/>
          <w:lang w:eastAsia="da-DK"/>
        </w:rPr>
      </w:pPr>
      <w:r w:rsidRPr="008F49E1">
        <w:rPr>
          <w:sz w:val="24"/>
          <w:szCs w:val="24"/>
          <w:u w:val="single"/>
          <w:lang w:eastAsia="da-DK"/>
        </w:rPr>
        <w:t>Indberetning af formodede bivirkninger</w:t>
      </w:r>
    </w:p>
    <w:p w:rsidR="00D2028E" w:rsidRPr="008F49E1" w:rsidRDefault="00D2028E" w:rsidP="00D2028E">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sidR="005E26FB">
        <w:rPr>
          <w:sz w:val="24"/>
          <w:szCs w:val="24"/>
          <w:lang w:eastAsia="da-DK"/>
        </w:rPr>
        <w:t>S</w:t>
      </w:r>
      <w:r w:rsidRPr="008F49E1">
        <w:rPr>
          <w:sz w:val="24"/>
          <w:szCs w:val="24"/>
          <w:lang w:eastAsia="da-DK"/>
        </w:rPr>
        <w:t>undhedsperson</w:t>
      </w:r>
      <w:r w:rsidR="005E26FB">
        <w:rPr>
          <w:sz w:val="24"/>
          <w:szCs w:val="24"/>
          <w:lang w:eastAsia="da-DK"/>
        </w:rPr>
        <w:t>er</w:t>
      </w:r>
      <w:r w:rsidRPr="008F49E1">
        <w:rPr>
          <w:sz w:val="24"/>
          <w:szCs w:val="24"/>
          <w:lang w:eastAsia="da-DK"/>
        </w:rPr>
        <w:t xml:space="preserve"> anmodes om at indberette alle formodede bivirkninger via:</w:t>
      </w:r>
    </w:p>
    <w:p w:rsidR="00D2028E" w:rsidRPr="008F49E1" w:rsidRDefault="00D2028E" w:rsidP="00D2028E">
      <w:pPr>
        <w:ind w:left="851"/>
        <w:rPr>
          <w:sz w:val="24"/>
          <w:szCs w:val="24"/>
          <w:lang w:eastAsia="da-DK"/>
        </w:rPr>
      </w:pPr>
    </w:p>
    <w:p w:rsidR="00D2028E" w:rsidRPr="007A276A" w:rsidRDefault="00D2028E" w:rsidP="00D2028E">
      <w:pPr>
        <w:ind w:left="851"/>
        <w:rPr>
          <w:sz w:val="24"/>
          <w:szCs w:val="24"/>
          <w:lang w:eastAsia="da-DK"/>
        </w:rPr>
      </w:pPr>
      <w:r w:rsidRPr="007A276A">
        <w:rPr>
          <w:sz w:val="24"/>
          <w:szCs w:val="24"/>
          <w:lang w:eastAsia="da-DK"/>
        </w:rPr>
        <w:t>Lægemiddelstyrelsen</w:t>
      </w:r>
    </w:p>
    <w:p w:rsidR="00D2028E" w:rsidRPr="007A276A" w:rsidRDefault="00D2028E" w:rsidP="00D2028E">
      <w:pPr>
        <w:ind w:left="851"/>
        <w:rPr>
          <w:sz w:val="24"/>
          <w:szCs w:val="24"/>
          <w:lang w:eastAsia="da-DK"/>
        </w:rPr>
      </w:pPr>
      <w:r w:rsidRPr="007A276A">
        <w:rPr>
          <w:sz w:val="24"/>
          <w:szCs w:val="24"/>
          <w:lang w:eastAsia="da-DK"/>
        </w:rPr>
        <w:t>Axel Heides Gade 1</w:t>
      </w:r>
    </w:p>
    <w:p w:rsidR="00D2028E" w:rsidRPr="007A276A" w:rsidRDefault="00D2028E" w:rsidP="00D2028E">
      <w:pPr>
        <w:ind w:left="851"/>
        <w:rPr>
          <w:sz w:val="24"/>
          <w:szCs w:val="24"/>
          <w:lang w:eastAsia="da-DK"/>
        </w:rPr>
      </w:pPr>
      <w:r w:rsidRPr="007A276A">
        <w:rPr>
          <w:sz w:val="24"/>
          <w:szCs w:val="24"/>
          <w:lang w:eastAsia="da-DK"/>
        </w:rPr>
        <w:t>DK-2300 København S</w:t>
      </w:r>
    </w:p>
    <w:p w:rsidR="00D2028E" w:rsidRPr="007A276A" w:rsidRDefault="00D2028E" w:rsidP="00D2028E">
      <w:pPr>
        <w:ind w:left="851"/>
        <w:rPr>
          <w:sz w:val="24"/>
          <w:szCs w:val="24"/>
          <w:lang w:val="en-US" w:eastAsia="da-DK"/>
        </w:rPr>
      </w:pPr>
      <w:proofErr w:type="spellStart"/>
      <w:r w:rsidRPr="007A276A">
        <w:rPr>
          <w:sz w:val="24"/>
          <w:szCs w:val="24"/>
          <w:lang w:val="en-US" w:eastAsia="da-DK"/>
        </w:rPr>
        <w:t>Websted</w:t>
      </w:r>
      <w:proofErr w:type="spellEnd"/>
      <w:r w:rsidRPr="007A276A">
        <w:rPr>
          <w:sz w:val="24"/>
          <w:szCs w:val="24"/>
          <w:lang w:val="en-US" w:eastAsia="da-DK"/>
        </w:rPr>
        <w:t xml:space="preserve">: </w:t>
      </w:r>
      <w:hyperlink r:id="rId8" w:history="1">
        <w:r w:rsidRPr="007A276A">
          <w:rPr>
            <w:color w:val="0000FF"/>
            <w:sz w:val="24"/>
            <w:u w:val="single"/>
            <w:lang w:val="en-US" w:eastAsia="da-DK"/>
          </w:rPr>
          <w:t>www.meldenbivirkning.dk</w:t>
        </w:r>
      </w:hyperlink>
    </w:p>
    <w:p w:rsidR="00D2028E" w:rsidRPr="00121A99" w:rsidRDefault="00D2028E" w:rsidP="00D2028E">
      <w:pPr>
        <w:pStyle w:val="Sidehoved"/>
        <w:tabs>
          <w:tab w:val="left" w:pos="851"/>
        </w:tabs>
        <w:rPr>
          <w:szCs w:val="24"/>
          <w:lang w:val="en-US"/>
        </w:rPr>
      </w:pPr>
    </w:p>
    <w:p w:rsidR="00D2028E" w:rsidRPr="003C2BEF" w:rsidRDefault="00D2028E" w:rsidP="00D2028E">
      <w:pPr>
        <w:tabs>
          <w:tab w:val="left" w:pos="851"/>
        </w:tabs>
        <w:ind w:left="851" w:hanging="851"/>
        <w:rPr>
          <w:b/>
          <w:sz w:val="24"/>
          <w:szCs w:val="24"/>
        </w:rPr>
      </w:pPr>
      <w:r w:rsidRPr="003C2BEF">
        <w:rPr>
          <w:b/>
          <w:sz w:val="24"/>
          <w:szCs w:val="24"/>
        </w:rPr>
        <w:t>4.9</w:t>
      </w:r>
      <w:r w:rsidRPr="003C2BEF">
        <w:rPr>
          <w:b/>
          <w:sz w:val="24"/>
          <w:szCs w:val="24"/>
        </w:rPr>
        <w:tab/>
        <w:t>Overdosering</w:t>
      </w:r>
    </w:p>
    <w:p w:rsidR="00D2028E" w:rsidRPr="00D71B15" w:rsidRDefault="00D2028E" w:rsidP="00D2028E">
      <w:pPr>
        <w:ind w:left="851"/>
        <w:rPr>
          <w:sz w:val="24"/>
          <w:szCs w:val="24"/>
          <w:u w:val="single"/>
          <w:lang w:eastAsia="da-DK"/>
        </w:rPr>
      </w:pPr>
      <w:r w:rsidRPr="00D71B15">
        <w:rPr>
          <w:sz w:val="24"/>
          <w:szCs w:val="24"/>
          <w:u w:val="single"/>
          <w:lang w:eastAsia="da-DK"/>
        </w:rPr>
        <w:t>Symptomer</w:t>
      </w:r>
    </w:p>
    <w:p w:rsidR="00D2028E" w:rsidRPr="00D71B15" w:rsidRDefault="00D2028E" w:rsidP="00D2028E">
      <w:pPr>
        <w:ind w:left="851"/>
        <w:rPr>
          <w:sz w:val="24"/>
          <w:szCs w:val="24"/>
          <w:lang w:eastAsia="da-DK"/>
        </w:rPr>
      </w:pPr>
      <w:r w:rsidRPr="00D71B15">
        <w:rPr>
          <w:sz w:val="24"/>
          <w:szCs w:val="24"/>
          <w:lang w:eastAsia="da-DK"/>
        </w:rPr>
        <w:t xml:space="preserve">De akutte virkninger af overdosering med </w:t>
      </w:r>
      <w:proofErr w:type="spellStart"/>
      <w:r w:rsidRPr="00D71B15">
        <w:rPr>
          <w:sz w:val="24"/>
          <w:szCs w:val="24"/>
          <w:lang w:eastAsia="da-DK"/>
        </w:rPr>
        <w:t>ipratropiumbromid</w:t>
      </w:r>
      <w:proofErr w:type="spellEnd"/>
      <w:r w:rsidRPr="00D71B15">
        <w:rPr>
          <w:sz w:val="24"/>
          <w:szCs w:val="24"/>
          <w:lang w:eastAsia="da-DK"/>
        </w:rPr>
        <w:t xml:space="preserve"> er milde og forbigående på grund af den lave systemiske absorption efter enten inhalation eller oral administration. Derfor vil eventuelle virkninger som følge af overdosering med størst sandsynlighed være relateret til </w:t>
      </w:r>
      <w:proofErr w:type="spellStart"/>
      <w:r w:rsidRPr="00D71B15">
        <w:rPr>
          <w:sz w:val="24"/>
          <w:szCs w:val="24"/>
          <w:lang w:eastAsia="da-DK"/>
        </w:rPr>
        <w:t>salbutamolkomponenten</w:t>
      </w:r>
      <w:proofErr w:type="spellEnd"/>
      <w:r w:rsidRPr="00D71B15">
        <w:rPr>
          <w:sz w:val="24"/>
          <w:szCs w:val="24"/>
          <w:lang w:eastAsia="da-DK"/>
        </w:rPr>
        <w:t>.</w:t>
      </w:r>
      <w:r>
        <w:rPr>
          <w:sz w:val="24"/>
          <w:szCs w:val="24"/>
          <w:lang w:eastAsia="da-DK"/>
        </w:rPr>
        <w:t xml:space="preserve"> </w:t>
      </w:r>
      <w:r w:rsidRPr="004A5913">
        <w:rPr>
          <w:color w:val="222222"/>
          <w:sz w:val="24"/>
          <w:szCs w:val="24"/>
        </w:rPr>
        <w:t xml:space="preserve">Patienter bør derfor </w:t>
      </w:r>
      <w:r>
        <w:rPr>
          <w:color w:val="222222"/>
          <w:sz w:val="24"/>
          <w:szCs w:val="24"/>
        </w:rPr>
        <w:t>monitoreres</w:t>
      </w:r>
      <w:r w:rsidRPr="004A5913">
        <w:rPr>
          <w:color w:val="222222"/>
          <w:sz w:val="24"/>
          <w:szCs w:val="24"/>
        </w:rPr>
        <w:t xml:space="preserve"> </w:t>
      </w:r>
      <w:r w:rsidRPr="00D71B15">
        <w:rPr>
          <w:sz w:val="24"/>
          <w:szCs w:val="24"/>
          <w:lang w:eastAsia="da-DK"/>
        </w:rPr>
        <w:t>tæt</w:t>
      </w:r>
      <w:r w:rsidRPr="004A5913">
        <w:rPr>
          <w:color w:val="222222"/>
          <w:sz w:val="24"/>
          <w:szCs w:val="24"/>
        </w:rPr>
        <w:t xml:space="preserve"> for de potentielle </w:t>
      </w:r>
      <w:r w:rsidRPr="00D71B15">
        <w:rPr>
          <w:sz w:val="24"/>
          <w:szCs w:val="24"/>
          <w:lang w:eastAsia="da-DK"/>
        </w:rPr>
        <w:t>bivirkninger</w:t>
      </w:r>
      <w:r w:rsidRPr="004A5913">
        <w:rPr>
          <w:color w:val="222222"/>
          <w:sz w:val="24"/>
          <w:szCs w:val="24"/>
        </w:rPr>
        <w:t xml:space="preserve"> ved overdosering af </w:t>
      </w:r>
      <w:proofErr w:type="spellStart"/>
      <w:r w:rsidRPr="004A5913">
        <w:rPr>
          <w:color w:val="222222"/>
          <w:sz w:val="24"/>
          <w:szCs w:val="24"/>
        </w:rPr>
        <w:t>salbutamol</w:t>
      </w:r>
      <w:proofErr w:type="spellEnd"/>
      <w:r w:rsidRPr="004A5913">
        <w:rPr>
          <w:color w:val="222222"/>
          <w:sz w:val="24"/>
          <w:szCs w:val="24"/>
        </w:rPr>
        <w:t>.</w:t>
      </w:r>
    </w:p>
    <w:p w:rsidR="00D2028E" w:rsidRPr="00D71B15" w:rsidRDefault="00D2028E" w:rsidP="00D2028E">
      <w:pPr>
        <w:ind w:left="851"/>
        <w:rPr>
          <w:sz w:val="24"/>
          <w:szCs w:val="24"/>
          <w:lang w:eastAsia="da-DK"/>
        </w:rPr>
      </w:pPr>
    </w:p>
    <w:p w:rsidR="00D2028E" w:rsidRPr="00D71B15" w:rsidRDefault="00D2028E" w:rsidP="00D2028E">
      <w:pPr>
        <w:ind w:left="851"/>
        <w:rPr>
          <w:sz w:val="24"/>
          <w:szCs w:val="24"/>
          <w:lang w:eastAsia="da-DK"/>
        </w:rPr>
      </w:pPr>
      <w:r w:rsidRPr="00D71B15">
        <w:rPr>
          <w:sz w:val="24"/>
          <w:szCs w:val="24"/>
          <w:lang w:eastAsia="da-DK"/>
        </w:rPr>
        <w:t xml:space="preserve">Manifestationer på overdosering af </w:t>
      </w:r>
      <w:proofErr w:type="spellStart"/>
      <w:r w:rsidRPr="00D71B15">
        <w:rPr>
          <w:sz w:val="24"/>
          <w:szCs w:val="24"/>
          <w:lang w:eastAsia="da-DK"/>
        </w:rPr>
        <w:t>salbutamol</w:t>
      </w:r>
      <w:proofErr w:type="spellEnd"/>
      <w:r w:rsidRPr="00D71B15">
        <w:rPr>
          <w:sz w:val="24"/>
          <w:szCs w:val="24"/>
          <w:lang w:eastAsia="da-DK"/>
        </w:rPr>
        <w:t xml:space="preserve"> kan omfatte anginasmerter, hypertension, hypotension, øget pulstryk, </w:t>
      </w:r>
      <w:proofErr w:type="spellStart"/>
      <w:r w:rsidRPr="00D71B15">
        <w:rPr>
          <w:sz w:val="24"/>
          <w:szCs w:val="24"/>
          <w:lang w:eastAsia="da-DK"/>
        </w:rPr>
        <w:t>palpitationer</w:t>
      </w:r>
      <w:proofErr w:type="spellEnd"/>
      <w:r w:rsidRPr="00D71B15">
        <w:rPr>
          <w:sz w:val="24"/>
          <w:szCs w:val="24"/>
          <w:lang w:eastAsia="da-DK"/>
        </w:rPr>
        <w:t xml:space="preserve">, </w:t>
      </w:r>
      <w:proofErr w:type="spellStart"/>
      <w:r w:rsidRPr="00D71B15">
        <w:rPr>
          <w:sz w:val="24"/>
          <w:szCs w:val="24"/>
          <w:lang w:eastAsia="da-DK"/>
        </w:rPr>
        <w:t>hypokaliæmi</w:t>
      </w:r>
      <w:proofErr w:type="spellEnd"/>
      <w:r w:rsidRPr="00D71B15">
        <w:rPr>
          <w:sz w:val="24"/>
          <w:szCs w:val="24"/>
          <w:lang w:eastAsia="da-DK"/>
        </w:rPr>
        <w:t xml:space="preserve">, </w:t>
      </w:r>
      <w:proofErr w:type="spellStart"/>
      <w:r w:rsidRPr="00D71B15">
        <w:rPr>
          <w:sz w:val="24"/>
          <w:szCs w:val="24"/>
          <w:lang w:eastAsia="da-DK"/>
        </w:rPr>
        <w:t>takykardi</w:t>
      </w:r>
      <w:proofErr w:type="spellEnd"/>
      <w:r w:rsidRPr="00D71B15">
        <w:rPr>
          <w:sz w:val="24"/>
          <w:szCs w:val="24"/>
          <w:lang w:eastAsia="da-DK"/>
        </w:rPr>
        <w:t xml:space="preserve">, </w:t>
      </w:r>
      <w:proofErr w:type="spellStart"/>
      <w:r w:rsidRPr="00D71B15">
        <w:rPr>
          <w:sz w:val="24"/>
          <w:szCs w:val="24"/>
          <w:lang w:eastAsia="da-DK"/>
        </w:rPr>
        <w:t>arytmi</w:t>
      </w:r>
      <w:proofErr w:type="spellEnd"/>
      <w:r w:rsidRPr="00D71B15">
        <w:rPr>
          <w:sz w:val="24"/>
          <w:szCs w:val="24"/>
          <w:lang w:eastAsia="da-DK"/>
        </w:rPr>
        <w:t xml:space="preserve">, brystsmerter, </w:t>
      </w:r>
      <w:proofErr w:type="spellStart"/>
      <w:r w:rsidRPr="00D71B15">
        <w:rPr>
          <w:sz w:val="24"/>
          <w:szCs w:val="24"/>
          <w:lang w:eastAsia="da-DK"/>
        </w:rPr>
        <w:t>tremor</w:t>
      </w:r>
      <w:proofErr w:type="spellEnd"/>
      <w:r w:rsidRPr="00D71B15">
        <w:rPr>
          <w:sz w:val="24"/>
          <w:szCs w:val="24"/>
          <w:lang w:eastAsia="da-DK"/>
        </w:rPr>
        <w:t xml:space="preserve">, </w:t>
      </w:r>
      <w:proofErr w:type="spellStart"/>
      <w:r w:rsidRPr="00D71B15">
        <w:rPr>
          <w:sz w:val="24"/>
          <w:szCs w:val="24"/>
          <w:lang w:eastAsia="da-DK"/>
        </w:rPr>
        <w:t>blussen</w:t>
      </w:r>
      <w:proofErr w:type="spellEnd"/>
      <w:r w:rsidRPr="00D71B15">
        <w:rPr>
          <w:sz w:val="24"/>
          <w:szCs w:val="24"/>
          <w:lang w:eastAsia="da-DK"/>
        </w:rPr>
        <w:t xml:space="preserve">, rastløshed, kvalme, </w:t>
      </w:r>
      <w:proofErr w:type="spellStart"/>
      <w:r w:rsidRPr="00D71B15">
        <w:rPr>
          <w:sz w:val="24"/>
          <w:szCs w:val="24"/>
          <w:lang w:eastAsia="da-DK"/>
        </w:rPr>
        <w:t>hyperglykæmi</w:t>
      </w:r>
      <w:proofErr w:type="spellEnd"/>
      <w:r w:rsidRPr="00D71B15">
        <w:rPr>
          <w:sz w:val="24"/>
          <w:szCs w:val="24"/>
          <w:lang w:eastAsia="da-DK"/>
        </w:rPr>
        <w:t xml:space="preserve">, metabolisk </w:t>
      </w:r>
      <w:proofErr w:type="spellStart"/>
      <w:r w:rsidRPr="00D71B15">
        <w:rPr>
          <w:sz w:val="24"/>
          <w:szCs w:val="24"/>
          <w:lang w:eastAsia="da-DK"/>
        </w:rPr>
        <w:t>acidose</w:t>
      </w:r>
      <w:proofErr w:type="spellEnd"/>
      <w:r w:rsidRPr="00D71B15">
        <w:rPr>
          <w:sz w:val="24"/>
          <w:szCs w:val="24"/>
          <w:lang w:eastAsia="da-DK"/>
        </w:rPr>
        <w:t xml:space="preserve">, psykotiske reaktioner og svimmelhed. Der er også set metabolisk </w:t>
      </w:r>
      <w:proofErr w:type="spellStart"/>
      <w:r w:rsidRPr="00D71B15">
        <w:rPr>
          <w:sz w:val="24"/>
          <w:szCs w:val="24"/>
          <w:lang w:eastAsia="da-DK"/>
        </w:rPr>
        <w:t>acidose</w:t>
      </w:r>
      <w:proofErr w:type="spellEnd"/>
      <w:r w:rsidRPr="00D71B15">
        <w:rPr>
          <w:sz w:val="24"/>
          <w:szCs w:val="24"/>
          <w:lang w:eastAsia="da-DK"/>
        </w:rPr>
        <w:t xml:space="preserve"> ved overdosering af </w:t>
      </w:r>
      <w:proofErr w:type="spellStart"/>
      <w:r w:rsidRPr="00D71B15">
        <w:rPr>
          <w:sz w:val="24"/>
          <w:szCs w:val="24"/>
          <w:lang w:eastAsia="da-DK"/>
        </w:rPr>
        <w:t>salbutamol</w:t>
      </w:r>
      <w:proofErr w:type="spellEnd"/>
      <w:r w:rsidRPr="00D71B15">
        <w:rPr>
          <w:sz w:val="24"/>
          <w:szCs w:val="24"/>
          <w:lang w:eastAsia="da-DK"/>
        </w:rPr>
        <w:t xml:space="preserve">. </w:t>
      </w:r>
    </w:p>
    <w:p w:rsidR="00D2028E" w:rsidRDefault="00D2028E" w:rsidP="00D2028E">
      <w:pPr>
        <w:ind w:left="851"/>
        <w:rPr>
          <w:sz w:val="24"/>
          <w:szCs w:val="24"/>
          <w:lang w:eastAsia="da-DK"/>
        </w:rPr>
      </w:pPr>
    </w:p>
    <w:p w:rsidR="00D2028E" w:rsidRDefault="00D2028E" w:rsidP="00D2028E">
      <w:pPr>
        <w:ind w:left="851"/>
        <w:rPr>
          <w:sz w:val="24"/>
          <w:szCs w:val="24"/>
        </w:rPr>
      </w:pPr>
      <w:r>
        <w:rPr>
          <w:sz w:val="24"/>
          <w:szCs w:val="24"/>
        </w:rPr>
        <w:t xml:space="preserve">Metabolisk </w:t>
      </w:r>
      <w:proofErr w:type="spellStart"/>
      <w:r>
        <w:rPr>
          <w:sz w:val="24"/>
          <w:szCs w:val="24"/>
        </w:rPr>
        <w:t>acidose</w:t>
      </w:r>
      <w:proofErr w:type="spellEnd"/>
      <w:r>
        <w:rPr>
          <w:sz w:val="24"/>
          <w:szCs w:val="24"/>
        </w:rPr>
        <w:t xml:space="preserve"> er også blevet observeret med overdosering af </w:t>
      </w:r>
      <w:proofErr w:type="spellStart"/>
      <w:r>
        <w:rPr>
          <w:sz w:val="24"/>
          <w:szCs w:val="24"/>
        </w:rPr>
        <w:t>salbutamol</w:t>
      </w:r>
      <w:proofErr w:type="spellEnd"/>
      <w:r>
        <w:rPr>
          <w:sz w:val="24"/>
          <w:szCs w:val="24"/>
        </w:rPr>
        <w:t xml:space="preserve">, herunder </w:t>
      </w:r>
      <w:proofErr w:type="spellStart"/>
      <w:r>
        <w:rPr>
          <w:sz w:val="24"/>
          <w:szCs w:val="24"/>
        </w:rPr>
        <w:t>laktatacidose</w:t>
      </w:r>
      <w:proofErr w:type="spellEnd"/>
      <w:r>
        <w:rPr>
          <w:sz w:val="24"/>
          <w:szCs w:val="24"/>
        </w:rPr>
        <w:t>,</w:t>
      </w:r>
      <w:r w:rsidR="005E773F">
        <w:rPr>
          <w:sz w:val="24"/>
          <w:szCs w:val="24"/>
        </w:rPr>
        <w:t xml:space="preserve"> </w:t>
      </w:r>
      <w:r>
        <w:rPr>
          <w:sz w:val="24"/>
          <w:szCs w:val="24"/>
        </w:rPr>
        <w:t xml:space="preserve">som er blevet rapporteret i forbindelse med høje terapeutiske doser samt overdosering af korttidsvirkende beta-agonister. Monitorering for forhøjet serumlaktat og som følge heraf metabolisk </w:t>
      </w:r>
      <w:proofErr w:type="spellStart"/>
      <w:r>
        <w:rPr>
          <w:sz w:val="24"/>
          <w:szCs w:val="24"/>
        </w:rPr>
        <w:t>acidose</w:t>
      </w:r>
      <w:proofErr w:type="spellEnd"/>
      <w:r>
        <w:rPr>
          <w:sz w:val="24"/>
          <w:szCs w:val="24"/>
        </w:rPr>
        <w:t xml:space="preserve"> (navnlig ved vedvarende </w:t>
      </w:r>
      <w:proofErr w:type="spellStart"/>
      <w:r>
        <w:rPr>
          <w:sz w:val="24"/>
          <w:szCs w:val="24"/>
        </w:rPr>
        <w:t>takypnø</w:t>
      </w:r>
      <w:proofErr w:type="spellEnd"/>
      <w:r>
        <w:rPr>
          <w:sz w:val="24"/>
          <w:szCs w:val="24"/>
        </w:rPr>
        <w:t xml:space="preserve"> eller forværring af </w:t>
      </w:r>
      <w:proofErr w:type="spellStart"/>
      <w:r>
        <w:rPr>
          <w:sz w:val="24"/>
          <w:szCs w:val="24"/>
        </w:rPr>
        <w:t>takypnø</w:t>
      </w:r>
      <w:proofErr w:type="spellEnd"/>
      <w:r>
        <w:rPr>
          <w:sz w:val="24"/>
          <w:szCs w:val="24"/>
        </w:rPr>
        <w:t xml:space="preserve"> på trods af, at andre tegn på </w:t>
      </w:r>
      <w:proofErr w:type="spellStart"/>
      <w:r>
        <w:rPr>
          <w:sz w:val="24"/>
          <w:szCs w:val="24"/>
        </w:rPr>
        <w:t>bronkospasmer</w:t>
      </w:r>
      <w:proofErr w:type="spellEnd"/>
      <w:r>
        <w:rPr>
          <w:sz w:val="24"/>
          <w:szCs w:val="24"/>
        </w:rPr>
        <w:t xml:space="preserve"> såsom </w:t>
      </w:r>
      <w:proofErr w:type="spellStart"/>
      <w:r>
        <w:rPr>
          <w:sz w:val="24"/>
          <w:szCs w:val="24"/>
        </w:rPr>
        <w:t>hvæsen</w:t>
      </w:r>
      <w:proofErr w:type="spellEnd"/>
      <w:r>
        <w:rPr>
          <w:sz w:val="24"/>
          <w:szCs w:val="24"/>
        </w:rPr>
        <w:t>, er forsvundet) kan være indiceret i tilfælde af overdosis.</w:t>
      </w:r>
    </w:p>
    <w:p w:rsidR="00D2028E" w:rsidRPr="00D71B15" w:rsidRDefault="00D2028E" w:rsidP="00D2028E">
      <w:pPr>
        <w:ind w:left="851"/>
        <w:rPr>
          <w:sz w:val="24"/>
          <w:szCs w:val="24"/>
          <w:lang w:eastAsia="da-DK"/>
        </w:rPr>
      </w:pPr>
    </w:p>
    <w:p w:rsidR="00D2028E" w:rsidRDefault="00D2028E" w:rsidP="005E773F">
      <w:pPr>
        <w:keepNext/>
        <w:ind w:left="851"/>
        <w:rPr>
          <w:sz w:val="24"/>
          <w:szCs w:val="24"/>
          <w:u w:val="single"/>
          <w:lang w:eastAsia="da-DK"/>
        </w:rPr>
      </w:pPr>
      <w:r w:rsidRPr="00D71B15">
        <w:rPr>
          <w:sz w:val="24"/>
          <w:szCs w:val="24"/>
          <w:u w:val="single"/>
          <w:lang w:eastAsia="da-DK"/>
        </w:rPr>
        <w:lastRenderedPageBreak/>
        <w:t>Behandling</w:t>
      </w:r>
    </w:p>
    <w:p w:rsidR="00D2028E" w:rsidRDefault="00D2028E" w:rsidP="00D2028E">
      <w:pPr>
        <w:ind w:left="851"/>
        <w:rPr>
          <w:color w:val="222222"/>
          <w:sz w:val="24"/>
          <w:szCs w:val="24"/>
        </w:rPr>
      </w:pPr>
      <w:r w:rsidRPr="00407044">
        <w:rPr>
          <w:color w:val="222222"/>
          <w:sz w:val="24"/>
          <w:szCs w:val="24"/>
        </w:rPr>
        <w:t xml:space="preserve">Behandling med </w:t>
      </w:r>
      <w:proofErr w:type="spellStart"/>
      <w:r w:rsidRPr="00407044">
        <w:rPr>
          <w:color w:val="222222"/>
          <w:sz w:val="24"/>
          <w:szCs w:val="24"/>
        </w:rPr>
        <w:t>ipratropiumbromid</w:t>
      </w:r>
      <w:proofErr w:type="spellEnd"/>
      <w:r w:rsidRPr="00407044">
        <w:rPr>
          <w:color w:val="222222"/>
          <w:sz w:val="24"/>
          <w:szCs w:val="24"/>
        </w:rPr>
        <w:t>/</w:t>
      </w:r>
      <w:proofErr w:type="spellStart"/>
      <w:r w:rsidRPr="00407044">
        <w:rPr>
          <w:color w:val="222222"/>
          <w:sz w:val="24"/>
          <w:szCs w:val="24"/>
        </w:rPr>
        <w:t>salbutamol</w:t>
      </w:r>
      <w:proofErr w:type="spellEnd"/>
      <w:r w:rsidRPr="00407044">
        <w:rPr>
          <w:color w:val="222222"/>
          <w:sz w:val="24"/>
          <w:szCs w:val="24"/>
        </w:rPr>
        <w:t xml:space="preserve"> bør seponeres. </w:t>
      </w:r>
      <w:r>
        <w:t xml:space="preserve">Syre-, base- og elektrolytmonitorering bør overvejes. </w:t>
      </w:r>
      <w:proofErr w:type="spellStart"/>
      <w:r w:rsidRPr="00407044">
        <w:rPr>
          <w:color w:val="222222"/>
          <w:sz w:val="24"/>
          <w:szCs w:val="24"/>
        </w:rPr>
        <w:t>Hypokal</w:t>
      </w:r>
      <w:r w:rsidR="005E773F">
        <w:rPr>
          <w:color w:val="222222"/>
          <w:sz w:val="24"/>
          <w:szCs w:val="24"/>
        </w:rPr>
        <w:t>i</w:t>
      </w:r>
      <w:r w:rsidRPr="00407044">
        <w:rPr>
          <w:color w:val="222222"/>
          <w:sz w:val="24"/>
          <w:szCs w:val="24"/>
        </w:rPr>
        <w:t>æmi</w:t>
      </w:r>
      <w:proofErr w:type="spellEnd"/>
      <w:r w:rsidRPr="00407044">
        <w:rPr>
          <w:color w:val="222222"/>
          <w:sz w:val="24"/>
          <w:szCs w:val="24"/>
        </w:rPr>
        <w:t xml:space="preserve"> kan forekomme efter overdosering med </w:t>
      </w:r>
      <w:proofErr w:type="spellStart"/>
      <w:r w:rsidRPr="00407044">
        <w:rPr>
          <w:color w:val="222222"/>
          <w:sz w:val="24"/>
          <w:szCs w:val="24"/>
        </w:rPr>
        <w:t>salbutamol</w:t>
      </w:r>
      <w:proofErr w:type="spellEnd"/>
      <w:r w:rsidRPr="00407044">
        <w:rPr>
          <w:color w:val="222222"/>
          <w:sz w:val="24"/>
          <w:szCs w:val="24"/>
        </w:rPr>
        <w:t xml:space="preserve">, og derfor bør serumkaliumniveauet </w:t>
      </w:r>
      <w:r>
        <w:rPr>
          <w:color w:val="222222"/>
          <w:sz w:val="24"/>
          <w:szCs w:val="24"/>
        </w:rPr>
        <w:t>monitoreres</w:t>
      </w:r>
      <w:r w:rsidRPr="00407044">
        <w:rPr>
          <w:color w:val="222222"/>
          <w:sz w:val="24"/>
          <w:szCs w:val="24"/>
        </w:rPr>
        <w:t>.</w:t>
      </w:r>
    </w:p>
    <w:p w:rsidR="00D2028E" w:rsidRPr="00D71B15" w:rsidRDefault="00D2028E" w:rsidP="00D2028E">
      <w:pPr>
        <w:ind w:left="851"/>
        <w:rPr>
          <w:sz w:val="24"/>
          <w:szCs w:val="24"/>
          <w:u w:val="single"/>
          <w:lang w:eastAsia="da-DK"/>
        </w:rPr>
      </w:pPr>
    </w:p>
    <w:p w:rsidR="00D2028E" w:rsidRDefault="00D2028E" w:rsidP="00D2028E">
      <w:pPr>
        <w:ind w:left="851"/>
        <w:rPr>
          <w:sz w:val="24"/>
          <w:szCs w:val="24"/>
          <w:lang w:eastAsia="da-DK"/>
        </w:rPr>
      </w:pPr>
      <w:r w:rsidRPr="00D71B15">
        <w:rPr>
          <w:sz w:val="24"/>
          <w:szCs w:val="24"/>
          <w:lang w:eastAsia="da-DK"/>
        </w:rPr>
        <w:t xml:space="preserve">Den foretrukne modgift mod overdosering af </w:t>
      </w:r>
      <w:proofErr w:type="spellStart"/>
      <w:r w:rsidRPr="00D71B15">
        <w:rPr>
          <w:sz w:val="24"/>
          <w:szCs w:val="24"/>
          <w:lang w:eastAsia="da-DK"/>
        </w:rPr>
        <w:t>salbutamol</w:t>
      </w:r>
      <w:proofErr w:type="spellEnd"/>
      <w:r w:rsidRPr="00D71B15">
        <w:rPr>
          <w:sz w:val="24"/>
          <w:szCs w:val="24"/>
          <w:lang w:eastAsia="da-DK"/>
        </w:rPr>
        <w:t xml:space="preserve"> er en </w:t>
      </w:r>
      <w:proofErr w:type="spellStart"/>
      <w:r w:rsidRPr="00D71B15">
        <w:rPr>
          <w:sz w:val="24"/>
          <w:szCs w:val="24"/>
          <w:lang w:eastAsia="da-DK"/>
        </w:rPr>
        <w:t>kardioselektiv</w:t>
      </w:r>
      <w:proofErr w:type="spellEnd"/>
      <w:r w:rsidRPr="00D71B15">
        <w:rPr>
          <w:sz w:val="24"/>
          <w:szCs w:val="24"/>
          <w:lang w:eastAsia="da-DK"/>
        </w:rPr>
        <w:t xml:space="preserve"> betablokker, men der bør udvises forsigtighed i forbindelse med administration af disse lægemidler til patienter med </w:t>
      </w:r>
      <w:proofErr w:type="spellStart"/>
      <w:r w:rsidRPr="00D71B15">
        <w:rPr>
          <w:sz w:val="24"/>
          <w:szCs w:val="24"/>
          <w:lang w:eastAsia="da-DK"/>
        </w:rPr>
        <w:t>bronkospasme</w:t>
      </w:r>
      <w:proofErr w:type="spellEnd"/>
      <w:r w:rsidRPr="00D71B15">
        <w:rPr>
          <w:sz w:val="24"/>
          <w:szCs w:val="24"/>
          <w:lang w:eastAsia="da-DK"/>
        </w:rPr>
        <w:t xml:space="preserve"> i anamnesen.</w:t>
      </w:r>
      <w:r>
        <w:rPr>
          <w:sz w:val="24"/>
          <w:szCs w:val="24"/>
          <w:lang w:eastAsia="da-DK"/>
        </w:rPr>
        <w:t xml:space="preserve"> </w:t>
      </w:r>
      <w:r w:rsidRPr="00407044">
        <w:rPr>
          <w:sz w:val="24"/>
          <w:szCs w:val="24"/>
          <w:lang w:eastAsia="da-DK"/>
        </w:rPr>
        <w:t>Hos disse patienter skal EKG-overvågning finde sted.</w:t>
      </w:r>
    </w:p>
    <w:p w:rsidR="00D2028E" w:rsidRDefault="00D2028E" w:rsidP="00D2028E">
      <w:pPr>
        <w:ind w:left="851"/>
        <w:rPr>
          <w:sz w:val="24"/>
          <w:szCs w:val="24"/>
          <w:lang w:eastAsia="da-DK"/>
        </w:rPr>
      </w:pPr>
    </w:p>
    <w:p w:rsidR="00D2028E" w:rsidRPr="00407044" w:rsidRDefault="00D2028E" w:rsidP="00D2028E">
      <w:pPr>
        <w:ind w:left="851"/>
        <w:rPr>
          <w:sz w:val="24"/>
          <w:szCs w:val="24"/>
          <w:lang w:eastAsia="da-DK"/>
        </w:rPr>
      </w:pPr>
      <w:r w:rsidRPr="00407044">
        <w:rPr>
          <w:color w:val="222222"/>
          <w:sz w:val="24"/>
          <w:szCs w:val="24"/>
        </w:rPr>
        <w:t>I tilfælde af særligt lavt blodtryk anbefales volumen substitution (f.eks</w:t>
      </w:r>
      <w:r w:rsidR="005E773F">
        <w:rPr>
          <w:color w:val="222222"/>
          <w:sz w:val="24"/>
          <w:szCs w:val="24"/>
        </w:rPr>
        <w:t xml:space="preserve">. </w:t>
      </w:r>
      <w:r w:rsidRPr="00407044">
        <w:rPr>
          <w:color w:val="222222"/>
          <w:sz w:val="24"/>
          <w:szCs w:val="24"/>
        </w:rPr>
        <w:t>me</w:t>
      </w:r>
      <w:r>
        <w:rPr>
          <w:color w:val="222222"/>
          <w:sz w:val="24"/>
          <w:szCs w:val="24"/>
        </w:rPr>
        <w:t>d plasma ekspansionsprodukter).</w:t>
      </w:r>
    </w:p>
    <w:p w:rsidR="00D2028E" w:rsidRPr="003C2BEF" w:rsidRDefault="00D2028E" w:rsidP="00D2028E">
      <w:pPr>
        <w:ind w:left="851"/>
        <w:rPr>
          <w:sz w:val="24"/>
          <w:szCs w:val="24"/>
        </w:rPr>
      </w:pPr>
    </w:p>
    <w:p w:rsidR="00D2028E" w:rsidRPr="003C2BEF" w:rsidRDefault="00D2028E" w:rsidP="00D2028E">
      <w:pPr>
        <w:keepNext/>
        <w:tabs>
          <w:tab w:val="left" w:pos="851"/>
        </w:tabs>
        <w:ind w:left="851" w:hanging="851"/>
        <w:rPr>
          <w:b/>
          <w:sz w:val="24"/>
          <w:szCs w:val="24"/>
        </w:rPr>
      </w:pPr>
      <w:r w:rsidRPr="003C2BEF">
        <w:rPr>
          <w:b/>
          <w:sz w:val="24"/>
          <w:szCs w:val="24"/>
        </w:rPr>
        <w:t>4.10</w:t>
      </w:r>
      <w:r w:rsidRPr="003C2BEF">
        <w:rPr>
          <w:b/>
          <w:sz w:val="24"/>
          <w:szCs w:val="24"/>
        </w:rPr>
        <w:tab/>
        <w:t>Udlevering</w:t>
      </w:r>
    </w:p>
    <w:p w:rsidR="00D2028E" w:rsidRPr="003C2BEF" w:rsidRDefault="00D2028E" w:rsidP="00D2028E">
      <w:pPr>
        <w:tabs>
          <w:tab w:val="left" w:pos="851"/>
        </w:tabs>
        <w:ind w:left="851" w:hanging="851"/>
        <w:rPr>
          <w:sz w:val="24"/>
          <w:szCs w:val="24"/>
        </w:rPr>
      </w:pPr>
      <w:r w:rsidRPr="003C2BEF">
        <w:rPr>
          <w:sz w:val="24"/>
          <w:szCs w:val="24"/>
        </w:rPr>
        <w:tab/>
      </w:r>
      <w:r>
        <w:rPr>
          <w:sz w:val="24"/>
          <w:szCs w:val="24"/>
        </w:rPr>
        <w:t>B</w:t>
      </w:r>
    </w:p>
    <w:p w:rsidR="00D2028E" w:rsidRPr="003C2BEF" w:rsidRDefault="00D2028E" w:rsidP="00D2028E">
      <w:pPr>
        <w:tabs>
          <w:tab w:val="left" w:pos="851"/>
        </w:tabs>
        <w:rPr>
          <w:sz w:val="24"/>
          <w:szCs w:val="24"/>
        </w:rPr>
      </w:pPr>
    </w:p>
    <w:p w:rsidR="00D2028E" w:rsidRPr="003C2BEF" w:rsidRDefault="00D2028E" w:rsidP="00D2028E">
      <w:pPr>
        <w:tabs>
          <w:tab w:val="left" w:pos="851"/>
        </w:tabs>
        <w:rPr>
          <w:sz w:val="24"/>
          <w:szCs w:val="24"/>
        </w:rPr>
      </w:pPr>
    </w:p>
    <w:p w:rsidR="00D2028E" w:rsidRPr="003C2BEF" w:rsidRDefault="00D2028E" w:rsidP="00D2028E">
      <w:pPr>
        <w:tabs>
          <w:tab w:val="left" w:pos="851"/>
        </w:tabs>
        <w:ind w:left="851" w:hanging="851"/>
        <w:rPr>
          <w:b/>
          <w:sz w:val="24"/>
          <w:szCs w:val="24"/>
        </w:rPr>
      </w:pPr>
      <w:r w:rsidRPr="003C2BEF">
        <w:rPr>
          <w:b/>
          <w:sz w:val="24"/>
          <w:szCs w:val="24"/>
        </w:rPr>
        <w:t>5.</w:t>
      </w:r>
      <w:r w:rsidRPr="003C2BEF">
        <w:rPr>
          <w:b/>
          <w:sz w:val="24"/>
          <w:szCs w:val="24"/>
        </w:rPr>
        <w:tab/>
        <w:t>FARMAKOLOGISKE EGENSKABER</w:t>
      </w:r>
    </w:p>
    <w:p w:rsidR="00D2028E" w:rsidRPr="003C2BEF" w:rsidRDefault="00D2028E" w:rsidP="00D2028E">
      <w:pPr>
        <w:tabs>
          <w:tab w:val="left" w:pos="851"/>
        </w:tabs>
        <w:rPr>
          <w:sz w:val="24"/>
          <w:szCs w:val="24"/>
        </w:rPr>
      </w:pPr>
    </w:p>
    <w:p w:rsidR="00D2028E" w:rsidRDefault="00D2028E" w:rsidP="00D2028E">
      <w:pPr>
        <w:tabs>
          <w:tab w:val="num" w:pos="851"/>
        </w:tabs>
        <w:ind w:left="851" w:hanging="851"/>
        <w:rPr>
          <w:b/>
          <w:sz w:val="24"/>
          <w:szCs w:val="24"/>
        </w:rPr>
      </w:pPr>
      <w:r w:rsidRPr="003C2BEF">
        <w:rPr>
          <w:b/>
          <w:sz w:val="24"/>
          <w:szCs w:val="24"/>
        </w:rPr>
        <w:t>5.1</w:t>
      </w:r>
      <w:r w:rsidRPr="003C2BEF">
        <w:rPr>
          <w:b/>
          <w:sz w:val="24"/>
          <w:szCs w:val="24"/>
        </w:rPr>
        <w:tab/>
      </w:r>
      <w:proofErr w:type="spellStart"/>
      <w:r w:rsidRPr="003C2BEF">
        <w:rPr>
          <w:b/>
          <w:sz w:val="24"/>
          <w:szCs w:val="24"/>
        </w:rPr>
        <w:t>Farmakodynamiske</w:t>
      </w:r>
      <w:proofErr w:type="spellEnd"/>
      <w:r w:rsidRPr="003C2BEF">
        <w:rPr>
          <w:b/>
          <w:sz w:val="24"/>
          <w:szCs w:val="24"/>
        </w:rPr>
        <w:t xml:space="preserve"> egenskaber</w:t>
      </w:r>
    </w:p>
    <w:p w:rsidR="005E773F" w:rsidRDefault="005E773F" w:rsidP="005E773F">
      <w:pPr>
        <w:ind w:left="851"/>
        <w:rPr>
          <w:sz w:val="24"/>
          <w:szCs w:val="24"/>
          <w:lang w:eastAsia="da-DK"/>
        </w:rPr>
      </w:pPr>
      <w:proofErr w:type="spellStart"/>
      <w:r w:rsidRPr="005E773F">
        <w:rPr>
          <w:sz w:val="24"/>
          <w:szCs w:val="24"/>
        </w:rPr>
        <w:t>Farmakoterapeutisk</w:t>
      </w:r>
      <w:proofErr w:type="spellEnd"/>
      <w:r w:rsidRPr="005E773F">
        <w:rPr>
          <w:sz w:val="24"/>
          <w:szCs w:val="24"/>
        </w:rPr>
        <w:t xml:space="preserve"> klassifikation: </w:t>
      </w:r>
      <w:proofErr w:type="spellStart"/>
      <w:r>
        <w:rPr>
          <w:sz w:val="24"/>
          <w:szCs w:val="24"/>
          <w:lang w:eastAsia="da-DK"/>
        </w:rPr>
        <w:t>Adrenergika</w:t>
      </w:r>
      <w:proofErr w:type="spellEnd"/>
      <w:r>
        <w:rPr>
          <w:sz w:val="24"/>
          <w:szCs w:val="24"/>
          <w:lang w:eastAsia="da-DK"/>
        </w:rPr>
        <w:t xml:space="preserve"> i kombination med </w:t>
      </w:r>
      <w:proofErr w:type="spellStart"/>
      <w:r>
        <w:rPr>
          <w:sz w:val="24"/>
          <w:szCs w:val="24"/>
          <w:lang w:eastAsia="da-DK"/>
        </w:rPr>
        <w:t>antikolinergika</w:t>
      </w:r>
      <w:proofErr w:type="spellEnd"/>
      <w:r>
        <w:rPr>
          <w:sz w:val="24"/>
          <w:szCs w:val="24"/>
          <w:lang w:eastAsia="da-DK"/>
        </w:rPr>
        <w:t xml:space="preserve"> ved obstruktiv luftvejssygdom</w:t>
      </w:r>
      <w:r>
        <w:rPr>
          <w:sz w:val="24"/>
          <w:szCs w:val="24"/>
          <w:lang w:eastAsia="da-DK"/>
        </w:rPr>
        <w:t xml:space="preserve">, </w:t>
      </w:r>
      <w:r>
        <w:rPr>
          <w:sz w:val="24"/>
          <w:szCs w:val="24"/>
          <w:lang w:eastAsia="da-DK"/>
        </w:rPr>
        <w:t>ATC-kode: R03AL02.</w:t>
      </w:r>
    </w:p>
    <w:p w:rsidR="005E773F" w:rsidRPr="005E773F" w:rsidRDefault="005E773F" w:rsidP="00D2028E">
      <w:pPr>
        <w:tabs>
          <w:tab w:val="num" w:pos="851"/>
        </w:tabs>
        <w:ind w:left="851" w:hanging="851"/>
        <w:rPr>
          <w:sz w:val="24"/>
          <w:szCs w:val="24"/>
        </w:rPr>
      </w:pPr>
    </w:p>
    <w:p w:rsidR="00D2028E" w:rsidRPr="005E773F" w:rsidRDefault="00D2028E" w:rsidP="00D2028E">
      <w:pPr>
        <w:pStyle w:val="Brdtekstindrykning"/>
        <w:jc w:val="left"/>
        <w:rPr>
          <w:i/>
          <w:u w:val="single"/>
          <w:lang w:val="nb-NO"/>
        </w:rPr>
      </w:pPr>
      <w:r w:rsidRPr="005E773F">
        <w:rPr>
          <w:i/>
          <w:u w:val="single"/>
          <w:lang w:val="nb-NO"/>
        </w:rPr>
        <w:t>Virkningsmekanisme og farmakodynamisk virkning</w:t>
      </w:r>
    </w:p>
    <w:p w:rsidR="00D2028E" w:rsidRPr="005E773F" w:rsidRDefault="00D2028E" w:rsidP="00D2028E">
      <w:pPr>
        <w:ind w:left="851"/>
        <w:rPr>
          <w:sz w:val="24"/>
          <w:szCs w:val="24"/>
          <w:lang w:val="nb-NO" w:eastAsia="da-DK"/>
        </w:rPr>
      </w:pPr>
    </w:p>
    <w:p w:rsidR="00D2028E" w:rsidRPr="00D71B15" w:rsidRDefault="00D2028E" w:rsidP="00D2028E">
      <w:pPr>
        <w:ind w:left="851"/>
        <w:rPr>
          <w:sz w:val="24"/>
          <w:szCs w:val="24"/>
          <w:lang w:eastAsia="da-DK"/>
        </w:rPr>
      </w:pPr>
      <w:proofErr w:type="spellStart"/>
      <w:r w:rsidRPr="00D71B15">
        <w:rPr>
          <w:sz w:val="24"/>
          <w:szCs w:val="24"/>
          <w:lang w:eastAsia="da-DK"/>
        </w:rPr>
        <w:t>Ipratropiumbromid</w:t>
      </w:r>
      <w:proofErr w:type="spellEnd"/>
      <w:r w:rsidRPr="00D71B15">
        <w:rPr>
          <w:sz w:val="24"/>
          <w:szCs w:val="24"/>
          <w:lang w:eastAsia="da-DK"/>
        </w:rPr>
        <w:t xml:space="preserve"> er et </w:t>
      </w:r>
      <w:proofErr w:type="spellStart"/>
      <w:r w:rsidRPr="00D71B15">
        <w:rPr>
          <w:sz w:val="24"/>
          <w:szCs w:val="24"/>
          <w:lang w:eastAsia="da-DK"/>
        </w:rPr>
        <w:t>antikolinergikum</w:t>
      </w:r>
      <w:proofErr w:type="spellEnd"/>
      <w:r w:rsidRPr="00D71B15">
        <w:rPr>
          <w:sz w:val="24"/>
          <w:szCs w:val="24"/>
          <w:lang w:eastAsia="da-DK"/>
        </w:rPr>
        <w:t xml:space="preserve">, der hæmmer </w:t>
      </w:r>
      <w:proofErr w:type="spellStart"/>
      <w:r w:rsidRPr="00D71B15">
        <w:rPr>
          <w:sz w:val="24"/>
          <w:szCs w:val="24"/>
          <w:lang w:eastAsia="da-DK"/>
        </w:rPr>
        <w:t>vagusmedierede</w:t>
      </w:r>
      <w:proofErr w:type="spellEnd"/>
      <w:r w:rsidRPr="00D71B15">
        <w:rPr>
          <w:sz w:val="24"/>
          <w:szCs w:val="24"/>
          <w:lang w:eastAsia="da-DK"/>
        </w:rPr>
        <w:t xml:space="preserve"> reflekser ved at </w:t>
      </w:r>
      <w:proofErr w:type="spellStart"/>
      <w:r w:rsidRPr="00D71B15">
        <w:rPr>
          <w:sz w:val="24"/>
          <w:szCs w:val="24"/>
          <w:lang w:eastAsia="da-DK"/>
        </w:rPr>
        <w:t>antagonisere</w:t>
      </w:r>
      <w:proofErr w:type="spellEnd"/>
      <w:r w:rsidRPr="00D71B15">
        <w:rPr>
          <w:sz w:val="24"/>
          <w:szCs w:val="24"/>
          <w:lang w:eastAsia="da-DK"/>
        </w:rPr>
        <w:t xml:space="preserve"> </w:t>
      </w:r>
      <w:proofErr w:type="spellStart"/>
      <w:r w:rsidRPr="00D71B15">
        <w:rPr>
          <w:sz w:val="24"/>
          <w:szCs w:val="24"/>
          <w:lang w:eastAsia="da-DK"/>
        </w:rPr>
        <w:t>muskarinvirkningen</w:t>
      </w:r>
      <w:proofErr w:type="spellEnd"/>
      <w:r w:rsidRPr="00D71B15">
        <w:rPr>
          <w:sz w:val="24"/>
          <w:szCs w:val="24"/>
          <w:lang w:eastAsia="da-DK"/>
        </w:rPr>
        <w:t xml:space="preserve"> af </w:t>
      </w:r>
      <w:proofErr w:type="spellStart"/>
      <w:r w:rsidRPr="00D71B15">
        <w:rPr>
          <w:sz w:val="24"/>
          <w:szCs w:val="24"/>
          <w:lang w:eastAsia="da-DK"/>
        </w:rPr>
        <w:t>acetylcholin</w:t>
      </w:r>
      <w:proofErr w:type="spellEnd"/>
      <w:r>
        <w:rPr>
          <w:sz w:val="24"/>
          <w:szCs w:val="24"/>
          <w:lang w:eastAsia="da-DK"/>
        </w:rPr>
        <w:t xml:space="preserve">, </w:t>
      </w:r>
      <w:r w:rsidRPr="00DE1BAE">
        <w:rPr>
          <w:color w:val="222222"/>
          <w:sz w:val="24"/>
          <w:szCs w:val="24"/>
        </w:rPr>
        <w:t xml:space="preserve">transmittermidlet frigivet fra </w:t>
      </w:r>
      <w:proofErr w:type="spellStart"/>
      <w:r w:rsidRPr="00DE1BAE">
        <w:rPr>
          <w:color w:val="222222"/>
          <w:sz w:val="24"/>
          <w:szCs w:val="24"/>
        </w:rPr>
        <w:t>vagusnerven</w:t>
      </w:r>
      <w:proofErr w:type="spellEnd"/>
      <w:r w:rsidRPr="00DE1BAE">
        <w:rPr>
          <w:color w:val="222222"/>
          <w:sz w:val="24"/>
          <w:szCs w:val="24"/>
        </w:rPr>
        <w:t>.</w:t>
      </w:r>
      <w:r w:rsidRPr="00D71B15">
        <w:rPr>
          <w:sz w:val="24"/>
          <w:szCs w:val="24"/>
          <w:lang w:eastAsia="da-DK"/>
        </w:rPr>
        <w:t xml:space="preserve"> </w:t>
      </w:r>
      <w:proofErr w:type="spellStart"/>
      <w:r w:rsidRPr="00D71B15">
        <w:rPr>
          <w:sz w:val="24"/>
          <w:szCs w:val="24"/>
          <w:lang w:eastAsia="da-DK"/>
        </w:rPr>
        <w:t>Bronkodilatationen</w:t>
      </w:r>
      <w:proofErr w:type="spellEnd"/>
      <w:r w:rsidRPr="00D71B15">
        <w:rPr>
          <w:sz w:val="24"/>
          <w:szCs w:val="24"/>
          <w:lang w:eastAsia="da-DK"/>
        </w:rPr>
        <w:t xml:space="preserve"> som følge af inhalation af </w:t>
      </w:r>
      <w:proofErr w:type="spellStart"/>
      <w:r w:rsidRPr="00D71B15">
        <w:rPr>
          <w:sz w:val="24"/>
          <w:szCs w:val="24"/>
          <w:lang w:eastAsia="da-DK"/>
        </w:rPr>
        <w:t>ipratropiumbromid</w:t>
      </w:r>
      <w:proofErr w:type="spellEnd"/>
      <w:r w:rsidRPr="00D71B15">
        <w:rPr>
          <w:sz w:val="24"/>
          <w:szCs w:val="24"/>
          <w:lang w:eastAsia="da-DK"/>
        </w:rPr>
        <w:t xml:space="preserve"> er primært lokal og lungespecifik og ikke af systemisk art.</w:t>
      </w:r>
    </w:p>
    <w:p w:rsidR="00D2028E" w:rsidRPr="00D71B15" w:rsidRDefault="00D2028E" w:rsidP="00D2028E">
      <w:pPr>
        <w:ind w:left="851"/>
        <w:rPr>
          <w:sz w:val="24"/>
          <w:szCs w:val="24"/>
          <w:lang w:eastAsia="da-DK"/>
        </w:rPr>
      </w:pPr>
    </w:p>
    <w:p w:rsidR="00D2028E" w:rsidRPr="00D71B15" w:rsidRDefault="00D2028E" w:rsidP="00D2028E">
      <w:pPr>
        <w:ind w:left="851"/>
        <w:rPr>
          <w:sz w:val="24"/>
          <w:szCs w:val="24"/>
          <w:lang w:eastAsia="da-DK"/>
        </w:rPr>
      </w:pPr>
      <w:proofErr w:type="spellStart"/>
      <w:r w:rsidRPr="00D71B15">
        <w:rPr>
          <w:sz w:val="24"/>
          <w:szCs w:val="24"/>
          <w:lang w:eastAsia="da-DK"/>
        </w:rPr>
        <w:t>Salbutamol</w:t>
      </w:r>
      <w:proofErr w:type="spellEnd"/>
      <w:r w:rsidRPr="00D71B15">
        <w:rPr>
          <w:sz w:val="24"/>
          <w:szCs w:val="24"/>
          <w:lang w:eastAsia="da-DK"/>
        </w:rPr>
        <w:t xml:space="preserve"> er en </w:t>
      </w:r>
      <w:proofErr w:type="spellStart"/>
      <w:r w:rsidRPr="00D71B15">
        <w:rPr>
          <w:sz w:val="24"/>
          <w:szCs w:val="24"/>
          <w:lang w:eastAsia="da-DK"/>
        </w:rPr>
        <w:t>adrenerg</w:t>
      </w:r>
      <w:proofErr w:type="spellEnd"/>
      <w:r w:rsidRPr="00D71B15">
        <w:rPr>
          <w:sz w:val="24"/>
          <w:szCs w:val="24"/>
          <w:lang w:eastAsia="da-DK"/>
        </w:rPr>
        <w:t xml:space="preserve"> beta</w:t>
      </w:r>
      <w:r w:rsidRPr="00D71B15">
        <w:rPr>
          <w:sz w:val="24"/>
          <w:szCs w:val="24"/>
          <w:vertAlign w:val="subscript"/>
          <w:lang w:eastAsia="da-DK"/>
        </w:rPr>
        <w:t>2</w:t>
      </w:r>
      <w:r w:rsidRPr="00D71B15">
        <w:rPr>
          <w:sz w:val="24"/>
          <w:szCs w:val="24"/>
          <w:lang w:eastAsia="da-DK"/>
        </w:rPr>
        <w:t xml:space="preserve">-agonist med virkning på den glatte muskulatur i luftvejene, som dermed afslappes. </w:t>
      </w:r>
      <w:proofErr w:type="spellStart"/>
      <w:r w:rsidRPr="00D71B15">
        <w:rPr>
          <w:sz w:val="24"/>
          <w:szCs w:val="24"/>
          <w:lang w:eastAsia="da-DK"/>
        </w:rPr>
        <w:t>Salbutamol</w:t>
      </w:r>
      <w:proofErr w:type="spellEnd"/>
      <w:r w:rsidRPr="00D71B15">
        <w:rPr>
          <w:sz w:val="24"/>
          <w:szCs w:val="24"/>
          <w:lang w:eastAsia="da-DK"/>
        </w:rPr>
        <w:t xml:space="preserve"> afslapper al glat muskulatur fra luftrøret til de terminale bronkioler og beskytter mod </w:t>
      </w:r>
      <w:proofErr w:type="spellStart"/>
      <w:r w:rsidRPr="00D71B15">
        <w:rPr>
          <w:sz w:val="24"/>
          <w:szCs w:val="24"/>
          <w:lang w:eastAsia="da-DK"/>
        </w:rPr>
        <w:t>bronkokonstriktion</w:t>
      </w:r>
      <w:proofErr w:type="spellEnd"/>
      <w:r w:rsidRPr="00D71B15">
        <w:rPr>
          <w:sz w:val="24"/>
          <w:szCs w:val="24"/>
          <w:lang w:eastAsia="da-DK"/>
        </w:rPr>
        <w:t>.</w:t>
      </w:r>
    </w:p>
    <w:p w:rsidR="00D2028E" w:rsidRPr="00D71B15" w:rsidRDefault="00D2028E" w:rsidP="00D2028E">
      <w:pPr>
        <w:ind w:left="851"/>
        <w:rPr>
          <w:sz w:val="24"/>
          <w:szCs w:val="24"/>
          <w:lang w:eastAsia="da-DK"/>
        </w:rPr>
      </w:pPr>
    </w:p>
    <w:p w:rsidR="00D2028E" w:rsidRDefault="00D2028E" w:rsidP="00D2028E">
      <w:pPr>
        <w:ind w:left="851"/>
        <w:rPr>
          <w:sz w:val="24"/>
          <w:szCs w:val="24"/>
          <w:lang w:eastAsia="da-DK"/>
        </w:rPr>
      </w:pPr>
      <w:proofErr w:type="spellStart"/>
      <w:r>
        <w:rPr>
          <w:sz w:val="24"/>
          <w:szCs w:val="24"/>
          <w:lang w:eastAsia="da-DK"/>
        </w:rPr>
        <w:t>Ipratropiumbromid</w:t>
      </w:r>
      <w:proofErr w:type="spellEnd"/>
      <w:r>
        <w:rPr>
          <w:sz w:val="24"/>
          <w:szCs w:val="24"/>
          <w:lang w:eastAsia="da-DK"/>
        </w:rPr>
        <w:t>/</w:t>
      </w:r>
      <w:proofErr w:type="spellStart"/>
      <w:r>
        <w:rPr>
          <w:sz w:val="24"/>
          <w:szCs w:val="24"/>
          <w:lang w:eastAsia="da-DK"/>
        </w:rPr>
        <w:t>salbutamol</w:t>
      </w:r>
      <w:proofErr w:type="spellEnd"/>
      <w:r w:rsidRPr="00D71B15">
        <w:rPr>
          <w:sz w:val="24"/>
          <w:szCs w:val="24"/>
          <w:lang w:eastAsia="da-DK"/>
        </w:rPr>
        <w:t xml:space="preserve"> medfører samtidig afgivelse af </w:t>
      </w:r>
      <w:proofErr w:type="spellStart"/>
      <w:r w:rsidRPr="00D71B15">
        <w:rPr>
          <w:sz w:val="24"/>
          <w:szCs w:val="24"/>
          <w:lang w:eastAsia="da-DK"/>
        </w:rPr>
        <w:t>ipratropiumbromid</w:t>
      </w:r>
      <w:proofErr w:type="spellEnd"/>
      <w:r w:rsidRPr="00D71B15">
        <w:rPr>
          <w:sz w:val="24"/>
          <w:szCs w:val="24"/>
          <w:lang w:eastAsia="da-DK"/>
        </w:rPr>
        <w:t xml:space="preserve"> og </w:t>
      </w:r>
      <w:proofErr w:type="spellStart"/>
      <w:r w:rsidRPr="00D71B15">
        <w:rPr>
          <w:sz w:val="24"/>
          <w:szCs w:val="24"/>
          <w:lang w:eastAsia="da-DK"/>
        </w:rPr>
        <w:t>salbutamolsulfat</w:t>
      </w:r>
      <w:proofErr w:type="spellEnd"/>
      <w:r w:rsidRPr="00D71B15">
        <w:rPr>
          <w:sz w:val="24"/>
          <w:szCs w:val="24"/>
          <w:lang w:eastAsia="da-DK"/>
        </w:rPr>
        <w:t xml:space="preserve">, hvilket </w:t>
      </w:r>
      <w:r>
        <w:rPr>
          <w:sz w:val="24"/>
          <w:szCs w:val="24"/>
          <w:lang w:eastAsia="da-DK"/>
        </w:rPr>
        <w:t>tillader</w:t>
      </w:r>
      <w:r w:rsidRPr="00D71B15">
        <w:rPr>
          <w:sz w:val="24"/>
          <w:szCs w:val="24"/>
          <w:lang w:eastAsia="da-DK"/>
        </w:rPr>
        <w:t xml:space="preserve"> virkninger på både </w:t>
      </w:r>
      <w:proofErr w:type="spellStart"/>
      <w:r w:rsidRPr="00D71B15">
        <w:rPr>
          <w:sz w:val="24"/>
          <w:szCs w:val="24"/>
          <w:lang w:eastAsia="da-DK"/>
        </w:rPr>
        <w:t>muskarine</w:t>
      </w:r>
      <w:proofErr w:type="spellEnd"/>
      <w:r w:rsidRPr="00D71B15">
        <w:rPr>
          <w:sz w:val="24"/>
          <w:szCs w:val="24"/>
          <w:lang w:eastAsia="da-DK"/>
        </w:rPr>
        <w:t xml:space="preserve"> og beta2-adrenerge receptorer i lungerne. Dette giver øget </w:t>
      </w:r>
      <w:proofErr w:type="spellStart"/>
      <w:r w:rsidRPr="00D71B15">
        <w:rPr>
          <w:sz w:val="24"/>
          <w:szCs w:val="24"/>
          <w:lang w:eastAsia="da-DK"/>
        </w:rPr>
        <w:t>bronkodilatation</w:t>
      </w:r>
      <w:proofErr w:type="spellEnd"/>
      <w:r w:rsidRPr="00D71B15">
        <w:rPr>
          <w:sz w:val="24"/>
          <w:szCs w:val="24"/>
          <w:lang w:eastAsia="da-DK"/>
        </w:rPr>
        <w:t xml:space="preserve"> i forhold til de enkelte stoffer alene.</w:t>
      </w:r>
    </w:p>
    <w:p w:rsidR="00D2028E" w:rsidRDefault="00D2028E" w:rsidP="00D2028E">
      <w:pPr>
        <w:ind w:left="851"/>
        <w:rPr>
          <w:i/>
          <w:u w:val="single"/>
        </w:rPr>
      </w:pPr>
    </w:p>
    <w:p w:rsidR="00D2028E" w:rsidRPr="001A5D6D" w:rsidRDefault="00D2028E" w:rsidP="00D2028E">
      <w:pPr>
        <w:ind w:left="851"/>
        <w:rPr>
          <w:i/>
          <w:u w:val="single"/>
        </w:rPr>
      </w:pPr>
      <w:r w:rsidRPr="00DE1BAE">
        <w:rPr>
          <w:i/>
          <w:u w:val="single"/>
        </w:rPr>
        <w:t>Pædiatrisk population</w:t>
      </w:r>
    </w:p>
    <w:p w:rsidR="00D2028E" w:rsidRDefault="00D2028E" w:rsidP="00D2028E">
      <w:pPr>
        <w:tabs>
          <w:tab w:val="left" w:pos="851"/>
        </w:tabs>
      </w:pPr>
      <w:r>
        <w:tab/>
      </w:r>
      <w:proofErr w:type="spellStart"/>
      <w:r>
        <w:t>Ipratropiumbromid</w:t>
      </w:r>
      <w:proofErr w:type="spellEnd"/>
      <w:r>
        <w:t>/</w:t>
      </w:r>
      <w:proofErr w:type="spellStart"/>
      <w:r>
        <w:t>salbutamol</w:t>
      </w:r>
      <w:proofErr w:type="spellEnd"/>
      <w:r>
        <w:t xml:space="preserve"> har ikke været undersøgt i den pædiatriske population.</w:t>
      </w:r>
    </w:p>
    <w:p w:rsidR="00D2028E" w:rsidRPr="003C2BEF" w:rsidRDefault="00D2028E" w:rsidP="00D2028E">
      <w:pPr>
        <w:tabs>
          <w:tab w:val="left" w:pos="851"/>
        </w:tabs>
        <w:rPr>
          <w:sz w:val="24"/>
          <w:szCs w:val="24"/>
        </w:rPr>
      </w:pPr>
    </w:p>
    <w:p w:rsidR="00D2028E" w:rsidRPr="003C2BEF" w:rsidRDefault="00D2028E" w:rsidP="00D2028E">
      <w:pPr>
        <w:tabs>
          <w:tab w:val="left" w:pos="851"/>
        </w:tabs>
        <w:ind w:left="851" w:hanging="851"/>
        <w:rPr>
          <w:b/>
          <w:sz w:val="24"/>
          <w:szCs w:val="24"/>
        </w:rPr>
      </w:pPr>
      <w:r w:rsidRPr="003C2BEF">
        <w:rPr>
          <w:b/>
          <w:sz w:val="24"/>
          <w:szCs w:val="24"/>
        </w:rPr>
        <w:t>5.2</w:t>
      </w:r>
      <w:r w:rsidRPr="003C2BEF">
        <w:rPr>
          <w:b/>
          <w:sz w:val="24"/>
          <w:szCs w:val="24"/>
        </w:rPr>
        <w:tab/>
      </w:r>
      <w:proofErr w:type="spellStart"/>
      <w:r w:rsidRPr="003C2BEF">
        <w:rPr>
          <w:b/>
          <w:sz w:val="24"/>
          <w:szCs w:val="24"/>
        </w:rPr>
        <w:t>Farmakokinetiske</w:t>
      </w:r>
      <w:proofErr w:type="spellEnd"/>
      <w:r w:rsidRPr="003C2BEF">
        <w:rPr>
          <w:b/>
          <w:sz w:val="24"/>
          <w:szCs w:val="24"/>
        </w:rPr>
        <w:t xml:space="preserve"> egenskaber</w:t>
      </w:r>
    </w:p>
    <w:p w:rsidR="00D2028E" w:rsidRPr="00D71B15" w:rsidRDefault="00D2028E" w:rsidP="00D2028E">
      <w:pPr>
        <w:ind w:left="851"/>
        <w:rPr>
          <w:sz w:val="24"/>
          <w:szCs w:val="24"/>
          <w:u w:val="single"/>
          <w:lang w:eastAsia="da-DK"/>
        </w:rPr>
      </w:pPr>
      <w:proofErr w:type="spellStart"/>
      <w:r>
        <w:rPr>
          <w:sz w:val="24"/>
          <w:szCs w:val="24"/>
          <w:u w:val="single"/>
          <w:lang w:eastAsia="da-DK"/>
        </w:rPr>
        <w:t>Ipratropium</w:t>
      </w:r>
      <w:proofErr w:type="spellEnd"/>
    </w:p>
    <w:p w:rsidR="00D2028E" w:rsidRDefault="00D2028E" w:rsidP="00D2028E">
      <w:pPr>
        <w:ind w:left="851"/>
        <w:rPr>
          <w:i/>
          <w:sz w:val="24"/>
          <w:szCs w:val="24"/>
          <w:lang w:eastAsia="da-DK"/>
        </w:rPr>
      </w:pPr>
    </w:p>
    <w:p w:rsidR="00D2028E" w:rsidRPr="00D71B15" w:rsidRDefault="00D2028E" w:rsidP="00D2028E">
      <w:pPr>
        <w:ind w:left="851"/>
        <w:rPr>
          <w:i/>
          <w:sz w:val="24"/>
          <w:szCs w:val="24"/>
          <w:lang w:eastAsia="da-DK"/>
        </w:rPr>
      </w:pPr>
      <w:r w:rsidRPr="00D71B15">
        <w:rPr>
          <w:i/>
          <w:sz w:val="24"/>
          <w:szCs w:val="24"/>
          <w:lang w:eastAsia="da-DK"/>
        </w:rPr>
        <w:t>Absorption</w:t>
      </w:r>
    </w:p>
    <w:p w:rsidR="00D2028E" w:rsidRPr="00D71B15" w:rsidRDefault="00D2028E" w:rsidP="00D2028E">
      <w:pPr>
        <w:ind w:left="851"/>
        <w:rPr>
          <w:sz w:val="24"/>
          <w:szCs w:val="24"/>
          <w:lang w:eastAsia="da-DK"/>
        </w:rPr>
      </w:pPr>
      <w:r w:rsidRPr="00D71B15">
        <w:rPr>
          <w:sz w:val="24"/>
          <w:szCs w:val="24"/>
          <w:lang w:eastAsia="da-DK"/>
        </w:rPr>
        <w:t xml:space="preserve">På baggrund af en kumulativ </w:t>
      </w:r>
      <w:proofErr w:type="spellStart"/>
      <w:r w:rsidRPr="00D71B15">
        <w:rPr>
          <w:sz w:val="24"/>
          <w:szCs w:val="24"/>
          <w:lang w:eastAsia="da-DK"/>
        </w:rPr>
        <w:t>ekskretionsværdi</w:t>
      </w:r>
      <w:proofErr w:type="spellEnd"/>
      <w:r w:rsidRPr="00D71B15">
        <w:rPr>
          <w:sz w:val="24"/>
          <w:szCs w:val="24"/>
          <w:lang w:eastAsia="da-DK"/>
        </w:rPr>
        <w:t xml:space="preserve"> (CRE0-24) på cirka 3-4 % vurderes den totale systemiske biotilgængelighed af inhalerede doser af </w:t>
      </w:r>
      <w:proofErr w:type="spellStart"/>
      <w:r w:rsidRPr="00D71B15">
        <w:rPr>
          <w:sz w:val="24"/>
          <w:szCs w:val="24"/>
          <w:lang w:eastAsia="da-DK"/>
        </w:rPr>
        <w:t>ipratropiumbromid</w:t>
      </w:r>
      <w:proofErr w:type="spellEnd"/>
      <w:r w:rsidRPr="00D71B15">
        <w:rPr>
          <w:sz w:val="24"/>
          <w:szCs w:val="24"/>
          <w:lang w:eastAsia="da-DK"/>
        </w:rPr>
        <w:t xml:space="preserve"> at ligge i området 7 til 9 %.</w:t>
      </w:r>
    </w:p>
    <w:p w:rsidR="00D2028E" w:rsidRDefault="00D2028E" w:rsidP="00D2028E">
      <w:pPr>
        <w:ind w:left="851"/>
        <w:rPr>
          <w:i/>
          <w:sz w:val="24"/>
          <w:szCs w:val="24"/>
          <w:lang w:eastAsia="da-DK"/>
        </w:rPr>
      </w:pPr>
    </w:p>
    <w:p w:rsidR="00D2028E" w:rsidRPr="00D71B15" w:rsidRDefault="00D2028E" w:rsidP="005E773F">
      <w:pPr>
        <w:keepNext/>
        <w:ind w:left="851"/>
        <w:rPr>
          <w:i/>
          <w:sz w:val="24"/>
          <w:szCs w:val="24"/>
          <w:lang w:eastAsia="da-DK"/>
        </w:rPr>
      </w:pPr>
      <w:r w:rsidRPr="00D71B15">
        <w:rPr>
          <w:i/>
          <w:sz w:val="24"/>
          <w:szCs w:val="24"/>
          <w:lang w:eastAsia="da-DK"/>
        </w:rPr>
        <w:lastRenderedPageBreak/>
        <w:t>Fordeling</w:t>
      </w:r>
    </w:p>
    <w:p w:rsidR="00D2028E" w:rsidRPr="00D71B15" w:rsidRDefault="00D2028E" w:rsidP="00D2028E">
      <w:pPr>
        <w:ind w:left="851"/>
        <w:rPr>
          <w:sz w:val="24"/>
          <w:szCs w:val="24"/>
          <w:lang w:eastAsia="da-DK"/>
        </w:rPr>
      </w:pPr>
      <w:r w:rsidRPr="00D71B15">
        <w:rPr>
          <w:sz w:val="24"/>
          <w:szCs w:val="24"/>
          <w:lang w:eastAsia="da-DK"/>
        </w:rPr>
        <w:t xml:space="preserve">De kinetiske parametre, der beskriver fordelingen af </w:t>
      </w:r>
      <w:proofErr w:type="spellStart"/>
      <w:r w:rsidRPr="00D71B15">
        <w:rPr>
          <w:sz w:val="24"/>
          <w:szCs w:val="24"/>
          <w:lang w:eastAsia="da-DK"/>
        </w:rPr>
        <w:t>ipratropiumbromid</w:t>
      </w:r>
      <w:proofErr w:type="spellEnd"/>
      <w:r w:rsidRPr="00D71B15">
        <w:rPr>
          <w:sz w:val="24"/>
          <w:szCs w:val="24"/>
          <w:lang w:eastAsia="da-DK"/>
        </w:rPr>
        <w:t xml:space="preserve">, blev beregnet ud fra plasmakoncentrationer efter intravenøs administration. Der ses et hurtigt </w:t>
      </w:r>
      <w:proofErr w:type="spellStart"/>
      <w:r w:rsidRPr="00D71B15">
        <w:rPr>
          <w:sz w:val="24"/>
          <w:szCs w:val="24"/>
          <w:lang w:eastAsia="da-DK"/>
        </w:rPr>
        <w:t>bifasisk</w:t>
      </w:r>
      <w:proofErr w:type="spellEnd"/>
      <w:r w:rsidRPr="00D71B15">
        <w:rPr>
          <w:sz w:val="24"/>
          <w:szCs w:val="24"/>
          <w:lang w:eastAsia="da-DK"/>
        </w:rPr>
        <w:t xml:space="preserve"> fald i plasmakoncentrationen.</w:t>
      </w:r>
    </w:p>
    <w:p w:rsidR="00D2028E" w:rsidRPr="00D71B15" w:rsidRDefault="00D2028E" w:rsidP="00D2028E">
      <w:pPr>
        <w:ind w:left="851"/>
        <w:rPr>
          <w:sz w:val="24"/>
          <w:szCs w:val="24"/>
          <w:lang w:eastAsia="da-DK"/>
        </w:rPr>
      </w:pPr>
      <w:r w:rsidRPr="00D71B15">
        <w:rPr>
          <w:sz w:val="24"/>
          <w:szCs w:val="24"/>
          <w:lang w:eastAsia="da-DK"/>
        </w:rPr>
        <w:t xml:space="preserve">Det tilsyneladende fordelingsvolumen ved </w:t>
      </w:r>
      <w:proofErr w:type="spellStart"/>
      <w:r w:rsidRPr="00D71B15">
        <w:rPr>
          <w:sz w:val="24"/>
          <w:szCs w:val="24"/>
          <w:lang w:eastAsia="da-DK"/>
        </w:rPr>
        <w:t>steady</w:t>
      </w:r>
      <w:proofErr w:type="spellEnd"/>
      <w:r w:rsidRPr="00D71B15">
        <w:rPr>
          <w:sz w:val="24"/>
          <w:szCs w:val="24"/>
          <w:lang w:eastAsia="da-DK"/>
        </w:rPr>
        <w:t xml:space="preserve"> </w:t>
      </w:r>
      <w:proofErr w:type="spellStart"/>
      <w:r w:rsidRPr="00D71B15">
        <w:rPr>
          <w:sz w:val="24"/>
          <w:szCs w:val="24"/>
          <w:lang w:eastAsia="da-DK"/>
        </w:rPr>
        <w:t>state</w:t>
      </w:r>
      <w:proofErr w:type="spellEnd"/>
      <w:r w:rsidRPr="00D71B15">
        <w:rPr>
          <w:sz w:val="24"/>
          <w:szCs w:val="24"/>
          <w:lang w:eastAsia="da-DK"/>
        </w:rPr>
        <w:t xml:space="preserve"> (</w:t>
      </w:r>
      <w:proofErr w:type="spellStart"/>
      <w:r w:rsidRPr="00D71B15">
        <w:rPr>
          <w:sz w:val="24"/>
          <w:szCs w:val="24"/>
          <w:lang w:eastAsia="da-DK"/>
        </w:rPr>
        <w:t>Vdss</w:t>
      </w:r>
      <w:proofErr w:type="spellEnd"/>
      <w:r w:rsidRPr="00D71B15">
        <w:rPr>
          <w:sz w:val="24"/>
          <w:szCs w:val="24"/>
          <w:lang w:eastAsia="da-DK"/>
        </w:rPr>
        <w:t xml:space="preserve">) er cirka 176 l (≈ 2,4 l/kg). Lægemidlet har minimal (under 20 %) plasmaproteinbinding. Ligesom andre kvaternære ammoniumkomponenter forventes </w:t>
      </w:r>
      <w:proofErr w:type="spellStart"/>
      <w:r w:rsidRPr="00D71B15">
        <w:rPr>
          <w:sz w:val="24"/>
          <w:szCs w:val="24"/>
          <w:lang w:eastAsia="da-DK"/>
        </w:rPr>
        <w:t>ipratropiumbromid</w:t>
      </w:r>
      <w:proofErr w:type="spellEnd"/>
      <w:r w:rsidRPr="00D71B15">
        <w:rPr>
          <w:sz w:val="24"/>
          <w:szCs w:val="24"/>
          <w:lang w:eastAsia="da-DK"/>
        </w:rPr>
        <w:t xml:space="preserve"> ikke uden videre at krydse blodhjernebarrieren</w:t>
      </w:r>
    </w:p>
    <w:p w:rsidR="00D2028E" w:rsidRDefault="00D2028E" w:rsidP="00D2028E">
      <w:pPr>
        <w:ind w:left="851"/>
        <w:rPr>
          <w:i/>
          <w:sz w:val="24"/>
          <w:szCs w:val="24"/>
          <w:lang w:eastAsia="da-DK"/>
        </w:rPr>
      </w:pPr>
    </w:p>
    <w:p w:rsidR="00D2028E" w:rsidRPr="00D71B15" w:rsidRDefault="00D2028E" w:rsidP="00D2028E">
      <w:pPr>
        <w:keepNext/>
        <w:ind w:left="851"/>
        <w:rPr>
          <w:i/>
          <w:sz w:val="24"/>
          <w:szCs w:val="24"/>
          <w:lang w:eastAsia="da-DK"/>
        </w:rPr>
      </w:pPr>
      <w:r w:rsidRPr="00D71B15">
        <w:rPr>
          <w:i/>
          <w:sz w:val="24"/>
          <w:szCs w:val="24"/>
          <w:lang w:eastAsia="da-DK"/>
        </w:rPr>
        <w:t>Metabolisme og elimination</w:t>
      </w:r>
    </w:p>
    <w:p w:rsidR="00D2028E" w:rsidRPr="00D71B15" w:rsidRDefault="00D2028E" w:rsidP="00D2028E">
      <w:pPr>
        <w:ind w:left="851"/>
        <w:rPr>
          <w:sz w:val="24"/>
          <w:szCs w:val="24"/>
          <w:lang w:eastAsia="da-DK"/>
        </w:rPr>
      </w:pPr>
      <w:proofErr w:type="spellStart"/>
      <w:r w:rsidRPr="00D71B15">
        <w:rPr>
          <w:sz w:val="24"/>
          <w:szCs w:val="24"/>
          <w:lang w:eastAsia="da-DK"/>
        </w:rPr>
        <w:t>Ipratropium</w:t>
      </w:r>
      <w:proofErr w:type="spellEnd"/>
      <w:r w:rsidRPr="00D71B15">
        <w:rPr>
          <w:sz w:val="24"/>
          <w:szCs w:val="24"/>
          <w:lang w:eastAsia="da-DK"/>
        </w:rPr>
        <w:t xml:space="preserve"> har en total </w:t>
      </w:r>
      <w:proofErr w:type="spellStart"/>
      <w:r w:rsidRPr="00D71B15">
        <w:rPr>
          <w:sz w:val="24"/>
          <w:szCs w:val="24"/>
          <w:lang w:eastAsia="da-DK"/>
        </w:rPr>
        <w:t>clearance</w:t>
      </w:r>
      <w:proofErr w:type="spellEnd"/>
      <w:r w:rsidRPr="00D71B15">
        <w:rPr>
          <w:sz w:val="24"/>
          <w:szCs w:val="24"/>
          <w:lang w:eastAsia="da-DK"/>
        </w:rPr>
        <w:t xml:space="preserve"> på 2,3 l/min og en </w:t>
      </w:r>
      <w:proofErr w:type="spellStart"/>
      <w:r w:rsidRPr="00D71B15">
        <w:rPr>
          <w:sz w:val="24"/>
          <w:szCs w:val="24"/>
          <w:lang w:eastAsia="da-DK"/>
        </w:rPr>
        <w:t>renal</w:t>
      </w:r>
      <w:proofErr w:type="spellEnd"/>
      <w:r w:rsidRPr="00D71B15">
        <w:rPr>
          <w:sz w:val="24"/>
          <w:szCs w:val="24"/>
          <w:lang w:eastAsia="da-DK"/>
        </w:rPr>
        <w:t xml:space="preserve"> </w:t>
      </w:r>
      <w:proofErr w:type="spellStart"/>
      <w:r w:rsidRPr="00D71B15">
        <w:rPr>
          <w:sz w:val="24"/>
          <w:szCs w:val="24"/>
          <w:lang w:eastAsia="da-DK"/>
        </w:rPr>
        <w:t>clearance</w:t>
      </w:r>
      <w:proofErr w:type="spellEnd"/>
      <w:r w:rsidRPr="00D71B15">
        <w:rPr>
          <w:sz w:val="24"/>
          <w:szCs w:val="24"/>
          <w:lang w:eastAsia="da-DK"/>
        </w:rPr>
        <w:t xml:space="preserve"> på 0,9 l/min. Efter administration via inhalation </w:t>
      </w:r>
      <w:proofErr w:type="spellStart"/>
      <w:r w:rsidRPr="00D71B15">
        <w:rPr>
          <w:sz w:val="24"/>
          <w:szCs w:val="24"/>
          <w:lang w:eastAsia="da-DK"/>
        </w:rPr>
        <w:t>metaboliseres</w:t>
      </w:r>
      <w:proofErr w:type="spellEnd"/>
      <w:r w:rsidRPr="00D71B15">
        <w:rPr>
          <w:sz w:val="24"/>
          <w:szCs w:val="24"/>
          <w:lang w:eastAsia="da-DK"/>
        </w:rPr>
        <w:t xml:space="preserve"> cirka 87 %-89 % af dosis formentligt primært i leveren via oxidering.</w:t>
      </w:r>
    </w:p>
    <w:p w:rsidR="00D2028E" w:rsidRDefault="00D2028E" w:rsidP="00D2028E">
      <w:pPr>
        <w:ind w:left="851"/>
        <w:rPr>
          <w:i/>
          <w:sz w:val="24"/>
          <w:szCs w:val="24"/>
          <w:lang w:eastAsia="da-DK"/>
        </w:rPr>
      </w:pPr>
      <w:r>
        <w:rPr>
          <w:i/>
          <w:sz w:val="24"/>
          <w:szCs w:val="24"/>
          <w:lang w:eastAsia="da-DK"/>
        </w:rPr>
        <w:t>Elimination</w:t>
      </w:r>
    </w:p>
    <w:p w:rsidR="00D2028E" w:rsidRPr="00D71B15" w:rsidRDefault="00D2028E" w:rsidP="00D2028E">
      <w:pPr>
        <w:ind w:left="851"/>
        <w:rPr>
          <w:sz w:val="24"/>
          <w:szCs w:val="24"/>
          <w:lang w:eastAsia="da-DK"/>
        </w:rPr>
      </w:pPr>
      <w:r w:rsidRPr="00D71B15">
        <w:rPr>
          <w:sz w:val="24"/>
          <w:szCs w:val="24"/>
          <w:lang w:eastAsia="da-DK"/>
        </w:rPr>
        <w:t>Efter administration via inhalation elimineres cirka 3,2 % af lægemiddelrelateret radioaktivitet, dvs. moderstof og metabolitter, via urinen. Total radioaktivitet udskilt via fæces var</w:t>
      </w:r>
      <w:r>
        <w:rPr>
          <w:sz w:val="24"/>
          <w:szCs w:val="24"/>
          <w:lang w:eastAsia="da-DK"/>
        </w:rPr>
        <w:t xml:space="preserve"> 69,4%</w:t>
      </w:r>
      <w:r w:rsidRPr="00D71B15">
        <w:rPr>
          <w:sz w:val="24"/>
          <w:szCs w:val="24"/>
          <w:lang w:eastAsia="da-DK"/>
        </w:rPr>
        <w:t xml:space="preserve"> for denne administrationsvej. Eliminationshalveringstiden for lægemiddelrelateret radioaktivitet efter inhalation er 3,2 timer. De primære metabolitter i urinen bindes i ringe grad til </w:t>
      </w:r>
      <w:proofErr w:type="spellStart"/>
      <w:r w:rsidRPr="00D71B15">
        <w:rPr>
          <w:sz w:val="24"/>
          <w:szCs w:val="24"/>
          <w:lang w:eastAsia="da-DK"/>
        </w:rPr>
        <w:t>muskarinreceptoren</w:t>
      </w:r>
      <w:proofErr w:type="spellEnd"/>
      <w:r w:rsidRPr="00D71B15">
        <w:rPr>
          <w:sz w:val="24"/>
          <w:szCs w:val="24"/>
          <w:lang w:eastAsia="da-DK"/>
        </w:rPr>
        <w:t xml:space="preserve"> og skal anses som værende ineffektive.</w:t>
      </w:r>
    </w:p>
    <w:p w:rsidR="00D2028E" w:rsidRPr="00D71B15" w:rsidRDefault="00D2028E" w:rsidP="00D2028E">
      <w:pPr>
        <w:ind w:left="851"/>
        <w:rPr>
          <w:sz w:val="24"/>
          <w:szCs w:val="24"/>
          <w:lang w:eastAsia="da-DK"/>
        </w:rPr>
      </w:pPr>
    </w:p>
    <w:p w:rsidR="00D2028E" w:rsidRPr="001A5D6D" w:rsidRDefault="00D2028E" w:rsidP="00D2028E">
      <w:pPr>
        <w:ind w:left="851"/>
        <w:rPr>
          <w:sz w:val="24"/>
          <w:szCs w:val="24"/>
          <w:u w:val="single"/>
          <w:lang w:eastAsia="da-DK"/>
        </w:rPr>
      </w:pPr>
      <w:proofErr w:type="spellStart"/>
      <w:r w:rsidRPr="00D71B15">
        <w:rPr>
          <w:sz w:val="24"/>
          <w:szCs w:val="24"/>
          <w:u w:val="single"/>
          <w:lang w:eastAsia="da-DK"/>
        </w:rPr>
        <w:t>Salbutamol</w:t>
      </w:r>
      <w:proofErr w:type="spellEnd"/>
    </w:p>
    <w:p w:rsidR="00D2028E" w:rsidRDefault="00D2028E" w:rsidP="00D2028E">
      <w:pPr>
        <w:ind w:left="851"/>
        <w:rPr>
          <w:i/>
          <w:sz w:val="24"/>
          <w:szCs w:val="24"/>
          <w:lang w:eastAsia="da-DK"/>
        </w:rPr>
      </w:pPr>
    </w:p>
    <w:p w:rsidR="00D2028E" w:rsidRPr="00D71B15" w:rsidRDefault="00D2028E" w:rsidP="00D2028E">
      <w:pPr>
        <w:ind w:left="851"/>
        <w:rPr>
          <w:i/>
          <w:sz w:val="24"/>
          <w:szCs w:val="24"/>
          <w:lang w:eastAsia="da-DK"/>
        </w:rPr>
      </w:pPr>
      <w:r w:rsidRPr="00D71B15">
        <w:rPr>
          <w:i/>
          <w:sz w:val="24"/>
          <w:szCs w:val="24"/>
          <w:lang w:eastAsia="da-DK"/>
        </w:rPr>
        <w:t>Absorption</w:t>
      </w:r>
    </w:p>
    <w:p w:rsidR="00D2028E" w:rsidRPr="00D71B15" w:rsidRDefault="00D2028E" w:rsidP="00D2028E">
      <w:pPr>
        <w:ind w:left="851"/>
        <w:rPr>
          <w:sz w:val="24"/>
          <w:szCs w:val="24"/>
          <w:lang w:eastAsia="da-DK"/>
        </w:rPr>
      </w:pPr>
      <w:proofErr w:type="spellStart"/>
      <w:r w:rsidRPr="00D71B15">
        <w:rPr>
          <w:sz w:val="24"/>
          <w:szCs w:val="24"/>
          <w:lang w:eastAsia="da-DK"/>
        </w:rPr>
        <w:t>Salbutamol</w:t>
      </w:r>
      <w:proofErr w:type="spellEnd"/>
      <w:r w:rsidRPr="00D71B15">
        <w:rPr>
          <w:sz w:val="24"/>
          <w:szCs w:val="24"/>
          <w:lang w:eastAsia="da-DK"/>
        </w:rPr>
        <w:t xml:space="preserve"> absorberes hurtigt og fuldstændigt efter oral administration, enten ad den inhalerede eller gastriske vej, og har en oral biotilgængelighed på ca. 50 %. De gennemsnitlige maksimale plasmakoncentrationer af </w:t>
      </w:r>
      <w:proofErr w:type="spellStart"/>
      <w:r w:rsidRPr="00D71B15">
        <w:rPr>
          <w:sz w:val="24"/>
          <w:szCs w:val="24"/>
          <w:lang w:eastAsia="da-DK"/>
        </w:rPr>
        <w:t>salbutamol</w:t>
      </w:r>
      <w:proofErr w:type="spellEnd"/>
      <w:r w:rsidRPr="00D71B15">
        <w:rPr>
          <w:sz w:val="24"/>
          <w:szCs w:val="24"/>
          <w:lang w:eastAsia="da-DK"/>
        </w:rPr>
        <w:t xml:space="preserve"> på cirka 492 </w:t>
      </w:r>
      <w:proofErr w:type="spellStart"/>
      <w:r w:rsidRPr="00D71B15">
        <w:rPr>
          <w:sz w:val="24"/>
          <w:szCs w:val="24"/>
          <w:lang w:eastAsia="da-DK"/>
        </w:rPr>
        <w:t>pg</w:t>
      </w:r>
      <w:proofErr w:type="spellEnd"/>
      <w:r w:rsidRPr="00D71B15">
        <w:rPr>
          <w:sz w:val="24"/>
          <w:szCs w:val="24"/>
          <w:lang w:eastAsia="da-DK"/>
        </w:rPr>
        <w:t xml:space="preserve">/ml indtræder inden for tre timer efter inhalation af </w:t>
      </w:r>
      <w:proofErr w:type="spellStart"/>
      <w:r w:rsidRPr="00D71B15">
        <w:rPr>
          <w:sz w:val="24"/>
          <w:szCs w:val="24"/>
          <w:lang w:eastAsia="da-DK"/>
        </w:rPr>
        <w:t>ipratropium</w:t>
      </w:r>
      <w:proofErr w:type="spellEnd"/>
      <w:r w:rsidRPr="00D71B15">
        <w:rPr>
          <w:sz w:val="24"/>
          <w:szCs w:val="24"/>
          <w:lang w:eastAsia="da-DK"/>
        </w:rPr>
        <w:t>/</w:t>
      </w:r>
      <w:proofErr w:type="spellStart"/>
      <w:r w:rsidRPr="00D71B15">
        <w:rPr>
          <w:sz w:val="24"/>
          <w:szCs w:val="24"/>
          <w:lang w:eastAsia="da-DK"/>
        </w:rPr>
        <w:t>salbutamol</w:t>
      </w:r>
      <w:proofErr w:type="spellEnd"/>
      <w:r w:rsidRPr="00D71B15">
        <w:rPr>
          <w:sz w:val="24"/>
          <w:szCs w:val="24"/>
          <w:lang w:eastAsia="da-DK"/>
        </w:rPr>
        <w:t>.</w:t>
      </w:r>
    </w:p>
    <w:p w:rsidR="00D2028E" w:rsidRDefault="00D2028E" w:rsidP="00D2028E">
      <w:pPr>
        <w:ind w:left="851"/>
        <w:rPr>
          <w:i/>
          <w:sz w:val="24"/>
          <w:szCs w:val="24"/>
          <w:lang w:eastAsia="da-DK"/>
        </w:rPr>
      </w:pPr>
    </w:p>
    <w:p w:rsidR="00D2028E" w:rsidRPr="00D71B15" w:rsidRDefault="00D2028E" w:rsidP="00D2028E">
      <w:pPr>
        <w:ind w:left="851"/>
        <w:rPr>
          <w:i/>
          <w:sz w:val="24"/>
          <w:szCs w:val="24"/>
          <w:lang w:eastAsia="da-DK"/>
        </w:rPr>
      </w:pPr>
      <w:r w:rsidRPr="00D71B15">
        <w:rPr>
          <w:i/>
          <w:sz w:val="24"/>
          <w:szCs w:val="24"/>
          <w:lang w:eastAsia="da-DK"/>
        </w:rPr>
        <w:t>Fordeling</w:t>
      </w:r>
    </w:p>
    <w:p w:rsidR="00D2028E" w:rsidRPr="00D71B15" w:rsidRDefault="00D2028E" w:rsidP="00D2028E">
      <w:pPr>
        <w:ind w:left="851"/>
        <w:rPr>
          <w:sz w:val="24"/>
          <w:szCs w:val="24"/>
          <w:lang w:eastAsia="da-DK"/>
        </w:rPr>
      </w:pPr>
      <w:r w:rsidRPr="00D71B15">
        <w:rPr>
          <w:sz w:val="24"/>
          <w:szCs w:val="24"/>
          <w:lang w:eastAsia="da-DK"/>
        </w:rPr>
        <w:t>De kinetiske parametre blev beregnet på baggrund af plasmakoncentrationerne efter intravenøs administration. Det tilsyneladende fordelingsvolumen (</w:t>
      </w:r>
      <w:proofErr w:type="spellStart"/>
      <w:r w:rsidRPr="00D71B15">
        <w:rPr>
          <w:sz w:val="24"/>
          <w:szCs w:val="24"/>
          <w:lang w:eastAsia="da-DK"/>
        </w:rPr>
        <w:t>Vz</w:t>
      </w:r>
      <w:proofErr w:type="spellEnd"/>
      <w:r w:rsidRPr="00D71B15">
        <w:rPr>
          <w:sz w:val="24"/>
          <w:szCs w:val="24"/>
          <w:lang w:eastAsia="da-DK"/>
        </w:rPr>
        <w:t xml:space="preserve">) er cirka 5l (≈ 2,5 l/kg). Kun 8 % af lægemidlet bindes til plasmaproteiner. </w:t>
      </w:r>
      <w:proofErr w:type="spellStart"/>
      <w:r w:rsidRPr="00D71B15">
        <w:rPr>
          <w:sz w:val="24"/>
          <w:szCs w:val="24"/>
          <w:lang w:eastAsia="da-DK"/>
        </w:rPr>
        <w:t>Salbutamol</w:t>
      </w:r>
      <w:proofErr w:type="spellEnd"/>
      <w:r w:rsidRPr="00D71B15">
        <w:rPr>
          <w:sz w:val="24"/>
          <w:szCs w:val="24"/>
          <w:lang w:eastAsia="da-DK"/>
        </w:rPr>
        <w:t xml:space="preserve"> krydser blodhjernebarrieren, hvor det når koncentrationer på cirka 5 % af plasmakoncentrationen.</w:t>
      </w:r>
    </w:p>
    <w:p w:rsidR="00D2028E" w:rsidRDefault="00D2028E" w:rsidP="00D2028E">
      <w:pPr>
        <w:ind w:left="851"/>
        <w:rPr>
          <w:i/>
          <w:sz w:val="24"/>
          <w:szCs w:val="24"/>
          <w:lang w:eastAsia="da-DK"/>
        </w:rPr>
      </w:pPr>
    </w:p>
    <w:p w:rsidR="00D2028E" w:rsidRPr="001A5D6D" w:rsidRDefault="00D2028E" w:rsidP="00D2028E">
      <w:pPr>
        <w:ind w:left="851"/>
        <w:rPr>
          <w:i/>
          <w:szCs w:val="24"/>
          <w:u w:val="single"/>
        </w:rPr>
      </w:pPr>
      <w:proofErr w:type="spellStart"/>
      <w:r w:rsidRPr="00DE1BAE">
        <w:rPr>
          <w:i/>
          <w:szCs w:val="24"/>
          <w:u w:val="single"/>
        </w:rPr>
        <w:t>Biostransformation</w:t>
      </w:r>
      <w:proofErr w:type="spellEnd"/>
      <w:r>
        <w:rPr>
          <w:i/>
          <w:szCs w:val="24"/>
          <w:u w:val="single"/>
        </w:rPr>
        <w:t xml:space="preserve"> og elimination</w:t>
      </w:r>
    </w:p>
    <w:p w:rsidR="00D2028E" w:rsidRPr="00D71B15" w:rsidRDefault="00D2028E" w:rsidP="00D2028E">
      <w:pPr>
        <w:ind w:left="851"/>
        <w:rPr>
          <w:sz w:val="24"/>
          <w:szCs w:val="24"/>
          <w:lang w:eastAsia="da-DK"/>
        </w:rPr>
      </w:pPr>
      <w:r w:rsidRPr="00D71B15">
        <w:rPr>
          <w:sz w:val="24"/>
          <w:szCs w:val="24"/>
          <w:lang w:eastAsia="da-DK"/>
        </w:rPr>
        <w:t xml:space="preserve">Efter enkelt inhaleret administration udskilles cirka 27 % af den estimerede mundstykkedosis uforandret i urinen over 24 timer. Den gennemsnitlige terminale halveringstid er cirka 4 timer med en gennemsnitlig total </w:t>
      </w:r>
      <w:proofErr w:type="spellStart"/>
      <w:r w:rsidRPr="00D71B15">
        <w:rPr>
          <w:sz w:val="24"/>
          <w:szCs w:val="24"/>
          <w:lang w:eastAsia="da-DK"/>
        </w:rPr>
        <w:t>clearance</w:t>
      </w:r>
      <w:proofErr w:type="spellEnd"/>
      <w:r w:rsidRPr="00D71B15">
        <w:rPr>
          <w:sz w:val="24"/>
          <w:szCs w:val="24"/>
          <w:lang w:eastAsia="da-DK"/>
        </w:rPr>
        <w:t xml:space="preserve"> på 480 ml/min og en gennemsnitlig </w:t>
      </w:r>
      <w:proofErr w:type="spellStart"/>
      <w:r w:rsidRPr="00D71B15">
        <w:rPr>
          <w:sz w:val="24"/>
          <w:szCs w:val="24"/>
          <w:lang w:eastAsia="da-DK"/>
        </w:rPr>
        <w:t>renal</w:t>
      </w:r>
      <w:proofErr w:type="spellEnd"/>
      <w:r w:rsidRPr="00D71B15">
        <w:rPr>
          <w:sz w:val="24"/>
          <w:szCs w:val="24"/>
          <w:lang w:eastAsia="da-DK"/>
        </w:rPr>
        <w:t xml:space="preserve"> </w:t>
      </w:r>
      <w:proofErr w:type="spellStart"/>
      <w:r w:rsidRPr="00D71B15">
        <w:rPr>
          <w:sz w:val="24"/>
          <w:szCs w:val="24"/>
          <w:lang w:eastAsia="da-DK"/>
        </w:rPr>
        <w:t>clearance</w:t>
      </w:r>
      <w:proofErr w:type="spellEnd"/>
      <w:r w:rsidRPr="00D71B15">
        <w:rPr>
          <w:sz w:val="24"/>
          <w:szCs w:val="24"/>
          <w:lang w:eastAsia="da-DK"/>
        </w:rPr>
        <w:t xml:space="preserve"> på 291 ml/min.</w:t>
      </w:r>
    </w:p>
    <w:p w:rsidR="00D2028E" w:rsidRPr="00D71B15" w:rsidRDefault="00D2028E" w:rsidP="00D2028E">
      <w:pPr>
        <w:ind w:left="851"/>
        <w:rPr>
          <w:sz w:val="24"/>
          <w:szCs w:val="24"/>
          <w:lang w:eastAsia="da-DK"/>
        </w:rPr>
      </w:pPr>
      <w:proofErr w:type="spellStart"/>
      <w:r w:rsidRPr="00D71B15">
        <w:rPr>
          <w:sz w:val="24"/>
          <w:szCs w:val="24"/>
          <w:lang w:eastAsia="da-DK"/>
        </w:rPr>
        <w:t>Salbutamol</w:t>
      </w:r>
      <w:proofErr w:type="spellEnd"/>
      <w:r w:rsidRPr="00D71B15">
        <w:rPr>
          <w:sz w:val="24"/>
          <w:szCs w:val="24"/>
          <w:lang w:eastAsia="da-DK"/>
        </w:rPr>
        <w:t xml:space="preserve"> </w:t>
      </w:r>
      <w:proofErr w:type="spellStart"/>
      <w:r w:rsidRPr="00D71B15">
        <w:rPr>
          <w:sz w:val="24"/>
          <w:szCs w:val="24"/>
          <w:lang w:eastAsia="da-DK"/>
        </w:rPr>
        <w:t>metaboliseres</w:t>
      </w:r>
      <w:proofErr w:type="spellEnd"/>
      <w:r w:rsidRPr="00D71B15">
        <w:rPr>
          <w:sz w:val="24"/>
          <w:szCs w:val="24"/>
          <w:lang w:eastAsia="da-DK"/>
        </w:rPr>
        <w:t xml:space="preserve"> til </w:t>
      </w:r>
      <w:proofErr w:type="spellStart"/>
      <w:r w:rsidRPr="00D71B15">
        <w:rPr>
          <w:sz w:val="24"/>
          <w:szCs w:val="24"/>
          <w:lang w:eastAsia="da-DK"/>
        </w:rPr>
        <w:t>salbutamol</w:t>
      </w:r>
      <w:proofErr w:type="spellEnd"/>
      <w:r w:rsidRPr="00D71B15">
        <w:rPr>
          <w:sz w:val="24"/>
          <w:szCs w:val="24"/>
          <w:lang w:eastAsia="da-DK"/>
        </w:rPr>
        <w:t xml:space="preserve"> 4'-O-sulphat via </w:t>
      </w:r>
      <w:proofErr w:type="spellStart"/>
      <w:r w:rsidRPr="00D71B15">
        <w:rPr>
          <w:sz w:val="24"/>
          <w:szCs w:val="24"/>
          <w:lang w:eastAsia="da-DK"/>
        </w:rPr>
        <w:t>konjugering</w:t>
      </w:r>
      <w:proofErr w:type="spellEnd"/>
      <w:r w:rsidRPr="00D71B15">
        <w:rPr>
          <w:sz w:val="24"/>
          <w:szCs w:val="24"/>
          <w:lang w:eastAsia="da-DK"/>
        </w:rPr>
        <w:t xml:space="preserve">. </w:t>
      </w:r>
      <w:proofErr w:type="gramStart"/>
      <w:r w:rsidRPr="00D71B15">
        <w:rPr>
          <w:sz w:val="24"/>
          <w:szCs w:val="24"/>
          <w:lang w:eastAsia="da-DK"/>
        </w:rPr>
        <w:t>R(</w:t>
      </w:r>
      <w:proofErr w:type="gramEnd"/>
      <w:r w:rsidRPr="00D71B15">
        <w:rPr>
          <w:sz w:val="24"/>
          <w:szCs w:val="24"/>
          <w:lang w:eastAsia="da-DK"/>
        </w:rPr>
        <w:t>-)</w:t>
      </w:r>
      <w:proofErr w:type="spellStart"/>
      <w:r w:rsidRPr="00D71B15">
        <w:rPr>
          <w:sz w:val="24"/>
          <w:szCs w:val="24"/>
          <w:lang w:eastAsia="da-DK"/>
        </w:rPr>
        <w:t>enantiomeren</w:t>
      </w:r>
      <w:proofErr w:type="spellEnd"/>
      <w:r w:rsidRPr="00D71B15">
        <w:rPr>
          <w:sz w:val="24"/>
          <w:szCs w:val="24"/>
          <w:lang w:eastAsia="da-DK"/>
        </w:rPr>
        <w:t xml:space="preserve"> af </w:t>
      </w:r>
      <w:proofErr w:type="spellStart"/>
      <w:r w:rsidRPr="00D71B15">
        <w:rPr>
          <w:sz w:val="24"/>
          <w:szCs w:val="24"/>
          <w:lang w:eastAsia="da-DK"/>
        </w:rPr>
        <w:t>salbutamol</w:t>
      </w:r>
      <w:proofErr w:type="spellEnd"/>
      <w:r w:rsidRPr="00D71B15">
        <w:rPr>
          <w:sz w:val="24"/>
          <w:szCs w:val="24"/>
          <w:lang w:eastAsia="da-DK"/>
        </w:rPr>
        <w:t xml:space="preserve"> (</w:t>
      </w:r>
      <w:proofErr w:type="spellStart"/>
      <w:r w:rsidRPr="00D71B15">
        <w:rPr>
          <w:sz w:val="24"/>
          <w:szCs w:val="24"/>
          <w:lang w:eastAsia="da-DK"/>
        </w:rPr>
        <w:t>levosalbutamol</w:t>
      </w:r>
      <w:proofErr w:type="spellEnd"/>
      <w:r w:rsidRPr="00D71B15">
        <w:rPr>
          <w:sz w:val="24"/>
          <w:szCs w:val="24"/>
          <w:lang w:eastAsia="da-DK"/>
        </w:rPr>
        <w:t xml:space="preserve">) </w:t>
      </w:r>
      <w:proofErr w:type="spellStart"/>
      <w:r w:rsidRPr="00D71B15">
        <w:rPr>
          <w:sz w:val="24"/>
          <w:szCs w:val="24"/>
          <w:lang w:eastAsia="da-DK"/>
        </w:rPr>
        <w:t>metaboliseres</w:t>
      </w:r>
      <w:proofErr w:type="spellEnd"/>
      <w:r w:rsidRPr="00D71B15">
        <w:rPr>
          <w:sz w:val="24"/>
          <w:szCs w:val="24"/>
          <w:lang w:eastAsia="da-DK"/>
        </w:rPr>
        <w:t xml:space="preserve"> præferentielt og cleares derfor hurtigere fra kroppen end S(+)-</w:t>
      </w:r>
      <w:proofErr w:type="spellStart"/>
      <w:r w:rsidRPr="00D71B15">
        <w:rPr>
          <w:sz w:val="24"/>
          <w:szCs w:val="24"/>
          <w:lang w:eastAsia="da-DK"/>
        </w:rPr>
        <w:t>enantiomeren</w:t>
      </w:r>
      <w:proofErr w:type="spellEnd"/>
      <w:r w:rsidRPr="00D71B15">
        <w:rPr>
          <w:sz w:val="24"/>
          <w:szCs w:val="24"/>
          <w:lang w:eastAsia="da-DK"/>
        </w:rPr>
        <w:t xml:space="preserve">. Efter intravenøs administration var udskillelsen via urinen komplet efter cirka 24 timer. Størstedelen af dosis blev udskilt som moderstoffet (64,2), og 12,0 % blev udskilt som </w:t>
      </w:r>
      <w:proofErr w:type="spellStart"/>
      <w:r w:rsidRPr="00D71B15">
        <w:rPr>
          <w:sz w:val="24"/>
          <w:szCs w:val="24"/>
          <w:lang w:eastAsia="da-DK"/>
        </w:rPr>
        <w:t>sulfatkonjugat</w:t>
      </w:r>
      <w:proofErr w:type="spellEnd"/>
      <w:r w:rsidRPr="00D71B15">
        <w:rPr>
          <w:sz w:val="24"/>
          <w:szCs w:val="24"/>
          <w:lang w:eastAsia="da-DK"/>
        </w:rPr>
        <w:t xml:space="preserve">. Efter oral administration var udskillelsen af uforandret lægemiddel og </w:t>
      </w:r>
      <w:proofErr w:type="spellStart"/>
      <w:r w:rsidRPr="00D71B15">
        <w:rPr>
          <w:sz w:val="24"/>
          <w:szCs w:val="24"/>
          <w:lang w:eastAsia="da-DK"/>
        </w:rPr>
        <w:t>sulfatkonjugat</w:t>
      </w:r>
      <w:proofErr w:type="spellEnd"/>
      <w:r w:rsidRPr="00D71B15">
        <w:rPr>
          <w:sz w:val="24"/>
          <w:szCs w:val="24"/>
          <w:lang w:eastAsia="da-DK"/>
        </w:rPr>
        <w:t xml:space="preserve"> i urin hhv. 31,8 % og 48,2 % af dosis.</w:t>
      </w:r>
    </w:p>
    <w:p w:rsidR="00D2028E" w:rsidRPr="00D71B15" w:rsidRDefault="00D2028E" w:rsidP="00D2028E">
      <w:pPr>
        <w:ind w:left="851"/>
        <w:rPr>
          <w:sz w:val="24"/>
          <w:szCs w:val="24"/>
          <w:lang w:eastAsia="da-DK"/>
        </w:rPr>
      </w:pPr>
    </w:p>
    <w:p w:rsidR="00D2028E" w:rsidRPr="00D71B15" w:rsidRDefault="00D2028E" w:rsidP="00D2028E">
      <w:pPr>
        <w:ind w:left="851"/>
        <w:rPr>
          <w:sz w:val="24"/>
          <w:szCs w:val="24"/>
          <w:lang w:eastAsia="da-DK"/>
        </w:rPr>
      </w:pPr>
      <w:r w:rsidRPr="00D71B15">
        <w:rPr>
          <w:sz w:val="24"/>
          <w:szCs w:val="24"/>
          <w:lang w:eastAsia="da-DK"/>
        </w:rPr>
        <w:t xml:space="preserve">Absorptionskarakteristika for kombinationen </w:t>
      </w:r>
      <w:proofErr w:type="spellStart"/>
      <w:r w:rsidRPr="00D71B15">
        <w:rPr>
          <w:sz w:val="24"/>
          <w:szCs w:val="24"/>
          <w:lang w:eastAsia="da-DK"/>
        </w:rPr>
        <w:t>ipratropiumbromid-salbutamolsulfat</w:t>
      </w:r>
      <w:proofErr w:type="spellEnd"/>
    </w:p>
    <w:p w:rsidR="00D2028E" w:rsidRPr="003C2BEF" w:rsidRDefault="00D2028E" w:rsidP="00D2028E">
      <w:pPr>
        <w:ind w:left="851"/>
        <w:rPr>
          <w:sz w:val="24"/>
          <w:szCs w:val="24"/>
          <w:lang w:eastAsia="da-DK"/>
        </w:rPr>
      </w:pPr>
      <w:r w:rsidRPr="00D71B15">
        <w:rPr>
          <w:sz w:val="24"/>
          <w:szCs w:val="24"/>
          <w:lang w:eastAsia="da-DK"/>
        </w:rPr>
        <w:t xml:space="preserve">Samtidig administration af </w:t>
      </w:r>
      <w:proofErr w:type="spellStart"/>
      <w:r w:rsidRPr="00D71B15">
        <w:rPr>
          <w:sz w:val="24"/>
          <w:szCs w:val="24"/>
          <w:lang w:eastAsia="da-DK"/>
        </w:rPr>
        <w:t>ipratropiumbromid</w:t>
      </w:r>
      <w:proofErr w:type="spellEnd"/>
      <w:r w:rsidRPr="00D71B15">
        <w:rPr>
          <w:sz w:val="24"/>
          <w:szCs w:val="24"/>
          <w:lang w:eastAsia="da-DK"/>
        </w:rPr>
        <w:t xml:space="preserve"> og </w:t>
      </w:r>
      <w:proofErr w:type="spellStart"/>
      <w:r w:rsidRPr="00D71B15">
        <w:rPr>
          <w:sz w:val="24"/>
          <w:szCs w:val="24"/>
          <w:lang w:eastAsia="da-DK"/>
        </w:rPr>
        <w:t>salbutamolsulfat</w:t>
      </w:r>
      <w:proofErr w:type="spellEnd"/>
      <w:r w:rsidRPr="00D71B15">
        <w:rPr>
          <w:sz w:val="24"/>
          <w:szCs w:val="24"/>
          <w:lang w:eastAsia="da-DK"/>
        </w:rPr>
        <w:t xml:space="preserve"> </w:t>
      </w:r>
      <w:proofErr w:type="spellStart"/>
      <w:r w:rsidRPr="00D71B15">
        <w:rPr>
          <w:sz w:val="24"/>
          <w:szCs w:val="24"/>
          <w:lang w:eastAsia="da-DK"/>
        </w:rPr>
        <w:t>potentierer</w:t>
      </w:r>
      <w:proofErr w:type="spellEnd"/>
      <w:r w:rsidRPr="00D71B15">
        <w:rPr>
          <w:sz w:val="24"/>
          <w:szCs w:val="24"/>
          <w:lang w:eastAsia="da-DK"/>
        </w:rPr>
        <w:t xml:space="preserve"> ikke den systemiske absorption af nogen af komponenterne, og derfor skyldes den </w:t>
      </w:r>
      <w:proofErr w:type="spellStart"/>
      <w:r w:rsidRPr="00D71B15">
        <w:rPr>
          <w:sz w:val="24"/>
          <w:szCs w:val="24"/>
          <w:lang w:eastAsia="da-DK"/>
        </w:rPr>
        <w:t>additive</w:t>
      </w:r>
      <w:proofErr w:type="spellEnd"/>
      <w:r w:rsidRPr="00D71B15">
        <w:rPr>
          <w:sz w:val="24"/>
          <w:szCs w:val="24"/>
          <w:lang w:eastAsia="da-DK"/>
        </w:rPr>
        <w:t xml:space="preserve"> aktivitet af </w:t>
      </w:r>
      <w:proofErr w:type="spellStart"/>
      <w:r>
        <w:rPr>
          <w:sz w:val="24"/>
          <w:szCs w:val="24"/>
          <w:lang w:eastAsia="da-DK"/>
        </w:rPr>
        <w:t>ipratropiumbromid</w:t>
      </w:r>
      <w:proofErr w:type="spellEnd"/>
      <w:r>
        <w:rPr>
          <w:sz w:val="24"/>
          <w:szCs w:val="24"/>
          <w:lang w:eastAsia="da-DK"/>
        </w:rPr>
        <w:t>/</w:t>
      </w:r>
      <w:proofErr w:type="spellStart"/>
      <w:r>
        <w:rPr>
          <w:sz w:val="24"/>
          <w:szCs w:val="24"/>
          <w:lang w:eastAsia="da-DK"/>
        </w:rPr>
        <w:t>salbutamol</w:t>
      </w:r>
      <w:proofErr w:type="spellEnd"/>
      <w:r w:rsidRPr="00D71B15">
        <w:rPr>
          <w:sz w:val="24"/>
          <w:szCs w:val="24"/>
          <w:lang w:eastAsia="da-DK"/>
        </w:rPr>
        <w:t xml:space="preserve"> den kombinerede lokale virkning på lungerne efter inhalation.</w:t>
      </w:r>
    </w:p>
    <w:p w:rsidR="00D2028E" w:rsidRPr="003C2BEF" w:rsidRDefault="00D2028E" w:rsidP="00D2028E">
      <w:pPr>
        <w:tabs>
          <w:tab w:val="left" w:pos="851"/>
        </w:tabs>
        <w:rPr>
          <w:sz w:val="24"/>
          <w:szCs w:val="24"/>
        </w:rPr>
      </w:pPr>
    </w:p>
    <w:p w:rsidR="00D2028E" w:rsidRPr="003C2BEF" w:rsidRDefault="00D2028E" w:rsidP="00D2028E">
      <w:pPr>
        <w:tabs>
          <w:tab w:val="left" w:pos="851"/>
        </w:tabs>
        <w:ind w:left="851" w:hanging="851"/>
        <w:rPr>
          <w:b/>
          <w:sz w:val="24"/>
          <w:szCs w:val="24"/>
        </w:rPr>
      </w:pPr>
      <w:r w:rsidRPr="003C2BEF">
        <w:rPr>
          <w:b/>
          <w:sz w:val="24"/>
          <w:szCs w:val="24"/>
        </w:rPr>
        <w:t>5.3</w:t>
      </w:r>
      <w:r w:rsidRPr="003C2BEF">
        <w:rPr>
          <w:b/>
          <w:sz w:val="24"/>
          <w:szCs w:val="24"/>
        </w:rPr>
        <w:tab/>
      </w:r>
      <w:r w:rsidR="005E773F">
        <w:rPr>
          <w:b/>
          <w:sz w:val="24"/>
          <w:szCs w:val="24"/>
        </w:rPr>
        <w:t>Non-</w:t>
      </w:r>
      <w:r w:rsidRPr="003C2BEF">
        <w:rPr>
          <w:b/>
          <w:sz w:val="24"/>
          <w:szCs w:val="24"/>
        </w:rPr>
        <w:t>kliniske sikkerhedsdata</w:t>
      </w:r>
    </w:p>
    <w:p w:rsidR="00D2028E" w:rsidRPr="003C2BEF" w:rsidRDefault="00D2028E" w:rsidP="00D2028E">
      <w:pPr>
        <w:ind w:left="851"/>
        <w:rPr>
          <w:sz w:val="24"/>
          <w:szCs w:val="24"/>
          <w:lang w:eastAsia="da-DK"/>
        </w:rPr>
      </w:pPr>
      <w:r w:rsidRPr="00D71B15">
        <w:rPr>
          <w:sz w:val="24"/>
          <w:szCs w:val="24"/>
          <w:lang w:eastAsia="da-DK"/>
        </w:rPr>
        <w:t xml:space="preserve">Prækliniske data viser ingen speciel risiko for mennesker vurderet ud fra konventionelle studier af sikkerhedsfarmakologi, toksicitet efter gentagne doser, </w:t>
      </w:r>
      <w:proofErr w:type="spellStart"/>
      <w:r w:rsidRPr="00D71B15">
        <w:rPr>
          <w:sz w:val="24"/>
          <w:szCs w:val="24"/>
          <w:lang w:eastAsia="da-DK"/>
        </w:rPr>
        <w:t>karcinogenicitet</w:t>
      </w:r>
      <w:proofErr w:type="spellEnd"/>
      <w:r w:rsidRPr="00D71B15">
        <w:rPr>
          <w:sz w:val="24"/>
          <w:szCs w:val="24"/>
          <w:lang w:eastAsia="da-DK"/>
        </w:rPr>
        <w:t xml:space="preserve"> samt reproduktionstoksicitet.</w:t>
      </w:r>
    </w:p>
    <w:p w:rsidR="00D2028E" w:rsidRPr="003C2BEF" w:rsidRDefault="00D2028E" w:rsidP="00D2028E">
      <w:pPr>
        <w:tabs>
          <w:tab w:val="left" w:pos="851"/>
        </w:tabs>
        <w:rPr>
          <w:sz w:val="24"/>
          <w:szCs w:val="24"/>
        </w:rPr>
      </w:pPr>
    </w:p>
    <w:p w:rsidR="00D2028E" w:rsidRPr="003C2BEF" w:rsidRDefault="00D2028E" w:rsidP="00D2028E">
      <w:pPr>
        <w:tabs>
          <w:tab w:val="left" w:pos="851"/>
        </w:tabs>
        <w:rPr>
          <w:sz w:val="24"/>
          <w:szCs w:val="24"/>
        </w:rPr>
      </w:pPr>
    </w:p>
    <w:p w:rsidR="00D2028E" w:rsidRPr="003C2BEF" w:rsidRDefault="00D2028E" w:rsidP="00D2028E">
      <w:pPr>
        <w:keepNext/>
        <w:tabs>
          <w:tab w:val="left" w:pos="851"/>
        </w:tabs>
        <w:ind w:left="851" w:hanging="851"/>
        <w:rPr>
          <w:b/>
          <w:sz w:val="24"/>
          <w:szCs w:val="24"/>
        </w:rPr>
      </w:pPr>
      <w:r w:rsidRPr="003C2BEF">
        <w:rPr>
          <w:b/>
          <w:sz w:val="24"/>
          <w:szCs w:val="24"/>
        </w:rPr>
        <w:t>6.</w:t>
      </w:r>
      <w:r w:rsidRPr="003C2BEF">
        <w:rPr>
          <w:b/>
          <w:sz w:val="24"/>
          <w:szCs w:val="24"/>
        </w:rPr>
        <w:tab/>
        <w:t>FARMACEUTISKE OPLYSNINGER</w:t>
      </w:r>
    </w:p>
    <w:p w:rsidR="00D2028E" w:rsidRPr="003C2BEF" w:rsidRDefault="00D2028E" w:rsidP="00D2028E">
      <w:pPr>
        <w:keepNext/>
        <w:tabs>
          <w:tab w:val="left" w:pos="851"/>
        </w:tabs>
        <w:rPr>
          <w:b/>
          <w:sz w:val="24"/>
          <w:szCs w:val="24"/>
        </w:rPr>
      </w:pPr>
    </w:p>
    <w:p w:rsidR="00D2028E" w:rsidRPr="003C2BEF" w:rsidRDefault="00D2028E" w:rsidP="00D2028E">
      <w:pPr>
        <w:tabs>
          <w:tab w:val="left" w:pos="851"/>
        </w:tabs>
        <w:ind w:left="851" w:hanging="851"/>
        <w:rPr>
          <w:b/>
          <w:sz w:val="24"/>
          <w:szCs w:val="24"/>
        </w:rPr>
      </w:pPr>
      <w:r w:rsidRPr="003C2BEF">
        <w:rPr>
          <w:b/>
          <w:sz w:val="24"/>
          <w:szCs w:val="24"/>
        </w:rPr>
        <w:t>6.1</w:t>
      </w:r>
      <w:r w:rsidRPr="003C2BEF">
        <w:rPr>
          <w:b/>
          <w:sz w:val="24"/>
          <w:szCs w:val="24"/>
        </w:rPr>
        <w:tab/>
        <w:t>Hjælpestoffer</w:t>
      </w:r>
    </w:p>
    <w:p w:rsidR="00D2028E" w:rsidRPr="00D71B15" w:rsidRDefault="00D2028E" w:rsidP="00D2028E">
      <w:pPr>
        <w:widowControl w:val="0"/>
        <w:autoSpaceDE w:val="0"/>
        <w:autoSpaceDN w:val="0"/>
        <w:adjustRightInd w:val="0"/>
        <w:ind w:left="851"/>
        <w:rPr>
          <w:sz w:val="24"/>
          <w:szCs w:val="24"/>
          <w:lang w:eastAsia="da-DK"/>
        </w:rPr>
      </w:pPr>
      <w:proofErr w:type="spellStart"/>
      <w:r w:rsidRPr="00D71B15">
        <w:rPr>
          <w:sz w:val="24"/>
          <w:szCs w:val="24"/>
          <w:lang w:eastAsia="da-DK"/>
        </w:rPr>
        <w:t>Natriumchlorid</w:t>
      </w:r>
      <w:proofErr w:type="spellEnd"/>
    </w:p>
    <w:p w:rsidR="00D2028E" w:rsidRPr="00D71B15" w:rsidRDefault="00D2028E" w:rsidP="00D2028E">
      <w:pPr>
        <w:widowControl w:val="0"/>
        <w:autoSpaceDE w:val="0"/>
        <w:autoSpaceDN w:val="0"/>
        <w:adjustRightInd w:val="0"/>
        <w:ind w:left="851"/>
        <w:rPr>
          <w:sz w:val="24"/>
          <w:szCs w:val="24"/>
          <w:lang w:eastAsia="da-DK"/>
        </w:rPr>
      </w:pPr>
      <w:r w:rsidRPr="00D71B15">
        <w:rPr>
          <w:sz w:val="24"/>
          <w:szCs w:val="24"/>
          <w:lang w:eastAsia="da-DK"/>
        </w:rPr>
        <w:t xml:space="preserve">Svovlsyre (til pH-justering) </w:t>
      </w:r>
    </w:p>
    <w:p w:rsidR="00D2028E" w:rsidRPr="003C2BEF" w:rsidRDefault="00D2028E" w:rsidP="00D2028E">
      <w:pPr>
        <w:widowControl w:val="0"/>
        <w:autoSpaceDE w:val="0"/>
        <w:autoSpaceDN w:val="0"/>
        <w:adjustRightInd w:val="0"/>
        <w:ind w:left="851"/>
        <w:rPr>
          <w:sz w:val="24"/>
          <w:szCs w:val="24"/>
          <w:lang w:eastAsia="da-DK"/>
        </w:rPr>
      </w:pPr>
      <w:r w:rsidRPr="00D71B15">
        <w:rPr>
          <w:sz w:val="24"/>
          <w:szCs w:val="24"/>
          <w:lang w:eastAsia="da-DK"/>
        </w:rPr>
        <w:t>Vand til injektionsvæsker</w:t>
      </w:r>
    </w:p>
    <w:p w:rsidR="00D2028E" w:rsidRPr="003C2BEF" w:rsidRDefault="00D2028E" w:rsidP="00D2028E">
      <w:pPr>
        <w:tabs>
          <w:tab w:val="left" w:pos="851"/>
        </w:tabs>
        <w:rPr>
          <w:sz w:val="24"/>
          <w:szCs w:val="24"/>
        </w:rPr>
      </w:pPr>
    </w:p>
    <w:p w:rsidR="00D2028E" w:rsidRPr="003C2BEF" w:rsidRDefault="00D2028E" w:rsidP="00D2028E">
      <w:pPr>
        <w:tabs>
          <w:tab w:val="left" w:pos="851"/>
        </w:tabs>
        <w:ind w:left="851" w:hanging="851"/>
        <w:rPr>
          <w:b/>
          <w:sz w:val="24"/>
          <w:szCs w:val="24"/>
        </w:rPr>
      </w:pPr>
      <w:r w:rsidRPr="003C2BEF">
        <w:rPr>
          <w:b/>
          <w:sz w:val="24"/>
          <w:szCs w:val="24"/>
        </w:rPr>
        <w:t>6.2</w:t>
      </w:r>
      <w:r w:rsidRPr="003C2BEF">
        <w:rPr>
          <w:b/>
          <w:sz w:val="24"/>
          <w:szCs w:val="24"/>
        </w:rPr>
        <w:tab/>
        <w:t>Uforligeligheder</w:t>
      </w:r>
    </w:p>
    <w:p w:rsidR="00D2028E" w:rsidRPr="003C2BEF" w:rsidRDefault="00D2028E" w:rsidP="00D2028E">
      <w:pPr>
        <w:ind w:left="851"/>
        <w:rPr>
          <w:sz w:val="24"/>
          <w:szCs w:val="24"/>
          <w:lang w:eastAsia="da-DK"/>
        </w:rPr>
      </w:pPr>
      <w:r w:rsidRPr="00D71B15">
        <w:rPr>
          <w:sz w:val="24"/>
          <w:szCs w:val="24"/>
          <w:lang w:eastAsia="da-DK"/>
        </w:rPr>
        <w:t>Ikke relevant.</w:t>
      </w:r>
    </w:p>
    <w:p w:rsidR="00D2028E" w:rsidRPr="003C2BEF" w:rsidRDefault="00D2028E" w:rsidP="00D2028E">
      <w:pPr>
        <w:tabs>
          <w:tab w:val="left" w:pos="851"/>
        </w:tabs>
        <w:rPr>
          <w:sz w:val="24"/>
          <w:szCs w:val="24"/>
        </w:rPr>
      </w:pPr>
    </w:p>
    <w:p w:rsidR="00D2028E" w:rsidRPr="003C2BEF" w:rsidRDefault="00D2028E" w:rsidP="00D2028E">
      <w:pPr>
        <w:tabs>
          <w:tab w:val="left" w:pos="851"/>
        </w:tabs>
        <w:ind w:left="851" w:hanging="851"/>
        <w:rPr>
          <w:b/>
          <w:sz w:val="24"/>
          <w:szCs w:val="24"/>
        </w:rPr>
      </w:pPr>
      <w:r w:rsidRPr="003C2BEF">
        <w:rPr>
          <w:b/>
          <w:sz w:val="24"/>
          <w:szCs w:val="24"/>
        </w:rPr>
        <w:t>6.3</w:t>
      </w:r>
      <w:r w:rsidRPr="003C2BEF">
        <w:rPr>
          <w:b/>
          <w:sz w:val="24"/>
          <w:szCs w:val="24"/>
        </w:rPr>
        <w:tab/>
        <w:t>Opbevaringstid</w:t>
      </w:r>
    </w:p>
    <w:p w:rsidR="00D2028E" w:rsidRPr="00D71B15" w:rsidRDefault="00D2028E" w:rsidP="00D2028E">
      <w:pPr>
        <w:widowControl w:val="0"/>
        <w:autoSpaceDE w:val="0"/>
        <w:autoSpaceDN w:val="0"/>
        <w:adjustRightInd w:val="0"/>
        <w:ind w:left="851"/>
        <w:rPr>
          <w:sz w:val="24"/>
          <w:szCs w:val="24"/>
          <w:lang w:eastAsia="da-DK"/>
        </w:rPr>
      </w:pPr>
      <w:r w:rsidRPr="00D71B15">
        <w:rPr>
          <w:sz w:val="24"/>
          <w:szCs w:val="24"/>
          <w:lang w:eastAsia="da-DK"/>
        </w:rPr>
        <w:t>2 år.</w:t>
      </w:r>
    </w:p>
    <w:p w:rsidR="00D2028E" w:rsidRDefault="00D2028E" w:rsidP="00D2028E">
      <w:pPr>
        <w:widowControl w:val="0"/>
        <w:autoSpaceDE w:val="0"/>
        <w:autoSpaceDN w:val="0"/>
        <w:adjustRightInd w:val="0"/>
        <w:ind w:left="851"/>
        <w:rPr>
          <w:sz w:val="24"/>
          <w:szCs w:val="24"/>
          <w:lang w:eastAsia="da-DK"/>
        </w:rPr>
      </w:pPr>
    </w:p>
    <w:p w:rsidR="00D2028E" w:rsidRPr="00D71B15" w:rsidRDefault="00D2028E" w:rsidP="00D2028E">
      <w:pPr>
        <w:widowControl w:val="0"/>
        <w:autoSpaceDE w:val="0"/>
        <w:autoSpaceDN w:val="0"/>
        <w:adjustRightInd w:val="0"/>
        <w:ind w:left="851"/>
        <w:rPr>
          <w:sz w:val="24"/>
          <w:szCs w:val="24"/>
          <w:lang w:eastAsia="da-DK"/>
        </w:rPr>
      </w:pPr>
      <w:r w:rsidRPr="00D71B15">
        <w:rPr>
          <w:sz w:val="24"/>
          <w:szCs w:val="24"/>
          <w:lang w:eastAsia="da-DK"/>
        </w:rPr>
        <w:t xml:space="preserve">Efter fjernelse af </w:t>
      </w:r>
      <w:proofErr w:type="spellStart"/>
      <w:r w:rsidRPr="00D71B15">
        <w:rPr>
          <w:sz w:val="24"/>
          <w:szCs w:val="24"/>
          <w:lang w:eastAsia="da-DK"/>
        </w:rPr>
        <w:t>foliepak</w:t>
      </w:r>
      <w:r>
        <w:rPr>
          <w:sz w:val="24"/>
          <w:szCs w:val="24"/>
          <w:lang w:eastAsia="da-DK"/>
        </w:rPr>
        <w:t>ken</w:t>
      </w:r>
      <w:proofErr w:type="spellEnd"/>
      <w:r w:rsidRPr="00D71B15">
        <w:rPr>
          <w:sz w:val="24"/>
          <w:szCs w:val="24"/>
          <w:lang w:eastAsia="da-DK"/>
        </w:rPr>
        <w:t>: 3 måneder</w:t>
      </w:r>
      <w:r>
        <w:rPr>
          <w:sz w:val="24"/>
          <w:szCs w:val="24"/>
          <w:lang w:eastAsia="da-DK"/>
        </w:rPr>
        <w:t>.</w:t>
      </w:r>
    </w:p>
    <w:p w:rsidR="00D2028E" w:rsidRPr="003C2BEF" w:rsidRDefault="00D2028E" w:rsidP="00D2028E">
      <w:pPr>
        <w:widowControl w:val="0"/>
        <w:autoSpaceDE w:val="0"/>
        <w:autoSpaceDN w:val="0"/>
        <w:adjustRightInd w:val="0"/>
        <w:ind w:left="851"/>
        <w:rPr>
          <w:sz w:val="24"/>
          <w:szCs w:val="24"/>
          <w:lang w:eastAsia="da-DK"/>
        </w:rPr>
      </w:pPr>
      <w:r w:rsidRPr="00D71B15">
        <w:rPr>
          <w:sz w:val="24"/>
          <w:szCs w:val="24"/>
          <w:lang w:eastAsia="da-DK"/>
        </w:rPr>
        <w:t>Efter åbning af ampullen: Anvendes straks. Eventuelt resterende indhold kasseres</w:t>
      </w:r>
      <w:r>
        <w:rPr>
          <w:sz w:val="24"/>
          <w:szCs w:val="24"/>
          <w:lang w:eastAsia="da-DK"/>
        </w:rPr>
        <w:t>.</w:t>
      </w:r>
    </w:p>
    <w:p w:rsidR="00D2028E" w:rsidRPr="003C2BEF" w:rsidRDefault="00D2028E" w:rsidP="00D2028E">
      <w:pPr>
        <w:tabs>
          <w:tab w:val="left" w:pos="851"/>
        </w:tabs>
        <w:rPr>
          <w:sz w:val="24"/>
          <w:szCs w:val="24"/>
        </w:rPr>
      </w:pPr>
    </w:p>
    <w:p w:rsidR="00D2028E" w:rsidRPr="003C2BEF" w:rsidRDefault="00D2028E" w:rsidP="00D2028E">
      <w:pPr>
        <w:tabs>
          <w:tab w:val="left" w:pos="851"/>
        </w:tabs>
        <w:ind w:left="851" w:hanging="851"/>
        <w:rPr>
          <w:b/>
          <w:sz w:val="24"/>
          <w:szCs w:val="24"/>
        </w:rPr>
      </w:pPr>
      <w:r w:rsidRPr="003C2BEF">
        <w:rPr>
          <w:b/>
          <w:sz w:val="24"/>
          <w:szCs w:val="24"/>
        </w:rPr>
        <w:t>6.4</w:t>
      </w:r>
      <w:r w:rsidRPr="003C2BEF">
        <w:rPr>
          <w:b/>
          <w:sz w:val="24"/>
          <w:szCs w:val="24"/>
        </w:rPr>
        <w:tab/>
        <w:t>Særlige opbevaringsforhold</w:t>
      </w:r>
    </w:p>
    <w:p w:rsidR="00D2028E" w:rsidRDefault="00D2028E" w:rsidP="00D2028E">
      <w:pPr>
        <w:widowControl w:val="0"/>
        <w:autoSpaceDE w:val="0"/>
        <w:autoSpaceDN w:val="0"/>
        <w:adjustRightInd w:val="0"/>
        <w:ind w:left="851"/>
        <w:rPr>
          <w:sz w:val="24"/>
          <w:szCs w:val="24"/>
          <w:lang w:eastAsia="da-DK"/>
        </w:rPr>
      </w:pPr>
      <w:r w:rsidRPr="00D71B15">
        <w:rPr>
          <w:sz w:val="24"/>
          <w:szCs w:val="24"/>
          <w:lang w:eastAsia="da-DK"/>
        </w:rPr>
        <w:t>Må ikke opbevar</w:t>
      </w:r>
      <w:r>
        <w:rPr>
          <w:sz w:val="24"/>
          <w:szCs w:val="24"/>
          <w:lang w:eastAsia="da-DK"/>
        </w:rPr>
        <w:t>es ved temperaturer over 25 °C.</w:t>
      </w:r>
    </w:p>
    <w:p w:rsidR="00D2028E" w:rsidRDefault="00D2028E" w:rsidP="00D2028E">
      <w:pPr>
        <w:widowControl w:val="0"/>
        <w:autoSpaceDE w:val="0"/>
        <w:autoSpaceDN w:val="0"/>
        <w:adjustRightInd w:val="0"/>
        <w:ind w:left="851"/>
        <w:rPr>
          <w:sz w:val="24"/>
          <w:szCs w:val="24"/>
          <w:lang w:eastAsia="da-DK"/>
        </w:rPr>
      </w:pPr>
      <w:r w:rsidRPr="00D71B15">
        <w:rPr>
          <w:sz w:val="24"/>
          <w:szCs w:val="24"/>
          <w:lang w:eastAsia="da-DK"/>
        </w:rPr>
        <w:t>Opbevar ampullerne i den ydre pose eller karton for at beskytte mod lys.</w:t>
      </w:r>
    </w:p>
    <w:p w:rsidR="00D2028E" w:rsidRPr="00D71B15" w:rsidRDefault="00D2028E" w:rsidP="00D2028E">
      <w:pPr>
        <w:widowControl w:val="0"/>
        <w:autoSpaceDE w:val="0"/>
        <w:autoSpaceDN w:val="0"/>
        <w:adjustRightInd w:val="0"/>
        <w:ind w:left="851"/>
        <w:rPr>
          <w:sz w:val="24"/>
          <w:szCs w:val="24"/>
          <w:lang w:eastAsia="da-DK"/>
        </w:rPr>
      </w:pPr>
      <w:r w:rsidRPr="00D71B15">
        <w:rPr>
          <w:sz w:val="24"/>
          <w:szCs w:val="24"/>
          <w:lang w:eastAsia="da-DK"/>
        </w:rPr>
        <w:t>Må ikke opbevares i køleskab eller nedfryses.</w:t>
      </w:r>
    </w:p>
    <w:p w:rsidR="00D2028E" w:rsidRPr="003C2BEF" w:rsidRDefault="00D2028E" w:rsidP="00D2028E">
      <w:pPr>
        <w:tabs>
          <w:tab w:val="left" w:pos="851"/>
        </w:tabs>
        <w:rPr>
          <w:sz w:val="24"/>
          <w:szCs w:val="24"/>
        </w:rPr>
      </w:pPr>
    </w:p>
    <w:p w:rsidR="00D2028E" w:rsidRPr="003C2BEF" w:rsidRDefault="00D2028E" w:rsidP="00D2028E">
      <w:pPr>
        <w:tabs>
          <w:tab w:val="left" w:pos="851"/>
        </w:tabs>
        <w:ind w:left="851" w:hanging="851"/>
        <w:rPr>
          <w:b/>
          <w:sz w:val="24"/>
          <w:szCs w:val="24"/>
        </w:rPr>
      </w:pPr>
      <w:r w:rsidRPr="003C2BEF">
        <w:rPr>
          <w:b/>
          <w:sz w:val="24"/>
          <w:szCs w:val="24"/>
        </w:rPr>
        <w:t>6.5</w:t>
      </w:r>
      <w:r w:rsidRPr="003C2BEF">
        <w:rPr>
          <w:b/>
          <w:sz w:val="24"/>
          <w:szCs w:val="24"/>
        </w:rPr>
        <w:tab/>
        <w:t>Emballagetype og pakningsstørrelser</w:t>
      </w:r>
    </w:p>
    <w:p w:rsidR="00D2028E" w:rsidRDefault="00D2028E" w:rsidP="00D2028E">
      <w:pPr>
        <w:widowControl w:val="0"/>
        <w:autoSpaceDE w:val="0"/>
        <w:autoSpaceDN w:val="0"/>
        <w:adjustRightInd w:val="0"/>
        <w:ind w:left="851"/>
        <w:rPr>
          <w:sz w:val="24"/>
          <w:szCs w:val="24"/>
          <w:lang w:eastAsia="da-DK"/>
        </w:rPr>
      </w:pPr>
      <w:r>
        <w:rPr>
          <w:sz w:val="24"/>
          <w:szCs w:val="24"/>
          <w:lang w:eastAsia="da-DK"/>
        </w:rPr>
        <w:t>A</w:t>
      </w:r>
      <w:r w:rsidRPr="00D71B15">
        <w:rPr>
          <w:sz w:val="24"/>
          <w:szCs w:val="24"/>
          <w:lang w:eastAsia="da-DK"/>
        </w:rPr>
        <w:t xml:space="preserve">mpul af </w:t>
      </w:r>
      <w:proofErr w:type="spellStart"/>
      <w:r w:rsidRPr="00D71B15">
        <w:rPr>
          <w:sz w:val="24"/>
          <w:szCs w:val="24"/>
          <w:lang w:eastAsia="da-DK"/>
        </w:rPr>
        <w:t>lavdensitetspolyethylen</w:t>
      </w:r>
      <w:proofErr w:type="spellEnd"/>
      <w:r>
        <w:rPr>
          <w:sz w:val="24"/>
          <w:szCs w:val="24"/>
          <w:lang w:eastAsia="da-DK"/>
        </w:rPr>
        <w:t>.</w:t>
      </w:r>
    </w:p>
    <w:p w:rsidR="00D2028E" w:rsidRPr="00D71B15" w:rsidRDefault="00D2028E" w:rsidP="00D2028E">
      <w:pPr>
        <w:widowControl w:val="0"/>
        <w:autoSpaceDE w:val="0"/>
        <w:autoSpaceDN w:val="0"/>
        <w:adjustRightInd w:val="0"/>
        <w:ind w:left="851"/>
        <w:rPr>
          <w:sz w:val="24"/>
          <w:szCs w:val="24"/>
          <w:lang w:eastAsia="da-DK"/>
        </w:rPr>
      </w:pPr>
      <w:r w:rsidRPr="00D71B15">
        <w:rPr>
          <w:sz w:val="24"/>
          <w:szCs w:val="24"/>
          <w:lang w:eastAsia="da-DK"/>
        </w:rPr>
        <w:t xml:space="preserve">Hver ampul indeholder 2,5 ml farveløs inhalationsvæske til </w:t>
      </w:r>
      <w:proofErr w:type="spellStart"/>
      <w:r w:rsidRPr="00D71B15">
        <w:rPr>
          <w:sz w:val="24"/>
          <w:szCs w:val="24"/>
          <w:lang w:eastAsia="da-DK"/>
        </w:rPr>
        <w:t>nebulisator</w:t>
      </w:r>
      <w:proofErr w:type="spellEnd"/>
      <w:r w:rsidRPr="00D71B15">
        <w:rPr>
          <w:sz w:val="24"/>
          <w:szCs w:val="24"/>
          <w:lang w:eastAsia="da-DK"/>
        </w:rPr>
        <w:t xml:space="preserve">, opløsning. </w:t>
      </w:r>
    </w:p>
    <w:p w:rsidR="00D2028E" w:rsidRDefault="00D2028E" w:rsidP="00D2028E">
      <w:pPr>
        <w:widowControl w:val="0"/>
        <w:autoSpaceDE w:val="0"/>
        <w:autoSpaceDN w:val="0"/>
        <w:adjustRightInd w:val="0"/>
        <w:ind w:left="851"/>
        <w:rPr>
          <w:sz w:val="24"/>
          <w:szCs w:val="24"/>
          <w:lang w:eastAsia="da-DK"/>
        </w:rPr>
      </w:pPr>
      <w:r w:rsidRPr="00D71B15">
        <w:rPr>
          <w:sz w:val="24"/>
          <w:szCs w:val="24"/>
          <w:lang w:eastAsia="da-DK"/>
        </w:rPr>
        <w:t xml:space="preserve">Fem plastampuller indpakkes i en </w:t>
      </w:r>
      <w:proofErr w:type="spellStart"/>
      <w:r w:rsidRPr="00D71B15">
        <w:rPr>
          <w:sz w:val="24"/>
          <w:szCs w:val="24"/>
          <w:lang w:eastAsia="da-DK"/>
        </w:rPr>
        <w:t>trippellamineret</w:t>
      </w:r>
      <w:proofErr w:type="spellEnd"/>
      <w:r w:rsidRPr="00D71B15">
        <w:rPr>
          <w:sz w:val="24"/>
          <w:szCs w:val="24"/>
          <w:lang w:eastAsia="da-DK"/>
        </w:rPr>
        <w:t xml:space="preserve"> pose (polyesterfilm/aluminiums</w:t>
      </w:r>
      <w:r>
        <w:rPr>
          <w:sz w:val="24"/>
          <w:szCs w:val="24"/>
          <w:lang w:eastAsia="da-DK"/>
        </w:rPr>
        <w:t>-</w:t>
      </w:r>
      <w:r w:rsidRPr="00D71B15">
        <w:rPr>
          <w:sz w:val="24"/>
          <w:szCs w:val="24"/>
          <w:lang w:eastAsia="da-DK"/>
        </w:rPr>
        <w:t>fo</w:t>
      </w:r>
      <w:r>
        <w:rPr>
          <w:sz w:val="24"/>
          <w:szCs w:val="24"/>
          <w:lang w:eastAsia="da-DK"/>
        </w:rPr>
        <w:t>lie/</w:t>
      </w:r>
      <w:proofErr w:type="spellStart"/>
      <w:r>
        <w:rPr>
          <w:sz w:val="24"/>
          <w:szCs w:val="24"/>
          <w:lang w:eastAsia="da-DK"/>
        </w:rPr>
        <w:t>polyethylenfilm</w:t>
      </w:r>
      <w:proofErr w:type="spellEnd"/>
      <w:r>
        <w:rPr>
          <w:sz w:val="24"/>
          <w:szCs w:val="24"/>
          <w:lang w:eastAsia="da-DK"/>
        </w:rPr>
        <w:t>), i karton.</w:t>
      </w:r>
    </w:p>
    <w:p w:rsidR="00D2028E" w:rsidRDefault="00D2028E" w:rsidP="00D2028E">
      <w:pPr>
        <w:widowControl w:val="0"/>
        <w:autoSpaceDE w:val="0"/>
        <w:autoSpaceDN w:val="0"/>
        <w:adjustRightInd w:val="0"/>
        <w:ind w:left="851"/>
        <w:rPr>
          <w:sz w:val="24"/>
          <w:szCs w:val="24"/>
          <w:lang w:eastAsia="da-DK"/>
        </w:rPr>
      </w:pPr>
    </w:p>
    <w:p w:rsidR="00D2028E" w:rsidRPr="003C2BEF" w:rsidRDefault="00D2028E" w:rsidP="00D2028E">
      <w:pPr>
        <w:widowControl w:val="0"/>
        <w:autoSpaceDE w:val="0"/>
        <w:autoSpaceDN w:val="0"/>
        <w:adjustRightInd w:val="0"/>
        <w:ind w:left="851"/>
        <w:rPr>
          <w:sz w:val="24"/>
          <w:szCs w:val="24"/>
          <w:lang w:eastAsia="da-DK"/>
        </w:rPr>
      </w:pPr>
      <w:r>
        <w:rPr>
          <w:sz w:val="24"/>
          <w:szCs w:val="24"/>
          <w:lang w:eastAsia="da-DK"/>
        </w:rPr>
        <w:t xml:space="preserve">Pakningsstørrelser: </w:t>
      </w:r>
      <w:r w:rsidRPr="00D71B15">
        <w:rPr>
          <w:sz w:val="24"/>
          <w:szCs w:val="24"/>
          <w:lang w:eastAsia="da-DK"/>
        </w:rPr>
        <w:t xml:space="preserve">10, 20, 40, 60, 80 </w:t>
      </w:r>
      <w:r>
        <w:rPr>
          <w:sz w:val="24"/>
          <w:szCs w:val="24"/>
          <w:lang w:eastAsia="da-DK"/>
        </w:rPr>
        <w:t>og</w:t>
      </w:r>
      <w:r w:rsidRPr="00D71B15">
        <w:rPr>
          <w:sz w:val="24"/>
          <w:szCs w:val="24"/>
          <w:lang w:eastAsia="da-DK"/>
        </w:rPr>
        <w:t xml:space="preserve"> 100 ampuller. </w:t>
      </w:r>
      <w:r w:rsidRPr="00D71B15">
        <w:rPr>
          <w:sz w:val="24"/>
          <w:szCs w:val="24"/>
          <w:lang w:eastAsia="da-DK"/>
        </w:rPr>
        <w:br/>
        <w:t>Ikke alle pakningsstørrelser er nødvendigvis markedsført.</w:t>
      </w:r>
    </w:p>
    <w:p w:rsidR="00D2028E" w:rsidRPr="003C2BEF" w:rsidRDefault="00D2028E" w:rsidP="00D2028E">
      <w:pPr>
        <w:tabs>
          <w:tab w:val="left" w:pos="851"/>
        </w:tabs>
        <w:rPr>
          <w:sz w:val="24"/>
          <w:szCs w:val="24"/>
        </w:rPr>
      </w:pPr>
    </w:p>
    <w:p w:rsidR="00D2028E" w:rsidRPr="003C2BEF" w:rsidRDefault="00D2028E" w:rsidP="00D2028E">
      <w:pPr>
        <w:tabs>
          <w:tab w:val="left" w:pos="851"/>
        </w:tabs>
        <w:ind w:left="851" w:hanging="851"/>
        <w:rPr>
          <w:b/>
          <w:sz w:val="24"/>
          <w:szCs w:val="24"/>
        </w:rPr>
      </w:pPr>
      <w:r w:rsidRPr="003C2BEF">
        <w:rPr>
          <w:b/>
          <w:sz w:val="24"/>
          <w:szCs w:val="24"/>
        </w:rPr>
        <w:t>6.6</w:t>
      </w:r>
      <w:r w:rsidRPr="003C2BEF">
        <w:rPr>
          <w:b/>
          <w:sz w:val="24"/>
          <w:szCs w:val="24"/>
        </w:rPr>
        <w:tab/>
        <w:t xml:space="preserve">Regler for </w:t>
      </w:r>
      <w:r w:rsidR="005E773F">
        <w:rPr>
          <w:b/>
          <w:sz w:val="24"/>
          <w:szCs w:val="24"/>
        </w:rPr>
        <w:t>bortskaffelse</w:t>
      </w:r>
      <w:r w:rsidRPr="003C2BEF">
        <w:rPr>
          <w:b/>
          <w:sz w:val="24"/>
          <w:szCs w:val="24"/>
        </w:rPr>
        <w:t xml:space="preserve"> og anden håndtering</w:t>
      </w:r>
    </w:p>
    <w:p w:rsidR="00D2028E" w:rsidRDefault="00D2028E" w:rsidP="00D2028E">
      <w:pPr>
        <w:widowControl w:val="0"/>
        <w:autoSpaceDE w:val="0"/>
        <w:autoSpaceDN w:val="0"/>
        <w:adjustRightInd w:val="0"/>
        <w:ind w:left="851"/>
        <w:rPr>
          <w:sz w:val="24"/>
          <w:szCs w:val="24"/>
          <w:lang w:eastAsia="da-DK"/>
        </w:rPr>
      </w:pPr>
      <w:r>
        <w:rPr>
          <w:sz w:val="24"/>
          <w:szCs w:val="24"/>
          <w:lang w:eastAsia="da-DK"/>
        </w:rPr>
        <w:t>Kun til engangsbrug.</w:t>
      </w:r>
    </w:p>
    <w:p w:rsidR="00D2028E" w:rsidRDefault="00D2028E" w:rsidP="00D2028E">
      <w:pPr>
        <w:widowControl w:val="0"/>
        <w:autoSpaceDE w:val="0"/>
        <w:autoSpaceDN w:val="0"/>
        <w:adjustRightInd w:val="0"/>
        <w:ind w:left="851"/>
        <w:rPr>
          <w:sz w:val="24"/>
          <w:szCs w:val="24"/>
          <w:lang w:eastAsia="da-DK"/>
        </w:rPr>
      </w:pPr>
      <w:r w:rsidRPr="0086746D">
        <w:rPr>
          <w:sz w:val="24"/>
          <w:szCs w:val="24"/>
          <w:lang w:eastAsia="da-DK"/>
        </w:rPr>
        <w:t>Skal anvendes umidde</w:t>
      </w:r>
      <w:r>
        <w:rPr>
          <w:sz w:val="24"/>
          <w:szCs w:val="24"/>
          <w:lang w:eastAsia="da-DK"/>
        </w:rPr>
        <w:t>lbart efter åbning af ampullen.</w:t>
      </w:r>
    </w:p>
    <w:p w:rsidR="00D2028E" w:rsidRDefault="00D2028E" w:rsidP="00D2028E">
      <w:pPr>
        <w:widowControl w:val="0"/>
        <w:autoSpaceDE w:val="0"/>
        <w:autoSpaceDN w:val="0"/>
        <w:adjustRightInd w:val="0"/>
        <w:ind w:left="851"/>
        <w:rPr>
          <w:sz w:val="24"/>
          <w:szCs w:val="24"/>
          <w:lang w:eastAsia="da-DK"/>
        </w:rPr>
      </w:pPr>
      <w:r w:rsidRPr="0086746D">
        <w:rPr>
          <w:sz w:val="24"/>
          <w:szCs w:val="24"/>
          <w:lang w:eastAsia="da-DK"/>
        </w:rPr>
        <w:t>Skal kasseres umiddelbart efter første brug.</w:t>
      </w:r>
    </w:p>
    <w:p w:rsidR="00D2028E" w:rsidRPr="0086746D" w:rsidRDefault="00D2028E" w:rsidP="00D2028E">
      <w:pPr>
        <w:widowControl w:val="0"/>
        <w:autoSpaceDE w:val="0"/>
        <w:autoSpaceDN w:val="0"/>
        <w:adjustRightInd w:val="0"/>
        <w:ind w:left="851"/>
        <w:rPr>
          <w:sz w:val="24"/>
          <w:szCs w:val="24"/>
          <w:lang w:eastAsia="da-DK"/>
        </w:rPr>
      </w:pPr>
    </w:p>
    <w:p w:rsidR="00D2028E" w:rsidRPr="003C2BEF" w:rsidRDefault="00D2028E" w:rsidP="00D2028E">
      <w:pPr>
        <w:widowControl w:val="0"/>
        <w:autoSpaceDE w:val="0"/>
        <w:autoSpaceDN w:val="0"/>
        <w:adjustRightInd w:val="0"/>
        <w:ind w:left="851"/>
        <w:rPr>
          <w:sz w:val="24"/>
          <w:szCs w:val="24"/>
          <w:lang w:eastAsia="da-DK"/>
        </w:rPr>
      </w:pPr>
      <w:r w:rsidRPr="0086746D">
        <w:rPr>
          <w:sz w:val="24"/>
          <w:szCs w:val="24"/>
          <w:lang w:eastAsia="da-DK"/>
        </w:rPr>
        <w:t>Delvist brugte, åbnede eller beskadigede ampuller skal bortskaffes i henhold til lokale retningslinjer.</w:t>
      </w:r>
    </w:p>
    <w:p w:rsidR="00D2028E" w:rsidRPr="003C2BEF" w:rsidRDefault="00D2028E" w:rsidP="00D2028E">
      <w:pPr>
        <w:tabs>
          <w:tab w:val="left" w:pos="851"/>
        </w:tabs>
        <w:jc w:val="both"/>
        <w:rPr>
          <w:sz w:val="24"/>
          <w:szCs w:val="24"/>
        </w:rPr>
      </w:pPr>
    </w:p>
    <w:p w:rsidR="00D2028E" w:rsidRPr="003C2BEF" w:rsidRDefault="00D2028E" w:rsidP="00D2028E">
      <w:pPr>
        <w:tabs>
          <w:tab w:val="left" w:pos="851"/>
        </w:tabs>
        <w:ind w:left="851" w:hanging="851"/>
        <w:rPr>
          <w:b/>
          <w:sz w:val="24"/>
          <w:szCs w:val="24"/>
        </w:rPr>
      </w:pPr>
      <w:r w:rsidRPr="003C2BEF">
        <w:rPr>
          <w:b/>
          <w:sz w:val="24"/>
          <w:szCs w:val="24"/>
        </w:rPr>
        <w:t>7.</w:t>
      </w:r>
      <w:r w:rsidRPr="003C2BEF">
        <w:rPr>
          <w:b/>
          <w:sz w:val="24"/>
          <w:szCs w:val="24"/>
        </w:rPr>
        <w:tab/>
        <w:t>INDEHAVER AF MARKEDSFØRINGSTILLADELSEN</w:t>
      </w:r>
    </w:p>
    <w:p w:rsidR="00D2028E" w:rsidRPr="0086746D" w:rsidRDefault="00D2028E" w:rsidP="00D2028E">
      <w:pPr>
        <w:widowControl w:val="0"/>
        <w:autoSpaceDE w:val="0"/>
        <w:autoSpaceDN w:val="0"/>
        <w:adjustRightInd w:val="0"/>
        <w:ind w:left="851"/>
        <w:rPr>
          <w:sz w:val="24"/>
          <w:szCs w:val="24"/>
          <w:lang w:eastAsia="da-DK"/>
        </w:rPr>
      </w:pPr>
      <w:r>
        <w:rPr>
          <w:sz w:val="24"/>
          <w:szCs w:val="24"/>
          <w:lang w:eastAsia="da-DK"/>
        </w:rPr>
        <w:t>Orion Corporation</w:t>
      </w:r>
    </w:p>
    <w:p w:rsidR="00D2028E" w:rsidRPr="0086746D" w:rsidRDefault="00D2028E" w:rsidP="00D2028E">
      <w:pPr>
        <w:widowControl w:val="0"/>
        <w:autoSpaceDE w:val="0"/>
        <w:autoSpaceDN w:val="0"/>
        <w:adjustRightInd w:val="0"/>
        <w:ind w:left="851"/>
        <w:rPr>
          <w:sz w:val="24"/>
          <w:szCs w:val="24"/>
          <w:lang w:eastAsia="da-DK"/>
        </w:rPr>
      </w:pPr>
      <w:proofErr w:type="spellStart"/>
      <w:r>
        <w:rPr>
          <w:sz w:val="24"/>
          <w:szCs w:val="24"/>
          <w:lang w:eastAsia="da-DK"/>
        </w:rPr>
        <w:t>Orionintie</w:t>
      </w:r>
      <w:proofErr w:type="spellEnd"/>
      <w:r>
        <w:rPr>
          <w:sz w:val="24"/>
          <w:szCs w:val="24"/>
          <w:lang w:eastAsia="da-DK"/>
        </w:rPr>
        <w:t xml:space="preserve"> 1</w:t>
      </w:r>
    </w:p>
    <w:p w:rsidR="00D2028E" w:rsidRPr="0086746D" w:rsidRDefault="00D2028E" w:rsidP="00D2028E">
      <w:pPr>
        <w:widowControl w:val="0"/>
        <w:autoSpaceDE w:val="0"/>
        <w:autoSpaceDN w:val="0"/>
        <w:adjustRightInd w:val="0"/>
        <w:ind w:left="851"/>
        <w:rPr>
          <w:sz w:val="24"/>
          <w:szCs w:val="24"/>
          <w:lang w:eastAsia="da-DK"/>
        </w:rPr>
      </w:pPr>
      <w:r>
        <w:rPr>
          <w:sz w:val="24"/>
          <w:szCs w:val="24"/>
          <w:lang w:eastAsia="da-DK"/>
        </w:rPr>
        <w:t xml:space="preserve">02200 </w:t>
      </w:r>
      <w:proofErr w:type="spellStart"/>
      <w:r>
        <w:rPr>
          <w:sz w:val="24"/>
          <w:szCs w:val="24"/>
          <w:lang w:eastAsia="da-DK"/>
        </w:rPr>
        <w:t>Espoo</w:t>
      </w:r>
      <w:proofErr w:type="spellEnd"/>
    </w:p>
    <w:p w:rsidR="00D2028E" w:rsidRPr="00E241E9" w:rsidRDefault="00D2028E" w:rsidP="00D2028E">
      <w:pPr>
        <w:widowControl w:val="0"/>
        <w:autoSpaceDE w:val="0"/>
        <w:autoSpaceDN w:val="0"/>
        <w:adjustRightInd w:val="0"/>
        <w:ind w:left="851"/>
        <w:rPr>
          <w:sz w:val="24"/>
          <w:szCs w:val="24"/>
          <w:lang w:eastAsia="da-DK"/>
        </w:rPr>
      </w:pPr>
      <w:r>
        <w:rPr>
          <w:sz w:val="24"/>
          <w:szCs w:val="24"/>
          <w:lang w:eastAsia="da-DK"/>
        </w:rPr>
        <w:t>Finland</w:t>
      </w:r>
    </w:p>
    <w:p w:rsidR="00D2028E" w:rsidRPr="003C2BEF" w:rsidRDefault="00D2028E" w:rsidP="00D2028E">
      <w:pPr>
        <w:tabs>
          <w:tab w:val="left" w:pos="851"/>
        </w:tabs>
        <w:rPr>
          <w:sz w:val="24"/>
          <w:szCs w:val="24"/>
        </w:rPr>
      </w:pPr>
    </w:p>
    <w:p w:rsidR="00D2028E" w:rsidRPr="003C2BEF" w:rsidRDefault="00D2028E" w:rsidP="00D2028E">
      <w:pPr>
        <w:tabs>
          <w:tab w:val="left" w:pos="851"/>
        </w:tabs>
        <w:ind w:left="851" w:hanging="851"/>
        <w:rPr>
          <w:b/>
          <w:sz w:val="24"/>
          <w:szCs w:val="24"/>
        </w:rPr>
      </w:pPr>
      <w:r w:rsidRPr="003C2BEF">
        <w:rPr>
          <w:b/>
          <w:sz w:val="24"/>
          <w:szCs w:val="24"/>
        </w:rPr>
        <w:lastRenderedPageBreak/>
        <w:t>8.</w:t>
      </w:r>
      <w:r w:rsidRPr="003C2BEF">
        <w:rPr>
          <w:b/>
          <w:sz w:val="24"/>
          <w:szCs w:val="24"/>
        </w:rPr>
        <w:tab/>
        <w:t>MARKEDSFØRINGSTILLADELSESNUMMER (</w:t>
      </w:r>
      <w:r w:rsidR="005E773F">
        <w:rPr>
          <w:b/>
          <w:sz w:val="24"/>
          <w:szCs w:val="24"/>
        </w:rPr>
        <w:t>-</w:t>
      </w:r>
      <w:r w:rsidRPr="003C2BEF">
        <w:rPr>
          <w:b/>
          <w:sz w:val="24"/>
          <w:szCs w:val="24"/>
        </w:rPr>
        <w:t>NUMRE)</w:t>
      </w:r>
    </w:p>
    <w:p w:rsidR="00D2028E" w:rsidRPr="003C2BEF" w:rsidRDefault="00D2028E" w:rsidP="00D2028E">
      <w:pPr>
        <w:tabs>
          <w:tab w:val="left" w:pos="851"/>
        </w:tabs>
        <w:ind w:left="851" w:hanging="851"/>
        <w:rPr>
          <w:sz w:val="24"/>
          <w:szCs w:val="24"/>
        </w:rPr>
      </w:pPr>
      <w:r w:rsidRPr="003C2BEF">
        <w:rPr>
          <w:sz w:val="24"/>
          <w:szCs w:val="24"/>
        </w:rPr>
        <w:tab/>
      </w:r>
      <w:r>
        <w:rPr>
          <w:sz w:val="24"/>
          <w:szCs w:val="24"/>
        </w:rPr>
        <w:t>52977</w:t>
      </w:r>
    </w:p>
    <w:p w:rsidR="00D2028E" w:rsidRPr="003C2BEF" w:rsidRDefault="00D2028E" w:rsidP="00D2028E">
      <w:pPr>
        <w:tabs>
          <w:tab w:val="left" w:pos="851"/>
        </w:tabs>
        <w:jc w:val="both"/>
        <w:rPr>
          <w:sz w:val="24"/>
          <w:szCs w:val="24"/>
        </w:rPr>
      </w:pPr>
    </w:p>
    <w:p w:rsidR="00D2028E" w:rsidRPr="003C2BEF" w:rsidRDefault="00D2028E" w:rsidP="00D2028E">
      <w:pPr>
        <w:tabs>
          <w:tab w:val="left" w:pos="851"/>
        </w:tabs>
        <w:ind w:left="851" w:hanging="851"/>
        <w:rPr>
          <w:b/>
          <w:sz w:val="24"/>
          <w:szCs w:val="24"/>
        </w:rPr>
      </w:pPr>
      <w:r w:rsidRPr="003C2BEF">
        <w:rPr>
          <w:b/>
          <w:sz w:val="24"/>
          <w:szCs w:val="24"/>
        </w:rPr>
        <w:t>9.</w:t>
      </w:r>
      <w:r w:rsidRPr="003C2BEF">
        <w:rPr>
          <w:b/>
          <w:sz w:val="24"/>
          <w:szCs w:val="24"/>
        </w:rPr>
        <w:tab/>
        <w:t>DATO FOR FØRSTE MARKEDSFØRINGSTILLADELSE</w:t>
      </w:r>
    </w:p>
    <w:p w:rsidR="00D2028E" w:rsidRPr="003C2BEF" w:rsidRDefault="00D2028E" w:rsidP="00D2028E">
      <w:pPr>
        <w:tabs>
          <w:tab w:val="left" w:pos="851"/>
        </w:tabs>
        <w:rPr>
          <w:sz w:val="24"/>
          <w:szCs w:val="24"/>
        </w:rPr>
      </w:pPr>
      <w:r w:rsidRPr="003C2BEF">
        <w:rPr>
          <w:sz w:val="24"/>
          <w:szCs w:val="24"/>
        </w:rPr>
        <w:tab/>
      </w:r>
      <w:r>
        <w:rPr>
          <w:sz w:val="24"/>
          <w:szCs w:val="24"/>
        </w:rPr>
        <w:t>13. november 2014</w:t>
      </w:r>
    </w:p>
    <w:p w:rsidR="00D2028E" w:rsidRPr="003C2BEF" w:rsidRDefault="00D2028E" w:rsidP="00D2028E">
      <w:pPr>
        <w:tabs>
          <w:tab w:val="left" w:pos="851"/>
        </w:tabs>
        <w:rPr>
          <w:sz w:val="24"/>
          <w:szCs w:val="24"/>
        </w:rPr>
      </w:pPr>
    </w:p>
    <w:p w:rsidR="00D2028E" w:rsidRPr="003C2BEF" w:rsidRDefault="00D2028E" w:rsidP="00D2028E">
      <w:pPr>
        <w:keepNext/>
        <w:tabs>
          <w:tab w:val="left" w:pos="851"/>
        </w:tabs>
        <w:ind w:left="851" w:hanging="851"/>
        <w:rPr>
          <w:b/>
          <w:sz w:val="24"/>
          <w:szCs w:val="24"/>
        </w:rPr>
      </w:pPr>
      <w:r w:rsidRPr="003C2BEF">
        <w:rPr>
          <w:b/>
          <w:sz w:val="24"/>
          <w:szCs w:val="24"/>
        </w:rPr>
        <w:t>10.</w:t>
      </w:r>
      <w:r w:rsidRPr="003C2BEF">
        <w:rPr>
          <w:b/>
          <w:sz w:val="24"/>
          <w:szCs w:val="24"/>
        </w:rPr>
        <w:tab/>
        <w:t>DATO FOR ÆNDRING AF TEKSTEN</w:t>
      </w:r>
    </w:p>
    <w:p w:rsidR="00D2028E" w:rsidRPr="002A7AE1" w:rsidRDefault="00D2028E" w:rsidP="00D2028E">
      <w:pPr>
        <w:tabs>
          <w:tab w:val="left" w:pos="851"/>
        </w:tabs>
        <w:rPr>
          <w:sz w:val="24"/>
          <w:szCs w:val="24"/>
        </w:rPr>
      </w:pPr>
      <w:r w:rsidRPr="002A7AE1">
        <w:rPr>
          <w:sz w:val="24"/>
          <w:szCs w:val="24"/>
        </w:rPr>
        <w:t xml:space="preserve"> </w:t>
      </w:r>
      <w:r w:rsidRPr="002A7AE1">
        <w:rPr>
          <w:sz w:val="24"/>
          <w:szCs w:val="24"/>
        </w:rPr>
        <w:tab/>
      </w:r>
      <w:r w:rsidR="005E773F">
        <w:rPr>
          <w:sz w:val="24"/>
          <w:szCs w:val="24"/>
        </w:rPr>
        <w:t>6</w:t>
      </w:r>
      <w:r>
        <w:rPr>
          <w:sz w:val="24"/>
          <w:szCs w:val="24"/>
        </w:rPr>
        <w:t xml:space="preserve">. </w:t>
      </w:r>
      <w:r w:rsidR="005E773F">
        <w:rPr>
          <w:sz w:val="24"/>
          <w:szCs w:val="24"/>
        </w:rPr>
        <w:t>november</w:t>
      </w:r>
      <w:r>
        <w:rPr>
          <w:sz w:val="24"/>
          <w:szCs w:val="24"/>
        </w:rPr>
        <w:t xml:space="preserve"> 20</w:t>
      </w:r>
      <w:r w:rsidR="005E773F">
        <w:rPr>
          <w:sz w:val="24"/>
          <w:szCs w:val="24"/>
        </w:rPr>
        <w:t>24</w:t>
      </w:r>
      <w:bookmarkStart w:id="0" w:name="_GoBack"/>
      <w:bookmarkEnd w:id="0"/>
    </w:p>
    <w:p w:rsidR="00D2028E" w:rsidRPr="00982792" w:rsidRDefault="00D2028E" w:rsidP="00D2028E"/>
    <w:p w:rsidR="00D2028E" w:rsidRPr="004A1109" w:rsidRDefault="00D2028E" w:rsidP="00D2028E"/>
    <w:p w:rsidR="009260DE" w:rsidRPr="00D2028E" w:rsidRDefault="009260DE" w:rsidP="00D2028E"/>
    <w:sectPr w:rsidR="009260DE" w:rsidRPr="00D2028E"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028E" w:rsidRDefault="00D2028E">
      <w:r>
        <w:separator/>
      </w:r>
    </w:p>
  </w:endnote>
  <w:endnote w:type="continuationSeparator" w:id="0">
    <w:p w:rsidR="00D2028E" w:rsidRDefault="00D20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D2028E">
      <w:rPr>
        <w:i/>
        <w:noProof/>
        <w:sz w:val="18"/>
        <w:szCs w:val="18"/>
      </w:rPr>
      <w:t>Dokument2602</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028E" w:rsidRDefault="00D2028E">
      <w:r>
        <w:separator/>
      </w:r>
    </w:p>
  </w:footnote>
  <w:footnote w:type="continuationSeparator" w:id="0">
    <w:p w:rsidR="00D2028E" w:rsidRDefault="00D202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28E"/>
    <w:rsid w:val="000259B9"/>
    <w:rsid w:val="00041491"/>
    <w:rsid w:val="00050D16"/>
    <w:rsid w:val="00074F2A"/>
    <w:rsid w:val="000A1CA8"/>
    <w:rsid w:val="000A466B"/>
    <w:rsid w:val="000B058C"/>
    <w:rsid w:val="000E4EE6"/>
    <w:rsid w:val="001454E2"/>
    <w:rsid w:val="00206CE8"/>
    <w:rsid w:val="0021526C"/>
    <w:rsid w:val="00283A2B"/>
    <w:rsid w:val="002B30AD"/>
    <w:rsid w:val="002C2C01"/>
    <w:rsid w:val="003A29AE"/>
    <w:rsid w:val="003A32D7"/>
    <w:rsid w:val="003B4074"/>
    <w:rsid w:val="003C769A"/>
    <w:rsid w:val="003F1838"/>
    <w:rsid w:val="0045746C"/>
    <w:rsid w:val="0049104B"/>
    <w:rsid w:val="004E3B12"/>
    <w:rsid w:val="00532310"/>
    <w:rsid w:val="00560ECC"/>
    <w:rsid w:val="00565F0F"/>
    <w:rsid w:val="00594A86"/>
    <w:rsid w:val="00596D86"/>
    <w:rsid w:val="005E26FB"/>
    <w:rsid w:val="005E773F"/>
    <w:rsid w:val="00637F5A"/>
    <w:rsid w:val="006560B1"/>
    <w:rsid w:val="006756DD"/>
    <w:rsid w:val="00737275"/>
    <w:rsid w:val="00740EEC"/>
    <w:rsid w:val="0078011A"/>
    <w:rsid w:val="00782AF4"/>
    <w:rsid w:val="00790EE7"/>
    <w:rsid w:val="007B6649"/>
    <w:rsid w:val="007D2513"/>
    <w:rsid w:val="0081546F"/>
    <w:rsid w:val="0082576E"/>
    <w:rsid w:val="00907F75"/>
    <w:rsid w:val="009260DE"/>
    <w:rsid w:val="0093258A"/>
    <w:rsid w:val="009C7BA3"/>
    <w:rsid w:val="009D1F5A"/>
    <w:rsid w:val="00B003BF"/>
    <w:rsid w:val="00B373D7"/>
    <w:rsid w:val="00B55B50"/>
    <w:rsid w:val="00C36276"/>
    <w:rsid w:val="00C42586"/>
    <w:rsid w:val="00C60CCD"/>
    <w:rsid w:val="00C84483"/>
    <w:rsid w:val="00C95551"/>
    <w:rsid w:val="00CB20D7"/>
    <w:rsid w:val="00D020B0"/>
    <w:rsid w:val="00D11748"/>
    <w:rsid w:val="00D2028E"/>
    <w:rsid w:val="00D366CF"/>
    <w:rsid w:val="00E108AA"/>
    <w:rsid w:val="00E31812"/>
    <w:rsid w:val="00E3749A"/>
    <w:rsid w:val="00E7437F"/>
    <w:rsid w:val="00E865B8"/>
    <w:rsid w:val="00EC0B9B"/>
    <w:rsid w:val="00ED5E9F"/>
    <w:rsid w:val="00F66D4F"/>
    <w:rsid w:val="00F9596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D99BBD"/>
  <w15:chartTrackingRefBased/>
  <w15:docId w15:val="{4775D739-3F98-48C8-A82A-72D2E3D6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shorttext">
    <w:name w:val="short_text"/>
    <w:basedOn w:val="Standardskrifttypeiafsnit"/>
    <w:rsid w:val="00D2028E"/>
  </w:style>
  <w:style w:type="paragraph" w:styleId="Brdtekstindrykning">
    <w:name w:val="Body Text Indent"/>
    <w:basedOn w:val="Normal"/>
    <w:link w:val="BrdtekstindrykningTegn"/>
    <w:semiHidden/>
    <w:unhideWhenUsed/>
    <w:rsid w:val="00D2028E"/>
    <w:pPr>
      <w:ind w:left="851"/>
      <w:jc w:val="both"/>
    </w:pPr>
    <w:rPr>
      <w:sz w:val="24"/>
      <w:lang w:eastAsia="da-DK"/>
    </w:rPr>
  </w:style>
  <w:style w:type="character" w:customStyle="1" w:styleId="BrdtekstindrykningTegn">
    <w:name w:val="Brødtekstindrykning Tegn"/>
    <w:basedOn w:val="Standardskrifttypeiafsnit"/>
    <w:link w:val="Brdtekstindrykning"/>
    <w:semiHidden/>
    <w:rsid w:val="00D2028E"/>
    <w:rPr>
      <w:sz w:val="24"/>
    </w:rPr>
  </w:style>
  <w:style w:type="paragraph" w:styleId="Listeafsnit">
    <w:name w:val="List Paragraph"/>
    <w:basedOn w:val="Normal"/>
    <w:uiPriority w:val="34"/>
    <w:qFormat/>
    <w:rsid w:val="00D202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52615784">
      <w:bodyDiv w:val="1"/>
      <w:marLeft w:val="0"/>
      <w:marRight w:val="0"/>
      <w:marTop w:val="0"/>
      <w:marBottom w:val="0"/>
      <w:divBdr>
        <w:top w:val="none" w:sz="0" w:space="0" w:color="auto"/>
        <w:left w:val="none" w:sz="0" w:space="0" w:color="auto"/>
        <w:bottom w:val="none" w:sz="0" w:space="0" w:color="auto"/>
        <w:right w:val="none" w:sz="0" w:space="0" w:color="auto"/>
      </w:divBdr>
    </w:div>
    <w:div w:id="513154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3437</Words>
  <Characters>24353</Characters>
  <Application>Microsoft Office Word</Application>
  <DocSecurity>0</DocSecurity>
  <Lines>202</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Ringgaard</dc:creator>
  <cp:keywords/>
  <dc:description>2024014320_x000d_
SPC pkt. 4.2, 4.4, 4.6, 4.8, 4.9, 5.1 + overskrifter iht. QRD</dc:description>
  <cp:lastModifiedBy>Victoria Alexsandra Ringgaard</cp:lastModifiedBy>
  <cp:revision>3</cp:revision>
  <cp:lastPrinted>2012-08-22T08:53:00Z</cp:lastPrinted>
  <dcterms:created xsi:type="dcterms:W3CDTF">2024-11-04T15:14:00Z</dcterms:created>
  <dcterms:modified xsi:type="dcterms:W3CDTF">2024-11-04T15:28:00Z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