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A1FB" w14:textId="77777777" w:rsidR="009260DE" w:rsidRPr="00116C00" w:rsidRDefault="0021526C" w:rsidP="009260DE">
      <w:pPr>
        <w:rPr>
          <w:sz w:val="24"/>
          <w:szCs w:val="24"/>
        </w:rPr>
      </w:pPr>
      <w:bookmarkStart w:id="0" w:name="_GoBack"/>
      <w:bookmarkEnd w:id="0"/>
      <w:r w:rsidRPr="00116C00">
        <w:rPr>
          <w:noProof/>
          <w:sz w:val="24"/>
          <w:szCs w:val="24"/>
          <w:lang w:eastAsia="da-DK"/>
        </w:rPr>
        <w:drawing>
          <wp:anchor distT="0" distB="0" distL="114300" distR="114300" simplePos="0" relativeHeight="251658240" behindDoc="0" locked="0" layoutInCell="1" allowOverlap="1" wp14:anchorId="4FC30C87" wp14:editId="08C475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16C00">
        <w:rPr>
          <w:sz w:val="24"/>
          <w:szCs w:val="24"/>
        </w:rPr>
        <w:br w:type="textWrapping" w:clear="all"/>
      </w:r>
    </w:p>
    <w:p w14:paraId="4EA075E7" w14:textId="0BE3AF5A" w:rsidR="009260DE" w:rsidRPr="00116C00" w:rsidRDefault="009260DE" w:rsidP="009260DE">
      <w:pPr>
        <w:pStyle w:val="Titel"/>
        <w:tabs>
          <w:tab w:val="right" w:pos="9356"/>
        </w:tabs>
        <w:jc w:val="left"/>
        <w:rPr>
          <w:b w:val="0"/>
          <w:szCs w:val="24"/>
          <w:lang w:eastAsia="en-US"/>
        </w:rPr>
      </w:pPr>
      <w:r w:rsidRPr="00116C00">
        <w:rPr>
          <w:b w:val="0"/>
          <w:szCs w:val="24"/>
          <w:lang w:eastAsia="en-US"/>
        </w:rPr>
        <w:tab/>
      </w:r>
      <w:r w:rsidR="0029325E">
        <w:rPr>
          <w:szCs w:val="24"/>
        </w:rPr>
        <w:t>14. august 2023</w:t>
      </w:r>
    </w:p>
    <w:p w14:paraId="7CD80F62" w14:textId="77777777" w:rsidR="009260DE" w:rsidRPr="00116C00" w:rsidRDefault="009260DE" w:rsidP="009260DE">
      <w:pPr>
        <w:pStyle w:val="Titel"/>
        <w:tabs>
          <w:tab w:val="left" w:pos="8222"/>
        </w:tabs>
        <w:jc w:val="left"/>
        <w:rPr>
          <w:b w:val="0"/>
          <w:szCs w:val="24"/>
        </w:rPr>
      </w:pPr>
    </w:p>
    <w:p w14:paraId="07D31519" w14:textId="77777777" w:rsidR="009260DE" w:rsidRPr="00116C00" w:rsidRDefault="009260DE" w:rsidP="009260DE">
      <w:pPr>
        <w:pStyle w:val="Titel"/>
        <w:jc w:val="left"/>
        <w:rPr>
          <w:b w:val="0"/>
          <w:szCs w:val="24"/>
        </w:rPr>
      </w:pPr>
    </w:p>
    <w:p w14:paraId="47DD022D" w14:textId="77777777" w:rsidR="009260DE" w:rsidRPr="00116C00" w:rsidRDefault="009260DE" w:rsidP="009260DE">
      <w:pPr>
        <w:pStyle w:val="Titel"/>
        <w:jc w:val="left"/>
        <w:rPr>
          <w:b w:val="0"/>
          <w:szCs w:val="24"/>
        </w:rPr>
      </w:pPr>
    </w:p>
    <w:p w14:paraId="04A944A1" w14:textId="77777777" w:rsidR="009260DE" w:rsidRPr="00116C00" w:rsidRDefault="009260DE" w:rsidP="009260DE">
      <w:pPr>
        <w:jc w:val="center"/>
        <w:rPr>
          <w:b/>
          <w:sz w:val="24"/>
          <w:szCs w:val="24"/>
        </w:rPr>
      </w:pPr>
      <w:r w:rsidRPr="00116C00">
        <w:rPr>
          <w:b/>
          <w:sz w:val="24"/>
          <w:szCs w:val="24"/>
        </w:rPr>
        <w:t>PRODUKTRESUMÉ</w:t>
      </w:r>
    </w:p>
    <w:p w14:paraId="6CBA8484" w14:textId="77777777" w:rsidR="009260DE" w:rsidRPr="00116C00" w:rsidRDefault="009260DE" w:rsidP="009260DE">
      <w:pPr>
        <w:jc w:val="center"/>
        <w:rPr>
          <w:b/>
          <w:sz w:val="24"/>
          <w:szCs w:val="24"/>
        </w:rPr>
      </w:pPr>
    </w:p>
    <w:p w14:paraId="4A7AA65A" w14:textId="77777777" w:rsidR="009260DE" w:rsidRPr="00116C00" w:rsidRDefault="009260DE" w:rsidP="009260DE">
      <w:pPr>
        <w:jc w:val="center"/>
        <w:rPr>
          <w:b/>
          <w:sz w:val="24"/>
          <w:szCs w:val="24"/>
        </w:rPr>
      </w:pPr>
      <w:r w:rsidRPr="00116C00">
        <w:rPr>
          <w:b/>
          <w:sz w:val="24"/>
          <w:szCs w:val="24"/>
        </w:rPr>
        <w:t>for</w:t>
      </w:r>
    </w:p>
    <w:p w14:paraId="5E4CA1D6" w14:textId="77777777" w:rsidR="000B058C" w:rsidRPr="00116C00" w:rsidRDefault="000B058C" w:rsidP="009260DE">
      <w:pPr>
        <w:jc w:val="center"/>
        <w:rPr>
          <w:b/>
          <w:sz w:val="24"/>
          <w:szCs w:val="24"/>
        </w:rPr>
      </w:pPr>
    </w:p>
    <w:p w14:paraId="3CE97219" w14:textId="20F6BD0A" w:rsidR="009260DE" w:rsidRPr="00116C00" w:rsidRDefault="009F4ED8" w:rsidP="009260DE">
      <w:pPr>
        <w:jc w:val="center"/>
        <w:rPr>
          <w:b/>
          <w:sz w:val="24"/>
          <w:szCs w:val="24"/>
        </w:rPr>
      </w:pPr>
      <w:proofErr w:type="spellStart"/>
      <w:r w:rsidRPr="00116C00">
        <w:rPr>
          <w:b/>
          <w:sz w:val="24"/>
          <w:szCs w:val="24"/>
        </w:rPr>
        <w:t>Ipratropiumbromid</w:t>
      </w:r>
      <w:proofErr w:type="spellEnd"/>
      <w:r w:rsidRPr="00116C00">
        <w:rPr>
          <w:b/>
          <w:sz w:val="24"/>
          <w:szCs w:val="24"/>
        </w:rPr>
        <w:t>/</w:t>
      </w:r>
      <w:proofErr w:type="spellStart"/>
      <w:r w:rsidRPr="00116C00">
        <w:rPr>
          <w:b/>
          <w:sz w:val="24"/>
          <w:szCs w:val="24"/>
        </w:rPr>
        <w:t>Salbutamol</w:t>
      </w:r>
      <w:proofErr w:type="spellEnd"/>
      <w:r w:rsidRPr="00116C00">
        <w:rPr>
          <w:b/>
          <w:sz w:val="24"/>
          <w:szCs w:val="24"/>
        </w:rPr>
        <w:t xml:space="preserve"> "</w:t>
      </w:r>
      <w:proofErr w:type="spellStart"/>
      <w:r w:rsidRPr="00116C00">
        <w:rPr>
          <w:b/>
          <w:sz w:val="24"/>
          <w:szCs w:val="24"/>
        </w:rPr>
        <w:t>Neutec</w:t>
      </w:r>
      <w:proofErr w:type="spellEnd"/>
      <w:r w:rsidRPr="00116C00">
        <w:rPr>
          <w:b/>
          <w:sz w:val="24"/>
          <w:szCs w:val="24"/>
        </w:rPr>
        <w:t xml:space="preserve">", inhalationsvæske til </w:t>
      </w:r>
      <w:proofErr w:type="spellStart"/>
      <w:r w:rsidRPr="00116C00">
        <w:rPr>
          <w:b/>
          <w:sz w:val="24"/>
          <w:szCs w:val="24"/>
        </w:rPr>
        <w:t>nebulisator</w:t>
      </w:r>
      <w:proofErr w:type="spellEnd"/>
      <w:r w:rsidRPr="00116C00">
        <w:rPr>
          <w:b/>
          <w:sz w:val="24"/>
          <w:szCs w:val="24"/>
        </w:rPr>
        <w:t>, opløsning</w:t>
      </w:r>
    </w:p>
    <w:p w14:paraId="62CAFD60" w14:textId="77777777" w:rsidR="009260DE" w:rsidRPr="00116C00" w:rsidRDefault="009260DE" w:rsidP="009260DE">
      <w:pPr>
        <w:jc w:val="both"/>
        <w:rPr>
          <w:sz w:val="24"/>
          <w:szCs w:val="24"/>
        </w:rPr>
      </w:pPr>
    </w:p>
    <w:p w14:paraId="206732FB" w14:textId="77777777" w:rsidR="009260DE" w:rsidRPr="00116C00" w:rsidRDefault="009260DE" w:rsidP="009260DE">
      <w:pPr>
        <w:jc w:val="both"/>
        <w:rPr>
          <w:sz w:val="24"/>
          <w:szCs w:val="24"/>
        </w:rPr>
      </w:pPr>
    </w:p>
    <w:p w14:paraId="321B7843" w14:textId="77777777" w:rsidR="009260DE" w:rsidRPr="00116C00" w:rsidRDefault="009260DE" w:rsidP="009260DE">
      <w:pPr>
        <w:tabs>
          <w:tab w:val="left" w:pos="851"/>
        </w:tabs>
        <w:ind w:left="851" w:hanging="851"/>
        <w:rPr>
          <w:b/>
          <w:sz w:val="24"/>
          <w:szCs w:val="24"/>
        </w:rPr>
      </w:pPr>
      <w:r w:rsidRPr="00116C00">
        <w:rPr>
          <w:b/>
          <w:sz w:val="24"/>
          <w:szCs w:val="24"/>
        </w:rPr>
        <w:t>0.</w:t>
      </w:r>
      <w:r w:rsidRPr="00116C00">
        <w:rPr>
          <w:b/>
          <w:sz w:val="24"/>
          <w:szCs w:val="24"/>
        </w:rPr>
        <w:tab/>
        <w:t>D.SP.NR.</w:t>
      </w:r>
    </w:p>
    <w:p w14:paraId="62E17B34" w14:textId="501224B0" w:rsidR="009260DE" w:rsidRPr="00116C00" w:rsidRDefault="009F4ED8" w:rsidP="009260DE">
      <w:pPr>
        <w:tabs>
          <w:tab w:val="left" w:pos="851"/>
        </w:tabs>
        <w:ind w:left="851"/>
        <w:rPr>
          <w:sz w:val="24"/>
          <w:szCs w:val="24"/>
        </w:rPr>
      </w:pPr>
      <w:r w:rsidRPr="00116C00">
        <w:rPr>
          <w:sz w:val="24"/>
          <w:szCs w:val="24"/>
        </w:rPr>
        <w:t>32326</w:t>
      </w:r>
    </w:p>
    <w:p w14:paraId="7F40640F" w14:textId="77777777" w:rsidR="009260DE" w:rsidRPr="00116C00" w:rsidRDefault="009260DE" w:rsidP="009260DE">
      <w:pPr>
        <w:tabs>
          <w:tab w:val="left" w:pos="851"/>
        </w:tabs>
        <w:ind w:left="851"/>
        <w:rPr>
          <w:sz w:val="24"/>
          <w:szCs w:val="24"/>
        </w:rPr>
      </w:pPr>
    </w:p>
    <w:p w14:paraId="644BA269" w14:textId="77777777" w:rsidR="009260DE" w:rsidRPr="00116C00" w:rsidRDefault="009260DE" w:rsidP="009260DE">
      <w:pPr>
        <w:tabs>
          <w:tab w:val="left" w:pos="851"/>
        </w:tabs>
        <w:ind w:left="851" w:hanging="851"/>
        <w:rPr>
          <w:b/>
          <w:sz w:val="24"/>
          <w:szCs w:val="24"/>
        </w:rPr>
      </w:pPr>
      <w:r w:rsidRPr="00116C00">
        <w:rPr>
          <w:b/>
          <w:sz w:val="24"/>
          <w:szCs w:val="24"/>
        </w:rPr>
        <w:t>1.</w:t>
      </w:r>
      <w:r w:rsidRPr="00116C00">
        <w:rPr>
          <w:b/>
          <w:sz w:val="24"/>
          <w:szCs w:val="24"/>
        </w:rPr>
        <w:tab/>
        <w:t>LÆGEMIDLETS NAVN</w:t>
      </w:r>
    </w:p>
    <w:p w14:paraId="44A285DD" w14:textId="262DC692" w:rsidR="009260DE" w:rsidRPr="00116C00" w:rsidRDefault="009F4ED8" w:rsidP="009260DE">
      <w:pPr>
        <w:tabs>
          <w:tab w:val="left" w:pos="851"/>
        </w:tabs>
        <w:ind w:left="851"/>
        <w:rPr>
          <w:sz w:val="24"/>
          <w:szCs w:val="24"/>
        </w:rPr>
      </w:pP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w:t>
      </w:r>
      <w:proofErr w:type="spellStart"/>
      <w:r w:rsidRPr="00116C00">
        <w:rPr>
          <w:sz w:val="24"/>
          <w:szCs w:val="24"/>
        </w:rPr>
        <w:t>Neutec</w:t>
      </w:r>
      <w:proofErr w:type="spellEnd"/>
      <w:r w:rsidRPr="00116C00">
        <w:rPr>
          <w:sz w:val="24"/>
          <w:szCs w:val="24"/>
        </w:rPr>
        <w:t>"</w:t>
      </w:r>
    </w:p>
    <w:p w14:paraId="29F64275" w14:textId="77777777" w:rsidR="009260DE" w:rsidRPr="00116C00" w:rsidRDefault="009260DE" w:rsidP="009260DE">
      <w:pPr>
        <w:tabs>
          <w:tab w:val="left" w:pos="851"/>
        </w:tabs>
        <w:ind w:left="851"/>
        <w:rPr>
          <w:sz w:val="24"/>
          <w:szCs w:val="24"/>
        </w:rPr>
      </w:pPr>
    </w:p>
    <w:p w14:paraId="67604DCE" w14:textId="77777777" w:rsidR="009260DE" w:rsidRPr="00116C00" w:rsidRDefault="009260DE" w:rsidP="009260DE">
      <w:pPr>
        <w:tabs>
          <w:tab w:val="left" w:pos="851"/>
        </w:tabs>
        <w:ind w:left="851" w:hanging="851"/>
        <w:rPr>
          <w:b/>
          <w:sz w:val="24"/>
          <w:szCs w:val="24"/>
        </w:rPr>
      </w:pPr>
      <w:r w:rsidRPr="00116C00">
        <w:rPr>
          <w:b/>
          <w:sz w:val="24"/>
          <w:szCs w:val="24"/>
        </w:rPr>
        <w:t>2.</w:t>
      </w:r>
      <w:r w:rsidRPr="00116C00">
        <w:rPr>
          <w:b/>
          <w:sz w:val="24"/>
          <w:szCs w:val="24"/>
        </w:rPr>
        <w:tab/>
        <w:t>KVALITATIV OG KVANTITATIV SAMMENSÆTNING</w:t>
      </w:r>
    </w:p>
    <w:p w14:paraId="60BF8970" w14:textId="77777777" w:rsidR="00961187" w:rsidRPr="00116C00" w:rsidRDefault="00961187" w:rsidP="00A41915">
      <w:pPr>
        <w:ind w:left="851"/>
        <w:rPr>
          <w:sz w:val="24"/>
          <w:szCs w:val="24"/>
        </w:rPr>
      </w:pPr>
      <w:r w:rsidRPr="00116C00">
        <w:rPr>
          <w:sz w:val="24"/>
          <w:szCs w:val="24"/>
        </w:rPr>
        <w:t xml:space="preserve">Hver 2,5 ml-enkeltdosisbeholder indeholder 0,5 mg </w:t>
      </w:r>
      <w:proofErr w:type="spellStart"/>
      <w:r w:rsidRPr="00116C00">
        <w:rPr>
          <w:sz w:val="24"/>
          <w:szCs w:val="24"/>
        </w:rPr>
        <w:t>ipratropiumbromid</w:t>
      </w:r>
      <w:proofErr w:type="spellEnd"/>
      <w:r w:rsidRPr="00116C00">
        <w:rPr>
          <w:sz w:val="24"/>
          <w:szCs w:val="24"/>
        </w:rPr>
        <w:t xml:space="preserve"> (som </w:t>
      </w:r>
      <w:proofErr w:type="spellStart"/>
      <w:r w:rsidRPr="00116C00">
        <w:rPr>
          <w:sz w:val="24"/>
          <w:szCs w:val="24"/>
        </w:rPr>
        <w:t>ipratropiumbromidmonohydrat</w:t>
      </w:r>
      <w:proofErr w:type="spellEnd"/>
      <w:r w:rsidRPr="00116C00">
        <w:rPr>
          <w:sz w:val="24"/>
          <w:szCs w:val="24"/>
        </w:rPr>
        <w:t xml:space="preserve">) og 2,5 mg </w:t>
      </w:r>
      <w:proofErr w:type="spellStart"/>
      <w:r w:rsidRPr="00116C00">
        <w:rPr>
          <w:sz w:val="24"/>
          <w:szCs w:val="24"/>
        </w:rPr>
        <w:t>salbutamol</w:t>
      </w:r>
      <w:proofErr w:type="spellEnd"/>
      <w:r w:rsidRPr="00116C00">
        <w:rPr>
          <w:sz w:val="24"/>
          <w:szCs w:val="24"/>
        </w:rPr>
        <w:t xml:space="preserve"> (som </w:t>
      </w:r>
      <w:proofErr w:type="spellStart"/>
      <w:r w:rsidRPr="00116C00">
        <w:rPr>
          <w:sz w:val="24"/>
          <w:szCs w:val="24"/>
        </w:rPr>
        <w:t>salbutamolsulfat</w:t>
      </w:r>
      <w:proofErr w:type="spellEnd"/>
      <w:r w:rsidRPr="00116C00">
        <w:rPr>
          <w:sz w:val="24"/>
          <w:szCs w:val="24"/>
        </w:rPr>
        <w:t xml:space="preserve">) svarende til 0,2 mg </w:t>
      </w:r>
      <w:proofErr w:type="spellStart"/>
      <w:r w:rsidRPr="00116C00">
        <w:rPr>
          <w:sz w:val="24"/>
          <w:szCs w:val="24"/>
        </w:rPr>
        <w:t>ipratropiumbromid</w:t>
      </w:r>
      <w:proofErr w:type="spellEnd"/>
      <w:r w:rsidRPr="00116C00">
        <w:rPr>
          <w:sz w:val="24"/>
          <w:szCs w:val="24"/>
        </w:rPr>
        <w:t xml:space="preserve"> og 1 mg </w:t>
      </w:r>
      <w:proofErr w:type="spellStart"/>
      <w:r w:rsidRPr="00116C00">
        <w:rPr>
          <w:sz w:val="24"/>
          <w:szCs w:val="24"/>
        </w:rPr>
        <w:t>salbutamol</w:t>
      </w:r>
      <w:proofErr w:type="spellEnd"/>
      <w:r w:rsidRPr="00116C00">
        <w:rPr>
          <w:sz w:val="24"/>
          <w:szCs w:val="24"/>
        </w:rPr>
        <w:t xml:space="preserve"> pr. ml.</w:t>
      </w:r>
    </w:p>
    <w:p w14:paraId="2F087517" w14:textId="77777777" w:rsidR="00961187" w:rsidRPr="00116C00" w:rsidRDefault="00961187" w:rsidP="00A41915">
      <w:pPr>
        <w:pStyle w:val="Brdtekst"/>
        <w:ind w:left="851"/>
        <w:rPr>
          <w:i w:val="0"/>
          <w:iCs/>
          <w:color w:val="auto"/>
          <w:sz w:val="24"/>
          <w:szCs w:val="24"/>
        </w:rPr>
      </w:pPr>
    </w:p>
    <w:p w14:paraId="7280C04E" w14:textId="77777777" w:rsidR="00961187" w:rsidRPr="00116C00" w:rsidRDefault="00961187" w:rsidP="00A41915">
      <w:pPr>
        <w:ind w:left="851"/>
        <w:rPr>
          <w:sz w:val="24"/>
          <w:szCs w:val="24"/>
        </w:rPr>
      </w:pPr>
      <w:r w:rsidRPr="00116C00">
        <w:rPr>
          <w:sz w:val="24"/>
          <w:szCs w:val="24"/>
        </w:rPr>
        <w:t>Alle hjælpestoffer er anført under pkt. 6.1.</w:t>
      </w:r>
    </w:p>
    <w:p w14:paraId="30F5C72E" w14:textId="77777777" w:rsidR="009260DE" w:rsidRPr="00116C00" w:rsidRDefault="009260DE" w:rsidP="009260DE">
      <w:pPr>
        <w:tabs>
          <w:tab w:val="left" w:pos="851"/>
        </w:tabs>
        <w:ind w:left="851"/>
        <w:rPr>
          <w:sz w:val="24"/>
          <w:szCs w:val="24"/>
        </w:rPr>
      </w:pPr>
    </w:p>
    <w:p w14:paraId="5FE7020E" w14:textId="77777777" w:rsidR="009260DE" w:rsidRPr="00116C00" w:rsidRDefault="009260DE" w:rsidP="009260DE">
      <w:pPr>
        <w:tabs>
          <w:tab w:val="left" w:pos="851"/>
        </w:tabs>
        <w:ind w:left="851" w:hanging="851"/>
        <w:rPr>
          <w:b/>
          <w:sz w:val="24"/>
          <w:szCs w:val="24"/>
        </w:rPr>
      </w:pPr>
      <w:r w:rsidRPr="00116C00">
        <w:rPr>
          <w:b/>
          <w:sz w:val="24"/>
          <w:szCs w:val="24"/>
        </w:rPr>
        <w:t>3.</w:t>
      </w:r>
      <w:r w:rsidRPr="00116C00">
        <w:rPr>
          <w:b/>
          <w:sz w:val="24"/>
          <w:szCs w:val="24"/>
        </w:rPr>
        <w:tab/>
        <w:t>LÆGEMIDDELFORM</w:t>
      </w:r>
    </w:p>
    <w:p w14:paraId="7048D1BF" w14:textId="77777777" w:rsidR="00961187" w:rsidRPr="00116C00" w:rsidRDefault="00961187" w:rsidP="00A41915">
      <w:pPr>
        <w:ind w:left="851"/>
        <w:rPr>
          <w:sz w:val="24"/>
          <w:szCs w:val="24"/>
        </w:rPr>
      </w:pPr>
      <w:r w:rsidRPr="00116C00">
        <w:rPr>
          <w:sz w:val="24"/>
          <w:szCs w:val="24"/>
        </w:rPr>
        <w:t xml:space="preserve">Inhalationsvæske til </w:t>
      </w:r>
      <w:proofErr w:type="spellStart"/>
      <w:r w:rsidRPr="00116C00">
        <w:rPr>
          <w:sz w:val="24"/>
          <w:szCs w:val="24"/>
        </w:rPr>
        <w:t>nebulisator</w:t>
      </w:r>
      <w:proofErr w:type="spellEnd"/>
      <w:r w:rsidRPr="00116C00">
        <w:rPr>
          <w:sz w:val="24"/>
          <w:szCs w:val="24"/>
        </w:rPr>
        <w:t>, opløsning</w:t>
      </w:r>
    </w:p>
    <w:p w14:paraId="34A37510" w14:textId="77777777" w:rsidR="00961187" w:rsidRPr="00116C00" w:rsidRDefault="00961187" w:rsidP="00A41915">
      <w:pPr>
        <w:ind w:left="851"/>
        <w:rPr>
          <w:sz w:val="24"/>
          <w:szCs w:val="24"/>
        </w:rPr>
      </w:pPr>
      <w:r w:rsidRPr="00116C00">
        <w:rPr>
          <w:sz w:val="24"/>
          <w:szCs w:val="24"/>
        </w:rPr>
        <w:t>Klar, farveløs eller næsten farveløs opløsning.</w:t>
      </w:r>
    </w:p>
    <w:p w14:paraId="01F9C885" w14:textId="77777777" w:rsidR="009260DE" w:rsidRPr="00116C00" w:rsidRDefault="009260DE" w:rsidP="009260DE">
      <w:pPr>
        <w:tabs>
          <w:tab w:val="left" w:pos="851"/>
        </w:tabs>
        <w:ind w:left="851"/>
        <w:rPr>
          <w:sz w:val="24"/>
          <w:szCs w:val="24"/>
        </w:rPr>
      </w:pPr>
    </w:p>
    <w:p w14:paraId="668E3F13" w14:textId="77777777" w:rsidR="009260DE" w:rsidRPr="00116C00" w:rsidRDefault="009260DE" w:rsidP="009260DE">
      <w:pPr>
        <w:tabs>
          <w:tab w:val="left" w:pos="851"/>
        </w:tabs>
        <w:ind w:left="851"/>
        <w:rPr>
          <w:sz w:val="24"/>
          <w:szCs w:val="24"/>
        </w:rPr>
      </w:pPr>
    </w:p>
    <w:p w14:paraId="7A16B4E9" w14:textId="77777777" w:rsidR="009260DE" w:rsidRPr="00116C00" w:rsidRDefault="009260DE" w:rsidP="009260DE">
      <w:pPr>
        <w:tabs>
          <w:tab w:val="left" w:pos="851"/>
        </w:tabs>
        <w:ind w:left="851" w:hanging="851"/>
        <w:rPr>
          <w:b/>
          <w:sz w:val="24"/>
          <w:szCs w:val="24"/>
        </w:rPr>
      </w:pPr>
      <w:r w:rsidRPr="00116C00">
        <w:rPr>
          <w:b/>
          <w:sz w:val="24"/>
          <w:szCs w:val="24"/>
        </w:rPr>
        <w:t>4.</w:t>
      </w:r>
      <w:r w:rsidRPr="00116C00">
        <w:rPr>
          <w:b/>
          <w:sz w:val="24"/>
          <w:szCs w:val="24"/>
        </w:rPr>
        <w:tab/>
        <w:t>KLINISKE OPLYSNINGER</w:t>
      </w:r>
    </w:p>
    <w:p w14:paraId="54274CE6" w14:textId="77777777" w:rsidR="009260DE" w:rsidRPr="00116C00" w:rsidRDefault="009260DE" w:rsidP="009260DE">
      <w:pPr>
        <w:tabs>
          <w:tab w:val="left" w:pos="851"/>
        </w:tabs>
        <w:ind w:left="851"/>
        <w:rPr>
          <w:b/>
          <w:sz w:val="24"/>
          <w:szCs w:val="24"/>
        </w:rPr>
      </w:pPr>
    </w:p>
    <w:p w14:paraId="02BDEFF2" w14:textId="77777777" w:rsidR="009260DE" w:rsidRPr="00116C00" w:rsidRDefault="009260DE" w:rsidP="009260DE">
      <w:pPr>
        <w:tabs>
          <w:tab w:val="left" w:pos="851"/>
        </w:tabs>
        <w:ind w:left="851" w:hanging="851"/>
        <w:rPr>
          <w:b/>
          <w:sz w:val="24"/>
          <w:szCs w:val="24"/>
          <w:u w:val="single"/>
        </w:rPr>
      </w:pPr>
      <w:r w:rsidRPr="00116C00">
        <w:rPr>
          <w:b/>
          <w:sz w:val="24"/>
          <w:szCs w:val="24"/>
        </w:rPr>
        <w:t>4.1</w:t>
      </w:r>
      <w:r w:rsidRPr="00116C00">
        <w:rPr>
          <w:b/>
          <w:sz w:val="24"/>
          <w:szCs w:val="24"/>
        </w:rPr>
        <w:tab/>
        <w:t>Terapeutiske indikationer</w:t>
      </w:r>
    </w:p>
    <w:p w14:paraId="79AAAF2F" w14:textId="32E5E61C" w:rsidR="00961187" w:rsidRPr="00116C00" w:rsidRDefault="003456A9" w:rsidP="00A41915">
      <w:pPr>
        <w:shd w:val="clear" w:color="auto" w:fill="FFFFFF"/>
        <w:ind w:left="851"/>
        <w:rPr>
          <w:sz w:val="24"/>
          <w:szCs w:val="24"/>
        </w:rPr>
      </w:pPr>
      <w:bookmarkStart w:id="1" w:name="_Hlk126146958"/>
      <w:proofErr w:type="spellStart"/>
      <w:r>
        <w:rPr>
          <w:sz w:val="24"/>
          <w:szCs w:val="24"/>
        </w:rPr>
        <w:t>Ipratropiumbromid</w:t>
      </w:r>
      <w:proofErr w:type="spellEnd"/>
      <w:r>
        <w:rPr>
          <w:sz w:val="24"/>
          <w:szCs w:val="24"/>
        </w:rPr>
        <w:t>/</w:t>
      </w:r>
      <w:proofErr w:type="spellStart"/>
      <w:r>
        <w:rPr>
          <w:sz w:val="24"/>
          <w:szCs w:val="24"/>
        </w:rPr>
        <w:t>Salbutamol</w:t>
      </w:r>
      <w:proofErr w:type="spellEnd"/>
      <w:r>
        <w:rPr>
          <w:sz w:val="24"/>
          <w:szCs w:val="24"/>
        </w:rPr>
        <w:t xml:space="preserve"> "</w:t>
      </w:r>
      <w:proofErr w:type="spellStart"/>
      <w:r>
        <w:rPr>
          <w:sz w:val="24"/>
          <w:szCs w:val="24"/>
        </w:rPr>
        <w:t>Neutec</w:t>
      </w:r>
      <w:proofErr w:type="spellEnd"/>
      <w:r>
        <w:rPr>
          <w:sz w:val="24"/>
          <w:szCs w:val="24"/>
        </w:rPr>
        <w:t>"</w:t>
      </w:r>
      <w:r w:rsidR="00961187" w:rsidRPr="00116C00">
        <w:rPr>
          <w:sz w:val="24"/>
          <w:szCs w:val="24"/>
        </w:rPr>
        <w:t xml:space="preserve"> er indiceret til symptomatisk behandling af </w:t>
      </w:r>
      <w:proofErr w:type="spellStart"/>
      <w:r w:rsidR="00961187" w:rsidRPr="00116C00">
        <w:rPr>
          <w:sz w:val="24"/>
          <w:szCs w:val="24"/>
        </w:rPr>
        <w:t>bronkospasme</w:t>
      </w:r>
      <w:proofErr w:type="spellEnd"/>
      <w:r w:rsidR="00961187" w:rsidRPr="00116C00">
        <w:rPr>
          <w:sz w:val="24"/>
          <w:szCs w:val="24"/>
        </w:rPr>
        <w:t xml:space="preserve"> hos voksne og unge patienter over 12 år med kronisk obstruktiv lungesygdom, som har behov for behandling med både </w:t>
      </w:r>
      <w:proofErr w:type="spellStart"/>
      <w:r w:rsidR="00961187" w:rsidRPr="00116C00">
        <w:rPr>
          <w:sz w:val="24"/>
          <w:szCs w:val="24"/>
        </w:rPr>
        <w:t>ipratropiumbromid</w:t>
      </w:r>
      <w:proofErr w:type="spellEnd"/>
      <w:r w:rsidR="00961187" w:rsidRPr="00116C00">
        <w:rPr>
          <w:sz w:val="24"/>
          <w:szCs w:val="24"/>
        </w:rPr>
        <w:t xml:space="preserve"> og </w:t>
      </w:r>
      <w:proofErr w:type="spellStart"/>
      <w:r w:rsidR="00961187" w:rsidRPr="00116C00">
        <w:rPr>
          <w:sz w:val="24"/>
          <w:szCs w:val="24"/>
        </w:rPr>
        <w:t>salbutamol</w:t>
      </w:r>
      <w:proofErr w:type="spellEnd"/>
      <w:r w:rsidR="00961187" w:rsidRPr="00116C00">
        <w:rPr>
          <w:sz w:val="24"/>
          <w:szCs w:val="24"/>
        </w:rPr>
        <w:t>.</w:t>
      </w:r>
      <w:bookmarkEnd w:id="1"/>
    </w:p>
    <w:p w14:paraId="71EC9275" w14:textId="77777777" w:rsidR="009260DE" w:rsidRPr="00116C00" w:rsidRDefault="009260DE" w:rsidP="009260DE">
      <w:pPr>
        <w:tabs>
          <w:tab w:val="left" w:pos="851"/>
        </w:tabs>
        <w:ind w:left="851"/>
        <w:rPr>
          <w:sz w:val="24"/>
          <w:szCs w:val="24"/>
        </w:rPr>
      </w:pPr>
    </w:p>
    <w:p w14:paraId="1BBB8479" w14:textId="77777777" w:rsidR="009260DE" w:rsidRPr="00116C00" w:rsidRDefault="009260DE" w:rsidP="009260DE">
      <w:pPr>
        <w:tabs>
          <w:tab w:val="left" w:pos="851"/>
        </w:tabs>
        <w:ind w:left="851" w:hanging="851"/>
        <w:rPr>
          <w:b/>
          <w:sz w:val="24"/>
          <w:szCs w:val="24"/>
        </w:rPr>
      </w:pPr>
      <w:r w:rsidRPr="00116C00">
        <w:rPr>
          <w:b/>
          <w:sz w:val="24"/>
          <w:szCs w:val="24"/>
        </w:rPr>
        <w:t>4.2</w:t>
      </w:r>
      <w:r w:rsidRPr="00116C00">
        <w:rPr>
          <w:b/>
          <w:sz w:val="24"/>
          <w:szCs w:val="24"/>
        </w:rPr>
        <w:tab/>
        <w:t xml:space="preserve">Dosering og </w:t>
      </w:r>
      <w:r w:rsidR="002C1EC0" w:rsidRPr="00116C00">
        <w:rPr>
          <w:b/>
          <w:sz w:val="24"/>
          <w:szCs w:val="24"/>
        </w:rPr>
        <w:t>administration</w:t>
      </w:r>
    </w:p>
    <w:p w14:paraId="2CA8CBE6" w14:textId="77777777" w:rsidR="00961187" w:rsidRPr="00116C00" w:rsidRDefault="00961187" w:rsidP="00961187">
      <w:pPr>
        <w:ind w:left="567" w:hanging="567"/>
        <w:rPr>
          <w:sz w:val="24"/>
          <w:szCs w:val="24"/>
        </w:rPr>
      </w:pPr>
    </w:p>
    <w:p w14:paraId="62A2FE8F" w14:textId="77777777" w:rsidR="00961187" w:rsidRPr="00116C00" w:rsidRDefault="00961187" w:rsidP="00A41915">
      <w:pPr>
        <w:ind w:left="851"/>
        <w:rPr>
          <w:sz w:val="24"/>
          <w:szCs w:val="24"/>
          <w:u w:val="single"/>
        </w:rPr>
      </w:pPr>
      <w:r w:rsidRPr="00116C00">
        <w:rPr>
          <w:sz w:val="24"/>
          <w:szCs w:val="24"/>
          <w:u w:val="single"/>
        </w:rPr>
        <w:t>Dosering</w:t>
      </w:r>
    </w:p>
    <w:p w14:paraId="220CA325" w14:textId="77777777" w:rsidR="00961187" w:rsidRPr="00116C00" w:rsidRDefault="00961187" w:rsidP="00A41915">
      <w:pPr>
        <w:ind w:left="851"/>
        <w:rPr>
          <w:sz w:val="24"/>
          <w:szCs w:val="24"/>
        </w:rPr>
      </w:pPr>
    </w:p>
    <w:p w14:paraId="59DB8B32" w14:textId="77777777" w:rsidR="00961187" w:rsidRPr="00116C00" w:rsidRDefault="00961187" w:rsidP="00A41915">
      <w:pPr>
        <w:ind w:left="851"/>
        <w:rPr>
          <w:sz w:val="24"/>
          <w:szCs w:val="24"/>
        </w:rPr>
      </w:pPr>
      <w:r w:rsidRPr="00116C00">
        <w:rPr>
          <w:sz w:val="24"/>
          <w:szCs w:val="24"/>
        </w:rPr>
        <w:t>Anbefalet dosis til voksne (herunder ældre) og unge patienter over 12 år:</w:t>
      </w:r>
    </w:p>
    <w:p w14:paraId="5677E550" w14:textId="77777777" w:rsidR="00961187" w:rsidRPr="00116C00" w:rsidRDefault="00961187" w:rsidP="00A41915">
      <w:pPr>
        <w:ind w:left="851"/>
        <w:rPr>
          <w:sz w:val="24"/>
          <w:szCs w:val="24"/>
        </w:rPr>
      </w:pPr>
      <w:r w:rsidRPr="00116C00">
        <w:rPr>
          <w:sz w:val="24"/>
          <w:szCs w:val="24"/>
        </w:rPr>
        <w:t xml:space="preserve">1 enkeltdosisbeholder inhaleret via </w:t>
      </w:r>
      <w:proofErr w:type="spellStart"/>
      <w:r w:rsidRPr="00116C00">
        <w:rPr>
          <w:sz w:val="24"/>
          <w:szCs w:val="24"/>
        </w:rPr>
        <w:t>nebulisator</w:t>
      </w:r>
      <w:proofErr w:type="spellEnd"/>
      <w:r w:rsidRPr="00116C00">
        <w:rPr>
          <w:sz w:val="24"/>
          <w:szCs w:val="24"/>
        </w:rPr>
        <w:t xml:space="preserve"> tre-fire gange dagligt.</w:t>
      </w:r>
    </w:p>
    <w:p w14:paraId="50A51A55" w14:textId="6888E91A" w:rsidR="006D4893" w:rsidRDefault="006D4893">
      <w:pPr>
        <w:rPr>
          <w:sz w:val="24"/>
          <w:szCs w:val="24"/>
        </w:rPr>
      </w:pPr>
      <w:r>
        <w:rPr>
          <w:sz w:val="24"/>
          <w:szCs w:val="24"/>
        </w:rPr>
        <w:br w:type="page"/>
      </w:r>
    </w:p>
    <w:p w14:paraId="6763809B" w14:textId="77777777" w:rsidR="00961187" w:rsidRPr="00116C00" w:rsidRDefault="00961187" w:rsidP="00A41915">
      <w:pPr>
        <w:ind w:left="851"/>
        <w:rPr>
          <w:sz w:val="24"/>
          <w:szCs w:val="24"/>
        </w:rPr>
      </w:pPr>
    </w:p>
    <w:p w14:paraId="68F01AC6" w14:textId="77777777" w:rsidR="00961187" w:rsidRPr="00116C00" w:rsidRDefault="00961187" w:rsidP="00A41915">
      <w:pPr>
        <w:ind w:left="851"/>
        <w:rPr>
          <w:i/>
          <w:sz w:val="24"/>
          <w:szCs w:val="24"/>
          <w:u w:val="single"/>
        </w:rPr>
      </w:pPr>
      <w:r w:rsidRPr="00116C00">
        <w:rPr>
          <w:i/>
          <w:sz w:val="24"/>
          <w:szCs w:val="24"/>
          <w:u w:val="single"/>
        </w:rPr>
        <w:t>Særlige patientgrupper</w:t>
      </w:r>
    </w:p>
    <w:p w14:paraId="5E400D59" w14:textId="77777777" w:rsidR="00961187" w:rsidRPr="00116C00" w:rsidRDefault="00961187" w:rsidP="00A41915">
      <w:pPr>
        <w:ind w:left="851"/>
        <w:rPr>
          <w:i/>
          <w:sz w:val="24"/>
          <w:szCs w:val="24"/>
        </w:rPr>
      </w:pPr>
      <w:r w:rsidRPr="00116C00">
        <w:rPr>
          <w:i/>
          <w:sz w:val="24"/>
          <w:szCs w:val="24"/>
        </w:rPr>
        <w:t>Patienter med nedsat lever- eller nyrefunktion</w:t>
      </w:r>
    </w:p>
    <w:p w14:paraId="5A4CECFE" w14:textId="77777777" w:rsidR="00961187" w:rsidRPr="00116C00" w:rsidRDefault="00961187" w:rsidP="00A41915">
      <w:pPr>
        <w:ind w:left="851"/>
        <w:rPr>
          <w:iCs/>
          <w:sz w:val="24"/>
          <w:szCs w:val="24"/>
        </w:rPr>
      </w:pP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er ikke undersøgt hos patienter med lever- eller nyreinsufficiens, og der skal derfor udvises forsigtighed ved administration hos disse patientgrupper.</w:t>
      </w:r>
    </w:p>
    <w:p w14:paraId="542CA80F" w14:textId="77777777" w:rsidR="00961187" w:rsidRPr="00116C00" w:rsidRDefault="00961187" w:rsidP="00A41915">
      <w:pPr>
        <w:ind w:left="851"/>
        <w:rPr>
          <w:sz w:val="24"/>
          <w:szCs w:val="24"/>
        </w:rPr>
      </w:pPr>
    </w:p>
    <w:p w14:paraId="503834D8" w14:textId="77777777" w:rsidR="00961187" w:rsidRPr="00116C00" w:rsidRDefault="00961187" w:rsidP="00A41915">
      <w:pPr>
        <w:ind w:left="851"/>
        <w:rPr>
          <w:bCs/>
          <w:i/>
          <w:iCs/>
          <w:sz w:val="24"/>
          <w:szCs w:val="24"/>
        </w:rPr>
      </w:pPr>
      <w:r w:rsidRPr="00116C00">
        <w:rPr>
          <w:i/>
          <w:sz w:val="24"/>
          <w:szCs w:val="24"/>
        </w:rPr>
        <w:t>Pædiatrisk population</w:t>
      </w:r>
    </w:p>
    <w:p w14:paraId="175023CE" w14:textId="4347D769" w:rsidR="00961187" w:rsidRPr="00116C00" w:rsidRDefault="00961187" w:rsidP="00A41915">
      <w:pPr>
        <w:ind w:left="851"/>
        <w:rPr>
          <w:sz w:val="24"/>
          <w:szCs w:val="24"/>
        </w:rPr>
      </w:pPr>
      <w:r w:rsidRPr="00116C00">
        <w:rPr>
          <w:sz w:val="24"/>
          <w:szCs w:val="24"/>
        </w:rPr>
        <w:t xml:space="preserve">Virkningen og sikkerheden ved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hos børn under 12 år er ikke klarlagt, og derfor er </w:t>
      </w:r>
      <w:proofErr w:type="spellStart"/>
      <w:r w:rsidR="003456A9">
        <w:rPr>
          <w:sz w:val="24"/>
          <w:szCs w:val="24"/>
        </w:rPr>
        <w:t>Ipratropiumbromid</w:t>
      </w:r>
      <w:proofErr w:type="spellEnd"/>
      <w:r w:rsidR="003456A9">
        <w:rPr>
          <w:sz w:val="24"/>
          <w:szCs w:val="24"/>
        </w:rPr>
        <w:t>/</w:t>
      </w:r>
      <w:proofErr w:type="spellStart"/>
      <w:r w:rsidR="003456A9">
        <w:rPr>
          <w:sz w:val="24"/>
          <w:szCs w:val="24"/>
        </w:rPr>
        <w:t>Salbutamol</w:t>
      </w:r>
      <w:proofErr w:type="spellEnd"/>
      <w:r w:rsidR="003456A9">
        <w:rPr>
          <w:sz w:val="24"/>
          <w:szCs w:val="24"/>
        </w:rPr>
        <w:t xml:space="preserve"> "</w:t>
      </w:r>
      <w:proofErr w:type="spellStart"/>
      <w:r w:rsidR="003456A9">
        <w:rPr>
          <w:sz w:val="24"/>
          <w:szCs w:val="24"/>
        </w:rPr>
        <w:t>Neutec</w:t>
      </w:r>
      <w:proofErr w:type="spellEnd"/>
      <w:r w:rsidR="003456A9">
        <w:rPr>
          <w:sz w:val="24"/>
          <w:szCs w:val="24"/>
        </w:rPr>
        <w:t>"</w:t>
      </w:r>
      <w:r w:rsidRPr="00116C00">
        <w:rPr>
          <w:sz w:val="24"/>
          <w:szCs w:val="24"/>
        </w:rPr>
        <w:t xml:space="preserve"> ikke beregnet til brug hos denne patientgruppe.</w:t>
      </w:r>
    </w:p>
    <w:p w14:paraId="787A476F" w14:textId="77777777" w:rsidR="00961187" w:rsidRPr="00116C00" w:rsidRDefault="00961187" w:rsidP="00A41915">
      <w:pPr>
        <w:ind w:left="851"/>
        <w:rPr>
          <w:sz w:val="24"/>
          <w:szCs w:val="24"/>
        </w:rPr>
      </w:pPr>
    </w:p>
    <w:p w14:paraId="061376F9" w14:textId="77777777" w:rsidR="00961187" w:rsidRPr="00116C00" w:rsidRDefault="00961187" w:rsidP="00A41915">
      <w:pPr>
        <w:ind w:left="851"/>
        <w:rPr>
          <w:iCs/>
          <w:sz w:val="24"/>
          <w:szCs w:val="24"/>
        </w:rPr>
      </w:pPr>
      <w:r w:rsidRPr="003456A9">
        <w:rPr>
          <w:sz w:val="24"/>
          <w:szCs w:val="24"/>
        </w:rPr>
        <w:t>Hvis det er nødvendigt at administrere højere doser end den anbefalede for at opnå god virkning, skal patientens generelle behandling gennemgås af en læge</w:t>
      </w:r>
      <w:r w:rsidRPr="00116C00">
        <w:rPr>
          <w:i/>
          <w:sz w:val="24"/>
          <w:szCs w:val="24"/>
        </w:rPr>
        <w:t>.</w:t>
      </w:r>
    </w:p>
    <w:p w14:paraId="33C7D57F" w14:textId="77777777" w:rsidR="00961187" w:rsidRPr="00116C00" w:rsidRDefault="00961187" w:rsidP="00A41915">
      <w:pPr>
        <w:ind w:left="851"/>
        <w:rPr>
          <w:sz w:val="24"/>
          <w:szCs w:val="24"/>
        </w:rPr>
      </w:pPr>
    </w:p>
    <w:p w14:paraId="145634F8" w14:textId="77777777" w:rsidR="00961187" w:rsidRPr="003456A9" w:rsidRDefault="00961187" w:rsidP="00A41915">
      <w:pPr>
        <w:ind w:left="851"/>
        <w:rPr>
          <w:sz w:val="24"/>
          <w:szCs w:val="24"/>
          <w:u w:val="single"/>
        </w:rPr>
      </w:pPr>
      <w:r w:rsidRPr="003456A9">
        <w:rPr>
          <w:sz w:val="24"/>
          <w:szCs w:val="24"/>
          <w:u w:val="single"/>
        </w:rPr>
        <w:t>Administration</w:t>
      </w:r>
    </w:p>
    <w:p w14:paraId="4A3ABAAD" w14:textId="77777777" w:rsidR="00961187" w:rsidRPr="00116C00" w:rsidRDefault="00961187" w:rsidP="00A41915">
      <w:pPr>
        <w:ind w:left="851"/>
        <w:rPr>
          <w:spacing w:val="1"/>
          <w:sz w:val="24"/>
          <w:szCs w:val="24"/>
        </w:rPr>
      </w:pPr>
    </w:p>
    <w:p w14:paraId="4A185B9C" w14:textId="77777777" w:rsidR="00961187" w:rsidRPr="00116C00" w:rsidRDefault="00961187" w:rsidP="00A41915">
      <w:pPr>
        <w:ind w:left="851"/>
        <w:rPr>
          <w:spacing w:val="1"/>
          <w:sz w:val="24"/>
          <w:szCs w:val="24"/>
        </w:rPr>
      </w:pPr>
      <w:r w:rsidRPr="00116C00">
        <w:rPr>
          <w:sz w:val="24"/>
          <w:szCs w:val="24"/>
        </w:rPr>
        <w:t>Til inhalation.</w:t>
      </w:r>
    </w:p>
    <w:p w14:paraId="237F4491" w14:textId="77777777" w:rsidR="00961187" w:rsidRPr="00116C00" w:rsidRDefault="00961187" w:rsidP="00A41915">
      <w:pPr>
        <w:ind w:left="851"/>
        <w:rPr>
          <w:spacing w:val="1"/>
          <w:sz w:val="24"/>
          <w:szCs w:val="24"/>
        </w:rPr>
      </w:pPr>
    </w:p>
    <w:p w14:paraId="647640CC" w14:textId="761B04A4" w:rsidR="00961187" w:rsidRPr="00116C00" w:rsidRDefault="00961187" w:rsidP="00A41915">
      <w:pPr>
        <w:ind w:left="851"/>
        <w:rPr>
          <w:sz w:val="24"/>
          <w:szCs w:val="24"/>
        </w:rPr>
      </w:pPr>
      <w:r w:rsidRPr="00116C00">
        <w:rPr>
          <w:sz w:val="24"/>
          <w:szCs w:val="24"/>
        </w:rPr>
        <w:t xml:space="preserve">Ved brug af </w:t>
      </w:r>
      <w:proofErr w:type="spellStart"/>
      <w:r w:rsidR="003456A9">
        <w:rPr>
          <w:sz w:val="24"/>
          <w:szCs w:val="24"/>
        </w:rPr>
        <w:t>Ipratropiumbromid</w:t>
      </w:r>
      <w:proofErr w:type="spellEnd"/>
      <w:r w:rsidR="003456A9">
        <w:rPr>
          <w:sz w:val="24"/>
          <w:szCs w:val="24"/>
        </w:rPr>
        <w:t>/</w:t>
      </w:r>
      <w:proofErr w:type="spellStart"/>
      <w:r w:rsidR="003456A9">
        <w:rPr>
          <w:sz w:val="24"/>
          <w:szCs w:val="24"/>
        </w:rPr>
        <w:t>Salbutamol</w:t>
      </w:r>
      <w:proofErr w:type="spellEnd"/>
      <w:r w:rsidR="003456A9">
        <w:rPr>
          <w:sz w:val="24"/>
          <w:szCs w:val="24"/>
        </w:rPr>
        <w:t xml:space="preserve"> "</w:t>
      </w:r>
      <w:proofErr w:type="spellStart"/>
      <w:r w:rsidR="003456A9">
        <w:rPr>
          <w:sz w:val="24"/>
          <w:szCs w:val="24"/>
        </w:rPr>
        <w:t>Neutec</w:t>
      </w:r>
      <w:proofErr w:type="spellEnd"/>
      <w:r w:rsidR="003456A9">
        <w:rPr>
          <w:sz w:val="24"/>
          <w:szCs w:val="24"/>
        </w:rPr>
        <w:t>"</w:t>
      </w:r>
      <w:r w:rsidRPr="00116C00">
        <w:rPr>
          <w:sz w:val="24"/>
          <w:szCs w:val="24"/>
        </w:rPr>
        <w:t xml:space="preserve"> følges disse fem enkle trin:</w:t>
      </w:r>
    </w:p>
    <w:p w14:paraId="27A0AEF3" w14:textId="77777777" w:rsidR="00961187" w:rsidRPr="00116C00" w:rsidRDefault="00961187" w:rsidP="00961187">
      <w:pPr>
        <w:rPr>
          <w:sz w:val="24"/>
          <w:szCs w:val="24"/>
        </w:rPr>
      </w:pPr>
    </w:p>
    <w:p w14:paraId="5A6455C6" w14:textId="77777777" w:rsidR="00961187" w:rsidRPr="003456A9" w:rsidRDefault="00961187" w:rsidP="003456A9">
      <w:pPr>
        <w:pStyle w:val="Listeafsnit"/>
        <w:numPr>
          <w:ilvl w:val="0"/>
          <w:numId w:val="8"/>
        </w:numPr>
        <w:tabs>
          <w:tab w:val="clear" w:pos="567"/>
        </w:tabs>
        <w:ind w:left="1276" w:hanging="425"/>
        <w:rPr>
          <w:sz w:val="24"/>
          <w:szCs w:val="24"/>
        </w:rPr>
      </w:pPr>
      <w:proofErr w:type="spellStart"/>
      <w:r w:rsidRPr="003456A9">
        <w:rPr>
          <w:sz w:val="24"/>
          <w:szCs w:val="24"/>
        </w:rPr>
        <w:t>Nebulisatoren</w:t>
      </w:r>
      <w:proofErr w:type="spellEnd"/>
      <w:r w:rsidRPr="003456A9">
        <w:rPr>
          <w:sz w:val="24"/>
          <w:szCs w:val="24"/>
        </w:rPr>
        <w:t xml:space="preserve"> klargøres til brug i henhold til brugervejledningen fra fremstilleren.</w:t>
      </w:r>
    </w:p>
    <w:p w14:paraId="563B814B" w14:textId="77777777" w:rsidR="00961187" w:rsidRPr="003456A9" w:rsidRDefault="00961187" w:rsidP="003456A9">
      <w:pPr>
        <w:pStyle w:val="Listeafsnit"/>
        <w:numPr>
          <w:ilvl w:val="0"/>
          <w:numId w:val="8"/>
        </w:numPr>
        <w:tabs>
          <w:tab w:val="clear" w:pos="567"/>
        </w:tabs>
        <w:ind w:left="1276" w:hanging="425"/>
        <w:rPr>
          <w:sz w:val="24"/>
          <w:szCs w:val="24"/>
        </w:rPr>
      </w:pPr>
      <w:r w:rsidRPr="003456A9">
        <w:rPr>
          <w:sz w:val="24"/>
          <w:szCs w:val="24"/>
        </w:rPr>
        <w:t>Posen åbnes, og en enkeltdosisbeholder tages fra strimlen.</w:t>
      </w:r>
    </w:p>
    <w:p w14:paraId="43DBF775" w14:textId="77777777" w:rsidR="00961187" w:rsidRPr="003456A9" w:rsidRDefault="00961187" w:rsidP="003456A9">
      <w:pPr>
        <w:pStyle w:val="Listeafsnit"/>
        <w:numPr>
          <w:ilvl w:val="0"/>
          <w:numId w:val="8"/>
        </w:numPr>
        <w:tabs>
          <w:tab w:val="clear" w:pos="567"/>
        </w:tabs>
        <w:ind w:left="1276" w:hanging="425"/>
        <w:rPr>
          <w:sz w:val="24"/>
          <w:szCs w:val="24"/>
        </w:rPr>
      </w:pPr>
      <w:r w:rsidRPr="003456A9">
        <w:rPr>
          <w:sz w:val="24"/>
          <w:szCs w:val="24"/>
        </w:rPr>
        <w:t>Toppen tages af ampullen.</w:t>
      </w:r>
    </w:p>
    <w:p w14:paraId="68B11BD8" w14:textId="77777777" w:rsidR="00961187" w:rsidRPr="003456A9" w:rsidRDefault="00961187" w:rsidP="003456A9">
      <w:pPr>
        <w:pStyle w:val="Listeafsnit"/>
        <w:numPr>
          <w:ilvl w:val="0"/>
          <w:numId w:val="8"/>
        </w:numPr>
        <w:tabs>
          <w:tab w:val="clear" w:pos="567"/>
        </w:tabs>
        <w:ind w:left="1276" w:hanging="425"/>
        <w:rPr>
          <w:sz w:val="24"/>
          <w:szCs w:val="24"/>
        </w:rPr>
      </w:pPr>
      <w:r w:rsidRPr="003456A9">
        <w:rPr>
          <w:sz w:val="24"/>
          <w:szCs w:val="24"/>
        </w:rPr>
        <w:t xml:space="preserve">Ampullens indhold tømmes ned i </w:t>
      </w:r>
      <w:proofErr w:type="spellStart"/>
      <w:r w:rsidRPr="003456A9">
        <w:rPr>
          <w:sz w:val="24"/>
          <w:szCs w:val="24"/>
        </w:rPr>
        <w:t>nebulisatorkammeret</w:t>
      </w:r>
      <w:proofErr w:type="spellEnd"/>
      <w:r w:rsidRPr="003456A9">
        <w:rPr>
          <w:sz w:val="24"/>
          <w:szCs w:val="24"/>
        </w:rPr>
        <w:t xml:space="preserve"> ved at klemme forsigtigt.</w:t>
      </w:r>
    </w:p>
    <w:p w14:paraId="6D860D3A" w14:textId="77777777" w:rsidR="00961187" w:rsidRPr="003456A9" w:rsidRDefault="00961187" w:rsidP="003456A9">
      <w:pPr>
        <w:pStyle w:val="Listeafsnit"/>
        <w:numPr>
          <w:ilvl w:val="0"/>
          <w:numId w:val="8"/>
        </w:numPr>
        <w:tabs>
          <w:tab w:val="clear" w:pos="567"/>
        </w:tabs>
        <w:ind w:left="1276" w:hanging="425"/>
        <w:rPr>
          <w:sz w:val="24"/>
          <w:szCs w:val="24"/>
        </w:rPr>
      </w:pPr>
      <w:r w:rsidRPr="003456A9">
        <w:rPr>
          <w:sz w:val="24"/>
          <w:szCs w:val="24"/>
        </w:rPr>
        <w:t>Patienten inhalerer den forstøvede opløsning gennem mundstykket/</w:t>
      </w:r>
      <w:proofErr w:type="spellStart"/>
      <w:r w:rsidRPr="003456A9">
        <w:rPr>
          <w:sz w:val="24"/>
          <w:szCs w:val="24"/>
        </w:rPr>
        <w:t>nebulisatormasken</w:t>
      </w:r>
      <w:proofErr w:type="spellEnd"/>
      <w:r w:rsidRPr="003456A9">
        <w:rPr>
          <w:sz w:val="24"/>
          <w:szCs w:val="24"/>
        </w:rPr>
        <w:t xml:space="preserve"> med rolige og regelmæssige åndedrag.</w:t>
      </w:r>
    </w:p>
    <w:p w14:paraId="4AB64927" w14:textId="35546F67" w:rsidR="00961187" w:rsidRPr="00116C00" w:rsidRDefault="003456A9" w:rsidP="00A41915">
      <w:pPr>
        <w:ind w:left="851"/>
        <w:rPr>
          <w:sz w:val="24"/>
          <w:szCs w:val="24"/>
        </w:rPr>
      </w:pPr>
      <w:proofErr w:type="spellStart"/>
      <w:r>
        <w:rPr>
          <w:sz w:val="24"/>
          <w:szCs w:val="24"/>
        </w:rPr>
        <w:t>Ipratropiumbromid</w:t>
      </w:r>
      <w:proofErr w:type="spellEnd"/>
      <w:r>
        <w:rPr>
          <w:sz w:val="24"/>
          <w:szCs w:val="24"/>
        </w:rPr>
        <w:t>/</w:t>
      </w:r>
      <w:proofErr w:type="spellStart"/>
      <w:r>
        <w:rPr>
          <w:sz w:val="24"/>
          <w:szCs w:val="24"/>
        </w:rPr>
        <w:t>Salbutamol</w:t>
      </w:r>
      <w:proofErr w:type="spellEnd"/>
      <w:r>
        <w:rPr>
          <w:sz w:val="24"/>
          <w:szCs w:val="24"/>
        </w:rPr>
        <w:t xml:space="preserve"> "</w:t>
      </w:r>
      <w:proofErr w:type="spellStart"/>
      <w:r>
        <w:rPr>
          <w:sz w:val="24"/>
          <w:szCs w:val="24"/>
        </w:rPr>
        <w:t>Neutec</w:t>
      </w:r>
      <w:proofErr w:type="spellEnd"/>
      <w:r>
        <w:rPr>
          <w:sz w:val="24"/>
          <w:szCs w:val="24"/>
        </w:rPr>
        <w:t>"</w:t>
      </w:r>
      <w:r w:rsidR="00961187" w:rsidRPr="00116C00">
        <w:rPr>
          <w:sz w:val="24"/>
          <w:szCs w:val="24"/>
        </w:rPr>
        <w:t xml:space="preserve"> kan administreres gennem en egnet </w:t>
      </w:r>
      <w:proofErr w:type="spellStart"/>
      <w:r w:rsidR="00961187" w:rsidRPr="00116C00">
        <w:rPr>
          <w:sz w:val="24"/>
          <w:szCs w:val="24"/>
        </w:rPr>
        <w:t>nebulisator</w:t>
      </w:r>
      <w:proofErr w:type="spellEnd"/>
      <w:r w:rsidR="00961187" w:rsidRPr="00116C00">
        <w:rPr>
          <w:sz w:val="24"/>
          <w:szCs w:val="24"/>
        </w:rPr>
        <w:t xml:space="preserve">, f.eks. en </w:t>
      </w:r>
      <w:proofErr w:type="spellStart"/>
      <w:r w:rsidR="00961187" w:rsidRPr="00116C00">
        <w:rPr>
          <w:sz w:val="24"/>
          <w:szCs w:val="24"/>
        </w:rPr>
        <w:t>jetnebulisator</w:t>
      </w:r>
      <w:proofErr w:type="spellEnd"/>
      <w:r w:rsidR="00961187" w:rsidRPr="00116C00">
        <w:rPr>
          <w:sz w:val="24"/>
          <w:szCs w:val="24"/>
        </w:rPr>
        <w:t xml:space="preserve">, når en enkeltdosisampul er åbnet og indholdet overført til </w:t>
      </w:r>
      <w:proofErr w:type="spellStart"/>
      <w:r w:rsidR="00961187" w:rsidRPr="00116C00">
        <w:rPr>
          <w:sz w:val="24"/>
          <w:szCs w:val="24"/>
        </w:rPr>
        <w:t>nebulisatorkammeret</w:t>
      </w:r>
      <w:proofErr w:type="spellEnd"/>
      <w:r w:rsidR="00961187" w:rsidRPr="00116C00">
        <w:rPr>
          <w:sz w:val="24"/>
          <w:szCs w:val="24"/>
        </w:rPr>
        <w:t xml:space="preserve">. Brug af opløsningen til forstøvning er ikke begrænset til de givne eksempler, men kan også baseres på sundhedspersonens erfaring. For at få fuld vejledning i brug af </w:t>
      </w:r>
      <w:proofErr w:type="spellStart"/>
      <w:r w:rsidR="00961187" w:rsidRPr="00116C00">
        <w:rPr>
          <w:sz w:val="24"/>
          <w:szCs w:val="24"/>
        </w:rPr>
        <w:t>nebulisatoren</w:t>
      </w:r>
      <w:proofErr w:type="spellEnd"/>
      <w:r w:rsidR="00961187" w:rsidRPr="00116C00">
        <w:rPr>
          <w:sz w:val="24"/>
          <w:szCs w:val="24"/>
        </w:rPr>
        <w:t xml:space="preserve"> skal patienten opfordres til at læse indlægssedlen for den pågældende enhed omhyggeligt forud for inhalationen.</w:t>
      </w:r>
    </w:p>
    <w:p w14:paraId="4E214A57" w14:textId="77777777" w:rsidR="00961187" w:rsidRPr="00116C00" w:rsidRDefault="00961187" w:rsidP="00A41915">
      <w:pPr>
        <w:ind w:left="851"/>
        <w:rPr>
          <w:sz w:val="24"/>
          <w:szCs w:val="24"/>
        </w:rPr>
      </w:pPr>
    </w:p>
    <w:p w14:paraId="6E2DB808" w14:textId="77777777" w:rsidR="00961187" w:rsidRPr="00116C00" w:rsidRDefault="00961187" w:rsidP="00A41915">
      <w:pPr>
        <w:ind w:left="851"/>
        <w:rPr>
          <w:sz w:val="24"/>
          <w:szCs w:val="24"/>
        </w:rPr>
      </w:pPr>
      <w:r w:rsidRPr="00116C00">
        <w:rPr>
          <w:sz w:val="24"/>
          <w:szCs w:val="24"/>
        </w:rPr>
        <w:t xml:space="preserve">Karakteristikaene for frigivelse af aktivt stof er blevet undersøgt </w:t>
      </w:r>
      <w:r w:rsidRPr="00116C00">
        <w:rPr>
          <w:i/>
          <w:sz w:val="24"/>
          <w:szCs w:val="24"/>
        </w:rPr>
        <w:t xml:space="preserve">in </w:t>
      </w:r>
      <w:proofErr w:type="spellStart"/>
      <w:r w:rsidRPr="00116C00">
        <w:rPr>
          <w:i/>
          <w:sz w:val="24"/>
          <w:szCs w:val="24"/>
        </w:rPr>
        <w:t>vitro</w:t>
      </w:r>
      <w:proofErr w:type="spellEnd"/>
      <w:r w:rsidRPr="00116C00">
        <w:rPr>
          <w:sz w:val="24"/>
          <w:szCs w:val="24"/>
        </w:rPr>
        <w:t xml:space="preserve"> ved brug af en </w:t>
      </w:r>
      <w:proofErr w:type="spellStart"/>
      <w:r w:rsidRPr="00116C00">
        <w:rPr>
          <w:sz w:val="24"/>
          <w:szCs w:val="24"/>
        </w:rPr>
        <w:t>jetnebulisator</w:t>
      </w:r>
      <w:proofErr w:type="spellEnd"/>
      <w:r w:rsidRPr="00116C00">
        <w:rPr>
          <w:sz w:val="24"/>
          <w:szCs w:val="24"/>
        </w:rPr>
        <w:t>:</w:t>
      </w:r>
    </w:p>
    <w:p w14:paraId="6AF9EF3C" w14:textId="77777777" w:rsidR="00961187" w:rsidRPr="00116C00" w:rsidRDefault="00961187" w:rsidP="00A41915">
      <w:pPr>
        <w:ind w:left="851"/>
        <w:rPr>
          <w:spacing w:val="1"/>
          <w:sz w:val="24"/>
          <w:szCs w:val="24"/>
        </w:rPr>
      </w:pPr>
    </w:p>
    <w:tbl>
      <w:tblPr>
        <w:tblStyle w:val="Tabel-Gitter"/>
        <w:tblW w:w="5000" w:type="pct"/>
        <w:tblInd w:w="0" w:type="dxa"/>
        <w:tblLook w:val="04A0" w:firstRow="1" w:lastRow="0" w:firstColumn="1" w:lastColumn="0" w:noHBand="0" w:noVBand="1"/>
      </w:tblPr>
      <w:tblGrid>
        <w:gridCol w:w="1766"/>
        <w:gridCol w:w="1534"/>
        <w:gridCol w:w="2200"/>
        <w:gridCol w:w="2296"/>
        <w:gridCol w:w="1832"/>
      </w:tblGrid>
      <w:tr w:rsidR="00961187" w:rsidRPr="00116C00" w14:paraId="3409D338" w14:textId="77777777" w:rsidTr="00A41915">
        <w:tc>
          <w:tcPr>
            <w:tcW w:w="920" w:type="pct"/>
            <w:tcBorders>
              <w:top w:val="single" w:sz="4" w:space="0" w:color="auto"/>
              <w:left w:val="single" w:sz="4" w:space="0" w:color="auto"/>
              <w:bottom w:val="single" w:sz="4" w:space="0" w:color="auto"/>
              <w:right w:val="single" w:sz="4" w:space="0" w:color="auto"/>
            </w:tcBorders>
            <w:hideMark/>
          </w:tcPr>
          <w:p w14:paraId="115BB308" w14:textId="77777777" w:rsidR="00961187" w:rsidRPr="00116C00" w:rsidRDefault="00961187">
            <w:pPr>
              <w:tabs>
                <w:tab w:val="left" w:pos="1304"/>
              </w:tabs>
              <w:jc w:val="center"/>
              <w:rPr>
                <w:b/>
                <w:bCs/>
                <w:spacing w:val="1"/>
                <w:sz w:val="24"/>
                <w:szCs w:val="24"/>
              </w:rPr>
            </w:pPr>
            <w:proofErr w:type="spellStart"/>
            <w:r w:rsidRPr="00116C00">
              <w:rPr>
                <w:b/>
                <w:sz w:val="24"/>
                <w:szCs w:val="24"/>
              </w:rPr>
              <w:t>Nebulisator</w:t>
            </w:r>
            <w:proofErr w:type="spellEnd"/>
          </w:p>
        </w:tc>
        <w:tc>
          <w:tcPr>
            <w:tcW w:w="799" w:type="pct"/>
            <w:tcBorders>
              <w:top w:val="single" w:sz="4" w:space="0" w:color="auto"/>
              <w:left w:val="single" w:sz="4" w:space="0" w:color="auto"/>
              <w:bottom w:val="single" w:sz="4" w:space="0" w:color="auto"/>
              <w:right w:val="single" w:sz="4" w:space="0" w:color="auto"/>
            </w:tcBorders>
            <w:hideMark/>
          </w:tcPr>
          <w:p w14:paraId="05EFF27B" w14:textId="77777777" w:rsidR="00961187" w:rsidRPr="00116C00" w:rsidRDefault="00961187">
            <w:pPr>
              <w:tabs>
                <w:tab w:val="left" w:pos="1304"/>
              </w:tabs>
              <w:jc w:val="center"/>
              <w:rPr>
                <w:b/>
                <w:bCs/>
                <w:spacing w:val="1"/>
                <w:sz w:val="24"/>
                <w:szCs w:val="24"/>
              </w:rPr>
            </w:pPr>
            <w:r w:rsidRPr="00116C00">
              <w:rPr>
                <w:b/>
                <w:sz w:val="24"/>
                <w:szCs w:val="24"/>
              </w:rPr>
              <w:t>Aktivt stof</w:t>
            </w:r>
          </w:p>
        </w:tc>
        <w:tc>
          <w:tcPr>
            <w:tcW w:w="1145" w:type="pct"/>
            <w:tcBorders>
              <w:top w:val="single" w:sz="4" w:space="0" w:color="auto"/>
              <w:left w:val="single" w:sz="4" w:space="0" w:color="auto"/>
              <w:bottom w:val="single" w:sz="4" w:space="0" w:color="auto"/>
              <w:right w:val="single" w:sz="4" w:space="0" w:color="auto"/>
            </w:tcBorders>
            <w:hideMark/>
          </w:tcPr>
          <w:p w14:paraId="6136117A" w14:textId="77777777" w:rsidR="00961187" w:rsidRPr="00116C00" w:rsidRDefault="00961187">
            <w:pPr>
              <w:tabs>
                <w:tab w:val="left" w:pos="1304"/>
              </w:tabs>
              <w:jc w:val="center"/>
              <w:rPr>
                <w:b/>
                <w:bCs/>
                <w:spacing w:val="1"/>
                <w:sz w:val="24"/>
                <w:szCs w:val="24"/>
              </w:rPr>
            </w:pPr>
            <w:r w:rsidRPr="00116C00">
              <w:rPr>
                <w:b/>
                <w:sz w:val="24"/>
                <w:szCs w:val="24"/>
              </w:rPr>
              <w:t>Massemedian af den aerodynamiske diameter</w:t>
            </w:r>
          </w:p>
          <w:p w14:paraId="72496962" w14:textId="77777777" w:rsidR="00961187" w:rsidRPr="00116C00" w:rsidRDefault="00961187">
            <w:pPr>
              <w:tabs>
                <w:tab w:val="left" w:pos="1304"/>
              </w:tabs>
              <w:jc w:val="center"/>
              <w:rPr>
                <w:b/>
                <w:bCs/>
                <w:spacing w:val="1"/>
                <w:sz w:val="24"/>
                <w:szCs w:val="24"/>
              </w:rPr>
            </w:pPr>
            <w:r w:rsidRPr="00116C00">
              <w:rPr>
                <w:sz w:val="24"/>
                <w:szCs w:val="24"/>
              </w:rPr>
              <w:t>(mikrometer)</w:t>
            </w:r>
          </w:p>
        </w:tc>
        <w:tc>
          <w:tcPr>
            <w:tcW w:w="1182" w:type="pct"/>
            <w:tcBorders>
              <w:top w:val="single" w:sz="4" w:space="0" w:color="auto"/>
              <w:left w:val="single" w:sz="4" w:space="0" w:color="auto"/>
              <w:bottom w:val="single" w:sz="4" w:space="0" w:color="auto"/>
              <w:right w:val="single" w:sz="4" w:space="0" w:color="auto"/>
            </w:tcBorders>
            <w:hideMark/>
          </w:tcPr>
          <w:p w14:paraId="055CBC4E" w14:textId="77777777" w:rsidR="00961187" w:rsidRPr="00116C00" w:rsidRDefault="00961187">
            <w:pPr>
              <w:tabs>
                <w:tab w:val="left" w:pos="1304"/>
              </w:tabs>
              <w:jc w:val="center"/>
              <w:rPr>
                <w:b/>
                <w:bCs/>
                <w:spacing w:val="1"/>
                <w:sz w:val="24"/>
                <w:szCs w:val="24"/>
              </w:rPr>
            </w:pPr>
            <w:r w:rsidRPr="00116C00">
              <w:rPr>
                <w:b/>
                <w:sz w:val="24"/>
                <w:szCs w:val="24"/>
              </w:rPr>
              <w:t>Frigivelseshastighed for aktivt stof</w:t>
            </w:r>
          </w:p>
          <w:p w14:paraId="51B0BECC" w14:textId="77777777" w:rsidR="00961187" w:rsidRPr="00116C00" w:rsidRDefault="00961187">
            <w:pPr>
              <w:tabs>
                <w:tab w:val="left" w:pos="1304"/>
              </w:tabs>
              <w:jc w:val="center"/>
              <w:rPr>
                <w:spacing w:val="1"/>
                <w:sz w:val="24"/>
                <w:szCs w:val="24"/>
              </w:rPr>
            </w:pPr>
            <w:r w:rsidRPr="00116C00">
              <w:rPr>
                <w:sz w:val="24"/>
                <w:szCs w:val="24"/>
              </w:rPr>
              <w:t>(mg/min)</w:t>
            </w:r>
          </w:p>
        </w:tc>
        <w:tc>
          <w:tcPr>
            <w:tcW w:w="955" w:type="pct"/>
            <w:tcBorders>
              <w:top w:val="single" w:sz="4" w:space="0" w:color="auto"/>
              <w:left w:val="single" w:sz="4" w:space="0" w:color="auto"/>
              <w:bottom w:val="single" w:sz="4" w:space="0" w:color="auto"/>
              <w:right w:val="single" w:sz="4" w:space="0" w:color="auto"/>
            </w:tcBorders>
            <w:hideMark/>
          </w:tcPr>
          <w:p w14:paraId="04947660" w14:textId="77777777" w:rsidR="00961187" w:rsidRPr="00116C00" w:rsidRDefault="00961187">
            <w:pPr>
              <w:tabs>
                <w:tab w:val="left" w:pos="1304"/>
              </w:tabs>
              <w:jc w:val="center"/>
              <w:rPr>
                <w:b/>
                <w:spacing w:val="1"/>
                <w:sz w:val="24"/>
                <w:szCs w:val="24"/>
              </w:rPr>
            </w:pPr>
            <w:r w:rsidRPr="00116C00">
              <w:rPr>
                <w:b/>
                <w:sz w:val="24"/>
                <w:szCs w:val="24"/>
              </w:rPr>
              <w:t>Total mængde frigivet aktivt stof</w:t>
            </w:r>
          </w:p>
          <w:p w14:paraId="4E8DE152" w14:textId="77777777" w:rsidR="00961187" w:rsidRPr="00116C00" w:rsidRDefault="00961187">
            <w:pPr>
              <w:tabs>
                <w:tab w:val="left" w:pos="1304"/>
              </w:tabs>
              <w:jc w:val="center"/>
              <w:rPr>
                <w:spacing w:val="1"/>
                <w:sz w:val="24"/>
                <w:szCs w:val="24"/>
              </w:rPr>
            </w:pPr>
            <w:r w:rsidRPr="00116C00">
              <w:rPr>
                <w:sz w:val="24"/>
                <w:szCs w:val="24"/>
              </w:rPr>
              <w:t>(mg/2,5 ml)</w:t>
            </w:r>
          </w:p>
        </w:tc>
      </w:tr>
      <w:tr w:rsidR="00961187" w:rsidRPr="00116C00" w14:paraId="3E0DCC8B" w14:textId="77777777" w:rsidTr="00A41915">
        <w:tc>
          <w:tcPr>
            <w:tcW w:w="920" w:type="pct"/>
            <w:vMerge w:val="restart"/>
            <w:tcBorders>
              <w:top w:val="single" w:sz="4" w:space="0" w:color="auto"/>
              <w:left w:val="single" w:sz="4" w:space="0" w:color="auto"/>
              <w:bottom w:val="single" w:sz="4" w:space="0" w:color="auto"/>
              <w:right w:val="single" w:sz="4" w:space="0" w:color="auto"/>
            </w:tcBorders>
            <w:hideMark/>
          </w:tcPr>
          <w:p w14:paraId="77F8C94E" w14:textId="77777777" w:rsidR="00961187" w:rsidRPr="00116C00" w:rsidRDefault="00961187">
            <w:pPr>
              <w:tabs>
                <w:tab w:val="left" w:pos="1304"/>
              </w:tabs>
              <w:jc w:val="center"/>
              <w:rPr>
                <w:spacing w:val="1"/>
                <w:sz w:val="24"/>
                <w:szCs w:val="24"/>
              </w:rPr>
            </w:pPr>
            <w:proofErr w:type="spellStart"/>
            <w:r w:rsidRPr="00116C00">
              <w:rPr>
                <w:sz w:val="24"/>
                <w:szCs w:val="24"/>
              </w:rPr>
              <w:t>Jetnebulisator</w:t>
            </w:r>
            <w:proofErr w:type="spellEnd"/>
            <w:r w:rsidRPr="00116C00">
              <w:rPr>
                <w:sz w:val="24"/>
                <w:szCs w:val="24"/>
              </w:rPr>
              <w:t>*</w:t>
            </w:r>
          </w:p>
        </w:tc>
        <w:tc>
          <w:tcPr>
            <w:tcW w:w="799" w:type="pct"/>
            <w:tcBorders>
              <w:top w:val="single" w:sz="4" w:space="0" w:color="auto"/>
              <w:left w:val="single" w:sz="4" w:space="0" w:color="auto"/>
              <w:bottom w:val="single" w:sz="4" w:space="0" w:color="auto"/>
              <w:right w:val="single" w:sz="4" w:space="0" w:color="auto"/>
            </w:tcBorders>
            <w:hideMark/>
          </w:tcPr>
          <w:p w14:paraId="1E4FBDDC" w14:textId="77777777" w:rsidR="00961187" w:rsidRPr="00116C00" w:rsidRDefault="00961187">
            <w:pPr>
              <w:tabs>
                <w:tab w:val="left" w:pos="1304"/>
              </w:tabs>
              <w:jc w:val="center"/>
              <w:rPr>
                <w:spacing w:val="1"/>
                <w:sz w:val="24"/>
                <w:szCs w:val="24"/>
              </w:rPr>
            </w:pPr>
            <w:proofErr w:type="spellStart"/>
            <w:r w:rsidRPr="00116C00">
              <w:rPr>
                <w:sz w:val="24"/>
                <w:szCs w:val="24"/>
              </w:rPr>
              <w:t>Salbutamol</w:t>
            </w:r>
            <w:proofErr w:type="spellEnd"/>
          </w:p>
        </w:tc>
        <w:tc>
          <w:tcPr>
            <w:tcW w:w="1145" w:type="pct"/>
            <w:tcBorders>
              <w:top w:val="single" w:sz="4" w:space="0" w:color="auto"/>
              <w:left w:val="single" w:sz="4" w:space="0" w:color="auto"/>
              <w:bottom w:val="single" w:sz="4" w:space="0" w:color="auto"/>
              <w:right w:val="single" w:sz="4" w:space="0" w:color="auto"/>
            </w:tcBorders>
            <w:hideMark/>
          </w:tcPr>
          <w:p w14:paraId="74335299" w14:textId="77777777" w:rsidR="00961187" w:rsidRPr="00116C00" w:rsidRDefault="00961187">
            <w:pPr>
              <w:tabs>
                <w:tab w:val="left" w:pos="1304"/>
              </w:tabs>
              <w:jc w:val="center"/>
              <w:rPr>
                <w:spacing w:val="1"/>
                <w:sz w:val="24"/>
                <w:szCs w:val="24"/>
              </w:rPr>
            </w:pPr>
            <w:r w:rsidRPr="00116C00">
              <w:rPr>
                <w:sz w:val="24"/>
                <w:szCs w:val="24"/>
              </w:rPr>
              <w:t>4,5</w:t>
            </w:r>
          </w:p>
        </w:tc>
        <w:tc>
          <w:tcPr>
            <w:tcW w:w="1182" w:type="pct"/>
            <w:tcBorders>
              <w:top w:val="single" w:sz="4" w:space="0" w:color="auto"/>
              <w:left w:val="single" w:sz="4" w:space="0" w:color="auto"/>
              <w:bottom w:val="single" w:sz="4" w:space="0" w:color="auto"/>
              <w:right w:val="single" w:sz="4" w:space="0" w:color="auto"/>
            </w:tcBorders>
            <w:hideMark/>
          </w:tcPr>
          <w:p w14:paraId="6FF4A1D4" w14:textId="77777777" w:rsidR="00961187" w:rsidRPr="00116C00" w:rsidRDefault="00961187">
            <w:pPr>
              <w:tabs>
                <w:tab w:val="left" w:pos="1304"/>
              </w:tabs>
              <w:jc w:val="center"/>
              <w:rPr>
                <w:spacing w:val="1"/>
                <w:sz w:val="24"/>
                <w:szCs w:val="24"/>
              </w:rPr>
            </w:pPr>
            <w:r w:rsidRPr="00116C00">
              <w:rPr>
                <w:sz w:val="24"/>
                <w:szCs w:val="24"/>
              </w:rPr>
              <w:t>0,14</w:t>
            </w:r>
          </w:p>
        </w:tc>
        <w:tc>
          <w:tcPr>
            <w:tcW w:w="955" w:type="pct"/>
            <w:tcBorders>
              <w:top w:val="single" w:sz="4" w:space="0" w:color="auto"/>
              <w:left w:val="single" w:sz="4" w:space="0" w:color="auto"/>
              <w:bottom w:val="single" w:sz="4" w:space="0" w:color="auto"/>
              <w:right w:val="single" w:sz="4" w:space="0" w:color="auto"/>
            </w:tcBorders>
            <w:hideMark/>
          </w:tcPr>
          <w:p w14:paraId="16F131BD" w14:textId="77777777" w:rsidR="00961187" w:rsidRPr="00116C00" w:rsidRDefault="00961187">
            <w:pPr>
              <w:tabs>
                <w:tab w:val="left" w:pos="1304"/>
              </w:tabs>
              <w:jc w:val="center"/>
              <w:rPr>
                <w:spacing w:val="1"/>
                <w:sz w:val="24"/>
                <w:szCs w:val="24"/>
              </w:rPr>
            </w:pPr>
            <w:r w:rsidRPr="00116C00">
              <w:rPr>
                <w:sz w:val="24"/>
                <w:szCs w:val="24"/>
              </w:rPr>
              <w:t>0,41</w:t>
            </w:r>
          </w:p>
        </w:tc>
      </w:tr>
      <w:tr w:rsidR="00961187" w:rsidRPr="00116C00" w14:paraId="3CC60912" w14:textId="77777777" w:rsidTr="00A41915">
        <w:tc>
          <w:tcPr>
            <w:tcW w:w="920" w:type="pct"/>
            <w:vMerge/>
            <w:tcBorders>
              <w:top w:val="single" w:sz="4" w:space="0" w:color="auto"/>
              <w:left w:val="single" w:sz="4" w:space="0" w:color="auto"/>
              <w:bottom w:val="single" w:sz="4" w:space="0" w:color="auto"/>
              <w:right w:val="single" w:sz="4" w:space="0" w:color="auto"/>
            </w:tcBorders>
            <w:vAlign w:val="center"/>
            <w:hideMark/>
          </w:tcPr>
          <w:p w14:paraId="326CC2C5" w14:textId="77777777" w:rsidR="00961187" w:rsidRPr="00116C00" w:rsidRDefault="00961187">
            <w:pPr>
              <w:rPr>
                <w:spacing w:val="1"/>
                <w:sz w:val="24"/>
                <w:szCs w:val="24"/>
              </w:rPr>
            </w:pPr>
          </w:p>
        </w:tc>
        <w:tc>
          <w:tcPr>
            <w:tcW w:w="799" w:type="pct"/>
            <w:tcBorders>
              <w:top w:val="single" w:sz="4" w:space="0" w:color="auto"/>
              <w:left w:val="single" w:sz="4" w:space="0" w:color="auto"/>
              <w:bottom w:val="single" w:sz="4" w:space="0" w:color="auto"/>
              <w:right w:val="single" w:sz="4" w:space="0" w:color="auto"/>
            </w:tcBorders>
            <w:hideMark/>
          </w:tcPr>
          <w:p w14:paraId="1178C3FB" w14:textId="77777777" w:rsidR="00961187" w:rsidRPr="00116C00" w:rsidRDefault="00961187">
            <w:pPr>
              <w:tabs>
                <w:tab w:val="left" w:pos="1304"/>
              </w:tabs>
              <w:jc w:val="center"/>
              <w:rPr>
                <w:spacing w:val="1"/>
                <w:sz w:val="24"/>
                <w:szCs w:val="24"/>
              </w:rPr>
            </w:pPr>
            <w:proofErr w:type="spellStart"/>
            <w:r w:rsidRPr="00116C00">
              <w:rPr>
                <w:sz w:val="24"/>
                <w:szCs w:val="24"/>
              </w:rPr>
              <w:t>Ipratropium</w:t>
            </w:r>
            <w:proofErr w:type="spellEnd"/>
          </w:p>
        </w:tc>
        <w:tc>
          <w:tcPr>
            <w:tcW w:w="1145" w:type="pct"/>
            <w:tcBorders>
              <w:top w:val="single" w:sz="4" w:space="0" w:color="auto"/>
              <w:left w:val="single" w:sz="4" w:space="0" w:color="auto"/>
              <w:bottom w:val="single" w:sz="4" w:space="0" w:color="auto"/>
              <w:right w:val="single" w:sz="4" w:space="0" w:color="auto"/>
            </w:tcBorders>
            <w:hideMark/>
          </w:tcPr>
          <w:p w14:paraId="61032170" w14:textId="77777777" w:rsidR="00961187" w:rsidRPr="00116C00" w:rsidRDefault="00961187">
            <w:pPr>
              <w:tabs>
                <w:tab w:val="left" w:pos="1304"/>
              </w:tabs>
              <w:jc w:val="center"/>
              <w:rPr>
                <w:spacing w:val="1"/>
                <w:sz w:val="24"/>
                <w:szCs w:val="24"/>
              </w:rPr>
            </w:pPr>
            <w:r w:rsidRPr="00116C00">
              <w:rPr>
                <w:sz w:val="24"/>
                <w:szCs w:val="24"/>
              </w:rPr>
              <w:t>4,3</w:t>
            </w:r>
          </w:p>
        </w:tc>
        <w:tc>
          <w:tcPr>
            <w:tcW w:w="1182" w:type="pct"/>
            <w:tcBorders>
              <w:top w:val="single" w:sz="4" w:space="0" w:color="auto"/>
              <w:left w:val="single" w:sz="4" w:space="0" w:color="auto"/>
              <w:bottom w:val="single" w:sz="4" w:space="0" w:color="auto"/>
              <w:right w:val="single" w:sz="4" w:space="0" w:color="auto"/>
            </w:tcBorders>
            <w:hideMark/>
          </w:tcPr>
          <w:p w14:paraId="5026BACD" w14:textId="77777777" w:rsidR="00961187" w:rsidRPr="00116C00" w:rsidRDefault="00961187">
            <w:pPr>
              <w:tabs>
                <w:tab w:val="left" w:pos="1304"/>
              </w:tabs>
              <w:jc w:val="center"/>
              <w:rPr>
                <w:spacing w:val="1"/>
                <w:sz w:val="24"/>
                <w:szCs w:val="24"/>
              </w:rPr>
            </w:pPr>
            <w:r w:rsidRPr="00116C00">
              <w:rPr>
                <w:sz w:val="24"/>
                <w:szCs w:val="24"/>
              </w:rPr>
              <w:t>0,03</w:t>
            </w:r>
          </w:p>
        </w:tc>
        <w:tc>
          <w:tcPr>
            <w:tcW w:w="955" w:type="pct"/>
            <w:tcBorders>
              <w:top w:val="single" w:sz="4" w:space="0" w:color="auto"/>
              <w:left w:val="single" w:sz="4" w:space="0" w:color="auto"/>
              <w:bottom w:val="single" w:sz="4" w:space="0" w:color="auto"/>
              <w:right w:val="single" w:sz="4" w:space="0" w:color="auto"/>
            </w:tcBorders>
            <w:hideMark/>
          </w:tcPr>
          <w:p w14:paraId="78D920A3" w14:textId="77777777" w:rsidR="00961187" w:rsidRPr="00116C00" w:rsidRDefault="00961187">
            <w:pPr>
              <w:tabs>
                <w:tab w:val="left" w:pos="1304"/>
              </w:tabs>
              <w:jc w:val="center"/>
              <w:rPr>
                <w:spacing w:val="1"/>
                <w:sz w:val="24"/>
                <w:szCs w:val="24"/>
              </w:rPr>
            </w:pPr>
            <w:r w:rsidRPr="00116C00">
              <w:rPr>
                <w:sz w:val="24"/>
                <w:szCs w:val="24"/>
              </w:rPr>
              <w:t>0,08</w:t>
            </w:r>
          </w:p>
        </w:tc>
      </w:tr>
    </w:tbl>
    <w:p w14:paraId="1456DB1F" w14:textId="77777777" w:rsidR="00961187" w:rsidRPr="003456A9" w:rsidRDefault="00961187" w:rsidP="00961187">
      <w:pPr>
        <w:tabs>
          <w:tab w:val="left" w:pos="1304"/>
        </w:tabs>
        <w:rPr>
          <w:spacing w:val="1"/>
          <w:sz w:val="20"/>
        </w:rPr>
      </w:pPr>
      <w:r w:rsidRPr="003456A9">
        <w:rPr>
          <w:sz w:val="20"/>
          <w:vertAlign w:val="superscript"/>
        </w:rPr>
        <w:t>*</w:t>
      </w:r>
      <w:r w:rsidRPr="003456A9">
        <w:rPr>
          <w:sz w:val="20"/>
        </w:rPr>
        <w:t xml:space="preserve"> En PARI LC PLUS-</w:t>
      </w:r>
      <w:proofErr w:type="spellStart"/>
      <w:r w:rsidRPr="003456A9">
        <w:rPr>
          <w:sz w:val="20"/>
        </w:rPr>
        <w:t>nebulisator</w:t>
      </w:r>
      <w:proofErr w:type="spellEnd"/>
      <w:r w:rsidRPr="003456A9">
        <w:rPr>
          <w:sz w:val="20"/>
        </w:rPr>
        <w:t xml:space="preserve"> blev anvendt i </w:t>
      </w:r>
      <w:r w:rsidRPr="003456A9">
        <w:rPr>
          <w:i/>
          <w:sz w:val="20"/>
        </w:rPr>
        <w:t xml:space="preserve">in </w:t>
      </w:r>
      <w:proofErr w:type="spellStart"/>
      <w:r w:rsidRPr="003456A9">
        <w:rPr>
          <w:i/>
          <w:sz w:val="20"/>
        </w:rPr>
        <w:t>vitro</w:t>
      </w:r>
      <w:proofErr w:type="spellEnd"/>
      <w:r w:rsidRPr="003456A9">
        <w:rPr>
          <w:sz w:val="20"/>
        </w:rPr>
        <w:t>-undersøgelserne</w:t>
      </w:r>
    </w:p>
    <w:p w14:paraId="6320F719" w14:textId="77777777" w:rsidR="00961187" w:rsidRPr="00116C00" w:rsidRDefault="00961187" w:rsidP="00961187">
      <w:pPr>
        <w:tabs>
          <w:tab w:val="left" w:pos="1304"/>
        </w:tabs>
        <w:rPr>
          <w:spacing w:val="1"/>
          <w:sz w:val="24"/>
          <w:szCs w:val="24"/>
        </w:rPr>
      </w:pPr>
    </w:p>
    <w:p w14:paraId="02B454D3" w14:textId="77777777" w:rsidR="00961187" w:rsidRPr="00116C00" w:rsidRDefault="00961187" w:rsidP="00A41915">
      <w:pPr>
        <w:ind w:left="851"/>
        <w:rPr>
          <w:sz w:val="24"/>
          <w:szCs w:val="24"/>
        </w:rPr>
      </w:pPr>
      <w:r w:rsidRPr="00116C00">
        <w:rPr>
          <w:sz w:val="24"/>
          <w:szCs w:val="24"/>
        </w:rPr>
        <w:t xml:space="preserve">Der er ingen tilgængelige oplysninger om mønstrene for </w:t>
      </w:r>
      <w:proofErr w:type="spellStart"/>
      <w:r w:rsidRPr="00116C00">
        <w:rPr>
          <w:sz w:val="24"/>
          <w:szCs w:val="24"/>
        </w:rPr>
        <w:t>pulmonal</w:t>
      </w:r>
      <w:proofErr w:type="spellEnd"/>
      <w:r w:rsidRPr="00116C00">
        <w:rPr>
          <w:sz w:val="24"/>
          <w:szCs w:val="24"/>
        </w:rPr>
        <w:t xml:space="preserve"> inhalation og deponering for de </w:t>
      </w:r>
      <w:proofErr w:type="spellStart"/>
      <w:r w:rsidRPr="00116C00">
        <w:rPr>
          <w:sz w:val="24"/>
          <w:szCs w:val="24"/>
        </w:rPr>
        <w:t>nebulisatorsystemer</w:t>
      </w:r>
      <w:proofErr w:type="spellEnd"/>
      <w:r w:rsidRPr="00116C00">
        <w:rPr>
          <w:sz w:val="24"/>
          <w:szCs w:val="24"/>
        </w:rPr>
        <w:t>, der ikke er blevet undersøgt.</w:t>
      </w:r>
    </w:p>
    <w:p w14:paraId="5B26D4DA" w14:textId="77777777" w:rsidR="00961187" w:rsidRPr="00116C00" w:rsidRDefault="00961187" w:rsidP="00A41915">
      <w:pPr>
        <w:ind w:left="851"/>
        <w:rPr>
          <w:sz w:val="24"/>
          <w:szCs w:val="24"/>
        </w:rPr>
      </w:pPr>
      <w:r w:rsidRPr="00116C00">
        <w:rPr>
          <w:sz w:val="24"/>
          <w:szCs w:val="24"/>
        </w:rPr>
        <w:t xml:space="preserve">Brug af et andet ikketestet </w:t>
      </w:r>
      <w:proofErr w:type="spellStart"/>
      <w:r w:rsidRPr="00116C00">
        <w:rPr>
          <w:sz w:val="24"/>
          <w:szCs w:val="24"/>
        </w:rPr>
        <w:t>nebulisatorsystem</w:t>
      </w:r>
      <w:proofErr w:type="spellEnd"/>
      <w:r w:rsidRPr="00116C00">
        <w:rPr>
          <w:sz w:val="24"/>
          <w:szCs w:val="24"/>
        </w:rPr>
        <w:t xml:space="preserve"> kan ændre den </w:t>
      </w:r>
      <w:proofErr w:type="spellStart"/>
      <w:r w:rsidRPr="00116C00">
        <w:rPr>
          <w:sz w:val="24"/>
          <w:szCs w:val="24"/>
        </w:rPr>
        <w:t>pulmonale</w:t>
      </w:r>
      <w:proofErr w:type="spellEnd"/>
      <w:r w:rsidRPr="00116C00">
        <w:rPr>
          <w:sz w:val="24"/>
          <w:szCs w:val="24"/>
        </w:rPr>
        <w:t xml:space="preserve"> deponering af de aktive stoffer, hvilket kan ændre virkningen og sikkerheden ved produktet. I så fald kan det være nødvendigt at justere dosen.</w:t>
      </w:r>
    </w:p>
    <w:p w14:paraId="7BC0A3DC" w14:textId="77777777" w:rsidR="00961187" w:rsidRPr="00116C00" w:rsidRDefault="00961187" w:rsidP="00A41915">
      <w:pPr>
        <w:ind w:left="851"/>
        <w:rPr>
          <w:spacing w:val="1"/>
          <w:sz w:val="24"/>
          <w:szCs w:val="24"/>
        </w:rPr>
      </w:pPr>
    </w:p>
    <w:p w14:paraId="285B18A6" w14:textId="296F2FD2" w:rsidR="00961187" w:rsidRPr="00116C00" w:rsidRDefault="00961187" w:rsidP="00A41915">
      <w:pPr>
        <w:ind w:left="851"/>
        <w:rPr>
          <w:sz w:val="24"/>
          <w:szCs w:val="24"/>
        </w:rPr>
      </w:pPr>
      <w:r w:rsidRPr="00116C00">
        <w:rPr>
          <w:sz w:val="24"/>
          <w:szCs w:val="24"/>
        </w:rPr>
        <w:lastRenderedPageBreak/>
        <w:t xml:space="preserve">Da </w:t>
      </w:r>
      <w:proofErr w:type="spellStart"/>
      <w:r w:rsidR="003456A9">
        <w:rPr>
          <w:sz w:val="24"/>
          <w:szCs w:val="24"/>
        </w:rPr>
        <w:t>Ipratropiumbromid</w:t>
      </w:r>
      <w:proofErr w:type="spellEnd"/>
      <w:r w:rsidR="003456A9">
        <w:rPr>
          <w:sz w:val="24"/>
          <w:szCs w:val="24"/>
        </w:rPr>
        <w:t>/</w:t>
      </w:r>
      <w:proofErr w:type="spellStart"/>
      <w:r w:rsidR="003456A9">
        <w:rPr>
          <w:sz w:val="24"/>
          <w:szCs w:val="24"/>
        </w:rPr>
        <w:t>Salbutamol</w:t>
      </w:r>
      <w:proofErr w:type="spellEnd"/>
      <w:r w:rsidR="003456A9">
        <w:rPr>
          <w:sz w:val="24"/>
          <w:szCs w:val="24"/>
        </w:rPr>
        <w:t xml:space="preserve"> "</w:t>
      </w:r>
      <w:proofErr w:type="spellStart"/>
      <w:r w:rsidR="003456A9">
        <w:rPr>
          <w:sz w:val="24"/>
          <w:szCs w:val="24"/>
        </w:rPr>
        <w:t>Neutec</w:t>
      </w:r>
      <w:proofErr w:type="spellEnd"/>
      <w:r w:rsidR="003456A9">
        <w:rPr>
          <w:sz w:val="24"/>
          <w:szCs w:val="24"/>
        </w:rPr>
        <w:t>"</w:t>
      </w:r>
      <w:r w:rsidRPr="00116C00">
        <w:rPr>
          <w:sz w:val="24"/>
          <w:szCs w:val="24"/>
        </w:rPr>
        <w:t xml:space="preserve"> deponeres i lungerne via inhalation, er det vigtigt, at patienten instrueres i at inhalere lægemidlet gennem </w:t>
      </w:r>
      <w:proofErr w:type="spellStart"/>
      <w:r w:rsidRPr="00116C00">
        <w:rPr>
          <w:sz w:val="24"/>
          <w:szCs w:val="24"/>
        </w:rPr>
        <w:t>nebulisatorens</w:t>
      </w:r>
      <w:proofErr w:type="spellEnd"/>
      <w:r w:rsidRPr="00116C00">
        <w:rPr>
          <w:sz w:val="24"/>
          <w:szCs w:val="24"/>
        </w:rPr>
        <w:t xml:space="preserve"> mundstykke med rolige og regelmæssige åndedrag (se pkt. 4.4).</w:t>
      </w:r>
    </w:p>
    <w:p w14:paraId="49CD572B" w14:textId="77777777" w:rsidR="00961187" w:rsidRPr="003456A9" w:rsidRDefault="00961187" w:rsidP="00A41915">
      <w:pPr>
        <w:ind w:left="851"/>
        <w:rPr>
          <w:sz w:val="24"/>
          <w:szCs w:val="24"/>
        </w:rPr>
      </w:pPr>
    </w:p>
    <w:p w14:paraId="6595F5AB" w14:textId="77777777" w:rsidR="00961187" w:rsidRPr="003456A9" w:rsidRDefault="00961187" w:rsidP="00A41915">
      <w:pPr>
        <w:ind w:left="851"/>
        <w:rPr>
          <w:sz w:val="24"/>
          <w:szCs w:val="24"/>
        </w:rPr>
      </w:pPr>
      <w:r w:rsidRPr="003456A9">
        <w:rPr>
          <w:sz w:val="24"/>
          <w:szCs w:val="24"/>
        </w:rPr>
        <w:t>Behandlingen skal iværksættes og administreres under lægeligt tilsyn, f.eks. på et hospital. Behandling i hjemmet kan anbefales i ekstraordinære tilfælde hos erfarne patienter i samråd med en læge, hvis egnet behandling med et pulver eller en spray ikke kan lade sig gøre.</w:t>
      </w:r>
    </w:p>
    <w:p w14:paraId="44FE9449" w14:textId="77777777" w:rsidR="00961187" w:rsidRPr="00116C00" w:rsidRDefault="00961187" w:rsidP="00A41915">
      <w:pPr>
        <w:ind w:left="851"/>
        <w:rPr>
          <w:sz w:val="24"/>
          <w:szCs w:val="24"/>
        </w:rPr>
      </w:pPr>
    </w:p>
    <w:p w14:paraId="758B9553" w14:textId="77777777" w:rsidR="00961187" w:rsidRPr="00116C00" w:rsidRDefault="00961187" w:rsidP="00A41915">
      <w:pPr>
        <w:ind w:left="851"/>
        <w:rPr>
          <w:sz w:val="24"/>
          <w:szCs w:val="24"/>
        </w:rPr>
      </w:pPr>
      <w:r w:rsidRPr="00116C00">
        <w:rPr>
          <w:sz w:val="24"/>
          <w:szCs w:val="24"/>
        </w:rPr>
        <w:t>Enkeltdosisbeholderne indeholder ingen konserveringsmidler, og derfor er det vigtigt, at indholdet bruges med det samme efter åbning, og at der anvendes en ny beholder ved hver administration for at undgå mikrobiel kontaminering. Delvist brugte, åbne eller beskadigede enkeltdosisbeholdere skal bortskaffes.</w:t>
      </w:r>
    </w:p>
    <w:p w14:paraId="3D35A6A2" w14:textId="77777777" w:rsidR="009260DE" w:rsidRPr="00116C00" w:rsidRDefault="009260DE" w:rsidP="009260DE">
      <w:pPr>
        <w:tabs>
          <w:tab w:val="left" w:pos="851"/>
        </w:tabs>
        <w:ind w:left="851"/>
        <w:rPr>
          <w:sz w:val="24"/>
          <w:szCs w:val="24"/>
        </w:rPr>
      </w:pPr>
    </w:p>
    <w:p w14:paraId="4E466480" w14:textId="77777777" w:rsidR="009260DE" w:rsidRPr="00116C00" w:rsidRDefault="009260DE" w:rsidP="009260DE">
      <w:pPr>
        <w:tabs>
          <w:tab w:val="left" w:pos="851"/>
        </w:tabs>
        <w:ind w:left="851" w:hanging="851"/>
        <w:rPr>
          <w:b/>
          <w:sz w:val="24"/>
          <w:szCs w:val="24"/>
        </w:rPr>
      </w:pPr>
      <w:r w:rsidRPr="00116C00">
        <w:rPr>
          <w:b/>
          <w:sz w:val="24"/>
          <w:szCs w:val="24"/>
        </w:rPr>
        <w:t>4.3</w:t>
      </w:r>
      <w:r w:rsidRPr="00116C00">
        <w:rPr>
          <w:b/>
          <w:sz w:val="24"/>
          <w:szCs w:val="24"/>
        </w:rPr>
        <w:tab/>
        <w:t>Kontraindikationer</w:t>
      </w:r>
    </w:p>
    <w:p w14:paraId="42FA13FB" w14:textId="0016428F" w:rsidR="00961187" w:rsidRPr="00116C00" w:rsidRDefault="003456A9" w:rsidP="006D4893">
      <w:pPr>
        <w:ind w:left="851"/>
        <w:rPr>
          <w:sz w:val="24"/>
          <w:szCs w:val="24"/>
        </w:rPr>
      </w:pPr>
      <w:proofErr w:type="spellStart"/>
      <w:r>
        <w:rPr>
          <w:sz w:val="24"/>
          <w:szCs w:val="24"/>
        </w:rPr>
        <w:t>Ipratropiumbromid</w:t>
      </w:r>
      <w:proofErr w:type="spellEnd"/>
      <w:r>
        <w:rPr>
          <w:sz w:val="24"/>
          <w:szCs w:val="24"/>
        </w:rPr>
        <w:t>/</w:t>
      </w:r>
      <w:proofErr w:type="spellStart"/>
      <w:r>
        <w:rPr>
          <w:sz w:val="24"/>
          <w:szCs w:val="24"/>
        </w:rPr>
        <w:t>Salbutamol</w:t>
      </w:r>
      <w:proofErr w:type="spellEnd"/>
      <w:r>
        <w:rPr>
          <w:sz w:val="24"/>
          <w:szCs w:val="24"/>
        </w:rPr>
        <w:t xml:space="preserve"> "</w:t>
      </w:r>
      <w:proofErr w:type="spellStart"/>
      <w:r>
        <w:rPr>
          <w:sz w:val="24"/>
          <w:szCs w:val="24"/>
        </w:rPr>
        <w:t>Neutec</w:t>
      </w:r>
      <w:proofErr w:type="spellEnd"/>
      <w:r>
        <w:rPr>
          <w:sz w:val="24"/>
          <w:szCs w:val="24"/>
        </w:rPr>
        <w:t>"</w:t>
      </w:r>
      <w:r w:rsidR="00961187" w:rsidRPr="00116C00">
        <w:rPr>
          <w:sz w:val="24"/>
          <w:szCs w:val="24"/>
        </w:rPr>
        <w:t xml:space="preserve"> er kontraindiceret hos:</w:t>
      </w:r>
    </w:p>
    <w:p w14:paraId="0EDD672B" w14:textId="77777777" w:rsidR="00961187" w:rsidRPr="003456A9" w:rsidRDefault="00961187" w:rsidP="006D4893">
      <w:pPr>
        <w:pStyle w:val="Listeafsnit"/>
        <w:numPr>
          <w:ilvl w:val="0"/>
          <w:numId w:val="9"/>
        </w:numPr>
        <w:tabs>
          <w:tab w:val="clear" w:pos="567"/>
        </w:tabs>
        <w:spacing w:line="240" w:lineRule="auto"/>
        <w:ind w:left="1276" w:hanging="425"/>
        <w:rPr>
          <w:sz w:val="24"/>
          <w:szCs w:val="24"/>
        </w:rPr>
      </w:pPr>
      <w:r w:rsidRPr="003456A9">
        <w:rPr>
          <w:sz w:val="24"/>
          <w:szCs w:val="24"/>
        </w:rPr>
        <w:t xml:space="preserve">Patienter med </w:t>
      </w:r>
      <w:proofErr w:type="spellStart"/>
      <w:r w:rsidRPr="003456A9">
        <w:rPr>
          <w:sz w:val="24"/>
          <w:szCs w:val="24"/>
        </w:rPr>
        <w:t>hypertrofisk</w:t>
      </w:r>
      <w:proofErr w:type="spellEnd"/>
      <w:r w:rsidRPr="003456A9">
        <w:rPr>
          <w:sz w:val="24"/>
          <w:szCs w:val="24"/>
        </w:rPr>
        <w:t xml:space="preserve"> obstruktiv </w:t>
      </w:r>
      <w:proofErr w:type="spellStart"/>
      <w:r w:rsidRPr="003456A9">
        <w:rPr>
          <w:sz w:val="24"/>
          <w:szCs w:val="24"/>
        </w:rPr>
        <w:t>kardiomyopati</w:t>
      </w:r>
      <w:proofErr w:type="spellEnd"/>
      <w:r w:rsidRPr="003456A9">
        <w:rPr>
          <w:sz w:val="24"/>
          <w:szCs w:val="24"/>
        </w:rPr>
        <w:t>.</w:t>
      </w:r>
    </w:p>
    <w:p w14:paraId="5ECBA513" w14:textId="77777777" w:rsidR="00961187" w:rsidRPr="003456A9" w:rsidRDefault="00961187" w:rsidP="006D4893">
      <w:pPr>
        <w:pStyle w:val="Listeafsnit"/>
        <w:numPr>
          <w:ilvl w:val="0"/>
          <w:numId w:val="9"/>
        </w:numPr>
        <w:tabs>
          <w:tab w:val="clear" w:pos="567"/>
        </w:tabs>
        <w:spacing w:line="240" w:lineRule="auto"/>
        <w:ind w:left="1276" w:hanging="425"/>
        <w:rPr>
          <w:sz w:val="24"/>
          <w:szCs w:val="24"/>
        </w:rPr>
      </w:pPr>
      <w:r w:rsidRPr="003456A9">
        <w:rPr>
          <w:sz w:val="24"/>
          <w:szCs w:val="24"/>
        </w:rPr>
        <w:t xml:space="preserve">Patienter med </w:t>
      </w:r>
      <w:proofErr w:type="spellStart"/>
      <w:r w:rsidRPr="003456A9">
        <w:rPr>
          <w:sz w:val="24"/>
          <w:szCs w:val="24"/>
        </w:rPr>
        <w:t>takyarytmi</w:t>
      </w:r>
      <w:proofErr w:type="spellEnd"/>
      <w:r w:rsidRPr="003456A9">
        <w:rPr>
          <w:sz w:val="24"/>
          <w:szCs w:val="24"/>
        </w:rPr>
        <w:t>.</w:t>
      </w:r>
    </w:p>
    <w:p w14:paraId="4588BC8B" w14:textId="77777777" w:rsidR="00961187" w:rsidRPr="003456A9" w:rsidRDefault="00961187" w:rsidP="006D4893">
      <w:pPr>
        <w:pStyle w:val="Listeafsnit"/>
        <w:numPr>
          <w:ilvl w:val="0"/>
          <w:numId w:val="9"/>
        </w:numPr>
        <w:tabs>
          <w:tab w:val="clear" w:pos="567"/>
        </w:tabs>
        <w:spacing w:line="240" w:lineRule="auto"/>
        <w:ind w:left="1276" w:hanging="425"/>
        <w:rPr>
          <w:sz w:val="24"/>
          <w:szCs w:val="24"/>
        </w:rPr>
      </w:pPr>
      <w:r w:rsidRPr="003456A9">
        <w:rPr>
          <w:sz w:val="24"/>
          <w:szCs w:val="24"/>
        </w:rPr>
        <w:t xml:space="preserve">Patienter, der tidligere har udvist overfølsomhed over for </w:t>
      </w:r>
      <w:proofErr w:type="spellStart"/>
      <w:r w:rsidRPr="003456A9">
        <w:rPr>
          <w:sz w:val="24"/>
          <w:szCs w:val="24"/>
        </w:rPr>
        <w:t>ipratropiumbromid</w:t>
      </w:r>
      <w:proofErr w:type="spellEnd"/>
      <w:r w:rsidRPr="003456A9">
        <w:rPr>
          <w:sz w:val="24"/>
          <w:szCs w:val="24"/>
        </w:rPr>
        <w:t xml:space="preserve">, </w:t>
      </w:r>
      <w:proofErr w:type="spellStart"/>
      <w:r w:rsidRPr="003456A9">
        <w:rPr>
          <w:sz w:val="24"/>
          <w:szCs w:val="24"/>
        </w:rPr>
        <w:t>salbutamolsulfat</w:t>
      </w:r>
      <w:proofErr w:type="spellEnd"/>
      <w:r w:rsidRPr="003456A9">
        <w:rPr>
          <w:sz w:val="24"/>
          <w:szCs w:val="24"/>
        </w:rPr>
        <w:t>, atropin eller dets derivativer eller et eller flere af hjælpestofferne anført i pkt. 6.1.</w:t>
      </w:r>
    </w:p>
    <w:p w14:paraId="4080E1B7" w14:textId="77777777" w:rsidR="009260DE" w:rsidRPr="00116C00" w:rsidRDefault="009260DE" w:rsidP="009260DE">
      <w:pPr>
        <w:tabs>
          <w:tab w:val="left" w:pos="851"/>
        </w:tabs>
        <w:ind w:left="851"/>
        <w:rPr>
          <w:sz w:val="24"/>
          <w:szCs w:val="24"/>
        </w:rPr>
      </w:pPr>
    </w:p>
    <w:p w14:paraId="2B60118F" w14:textId="77777777" w:rsidR="009260DE" w:rsidRPr="00116C00" w:rsidRDefault="009260DE" w:rsidP="009260DE">
      <w:pPr>
        <w:tabs>
          <w:tab w:val="left" w:pos="851"/>
        </w:tabs>
        <w:ind w:left="851" w:hanging="851"/>
        <w:rPr>
          <w:b/>
          <w:sz w:val="24"/>
          <w:szCs w:val="24"/>
        </w:rPr>
      </w:pPr>
      <w:r w:rsidRPr="00116C00">
        <w:rPr>
          <w:b/>
          <w:sz w:val="24"/>
          <w:szCs w:val="24"/>
        </w:rPr>
        <w:t>4.4</w:t>
      </w:r>
      <w:r w:rsidRPr="00116C00">
        <w:rPr>
          <w:b/>
          <w:sz w:val="24"/>
          <w:szCs w:val="24"/>
        </w:rPr>
        <w:tab/>
        <w:t>Særlige advarsler og forsigtighedsregler vedrørende brugen</w:t>
      </w:r>
    </w:p>
    <w:p w14:paraId="61BF5C2C" w14:textId="77777777" w:rsidR="003456A9" w:rsidRDefault="003456A9" w:rsidP="00A41915">
      <w:pPr>
        <w:ind w:left="851"/>
        <w:rPr>
          <w:sz w:val="24"/>
          <w:szCs w:val="24"/>
        </w:rPr>
      </w:pPr>
    </w:p>
    <w:p w14:paraId="35C05540" w14:textId="0336A0B1" w:rsidR="00961187" w:rsidRPr="003456A9" w:rsidRDefault="00961187" w:rsidP="00A41915">
      <w:pPr>
        <w:ind w:left="851"/>
        <w:rPr>
          <w:sz w:val="24"/>
          <w:szCs w:val="24"/>
          <w:u w:val="single"/>
        </w:rPr>
      </w:pPr>
      <w:r w:rsidRPr="003456A9">
        <w:rPr>
          <w:sz w:val="24"/>
          <w:szCs w:val="24"/>
          <w:u w:val="single"/>
        </w:rPr>
        <w:t>Dyspnø</w:t>
      </w:r>
    </w:p>
    <w:p w14:paraId="2E933D7C" w14:textId="77777777" w:rsidR="00961187" w:rsidRPr="00116C00" w:rsidRDefault="00961187" w:rsidP="00A41915">
      <w:pPr>
        <w:ind w:left="851"/>
        <w:rPr>
          <w:sz w:val="24"/>
          <w:szCs w:val="24"/>
        </w:rPr>
      </w:pPr>
      <w:r w:rsidRPr="00116C00">
        <w:rPr>
          <w:sz w:val="24"/>
          <w:szCs w:val="24"/>
        </w:rPr>
        <w:t>Patienterne skal have at vide, at de skal kontakte lægen eller det nærmeste hospital med det samme, hvis der opstår akut eller hurtigt forværret dyspnø (vejrtrækningsbesvær), eller hvis de oplever nedsat reaktion på behandlingen. Dette kan være tegn på forværring af patientens kroniske obstruktive lungesygdom, og anden behandling kan være påkrævet.</w:t>
      </w:r>
    </w:p>
    <w:p w14:paraId="61AA9197" w14:textId="77777777" w:rsidR="00961187" w:rsidRPr="00116C00" w:rsidRDefault="00961187" w:rsidP="00A41915">
      <w:pPr>
        <w:ind w:left="851"/>
        <w:rPr>
          <w:sz w:val="24"/>
          <w:szCs w:val="24"/>
        </w:rPr>
      </w:pPr>
    </w:p>
    <w:p w14:paraId="67A03BFF" w14:textId="77777777" w:rsidR="00961187" w:rsidRPr="003456A9" w:rsidRDefault="00961187" w:rsidP="00A41915">
      <w:pPr>
        <w:ind w:left="851"/>
        <w:rPr>
          <w:color w:val="000000"/>
          <w:sz w:val="24"/>
          <w:szCs w:val="24"/>
          <w:u w:val="single"/>
        </w:rPr>
      </w:pPr>
      <w:r w:rsidRPr="003456A9">
        <w:rPr>
          <w:color w:val="000000"/>
          <w:sz w:val="24"/>
          <w:szCs w:val="24"/>
          <w:u w:val="single"/>
        </w:rPr>
        <w:t>Overfølsomhed</w:t>
      </w:r>
    </w:p>
    <w:p w14:paraId="092AA64B" w14:textId="77777777" w:rsidR="00961187" w:rsidRPr="00116C00" w:rsidRDefault="00961187" w:rsidP="00A41915">
      <w:pPr>
        <w:ind w:left="851"/>
        <w:rPr>
          <w:sz w:val="24"/>
          <w:szCs w:val="24"/>
        </w:rPr>
      </w:pPr>
      <w:r w:rsidRPr="00116C00">
        <w:rPr>
          <w:sz w:val="24"/>
          <w:szCs w:val="24"/>
        </w:rPr>
        <w:t xml:space="preserve">Der kan forekomme øjeblikkelige overfølsomhedsreaktioner efter administration af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baseret på sjældne tilfælde af </w:t>
      </w:r>
      <w:proofErr w:type="spellStart"/>
      <w:r w:rsidRPr="00116C00">
        <w:rPr>
          <w:sz w:val="24"/>
          <w:szCs w:val="24"/>
        </w:rPr>
        <w:t>urticaria</w:t>
      </w:r>
      <w:proofErr w:type="spellEnd"/>
      <w:r w:rsidRPr="00116C00">
        <w:rPr>
          <w:sz w:val="24"/>
          <w:szCs w:val="24"/>
        </w:rPr>
        <w:t xml:space="preserve">, </w:t>
      </w:r>
      <w:proofErr w:type="spellStart"/>
      <w:r w:rsidRPr="00116C00">
        <w:rPr>
          <w:sz w:val="24"/>
          <w:szCs w:val="24"/>
        </w:rPr>
        <w:t>angioødem</w:t>
      </w:r>
      <w:proofErr w:type="spellEnd"/>
      <w:r w:rsidRPr="00116C00">
        <w:rPr>
          <w:sz w:val="24"/>
          <w:szCs w:val="24"/>
        </w:rPr>
        <w:t xml:space="preserve">, udslæt, </w:t>
      </w:r>
      <w:proofErr w:type="spellStart"/>
      <w:r w:rsidRPr="00116C00">
        <w:rPr>
          <w:sz w:val="24"/>
          <w:szCs w:val="24"/>
        </w:rPr>
        <w:t>bronkospasme</w:t>
      </w:r>
      <w:proofErr w:type="spellEnd"/>
      <w:r w:rsidRPr="00116C00">
        <w:rPr>
          <w:sz w:val="24"/>
          <w:szCs w:val="24"/>
        </w:rPr>
        <w:t xml:space="preserve"> og hævelse i svælget.</w:t>
      </w:r>
    </w:p>
    <w:p w14:paraId="443A3A00" w14:textId="77777777" w:rsidR="00961187" w:rsidRPr="00116C00" w:rsidRDefault="00961187" w:rsidP="00A41915">
      <w:pPr>
        <w:ind w:left="851"/>
        <w:rPr>
          <w:sz w:val="24"/>
          <w:szCs w:val="24"/>
          <w:lang w:eastAsia="en-GB"/>
        </w:rPr>
      </w:pPr>
    </w:p>
    <w:p w14:paraId="08CFF908" w14:textId="77777777" w:rsidR="00961187" w:rsidRPr="003456A9" w:rsidRDefault="00961187" w:rsidP="00A41915">
      <w:pPr>
        <w:ind w:left="851"/>
        <w:rPr>
          <w:color w:val="000000"/>
          <w:sz w:val="24"/>
          <w:szCs w:val="24"/>
          <w:u w:val="single"/>
        </w:rPr>
      </w:pPr>
      <w:r w:rsidRPr="003456A9">
        <w:rPr>
          <w:color w:val="000000"/>
          <w:sz w:val="24"/>
          <w:szCs w:val="24"/>
          <w:u w:val="single"/>
        </w:rPr>
        <w:t xml:space="preserve">Paradoksal </w:t>
      </w:r>
      <w:proofErr w:type="spellStart"/>
      <w:r w:rsidRPr="003456A9">
        <w:rPr>
          <w:color w:val="000000"/>
          <w:sz w:val="24"/>
          <w:szCs w:val="24"/>
          <w:u w:val="single"/>
        </w:rPr>
        <w:t>bronkospasme</w:t>
      </w:r>
      <w:proofErr w:type="spellEnd"/>
    </w:p>
    <w:p w14:paraId="2D915204" w14:textId="77777777" w:rsidR="00961187" w:rsidRPr="00116C00" w:rsidRDefault="00961187" w:rsidP="00A41915">
      <w:pPr>
        <w:ind w:left="851"/>
        <w:rPr>
          <w:color w:val="000000"/>
          <w:sz w:val="24"/>
          <w:szCs w:val="24"/>
        </w:rPr>
      </w:pPr>
      <w:r w:rsidRPr="00116C00">
        <w:rPr>
          <w:color w:val="000000"/>
          <w:sz w:val="24"/>
          <w:szCs w:val="24"/>
        </w:rPr>
        <w:t xml:space="preserve">Ligesom andre inhalerede lægemidler kan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forårsage </w:t>
      </w:r>
      <w:r w:rsidRPr="00116C00">
        <w:rPr>
          <w:color w:val="000000"/>
          <w:sz w:val="24"/>
          <w:szCs w:val="24"/>
        </w:rPr>
        <w:t xml:space="preserve">paradoksal </w:t>
      </w:r>
      <w:proofErr w:type="spellStart"/>
      <w:r w:rsidRPr="00116C00">
        <w:rPr>
          <w:color w:val="000000"/>
          <w:sz w:val="24"/>
          <w:szCs w:val="24"/>
        </w:rPr>
        <w:t>bronkospasme</w:t>
      </w:r>
      <w:proofErr w:type="spellEnd"/>
      <w:r w:rsidRPr="00116C00">
        <w:rPr>
          <w:color w:val="000000"/>
          <w:sz w:val="24"/>
          <w:szCs w:val="24"/>
        </w:rPr>
        <w:t xml:space="preserve">, der kan være livstruende. </w:t>
      </w:r>
      <w:r w:rsidRPr="00116C00">
        <w:rPr>
          <w:sz w:val="24"/>
          <w:szCs w:val="24"/>
        </w:rPr>
        <w:t xml:space="preserve">Hvis der forekommer paradoksal </w:t>
      </w:r>
      <w:proofErr w:type="spellStart"/>
      <w:r w:rsidRPr="00116C00">
        <w:rPr>
          <w:sz w:val="24"/>
          <w:szCs w:val="24"/>
        </w:rPr>
        <w:t>bronkospasme</w:t>
      </w:r>
      <w:proofErr w:type="spellEnd"/>
      <w:r w:rsidRPr="00116C00">
        <w:rPr>
          <w:sz w:val="24"/>
          <w:szCs w:val="24"/>
        </w:rPr>
        <w:t xml:space="preserve">, skal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w:t>
      </w:r>
      <w:r w:rsidRPr="00116C00">
        <w:rPr>
          <w:color w:val="000000"/>
          <w:sz w:val="24"/>
          <w:szCs w:val="24"/>
        </w:rPr>
        <w:t>seponeres øjeblikkeligt, og patienten skal undersøges og have en anden behandling.</w:t>
      </w:r>
    </w:p>
    <w:p w14:paraId="3B044071" w14:textId="77777777" w:rsidR="00961187" w:rsidRPr="00116C00" w:rsidRDefault="00961187" w:rsidP="00A41915">
      <w:pPr>
        <w:ind w:left="851"/>
        <w:rPr>
          <w:color w:val="000000"/>
          <w:sz w:val="24"/>
          <w:szCs w:val="24"/>
          <w:lang w:eastAsia="en-GB"/>
        </w:rPr>
      </w:pPr>
    </w:p>
    <w:p w14:paraId="2D28F27D" w14:textId="77777777" w:rsidR="00961187" w:rsidRPr="003456A9" w:rsidRDefault="00961187" w:rsidP="00A41915">
      <w:pPr>
        <w:ind w:left="851"/>
        <w:rPr>
          <w:color w:val="000000"/>
          <w:sz w:val="24"/>
          <w:szCs w:val="24"/>
          <w:u w:val="single"/>
        </w:rPr>
      </w:pPr>
      <w:r w:rsidRPr="003456A9">
        <w:rPr>
          <w:color w:val="000000"/>
          <w:sz w:val="24"/>
          <w:szCs w:val="24"/>
          <w:u w:val="single"/>
        </w:rPr>
        <w:t>Øjenproblemer</w:t>
      </w:r>
    </w:p>
    <w:p w14:paraId="16EB6B2C" w14:textId="77777777" w:rsidR="00961187" w:rsidRPr="00116C00" w:rsidRDefault="00961187" w:rsidP="00A41915">
      <w:pPr>
        <w:ind w:left="851"/>
        <w:rPr>
          <w:color w:val="000000"/>
          <w:sz w:val="24"/>
          <w:szCs w:val="24"/>
        </w:rPr>
      </w:pPr>
      <w:r w:rsidRPr="00116C00">
        <w:rPr>
          <w:color w:val="000000"/>
          <w:sz w:val="24"/>
          <w:szCs w:val="24"/>
        </w:rPr>
        <w:t xml:space="preserve">Der er rapporteret om øjenproblemer (dvs. </w:t>
      </w:r>
      <w:proofErr w:type="spellStart"/>
      <w:r w:rsidRPr="00116C00">
        <w:rPr>
          <w:color w:val="000000"/>
          <w:sz w:val="24"/>
          <w:szCs w:val="24"/>
        </w:rPr>
        <w:t>mydriasis</w:t>
      </w:r>
      <w:proofErr w:type="spellEnd"/>
      <w:r w:rsidRPr="00116C00">
        <w:rPr>
          <w:color w:val="000000"/>
          <w:sz w:val="24"/>
          <w:szCs w:val="24"/>
        </w:rPr>
        <w:t xml:space="preserve">, sløret syn, øget tryk i øjet, snævervinklet </w:t>
      </w:r>
      <w:proofErr w:type="spellStart"/>
      <w:r w:rsidRPr="00116C00">
        <w:rPr>
          <w:color w:val="000000"/>
          <w:sz w:val="24"/>
          <w:szCs w:val="24"/>
        </w:rPr>
        <w:t>glaukom</w:t>
      </w:r>
      <w:proofErr w:type="spellEnd"/>
      <w:r w:rsidRPr="00116C00">
        <w:rPr>
          <w:color w:val="000000"/>
          <w:sz w:val="24"/>
          <w:szCs w:val="24"/>
        </w:rPr>
        <w:t xml:space="preserve"> og øjensmerter) i tilfælde, hvor en </w:t>
      </w:r>
      <w:r w:rsidRPr="00116C00">
        <w:rPr>
          <w:sz w:val="24"/>
          <w:szCs w:val="24"/>
        </w:rPr>
        <w:t xml:space="preserve">aerosol med </w:t>
      </w:r>
      <w:proofErr w:type="spellStart"/>
      <w:r w:rsidRPr="00116C00">
        <w:rPr>
          <w:sz w:val="24"/>
          <w:szCs w:val="24"/>
        </w:rPr>
        <w:t>ipratropiumbromid</w:t>
      </w:r>
      <w:proofErr w:type="spellEnd"/>
      <w:r w:rsidRPr="00116C00">
        <w:rPr>
          <w:sz w:val="24"/>
          <w:szCs w:val="24"/>
        </w:rPr>
        <w:t xml:space="preserve"> alene eller i kombination med en beta-2-agonist er kommet i kontakt med øjnene.</w:t>
      </w:r>
    </w:p>
    <w:p w14:paraId="607B2E94" w14:textId="77777777" w:rsidR="00961187" w:rsidRPr="00116C00" w:rsidRDefault="00961187" w:rsidP="00A41915">
      <w:pPr>
        <w:ind w:left="851"/>
        <w:rPr>
          <w:color w:val="000000"/>
          <w:sz w:val="24"/>
          <w:szCs w:val="24"/>
          <w:lang w:eastAsia="en-GB"/>
        </w:rPr>
      </w:pPr>
    </w:p>
    <w:p w14:paraId="70B6DB6C" w14:textId="77777777" w:rsidR="00961187" w:rsidRPr="00116C00" w:rsidRDefault="00961187" w:rsidP="00A41915">
      <w:pPr>
        <w:ind w:left="851"/>
        <w:rPr>
          <w:color w:val="000000"/>
          <w:sz w:val="24"/>
          <w:szCs w:val="24"/>
        </w:rPr>
      </w:pPr>
      <w:r w:rsidRPr="00116C00">
        <w:rPr>
          <w:sz w:val="24"/>
          <w:szCs w:val="24"/>
        </w:rPr>
        <w:t xml:space="preserve">Smerter eller ubehag i øjnene, sløret syn, røde øjne med tendens til at se lysringe eller farvede pletter som følge af kongestion i </w:t>
      </w:r>
      <w:proofErr w:type="spellStart"/>
      <w:r w:rsidRPr="00116C00">
        <w:rPr>
          <w:sz w:val="24"/>
          <w:szCs w:val="24"/>
        </w:rPr>
        <w:t>konjunktiva</w:t>
      </w:r>
      <w:proofErr w:type="spellEnd"/>
      <w:r w:rsidRPr="00116C00">
        <w:rPr>
          <w:sz w:val="24"/>
          <w:szCs w:val="24"/>
        </w:rPr>
        <w:t xml:space="preserve"> eller ødem i </w:t>
      </w:r>
      <w:proofErr w:type="spellStart"/>
      <w:r w:rsidRPr="00116C00">
        <w:rPr>
          <w:sz w:val="24"/>
          <w:szCs w:val="24"/>
        </w:rPr>
        <w:t>cornea</w:t>
      </w:r>
      <w:proofErr w:type="spellEnd"/>
      <w:r w:rsidRPr="00116C00">
        <w:rPr>
          <w:sz w:val="24"/>
          <w:szCs w:val="24"/>
        </w:rPr>
        <w:t xml:space="preserve"> kan være tegn på akut snævervinklet </w:t>
      </w:r>
      <w:proofErr w:type="spellStart"/>
      <w:r w:rsidRPr="00116C00">
        <w:rPr>
          <w:sz w:val="24"/>
          <w:szCs w:val="24"/>
        </w:rPr>
        <w:t>glaukom</w:t>
      </w:r>
      <w:proofErr w:type="spellEnd"/>
      <w:r w:rsidRPr="00116C00">
        <w:rPr>
          <w:sz w:val="24"/>
          <w:szCs w:val="24"/>
        </w:rPr>
        <w:t xml:space="preserve">. Hvis et eller flere af disse symptomer forekommer, skal patienten behandles med </w:t>
      </w:r>
      <w:proofErr w:type="spellStart"/>
      <w:r w:rsidRPr="00116C00">
        <w:rPr>
          <w:sz w:val="24"/>
          <w:szCs w:val="24"/>
        </w:rPr>
        <w:t>miotiske</w:t>
      </w:r>
      <w:proofErr w:type="spellEnd"/>
      <w:r w:rsidRPr="00116C00">
        <w:rPr>
          <w:sz w:val="24"/>
          <w:szCs w:val="24"/>
        </w:rPr>
        <w:t xml:space="preserve"> øjendråber og tilses af en speciallæge med det samme</w:t>
      </w:r>
      <w:r w:rsidRPr="00116C00">
        <w:rPr>
          <w:color w:val="000000"/>
          <w:sz w:val="24"/>
          <w:szCs w:val="24"/>
        </w:rPr>
        <w:t>.</w:t>
      </w:r>
    </w:p>
    <w:p w14:paraId="320CC183" w14:textId="77777777" w:rsidR="00961187" w:rsidRPr="00116C00" w:rsidRDefault="00961187" w:rsidP="00A41915">
      <w:pPr>
        <w:ind w:left="851"/>
        <w:rPr>
          <w:color w:val="000000"/>
          <w:sz w:val="24"/>
          <w:szCs w:val="24"/>
          <w:lang w:eastAsia="en-GB"/>
        </w:rPr>
      </w:pPr>
    </w:p>
    <w:p w14:paraId="2E687B0F" w14:textId="77777777" w:rsidR="00961187" w:rsidRPr="00116C00" w:rsidRDefault="00961187" w:rsidP="00A41915">
      <w:pPr>
        <w:ind w:left="851"/>
        <w:rPr>
          <w:color w:val="000000"/>
          <w:sz w:val="24"/>
          <w:szCs w:val="24"/>
        </w:rPr>
      </w:pPr>
      <w:r w:rsidRPr="00116C00">
        <w:rPr>
          <w:color w:val="000000"/>
          <w:sz w:val="24"/>
          <w:szCs w:val="24"/>
        </w:rPr>
        <w:lastRenderedPageBreak/>
        <w:t xml:space="preserve">Patienterne skal instrueres i korrekt anvendelse af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w:t>
      </w:r>
      <w:r w:rsidRPr="00116C00">
        <w:rPr>
          <w:color w:val="000000"/>
          <w:sz w:val="24"/>
          <w:szCs w:val="24"/>
        </w:rPr>
        <w:t xml:space="preserve">og have at vide, at de skal undgå, at opløsningen eller tågen kommer ind i øjnene. Dette er særligt vigtigt hos patienter, der kan være prædisponeret for </w:t>
      </w:r>
      <w:proofErr w:type="spellStart"/>
      <w:r w:rsidRPr="00116C00">
        <w:rPr>
          <w:color w:val="000000"/>
          <w:sz w:val="24"/>
          <w:szCs w:val="24"/>
        </w:rPr>
        <w:t>glaukom</w:t>
      </w:r>
      <w:proofErr w:type="spellEnd"/>
      <w:r w:rsidRPr="00116C00">
        <w:rPr>
          <w:color w:val="000000"/>
          <w:sz w:val="24"/>
          <w:szCs w:val="24"/>
        </w:rPr>
        <w:t>. Disse patienter skal have specifikt at vide, at de skal beskytte deres øjne.</w:t>
      </w:r>
    </w:p>
    <w:p w14:paraId="7945B853" w14:textId="77777777" w:rsidR="00961187" w:rsidRPr="00116C00" w:rsidRDefault="00961187" w:rsidP="00A41915">
      <w:pPr>
        <w:ind w:left="851"/>
        <w:rPr>
          <w:sz w:val="24"/>
          <w:szCs w:val="24"/>
          <w:shd w:val="clear" w:color="auto" w:fill="FAF9F8"/>
        </w:rPr>
      </w:pPr>
    </w:p>
    <w:p w14:paraId="02BD4C1B" w14:textId="19EB7D0F" w:rsidR="00961187" w:rsidRPr="00116C00" w:rsidRDefault="00961187" w:rsidP="00A41915">
      <w:pPr>
        <w:ind w:left="851"/>
        <w:rPr>
          <w:sz w:val="24"/>
          <w:szCs w:val="24"/>
          <w:shd w:val="clear" w:color="auto" w:fill="FAF9F8"/>
        </w:rPr>
      </w:pPr>
      <w:r w:rsidRPr="00116C00">
        <w:rPr>
          <w:sz w:val="24"/>
          <w:szCs w:val="24"/>
        </w:rPr>
        <w:t xml:space="preserve">For at undgå at få dette lægemiddel i øjnene skal den forstøvede </w:t>
      </w:r>
      <w:proofErr w:type="spellStart"/>
      <w:r w:rsidRPr="00116C00">
        <w:rPr>
          <w:sz w:val="24"/>
          <w:szCs w:val="24"/>
        </w:rPr>
        <w:t>ipratropium</w:t>
      </w:r>
      <w:r w:rsidR="006D4893">
        <w:rPr>
          <w:sz w:val="24"/>
          <w:szCs w:val="24"/>
        </w:rPr>
        <w:softHyphen/>
      </w:r>
      <w:r w:rsidRPr="00116C00">
        <w:rPr>
          <w:sz w:val="24"/>
          <w:szCs w:val="24"/>
        </w:rPr>
        <w:t>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-opløsning til inhalation inhaleres ved hjælp af et mundstykke. Hvis et mundstykke ikke er tilgængeligt, og der i stedet skal anvendes en </w:t>
      </w:r>
      <w:proofErr w:type="spellStart"/>
      <w:r w:rsidRPr="00116C00">
        <w:rPr>
          <w:sz w:val="24"/>
          <w:szCs w:val="24"/>
        </w:rPr>
        <w:t>nebulisatormaske</w:t>
      </w:r>
      <w:proofErr w:type="spellEnd"/>
      <w:r w:rsidRPr="00116C00">
        <w:rPr>
          <w:sz w:val="24"/>
          <w:szCs w:val="24"/>
        </w:rPr>
        <w:t>, skal masken passe til patienten.</w:t>
      </w:r>
    </w:p>
    <w:p w14:paraId="331D5657" w14:textId="77777777" w:rsidR="00961187" w:rsidRPr="00116C00" w:rsidRDefault="00961187" w:rsidP="00A41915">
      <w:pPr>
        <w:ind w:left="851"/>
        <w:rPr>
          <w:color w:val="000000"/>
          <w:sz w:val="24"/>
          <w:szCs w:val="24"/>
          <w:lang w:eastAsia="en-GB"/>
        </w:rPr>
      </w:pPr>
    </w:p>
    <w:p w14:paraId="078619BC" w14:textId="77777777" w:rsidR="00961187" w:rsidRPr="003456A9" w:rsidRDefault="00961187" w:rsidP="00A41915">
      <w:pPr>
        <w:ind w:left="851"/>
        <w:rPr>
          <w:color w:val="000000"/>
          <w:sz w:val="24"/>
          <w:szCs w:val="24"/>
          <w:u w:val="single"/>
        </w:rPr>
      </w:pPr>
      <w:r w:rsidRPr="003456A9">
        <w:rPr>
          <w:color w:val="000000"/>
          <w:sz w:val="24"/>
          <w:szCs w:val="24"/>
          <w:u w:val="single"/>
        </w:rPr>
        <w:t>Systemiske bivirkninger</w:t>
      </w:r>
    </w:p>
    <w:p w14:paraId="3E95E869" w14:textId="77777777" w:rsidR="00961187" w:rsidRPr="00116C00" w:rsidRDefault="00961187" w:rsidP="00A41915">
      <w:pPr>
        <w:ind w:left="851"/>
        <w:rPr>
          <w:color w:val="000000"/>
          <w:sz w:val="24"/>
          <w:szCs w:val="24"/>
        </w:rPr>
      </w:pPr>
      <w:r w:rsidRPr="00116C00">
        <w:rPr>
          <w:color w:val="000000"/>
          <w:sz w:val="24"/>
          <w:szCs w:val="24"/>
        </w:rPr>
        <w:t xml:space="preserve">Ved følgende tilstande må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w:t>
      </w:r>
      <w:r w:rsidRPr="00116C00">
        <w:rPr>
          <w:color w:val="000000"/>
          <w:sz w:val="24"/>
          <w:szCs w:val="24"/>
        </w:rPr>
        <w:t>kun anvendes efter omhyggelig analyse af benefit/</w:t>
      </w:r>
      <w:proofErr w:type="spellStart"/>
      <w:r w:rsidRPr="00116C00">
        <w:rPr>
          <w:color w:val="000000"/>
          <w:sz w:val="24"/>
          <w:szCs w:val="24"/>
        </w:rPr>
        <w:t>risk</w:t>
      </w:r>
      <w:proofErr w:type="spellEnd"/>
      <w:r w:rsidRPr="00116C00">
        <w:rPr>
          <w:color w:val="000000"/>
          <w:sz w:val="24"/>
          <w:szCs w:val="24"/>
        </w:rPr>
        <w:t xml:space="preserve">-forholdet: nyligt myokardieinfarkt og/eller svær organisk hjerte-kar-sygdom, </w:t>
      </w:r>
      <w:proofErr w:type="spellStart"/>
      <w:r w:rsidRPr="00116C00">
        <w:rPr>
          <w:color w:val="000000"/>
          <w:sz w:val="24"/>
          <w:szCs w:val="24"/>
        </w:rPr>
        <w:t>fæokromocytom</w:t>
      </w:r>
      <w:proofErr w:type="spellEnd"/>
      <w:r w:rsidRPr="00116C00">
        <w:rPr>
          <w:color w:val="000000"/>
          <w:sz w:val="24"/>
          <w:szCs w:val="24"/>
        </w:rPr>
        <w:t xml:space="preserve">, prostatahypertrofi, blærehalsobstruktion, </w:t>
      </w:r>
      <w:proofErr w:type="spellStart"/>
      <w:r w:rsidRPr="00116C00">
        <w:rPr>
          <w:color w:val="000000"/>
          <w:sz w:val="24"/>
          <w:szCs w:val="24"/>
        </w:rPr>
        <w:t>hypertyreose</w:t>
      </w:r>
      <w:proofErr w:type="spellEnd"/>
      <w:r w:rsidRPr="00116C00">
        <w:rPr>
          <w:color w:val="000000"/>
          <w:sz w:val="24"/>
          <w:szCs w:val="24"/>
        </w:rPr>
        <w:t xml:space="preserve">, risiko for snævervinklet </w:t>
      </w:r>
      <w:proofErr w:type="spellStart"/>
      <w:r w:rsidRPr="00116C00">
        <w:rPr>
          <w:color w:val="000000"/>
          <w:sz w:val="24"/>
          <w:szCs w:val="24"/>
        </w:rPr>
        <w:t>glaukom</w:t>
      </w:r>
      <w:proofErr w:type="spellEnd"/>
      <w:r w:rsidRPr="00116C00">
        <w:rPr>
          <w:color w:val="000000"/>
          <w:sz w:val="24"/>
          <w:szCs w:val="24"/>
        </w:rPr>
        <w:t>, tarmobstruktion eller utilstrækkeligt kontrolleret diabetes mellitus.</w:t>
      </w:r>
    </w:p>
    <w:p w14:paraId="1801D6F1" w14:textId="77777777" w:rsidR="00961187" w:rsidRPr="00116C00" w:rsidRDefault="00961187" w:rsidP="00A41915">
      <w:pPr>
        <w:ind w:left="851"/>
        <w:rPr>
          <w:iCs/>
          <w:color w:val="000000"/>
          <w:sz w:val="24"/>
          <w:szCs w:val="24"/>
          <w:lang w:eastAsia="en-GB"/>
        </w:rPr>
      </w:pPr>
    </w:p>
    <w:p w14:paraId="199FAA61" w14:textId="77777777" w:rsidR="00961187" w:rsidRPr="00116C00" w:rsidRDefault="00961187" w:rsidP="00A41915">
      <w:pPr>
        <w:ind w:left="851"/>
        <w:rPr>
          <w:sz w:val="24"/>
          <w:szCs w:val="24"/>
        </w:rPr>
      </w:pPr>
      <w:r w:rsidRPr="00116C00">
        <w:rPr>
          <w:sz w:val="24"/>
          <w:szCs w:val="24"/>
        </w:rPr>
        <w:t xml:space="preserve">Det anbefales at overvåge blodsukkeret i starten ved behandling af patienter med diabetes på grund af den øgede risiko for </w:t>
      </w:r>
      <w:proofErr w:type="spellStart"/>
      <w:r w:rsidRPr="00116C00">
        <w:rPr>
          <w:sz w:val="24"/>
          <w:szCs w:val="24"/>
        </w:rPr>
        <w:t>hyperglykæmi</w:t>
      </w:r>
      <w:proofErr w:type="spellEnd"/>
      <w:r w:rsidRPr="00116C00">
        <w:rPr>
          <w:sz w:val="24"/>
          <w:szCs w:val="24"/>
        </w:rPr>
        <w:t>.</w:t>
      </w:r>
    </w:p>
    <w:p w14:paraId="1D580203" w14:textId="77777777" w:rsidR="00961187" w:rsidRPr="00116C00" w:rsidRDefault="00961187" w:rsidP="00A41915">
      <w:pPr>
        <w:ind w:left="851"/>
        <w:rPr>
          <w:sz w:val="24"/>
          <w:szCs w:val="24"/>
          <w:lang w:eastAsia="en-GB"/>
        </w:rPr>
      </w:pPr>
    </w:p>
    <w:p w14:paraId="5451FE76" w14:textId="77777777" w:rsidR="00961187" w:rsidRPr="003456A9" w:rsidRDefault="00961187" w:rsidP="00A41915">
      <w:pPr>
        <w:ind w:left="851"/>
        <w:rPr>
          <w:color w:val="000000"/>
          <w:sz w:val="24"/>
          <w:szCs w:val="24"/>
          <w:u w:val="single"/>
        </w:rPr>
      </w:pPr>
      <w:proofErr w:type="spellStart"/>
      <w:r w:rsidRPr="003456A9">
        <w:rPr>
          <w:color w:val="000000"/>
          <w:sz w:val="24"/>
          <w:szCs w:val="24"/>
          <w:u w:val="single"/>
        </w:rPr>
        <w:t>Laktacidose</w:t>
      </w:r>
      <w:proofErr w:type="spellEnd"/>
    </w:p>
    <w:p w14:paraId="689BD8BF" w14:textId="77777777" w:rsidR="00961187" w:rsidRPr="00116C00" w:rsidRDefault="00961187" w:rsidP="00A41915">
      <w:pPr>
        <w:ind w:left="851"/>
        <w:rPr>
          <w:color w:val="000000"/>
          <w:sz w:val="24"/>
          <w:szCs w:val="24"/>
        </w:rPr>
      </w:pPr>
      <w:r w:rsidRPr="00116C00">
        <w:rPr>
          <w:color w:val="000000"/>
          <w:sz w:val="24"/>
          <w:szCs w:val="24"/>
        </w:rPr>
        <w:t xml:space="preserve">Der er rapporteret om </w:t>
      </w:r>
      <w:proofErr w:type="spellStart"/>
      <w:r w:rsidRPr="00116C00">
        <w:rPr>
          <w:color w:val="000000"/>
          <w:sz w:val="24"/>
          <w:szCs w:val="24"/>
        </w:rPr>
        <w:t>laktacidose</w:t>
      </w:r>
      <w:proofErr w:type="spellEnd"/>
      <w:r w:rsidRPr="00116C00">
        <w:rPr>
          <w:color w:val="000000"/>
          <w:sz w:val="24"/>
          <w:szCs w:val="24"/>
        </w:rPr>
        <w:t xml:space="preserve"> i forbindelse med høje terapeutiske doser af intravenøse og forstøvede korttidsvirkende beta-2-agonister, og det har hovedsagelig været hos patienter i behandling for akut forværring af </w:t>
      </w:r>
      <w:proofErr w:type="spellStart"/>
      <w:r w:rsidRPr="00116C00">
        <w:rPr>
          <w:color w:val="000000"/>
          <w:sz w:val="24"/>
          <w:szCs w:val="24"/>
        </w:rPr>
        <w:t>bronkospasme</w:t>
      </w:r>
      <w:proofErr w:type="spellEnd"/>
      <w:r w:rsidRPr="00116C00">
        <w:rPr>
          <w:color w:val="000000"/>
          <w:sz w:val="24"/>
          <w:szCs w:val="24"/>
        </w:rPr>
        <w:t xml:space="preserve"> ved svær astma eller kronisk obstruktiv lungesygdom (se pkt. 4.8 og 4.9). Forhøjet laktatniveau kan føre til dyspnø og kompensatorisk hyperventilation, hvilket kan fejlfortolkes som et tegn på svigt af astmabehandling og føre til en uhensigtsmæssig intensivering af behandlingen med korttidsvirkende beta-2-agonister. Det anbefales derfor, at patienterne overvåges for udvikling af forhøjet serumlaktat og deraf følgende metabolisk </w:t>
      </w:r>
      <w:proofErr w:type="spellStart"/>
      <w:r w:rsidRPr="00116C00">
        <w:rPr>
          <w:color w:val="000000"/>
          <w:sz w:val="24"/>
          <w:szCs w:val="24"/>
        </w:rPr>
        <w:t>acidose</w:t>
      </w:r>
      <w:proofErr w:type="spellEnd"/>
      <w:r w:rsidRPr="00116C00">
        <w:rPr>
          <w:color w:val="000000"/>
          <w:sz w:val="24"/>
          <w:szCs w:val="24"/>
        </w:rPr>
        <w:t>.</w:t>
      </w:r>
    </w:p>
    <w:p w14:paraId="3DD6F619" w14:textId="77777777" w:rsidR="00961187" w:rsidRPr="00116C00" w:rsidRDefault="00961187" w:rsidP="00A41915">
      <w:pPr>
        <w:ind w:left="851"/>
        <w:rPr>
          <w:color w:val="000000"/>
          <w:sz w:val="24"/>
          <w:szCs w:val="24"/>
          <w:lang w:eastAsia="en-GB"/>
        </w:rPr>
      </w:pPr>
    </w:p>
    <w:p w14:paraId="7AABE755" w14:textId="77777777" w:rsidR="00961187" w:rsidRPr="003456A9" w:rsidRDefault="00961187" w:rsidP="00A41915">
      <w:pPr>
        <w:ind w:left="851"/>
        <w:rPr>
          <w:color w:val="000000"/>
          <w:sz w:val="24"/>
          <w:szCs w:val="24"/>
          <w:u w:val="single"/>
        </w:rPr>
      </w:pPr>
      <w:proofErr w:type="spellStart"/>
      <w:r w:rsidRPr="003456A9">
        <w:rPr>
          <w:color w:val="000000"/>
          <w:sz w:val="24"/>
          <w:szCs w:val="24"/>
          <w:u w:val="single"/>
        </w:rPr>
        <w:t>Kardiovaskulære</w:t>
      </w:r>
      <w:proofErr w:type="spellEnd"/>
      <w:r w:rsidRPr="003456A9">
        <w:rPr>
          <w:color w:val="000000"/>
          <w:sz w:val="24"/>
          <w:szCs w:val="24"/>
          <w:u w:val="single"/>
        </w:rPr>
        <w:t xml:space="preserve"> bivirkninger</w:t>
      </w:r>
    </w:p>
    <w:p w14:paraId="2FD6A84F" w14:textId="77777777" w:rsidR="00961187" w:rsidRPr="00116C00" w:rsidRDefault="00961187" w:rsidP="00A41915">
      <w:pPr>
        <w:ind w:left="851"/>
        <w:rPr>
          <w:color w:val="000000"/>
          <w:sz w:val="24"/>
          <w:szCs w:val="24"/>
        </w:rPr>
      </w:pPr>
      <w:proofErr w:type="spellStart"/>
      <w:r w:rsidRPr="00116C00">
        <w:rPr>
          <w:color w:val="000000"/>
          <w:sz w:val="24"/>
          <w:szCs w:val="24"/>
        </w:rPr>
        <w:t>Kardiovaskulære</w:t>
      </w:r>
      <w:proofErr w:type="spellEnd"/>
      <w:r w:rsidRPr="00116C00">
        <w:rPr>
          <w:color w:val="000000"/>
          <w:sz w:val="24"/>
          <w:szCs w:val="24"/>
        </w:rPr>
        <w:t xml:space="preserve"> bivirkninger kan ses ved </w:t>
      </w:r>
      <w:proofErr w:type="spellStart"/>
      <w:r w:rsidRPr="00116C00">
        <w:rPr>
          <w:color w:val="000000"/>
          <w:sz w:val="24"/>
          <w:szCs w:val="24"/>
        </w:rPr>
        <w:t>sympatomimetiske</w:t>
      </w:r>
      <w:proofErr w:type="spellEnd"/>
      <w:r w:rsidRPr="00116C00">
        <w:rPr>
          <w:color w:val="000000"/>
          <w:sz w:val="24"/>
          <w:szCs w:val="24"/>
        </w:rPr>
        <w:t xml:space="preserve"> lægemidler, herunder</w:t>
      </w:r>
      <w:r w:rsidRPr="00116C00">
        <w:rPr>
          <w:sz w:val="24"/>
          <w:szCs w:val="24"/>
        </w:rPr>
        <w:t xml:space="preserve">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color w:val="000000"/>
          <w:sz w:val="24"/>
          <w:szCs w:val="24"/>
        </w:rPr>
        <w:t xml:space="preserve">. I henhold til data efter markedsføringen og offentliggjort litteratur er der en vis evidens for, at der i sjældne tilfælde kan forekomme </w:t>
      </w:r>
      <w:proofErr w:type="spellStart"/>
      <w:r w:rsidRPr="00116C00">
        <w:rPr>
          <w:color w:val="000000"/>
          <w:sz w:val="24"/>
          <w:szCs w:val="24"/>
        </w:rPr>
        <w:t>myokardieiskæmi</w:t>
      </w:r>
      <w:proofErr w:type="spellEnd"/>
      <w:r w:rsidRPr="00116C00">
        <w:rPr>
          <w:color w:val="000000"/>
          <w:sz w:val="24"/>
          <w:szCs w:val="24"/>
        </w:rPr>
        <w:t xml:space="preserve"> ved brug af </w:t>
      </w:r>
      <w:proofErr w:type="spellStart"/>
      <w:r w:rsidRPr="00116C00">
        <w:rPr>
          <w:color w:val="000000"/>
          <w:sz w:val="24"/>
          <w:szCs w:val="24"/>
        </w:rPr>
        <w:t>salbutamol</w:t>
      </w:r>
      <w:proofErr w:type="spellEnd"/>
      <w:r w:rsidRPr="00116C00">
        <w:rPr>
          <w:color w:val="000000"/>
          <w:sz w:val="24"/>
          <w:szCs w:val="24"/>
        </w:rPr>
        <w:t xml:space="preserve">. Patienter med underliggende svær hjertesygdom (f.eks. iskæmisk hjertesygdom, </w:t>
      </w:r>
      <w:proofErr w:type="spellStart"/>
      <w:r w:rsidRPr="00116C00">
        <w:rPr>
          <w:color w:val="000000"/>
          <w:sz w:val="24"/>
          <w:szCs w:val="24"/>
        </w:rPr>
        <w:t>arytmi</w:t>
      </w:r>
      <w:proofErr w:type="spellEnd"/>
      <w:r w:rsidRPr="00116C00">
        <w:rPr>
          <w:color w:val="000000"/>
          <w:sz w:val="24"/>
          <w:szCs w:val="24"/>
        </w:rPr>
        <w:t xml:space="preserve"> eller svær hjerteinsufficiens), der tager </w:t>
      </w:r>
      <w:proofErr w:type="spellStart"/>
      <w:r w:rsidRPr="00116C00">
        <w:rPr>
          <w:color w:val="000000"/>
          <w:sz w:val="24"/>
          <w:szCs w:val="24"/>
        </w:rPr>
        <w:t>salbutamol</w:t>
      </w:r>
      <w:proofErr w:type="spellEnd"/>
      <w:r w:rsidRPr="00116C00">
        <w:rPr>
          <w:color w:val="000000"/>
          <w:sz w:val="24"/>
          <w:szCs w:val="24"/>
        </w:rPr>
        <w:t xml:space="preserve"> mod respiratorisk sygdom, skal opfordres til at søge lægehjælp, hvis de oplever brystsmerter eller andre symptomer på forværring af hjertesygdom. Man skal være særligt opmærksom ved vurdering af symptomer som f.eks. dyspnø og brystsmerter, da disse symptomer kan have enten luftvejs- eller hjerterelateret oprindelse.</w:t>
      </w:r>
    </w:p>
    <w:p w14:paraId="59039F10" w14:textId="77777777" w:rsidR="00961187" w:rsidRPr="00116C00" w:rsidRDefault="00961187" w:rsidP="00A41915">
      <w:pPr>
        <w:ind w:left="851"/>
        <w:rPr>
          <w:iCs/>
          <w:sz w:val="24"/>
          <w:szCs w:val="24"/>
        </w:rPr>
      </w:pPr>
    </w:p>
    <w:p w14:paraId="7AFA03C6" w14:textId="77777777" w:rsidR="00961187" w:rsidRPr="003456A9" w:rsidRDefault="00961187" w:rsidP="00A41915">
      <w:pPr>
        <w:ind w:left="851"/>
        <w:rPr>
          <w:color w:val="000000"/>
          <w:sz w:val="24"/>
          <w:szCs w:val="24"/>
          <w:u w:val="single"/>
        </w:rPr>
      </w:pPr>
      <w:proofErr w:type="spellStart"/>
      <w:r w:rsidRPr="003456A9">
        <w:rPr>
          <w:color w:val="000000"/>
          <w:sz w:val="24"/>
          <w:szCs w:val="24"/>
          <w:u w:val="single"/>
        </w:rPr>
        <w:t>Hypokaliæmi</w:t>
      </w:r>
      <w:proofErr w:type="spellEnd"/>
    </w:p>
    <w:p w14:paraId="646FB066" w14:textId="77777777" w:rsidR="00961187" w:rsidRPr="00116C00" w:rsidRDefault="00961187" w:rsidP="00A41915">
      <w:pPr>
        <w:ind w:left="851"/>
        <w:rPr>
          <w:color w:val="000000"/>
          <w:sz w:val="24"/>
          <w:szCs w:val="24"/>
        </w:rPr>
      </w:pPr>
      <w:r w:rsidRPr="00116C00">
        <w:rPr>
          <w:color w:val="000000"/>
          <w:sz w:val="24"/>
          <w:szCs w:val="24"/>
        </w:rPr>
        <w:t xml:space="preserve">Beta-2-agonister kan forårsage potentielt svær </w:t>
      </w:r>
      <w:proofErr w:type="spellStart"/>
      <w:r w:rsidRPr="00116C00">
        <w:rPr>
          <w:color w:val="000000"/>
          <w:sz w:val="24"/>
          <w:szCs w:val="24"/>
        </w:rPr>
        <w:t>hypokaliæmi</w:t>
      </w:r>
      <w:proofErr w:type="spellEnd"/>
      <w:r w:rsidRPr="00116C00">
        <w:rPr>
          <w:sz w:val="24"/>
          <w:szCs w:val="24"/>
        </w:rPr>
        <w:t xml:space="preserve">, hvilket kan være alvorligt, især ved samtidig </w:t>
      </w:r>
      <w:proofErr w:type="spellStart"/>
      <w:r w:rsidRPr="00116C00">
        <w:rPr>
          <w:sz w:val="24"/>
          <w:szCs w:val="24"/>
        </w:rPr>
        <w:t>hypoksi</w:t>
      </w:r>
      <w:proofErr w:type="spellEnd"/>
      <w:r w:rsidRPr="00116C00">
        <w:rPr>
          <w:sz w:val="24"/>
          <w:szCs w:val="24"/>
        </w:rPr>
        <w:t xml:space="preserve"> (se pkt. 4.5)</w:t>
      </w:r>
      <w:r w:rsidRPr="00116C00">
        <w:rPr>
          <w:color w:val="000000"/>
          <w:sz w:val="24"/>
          <w:szCs w:val="24"/>
        </w:rPr>
        <w:t xml:space="preserve">. Desuden kan </w:t>
      </w:r>
      <w:proofErr w:type="spellStart"/>
      <w:r w:rsidRPr="00116C00">
        <w:rPr>
          <w:color w:val="000000"/>
          <w:sz w:val="24"/>
          <w:szCs w:val="24"/>
        </w:rPr>
        <w:t>hypoksi</w:t>
      </w:r>
      <w:proofErr w:type="spellEnd"/>
      <w:r w:rsidRPr="00116C00">
        <w:rPr>
          <w:color w:val="000000"/>
          <w:sz w:val="24"/>
          <w:szCs w:val="24"/>
        </w:rPr>
        <w:t xml:space="preserve"> forstærke </w:t>
      </w:r>
      <w:proofErr w:type="spellStart"/>
      <w:r w:rsidRPr="00116C00">
        <w:rPr>
          <w:color w:val="000000"/>
          <w:sz w:val="24"/>
          <w:szCs w:val="24"/>
        </w:rPr>
        <w:t>hypokaliæmiens</w:t>
      </w:r>
      <w:proofErr w:type="spellEnd"/>
      <w:r w:rsidRPr="00116C00">
        <w:rPr>
          <w:color w:val="000000"/>
          <w:sz w:val="24"/>
          <w:szCs w:val="24"/>
        </w:rPr>
        <w:t xml:space="preserve"> indvirkning på hjerterytmen (navnlig hos patienter, der får </w:t>
      </w:r>
      <w:proofErr w:type="spellStart"/>
      <w:r w:rsidRPr="00116C00">
        <w:rPr>
          <w:color w:val="000000"/>
          <w:sz w:val="24"/>
          <w:szCs w:val="24"/>
        </w:rPr>
        <w:t>digoxin</w:t>
      </w:r>
      <w:proofErr w:type="spellEnd"/>
      <w:r w:rsidRPr="00116C00">
        <w:rPr>
          <w:color w:val="000000"/>
          <w:sz w:val="24"/>
          <w:szCs w:val="24"/>
        </w:rPr>
        <w:t>). I disse tilfælde anbefales det at overvåge kaliumniveauet i serum.</w:t>
      </w:r>
    </w:p>
    <w:p w14:paraId="2BCF216E" w14:textId="77777777" w:rsidR="00961187" w:rsidRPr="00116C00" w:rsidRDefault="00961187" w:rsidP="00A41915">
      <w:pPr>
        <w:ind w:left="851"/>
        <w:rPr>
          <w:color w:val="000000"/>
          <w:sz w:val="24"/>
          <w:szCs w:val="24"/>
          <w:lang w:eastAsia="en-GB"/>
        </w:rPr>
      </w:pPr>
    </w:p>
    <w:p w14:paraId="444253C6" w14:textId="77777777" w:rsidR="00961187" w:rsidRPr="003456A9" w:rsidRDefault="00961187" w:rsidP="00A41915">
      <w:pPr>
        <w:ind w:left="851"/>
        <w:rPr>
          <w:color w:val="000000"/>
          <w:sz w:val="24"/>
          <w:szCs w:val="24"/>
          <w:u w:val="single"/>
        </w:rPr>
      </w:pPr>
      <w:proofErr w:type="spellStart"/>
      <w:r w:rsidRPr="003456A9">
        <w:rPr>
          <w:color w:val="000000"/>
          <w:sz w:val="24"/>
          <w:szCs w:val="24"/>
          <w:u w:val="single"/>
        </w:rPr>
        <w:t>Gastrointestinale</w:t>
      </w:r>
      <w:proofErr w:type="spellEnd"/>
      <w:r w:rsidRPr="003456A9">
        <w:rPr>
          <w:color w:val="000000"/>
          <w:sz w:val="24"/>
          <w:szCs w:val="24"/>
          <w:u w:val="single"/>
        </w:rPr>
        <w:t xml:space="preserve"> </w:t>
      </w:r>
      <w:proofErr w:type="spellStart"/>
      <w:r w:rsidRPr="003456A9">
        <w:rPr>
          <w:color w:val="000000"/>
          <w:sz w:val="24"/>
          <w:szCs w:val="24"/>
          <w:u w:val="single"/>
        </w:rPr>
        <w:t>motilitetsforstyrrelser</w:t>
      </w:r>
      <w:proofErr w:type="spellEnd"/>
    </w:p>
    <w:p w14:paraId="3F94B277" w14:textId="77777777" w:rsidR="00961187" w:rsidRPr="00116C00" w:rsidRDefault="00961187" w:rsidP="00A41915">
      <w:pPr>
        <w:ind w:left="851"/>
        <w:rPr>
          <w:sz w:val="24"/>
          <w:szCs w:val="24"/>
        </w:rPr>
      </w:pPr>
      <w:r w:rsidRPr="00116C00">
        <w:rPr>
          <w:color w:val="000000"/>
          <w:sz w:val="24"/>
          <w:szCs w:val="24"/>
        </w:rPr>
        <w:t xml:space="preserve">Patienter med cystisk fibrose kan være mere tilbøjelige til at opleve </w:t>
      </w:r>
      <w:proofErr w:type="spellStart"/>
      <w:r w:rsidRPr="00116C00">
        <w:rPr>
          <w:color w:val="000000"/>
          <w:sz w:val="24"/>
          <w:szCs w:val="24"/>
        </w:rPr>
        <w:t>gastrointestinale</w:t>
      </w:r>
      <w:proofErr w:type="spellEnd"/>
      <w:r w:rsidRPr="00116C00">
        <w:rPr>
          <w:color w:val="000000"/>
          <w:sz w:val="24"/>
          <w:szCs w:val="24"/>
        </w:rPr>
        <w:t xml:space="preserve"> </w:t>
      </w:r>
      <w:proofErr w:type="spellStart"/>
      <w:r w:rsidRPr="00116C00">
        <w:rPr>
          <w:color w:val="000000"/>
          <w:sz w:val="24"/>
          <w:szCs w:val="24"/>
        </w:rPr>
        <w:t>motilitetsforstyrrelser</w:t>
      </w:r>
      <w:proofErr w:type="spellEnd"/>
      <w:r w:rsidRPr="00116C00">
        <w:rPr>
          <w:color w:val="000000"/>
          <w:sz w:val="24"/>
          <w:szCs w:val="24"/>
        </w:rPr>
        <w:t xml:space="preserve">, </w:t>
      </w:r>
      <w:r w:rsidRPr="00116C00">
        <w:rPr>
          <w:rStyle w:val="cf01"/>
          <w:rFonts w:ascii="Times New Roman" w:hAnsi="Times New Roman" w:cs="Times New Roman"/>
          <w:sz w:val="24"/>
          <w:szCs w:val="24"/>
        </w:rPr>
        <w:t xml:space="preserve">og derfor skal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 xml:space="preserve"> ligesom andre </w:t>
      </w:r>
      <w:proofErr w:type="spellStart"/>
      <w:r w:rsidRPr="00116C00">
        <w:rPr>
          <w:rStyle w:val="cf01"/>
          <w:rFonts w:ascii="Times New Roman" w:hAnsi="Times New Roman" w:cs="Times New Roman"/>
          <w:sz w:val="24"/>
          <w:szCs w:val="24"/>
        </w:rPr>
        <w:t>antikolinergika</w:t>
      </w:r>
      <w:proofErr w:type="spellEnd"/>
      <w:r w:rsidRPr="00116C00">
        <w:rPr>
          <w:rStyle w:val="cf01"/>
          <w:rFonts w:ascii="Times New Roman" w:hAnsi="Times New Roman" w:cs="Times New Roman"/>
          <w:sz w:val="24"/>
          <w:szCs w:val="24"/>
        </w:rPr>
        <w:t xml:space="preserve"> anvendes med forsigtighed hos disse patienter.</w:t>
      </w:r>
    </w:p>
    <w:p w14:paraId="468F4969" w14:textId="77777777" w:rsidR="00961187" w:rsidRPr="00116C00" w:rsidRDefault="00961187" w:rsidP="00A41915">
      <w:pPr>
        <w:ind w:left="851"/>
        <w:rPr>
          <w:color w:val="000000"/>
          <w:sz w:val="24"/>
          <w:szCs w:val="24"/>
          <w:lang w:eastAsia="en-GB"/>
        </w:rPr>
      </w:pPr>
    </w:p>
    <w:p w14:paraId="0200143E" w14:textId="77777777" w:rsidR="00961187" w:rsidRPr="003456A9" w:rsidRDefault="00961187" w:rsidP="00A41915">
      <w:pPr>
        <w:ind w:left="851"/>
        <w:rPr>
          <w:sz w:val="24"/>
          <w:szCs w:val="24"/>
          <w:u w:val="single"/>
        </w:rPr>
      </w:pPr>
      <w:r w:rsidRPr="003456A9">
        <w:rPr>
          <w:color w:val="000000"/>
          <w:sz w:val="24"/>
          <w:szCs w:val="24"/>
          <w:u w:val="single"/>
        </w:rPr>
        <w:t>Karies</w:t>
      </w:r>
    </w:p>
    <w:p w14:paraId="581552DB" w14:textId="77777777" w:rsidR="00961187" w:rsidRPr="00116C00" w:rsidRDefault="00961187" w:rsidP="00A41915">
      <w:pPr>
        <w:ind w:left="851"/>
        <w:rPr>
          <w:sz w:val="24"/>
          <w:szCs w:val="24"/>
        </w:rPr>
      </w:pPr>
      <w:r w:rsidRPr="00116C00">
        <w:rPr>
          <w:sz w:val="24"/>
          <w:szCs w:val="24"/>
        </w:rPr>
        <w:t>Ved mundtørhed er det vigtigt at have en god mundhygiejne på grund af den øgede risiko for karies.</w:t>
      </w:r>
    </w:p>
    <w:p w14:paraId="45188E93" w14:textId="77777777" w:rsidR="00961187" w:rsidRPr="00116C00" w:rsidRDefault="00961187" w:rsidP="00A41915">
      <w:pPr>
        <w:ind w:left="851"/>
        <w:rPr>
          <w:color w:val="000000"/>
          <w:sz w:val="24"/>
          <w:szCs w:val="24"/>
          <w:lang w:eastAsia="en-GB"/>
        </w:rPr>
      </w:pPr>
    </w:p>
    <w:p w14:paraId="5A228746" w14:textId="77777777" w:rsidR="00961187" w:rsidRPr="003456A9" w:rsidRDefault="00961187" w:rsidP="00A41915">
      <w:pPr>
        <w:ind w:left="851"/>
        <w:rPr>
          <w:color w:val="000000"/>
          <w:sz w:val="24"/>
          <w:szCs w:val="24"/>
          <w:u w:val="single"/>
        </w:rPr>
      </w:pPr>
      <w:r w:rsidRPr="003456A9">
        <w:rPr>
          <w:color w:val="000000"/>
          <w:sz w:val="24"/>
          <w:szCs w:val="24"/>
          <w:u w:val="single"/>
        </w:rPr>
        <w:t>Interferens med laboratorieprøver og andre diagnostiske foranstaltninger</w:t>
      </w:r>
    </w:p>
    <w:p w14:paraId="79AC7B84" w14:textId="77777777" w:rsidR="00961187" w:rsidRPr="00116C00" w:rsidRDefault="00961187" w:rsidP="00A41915">
      <w:pPr>
        <w:ind w:left="851"/>
        <w:rPr>
          <w:color w:val="000000"/>
          <w:sz w:val="24"/>
          <w:szCs w:val="24"/>
        </w:rPr>
      </w:pPr>
      <w:r w:rsidRPr="00116C00">
        <w:rPr>
          <w:color w:val="000000"/>
          <w:sz w:val="24"/>
          <w:szCs w:val="24"/>
        </w:rPr>
        <w:t xml:space="preserve">Anvendelse af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w:t>
      </w:r>
      <w:r w:rsidRPr="00116C00">
        <w:rPr>
          <w:color w:val="000000"/>
          <w:sz w:val="24"/>
          <w:szCs w:val="24"/>
        </w:rPr>
        <w:t xml:space="preserve">kan i test for stofmisbrug medføre positive resultater, hvad angår </w:t>
      </w:r>
      <w:proofErr w:type="spellStart"/>
      <w:r w:rsidRPr="00116C00">
        <w:rPr>
          <w:color w:val="000000"/>
          <w:sz w:val="24"/>
          <w:szCs w:val="24"/>
        </w:rPr>
        <w:t>salbutamol</w:t>
      </w:r>
      <w:proofErr w:type="spellEnd"/>
      <w:r w:rsidRPr="00116C00">
        <w:rPr>
          <w:color w:val="000000"/>
          <w:sz w:val="24"/>
          <w:szCs w:val="24"/>
        </w:rPr>
        <w:t>.</w:t>
      </w:r>
    </w:p>
    <w:p w14:paraId="331B497C" w14:textId="77777777" w:rsidR="009260DE" w:rsidRPr="00116C00" w:rsidRDefault="009260DE" w:rsidP="009260DE">
      <w:pPr>
        <w:tabs>
          <w:tab w:val="left" w:pos="851"/>
        </w:tabs>
        <w:ind w:left="851"/>
        <w:rPr>
          <w:sz w:val="24"/>
          <w:szCs w:val="24"/>
        </w:rPr>
      </w:pPr>
    </w:p>
    <w:p w14:paraId="38DEE2BA" w14:textId="77777777" w:rsidR="009260DE" w:rsidRPr="00116C00" w:rsidRDefault="009260DE" w:rsidP="009260DE">
      <w:pPr>
        <w:tabs>
          <w:tab w:val="left" w:pos="851"/>
        </w:tabs>
        <w:ind w:left="851" w:hanging="851"/>
        <w:rPr>
          <w:b/>
          <w:sz w:val="24"/>
          <w:szCs w:val="24"/>
        </w:rPr>
      </w:pPr>
      <w:r w:rsidRPr="00116C00">
        <w:rPr>
          <w:b/>
          <w:sz w:val="24"/>
          <w:szCs w:val="24"/>
        </w:rPr>
        <w:t>4.5</w:t>
      </w:r>
      <w:r w:rsidRPr="00116C00">
        <w:rPr>
          <w:b/>
          <w:sz w:val="24"/>
          <w:szCs w:val="24"/>
        </w:rPr>
        <w:tab/>
        <w:t>Interaktion med andre lægemidler og andre former for interaktion</w:t>
      </w:r>
    </w:p>
    <w:p w14:paraId="7F405840" w14:textId="77777777" w:rsidR="00961187" w:rsidRPr="00116C00" w:rsidRDefault="00961187" w:rsidP="00A41915">
      <w:pPr>
        <w:ind w:left="851"/>
        <w:rPr>
          <w:sz w:val="24"/>
          <w:szCs w:val="24"/>
        </w:rPr>
      </w:pPr>
      <w:r w:rsidRPr="00116C00">
        <w:rPr>
          <w:sz w:val="24"/>
          <w:szCs w:val="24"/>
        </w:rPr>
        <w:t xml:space="preserve">Længerevarende samtidig administration af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og andre </w:t>
      </w:r>
      <w:proofErr w:type="spellStart"/>
      <w:r w:rsidRPr="00116C00">
        <w:rPr>
          <w:sz w:val="24"/>
          <w:szCs w:val="24"/>
        </w:rPr>
        <w:t>antikolinerge</w:t>
      </w:r>
      <w:proofErr w:type="spellEnd"/>
      <w:r w:rsidRPr="00116C00">
        <w:rPr>
          <w:sz w:val="24"/>
          <w:szCs w:val="24"/>
        </w:rPr>
        <w:t xml:space="preserve"> lægemidler er ikke undersøgt. Langvarig samtidig administration af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og andre </w:t>
      </w:r>
      <w:proofErr w:type="spellStart"/>
      <w:r w:rsidRPr="00116C00">
        <w:rPr>
          <w:sz w:val="24"/>
          <w:szCs w:val="24"/>
        </w:rPr>
        <w:t>antikolinerge</w:t>
      </w:r>
      <w:proofErr w:type="spellEnd"/>
      <w:r w:rsidRPr="00116C00">
        <w:rPr>
          <w:sz w:val="24"/>
          <w:szCs w:val="24"/>
        </w:rPr>
        <w:t xml:space="preserve"> lægemidler anbefales derfor ikke.</w:t>
      </w:r>
    </w:p>
    <w:p w14:paraId="6286991E" w14:textId="77777777" w:rsidR="00961187" w:rsidRPr="00116C00" w:rsidRDefault="00961187" w:rsidP="00A41915">
      <w:pPr>
        <w:ind w:left="851"/>
        <w:rPr>
          <w:rStyle w:val="cf01"/>
          <w:rFonts w:ascii="Times New Roman" w:hAnsi="Times New Roman" w:cs="Times New Roman"/>
          <w:sz w:val="24"/>
          <w:szCs w:val="24"/>
        </w:rPr>
      </w:pPr>
    </w:p>
    <w:p w14:paraId="60ACF621" w14:textId="77777777" w:rsidR="00961187" w:rsidRPr="00116C00" w:rsidRDefault="00961187" w:rsidP="00A41915">
      <w:pPr>
        <w:ind w:left="851"/>
        <w:rPr>
          <w:sz w:val="24"/>
          <w:szCs w:val="24"/>
        </w:rPr>
      </w:pPr>
      <w:r w:rsidRPr="00116C00">
        <w:rPr>
          <w:rStyle w:val="cf01"/>
          <w:rFonts w:ascii="Times New Roman" w:hAnsi="Times New Roman" w:cs="Times New Roman"/>
          <w:sz w:val="24"/>
          <w:szCs w:val="24"/>
        </w:rPr>
        <w:t xml:space="preserve">Samtidig brug af </w:t>
      </w:r>
      <w:proofErr w:type="spellStart"/>
      <w:r w:rsidRPr="00116C00">
        <w:rPr>
          <w:rStyle w:val="cf01"/>
          <w:rFonts w:ascii="Times New Roman" w:hAnsi="Times New Roman" w:cs="Times New Roman"/>
          <w:sz w:val="24"/>
          <w:szCs w:val="24"/>
        </w:rPr>
        <w:t>kortikosteroider</w:t>
      </w:r>
      <w:proofErr w:type="spellEnd"/>
      <w:r w:rsidRPr="00116C00">
        <w:rPr>
          <w:rStyle w:val="cf01"/>
          <w:rFonts w:ascii="Times New Roman" w:hAnsi="Times New Roman" w:cs="Times New Roman"/>
          <w:sz w:val="24"/>
          <w:szCs w:val="24"/>
        </w:rPr>
        <w:t xml:space="preserve"> (f.eks. </w:t>
      </w:r>
      <w:proofErr w:type="spellStart"/>
      <w:r w:rsidRPr="00116C00">
        <w:rPr>
          <w:rStyle w:val="cf01"/>
          <w:rFonts w:ascii="Times New Roman" w:hAnsi="Times New Roman" w:cs="Times New Roman"/>
          <w:sz w:val="24"/>
          <w:szCs w:val="24"/>
        </w:rPr>
        <w:t>prednisolon</w:t>
      </w:r>
      <w:proofErr w:type="spellEnd"/>
      <w:r w:rsidRPr="00116C00">
        <w:rPr>
          <w:rStyle w:val="cf01"/>
          <w:rFonts w:ascii="Times New Roman" w:hAnsi="Times New Roman" w:cs="Times New Roman"/>
          <w:sz w:val="24"/>
          <w:szCs w:val="24"/>
        </w:rPr>
        <w:t xml:space="preserve">), beta-2-agonister (f.eks. </w:t>
      </w:r>
      <w:proofErr w:type="spellStart"/>
      <w:r w:rsidRPr="00116C00">
        <w:rPr>
          <w:rStyle w:val="cf01"/>
          <w:rFonts w:ascii="Times New Roman" w:hAnsi="Times New Roman" w:cs="Times New Roman"/>
          <w:sz w:val="24"/>
          <w:szCs w:val="24"/>
        </w:rPr>
        <w:t>fenoterol</w:t>
      </w:r>
      <w:proofErr w:type="spellEnd"/>
      <w:r w:rsidRPr="00116C00">
        <w:rPr>
          <w:rStyle w:val="cf01"/>
          <w:rFonts w:ascii="Times New Roman" w:hAnsi="Times New Roman" w:cs="Times New Roman"/>
          <w:sz w:val="24"/>
          <w:szCs w:val="24"/>
        </w:rPr>
        <w:t xml:space="preserve">), </w:t>
      </w:r>
      <w:proofErr w:type="spellStart"/>
      <w:r w:rsidRPr="00116C00">
        <w:rPr>
          <w:rStyle w:val="cf01"/>
          <w:rFonts w:ascii="Times New Roman" w:hAnsi="Times New Roman" w:cs="Times New Roman"/>
          <w:sz w:val="24"/>
          <w:szCs w:val="24"/>
        </w:rPr>
        <w:t>antikolinergika</w:t>
      </w:r>
      <w:proofErr w:type="spellEnd"/>
      <w:r w:rsidRPr="00116C00">
        <w:rPr>
          <w:rStyle w:val="cf01"/>
          <w:rFonts w:ascii="Times New Roman" w:hAnsi="Times New Roman" w:cs="Times New Roman"/>
          <w:sz w:val="24"/>
          <w:szCs w:val="24"/>
        </w:rPr>
        <w:t xml:space="preserve"> (f.eks. </w:t>
      </w:r>
      <w:proofErr w:type="spellStart"/>
      <w:r w:rsidRPr="00116C00">
        <w:rPr>
          <w:rStyle w:val="cf01"/>
          <w:rFonts w:ascii="Times New Roman" w:hAnsi="Times New Roman" w:cs="Times New Roman"/>
          <w:sz w:val="24"/>
          <w:szCs w:val="24"/>
        </w:rPr>
        <w:t>tiotropium</w:t>
      </w:r>
      <w:proofErr w:type="spellEnd"/>
      <w:r w:rsidRPr="00116C00">
        <w:rPr>
          <w:rStyle w:val="cf01"/>
          <w:rFonts w:ascii="Times New Roman" w:hAnsi="Times New Roman" w:cs="Times New Roman"/>
          <w:sz w:val="24"/>
          <w:szCs w:val="24"/>
        </w:rPr>
        <w:t xml:space="preserve">) og </w:t>
      </w:r>
      <w:proofErr w:type="spellStart"/>
      <w:r w:rsidRPr="00116C00">
        <w:rPr>
          <w:rStyle w:val="cf01"/>
          <w:rFonts w:ascii="Times New Roman" w:hAnsi="Times New Roman" w:cs="Times New Roman"/>
          <w:sz w:val="24"/>
          <w:szCs w:val="24"/>
        </w:rPr>
        <w:t>xanthin</w:t>
      </w:r>
      <w:proofErr w:type="spellEnd"/>
      <w:r w:rsidRPr="00116C00">
        <w:rPr>
          <w:rStyle w:val="cf01"/>
          <w:rFonts w:ascii="Times New Roman" w:hAnsi="Times New Roman" w:cs="Times New Roman"/>
          <w:sz w:val="24"/>
          <w:szCs w:val="24"/>
        </w:rPr>
        <w:t xml:space="preserve">-derivater (f.eks. </w:t>
      </w:r>
      <w:proofErr w:type="spellStart"/>
      <w:r w:rsidRPr="00116C00">
        <w:rPr>
          <w:rStyle w:val="cf01"/>
          <w:rFonts w:ascii="Times New Roman" w:hAnsi="Times New Roman" w:cs="Times New Roman"/>
          <w:sz w:val="24"/>
          <w:szCs w:val="24"/>
        </w:rPr>
        <w:t>theophyllin</w:t>
      </w:r>
      <w:proofErr w:type="spellEnd"/>
      <w:r w:rsidRPr="00116C00">
        <w:rPr>
          <w:rStyle w:val="cf01"/>
          <w:rFonts w:ascii="Times New Roman" w:hAnsi="Times New Roman" w:cs="Times New Roman"/>
          <w:sz w:val="24"/>
          <w:szCs w:val="24"/>
        </w:rPr>
        <w:t xml:space="preserve"> eller </w:t>
      </w:r>
      <w:proofErr w:type="spellStart"/>
      <w:r w:rsidRPr="00116C00">
        <w:rPr>
          <w:rStyle w:val="cf01"/>
          <w:rFonts w:ascii="Times New Roman" w:hAnsi="Times New Roman" w:cs="Times New Roman"/>
          <w:sz w:val="24"/>
          <w:szCs w:val="24"/>
        </w:rPr>
        <w:t>aminophyllin</w:t>
      </w:r>
      <w:proofErr w:type="spellEnd"/>
      <w:r w:rsidRPr="00116C00">
        <w:rPr>
          <w:rStyle w:val="cf01"/>
          <w:rFonts w:ascii="Times New Roman" w:hAnsi="Times New Roman" w:cs="Times New Roman"/>
          <w:sz w:val="24"/>
          <w:szCs w:val="24"/>
        </w:rPr>
        <w:t xml:space="preserve">) kan muligvis forstærke virkningen af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w:t>
      </w:r>
      <w:proofErr w:type="spellStart"/>
      <w:r w:rsidRPr="00116C00">
        <w:rPr>
          <w:rStyle w:val="cf01"/>
          <w:rFonts w:ascii="Times New Roman" w:hAnsi="Times New Roman" w:cs="Times New Roman"/>
          <w:sz w:val="24"/>
          <w:szCs w:val="24"/>
        </w:rPr>
        <w:t>salbutamol</w:t>
      </w:r>
      <w:proofErr w:type="spellEnd"/>
      <w:r w:rsidRPr="00116C00">
        <w:rPr>
          <w:rStyle w:val="cf01"/>
          <w:rFonts w:ascii="Times New Roman" w:hAnsi="Times New Roman" w:cs="Times New Roman"/>
          <w:sz w:val="24"/>
          <w:szCs w:val="24"/>
        </w:rPr>
        <w:t xml:space="preserve"> på luftvejsfunktionen og øge sværhedsgraden af bivirkninger.</w:t>
      </w:r>
    </w:p>
    <w:p w14:paraId="666B2ED8" w14:textId="77777777" w:rsidR="00961187" w:rsidRPr="00116C00" w:rsidRDefault="00961187" w:rsidP="00A41915">
      <w:pPr>
        <w:ind w:left="851"/>
        <w:rPr>
          <w:sz w:val="24"/>
          <w:szCs w:val="24"/>
        </w:rPr>
      </w:pPr>
    </w:p>
    <w:p w14:paraId="38F11306" w14:textId="77777777" w:rsidR="00961187" w:rsidRPr="00116C00" w:rsidRDefault="00961187" w:rsidP="00A41915">
      <w:pPr>
        <w:ind w:left="851"/>
        <w:rPr>
          <w:sz w:val="24"/>
          <w:szCs w:val="24"/>
        </w:rPr>
      </w:pPr>
      <w:r w:rsidRPr="00116C00">
        <w:rPr>
          <w:rStyle w:val="cf01"/>
          <w:rFonts w:ascii="Times New Roman" w:hAnsi="Times New Roman" w:cs="Times New Roman"/>
          <w:sz w:val="24"/>
          <w:szCs w:val="24"/>
        </w:rPr>
        <w:t xml:space="preserve">Behandling med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w:t>
      </w:r>
      <w:proofErr w:type="spellStart"/>
      <w:r w:rsidRPr="00116C00">
        <w:rPr>
          <w:rStyle w:val="cf01"/>
          <w:rFonts w:ascii="Times New Roman" w:hAnsi="Times New Roman" w:cs="Times New Roman"/>
          <w:sz w:val="24"/>
          <w:szCs w:val="24"/>
        </w:rPr>
        <w:t>salbutamol</w:t>
      </w:r>
      <w:proofErr w:type="spellEnd"/>
      <w:r w:rsidRPr="00116C00">
        <w:rPr>
          <w:rStyle w:val="cf01"/>
          <w:rFonts w:ascii="Times New Roman" w:hAnsi="Times New Roman" w:cs="Times New Roman"/>
          <w:sz w:val="24"/>
          <w:szCs w:val="24"/>
        </w:rPr>
        <w:t xml:space="preserve"> kan medføre </w:t>
      </w:r>
      <w:proofErr w:type="spellStart"/>
      <w:r w:rsidRPr="00116C00">
        <w:rPr>
          <w:rStyle w:val="cf01"/>
          <w:rFonts w:ascii="Times New Roman" w:hAnsi="Times New Roman" w:cs="Times New Roman"/>
          <w:sz w:val="24"/>
          <w:szCs w:val="24"/>
        </w:rPr>
        <w:t>hypokaliæmi</w:t>
      </w:r>
      <w:proofErr w:type="spellEnd"/>
      <w:r w:rsidRPr="00116C00">
        <w:rPr>
          <w:rStyle w:val="cf01"/>
          <w:rFonts w:ascii="Times New Roman" w:hAnsi="Times New Roman" w:cs="Times New Roman"/>
          <w:sz w:val="24"/>
          <w:szCs w:val="24"/>
        </w:rPr>
        <w:t xml:space="preserve"> (se pkt. 4.4). Denne effekt kan muligvis forstærkes ved samtidig behandling med </w:t>
      </w:r>
      <w:proofErr w:type="spellStart"/>
      <w:r w:rsidRPr="00116C00">
        <w:rPr>
          <w:rStyle w:val="cf01"/>
          <w:rFonts w:ascii="Times New Roman" w:hAnsi="Times New Roman" w:cs="Times New Roman"/>
          <w:sz w:val="24"/>
          <w:szCs w:val="24"/>
        </w:rPr>
        <w:t>xanthiner</w:t>
      </w:r>
      <w:proofErr w:type="spellEnd"/>
      <w:r w:rsidRPr="00116C00">
        <w:rPr>
          <w:rStyle w:val="cf01"/>
          <w:rFonts w:ascii="Times New Roman" w:hAnsi="Times New Roman" w:cs="Times New Roman"/>
          <w:sz w:val="24"/>
          <w:szCs w:val="24"/>
        </w:rPr>
        <w:t xml:space="preserve">, steroider og </w:t>
      </w:r>
      <w:proofErr w:type="spellStart"/>
      <w:r w:rsidRPr="00116C00">
        <w:rPr>
          <w:rStyle w:val="cf01"/>
          <w:rFonts w:ascii="Times New Roman" w:hAnsi="Times New Roman" w:cs="Times New Roman"/>
          <w:sz w:val="24"/>
          <w:szCs w:val="24"/>
        </w:rPr>
        <w:t>diuretika</w:t>
      </w:r>
      <w:proofErr w:type="spellEnd"/>
      <w:r w:rsidRPr="00116C00">
        <w:rPr>
          <w:rStyle w:val="cf01"/>
          <w:rFonts w:ascii="Times New Roman" w:hAnsi="Times New Roman" w:cs="Times New Roman"/>
          <w:sz w:val="24"/>
          <w:szCs w:val="24"/>
        </w:rPr>
        <w:t>. Der skal tages særligt hensyn til dette ved behandling af patienter med svær luftvejsobstruktion</w:t>
      </w:r>
      <w:r w:rsidRPr="00116C00">
        <w:rPr>
          <w:i/>
          <w:sz w:val="24"/>
          <w:szCs w:val="24"/>
        </w:rPr>
        <w:t>.</w:t>
      </w:r>
    </w:p>
    <w:p w14:paraId="13739F01" w14:textId="77777777" w:rsidR="00961187" w:rsidRPr="00116C00" w:rsidRDefault="00961187" w:rsidP="00A41915">
      <w:pPr>
        <w:ind w:left="851"/>
        <w:rPr>
          <w:sz w:val="24"/>
          <w:szCs w:val="24"/>
        </w:rPr>
      </w:pPr>
    </w:p>
    <w:p w14:paraId="55A7AA53" w14:textId="77777777" w:rsidR="00961187" w:rsidRPr="00116C00" w:rsidRDefault="00961187" w:rsidP="00A41915">
      <w:pPr>
        <w:ind w:left="851"/>
        <w:rPr>
          <w:sz w:val="24"/>
          <w:szCs w:val="24"/>
        </w:rPr>
      </w:pPr>
      <w:r w:rsidRPr="00116C00">
        <w:rPr>
          <w:sz w:val="24"/>
          <w:szCs w:val="24"/>
        </w:rPr>
        <w:t xml:space="preserve">En potentielt alvorlig reduktion af den </w:t>
      </w:r>
      <w:proofErr w:type="spellStart"/>
      <w:r w:rsidRPr="00116C00">
        <w:rPr>
          <w:sz w:val="24"/>
          <w:szCs w:val="24"/>
        </w:rPr>
        <w:t>bronkodilaterende</w:t>
      </w:r>
      <w:proofErr w:type="spellEnd"/>
      <w:r w:rsidRPr="00116C00">
        <w:rPr>
          <w:sz w:val="24"/>
          <w:szCs w:val="24"/>
        </w:rPr>
        <w:t xml:space="preserve"> virkning kan muligvis ses ved samtidig administration af betablokkere, f.eks. </w:t>
      </w:r>
      <w:proofErr w:type="spellStart"/>
      <w:r w:rsidRPr="00116C00">
        <w:rPr>
          <w:sz w:val="24"/>
          <w:szCs w:val="24"/>
        </w:rPr>
        <w:t>propranolol</w:t>
      </w:r>
      <w:proofErr w:type="spellEnd"/>
      <w:r w:rsidRPr="00116C00">
        <w:rPr>
          <w:sz w:val="24"/>
          <w:szCs w:val="24"/>
        </w:rPr>
        <w:t>.</w:t>
      </w:r>
    </w:p>
    <w:p w14:paraId="1C3E1E80" w14:textId="77777777" w:rsidR="00961187" w:rsidRPr="00116C00" w:rsidRDefault="00961187" w:rsidP="00A41915">
      <w:pPr>
        <w:ind w:left="851"/>
        <w:rPr>
          <w:sz w:val="24"/>
          <w:szCs w:val="24"/>
        </w:rPr>
      </w:pPr>
    </w:p>
    <w:p w14:paraId="1624E101" w14:textId="77777777" w:rsidR="00961187" w:rsidRPr="00116C00" w:rsidRDefault="00961187" w:rsidP="00A41915">
      <w:pPr>
        <w:ind w:left="851"/>
        <w:rPr>
          <w:sz w:val="24"/>
          <w:szCs w:val="24"/>
        </w:rPr>
      </w:pPr>
      <w:proofErr w:type="spellStart"/>
      <w:r w:rsidRPr="00116C00">
        <w:rPr>
          <w:sz w:val="24"/>
          <w:szCs w:val="24"/>
        </w:rPr>
        <w:t>Adrenerge</w:t>
      </w:r>
      <w:proofErr w:type="spellEnd"/>
      <w:r w:rsidRPr="00116C00">
        <w:rPr>
          <w:sz w:val="24"/>
          <w:szCs w:val="24"/>
        </w:rPr>
        <w:t xml:space="preserve"> beta-2-agonister skal administreres med forsigtighed til patienter, der behandles med </w:t>
      </w:r>
      <w:proofErr w:type="spellStart"/>
      <w:r w:rsidRPr="00116C00">
        <w:rPr>
          <w:sz w:val="24"/>
          <w:szCs w:val="24"/>
        </w:rPr>
        <w:t>monoaminooxidasehæmmere</w:t>
      </w:r>
      <w:proofErr w:type="spellEnd"/>
      <w:r w:rsidRPr="00116C00">
        <w:rPr>
          <w:sz w:val="24"/>
          <w:szCs w:val="24"/>
        </w:rPr>
        <w:t xml:space="preserve"> (f.eks. </w:t>
      </w:r>
      <w:proofErr w:type="spellStart"/>
      <w:r w:rsidRPr="00116C00">
        <w:rPr>
          <w:sz w:val="24"/>
          <w:szCs w:val="24"/>
        </w:rPr>
        <w:t>phenelzin</w:t>
      </w:r>
      <w:proofErr w:type="spellEnd"/>
      <w:r w:rsidRPr="00116C00">
        <w:rPr>
          <w:sz w:val="24"/>
          <w:szCs w:val="24"/>
        </w:rPr>
        <w:t xml:space="preserve">) eller tricykliske </w:t>
      </w:r>
      <w:proofErr w:type="spellStart"/>
      <w:r w:rsidRPr="00116C00">
        <w:rPr>
          <w:sz w:val="24"/>
          <w:szCs w:val="24"/>
        </w:rPr>
        <w:t>antidepressiva</w:t>
      </w:r>
      <w:proofErr w:type="spellEnd"/>
      <w:r w:rsidRPr="00116C00">
        <w:rPr>
          <w:sz w:val="24"/>
          <w:szCs w:val="24"/>
        </w:rPr>
        <w:t xml:space="preserve"> </w:t>
      </w:r>
      <w:r w:rsidRPr="00116C00">
        <w:rPr>
          <w:rStyle w:val="cf01"/>
          <w:rFonts w:ascii="Times New Roman" w:hAnsi="Times New Roman" w:cs="Times New Roman"/>
          <w:sz w:val="24"/>
          <w:szCs w:val="24"/>
        </w:rPr>
        <w:t xml:space="preserve">(f.eks. </w:t>
      </w:r>
      <w:proofErr w:type="spellStart"/>
      <w:r w:rsidRPr="00116C00">
        <w:rPr>
          <w:rStyle w:val="cf01"/>
          <w:rFonts w:ascii="Times New Roman" w:hAnsi="Times New Roman" w:cs="Times New Roman"/>
          <w:sz w:val="24"/>
          <w:szCs w:val="24"/>
        </w:rPr>
        <w:t>amitriptylin</w:t>
      </w:r>
      <w:proofErr w:type="spellEnd"/>
      <w:r w:rsidRPr="00116C00">
        <w:rPr>
          <w:rStyle w:val="cf01"/>
          <w:rFonts w:ascii="Times New Roman" w:hAnsi="Times New Roman" w:cs="Times New Roman"/>
          <w:sz w:val="24"/>
          <w:szCs w:val="24"/>
        </w:rPr>
        <w:t>)</w:t>
      </w:r>
      <w:r w:rsidRPr="00116C00">
        <w:rPr>
          <w:sz w:val="24"/>
          <w:szCs w:val="24"/>
        </w:rPr>
        <w:t xml:space="preserve">, da virkningen af </w:t>
      </w:r>
      <w:proofErr w:type="spellStart"/>
      <w:r w:rsidRPr="00116C00">
        <w:rPr>
          <w:sz w:val="24"/>
          <w:szCs w:val="24"/>
        </w:rPr>
        <w:t>adrenerge</w:t>
      </w:r>
      <w:proofErr w:type="spellEnd"/>
      <w:r w:rsidRPr="00116C00">
        <w:rPr>
          <w:sz w:val="24"/>
          <w:szCs w:val="24"/>
        </w:rPr>
        <w:t xml:space="preserve"> beta-2-agonister muligvis kan blive forstærket.</w:t>
      </w:r>
    </w:p>
    <w:p w14:paraId="1FD8A84D" w14:textId="77777777" w:rsidR="00961187" w:rsidRPr="00116C00" w:rsidRDefault="00961187" w:rsidP="00A41915">
      <w:pPr>
        <w:ind w:left="851"/>
        <w:rPr>
          <w:sz w:val="24"/>
          <w:szCs w:val="24"/>
        </w:rPr>
      </w:pPr>
    </w:p>
    <w:p w14:paraId="55BD49A5" w14:textId="77777777" w:rsidR="00961187" w:rsidRPr="00116C00" w:rsidRDefault="00961187" w:rsidP="00A41915">
      <w:pPr>
        <w:ind w:left="851"/>
        <w:rPr>
          <w:sz w:val="24"/>
          <w:szCs w:val="24"/>
        </w:rPr>
      </w:pPr>
      <w:r w:rsidRPr="00116C00">
        <w:rPr>
          <w:sz w:val="24"/>
          <w:szCs w:val="24"/>
        </w:rPr>
        <w:t xml:space="preserve">Inhalation af </w:t>
      </w:r>
      <w:proofErr w:type="spellStart"/>
      <w:r w:rsidRPr="00116C00">
        <w:rPr>
          <w:sz w:val="24"/>
          <w:szCs w:val="24"/>
        </w:rPr>
        <w:t>anæstetika</w:t>
      </w:r>
      <w:proofErr w:type="spellEnd"/>
      <w:r w:rsidRPr="00116C00">
        <w:rPr>
          <w:sz w:val="24"/>
          <w:szCs w:val="24"/>
        </w:rPr>
        <w:t xml:space="preserve"> med </w:t>
      </w:r>
      <w:proofErr w:type="spellStart"/>
      <w:r w:rsidRPr="00116C00">
        <w:rPr>
          <w:sz w:val="24"/>
          <w:szCs w:val="24"/>
        </w:rPr>
        <w:t>halogenerede</w:t>
      </w:r>
      <w:proofErr w:type="spellEnd"/>
      <w:r w:rsidRPr="00116C00">
        <w:rPr>
          <w:sz w:val="24"/>
          <w:szCs w:val="24"/>
        </w:rPr>
        <w:t xml:space="preserve"> kulbrinter som f.eks. </w:t>
      </w:r>
      <w:proofErr w:type="spellStart"/>
      <w:r w:rsidRPr="00116C00">
        <w:rPr>
          <w:sz w:val="24"/>
          <w:szCs w:val="24"/>
        </w:rPr>
        <w:t>halotan</w:t>
      </w:r>
      <w:proofErr w:type="spellEnd"/>
      <w:r w:rsidRPr="00116C00">
        <w:rPr>
          <w:sz w:val="24"/>
          <w:szCs w:val="24"/>
        </w:rPr>
        <w:t xml:space="preserve">, </w:t>
      </w:r>
      <w:proofErr w:type="spellStart"/>
      <w:r w:rsidRPr="00116C00">
        <w:rPr>
          <w:sz w:val="24"/>
          <w:szCs w:val="24"/>
        </w:rPr>
        <w:t>trichloroethylen</w:t>
      </w:r>
      <w:proofErr w:type="spellEnd"/>
      <w:r w:rsidRPr="00116C00">
        <w:rPr>
          <w:sz w:val="24"/>
          <w:szCs w:val="24"/>
        </w:rPr>
        <w:t xml:space="preserve"> og </w:t>
      </w:r>
      <w:proofErr w:type="spellStart"/>
      <w:r w:rsidRPr="00116C00">
        <w:rPr>
          <w:sz w:val="24"/>
          <w:szCs w:val="24"/>
        </w:rPr>
        <w:t>enfluran</w:t>
      </w:r>
      <w:proofErr w:type="spellEnd"/>
      <w:r w:rsidRPr="00116C00">
        <w:rPr>
          <w:sz w:val="24"/>
          <w:szCs w:val="24"/>
        </w:rPr>
        <w:t xml:space="preserve"> kan muligvis øge følsomheden over for beta-2-agonisters </w:t>
      </w:r>
      <w:proofErr w:type="spellStart"/>
      <w:r w:rsidRPr="00116C00">
        <w:rPr>
          <w:sz w:val="24"/>
          <w:szCs w:val="24"/>
        </w:rPr>
        <w:t>kardiovaskulære</w:t>
      </w:r>
      <w:proofErr w:type="spellEnd"/>
      <w:r w:rsidRPr="00116C00">
        <w:rPr>
          <w:sz w:val="24"/>
          <w:szCs w:val="24"/>
        </w:rPr>
        <w:t xml:space="preserve"> virkning.</w:t>
      </w:r>
    </w:p>
    <w:p w14:paraId="5750E824" w14:textId="77777777" w:rsidR="009260DE" w:rsidRPr="00116C00" w:rsidRDefault="009260DE" w:rsidP="009260DE">
      <w:pPr>
        <w:tabs>
          <w:tab w:val="left" w:pos="851"/>
        </w:tabs>
        <w:ind w:left="851"/>
        <w:rPr>
          <w:sz w:val="24"/>
          <w:szCs w:val="24"/>
        </w:rPr>
      </w:pPr>
    </w:p>
    <w:p w14:paraId="55E69899" w14:textId="77777777" w:rsidR="009260DE" w:rsidRPr="00116C00" w:rsidRDefault="009260DE" w:rsidP="009260DE">
      <w:pPr>
        <w:tabs>
          <w:tab w:val="left" w:pos="851"/>
        </w:tabs>
        <w:ind w:left="851" w:hanging="851"/>
        <w:rPr>
          <w:b/>
          <w:sz w:val="24"/>
          <w:szCs w:val="24"/>
        </w:rPr>
      </w:pPr>
      <w:r w:rsidRPr="00116C00">
        <w:rPr>
          <w:b/>
          <w:sz w:val="24"/>
          <w:szCs w:val="24"/>
        </w:rPr>
        <w:t>4.6</w:t>
      </w:r>
      <w:r w:rsidRPr="00116C00">
        <w:rPr>
          <w:b/>
          <w:sz w:val="24"/>
          <w:szCs w:val="24"/>
        </w:rPr>
        <w:tab/>
      </w:r>
      <w:r w:rsidR="0071241E" w:rsidRPr="00116C00">
        <w:rPr>
          <w:b/>
          <w:sz w:val="24"/>
          <w:szCs w:val="24"/>
        </w:rPr>
        <w:t>Fertilitet, g</w:t>
      </w:r>
      <w:r w:rsidRPr="00116C00">
        <w:rPr>
          <w:b/>
          <w:sz w:val="24"/>
          <w:szCs w:val="24"/>
        </w:rPr>
        <w:t>raviditet og amning</w:t>
      </w:r>
    </w:p>
    <w:p w14:paraId="41979368" w14:textId="77777777" w:rsidR="003456A9" w:rsidRDefault="003456A9" w:rsidP="00A41915">
      <w:pPr>
        <w:ind w:left="851"/>
        <w:rPr>
          <w:sz w:val="24"/>
          <w:szCs w:val="24"/>
        </w:rPr>
      </w:pPr>
    </w:p>
    <w:p w14:paraId="7F2575C6" w14:textId="7D0EF345" w:rsidR="00961187" w:rsidRPr="003456A9" w:rsidRDefault="00961187" w:rsidP="00A41915">
      <w:pPr>
        <w:ind w:left="851"/>
        <w:rPr>
          <w:noProof/>
          <w:sz w:val="24"/>
          <w:szCs w:val="24"/>
          <w:u w:val="single"/>
        </w:rPr>
      </w:pPr>
      <w:r w:rsidRPr="003456A9">
        <w:rPr>
          <w:sz w:val="24"/>
          <w:szCs w:val="24"/>
          <w:u w:val="single"/>
        </w:rPr>
        <w:t>Graviditet</w:t>
      </w:r>
    </w:p>
    <w:p w14:paraId="5B242E54" w14:textId="77777777" w:rsidR="00961187" w:rsidRPr="00116C00" w:rsidRDefault="00961187" w:rsidP="00A41915">
      <w:pPr>
        <w:ind w:left="851"/>
        <w:rPr>
          <w:rStyle w:val="cf01"/>
          <w:rFonts w:ascii="Times New Roman" w:hAnsi="Times New Roman" w:cs="Times New Roman"/>
          <w:sz w:val="24"/>
          <w:szCs w:val="24"/>
        </w:rPr>
      </w:pPr>
    </w:p>
    <w:p w14:paraId="16124108" w14:textId="77777777" w:rsidR="00961187" w:rsidRPr="00116C00" w:rsidRDefault="00961187" w:rsidP="00A41915">
      <w:pPr>
        <w:ind w:left="851"/>
        <w:rPr>
          <w:sz w:val="24"/>
          <w:szCs w:val="24"/>
        </w:rPr>
      </w:pPr>
      <w:r w:rsidRPr="00116C00">
        <w:rPr>
          <w:rStyle w:val="cf01"/>
          <w:rFonts w:ascii="Times New Roman" w:hAnsi="Times New Roman" w:cs="Times New Roman"/>
          <w:sz w:val="24"/>
          <w:szCs w:val="24"/>
        </w:rPr>
        <w:t xml:space="preserve">Der er ingen eller utilstrækkelige data fra anvendelse af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 xml:space="preserve"> og </w:t>
      </w:r>
      <w:proofErr w:type="spellStart"/>
      <w:r w:rsidRPr="00116C00">
        <w:rPr>
          <w:rStyle w:val="cf01"/>
          <w:rFonts w:ascii="Times New Roman" w:hAnsi="Times New Roman" w:cs="Times New Roman"/>
          <w:sz w:val="24"/>
          <w:szCs w:val="24"/>
        </w:rPr>
        <w:t>salbutamol</w:t>
      </w:r>
      <w:proofErr w:type="spellEnd"/>
      <w:r w:rsidRPr="00116C00">
        <w:rPr>
          <w:rStyle w:val="cf01"/>
          <w:rFonts w:ascii="Times New Roman" w:hAnsi="Times New Roman" w:cs="Times New Roman"/>
          <w:sz w:val="24"/>
          <w:szCs w:val="24"/>
        </w:rPr>
        <w:t xml:space="preserve"> til gravide kvinder. Dyreforsøg indikerer hverken direkte eller indirekte skadelige virkninger, hvad angår reproduktionstoksicitet (se pkt. 5.3).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w:t>
      </w:r>
      <w:proofErr w:type="spellStart"/>
      <w:r w:rsidRPr="00116C00">
        <w:rPr>
          <w:rStyle w:val="cf01"/>
          <w:rFonts w:ascii="Times New Roman" w:hAnsi="Times New Roman" w:cs="Times New Roman"/>
          <w:sz w:val="24"/>
          <w:szCs w:val="24"/>
        </w:rPr>
        <w:t>salbutamol</w:t>
      </w:r>
      <w:proofErr w:type="spellEnd"/>
      <w:r w:rsidRPr="00116C00">
        <w:rPr>
          <w:rStyle w:val="cf01"/>
          <w:rFonts w:ascii="Times New Roman" w:hAnsi="Times New Roman" w:cs="Times New Roman"/>
          <w:sz w:val="24"/>
          <w:szCs w:val="24"/>
        </w:rPr>
        <w:t xml:space="preserve"> bør ikke bruges under graviditet, medmindre fordelene opvejer de potentielle risici for fosteret. Ved graviditetens afslutning skal der tages hensyn til den hæmmende effekt af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w:t>
      </w:r>
      <w:proofErr w:type="spellStart"/>
      <w:r w:rsidRPr="00116C00">
        <w:rPr>
          <w:rStyle w:val="cf01"/>
          <w:rFonts w:ascii="Times New Roman" w:hAnsi="Times New Roman" w:cs="Times New Roman"/>
          <w:sz w:val="24"/>
          <w:szCs w:val="24"/>
        </w:rPr>
        <w:t>salbutamol</w:t>
      </w:r>
      <w:proofErr w:type="spellEnd"/>
      <w:r w:rsidRPr="00116C00">
        <w:rPr>
          <w:rStyle w:val="cf01"/>
          <w:rFonts w:ascii="Times New Roman" w:hAnsi="Times New Roman" w:cs="Times New Roman"/>
          <w:sz w:val="24"/>
          <w:szCs w:val="24"/>
        </w:rPr>
        <w:t xml:space="preserve"> på livmoderens sammentrækninger</w:t>
      </w:r>
      <w:r w:rsidRPr="00116C00">
        <w:rPr>
          <w:sz w:val="24"/>
          <w:szCs w:val="24"/>
        </w:rPr>
        <w:t>.</w:t>
      </w:r>
    </w:p>
    <w:p w14:paraId="555594B0" w14:textId="77777777" w:rsidR="00961187" w:rsidRPr="00116C00" w:rsidRDefault="00961187" w:rsidP="00A41915">
      <w:pPr>
        <w:ind w:left="851"/>
        <w:rPr>
          <w:sz w:val="24"/>
          <w:szCs w:val="24"/>
        </w:rPr>
      </w:pPr>
    </w:p>
    <w:p w14:paraId="4F361A66" w14:textId="77777777" w:rsidR="00961187" w:rsidRPr="003456A9" w:rsidRDefault="00961187" w:rsidP="00A41915">
      <w:pPr>
        <w:ind w:left="851"/>
        <w:rPr>
          <w:noProof/>
          <w:sz w:val="24"/>
          <w:szCs w:val="24"/>
          <w:u w:val="single"/>
        </w:rPr>
      </w:pPr>
      <w:r w:rsidRPr="003456A9">
        <w:rPr>
          <w:sz w:val="24"/>
          <w:szCs w:val="24"/>
          <w:u w:val="single"/>
        </w:rPr>
        <w:t>Amning</w:t>
      </w:r>
    </w:p>
    <w:p w14:paraId="699F9B8F" w14:textId="77777777" w:rsidR="00961187" w:rsidRPr="00116C00" w:rsidRDefault="00961187" w:rsidP="00A41915">
      <w:pPr>
        <w:ind w:left="851"/>
        <w:rPr>
          <w:rStyle w:val="cf11"/>
          <w:rFonts w:ascii="Times New Roman" w:hAnsi="Times New Roman" w:cs="Times New Roman"/>
          <w:sz w:val="24"/>
          <w:szCs w:val="24"/>
        </w:rPr>
      </w:pPr>
    </w:p>
    <w:p w14:paraId="2B1FBB5B" w14:textId="77777777" w:rsidR="00961187" w:rsidRPr="00116C00" w:rsidRDefault="00961187" w:rsidP="00A41915">
      <w:pPr>
        <w:ind w:left="851"/>
        <w:rPr>
          <w:i/>
          <w:sz w:val="24"/>
          <w:szCs w:val="24"/>
        </w:rPr>
      </w:pPr>
      <w:r w:rsidRPr="00116C00">
        <w:rPr>
          <w:rStyle w:val="cf11"/>
          <w:rFonts w:ascii="Times New Roman" w:hAnsi="Times New Roman" w:cs="Times New Roman"/>
          <w:sz w:val="24"/>
          <w:szCs w:val="24"/>
        </w:rPr>
        <w:t xml:space="preserve">Der foreligger ikke tilstrækkelige oplysninger om, hvorvidt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 xml:space="preserve"> og </w:t>
      </w:r>
      <w:proofErr w:type="spellStart"/>
      <w:r w:rsidRPr="00116C00">
        <w:rPr>
          <w:rStyle w:val="cf01"/>
          <w:rFonts w:ascii="Times New Roman" w:hAnsi="Times New Roman" w:cs="Times New Roman"/>
          <w:sz w:val="24"/>
          <w:szCs w:val="24"/>
        </w:rPr>
        <w:t>salbutamol</w:t>
      </w:r>
      <w:proofErr w:type="spellEnd"/>
      <w:r w:rsidRPr="00116C00">
        <w:rPr>
          <w:rStyle w:val="cf11"/>
          <w:rFonts w:ascii="Times New Roman" w:hAnsi="Times New Roman" w:cs="Times New Roman"/>
          <w:sz w:val="24"/>
          <w:szCs w:val="24"/>
        </w:rPr>
        <w:t xml:space="preserve"> udskilles i human mælk.</w:t>
      </w:r>
      <w:r w:rsidRPr="00116C00">
        <w:rPr>
          <w:rStyle w:val="cf21"/>
          <w:rFonts w:ascii="Times New Roman" w:hAnsi="Times New Roman" w:cs="Times New Roman"/>
          <w:sz w:val="24"/>
          <w:szCs w:val="24"/>
        </w:rPr>
        <w:t xml:space="preserve"> </w:t>
      </w:r>
      <w:r w:rsidRPr="00116C00">
        <w:rPr>
          <w:rStyle w:val="cf11"/>
          <w:rFonts w:ascii="Times New Roman" w:hAnsi="Times New Roman" w:cs="Times New Roman"/>
          <w:sz w:val="24"/>
          <w:szCs w:val="24"/>
        </w:rPr>
        <w:t xml:space="preserve">En risiko for nyfødte/spædbørn kan ikke udelukkes. </w:t>
      </w:r>
      <w:r w:rsidRPr="00116C00">
        <w:rPr>
          <w:rStyle w:val="cf01"/>
          <w:rFonts w:ascii="Times New Roman" w:hAnsi="Times New Roman" w:cs="Times New Roman"/>
          <w:sz w:val="24"/>
          <w:szCs w:val="24"/>
        </w:rPr>
        <w:t xml:space="preserve">Der skal udvises forsigtighed ved ordination til ammende mødre. </w:t>
      </w:r>
      <w:r w:rsidRPr="00116C00">
        <w:rPr>
          <w:rStyle w:val="cf11"/>
          <w:rFonts w:ascii="Times New Roman" w:hAnsi="Times New Roman" w:cs="Times New Roman"/>
          <w:sz w:val="24"/>
          <w:szCs w:val="24"/>
        </w:rPr>
        <w:t xml:space="preserve">Det skal besluttes, om </w:t>
      </w:r>
      <w:r w:rsidRPr="00116C00">
        <w:rPr>
          <w:rStyle w:val="cf11"/>
          <w:rFonts w:ascii="Times New Roman" w:hAnsi="Times New Roman" w:cs="Times New Roman"/>
          <w:sz w:val="24"/>
          <w:szCs w:val="24"/>
        </w:rPr>
        <w:lastRenderedPageBreak/>
        <w:t xml:space="preserve">amning eller behandling med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w:t>
      </w:r>
      <w:proofErr w:type="spellStart"/>
      <w:r w:rsidRPr="00116C00">
        <w:rPr>
          <w:rStyle w:val="cf01"/>
          <w:rFonts w:ascii="Times New Roman" w:hAnsi="Times New Roman" w:cs="Times New Roman"/>
          <w:sz w:val="24"/>
          <w:szCs w:val="24"/>
        </w:rPr>
        <w:t>salbutamol</w:t>
      </w:r>
      <w:proofErr w:type="spellEnd"/>
      <w:r w:rsidRPr="00116C00">
        <w:rPr>
          <w:rStyle w:val="cf11"/>
          <w:rFonts w:ascii="Times New Roman" w:hAnsi="Times New Roman" w:cs="Times New Roman"/>
          <w:sz w:val="24"/>
          <w:szCs w:val="24"/>
        </w:rPr>
        <w:t xml:space="preserve"> skal ophøre, idet der tages højde for fordelene ved amning for barnet i forhold til de terapeutiske fordele for moderen</w:t>
      </w:r>
      <w:r w:rsidRPr="00116C00">
        <w:rPr>
          <w:sz w:val="24"/>
          <w:szCs w:val="24"/>
        </w:rPr>
        <w:t>.</w:t>
      </w:r>
    </w:p>
    <w:p w14:paraId="7B6355F1" w14:textId="77777777" w:rsidR="00961187" w:rsidRPr="00116C00" w:rsidRDefault="00961187" w:rsidP="00A41915">
      <w:pPr>
        <w:ind w:left="851"/>
        <w:rPr>
          <w:sz w:val="24"/>
          <w:szCs w:val="24"/>
        </w:rPr>
      </w:pPr>
    </w:p>
    <w:p w14:paraId="2CE4EE1F" w14:textId="77777777" w:rsidR="00961187" w:rsidRPr="003456A9" w:rsidRDefault="00961187" w:rsidP="00A41915">
      <w:pPr>
        <w:ind w:left="851"/>
        <w:rPr>
          <w:iCs/>
          <w:sz w:val="24"/>
          <w:szCs w:val="24"/>
          <w:u w:val="single"/>
        </w:rPr>
      </w:pPr>
      <w:r w:rsidRPr="003456A9">
        <w:rPr>
          <w:sz w:val="24"/>
          <w:szCs w:val="24"/>
          <w:u w:val="single"/>
        </w:rPr>
        <w:t>Fertilitet</w:t>
      </w:r>
    </w:p>
    <w:p w14:paraId="658FE092" w14:textId="77777777" w:rsidR="00961187" w:rsidRPr="00116C00" w:rsidRDefault="00961187" w:rsidP="00A41915">
      <w:pPr>
        <w:ind w:left="851"/>
        <w:rPr>
          <w:iCs/>
          <w:sz w:val="24"/>
          <w:szCs w:val="24"/>
        </w:rPr>
      </w:pPr>
    </w:p>
    <w:p w14:paraId="5BA71B8D" w14:textId="77777777" w:rsidR="00961187" w:rsidRPr="00116C00" w:rsidRDefault="00961187" w:rsidP="00A41915">
      <w:pPr>
        <w:ind w:left="851"/>
        <w:rPr>
          <w:rStyle w:val="cf01"/>
          <w:rFonts w:ascii="Times New Roman" w:hAnsi="Times New Roman" w:cs="Times New Roman"/>
          <w:sz w:val="24"/>
          <w:szCs w:val="24"/>
        </w:rPr>
      </w:pPr>
      <w:r w:rsidRPr="00116C00">
        <w:rPr>
          <w:sz w:val="24"/>
          <w:szCs w:val="24"/>
        </w:rPr>
        <w:t xml:space="preserve">Der foreligger ingen data om virkningen af </w:t>
      </w:r>
      <w:proofErr w:type="spellStart"/>
      <w:r w:rsidRPr="00116C00">
        <w:rPr>
          <w:sz w:val="24"/>
          <w:szCs w:val="24"/>
        </w:rPr>
        <w:t>salbutamol</w:t>
      </w:r>
      <w:proofErr w:type="spellEnd"/>
      <w:r w:rsidRPr="00116C00">
        <w:rPr>
          <w:sz w:val="24"/>
          <w:szCs w:val="24"/>
        </w:rPr>
        <w:t xml:space="preserve"> og </w:t>
      </w:r>
      <w:proofErr w:type="spellStart"/>
      <w:r w:rsidRPr="00116C00">
        <w:rPr>
          <w:sz w:val="24"/>
          <w:szCs w:val="24"/>
        </w:rPr>
        <w:t>ipratropiumbromid</w:t>
      </w:r>
      <w:proofErr w:type="spellEnd"/>
      <w:r w:rsidRPr="00116C00">
        <w:rPr>
          <w:sz w:val="24"/>
          <w:szCs w:val="24"/>
        </w:rPr>
        <w:t xml:space="preserve"> på fertiliteten hos mennesker, hverken for en kombination af de to aktive stoffer eller for stofferne hver for sig.</w:t>
      </w:r>
    </w:p>
    <w:p w14:paraId="34D8DA3F" w14:textId="77777777" w:rsidR="00961187" w:rsidRPr="00116C00" w:rsidRDefault="00961187" w:rsidP="00A41915">
      <w:pPr>
        <w:ind w:left="851"/>
        <w:rPr>
          <w:i/>
          <w:sz w:val="24"/>
          <w:szCs w:val="24"/>
        </w:rPr>
      </w:pPr>
      <w:r w:rsidRPr="00116C00">
        <w:rPr>
          <w:rStyle w:val="cf01"/>
          <w:rFonts w:ascii="Times New Roman" w:hAnsi="Times New Roman" w:cs="Times New Roman"/>
          <w:sz w:val="24"/>
          <w:szCs w:val="24"/>
        </w:rPr>
        <w:t xml:space="preserve">Non-kliniske undersøgelser af </w:t>
      </w:r>
      <w:proofErr w:type="spellStart"/>
      <w:r w:rsidRPr="00116C00">
        <w:rPr>
          <w:rStyle w:val="cf01"/>
          <w:rFonts w:ascii="Times New Roman" w:hAnsi="Times New Roman" w:cs="Times New Roman"/>
          <w:sz w:val="24"/>
          <w:szCs w:val="24"/>
        </w:rPr>
        <w:t>ipratropiumbromid</w:t>
      </w:r>
      <w:proofErr w:type="spellEnd"/>
      <w:r w:rsidRPr="00116C00">
        <w:rPr>
          <w:rStyle w:val="cf01"/>
          <w:rFonts w:ascii="Times New Roman" w:hAnsi="Times New Roman" w:cs="Times New Roman"/>
          <w:sz w:val="24"/>
          <w:szCs w:val="24"/>
        </w:rPr>
        <w:t xml:space="preserve"> og </w:t>
      </w:r>
      <w:proofErr w:type="spellStart"/>
      <w:r w:rsidRPr="00116C00">
        <w:rPr>
          <w:rStyle w:val="cf01"/>
          <w:rFonts w:ascii="Times New Roman" w:hAnsi="Times New Roman" w:cs="Times New Roman"/>
          <w:sz w:val="24"/>
          <w:szCs w:val="24"/>
        </w:rPr>
        <w:t>salbutamol</w:t>
      </w:r>
      <w:proofErr w:type="spellEnd"/>
      <w:r w:rsidRPr="00116C00">
        <w:rPr>
          <w:rStyle w:val="cf01"/>
          <w:rFonts w:ascii="Times New Roman" w:hAnsi="Times New Roman" w:cs="Times New Roman"/>
          <w:sz w:val="24"/>
          <w:szCs w:val="24"/>
        </w:rPr>
        <w:t xml:space="preserve"> har ikke vist nogen uønsket virkning på fertiliteten (se pkt. 5.3)</w:t>
      </w:r>
      <w:r w:rsidRPr="00116C00">
        <w:rPr>
          <w:sz w:val="24"/>
          <w:szCs w:val="24"/>
        </w:rPr>
        <w:t>.</w:t>
      </w:r>
    </w:p>
    <w:p w14:paraId="62AE9895" w14:textId="77777777" w:rsidR="009260DE" w:rsidRPr="00116C00" w:rsidRDefault="009260DE" w:rsidP="009260DE">
      <w:pPr>
        <w:tabs>
          <w:tab w:val="left" w:pos="851"/>
        </w:tabs>
        <w:ind w:left="851"/>
        <w:rPr>
          <w:sz w:val="24"/>
          <w:szCs w:val="24"/>
        </w:rPr>
      </w:pPr>
    </w:p>
    <w:p w14:paraId="5F20660B" w14:textId="77777777" w:rsidR="009260DE" w:rsidRPr="00116C00" w:rsidRDefault="009260DE" w:rsidP="009260DE">
      <w:pPr>
        <w:tabs>
          <w:tab w:val="left" w:pos="851"/>
        </w:tabs>
        <w:ind w:left="851" w:hanging="851"/>
        <w:rPr>
          <w:b/>
          <w:sz w:val="24"/>
          <w:szCs w:val="24"/>
        </w:rPr>
      </w:pPr>
      <w:r w:rsidRPr="00116C00">
        <w:rPr>
          <w:b/>
          <w:sz w:val="24"/>
          <w:szCs w:val="24"/>
        </w:rPr>
        <w:t>4.7</w:t>
      </w:r>
      <w:r w:rsidRPr="00116C00">
        <w:rPr>
          <w:b/>
          <w:sz w:val="24"/>
          <w:szCs w:val="24"/>
        </w:rPr>
        <w:tab/>
        <w:t xml:space="preserve">Virkning på evnen til at føre motorkøretøj </w:t>
      </w:r>
      <w:r w:rsidR="0071241E" w:rsidRPr="00116C00">
        <w:rPr>
          <w:b/>
          <w:sz w:val="24"/>
          <w:szCs w:val="24"/>
        </w:rPr>
        <w:t>og</w:t>
      </w:r>
      <w:r w:rsidRPr="00116C00">
        <w:rPr>
          <w:b/>
          <w:sz w:val="24"/>
          <w:szCs w:val="24"/>
        </w:rPr>
        <w:t xml:space="preserve"> betjene maskiner</w:t>
      </w:r>
    </w:p>
    <w:p w14:paraId="21D8573F" w14:textId="77777777" w:rsidR="00961187" w:rsidRPr="00116C00" w:rsidRDefault="00961187" w:rsidP="00A41915">
      <w:pPr>
        <w:ind w:left="851"/>
        <w:rPr>
          <w:sz w:val="24"/>
          <w:szCs w:val="24"/>
        </w:rPr>
      </w:pPr>
      <w:r w:rsidRPr="00116C00">
        <w:rPr>
          <w:sz w:val="24"/>
          <w:szCs w:val="24"/>
        </w:rPr>
        <w:t>Ikke mærkning.</w:t>
      </w:r>
    </w:p>
    <w:p w14:paraId="0397C7FC" w14:textId="77777777" w:rsidR="00961187" w:rsidRPr="00116C00" w:rsidRDefault="00961187" w:rsidP="00A41915">
      <w:pPr>
        <w:ind w:left="851"/>
        <w:rPr>
          <w:sz w:val="24"/>
          <w:szCs w:val="24"/>
        </w:rPr>
      </w:pPr>
      <w:r w:rsidRPr="00116C00">
        <w:rPr>
          <w:sz w:val="24"/>
          <w:szCs w:val="24"/>
        </w:rPr>
        <w:t xml:space="preserve">Der er ikke foretaget undersøgelser af virkningen på evnen til at føre motorkøretøj eller betjene maskiner. Patienterne skal imidlertid have at vide, at de kan opleve bivirkninger som f.eks. svimmelhed, akkommodationsforstyrrelse, </w:t>
      </w:r>
      <w:proofErr w:type="spellStart"/>
      <w:r w:rsidRPr="00116C00">
        <w:rPr>
          <w:sz w:val="24"/>
          <w:szCs w:val="24"/>
        </w:rPr>
        <w:t>mydriasis</w:t>
      </w:r>
      <w:proofErr w:type="spellEnd"/>
      <w:r w:rsidRPr="00116C00">
        <w:rPr>
          <w:sz w:val="24"/>
          <w:szCs w:val="24"/>
        </w:rPr>
        <w:t xml:space="preserve"> og sløret syn under behandling med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Hvis patienterne oplever ovennævnte bivirkninger, skal de undgå potentielt farlige gøremål såsom at føre motorkøretøj eller betjene maskiner.</w:t>
      </w:r>
    </w:p>
    <w:p w14:paraId="4BDB1E7C" w14:textId="77777777" w:rsidR="009260DE" w:rsidRPr="00116C00" w:rsidRDefault="009260DE" w:rsidP="009260DE">
      <w:pPr>
        <w:tabs>
          <w:tab w:val="left" w:pos="851"/>
        </w:tabs>
        <w:ind w:left="851"/>
        <w:rPr>
          <w:sz w:val="24"/>
          <w:szCs w:val="24"/>
        </w:rPr>
      </w:pPr>
    </w:p>
    <w:p w14:paraId="302D49CC" w14:textId="77777777" w:rsidR="009260DE" w:rsidRPr="00116C00" w:rsidRDefault="009260DE" w:rsidP="009260DE">
      <w:pPr>
        <w:tabs>
          <w:tab w:val="left" w:pos="851"/>
        </w:tabs>
        <w:ind w:left="851" w:hanging="851"/>
        <w:rPr>
          <w:b/>
          <w:sz w:val="24"/>
          <w:szCs w:val="24"/>
        </w:rPr>
      </w:pPr>
      <w:r w:rsidRPr="00116C00">
        <w:rPr>
          <w:b/>
          <w:sz w:val="24"/>
          <w:szCs w:val="24"/>
        </w:rPr>
        <w:t>4.8</w:t>
      </w:r>
      <w:r w:rsidRPr="00116C00">
        <w:rPr>
          <w:b/>
          <w:sz w:val="24"/>
          <w:szCs w:val="24"/>
        </w:rPr>
        <w:tab/>
        <w:t>Bivirkninger</w:t>
      </w:r>
    </w:p>
    <w:p w14:paraId="400C73FD" w14:textId="77777777" w:rsidR="003456A9" w:rsidRDefault="003456A9" w:rsidP="00A41915">
      <w:pPr>
        <w:shd w:val="clear" w:color="auto" w:fill="FFFFFF"/>
        <w:ind w:left="851"/>
        <w:rPr>
          <w:color w:val="000000"/>
          <w:sz w:val="24"/>
          <w:szCs w:val="24"/>
          <w:u w:val="single"/>
        </w:rPr>
      </w:pPr>
    </w:p>
    <w:p w14:paraId="0DA46170" w14:textId="6EFECD07" w:rsidR="00961187" w:rsidRPr="00116C00" w:rsidRDefault="00961187" w:rsidP="00A41915">
      <w:pPr>
        <w:shd w:val="clear" w:color="auto" w:fill="FFFFFF"/>
        <w:ind w:left="851"/>
        <w:rPr>
          <w:color w:val="000000"/>
          <w:sz w:val="24"/>
          <w:szCs w:val="24"/>
          <w:u w:val="single"/>
        </w:rPr>
      </w:pPr>
      <w:r w:rsidRPr="00116C00">
        <w:rPr>
          <w:color w:val="000000"/>
          <w:sz w:val="24"/>
          <w:szCs w:val="24"/>
          <w:u w:val="single"/>
        </w:rPr>
        <w:t>Resumé af sikkerhedsprofilen</w:t>
      </w:r>
    </w:p>
    <w:p w14:paraId="763ACB71" w14:textId="77777777" w:rsidR="00961187" w:rsidRPr="00116C00" w:rsidRDefault="00961187" w:rsidP="00A41915">
      <w:pPr>
        <w:shd w:val="clear" w:color="auto" w:fill="FFFFFF"/>
        <w:ind w:left="851"/>
        <w:rPr>
          <w:color w:val="000000"/>
          <w:sz w:val="24"/>
          <w:szCs w:val="24"/>
          <w:lang w:eastAsia="en-GB"/>
        </w:rPr>
      </w:pPr>
    </w:p>
    <w:p w14:paraId="489BB260" w14:textId="7A2977B8" w:rsidR="00961187" w:rsidRPr="00116C00" w:rsidRDefault="00961187" w:rsidP="00A41915">
      <w:pPr>
        <w:shd w:val="clear" w:color="auto" w:fill="FFFFFF"/>
        <w:ind w:left="851"/>
        <w:rPr>
          <w:color w:val="000000"/>
          <w:sz w:val="24"/>
          <w:szCs w:val="24"/>
        </w:rPr>
      </w:pPr>
      <w:r w:rsidRPr="00116C00">
        <w:rPr>
          <w:color w:val="000000"/>
          <w:sz w:val="24"/>
          <w:szCs w:val="24"/>
        </w:rPr>
        <w:t xml:space="preserve">Mange af de anførte bivirkninger kan tilskrives lægemidlets </w:t>
      </w:r>
      <w:proofErr w:type="spellStart"/>
      <w:r w:rsidRPr="00116C00">
        <w:rPr>
          <w:color w:val="000000"/>
          <w:sz w:val="24"/>
          <w:szCs w:val="24"/>
        </w:rPr>
        <w:t>antikolinerge</w:t>
      </w:r>
      <w:proofErr w:type="spellEnd"/>
      <w:r w:rsidRPr="00116C00">
        <w:rPr>
          <w:color w:val="000000"/>
          <w:sz w:val="24"/>
          <w:szCs w:val="24"/>
        </w:rPr>
        <w:t xml:space="preserve"> og beta-2-sympatomimetiske egenskaber. Ligesom alle andre inhalationsbehandlinger kan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w:t>
      </w:r>
      <w:r w:rsidRPr="00116C00">
        <w:rPr>
          <w:color w:val="000000"/>
          <w:sz w:val="24"/>
          <w:szCs w:val="24"/>
        </w:rPr>
        <w:t>give symptomer på lokal irritation. Nedenstående liste over bivirkninger er udarbejdet på grundlag af data fra kliniske forsøg og lægemiddel</w:t>
      </w:r>
      <w:r w:rsidR="006D4893">
        <w:rPr>
          <w:color w:val="000000"/>
          <w:sz w:val="24"/>
          <w:szCs w:val="24"/>
        </w:rPr>
        <w:softHyphen/>
      </w:r>
      <w:r w:rsidRPr="00116C00">
        <w:rPr>
          <w:color w:val="000000"/>
          <w:sz w:val="24"/>
          <w:szCs w:val="24"/>
        </w:rPr>
        <w:t>overvågningsdata efter godkendelse af lægemidlet.</w:t>
      </w:r>
    </w:p>
    <w:p w14:paraId="1816DE53" w14:textId="77777777" w:rsidR="00961187" w:rsidRPr="00116C00" w:rsidRDefault="00961187" w:rsidP="00A41915">
      <w:pPr>
        <w:shd w:val="clear" w:color="auto" w:fill="FFFFFF"/>
        <w:ind w:left="851"/>
        <w:rPr>
          <w:color w:val="000000"/>
          <w:sz w:val="24"/>
          <w:szCs w:val="24"/>
          <w:lang w:eastAsia="en-GB"/>
        </w:rPr>
      </w:pPr>
    </w:p>
    <w:p w14:paraId="405BDAA3" w14:textId="77777777" w:rsidR="00961187" w:rsidRPr="00116C00" w:rsidRDefault="00961187" w:rsidP="00A41915">
      <w:pPr>
        <w:shd w:val="clear" w:color="auto" w:fill="FFFFFF"/>
        <w:ind w:left="851"/>
        <w:rPr>
          <w:color w:val="000000"/>
          <w:sz w:val="24"/>
          <w:szCs w:val="24"/>
        </w:rPr>
      </w:pPr>
      <w:r w:rsidRPr="00116C00">
        <w:rPr>
          <w:color w:val="000000"/>
          <w:sz w:val="24"/>
          <w:szCs w:val="24"/>
        </w:rPr>
        <w:t xml:space="preserve">De hyppigste bivirkninger, der er rapporteret i kliniske forsøg, er hovedpine, irritation i svælget, hoste, mundtørhed, </w:t>
      </w:r>
      <w:proofErr w:type="spellStart"/>
      <w:r w:rsidRPr="00116C00">
        <w:rPr>
          <w:color w:val="000000"/>
          <w:sz w:val="24"/>
          <w:szCs w:val="24"/>
        </w:rPr>
        <w:t>gastrointestinale</w:t>
      </w:r>
      <w:proofErr w:type="spellEnd"/>
      <w:r w:rsidRPr="00116C00">
        <w:rPr>
          <w:color w:val="000000"/>
          <w:sz w:val="24"/>
          <w:szCs w:val="24"/>
        </w:rPr>
        <w:t xml:space="preserve"> </w:t>
      </w:r>
      <w:proofErr w:type="spellStart"/>
      <w:r w:rsidRPr="00116C00">
        <w:rPr>
          <w:color w:val="000000"/>
          <w:sz w:val="24"/>
          <w:szCs w:val="24"/>
        </w:rPr>
        <w:t>motilitetsforstyrrelser</w:t>
      </w:r>
      <w:proofErr w:type="spellEnd"/>
      <w:r w:rsidRPr="00116C00">
        <w:rPr>
          <w:color w:val="000000"/>
          <w:sz w:val="24"/>
          <w:szCs w:val="24"/>
        </w:rPr>
        <w:t xml:space="preserve"> (herunder forstoppelse, diarré og opkastning), kvalme og svimmelhed.</w:t>
      </w:r>
    </w:p>
    <w:p w14:paraId="1EDF79CE" w14:textId="77777777" w:rsidR="00961187" w:rsidRPr="00116C00" w:rsidRDefault="00961187" w:rsidP="00A41915">
      <w:pPr>
        <w:shd w:val="clear" w:color="auto" w:fill="FFFFFF"/>
        <w:ind w:left="851"/>
        <w:rPr>
          <w:color w:val="000000"/>
          <w:sz w:val="24"/>
          <w:szCs w:val="24"/>
          <w:u w:val="single"/>
          <w:lang w:eastAsia="en-GB"/>
        </w:rPr>
      </w:pPr>
    </w:p>
    <w:p w14:paraId="7E509E76" w14:textId="77777777" w:rsidR="00961187" w:rsidRPr="00116C00" w:rsidRDefault="00961187" w:rsidP="00A41915">
      <w:pPr>
        <w:shd w:val="clear" w:color="auto" w:fill="FFFFFF"/>
        <w:ind w:left="851"/>
        <w:rPr>
          <w:color w:val="000000"/>
          <w:sz w:val="24"/>
          <w:szCs w:val="24"/>
        </w:rPr>
      </w:pPr>
      <w:r w:rsidRPr="00116C00">
        <w:rPr>
          <w:color w:val="000000"/>
          <w:sz w:val="24"/>
          <w:szCs w:val="24"/>
        </w:rPr>
        <w:t xml:space="preserve">Bivirkningerne er anført i tabellen nedenfor efter systemorganklasse og hyppighed i henhold til </w:t>
      </w:r>
      <w:proofErr w:type="spellStart"/>
      <w:r w:rsidRPr="00116C00">
        <w:rPr>
          <w:color w:val="000000"/>
          <w:sz w:val="24"/>
          <w:szCs w:val="24"/>
        </w:rPr>
        <w:t>MedDRA</w:t>
      </w:r>
      <w:proofErr w:type="spellEnd"/>
      <w:r w:rsidRPr="00116C00">
        <w:rPr>
          <w:color w:val="000000"/>
          <w:sz w:val="24"/>
          <w:szCs w:val="24"/>
        </w:rPr>
        <w:t xml:space="preserve">-konventionen. </w:t>
      </w:r>
    </w:p>
    <w:p w14:paraId="75DC11C5" w14:textId="77777777" w:rsidR="00961187" w:rsidRPr="00116C00" w:rsidRDefault="00961187" w:rsidP="00A41915">
      <w:pPr>
        <w:shd w:val="clear" w:color="auto" w:fill="FFFFFF"/>
        <w:ind w:left="851"/>
        <w:rPr>
          <w:color w:val="000000"/>
          <w:sz w:val="24"/>
          <w:szCs w:val="24"/>
        </w:rPr>
      </w:pPr>
      <w:r w:rsidRPr="00116C00">
        <w:rPr>
          <w:color w:val="000000"/>
          <w:sz w:val="24"/>
          <w:szCs w:val="24"/>
        </w:rPr>
        <w:t>Hyppigheden defineres som:</w:t>
      </w:r>
      <w:r w:rsidRPr="00116C00">
        <w:rPr>
          <w:sz w:val="24"/>
          <w:szCs w:val="24"/>
        </w:rPr>
        <w:t xml:space="preserve"> meget almindelig (≥ 1/10), almindelig (≥ 1/100 til &lt; 1/10), ikke almindelig (≥ 1/1.000 til &lt; 1/100), sjælden (≥ 1/10.000 til &lt; 1/1.000), meget sjælden (&lt; 1/10.000) eller ikke kendt (kan ikke estimeres ud fra forhåndenværende data).</w:t>
      </w:r>
    </w:p>
    <w:p w14:paraId="16A2AAFB" w14:textId="77777777" w:rsidR="00961187" w:rsidRPr="00116C00" w:rsidRDefault="00961187" w:rsidP="00961187">
      <w:pPr>
        <w:shd w:val="clear" w:color="auto" w:fill="FFFFFF"/>
        <w:rPr>
          <w:color w:val="000000"/>
          <w:sz w:val="24"/>
          <w:szCs w:val="24"/>
          <w:lang w:eastAsia="en-GB"/>
        </w:rPr>
      </w:pPr>
    </w:p>
    <w:tbl>
      <w:tblPr>
        <w:tblStyle w:val="Tabel-Gitter"/>
        <w:tblW w:w="5000" w:type="pct"/>
        <w:tblInd w:w="0" w:type="dxa"/>
        <w:tblLook w:val="04A0" w:firstRow="1" w:lastRow="0" w:firstColumn="1" w:lastColumn="0" w:noHBand="0" w:noVBand="1"/>
      </w:tblPr>
      <w:tblGrid>
        <w:gridCol w:w="3209"/>
        <w:gridCol w:w="3209"/>
        <w:gridCol w:w="3210"/>
      </w:tblGrid>
      <w:tr w:rsidR="00961187" w:rsidRPr="00116C00" w14:paraId="1630161A" w14:textId="77777777" w:rsidTr="00A41915">
        <w:tc>
          <w:tcPr>
            <w:tcW w:w="1666" w:type="pct"/>
            <w:tcBorders>
              <w:top w:val="single" w:sz="4" w:space="0" w:color="auto"/>
              <w:left w:val="single" w:sz="4" w:space="0" w:color="auto"/>
              <w:bottom w:val="single" w:sz="4" w:space="0" w:color="auto"/>
              <w:right w:val="single" w:sz="4" w:space="0" w:color="auto"/>
            </w:tcBorders>
            <w:hideMark/>
          </w:tcPr>
          <w:p w14:paraId="79860EC3" w14:textId="77777777" w:rsidR="00961187" w:rsidRPr="00116C00" w:rsidRDefault="00961187">
            <w:pPr>
              <w:rPr>
                <w:color w:val="000000"/>
                <w:sz w:val="24"/>
                <w:szCs w:val="24"/>
                <w:vertAlign w:val="superscript"/>
              </w:rPr>
            </w:pPr>
            <w:proofErr w:type="spellStart"/>
            <w:r w:rsidRPr="00116C00">
              <w:rPr>
                <w:b/>
                <w:color w:val="000000"/>
                <w:sz w:val="24"/>
                <w:szCs w:val="24"/>
              </w:rPr>
              <w:t>MedDRA</w:t>
            </w:r>
            <w:proofErr w:type="spellEnd"/>
            <w:r w:rsidRPr="00116C00">
              <w:rPr>
                <w:b/>
                <w:color w:val="000000"/>
                <w:sz w:val="24"/>
                <w:szCs w:val="24"/>
              </w:rPr>
              <w:t>-systemorganklasse</w:t>
            </w:r>
          </w:p>
        </w:tc>
        <w:tc>
          <w:tcPr>
            <w:tcW w:w="1666" w:type="pct"/>
            <w:tcBorders>
              <w:top w:val="single" w:sz="4" w:space="0" w:color="auto"/>
              <w:left w:val="single" w:sz="4" w:space="0" w:color="auto"/>
              <w:bottom w:val="single" w:sz="4" w:space="0" w:color="auto"/>
              <w:right w:val="single" w:sz="4" w:space="0" w:color="auto"/>
            </w:tcBorders>
            <w:hideMark/>
          </w:tcPr>
          <w:p w14:paraId="26F135CB" w14:textId="77777777" w:rsidR="00961187" w:rsidRPr="00116C00" w:rsidRDefault="00961187">
            <w:pPr>
              <w:rPr>
                <w:color w:val="000000"/>
                <w:sz w:val="24"/>
                <w:szCs w:val="24"/>
                <w:vertAlign w:val="superscript"/>
              </w:rPr>
            </w:pPr>
            <w:r w:rsidRPr="00116C00">
              <w:rPr>
                <w:b/>
                <w:color w:val="000000"/>
                <w:sz w:val="24"/>
                <w:szCs w:val="24"/>
              </w:rPr>
              <w:t>Bivirkning</w:t>
            </w:r>
          </w:p>
        </w:tc>
        <w:tc>
          <w:tcPr>
            <w:tcW w:w="1667" w:type="pct"/>
            <w:tcBorders>
              <w:top w:val="single" w:sz="4" w:space="0" w:color="auto"/>
              <w:left w:val="single" w:sz="4" w:space="0" w:color="auto"/>
              <w:bottom w:val="single" w:sz="4" w:space="0" w:color="auto"/>
              <w:right w:val="single" w:sz="4" w:space="0" w:color="auto"/>
            </w:tcBorders>
            <w:hideMark/>
          </w:tcPr>
          <w:p w14:paraId="0EA97667" w14:textId="77777777" w:rsidR="00961187" w:rsidRPr="00116C00" w:rsidRDefault="00961187">
            <w:pPr>
              <w:jc w:val="center"/>
              <w:rPr>
                <w:color w:val="000000"/>
                <w:sz w:val="24"/>
                <w:szCs w:val="24"/>
                <w:vertAlign w:val="superscript"/>
              </w:rPr>
            </w:pPr>
            <w:r w:rsidRPr="00116C00">
              <w:rPr>
                <w:b/>
                <w:color w:val="000000"/>
                <w:sz w:val="24"/>
                <w:szCs w:val="24"/>
              </w:rPr>
              <w:t>Hyppighed</w:t>
            </w:r>
          </w:p>
        </w:tc>
      </w:tr>
      <w:tr w:rsidR="00961187" w:rsidRPr="00116C00" w14:paraId="68CF4214"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4DCC9E43" w14:textId="77777777" w:rsidR="00961187" w:rsidRPr="00116C00" w:rsidRDefault="00961187">
            <w:pPr>
              <w:rPr>
                <w:color w:val="000000"/>
                <w:sz w:val="24"/>
                <w:szCs w:val="24"/>
                <w:vertAlign w:val="superscript"/>
              </w:rPr>
            </w:pPr>
            <w:r w:rsidRPr="00116C00">
              <w:rPr>
                <w:sz w:val="24"/>
                <w:szCs w:val="24"/>
              </w:rPr>
              <w:t>Immunsystemet</w:t>
            </w:r>
          </w:p>
        </w:tc>
        <w:tc>
          <w:tcPr>
            <w:tcW w:w="1666" w:type="pct"/>
            <w:tcBorders>
              <w:top w:val="single" w:sz="4" w:space="0" w:color="auto"/>
              <w:left w:val="single" w:sz="4" w:space="0" w:color="auto"/>
              <w:bottom w:val="single" w:sz="4" w:space="0" w:color="auto"/>
              <w:right w:val="single" w:sz="4" w:space="0" w:color="auto"/>
            </w:tcBorders>
            <w:hideMark/>
          </w:tcPr>
          <w:p w14:paraId="3DE060BC" w14:textId="77777777" w:rsidR="00961187" w:rsidRPr="00116C00" w:rsidRDefault="00961187">
            <w:pPr>
              <w:rPr>
                <w:color w:val="000000"/>
                <w:sz w:val="24"/>
                <w:szCs w:val="24"/>
                <w:vertAlign w:val="superscript"/>
              </w:rPr>
            </w:pPr>
            <w:proofErr w:type="spellStart"/>
            <w:r w:rsidRPr="00116C00">
              <w:rPr>
                <w:sz w:val="24"/>
                <w:szCs w:val="24"/>
              </w:rPr>
              <w:t>Anafylaktisk</w:t>
            </w:r>
            <w:proofErr w:type="spellEnd"/>
            <w:r w:rsidRPr="00116C00">
              <w:rPr>
                <w:sz w:val="24"/>
                <w:szCs w:val="24"/>
              </w:rPr>
              <w:t xml:space="preserve"> reaktion</w:t>
            </w:r>
          </w:p>
        </w:tc>
        <w:tc>
          <w:tcPr>
            <w:tcW w:w="1667" w:type="pct"/>
            <w:tcBorders>
              <w:top w:val="single" w:sz="4" w:space="0" w:color="auto"/>
              <w:left w:val="single" w:sz="4" w:space="0" w:color="auto"/>
              <w:bottom w:val="single" w:sz="4" w:space="0" w:color="auto"/>
              <w:right w:val="single" w:sz="4" w:space="0" w:color="auto"/>
            </w:tcBorders>
            <w:hideMark/>
          </w:tcPr>
          <w:p w14:paraId="63EBD174"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5C4B953A"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7226EB87"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5A269A52" w14:textId="77777777" w:rsidR="00961187" w:rsidRPr="00116C00" w:rsidRDefault="00961187">
            <w:pPr>
              <w:rPr>
                <w:color w:val="000000"/>
                <w:sz w:val="24"/>
                <w:szCs w:val="24"/>
                <w:vertAlign w:val="superscript"/>
              </w:rPr>
            </w:pPr>
            <w:r w:rsidRPr="00116C00">
              <w:rPr>
                <w:sz w:val="24"/>
                <w:szCs w:val="24"/>
              </w:rPr>
              <w:t>Overfølsomhed</w:t>
            </w:r>
          </w:p>
        </w:tc>
        <w:tc>
          <w:tcPr>
            <w:tcW w:w="1667" w:type="pct"/>
            <w:tcBorders>
              <w:top w:val="single" w:sz="4" w:space="0" w:color="auto"/>
              <w:left w:val="single" w:sz="4" w:space="0" w:color="auto"/>
              <w:bottom w:val="single" w:sz="4" w:space="0" w:color="auto"/>
              <w:right w:val="single" w:sz="4" w:space="0" w:color="auto"/>
            </w:tcBorders>
            <w:hideMark/>
          </w:tcPr>
          <w:p w14:paraId="15FB146F"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28BB088E"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5AA8C708"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17E86C81" w14:textId="77777777" w:rsidR="00961187" w:rsidRPr="00116C00" w:rsidRDefault="00961187">
            <w:pPr>
              <w:rPr>
                <w:color w:val="000000"/>
                <w:sz w:val="24"/>
                <w:szCs w:val="24"/>
                <w:vertAlign w:val="superscript"/>
              </w:rPr>
            </w:pPr>
            <w:proofErr w:type="spellStart"/>
            <w:r w:rsidRPr="00116C00">
              <w:rPr>
                <w:sz w:val="24"/>
                <w:szCs w:val="24"/>
              </w:rPr>
              <w:t>Angioødem</w:t>
            </w:r>
            <w:proofErr w:type="spellEnd"/>
            <w:r w:rsidRPr="00116C00">
              <w:rPr>
                <w:sz w:val="24"/>
                <w:szCs w:val="24"/>
              </w:rPr>
              <w:t xml:space="preserve"> med hævelse af tunge, læber og ansigt</w:t>
            </w:r>
          </w:p>
        </w:tc>
        <w:tc>
          <w:tcPr>
            <w:tcW w:w="1667" w:type="pct"/>
            <w:tcBorders>
              <w:top w:val="single" w:sz="4" w:space="0" w:color="auto"/>
              <w:left w:val="single" w:sz="4" w:space="0" w:color="auto"/>
              <w:bottom w:val="single" w:sz="4" w:space="0" w:color="auto"/>
              <w:right w:val="single" w:sz="4" w:space="0" w:color="auto"/>
            </w:tcBorders>
            <w:hideMark/>
          </w:tcPr>
          <w:p w14:paraId="4A97483C"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407DB4AF"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2A43F280" w14:textId="77777777" w:rsidR="00961187" w:rsidRPr="00116C00" w:rsidRDefault="00961187">
            <w:pPr>
              <w:rPr>
                <w:color w:val="000000"/>
                <w:sz w:val="24"/>
                <w:szCs w:val="24"/>
                <w:vertAlign w:val="superscript"/>
              </w:rPr>
            </w:pPr>
            <w:r w:rsidRPr="00116C00">
              <w:rPr>
                <w:sz w:val="24"/>
                <w:szCs w:val="24"/>
              </w:rPr>
              <w:t>Metabolisme og ernæring</w:t>
            </w:r>
          </w:p>
        </w:tc>
        <w:tc>
          <w:tcPr>
            <w:tcW w:w="1666" w:type="pct"/>
            <w:tcBorders>
              <w:top w:val="single" w:sz="4" w:space="0" w:color="auto"/>
              <w:left w:val="single" w:sz="4" w:space="0" w:color="auto"/>
              <w:bottom w:val="single" w:sz="4" w:space="0" w:color="auto"/>
              <w:right w:val="single" w:sz="4" w:space="0" w:color="auto"/>
            </w:tcBorders>
            <w:hideMark/>
          </w:tcPr>
          <w:p w14:paraId="0BBAD3D9" w14:textId="77777777" w:rsidR="00961187" w:rsidRPr="00116C00" w:rsidRDefault="00961187">
            <w:pPr>
              <w:rPr>
                <w:color w:val="000000"/>
                <w:sz w:val="24"/>
                <w:szCs w:val="24"/>
                <w:vertAlign w:val="superscript"/>
              </w:rPr>
            </w:pPr>
            <w:proofErr w:type="spellStart"/>
            <w:r w:rsidRPr="00116C00">
              <w:rPr>
                <w:sz w:val="24"/>
                <w:szCs w:val="24"/>
              </w:rPr>
              <w:t>Hypokaliæmi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195DD9EA"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4330E3E1"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31896CC6"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001EC18C" w14:textId="77777777" w:rsidR="00961187" w:rsidRPr="00116C00" w:rsidRDefault="00961187">
            <w:pPr>
              <w:rPr>
                <w:color w:val="000000"/>
                <w:sz w:val="24"/>
                <w:szCs w:val="24"/>
                <w:vertAlign w:val="superscript"/>
              </w:rPr>
            </w:pPr>
            <w:proofErr w:type="spellStart"/>
            <w:r w:rsidRPr="00116C00">
              <w:rPr>
                <w:sz w:val="24"/>
                <w:szCs w:val="24"/>
              </w:rPr>
              <w:t>Laktacidose</w:t>
            </w:r>
            <w:proofErr w:type="spellEnd"/>
            <w:r w:rsidRPr="00116C00">
              <w:rPr>
                <w:sz w:val="24"/>
                <w:szCs w:val="24"/>
              </w:rPr>
              <w:t xml:space="preserve"> (se pkt. 4.4)</w:t>
            </w:r>
          </w:p>
        </w:tc>
        <w:tc>
          <w:tcPr>
            <w:tcW w:w="1667" w:type="pct"/>
            <w:tcBorders>
              <w:top w:val="single" w:sz="4" w:space="0" w:color="auto"/>
              <w:left w:val="single" w:sz="4" w:space="0" w:color="auto"/>
              <w:bottom w:val="single" w:sz="4" w:space="0" w:color="auto"/>
              <w:right w:val="single" w:sz="4" w:space="0" w:color="auto"/>
            </w:tcBorders>
            <w:hideMark/>
          </w:tcPr>
          <w:p w14:paraId="36F3D4A1" w14:textId="77777777" w:rsidR="00961187" w:rsidRPr="00116C00" w:rsidRDefault="00961187">
            <w:pPr>
              <w:jc w:val="center"/>
              <w:rPr>
                <w:color w:val="000000"/>
                <w:sz w:val="24"/>
                <w:szCs w:val="24"/>
                <w:vertAlign w:val="superscript"/>
              </w:rPr>
            </w:pPr>
            <w:r w:rsidRPr="00116C00">
              <w:rPr>
                <w:sz w:val="24"/>
                <w:szCs w:val="24"/>
              </w:rPr>
              <w:t>Ikke kendt</w:t>
            </w:r>
          </w:p>
        </w:tc>
      </w:tr>
      <w:tr w:rsidR="00961187" w:rsidRPr="00116C00" w14:paraId="5B9AEAF3"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45A30A3A" w14:textId="77777777" w:rsidR="00961187" w:rsidRPr="00116C00" w:rsidRDefault="00961187">
            <w:pPr>
              <w:rPr>
                <w:color w:val="000000"/>
                <w:sz w:val="24"/>
                <w:szCs w:val="24"/>
                <w:vertAlign w:val="superscript"/>
              </w:rPr>
            </w:pPr>
            <w:r w:rsidRPr="00116C00">
              <w:rPr>
                <w:sz w:val="24"/>
                <w:szCs w:val="24"/>
              </w:rPr>
              <w:t>Psykiske forstyrrelser</w:t>
            </w:r>
          </w:p>
        </w:tc>
        <w:tc>
          <w:tcPr>
            <w:tcW w:w="1666" w:type="pct"/>
            <w:tcBorders>
              <w:top w:val="single" w:sz="4" w:space="0" w:color="auto"/>
              <w:left w:val="single" w:sz="4" w:space="0" w:color="auto"/>
              <w:bottom w:val="single" w:sz="4" w:space="0" w:color="auto"/>
              <w:right w:val="single" w:sz="4" w:space="0" w:color="auto"/>
            </w:tcBorders>
            <w:hideMark/>
          </w:tcPr>
          <w:p w14:paraId="1ACC2498" w14:textId="77777777" w:rsidR="00961187" w:rsidRPr="00116C00" w:rsidRDefault="00961187">
            <w:pPr>
              <w:rPr>
                <w:color w:val="000000"/>
                <w:sz w:val="24"/>
                <w:szCs w:val="24"/>
                <w:vertAlign w:val="superscript"/>
              </w:rPr>
            </w:pPr>
            <w:r w:rsidRPr="00116C00">
              <w:rPr>
                <w:sz w:val="24"/>
                <w:szCs w:val="24"/>
              </w:rPr>
              <w:t>Nervøsitet</w:t>
            </w:r>
          </w:p>
        </w:tc>
        <w:tc>
          <w:tcPr>
            <w:tcW w:w="1667" w:type="pct"/>
            <w:tcBorders>
              <w:top w:val="single" w:sz="4" w:space="0" w:color="auto"/>
              <w:left w:val="single" w:sz="4" w:space="0" w:color="auto"/>
              <w:bottom w:val="single" w:sz="4" w:space="0" w:color="auto"/>
              <w:right w:val="single" w:sz="4" w:space="0" w:color="auto"/>
            </w:tcBorders>
            <w:hideMark/>
          </w:tcPr>
          <w:p w14:paraId="24A4A6AC"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514E69DB"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61345DA4"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0F955F7" w14:textId="77777777" w:rsidR="00961187" w:rsidRPr="00116C00" w:rsidRDefault="00961187">
            <w:pPr>
              <w:rPr>
                <w:color w:val="000000"/>
                <w:sz w:val="24"/>
                <w:szCs w:val="24"/>
                <w:vertAlign w:val="superscript"/>
              </w:rPr>
            </w:pPr>
            <w:r w:rsidRPr="00116C00">
              <w:rPr>
                <w:sz w:val="24"/>
                <w:szCs w:val="24"/>
              </w:rPr>
              <w:t>Mental forstyrrelse</w:t>
            </w:r>
          </w:p>
        </w:tc>
        <w:tc>
          <w:tcPr>
            <w:tcW w:w="1667" w:type="pct"/>
            <w:tcBorders>
              <w:top w:val="single" w:sz="4" w:space="0" w:color="auto"/>
              <w:left w:val="single" w:sz="4" w:space="0" w:color="auto"/>
              <w:bottom w:val="single" w:sz="4" w:space="0" w:color="auto"/>
              <w:right w:val="single" w:sz="4" w:space="0" w:color="auto"/>
            </w:tcBorders>
            <w:hideMark/>
          </w:tcPr>
          <w:p w14:paraId="6863A218"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631749B8"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483FC90E" w14:textId="77777777" w:rsidR="00961187" w:rsidRPr="00116C00" w:rsidRDefault="00961187">
            <w:pPr>
              <w:rPr>
                <w:color w:val="000000"/>
                <w:sz w:val="24"/>
                <w:szCs w:val="24"/>
                <w:vertAlign w:val="superscript"/>
              </w:rPr>
            </w:pPr>
            <w:r w:rsidRPr="00116C00">
              <w:rPr>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5210F766" w14:textId="77777777" w:rsidR="00961187" w:rsidRPr="00116C00" w:rsidRDefault="00961187">
            <w:pPr>
              <w:rPr>
                <w:color w:val="000000"/>
                <w:sz w:val="24"/>
                <w:szCs w:val="24"/>
                <w:vertAlign w:val="superscript"/>
              </w:rPr>
            </w:pPr>
            <w:r w:rsidRPr="00116C00">
              <w:rPr>
                <w:sz w:val="24"/>
                <w:szCs w:val="24"/>
              </w:rPr>
              <w:t>Svimmelhed</w:t>
            </w:r>
          </w:p>
        </w:tc>
        <w:tc>
          <w:tcPr>
            <w:tcW w:w="1667" w:type="pct"/>
            <w:tcBorders>
              <w:top w:val="single" w:sz="4" w:space="0" w:color="auto"/>
              <w:left w:val="single" w:sz="4" w:space="0" w:color="auto"/>
              <w:bottom w:val="single" w:sz="4" w:space="0" w:color="auto"/>
              <w:right w:val="single" w:sz="4" w:space="0" w:color="auto"/>
            </w:tcBorders>
            <w:hideMark/>
          </w:tcPr>
          <w:p w14:paraId="6FEFF1AC"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4C142DCA"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0F7409F6"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71AEEE57" w14:textId="77777777" w:rsidR="00961187" w:rsidRPr="00116C00" w:rsidRDefault="00961187">
            <w:pPr>
              <w:rPr>
                <w:color w:val="000000"/>
                <w:sz w:val="24"/>
                <w:szCs w:val="24"/>
                <w:vertAlign w:val="superscript"/>
              </w:rPr>
            </w:pPr>
            <w:r w:rsidRPr="00116C00">
              <w:rPr>
                <w:sz w:val="24"/>
                <w:szCs w:val="24"/>
              </w:rPr>
              <w:t>Hovedpine</w:t>
            </w:r>
          </w:p>
        </w:tc>
        <w:tc>
          <w:tcPr>
            <w:tcW w:w="1667" w:type="pct"/>
            <w:tcBorders>
              <w:top w:val="single" w:sz="4" w:space="0" w:color="auto"/>
              <w:left w:val="single" w:sz="4" w:space="0" w:color="auto"/>
              <w:bottom w:val="single" w:sz="4" w:space="0" w:color="auto"/>
              <w:right w:val="single" w:sz="4" w:space="0" w:color="auto"/>
            </w:tcBorders>
            <w:hideMark/>
          </w:tcPr>
          <w:p w14:paraId="5EFA86D9"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4AFFB437"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3D2D7AFF"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14D44F99" w14:textId="77777777" w:rsidR="00961187" w:rsidRPr="00116C00" w:rsidRDefault="00961187">
            <w:pPr>
              <w:rPr>
                <w:color w:val="000000"/>
                <w:sz w:val="24"/>
                <w:szCs w:val="24"/>
                <w:vertAlign w:val="superscript"/>
              </w:rPr>
            </w:pPr>
            <w:proofErr w:type="spellStart"/>
            <w:r w:rsidRPr="00116C00">
              <w:rPr>
                <w:sz w:val="24"/>
                <w:szCs w:val="24"/>
              </w:rPr>
              <w:t>Tremor</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2FFE5495"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7D889F3C"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4EB184E3" w14:textId="77777777" w:rsidR="00961187" w:rsidRPr="00116C00" w:rsidRDefault="00961187">
            <w:pPr>
              <w:rPr>
                <w:color w:val="000000"/>
                <w:sz w:val="24"/>
                <w:szCs w:val="24"/>
                <w:vertAlign w:val="superscript"/>
              </w:rPr>
            </w:pPr>
            <w:r w:rsidRPr="00116C00">
              <w:rPr>
                <w:sz w:val="24"/>
                <w:szCs w:val="24"/>
              </w:rPr>
              <w:t>Øjne</w:t>
            </w:r>
          </w:p>
        </w:tc>
        <w:tc>
          <w:tcPr>
            <w:tcW w:w="1666" w:type="pct"/>
            <w:tcBorders>
              <w:top w:val="single" w:sz="4" w:space="0" w:color="auto"/>
              <w:left w:val="single" w:sz="4" w:space="0" w:color="auto"/>
              <w:bottom w:val="single" w:sz="4" w:space="0" w:color="auto"/>
              <w:right w:val="single" w:sz="4" w:space="0" w:color="auto"/>
            </w:tcBorders>
            <w:hideMark/>
          </w:tcPr>
          <w:p w14:paraId="0B43C951" w14:textId="77777777" w:rsidR="00961187" w:rsidRPr="00116C00" w:rsidRDefault="00961187">
            <w:pPr>
              <w:rPr>
                <w:color w:val="000000"/>
                <w:sz w:val="24"/>
                <w:szCs w:val="24"/>
                <w:vertAlign w:val="superscript"/>
              </w:rPr>
            </w:pPr>
            <w:r w:rsidRPr="00116C00">
              <w:rPr>
                <w:sz w:val="24"/>
                <w:szCs w:val="24"/>
              </w:rPr>
              <w:t>Akkommodationsforstyrrelse</w:t>
            </w:r>
          </w:p>
        </w:tc>
        <w:tc>
          <w:tcPr>
            <w:tcW w:w="1667" w:type="pct"/>
            <w:tcBorders>
              <w:top w:val="single" w:sz="4" w:space="0" w:color="auto"/>
              <w:left w:val="single" w:sz="4" w:space="0" w:color="auto"/>
              <w:bottom w:val="single" w:sz="4" w:space="0" w:color="auto"/>
              <w:right w:val="single" w:sz="4" w:space="0" w:color="auto"/>
            </w:tcBorders>
            <w:hideMark/>
          </w:tcPr>
          <w:p w14:paraId="428EDB87"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1920BF34"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7D51AECA"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41AB6E19" w14:textId="77777777" w:rsidR="00961187" w:rsidRPr="00116C00" w:rsidRDefault="00961187">
            <w:pPr>
              <w:rPr>
                <w:color w:val="000000"/>
                <w:sz w:val="24"/>
                <w:szCs w:val="24"/>
                <w:vertAlign w:val="superscript"/>
              </w:rPr>
            </w:pPr>
            <w:r w:rsidRPr="00116C00">
              <w:rPr>
                <w:sz w:val="24"/>
                <w:szCs w:val="24"/>
              </w:rPr>
              <w:t xml:space="preserve">Ødem i </w:t>
            </w:r>
            <w:proofErr w:type="spellStart"/>
            <w:r w:rsidRPr="00116C00">
              <w:rPr>
                <w:sz w:val="24"/>
                <w:szCs w:val="24"/>
              </w:rPr>
              <w:t>cornea</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8AB9284"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64B920FF"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1853DAED"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64026FF1" w14:textId="77777777" w:rsidR="00961187" w:rsidRPr="00116C00" w:rsidRDefault="00961187">
            <w:pPr>
              <w:rPr>
                <w:color w:val="000000"/>
                <w:sz w:val="24"/>
                <w:szCs w:val="24"/>
                <w:vertAlign w:val="superscript"/>
              </w:rPr>
            </w:pPr>
            <w:proofErr w:type="spellStart"/>
            <w:r w:rsidRPr="00116C00">
              <w:rPr>
                <w:sz w:val="24"/>
                <w:szCs w:val="24"/>
              </w:rPr>
              <w:t>Glaukom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4C8D5315"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411994BB"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2D33C4B5"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60E2713" w14:textId="77777777" w:rsidR="00961187" w:rsidRPr="00116C00" w:rsidRDefault="00961187">
            <w:pPr>
              <w:rPr>
                <w:color w:val="000000"/>
                <w:sz w:val="24"/>
                <w:szCs w:val="24"/>
                <w:vertAlign w:val="superscript"/>
              </w:rPr>
            </w:pPr>
            <w:r w:rsidRPr="00116C00">
              <w:rPr>
                <w:sz w:val="24"/>
                <w:szCs w:val="24"/>
              </w:rPr>
              <w:t>Øjensmerter</w:t>
            </w:r>
          </w:p>
        </w:tc>
        <w:tc>
          <w:tcPr>
            <w:tcW w:w="1667" w:type="pct"/>
            <w:tcBorders>
              <w:top w:val="single" w:sz="4" w:space="0" w:color="auto"/>
              <w:left w:val="single" w:sz="4" w:space="0" w:color="auto"/>
              <w:bottom w:val="single" w:sz="4" w:space="0" w:color="auto"/>
              <w:right w:val="single" w:sz="4" w:space="0" w:color="auto"/>
            </w:tcBorders>
            <w:hideMark/>
          </w:tcPr>
          <w:p w14:paraId="57FDDD24"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742BAEB9"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0D6B9DEE"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74967EB0" w14:textId="77777777" w:rsidR="00961187" w:rsidRPr="00116C00" w:rsidRDefault="00961187">
            <w:pPr>
              <w:rPr>
                <w:color w:val="000000"/>
                <w:sz w:val="24"/>
                <w:szCs w:val="24"/>
                <w:vertAlign w:val="superscript"/>
              </w:rPr>
            </w:pPr>
            <w:r w:rsidRPr="00116C00">
              <w:rPr>
                <w:sz w:val="24"/>
                <w:szCs w:val="24"/>
              </w:rPr>
              <w:t>Øget tryk i øjet</w:t>
            </w:r>
          </w:p>
        </w:tc>
        <w:tc>
          <w:tcPr>
            <w:tcW w:w="1667" w:type="pct"/>
            <w:tcBorders>
              <w:top w:val="single" w:sz="4" w:space="0" w:color="auto"/>
              <w:left w:val="single" w:sz="4" w:space="0" w:color="auto"/>
              <w:bottom w:val="single" w:sz="4" w:space="0" w:color="auto"/>
              <w:right w:val="single" w:sz="4" w:space="0" w:color="auto"/>
            </w:tcBorders>
            <w:hideMark/>
          </w:tcPr>
          <w:p w14:paraId="4C870DDD"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48B5B1CC"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4ADAEE6F"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4BFA02A6" w14:textId="77777777" w:rsidR="00961187" w:rsidRPr="00116C00" w:rsidRDefault="00961187">
            <w:pPr>
              <w:rPr>
                <w:color w:val="000000"/>
                <w:sz w:val="24"/>
                <w:szCs w:val="24"/>
                <w:vertAlign w:val="superscript"/>
              </w:rPr>
            </w:pPr>
            <w:proofErr w:type="spellStart"/>
            <w:r w:rsidRPr="00116C00">
              <w:rPr>
                <w:sz w:val="24"/>
                <w:szCs w:val="24"/>
              </w:rPr>
              <w:t>Mydriasis</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1446A7A"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39A7D033"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7D72B307"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44AFE2B" w14:textId="77777777" w:rsidR="00961187" w:rsidRPr="00116C00" w:rsidRDefault="00961187">
            <w:pPr>
              <w:rPr>
                <w:color w:val="000000"/>
                <w:sz w:val="24"/>
                <w:szCs w:val="24"/>
                <w:vertAlign w:val="superscript"/>
              </w:rPr>
            </w:pPr>
            <w:r w:rsidRPr="00116C00">
              <w:rPr>
                <w:sz w:val="24"/>
                <w:szCs w:val="24"/>
              </w:rPr>
              <w:t>Sløret syn</w:t>
            </w:r>
          </w:p>
        </w:tc>
        <w:tc>
          <w:tcPr>
            <w:tcW w:w="1667" w:type="pct"/>
            <w:tcBorders>
              <w:top w:val="single" w:sz="4" w:space="0" w:color="auto"/>
              <w:left w:val="single" w:sz="4" w:space="0" w:color="auto"/>
              <w:bottom w:val="single" w:sz="4" w:space="0" w:color="auto"/>
              <w:right w:val="single" w:sz="4" w:space="0" w:color="auto"/>
            </w:tcBorders>
            <w:hideMark/>
          </w:tcPr>
          <w:p w14:paraId="3C057D61"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0E7C3C53"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75EB05D2"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544B4C90" w14:textId="77777777" w:rsidR="00961187" w:rsidRPr="00116C00" w:rsidRDefault="00961187">
            <w:pPr>
              <w:rPr>
                <w:color w:val="000000"/>
                <w:sz w:val="24"/>
                <w:szCs w:val="24"/>
                <w:vertAlign w:val="superscript"/>
              </w:rPr>
            </w:pPr>
            <w:proofErr w:type="spellStart"/>
            <w:r w:rsidRPr="00116C00">
              <w:rPr>
                <w:sz w:val="24"/>
                <w:szCs w:val="24"/>
              </w:rPr>
              <w:t>Konjunktival</w:t>
            </w:r>
            <w:proofErr w:type="spellEnd"/>
            <w:r w:rsidRPr="00116C00">
              <w:rPr>
                <w:sz w:val="24"/>
                <w:szCs w:val="24"/>
              </w:rPr>
              <w:t xml:space="preserve"> </w:t>
            </w:r>
            <w:proofErr w:type="spellStart"/>
            <w:r w:rsidRPr="00116C00">
              <w:rPr>
                <w:sz w:val="24"/>
                <w:szCs w:val="24"/>
              </w:rPr>
              <w:t>hyperæmi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7C51324"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5FAC5BE2"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4F22F360"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0ADF7EB3" w14:textId="77777777" w:rsidR="00961187" w:rsidRPr="00116C00" w:rsidRDefault="00961187">
            <w:pPr>
              <w:rPr>
                <w:color w:val="000000"/>
                <w:sz w:val="24"/>
                <w:szCs w:val="24"/>
                <w:vertAlign w:val="superscript"/>
              </w:rPr>
            </w:pPr>
            <w:r w:rsidRPr="00116C00">
              <w:rPr>
                <w:sz w:val="24"/>
                <w:szCs w:val="24"/>
              </w:rPr>
              <w:t>Lysringe i synsfeltet</w:t>
            </w:r>
          </w:p>
        </w:tc>
        <w:tc>
          <w:tcPr>
            <w:tcW w:w="1667" w:type="pct"/>
            <w:tcBorders>
              <w:top w:val="single" w:sz="4" w:space="0" w:color="auto"/>
              <w:left w:val="single" w:sz="4" w:space="0" w:color="auto"/>
              <w:bottom w:val="single" w:sz="4" w:space="0" w:color="auto"/>
              <w:right w:val="single" w:sz="4" w:space="0" w:color="auto"/>
            </w:tcBorders>
            <w:hideMark/>
          </w:tcPr>
          <w:p w14:paraId="3B0C3DD1"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62504AC4"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724DC896" w14:textId="77777777" w:rsidR="00961187" w:rsidRPr="00116C00" w:rsidRDefault="00961187">
            <w:pPr>
              <w:rPr>
                <w:color w:val="000000"/>
                <w:sz w:val="24"/>
                <w:szCs w:val="24"/>
                <w:vertAlign w:val="superscript"/>
              </w:rPr>
            </w:pPr>
            <w:r w:rsidRPr="00116C00">
              <w:rPr>
                <w:sz w:val="24"/>
                <w:szCs w:val="24"/>
              </w:rPr>
              <w:t>Hjerte</w:t>
            </w:r>
          </w:p>
        </w:tc>
        <w:tc>
          <w:tcPr>
            <w:tcW w:w="1666" w:type="pct"/>
            <w:tcBorders>
              <w:top w:val="single" w:sz="4" w:space="0" w:color="auto"/>
              <w:left w:val="single" w:sz="4" w:space="0" w:color="auto"/>
              <w:bottom w:val="single" w:sz="4" w:space="0" w:color="auto"/>
              <w:right w:val="single" w:sz="4" w:space="0" w:color="auto"/>
            </w:tcBorders>
            <w:hideMark/>
          </w:tcPr>
          <w:p w14:paraId="2D151A61" w14:textId="77777777" w:rsidR="00961187" w:rsidRPr="00116C00" w:rsidRDefault="00961187">
            <w:pPr>
              <w:rPr>
                <w:color w:val="000000"/>
                <w:sz w:val="24"/>
                <w:szCs w:val="24"/>
                <w:vertAlign w:val="superscript"/>
              </w:rPr>
            </w:pPr>
            <w:proofErr w:type="spellStart"/>
            <w:r w:rsidRPr="00116C00">
              <w:rPr>
                <w:sz w:val="24"/>
                <w:szCs w:val="24"/>
              </w:rPr>
              <w:t>Palpitationer</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1DA1C6B2"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3F8EBA8F"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3D513292"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6F0DDE0F" w14:textId="77777777" w:rsidR="00961187" w:rsidRPr="00116C00" w:rsidRDefault="00961187">
            <w:pPr>
              <w:rPr>
                <w:color w:val="000000"/>
                <w:sz w:val="24"/>
                <w:szCs w:val="24"/>
                <w:vertAlign w:val="superscript"/>
              </w:rPr>
            </w:pPr>
            <w:proofErr w:type="spellStart"/>
            <w:r w:rsidRPr="00116C00">
              <w:rPr>
                <w:sz w:val="24"/>
                <w:szCs w:val="24"/>
              </w:rPr>
              <w:t>Takykardi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020CC92F"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07BBB7F8"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6197D96A"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197CA3B5" w14:textId="77777777" w:rsidR="00961187" w:rsidRPr="00116C00" w:rsidRDefault="00961187">
            <w:pPr>
              <w:rPr>
                <w:color w:val="000000"/>
                <w:sz w:val="24"/>
                <w:szCs w:val="24"/>
                <w:vertAlign w:val="superscript"/>
              </w:rPr>
            </w:pPr>
            <w:proofErr w:type="spellStart"/>
            <w:r w:rsidRPr="00116C00">
              <w:rPr>
                <w:sz w:val="24"/>
                <w:szCs w:val="24"/>
              </w:rPr>
              <w:t>Arytmi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DA11551"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192E6FC8"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478D5C04"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150FE4C4" w14:textId="77777777" w:rsidR="00961187" w:rsidRPr="00116C00" w:rsidRDefault="00961187">
            <w:pPr>
              <w:rPr>
                <w:color w:val="000000"/>
                <w:sz w:val="24"/>
                <w:szCs w:val="24"/>
                <w:vertAlign w:val="superscript"/>
              </w:rPr>
            </w:pPr>
            <w:r w:rsidRPr="00116C00">
              <w:rPr>
                <w:sz w:val="24"/>
                <w:szCs w:val="24"/>
              </w:rPr>
              <w:t>Atrieflimren</w:t>
            </w:r>
          </w:p>
        </w:tc>
        <w:tc>
          <w:tcPr>
            <w:tcW w:w="1667" w:type="pct"/>
            <w:tcBorders>
              <w:top w:val="single" w:sz="4" w:space="0" w:color="auto"/>
              <w:left w:val="single" w:sz="4" w:space="0" w:color="auto"/>
              <w:bottom w:val="single" w:sz="4" w:space="0" w:color="auto"/>
              <w:right w:val="single" w:sz="4" w:space="0" w:color="auto"/>
            </w:tcBorders>
            <w:hideMark/>
          </w:tcPr>
          <w:p w14:paraId="1DC7E87B"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7EAE91D7"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25830EDE"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2FDE31DE" w14:textId="77777777" w:rsidR="00961187" w:rsidRPr="00116C00" w:rsidRDefault="00961187">
            <w:pPr>
              <w:rPr>
                <w:color w:val="000000"/>
                <w:sz w:val="24"/>
                <w:szCs w:val="24"/>
                <w:vertAlign w:val="superscript"/>
              </w:rPr>
            </w:pPr>
            <w:proofErr w:type="spellStart"/>
            <w:r w:rsidRPr="00116C00">
              <w:rPr>
                <w:sz w:val="24"/>
                <w:szCs w:val="24"/>
              </w:rPr>
              <w:t>Myokardieiskæmi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A2BD59B"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65257D57"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0A1DF319"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A03C1A7" w14:textId="77777777" w:rsidR="00961187" w:rsidRPr="00116C00" w:rsidRDefault="00961187">
            <w:pPr>
              <w:rPr>
                <w:color w:val="000000"/>
                <w:sz w:val="24"/>
                <w:szCs w:val="24"/>
                <w:vertAlign w:val="superscript"/>
              </w:rPr>
            </w:pPr>
            <w:proofErr w:type="spellStart"/>
            <w:r w:rsidRPr="00116C00">
              <w:rPr>
                <w:sz w:val="24"/>
                <w:szCs w:val="24"/>
              </w:rPr>
              <w:t>Supraventrikulær</w:t>
            </w:r>
            <w:proofErr w:type="spellEnd"/>
            <w:r w:rsidRPr="00116C00">
              <w:rPr>
                <w:sz w:val="24"/>
                <w:szCs w:val="24"/>
              </w:rPr>
              <w:t xml:space="preserve"> </w:t>
            </w:r>
            <w:proofErr w:type="spellStart"/>
            <w:r w:rsidRPr="00116C00">
              <w:rPr>
                <w:sz w:val="24"/>
                <w:szCs w:val="24"/>
              </w:rPr>
              <w:t>takykardi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3D28E6A8"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250067E5"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6A46694A" w14:textId="77777777" w:rsidR="00961187" w:rsidRPr="00116C00" w:rsidRDefault="00961187">
            <w:pPr>
              <w:rPr>
                <w:color w:val="000000"/>
                <w:sz w:val="24"/>
                <w:szCs w:val="24"/>
                <w:vertAlign w:val="superscript"/>
              </w:rPr>
            </w:pPr>
            <w:r w:rsidRPr="00116C00">
              <w:rPr>
                <w:sz w:val="24"/>
                <w:szCs w:val="24"/>
              </w:rPr>
              <w:t xml:space="preserve">Luftveje, thorax og </w:t>
            </w:r>
            <w:proofErr w:type="spellStart"/>
            <w:r w:rsidRPr="00116C00">
              <w:rPr>
                <w:sz w:val="24"/>
                <w:szCs w:val="24"/>
              </w:rPr>
              <w:t>mediastinum</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2A42314C" w14:textId="77777777" w:rsidR="00961187" w:rsidRPr="00116C00" w:rsidRDefault="00961187">
            <w:pPr>
              <w:rPr>
                <w:color w:val="000000"/>
                <w:sz w:val="24"/>
                <w:szCs w:val="24"/>
                <w:vertAlign w:val="superscript"/>
              </w:rPr>
            </w:pPr>
            <w:r w:rsidRPr="00116C00">
              <w:rPr>
                <w:sz w:val="24"/>
                <w:szCs w:val="24"/>
              </w:rPr>
              <w:t>Hoste</w:t>
            </w:r>
          </w:p>
        </w:tc>
        <w:tc>
          <w:tcPr>
            <w:tcW w:w="1667" w:type="pct"/>
            <w:tcBorders>
              <w:top w:val="single" w:sz="4" w:space="0" w:color="auto"/>
              <w:left w:val="single" w:sz="4" w:space="0" w:color="auto"/>
              <w:bottom w:val="single" w:sz="4" w:space="0" w:color="auto"/>
              <w:right w:val="single" w:sz="4" w:space="0" w:color="auto"/>
            </w:tcBorders>
            <w:hideMark/>
          </w:tcPr>
          <w:p w14:paraId="4869FC49"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20DEB028"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1B9E7AD6"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29DB1186" w14:textId="77777777" w:rsidR="00961187" w:rsidRPr="00116C00" w:rsidRDefault="00961187">
            <w:pPr>
              <w:rPr>
                <w:color w:val="000000"/>
                <w:sz w:val="24"/>
                <w:szCs w:val="24"/>
                <w:vertAlign w:val="superscript"/>
              </w:rPr>
            </w:pPr>
            <w:proofErr w:type="spellStart"/>
            <w:r w:rsidRPr="00116C00">
              <w:rPr>
                <w:sz w:val="24"/>
                <w:szCs w:val="24"/>
              </w:rPr>
              <w:t>Dysfoni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43C1AD8"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6B04C0F9"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1A18A049"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DC9DB60" w14:textId="77777777" w:rsidR="00961187" w:rsidRPr="00116C00" w:rsidRDefault="00961187">
            <w:pPr>
              <w:rPr>
                <w:color w:val="000000"/>
                <w:sz w:val="24"/>
                <w:szCs w:val="24"/>
                <w:vertAlign w:val="superscript"/>
              </w:rPr>
            </w:pPr>
            <w:r w:rsidRPr="00116C00">
              <w:rPr>
                <w:sz w:val="24"/>
                <w:szCs w:val="24"/>
              </w:rPr>
              <w:t>Irritation i svælget</w:t>
            </w:r>
          </w:p>
        </w:tc>
        <w:tc>
          <w:tcPr>
            <w:tcW w:w="1667" w:type="pct"/>
            <w:tcBorders>
              <w:top w:val="single" w:sz="4" w:space="0" w:color="auto"/>
              <w:left w:val="single" w:sz="4" w:space="0" w:color="auto"/>
              <w:bottom w:val="single" w:sz="4" w:space="0" w:color="auto"/>
              <w:right w:val="single" w:sz="4" w:space="0" w:color="auto"/>
            </w:tcBorders>
            <w:hideMark/>
          </w:tcPr>
          <w:p w14:paraId="03F1B6F6"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2C8B8C57"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306C06D8"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B4F6602" w14:textId="77777777" w:rsidR="00961187" w:rsidRPr="00116C00" w:rsidRDefault="00961187">
            <w:pPr>
              <w:rPr>
                <w:color w:val="000000"/>
                <w:sz w:val="24"/>
                <w:szCs w:val="24"/>
                <w:vertAlign w:val="superscript"/>
              </w:rPr>
            </w:pPr>
            <w:proofErr w:type="spellStart"/>
            <w:r w:rsidRPr="00116C00">
              <w:rPr>
                <w:sz w:val="24"/>
                <w:szCs w:val="24"/>
              </w:rPr>
              <w:t>Bronkospasme</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00936E3"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2BB89103"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0093B269"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D302097" w14:textId="77777777" w:rsidR="00961187" w:rsidRPr="00116C00" w:rsidRDefault="00961187">
            <w:pPr>
              <w:rPr>
                <w:color w:val="000000"/>
                <w:sz w:val="24"/>
                <w:szCs w:val="24"/>
                <w:vertAlign w:val="superscript"/>
              </w:rPr>
            </w:pPr>
            <w:r w:rsidRPr="00116C00">
              <w:rPr>
                <w:sz w:val="24"/>
                <w:szCs w:val="24"/>
              </w:rPr>
              <w:t xml:space="preserve">Paradoksal </w:t>
            </w:r>
            <w:proofErr w:type="spellStart"/>
            <w:r w:rsidRPr="00116C00">
              <w:rPr>
                <w:sz w:val="24"/>
                <w:szCs w:val="24"/>
              </w:rPr>
              <w:t>bronkospasme</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A5F0E67"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6DE88ECB"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629FE2D9"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2ACE98F7" w14:textId="77777777" w:rsidR="00961187" w:rsidRPr="00116C00" w:rsidRDefault="00961187">
            <w:pPr>
              <w:rPr>
                <w:color w:val="000000"/>
                <w:sz w:val="24"/>
                <w:szCs w:val="24"/>
                <w:vertAlign w:val="superscript"/>
              </w:rPr>
            </w:pPr>
            <w:r w:rsidRPr="00116C00">
              <w:rPr>
                <w:sz w:val="24"/>
                <w:szCs w:val="24"/>
              </w:rPr>
              <w:t>Tør hals</w:t>
            </w:r>
          </w:p>
        </w:tc>
        <w:tc>
          <w:tcPr>
            <w:tcW w:w="1667" w:type="pct"/>
            <w:tcBorders>
              <w:top w:val="single" w:sz="4" w:space="0" w:color="auto"/>
              <w:left w:val="single" w:sz="4" w:space="0" w:color="auto"/>
              <w:bottom w:val="single" w:sz="4" w:space="0" w:color="auto"/>
              <w:right w:val="single" w:sz="4" w:space="0" w:color="auto"/>
            </w:tcBorders>
            <w:hideMark/>
          </w:tcPr>
          <w:p w14:paraId="52CF186A"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039A7D82"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0DBAFE5B"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59BC9F3B" w14:textId="77777777" w:rsidR="00961187" w:rsidRPr="00116C00" w:rsidRDefault="00961187">
            <w:pPr>
              <w:rPr>
                <w:color w:val="000000"/>
                <w:sz w:val="24"/>
                <w:szCs w:val="24"/>
                <w:vertAlign w:val="superscript"/>
              </w:rPr>
            </w:pPr>
            <w:proofErr w:type="spellStart"/>
            <w:r w:rsidRPr="00116C00">
              <w:rPr>
                <w:sz w:val="24"/>
                <w:szCs w:val="24"/>
              </w:rPr>
              <w:t>Laryngospasme</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343580C9"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7C85A72E"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58CD9993"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628982D4" w14:textId="77777777" w:rsidR="00961187" w:rsidRPr="00116C00" w:rsidRDefault="00961187">
            <w:pPr>
              <w:rPr>
                <w:color w:val="000000"/>
                <w:sz w:val="24"/>
                <w:szCs w:val="24"/>
                <w:vertAlign w:val="superscript"/>
              </w:rPr>
            </w:pPr>
            <w:r w:rsidRPr="00116C00">
              <w:rPr>
                <w:sz w:val="24"/>
                <w:szCs w:val="24"/>
              </w:rPr>
              <w:t>Ødem i svælget</w:t>
            </w:r>
          </w:p>
        </w:tc>
        <w:tc>
          <w:tcPr>
            <w:tcW w:w="1667" w:type="pct"/>
            <w:tcBorders>
              <w:top w:val="single" w:sz="4" w:space="0" w:color="auto"/>
              <w:left w:val="single" w:sz="4" w:space="0" w:color="auto"/>
              <w:bottom w:val="single" w:sz="4" w:space="0" w:color="auto"/>
              <w:right w:val="single" w:sz="4" w:space="0" w:color="auto"/>
            </w:tcBorders>
            <w:hideMark/>
          </w:tcPr>
          <w:p w14:paraId="506CE478"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17260E67"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2E6B9CE1" w14:textId="77777777" w:rsidR="00961187" w:rsidRPr="00116C00" w:rsidRDefault="00961187">
            <w:pPr>
              <w:rPr>
                <w:color w:val="000000"/>
                <w:sz w:val="24"/>
                <w:szCs w:val="24"/>
                <w:vertAlign w:val="superscript"/>
              </w:rPr>
            </w:pPr>
            <w:r w:rsidRPr="00116C00">
              <w:rPr>
                <w:sz w:val="24"/>
                <w:szCs w:val="24"/>
              </w:rPr>
              <w:t>Mave-tarm-kanalen</w:t>
            </w:r>
          </w:p>
        </w:tc>
        <w:tc>
          <w:tcPr>
            <w:tcW w:w="1666" w:type="pct"/>
            <w:tcBorders>
              <w:top w:val="single" w:sz="4" w:space="0" w:color="auto"/>
              <w:left w:val="single" w:sz="4" w:space="0" w:color="auto"/>
              <w:bottom w:val="single" w:sz="4" w:space="0" w:color="auto"/>
              <w:right w:val="single" w:sz="4" w:space="0" w:color="auto"/>
            </w:tcBorders>
            <w:hideMark/>
          </w:tcPr>
          <w:p w14:paraId="716E1F4E" w14:textId="77777777" w:rsidR="00961187" w:rsidRPr="00116C00" w:rsidRDefault="00961187">
            <w:pPr>
              <w:rPr>
                <w:color w:val="000000"/>
                <w:sz w:val="24"/>
                <w:szCs w:val="24"/>
                <w:vertAlign w:val="superscript"/>
              </w:rPr>
            </w:pPr>
            <w:r w:rsidRPr="00116C00">
              <w:rPr>
                <w:sz w:val="24"/>
                <w:szCs w:val="24"/>
              </w:rPr>
              <w:t>Mundtørhed</w:t>
            </w:r>
          </w:p>
        </w:tc>
        <w:tc>
          <w:tcPr>
            <w:tcW w:w="1667" w:type="pct"/>
            <w:tcBorders>
              <w:top w:val="single" w:sz="4" w:space="0" w:color="auto"/>
              <w:left w:val="single" w:sz="4" w:space="0" w:color="auto"/>
              <w:bottom w:val="single" w:sz="4" w:space="0" w:color="auto"/>
              <w:right w:val="single" w:sz="4" w:space="0" w:color="auto"/>
            </w:tcBorders>
            <w:hideMark/>
          </w:tcPr>
          <w:p w14:paraId="28B3DCB0"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1005BC0A"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2A033D51"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5954133B" w14:textId="77777777" w:rsidR="00961187" w:rsidRPr="00116C00" w:rsidRDefault="00961187">
            <w:pPr>
              <w:rPr>
                <w:color w:val="000000"/>
                <w:sz w:val="24"/>
                <w:szCs w:val="24"/>
                <w:vertAlign w:val="superscript"/>
              </w:rPr>
            </w:pPr>
            <w:r w:rsidRPr="00116C00">
              <w:rPr>
                <w:sz w:val="24"/>
                <w:szCs w:val="24"/>
              </w:rPr>
              <w:t>Kvalme</w:t>
            </w:r>
          </w:p>
        </w:tc>
        <w:tc>
          <w:tcPr>
            <w:tcW w:w="1667" w:type="pct"/>
            <w:tcBorders>
              <w:top w:val="single" w:sz="4" w:space="0" w:color="auto"/>
              <w:left w:val="single" w:sz="4" w:space="0" w:color="auto"/>
              <w:bottom w:val="single" w:sz="4" w:space="0" w:color="auto"/>
              <w:right w:val="single" w:sz="4" w:space="0" w:color="auto"/>
            </w:tcBorders>
            <w:hideMark/>
          </w:tcPr>
          <w:p w14:paraId="0972B13A"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36DF5DA8"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470B876D"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2057387E" w14:textId="77777777" w:rsidR="00961187" w:rsidRPr="00116C00" w:rsidRDefault="00961187">
            <w:pPr>
              <w:rPr>
                <w:color w:val="000000"/>
                <w:sz w:val="24"/>
                <w:szCs w:val="24"/>
                <w:vertAlign w:val="superscript"/>
              </w:rPr>
            </w:pPr>
            <w:proofErr w:type="spellStart"/>
            <w:r w:rsidRPr="00116C00">
              <w:rPr>
                <w:sz w:val="24"/>
                <w:szCs w:val="24"/>
              </w:rPr>
              <w:t>Gastrointestinale</w:t>
            </w:r>
            <w:proofErr w:type="spellEnd"/>
            <w:r w:rsidRPr="00116C00">
              <w:rPr>
                <w:sz w:val="24"/>
                <w:szCs w:val="24"/>
              </w:rPr>
              <w:t xml:space="preserve"> </w:t>
            </w:r>
            <w:proofErr w:type="spellStart"/>
            <w:r w:rsidRPr="00116C00">
              <w:rPr>
                <w:sz w:val="24"/>
                <w:szCs w:val="24"/>
              </w:rPr>
              <w:t>motilitetsforstyrrelser</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4D1EEFB9"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4FE7392B"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3218BA84"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79B8348A" w14:textId="77777777" w:rsidR="00961187" w:rsidRPr="00116C00" w:rsidRDefault="00961187">
            <w:pPr>
              <w:rPr>
                <w:color w:val="000000"/>
                <w:sz w:val="24"/>
                <w:szCs w:val="24"/>
                <w:vertAlign w:val="superscript"/>
              </w:rPr>
            </w:pPr>
            <w:r w:rsidRPr="00116C00">
              <w:rPr>
                <w:sz w:val="24"/>
                <w:szCs w:val="24"/>
              </w:rPr>
              <w:t>Diarré</w:t>
            </w:r>
          </w:p>
        </w:tc>
        <w:tc>
          <w:tcPr>
            <w:tcW w:w="1667" w:type="pct"/>
            <w:tcBorders>
              <w:top w:val="single" w:sz="4" w:space="0" w:color="auto"/>
              <w:left w:val="single" w:sz="4" w:space="0" w:color="auto"/>
              <w:bottom w:val="single" w:sz="4" w:space="0" w:color="auto"/>
              <w:right w:val="single" w:sz="4" w:space="0" w:color="auto"/>
            </w:tcBorders>
            <w:hideMark/>
          </w:tcPr>
          <w:p w14:paraId="2AC48320"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342E687C"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7488F897"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45B5AE1E" w14:textId="77777777" w:rsidR="00961187" w:rsidRPr="00116C00" w:rsidRDefault="00961187">
            <w:pPr>
              <w:rPr>
                <w:color w:val="000000"/>
                <w:sz w:val="24"/>
                <w:szCs w:val="24"/>
                <w:vertAlign w:val="superscript"/>
              </w:rPr>
            </w:pPr>
            <w:r w:rsidRPr="00116C00">
              <w:rPr>
                <w:sz w:val="24"/>
                <w:szCs w:val="24"/>
              </w:rPr>
              <w:t>Forstoppelse</w:t>
            </w:r>
          </w:p>
        </w:tc>
        <w:tc>
          <w:tcPr>
            <w:tcW w:w="1667" w:type="pct"/>
            <w:tcBorders>
              <w:top w:val="single" w:sz="4" w:space="0" w:color="auto"/>
              <w:left w:val="single" w:sz="4" w:space="0" w:color="auto"/>
              <w:bottom w:val="single" w:sz="4" w:space="0" w:color="auto"/>
              <w:right w:val="single" w:sz="4" w:space="0" w:color="auto"/>
            </w:tcBorders>
            <w:hideMark/>
          </w:tcPr>
          <w:p w14:paraId="65E59913"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504FB6E2"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736B3D2D"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7416E945" w14:textId="77777777" w:rsidR="00961187" w:rsidRPr="00116C00" w:rsidRDefault="00961187">
            <w:pPr>
              <w:rPr>
                <w:color w:val="000000"/>
                <w:sz w:val="24"/>
                <w:szCs w:val="24"/>
                <w:vertAlign w:val="superscript"/>
              </w:rPr>
            </w:pPr>
            <w:r w:rsidRPr="00116C00">
              <w:rPr>
                <w:sz w:val="24"/>
                <w:szCs w:val="24"/>
              </w:rPr>
              <w:t>Opkastning</w:t>
            </w:r>
          </w:p>
        </w:tc>
        <w:tc>
          <w:tcPr>
            <w:tcW w:w="1667" w:type="pct"/>
            <w:tcBorders>
              <w:top w:val="single" w:sz="4" w:space="0" w:color="auto"/>
              <w:left w:val="single" w:sz="4" w:space="0" w:color="auto"/>
              <w:bottom w:val="single" w:sz="4" w:space="0" w:color="auto"/>
              <w:right w:val="single" w:sz="4" w:space="0" w:color="auto"/>
            </w:tcBorders>
            <w:hideMark/>
          </w:tcPr>
          <w:p w14:paraId="2DFFFB12"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6CBDD5BF"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1D27D1AC"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1BA37799" w14:textId="77777777" w:rsidR="00961187" w:rsidRPr="00116C00" w:rsidRDefault="00961187">
            <w:pPr>
              <w:rPr>
                <w:color w:val="000000"/>
                <w:sz w:val="24"/>
                <w:szCs w:val="24"/>
                <w:vertAlign w:val="superscript"/>
              </w:rPr>
            </w:pPr>
            <w:r w:rsidRPr="00116C00">
              <w:rPr>
                <w:sz w:val="24"/>
                <w:szCs w:val="24"/>
              </w:rPr>
              <w:t>Ødem i munden</w:t>
            </w:r>
          </w:p>
        </w:tc>
        <w:tc>
          <w:tcPr>
            <w:tcW w:w="1667" w:type="pct"/>
            <w:tcBorders>
              <w:top w:val="single" w:sz="4" w:space="0" w:color="auto"/>
              <w:left w:val="single" w:sz="4" w:space="0" w:color="auto"/>
              <w:bottom w:val="single" w:sz="4" w:space="0" w:color="auto"/>
              <w:right w:val="single" w:sz="4" w:space="0" w:color="auto"/>
            </w:tcBorders>
            <w:hideMark/>
          </w:tcPr>
          <w:p w14:paraId="692FE054"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40C96C57"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49BDFB6B"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18631B9A" w14:textId="77777777" w:rsidR="00961187" w:rsidRPr="00116C00" w:rsidRDefault="00961187">
            <w:pPr>
              <w:rPr>
                <w:color w:val="000000"/>
                <w:sz w:val="24"/>
                <w:szCs w:val="24"/>
                <w:vertAlign w:val="superscript"/>
              </w:rPr>
            </w:pPr>
            <w:proofErr w:type="spellStart"/>
            <w:r w:rsidRPr="00116C00">
              <w:rPr>
                <w:sz w:val="24"/>
                <w:szCs w:val="24"/>
              </w:rPr>
              <w:t>Stomatitis</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2D26B3B8"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3E24B78F"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0A4E1EEC" w14:textId="77777777" w:rsidR="00961187" w:rsidRPr="00116C00" w:rsidRDefault="00961187">
            <w:pPr>
              <w:rPr>
                <w:color w:val="000000"/>
                <w:sz w:val="24"/>
                <w:szCs w:val="24"/>
                <w:vertAlign w:val="superscript"/>
              </w:rPr>
            </w:pPr>
            <w:r w:rsidRPr="00116C00">
              <w:rPr>
                <w:sz w:val="24"/>
                <w:szCs w:val="24"/>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14:paraId="72050AFD" w14:textId="77777777" w:rsidR="00961187" w:rsidRPr="00116C00" w:rsidRDefault="00961187">
            <w:pPr>
              <w:rPr>
                <w:color w:val="000000"/>
                <w:sz w:val="24"/>
                <w:szCs w:val="24"/>
                <w:vertAlign w:val="superscript"/>
              </w:rPr>
            </w:pPr>
            <w:r w:rsidRPr="00116C00">
              <w:rPr>
                <w:sz w:val="24"/>
                <w:szCs w:val="24"/>
              </w:rPr>
              <w:t>Hudreaktioner</w:t>
            </w:r>
          </w:p>
        </w:tc>
        <w:tc>
          <w:tcPr>
            <w:tcW w:w="1667" w:type="pct"/>
            <w:tcBorders>
              <w:top w:val="single" w:sz="4" w:space="0" w:color="auto"/>
              <w:left w:val="single" w:sz="4" w:space="0" w:color="auto"/>
              <w:bottom w:val="single" w:sz="4" w:space="0" w:color="auto"/>
              <w:right w:val="single" w:sz="4" w:space="0" w:color="auto"/>
            </w:tcBorders>
            <w:hideMark/>
          </w:tcPr>
          <w:p w14:paraId="46838226"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48E0E409"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21A2B4EE"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7A03C8FA" w14:textId="77777777" w:rsidR="00961187" w:rsidRPr="00116C00" w:rsidRDefault="00961187">
            <w:pPr>
              <w:rPr>
                <w:color w:val="000000"/>
                <w:sz w:val="24"/>
                <w:szCs w:val="24"/>
                <w:vertAlign w:val="superscript"/>
              </w:rPr>
            </w:pPr>
            <w:proofErr w:type="spellStart"/>
            <w:r w:rsidRPr="00116C00">
              <w:rPr>
                <w:sz w:val="24"/>
                <w:szCs w:val="24"/>
              </w:rPr>
              <w:t>Hyperhidrose</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E4219B3"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5A649725"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7698F86B"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657F2831" w14:textId="77777777" w:rsidR="00961187" w:rsidRPr="00116C00" w:rsidRDefault="00961187">
            <w:pPr>
              <w:rPr>
                <w:color w:val="000000"/>
                <w:sz w:val="24"/>
                <w:szCs w:val="24"/>
                <w:vertAlign w:val="superscript"/>
              </w:rPr>
            </w:pPr>
            <w:r w:rsidRPr="00116C00">
              <w:rPr>
                <w:sz w:val="24"/>
                <w:szCs w:val="24"/>
              </w:rPr>
              <w:t>Udslæt</w:t>
            </w:r>
          </w:p>
        </w:tc>
        <w:tc>
          <w:tcPr>
            <w:tcW w:w="1667" w:type="pct"/>
            <w:tcBorders>
              <w:top w:val="single" w:sz="4" w:space="0" w:color="auto"/>
              <w:left w:val="single" w:sz="4" w:space="0" w:color="auto"/>
              <w:bottom w:val="single" w:sz="4" w:space="0" w:color="auto"/>
              <w:right w:val="single" w:sz="4" w:space="0" w:color="auto"/>
            </w:tcBorders>
            <w:hideMark/>
          </w:tcPr>
          <w:p w14:paraId="5A35BB70"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707B8796"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60075004"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139580AC" w14:textId="77777777" w:rsidR="00961187" w:rsidRPr="00116C00" w:rsidRDefault="00961187">
            <w:pPr>
              <w:rPr>
                <w:color w:val="000000"/>
                <w:sz w:val="24"/>
                <w:szCs w:val="24"/>
                <w:vertAlign w:val="superscript"/>
              </w:rPr>
            </w:pPr>
            <w:proofErr w:type="spellStart"/>
            <w:r w:rsidRPr="00116C00">
              <w:rPr>
                <w:sz w:val="24"/>
                <w:szCs w:val="24"/>
              </w:rPr>
              <w:t>Urticaria</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9760A71"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2480EF0E"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4E0D6CF8"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741A3A16" w14:textId="77777777" w:rsidR="00961187" w:rsidRPr="00116C00" w:rsidRDefault="00961187">
            <w:pPr>
              <w:rPr>
                <w:color w:val="000000"/>
                <w:sz w:val="24"/>
                <w:szCs w:val="24"/>
                <w:vertAlign w:val="superscript"/>
              </w:rPr>
            </w:pPr>
            <w:proofErr w:type="spellStart"/>
            <w:r w:rsidRPr="00116C00">
              <w:rPr>
                <w:sz w:val="24"/>
                <w:szCs w:val="24"/>
              </w:rPr>
              <w:t>Pruritus</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2D334F96"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012DF602"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015FC375" w14:textId="77777777" w:rsidR="00961187" w:rsidRPr="00116C00" w:rsidRDefault="00961187">
            <w:pPr>
              <w:rPr>
                <w:color w:val="000000"/>
                <w:sz w:val="24"/>
                <w:szCs w:val="24"/>
                <w:vertAlign w:val="superscript"/>
              </w:rPr>
            </w:pPr>
            <w:r w:rsidRPr="00116C00">
              <w:rPr>
                <w:sz w:val="24"/>
                <w:szCs w:val="24"/>
              </w:rPr>
              <w:t>Knogler, led, muskler og bindevæv</w:t>
            </w:r>
          </w:p>
        </w:tc>
        <w:tc>
          <w:tcPr>
            <w:tcW w:w="1666" w:type="pct"/>
            <w:tcBorders>
              <w:top w:val="single" w:sz="4" w:space="0" w:color="auto"/>
              <w:left w:val="single" w:sz="4" w:space="0" w:color="auto"/>
              <w:bottom w:val="single" w:sz="4" w:space="0" w:color="auto"/>
              <w:right w:val="single" w:sz="4" w:space="0" w:color="auto"/>
            </w:tcBorders>
            <w:hideMark/>
          </w:tcPr>
          <w:p w14:paraId="51DA0B09" w14:textId="77777777" w:rsidR="00961187" w:rsidRPr="00116C00" w:rsidRDefault="00961187">
            <w:pPr>
              <w:rPr>
                <w:color w:val="000000"/>
                <w:sz w:val="24"/>
                <w:szCs w:val="24"/>
                <w:vertAlign w:val="superscript"/>
              </w:rPr>
            </w:pPr>
            <w:r w:rsidRPr="00116C00">
              <w:rPr>
                <w:sz w:val="24"/>
                <w:szCs w:val="24"/>
              </w:rPr>
              <w:t>Muskelspasmer</w:t>
            </w:r>
          </w:p>
        </w:tc>
        <w:tc>
          <w:tcPr>
            <w:tcW w:w="1667" w:type="pct"/>
            <w:tcBorders>
              <w:top w:val="single" w:sz="4" w:space="0" w:color="auto"/>
              <w:left w:val="single" w:sz="4" w:space="0" w:color="auto"/>
              <w:bottom w:val="single" w:sz="4" w:space="0" w:color="auto"/>
              <w:right w:val="single" w:sz="4" w:space="0" w:color="auto"/>
            </w:tcBorders>
            <w:hideMark/>
          </w:tcPr>
          <w:p w14:paraId="34E64691"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3B32C60E"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5B434939"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3F5CE6C6" w14:textId="77777777" w:rsidR="00961187" w:rsidRPr="00116C00" w:rsidRDefault="00961187">
            <w:pPr>
              <w:rPr>
                <w:color w:val="000000"/>
                <w:sz w:val="24"/>
                <w:szCs w:val="24"/>
                <w:vertAlign w:val="superscript"/>
              </w:rPr>
            </w:pPr>
            <w:r w:rsidRPr="00116C00">
              <w:rPr>
                <w:sz w:val="24"/>
                <w:szCs w:val="24"/>
              </w:rPr>
              <w:t>Muskelsvaghed</w:t>
            </w:r>
          </w:p>
        </w:tc>
        <w:tc>
          <w:tcPr>
            <w:tcW w:w="1667" w:type="pct"/>
            <w:tcBorders>
              <w:top w:val="single" w:sz="4" w:space="0" w:color="auto"/>
              <w:left w:val="single" w:sz="4" w:space="0" w:color="auto"/>
              <w:bottom w:val="single" w:sz="4" w:space="0" w:color="auto"/>
              <w:right w:val="single" w:sz="4" w:space="0" w:color="auto"/>
            </w:tcBorders>
            <w:hideMark/>
          </w:tcPr>
          <w:p w14:paraId="6A0E21C7"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3A81CDE3"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25E4DD1B"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58031C5D" w14:textId="77777777" w:rsidR="00961187" w:rsidRPr="00116C00" w:rsidRDefault="00961187">
            <w:pPr>
              <w:rPr>
                <w:color w:val="000000"/>
                <w:sz w:val="24"/>
                <w:szCs w:val="24"/>
                <w:vertAlign w:val="superscript"/>
              </w:rPr>
            </w:pPr>
            <w:r w:rsidRPr="00116C00">
              <w:rPr>
                <w:sz w:val="24"/>
                <w:szCs w:val="24"/>
              </w:rPr>
              <w:t>Myalgi</w:t>
            </w:r>
          </w:p>
        </w:tc>
        <w:tc>
          <w:tcPr>
            <w:tcW w:w="1667" w:type="pct"/>
            <w:tcBorders>
              <w:top w:val="single" w:sz="4" w:space="0" w:color="auto"/>
              <w:left w:val="single" w:sz="4" w:space="0" w:color="auto"/>
              <w:bottom w:val="single" w:sz="4" w:space="0" w:color="auto"/>
              <w:right w:val="single" w:sz="4" w:space="0" w:color="auto"/>
            </w:tcBorders>
            <w:hideMark/>
          </w:tcPr>
          <w:p w14:paraId="0A640789"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0E8050C6" w14:textId="77777777" w:rsidTr="00A41915">
        <w:tc>
          <w:tcPr>
            <w:tcW w:w="1666" w:type="pct"/>
            <w:tcBorders>
              <w:top w:val="single" w:sz="4" w:space="0" w:color="auto"/>
              <w:left w:val="single" w:sz="4" w:space="0" w:color="auto"/>
              <w:bottom w:val="single" w:sz="4" w:space="0" w:color="auto"/>
              <w:right w:val="single" w:sz="4" w:space="0" w:color="auto"/>
            </w:tcBorders>
            <w:hideMark/>
          </w:tcPr>
          <w:p w14:paraId="20C4635F" w14:textId="77777777" w:rsidR="00961187" w:rsidRPr="00116C00" w:rsidRDefault="00961187">
            <w:pPr>
              <w:rPr>
                <w:color w:val="000000"/>
                <w:sz w:val="24"/>
                <w:szCs w:val="24"/>
                <w:vertAlign w:val="superscript"/>
              </w:rPr>
            </w:pPr>
            <w:r w:rsidRPr="00116C00">
              <w:rPr>
                <w:sz w:val="24"/>
                <w:szCs w:val="24"/>
              </w:rPr>
              <w:t>Nyrer og urinveje</w:t>
            </w:r>
          </w:p>
        </w:tc>
        <w:tc>
          <w:tcPr>
            <w:tcW w:w="1666" w:type="pct"/>
            <w:tcBorders>
              <w:top w:val="single" w:sz="4" w:space="0" w:color="auto"/>
              <w:left w:val="single" w:sz="4" w:space="0" w:color="auto"/>
              <w:bottom w:val="single" w:sz="4" w:space="0" w:color="auto"/>
              <w:right w:val="single" w:sz="4" w:space="0" w:color="auto"/>
            </w:tcBorders>
            <w:hideMark/>
          </w:tcPr>
          <w:p w14:paraId="2924E830" w14:textId="77777777" w:rsidR="00961187" w:rsidRPr="00116C00" w:rsidRDefault="00961187">
            <w:pPr>
              <w:rPr>
                <w:color w:val="000000"/>
                <w:sz w:val="24"/>
                <w:szCs w:val="24"/>
                <w:vertAlign w:val="superscript"/>
              </w:rPr>
            </w:pPr>
            <w:r w:rsidRPr="00116C00">
              <w:rPr>
                <w:sz w:val="24"/>
                <w:szCs w:val="24"/>
              </w:rPr>
              <w:t>Urinretention</w:t>
            </w:r>
          </w:p>
        </w:tc>
        <w:tc>
          <w:tcPr>
            <w:tcW w:w="1667" w:type="pct"/>
            <w:tcBorders>
              <w:top w:val="single" w:sz="4" w:space="0" w:color="auto"/>
              <w:left w:val="single" w:sz="4" w:space="0" w:color="auto"/>
              <w:bottom w:val="single" w:sz="4" w:space="0" w:color="auto"/>
              <w:right w:val="single" w:sz="4" w:space="0" w:color="auto"/>
            </w:tcBorders>
            <w:hideMark/>
          </w:tcPr>
          <w:p w14:paraId="07EC4784"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7ADB094B" w14:textId="77777777" w:rsidTr="00A41915">
        <w:tc>
          <w:tcPr>
            <w:tcW w:w="1666" w:type="pct"/>
            <w:tcBorders>
              <w:top w:val="single" w:sz="4" w:space="0" w:color="auto"/>
              <w:left w:val="single" w:sz="4" w:space="0" w:color="auto"/>
              <w:bottom w:val="single" w:sz="4" w:space="0" w:color="auto"/>
              <w:right w:val="single" w:sz="4" w:space="0" w:color="auto"/>
            </w:tcBorders>
            <w:hideMark/>
          </w:tcPr>
          <w:p w14:paraId="6BA769C9" w14:textId="77777777" w:rsidR="00961187" w:rsidRPr="00116C00" w:rsidRDefault="00961187">
            <w:pPr>
              <w:rPr>
                <w:color w:val="000000"/>
                <w:sz w:val="24"/>
                <w:szCs w:val="24"/>
                <w:vertAlign w:val="superscript"/>
              </w:rPr>
            </w:pPr>
            <w:r w:rsidRPr="00116C00">
              <w:rPr>
                <w:sz w:val="24"/>
                <w:szCs w:val="24"/>
              </w:rPr>
              <w:t>Almene symptomer og reaktioner på administrationsstedet</w:t>
            </w:r>
          </w:p>
        </w:tc>
        <w:tc>
          <w:tcPr>
            <w:tcW w:w="1666" w:type="pct"/>
            <w:tcBorders>
              <w:top w:val="single" w:sz="4" w:space="0" w:color="auto"/>
              <w:left w:val="single" w:sz="4" w:space="0" w:color="auto"/>
              <w:bottom w:val="single" w:sz="4" w:space="0" w:color="auto"/>
              <w:right w:val="single" w:sz="4" w:space="0" w:color="auto"/>
            </w:tcBorders>
            <w:hideMark/>
          </w:tcPr>
          <w:p w14:paraId="10922428" w14:textId="77777777" w:rsidR="00961187" w:rsidRPr="00116C00" w:rsidRDefault="00961187">
            <w:pPr>
              <w:rPr>
                <w:color w:val="000000"/>
                <w:sz w:val="24"/>
                <w:szCs w:val="24"/>
                <w:vertAlign w:val="superscript"/>
              </w:rPr>
            </w:pPr>
            <w:r w:rsidRPr="00116C00">
              <w:rPr>
                <w:sz w:val="24"/>
                <w:szCs w:val="24"/>
              </w:rPr>
              <w:t>Asteni</w:t>
            </w:r>
          </w:p>
        </w:tc>
        <w:tc>
          <w:tcPr>
            <w:tcW w:w="1667" w:type="pct"/>
            <w:tcBorders>
              <w:top w:val="single" w:sz="4" w:space="0" w:color="auto"/>
              <w:left w:val="single" w:sz="4" w:space="0" w:color="auto"/>
              <w:bottom w:val="single" w:sz="4" w:space="0" w:color="auto"/>
              <w:right w:val="single" w:sz="4" w:space="0" w:color="auto"/>
            </w:tcBorders>
            <w:hideMark/>
          </w:tcPr>
          <w:p w14:paraId="5181C7CE" w14:textId="77777777" w:rsidR="00961187" w:rsidRPr="00116C00" w:rsidRDefault="00961187">
            <w:pPr>
              <w:jc w:val="center"/>
              <w:rPr>
                <w:color w:val="000000"/>
                <w:sz w:val="24"/>
                <w:szCs w:val="24"/>
                <w:vertAlign w:val="superscript"/>
              </w:rPr>
            </w:pPr>
            <w:r w:rsidRPr="00116C00">
              <w:rPr>
                <w:sz w:val="24"/>
                <w:szCs w:val="24"/>
              </w:rPr>
              <w:t>Sjælden</w:t>
            </w:r>
          </w:p>
        </w:tc>
      </w:tr>
      <w:tr w:rsidR="00961187" w:rsidRPr="00116C00" w14:paraId="6F226C80" w14:textId="77777777" w:rsidTr="00A41915">
        <w:tc>
          <w:tcPr>
            <w:tcW w:w="1666" w:type="pct"/>
            <w:vMerge w:val="restart"/>
            <w:tcBorders>
              <w:top w:val="single" w:sz="4" w:space="0" w:color="auto"/>
              <w:left w:val="single" w:sz="4" w:space="0" w:color="auto"/>
              <w:bottom w:val="single" w:sz="4" w:space="0" w:color="auto"/>
              <w:right w:val="single" w:sz="4" w:space="0" w:color="auto"/>
            </w:tcBorders>
            <w:hideMark/>
          </w:tcPr>
          <w:p w14:paraId="40006BD2" w14:textId="77777777" w:rsidR="00961187" w:rsidRPr="00116C00" w:rsidRDefault="00961187">
            <w:pPr>
              <w:rPr>
                <w:color w:val="000000"/>
                <w:sz w:val="24"/>
                <w:szCs w:val="24"/>
                <w:vertAlign w:val="superscript"/>
              </w:rPr>
            </w:pPr>
            <w:r w:rsidRPr="00116C00">
              <w:rPr>
                <w:sz w:val="24"/>
                <w:szCs w:val="24"/>
              </w:rPr>
              <w:t>Undersøgelser</w:t>
            </w:r>
          </w:p>
        </w:tc>
        <w:tc>
          <w:tcPr>
            <w:tcW w:w="1666" w:type="pct"/>
            <w:tcBorders>
              <w:top w:val="single" w:sz="4" w:space="0" w:color="auto"/>
              <w:left w:val="single" w:sz="4" w:space="0" w:color="auto"/>
              <w:bottom w:val="single" w:sz="4" w:space="0" w:color="auto"/>
              <w:right w:val="single" w:sz="4" w:space="0" w:color="auto"/>
            </w:tcBorders>
            <w:hideMark/>
          </w:tcPr>
          <w:p w14:paraId="6B352E94" w14:textId="77777777" w:rsidR="00961187" w:rsidRPr="00116C00" w:rsidRDefault="00961187">
            <w:pPr>
              <w:rPr>
                <w:color w:val="000000"/>
                <w:sz w:val="24"/>
                <w:szCs w:val="24"/>
                <w:vertAlign w:val="superscript"/>
              </w:rPr>
            </w:pPr>
            <w:r w:rsidRPr="00116C00">
              <w:rPr>
                <w:sz w:val="24"/>
                <w:szCs w:val="24"/>
              </w:rPr>
              <w:t>Forhøjet systolisk blodtryk</w:t>
            </w:r>
          </w:p>
        </w:tc>
        <w:tc>
          <w:tcPr>
            <w:tcW w:w="1667" w:type="pct"/>
            <w:tcBorders>
              <w:top w:val="single" w:sz="4" w:space="0" w:color="auto"/>
              <w:left w:val="single" w:sz="4" w:space="0" w:color="auto"/>
              <w:bottom w:val="single" w:sz="4" w:space="0" w:color="auto"/>
              <w:right w:val="single" w:sz="4" w:space="0" w:color="auto"/>
            </w:tcBorders>
            <w:hideMark/>
          </w:tcPr>
          <w:p w14:paraId="7248D50E" w14:textId="77777777" w:rsidR="00961187" w:rsidRPr="00116C00" w:rsidRDefault="00961187">
            <w:pPr>
              <w:jc w:val="center"/>
              <w:rPr>
                <w:color w:val="000000"/>
                <w:sz w:val="24"/>
                <w:szCs w:val="24"/>
                <w:vertAlign w:val="superscript"/>
              </w:rPr>
            </w:pPr>
            <w:r w:rsidRPr="00116C00">
              <w:rPr>
                <w:sz w:val="24"/>
                <w:szCs w:val="24"/>
              </w:rPr>
              <w:t>Ikke almindelig</w:t>
            </w:r>
          </w:p>
        </w:tc>
      </w:tr>
      <w:tr w:rsidR="00961187" w:rsidRPr="00116C00" w14:paraId="46E5D976" w14:textId="77777777" w:rsidTr="00A41915">
        <w:tc>
          <w:tcPr>
            <w:tcW w:w="1666" w:type="pct"/>
            <w:vMerge/>
            <w:tcBorders>
              <w:top w:val="single" w:sz="4" w:space="0" w:color="auto"/>
              <w:left w:val="single" w:sz="4" w:space="0" w:color="auto"/>
              <w:bottom w:val="single" w:sz="4" w:space="0" w:color="auto"/>
              <w:right w:val="single" w:sz="4" w:space="0" w:color="auto"/>
            </w:tcBorders>
            <w:vAlign w:val="center"/>
            <w:hideMark/>
          </w:tcPr>
          <w:p w14:paraId="16A9526E" w14:textId="77777777" w:rsidR="00961187" w:rsidRPr="00116C00" w:rsidRDefault="00961187">
            <w:pPr>
              <w:rPr>
                <w:color w:val="000000"/>
                <w:sz w:val="24"/>
                <w:szCs w:val="24"/>
                <w:vertAlign w:val="superscript"/>
              </w:rPr>
            </w:pPr>
          </w:p>
        </w:tc>
        <w:tc>
          <w:tcPr>
            <w:tcW w:w="1666" w:type="pct"/>
            <w:tcBorders>
              <w:top w:val="single" w:sz="4" w:space="0" w:color="auto"/>
              <w:left w:val="single" w:sz="4" w:space="0" w:color="auto"/>
              <w:bottom w:val="single" w:sz="4" w:space="0" w:color="auto"/>
              <w:right w:val="single" w:sz="4" w:space="0" w:color="auto"/>
            </w:tcBorders>
            <w:hideMark/>
          </w:tcPr>
          <w:p w14:paraId="78CBF709" w14:textId="77777777" w:rsidR="00961187" w:rsidRPr="00116C00" w:rsidRDefault="00961187">
            <w:pPr>
              <w:rPr>
                <w:color w:val="000000"/>
                <w:sz w:val="24"/>
                <w:szCs w:val="24"/>
                <w:vertAlign w:val="superscript"/>
              </w:rPr>
            </w:pPr>
            <w:r w:rsidRPr="00116C00">
              <w:rPr>
                <w:sz w:val="24"/>
                <w:szCs w:val="24"/>
              </w:rPr>
              <w:t>Lavt diastolisk blodtryk</w:t>
            </w:r>
          </w:p>
        </w:tc>
        <w:tc>
          <w:tcPr>
            <w:tcW w:w="1667" w:type="pct"/>
            <w:tcBorders>
              <w:top w:val="single" w:sz="4" w:space="0" w:color="auto"/>
              <w:left w:val="single" w:sz="4" w:space="0" w:color="auto"/>
              <w:bottom w:val="single" w:sz="4" w:space="0" w:color="auto"/>
              <w:right w:val="single" w:sz="4" w:space="0" w:color="auto"/>
            </w:tcBorders>
            <w:hideMark/>
          </w:tcPr>
          <w:p w14:paraId="43D1137F" w14:textId="77777777" w:rsidR="00961187" w:rsidRPr="00116C00" w:rsidRDefault="00961187">
            <w:pPr>
              <w:jc w:val="center"/>
              <w:rPr>
                <w:color w:val="000000"/>
                <w:sz w:val="24"/>
                <w:szCs w:val="24"/>
                <w:vertAlign w:val="superscript"/>
              </w:rPr>
            </w:pPr>
            <w:r w:rsidRPr="00116C00">
              <w:rPr>
                <w:sz w:val="24"/>
                <w:szCs w:val="24"/>
              </w:rPr>
              <w:t>Sjælden</w:t>
            </w:r>
          </w:p>
        </w:tc>
      </w:tr>
    </w:tbl>
    <w:p w14:paraId="7AD4540A" w14:textId="30BF4A54" w:rsidR="006D4893" w:rsidRDefault="006D4893" w:rsidP="00961187">
      <w:pPr>
        <w:shd w:val="clear" w:color="auto" w:fill="FFFFFF"/>
        <w:rPr>
          <w:color w:val="000000"/>
          <w:sz w:val="24"/>
          <w:szCs w:val="24"/>
          <w:lang w:eastAsia="en-GB"/>
        </w:rPr>
      </w:pPr>
    </w:p>
    <w:p w14:paraId="35933DFA" w14:textId="77777777" w:rsidR="006D4893" w:rsidRDefault="006D4893">
      <w:pPr>
        <w:rPr>
          <w:color w:val="000000"/>
          <w:sz w:val="24"/>
          <w:szCs w:val="24"/>
          <w:lang w:eastAsia="en-GB"/>
        </w:rPr>
      </w:pPr>
      <w:r>
        <w:rPr>
          <w:color w:val="000000"/>
          <w:sz w:val="24"/>
          <w:szCs w:val="24"/>
          <w:lang w:eastAsia="en-GB"/>
        </w:rPr>
        <w:br w:type="page"/>
      </w:r>
    </w:p>
    <w:p w14:paraId="500A2877" w14:textId="77777777" w:rsidR="00961187" w:rsidRPr="00116C00" w:rsidRDefault="00961187" w:rsidP="00961187">
      <w:pPr>
        <w:shd w:val="clear" w:color="auto" w:fill="FFFFFF"/>
        <w:rPr>
          <w:color w:val="000000"/>
          <w:sz w:val="24"/>
          <w:szCs w:val="24"/>
          <w:lang w:eastAsia="en-GB"/>
        </w:rPr>
      </w:pPr>
    </w:p>
    <w:p w14:paraId="0649DDB4" w14:textId="77777777" w:rsidR="00961187" w:rsidRPr="00116C00" w:rsidRDefault="00961187" w:rsidP="00961187">
      <w:pPr>
        <w:autoSpaceDE w:val="0"/>
        <w:autoSpaceDN w:val="0"/>
        <w:ind w:left="851"/>
        <w:rPr>
          <w:sz w:val="24"/>
          <w:szCs w:val="24"/>
          <w:u w:val="single"/>
        </w:rPr>
      </w:pPr>
      <w:r w:rsidRPr="00116C00">
        <w:rPr>
          <w:sz w:val="24"/>
          <w:szCs w:val="24"/>
          <w:u w:val="single"/>
        </w:rPr>
        <w:t>Indberetning af formodede bivirkninger</w:t>
      </w:r>
    </w:p>
    <w:p w14:paraId="5ACAE9CD" w14:textId="77777777" w:rsidR="00961187" w:rsidRPr="00116C00" w:rsidRDefault="00961187" w:rsidP="00961187">
      <w:pPr>
        <w:ind w:left="851"/>
        <w:rPr>
          <w:sz w:val="24"/>
          <w:szCs w:val="24"/>
        </w:rPr>
      </w:pPr>
      <w:r w:rsidRPr="00116C00">
        <w:rPr>
          <w:sz w:val="24"/>
          <w:szCs w:val="24"/>
        </w:rPr>
        <w:t>Når lægemidlet er godkendt, er indberetning af formodede bivirkninger vigtig. Det muliggør løbende overvågning af benefit/</w:t>
      </w:r>
      <w:proofErr w:type="spellStart"/>
      <w:r w:rsidRPr="00116C00">
        <w:rPr>
          <w:sz w:val="24"/>
          <w:szCs w:val="24"/>
        </w:rPr>
        <w:t>risk</w:t>
      </w:r>
      <w:proofErr w:type="spellEnd"/>
      <w:r w:rsidRPr="00116C00">
        <w:rPr>
          <w:sz w:val="24"/>
          <w:szCs w:val="24"/>
        </w:rPr>
        <w:t>-forholdet for lægemidlet. Sundhedspersoner anmodes om at indberette alle formodede bivirkninger via:</w:t>
      </w:r>
    </w:p>
    <w:p w14:paraId="35784C25" w14:textId="77777777" w:rsidR="00961187" w:rsidRPr="00116C00" w:rsidRDefault="00961187" w:rsidP="00961187">
      <w:pPr>
        <w:tabs>
          <w:tab w:val="left" w:pos="2440"/>
        </w:tabs>
        <w:ind w:left="851"/>
        <w:rPr>
          <w:sz w:val="24"/>
          <w:szCs w:val="24"/>
        </w:rPr>
      </w:pPr>
    </w:p>
    <w:p w14:paraId="630DE5C8" w14:textId="77777777" w:rsidR="00961187" w:rsidRPr="00116C00" w:rsidRDefault="00961187" w:rsidP="00961187">
      <w:pPr>
        <w:ind w:left="851"/>
        <w:rPr>
          <w:sz w:val="24"/>
          <w:szCs w:val="24"/>
        </w:rPr>
      </w:pPr>
      <w:r w:rsidRPr="00116C00">
        <w:rPr>
          <w:sz w:val="24"/>
          <w:szCs w:val="24"/>
        </w:rPr>
        <w:t>Lægemiddelstyrelsen</w:t>
      </w:r>
    </w:p>
    <w:p w14:paraId="2735084B" w14:textId="77777777" w:rsidR="00961187" w:rsidRPr="00116C00" w:rsidRDefault="00961187" w:rsidP="00961187">
      <w:pPr>
        <w:ind w:left="851"/>
        <w:rPr>
          <w:sz w:val="24"/>
          <w:szCs w:val="24"/>
        </w:rPr>
      </w:pPr>
      <w:r w:rsidRPr="00116C00">
        <w:rPr>
          <w:sz w:val="24"/>
          <w:szCs w:val="24"/>
        </w:rPr>
        <w:t>Axel Heides Gade 1</w:t>
      </w:r>
    </w:p>
    <w:p w14:paraId="388BE888" w14:textId="77777777" w:rsidR="00961187" w:rsidRPr="00116C00" w:rsidRDefault="00961187" w:rsidP="00961187">
      <w:pPr>
        <w:ind w:left="851"/>
        <w:rPr>
          <w:sz w:val="24"/>
          <w:szCs w:val="24"/>
        </w:rPr>
      </w:pPr>
      <w:r w:rsidRPr="00116C00">
        <w:rPr>
          <w:sz w:val="24"/>
          <w:szCs w:val="24"/>
        </w:rPr>
        <w:t>DK-2300 København S</w:t>
      </w:r>
    </w:p>
    <w:p w14:paraId="6A648797" w14:textId="77777777" w:rsidR="00961187" w:rsidRPr="00116C00" w:rsidRDefault="00961187" w:rsidP="00961187">
      <w:pPr>
        <w:ind w:left="851"/>
        <w:rPr>
          <w:sz w:val="24"/>
          <w:szCs w:val="24"/>
        </w:rPr>
      </w:pPr>
      <w:r w:rsidRPr="00116C00">
        <w:rPr>
          <w:sz w:val="24"/>
          <w:szCs w:val="24"/>
        </w:rPr>
        <w:t xml:space="preserve">Websted: </w:t>
      </w:r>
      <w:hyperlink r:id="rId8" w:history="1">
        <w:r w:rsidRPr="00116C00">
          <w:rPr>
            <w:rStyle w:val="Hyperlink"/>
            <w:sz w:val="24"/>
            <w:szCs w:val="24"/>
          </w:rPr>
          <w:t>www.meldenbivirkning.dk</w:t>
        </w:r>
      </w:hyperlink>
    </w:p>
    <w:p w14:paraId="24BF924A" w14:textId="77777777" w:rsidR="009260DE" w:rsidRPr="00116C00" w:rsidRDefault="009260DE" w:rsidP="00A10294">
      <w:pPr>
        <w:tabs>
          <w:tab w:val="left" w:pos="851"/>
        </w:tabs>
        <w:ind w:left="851"/>
        <w:rPr>
          <w:sz w:val="24"/>
          <w:szCs w:val="24"/>
        </w:rPr>
      </w:pPr>
    </w:p>
    <w:p w14:paraId="645BDE06" w14:textId="77777777" w:rsidR="009260DE" w:rsidRPr="00116C00" w:rsidRDefault="009260DE" w:rsidP="009260DE">
      <w:pPr>
        <w:tabs>
          <w:tab w:val="left" w:pos="851"/>
        </w:tabs>
        <w:ind w:left="851" w:hanging="851"/>
        <w:rPr>
          <w:b/>
          <w:sz w:val="24"/>
          <w:szCs w:val="24"/>
        </w:rPr>
      </w:pPr>
      <w:r w:rsidRPr="00116C00">
        <w:rPr>
          <w:b/>
          <w:sz w:val="24"/>
          <w:szCs w:val="24"/>
        </w:rPr>
        <w:t>4.9</w:t>
      </w:r>
      <w:r w:rsidRPr="00116C00">
        <w:rPr>
          <w:b/>
          <w:sz w:val="24"/>
          <w:szCs w:val="24"/>
        </w:rPr>
        <w:tab/>
        <w:t>Overdosering</w:t>
      </w:r>
    </w:p>
    <w:p w14:paraId="7C554094" w14:textId="77777777" w:rsidR="00961187" w:rsidRPr="00116C00" w:rsidRDefault="00961187" w:rsidP="00A41915">
      <w:pPr>
        <w:ind w:left="851"/>
        <w:rPr>
          <w:sz w:val="24"/>
          <w:szCs w:val="24"/>
        </w:rPr>
      </w:pPr>
      <w:r w:rsidRPr="00116C00">
        <w:rPr>
          <w:sz w:val="24"/>
          <w:szCs w:val="24"/>
        </w:rPr>
        <w:t xml:space="preserve">De akutte bivirkninger ved overdosering af </w:t>
      </w:r>
      <w:proofErr w:type="spellStart"/>
      <w:r w:rsidRPr="00116C00">
        <w:rPr>
          <w:sz w:val="24"/>
          <w:szCs w:val="24"/>
        </w:rPr>
        <w:t>ipratropiumbromid</w:t>
      </w:r>
      <w:proofErr w:type="spellEnd"/>
      <w:r w:rsidRPr="00116C00">
        <w:rPr>
          <w:sz w:val="24"/>
          <w:szCs w:val="24"/>
        </w:rPr>
        <w:t xml:space="preserve"> (f.eks. mundtørhed og akkommodationsforstyrrelser) er milde og forbigående.</w:t>
      </w:r>
    </w:p>
    <w:p w14:paraId="6D9B5EAE" w14:textId="77777777" w:rsidR="00961187" w:rsidRPr="00116C00" w:rsidRDefault="00961187" w:rsidP="00A41915">
      <w:pPr>
        <w:ind w:left="851"/>
        <w:rPr>
          <w:sz w:val="24"/>
          <w:szCs w:val="24"/>
        </w:rPr>
      </w:pPr>
    </w:p>
    <w:p w14:paraId="7C8C2F38" w14:textId="77777777" w:rsidR="00961187" w:rsidRPr="00116C00" w:rsidRDefault="00961187" w:rsidP="00A41915">
      <w:pPr>
        <w:ind w:left="851"/>
        <w:rPr>
          <w:sz w:val="24"/>
          <w:szCs w:val="24"/>
        </w:rPr>
      </w:pPr>
      <w:r w:rsidRPr="00116C00">
        <w:rPr>
          <w:sz w:val="24"/>
          <w:szCs w:val="24"/>
        </w:rPr>
        <w:t xml:space="preserve">Eventuelle bivirkninger ved overdosering vil derfor typisk være relateret til </w:t>
      </w:r>
      <w:proofErr w:type="spellStart"/>
      <w:r w:rsidRPr="00116C00">
        <w:rPr>
          <w:sz w:val="24"/>
          <w:szCs w:val="24"/>
        </w:rPr>
        <w:t>salbutamol</w:t>
      </w:r>
      <w:proofErr w:type="spellEnd"/>
      <w:r w:rsidRPr="00116C00">
        <w:rPr>
          <w:sz w:val="24"/>
          <w:szCs w:val="24"/>
        </w:rPr>
        <w:t>-komponenten.</w:t>
      </w:r>
    </w:p>
    <w:p w14:paraId="28FC7AD8" w14:textId="77777777" w:rsidR="00961187" w:rsidRPr="00116C00" w:rsidRDefault="00961187" w:rsidP="00A41915">
      <w:pPr>
        <w:ind w:left="851"/>
        <w:rPr>
          <w:sz w:val="24"/>
          <w:szCs w:val="24"/>
        </w:rPr>
      </w:pPr>
      <w:r w:rsidRPr="00116C00">
        <w:rPr>
          <w:sz w:val="24"/>
          <w:szCs w:val="24"/>
        </w:rPr>
        <w:t xml:space="preserve">Tegnene på overdosering af </w:t>
      </w:r>
      <w:proofErr w:type="spellStart"/>
      <w:r w:rsidRPr="00116C00">
        <w:rPr>
          <w:sz w:val="24"/>
          <w:szCs w:val="24"/>
        </w:rPr>
        <w:t>salbutamol</w:t>
      </w:r>
      <w:proofErr w:type="spellEnd"/>
      <w:r w:rsidRPr="00116C00">
        <w:rPr>
          <w:sz w:val="24"/>
          <w:szCs w:val="24"/>
        </w:rPr>
        <w:t xml:space="preserve"> skyldes </w:t>
      </w:r>
      <w:proofErr w:type="spellStart"/>
      <w:r w:rsidRPr="00116C00">
        <w:rPr>
          <w:sz w:val="24"/>
          <w:szCs w:val="24"/>
        </w:rPr>
        <w:t>adrenerg</w:t>
      </w:r>
      <w:proofErr w:type="spellEnd"/>
      <w:r w:rsidRPr="00116C00">
        <w:rPr>
          <w:sz w:val="24"/>
          <w:szCs w:val="24"/>
        </w:rPr>
        <w:t xml:space="preserve"> beta-2-overstimulation og kan omfatte </w:t>
      </w:r>
      <w:proofErr w:type="spellStart"/>
      <w:r w:rsidRPr="00116C00">
        <w:rPr>
          <w:sz w:val="24"/>
          <w:szCs w:val="24"/>
        </w:rPr>
        <w:t>takykardi</w:t>
      </w:r>
      <w:proofErr w:type="spellEnd"/>
      <w:r w:rsidRPr="00116C00">
        <w:rPr>
          <w:sz w:val="24"/>
          <w:szCs w:val="24"/>
        </w:rPr>
        <w:t xml:space="preserve">, anginasmerter, hypertension, </w:t>
      </w:r>
      <w:proofErr w:type="spellStart"/>
      <w:r w:rsidRPr="00116C00">
        <w:rPr>
          <w:sz w:val="24"/>
          <w:szCs w:val="24"/>
        </w:rPr>
        <w:t>palpitationer</w:t>
      </w:r>
      <w:proofErr w:type="spellEnd"/>
      <w:r w:rsidRPr="00116C00">
        <w:rPr>
          <w:sz w:val="24"/>
          <w:szCs w:val="24"/>
        </w:rPr>
        <w:t xml:space="preserve">, </w:t>
      </w:r>
      <w:proofErr w:type="spellStart"/>
      <w:r w:rsidRPr="00116C00">
        <w:rPr>
          <w:sz w:val="24"/>
          <w:szCs w:val="24"/>
        </w:rPr>
        <w:t>tremor</w:t>
      </w:r>
      <w:proofErr w:type="spellEnd"/>
      <w:r w:rsidRPr="00116C00">
        <w:rPr>
          <w:sz w:val="24"/>
          <w:szCs w:val="24"/>
        </w:rPr>
        <w:t xml:space="preserve">, </w:t>
      </w:r>
      <w:proofErr w:type="spellStart"/>
      <w:r w:rsidRPr="00116C00">
        <w:rPr>
          <w:sz w:val="24"/>
          <w:szCs w:val="24"/>
        </w:rPr>
        <w:t>hypokaliæmi</w:t>
      </w:r>
      <w:proofErr w:type="spellEnd"/>
      <w:r w:rsidRPr="00116C00">
        <w:rPr>
          <w:sz w:val="24"/>
          <w:szCs w:val="24"/>
        </w:rPr>
        <w:t xml:space="preserve">, hypotension, øget pulstrykforskel, </w:t>
      </w:r>
      <w:proofErr w:type="spellStart"/>
      <w:r w:rsidRPr="00116C00">
        <w:rPr>
          <w:sz w:val="24"/>
          <w:szCs w:val="24"/>
        </w:rPr>
        <w:t>arytmier</w:t>
      </w:r>
      <w:proofErr w:type="spellEnd"/>
      <w:r w:rsidRPr="00116C00">
        <w:rPr>
          <w:sz w:val="24"/>
          <w:szCs w:val="24"/>
        </w:rPr>
        <w:t xml:space="preserve"> og </w:t>
      </w:r>
      <w:proofErr w:type="spellStart"/>
      <w:r w:rsidRPr="00116C00">
        <w:rPr>
          <w:sz w:val="24"/>
          <w:szCs w:val="24"/>
        </w:rPr>
        <w:t>flushing</w:t>
      </w:r>
      <w:proofErr w:type="spellEnd"/>
      <w:r w:rsidRPr="00116C00">
        <w:rPr>
          <w:sz w:val="24"/>
          <w:szCs w:val="24"/>
        </w:rPr>
        <w:t>.</w:t>
      </w:r>
    </w:p>
    <w:p w14:paraId="790181EA" w14:textId="77777777" w:rsidR="00961187" w:rsidRPr="00116C00" w:rsidRDefault="00961187" w:rsidP="00A41915">
      <w:pPr>
        <w:ind w:left="851"/>
        <w:rPr>
          <w:sz w:val="24"/>
          <w:szCs w:val="24"/>
        </w:rPr>
      </w:pPr>
    </w:p>
    <w:p w14:paraId="49E1D8DB" w14:textId="77777777" w:rsidR="00961187" w:rsidRPr="00116C00" w:rsidRDefault="00961187" w:rsidP="00A41915">
      <w:pPr>
        <w:ind w:left="851"/>
        <w:rPr>
          <w:sz w:val="24"/>
          <w:szCs w:val="24"/>
        </w:rPr>
      </w:pPr>
      <w:r w:rsidRPr="00116C00">
        <w:rPr>
          <w:sz w:val="24"/>
          <w:szCs w:val="24"/>
        </w:rPr>
        <w:t xml:space="preserve">Der er også set metabolisk </w:t>
      </w:r>
      <w:proofErr w:type="spellStart"/>
      <w:r w:rsidRPr="00116C00">
        <w:rPr>
          <w:sz w:val="24"/>
          <w:szCs w:val="24"/>
        </w:rPr>
        <w:t>acidose</w:t>
      </w:r>
      <w:proofErr w:type="spellEnd"/>
      <w:r w:rsidRPr="00116C00">
        <w:rPr>
          <w:sz w:val="24"/>
          <w:szCs w:val="24"/>
        </w:rPr>
        <w:t xml:space="preserve"> ved overdosering af </w:t>
      </w:r>
      <w:proofErr w:type="spellStart"/>
      <w:r w:rsidRPr="00116C00">
        <w:rPr>
          <w:sz w:val="24"/>
          <w:szCs w:val="24"/>
        </w:rPr>
        <w:t>salbutamol</w:t>
      </w:r>
      <w:proofErr w:type="spellEnd"/>
      <w:r w:rsidRPr="00116C00">
        <w:rPr>
          <w:sz w:val="24"/>
          <w:szCs w:val="24"/>
        </w:rPr>
        <w:t xml:space="preserve">, herunder </w:t>
      </w:r>
      <w:proofErr w:type="spellStart"/>
      <w:r w:rsidRPr="00116C00">
        <w:rPr>
          <w:sz w:val="24"/>
          <w:szCs w:val="24"/>
        </w:rPr>
        <w:t>laktacidose</w:t>
      </w:r>
      <w:proofErr w:type="spellEnd"/>
      <w:r w:rsidRPr="00116C00">
        <w:rPr>
          <w:sz w:val="24"/>
          <w:szCs w:val="24"/>
        </w:rPr>
        <w:t xml:space="preserve">, der er indberettet ved høje terapeutiske doser samt ved overdosering af korttidsvirkende beta-2-agonister. Ved overdosering kan det være indiceret at overvåge for forhøjet serumlaktat og deraf følgende metabolisk </w:t>
      </w:r>
      <w:proofErr w:type="spellStart"/>
      <w:r w:rsidRPr="00116C00">
        <w:rPr>
          <w:sz w:val="24"/>
          <w:szCs w:val="24"/>
        </w:rPr>
        <w:t>acidose</w:t>
      </w:r>
      <w:proofErr w:type="spellEnd"/>
      <w:r w:rsidRPr="00116C00">
        <w:rPr>
          <w:sz w:val="24"/>
          <w:szCs w:val="24"/>
        </w:rPr>
        <w:t xml:space="preserve"> (navnlig hvis der ses </w:t>
      </w:r>
      <w:proofErr w:type="spellStart"/>
      <w:r w:rsidRPr="00116C00">
        <w:rPr>
          <w:sz w:val="24"/>
          <w:szCs w:val="24"/>
        </w:rPr>
        <w:t>persistens</w:t>
      </w:r>
      <w:proofErr w:type="spellEnd"/>
      <w:r w:rsidRPr="00116C00">
        <w:rPr>
          <w:sz w:val="24"/>
          <w:szCs w:val="24"/>
        </w:rPr>
        <w:t xml:space="preserve"> eller forværring af </w:t>
      </w:r>
      <w:proofErr w:type="spellStart"/>
      <w:r w:rsidRPr="00116C00">
        <w:rPr>
          <w:sz w:val="24"/>
          <w:szCs w:val="24"/>
        </w:rPr>
        <w:t>takypnø</w:t>
      </w:r>
      <w:proofErr w:type="spellEnd"/>
      <w:r w:rsidRPr="00116C00">
        <w:rPr>
          <w:sz w:val="24"/>
          <w:szCs w:val="24"/>
        </w:rPr>
        <w:t xml:space="preserve"> på trods af ophør af andre tegn på </w:t>
      </w:r>
      <w:proofErr w:type="spellStart"/>
      <w:r w:rsidRPr="00116C00">
        <w:rPr>
          <w:sz w:val="24"/>
          <w:szCs w:val="24"/>
        </w:rPr>
        <w:t>bronkospasme</w:t>
      </w:r>
      <w:proofErr w:type="spellEnd"/>
      <w:r w:rsidRPr="00116C00">
        <w:rPr>
          <w:sz w:val="24"/>
          <w:szCs w:val="24"/>
        </w:rPr>
        <w:t xml:space="preserve"> som f.eks. </w:t>
      </w:r>
      <w:proofErr w:type="spellStart"/>
      <w:r w:rsidRPr="00116C00">
        <w:rPr>
          <w:sz w:val="24"/>
          <w:szCs w:val="24"/>
        </w:rPr>
        <w:t>hvæsen</w:t>
      </w:r>
      <w:proofErr w:type="spellEnd"/>
      <w:r w:rsidRPr="00116C00">
        <w:rPr>
          <w:sz w:val="24"/>
          <w:szCs w:val="24"/>
        </w:rPr>
        <w:t>).</w:t>
      </w:r>
    </w:p>
    <w:p w14:paraId="7849244B" w14:textId="77777777" w:rsidR="00961187" w:rsidRPr="00116C00" w:rsidRDefault="00961187" w:rsidP="00A41915">
      <w:pPr>
        <w:ind w:left="851"/>
        <w:rPr>
          <w:sz w:val="24"/>
          <w:szCs w:val="24"/>
        </w:rPr>
      </w:pPr>
    </w:p>
    <w:p w14:paraId="2902502D" w14:textId="77777777" w:rsidR="00961187" w:rsidRPr="00116C00" w:rsidRDefault="00961187" w:rsidP="00A41915">
      <w:pPr>
        <w:ind w:left="851"/>
        <w:rPr>
          <w:sz w:val="24"/>
          <w:szCs w:val="24"/>
          <w:u w:val="single"/>
        </w:rPr>
      </w:pPr>
      <w:r w:rsidRPr="00116C00">
        <w:rPr>
          <w:sz w:val="24"/>
          <w:szCs w:val="24"/>
          <w:u w:val="single"/>
        </w:rPr>
        <w:t>Behandling</w:t>
      </w:r>
    </w:p>
    <w:p w14:paraId="58CA9CCC" w14:textId="77777777" w:rsidR="00961187" w:rsidRPr="00116C00" w:rsidRDefault="00961187" w:rsidP="00A41915">
      <w:pPr>
        <w:ind w:left="851"/>
        <w:rPr>
          <w:sz w:val="24"/>
          <w:szCs w:val="24"/>
        </w:rPr>
      </w:pPr>
      <w:r w:rsidRPr="00116C00">
        <w:rPr>
          <w:sz w:val="24"/>
          <w:szCs w:val="24"/>
        </w:rPr>
        <w:t xml:space="preserve">Behandlingen med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skal seponeres. Det bør overvejes at overvåge syre/base-balance og elektrolytter. Der kan forekomme </w:t>
      </w:r>
      <w:proofErr w:type="spellStart"/>
      <w:r w:rsidRPr="00116C00">
        <w:rPr>
          <w:sz w:val="24"/>
          <w:szCs w:val="24"/>
        </w:rPr>
        <w:t>hypokaliæmi</w:t>
      </w:r>
      <w:proofErr w:type="spellEnd"/>
      <w:r w:rsidRPr="00116C00">
        <w:rPr>
          <w:sz w:val="24"/>
          <w:szCs w:val="24"/>
        </w:rPr>
        <w:t xml:space="preserve"> efter overdosering af </w:t>
      </w:r>
      <w:proofErr w:type="spellStart"/>
      <w:r w:rsidRPr="00116C00">
        <w:rPr>
          <w:sz w:val="24"/>
          <w:szCs w:val="24"/>
        </w:rPr>
        <w:t>salbutamol</w:t>
      </w:r>
      <w:proofErr w:type="spellEnd"/>
      <w:r w:rsidRPr="00116C00">
        <w:rPr>
          <w:sz w:val="24"/>
          <w:szCs w:val="24"/>
        </w:rPr>
        <w:t>, og derfor skal kaliumniveauet i serum overvåges.</w:t>
      </w:r>
    </w:p>
    <w:p w14:paraId="6FEE1EC4" w14:textId="77777777" w:rsidR="00961187" w:rsidRPr="00116C00" w:rsidRDefault="00961187" w:rsidP="00A41915">
      <w:pPr>
        <w:ind w:left="851"/>
        <w:rPr>
          <w:sz w:val="24"/>
          <w:szCs w:val="24"/>
        </w:rPr>
      </w:pPr>
    </w:p>
    <w:p w14:paraId="1D1F2B2F" w14:textId="77777777" w:rsidR="00961187" w:rsidRPr="00116C00" w:rsidRDefault="00961187" w:rsidP="00A41915">
      <w:pPr>
        <w:ind w:left="851"/>
        <w:rPr>
          <w:sz w:val="24"/>
          <w:szCs w:val="24"/>
        </w:rPr>
      </w:pPr>
      <w:r w:rsidRPr="00116C00">
        <w:rPr>
          <w:sz w:val="24"/>
          <w:szCs w:val="24"/>
        </w:rPr>
        <w:t xml:space="preserve">Den foretrukne </w:t>
      </w:r>
      <w:proofErr w:type="spellStart"/>
      <w:r w:rsidRPr="00116C00">
        <w:rPr>
          <w:sz w:val="24"/>
          <w:szCs w:val="24"/>
        </w:rPr>
        <w:t>antidot</w:t>
      </w:r>
      <w:proofErr w:type="spellEnd"/>
      <w:r w:rsidRPr="00116C00">
        <w:rPr>
          <w:sz w:val="24"/>
          <w:szCs w:val="24"/>
        </w:rPr>
        <w:t xml:space="preserve"> ved overdosering af </w:t>
      </w:r>
      <w:proofErr w:type="spellStart"/>
      <w:r w:rsidRPr="00116C00">
        <w:rPr>
          <w:sz w:val="24"/>
          <w:szCs w:val="24"/>
        </w:rPr>
        <w:t>salbutamol</w:t>
      </w:r>
      <w:proofErr w:type="spellEnd"/>
      <w:r w:rsidRPr="00116C00">
        <w:rPr>
          <w:sz w:val="24"/>
          <w:szCs w:val="24"/>
        </w:rPr>
        <w:t xml:space="preserve"> er en </w:t>
      </w:r>
      <w:proofErr w:type="spellStart"/>
      <w:r w:rsidRPr="00116C00">
        <w:rPr>
          <w:sz w:val="24"/>
          <w:szCs w:val="24"/>
        </w:rPr>
        <w:t>kardioselektiv</w:t>
      </w:r>
      <w:proofErr w:type="spellEnd"/>
      <w:r w:rsidRPr="00116C00">
        <w:rPr>
          <w:sz w:val="24"/>
          <w:szCs w:val="24"/>
        </w:rPr>
        <w:t xml:space="preserve"> betablokker, idet der dog skal udvises forsigtighed ved administration af disse lægemidler hos patienter med tidligere </w:t>
      </w:r>
      <w:proofErr w:type="spellStart"/>
      <w:r w:rsidRPr="00116C00">
        <w:rPr>
          <w:sz w:val="24"/>
          <w:szCs w:val="24"/>
        </w:rPr>
        <w:t>bronkospasme</w:t>
      </w:r>
      <w:proofErr w:type="spellEnd"/>
      <w:r w:rsidRPr="00116C00">
        <w:rPr>
          <w:sz w:val="24"/>
          <w:szCs w:val="24"/>
        </w:rPr>
        <w:t>.</w:t>
      </w:r>
    </w:p>
    <w:p w14:paraId="4FC865CB" w14:textId="77777777" w:rsidR="00961187" w:rsidRPr="006D4893" w:rsidRDefault="00961187" w:rsidP="00A41915">
      <w:pPr>
        <w:ind w:left="851"/>
        <w:rPr>
          <w:iCs/>
          <w:sz w:val="24"/>
          <w:szCs w:val="24"/>
        </w:rPr>
      </w:pPr>
      <w:r w:rsidRPr="006D4893">
        <w:rPr>
          <w:sz w:val="24"/>
          <w:szCs w:val="24"/>
        </w:rPr>
        <w:t>Disse patienter skal ekg-monitoreres.</w:t>
      </w:r>
    </w:p>
    <w:p w14:paraId="3BD59101" w14:textId="77777777" w:rsidR="009260DE" w:rsidRPr="006D4893" w:rsidRDefault="009260DE" w:rsidP="009260DE">
      <w:pPr>
        <w:tabs>
          <w:tab w:val="left" w:pos="851"/>
        </w:tabs>
        <w:ind w:left="851"/>
        <w:rPr>
          <w:sz w:val="24"/>
          <w:szCs w:val="24"/>
        </w:rPr>
      </w:pPr>
    </w:p>
    <w:p w14:paraId="0B28AB8F" w14:textId="77777777" w:rsidR="009260DE" w:rsidRPr="00116C00" w:rsidRDefault="009260DE" w:rsidP="009260DE">
      <w:pPr>
        <w:tabs>
          <w:tab w:val="left" w:pos="851"/>
        </w:tabs>
        <w:ind w:left="851" w:hanging="851"/>
        <w:rPr>
          <w:b/>
          <w:sz w:val="24"/>
          <w:szCs w:val="24"/>
        </w:rPr>
      </w:pPr>
      <w:r w:rsidRPr="00116C00">
        <w:rPr>
          <w:b/>
          <w:sz w:val="24"/>
          <w:szCs w:val="24"/>
        </w:rPr>
        <w:t>4.10</w:t>
      </w:r>
      <w:r w:rsidRPr="00116C00">
        <w:rPr>
          <w:b/>
          <w:sz w:val="24"/>
          <w:szCs w:val="24"/>
        </w:rPr>
        <w:tab/>
        <w:t>Udlevering</w:t>
      </w:r>
    </w:p>
    <w:p w14:paraId="324A3869" w14:textId="228B5572" w:rsidR="009260DE" w:rsidRPr="00116C00" w:rsidRDefault="00A41915" w:rsidP="009260DE">
      <w:pPr>
        <w:tabs>
          <w:tab w:val="left" w:pos="851"/>
        </w:tabs>
        <w:ind w:left="851"/>
        <w:rPr>
          <w:sz w:val="24"/>
          <w:szCs w:val="24"/>
        </w:rPr>
      </w:pPr>
      <w:r w:rsidRPr="00116C00">
        <w:rPr>
          <w:sz w:val="24"/>
          <w:szCs w:val="24"/>
        </w:rPr>
        <w:t>B</w:t>
      </w:r>
    </w:p>
    <w:p w14:paraId="6462D51B" w14:textId="77777777" w:rsidR="009260DE" w:rsidRPr="00116C00" w:rsidRDefault="009260DE" w:rsidP="009260DE">
      <w:pPr>
        <w:tabs>
          <w:tab w:val="left" w:pos="851"/>
        </w:tabs>
        <w:ind w:left="851"/>
        <w:rPr>
          <w:sz w:val="24"/>
          <w:szCs w:val="24"/>
        </w:rPr>
      </w:pPr>
    </w:p>
    <w:p w14:paraId="3E965928" w14:textId="77777777" w:rsidR="009260DE" w:rsidRPr="00116C00" w:rsidRDefault="009260DE" w:rsidP="009260DE">
      <w:pPr>
        <w:tabs>
          <w:tab w:val="left" w:pos="851"/>
        </w:tabs>
        <w:ind w:left="851"/>
        <w:rPr>
          <w:sz w:val="24"/>
          <w:szCs w:val="24"/>
        </w:rPr>
      </w:pPr>
    </w:p>
    <w:p w14:paraId="28E72009" w14:textId="77777777" w:rsidR="009260DE" w:rsidRPr="00116C00" w:rsidRDefault="009260DE" w:rsidP="009260DE">
      <w:pPr>
        <w:tabs>
          <w:tab w:val="left" w:pos="851"/>
        </w:tabs>
        <w:ind w:left="851" w:hanging="851"/>
        <w:rPr>
          <w:b/>
          <w:sz w:val="24"/>
          <w:szCs w:val="24"/>
        </w:rPr>
      </w:pPr>
      <w:r w:rsidRPr="00116C00">
        <w:rPr>
          <w:b/>
          <w:sz w:val="24"/>
          <w:szCs w:val="24"/>
        </w:rPr>
        <w:t>5.</w:t>
      </w:r>
      <w:r w:rsidRPr="00116C00">
        <w:rPr>
          <w:b/>
          <w:sz w:val="24"/>
          <w:szCs w:val="24"/>
        </w:rPr>
        <w:tab/>
        <w:t>FARMAKOLOGISKE EGENSKABER</w:t>
      </w:r>
    </w:p>
    <w:p w14:paraId="45C4BE34" w14:textId="77777777" w:rsidR="009260DE" w:rsidRPr="00116C00" w:rsidRDefault="009260DE" w:rsidP="009260DE">
      <w:pPr>
        <w:tabs>
          <w:tab w:val="left" w:pos="851"/>
        </w:tabs>
        <w:ind w:left="851"/>
        <w:rPr>
          <w:sz w:val="24"/>
          <w:szCs w:val="24"/>
        </w:rPr>
      </w:pPr>
    </w:p>
    <w:p w14:paraId="27C1AEED" w14:textId="77777777" w:rsidR="009260DE" w:rsidRPr="00116C00" w:rsidRDefault="009260DE" w:rsidP="009260DE">
      <w:pPr>
        <w:tabs>
          <w:tab w:val="num" w:pos="851"/>
        </w:tabs>
        <w:ind w:left="851" w:hanging="851"/>
        <w:rPr>
          <w:b/>
          <w:sz w:val="24"/>
          <w:szCs w:val="24"/>
        </w:rPr>
      </w:pPr>
      <w:r w:rsidRPr="00116C00">
        <w:rPr>
          <w:b/>
          <w:sz w:val="24"/>
          <w:szCs w:val="24"/>
        </w:rPr>
        <w:t>5.1</w:t>
      </w:r>
      <w:r w:rsidRPr="00116C00">
        <w:rPr>
          <w:b/>
          <w:sz w:val="24"/>
          <w:szCs w:val="24"/>
        </w:rPr>
        <w:tab/>
      </w:r>
      <w:proofErr w:type="spellStart"/>
      <w:r w:rsidRPr="00116C00">
        <w:rPr>
          <w:b/>
          <w:sz w:val="24"/>
          <w:szCs w:val="24"/>
        </w:rPr>
        <w:t>Farmakodynamiske</w:t>
      </w:r>
      <w:proofErr w:type="spellEnd"/>
      <w:r w:rsidRPr="00116C00">
        <w:rPr>
          <w:b/>
          <w:sz w:val="24"/>
          <w:szCs w:val="24"/>
        </w:rPr>
        <w:t xml:space="preserve"> egenskaber</w:t>
      </w:r>
    </w:p>
    <w:p w14:paraId="43A45516" w14:textId="7B53E37F" w:rsidR="00961187" w:rsidRPr="00116C00" w:rsidRDefault="00961187" w:rsidP="00A41915">
      <w:pPr>
        <w:ind w:left="851"/>
        <w:rPr>
          <w:sz w:val="24"/>
          <w:szCs w:val="24"/>
        </w:rPr>
      </w:pPr>
      <w:proofErr w:type="spellStart"/>
      <w:r w:rsidRPr="00116C00">
        <w:rPr>
          <w:sz w:val="24"/>
          <w:szCs w:val="24"/>
        </w:rPr>
        <w:t>Farmakoterapeutisk</w:t>
      </w:r>
      <w:proofErr w:type="spellEnd"/>
      <w:r w:rsidRPr="00116C00">
        <w:rPr>
          <w:sz w:val="24"/>
          <w:szCs w:val="24"/>
        </w:rPr>
        <w:t xml:space="preserve"> klassifikation: </w:t>
      </w:r>
      <w:proofErr w:type="spellStart"/>
      <w:r w:rsidRPr="00116C00">
        <w:rPr>
          <w:sz w:val="24"/>
          <w:szCs w:val="24"/>
        </w:rPr>
        <w:t>Adrenergica</w:t>
      </w:r>
      <w:proofErr w:type="spellEnd"/>
      <w:r w:rsidRPr="00116C00">
        <w:rPr>
          <w:sz w:val="24"/>
          <w:szCs w:val="24"/>
        </w:rPr>
        <w:t xml:space="preserve"> </w:t>
      </w:r>
      <w:proofErr w:type="spellStart"/>
      <w:r w:rsidRPr="00116C00">
        <w:rPr>
          <w:sz w:val="24"/>
          <w:szCs w:val="24"/>
        </w:rPr>
        <w:t>komb</w:t>
      </w:r>
      <w:proofErr w:type="spellEnd"/>
      <w:r w:rsidRPr="00116C00">
        <w:rPr>
          <w:sz w:val="24"/>
          <w:szCs w:val="24"/>
        </w:rPr>
        <w:t xml:space="preserve"> m </w:t>
      </w:r>
      <w:proofErr w:type="spellStart"/>
      <w:r w:rsidRPr="00116C00">
        <w:rPr>
          <w:sz w:val="24"/>
          <w:szCs w:val="24"/>
        </w:rPr>
        <w:t>anticholinergica</w:t>
      </w:r>
      <w:proofErr w:type="spellEnd"/>
      <w:r w:rsidRPr="00116C00">
        <w:rPr>
          <w:sz w:val="24"/>
          <w:szCs w:val="24"/>
        </w:rPr>
        <w:t>, inkl</w:t>
      </w:r>
      <w:r w:rsidR="0029325E">
        <w:rPr>
          <w:sz w:val="24"/>
          <w:szCs w:val="24"/>
        </w:rPr>
        <w:t>.</w:t>
      </w:r>
      <w:r w:rsidRPr="00116C00">
        <w:rPr>
          <w:sz w:val="24"/>
          <w:szCs w:val="24"/>
        </w:rPr>
        <w:t xml:space="preserve"> 3-stof </w:t>
      </w:r>
      <w:proofErr w:type="spellStart"/>
      <w:r w:rsidRPr="00116C00">
        <w:rPr>
          <w:sz w:val="24"/>
          <w:szCs w:val="24"/>
        </w:rPr>
        <w:t>komb</w:t>
      </w:r>
      <w:proofErr w:type="spellEnd"/>
      <w:r w:rsidRPr="00116C00">
        <w:rPr>
          <w:sz w:val="24"/>
          <w:szCs w:val="24"/>
        </w:rPr>
        <w:t xml:space="preserve"> m </w:t>
      </w:r>
      <w:proofErr w:type="spellStart"/>
      <w:r w:rsidRPr="00116C00">
        <w:rPr>
          <w:sz w:val="24"/>
          <w:szCs w:val="24"/>
        </w:rPr>
        <w:t>corticosteroider</w:t>
      </w:r>
      <w:proofErr w:type="spellEnd"/>
      <w:r w:rsidRPr="00116C00">
        <w:rPr>
          <w:sz w:val="24"/>
          <w:szCs w:val="24"/>
        </w:rPr>
        <w:t>, ATC-kode: R03AL02</w:t>
      </w:r>
      <w:r w:rsidR="003456A9">
        <w:rPr>
          <w:sz w:val="24"/>
          <w:szCs w:val="24"/>
        </w:rPr>
        <w:t>.</w:t>
      </w:r>
    </w:p>
    <w:p w14:paraId="1260FC58" w14:textId="6CBD61E8" w:rsidR="006D4893" w:rsidRDefault="006D4893">
      <w:pPr>
        <w:rPr>
          <w:sz w:val="24"/>
          <w:szCs w:val="24"/>
        </w:rPr>
      </w:pPr>
      <w:r>
        <w:rPr>
          <w:sz w:val="24"/>
          <w:szCs w:val="24"/>
        </w:rPr>
        <w:br w:type="page"/>
      </w:r>
    </w:p>
    <w:p w14:paraId="3861E310" w14:textId="77777777" w:rsidR="00961187" w:rsidRPr="00116C00" w:rsidRDefault="00961187" w:rsidP="00A41915">
      <w:pPr>
        <w:ind w:left="851"/>
        <w:rPr>
          <w:sz w:val="24"/>
          <w:szCs w:val="24"/>
        </w:rPr>
      </w:pPr>
    </w:p>
    <w:p w14:paraId="2DBD7D28" w14:textId="77777777" w:rsidR="00961187" w:rsidRPr="00116C00" w:rsidRDefault="00961187" w:rsidP="00A41915">
      <w:pPr>
        <w:tabs>
          <w:tab w:val="left" w:pos="1304"/>
        </w:tabs>
        <w:autoSpaceDE w:val="0"/>
        <w:autoSpaceDN w:val="0"/>
        <w:adjustRightInd w:val="0"/>
        <w:ind w:left="851"/>
        <w:rPr>
          <w:sz w:val="24"/>
          <w:szCs w:val="24"/>
          <w:u w:val="single"/>
        </w:rPr>
      </w:pPr>
      <w:r w:rsidRPr="00116C00">
        <w:rPr>
          <w:sz w:val="24"/>
          <w:szCs w:val="24"/>
          <w:u w:val="single"/>
        </w:rPr>
        <w:t xml:space="preserve">Virkningsmekanisme og </w:t>
      </w:r>
      <w:proofErr w:type="spellStart"/>
      <w:r w:rsidRPr="00116C00">
        <w:rPr>
          <w:sz w:val="24"/>
          <w:szCs w:val="24"/>
          <w:u w:val="single"/>
        </w:rPr>
        <w:t>farmakodynamisk</w:t>
      </w:r>
      <w:proofErr w:type="spellEnd"/>
      <w:r w:rsidRPr="00116C00">
        <w:rPr>
          <w:sz w:val="24"/>
          <w:szCs w:val="24"/>
          <w:u w:val="single"/>
        </w:rPr>
        <w:t xml:space="preserve"> virkning</w:t>
      </w:r>
    </w:p>
    <w:p w14:paraId="5977426B" w14:textId="77777777" w:rsidR="00961187" w:rsidRPr="00116C00" w:rsidRDefault="00961187" w:rsidP="00A41915">
      <w:pPr>
        <w:tabs>
          <w:tab w:val="left" w:pos="1304"/>
        </w:tabs>
        <w:autoSpaceDE w:val="0"/>
        <w:autoSpaceDN w:val="0"/>
        <w:adjustRightInd w:val="0"/>
        <w:ind w:left="851"/>
        <w:rPr>
          <w:sz w:val="24"/>
          <w:szCs w:val="24"/>
          <w:u w:val="single"/>
        </w:rPr>
      </w:pPr>
    </w:p>
    <w:p w14:paraId="4F3BE95F" w14:textId="77777777" w:rsidR="00961187" w:rsidRPr="00116C00" w:rsidRDefault="00961187" w:rsidP="00A41915">
      <w:pPr>
        <w:shd w:val="clear" w:color="auto" w:fill="FFFFFF"/>
        <w:ind w:left="851"/>
        <w:rPr>
          <w:color w:val="000000"/>
          <w:sz w:val="24"/>
          <w:szCs w:val="24"/>
          <w:u w:val="single"/>
        </w:rPr>
      </w:pPr>
      <w:proofErr w:type="spellStart"/>
      <w:r w:rsidRPr="00116C00">
        <w:rPr>
          <w:color w:val="000000"/>
          <w:sz w:val="24"/>
          <w:szCs w:val="24"/>
        </w:rPr>
        <w:t>Ipratropiumbromid</w:t>
      </w:r>
      <w:proofErr w:type="spellEnd"/>
      <w:r w:rsidRPr="00116C00">
        <w:rPr>
          <w:color w:val="000000"/>
          <w:sz w:val="24"/>
          <w:szCs w:val="24"/>
        </w:rPr>
        <w:t xml:space="preserve"> har </w:t>
      </w:r>
      <w:proofErr w:type="spellStart"/>
      <w:r w:rsidRPr="00116C00">
        <w:rPr>
          <w:color w:val="000000"/>
          <w:sz w:val="24"/>
          <w:szCs w:val="24"/>
        </w:rPr>
        <w:t>antikolinerge</w:t>
      </w:r>
      <w:proofErr w:type="spellEnd"/>
      <w:r w:rsidRPr="00116C00">
        <w:rPr>
          <w:color w:val="000000"/>
          <w:sz w:val="24"/>
          <w:szCs w:val="24"/>
        </w:rPr>
        <w:t xml:space="preserve"> (</w:t>
      </w:r>
      <w:proofErr w:type="spellStart"/>
      <w:r w:rsidRPr="00116C00">
        <w:rPr>
          <w:color w:val="000000"/>
          <w:sz w:val="24"/>
          <w:szCs w:val="24"/>
        </w:rPr>
        <w:t>parasympatolytiske</w:t>
      </w:r>
      <w:proofErr w:type="spellEnd"/>
      <w:r w:rsidRPr="00116C00">
        <w:rPr>
          <w:color w:val="000000"/>
          <w:sz w:val="24"/>
          <w:szCs w:val="24"/>
        </w:rPr>
        <w:t xml:space="preserve">) egenskaber. I non-kliniske forsøg er det observeret, at </w:t>
      </w:r>
      <w:proofErr w:type="spellStart"/>
      <w:r w:rsidRPr="00116C00">
        <w:rPr>
          <w:color w:val="000000"/>
          <w:sz w:val="24"/>
          <w:szCs w:val="24"/>
        </w:rPr>
        <w:t>ipratropiumbromid</w:t>
      </w:r>
      <w:proofErr w:type="spellEnd"/>
      <w:r w:rsidRPr="00116C00">
        <w:rPr>
          <w:color w:val="000000"/>
          <w:sz w:val="24"/>
          <w:szCs w:val="24"/>
        </w:rPr>
        <w:t xml:space="preserve"> hæmmer </w:t>
      </w:r>
      <w:proofErr w:type="spellStart"/>
      <w:r w:rsidRPr="00116C00">
        <w:rPr>
          <w:color w:val="000000"/>
          <w:sz w:val="24"/>
          <w:szCs w:val="24"/>
        </w:rPr>
        <w:t>vagalt</w:t>
      </w:r>
      <w:proofErr w:type="spellEnd"/>
      <w:r w:rsidRPr="00116C00">
        <w:rPr>
          <w:color w:val="000000"/>
          <w:sz w:val="24"/>
          <w:szCs w:val="24"/>
        </w:rPr>
        <w:t xml:space="preserve"> medierede reflekser ved at modvirke effekten af acetylkolin, som er det transmitterstof, der udløses fra </w:t>
      </w:r>
      <w:proofErr w:type="spellStart"/>
      <w:r w:rsidRPr="00116C00">
        <w:rPr>
          <w:color w:val="000000"/>
          <w:sz w:val="24"/>
          <w:szCs w:val="24"/>
        </w:rPr>
        <w:t>vagusnerven</w:t>
      </w:r>
      <w:proofErr w:type="spellEnd"/>
      <w:r w:rsidRPr="00116C00">
        <w:rPr>
          <w:color w:val="000000"/>
          <w:sz w:val="24"/>
          <w:szCs w:val="24"/>
        </w:rPr>
        <w:t xml:space="preserve">. </w:t>
      </w:r>
      <w:proofErr w:type="spellStart"/>
      <w:r w:rsidRPr="00116C00">
        <w:rPr>
          <w:sz w:val="24"/>
          <w:szCs w:val="24"/>
        </w:rPr>
        <w:t>Antikolinergika</w:t>
      </w:r>
      <w:proofErr w:type="spellEnd"/>
      <w:r w:rsidRPr="00116C00">
        <w:rPr>
          <w:sz w:val="24"/>
          <w:szCs w:val="24"/>
        </w:rPr>
        <w:t xml:space="preserve"> hæmmer den stigning i intracellulært Ca</w:t>
      </w:r>
      <w:r w:rsidRPr="00116C00">
        <w:rPr>
          <w:sz w:val="24"/>
          <w:szCs w:val="24"/>
          <w:vertAlign w:val="superscript"/>
        </w:rPr>
        <w:t>2+</w:t>
      </w:r>
      <w:r w:rsidRPr="00116C00">
        <w:rPr>
          <w:sz w:val="24"/>
          <w:szCs w:val="24"/>
        </w:rPr>
        <w:t xml:space="preserve">, der forårsages af acetylkolins indvirkning på de </w:t>
      </w:r>
      <w:proofErr w:type="spellStart"/>
      <w:r w:rsidRPr="00116C00">
        <w:rPr>
          <w:sz w:val="24"/>
          <w:szCs w:val="24"/>
        </w:rPr>
        <w:t>muskarine</w:t>
      </w:r>
      <w:proofErr w:type="spellEnd"/>
      <w:r w:rsidRPr="00116C00">
        <w:rPr>
          <w:sz w:val="24"/>
          <w:szCs w:val="24"/>
        </w:rPr>
        <w:t xml:space="preserve"> receptorer i bronkiernes glatte muskulatur. Frigivelsen af Ca</w:t>
      </w:r>
      <w:r w:rsidRPr="00116C00">
        <w:rPr>
          <w:sz w:val="24"/>
          <w:szCs w:val="24"/>
          <w:vertAlign w:val="superscript"/>
        </w:rPr>
        <w:t>2+</w:t>
      </w:r>
      <w:r w:rsidRPr="00116C00">
        <w:rPr>
          <w:sz w:val="24"/>
          <w:szCs w:val="24"/>
        </w:rPr>
        <w:t xml:space="preserve"> medieres via et "</w:t>
      </w:r>
      <w:proofErr w:type="spellStart"/>
      <w:r w:rsidRPr="00116C00">
        <w:rPr>
          <w:sz w:val="24"/>
          <w:szCs w:val="24"/>
        </w:rPr>
        <w:t>second</w:t>
      </w:r>
      <w:proofErr w:type="spellEnd"/>
      <w:r w:rsidRPr="00116C00">
        <w:rPr>
          <w:sz w:val="24"/>
          <w:szCs w:val="24"/>
        </w:rPr>
        <w:t xml:space="preserve"> </w:t>
      </w:r>
      <w:proofErr w:type="spellStart"/>
      <w:r w:rsidRPr="00116C00">
        <w:rPr>
          <w:sz w:val="24"/>
          <w:szCs w:val="24"/>
        </w:rPr>
        <w:t>messenger</w:t>
      </w:r>
      <w:proofErr w:type="spellEnd"/>
      <w:r w:rsidRPr="00116C00">
        <w:rPr>
          <w:sz w:val="24"/>
          <w:szCs w:val="24"/>
        </w:rPr>
        <w:t>"-system, der består af IP3 (</w:t>
      </w:r>
      <w:proofErr w:type="spellStart"/>
      <w:r w:rsidRPr="00116C00">
        <w:rPr>
          <w:sz w:val="24"/>
          <w:szCs w:val="24"/>
        </w:rPr>
        <w:t>inositoltrifosfat</w:t>
      </w:r>
      <w:proofErr w:type="spellEnd"/>
      <w:r w:rsidRPr="00116C00">
        <w:rPr>
          <w:sz w:val="24"/>
          <w:szCs w:val="24"/>
        </w:rPr>
        <w:t>) og DAG (</w:t>
      </w:r>
      <w:proofErr w:type="spellStart"/>
      <w:r w:rsidRPr="00116C00">
        <w:rPr>
          <w:sz w:val="24"/>
          <w:szCs w:val="24"/>
        </w:rPr>
        <w:t>diacylglycerol</w:t>
      </w:r>
      <w:proofErr w:type="spellEnd"/>
      <w:r w:rsidRPr="00116C00">
        <w:rPr>
          <w:sz w:val="24"/>
          <w:szCs w:val="24"/>
        </w:rPr>
        <w:t>).</w:t>
      </w:r>
    </w:p>
    <w:p w14:paraId="4874CDEF" w14:textId="77777777" w:rsidR="00961187" w:rsidRPr="00116C00" w:rsidRDefault="00961187" w:rsidP="00A41915">
      <w:pPr>
        <w:shd w:val="clear" w:color="auto" w:fill="FFFFFF"/>
        <w:ind w:left="851"/>
        <w:rPr>
          <w:color w:val="000000"/>
          <w:sz w:val="24"/>
          <w:szCs w:val="24"/>
          <w:lang w:eastAsia="en-GB"/>
        </w:rPr>
      </w:pPr>
    </w:p>
    <w:p w14:paraId="440D1D4B" w14:textId="77777777" w:rsidR="00961187" w:rsidRPr="00116C00" w:rsidRDefault="00961187" w:rsidP="00A41915">
      <w:pPr>
        <w:shd w:val="clear" w:color="auto" w:fill="FFFFFF"/>
        <w:ind w:left="851"/>
        <w:rPr>
          <w:color w:val="000000"/>
          <w:sz w:val="24"/>
          <w:szCs w:val="24"/>
        </w:rPr>
      </w:pPr>
      <w:proofErr w:type="spellStart"/>
      <w:r w:rsidRPr="00116C00">
        <w:rPr>
          <w:color w:val="000000"/>
          <w:sz w:val="24"/>
          <w:szCs w:val="24"/>
        </w:rPr>
        <w:t>Salbutamol</w:t>
      </w:r>
      <w:proofErr w:type="spellEnd"/>
      <w:r w:rsidRPr="00116C00">
        <w:rPr>
          <w:color w:val="000000"/>
          <w:sz w:val="24"/>
          <w:szCs w:val="24"/>
        </w:rPr>
        <w:t xml:space="preserve"> er et beta-2-adrenergikum, der har afslappende virkning på luftvejenes glatte muskulatur. </w:t>
      </w:r>
      <w:proofErr w:type="spellStart"/>
      <w:r w:rsidRPr="00116C00">
        <w:rPr>
          <w:color w:val="000000"/>
          <w:sz w:val="24"/>
          <w:szCs w:val="24"/>
        </w:rPr>
        <w:t>Salbutamol</w:t>
      </w:r>
      <w:proofErr w:type="spellEnd"/>
      <w:r w:rsidRPr="00116C00">
        <w:rPr>
          <w:color w:val="000000"/>
          <w:sz w:val="24"/>
          <w:szCs w:val="24"/>
        </w:rPr>
        <w:t xml:space="preserve"> har afslappende virkning på al glat muskulatur fra </w:t>
      </w:r>
      <w:proofErr w:type="spellStart"/>
      <w:r w:rsidRPr="00116C00">
        <w:rPr>
          <w:color w:val="000000"/>
          <w:sz w:val="24"/>
          <w:szCs w:val="24"/>
        </w:rPr>
        <w:t>trachea</w:t>
      </w:r>
      <w:proofErr w:type="spellEnd"/>
      <w:r w:rsidRPr="00116C00">
        <w:rPr>
          <w:color w:val="000000"/>
          <w:sz w:val="24"/>
          <w:szCs w:val="24"/>
        </w:rPr>
        <w:t xml:space="preserve"> til de terminale bronkioler og beskytter mod </w:t>
      </w:r>
      <w:proofErr w:type="spellStart"/>
      <w:r w:rsidRPr="00116C00">
        <w:rPr>
          <w:color w:val="000000"/>
          <w:sz w:val="24"/>
          <w:szCs w:val="24"/>
        </w:rPr>
        <w:t>bronkokonstriktion</w:t>
      </w:r>
      <w:proofErr w:type="spellEnd"/>
      <w:r w:rsidRPr="00116C00">
        <w:rPr>
          <w:color w:val="000000"/>
          <w:sz w:val="24"/>
          <w:szCs w:val="24"/>
        </w:rPr>
        <w:t>.</w:t>
      </w:r>
    </w:p>
    <w:p w14:paraId="4629AD6C" w14:textId="77777777" w:rsidR="00961187" w:rsidRPr="00116C00" w:rsidRDefault="00961187" w:rsidP="00A41915">
      <w:pPr>
        <w:shd w:val="clear" w:color="auto" w:fill="FFFFFF"/>
        <w:ind w:left="851"/>
        <w:rPr>
          <w:color w:val="000000"/>
          <w:sz w:val="24"/>
          <w:szCs w:val="24"/>
          <w:lang w:eastAsia="en-GB"/>
        </w:rPr>
      </w:pPr>
    </w:p>
    <w:p w14:paraId="47EEE6A5" w14:textId="428C3994" w:rsidR="00961187" w:rsidRPr="00116C00" w:rsidRDefault="003456A9" w:rsidP="00A41915">
      <w:pPr>
        <w:shd w:val="clear" w:color="auto" w:fill="FFFFFF"/>
        <w:ind w:left="851"/>
        <w:rPr>
          <w:color w:val="000000"/>
          <w:sz w:val="24"/>
          <w:szCs w:val="24"/>
        </w:rPr>
      </w:pPr>
      <w:proofErr w:type="spellStart"/>
      <w:r>
        <w:rPr>
          <w:sz w:val="24"/>
          <w:szCs w:val="24"/>
        </w:rPr>
        <w:t>Ipratropiumbromid</w:t>
      </w:r>
      <w:proofErr w:type="spellEnd"/>
      <w:r>
        <w:rPr>
          <w:sz w:val="24"/>
          <w:szCs w:val="24"/>
        </w:rPr>
        <w:t>/</w:t>
      </w:r>
      <w:proofErr w:type="spellStart"/>
      <w:r>
        <w:rPr>
          <w:sz w:val="24"/>
          <w:szCs w:val="24"/>
        </w:rPr>
        <w:t>Salbutamol</w:t>
      </w:r>
      <w:proofErr w:type="spellEnd"/>
      <w:r>
        <w:rPr>
          <w:sz w:val="24"/>
          <w:szCs w:val="24"/>
        </w:rPr>
        <w:t xml:space="preserve"> "</w:t>
      </w:r>
      <w:proofErr w:type="spellStart"/>
      <w:r>
        <w:rPr>
          <w:sz w:val="24"/>
          <w:szCs w:val="24"/>
        </w:rPr>
        <w:t>Neutec</w:t>
      </w:r>
      <w:proofErr w:type="spellEnd"/>
      <w:r>
        <w:rPr>
          <w:sz w:val="24"/>
          <w:szCs w:val="24"/>
        </w:rPr>
        <w:t>"</w:t>
      </w:r>
      <w:r w:rsidR="00961187" w:rsidRPr="00116C00">
        <w:rPr>
          <w:color w:val="000000"/>
          <w:sz w:val="24"/>
          <w:szCs w:val="24"/>
        </w:rPr>
        <w:t xml:space="preserve"> frigiver </w:t>
      </w:r>
      <w:proofErr w:type="spellStart"/>
      <w:r w:rsidR="00961187" w:rsidRPr="00116C00">
        <w:rPr>
          <w:color w:val="000000"/>
          <w:sz w:val="24"/>
          <w:szCs w:val="24"/>
        </w:rPr>
        <w:t>ipratropiumbromid</w:t>
      </w:r>
      <w:proofErr w:type="spellEnd"/>
      <w:r w:rsidR="00961187" w:rsidRPr="00116C00">
        <w:rPr>
          <w:color w:val="000000"/>
          <w:sz w:val="24"/>
          <w:szCs w:val="24"/>
        </w:rPr>
        <w:t xml:space="preserve"> og </w:t>
      </w:r>
      <w:proofErr w:type="spellStart"/>
      <w:r w:rsidR="00961187" w:rsidRPr="00116C00">
        <w:rPr>
          <w:color w:val="000000"/>
          <w:sz w:val="24"/>
          <w:szCs w:val="24"/>
        </w:rPr>
        <w:t>salbutamolsulfat</w:t>
      </w:r>
      <w:proofErr w:type="spellEnd"/>
      <w:r w:rsidR="00961187" w:rsidRPr="00116C00">
        <w:rPr>
          <w:color w:val="000000"/>
          <w:sz w:val="24"/>
          <w:szCs w:val="24"/>
        </w:rPr>
        <w:t xml:space="preserve"> samtidigt, hvorved der opnås effekt på både de </w:t>
      </w:r>
      <w:proofErr w:type="spellStart"/>
      <w:r w:rsidR="00961187" w:rsidRPr="00116C00">
        <w:rPr>
          <w:color w:val="000000"/>
          <w:sz w:val="24"/>
          <w:szCs w:val="24"/>
        </w:rPr>
        <w:t>muskarine</w:t>
      </w:r>
      <w:proofErr w:type="spellEnd"/>
      <w:r w:rsidR="00961187" w:rsidRPr="00116C00">
        <w:rPr>
          <w:color w:val="000000"/>
          <w:sz w:val="24"/>
          <w:szCs w:val="24"/>
        </w:rPr>
        <w:t xml:space="preserve"> og de </w:t>
      </w:r>
      <w:proofErr w:type="spellStart"/>
      <w:r w:rsidR="00961187" w:rsidRPr="00116C00">
        <w:rPr>
          <w:color w:val="000000"/>
          <w:sz w:val="24"/>
          <w:szCs w:val="24"/>
        </w:rPr>
        <w:t>adrenerge</w:t>
      </w:r>
      <w:proofErr w:type="spellEnd"/>
      <w:r w:rsidR="00961187" w:rsidRPr="00116C00">
        <w:rPr>
          <w:color w:val="000000"/>
          <w:sz w:val="24"/>
          <w:szCs w:val="24"/>
        </w:rPr>
        <w:t xml:space="preserve"> beta-2-receptorer i lungerne, så der sikres en større </w:t>
      </w:r>
      <w:proofErr w:type="spellStart"/>
      <w:r w:rsidR="00961187" w:rsidRPr="00116C00">
        <w:rPr>
          <w:color w:val="000000"/>
          <w:sz w:val="24"/>
          <w:szCs w:val="24"/>
        </w:rPr>
        <w:t>bronkodilatation</w:t>
      </w:r>
      <w:proofErr w:type="spellEnd"/>
      <w:r w:rsidR="00961187" w:rsidRPr="00116C00">
        <w:rPr>
          <w:color w:val="000000"/>
          <w:sz w:val="24"/>
          <w:szCs w:val="24"/>
        </w:rPr>
        <w:t xml:space="preserve"> end ved det enkelte stof hver for sig.</w:t>
      </w:r>
    </w:p>
    <w:p w14:paraId="33131CB0" w14:textId="77777777" w:rsidR="00961187" w:rsidRPr="00116C00" w:rsidRDefault="00961187" w:rsidP="00A41915">
      <w:pPr>
        <w:shd w:val="clear" w:color="auto" w:fill="FFFFFF"/>
        <w:ind w:left="851"/>
        <w:rPr>
          <w:color w:val="000000"/>
          <w:sz w:val="24"/>
          <w:szCs w:val="24"/>
          <w:lang w:eastAsia="en-GB"/>
        </w:rPr>
      </w:pPr>
    </w:p>
    <w:p w14:paraId="7F40501E" w14:textId="77777777" w:rsidR="00961187" w:rsidRPr="00116C00" w:rsidRDefault="00961187" w:rsidP="00A41915">
      <w:pPr>
        <w:shd w:val="clear" w:color="auto" w:fill="FFFFFF"/>
        <w:ind w:left="851"/>
        <w:rPr>
          <w:color w:val="000000"/>
          <w:sz w:val="24"/>
          <w:szCs w:val="24"/>
          <w:u w:val="single"/>
        </w:rPr>
      </w:pPr>
      <w:r w:rsidRPr="00116C00">
        <w:rPr>
          <w:color w:val="000000"/>
          <w:sz w:val="24"/>
          <w:szCs w:val="24"/>
          <w:u w:val="single"/>
        </w:rPr>
        <w:t>Pædiatrisk population</w:t>
      </w:r>
    </w:p>
    <w:p w14:paraId="614E9A57" w14:textId="77777777" w:rsidR="00961187" w:rsidRPr="00116C00" w:rsidRDefault="00961187" w:rsidP="00A41915">
      <w:pPr>
        <w:shd w:val="clear" w:color="auto" w:fill="FFFFFF"/>
        <w:ind w:left="851"/>
        <w:rPr>
          <w:color w:val="000000"/>
          <w:sz w:val="24"/>
          <w:szCs w:val="24"/>
          <w:lang w:eastAsia="en-GB"/>
        </w:rPr>
      </w:pPr>
    </w:p>
    <w:p w14:paraId="1F83D6CC" w14:textId="75326DB4" w:rsidR="00961187" w:rsidRPr="00116C00" w:rsidRDefault="003456A9" w:rsidP="00A41915">
      <w:pPr>
        <w:shd w:val="clear" w:color="auto" w:fill="FFFFFF"/>
        <w:ind w:left="851"/>
        <w:rPr>
          <w:sz w:val="24"/>
          <w:szCs w:val="24"/>
        </w:rPr>
      </w:pPr>
      <w:proofErr w:type="spellStart"/>
      <w:r>
        <w:rPr>
          <w:sz w:val="24"/>
          <w:szCs w:val="24"/>
        </w:rPr>
        <w:t>Ipratropiumbromid</w:t>
      </w:r>
      <w:proofErr w:type="spellEnd"/>
      <w:r>
        <w:rPr>
          <w:sz w:val="24"/>
          <w:szCs w:val="24"/>
        </w:rPr>
        <w:t>/</w:t>
      </w:r>
      <w:proofErr w:type="spellStart"/>
      <w:r>
        <w:rPr>
          <w:sz w:val="24"/>
          <w:szCs w:val="24"/>
        </w:rPr>
        <w:t>Salbutamol</w:t>
      </w:r>
      <w:proofErr w:type="spellEnd"/>
      <w:r>
        <w:rPr>
          <w:sz w:val="24"/>
          <w:szCs w:val="24"/>
        </w:rPr>
        <w:t xml:space="preserve"> "</w:t>
      </w:r>
      <w:proofErr w:type="spellStart"/>
      <w:r>
        <w:rPr>
          <w:sz w:val="24"/>
          <w:szCs w:val="24"/>
        </w:rPr>
        <w:t>Neutec</w:t>
      </w:r>
      <w:proofErr w:type="spellEnd"/>
      <w:r>
        <w:rPr>
          <w:sz w:val="24"/>
          <w:szCs w:val="24"/>
        </w:rPr>
        <w:t>"</w:t>
      </w:r>
      <w:r w:rsidR="00961187" w:rsidRPr="00116C00">
        <w:rPr>
          <w:color w:val="000000"/>
          <w:sz w:val="24"/>
          <w:szCs w:val="24"/>
        </w:rPr>
        <w:t xml:space="preserve"> er ikke undersøgt i den pædiatriske population (se pkt. 4.2).</w:t>
      </w:r>
    </w:p>
    <w:p w14:paraId="2FDBD294" w14:textId="77777777" w:rsidR="009260DE" w:rsidRPr="00116C00" w:rsidRDefault="009260DE" w:rsidP="009260DE">
      <w:pPr>
        <w:tabs>
          <w:tab w:val="left" w:pos="851"/>
        </w:tabs>
        <w:ind w:left="851"/>
        <w:rPr>
          <w:sz w:val="24"/>
          <w:szCs w:val="24"/>
        </w:rPr>
      </w:pPr>
    </w:p>
    <w:p w14:paraId="1F2A349C" w14:textId="77777777" w:rsidR="009260DE" w:rsidRPr="00116C00" w:rsidRDefault="009260DE" w:rsidP="009260DE">
      <w:pPr>
        <w:tabs>
          <w:tab w:val="left" w:pos="851"/>
        </w:tabs>
        <w:ind w:left="851" w:hanging="851"/>
        <w:rPr>
          <w:b/>
          <w:sz w:val="24"/>
          <w:szCs w:val="24"/>
        </w:rPr>
      </w:pPr>
      <w:r w:rsidRPr="00116C00">
        <w:rPr>
          <w:b/>
          <w:sz w:val="24"/>
          <w:szCs w:val="24"/>
        </w:rPr>
        <w:t>5.2</w:t>
      </w:r>
      <w:r w:rsidRPr="00116C00">
        <w:rPr>
          <w:b/>
          <w:sz w:val="24"/>
          <w:szCs w:val="24"/>
        </w:rPr>
        <w:tab/>
      </w:r>
      <w:proofErr w:type="spellStart"/>
      <w:r w:rsidRPr="00116C00">
        <w:rPr>
          <w:b/>
          <w:sz w:val="24"/>
          <w:szCs w:val="24"/>
        </w:rPr>
        <w:t>Farmakokinetiske</w:t>
      </w:r>
      <w:proofErr w:type="spellEnd"/>
      <w:r w:rsidRPr="00116C00">
        <w:rPr>
          <w:b/>
          <w:sz w:val="24"/>
          <w:szCs w:val="24"/>
        </w:rPr>
        <w:t xml:space="preserve"> egenskaber</w:t>
      </w:r>
    </w:p>
    <w:p w14:paraId="333CEFCF" w14:textId="77777777" w:rsidR="00961187" w:rsidRPr="00116C00" w:rsidRDefault="00961187" w:rsidP="00A41915">
      <w:pPr>
        <w:ind w:left="851"/>
        <w:rPr>
          <w:iCs/>
          <w:sz w:val="24"/>
          <w:szCs w:val="24"/>
        </w:rPr>
      </w:pPr>
      <w:r w:rsidRPr="00116C00">
        <w:rPr>
          <w:sz w:val="24"/>
          <w:szCs w:val="24"/>
        </w:rPr>
        <w:t>Den del af dosen, der deponeres i lungerne, kommer hurtigt ud i kredsløbet (inden for få minutter). Den del af dosen, der deponeres i svælget, synkes langsomt og passerer gennem fordøjelseskanalen. Den systemiske eksponering er derfor en funktion af både den orale biotilgængelighed og biotilgængeligheden via lungerne.</w:t>
      </w:r>
    </w:p>
    <w:p w14:paraId="43C8A97F" w14:textId="77777777" w:rsidR="00961187" w:rsidRPr="00116C00" w:rsidRDefault="00961187" w:rsidP="00A41915">
      <w:pPr>
        <w:ind w:left="851"/>
        <w:rPr>
          <w:color w:val="000000"/>
          <w:sz w:val="24"/>
          <w:szCs w:val="24"/>
          <w:lang w:eastAsia="en-GB"/>
        </w:rPr>
      </w:pPr>
    </w:p>
    <w:p w14:paraId="041B4A0D" w14:textId="77777777" w:rsidR="00961187" w:rsidRPr="003456A9" w:rsidRDefault="00961187" w:rsidP="00A41915">
      <w:pPr>
        <w:ind w:left="851"/>
        <w:rPr>
          <w:i/>
          <w:iCs/>
          <w:color w:val="000000"/>
          <w:sz w:val="24"/>
          <w:szCs w:val="24"/>
        </w:rPr>
      </w:pPr>
      <w:proofErr w:type="spellStart"/>
      <w:r w:rsidRPr="003456A9">
        <w:rPr>
          <w:i/>
          <w:color w:val="000000"/>
          <w:sz w:val="24"/>
          <w:szCs w:val="24"/>
        </w:rPr>
        <w:t>Ipratropium</w:t>
      </w:r>
      <w:proofErr w:type="spellEnd"/>
    </w:p>
    <w:p w14:paraId="25F49131" w14:textId="77777777" w:rsidR="00961187" w:rsidRPr="00116C00" w:rsidRDefault="00961187" w:rsidP="00A41915">
      <w:pPr>
        <w:ind w:left="851"/>
        <w:rPr>
          <w:color w:val="000000"/>
          <w:sz w:val="24"/>
          <w:szCs w:val="24"/>
          <w:u w:val="single"/>
          <w:lang w:eastAsia="en-GB"/>
        </w:rPr>
      </w:pPr>
    </w:p>
    <w:p w14:paraId="3272CEAE" w14:textId="77777777" w:rsidR="00961187" w:rsidRPr="00116C00" w:rsidRDefault="00961187" w:rsidP="00A41915">
      <w:pPr>
        <w:ind w:left="851"/>
        <w:rPr>
          <w:color w:val="000000"/>
          <w:sz w:val="24"/>
          <w:szCs w:val="24"/>
          <w:u w:val="single"/>
        </w:rPr>
      </w:pPr>
      <w:r w:rsidRPr="00116C00">
        <w:rPr>
          <w:color w:val="000000"/>
          <w:sz w:val="24"/>
          <w:szCs w:val="24"/>
          <w:u w:val="single"/>
        </w:rPr>
        <w:t>Absorption</w:t>
      </w:r>
    </w:p>
    <w:p w14:paraId="796FC6CB" w14:textId="77777777" w:rsidR="00961187" w:rsidRPr="00116C00" w:rsidRDefault="00961187" w:rsidP="00A41915">
      <w:pPr>
        <w:ind w:left="851"/>
        <w:rPr>
          <w:color w:val="000000"/>
          <w:sz w:val="24"/>
          <w:szCs w:val="24"/>
        </w:rPr>
      </w:pPr>
      <w:r w:rsidRPr="00116C00">
        <w:rPr>
          <w:sz w:val="24"/>
          <w:szCs w:val="24"/>
        </w:rPr>
        <w:t xml:space="preserve">Den kumulative udskillelse gennem nyrerne (0-24 timer) af </w:t>
      </w:r>
      <w:proofErr w:type="spellStart"/>
      <w:r w:rsidRPr="00116C00">
        <w:rPr>
          <w:sz w:val="24"/>
          <w:szCs w:val="24"/>
        </w:rPr>
        <w:t>ipratropium</w:t>
      </w:r>
      <w:proofErr w:type="spellEnd"/>
      <w:r w:rsidRPr="00116C00">
        <w:rPr>
          <w:sz w:val="24"/>
          <w:szCs w:val="24"/>
        </w:rPr>
        <w:t xml:space="preserve"> (moderstoffet) skønnes at være 46 % efter en intravenøst administreret dosis, under 1 % af en oral dosis og ca. 3-13 % af en inhaleret dosis. Baseret på disse data skønnes den samlede systemiske biotilgængelighed af orale og inhalerede doser af </w:t>
      </w:r>
      <w:proofErr w:type="spellStart"/>
      <w:r w:rsidRPr="00116C00">
        <w:rPr>
          <w:sz w:val="24"/>
          <w:szCs w:val="24"/>
        </w:rPr>
        <w:t>ipratropiumbromid</w:t>
      </w:r>
      <w:proofErr w:type="spellEnd"/>
      <w:r w:rsidRPr="00116C00">
        <w:rPr>
          <w:sz w:val="24"/>
          <w:szCs w:val="24"/>
        </w:rPr>
        <w:t xml:space="preserve"> at være hhv. 2 % og 7-28 %. Den orale andel af </w:t>
      </w:r>
      <w:proofErr w:type="spellStart"/>
      <w:r w:rsidRPr="00116C00">
        <w:rPr>
          <w:sz w:val="24"/>
          <w:szCs w:val="24"/>
        </w:rPr>
        <w:t>ipratropium</w:t>
      </w:r>
      <w:proofErr w:type="spellEnd"/>
      <w:r w:rsidRPr="00116C00">
        <w:rPr>
          <w:sz w:val="24"/>
          <w:szCs w:val="24"/>
        </w:rPr>
        <w:t>-dosen har således ikke stor betydning for den systemiske eksponering.</w:t>
      </w:r>
    </w:p>
    <w:p w14:paraId="502A54ED" w14:textId="77777777" w:rsidR="00961187" w:rsidRPr="00116C00" w:rsidRDefault="00961187" w:rsidP="00A41915">
      <w:pPr>
        <w:ind w:left="851"/>
        <w:rPr>
          <w:color w:val="000000"/>
          <w:sz w:val="24"/>
          <w:szCs w:val="24"/>
          <w:u w:val="single"/>
          <w:lang w:eastAsia="en-GB"/>
        </w:rPr>
      </w:pPr>
    </w:p>
    <w:p w14:paraId="0308F99E" w14:textId="77777777" w:rsidR="00961187" w:rsidRPr="00116C00" w:rsidRDefault="00961187" w:rsidP="00A41915">
      <w:pPr>
        <w:ind w:left="851"/>
        <w:rPr>
          <w:color w:val="000000"/>
          <w:sz w:val="24"/>
          <w:szCs w:val="24"/>
          <w:u w:val="single"/>
        </w:rPr>
      </w:pPr>
      <w:r w:rsidRPr="00116C00">
        <w:rPr>
          <w:color w:val="000000"/>
          <w:sz w:val="24"/>
          <w:szCs w:val="24"/>
          <w:u w:val="single"/>
        </w:rPr>
        <w:t>Fordeling</w:t>
      </w:r>
    </w:p>
    <w:p w14:paraId="0A5CDCFF" w14:textId="77777777" w:rsidR="00961187" w:rsidRPr="00116C00" w:rsidRDefault="00961187" w:rsidP="00A41915">
      <w:pPr>
        <w:ind w:left="851"/>
        <w:rPr>
          <w:color w:val="000000"/>
          <w:sz w:val="24"/>
          <w:szCs w:val="24"/>
        </w:rPr>
      </w:pPr>
      <w:r w:rsidRPr="00116C00">
        <w:rPr>
          <w:color w:val="000000"/>
          <w:sz w:val="24"/>
          <w:szCs w:val="24"/>
        </w:rPr>
        <w:t xml:space="preserve">De kinetiske parametre til beskrivelse af </w:t>
      </w:r>
      <w:proofErr w:type="spellStart"/>
      <w:r w:rsidRPr="00116C00">
        <w:rPr>
          <w:color w:val="000000"/>
          <w:sz w:val="24"/>
          <w:szCs w:val="24"/>
        </w:rPr>
        <w:t>ipratropiumbromids</w:t>
      </w:r>
      <w:proofErr w:type="spellEnd"/>
      <w:r w:rsidRPr="00116C00">
        <w:rPr>
          <w:color w:val="000000"/>
          <w:sz w:val="24"/>
          <w:szCs w:val="24"/>
        </w:rPr>
        <w:t xml:space="preserve"> fordeling er beregnet ud fra plasmakoncentrationen efter intravenøs administration. Der ses et hurtigt </w:t>
      </w:r>
      <w:proofErr w:type="spellStart"/>
      <w:r w:rsidRPr="00116C00">
        <w:rPr>
          <w:color w:val="000000"/>
          <w:sz w:val="24"/>
          <w:szCs w:val="24"/>
        </w:rPr>
        <w:t>bifasisk</w:t>
      </w:r>
      <w:proofErr w:type="spellEnd"/>
      <w:r w:rsidRPr="00116C00">
        <w:rPr>
          <w:color w:val="000000"/>
          <w:sz w:val="24"/>
          <w:szCs w:val="24"/>
        </w:rPr>
        <w:t xml:space="preserve"> fald i plasmakoncentrationen.</w:t>
      </w:r>
    </w:p>
    <w:p w14:paraId="2796D7C4" w14:textId="77777777" w:rsidR="00961187" w:rsidRPr="00116C00" w:rsidRDefault="00961187" w:rsidP="00A41915">
      <w:pPr>
        <w:ind w:left="851"/>
        <w:rPr>
          <w:color w:val="000000"/>
          <w:sz w:val="24"/>
          <w:szCs w:val="24"/>
          <w:lang w:eastAsia="en-GB"/>
        </w:rPr>
      </w:pPr>
    </w:p>
    <w:p w14:paraId="60E03C5B" w14:textId="77777777" w:rsidR="00961187" w:rsidRPr="00116C00" w:rsidRDefault="00961187" w:rsidP="00A41915">
      <w:pPr>
        <w:ind w:left="851"/>
        <w:rPr>
          <w:color w:val="000000"/>
          <w:sz w:val="24"/>
          <w:szCs w:val="24"/>
        </w:rPr>
      </w:pPr>
      <w:r w:rsidRPr="00116C00">
        <w:rPr>
          <w:color w:val="000000"/>
          <w:sz w:val="24"/>
          <w:szCs w:val="24"/>
        </w:rPr>
        <w:t xml:space="preserve">Det tilsyneladende fordelingsvolumen ved </w:t>
      </w:r>
      <w:proofErr w:type="spellStart"/>
      <w:r w:rsidRPr="00116C00">
        <w:rPr>
          <w:iCs/>
          <w:color w:val="000000"/>
          <w:sz w:val="24"/>
          <w:szCs w:val="24"/>
        </w:rPr>
        <w:t>steady</w:t>
      </w:r>
      <w:proofErr w:type="spellEnd"/>
      <w:r w:rsidRPr="00116C00">
        <w:rPr>
          <w:iCs/>
          <w:color w:val="000000"/>
          <w:sz w:val="24"/>
          <w:szCs w:val="24"/>
        </w:rPr>
        <w:t xml:space="preserve"> </w:t>
      </w:r>
      <w:proofErr w:type="spellStart"/>
      <w:r w:rsidRPr="00116C00">
        <w:rPr>
          <w:iCs/>
          <w:color w:val="000000"/>
          <w:sz w:val="24"/>
          <w:szCs w:val="24"/>
        </w:rPr>
        <w:t>state</w:t>
      </w:r>
      <w:proofErr w:type="spellEnd"/>
      <w:r w:rsidRPr="00116C00">
        <w:rPr>
          <w:color w:val="000000"/>
          <w:sz w:val="24"/>
          <w:szCs w:val="24"/>
        </w:rPr>
        <w:t xml:space="preserve"> (</w:t>
      </w:r>
      <w:proofErr w:type="spellStart"/>
      <w:r w:rsidRPr="00116C00">
        <w:rPr>
          <w:color w:val="000000"/>
          <w:sz w:val="24"/>
          <w:szCs w:val="24"/>
        </w:rPr>
        <w:t>Vdss</w:t>
      </w:r>
      <w:proofErr w:type="spellEnd"/>
      <w:r w:rsidRPr="00116C00">
        <w:rPr>
          <w:color w:val="000000"/>
          <w:sz w:val="24"/>
          <w:szCs w:val="24"/>
        </w:rPr>
        <w:t xml:space="preserve">) er ca. 176 l (≈ 2,4 l/kg). Det aktive stof er minimalt (under 20 %) bundet til plasmaproteiner. Non-kliniske data viser, at den kvaternære </w:t>
      </w:r>
      <w:proofErr w:type="spellStart"/>
      <w:r w:rsidRPr="00116C00">
        <w:rPr>
          <w:color w:val="000000"/>
          <w:sz w:val="24"/>
          <w:szCs w:val="24"/>
        </w:rPr>
        <w:t>amin</w:t>
      </w:r>
      <w:proofErr w:type="spellEnd"/>
      <w:r w:rsidRPr="00116C00">
        <w:rPr>
          <w:color w:val="000000"/>
          <w:sz w:val="24"/>
          <w:szCs w:val="24"/>
        </w:rPr>
        <w:t xml:space="preserve"> </w:t>
      </w:r>
      <w:proofErr w:type="spellStart"/>
      <w:r w:rsidRPr="00116C00">
        <w:rPr>
          <w:color w:val="000000"/>
          <w:sz w:val="24"/>
          <w:szCs w:val="24"/>
        </w:rPr>
        <w:t>ipratropium</w:t>
      </w:r>
      <w:proofErr w:type="spellEnd"/>
      <w:r w:rsidRPr="00116C00">
        <w:rPr>
          <w:color w:val="000000"/>
          <w:sz w:val="24"/>
          <w:szCs w:val="24"/>
        </w:rPr>
        <w:t xml:space="preserve"> ikke passerer blod-hjerne-barrieren.</w:t>
      </w:r>
    </w:p>
    <w:p w14:paraId="15784890" w14:textId="1E50B84D" w:rsidR="006D4893" w:rsidRDefault="006D4893">
      <w:pPr>
        <w:rPr>
          <w:color w:val="000000"/>
          <w:sz w:val="24"/>
          <w:szCs w:val="24"/>
          <w:u w:val="single"/>
          <w:lang w:eastAsia="en-GB"/>
        </w:rPr>
      </w:pPr>
      <w:r>
        <w:rPr>
          <w:color w:val="000000"/>
          <w:sz w:val="24"/>
          <w:szCs w:val="24"/>
          <w:u w:val="single"/>
          <w:lang w:eastAsia="en-GB"/>
        </w:rPr>
        <w:br w:type="page"/>
      </w:r>
    </w:p>
    <w:p w14:paraId="19BB337F" w14:textId="77777777" w:rsidR="00961187" w:rsidRPr="00116C00" w:rsidRDefault="00961187" w:rsidP="00A41915">
      <w:pPr>
        <w:ind w:left="851"/>
        <w:rPr>
          <w:color w:val="000000"/>
          <w:sz w:val="24"/>
          <w:szCs w:val="24"/>
          <w:u w:val="single"/>
          <w:lang w:eastAsia="en-GB"/>
        </w:rPr>
      </w:pPr>
    </w:p>
    <w:p w14:paraId="428481D9" w14:textId="77777777" w:rsidR="00961187" w:rsidRPr="00116C00" w:rsidRDefault="00961187" w:rsidP="00A41915">
      <w:pPr>
        <w:ind w:left="851"/>
        <w:rPr>
          <w:color w:val="000000"/>
          <w:sz w:val="24"/>
          <w:szCs w:val="24"/>
          <w:u w:val="single"/>
        </w:rPr>
      </w:pPr>
      <w:r w:rsidRPr="00116C00">
        <w:rPr>
          <w:color w:val="000000"/>
          <w:sz w:val="24"/>
          <w:szCs w:val="24"/>
          <w:u w:val="single"/>
        </w:rPr>
        <w:t>Biotransformation</w:t>
      </w:r>
    </w:p>
    <w:p w14:paraId="70762AE2" w14:textId="77777777" w:rsidR="00961187" w:rsidRPr="00116C00" w:rsidRDefault="00961187" w:rsidP="00A41915">
      <w:pPr>
        <w:ind w:left="851"/>
        <w:rPr>
          <w:color w:val="000000"/>
          <w:sz w:val="24"/>
          <w:szCs w:val="24"/>
        </w:rPr>
      </w:pPr>
      <w:r w:rsidRPr="00116C00">
        <w:rPr>
          <w:sz w:val="24"/>
          <w:szCs w:val="24"/>
        </w:rPr>
        <w:t xml:space="preserve">Efter intravenøs administration </w:t>
      </w:r>
      <w:proofErr w:type="spellStart"/>
      <w:r w:rsidRPr="00116C00">
        <w:rPr>
          <w:sz w:val="24"/>
          <w:szCs w:val="24"/>
        </w:rPr>
        <w:t>metaboliseres</w:t>
      </w:r>
      <w:proofErr w:type="spellEnd"/>
      <w:r w:rsidRPr="00116C00">
        <w:rPr>
          <w:sz w:val="24"/>
          <w:szCs w:val="24"/>
        </w:rPr>
        <w:t xml:space="preserve"> ca. 60</w:t>
      </w:r>
      <w:r w:rsidRPr="00116C00">
        <w:rPr>
          <w:color w:val="000000"/>
          <w:sz w:val="24"/>
          <w:szCs w:val="24"/>
        </w:rPr>
        <w:t> </w:t>
      </w:r>
      <w:r w:rsidRPr="00116C00">
        <w:rPr>
          <w:sz w:val="24"/>
          <w:szCs w:val="24"/>
        </w:rPr>
        <w:t xml:space="preserve">% af dosen, størstedelen formodentlig via oxidering i leveren. </w:t>
      </w:r>
      <w:r w:rsidRPr="00116C00">
        <w:rPr>
          <w:color w:val="000000"/>
          <w:sz w:val="24"/>
          <w:szCs w:val="24"/>
        </w:rPr>
        <w:t xml:space="preserve">Hovedmetabolitterne, der udskilles via urinen, binder i ringe grad til de </w:t>
      </w:r>
      <w:proofErr w:type="spellStart"/>
      <w:r w:rsidRPr="00116C00">
        <w:rPr>
          <w:color w:val="000000"/>
          <w:sz w:val="24"/>
          <w:szCs w:val="24"/>
        </w:rPr>
        <w:t>muskarine</w:t>
      </w:r>
      <w:proofErr w:type="spellEnd"/>
      <w:r w:rsidRPr="00116C00">
        <w:rPr>
          <w:color w:val="000000"/>
          <w:sz w:val="24"/>
          <w:szCs w:val="24"/>
        </w:rPr>
        <w:t xml:space="preserve"> receptorer og anses som uden virkning.</w:t>
      </w:r>
    </w:p>
    <w:p w14:paraId="00582421" w14:textId="77777777" w:rsidR="00961187" w:rsidRPr="00116C00" w:rsidRDefault="00961187" w:rsidP="00A41915">
      <w:pPr>
        <w:ind w:left="851"/>
        <w:rPr>
          <w:color w:val="000000"/>
          <w:sz w:val="24"/>
          <w:szCs w:val="24"/>
          <w:u w:val="single"/>
          <w:lang w:eastAsia="en-GB"/>
        </w:rPr>
      </w:pPr>
    </w:p>
    <w:p w14:paraId="506EBB90" w14:textId="77777777" w:rsidR="00961187" w:rsidRPr="00116C00" w:rsidRDefault="00961187" w:rsidP="00A41915">
      <w:pPr>
        <w:ind w:left="851"/>
        <w:rPr>
          <w:color w:val="000000"/>
          <w:sz w:val="24"/>
          <w:szCs w:val="24"/>
          <w:u w:val="single"/>
        </w:rPr>
      </w:pPr>
      <w:r w:rsidRPr="00116C00">
        <w:rPr>
          <w:color w:val="000000"/>
          <w:sz w:val="24"/>
          <w:szCs w:val="24"/>
          <w:u w:val="single"/>
        </w:rPr>
        <w:t>Elimination</w:t>
      </w:r>
    </w:p>
    <w:p w14:paraId="431E5848" w14:textId="77777777" w:rsidR="00961187" w:rsidRPr="00116C00" w:rsidRDefault="00961187" w:rsidP="00A41915">
      <w:pPr>
        <w:ind w:left="851"/>
        <w:rPr>
          <w:color w:val="000000"/>
          <w:sz w:val="24"/>
          <w:szCs w:val="24"/>
        </w:rPr>
      </w:pPr>
      <w:r w:rsidRPr="00116C00">
        <w:rPr>
          <w:sz w:val="24"/>
          <w:szCs w:val="24"/>
        </w:rPr>
        <w:t>Halveringstiden i den terminale eliminationsfase er ca. 1,6</w:t>
      </w:r>
      <w:r w:rsidRPr="00116C00">
        <w:rPr>
          <w:color w:val="000000"/>
          <w:sz w:val="24"/>
          <w:szCs w:val="24"/>
        </w:rPr>
        <w:t> </w:t>
      </w:r>
      <w:r w:rsidRPr="00116C00">
        <w:rPr>
          <w:sz w:val="24"/>
          <w:szCs w:val="24"/>
        </w:rPr>
        <w:t xml:space="preserve">timer. </w:t>
      </w:r>
      <w:proofErr w:type="spellStart"/>
      <w:r w:rsidRPr="00116C00">
        <w:rPr>
          <w:color w:val="000000"/>
          <w:sz w:val="24"/>
          <w:szCs w:val="24"/>
        </w:rPr>
        <w:t>Ipratropium</w:t>
      </w:r>
      <w:proofErr w:type="spellEnd"/>
      <w:r w:rsidRPr="00116C00">
        <w:rPr>
          <w:color w:val="000000"/>
          <w:sz w:val="24"/>
          <w:szCs w:val="24"/>
        </w:rPr>
        <w:t xml:space="preserve"> har en total </w:t>
      </w:r>
      <w:proofErr w:type="spellStart"/>
      <w:r w:rsidRPr="00116C00">
        <w:rPr>
          <w:color w:val="000000"/>
          <w:sz w:val="24"/>
          <w:szCs w:val="24"/>
        </w:rPr>
        <w:t>clearance</w:t>
      </w:r>
      <w:proofErr w:type="spellEnd"/>
      <w:r w:rsidRPr="00116C00">
        <w:rPr>
          <w:color w:val="000000"/>
          <w:sz w:val="24"/>
          <w:szCs w:val="24"/>
        </w:rPr>
        <w:t xml:space="preserve"> på 2,3 l/min og en </w:t>
      </w:r>
      <w:proofErr w:type="spellStart"/>
      <w:r w:rsidRPr="00116C00">
        <w:rPr>
          <w:color w:val="000000"/>
          <w:sz w:val="24"/>
          <w:szCs w:val="24"/>
        </w:rPr>
        <w:t>renal</w:t>
      </w:r>
      <w:proofErr w:type="spellEnd"/>
      <w:r w:rsidRPr="00116C00">
        <w:rPr>
          <w:color w:val="000000"/>
          <w:sz w:val="24"/>
          <w:szCs w:val="24"/>
        </w:rPr>
        <w:t xml:space="preserve"> </w:t>
      </w:r>
      <w:proofErr w:type="spellStart"/>
      <w:r w:rsidRPr="00116C00">
        <w:rPr>
          <w:color w:val="000000"/>
          <w:sz w:val="24"/>
          <w:szCs w:val="24"/>
        </w:rPr>
        <w:t>clearance</w:t>
      </w:r>
      <w:proofErr w:type="spellEnd"/>
      <w:r w:rsidRPr="00116C00">
        <w:rPr>
          <w:color w:val="000000"/>
          <w:sz w:val="24"/>
          <w:szCs w:val="24"/>
        </w:rPr>
        <w:t xml:space="preserve"> på 0,9 l/min. </w:t>
      </w:r>
      <w:r w:rsidRPr="00116C00">
        <w:rPr>
          <w:sz w:val="24"/>
          <w:szCs w:val="24"/>
        </w:rPr>
        <w:t>I en ligevægtsundersøgelse af udskillelsen (6 dage) var den lægemiddelrelaterede radioaktivitet (herunder moderstoffet og alle metabolitter) 72,1</w:t>
      </w:r>
      <w:r w:rsidRPr="00116C00">
        <w:rPr>
          <w:color w:val="000000"/>
          <w:sz w:val="24"/>
          <w:szCs w:val="24"/>
        </w:rPr>
        <w:t> </w:t>
      </w:r>
      <w:r w:rsidRPr="00116C00">
        <w:rPr>
          <w:sz w:val="24"/>
          <w:szCs w:val="24"/>
        </w:rPr>
        <w:t>% efter intravenøs administration, 9,3</w:t>
      </w:r>
      <w:r w:rsidRPr="00116C00">
        <w:rPr>
          <w:color w:val="000000"/>
          <w:sz w:val="24"/>
          <w:szCs w:val="24"/>
        </w:rPr>
        <w:t> </w:t>
      </w:r>
      <w:r w:rsidRPr="00116C00">
        <w:rPr>
          <w:sz w:val="24"/>
          <w:szCs w:val="24"/>
        </w:rPr>
        <w:t>% efter oral administration og 3,2</w:t>
      </w:r>
      <w:r w:rsidRPr="00116C00">
        <w:rPr>
          <w:color w:val="000000"/>
          <w:sz w:val="24"/>
          <w:szCs w:val="24"/>
        </w:rPr>
        <w:t> </w:t>
      </w:r>
      <w:r w:rsidRPr="00116C00">
        <w:rPr>
          <w:sz w:val="24"/>
          <w:szCs w:val="24"/>
        </w:rPr>
        <w:t>% efter inhalation.</w:t>
      </w:r>
    </w:p>
    <w:p w14:paraId="7E2DA9A1" w14:textId="77777777" w:rsidR="00961187" w:rsidRPr="00116C00" w:rsidRDefault="00961187" w:rsidP="00A41915">
      <w:pPr>
        <w:ind w:left="851"/>
        <w:rPr>
          <w:color w:val="000000"/>
          <w:sz w:val="24"/>
          <w:szCs w:val="24"/>
        </w:rPr>
      </w:pPr>
      <w:r w:rsidRPr="00116C00">
        <w:rPr>
          <w:color w:val="000000"/>
          <w:sz w:val="24"/>
          <w:szCs w:val="24"/>
        </w:rPr>
        <w:t xml:space="preserve">Den samlede radioaktivitet udskilt via fæces var 6,3 % </w:t>
      </w:r>
      <w:r w:rsidRPr="00116C00">
        <w:rPr>
          <w:sz w:val="24"/>
          <w:szCs w:val="24"/>
        </w:rPr>
        <w:t>efter intravenøs administration, 88,5</w:t>
      </w:r>
      <w:r w:rsidRPr="00116C00">
        <w:rPr>
          <w:color w:val="000000"/>
          <w:sz w:val="24"/>
          <w:szCs w:val="24"/>
        </w:rPr>
        <w:t> </w:t>
      </w:r>
      <w:r w:rsidRPr="00116C00">
        <w:rPr>
          <w:sz w:val="24"/>
          <w:szCs w:val="24"/>
        </w:rPr>
        <w:t>% efter oral administration og 69,4</w:t>
      </w:r>
      <w:r w:rsidRPr="00116C00">
        <w:rPr>
          <w:color w:val="000000"/>
          <w:sz w:val="24"/>
          <w:szCs w:val="24"/>
        </w:rPr>
        <w:t> </w:t>
      </w:r>
      <w:r w:rsidRPr="00116C00">
        <w:rPr>
          <w:sz w:val="24"/>
          <w:szCs w:val="24"/>
        </w:rPr>
        <w:t>% efter inhalation. Den primære udskillelsesvej for den lægemiddelrelaterede radioaktivitet efter intravenøs administration var via nyrerne</w:t>
      </w:r>
      <w:r w:rsidRPr="00116C00">
        <w:rPr>
          <w:color w:val="000000"/>
          <w:sz w:val="24"/>
          <w:szCs w:val="24"/>
        </w:rPr>
        <w:t xml:space="preserve">. Halveringstiden for eliminering af </w:t>
      </w:r>
      <w:r w:rsidRPr="00116C00">
        <w:rPr>
          <w:sz w:val="24"/>
          <w:szCs w:val="24"/>
        </w:rPr>
        <w:t>den lægemiddelrelaterede radioaktivitet (moderstof og metabolitter)</w:t>
      </w:r>
      <w:r w:rsidRPr="00116C00">
        <w:rPr>
          <w:color w:val="000000"/>
          <w:sz w:val="24"/>
          <w:szCs w:val="24"/>
        </w:rPr>
        <w:t xml:space="preserve"> efter inhalation er 3,6 timer.</w:t>
      </w:r>
    </w:p>
    <w:p w14:paraId="38D17FC6" w14:textId="77777777" w:rsidR="00961187" w:rsidRPr="00116C00" w:rsidRDefault="00961187" w:rsidP="00A41915">
      <w:pPr>
        <w:ind w:left="851"/>
        <w:rPr>
          <w:color w:val="000000"/>
          <w:sz w:val="24"/>
          <w:szCs w:val="24"/>
          <w:lang w:eastAsia="en-GB"/>
        </w:rPr>
      </w:pPr>
    </w:p>
    <w:p w14:paraId="581F9330" w14:textId="77777777" w:rsidR="00961187" w:rsidRPr="003456A9" w:rsidRDefault="00961187" w:rsidP="00A41915">
      <w:pPr>
        <w:ind w:left="851"/>
        <w:rPr>
          <w:i/>
          <w:iCs/>
          <w:color w:val="000000"/>
          <w:sz w:val="24"/>
          <w:szCs w:val="24"/>
        </w:rPr>
      </w:pPr>
      <w:proofErr w:type="spellStart"/>
      <w:r w:rsidRPr="003456A9">
        <w:rPr>
          <w:i/>
          <w:color w:val="000000"/>
          <w:sz w:val="24"/>
          <w:szCs w:val="24"/>
        </w:rPr>
        <w:t>Salbutamol</w:t>
      </w:r>
      <w:proofErr w:type="spellEnd"/>
    </w:p>
    <w:p w14:paraId="4E5E847C" w14:textId="77777777" w:rsidR="00961187" w:rsidRPr="00116C00" w:rsidRDefault="00961187" w:rsidP="00A41915">
      <w:pPr>
        <w:ind w:left="851"/>
        <w:rPr>
          <w:color w:val="000000"/>
          <w:sz w:val="24"/>
          <w:szCs w:val="24"/>
          <w:u w:val="single"/>
          <w:lang w:eastAsia="en-GB"/>
        </w:rPr>
      </w:pPr>
    </w:p>
    <w:p w14:paraId="1B0D600B" w14:textId="77777777" w:rsidR="00961187" w:rsidRPr="00116C00" w:rsidRDefault="00961187" w:rsidP="00A41915">
      <w:pPr>
        <w:ind w:left="851"/>
        <w:rPr>
          <w:color w:val="000000"/>
          <w:sz w:val="24"/>
          <w:szCs w:val="24"/>
          <w:u w:val="single"/>
        </w:rPr>
      </w:pPr>
      <w:r w:rsidRPr="00116C00">
        <w:rPr>
          <w:color w:val="000000"/>
          <w:sz w:val="24"/>
          <w:szCs w:val="24"/>
          <w:u w:val="single"/>
        </w:rPr>
        <w:t>Absorption og distribution</w:t>
      </w:r>
    </w:p>
    <w:p w14:paraId="6B2A350C" w14:textId="77777777" w:rsidR="00961187" w:rsidRPr="00116C00" w:rsidRDefault="00961187" w:rsidP="00A41915">
      <w:pPr>
        <w:ind w:left="851"/>
        <w:rPr>
          <w:color w:val="000000"/>
          <w:sz w:val="24"/>
          <w:szCs w:val="24"/>
        </w:rPr>
      </w:pPr>
      <w:proofErr w:type="spellStart"/>
      <w:r w:rsidRPr="00116C00">
        <w:rPr>
          <w:color w:val="000000"/>
          <w:sz w:val="24"/>
          <w:szCs w:val="24"/>
        </w:rPr>
        <w:t>Salbutamol</w:t>
      </w:r>
      <w:proofErr w:type="spellEnd"/>
      <w:r w:rsidRPr="00116C00">
        <w:rPr>
          <w:color w:val="000000"/>
          <w:sz w:val="24"/>
          <w:szCs w:val="24"/>
        </w:rPr>
        <w:t xml:space="preserve"> absorberes hurtigt og fuldstændigt efter inhalation eller oral administration og har en oral biotilgængelighed på ca. 50 %. Der ses en gennemsnitlig maksimal plasmakoncentration af </w:t>
      </w:r>
      <w:proofErr w:type="spellStart"/>
      <w:r w:rsidRPr="00116C00">
        <w:rPr>
          <w:color w:val="000000"/>
          <w:sz w:val="24"/>
          <w:szCs w:val="24"/>
        </w:rPr>
        <w:t>salbutamol</w:t>
      </w:r>
      <w:proofErr w:type="spellEnd"/>
      <w:r w:rsidRPr="00116C00">
        <w:rPr>
          <w:color w:val="000000"/>
          <w:sz w:val="24"/>
          <w:szCs w:val="24"/>
        </w:rPr>
        <w:t xml:space="preserve"> på 492 </w:t>
      </w:r>
      <w:proofErr w:type="spellStart"/>
      <w:r w:rsidRPr="00116C00">
        <w:rPr>
          <w:color w:val="000000"/>
          <w:sz w:val="24"/>
          <w:szCs w:val="24"/>
        </w:rPr>
        <w:t>pg</w:t>
      </w:r>
      <w:proofErr w:type="spellEnd"/>
      <w:r w:rsidRPr="00116C00">
        <w:rPr>
          <w:color w:val="000000"/>
          <w:sz w:val="24"/>
          <w:szCs w:val="24"/>
        </w:rPr>
        <w:t xml:space="preserve">/ml inden for tre timer efter inhalation af </w:t>
      </w:r>
      <w:proofErr w:type="spellStart"/>
      <w:r w:rsidRPr="00116C00">
        <w:rPr>
          <w:sz w:val="24"/>
          <w:szCs w:val="24"/>
        </w:rPr>
        <w:t>ipratropiumbromid</w:t>
      </w:r>
      <w:proofErr w:type="spellEnd"/>
      <w:r w:rsidRPr="00116C00">
        <w:rPr>
          <w:sz w:val="24"/>
          <w:szCs w:val="24"/>
        </w:rPr>
        <w:t>/</w:t>
      </w:r>
      <w:proofErr w:type="spellStart"/>
      <w:r w:rsidRPr="00116C00">
        <w:rPr>
          <w:sz w:val="24"/>
          <w:szCs w:val="24"/>
        </w:rPr>
        <w:t>salbutamol</w:t>
      </w:r>
      <w:proofErr w:type="spellEnd"/>
      <w:r w:rsidRPr="00116C00">
        <w:rPr>
          <w:sz w:val="24"/>
          <w:szCs w:val="24"/>
        </w:rPr>
        <w:t xml:space="preserve"> inhalationsvæske til </w:t>
      </w:r>
      <w:proofErr w:type="spellStart"/>
      <w:r w:rsidRPr="00116C00">
        <w:rPr>
          <w:sz w:val="24"/>
          <w:szCs w:val="24"/>
        </w:rPr>
        <w:t>nebulisator</w:t>
      </w:r>
      <w:proofErr w:type="spellEnd"/>
      <w:r w:rsidRPr="00116C00">
        <w:rPr>
          <w:sz w:val="24"/>
          <w:szCs w:val="24"/>
        </w:rPr>
        <w:t>, opløsning</w:t>
      </w:r>
      <w:r w:rsidRPr="00116C00">
        <w:rPr>
          <w:color w:val="000000"/>
          <w:sz w:val="24"/>
          <w:szCs w:val="24"/>
        </w:rPr>
        <w:t>.</w:t>
      </w:r>
    </w:p>
    <w:p w14:paraId="4D421042" w14:textId="77777777" w:rsidR="00961187" w:rsidRPr="00116C00" w:rsidRDefault="00961187" w:rsidP="00A41915">
      <w:pPr>
        <w:ind w:left="851"/>
        <w:rPr>
          <w:color w:val="000000"/>
          <w:sz w:val="24"/>
          <w:szCs w:val="24"/>
        </w:rPr>
      </w:pPr>
      <w:r w:rsidRPr="00116C00">
        <w:rPr>
          <w:color w:val="000000"/>
          <w:sz w:val="24"/>
          <w:szCs w:val="24"/>
        </w:rPr>
        <w:t xml:space="preserve">De </w:t>
      </w:r>
      <w:proofErr w:type="spellStart"/>
      <w:r w:rsidRPr="00116C00">
        <w:rPr>
          <w:color w:val="000000"/>
          <w:sz w:val="24"/>
          <w:szCs w:val="24"/>
        </w:rPr>
        <w:t>farmakokinetiske</w:t>
      </w:r>
      <w:proofErr w:type="spellEnd"/>
      <w:r w:rsidRPr="00116C00">
        <w:rPr>
          <w:color w:val="000000"/>
          <w:sz w:val="24"/>
          <w:szCs w:val="24"/>
        </w:rPr>
        <w:t xml:space="preserve"> parametre er beregnet ud fra plasmakoncentrationen efter intravenøs administration. Det tilsyneladende fordelingsvolumen (</w:t>
      </w:r>
      <w:proofErr w:type="spellStart"/>
      <w:r w:rsidRPr="00116C00">
        <w:rPr>
          <w:color w:val="000000"/>
          <w:sz w:val="24"/>
          <w:szCs w:val="24"/>
        </w:rPr>
        <w:t>Vz</w:t>
      </w:r>
      <w:proofErr w:type="spellEnd"/>
      <w:r w:rsidRPr="00116C00">
        <w:rPr>
          <w:color w:val="000000"/>
          <w:sz w:val="24"/>
          <w:szCs w:val="24"/>
        </w:rPr>
        <w:t xml:space="preserve">) er ca. 156 l (≈ 2,5 l/kg). Kun 8 % af det aktive stof er bundet til plasmaproteiner. I non-kliniske forsøg er ca. 5 % af plasmaniveauet af </w:t>
      </w:r>
      <w:proofErr w:type="spellStart"/>
      <w:r w:rsidRPr="00116C00">
        <w:rPr>
          <w:color w:val="000000"/>
          <w:sz w:val="24"/>
          <w:szCs w:val="24"/>
        </w:rPr>
        <w:t>salbutamol</w:t>
      </w:r>
      <w:proofErr w:type="spellEnd"/>
      <w:r w:rsidRPr="00116C00">
        <w:rPr>
          <w:color w:val="000000"/>
          <w:sz w:val="24"/>
          <w:szCs w:val="24"/>
        </w:rPr>
        <w:t xml:space="preserve"> fundet i hjernen. Denne mængde repræsenterer dog formodentlig stoffets fordeling i hjernens ekstracellulære væske.</w:t>
      </w:r>
    </w:p>
    <w:p w14:paraId="7A769A66" w14:textId="77777777" w:rsidR="00961187" w:rsidRPr="00116C00" w:rsidRDefault="00961187" w:rsidP="00A41915">
      <w:pPr>
        <w:ind w:left="851"/>
        <w:rPr>
          <w:color w:val="000000"/>
          <w:sz w:val="24"/>
          <w:szCs w:val="24"/>
          <w:lang w:eastAsia="en-GB"/>
        </w:rPr>
      </w:pPr>
    </w:p>
    <w:p w14:paraId="330E46DF" w14:textId="77777777" w:rsidR="00961187" w:rsidRPr="00116C00" w:rsidRDefault="00961187" w:rsidP="00A41915">
      <w:pPr>
        <w:ind w:left="851"/>
        <w:rPr>
          <w:color w:val="000000"/>
          <w:sz w:val="24"/>
          <w:szCs w:val="24"/>
        </w:rPr>
      </w:pPr>
      <w:r w:rsidRPr="00116C00">
        <w:rPr>
          <w:color w:val="000000"/>
          <w:sz w:val="24"/>
          <w:szCs w:val="24"/>
          <w:u w:val="single"/>
        </w:rPr>
        <w:t>Biotransformation og elimination</w:t>
      </w:r>
    </w:p>
    <w:p w14:paraId="45C1B0C1" w14:textId="77777777" w:rsidR="00961187" w:rsidRPr="00116C00" w:rsidRDefault="00961187" w:rsidP="00A41915">
      <w:pPr>
        <w:ind w:left="851"/>
        <w:rPr>
          <w:color w:val="000000"/>
          <w:sz w:val="24"/>
          <w:szCs w:val="24"/>
        </w:rPr>
      </w:pPr>
      <w:r w:rsidRPr="00116C00">
        <w:rPr>
          <w:color w:val="000000"/>
          <w:sz w:val="24"/>
          <w:szCs w:val="24"/>
        </w:rPr>
        <w:t xml:space="preserve">Efter én inhalation udskilles ca. 27 % af den skønnede mundstykkedosis </w:t>
      </w:r>
      <w:proofErr w:type="spellStart"/>
      <w:r w:rsidRPr="00116C00">
        <w:rPr>
          <w:color w:val="000000"/>
          <w:sz w:val="24"/>
          <w:szCs w:val="24"/>
        </w:rPr>
        <w:t>uomdannet</w:t>
      </w:r>
      <w:proofErr w:type="spellEnd"/>
      <w:r w:rsidRPr="00116C00">
        <w:rPr>
          <w:color w:val="000000"/>
          <w:sz w:val="24"/>
          <w:szCs w:val="24"/>
        </w:rPr>
        <w:t xml:space="preserve"> i urinen inden for 24 timer. Den gennemsnitlige terminale halveringstid er ca. 4 timer med en gennemsnitlig total </w:t>
      </w:r>
      <w:proofErr w:type="spellStart"/>
      <w:r w:rsidRPr="00116C00">
        <w:rPr>
          <w:color w:val="000000"/>
          <w:sz w:val="24"/>
          <w:szCs w:val="24"/>
        </w:rPr>
        <w:t>clearance</w:t>
      </w:r>
      <w:proofErr w:type="spellEnd"/>
      <w:r w:rsidRPr="00116C00">
        <w:rPr>
          <w:color w:val="000000"/>
          <w:sz w:val="24"/>
          <w:szCs w:val="24"/>
        </w:rPr>
        <w:t xml:space="preserve"> på 480 ml/min og en gennemsnitlig </w:t>
      </w:r>
      <w:proofErr w:type="spellStart"/>
      <w:r w:rsidRPr="00116C00">
        <w:rPr>
          <w:color w:val="000000"/>
          <w:sz w:val="24"/>
          <w:szCs w:val="24"/>
        </w:rPr>
        <w:t>renal</w:t>
      </w:r>
      <w:proofErr w:type="spellEnd"/>
      <w:r w:rsidRPr="00116C00">
        <w:rPr>
          <w:color w:val="000000"/>
          <w:sz w:val="24"/>
          <w:szCs w:val="24"/>
        </w:rPr>
        <w:t xml:space="preserve"> </w:t>
      </w:r>
      <w:proofErr w:type="spellStart"/>
      <w:r w:rsidRPr="00116C00">
        <w:rPr>
          <w:color w:val="000000"/>
          <w:sz w:val="24"/>
          <w:szCs w:val="24"/>
        </w:rPr>
        <w:t>clearance</w:t>
      </w:r>
      <w:proofErr w:type="spellEnd"/>
      <w:r w:rsidRPr="00116C00">
        <w:rPr>
          <w:color w:val="000000"/>
          <w:sz w:val="24"/>
          <w:szCs w:val="24"/>
        </w:rPr>
        <w:t xml:space="preserve"> på 291 ml/min.</w:t>
      </w:r>
    </w:p>
    <w:p w14:paraId="32A6AA7D" w14:textId="77777777" w:rsidR="00961187" w:rsidRPr="00116C00" w:rsidRDefault="00961187" w:rsidP="00A41915">
      <w:pPr>
        <w:ind w:left="851"/>
        <w:rPr>
          <w:color w:val="000000"/>
          <w:sz w:val="24"/>
          <w:szCs w:val="24"/>
          <w:lang w:eastAsia="en-GB"/>
        </w:rPr>
      </w:pPr>
    </w:p>
    <w:p w14:paraId="3EE7571A" w14:textId="77777777" w:rsidR="00961187" w:rsidRPr="00116C00" w:rsidRDefault="00961187" w:rsidP="00A41915">
      <w:pPr>
        <w:ind w:left="851"/>
        <w:rPr>
          <w:iCs/>
          <w:color w:val="000000"/>
          <w:sz w:val="24"/>
          <w:szCs w:val="24"/>
        </w:rPr>
      </w:pPr>
      <w:proofErr w:type="spellStart"/>
      <w:r w:rsidRPr="00116C00">
        <w:rPr>
          <w:color w:val="000000"/>
          <w:sz w:val="24"/>
          <w:szCs w:val="24"/>
        </w:rPr>
        <w:t>Salbutamol</w:t>
      </w:r>
      <w:proofErr w:type="spellEnd"/>
      <w:r w:rsidRPr="00116C00">
        <w:rPr>
          <w:color w:val="000000"/>
          <w:sz w:val="24"/>
          <w:szCs w:val="24"/>
        </w:rPr>
        <w:t xml:space="preserve"> </w:t>
      </w:r>
      <w:proofErr w:type="spellStart"/>
      <w:r w:rsidRPr="00116C00">
        <w:rPr>
          <w:color w:val="000000"/>
          <w:sz w:val="24"/>
          <w:szCs w:val="24"/>
        </w:rPr>
        <w:t>metaboliseres</w:t>
      </w:r>
      <w:proofErr w:type="spellEnd"/>
      <w:r w:rsidRPr="00116C00">
        <w:rPr>
          <w:color w:val="000000"/>
          <w:sz w:val="24"/>
          <w:szCs w:val="24"/>
        </w:rPr>
        <w:t xml:space="preserve"> ved </w:t>
      </w:r>
      <w:proofErr w:type="spellStart"/>
      <w:r w:rsidRPr="00116C00">
        <w:rPr>
          <w:color w:val="000000"/>
          <w:sz w:val="24"/>
          <w:szCs w:val="24"/>
        </w:rPr>
        <w:t>konjugering</w:t>
      </w:r>
      <w:proofErr w:type="spellEnd"/>
      <w:r w:rsidRPr="00116C00">
        <w:rPr>
          <w:color w:val="000000"/>
          <w:sz w:val="24"/>
          <w:szCs w:val="24"/>
        </w:rPr>
        <w:t xml:space="preserve"> til </w:t>
      </w:r>
      <w:proofErr w:type="spellStart"/>
      <w:r w:rsidRPr="00116C00">
        <w:rPr>
          <w:color w:val="000000"/>
          <w:sz w:val="24"/>
          <w:szCs w:val="24"/>
        </w:rPr>
        <w:t>salbutamol</w:t>
      </w:r>
      <w:proofErr w:type="spellEnd"/>
      <w:r w:rsidRPr="00116C00">
        <w:rPr>
          <w:color w:val="000000"/>
          <w:sz w:val="24"/>
          <w:szCs w:val="24"/>
        </w:rPr>
        <w:t xml:space="preserve"> 4'-O-sulfat. </w:t>
      </w:r>
      <w:proofErr w:type="spellStart"/>
      <w:r w:rsidRPr="00116C00">
        <w:rPr>
          <w:color w:val="000000"/>
          <w:sz w:val="24"/>
          <w:szCs w:val="24"/>
        </w:rPr>
        <w:t>Salbutamols</w:t>
      </w:r>
      <w:proofErr w:type="spellEnd"/>
      <w:r w:rsidRPr="00116C00">
        <w:rPr>
          <w:color w:val="000000"/>
          <w:sz w:val="24"/>
          <w:szCs w:val="24"/>
        </w:rPr>
        <w:t xml:space="preserve"> </w:t>
      </w:r>
      <w:proofErr w:type="gramStart"/>
      <w:r w:rsidRPr="00116C00">
        <w:rPr>
          <w:color w:val="000000"/>
          <w:sz w:val="24"/>
          <w:szCs w:val="24"/>
        </w:rPr>
        <w:t>R(</w:t>
      </w:r>
      <w:proofErr w:type="gramEnd"/>
      <w:r w:rsidRPr="00116C00">
        <w:rPr>
          <w:color w:val="000000"/>
          <w:sz w:val="24"/>
          <w:szCs w:val="24"/>
        </w:rPr>
        <w:t>-)-</w:t>
      </w:r>
      <w:proofErr w:type="spellStart"/>
      <w:r w:rsidRPr="00116C00">
        <w:rPr>
          <w:color w:val="000000"/>
          <w:sz w:val="24"/>
          <w:szCs w:val="24"/>
        </w:rPr>
        <w:t>enantiomer</w:t>
      </w:r>
      <w:proofErr w:type="spellEnd"/>
      <w:r w:rsidRPr="00116C00">
        <w:rPr>
          <w:color w:val="000000"/>
          <w:sz w:val="24"/>
          <w:szCs w:val="24"/>
        </w:rPr>
        <w:t xml:space="preserve"> (</w:t>
      </w:r>
      <w:proofErr w:type="spellStart"/>
      <w:r w:rsidRPr="00116C00">
        <w:rPr>
          <w:color w:val="000000"/>
          <w:sz w:val="24"/>
          <w:szCs w:val="24"/>
        </w:rPr>
        <w:t>levosalbutamol</w:t>
      </w:r>
      <w:proofErr w:type="spellEnd"/>
      <w:r w:rsidRPr="00116C00">
        <w:rPr>
          <w:color w:val="000000"/>
          <w:sz w:val="24"/>
          <w:szCs w:val="24"/>
        </w:rPr>
        <w:t xml:space="preserve">) </w:t>
      </w:r>
      <w:proofErr w:type="spellStart"/>
      <w:r w:rsidRPr="00116C00">
        <w:rPr>
          <w:color w:val="000000"/>
          <w:sz w:val="24"/>
          <w:szCs w:val="24"/>
        </w:rPr>
        <w:t>metaboliseres</w:t>
      </w:r>
      <w:proofErr w:type="spellEnd"/>
      <w:r w:rsidRPr="00116C00">
        <w:rPr>
          <w:color w:val="000000"/>
          <w:sz w:val="24"/>
          <w:szCs w:val="24"/>
        </w:rPr>
        <w:t xml:space="preserve"> præferentielt og elimineres derfor hurtigere fra kroppen end S(+)-</w:t>
      </w:r>
      <w:proofErr w:type="spellStart"/>
      <w:r w:rsidRPr="00116C00">
        <w:rPr>
          <w:color w:val="000000"/>
          <w:sz w:val="24"/>
          <w:szCs w:val="24"/>
        </w:rPr>
        <w:t>enantiomeren</w:t>
      </w:r>
      <w:proofErr w:type="spellEnd"/>
      <w:r w:rsidRPr="00116C00">
        <w:rPr>
          <w:color w:val="000000"/>
          <w:sz w:val="24"/>
          <w:szCs w:val="24"/>
        </w:rPr>
        <w:t xml:space="preserve">. </w:t>
      </w:r>
      <w:r w:rsidRPr="00116C00">
        <w:rPr>
          <w:sz w:val="24"/>
          <w:szCs w:val="24"/>
        </w:rPr>
        <w:t>Efter intravenøs administration var udskillelsen gennem urinen afviklet efter ca. 24</w:t>
      </w:r>
      <w:r w:rsidRPr="00116C00">
        <w:rPr>
          <w:color w:val="000000"/>
          <w:sz w:val="24"/>
          <w:szCs w:val="24"/>
        </w:rPr>
        <w:t> </w:t>
      </w:r>
      <w:r w:rsidRPr="00116C00">
        <w:rPr>
          <w:sz w:val="24"/>
          <w:szCs w:val="24"/>
        </w:rPr>
        <w:t>timer. Størstedelen af dosen blev udskilt som moderstof (64,2</w:t>
      </w:r>
      <w:r w:rsidRPr="00116C00">
        <w:rPr>
          <w:color w:val="000000"/>
          <w:sz w:val="24"/>
          <w:szCs w:val="24"/>
        </w:rPr>
        <w:t> </w:t>
      </w:r>
      <w:r w:rsidRPr="00116C00">
        <w:rPr>
          <w:sz w:val="24"/>
          <w:szCs w:val="24"/>
        </w:rPr>
        <w:t xml:space="preserve">%), og 12 % blev udskilt som </w:t>
      </w:r>
      <w:proofErr w:type="spellStart"/>
      <w:r w:rsidRPr="00116C00">
        <w:rPr>
          <w:sz w:val="24"/>
          <w:szCs w:val="24"/>
        </w:rPr>
        <w:t>sulfatkonjugat</w:t>
      </w:r>
      <w:proofErr w:type="spellEnd"/>
      <w:r w:rsidRPr="00116C00">
        <w:rPr>
          <w:sz w:val="24"/>
          <w:szCs w:val="24"/>
        </w:rPr>
        <w:t>.</w:t>
      </w:r>
      <w:r w:rsidRPr="00116C00">
        <w:rPr>
          <w:color w:val="000000"/>
          <w:sz w:val="24"/>
          <w:szCs w:val="24"/>
        </w:rPr>
        <w:t xml:space="preserve"> Efter oral administration var udskillelsen gennem urinen af </w:t>
      </w:r>
      <w:proofErr w:type="spellStart"/>
      <w:r w:rsidRPr="00116C00">
        <w:rPr>
          <w:color w:val="000000"/>
          <w:sz w:val="24"/>
          <w:szCs w:val="24"/>
        </w:rPr>
        <w:t>uomdannet</w:t>
      </w:r>
      <w:proofErr w:type="spellEnd"/>
      <w:r w:rsidRPr="00116C00">
        <w:rPr>
          <w:color w:val="000000"/>
          <w:sz w:val="24"/>
          <w:szCs w:val="24"/>
        </w:rPr>
        <w:t xml:space="preserve"> aktivt stof og </w:t>
      </w:r>
      <w:proofErr w:type="spellStart"/>
      <w:r w:rsidRPr="00116C00">
        <w:rPr>
          <w:color w:val="000000"/>
          <w:sz w:val="24"/>
          <w:szCs w:val="24"/>
        </w:rPr>
        <w:t>sulfatkonjugat</w:t>
      </w:r>
      <w:proofErr w:type="spellEnd"/>
      <w:r w:rsidRPr="00116C00">
        <w:rPr>
          <w:color w:val="000000"/>
          <w:sz w:val="24"/>
          <w:szCs w:val="24"/>
        </w:rPr>
        <w:t xml:space="preserve"> hhv. 31,8 % og 48,2 % af dosen.</w:t>
      </w:r>
    </w:p>
    <w:p w14:paraId="4180FAE3" w14:textId="77777777" w:rsidR="009260DE" w:rsidRPr="00116C00" w:rsidRDefault="009260DE" w:rsidP="009260DE">
      <w:pPr>
        <w:tabs>
          <w:tab w:val="left" w:pos="851"/>
        </w:tabs>
        <w:ind w:left="851"/>
        <w:rPr>
          <w:sz w:val="24"/>
          <w:szCs w:val="24"/>
        </w:rPr>
      </w:pPr>
    </w:p>
    <w:p w14:paraId="0C25AD29" w14:textId="77777777" w:rsidR="009260DE" w:rsidRPr="00116C00" w:rsidRDefault="009260DE" w:rsidP="009260DE">
      <w:pPr>
        <w:tabs>
          <w:tab w:val="left" w:pos="851"/>
        </w:tabs>
        <w:ind w:left="851" w:hanging="851"/>
        <w:rPr>
          <w:b/>
          <w:sz w:val="24"/>
          <w:szCs w:val="24"/>
        </w:rPr>
      </w:pPr>
      <w:r w:rsidRPr="00116C00">
        <w:rPr>
          <w:b/>
          <w:sz w:val="24"/>
          <w:szCs w:val="24"/>
        </w:rPr>
        <w:t>5.3</w:t>
      </w:r>
      <w:r w:rsidRPr="00116C00">
        <w:rPr>
          <w:b/>
          <w:sz w:val="24"/>
          <w:szCs w:val="24"/>
        </w:rPr>
        <w:tab/>
      </w:r>
      <w:r w:rsidR="00BD7931" w:rsidRPr="00116C00">
        <w:rPr>
          <w:b/>
          <w:sz w:val="24"/>
          <w:szCs w:val="24"/>
        </w:rPr>
        <w:t>Non-</w:t>
      </w:r>
      <w:r w:rsidRPr="00116C00">
        <w:rPr>
          <w:b/>
          <w:sz w:val="24"/>
          <w:szCs w:val="24"/>
        </w:rPr>
        <w:t>kliniske sikkerhedsdata</w:t>
      </w:r>
    </w:p>
    <w:p w14:paraId="4A4BFBEC" w14:textId="79E360A2" w:rsidR="00961187" w:rsidRPr="00116C00" w:rsidRDefault="00961187" w:rsidP="00A41915">
      <w:pPr>
        <w:ind w:left="851"/>
        <w:rPr>
          <w:iCs/>
          <w:sz w:val="24"/>
          <w:szCs w:val="24"/>
        </w:rPr>
      </w:pPr>
      <w:r w:rsidRPr="00116C00">
        <w:rPr>
          <w:sz w:val="24"/>
          <w:szCs w:val="24"/>
        </w:rPr>
        <w:t xml:space="preserve">Både </w:t>
      </w:r>
      <w:proofErr w:type="spellStart"/>
      <w:r w:rsidRPr="00116C00">
        <w:rPr>
          <w:sz w:val="24"/>
          <w:szCs w:val="24"/>
        </w:rPr>
        <w:t>ipratropiumbromid</w:t>
      </w:r>
      <w:proofErr w:type="spellEnd"/>
      <w:r w:rsidRPr="00116C00">
        <w:rPr>
          <w:sz w:val="24"/>
          <w:szCs w:val="24"/>
        </w:rPr>
        <w:t xml:space="preserve"> og </w:t>
      </w:r>
      <w:proofErr w:type="spellStart"/>
      <w:r w:rsidRPr="00116C00">
        <w:rPr>
          <w:sz w:val="24"/>
          <w:szCs w:val="24"/>
        </w:rPr>
        <w:t>salbutamolsulfat</w:t>
      </w:r>
      <w:proofErr w:type="spellEnd"/>
      <w:r w:rsidRPr="00116C00">
        <w:rPr>
          <w:sz w:val="24"/>
          <w:szCs w:val="24"/>
        </w:rPr>
        <w:t xml:space="preserve"> er testet omhyggeligt i dyremodeller, og der er ikke observeret nogen klinisk relevante sikkerhedsproblemer ved doser med relevans for </w:t>
      </w:r>
      <w:proofErr w:type="spellStart"/>
      <w:r w:rsidR="003456A9">
        <w:rPr>
          <w:sz w:val="24"/>
          <w:szCs w:val="24"/>
        </w:rPr>
        <w:t>Ipratropiumbromid</w:t>
      </w:r>
      <w:proofErr w:type="spellEnd"/>
      <w:r w:rsidR="003456A9">
        <w:rPr>
          <w:sz w:val="24"/>
          <w:szCs w:val="24"/>
        </w:rPr>
        <w:t>/</w:t>
      </w:r>
      <w:proofErr w:type="spellStart"/>
      <w:r w:rsidR="003456A9">
        <w:rPr>
          <w:sz w:val="24"/>
          <w:szCs w:val="24"/>
        </w:rPr>
        <w:t>Salbutamol</w:t>
      </w:r>
      <w:proofErr w:type="spellEnd"/>
      <w:r w:rsidR="003456A9">
        <w:rPr>
          <w:sz w:val="24"/>
          <w:szCs w:val="24"/>
        </w:rPr>
        <w:t xml:space="preserve"> "</w:t>
      </w:r>
      <w:proofErr w:type="spellStart"/>
      <w:r w:rsidR="003456A9">
        <w:rPr>
          <w:sz w:val="24"/>
          <w:szCs w:val="24"/>
        </w:rPr>
        <w:t>Neutec</w:t>
      </w:r>
      <w:proofErr w:type="spellEnd"/>
      <w:r w:rsidR="003456A9">
        <w:rPr>
          <w:sz w:val="24"/>
          <w:szCs w:val="24"/>
        </w:rPr>
        <w:t>"</w:t>
      </w:r>
      <w:r w:rsidRPr="00116C00">
        <w:rPr>
          <w:sz w:val="24"/>
          <w:szCs w:val="24"/>
        </w:rPr>
        <w:t>.</w:t>
      </w:r>
    </w:p>
    <w:p w14:paraId="600C7A47" w14:textId="77777777" w:rsidR="00961187" w:rsidRPr="00116C00" w:rsidRDefault="00961187" w:rsidP="00A41915">
      <w:pPr>
        <w:ind w:left="851"/>
        <w:rPr>
          <w:iCs/>
          <w:sz w:val="24"/>
          <w:szCs w:val="24"/>
        </w:rPr>
      </w:pPr>
    </w:p>
    <w:p w14:paraId="59BBE50F" w14:textId="77777777" w:rsidR="00961187" w:rsidRPr="00116C00" w:rsidRDefault="00961187" w:rsidP="00A41915">
      <w:pPr>
        <w:ind w:left="851"/>
        <w:rPr>
          <w:iCs/>
          <w:sz w:val="24"/>
          <w:szCs w:val="24"/>
        </w:rPr>
      </w:pPr>
      <w:r w:rsidRPr="00116C00">
        <w:rPr>
          <w:sz w:val="24"/>
          <w:szCs w:val="24"/>
        </w:rPr>
        <w:lastRenderedPageBreak/>
        <w:t xml:space="preserve">I dyreforsøg er der ikke set nogen embryotoksiske eller </w:t>
      </w:r>
      <w:proofErr w:type="spellStart"/>
      <w:r w:rsidRPr="00116C00">
        <w:rPr>
          <w:sz w:val="24"/>
          <w:szCs w:val="24"/>
        </w:rPr>
        <w:t>teratogene</w:t>
      </w:r>
      <w:proofErr w:type="spellEnd"/>
      <w:r w:rsidRPr="00116C00">
        <w:rPr>
          <w:sz w:val="24"/>
          <w:szCs w:val="24"/>
        </w:rPr>
        <w:t xml:space="preserve"> virkninger ved </w:t>
      </w:r>
      <w:proofErr w:type="spellStart"/>
      <w:r w:rsidRPr="00116C00">
        <w:rPr>
          <w:sz w:val="24"/>
          <w:szCs w:val="24"/>
        </w:rPr>
        <w:t>ipratropiumbromid</w:t>
      </w:r>
      <w:proofErr w:type="spellEnd"/>
      <w:r w:rsidRPr="00116C00">
        <w:rPr>
          <w:sz w:val="24"/>
          <w:szCs w:val="24"/>
        </w:rPr>
        <w:t xml:space="preserve"> efter inhalation eller intranasal administration ved langt højere doser end de anbefalede.</w:t>
      </w:r>
    </w:p>
    <w:p w14:paraId="184F668A" w14:textId="77777777" w:rsidR="00961187" w:rsidRPr="00116C00" w:rsidRDefault="00961187" w:rsidP="00A41915">
      <w:pPr>
        <w:ind w:left="851"/>
        <w:rPr>
          <w:iCs/>
          <w:sz w:val="24"/>
          <w:szCs w:val="24"/>
        </w:rPr>
      </w:pPr>
    </w:p>
    <w:p w14:paraId="391D79CD" w14:textId="77777777" w:rsidR="00961187" w:rsidRPr="00116C00" w:rsidRDefault="00961187" w:rsidP="00A41915">
      <w:pPr>
        <w:ind w:left="851"/>
        <w:rPr>
          <w:iCs/>
          <w:sz w:val="24"/>
          <w:szCs w:val="24"/>
        </w:rPr>
      </w:pPr>
      <w:r w:rsidRPr="00116C00">
        <w:rPr>
          <w:sz w:val="24"/>
          <w:szCs w:val="24"/>
        </w:rPr>
        <w:t xml:space="preserve">Dyreforsøg med ikkeinhaleret </w:t>
      </w:r>
      <w:proofErr w:type="spellStart"/>
      <w:r w:rsidRPr="00116C00">
        <w:rPr>
          <w:sz w:val="24"/>
          <w:szCs w:val="24"/>
        </w:rPr>
        <w:t>salbutamolsulfat</w:t>
      </w:r>
      <w:proofErr w:type="spellEnd"/>
      <w:r w:rsidRPr="00116C00">
        <w:rPr>
          <w:sz w:val="24"/>
          <w:szCs w:val="24"/>
        </w:rPr>
        <w:t xml:space="preserve"> viste ingen direkte eller indirekte skadelige virkninger på den </w:t>
      </w:r>
      <w:proofErr w:type="spellStart"/>
      <w:r w:rsidRPr="00116C00">
        <w:rPr>
          <w:sz w:val="24"/>
          <w:szCs w:val="24"/>
        </w:rPr>
        <w:t>embryoføtale</w:t>
      </w:r>
      <w:proofErr w:type="spellEnd"/>
      <w:r w:rsidRPr="00116C00">
        <w:rPr>
          <w:sz w:val="24"/>
          <w:szCs w:val="24"/>
        </w:rPr>
        <w:t xml:space="preserve"> udvikling, forudsat at den anbefalede inhalerede maksimumdosis til mennesker ikke blev overskredet.</w:t>
      </w:r>
    </w:p>
    <w:p w14:paraId="2B3A30B6" w14:textId="77777777" w:rsidR="009260DE" w:rsidRPr="00116C00" w:rsidRDefault="009260DE" w:rsidP="009260DE">
      <w:pPr>
        <w:tabs>
          <w:tab w:val="left" w:pos="851"/>
        </w:tabs>
        <w:ind w:left="851"/>
        <w:rPr>
          <w:sz w:val="24"/>
          <w:szCs w:val="24"/>
        </w:rPr>
      </w:pPr>
    </w:p>
    <w:p w14:paraId="726B749B" w14:textId="77777777" w:rsidR="009260DE" w:rsidRPr="00116C00" w:rsidRDefault="009260DE" w:rsidP="009260DE">
      <w:pPr>
        <w:tabs>
          <w:tab w:val="left" w:pos="851"/>
        </w:tabs>
        <w:ind w:left="851"/>
        <w:rPr>
          <w:sz w:val="24"/>
          <w:szCs w:val="24"/>
        </w:rPr>
      </w:pPr>
    </w:p>
    <w:p w14:paraId="1F654AE2" w14:textId="77777777" w:rsidR="009260DE" w:rsidRPr="00116C00" w:rsidRDefault="009260DE" w:rsidP="009260DE">
      <w:pPr>
        <w:tabs>
          <w:tab w:val="left" w:pos="851"/>
        </w:tabs>
        <w:ind w:left="851" w:hanging="851"/>
        <w:rPr>
          <w:b/>
          <w:sz w:val="24"/>
          <w:szCs w:val="24"/>
        </w:rPr>
      </w:pPr>
      <w:r w:rsidRPr="00116C00">
        <w:rPr>
          <w:b/>
          <w:sz w:val="24"/>
          <w:szCs w:val="24"/>
        </w:rPr>
        <w:t>6.</w:t>
      </w:r>
      <w:r w:rsidRPr="00116C00">
        <w:rPr>
          <w:b/>
          <w:sz w:val="24"/>
          <w:szCs w:val="24"/>
        </w:rPr>
        <w:tab/>
        <w:t>FARMACEUTISKE OPLYSNINGER</w:t>
      </w:r>
    </w:p>
    <w:p w14:paraId="0BF67B39" w14:textId="77777777" w:rsidR="009260DE" w:rsidRPr="00116C00" w:rsidRDefault="009260DE" w:rsidP="009260DE">
      <w:pPr>
        <w:tabs>
          <w:tab w:val="left" w:pos="851"/>
        </w:tabs>
        <w:ind w:left="851"/>
        <w:rPr>
          <w:sz w:val="24"/>
          <w:szCs w:val="24"/>
        </w:rPr>
      </w:pPr>
    </w:p>
    <w:p w14:paraId="09E1F940" w14:textId="77777777" w:rsidR="009260DE" w:rsidRPr="00116C00" w:rsidRDefault="009260DE" w:rsidP="009260DE">
      <w:pPr>
        <w:tabs>
          <w:tab w:val="left" w:pos="851"/>
        </w:tabs>
        <w:ind w:left="851" w:hanging="851"/>
        <w:rPr>
          <w:b/>
          <w:sz w:val="24"/>
          <w:szCs w:val="24"/>
        </w:rPr>
      </w:pPr>
      <w:r w:rsidRPr="00116C00">
        <w:rPr>
          <w:b/>
          <w:sz w:val="24"/>
          <w:szCs w:val="24"/>
        </w:rPr>
        <w:t>6.1</w:t>
      </w:r>
      <w:r w:rsidRPr="00116C00">
        <w:rPr>
          <w:b/>
          <w:sz w:val="24"/>
          <w:szCs w:val="24"/>
        </w:rPr>
        <w:tab/>
        <w:t>Hjælpestoffer</w:t>
      </w:r>
    </w:p>
    <w:p w14:paraId="26DA177B" w14:textId="77777777" w:rsidR="00961187" w:rsidRPr="00116C00" w:rsidRDefault="00961187" w:rsidP="00A41915">
      <w:pPr>
        <w:shd w:val="clear" w:color="auto" w:fill="FFFFFF"/>
        <w:ind w:left="851"/>
        <w:rPr>
          <w:color w:val="000000"/>
          <w:sz w:val="24"/>
          <w:szCs w:val="24"/>
        </w:rPr>
      </w:pPr>
      <w:proofErr w:type="spellStart"/>
      <w:r w:rsidRPr="00116C00">
        <w:rPr>
          <w:color w:val="000000"/>
          <w:sz w:val="24"/>
          <w:szCs w:val="24"/>
        </w:rPr>
        <w:t>Natriumchlorid</w:t>
      </w:r>
      <w:proofErr w:type="spellEnd"/>
    </w:p>
    <w:p w14:paraId="17C39F54" w14:textId="77777777" w:rsidR="00961187" w:rsidRPr="00116C00" w:rsidRDefault="00961187" w:rsidP="00A41915">
      <w:pPr>
        <w:shd w:val="clear" w:color="auto" w:fill="FFFFFF"/>
        <w:ind w:left="851"/>
        <w:rPr>
          <w:color w:val="000000"/>
          <w:sz w:val="24"/>
          <w:szCs w:val="24"/>
        </w:rPr>
      </w:pPr>
      <w:r w:rsidRPr="00116C00">
        <w:rPr>
          <w:color w:val="000000"/>
          <w:sz w:val="24"/>
          <w:szCs w:val="24"/>
        </w:rPr>
        <w:t>Saltsyre 1 N (til pH-justering)</w:t>
      </w:r>
    </w:p>
    <w:p w14:paraId="46C42498" w14:textId="77777777" w:rsidR="00961187" w:rsidRPr="00116C00" w:rsidRDefault="00961187" w:rsidP="00A41915">
      <w:pPr>
        <w:shd w:val="clear" w:color="auto" w:fill="FFFFFF"/>
        <w:ind w:left="851"/>
        <w:rPr>
          <w:color w:val="000000"/>
          <w:sz w:val="24"/>
          <w:szCs w:val="24"/>
        </w:rPr>
      </w:pPr>
      <w:r w:rsidRPr="00116C00">
        <w:rPr>
          <w:color w:val="000000"/>
          <w:sz w:val="24"/>
          <w:szCs w:val="24"/>
        </w:rPr>
        <w:t>Vand til injektionsvæsker</w:t>
      </w:r>
    </w:p>
    <w:p w14:paraId="1FAD122D" w14:textId="77777777" w:rsidR="009260DE" w:rsidRPr="00116C00" w:rsidRDefault="009260DE" w:rsidP="009260DE">
      <w:pPr>
        <w:tabs>
          <w:tab w:val="left" w:pos="851"/>
        </w:tabs>
        <w:ind w:left="851"/>
        <w:rPr>
          <w:sz w:val="24"/>
          <w:szCs w:val="24"/>
        </w:rPr>
      </w:pPr>
    </w:p>
    <w:p w14:paraId="4D9F062A" w14:textId="77777777" w:rsidR="009260DE" w:rsidRPr="00116C00" w:rsidRDefault="009260DE" w:rsidP="009260DE">
      <w:pPr>
        <w:tabs>
          <w:tab w:val="left" w:pos="851"/>
        </w:tabs>
        <w:ind w:left="851" w:hanging="851"/>
        <w:rPr>
          <w:b/>
          <w:sz w:val="24"/>
          <w:szCs w:val="24"/>
        </w:rPr>
      </w:pPr>
      <w:r w:rsidRPr="00116C00">
        <w:rPr>
          <w:b/>
          <w:sz w:val="24"/>
          <w:szCs w:val="24"/>
        </w:rPr>
        <w:t>6.2</w:t>
      </w:r>
      <w:r w:rsidRPr="00116C00">
        <w:rPr>
          <w:b/>
          <w:sz w:val="24"/>
          <w:szCs w:val="24"/>
        </w:rPr>
        <w:tab/>
        <w:t>Uforligeligheder</w:t>
      </w:r>
    </w:p>
    <w:p w14:paraId="218AD9DB" w14:textId="77777777" w:rsidR="00961187" w:rsidRPr="00116C00" w:rsidRDefault="00961187" w:rsidP="00A41915">
      <w:pPr>
        <w:ind w:left="851"/>
        <w:rPr>
          <w:sz w:val="24"/>
          <w:szCs w:val="24"/>
        </w:rPr>
      </w:pPr>
      <w:r w:rsidRPr="00116C00">
        <w:rPr>
          <w:sz w:val="24"/>
          <w:szCs w:val="24"/>
        </w:rPr>
        <w:t>Ikke relevant.</w:t>
      </w:r>
    </w:p>
    <w:p w14:paraId="1AF52175" w14:textId="77777777" w:rsidR="009260DE" w:rsidRPr="00116C00" w:rsidRDefault="009260DE" w:rsidP="009260DE">
      <w:pPr>
        <w:tabs>
          <w:tab w:val="left" w:pos="851"/>
        </w:tabs>
        <w:ind w:left="851"/>
        <w:rPr>
          <w:sz w:val="24"/>
          <w:szCs w:val="24"/>
        </w:rPr>
      </w:pPr>
    </w:p>
    <w:p w14:paraId="49113AB4" w14:textId="77777777" w:rsidR="009260DE" w:rsidRPr="00116C00" w:rsidRDefault="009260DE" w:rsidP="009260DE">
      <w:pPr>
        <w:tabs>
          <w:tab w:val="left" w:pos="851"/>
        </w:tabs>
        <w:ind w:left="851" w:hanging="851"/>
        <w:rPr>
          <w:b/>
          <w:sz w:val="24"/>
          <w:szCs w:val="24"/>
        </w:rPr>
      </w:pPr>
      <w:r w:rsidRPr="00116C00">
        <w:rPr>
          <w:b/>
          <w:sz w:val="24"/>
          <w:szCs w:val="24"/>
        </w:rPr>
        <w:t>6.3</w:t>
      </w:r>
      <w:r w:rsidRPr="00116C00">
        <w:rPr>
          <w:b/>
          <w:sz w:val="24"/>
          <w:szCs w:val="24"/>
        </w:rPr>
        <w:tab/>
        <w:t>Opbevaringstid</w:t>
      </w:r>
    </w:p>
    <w:p w14:paraId="5EA961BC" w14:textId="50683C08" w:rsidR="00961187" w:rsidRPr="00116C00" w:rsidRDefault="00961187" w:rsidP="00A41915">
      <w:pPr>
        <w:ind w:left="851"/>
        <w:rPr>
          <w:sz w:val="24"/>
          <w:szCs w:val="24"/>
        </w:rPr>
      </w:pPr>
      <w:r w:rsidRPr="00116C00">
        <w:rPr>
          <w:sz w:val="24"/>
          <w:szCs w:val="24"/>
        </w:rPr>
        <w:t>2 år.</w:t>
      </w:r>
    </w:p>
    <w:p w14:paraId="3E041C6F" w14:textId="77777777" w:rsidR="009260DE" w:rsidRPr="00116C00" w:rsidRDefault="009260DE" w:rsidP="009260DE">
      <w:pPr>
        <w:tabs>
          <w:tab w:val="left" w:pos="851"/>
        </w:tabs>
        <w:ind w:left="851"/>
        <w:rPr>
          <w:sz w:val="24"/>
          <w:szCs w:val="24"/>
        </w:rPr>
      </w:pPr>
    </w:p>
    <w:p w14:paraId="3EC3A52B" w14:textId="77777777" w:rsidR="009260DE" w:rsidRPr="00116C00" w:rsidRDefault="009260DE" w:rsidP="009260DE">
      <w:pPr>
        <w:tabs>
          <w:tab w:val="left" w:pos="851"/>
        </w:tabs>
        <w:ind w:left="851" w:hanging="851"/>
        <w:rPr>
          <w:b/>
          <w:sz w:val="24"/>
          <w:szCs w:val="24"/>
        </w:rPr>
      </w:pPr>
      <w:r w:rsidRPr="00116C00">
        <w:rPr>
          <w:b/>
          <w:sz w:val="24"/>
          <w:szCs w:val="24"/>
        </w:rPr>
        <w:t>6.4</w:t>
      </w:r>
      <w:r w:rsidRPr="00116C00">
        <w:rPr>
          <w:b/>
          <w:sz w:val="24"/>
          <w:szCs w:val="24"/>
        </w:rPr>
        <w:tab/>
        <w:t>Særlige opbevaringsforhold</w:t>
      </w:r>
    </w:p>
    <w:p w14:paraId="18A8B2DE" w14:textId="77777777" w:rsidR="00961187" w:rsidRPr="00116C00" w:rsidRDefault="00961187" w:rsidP="00A41915">
      <w:pPr>
        <w:shd w:val="clear" w:color="auto" w:fill="FFFFFF"/>
        <w:ind w:left="851"/>
        <w:rPr>
          <w:sz w:val="24"/>
          <w:szCs w:val="24"/>
        </w:rPr>
      </w:pPr>
      <w:r w:rsidRPr="00116C00">
        <w:rPr>
          <w:sz w:val="24"/>
          <w:szCs w:val="24"/>
        </w:rPr>
        <w:t>Opbevar enkeltdosisbeholderne i den ydre pose og æsken for at beskytte mod lys og fugt.</w:t>
      </w:r>
    </w:p>
    <w:p w14:paraId="1AE2A92C" w14:textId="77777777" w:rsidR="00961187" w:rsidRPr="00116C00" w:rsidRDefault="00961187" w:rsidP="00A41915">
      <w:pPr>
        <w:shd w:val="clear" w:color="auto" w:fill="FFFFFF"/>
        <w:ind w:left="851"/>
        <w:rPr>
          <w:sz w:val="24"/>
          <w:szCs w:val="24"/>
        </w:rPr>
      </w:pPr>
    </w:p>
    <w:p w14:paraId="0480AB25" w14:textId="77777777" w:rsidR="00961187" w:rsidRPr="00116C00" w:rsidRDefault="00961187" w:rsidP="00A41915">
      <w:pPr>
        <w:shd w:val="clear" w:color="auto" w:fill="FFFFFF"/>
        <w:ind w:left="851"/>
        <w:rPr>
          <w:sz w:val="24"/>
          <w:szCs w:val="24"/>
        </w:rPr>
      </w:pPr>
      <w:r w:rsidRPr="00116C00">
        <w:rPr>
          <w:sz w:val="24"/>
          <w:szCs w:val="24"/>
        </w:rPr>
        <w:t>Må ikke anvendes, hvis opløsningen er misfarvet.</w:t>
      </w:r>
    </w:p>
    <w:p w14:paraId="1EF00C3A" w14:textId="77777777" w:rsidR="009260DE" w:rsidRPr="00116C00" w:rsidRDefault="009260DE" w:rsidP="009260DE">
      <w:pPr>
        <w:tabs>
          <w:tab w:val="left" w:pos="851"/>
        </w:tabs>
        <w:ind w:left="851"/>
        <w:rPr>
          <w:sz w:val="24"/>
          <w:szCs w:val="24"/>
        </w:rPr>
      </w:pPr>
    </w:p>
    <w:p w14:paraId="7A11CC62" w14:textId="77777777" w:rsidR="009260DE" w:rsidRPr="00116C00" w:rsidRDefault="009260DE" w:rsidP="009260DE">
      <w:pPr>
        <w:tabs>
          <w:tab w:val="left" w:pos="851"/>
        </w:tabs>
        <w:ind w:left="851" w:hanging="851"/>
        <w:rPr>
          <w:b/>
          <w:sz w:val="24"/>
          <w:szCs w:val="24"/>
        </w:rPr>
      </w:pPr>
      <w:r w:rsidRPr="00116C00">
        <w:rPr>
          <w:b/>
          <w:sz w:val="24"/>
          <w:szCs w:val="24"/>
        </w:rPr>
        <w:t>6.5</w:t>
      </w:r>
      <w:r w:rsidRPr="00116C00">
        <w:rPr>
          <w:b/>
          <w:sz w:val="24"/>
          <w:szCs w:val="24"/>
        </w:rPr>
        <w:tab/>
        <w:t>Emballagetype og pakningsstørrelser</w:t>
      </w:r>
    </w:p>
    <w:p w14:paraId="2173AD96" w14:textId="77777777" w:rsidR="00961187" w:rsidRPr="00116C00" w:rsidRDefault="00961187" w:rsidP="00A41915">
      <w:pPr>
        <w:shd w:val="clear" w:color="auto" w:fill="FFFFFF"/>
        <w:ind w:left="851"/>
        <w:rPr>
          <w:sz w:val="24"/>
          <w:szCs w:val="24"/>
        </w:rPr>
      </w:pPr>
      <w:r w:rsidRPr="00116C00">
        <w:rPr>
          <w:sz w:val="24"/>
          <w:szCs w:val="24"/>
        </w:rPr>
        <w:t xml:space="preserve">Enkeltdosisbeholdere af </w:t>
      </w:r>
      <w:proofErr w:type="spellStart"/>
      <w:r w:rsidRPr="00116C00">
        <w:rPr>
          <w:sz w:val="24"/>
          <w:szCs w:val="24"/>
        </w:rPr>
        <w:t>polyethylen</w:t>
      </w:r>
      <w:proofErr w:type="spellEnd"/>
      <w:r w:rsidRPr="00116C00">
        <w:rPr>
          <w:sz w:val="24"/>
          <w:szCs w:val="24"/>
        </w:rPr>
        <w:t>, der indeholder 2,5 ml opløsning.</w:t>
      </w:r>
    </w:p>
    <w:p w14:paraId="6DD71248" w14:textId="77777777" w:rsidR="00961187" w:rsidRPr="00116C00" w:rsidRDefault="00961187" w:rsidP="00A41915">
      <w:pPr>
        <w:shd w:val="clear" w:color="auto" w:fill="FFFFFF"/>
        <w:ind w:left="851"/>
        <w:rPr>
          <w:sz w:val="24"/>
          <w:szCs w:val="24"/>
        </w:rPr>
      </w:pPr>
    </w:p>
    <w:p w14:paraId="6EE5363C" w14:textId="77777777" w:rsidR="00961187" w:rsidRPr="00116C00" w:rsidRDefault="00961187" w:rsidP="00A41915">
      <w:pPr>
        <w:shd w:val="clear" w:color="auto" w:fill="FFFFFF"/>
        <w:ind w:left="851"/>
        <w:rPr>
          <w:sz w:val="24"/>
          <w:szCs w:val="24"/>
        </w:rPr>
      </w:pPr>
      <w:r w:rsidRPr="00116C00">
        <w:rPr>
          <w:sz w:val="24"/>
          <w:szCs w:val="24"/>
        </w:rPr>
        <w:t xml:space="preserve">Fem enkeltdosisbeholdere af </w:t>
      </w:r>
      <w:proofErr w:type="spellStart"/>
      <w:r w:rsidRPr="00116C00">
        <w:rPr>
          <w:sz w:val="24"/>
          <w:szCs w:val="24"/>
        </w:rPr>
        <w:t>polyethylen</w:t>
      </w:r>
      <w:proofErr w:type="spellEnd"/>
      <w:r w:rsidRPr="00116C00">
        <w:rPr>
          <w:sz w:val="24"/>
          <w:szCs w:val="24"/>
        </w:rPr>
        <w:t xml:space="preserve"> er beskyttet af en lamineret </w:t>
      </w:r>
      <w:proofErr w:type="spellStart"/>
      <w:r w:rsidRPr="00116C00">
        <w:rPr>
          <w:sz w:val="24"/>
          <w:szCs w:val="24"/>
        </w:rPr>
        <w:t>tripelpose</w:t>
      </w:r>
      <w:proofErr w:type="spellEnd"/>
      <w:r w:rsidRPr="00116C00">
        <w:rPr>
          <w:sz w:val="24"/>
          <w:szCs w:val="24"/>
        </w:rPr>
        <w:t xml:space="preserve"> (polyesterfilm/alufolie/</w:t>
      </w:r>
      <w:proofErr w:type="spellStart"/>
      <w:r w:rsidRPr="00116C00">
        <w:rPr>
          <w:sz w:val="24"/>
          <w:szCs w:val="24"/>
        </w:rPr>
        <w:t>polyethylenfilm</w:t>
      </w:r>
      <w:proofErr w:type="spellEnd"/>
      <w:r w:rsidRPr="00116C00">
        <w:rPr>
          <w:sz w:val="24"/>
          <w:szCs w:val="24"/>
        </w:rPr>
        <w:t>) og pakket i en æske.</w:t>
      </w:r>
    </w:p>
    <w:p w14:paraId="6A5E9328" w14:textId="77777777" w:rsidR="00961187" w:rsidRPr="00116C00" w:rsidRDefault="00961187" w:rsidP="00A41915">
      <w:pPr>
        <w:shd w:val="clear" w:color="auto" w:fill="FFFFFF"/>
        <w:ind w:left="851"/>
        <w:rPr>
          <w:sz w:val="24"/>
          <w:szCs w:val="24"/>
        </w:rPr>
      </w:pPr>
      <w:r w:rsidRPr="00116C00">
        <w:rPr>
          <w:sz w:val="24"/>
          <w:szCs w:val="24"/>
        </w:rPr>
        <w:t>Pakningsstørrelser på 10, 20, 40, 60, 80 eller 100 enkeltdosisbeholdere.</w:t>
      </w:r>
    </w:p>
    <w:p w14:paraId="49404D02" w14:textId="77777777" w:rsidR="00961187" w:rsidRPr="00116C00" w:rsidRDefault="00961187" w:rsidP="00A41915">
      <w:pPr>
        <w:shd w:val="clear" w:color="auto" w:fill="FFFFFF"/>
        <w:ind w:left="851"/>
        <w:rPr>
          <w:sz w:val="24"/>
          <w:szCs w:val="24"/>
        </w:rPr>
      </w:pPr>
    </w:p>
    <w:p w14:paraId="42D719A5" w14:textId="77777777" w:rsidR="00961187" w:rsidRPr="00116C00" w:rsidRDefault="00961187" w:rsidP="00A41915">
      <w:pPr>
        <w:shd w:val="clear" w:color="auto" w:fill="FFFFFF"/>
        <w:ind w:left="851"/>
        <w:rPr>
          <w:sz w:val="24"/>
          <w:szCs w:val="24"/>
        </w:rPr>
      </w:pPr>
      <w:r w:rsidRPr="00116C00">
        <w:rPr>
          <w:sz w:val="24"/>
          <w:szCs w:val="24"/>
        </w:rPr>
        <w:t>Ikke alle pakningsstørrelser er nødvendigvis markedsført.</w:t>
      </w:r>
    </w:p>
    <w:p w14:paraId="17DAB81A" w14:textId="4FCA5D8C" w:rsidR="009260DE" w:rsidRPr="00116C00" w:rsidRDefault="009260DE" w:rsidP="009260DE">
      <w:pPr>
        <w:tabs>
          <w:tab w:val="left" w:pos="851"/>
        </w:tabs>
        <w:ind w:left="851"/>
        <w:rPr>
          <w:sz w:val="24"/>
          <w:szCs w:val="24"/>
        </w:rPr>
      </w:pPr>
    </w:p>
    <w:p w14:paraId="6370DE5F" w14:textId="77777777" w:rsidR="009260DE" w:rsidRPr="00116C00" w:rsidRDefault="009260DE" w:rsidP="009260DE">
      <w:pPr>
        <w:tabs>
          <w:tab w:val="left" w:pos="851"/>
        </w:tabs>
        <w:ind w:left="851" w:hanging="851"/>
        <w:rPr>
          <w:b/>
          <w:sz w:val="24"/>
          <w:szCs w:val="24"/>
        </w:rPr>
      </w:pPr>
      <w:r w:rsidRPr="00116C00">
        <w:rPr>
          <w:b/>
          <w:sz w:val="24"/>
          <w:szCs w:val="24"/>
        </w:rPr>
        <w:t>6.6</w:t>
      </w:r>
      <w:r w:rsidRPr="00116C00">
        <w:rPr>
          <w:b/>
          <w:sz w:val="24"/>
          <w:szCs w:val="24"/>
        </w:rPr>
        <w:tab/>
        <w:t xml:space="preserve">Regler for </w:t>
      </w:r>
      <w:r w:rsidR="00BD7931" w:rsidRPr="00116C00">
        <w:rPr>
          <w:b/>
          <w:sz w:val="24"/>
          <w:szCs w:val="24"/>
        </w:rPr>
        <w:t>bortskaffelse</w:t>
      </w:r>
      <w:r w:rsidRPr="00116C00">
        <w:rPr>
          <w:b/>
          <w:sz w:val="24"/>
          <w:szCs w:val="24"/>
        </w:rPr>
        <w:t xml:space="preserve"> og anden håndtering</w:t>
      </w:r>
    </w:p>
    <w:p w14:paraId="1A6FBAAE" w14:textId="77777777" w:rsidR="00961187" w:rsidRPr="00116C00" w:rsidRDefault="00961187" w:rsidP="00A41915">
      <w:pPr>
        <w:ind w:left="851"/>
        <w:rPr>
          <w:sz w:val="24"/>
          <w:szCs w:val="24"/>
        </w:rPr>
      </w:pPr>
      <w:r w:rsidRPr="00116C00">
        <w:rPr>
          <w:sz w:val="24"/>
          <w:szCs w:val="24"/>
        </w:rPr>
        <w:t>Kun til engangsbrug. Indholdet skal anvendes straks efter åbning af enkeltdosisbeholderen.</w:t>
      </w:r>
    </w:p>
    <w:p w14:paraId="4B5954A4" w14:textId="77777777" w:rsidR="00961187" w:rsidRPr="00116C00" w:rsidRDefault="00961187" w:rsidP="00A41915">
      <w:pPr>
        <w:ind w:left="851"/>
        <w:rPr>
          <w:sz w:val="24"/>
          <w:szCs w:val="24"/>
        </w:rPr>
      </w:pPr>
    </w:p>
    <w:p w14:paraId="3D10F098" w14:textId="77777777" w:rsidR="00961187" w:rsidRPr="00116C00" w:rsidRDefault="00961187" w:rsidP="00A41915">
      <w:pPr>
        <w:ind w:left="851"/>
        <w:rPr>
          <w:sz w:val="24"/>
          <w:szCs w:val="24"/>
        </w:rPr>
      </w:pPr>
      <w:r w:rsidRPr="00116C00">
        <w:rPr>
          <w:sz w:val="24"/>
          <w:szCs w:val="24"/>
        </w:rPr>
        <w:t>Delvist brugte, åbne eller beskadigede enkeltdosisbeholdere skal bortskaffes i henhold til lokale retningslinjer.</w:t>
      </w:r>
    </w:p>
    <w:p w14:paraId="037751D6" w14:textId="77777777" w:rsidR="009260DE" w:rsidRPr="00116C00" w:rsidRDefault="009260DE" w:rsidP="000730CA">
      <w:pPr>
        <w:tabs>
          <w:tab w:val="left" w:pos="851"/>
        </w:tabs>
        <w:ind w:left="851"/>
        <w:rPr>
          <w:sz w:val="24"/>
          <w:szCs w:val="24"/>
        </w:rPr>
      </w:pPr>
    </w:p>
    <w:p w14:paraId="138B2E53" w14:textId="77777777" w:rsidR="009260DE" w:rsidRPr="00116C00" w:rsidRDefault="009260DE" w:rsidP="009260DE">
      <w:pPr>
        <w:tabs>
          <w:tab w:val="left" w:pos="851"/>
        </w:tabs>
        <w:ind w:left="851" w:hanging="851"/>
        <w:rPr>
          <w:b/>
          <w:sz w:val="24"/>
          <w:szCs w:val="24"/>
        </w:rPr>
      </w:pPr>
      <w:r w:rsidRPr="00116C00">
        <w:rPr>
          <w:b/>
          <w:sz w:val="24"/>
          <w:szCs w:val="24"/>
        </w:rPr>
        <w:t>7.</w:t>
      </w:r>
      <w:r w:rsidRPr="00116C00">
        <w:rPr>
          <w:b/>
          <w:sz w:val="24"/>
          <w:szCs w:val="24"/>
        </w:rPr>
        <w:tab/>
        <w:t>INDEHAVER AF MARKEDSFØRINGSTILLADELSEN</w:t>
      </w:r>
    </w:p>
    <w:p w14:paraId="6F4DEC50" w14:textId="77777777" w:rsidR="00961187" w:rsidRPr="00116C00" w:rsidRDefault="00961187" w:rsidP="00A41915">
      <w:pPr>
        <w:ind w:left="851"/>
        <w:rPr>
          <w:sz w:val="24"/>
          <w:szCs w:val="24"/>
        </w:rPr>
      </w:pPr>
      <w:proofErr w:type="spellStart"/>
      <w:r w:rsidRPr="00116C00">
        <w:rPr>
          <w:sz w:val="24"/>
          <w:szCs w:val="24"/>
        </w:rPr>
        <w:t>Neutec</w:t>
      </w:r>
      <w:proofErr w:type="spellEnd"/>
      <w:r w:rsidRPr="00116C00">
        <w:rPr>
          <w:sz w:val="24"/>
          <w:szCs w:val="24"/>
        </w:rPr>
        <w:t xml:space="preserve"> Inhaler Ireland Limited</w:t>
      </w:r>
    </w:p>
    <w:p w14:paraId="1B6FA722" w14:textId="77777777" w:rsidR="00961187" w:rsidRPr="00116C00" w:rsidRDefault="00961187" w:rsidP="00A41915">
      <w:pPr>
        <w:ind w:left="851"/>
        <w:rPr>
          <w:sz w:val="24"/>
          <w:szCs w:val="24"/>
          <w:lang w:val="en-US"/>
        </w:rPr>
      </w:pPr>
      <w:r w:rsidRPr="00116C00">
        <w:rPr>
          <w:sz w:val="24"/>
          <w:szCs w:val="24"/>
          <w:lang w:val="en-US"/>
        </w:rPr>
        <w:t>22 Northumberland Road, Ballsbridge</w:t>
      </w:r>
    </w:p>
    <w:p w14:paraId="256B96C0" w14:textId="77777777" w:rsidR="00961187" w:rsidRPr="00116C00" w:rsidRDefault="00961187" w:rsidP="00A41915">
      <w:pPr>
        <w:ind w:left="851"/>
        <w:rPr>
          <w:sz w:val="24"/>
          <w:szCs w:val="24"/>
        </w:rPr>
      </w:pPr>
      <w:r w:rsidRPr="00116C00">
        <w:rPr>
          <w:sz w:val="24"/>
          <w:szCs w:val="24"/>
          <w:lang w:val="en-US"/>
        </w:rPr>
        <w:t xml:space="preserve">Dublin 4, Co. </w:t>
      </w:r>
      <w:r w:rsidRPr="00116C00">
        <w:rPr>
          <w:sz w:val="24"/>
          <w:szCs w:val="24"/>
        </w:rPr>
        <w:t>Dublin</w:t>
      </w:r>
    </w:p>
    <w:p w14:paraId="2B82FD99" w14:textId="77777777" w:rsidR="00961187" w:rsidRPr="00116C00" w:rsidRDefault="00961187" w:rsidP="00A41915">
      <w:pPr>
        <w:ind w:left="851"/>
        <w:rPr>
          <w:sz w:val="24"/>
          <w:szCs w:val="24"/>
        </w:rPr>
      </w:pPr>
      <w:r w:rsidRPr="00116C00">
        <w:rPr>
          <w:sz w:val="24"/>
          <w:szCs w:val="24"/>
        </w:rPr>
        <w:t>D04 ED73</w:t>
      </w:r>
    </w:p>
    <w:p w14:paraId="5B4792C0" w14:textId="77777777" w:rsidR="00961187" w:rsidRPr="00116C00" w:rsidRDefault="00961187" w:rsidP="00A41915">
      <w:pPr>
        <w:ind w:left="851"/>
        <w:rPr>
          <w:sz w:val="24"/>
          <w:szCs w:val="24"/>
        </w:rPr>
      </w:pPr>
      <w:r w:rsidRPr="00116C00">
        <w:rPr>
          <w:sz w:val="24"/>
          <w:szCs w:val="24"/>
        </w:rPr>
        <w:t>Irland</w:t>
      </w:r>
    </w:p>
    <w:p w14:paraId="5364FBB6" w14:textId="77777777" w:rsidR="00641C65" w:rsidRPr="00116C00" w:rsidRDefault="00641C65" w:rsidP="009260DE">
      <w:pPr>
        <w:tabs>
          <w:tab w:val="left" w:pos="851"/>
        </w:tabs>
        <w:ind w:left="851"/>
        <w:rPr>
          <w:sz w:val="24"/>
          <w:szCs w:val="24"/>
        </w:rPr>
      </w:pPr>
    </w:p>
    <w:p w14:paraId="641967AE" w14:textId="77777777" w:rsidR="009260DE" w:rsidRPr="00116C00" w:rsidRDefault="009260DE" w:rsidP="009260DE">
      <w:pPr>
        <w:tabs>
          <w:tab w:val="left" w:pos="851"/>
        </w:tabs>
        <w:ind w:left="851" w:hanging="851"/>
        <w:rPr>
          <w:b/>
          <w:sz w:val="24"/>
          <w:szCs w:val="24"/>
        </w:rPr>
      </w:pPr>
      <w:r w:rsidRPr="00116C00">
        <w:rPr>
          <w:b/>
          <w:sz w:val="24"/>
          <w:szCs w:val="24"/>
        </w:rPr>
        <w:t>8.</w:t>
      </w:r>
      <w:r w:rsidRPr="00116C00">
        <w:rPr>
          <w:b/>
          <w:sz w:val="24"/>
          <w:szCs w:val="24"/>
        </w:rPr>
        <w:tab/>
        <w:t>MARKEDSFØRINGSTILLADELSESNUMMER (</w:t>
      </w:r>
      <w:r w:rsidR="00BF6243" w:rsidRPr="00116C00">
        <w:rPr>
          <w:b/>
          <w:sz w:val="24"/>
          <w:szCs w:val="24"/>
        </w:rPr>
        <w:t>-</w:t>
      </w:r>
      <w:r w:rsidRPr="00116C00">
        <w:rPr>
          <w:b/>
          <w:sz w:val="24"/>
          <w:szCs w:val="24"/>
        </w:rPr>
        <w:t>NUMRE)</w:t>
      </w:r>
    </w:p>
    <w:p w14:paraId="3DAB7400" w14:textId="2930A580" w:rsidR="009260DE" w:rsidRPr="00116C00" w:rsidRDefault="00961187" w:rsidP="009260DE">
      <w:pPr>
        <w:tabs>
          <w:tab w:val="left" w:pos="851"/>
        </w:tabs>
        <w:ind w:left="851"/>
        <w:rPr>
          <w:sz w:val="24"/>
          <w:szCs w:val="24"/>
        </w:rPr>
      </w:pPr>
      <w:r w:rsidRPr="00116C00">
        <w:rPr>
          <w:sz w:val="24"/>
          <w:szCs w:val="24"/>
        </w:rPr>
        <w:t>65466</w:t>
      </w:r>
    </w:p>
    <w:p w14:paraId="758DEC27" w14:textId="77777777" w:rsidR="009260DE" w:rsidRPr="00116C00" w:rsidRDefault="009260DE" w:rsidP="009260DE">
      <w:pPr>
        <w:tabs>
          <w:tab w:val="left" w:pos="851"/>
        </w:tabs>
        <w:ind w:left="851"/>
        <w:jc w:val="both"/>
        <w:rPr>
          <w:sz w:val="24"/>
          <w:szCs w:val="24"/>
        </w:rPr>
      </w:pPr>
    </w:p>
    <w:p w14:paraId="60A9914C" w14:textId="77777777" w:rsidR="009260DE" w:rsidRPr="00116C00" w:rsidRDefault="009260DE" w:rsidP="009260DE">
      <w:pPr>
        <w:tabs>
          <w:tab w:val="left" w:pos="851"/>
        </w:tabs>
        <w:ind w:left="851" w:hanging="851"/>
        <w:rPr>
          <w:b/>
          <w:sz w:val="24"/>
          <w:szCs w:val="24"/>
        </w:rPr>
      </w:pPr>
      <w:r w:rsidRPr="00116C00">
        <w:rPr>
          <w:b/>
          <w:sz w:val="24"/>
          <w:szCs w:val="24"/>
        </w:rPr>
        <w:t>9.</w:t>
      </w:r>
      <w:r w:rsidRPr="00116C00">
        <w:rPr>
          <w:b/>
          <w:sz w:val="24"/>
          <w:szCs w:val="24"/>
        </w:rPr>
        <w:tab/>
        <w:t>DATO FOR FØRSTE MARKEDSFØRINGSTILLADELSE</w:t>
      </w:r>
    </w:p>
    <w:p w14:paraId="6437F7A2" w14:textId="72F4B546" w:rsidR="009260DE" w:rsidRPr="00116C00" w:rsidRDefault="0029325E" w:rsidP="009260DE">
      <w:pPr>
        <w:tabs>
          <w:tab w:val="left" w:pos="851"/>
        </w:tabs>
        <w:ind w:left="851"/>
        <w:rPr>
          <w:sz w:val="24"/>
          <w:szCs w:val="24"/>
        </w:rPr>
      </w:pPr>
      <w:r>
        <w:rPr>
          <w:sz w:val="24"/>
          <w:szCs w:val="24"/>
        </w:rPr>
        <w:t>14. august 2023</w:t>
      </w:r>
    </w:p>
    <w:p w14:paraId="5223F8B0" w14:textId="77777777" w:rsidR="009260DE" w:rsidRPr="00116C00" w:rsidRDefault="009260DE" w:rsidP="009260DE">
      <w:pPr>
        <w:tabs>
          <w:tab w:val="left" w:pos="851"/>
        </w:tabs>
        <w:ind w:left="851"/>
        <w:rPr>
          <w:sz w:val="24"/>
          <w:szCs w:val="24"/>
        </w:rPr>
      </w:pPr>
    </w:p>
    <w:p w14:paraId="490854EC" w14:textId="77777777" w:rsidR="009260DE" w:rsidRPr="00116C00" w:rsidRDefault="009260DE" w:rsidP="009260DE">
      <w:pPr>
        <w:tabs>
          <w:tab w:val="left" w:pos="851"/>
        </w:tabs>
        <w:ind w:left="851" w:hanging="851"/>
        <w:rPr>
          <w:b/>
          <w:sz w:val="24"/>
          <w:szCs w:val="24"/>
        </w:rPr>
      </w:pPr>
      <w:r w:rsidRPr="00116C00">
        <w:rPr>
          <w:b/>
          <w:sz w:val="24"/>
          <w:szCs w:val="24"/>
        </w:rPr>
        <w:t>10.</w:t>
      </w:r>
      <w:r w:rsidRPr="00116C00">
        <w:rPr>
          <w:b/>
          <w:sz w:val="24"/>
          <w:szCs w:val="24"/>
        </w:rPr>
        <w:tab/>
        <w:t>DATO FOR ÆNDRING AF TEKSTEN</w:t>
      </w:r>
    </w:p>
    <w:p w14:paraId="5FAECB88" w14:textId="01C4E2E4" w:rsidR="009260DE" w:rsidRPr="00116C00" w:rsidRDefault="00961187" w:rsidP="009260DE">
      <w:pPr>
        <w:tabs>
          <w:tab w:val="left" w:pos="851"/>
        </w:tabs>
        <w:ind w:left="851"/>
        <w:rPr>
          <w:sz w:val="24"/>
          <w:szCs w:val="24"/>
        </w:rPr>
      </w:pPr>
      <w:r w:rsidRPr="00116C00">
        <w:rPr>
          <w:sz w:val="24"/>
          <w:szCs w:val="24"/>
        </w:rPr>
        <w:t>-</w:t>
      </w:r>
    </w:p>
    <w:sectPr w:rsidR="009260DE" w:rsidRPr="00116C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2E019" w14:textId="77777777" w:rsidR="003B76C4" w:rsidRDefault="003B76C4">
      <w:r>
        <w:separator/>
      </w:r>
    </w:p>
  </w:endnote>
  <w:endnote w:type="continuationSeparator" w:id="0">
    <w:p w14:paraId="0F6A8CC9" w14:textId="77777777" w:rsidR="003B76C4" w:rsidRDefault="003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1CD7C" w14:textId="77777777" w:rsidR="000259B9" w:rsidRDefault="000259B9">
    <w:pPr>
      <w:pStyle w:val="Sidefod"/>
      <w:pBdr>
        <w:bottom w:val="single" w:sz="6" w:space="1" w:color="auto"/>
      </w:pBdr>
    </w:pPr>
  </w:p>
  <w:p w14:paraId="7F04C39E" w14:textId="77777777" w:rsidR="000259B9" w:rsidRDefault="000259B9" w:rsidP="00C42586">
    <w:pPr>
      <w:pStyle w:val="Sidefod"/>
      <w:tabs>
        <w:tab w:val="clear" w:pos="4819"/>
        <w:tab w:val="left" w:pos="8505"/>
      </w:tabs>
      <w:rPr>
        <w:i/>
        <w:sz w:val="18"/>
        <w:szCs w:val="18"/>
      </w:rPr>
    </w:pPr>
  </w:p>
  <w:p w14:paraId="74D17FBA" w14:textId="562F9AD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325E">
      <w:rPr>
        <w:i/>
        <w:noProof/>
        <w:sz w:val="18"/>
        <w:szCs w:val="18"/>
      </w:rPr>
      <w:t>Ipratropiumbromid-Salbutamol Neutec, inhalationsvæske til nebulisator, opløsning 0,5+2,5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23B53" w14:textId="77777777" w:rsidR="003B76C4" w:rsidRDefault="003B76C4">
      <w:r>
        <w:separator/>
      </w:r>
    </w:p>
  </w:footnote>
  <w:footnote w:type="continuationSeparator" w:id="0">
    <w:p w14:paraId="7337F42E" w14:textId="77777777" w:rsidR="003B76C4" w:rsidRDefault="003B7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7A71"/>
    <w:multiLevelType w:val="hybridMultilevel"/>
    <w:tmpl w:val="2988C44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893987"/>
    <w:multiLevelType w:val="hybridMultilevel"/>
    <w:tmpl w:val="69F416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1BB7389"/>
    <w:multiLevelType w:val="hybridMultilevel"/>
    <w:tmpl w:val="CF326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CE77077"/>
    <w:multiLevelType w:val="hybridMultilevel"/>
    <w:tmpl w:val="A54AAC8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C4"/>
    <w:rsid w:val="00020269"/>
    <w:rsid w:val="000259B9"/>
    <w:rsid w:val="00041491"/>
    <w:rsid w:val="00050D16"/>
    <w:rsid w:val="000730CA"/>
    <w:rsid w:val="00074F2A"/>
    <w:rsid w:val="000A1CA8"/>
    <w:rsid w:val="000A466B"/>
    <w:rsid w:val="000B058C"/>
    <w:rsid w:val="000D68B0"/>
    <w:rsid w:val="000E4EE6"/>
    <w:rsid w:val="00116C00"/>
    <w:rsid w:val="001454E2"/>
    <w:rsid w:val="00206CE8"/>
    <w:rsid w:val="0021526C"/>
    <w:rsid w:val="00283A2B"/>
    <w:rsid w:val="0029325E"/>
    <w:rsid w:val="002B30AD"/>
    <w:rsid w:val="002C1EC0"/>
    <w:rsid w:val="002C2C01"/>
    <w:rsid w:val="003456A9"/>
    <w:rsid w:val="003A29AE"/>
    <w:rsid w:val="003A32D7"/>
    <w:rsid w:val="003B4074"/>
    <w:rsid w:val="003B76C4"/>
    <w:rsid w:val="003C769A"/>
    <w:rsid w:val="003D3A90"/>
    <w:rsid w:val="003F1838"/>
    <w:rsid w:val="0045746C"/>
    <w:rsid w:val="0049104B"/>
    <w:rsid w:val="004E3B12"/>
    <w:rsid w:val="00532310"/>
    <w:rsid w:val="00565F0F"/>
    <w:rsid w:val="00594A86"/>
    <w:rsid w:val="00596D86"/>
    <w:rsid w:val="00637F5A"/>
    <w:rsid w:val="00641C65"/>
    <w:rsid w:val="006560B1"/>
    <w:rsid w:val="006756DD"/>
    <w:rsid w:val="006D4893"/>
    <w:rsid w:val="0071241E"/>
    <w:rsid w:val="00737275"/>
    <w:rsid w:val="00740EEC"/>
    <w:rsid w:val="0078011A"/>
    <w:rsid w:val="00782AF4"/>
    <w:rsid w:val="00790EE7"/>
    <w:rsid w:val="007B6649"/>
    <w:rsid w:val="0082576E"/>
    <w:rsid w:val="00907F75"/>
    <w:rsid w:val="009260DE"/>
    <w:rsid w:val="0093258A"/>
    <w:rsid w:val="00961187"/>
    <w:rsid w:val="009C7BA3"/>
    <w:rsid w:val="009D1F5A"/>
    <w:rsid w:val="009F4ED8"/>
    <w:rsid w:val="00A10294"/>
    <w:rsid w:val="00A41915"/>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3E1BC"/>
  <w15:chartTrackingRefBased/>
  <w15:docId w15:val="{6238999E-1577-4835-A965-50A93B79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961187"/>
    <w:rPr>
      <w:i/>
      <w:color w:val="008000"/>
      <w:sz w:val="22"/>
    </w:rPr>
  </w:style>
  <w:style w:type="character" w:customStyle="1" w:styleId="BrdtekstTegn">
    <w:name w:val="Brødtekst Tegn"/>
    <w:basedOn w:val="Standardskrifttypeiafsnit"/>
    <w:link w:val="Brdtekst"/>
    <w:semiHidden/>
    <w:rsid w:val="00961187"/>
    <w:rPr>
      <w:i/>
      <w:color w:val="008000"/>
      <w:sz w:val="22"/>
      <w:lang w:eastAsia="en-US"/>
    </w:rPr>
  </w:style>
  <w:style w:type="paragraph" w:styleId="Listeafsnit">
    <w:name w:val="List Paragraph"/>
    <w:basedOn w:val="Normal"/>
    <w:uiPriority w:val="34"/>
    <w:qFormat/>
    <w:rsid w:val="00961187"/>
    <w:pPr>
      <w:tabs>
        <w:tab w:val="left" w:pos="567"/>
      </w:tabs>
      <w:spacing w:line="260" w:lineRule="exact"/>
      <w:ind w:left="720"/>
      <w:contextualSpacing/>
    </w:pPr>
    <w:rPr>
      <w:sz w:val="22"/>
    </w:rPr>
  </w:style>
  <w:style w:type="table" w:styleId="Tabel-Gitter">
    <w:name w:val="Table Grid"/>
    <w:basedOn w:val="Tabel-Normal"/>
    <w:rsid w:val="00961187"/>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krifttypeiafsnit"/>
    <w:rsid w:val="00961187"/>
    <w:rPr>
      <w:rFonts w:ascii="Segoe UI" w:hAnsi="Segoe UI" w:cs="Segoe UI" w:hint="default"/>
      <w:sz w:val="18"/>
      <w:szCs w:val="18"/>
    </w:rPr>
  </w:style>
  <w:style w:type="paragraph" w:customStyle="1" w:styleId="pf0">
    <w:name w:val="pf0"/>
    <w:basedOn w:val="Normal"/>
    <w:rsid w:val="00961187"/>
    <w:pPr>
      <w:spacing w:before="100" w:beforeAutospacing="1" w:after="100" w:afterAutospacing="1"/>
    </w:pPr>
    <w:rPr>
      <w:sz w:val="24"/>
      <w:szCs w:val="24"/>
      <w:lang w:eastAsia="en-GB"/>
    </w:rPr>
  </w:style>
  <w:style w:type="character" w:customStyle="1" w:styleId="cf11">
    <w:name w:val="cf11"/>
    <w:basedOn w:val="Standardskrifttypeiafsnit"/>
    <w:rsid w:val="00961187"/>
    <w:rPr>
      <w:rFonts w:ascii="Segoe UI" w:hAnsi="Segoe UI" w:cs="Segoe UI" w:hint="default"/>
      <w:sz w:val="18"/>
      <w:szCs w:val="18"/>
    </w:rPr>
  </w:style>
  <w:style w:type="character" w:customStyle="1" w:styleId="cf21">
    <w:name w:val="cf21"/>
    <w:basedOn w:val="Standardskrifttypeiafsnit"/>
    <w:rsid w:val="00961187"/>
    <w:rPr>
      <w:rFonts w:ascii="Segoe UI" w:hAnsi="Segoe UI" w:cs="Segoe UI" w:hint="default"/>
      <w:i/>
      <w:iCs/>
      <w:color w:val="008000"/>
      <w:sz w:val="18"/>
      <w:szCs w:val="18"/>
    </w:rPr>
  </w:style>
  <w:style w:type="character" w:styleId="Hyperlink">
    <w:name w:val="Hyperlink"/>
    <w:semiHidden/>
    <w:unhideWhenUsed/>
    <w:rsid w:val="00961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870">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524366">
      <w:bodyDiv w:val="1"/>
      <w:marLeft w:val="0"/>
      <w:marRight w:val="0"/>
      <w:marTop w:val="0"/>
      <w:marBottom w:val="0"/>
      <w:divBdr>
        <w:top w:val="none" w:sz="0" w:space="0" w:color="auto"/>
        <w:left w:val="none" w:sz="0" w:space="0" w:color="auto"/>
        <w:bottom w:val="none" w:sz="0" w:space="0" w:color="auto"/>
        <w:right w:val="none" w:sz="0" w:space="0" w:color="auto"/>
      </w:divBdr>
    </w:div>
    <w:div w:id="301497257">
      <w:bodyDiv w:val="1"/>
      <w:marLeft w:val="0"/>
      <w:marRight w:val="0"/>
      <w:marTop w:val="0"/>
      <w:marBottom w:val="0"/>
      <w:divBdr>
        <w:top w:val="none" w:sz="0" w:space="0" w:color="auto"/>
        <w:left w:val="none" w:sz="0" w:space="0" w:color="auto"/>
        <w:bottom w:val="none" w:sz="0" w:space="0" w:color="auto"/>
        <w:right w:val="none" w:sz="0" w:space="0" w:color="auto"/>
      </w:divBdr>
    </w:div>
    <w:div w:id="393820792">
      <w:bodyDiv w:val="1"/>
      <w:marLeft w:val="0"/>
      <w:marRight w:val="0"/>
      <w:marTop w:val="0"/>
      <w:marBottom w:val="0"/>
      <w:divBdr>
        <w:top w:val="none" w:sz="0" w:space="0" w:color="auto"/>
        <w:left w:val="none" w:sz="0" w:space="0" w:color="auto"/>
        <w:bottom w:val="none" w:sz="0" w:space="0" w:color="auto"/>
        <w:right w:val="none" w:sz="0" w:space="0" w:color="auto"/>
      </w:divBdr>
    </w:div>
    <w:div w:id="394746861">
      <w:bodyDiv w:val="1"/>
      <w:marLeft w:val="0"/>
      <w:marRight w:val="0"/>
      <w:marTop w:val="0"/>
      <w:marBottom w:val="0"/>
      <w:divBdr>
        <w:top w:val="none" w:sz="0" w:space="0" w:color="auto"/>
        <w:left w:val="none" w:sz="0" w:space="0" w:color="auto"/>
        <w:bottom w:val="none" w:sz="0" w:space="0" w:color="auto"/>
        <w:right w:val="none" w:sz="0" w:space="0" w:color="auto"/>
      </w:divBdr>
    </w:div>
    <w:div w:id="481042109">
      <w:bodyDiv w:val="1"/>
      <w:marLeft w:val="0"/>
      <w:marRight w:val="0"/>
      <w:marTop w:val="0"/>
      <w:marBottom w:val="0"/>
      <w:divBdr>
        <w:top w:val="none" w:sz="0" w:space="0" w:color="auto"/>
        <w:left w:val="none" w:sz="0" w:space="0" w:color="auto"/>
        <w:bottom w:val="none" w:sz="0" w:space="0" w:color="auto"/>
        <w:right w:val="none" w:sz="0" w:space="0" w:color="auto"/>
      </w:divBdr>
    </w:div>
    <w:div w:id="585581389">
      <w:bodyDiv w:val="1"/>
      <w:marLeft w:val="0"/>
      <w:marRight w:val="0"/>
      <w:marTop w:val="0"/>
      <w:marBottom w:val="0"/>
      <w:divBdr>
        <w:top w:val="none" w:sz="0" w:space="0" w:color="auto"/>
        <w:left w:val="none" w:sz="0" w:space="0" w:color="auto"/>
        <w:bottom w:val="none" w:sz="0" w:space="0" w:color="auto"/>
        <w:right w:val="none" w:sz="0" w:space="0" w:color="auto"/>
      </w:divBdr>
    </w:div>
    <w:div w:id="1170604331">
      <w:bodyDiv w:val="1"/>
      <w:marLeft w:val="0"/>
      <w:marRight w:val="0"/>
      <w:marTop w:val="0"/>
      <w:marBottom w:val="0"/>
      <w:divBdr>
        <w:top w:val="none" w:sz="0" w:space="0" w:color="auto"/>
        <w:left w:val="none" w:sz="0" w:space="0" w:color="auto"/>
        <w:bottom w:val="none" w:sz="0" w:space="0" w:color="auto"/>
        <w:right w:val="none" w:sz="0" w:space="0" w:color="auto"/>
      </w:divBdr>
    </w:div>
    <w:div w:id="1339580502">
      <w:bodyDiv w:val="1"/>
      <w:marLeft w:val="0"/>
      <w:marRight w:val="0"/>
      <w:marTop w:val="0"/>
      <w:marBottom w:val="0"/>
      <w:divBdr>
        <w:top w:val="none" w:sz="0" w:space="0" w:color="auto"/>
        <w:left w:val="none" w:sz="0" w:space="0" w:color="auto"/>
        <w:bottom w:val="none" w:sz="0" w:space="0" w:color="auto"/>
        <w:right w:val="none" w:sz="0" w:space="0" w:color="auto"/>
      </w:divBdr>
    </w:div>
    <w:div w:id="1357077762">
      <w:bodyDiv w:val="1"/>
      <w:marLeft w:val="0"/>
      <w:marRight w:val="0"/>
      <w:marTop w:val="0"/>
      <w:marBottom w:val="0"/>
      <w:divBdr>
        <w:top w:val="none" w:sz="0" w:space="0" w:color="auto"/>
        <w:left w:val="none" w:sz="0" w:space="0" w:color="auto"/>
        <w:bottom w:val="none" w:sz="0" w:space="0" w:color="auto"/>
        <w:right w:val="none" w:sz="0" w:space="0" w:color="auto"/>
      </w:divBdr>
    </w:div>
    <w:div w:id="1380205158">
      <w:bodyDiv w:val="1"/>
      <w:marLeft w:val="0"/>
      <w:marRight w:val="0"/>
      <w:marTop w:val="0"/>
      <w:marBottom w:val="0"/>
      <w:divBdr>
        <w:top w:val="none" w:sz="0" w:space="0" w:color="auto"/>
        <w:left w:val="none" w:sz="0" w:space="0" w:color="auto"/>
        <w:bottom w:val="none" w:sz="0" w:space="0" w:color="auto"/>
        <w:right w:val="none" w:sz="0" w:space="0" w:color="auto"/>
      </w:divBdr>
    </w:div>
    <w:div w:id="1555774452">
      <w:bodyDiv w:val="1"/>
      <w:marLeft w:val="0"/>
      <w:marRight w:val="0"/>
      <w:marTop w:val="0"/>
      <w:marBottom w:val="0"/>
      <w:divBdr>
        <w:top w:val="none" w:sz="0" w:space="0" w:color="auto"/>
        <w:left w:val="none" w:sz="0" w:space="0" w:color="auto"/>
        <w:bottom w:val="none" w:sz="0" w:space="0" w:color="auto"/>
        <w:right w:val="none" w:sz="0" w:space="0" w:color="auto"/>
      </w:divBdr>
    </w:div>
    <w:div w:id="1581597410">
      <w:bodyDiv w:val="1"/>
      <w:marLeft w:val="0"/>
      <w:marRight w:val="0"/>
      <w:marTop w:val="0"/>
      <w:marBottom w:val="0"/>
      <w:divBdr>
        <w:top w:val="none" w:sz="0" w:space="0" w:color="auto"/>
        <w:left w:val="none" w:sz="0" w:space="0" w:color="auto"/>
        <w:bottom w:val="none" w:sz="0" w:space="0" w:color="auto"/>
        <w:right w:val="none" w:sz="0" w:space="0" w:color="auto"/>
      </w:divBdr>
    </w:div>
    <w:div w:id="1726637918">
      <w:bodyDiv w:val="1"/>
      <w:marLeft w:val="0"/>
      <w:marRight w:val="0"/>
      <w:marTop w:val="0"/>
      <w:marBottom w:val="0"/>
      <w:divBdr>
        <w:top w:val="none" w:sz="0" w:space="0" w:color="auto"/>
        <w:left w:val="none" w:sz="0" w:space="0" w:color="auto"/>
        <w:bottom w:val="none" w:sz="0" w:space="0" w:color="auto"/>
        <w:right w:val="none" w:sz="0" w:space="0" w:color="auto"/>
      </w:divBdr>
    </w:div>
    <w:div w:id="1774738773">
      <w:bodyDiv w:val="1"/>
      <w:marLeft w:val="0"/>
      <w:marRight w:val="0"/>
      <w:marTop w:val="0"/>
      <w:marBottom w:val="0"/>
      <w:divBdr>
        <w:top w:val="none" w:sz="0" w:space="0" w:color="auto"/>
        <w:left w:val="none" w:sz="0" w:space="0" w:color="auto"/>
        <w:bottom w:val="none" w:sz="0" w:space="0" w:color="auto"/>
        <w:right w:val="none" w:sz="0" w:space="0" w:color="auto"/>
      </w:divBdr>
    </w:div>
    <w:div w:id="1775860254">
      <w:bodyDiv w:val="1"/>
      <w:marLeft w:val="0"/>
      <w:marRight w:val="0"/>
      <w:marTop w:val="0"/>
      <w:marBottom w:val="0"/>
      <w:divBdr>
        <w:top w:val="none" w:sz="0" w:space="0" w:color="auto"/>
        <w:left w:val="none" w:sz="0" w:space="0" w:color="auto"/>
        <w:bottom w:val="none" w:sz="0" w:space="0" w:color="auto"/>
        <w:right w:val="none" w:sz="0" w:space="0" w:color="auto"/>
      </w:divBdr>
    </w:div>
    <w:div w:id="1849785515">
      <w:bodyDiv w:val="1"/>
      <w:marLeft w:val="0"/>
      <w:marRight w:val="0"/>
      <w:marTop w:val="0"/>
      <w:marBottom w:val="0"/>
      <w:divBdr>
        <w:top w:val="none" w:sz="0" w:space="0" w:color="auto"/>
        <w:left w:val="none" w:sz="0" w:space="0" w:color="auto"/>
        <w:bottom w:val="none" w:sz="0" w:space="0" w:color="auto"/>
        <w:right w:val="none" w:sz="0" w:space="0" w:color="auto"/>
      </w:divBdr>
    </w:div>
    <w:div w:id="1882815349">
      <w:bodyDiv w:val="1"/>
      <w:marLeft w:val="0"/>
      <w:marRight w:val="0"/>
      <w:marTop w:val="0"/>
      <w:marBottom w:val="0"/>
      <w:divBdr>
        <w:top w:val="none" w:sz="0" w:space="0" w:color="auto"/>
        <w:left w:val="none" w:sz="0" w:space="0" w:color="auto"/>
        <w:bottom w:val="none" w:sz="0" w:space="0" w:color="auto"/>
        <w:right w:val="none" w:sz="0" w:space="0" w:color="auto"/>
      </w:divBdr>
    </w:div>
    <w:div w:id="1926526053">
      <w:bodyDiv w:val="1"/>
      <w:marLeft w:val="0"/>
      <w:marRight w:val="0"/>
      <w:marTop w:val="0"/>
      <w:marBottom w:val="0"/>
      <w:divBdr>
        <w:top w:val="none" w:sz="0" w:space="0" w:color="auto"/>
        <w:left w:val="none" w:sz="0" w:space="0" w:color="auto"/>
        <w:bottom w:val="none" w:sz="0" w:space="0" w:color="auto"/>
        <w:right w:val="none" w:sz="0" w:space="0" w:color="auto"/>
      </w:divBdr>
    </w:div>
    <w:div w:id="2052411343">
      <w:bodyDiv w:val="1"/>
      <w:marLeft w:val="0"/>
      <w:marRight w:val="0"/>
      <w:marTop w:val="0"/>
      <w:marBottom w:val="0"/>
      <w:divBdr>
        <w:top w:val="none" w:sz="0" w:space="0" w:color="auto"/>
        <w:left w:val="none" w:sz="0" w:space="0" w:color="auto"/>
        <w:bottom w:val="none" w:sz="0" w:space="0" w:color="auto"/>
        <w:right w:val="none" w:sz="0" w:space="0" w:color="auto"/>
      </w:divBdr>
    </w:div>
    <w:div w:id="210502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21</TotalTime>
  <Pages>12</Pages>
  <Words>3144</Words>
  <Characters>21967</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2020120820, MT</dc:description>
  <cp:lastModifiedBy>Gitte Jørgensen</cp:lastModifiedBy>
  <cp:revision>10</cp:revision>
  <cp:lastPrinted>2012-08-22T08:53:00Z</cp:lastPrinted>
  <dcterms:created xsi:type="dcterms:W3CDTF">2023-08-14T08:08:00Z</dcterms:created>
  <dcterms:modified xsi:type="dcterms:W3CDTF">2023-08-14T10:29:00Z</dcterms:modified>
</cp:coreProperties>
</file>