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371" w:rsidRPr="00C84483" w:rsidRDefault="00812371" w:rsidP="001159FC">
      <w:pPr>
        <w:rPr>
          <w:b/>
          <w:szCs w:val="24"/>
        </w:rPr>
      </w:pPr>
      <w:r w:rsidRPr="009260DE">
        <w:rPr>
          <w:noProof/>
          <w:sz w:val="24"/>
          <w:szCs w:val="24"/>
          <w:lang w:eastAsia="da-DK"/>
        </w:rPr>
        <w:drawing>
          <wp:anchor distT="0" distB="0" distL="114300" distR="114300" simplePos="0" relativeHeight="251659264" behindDoc="0" locked="0" layoutInCell="1" allowOverlap="1" wp14:anchorId="1969676E" wp14:editId="7BB1A4C6">
            <wp:simplePos x="0" y="0"/>
            <wp:positionH relativeFrom="column">
              <wp:posOffset>0</wp:posOffset>
            </wp:positionH>
            <wp:positionV relativeFrom="paragraph">
              <wp:posOffset>171450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p>
    <w:p w:rsidR="00812371" w:rsidRDefault="00812371" w:rsidP="00812371">
      <w:pPr>
        <w:pStyle w:val="Titel"/>
        <w:tabs>
          <w:tab w:val="right" w:pos="9356"/>
        </w:tabs>
        <w:jc w:val="left"/>
        <w:rPr>
          <w:b w:val="0"/>
          <w:szCs w:val="24"/>
          <w:lang w:eastAsia="en-US"/>
        </w:rPr>
      </w:pPr>
      <w:r w:rsidRPr="00C84483">
        <w:rPr>
          <w:b w:val="0"/>
          <w:szCs w:val="24"/>
          <w:lang w:eastAsia="en-US"/>
        </w:rPr>
        <w:tab/>
      </w:r>
    </w:p>
    <w:p w:rsidR="00812371" w:rsidRDefault="00812371" w:rsidP="00812371">
      <w:pPr>
        <w:pStyle w:val="Titel"/>
        <w:tabs>
          <w:tab w:val="right" w:pos="9356"/>
        </w:tabs>
        <w:jc w:val="left"/>
        <w:rPr>
          <w:b w:val="0"/>
          <w:szCs w:val="24"/>
          <w:lang w:eastAsia="en-US"/>
        </w:rPr>
      </w:pPr>
    </w:p>
    <w:p w:rsidR="00812371" w:rsidRDefault="00812371" w:rsidP="00812371">
      <w:pPr>
        <w:pStyle w:val="Titel"/>
        <w:tabs>
          <w:tab w:val="right" w:pos="9356"/>
        </w:tabs>
        <w:jc w:val="left"/>
        <w:rPr>
          <w:b w:val="0"/>
          <w:szCs w:val="24"/>
          <w:lang w:eastAsia="en-US"/>
        </w:rPr>
      </w:pPr>
    </w:p>
    <w:p w:rsidR="00426218" w:rsidRDefault="00426218" w:rsidP="00812371">
      <w:pPr>
        <w:pStyle w:val="Titel"/>
        <w:tabs>
          <w:tab w:val="right" w:pos="9356"/>
        </w:tabs>
        <w:jc w:val="left"/>
        <w:rPr>
          <w:b w:val="0"/>
          <w:szCs w:val="24"/>
          <w:lang w:eastAsia="en-US"/>
        </w:rPr>
      </w:pPr>
    </w:p>
    <w:p w:rsidR="001159FC" w:rsidRPr="00222DF5" w:rsidRDefault="00812371" w:rsidP="00812371">
      <w:pPr>
        <w:pStyle w:val="Titel"/>
        <w:tabs>
          <w:tab w:val="right" w:pos="9356"/>
        </w:tabs>
        <w:jc w:val="left"/>
        <w:rPr>
          <w:szCs w:val="24"/>
        </w:rPr>
      </w:pPr>
      <w:r>
        <w:rPr>
          <w:b w:val="0"/>
          <w:szCs w:val="24"/>
          <w:lang w:eastAsia="en-US"/>
        </w:rPr>
        <w:tab/>
      </w:r>
      <w:r w:rsidR="00A1451C">
        <w:rPr>
          <w:szCs w:val="24"/>
          <w:lang w:eastAsia="en-US"/>
        </w:rPr>
        <w:t>7</w:t>
      </w:r>
      <w:r w:rsidR="00222DF5" w:rsidRPr="00222DF5">
        <w:rPr>
          <w:szCs w:val="24"/>
          <w:lang w:eastAsia="en-US"/>
        </w:rPr>
        <w:t>. april 2025</w:t>
      </w:r>
    </w:p>
    <w:p w:rsidR="00812371" w:rsidRPr="00F1148B" w:rsidRDefault="00812371" w:rsidP="00812371">
      <w:pPr>
        <w:pStyle w:val="Titel"/>
        <w:jc w:val="left"/>
        <w:rPr>
          <w:b w:val="0"/>
          <w:szCs w:val="24"/>
        </w:rPr>
      </w:pPr>
    </w:p>
    <w:p w:rsidR="00426218" w:rsidRDefault="00426218" w:rsidP="00812371">
      <w:pPr>
        <w:pStyle w:val="Titel"/>
        <w:jc w:val="left"/>
        <w:rPr>
          <w:b w:val="0"/>
          <w:color w:val="FF0000"/>
          <w:szCs w:val="24"/>
        </w:rPr>
      </w:pPr>
    </w:p>
    <w:p w:rsidR="009D446B" w:rsidRDefault="009D446B" w:rsidP="00812371">
      <w:pPr>
        <w:jc w:val="center"/>
        <w:rPr>
          <w:b/>
          <w:sz w:val="24"/>
          <w:szCs w:val="24"/>
        </w:rPr>
      </w:pPr>
    </w:p>
    <w:p w:rsidR="00812371" w:rsidRPr="00C84483" w:rsidRDefault="00812371" w:rsidP="00812371">
      <w:pPr>
        <w:jc w:val="center"/>
        <w:rPr>
          <w:b/>
          <w:sz w:val="24"/>
          <w:szCs w:val="24"/>
        </w:rPr>
      </w:pPr>
      <w:r w:rsidRPr="00C84483">
        <w:rPr>
          <w:b/>
          <w:sz w:val="24"/>
          <w:szCs w:val="24"/>
        </w:rPr>
        <w:t>PRODUKTRESUMÉ</w:t>
      </w:r>
    </w:p>
    <w:p w:rsidR="00812371" w:rsidRPr="00C84483" w:rsidRDefault="00812371" w:rsidP="009F7CE8">
      <w:pPr>
        <w:rPr>
          <w:b/>
          <w:sz w:val="24"/>
          <w:szCs w:val="24"/>
        </w:rPr>
      </w:pPr>
    </w:p>
    <w:p w:rsidR="00812371" w:rsidRPr="00C84483" w:rsidRDefault="00812371" w:rsidP="00812371">
      <w:pPr>
        <w:jc w:val="center"/>
        <w:rPr>
          <w:b/>
          <w:sz w:val="24"/>
          <w:szCs w:val="24"/>
        </w:rPr>
      </w:pPr>
      <w:r w:rsidRPr="00C84483">
        <w:rPr>
          <w:b/>
          <w:sz w:val="24"/>
          <w:szCs w:val="24"/>
        </w:rPr>
        <w:t>for</w:t>
      </w:r>
    </w:p>
    <w:p w:rsidR="00812371" w:rsidRPr="00C84483" w:rsidRDefault="00812371" w:rsidP="00812371">
      <w:pPr>
        <w:jc w:val="center"/>
        <w:rPr>
          <w:b/>
          <w:sz w:val="24"/>
          <w:szCs w:val="24"/>
        </w:rPr>
      </w:pPr>
    </w:p>
    <w:p w:rsidR="00812371" w:rsidRDefault="00812371" w:rsidP="00812371">
      <w:pPr>
        <w:jc w:val="center"/>
        <w:rPr>
          <w:b/>
          <w:sz w:val="24"/>
          <w:szCs w:val="24"/>
        </w:rPr>
      </w:pPr>
      <w:proofErr w:type="spellStart"/>
      <w:r>
        <w:rPr>
          <w:b/>
          <w:sz w:val="24"/>
          <w:szCs w:val="24"/>
        </w:rPr>
        <w:t>Iqymune</w:t>
      </w:r>
      <w:proofErr w:type="spellEnd"/>
      <w:r>
        <w:rPr>
          <w:b/>
          <w:sz w:val="24"/>
          <w:szCs w:val="24"/>
        </w:rPr>
        <w:t>, infusionsvæske, opløsning</w:t>
      </w:r>
    </w:p>
    <w:p w:rsidR="00812371" w:rsidRDefault="00812371" w:rsidP="00812371">
      <w:pPr>
        <w:jc w:val="both"/>
        <w:rPr>
          <w:sz w:val="24"/>
          <w:szCs w:val="24"/>
          <w:lang w:eastAsia="fr-FR"/>
        </w:rPr>
      </w:pPr>
    </w:p>
    <w:p w:rsidR="00812371" w:rsidRPr="00C84483" w:rsidRDefault="00812371" w:rsidP="00812371">
      <w:pPr>
        <w:jc w:val="both"/>
        <w:rPr>
          <w:sz w:val="24"/>
          <w:szCs w:val="24"/>
        </w:rPr>
      </w:pPr>
    </w:p>
    <w:p w:rsidR="00812371" w:rsidRPr="00CE6FA2" w:rsidRDefault="00812371" w:rsidP="00812371">
      <w:pPr>
        <w:ind w:left="851" w:hanging="851"/>
        <w:jc w:val="both"/>
        <w:rPr>
          <w:sz w:val="24"/>
          <w:szCs w:val="24"/>
        </w:rPr>
      </w:pPr>
    </w:p>
    <w:p w:rsidR="00812371" w:rsidRPr="00CE6FA2" w:rsidRDefault="00812371" w:rsidP="00812371">
      <w:pPr>
        <w:ind w:left="851" w:hanging="851"/>
        <w:rPr>
          <w:b/>
          <w:sz w:val="24"/>
          <w:szCs w:val="24"/>
        </w:rPr>
      </w:pPr>
      <w:r w:rsidRPr="00CE6FA2">
        <w:rPr>
          <w:b/>
          <w:sz w:val="24"/>
          <w:szCs w:val="24"/>
        </w:rPr>
        <w:t>0.</w:t>
      </w:r>
      <w:r w:rsidRPr="00CE6FA2">
        <w:rPr>
          <w:b/>
          <w:sz w:val="24"/>
          <w:szCs w:val="24"/>
        </w:rPr>
        <w:tab/>
        <w:t>D.SP.NR.</w:t>
      </w:r>
    </w:p>
    <w:p w:rsidR="00812371" w:rsidRPr="00CE6FA2" w:rsidRDefault="00812371" w:rsidP="00812371">
      <w:pPr>
        <w:ind w:left="851" w:hanging="851"/>
        <w:rPr>
          <w:sz w:val="24"/>
          <w:szCs w:val="24"/>
        </w:rPr>
      </w:pPr>
      <w:r w:rsidRPr="00CE6FA2">
        <w:rPr>
          <w:sz w:val="24"/>
          <w:szCs w:val="24"/>
        </w:rPr>
        <w:tab/>
        <w:t>29464</w:t>
      </w:r>
    </w:p>
    <w:p w:rsidR="00812371" w:rsidRPr="00CE6FA2" w:rsidRDefault="00812371" w:rsidP="00812371">
      <w:pPr>
        <w:ind w:left="851" w:hanging="851"/>
        <w:rPr>
          <w:sz w:val="24"/>
          <w:szCs w:val="24"/>
        </w:rPr>
      </w:pPr>
    </w:p>
    <w:p w:rsidR="00812371" w:rsidRPr="00CE6FA2" w:rsidRDefault="00812371" w:rsidP="00812371">
      <w:pPr>
        <w:ind w:left="851" w:hanging="851"/>
        <w:rPr>
          <w:b/>
          <w:sz w:val="24"/>
          <w:szCs w:val="24"/>
        </w:rPr>
      </w:pPr>
      <w:r w:rsidRPr="00CE6FA2">
        <w:rPr>
          <w:b/>
          <w:sz w:val="24"/>
          <w:szCs w:val="24"/>
        </w:rPr>
        <w:t>1.</w:t>
      </w:r>
      <w:r w:rsidRPr="00CE6FA2">
        <w:rPr>
          <w:b/>
          <w:sz w:val="24"/>
          <w:szCs w:val="24"/>
        </w:rPr>
        <w:tab/>
        <w:t>LÆGEMIDLETS NAVN</w:t>
      </w:r>
    </w:p>
    <w:p w:rsidR="00812371" w:rsidRPr="00CE6FA2" w:rsidRDefault="00812371" w:rsidP="00812371">
      <w:pPr>
        <w:ind w:left="851" w:hanging="851"/>
        <w:rPr>
          <w:sz w:val="24"/>
          <w:szCs w:val="24"/>
        </w:rPr>
      </w:pPr>
      <w:r w:rsidRPr="00CE6FA2">
        <w:rPr>
          <w:sz w:val="24"/>
          <w:szCs w:val="24"/>
        </w:rPr>
        <w:tab/>
      </w:r>
      <w:proofErr w:type="spellStart"/>
      <w:r w:rsidRPr="00CE6FA2">
        <w:rPr>
          <w:sz w:val="24"/>
          <w:szCs w:val="24"/>
        </w:rPr>
        <w:t>Iqymune</w:t>
      </w:r>
      <w:proofErr w:type="spellEnd"/>
    </w:p>
    <w:p w:rsidR="00812371" w:rsidRPr="00CE6FA2" w:rsidRDefault="00812371" w:rsidP="00812371">
      <w:pPr>
        <w:ind w:left="851" w:hanging="851"/>
        <w:rPr>
          <w:sz w:val="24"/>
          <w:szCs w:val="24"/>
        </w:rPr>
      </w:pPr>
      <w:r w:rsidRPr="00CE6FA2">
        <w:rPr>
          <w:sz w:val="24"/>
          <w:szCs w:val="24"/>
        </w:rPr>
        <w:tab/>
      </w:r>
    </w:p>
    <w:p w:rsidR="00812371" w:rsidRPr="00CE6FA2" w:rsidRDefault="00812371" w:rsidP="00812371">
      <w:pPr>
        <w:ind w:left="851" w:hanging="851"/>
        <w:rPr>
          <w:b/>
          <w:sz w:val="24"/>
          <w:szCs w:val="24"/>
        </w:rPr>
      </w:pPr>
      <w:r w:rsidRPr="00CE6FA2">
        <w:rPr>
          <w:b/>
          <w:sz w:val="24"/>
          <w:szCs w:val="24"/>
        </w:rPr>
        <w:t>2.</w:t>
      </w:r>
      <w:r w:rsidRPr="00CE6FA2">
        <w:rPr>
          <w:b/>
          <w:sz w:val="24"/>
          <w:szCs w:val="24"/>
        </w:rPr>
        <w:tab/>
        <w:t>KVALITATIV OG KVANTITATIV SAMMENSÆTNING</w:t>
      </w:r>
    </w:p>
    <w:p w:rsidR="00812371" w:rsidRPr="00CE6FA2" w:rsidRDefault="00812371" w:rsidP="00812371">
      <w:pPr>
        <w:pStyle w:val="Brdtekst"/>
        <w:ind w:left="851" w:hanging="851"/>
        <w:jc w:val="left"/>
        <w:rPr>
          <w:sz w:val="24"/>
          <w:szCs w:val="24"/>
          <w:lang w:val="da-DK"/>
        </w:rPr>
      </w:pPr>
      <w:r w:rsidRPr="00CE6FA2">
        <w:rPr>
          <w:sz w:val="24"/>
          <w:szCs w:val="24"/>
          <w:lang w:val="da-DK"/>
        </w:rPr>
        <w:tab/>
        <w:t xml:space="preserve">Humant normalt </w:t>
      </w:r>
      <w:proofErr w:type="spellStart"/>
      <w:r w:rsidRPr="00CE6FA2">
        <w:rPr>
          <w:sz w:val="24"/>
          <w:szCs w:val="24"/>
          <w:lang w:val="da-DK"/>
        </w:rPr>
        <w:t>immunglobulin</w:t>
      </w:r>
      <w:proofErr w:type="spellEnd"/>
      <w:r w:rsidRPr="00CE6FA2">
        <w:rPr>
          <w:sz w:val="24"/>
          <w:szCs w:val="24"/>
          <w:lang w:val="da-DK"/>
        </w:rPr>
        <w:t xml:space="preserve"> (</w:t>
      </w:r>
      <w:proofErr w:type="spellStart"/>
      <w:r w:rsidRPr="00CE6FA2">
        <w:rPr>
          <w:sz w:val="24"/>
          <w:szCs w:val="24"/>
          <w:lang w:val="da-DK"/>
        </w:rPr>
        <w:t>IVIg</w:t>
      </w:r>
      <w:proofErr w:type="spellEnd"/>
      <w:r w:rsidRPr="00CE6FA2">
        <w:rPr>
          <w:sz w:val="24"/>
          <w:szCs w:val="24"/>
          <w:lang w:val="da-DK"/>
        </w:rPr>
        <w:t>)</w:t>
      </w:r>
    </w:p>
    <w:p w:rsidR="00812371" w:rsidRPr="00CE6FA2" w:rsidRDefault="00812371" w:rsidP="00812371">
      <w:pPr>
        <w:pStyle w:val="Brdtekst"/>
        <w:ind w:left="851"/>
        <w:jc w:val="left"/>
        <w:rPr>
          <w:sz w:val="24"/>
          <w:szCs w:val="24"/>
          <w:lang w:val="da-DK"/>
        </w:rPr>
      </w:pPr>
      <w:r w:rsidRPr="00CE6FA2">
        <w:rPr>
          <w:sz w:val="24"/>
          <w:szCs w:val="24"/>
          <w:lang w:val="da-DK"/>
        </w:rPr>
        <w:t>1 m</w:t>
      </w:r>
      <w:r>
        <w:rPr>
          <w:sz w:val="24"/>
          <w:szCs w:val="24"/>
          <w:lang w:val="da-DK"/>
        </w:rPr>
        <w:t>l</w:t>
      </w:r>
      <w:r w:rsidRPr="00CE6FA2">
        <w:rPr>
          <w:sz w:val="24"/>
          <w:szCs w:val="24"/>
          <w:lang w:val="da-DK"/>
        </w:rPr>
        <w:t xml:space="preserve"> indeholder:</w:t>
      </w:r>
    </w:p>
    <w:p w:rsidR="00812371" w:rsidRPr="00CE6FA2" w:rsidRDefault="00812371" w:rsidP="00812371">
      <w:pPr>
        <w:pStyle w:val="CorpsdetexteSuite"/>
        <w:tabs>
          <w:tab w:val="left" w:leader="dot" w:pos="6663"/>
        </w:tabs>
        <w:ind w:left="851"/>
        <w:jc w:val="left"/>
        <w:rPr>
          <w:sz w:val="24"/>
          <w:szCs w:val="24"/>
          <w:lang w:val="da-DK"/>
        </w:rPr>
      </w:pPr>
      <w:r w:rsidRPr="00CE6FA2">
        <w:rPr>
          <w:sz w:val="24"/>
          <w:szCs w:val="24"/>
          <w:lang w:val="da-DK"/>
        </w:rPr>
        <w:t xml:space="preserve">Humant normalt </w:t>
      </w:r>
      <w:proofErr w:type="spellStart"/>
      <w:r w:rsidRPr="00CE6FA2">
        <w:rPr>
          <w:sz w:val="24"/>
          <w:szCs w:val="24"/>
          <w:lang w:val="da-DK"/>
        </w:rPr>
        <w:t>immunglobulin</w:t>
      </w:r>
      <w:proofErr w:type="spellEnd"/>
      <w:r>
        <w:rPr>
          <w:sz w:val="24"/>
          <w:szCs w:val="24"/>
          <w:lang w:val="da-DK"/>
        </w:rPr>
        <w:tab/>
      </w:r>
      <w:r w:rsidRPr="00CE6FA2">
        <w:rPr>
          <w:sz w:val="24"/>
          <w:szCs w:val="24"/>
          <w:lang w:val="da-DK"/>
        </w:rPr>
        <w:t>100 mg</w:t>
      </w:r>
    </w:p>
    <w:p w:rsidR="00812371" w:rsidRPr="00CE6FA2" w:rsidRDefault="00812371" w:rsidP="00812371">
      <w:pPr>
        <w:pStyle w:val="CorpsdetexteSuite"/>
        <w:ind w:left="851"/>
        <w:jc w:val="left"/>
        <w:rPr>
          <w:sz w:val="24"/>
          <w:szCs w:val="24"/>
          <w:lang w:val="da-DK"/>
        </w:rPr>
      </w:pPr>
      <w:r w:rsidRPr="00CE6FA2">
        <w:rPr>
          <w:sz w:val="24"/>
          <w:szCs w:val="24"/>
          <w:lang w:val="da-DK"/>
        </w:rPr>
        <w:t xml:space="preserve">(renhed på mindst 95 % </w:t>
      </w:r>
      <w:proofErr w:type="spellStart"/>
      <w:r w:rsidRPr="00CE6FA2">
        <w:rPr>
          <w:sz w:val="24"/>
          <w:szCs w:val="24"/>
          <w:lang w:val="da-DK"/>
        </w:rPr>
        <w:t>IgG</w:t>
      </w:r>
      <w:proofErr w:type="spellEnd"/>
      <w:r w:rsidRPr="00CE6FA2">
        <w:rPr>
          <w:sz w:val="24"/>
          <w:szCs w:val="24"/>
          <w:lang w:val="da-DK"/>
        </w:rPr>
        <w:t>)</w:t>
      </w:r>
    </w:p>
    <w:p w:rsidR="00812371" w:rsidRPr="00CE6FA2" w:rsidRDefault="00812371" w:rsidP="00812371">
      <w:pPr>
        <w:pStyle w:val="Brdtekst"/>
        <w:ind w:left="851" w:hanging="851"/>
        <w:jc w:val="left"/>
        <w:rPr>
          <w:sz w:val="24"/>
          <w:szCs w:val="24"/>
          <w:lang w:val="da-DK"/>
        </w:rPr>
      </w:pPr>
    </w:p>
    <w:p w:rsidR="00812371" w:rsidRPr="00CE6FA2" w:rsidRDefault="00812371" w:rsidP="00812371">
      <w:pPr>
        <w:pStyle w:val="Brdtekst"/>
        <w:ind w:left="851"/>
        <w:jc w:val="left"/>
        <w:rPr>
          <w:sz w:val="24"/>
          <w:szCs w:val="24"/>
          <w:lang w:val="da-DK"/>
        </w:rPr>
      </w:pPr>
      <w:r w:rsidRPr="00CE6FA2">
        <w:rPr>
          <w:sz w:val="24"/>
          <w:szCs w:val="24"/>
          <w:lang w:val="da-DK"/>
        </w:rPr>
        <w:t>Hvert hætteglas på 20 m</w:t>
      </w:r>
      <w:r>
        <w:rPr>
          <w:sz w:val="24"/>
          <w:szCs w:val="24"/>
          <w:lang w:val="da-DK"/>
        </w:rPr>
        <w:t>l</w:t>
      </w:r>
      <w:r w:rsidRPr="00CE6FA2">
        <w:rPr>
          <w:sz w:val="24"/>
          <w:szCs w:val="24"/>
          <w:lang w:val="da-DK"/>
        </w:rPr>
        <w:t xml:space="preserve"> indeholder: 2 g humant normalt </w:t>
      </w:r>
      <w:proofErr w:type="spellStart"/>
      <w:r w:rsidRPr="00CE6FA2">
        <w:rPr>
          <w:sz w:val="24"/>
          <w:szCs w:val="24"/>
          <w:lang w:val="da-DK"/>
        </w:rPr>
        <w:t>immunglobulin</w:t>
      </w:r>
      <w:proofErr w:type="spellEnd"/>
    </w:p>
    <w:p w:rsidR="00812371" w:rsidRPr="00CE6FA2" w:rsidRDefault="00812371" w:rsidP="00812371">
      <w:pPr>
        <w:pStyle w:val="CorpsdetexteSuite"/>
        <w:ind w:left="851"/>
        <w:jc w:val="left"/>
        <w:rPr>
          <w:sz w:val="24"/>
          <w:szCs w:val="24"/>
          <w:lang w:val="da-DK"/>
        </w:rPr>
      </w:pPr>
      <w:r w:rsidRPr="00CE6FA2">
        <w:rPr>
          <w:sz w:val="24"/>
          <w:szCs w:val="24"/>
          <w:lang w:val="da-DK"/>
        </w:rPr>
        <w:t>Hvert hætteglas på 50 m</w:t>
      </w:r>
      <w:r>
        <w:rPr>
          <w:sz w:val="24"/>
          <w:szCs w:val="24"/>
          <w:lang w:val="da-DK"/>
        </w:rPr>
        <w:t>l</w:t>
      </w:r>
      <w:r w:rsidRPr="00CE6FA2">
        <w:rPr>
          <w:sz w:val="24"/>
          <w:szCs w:val="24"/>
          <w:lang w:val="da-DK"/>
        </w:rPr>
        <w:t xml:space="preserve"> indeholder: 5 g humant normalt </w:t>
      </w:r>
      <w:proofErr w:type="spellStart"/>
      <w:r w:rsidRPr="00CE6FA2">
        <w:rPr>
          <w:sz w:val="24"/>
          <w:szCs w:val="24"/>
          <w:lang w:val="da-DK"/>
        </w:rPr>
        <w:t>immunglobulin</w:t>
      </w:r>
      <w:proofErr w:type="spellEnd"/>
    </w:p>
    <w:p w:rsidR="00812371" w:rsidRPr="00CE6FA2" w:rsidRDefault="00812371" w:rsidP="00812371">
      <w:pPr>
        <w:pStyle w:val="CorpsdetexteSuite"/>
        <w:ind w:left="851"/>
        <w:jc w:val="left"/>
        <w:rPr>
          <w:sz w:val="24"/>
          <w:szCs w:val="24"/>
          <w:lang w:val="da-DK"/>
        </w:rPr>
      </w:pPr>
      <w:r w:rsidRPr="00CE6FA2">
        <w:rPr>
          <w:sz w:val="24"/>
          <w:szCs w:val="24"/>
          <w:lang w:val="da-DK"/>
        </w:rPr>
        <w:t>Hvert hætteglas på 100 m</w:t>
      </w:r>
      <w:r>
        <w:rPr>
          <w:sz w:val="24"/>
          <w:szCs w:val="24"/>
          <w:lang w:val="da-DK"/>
        </w:rPr>
        <w:t>l</w:t>
      </w:r>
      <w:r w:rsidRPr="00CE6FA2">
        <w:rPr>
          <w:sz w:val="24"/>
          <w:szCs w:val="24"/>
          <w:lang w:val="da-DK"/>
        </w:rPr>
        <w:t xml:space="preserve"> indeholder: 10 g humant normalt </w:t>
      </w:r>
      <w:proofErr w:type="spellStart"/>
      <w:r w:rsidRPr="00CE6FA2">
        <w:rPr>
          <w:sz w:val="24"/>
          <w:szCs w:val="24"/>
          <w:lang w:val="da-DK"/>
        </w:rPr>
        <w:t>immunglobulin</w:t>
      </w:r>
      <w:proofErr w:type="spellEnd"/>
    </w:p>
    <w:p w:rsidR="00812371" w:rsidRPr="00CE6FA2" w:rsidRDefault="00812371" w:rsidP="00812371">
      <w:pPr>
        <w:pStyle w:val="CorpsdetexteSuite"/>
        <w:ind w:left="851"/>
        <w:jc w:val="left"/>
        <w:rPr>
          <w:sz w:val="24"/>
          <w:szCs w:val="24"/>
          <w:lang w:val="da-DK"/>
        </w:rPr>
      </w:pPr>
      <w:r w:rsidRPr="00CE6FA2">
        <w:rPr>
          <w:sz w:val="24"/>
          <w:szCs w:val="24"/>
          <w:lang w:val="da-DK"/>
        </w:rPr>
        <w:t>Hvert hætteglas på 200 m</w:t>
      </w:r>
      <w:r>
        <w:rPr>
          <w:sz w:val="24"/>
          <w:szCs w:val="24"/>
          <w:lang w:val="da-DK"/>
        </w:rPr>
        <w:t>l</w:t>
      </w:r>
      <w:r w:rsidRPr="00CE6FA2">
        <w:rPr>
          <w:sz w:val="24"/>
          <w:szCs w:val="24"/>
          <w:lang w:val="da-DK"/>
        </w:rPr>
        <w:t xml:space="preserve"> indeholder: 20 g humant normalt </w:t>
      </w:r>
      <w:proofErr w:type="spellStart"/>
      <w:r w:rsidRPr="00CE6FA2">
        <w:rPr>
          <w:sz w:val="24"/>
          <w:szCs w:val="24"/>
          <w:lang w:val="da-DK"/>
        </w:rPr>
        <w:t>immunglobulin</w:t>
      </w:r>
      <w:proofErr w:type="spellEnd"/>
    </w:p>
    <w:p w:rsidR="00812371" w:rsidRPr="00CE6FA2" w:rsidRDefault="00812371" w:rsidP="00812371">
      <w:pPr>
        <w:pStyle w:val="CorpsdetexteSuite"/>
        <w:ind w:left="851" w:hanging="851"/>
        <w:jc w:val="left"/>
        <w:rPr>
          <w:sz w:val="24"/>
          <w:szCs w:val="24"/>
          <w:lang w:val="da-DK"/>
        </w:rPr>
      </w:pPr>
    </w:p>
    <w:p w:rsidR="00812371" w:rsidRPr="00CE6FA2" w:rsidRDefault="00812371" w:rsidP="00812371">
      <w:pPr>
        <w:pStyle w:val="Brdtekst"/>
        <w:ind w:left="851"/>
        <w:jc w:val="left"/>
        <w:rPr>
          <w:sz w:val="24"/>
          <w:szCs w:val="24"/>
          <w:lang w:val="da-DK"/>
        </w:rPr>
      </w:pPr>
      <w:r w:rsidRPr="00CE6FA2">
        <w:rPr>
          <w:sz w:val="24"/>
          <w:szCs w:val="24"/>
          <w:lang w:val="da-DK"/>
        </w:rPr>
        <w:t xml:space="preserve">Fordeling af </w:t>
      </w:r>
      <w:proofErr w:type="spellStart"/>
      <w:r w:rsidRPr="00CE6FA2">
        <w:rPr>
          <w:sz w:val="24"/>
          <w:szCs w:val="24"/>
          <w:lang w:val="da-DK"/>
        </w:rPr>
        <w:t>IgG</w:t>
      </w:r>
      <w:proofErr w:type="spellEnd"/>
      <w:r w:rsidRPr="00CE6FA2">
        <w:rPr>
          <w:sz w:val="24"/>
          <w:szCs w:val="24"/>
          <w:lang w:val="da-DK"/>
        </w:rPr>
        <w:noBreakHyphen/>
        <w:t>underklasser (</w:t>
      </w:r>
      <w:proofErr w:type="spellStart"/>
      <w:r w:rsidRPr="00CE6FA2">
        <w:rPr>
          <w:sz w:val="24"/>
          <w:szCs w:val="24"/>
          <w:lang w:val="da-DK"/>
        </w:rPr>
        <w:t>cirkaværdier</w:t>
      </w:r>
      <w:proofErr w:type="spellEnd"/>
      <w:r w:rsidRPr="00CE6FA2">
        <w:rPr>
          <w:sz w:val="24"/>
          <w:szCs w:val="24"/>
          <w:lang w:val="da-DK"/>
        </w:rPr>
        <w:t>):</w:t>
      </w:r>
    </w:p>
    <w:p w:rsidR="00812371" w:rsidRPr="00CE6FA2" w:rsidRDefault="00812371" w:rsidP="00812371">
      <w:pPr>
        <w:pStyle w:val="CorpsdetexteSuite"/>
        <w:ind w:left="851"/>
        <w:jc w:val="left"/>
        <w:rPr>
          <w:sz w:val="24"/>
          <w:szCs w:val="24"/>
          <w:lang w:val="da-DK"/>
        </w:rPr>
      </w:pPr>
      <w:r w:rsidRPr="00CE6FA2">
        <w:rPr>
          <w:sz w:val="24"/>
          <w:szCs w:val="24"/>
          <w:lang w:val="da-DK"/>
        </w:rPr>
        <w:t>IgG1</w:t>
      </w:r>
      <w:r w:rsidRPr="00CE6FA2">
        <w:rPr>
          <w:sz w:val="24"/>
          <w:szCs w:val="24"/>
          <w:lang w:val="da-DK"/>
        </w:rPr>
        <w:tab/>
        <w:t>60 – 70 %</w:t>
      </w:r>
    </w:p>
    <w:p w:rsidR="00812371" w:rsidRPr="00CE6FA2" w:rsidRDefault="00812371" w:rsidP="00812371">
      <w:pPr>
        <w:pStyle w:val="CorpsdetexteSuite"/>
        <w:ind w:left="851"/>
        <w:jc w:val="left"/>
        <w:rPr>
          <w:sz w:val="24"/>
          <w:szCs w:val="24"/>
          <w:lang w:val="da-DK"/>
        </w:rPr>
      </w:pPr>
      <w:r w:rsidRPr="00CE6FA2">
        <w:rPr>
          <w:sz w:val="24"/>
          <w:szCs w:val="24"/>
          <w:lang w:val="da-DK"/>
        </w:rPr>
        <w:t>IgG2</w:t>
      </w:r>
      <w:r w:rsidRPr="00CE6FA2">
        <w:rPr>
          <w:sz w:val="24"/>
          <w:szCs w:val="24"/>
          <w:lang w:val="da-DK"/>
        </w:rPr>
        <w:tab/>
        <w:t>30 – 35 %</w:t>
      </w:r>
    </w:p>
    <w:p w:rsidR="00812371" w:rsidRPr="00CE6FA2" w:rsidRDefault="00812371" w:rsidP="00812371">
      <w:pPr>
        <w:pStyle w:val="CorpsdetexteSuite"/>
        <w:ind w:left="851"/>
        <w:jc w:val="left"/>
        <w:rPr>
          <w:sz w:val="24"/>
          <w:szCs w:val="24"/>
          <w:lang w:val="da-DK"/>
        </w:rPr>
      </w:pPr>
      <w:r w:rsidRPr="00CE6FA2">
        <w:rPr>
          <w:sz w:val="24"/>
          <w:szCs w:val="24"/>
          <w:lang w:val="da-DK"/>
        </w:rPr>
        <w:t>IgG3</w:t>
      </w:r>
      <w:r w:rsidRPr="00CE6FA2">
        <w:rPr>
          <w:sz w:val="24"/>
          <w:szCs w:val="24"/>
          <w:lang w:val="da-DK"/>
        </w:rPr>
        <w:tab/>
        <w:t>2 %</w:t>
      </w:r>
    </w:p>
    <w:p w:rsidR="00812371" w:rsidRPr="00CE6FA2" w:rsidRDefault="00812371" w:rsidP="00812371">
      <w:pPr>
        <w:pStyle w:val="CorpsdetexteSuite"/>
        <w:ind w:left="851"/>
        <w:jc w:val="left"/>
        <w:rPr>
          <w:sz w:val="24"/>
          <w:szCs w:val="24"/>
          <w:lang w:val="da-DK"/>
        </w:rPr>
      </w:pPr>
      <w:r w:rsidRPr="00CE6FA2">
        <w:rPr>
          <w:sz w:val="24"/>
          <w:szCs w:val="24"/>
          <w:lang w:val="da-DK"/>
        </w:rPr>
        <w:t>IgG4</w:t>
      </w:r>
      <w:r w:rsidRPr="00CE6FA2">
        <w:rPr>
          <w:sz w:val="24"/>
          <w:szCs w:val="24"/>
          <w:lang w:val="da-DK"/>
        </w:rPr>
        <w:tab/>
        <w:t>1 – 2 %</w:t>
      </w:r>
    </w:p>
    <w:p w:rsidR="00812371" w:rsidRPr="00CE6FA2" w:rsidRDefault="00812371" w:rsidP="00812371">
      <w:pPr>
        <w:pStyle w:val="Brdtekst"/>
        <w:ind w:left="851" w:hanging="851"/>
        <w:jc w:val="left"/>
        <w:rPr>
          <w:sz w:val="24"/>
          <w:szCs w:val="24"/>
          <w:lang w:val="da-DK"/>
        </w:rPr>
      </w:pPr>
    </w:p>
    <w:p w:rsidR="00812371" w:rsidRPr="00CE6FA2" w:rsidRDefault="00812371" w:rsidP="00812371">
      <w:pPr>
        <w:pStyle w:val="Brdtekst"/>
        <w:ind w:left="851"/>
        <w:jc w:val="left"/>
        <w:rPr>
          <w:sz w:val="24"/>
          <w:szCs w:val="24"/>
          <w:lang w:val="da-DK"/>
        </w:rPr>
      </w:pPr>
      <w:r w:rsidRPr="00CE6FA2">
        <w:rPr>
          <w:sz w:val="24"/>
          <w:szCs w:val="24"/>
          <w:lang w:val="da-DK"/>
        </w:rPr>
        <w:t xml:space="preserve">Maksimumindholdet af </w:t>
      </w:r>
      <w:proofErr w:type="spellStart"/>
      <w:r w:rsidRPr="00CE6FA2">
        <w:rPr>
          <w:sz w:val="24"/>
          <w:szCs w:val="24"/>
          <w:lang w:val="da-DK"/>
        </w:rPr>
        <w:t>IgA</w:t>
      </w:r>
      <w:proofErr w:type="spellEnd"/>
      <w:r w:rsidRPr="00CE6FA2">
        <w:rPr>
          <w:sz w:val="24"/>
          <w:szCs w:val="24"/>
          <w:lang w:val="da-DK"/>
        </w:rPr>
        <w:t xml:space="preserve"> er 28 mikrogram/m</w:t>
      </w:r>
      <w:r>
        <w:rPr>
          <w:sz w:val="24"/>
          <w:szCs w:val="24"/>
          <w:lang w:val="da-DK"/>
        </w:rPr>
        <w:t>l</w:t>
      </w:r>
      <w:r w:rsidRPr="00CE6FA2">
        <w:rPr>
          <w:sz w:val="24"/>
          <w:szCs w:val="24"/>
          <w:lang w:val="da-DK"/>
        </w:rPr>
        <w:t>.</w:t>
      </w:r>
    </w:p>
    <w:p w:rsidR="00812371" w:rsidRPr="00CE6FA2" w:rsidRDefault="00812371" w:rsidP="00812371">
      <w:pPr>
        <w:pStyle w:val="Brdtekst"/>
        <w:ind w:left="851" w:hanging="851"/>
        <w:jc w:val="left"/>
        <w:rPr>
          <w:sz w:val="24"/>
          <w:szCs w:val="24"/>
          <w:lang w:val="da-DK"/>
        </w:rPr>
      </w:pPr>
    </w:p>
    <w:p w:rsidR="00812371" w:rsidRPr="00CE6FA2" w:rsidRDefault="00812371" w:rsidP="00812371">
      <w:pPr>
        <w:pStyle w:val="Brdtekst"/>
        <w:ind w:left="851"/>
        <w:jc w:val="left"/>
        <w:rPr>
          <w:sz w:val="24"/>
          <w:szCs w:val="24"/>
          <w:lang w:val="da-DK"/>
        </w:rPr>
      </w:pPr>
      <w:r w:rsidRPr="00CE6FA2">
        <w:rPr>
          <w:sz w:val="24"/>
          <w:szCs w:val="24"/>
          <w:lang w:val="da-DK"/>
        </w:rPr>
        <w:t>Produceret af plasma fra humandonorer.</w:t>
      </w:r>
    </w:p>
    <w:p w:rsidR="00812371" w:rsidRPr="00CE6FA2" w:rsidRDefault="00812371" w:rsidP="00812371">
      <w:pPr>
        <w:pStyle w:val="Brdtekst"/>
        <w:ind w:left="851" w:hanging="851"/>
        <w:jc w:val="left"/>
        <w:rPr>
          <w:sz w:val="24"/>
          <w:szCs w:val="24"/>
          <w:lang w:val="da-DK"/>
        </w:rPr>
      </w:pPr>
    </w:p>
    <w:p w:rsidR="00CD6ABB" w:rsidRPr="00CD6ABB" w:rsidRDefault="00812371" w:rsidP="00CD6ABB">
      <w:pPr>
        <w:pStyle w:val="Brdtekst"/>
        <w:ind w:left="851"/>
        <w:jc w:val="left"/>
        <w:rPr>
          <w:sz w:val="24"/>
          <w:szCs w:val="24"/>
          <w:lang w:val="da-DK"/>
        </w:rPr>
      </w:pPr>
      <w:r w:rsidRPr="00CE6FA2">
        <w:rPr>
          <w:sz w:val="24"/>
          <w:szCs w:val="24"/>
          <w:lang w:val="da-DK"/>
        </w:rPr>
        <w:t>Alle hjælpestoffer er anført under pkt. 6.1.</w:t>
      </w:r>
    </w:p>
    <w:p w:rsidR="00812371" w:rsidRDefault="00812371" w:rsidP="00812371">
      <w:pPr>
        <w:ind w:left="851" w:hanging="851"/>
        <w:rPr>
          <w:sz w:val="24"/>
          <w:szCs w:val="24"/>
        </w:rPr>
      </w:pPr>
    </w:p>
    <w:p w:rsidR="00426218" w:rsidRPr="00CE6FA2" w:rsidRDefault="00426218" w:rsidP="00C50630">
      <w:pPr>
        <w:rPr>
          <w:sz w:val="24"/>
          <w:szCs w:val="24"/>
        </w:rPr>
      </w:pPr>
    </w:p>
    <w:p w:rsidR="00812371" w:rsidRPr="00CE6FA2" w:rsidRDefault="00812371" w:rsidP="00812371">
      <w:pPr>
        <w:ind w:left="851" w:hanging="851"/>
        <w:rPr>
          <w:b/>
          <w:sz w:val="24"/>
          <w:szCs w:val="24"/>
        </w:rPr>
      </w:pPr>
      <w:r w:rsidRPr="00CE6FA2">
        <w:rPr>
          <w:b/>
          <w:sz w:val="24"/>
          <w:szCs w:val="24"/>
        </w:rPr>
        <w:t>3.</w:t>
      </w:r>
      <w:r w:rsidRPr="00CE6FA2">
        <w:rPr>
          <w:b/>
          <w:sz w:val="24"/>
          <w:szCs w:val="24"/>
        </w:rPr>
        <w:tab/>
        <w:t>LÆGEMIDDELFORM</w:t>
      </w:r>
    </w:p>
    <w:p w:rsidR="00812371" w:rsidRPr="00CE6FA2" w:rsidRDefault="00812371" w:rsidP="00812371">
      <w:pPr>
        <w:pStyle w:val="Brdtekst"/>
        <w:ind w:left="851"/>
        <w:jc w:val="left"/>
        <w:rPr>
          <w:sz w:val="24"/>
          <w:szCs w:val="24"/>
          <w:lang w:val="da-DK"/>
        </w:rPr>
      </w:pPr>
      <w:r w:rsidRPr="00CE6FA2">
        <w:rPr>
          <w:sz w:val="24"/>
          <w:szCs w:val="24"/>
          <w:lang w:val="da-DK"/>
        </w:rPr>
        <w:t>Infusionsvæske, opløsning.</w:t>
      </w:r>
    </w:p>
    <w:p w:rsidR="00812371" w:rsidRPr="00CE6FA2" w:rsidRDefault="00812371" w:rsidP="00812371">
      <w:pPr>
        <w:pStyle w:val="Brdtekst"/>
        <w:ind w:left="851" w:hanging="851"/>
        <w:jc w:val="left"/>
        <w:rPr>
          <w:sz w:val="24"/>
          <w:szCs w:val="24"/>
          <w:lang w:val="da-DK"/>
        </w:rPr>
      </w:pPr>
    </w:p>
    <w:p w:rsidR="00CD6ABB" w:rsidRPr="00CE6FA2" w:rsidRDefault="00812371" w:rsidP="00CD6ABB">
      <w:pPr>
        <w:pStyle w:val="Brdtekst"/>
        <w:ind w:left="851"/>
        <w:jc w:val="left"/>
        <w:rPr>
          <w:sz w:val="24"/>
          <w:szCs w:val="24"/>
          <w:lang w:val="da-DK"/>
        </w:rPr>
      </w:pPr>
      <w:r w:rsidRPr="00CE6FA2">
        <w:rPr>
          <w:sz w:val="24"/>
          <w:szCs w:val="24"/>
          <w:lang w:val="da-DK"/>
        </w:rPr>
        <w:t>Opløsningen er klar eller let uigennemsigtig</w:t>
      </w:r>
      <w:r w:rsidR="001159FC">
        <w:rPr>
          <w:sz w:val="24"/>
          <w:szCs w:val="24"/>
          <w:lang w:val="da-DK"/>
        </w:rPr>
        <w:t xml:space="preserve">, </w:t>
      </w:r>
      <w:r w:rsidR="001159FC" w:rsidRPr="001159FC">
        <w:rPr>
          <w:sz w:val="24"/>
          <w:szCs w:val="24"/>
          <w:lang w:val="da-DK"/>
        </w:rPr>
        <w:t>farveløs eller blegbrun eller bleggul.</w:t>
      </w:r>
    </w:p>
    <w:p w:rsidR="00812371" w:rsidRDefault="00812371" w:rsidP="00812371">
      <w:pPr>
        <w:rPr>
          <w:sz w:val="24"/>
          <w:szCs w:val="24"/>
        </w:rPr>
      </w:pPr>
    </w:p>
    <w:p w:rsidR="00812371" w:rsidRPr="00D06B21" w:rsidRDefault="00812371" w:rsidP="00812371">
      <w:pPr>
        <w:rPr>
          <w:sz w:val="24"/>
          <w:szCs w:val="24"/>
        </w:rPr>
      </w:pPr>
      <w:r>
        <w:rPr>
          <w:b/>
          <w:sz w:val="24"/>
          <w:szCs w:val="24"/>
        </w:rPr>
        <w:t xml:space="preserve">4.           </w:t>
      </w:r>
      <w:r w:rsidRPr="00CE6FA2">
        <w:rPr>
          <w:b/>
          <w:sz w:val="24"/>
          <w:szCs w:val="24"/>
        </w:rPr>
        <w:t>KLINISKE OPLYSNINGER</w:t>
      </w:r>
    </w:p>
    <w:p w:rsidR="00812371" w:rsidRPr="00CE6FA2" w:rsidRDefault="00812371" w:rsidP="00812371">
      <w:pPr>
        <w:ind w:left="851" w:hanging="851"/>
        <w:rPr>
          <w:b/>
          <w:sz w:val="24"/>
          <w:szCs w:val="24"/>
        </w:rPr>
      </w:pPr>
    </w:p>
    <w:p w:rsidR="00812371" w:rsidRPr="009F6DF7" w:rsidRDefault="00812371" w:rsidP="00812371">
      <w:pPr>
        <w:ind w:left="851" w:hanging="851"/>
        <w:rPr>
          <w:b/>
          <w:sz w:val="24"/>
          <w:szCs w:val="24"/>
          <w:u w:val="single"/>
        </w:rPr>
      </w:pPr>
      <w:r w:rsidRPr="00CE6FA2">
        <w:rPr>
          <w:b/>
          <w:sz w:val="24"/>
          <w:szCs w:val="24"/>
        </w:rPr>
        <w:t>4.1</w:t>
      </w:r>
      <w:r w:rsidRPr="00CE6FA2">
        <w:rPr>
          <w:b/>
          <w:sz w:val="24"/>
          <w:szCs w:val="24"/>
        </w:rPr>
        <w:tab/>
        <w:t>Terapeutiske indikationer</w:t>
      </w:r>
    </w:p>
    <w:p w:rsidR="004627B8" w:rsidRDefault="004627B8" w:rsidP="004627B8">
      <w:pPr>
        <w:pStyle w:val="Brdtekst"/>
        <w:jc w:val="left"/>
        <w:rPr>
          <w:szCs w:val="24"/>
          <w:u w:val="single"/>
          <w:lang w:val="da-DK"/>
        </w:rPr>
      </w:pPr>
    </w:p>
    <w:p w:rsidR="00C50630" w:rsidRDefault="00C50630" w:rsidP="00C50630">
      <w:pPr>
        <w:pStyle w:val="Brdtekst"/>
        <w:ind w:left="851"/>
        <w:jc w:val="left"/>
        <w:rPr>
          <w:sz w:val="24"/>
          <w:szCs w:val="24"/>
          <w:u w:val="single"/>
          <w:lang w:val="da-DK"/>
        </w:rPr>
      </w:pPr>
      <w:proofErr w:type="spellStart"/>
      <w:r>
        <w:rPr>
          <w:sz w:val="24"/>
          <w:szCs w:val="24"/>
          <w:u w:val="single"/>
          <w:lang w:val="da-DK"/>
        </w:rPr>
        <w:t>Substitutionssterapi</w:t>
      </w:r>
      <w:proofErr w:type="spellEnd"/>
      <w:r>
        <w:rPr>
          <w:sz w:val="24"/>
          <w:szCs w:val="24"/>
          <w:u w:val="single"/>
          <w:lang w:val="da-DK"/>
        </w:rPr>
        <w:t xml:space="preserve"> hos voksne, børn og unge (0</w:t>
      </w:r>
      <w:r>
        <w:rPr>
          <w:sz w:val="24"/>
          <w:szCs w:val="24"/>
          <w:u w:val="single"/>
          <w:lang w:val="da-DK"/>
        </w:rPr>
        <w:noBreakHyphen/>
        <w:t>18 år) ved:</w:t>
      </w:r>
    </w:p>
    <w:p w:rsidR="00C50630" w:rsidRDefault="00C50630" w:rsidP="00C50630">
      <w:pPr>
        <w:pStyle w:val="Brdtekst"/>
        <w:ind w:left="1418"/>
        <w:jc w:val="left"/>
        <w:rPr>
          <w:sz w:val="24"/>
          <w:szCs w:val="24"/>
          <w:u w:val="single"/>
          <w:lang w:val="da-DK"/>
        </w:rPr>
      </w:pPr>
    </w:p>
    <w:p w:rsidR="00C50630" w:rsidRDefault="00C50630" w:rsidP="00C50630">
      <w:pPr>
        <w:pStyle w:val="Opstilling-punkttegn"/>
        <w:keepLines w:val="0"/>
        <w:numPr>
          <w:ilvl w:val="0"/>
          <w:numId w:val="16"/>
        </w:numPr>
        <w:tabs>
          <w:tab w:val="clear" w:pos="567"/>
          <w:tab w:val="left" w:pos="1304"/>
        </w:tabs>
        <w:jc w:val="left"/>
        <w:rPr>
          <w:sz w:val="24"/>
          <w:szCs w:val="24"/>
          <w:lang w:val="da-DK"/>
        </w:rPr>
      </w:pPr>
      <w:r>
        <w:rPr>
          <w:sz w:val="24"/>
          <w:szCs w:val="24"/>
          <w:lang w:val="da-DK"/>
        </w:rPr>
        <w:t>Primært immundefektsyndrom (PID) med nedsat antistofproduktion.</w:t>
      </w:r>
    </w:p>
    <w:p w:rsidR="00C50630" w:rsidRPr="00C50630" w:rsidRDefault="00C50630" w:rsidP="00C50630">
      <w:pPr>
        <w:pStyle w:val="Opstilling-punkttegn"/>
        <w:keepLines w:val="0"/>
        <w:numPr>
          <w:ilvl w:val="0"/>
          <w:numId w:val="16"/>
        </w:numPr>
        <w:tabs>
          <w:tab w:val="clear" w:pos="567"/>
          <w:tab w:val="left" w:pos="1304"/>
        </w:tabs>
        <w:jc w:val="left"/>
        <w:rPr>
          <w:sz w:val="24"/>
          <w:szCs w:val="24"/>
          <w:lang w:val="da-DK"/>
        </w:rPr>
      </w:pPr>
      <w:r w:rsidRPr="00C50630">
        <w:rPr>
          <w:sz w:val="24"/>
          <w:szCs w:val="24"/>
          <w:lang w:val="da-DK"/>
        </w:rPr>
        <w:t xml:space="preserve">Sekundære immundefekter (SID) hos patienter, der lider af alvorlige eller tilbagevendende infektioner, ineffektiv antimikrobiel behandling og enten </w:t>
      </w:r>
      <w:r w:rsidRPr="00C50630">
        <w:rPr>
          <w:b/>
          <w:bCs/>
          <w:sz w:val="24"/>
          <w:szCs w:val="24"/>
          <w:lang w:val="da-DK"/>
        </w:rPr>
        <w:t>påvist svigt af specifikt antistof (PSAF)</w:t>
      </w:r>
      <w:r w:rsidRPr="00C50630">
        <w:rPr>
          <w:sz w:val="24"/>
          <w:szCs w:val="24"/>
          <w:lang w:val="da-DK"/>
        </w:rPr>
        <w:t xml:space="preserve">* eller serum </w:t>
      </w:r>
      <w:proofErr w:type="spellStart"/>
      <w:r w:rsidRPr="00C50630">
        <w:rPr>
          <w:sz w:val="24"/>
          <w:szCs w:val="24"/>
          <w:lang w:val="da-DK"/>
        </w:rPr>
        <w:t>IgG-level</w:t>
      </w:r>
      <w:proofErr w:type="spellEnd"/>
      <w:r w:rsidRPr="00C50630">
        <w:rPr>
          <w:sz w:val="24"/>
          <w:szCs w:val="24"/>
          <w:lang w:val="da-DK"/>
        </w:rPr>
        <w:t xml:space="preserve"> på &lt;4 g/L.</w:t>
      </w:r>
    </w:p>
    <w:p w:rsidR="00C50630" w:rsidRDefault="00C50630" w:rsidP="00C50630">
      <w:pPr>
        <w:pStyle w:val="Opstilling-punkttegn"/>
        <w:numPr>
          <w:ilvl w:val="0"/>
          <w:numId w:val="0"/>
        </w:numPr>
        <w:ind w:left="1418" w:hanging="284"/>
        <w:rPr>
          <w:sz w:val="24"/>
          <w:szCs w:val="24"/>
          <w:u w:val="single"/>
          <w:lang w:val="da-DK"/>
        </w:rPr>
      </w:pPr>
    </w:p>
    <w:p w:rsidR="00C50630" w:rsidRDefault="00C50630" w:rsidP="00C50630">
      <w:pPr>
        <w:pStyle w:val="Opstilling-punkttegn"/>
        <w:numPr>
          <w:ilvl w:val="0"/>
          <w:numId w:val="0"/>
        </w:numPr>
        <w:ind w:left="851" w:hanging="284"/>
        <w:rPr>
          <w:sz w:val="24"/>
          <w:szCs w:val="24"/>
          <w:lang w:val="da-DK"/>
        </w:rPr>
      </w:pPr>
      <w:r>
        <w:rPr>
          <w:sz w:val="24"/>
          <w:szCs w:val="24"/>
          <w:lang w:val="da-DK"/>
        </w:rPr>
        <w:tab/>
        <w:t xml:space="preserve">* PSAF= ikke i stand til at opnå mindst en fordobling af </w:t>
      </w:r>
      <w:proofErr w:type="spellStart"/>
      <w:r>
        <w:rPr>
          <w:sz w:val="24"/>
          <w:szCs w:val="24"/>
          <w:lang w:val="da-DK"/>
        </w:rPr>
        <w:t>IgG-antistoftiteren</w:t>
      </w:r>
      <w:proofErr w:type="spellEnd"/>
      <w:r>
        <w:rPr>
          <w:sz w:val="24"/>
          <w:szCs w:val="24"/>
          <w:lang w:val="da-DK"/>
        </w:rPr>
        <w:t xml:space="preserve"> efter antigenvacciner med </w:t>
      </w:r>
      <w:proofErr w:type="spellStart"/>
      <w:r>
        <w:rPr>
          <w:sz w:val="24"/>
          <w:szCs w:val="24"/>
          <w:lang w:val="da-DK"/>
        </w:rPr>
        <w:t>pneumokok</w:t>
      </w:r>
      <w:proofErr w:type="spellEnd"/>
      <w:r>
        <w:rPr>
          <w:sz w:val="24"/>
          <w:szCs w:val="24"/>
          <w:lang w:val="da-DK"/>
        </w:rPr>
        <w:t xml:space="preserve"> </w:t>
      </w:r>
      <w:proofErr w:type="spellStart"/>
      <w:r>
        <w:rPr>
          <w:sz w:val="24"/>
          <w:szCs w:val="24"/>
          <w:lang w:val="da-DK"/>
        </w:rPr>
        <w:t>polysaccharid</w:t>
      </w:r>
      <w:proofErr w:type="spellEnd"/>
      <w:r>
        <w:rPr>
          <w:sz w:val="24"/>
          <w:szCs w:val="24"/>
          <w:lang w:val="da-DK"/>
        </w:rPr>
        <w:t xml:space="preserve"> og polypeptid.</w:t>
      </w:r>
    </w:p>
    <w:p w:rsidR="00C50630" w:rsidRDefault="00C50630" w:rsidP="00C50630">
      <w:pPr>
        <w:pStyle w:val="Opstilling-punkttegn"/>
        <w:numPr>
          <w:ilvl w:val="0"/>
          <w:numId w:val="0"/>
        </w:numPr>
        <w:ind w:left="1418" w:hanging="284"/>
        <w:jc w:val="left"/>
        <w:rPr>
          <w:sz w:val="24"/>
          <w:szCs w:val="24"/>
          <w:lang w:val="da-DK"/>
        </w:rPr>
      </w:pPr>
    </w:p>
    <w:p w:rsidR="00C50630" w:rsidRDefault="00C50630" w:rsidP="00C50630">
      <w:pPr>
        <w:pStyle w:val="Brdtekst"/>
        <w:ind w:left="851"/>
        <w:jc w:val="left"/>
        <w:rPr>
          <w:sz w:val="24"/>
          <w:szCs w:val="24"/>
          <w:u w:val="single"/>
          <w:lang w:val="da-DK"/>
        </w:rPr>
      </w:pPr>
      <w:r>
        <w:rPr>
          <w:sz w:val="24"/>
          <w:szCs w:val="24"/>
          <w:u w:val="single"/>
          <w:lang w:val="da-DK"/>
        </w:rPr>
        <w:t>Immunmodulation hos voksne, børn og unge (0</w:t>
      </w:r>
      <w:r>
        <w:rPr>
          <w:sz w:val="24"/>
          <w:szCs w:val="24"/>
          <w:u w:val="single"/>
          <w:lang w:val="da-DK"/>
        </w:rPr>
        <w:noBreakHyphen/>
        <w:t>18 år) ved:</w:t>
      </w:r>
    </w:p>
    <w:p w:rsidR="00C50630" w:rsidRDefault="00C50630" w:rsidP="00C50630">
      <w:pPr>
        <w:pStyle w:val="Opstilling-punkttegn"/>
        <w:keepLines w:val="0"/>
        <w:numPr>
          <w:ilvl w:val="0"/>
          <w:numId w:val="14"/>
        </w:numPr>
        <w:tabs>
          <w:tab w:val="clear" w:pos="567"/>
          <w:tab w:val="left" w:pos="1304"/>
        </w:tabs>
        <w:jc w:val="left"/>
        <w:rPr>
          <w:sz w:val="24"/>
          <w:szCs w:val="24"/>
          <w:lang w:val="da-DK"/>
        </w:rPr>
      </w:pPr>
      <w:r w:rsidRPr="00C50630">
        <w:rPr>
          <w:sz w:val="24"/>
          <w:szCs w:val="24"/>
          <w:lang w:val="da-DK"/>
        </w:rPr>
        <w:t xml:space="preserve">Primær immun </w:t>
      </w:r>
      <w:proofErr w:type="spellStart"/>
      <w:r w:rsidRPr="00C50630">
        <w:rPr>
          <w:sz w:val="24"/>
          <w:szCs w:val="24"/>
          <w:lang w:val="da-DK"/>
        </w:rPr>
        <w:t>trombocytopeni</w:t>
      </w:r>
      <w:proofErr w:type="spellEnd"/>
      <w:r w:rsidRPr="00C50630">
        <w:rPr>
          <w:sz w:val="24"/>
          <w:szCs w:val="24"/>
          <w:lang w:val="da-DK"/>
        </w:rPr>
        <w:t xml:space="preserve"> (ITP) hos patienter med høj risiko for blødning eller forud for operation for at korrigere </w:t>
      </w:r>
      <w:proofErr w:type="spellStart"/>
      <w:r w:rsidRPr="00C50630">
        <w:rPr>
          <w:sz w:val="24"/>
          <w:szCs w:val="24"/>
          <w:lang w:val="da-DK"/>
        </w:rPr>
        <w:t>trombocyttallet</w:t>
      </w:r>
      <w:proofErr w:type="spellEnd"/>
      <w:r w:rsidRPr="00C50630">
        <w:rPr>
          <w:sz w:val="24"/>
          <w:szCs w:val="24"/>
          <w:lang w:val="da-DK"/>
        </w:rPr>
        <w:t>.</w:t>
      </w:r>
    </w:p>
    <w:p w:rsidR="00C50630" w:rsidRDefault="00C50630" w:rsidP="00C50630">
      <w:pPr>
        <w:pStyle w:val="Opstilling-punkttegn"/>
        <w:keepLines w:val="0"/>
        <w:numPr>
          <w:ilvl w:val="0"/>
          <w:numId w:val="14"/>
        </w:numPr>
        <w:tabs>
          <w:tab w:val="clear" w:pos="567"/>
          <w:tab w:val="left" w:pos="1304"/>
        </w:tabs>
        <w:jc w:val="left"/>
        <w:rPr>
          <w:sz w:val="24"/>
          <w:szCs w:val="24"/>
          <w:lang w:val="da-DK"/>
        </w:rPr>
      </w:pPr>
      <w:proofErr w:type="spellStart"/>
      <w:r w:rsidRPr="00C50630">
        <w:rPr>
          <w:sz w:val="24"/>
          <w:szCs w:val="24"/>
          <w:lang w:val="da-DK"/>
        </w:rPr>
        <w:t>Guillain</w:t>
      </w:r>
      <w:proofErr w:type="spellEnd"/>
      <w:r w:rsidRPr="00C50630">
        <w:rPr>
          <w:sz w:val="24"/>
          <w:szCs w:val="24"/>
          <w:lang w:val="da-DK"/>
        </w:rPr>
        <w:t xml:space="preserve"> </w:t>
      </w:r>
      <w:proofErr w:type="spellStart"/>
      <w:r w:rsidRPr="00C50630">
        <w:rPr>
          <w:sz w:val="24"/>
          <w:szCs w:val="24"/>
          <w:lang w:val="da-DK"/>
        </w:rPr>
        <w:t>Barré</w:t>
      </w:r>
      <w:proofErr w:type="spellEnd"/>
      <w:r w:rsidRPr="00C50630">
        <w:rPr>
          <w:sz w:val="24"/>
          <w:szCs w:val="24"/>
          <w:lang w:val="da-DK"/>
        </w:rPr>
        <w:noBreakHyphen/>
        <w:t>syndrom.</w:t>
      </w:r>
    </w:p>
    <w:p w:rsidR="00C50630" w:rsidRDefault="00C50630" w:rsidP="00C50630">
      <w:pPr>
        <w:pStyle w:val="Opstilling-punkttegn"/>
        <w:keepLines w:val="0"/>
        <w:numPr>
          <w:ilvl w:val="0"/>
          <w:numId w:val="14"/>
        </w:numPr>
        <w:tabs>
          <w:tab w:val="clear" w:pos="567"/>
          <w:tab w:val="left" w:pos="1304"/>
        </w:tabs>
        <w:jc w:val="left"/>
        <w:rPr>
          <w:sz w:val="24"/>
          <w:szCs w:val="24"/>
          <w:lang w:val="da-DK"/>
        </w:rPr>
      </w:pPr>
      <w:r w:rsidRPr="00C50630">
        <w:rPr>
          <w:sz w:val="24"/>
          <w:szCs w:val="24"/>
          <w:lang w:val="da-DK"/>
        </w:rPr>
        <w:t xml:space="preserve">Kawasakis sygdom </w:t>
      </w:r>
      <w:r w:rsidRPr="00C50630">
        <w:rPr>
          <w:color w:val="000000"/>
          <w:sz w:val="24"/>
          <w:szCs w:val="24"/>
          <w:lang w:val="da-DK"/>
        </w:rPr>
        <w:t xml:space="preserve">(kombineret med acetylsalicylsyre, se </w:t>
      </w:r>
      <w:proofErr w:type="spellStart"/>
      <w:r w:rsidRPr="00C50630">
        <w:rPr>
          <w:color w:val="000000"/>
          <w:sz w:val="24"/>
          <w:szCs w:val="24"/>
          <w:lang w:val="da-DK"/>
        </w:rPr>
        <w:t>pkt</w:t>
      </w:r>
      <w:proofErr w:type="spellEnd"/>
      <w:r w:rsidRPr="00C50630">
        <w:rPr>
          <w:color w:val="000000"/>
          <w:sz w:val="24"/>
          <w:szCs w:val="24"/>
          <w:lang w:val="da-DK"/>
        </w:rPr>
        <w:t xml:space="preserve"> 4.2).</w:t>
      </w:r>
    </w:p>
    <w:p w:rsidR="00C50630" w:rsidRDefault="00C50630" w:rsidP="00C50630">
      <w:pPr>
        <w:pStyle w:val="Opstilling-punkttegn"/>
        <w:keepLines w:val="0"/>
        <w:numPr>
          <w:ilvl w:val="0"/>
          <w:numId w:val="14"/>
        </w:numPr>
        <w:tabs>
          <w:tab w:val="clear" w:pos="567"/>
          <w:tab w:val="left" w:pos="1304"/>
        </w:tabs>
        <w:jc w:val="left"/>
        <w:rPr>
          <w:sz w:val="24"/>
          <w:szCs w:val="24"/>
          <w:lang w:val="da-DK"/>
        </w:rPr>
      </w:pPr>
      <w:r w:rsidRPr="00C50630">
        <w:rPr>
          <w:sz w:val="24"/>
          <w:szCs w:val="24"/>
          <w:lang w:val="da-DK"/>
        </w:rPr>
        <w:t xml:space="preserve">Kronisk inflammatorisk </w:t>
      </w:r>
      <w:proofErr w:type="spellStart"/>
      <w:r w:rsidRPr="00C50630">
        <w:rPr>
          <w:sz w:val="24"/>
          <w:szCs w:val="24"/>
          <w:lang w:val="da-DK"/>
        </w:rPr>
        <w:t>demyeliniserende</w:t>
      </w:r>
      <w:proofErr w:type="spellEnd"/>
      <w:r w:rsidRPr="00C50630">
        <w:rPr>
          <w:sz w:val="24"/>
          <w:szCs w:val="24"/>
          <w:lang w:val="da-DK"/>
        </w:rPr>
        <w:t xml:space="preserve"> </w:t>
      </w:r>
      <w:proofErr w:type="spellStart"/>
      <w:r w:rsidRPr="00C50630">
        <w:rPr>
          <w:sz w:val="24"/>
          <w:szCs w:val="24"/>
          <w:lang w:val="da-DK"/>
        </w:rPr>
        <w:t>polyneuropati</w:t>
      </w:r>
      <w:proofErr w:type="spellEnd"/>
      <w:r w:rsidRPr="00C50630">
        <w:rPr>
          <w:sz w:val="24"/>
          <w:szCs w:val="24"/>
          <w:lang w:val="da-DK"/>
        </w:rPr>
        <w:t xml:space="preserve"> (CIDP).</w:t>
      </w:r>
    </w:p>
    <w:p w:rsidR="00C50630" w:rsidRPr="00C50630" w:rsidRDefault="00C50630" w:rsidP="00C50630">
      <w:pPr>
        <w:pStyle w:val="Opstilling-punkttegn"/>
        <w:keepLines w:val="0"/>
        <w:numPr>
          <w:ilvl w:val="0"/>
          <w:numId w:val="14"/>
        </w:numPr>
        <w:tabs>
          <w:tab w:val="clear" w:pos="567"/>
          <w:tab w:val="left" w:pos="1304"/>
        </w:tabs>
        <w:jc w:val="left"/>
        <w:rPr>
          <w:sz w:val="24"/>
          <w:szCs w:val="24"/>
          <w:lang w:val="da-DK"/>
        </w:rPr>
      </w:pPr>
      <w:proofErr w:type="spellStart"/>
      <w:r w:rsidRPr="00C50630">
        <w:rPr>
          <w:sz w:val="24"/>
          <w:szCs w:val="24"/>
        </w:rPr>
        <w:t>Multifokal</w:t>
      </w:r>
      <w:proofErr w:type="spellEnd"/>
      <w:r w:rsidRPr="00C50630">
        <w:rPr>
          <w:sz w:val="24"/>
          <w:szCs w:val="24"/>
        </w:rPr>
        <w:t xml:space="preserve"> </w:t>
      </w:r>
      <w:proofErr w:type="spellStart"/>
      <w:r w:rsidRPr="00C50630">
        <w:rPr>
          <w:sz w:val="24"/>
          <w:szCs w:val="24"/>
        </w:rPr>
        <w:t>motorisk</w:t>
      </w:r>
      <w:proofErr w:type="spellEnd"/>
      <w:r w:rsidRPr="00C50630">
        <w:rPr>
          <w:sz w:val="24"/>
          <w:szCs w:val="24"/>
        </w:rPr>
        <w:t xml:space="preserve"> </w:t>
      </w:r>
      <w:proofErr w:type="spellStart"/>
      <w:r w:rsidRPr="00C50630">
        <w:rPr>
          <w:sz w:val="24"/>
          <w:szCs w:val="24"/>
        </w:rPr>
        <w:t>neuropati</w:t>
      </w:r>
      <w:proofErr w:type="spellEnd"/>
      <w:r w:rsidRPr="00C50630">
        <w:rPr>
          <w:sz w:val="24"/>
          <w:szCs w:val="24"/>
        </w:rPr>
        <w:t xml:space="preserve"> (MMN).</w:t>
      </w:r>
    </w:p>
    <w:p w:rsidR="004627B8" w:rsidRPr="00B224A4" w:rsidRDefault="004627B8" w:rsidP="004627B8">
      <w:pPr>
        <w:ind w:left="851" w:hanging="851"/>
        <w:rPr>
          <w:sz w:val="24"/>
          <w:szCs w:val="24"/>
        </w:rPr>
      </w:pPr>
    </w:p>
    <w:p w:rsidR="004627B8" w:rsidRPr="00B224A4" w:rsidRDefault="00812371" w:rsidP="00CD6ABB">
      <w:pPr>
        <w:ind w:left="851" w:hanging="851"/>
        <w:rPr>
          <w:b/>
          <w:sz w:val="24"/>
          <w:szCs w:val="24"/>
        </w:rPr>
      </w:pPr>
      <w:r w:rsidRPr="00B224A4">
        <w:rPr>
          <w:b/>
          <w:sz w:val="24"/>
          <w:szCs w:val="24"/>
        </w:rPr>
        <w:t>4.2</w:t>
      </w:r>
      <w:r w:rsidRPr="00B224A4">
        <w:rPr>
          <w:b/>
          <w:sz w:val="24"/>
          <w:szCs w:val="24"/>
        </w:rPr>
        <w:tab/>
        <w:t xml:space="preserve">Dosering og </w:t>
      </w:r>
      <w:r w:rsidR="00426218">
        <w:rPr>
          <w:b/>
          <w:sz w:val="24"/>
          <w:szCs w:val="24"/>
        </w:rPr>
        <w:t>administration</w:t>
      </w:r>
    </w:p>
    <w:p w:rsidR="00C50630" w:rsidRDefault="00C50630" w:rsidP="00C50630">
      <w:pPr>
        <w:pStyle w:val="Brdtekst"/>
        <w:ind w:left="851"/>
        <w:jc w:val="left"/>
        <w:rPr>
          <w:sz w:val="24"/>
          <w:szCs w:val="24"/>
          <w:lang w:val="da-DK"/>
        </w:rPr>
      </w:pPr>
      <w:proofErr w:type="spellStart"/>
      <w:r>
        <w:rPr>
          <w:sz w:val="24"/>
          <w:szCs w:val="24"/>
          <w:lang w:val="da-DK"/>
        </w:rPr>
        <w:t>IVIg</w:t>
      </w:r>
      <w:proofErr w:type="spellEnd"/>
      <w:r>
        <w:rPr>
          <w:sz w:val="24"/>
          <w:szCs w:val="24"/>
          <w:lang w:val="da-DK"/>
        </w:rPr>
        <w:t>-terapi skal igangsættes og monitoreres under supervision af en læge med erfaring i behandling af immunsystemlidelser.</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sz w:val="24"/>
          <w:szCs w:val="24"/>
          <w:u w:val="single"/>
          <w:lang w:val="da-DK"/>
        </w:rPr>
      </w:pPr>
      <w:r>
        <w:rPr>
          <w:sz w:val="24"/>
          <w:szCs w:val="24"/>
          <w:u w:val="single"/>
          <w:lang w:val="da-DK"/>
        </w:rPr>
        <w:t>Dosering</w:t>
      </w:r>
    </w:p>
    <w:p w:rsidR="00C50630" w:rsidRDefault="00C50630" w:rsidP="00C50630">
      <w:pPr>
        <w:autoSpaceDE w:val="0"/>
        <w:autoSpaceDN w:val="0"/>
        <w:adjustRightInd w:val="0"/>
        <w:ind w:left="851"/>
        <w:rPr>
          <w:sz w:val="24"/>
          <w:szCs w:val="24"/>
        </w:rPr>
      </w:pPr>
    </w:p>
    <w:p w:rsidR="00C50630" w:rsidRDefault="00C50630" w:rsidP="00C50630">
      <w:pPr>
        <w:pStyle w:val="Brdtekst"/>
        <w:ind w:left="851"/>
        <w:jc w:val="left"/>
        <w:rPr>
          <w:sz w:val="24"/>
          <w:szCs w:val="24"/>
          <w:lang w:val="da-DK"/>
        </w:rPr>
      </w:pPr>
      <w:r>
        <w:rPr>
          <w:sz w:val="24"/>
          <w:szCs w:val="24"/>
          <w:lang w:val="da-DK"/>
        </w:rPr>
        <w:t>Dosis og dosering afhænger af indikationen.</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sz w:val="24"/>
          <w:szCs w:val="24"/>
          <w:lang w:val="da-DK"/>
        </w:rPr>
      </w:pPr>
      <w:r>
        <w:rPr>
          <w:sz w:val="24"/>
          <w:szCs w:val="24"/>
          <w:lang w:val="da-DK"/>
        </w:rPr>
        <w:t xml:space="preserve">Det kan være nødvendigt med individuel dosering til hver enkelt patient afhængigt af den kliniske respons. Der kan være behov for justering af dosis baseret på kropsvægt hos undervægtige og overvægtige patienter. </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sz w:val="24"/>
          <w:szCs w:val="24"/>
          <w:lang w:val="da-DK"/>
        </w:rPr>
      </w:pPr>
      <w:r>
        <w:rPr>
          <w:sz w:val="24"/>
          <w:szCs w:val="24"/>
          <w:lang w:val="da-DK"/>
        </w:rPr>
        <w:t>Følgende dosering er vejledende.</w:t>
      </w:r>
    </w:p>
    <w:p w:rsidR="004627B8" w:rsidRPr="00B224A4" w:rsidRDefault="004627B8" w:rsidP="004627B8">
      <w:pPr>
        <w:pStyle w:val="Brdtekst"/>
        <w:ind w:left="851"/>
        <w:jc w:val="left"/>
        <w:rPr>
          <w:sz w:val="24"/>
          <w:szCs w:val="24"/>
          <w:lang w:val="da-DK"/>
        </w:rPr>
      </w:pPr>
    </w:p>
    <w:p w:rsidR="00B224A4" w:rsidRPr="00B224A4" w:rsidRDefault="00B224A4" w:rsidP="00B224A4">
      <w:pPr>
        <w:pStyle w:val="Brdtekst"/>
        <w:ind w:left="851"/>
        <w:jc w:val="left"/>
        <w:rPr>
          <w:i/>
          <w:sz w:val="24"/>
          <w:szCs w:val="24"/>
          <w:lang w:val="da-DK"/>
        </w:rPr>
      </w:pPr>
      <w:r w:rsidRPr="00B224A4">
        <w:rPr>
          <w:i/>
          <w:sz w:val="24"/>
          <w:szCs w:val="24"/>
          <w:lang w:val="da-DK"/>
        </w:rPr>
        <w:t>Substitutionsterapi ved primære immundefekt</w:t>
      </w:r>
      <w:r w:rsidRPr="00B224A4">
        <w:rPr>
          <w:i/>
          <w:sz w:val="24"/>
          <w:szCs w:val="24"/>
          <w:lang w:val="da-DK"/>
        </w:rPr>
        <w:noBreakHyphen/>
        <w:t>syndromer</w:t>
      </w:r>
    </w:p>
    <w:p w:rsidR="00B224A4" w:rsidRPr="00B224A4" w:rsidRDefault="00B224A4" w:rsidP="00B224A4">
      <w:pPr>
        <w:pStyle w:val="Brdtekst"/>
        <w:ind w:left="851"/>
        <w:jc w:val="left"/>
        <w:rPr>
          <w:sz w:val="24"/>
          <w:szCs w:val="24"/>
          <w:lang w:val="da-DK"/>
        </w:rPr>
      </w:pPr>
    </w:p>
    <w:p w:rsidR="00C50630" w:rsidRDefault="00C50630" w:rsidP="00C50630">
      <w:pPr>
        <w:pStyle w:val="Brdtekst"/>
        <w:ind w:left="851"/>
        <w:jc w:val="left"/>
        <w:rPr>
          <w:sz w:val="24"/>
          <w:szCs w:val="24"/>
          <w:lang w:val="da-DK"/>
        </w:rPr>
      </w:pPr>
      <w:r>
        <w:rPr>
          <w:sz w:val="24"/>
          <w:szCs w:val="24"/>
          <w:lang w:val="da-DK"/>
        </w:rPr>
        <w:t xml:space="preserve">Doseringen bør nå op på </w:t>
      </w:r>
      <w:proofErr w:type="spellStart"/>
      <w:r>
        <w:rPr>
          <w:sz w:val="24"/>
          <w:szCs w:val="24"/>
          <w:lang w:val="da-DK"/>
        </w:rPr>
        <w:t>IgG</w:t>
      </w:r>
      <w:proofErr w:type="spellEnd"/>
      <w:r>
        <w:rPr>
          <w:sz w:val="24"/>
          <w:szCs w:val="24"/>
          <w:lang w:val="da-DK"/>
        </w:rPr>
        <w:noBreakHyphen/>
        <w:t>dalkoncentration (målt inden den næste infusion) på mindst 6 g/L eller inden for det normale referenceområde for populationens alder. Det er nødvendigt med 3</w:t>
      </w:r>
      <w:r>
        <w:rPr>
          <w:sz w:val="24"/>
          <w:szCs w:val="24"/>
          <w:lang w:val="da-DK"/>
        </w:rPr>
        <w:noBreakHyphen/>
        <w:t>6 måneder efter påbegyndelsen af terapien for, at der kan opnås ligevægt (</w:t>
      </w:r>
      <w:proofErr w:type="spellStart"/>
      <w:r>
        <w:rPr>
          <w:sz w:val="24"/>
          <w:szCs w:val="24"/>
          <w:lang w:val="da-DK"/>
        </w:rPr>
        <w:t>steady</w:t>
      </w:r>
      <w:proofErr w:type="spellEnd"/>
      <w:r>
        <w:rPr>
          <w:sz w:val="24"/>
          <w:szCs w:val="24"/>
          <w:lang w:val="da-DK"/>
        </w:rPr>
        <w:t xml:space="preserve"> state-niveauer af </w:t>
      </w:r>
      <w:proofErr w:type="spellStart"/>
      <w:r>
        <w:rPr>
          <w:sz w:val="24"/>
          <w:szCs w:val="24"/>
          <w:lang w:val="da-DK"/>
        </w:rPr>
        <w:t>IgG</w:t>
      </w:r>
      <w:proofErr w:type="spellEnd"/>
      <w:r>
        <w:rPr>
          <w:sz w:val="24"/>
          <w:szCs w:val="24"/>
          <w:lang w:val="da-DK"/>
        </w:rPr>
        <w:t>). Den anbefalede startdosis er 0,4 </w:t>
      </w:r>
      <w:r>
        <w:rPr>
          <w:sz w:val="24"/>
          <w:szCs w:val="24"/>
          <w:lang w:val="da-DK"/>
        </w:rPr>
        <w:noBreakHyphen/>
        <w:t> 0,8 g/kg givet én gang efterfulgt af mindst 0,2 g/kg hver 3</w:t>
      </w:r>
      <w:r>
        <w:rPr>
          <w:sz w:val="24"/>
          <w:szCs w:val="24"/>
          <w:lang w:val="da-DK"/>
        </w:rPr>
        <w:noBreakHyphen/>
        <w:t>4. uge.</w:t>
      </w:r>
    </w:p>
    <w:p w:rsidR="00C50630" w:rsidRDefault="00C50630" w:rsidP="00C50630">
      <w:pPr>
        <w:pStyle w:val="Brdtekst"/>
        <w:ind w:left="851"/>
        <w:jc w:val="left"/>
        <w:rPr>
          <w:sz w:val="24"/>
          <w:szCs w:val="24"/>
          <w:lang w:val="da-DK"/>
        </w:rPr>
      </w:pPr>
      <w:r>
        <w:rPr>
          <w:sz w:val="24"/>
          <w:szCs w:val="24"/>
          <w:lang w:val="da-DK"/>
        </w:rPr>
        <w:t xml:space="preserve">Den nødvendige dosis for at opnå en dalkoncentration for </w:t>
      </w:r>
      <w:proofErr w:type="spellStart"/>
      <w:r>
        <w:rPr>
          <w:sz w:val="24"/>
          <w:szCs w:val="24"/>
          <w:lang w:val="da-DK"/>
        </w:rPr>
        <w:t>IgG</w:t>
      </w:r>
      <w:proofErr w:type="spellEnd"/>
      <w:r>
        <w:rPr>
          <w:sz w:val="24"/>
          <w:szCs w:val="24"/>
          <w:lang w:val="da-DK"/>
        </w:rPr>
        <w:t xml:space="preserve"> på 6 g/L er i størrelsesordenen 0,2</w:t>
      </w:r>
      <w:r>
        <w:rPr>
          <w:sz w:val="24"/>
          <w:szCs w:val="24"/>
          <w:lang w:val="da-DK"/>
        </w:rPr>
        <w:noBreakHyphen/>
        <w:t xml:space="preserve">0,8 g/kg/måned. Doseringsintervallet varierer fra 3 til 4 uger, når stabil tilstand er nået. Dalkoncentrationerne for </w:t>
      </w:r>
      <w:proofErr w:type="spellStart"/>
      <w:r>
        <w:rPr>
          <w:sz w:val="24"/>
          <w:szCs w:val="24"/>
          <w:lang w:val="da-DK"/>
        </w:rPr>
        <w:t>IgG</w:t>
      </w:r>
      <w:proofErr w:type="spellEnd"/>
      <w:r>
        <w:rPr>
          <w:sz w:val="24"/>
          <w:szCs w:val="24"/>
          <w:lang w:val="da-DK"/>
        </w:rPr>
        <w:t xml:space="preserve"> bør måles for at justere dosis og doseringsintervallet. For at reducere hyppigheden af bakteriel infektion kan det være nødvendigt at forøge dosis og forsøge at opnå højere dalkoncentrationer.</w:t>
      </w:r>
    </w:p>
    <w:p w:rsidR="00C50630" w:rsidRDefault="00C50630" w:rsidP="00C50630">
      <w:pPr>
        <w:autoSpaceDE w:val="0"/>
        <w:autoSpaceDN w:val="0"/>
        <w:adjustRightInd w:val="0"/>
        <w:ind w:left="851"/>
        <w:rPr>
          <w:sz w:val="24"/>
          <w:szCs w:val="24"/>
        </w:rPr>
      </w:pPr>
    </w:p>
    <w:p w:rsidR="00C50630" w:rsidRDefault="00C50630" w:rsidP="00C50630">
      <w:pPr>
        <w:pStyle w:val="Brdtekst"/>
        <w:ind w:left="851"/>
        <w:jc w:val="left"/>
        <w:rPr>
          <w:i/>
          <w:sz w:val="24"/>
          <w:szCs w:val="24"/>
          <w:lang w:val="da-DK"/>
        </w:rPr>
      </w:pPr>
      <w:r>
        <w:rPr>
          <w:i/>
          <w:sz w:val="24"/>
          <w:szCs w:val="24"/>
          <w:lang w:val="da-DK"/>
        </w:rPr>
        <w:t>Substitutionsterapi ved sekundære immundefekter (som angivet i 4.1.)</w:t>
      </w:r>
    </w:p>
    <w:p w:rsidR="00C50630" w:rsidRDefault="00C50630" w:rsidP="00C50630">
      <w:pPr>
        <w:pStyle w:val="Brdtekst"/>
        <w:ind w:left="851"/>
        <w:jc w:val="left"/>
        <w:rPr>
          <w:sz w:val="24"/>
          <w:szCs w:val="24"/>
          <w:lang w:val="da-DK"/>
        </w:rPr>
      </w:pPr>
      <w:r>
        <w:rPr>
          <w:sz w:val="24"/>
          <w:szCs w:val="24"/>
          <w:lang w:val="da-DK"/>
        </w:rPr>
        <w:lastRenderedPageBreak/>
        <w:t>Den anbefalede dosis er 0,2 </w:t>
      </w:r>
      <w:r>
        <w:rPr>
          <w:sz w:val="24"/>
          <w:szCs w:val="24"/>
          <w:lang w:val="da-DK"/>
        </w:rPr>
        <w:noBreakHyphen/>
        <w:t> 0,4 g/kg hver 3</w:t>
      </w:r>
      <w:r>
        <w:rPr>
          <w:sz w:val="24"/>
          <w:szCs w:val="24"/>
          <w:lang w:val="da-DK"/>
        </w:rPr>
        <w:noBreakHyphen/>
        <w:t>4 uge.</w:t>
      </w:r>
    </w:p>
    <w:p w:rsidR="00C50630" w:rsidRDefault="00C50630" w:rsidP="00C50630">
      <w:pPr>
        <w:pStyle w:val="Brdtekst"/>
        <w:ind w:left="851"/>
        <w:jc w:val="left"/>
        <w:rPr>
          <w:sz w:val="24"/>
          <w:szCs w:val="24"/>
          <w:lang w:val="da-DK"/>
        </w:rPr>
      </w:pPr>
      <w:r>
        <w:rPr>
          <w:sz w:val="24"/>
          <w:szCs w:val="24"/>
          <w:lang w:val="da-DK"/>
        </w:rPr>
        <w:t xml:space="preserve">Dalkoncentrationerne for </w:t>
      </w:r>
      <w:proofErr w:type="spellStart"/>
      <w:r>
        <w:rPr>
          <w:sz w:val="24"/>
          <w:szCs w:val="24"/>
          <w:lang w:val="da-DK"/>
        </w:rPr>
        <w:t>IgG</w:t>
      </w:r>
      <w:proofErr w:type="spellEnd"/>
      <w:r>
        <w:rPr>
          <w:sz w:val="24"/>
          <w:szCs w:val="24"/>
          <w:lang w:val="da-DK"/>
        </w:rPr>
        <w:t xml:space="preserve"> bør måles og analyseres sammen med forekomsten af infektion. Dosis skal justeres efter behov for at opnå optimal beskyttelse mod infektioner. En dosisøgning kan være nødvendig hos patienter med vedvarende infektion, og en dosisreduktion kan overvejes, når patienten forbliver infektionsfri.</w:t>
      </w:r>
    </w:p>
    <w:p w:rsidR="00B224A4" w:rsidRPr="00B224A4" w:rsidRDefault="00B224A4" w:rsidP="00B224A4">
      <w:pPr>
        <w:pStyle w:val="Brdtekst"/>
        <w:ind w:left="851"/>
        <w:jc w:val="left"/>
        <w:rPr>
          <w:sz w:val="24"/>
          <w:szCs w:val="24"/>
          <w:lang w:val="da-DK"/>
        </w:rPr>
      </w:pPr>
    </w:p>
    <w:p w:rsidR="00C50630" w:rsidRDefault="00C50630" w:rsidP="00C50630">
      <w:pPr>
        <w:pStyle w:val="Brdtekst"/>
        <w:ind w:left="851"/>
        <w:jc w:val="left"/>
        <w:rPr>
          <w:b/>
          <w:bCs/>
          <w:i/>
          <w:sz w:val="24"/>
          <w:szCs w:val="24"/>
          <w:lang w:val="da-DK"/>
        </w:rPr>
      </w:pPr>
      <w:r>
        <w:rPr>
          <w:b/>
          <w:bCs/>
          <w:i/>
          <w:sz w:val="24"/>
          <w:szCs w:val="24"/>
          <w:lang w:val="da-DK"/>
        </w:rPr>
        <w:t>Immunmodulation ved:</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i/>
          <w:sz w:val="24"/>
          <w:szCs w:val="24"/>
          <w:lang w:val="da-DK"/>
        </w:rPr>
      </w:pPr>
      <w:r>
        <w:rPr>
          <w:i/>
          <w:sz w:val="24"/>
          <w:szCs w:val="24"/>
          <w:lang w:val="da-DK"/>
        </w:rPr>
        <w:t xml:space="preserve">Primær immun </w:t>
      </w:r>
      <w:proofErr w:type="spellStart"/>
      <w:r>
        <w:rPr>
          <w:i/>
          <w:sz w:val="24"/>
          <w:szCs w:val="24"/>
          <w:lang w:val="da-DK"/>
        </w:rPr>
        <w:t>trombocytopeni</w:t>
      </w:r>
      <w:proofErr w:type="spellEnd"/>
    </w:p>
    <w:p w:rsidR="00C50630" w:rsidRDefault="00C50630" w:rsidP="00C50630">
      <w:pPr>
        <w:pStyle w:val="Brdtekst"/>
        <w:ind w:left="851"/>
        <w:jc w:val="left"/>
        <w:rPr>
          <w:sz w:val="24"/>
          <w:szCs w:val="24"/>
          <w:lang w:val="da-DK"/>
        </w:rPr>
      </w:pPr>
      <w:r>
        <w:rPr>
          <w:sz w:val="24"/>
          <w:szCs w:val="24"/>
          <w:lang w:val="da-DK"/>
        </w:rPr>
        <w:t>Der findes to forskellige behandlingsplaner:</w:t>
      </w:r>
    </w:p>
    <w:p w:rsidR="00C50630" w:rsidRDefault="00C50630" w:rsidP="00C50630">
      <w:pPr>
        <w:numPr>
          <w:ilvl w:val="0"/>
          <w:numId w:val="17"/>
        </w:numPr>
        <w:ind w:left="1276" w:hanging="425"/>
        <w:rPr>
          <w:sz w:val="24"/>
          <w:szCs w:val="24"/>
        </w:rPr>
      </w:pPr>
      <w:r>
        <w:rPr>
          <w:sz w:val="24"/>
          <w:szCs w:val="24"/>
        </w:rPr>
        <w:t>0,8 </w:t>
      </w:r>
      <w:r>
        <w:rPr>
          <w:sz w:val="24"/>
          <w:szCs w:val="24"/>
        </w:rPr>
        <w:noBreakHyphen/>
        <w:t> 1g/kg givet på dag 1, hvilket kan gentages en gang i løbet af 3 dage.</w:t>
      </w:r>
    </w:p>
    <w:p w:rsidR="00C50630" w:rsidRDefault="00C50630" w:rsidP="00C50630">
      <w:pPr>
        <w:numPr>
          <w:ilvl w:val="0"/>
          <w:numId w:val="17"/>
        </w:numPr>
        <w:ind w:left="1276" w:hanging="425"/>
        <w:rPr>
          <w:sz w:val="24"/>
          <w:szCs w:val="24"/>
        </w:rPr>
      </w:pPr>
      <w:r>
        <w:rPr>
          <w:sz w:val="24"/>
          <w:szCs w:val="24"/>
        </w:rPr>
        <w:t>0,4 g/kg dagligt i 2</w:t>
      </w:r>
      <w:r>
        <w:rPr>
          <w:sz w:val="24"/>
          <w:szCs w:val="24"/>
        </w:rPr>
        <w:noBreakHyphen/>
        <w:t>5 dage. Behandlingen kan gentages, hvis der forekommer tilbagefald.</w:t>
      </w:r>
    </w:p>
    <w:p w:rsidR="00C50630" w:rsidRDefault="00C50630" w:rsidP="00C50630">
      <w:pPr>
        <w:pStyle w:val="Brdtekst"/>
        <w:ind w:left="851" w:hanging="851"/>
        <w:jc w:val="left"/>
        <w:rPr>
          <w:sz w:val="24"/>
          <w:szCs w:val="24"/>
          <w:lang w:val="da-DK"/>
        </w:rPr>
      </w:pPr>
    </w:p>
    <w:p w:rsidR="00C50630" w:rsidRDefault="00C50630" w:rsidP="00C50630">
      <w:pPr>
        <w:pStyle w:val="Brdtekst"/>
        <w:ind w:left="851"/>
        <w:jc w:val="left"/>
        <w:rPr>
          <w:i/>
          <w:sz w:val="24"/>
          <w:szCs w:val="24"/>
          <w:lang w:val="da-DK"/>
        </w:rPr>
      </w:pPr>
      <w:proofErr w:type="spellStart"/>
      <w:r>
        <w:rPr>
          <w:i/>
          <w:sz w:val="24"/>
          <w:szCs w:val="24"/>
          <w:lang w:val="da-DK"/>
        </w:rPr>
        <w:t>Guillain</w:t>
      </w:r>
      <w:proofErr w:type="spellEnd"/>
      <w:r>
        <w:rPr>
          <w:i/>
          <w:sz w:val="24"/>
          <w:szCs w:val="24"/>
          <w:lang w:val="da-DK"/>
        </w:rPr>
        <w:t xml:space="preserve"> </w:t>
      </w:r>
      <w:proofErr w:type="spellStart"/>
      <w:r>
        <w:rPr>
          <w:i/>
          <w:sz w:val="24"/>
          <w:szCs w:val="24"/>
          <w:lang w:val="da-DK"/>
        </w:rPr>
        <w:t>Barré</w:t>
      </w:r>
      <w:proofErr w:type="spellEnd"/>
      <w:r>
        <w:rPr>
          <w:i/>
          <w:sz w:val="24"/>
          <w:szCs w:val="24"/>
          <w:lang w:val="da-DK"/>
        </w:rPr>
        <w:noBreakHyphen/>
        <w:t>syndrom</w:t>
      </w:r>
    </w:p>
    <w:p w:rsidR="00C50630" w:rsidRDefault="00C50630" w:rsidP="00C50630">
      <w:pPr>
        <w:pStyle w:val="Brdtekst"/>
        <w:ind w:left="851"/>
        <w:jc w:val="left"/>
        <w:rPr>
          <w:sz w:val="24"/>
          <w:szCs w:val="24"/>
          <w:lang w:val="da-DK"/>
        </w:rPr>
      </w:pPr>
      <w:r>
        <w:rPr>
          <w:sz w:val="24"/>
          <w:szCs w:val="24"/>
          <w:lang w:val="da-DK"/>
        </w:rPr>
        <w:t>0,4 g/kg/dag over 5 dage (mulighed for gentagelse af dosis i tilfælde af tilbagefald).</w:t>
      </w:r>
    </w:p>
    <w:p w:rsidR="00C50630" w:rsidRDefault="00C50630" w:rsidP="00C50630">
      <w:pPr>
        <w:pStyle w:val="Brdtekst"/>
        <w:ind w:left="851"/>
        <w:jc w:val="left"/>
        <w:rPr>
          <w:sz w:val="24"/>
          <w:szCs w:val="24"/>
          <w:lang w:val="da-DK"/>
        </w:rPr>
      </w:pPr>
    </w:p>
    <w:p w:rsidR="00C50630" w:rsidRDefault="00C50630" w:rsidP="00C50630">
      <w:pPr>
        <w:ind w:left="851"/>
        <w:rPr>
          <w:i/>
          <w:sz w:val="24"/>
          <w:szCs w:val="24"/>
        </w:rPr>
      </w:pPr>
      <w:r>
        <w:rPr>
          <w:i/>
          <w:sz w:val="24"/>
          <w:szCs w:val="24"/>
        </w:rPr>
        <w:t>Kawasakis sygdom</w:t>
      </w:r>
    </w:p>
    <w:p w:rsidR="00C50630" w:rsidRPr="00C50630" w:rsidRDefault="00C50630" w:rsidP="00C50630">
      <w:pPr>
        <w:pStyle w:val="Brdtekst"/>
        <w:ind w:left="851"/>
        <w:rPr>
          <w:sz w:val="24"/>
          <w:szCs w:val="24"/>
          <w:lang w:val="da-DK"/>
        </w:rPr>
      </w:pPr>
      <w:r>
        <w:rPr>
          <w:sz w:val="24"/>
          <w:szCs w:val="24"/>
          <w:lang w:val="da-DK"/>
        </w:rPr>
        <w:t>2,0 g/kg bør indgives som en enkeltdosis. Patienterne bør få ledsagende behandling med acetylsalicylsyre.</w:t>
      </w:r>
    </w:p>
    <w:p w:rsidR="00C50630" w:rsidRDefault="00C50630" w:rsidP="00C50630">
      <w:pPr>
        <w:pStyle w:val="CorpsdetexteSuite"/>
        <w:ind w:left="851"/>
        <w:rPr>
          <w:sz w:val="24"/>
          <w:szCs w:val="24"/>
          <w:lang w:val="da-DK"/>
        </w:rPr>
      </w:pPr>
    </w:p>
    <w:p w:rsidR="00C50630" w:rsidRDefault="00C50630" w:rsidP="00C50630">
      <w:pPr>
        <w:pStyle w:val="Brdtekst"/>
        <w:ind w:left="851"/>
        <w:rPr>
          <w:i/>
          <w:sz w:val="24"/>
          <w:szCs w:val="24"/>
          <w:lang w:val="da-DK"/>
        </w:rPr>
      </w:pPr>
      <w:r>
        <w:rPr>
          <w:i/>
          <w:sz w:val="24"/>
          <w:szCs w:val="24"/>
          <w:lang w:val="da-DK"/>
        </w:rPr>
        <w:t xml:space="preserve">Kronisk inflammatorisk </w:t>
      </w:r>
      <w:proofErr w:type="spellStart"/>
      <w:r>
        <w:rPr>
          <w:i/>
          <w:sz w:val="24"/>
          <w:szCs w:val="24"/>
          <w:lang w:val="da-DK"/>
        </w:rPr>
        <w:t>demyeliniserende</w:t>
      </w:r>
      <w:proofErr w:type="spellEnd"/>
      <w:r>
        <w:rPr>
          <w:i/>
          <w:sz w:val="24"/>
          <w:szCs w:val="24"/>
          <w:lang w:val="da-DK"/>
        </w:rPr>
        <w:t xml:space="preserve"> </w:t>
      </w:r>
      <w:proofErr w:type="spellStart"/>
      <w:r>
        <w:rPr>
          <w:i/>
          <w:sz w:val="24"/>
          <w:szCs w:val="24"/>
          <w:lang w:val="da-DK"/>
        </w:rPr>
        <w:t>polyneuropati</w:t>
      </w:r>
      <w:proofErr w:type="spellEnd"/>
      <w:r>
        <w:rPr>
          <w:i/>
          <w:sz w:val="24"/>
          <w:szCs w:val="24"/>
          <w:lang w:val="da-DK"/>
        </w:rPr>
        <w:t xml:space="preserve"> (CIDP) </w:t>
      </w:r>
    </w:p>
    <w:p w:rsidR="00C50630" w:rsidRPr="00C50630" w:rsidRDefault="00C50630" w:rsidP="00C50630">
      <w:pPr>
        <w:pStyle w:val="Brdtekst"/>
        <w:ind w:left="851"/>
        <w:rPr>
          <w:sz w:val="24"/>
          <w:szCs w:val="24"/>
          <w:lang w:val="da-DK"/>
        </w:rPr>
      </w:pPr>
      <w:r>
        <w:rPr>
          <w:sz w:val="24"/>
          <w:szCs w:val="24"/>
          <w:lang w:val="da-DK"/>
        </w:rPr>
        <w:t>Startdosis: 2 g/kg fordelt over 2-5 sammenhængende dage.</w:t>
      </w:r>
    </w:p>
    <w:p w:rsidR="00C50630" w:rsidRDefault="00C50630" w:rsidP="00C50630">
      <w:pPr>
        <w:autoSpaceDE w:val="0"/>
        <w:autoSpaceDN w:val="0"/>
        <w:adjustRightInd w:val="0"/>
        <w:ind w:left="851"/>
        <w:rPr>
          <w:color w:val="000000"/>
          <w:sz w:val="24"/>
          <w:szCs w:val="24"/>
        </w:rPr>
      </w:pPr>
      <w:r>
        <w:rPr>
          <w:color w:val="000000"/>
          <w:sz w:val="24"/>
          <w:szCs w:val="24"/>
        </w:rPr>
        <w:t xml:space="preserve">Vedligeholdelsesdoser: </w:t>
      </w:r>
    </w:p>
    <w:p w:rsidR="00C50630" w:rsidRDefault="00C50630" w:rsidP="00C50630">
      <w:pPr>
        <w:autoSpaceDE w:val="0"/>
        <w:autoSpaceDN w:val="0"/>
        <w:adjustRightInd w:val="0"/>
        <w:ind w:left="851"/>
        <w:rPr>
          <w:color w:val="000000"/>
          <w:sz w:val="24"/>
          <w:szCs w:val="24"/>
        </w:rPr>
      </w:pPr>
      <w:r>
        <w:rPr>
          <w:color w:val="000000"/>
          <w:sz w:val="24"/>
          <w:szCs w:val="24"/>
        </w:rPr>
        <w:t xml:space="preserve">1 g/kg fordelt over 1-2 sammenhængende dage, hver 3. uge. </w:t>
      </w:r>
    </w:p>
    <w:p w:rsidR="00C50630" w:rsidRPr="00C50630" w:rsidRDefault="00C50630" w:rsidP="00C50630">
      <w:pPr>
        <w:pStyle w:val="Brdtekst"/>
        <w:ind w:left="851"/>
        <w:rPr>
          <w:sz w:val="24"/>
          <w:szCs w:val="24"/>
          <w:lang w:val="da-DK"/>
        </w:rPr>
      </w:pPr>
      <w:r>
        <w:rPr>
          <w:sz w:val="24"/>
          <w:szCs w:val="24"/>
          <w:lang w:val="da-DK"/>
        </w:rPr>
        <w:t xml:space="preserve">Behandlingens effekt skal vurderes efter hver cyklus. Hvis der ikke kan ses nogen effekt af behandlingen efter 6 måneder, skal behandlingen stoppes. </w:t>
      </w:r>
    </w:p>
    <w:p w:rsidR="00C50630" w:rsidRDefault="00C50630" w:rsidP="00C50630">
      <w:pPr>
        <w:pStyle w:val="CorpsdetexteSuite"/>
        <w:ind w:left="851"/>
        <w:rPr>
          <w:color w:val="000000"/>
          <w:sz w:val="24"/>
          <w:szCs w:val="24"/>
          <w:lang w:val="da-DK"/>
        </w:rPr>
      </w:pPr>
      <w:r>
        <w:rPr>
          <w:color w:val="000000"/>
          <w:sz w:val="24"/>
          <w:szCs w:val="24"/>
          <w:lang w:val="da-DK"/>
        </w:rPr>
        <w:t>Hvis behandlingen er effektiv, skal lægen overveje langtidsbehandling baseret på patientens respons og på responsen af vedligeholdelse. Dosering og intervaller skal muligvis tilpasses i forhold til det individuelle sygdomsforløb.</w:t>
      </w:r>
    </w:p>
    <w:p w:rsidR="00B224A4" w:rsidRPr="00B224A4" w:rsidRDefault="00B224A4" w:rsidP="00B224A4">
      <w:pPr>
        <w:pStyle w:val="CorpsdetexteSuite"/>
        <w:ind w:left="851"/>
        <w:rPr>
          <w:sz w:val="24"/>
          <w:szCs w:val="24"/>
          <w:lang w:val="da-DK"/>
        </w:rPr>
      </w:pPr>
    </w:p>
    <w:p w:rsidR="00C50630" w:rsidRDefault="00C50630" w:rsidP="00C50630">
      <w:pPr>
        <w:pStyle w:val="CorpsdetexteSuite"/>
        <w:ind w:left="851"/>
        <w:rPr>
          <w:i/>
          <w:iCs/>
          <w:sz w:val="24"/>
          <w:szCs w:val="24"/>
          <w:lang w:val="da-DK"/>
        </w:rPr>
      </w:pPr>
      <w:r>
        <w:rPr>
          <w:i/>
          <w:iCs/>
          <w:sz w:val="24"/>
          <w:szCs w:val="24"/>
          <w:lang w:val="da-DK"/>
        </w:rPr>
        <w:t xml:space="preserve">Multifokal motorisk </w:t>
      </w:r>
      <w:proofErr w:type="spellStart"/>
      <w:r>
        <w:rPr>
          <w:i/>
          <w:iCs/>
          <w:sz w:val="24"/>
          <w:szCs w:val="24"/>
          <w:lang w:val="da-DK"/>
        </w:rPr>
        <w:t>neuropati</w:t>
      </w:r>
      <w:proofErr w:type="spellEnd"/>
      <w:r>
        <w:rPr>
          <w:i/>
          <w:iCs/>
          <w:sz w:val="24"/>
          <w:szCs w:val="24"/>
          <w:lang w:val="da-DK"/>
        </w:rPr>
        <w:t xml:space="preserve"> (MMN)</w:t>
      </w:r>
    </w:p>
    <w:p w:rsidR="00C50630" w:rsidRDefault="00C50630" w:rsidP="00C50630">
      <w:pPr>
        <w:autoSpaceDE w:val="0"/>
        <w:autoSpaceDN w:val="0"/>
        <w:adjustRightInd w:val="0"/>
        <w:ind w:left="851"/>
        <w:rPr>
          <w:color w:val="000000"/>
          <w:sz w:val="24"/>
          <w:szCs w:val="24"/>
        </w:rPr>
      </w:pPr>
      <w:r>
        <w:rPr>
          <w:color w:val="000000"/>
          <w:sz w:val="24"/>
          <w:szCs w:val="24"/>
        </w:rPr>
        <w:t>Startdosis: 2 g/kg i 2-5 sammenhængende dage.</w:t>
      </w:r>
    </w:p>
    <w:p w:rsidR="00C50630" w:rsidRDefault="00C50630" w:rsidP="00C50630">
      <w:pPr>
        <w:autoSpaceDE w:val="0"/>
        <w:autoSpaceDN w:val="0"/>
        <w:adjustRightInd w:val="0"/>
        <w:ind w:left="851"/>
        <w:rPr>
          <w:color w:val="000000"/>
          <w:sz w:val="24"/>
          <w:szCs w:val="24"/>
        </w:rPr>
      </w:pPr>
      <w:r>
        <w:rPr>
          <w:color w:val="000000"/>
          <w:sz w:val="24"/>
          <w:szCs w:val="24"/>
        </w:rPr>
        <w:t>Vedligeholdelsesdosis: 1 g/kg hver 2. til 4. uge eller 2 g/kg hver 4. til 8. uge.</w:t>
      </w:r>
    </w:p>
    <w:p w:rsidR="00C50630" w:rsidRDefault="00C50630" w:rsidP="00C50630">
      <w:pPr>
        <w:autoSpaceDE w:val="0"/>
        <w:autoSpaceDN w:val="0"/>
        <w:adjustRightInd w:val="0"/>
        <w:ind w:left="851"/>
        <w:rPr>
          <w:color w:val="000000"/>
          <w:sz w:val="24"/>
          <w:szCs w:val="24"/>
        </w:rPr>
      </w:pPr>
      <w:r>
        <w:rPr>
          <w:color w:val="000000"/>
          <w:sz w:val="24"/>
          <w:szCs w:val="24"/>
        </w:rPr>
        <w:t xml:space="preserve">Behandlingens effekt skal vurderes efter hver cyklus. Hvis der ikke kan ses nogen effekt af behandlingen efter 6 måneder, skal behandlingen stoppes. </w:t>
      </w:r>
    </w:p>
    <w:p w:rsidR="00C50630" w:rsidRDefault="00C50630" w:rsidP="00C50630">
      <w:pPr>
        <w:pStyle w:val="CorpsdetexteSuite"/>
        <w:ind w:left="851"/>
        <w:rPr>
          <w:iCs/>
          <w:sz w:val="24"/>
          <w:szCs w:val="24"/>
          <w:lang w:val="da-DK"/>
        </w:rPr>
      </w:pPr>
      <w:r>
        <w:rPr>
          <w:color w:val="000000"/>
          <w:sz w:val="24"/>
          <w:szCs w:val="24"/>
          <w:lang w:val="da-DK"/>
        </w:rPr>
        <w:t>Hvis behandlingen er effektiv, skal lægen overveje langtidsbehandling baseret på patientens respons og på responsen af vedligeholdelse. Dosering og intervaller skal muligvis tilpasses i forhold til det individuelle sygdomsforløb.</w:t>
      </w:r>
    </w:p>
    <w:p w:rsidR="00C50630" w:rsidRDefault="00C50630" w:rsidP="00C50630">
      <w:pPr>
        <w:autoSpaceDE w:val="0"/>
        <w:autoSpaceDN w:val="0"/>
        <w:adjustRightInd w:val="0"/>
        <w:ind w:left="851"/>
        <w:rPr>
          <w:color w:val="000000"/>
          <w:sz w:val="24"/>
          <w:szCs w:val="24"/>
        </w:rPr>
      </w:pPr>
      <w:r>
        <w:rPr>
          <w:color w:val="000000"/>
          <w:sz w:val="24"/>
          <w:szCs w:val="24"/>
        </w:rPr>
        <w:t>Følgende tabel indeholder en oversigt over de anbefalede doser:</w:t>
      </w:r>
    </w:p>
    <w:p w:rsidR="00812371" w:rsidRPr="00B224A4" w:rsidRDefault="00812371" w:rsidP="00812371">
      <w:pPr>
        <w:rPr>
          <w:sz w:val="24"/>
          <w:szCs w:val="24"/>
          <w:u w:val="single"/>
        </w:rPr>
      </w:pPr>
    </w:p>
    <w:tbl>
      <w:tblPr>
        <w:tblW w:w="974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7"/>
        <w:gridCol w:w="2628"/>
        <w:gridCol w:w="3217"/>
      </w:tblGrid>
      <w:tr w:rsidR="00B224A4" w:rsidRPr="00B224A4" w:rsidTr="00C50630">
        <w:trPr>
          <w:trHeight w:val="161"/>
        </w:trPr>
        <w:tc>
          <w:tcPr>
            <w:tcW w:w="3897" w:type="dxa"/>
            <w:shd w:val="clear" w:color="auto" w:fill="auto"/>
            <w:vAlign w:val="center"/>
          </w:tcPr>
          <w:p w:rsidR="00B224A4" w:rsidRPr="00B224A4" w:rsidRDefault="00B224A4" w:rsidP="00C50630">
            <w:pPr>
              <w:pStyle w:val="Tableau"/>
              <w:spacing w:before="0" w:after="0"/>
              <w:rPr>
                <w:rFonts w:ascii="SimSun" w:eastAsia="SimSun"/>
                <w:sz w:val="24"/>
                <w:szCs w:val="24"/>
                <w:lang w:val="da-DK"/>
              </w:rPr>
            </w:pPr>
            <w:r w:rsidRPr="00B224A4">
              <w:rPr>
                <w:sz w:val="24"/>
                <w:szCs w:val="24"/>
                <w:lang w:val="da-DK"/>
              </w:rPr>
              <w:t>Indikation</w:t>
            </w:r>
          </w:p>
        </w:tc>
        <w:tc>
          <w:tcPr>
            <w:tcW w:w="2628" w:type="dxa"/>
            <w:shd w:val="clear" w:color="auto" w:fill="auto"/>
            <w:vAlign w:val="center"/>
          </w:tcPr>
          <w:p w:rsidR="00B224A4" w:rsidRPr="00B224A4" w:rsidRDefault="00B224A4" w:rsidP="00C50630">
            <w:pPr>
              <w:pStyle w:val="Tableau"/>
              <w:spacing w:before="0" w:after="0"/>
              <w:rPr>
                <w:rFonts w:ascii="SimSun" w:eastAsia="SimSun"/>
                <w:sz w:val="24"/>
                <w:szCs w:val="24"/>
                <w:lang w:val="da-DK"/>
              </w:rPr>
            </w:pPr>
            <w:r w:rsidRPr="00B224A4">
              <w:rPr>
                <w:sz w:val="24"/>
                <w:szCs w:val="24"/>
                <w:lang w:val="da-DK"/>
              </w:rPr>
              <w:t>Dosis</w:t>
            </w:r>
          </w:p>
        </w:tc>
        <w:tc>
          <w:tcPr>
            <w:tcW w:w="3217" w:type="dxa"/>
            <w:shd w:val="clear" w:color="auto" w:fill="auto"/>
            <w:vAlign w:val="center"/>
          </w:tcPr>
          <w:p w:rsidR="00B224A4" w:rsidRPr="00B224A4" w:rsidRDefault="00C50630" w:rsidP="00C50630">
            <w:pPr>
              <w:pStyle w:val="Tableau"/>
              <w:spacing w:before="0" w:after="0"/>
              <w:rPr>
                <w:rFonts w:ascii="SimSun" w:eastAsia="SimSun"/>
                <w:sz w:val="24"/>
                <w:szCs w:val="24"/>
                <w:lang w:val="da-DK"/>
              </w:rPr>
            </w:pPr>
            <w:proofErr w:type="spellStart"/>
            <w:r>
              <w:rPr>
                <w:sz w:val="24"/>
                <w:szCs w:val="24"/>
              </w:rPr>
              <w:t>Infusionshyppighed</w:t>
            </w:r>
            <w:proofErr w:type="spellEnd"/>
          </w:p>
        </w:tc>
      </w:tr>
      <w:tr w:rsidR="00B224A4" w:rsidRPr="00B224A4" w:rsidTr="00C50630">
        <w:tc>
          <w:tcPr>
            <w:tcW w:w="3897" w:type="dxa"/>
            <w:shd w:val="clear" w:color="auto" w:fill="auto"/>
          </w:tcPr>
          <w:p w:rsidR="00B224A4" w:rsidRPr="00B224A4" w:rsidRDefault="00B224A4" w:rsidP="00C50630">
            <w:pPr>
              <w:keepNext/>
              <w:autoSpaceDE w:val="0"/>
              <w:autoSpaceDN w:val="0"/>
              <w:adjustRightInd w:val="0"/>
              <w:rPr>
                <w:rFonts w:ascii="SimSun" w:eastAsia="SimSun"/>
                <w:sz w:val="24"/>
                <w:szCs w:val="24"/>
              </w:rPr>
            </w:pPr>
            <w:r w:rsidRPr="00B224A4">
              <w:rPr>
                <w:sz w:val="24"/>
                <w:szCs w:val="24"/>
              </w:rPr>
              <w:lastRenderedPageBreak/>
              <w:t>Substitutionsterapi</w:t>
            </w:r>
          </w:p>
        </w:tc>
        <w:tc>
          <w:tcPr>
            <w:tcW w:w="2628" w:type="dxa"/>
            <w:shd w:val="clear" w:color="auto" w:fill="auto"/>
          </w:tcPr>
          <w:p w:rsidR="00B224A4" w:rsidRPr="00B224A4" w:rsidRDefault="00B224A4" w:rsidP="00C50630">
            <w:pPr>
              <w:keepNext/>
              <w:autoSpaceDE w:val="0"/>
              <w:autoSpaceDN w:val="0"/>
              <w:adjustRightInd w:val="0"/>
              <w:ind w:left="601"/>
              <w:rPr>
                <w:rFonts w:eastAsia="SimSun"/>
                <w:sz w:val="24"/>
                <w:szCs w:val="24"/>
              </w:rPr>
            </w:pPr>
          </w:p>
        </w:tc>
        <w:tc>
          <w:tcPr>
            <w:tcW w:w="3217" w:type="dxa"/>
            <w:shd w:val="clear" w:color="auto" w:fill="auto"/>
          </w:tcPr>
          <w:p w:rsidR="00B224A4" w:rsidRPr="00B224A4" w:rsidRDefault="00B224A4" w:rsidP="00C50630">
            <w:pPr>
              <w:keepNext/>
              <w:autoSpaceDE w:val="0"/>
              <w:autoSpaceDN w:val="0"/>
              <w:adjustRightInd w:val="0"/>
              <w:rPr>
                <w:rFonts w:ascii="SimSun" w:eastAsia="SimSun"/>
                <w:sz w:val="24"/>
                <w:szCs w:val="24"/>
              </w:rPr>
            </w:pPr>
          </w:p>
        </w:tc>
      </w:tr>
      <w:tr w:rsidR="00B224A4" w:rsidRPr="00B224A4" w:rsidTr="00C50630">
        <w:tc>
          <w:tcPr>
            <w:tcW w:w="3897" w:type="dxa"/>
            <w:shd w:val="clear" w:color="auto" w:fill="auto"/>
          </w:tcPr>
          <w:p w:rsidR="00B224A4" w:rsidRPr="00B224A4" w:rsidRDefault="00B224A4" w:rsidP="00C50630">
            <w:pPr>
              <w:keepNext/>
              <w:autoSpaceDE w:val="0"/>
              <w:autoSpaceDN w:val="0"/>
              <w:adjustRightInd w:val="0"/>
              <w:rPr>
                <w:rFonts w:ascii="SimSun" w:eastAsia="SimSun"/>
                <w:sz w:val="24"/>
                <w:szCs w:val="24"/>
              </w:rPr>
            </w:pPr>
            <w:r w:rsidRPr="00B224A4">
              <w:rPr>
                <w:sz w:val="24"/>
                <w:szCs w:val="24"/>
              </w:rPr>
              <w:t xml:space="preserve">Primære immundefektsyndromer </w:t>
            </w:r>
          </w:p>
        </w:tc>
        <w:tc>
          <w:tcPr>
            <w:tcW w:w="2628" w:type="dxa"/>
            <w:shd w:val="clear" w:color="auto" w:fill="auto"/>
          </w:tcPr>
          <w:p w:rsidR="00B224A4" w:rsidRPr="00B224A4" w:rsidRDefault="00B224A4" w:rsidP="00C50630">
            <w:pPr>
              <w:keepNext/>
              <w:autoSpaceDE w:val="0"/>
              <w:autoSpaceDN w:val="0"/>
              <w:adjustRightInd w:val="0"/>
              <w:ind w:left="175"/>
              <w:rPr>
                <w:rFonts w:eastAsia="SimSun"/>
                <w:sz w:val="24"/>
                <w:szCs w:val="24"/>
              </w:rPr>
            </w:pPr>
            <w:r w:rsidRPr="00B224A4">
              <w:rPr>
                <w:rFonts w:eastAsia="SimSun"/>
                <w:sz w:val="24"/>
                <w:szCs w:val="24"/>
              </w:rPr>
              <w:t>Startdosis:</w:t>
            </w:r>
          </w:p>
          <w:p w:rsidR="00B224A4" w:rsidRPr="00B224A4" w:rsidRDefault="00B224A4" w:rsidP="00C50630">
            <w:pPr>
              <w:keepNext/>
              <w:autoSpaceDE w:val="0"/>
              <w:autoSpaceDN w:val="0"/>
              <w:adjustRightInd w:val="0"/>
              <w:ind w:left="175"/>
              <w:rPr>
                <w:rFonts w:eastAsia="SimSun"/>
                <w:sz w:val="24"/>
                <w:szCs w:val="24"/>
              </w:rPr>
            </w:pPr>
            <w:r w:rsidRPr="00B224A4">
              <w:rPr>
                <w:rFonts w:eastAsia="SimSun"/>
                <w:sz w:val="24"/>
                <w:szCs w:val="24"/>
              </w:rPr>
              <w:t>0,4-0,8 g/kg</w:t>
            </w:r>
          </w:p>
          <w:p w:rsidR="00B224A4" w:rsidRPr="00B224A4" w:rsidRDefault="00B224A4" w:rsidP="00C50630">
            <w:pPr>
              <w:keepNext/>
              <w:autoSpaceDE w:val="0"/>
              <w:autoSpaceDN w:val="0"/>
              <w:adjustRightInd w:val="0"/>
              <w:ind w:left="175"/>
              <w:rPr>
                <w:rFonts w:eastAsia="SimSun"/>
                <w:sz w:val="24"/>
                <w:szCs w:val="24"/>
              </w:rPr>
            </w:pPr>
          </w:p>
          <w:p w:rsidR="00B224A4" w:rsidRPr="00B224A4" w:rsidRDefault="00B224A4" w:rsidP="00C50630">
            <w:pPr>
              <w:keepNext/>
              <w:autoSpaceDE w:val="0"/>
              <w:autoSpaceDN w:val="0"/>
              <w:adjustRightInd w:val="0"/>
              <w:ind w:left="175"/>
              <w:rPr>
                <w:rFonts w:eastAsia="SimSun"/>
                <w:sz w:val="24"/>
                <w:szCs w:val="24"/>
              </w:rPr>
            </w:pPr>
            <w:r w:rsidRPr="00B224A4">
              <w:rPr>
                <w:rFonts w:eastAsia="SimSun"/>
                <w:sz w:val="24"/>
                <w:szCs w:val="24"/>
              </w:rPr>
              <w:t>Vedligeholdelsesdosis:</w:t>
            </w:r>
          </w:p>
          <w:p w:rsidR="00B224A4" w:rsidRPr="00B224A4" w:rsidRDefault="00B224A4" w:rsidP="00C50630">
            <w:pPr>
              <w:keepNext/>
              <w:autoSpaceDE w:val="0"/>
              <w:autoSpaceDN w:val="0"/>
              <w:adjustRightInd w:val="0"/>
              <w:ind w:left="175"/>
              <w:rPr>
                <w:rFonts w:eastAsia="SimSun"/>
                <w:sz w:val="24"/>
                <w:szCs w:val="24"/>
              </w:rPr>
            </w:pPr>
            <w:r w:rsidRPr="00B224A4">
              <w:rPr>
                <w:rFonts w:eastAsia="SimSun"/>
                <w:sz w:val="24"/>
                <w:szCs w:val="24"/>
              </w:rPr>
              <w:t xml:space="preserve">0,2-0,8 g/kg </w:t>
            </w:r>
          </w:p>
        </w:tc>
        <w:tc>
          <w:tcPr>
            <w:tcW w:w="3217" w:type="dxa"/>
            <w:shd w:val="clear" w:color="auto" w:fill="auto"/>
          </w:tcPr>
          <w:p w:rsidR="00B224A4" w:rsidRPr="00B224A4" w:rsidRDefault="00B224A4" w:rsidP="00C50630">
            <w:pPr>
              <w:keepNext/>
              <w:autoSpaceDE w:val="0"/>
              <w:autoSpaceDN w:val="0"/>
              <w:adjustRightInd w:val="0"/>
              <w:rPr>
                <w:rFonts w:ascii="SimSun" w:eastAsia="SimSun"/>
                <w:sz w:val="24"/>
                <w:szCs w:val="24"/>
              </w:rPr>
            </w:pPr>
            <w:r w:rsidRPr="00B224A4">
              <w:rPr>
                <w:sz w:val="24"/>
                <w:szCs w:val="24"/>
              </w:rPr>
              <w:t xml:space="preserve">hver 3. - 4. uge </w:t>
            </w:r>
          </w:p>
        </w:tc>
      </w:tr>
      <w:tr w:rsidR="00B224A4" w:rsidRPr="00B224A4" w:rsidTr="00C50630">
        <w:tc>
          <w:tcPr>
            <w:tcW w:w="3897" w:type="dxa"/>
            <w:shd w:val="clear" w:color="auto" w:fill="auto"/>
          </w:tcPr>
          <w:p w:rsidR="00B224A4" w:rsidRPr="00B224A4" w:rsidRDefault="00B224A4" w:rsidP="00C50630">
            <w:pPr>
              <w:keepNext/>
              <w:autoSpaceDE w:val="0"/>
              <w:autoSpaceDN w:val="0"/>
              <w:adjustRightInd w:val="0"/>
              <w:rPr>
                <w:sz w:val="24"/>
                <w:szCs w:val="24"/>
              </w:rPr>
            </w:pPr>
            <w:r w:rsidRPr="00B224A4">
              <w:rPr>
                <w:sz w:val="24"/>
                <w:szCs w:val="24"/>
              </w:rPr>
              <w:t>Sekundære immundefekter (som defineret i 4.1.)</w:t>
            </w:r>
          </w:p>
          <w:p w:rsidR="00B224A4" w:rsidRPr="00B224A4" w:rsidRDefault="00B224A4" w:rsidP="00C50630">
            <w:pPr>
              <w:keepNext/>
              <w:autoSpaceDE w:val="0"/>
              <w:autoSpaceDN w:val="0"/>
              <w:adjustRightInd w:val="0"/>
              <w:rPr>
                <w:sz w:val="24"/>
                <w:szCs w:val="24"/>
              </w:rPr>
            </w:pPr>
          </w:p>
        </w:tc>
        <w:tc>
          <w:tcPr>
            <w:tcW w:w="2628" w:type="dxa"/>
            <w:shd w:val="clear" w:color="auto" w:fill="auto"/>
          </w:tcPr>
          <w:p w:rsidR="00B224A4" w:rsidRPr="00B224A4" w:rsidRDefault="00B224A4" w:rsidP="00C50630">
            <w:pPr>
              <w:keepNext/>
              <w:autoSpaceDE w:val="0"/>
              <w:autoSpaceDN w:val="0"/>
              <w:adjustRightInd w:val="0"/>
              <w:ind w:left="175"/>
              <w:rPr>
                <w:rFonts w:eastAsia="SimSun"/>
                <w:sz w:val="24"/>
                <w:szCs w:val="24"/>
              </w:rPr>
            </w:pPr>
          </w:p>
          <w:p w:rsidR="00B224A4" w:rsidRPr="00B224A4" w:rsidRDefault="00B224A4" w:rsidP="00C50630">
            <w:pPr>
              <w:keepNext/>
              <w:autoSpaceDE w:val="0"/>
              <w:autoSpaceDN w:val="0"/>
              <w:adjustRightInd w:val="0"/>
              <w:ind w:left="175"/>
              <w:rPr>
                <w:rFonts w:eastAsia="SimSun"/>
                <w:sz w:val="24"/>
                <w:szCs w:val="24"/>
              </w:rPr>
            </w:pPr>
            <w:r w:rsidRPr="00B224A4">
              <w:rPr>
                <w:rFonts w:eastAsia="SimSun"/>
                <w:sz w:val="24"/>
                <w:szCs w:val="24"/>
              </w:rPr>
              <w:t>0,2 – 0,4 g/kg</w:t>
            </w:r>
          </w:p>
        </w:tc>
        <w:tc>
          <w:tcPr>
            <w:tcW w:w="3217" w:type="dxa"/>
            <w:shd w:val="clear" w:color="auto" w:fill="auto"/>
          </w:tcPr>
          <w:p w:rsidR="00B224A4" w:rsidRPr="00B224A4" w:rsidRDefault="00B224A4" w:rsidP="00C50630">
            <w:pPr>
              <w:keepNext/>
              <w:autoSpaceDE w:val="0"/>
              <w:autoSpaceDN w:val="0"/>
              <w:adjustRightInd w:val="0"/>
              <w:rPr>
                <w:rFonts w:ascii="SimSun" w:eastAsia="SimSun"/>
                <w:sz w:val="24"/>
                <w:szCs w:val="24"/>
              </w:rPr>
            </w:pPr>
            <w:r w:rsidRPr="00B224A4">
              <w:rPr>
                <w:sz w:val="24"/>
                <w:szCs w:val="24"/>
              </w:rPr>
              <w:t>hver 3. –</w:t>
            </w:r>
            <w:r w:rsidRPr="00B224A4">
              <w:rPr>
                <w:spacing w:val="-4"/>
                <w:sz w:val="24"/>
                <w:szCs w:val="24"/>
              </w:rPr>
              <w:t xml:space="preserve"> </w:t>
            </w:r>
            <w:r w:rsidRPr="00B224A4">
              <w:rPr>
                <w:sz w:val="24"/>
                <w:szCs w:val="24"/>
              </w:rPr>
              <w:t xml:space="preserve">4. uge </w:t>
            </w:r>
          </w:p>
        </w:tc>
      </w:tr>
      <w:tr w:rsidR="00B224A4" w:rsidRPr="00B224A4" w:rsidTr="00C50630">
        <w:tc>
          <w:tcPr>
            <w:tcW w:w="3897" w:type="dxa"/>
            <w:tcBorders>
              <w:top w:val="single" w:sz="4" w:space="0" w:color="auto"/>
              <w:left w:val="single" w:sz="4" w:space="0" w:color="auto"/>
              <w:bottom w:val="single" w:sz="4" w:space="0" w:color="auto"/>
              <w:right w:val="nil"/>
            </w:tcBorders>
            <w:shd w:val="clear" w:color="auto" w:fill="auto"/>
          </w:tcPr>
          <w:p w:rsidR="00B224A4" w:rsidRPr="00B224A4" w:rsidRDefault="00B224A4" w:rsidP="00C50630">
            <w:pPr>
              <w:keepNext/>
              <w:autoSpaceDE w:val="0"/>
              <w:autoSpaceDN w:val="0"/>
              <w:adjustRightInd w:val="0"/>
              <w:rPr>
                <w:rFonts w:eastAsia="SimSun"/>
                <w:sz w:val="24"/>
                <w:szCs w:val="24"/>
              </w:rPr>
            </w:pPr>
            <w:r w:rsidRPr="00B224A4">
              <w:rPr>
                <w:rFonts w:eastAsia="SimSun"/>
                <w:sz w:val="24"/>
                <w:szCs w:val="24"/>
              </w:rPr>
              <w:t xml:space="preserve">Immunmodulation: </w:t>
            </w:r>
          </w:p>
        </w:tc>
        <w:tc>
          <w:tcPr>
            <w:tcW w:w="2628" w:type="dxa"/>
            <w:tcBorders>
              <w:top w:val="single" w:sz="4" w:space="0" w:color="auto"/>
              <w:left w:val="nil"/>
              <w:bottom w:val="single" w:sz="4" w:space="0" w:color="auto"/>
              <w:right w:val="nil"/>
            </w:tcBorders>
            <w:shd w:val="clear" w:color="auto" w:fill="auto"/>
          </w:tcPr>
          <w:p w:rsidR="00B224A4" w:rsidRPr="00B224A4" w:rsidRDefault="00B224A4" w:rsidP="00C50630">
            <w:pPr>
              <w:keepNext/>
              <w:autoSpaceDE w:val="0"/>
              <w:autoSpaceDN w:val="0"/>
              <w:adjustRightInd w:val="0"/>
              <w:ind w:left="175"/>
              <w:rPr>
                <w:rFonts w:eastAsia="SimSun"/>
                <w:sz w:val="24"/>
                <w:szCs w:val="24"/>
              </w:rPr>
            </w:pPr>
          </w:p>
        </w:tc>
        <w:tc>
          <w:tcPr>
            <w:tcW w:w="3217" w:type="dxa"/>
            <w:tcBorders>
              <w:top w:val="single" w:sz="4" w:space="0" w:color="auto"/>
              <w:left w:val="nil"/>
              <w:bottom w:val="single" w:sz="4" w:space="0" w:color="auto"/>
              <w:right w:val="single" w:sz="4" w:space="0" w:color="auto"/>
            </w:tcBorders>
            <w:shd w:val="clear" w:color="auto" w:fill="auto"/>
          </w:tcPr>
          <w:p w:rsidR="00B224A4" w:rsidRPr="00B224A4" w:rsidRDefault="00B224A4" w:rsidP="00C50630">
            <w:pPr>
              <w:keepNext/>
              <w:autoSpaceDE w:val="0"/>
              <w:autoSpaceDN w:val="0"/>
              <w:adjustRightInd w:val="0"/>
              <w:spacing w:before="120" w:after="120"/>
              <w:rPr>
                <w:rFonts w:eastAsia="SimSun"/>
                <w:sz w:val="24"/>
                <w:szCs w:val="24"/>
              </w:rPr>
            </w:pPr>
          </w:p>
        </w:tc>
      </w:tr>
      <w:tr w:rsidR="00B224A4" w:rsidRPr="00B224A4" w:rsidTr="00C50630">
        <w:tc>
          <w:tcPr>
            <w:tcW w:w="3897" w:type="dxa"/>
            <w:tcBorders>
              <w:top w:val="single" w:sz="4" w:space="0" w:color="auto"/>
            </w:tcBorders>
            <w:shd w:val="clear" w:color="auto" w:fill="auto"/>
          </w:tcPr>
          <w:p w:rsidR="00B224A4" w:rsidRPr="00B224A4" w:rsidRDefault="00B224A4" w:rsidP="00C50630">
            <w:pPr>
              <w:keepNext/>
              <w:autoSpaceDE w:val="0"/>
              <w:autoSpaceDN w:val="0"/>
              <w:adjustRightInd w:val="0"/>
              <w:rPr>
                <w:rFonts w:ascii="SimSun" w:eastAsia="SimSun"/>
                <w:sz w:val="24"/>
                <w:szCs w:val="24"/>
              </w:rPr>
            </w:pPr>
            <w:r w:rsidRPr="00B224A4">
              <w:rPr>
                <w:sz w:val="24"/>
                <w:szCs w:val="24"/>
              </w:rPr>
              <w:t xml:space="preserve">Primær immun </w:t>
            </w:r>
            <w:proofErr w:type="spellStart"/>
            <w:r w:rsidRPr="00B224A4">
              <w:rPr>
                <w:sz w:val="24"/>
                <w:szCs w:val="24"/>
              </w:rPr>
              <w:t>trombocytopeni</w:t>
            </w:r>
            <w:proofErr w:type="spellEnd"/>
          </w:p>
        </w:tc>
        <w:tc>
          <w:tcPr>
            <w:tcW w:w="2628" w:type="dxa"/>
            <w:tcBorders>
              <w:top w:val="single" w:sz="4" w:space="0" w:color="auto"/>
            </w:tcBorders>
            <w:shd w:val="clear" w:color="auto" w:fill="auto"/>
          </w:tcPr>
          <w:p w:rsidR="00B224A4" w:rsidRPr="00B224A4" w:rsidRDefault="00B224A4" w:rsidP="00C50630">
            <w:pPr>
              <w:widowControl w:val="0"/>
              <w:autoSpaceDE w:val="0"/>
              <w:autoSpaceDN w:val="0"/>
              <w:adjustRightInd w:val="0"/>
              <w:spacing w:line="248" w:lineRule="exact"/>
              <w:ind w:left="131" w:right="-20"/>
              <w:rPr>
                <w:sz w:val="24"/>
                <w:szCs w:val="24"/>
              </w:rPr>
            </w:pPr>
            <w:r w:rsidRPr="00B224A4">
              <w:rPr>
                <w:sz w:val="24"/>
                <w:szCs w:val="24"/>
              </w:rPr>
              <w:t>0,8 -</w:t>
            </w:r>
            <w:r w:rsidRPr="00B224A4">
              <w:rPr>
                <w:spacing w:val="-4"/>
                <w:sz w:val="24"/>
                <w:szCs w:val="24"/>
              </w:rPr>
              <w:t xml:space="preserve"> </w:t>
            </w:r>
            <w:r w:rsidRPr="00B224A4">
              <w:rPr>
                <w:sz w:val="24"/>
                <w:szCs w:val="24"/>
              </w:rPr>
              <w:t>1</w:t>
            </w:r>
            <w:r w:rsidRPr="00B224A4">
              <w:rPr>
                <w:spacing w:val="3"/>
                <w:sz w:val="24"/>
                <w:szCs w:val="24"/>
              </w:rPr>
              <w:t xml:space="preserve"> </w:t>
            </w:r>
            <w:r w:rsidRPr="00B224A4">
              <w:rPr>
                <w:spacing w:val="-2"/>
                <w:sz w:val="24"/>
                <w:szCs w:val="24"/>
              </w:rPr>
              <w:t>g</w:t>
            </w:r>
            <w:r w:rsidRPr="00B224A4">
              <w:rPr>
                <w:spacing w:val="1"/>
                <w:sz w:val="24"/>
                <w:szCs w:val="24"/>
              </w:rPr>
              <w:t>/</w:t>
            </w:r>
            <w:r w:rsidRPr="00B224A4">
              <w:rPr>
                <w:sz w:val="24"/>
                <w:szCs w:val="24"/>
              </w:rPr>
              <w:t>kg</w:t>
            </w:r>
          </w:p>
          <w:p w:rsidR="00B224A4" w:rsidRPr="00B224A4" w:rsidRDefault="00B224A4" w:rsidP="00C50630">
            <w:pPr>
              <w:widowControl w:val="0"/>
              <w:autoSpaceDE w:val="0"/>
              <w:autoSpaceDN w:val="0"/>
              <w:adjustRightInd w:val="0"/>
              <w:spacing w:before="11" w:line="240" w:lineRule="exact"/>
              <w:rPr>
                <w:sz w:val="24"/>
                <w:szCs w:val="24"/>
              </w:rPr>
            </w:pPr>
          </w:p>
          <w:p w:rsidR="00B224A4" w:rsidRPr="00B224A4" w:rsidRDefault="00B224A4" w:rsidP="00C50630">
            <w:pPr>
              <w:widowControl w:val="0"/>
              <w:autoSpaceDE w:val="0"/>
              <w:autoSpaceDN w:val="0"/>
              <w:adjustRightInd w:val="0"/>
              <w:ind w:left="131" w:right="-20"/>
              <w:rPr>
                <w:sz w:val="24"/>
                <w:szCs w:val="24"/>
              </w:rPr>
            </w:pPr>
            <w:r w:rsidRPr="00B224A4">
              <w:rPr>
                <w:spacing w:val="-1"/>
                <w:sz w:val="24"/>
                <w:szCs w:val="24"/>
              </w:rPr>
              <w:t>elle</w:t>
            </w:r>
            <w:r w:rsidRPr="00B224A4">
              <w:rPr>
                <w:sz w:val="24"/>
                <w:szCs w:val="24"/>
              </w:rPr>
              <w:t>r</w:t>
            </w:r>
          </w:p>
          <w:p w:rsidR="00B224A4" w:rsidRPr="00B224A4" w:rsidRDefault="00B224A4" w:rsidP="00C50630">
            <w:pPr>
              <w:widowControl w:val="0"/>
              <w:autoSpaceDE w:val="0"/>
              <w:autoSpaceDN w:val="0"/>
              <w:adjustRightInd w:val="0"/>
              <w:spacing w:before="13" w:line="240" w:lineRule="exact"/>
              <w:rPr>
                <w:sz w:val="24"/>
                <w:szCs w:val="24"/>
              </w:rPr>
            </w:pPr>
          </w:p>
          <w:p w:rsidR="00B224A4" w:rsidRPr="00B224A4" w:rsidRDefault="00B224A4" w:rsidP="00C50630">
            <w:pPr>
              <w:keepNext/>
              <w:autoSpaceDE w:val="0"/>
              <w:autoSpaceDN w:val="0"/>
              <w:adjustRightInd w:val="0"/>
              <w:ind w:left="175"/>
              <w:rPr>
                <w:rFonts w:eastAsia="SimSun"/>
                <w:sz w:val="24"/>
                <w:szCs w:val="24"/>
              </w:rPr>
            </w:pPr>
            <w:r w:rsidRPr="00B224A4">
              <w:rPr>
                <w:sz w:val="24"/>
                <w:szCs w:val="24"/>
              </w:rPr>
              <w:t xml:space="preserve">0,4 </w:t>
            </w:r>
            <w:r w:rsidRPr="00B224A4">
              <w:rPr>
                <w:spacing w:val="-2"/>
                <w:sz w:val="24"/>
                <w:szCs w:val="24"/>
              </w:rPr>
              <w:t>g</w:t>
            </w:r>
            <w:r w:rsidRPr="00B224A4">
              <w:rPr>
                <w:spacing w:val="1"/>
                <w:sz w:val="24"/>
                <w:szCs w:val="24"/>
              </w:rPr>
              <w:t>/</w:t>
            </w:r>
            <w:r w:rsidRPr="00B224A4">
              <w:rPr>
                <w:spacing w:val="-2"/>
                <w:sz w:val="24"/>
                <w:szCs w:val="24"/>
              </w:rPr>
              <w:t>kg</w:t>
            </w:r>
            <w:r w:rsidRPr="00B224A4">
              <w:rPr>
                <w:spacing w:val="1"/>
                <w:sz w:val="24"/>
                <w:szCs w:val="24"/>
              </w:rPr>
              <w:t>/</w:t>
            </w:r>
            <w:r w:rsidRPr="00B224A4">
              <w:rPr>
                <w:sz w:val="24"/>
                <w:szCs w:val="24"/>
              </w:rPr>
              <w:t>d</w:t>
            </w:r>
          </w:p>
        </w:tc>
        <w:tc>
          <w:tcPr>
            <w:tcW w:w="3217" w:type="dxa"/>
            <w:tcBorders>
              <w:top w:val="single" w:sz="4" w:space="0" w:color="auto"/>
            </w:tcBorders>
            <w:shd w:val="clear" w:color="auto" w:fill="auto"/>
          </w:tcPr>
          <w:p w:rsidR="00C50630" w:rsidRDefault="00C50630" w:rsidP="00C50630">
            <w:pPr>
              <w:keepNext/>
              <w:autoSpaceDE w:val="0"/>
              <w:autoSpaceDN w:val="0"/>
              <w:adjustRightInd w:val="0"/>
              <w:rPr>
                <w:spacing w:val="-2"/>
                <w:sz w:val="24"/>
                <w:szCs w:val="24"/>
              </w:rPr>
            </w:pPr>
            <w:r>
              <w:rPr>
                <w:spacing w:val="-2"/>
                <w:sz w:val="24"/>
                <w:szCs w:val="24"/>
              </w:rPr>
              <w:t>på dag 1, muligvis gentaget en gang i løbet af 3 dage</w:t>
            </w:r>
          </w:p>
          <w:p w:rsidR="00C50630" w:rsidRDefault="00C50630" w:rsidP="00C50630">
            <w:pPr>
              <w:keepNext/>
              <w:autoSpaceDE w:val="0"/>
              <w:autoSpaceDN w:val="0"/>
              <w:adjustRightInd w:val="0"/>
              <w:rPr>
                <w:spacing w:val="-2"/>
                <w:sz w:val="24"/>
                <w:szCs w:val="24"/>
              </w:rPr>
            </w:pPr>
          </w:p>
          <w:p w:rsidR="00C50630" w:rsidRDefault="00C50630" w:rsidP="00C50630">
            <w:pPr>
              <w:keepNext/>
              <w:autoSpaceDE w:val="0"/>
              <w:autoSpaceDN w:val="0"/>
              <w:adjustRightInd w:val="0"/>
              <w:rPr>
                <w:spacing w:val="-2"/>
                <w:sz w:val="24"/>
                <w:szCs w:val="24"/>
              </w:rPr>
            </w:pPr>
          </w:p>
          <w:p w:rsidR="00B224A4" w:rsidRPr="00B224A4" w:rsidRDefault="00C50630" w:rsidP="00C50630">
            <w:pPr>
              <w:keepNext/>
              <w:autoSpaceDE w:val="0"/>
              <w:autoSpaceDN w:val="0"/>
              <w:adjustRightInd w:val="0"/>
              <w:rPr>
                <w:rFonts w:ascii="SimSun" w:eastAsia="SimSun"/>
                <w:sz w:val="24"/>
                <w:szCs w:val="24"/>
              </w:rPr>
            </w:pPr>
            <w:r>
              <w:rPr>
                <w:spacing w:val="1"/>
                <w:sz w:val="24"/>
                <w:szCs w:val="24"/>
              </w:rPr>
              <w:t xml:space="preserve">i 2 - </w:t>
            </w:r>
            <w:r>
              <w:rPr>
                <w:sz w:val="24"/>
                <w:szCs w:val="24"/>
              </w:rPr>
              <w:t>5</w:t>
            </w:r>
            <w:r>
              <w:rPr>
                <w:spacing w:val="-2"/>
                <w:sz w:val="24"/>
                <w:szCs w:val="24"/>
              </w:rPr>
              <w:t xml:space="preserve"> </w:t>
            </w:r>
            <w:r>
              <w:rPr>
                <w:sz w:val="24"/>
                <w:szCs w:val="24"/>
              </w:rPr>
              <w:t>dage</w:t>
            </w:r>
          </w:p>
        </w:tc>
      </w:tr>
      <w:tr w:rsidR="00B224A4" w:rsidRPr="00B224A4" w:rsidTr="00C50630">
        <w:tc>
          <w:tcPr>
            <w:tcW w:w="3897" w:type="dxa"/>
            <w:shd w:val="clear" w:color="auto" w:fill="auto"/>
          </w:tcPr>
          <w:p w:rsidR="00B224A4" w:rsidRPr="00B224A4" w:rsidRDefault="00B224A4" w:rsidP="00C50630">
            <w:pPr>
              <w:keepNext/>
              <w:autoSpaceDE w:val="0"/>
              <w:autoSpaceDN w:val="0"/>
              <w:adjustRightInd w:val="0"/>
              <w:rPr>
                <w:rFonts w:ascii="SimSun" w:eastAsia="SimSun"/>
                <w:sz w:val="24"/>
                <w:szCs w:val="24"/>
              </w:rPr>
            </w:pPr>
            <w:proofErr w:type="spellStart"/>
            <w:r w:rsidRPr="00B224A4">
              <w:rPr>
                <w:sz w:val="24"/>
                <w:szCs w:val="24"/>
              </w:rPr>
              <w:t>Guillain</w:t>
            </w:r>
            <w:proofErr w:type="spellEnd"/>
            <w:r w:rsidRPr="00B224A4">
              <w:rPr>
                <w:sz w:val="24"/>
                <w:szCs w:val="24"/>
              </w:rPr>
              <w:t xml:space="preserve"> </w:t>
            </w:r>
            <w:proofErr w:type="spellStart"/>
            <w:r w:rsidRPr="00B224A4">
              <w:rPr>
                <w:sz w:val="24"/>
                <w:szCs w:val="24"/>
              </w:rPr>
              <w:t>Barré</w:t>
            </w:r>
            <w:proofErr w:type="spellEnd"/>
            <w:r w:rsidRPr="00B224A4">
              <w:rPr>
                <w:sz w:val="24"/>
                <w:szCs w:val="24"/>
              </w:rPr>
              <w:noBreakHyphen/>
              <w:t xml:space="preserve">syndrom </w:t>
            </w:r>
          </w:p>
        </w:tc>
        <w:tc>
          <w:tcPr>
            <w:tcW w:w="2628" w:type="dxa"/>
            <w:shd w:val="clear" w:color="auto" w:fill="auto"/>
          </w:tcPr>
          <w:p w:rsidR="00B224A4" w:rsidRPr="00B224A4" w:rsidRDefault="00B224A4" w:rsidP="00C50630">
            <w:pPr>
              <w:keepNext/>
              <w:autoSpaceDE w:val="0"/>
              <w:autoSpaceDN w:val="0"/>
              <w:adjustRightInd w:val="0"/>
              <w:ind w:left="175"/>
              <w:rPr>
                <w:rFonts w:eastAsia="SimSun"/>
                <w:sz w:val="24"/>
                <w:szCs w:val="24"/>
              </w:rPr>
            </w:pPr>
            <w:r w:rsidRPr="00B224A4">
              <w:rPr>
                <w:sz w:val="24"/>
                <w:szCs w:val="24"/>
              </w:rPr>
              <w:t>0,4 g</w:t>
            </w:r>
            <w:r w:rsidRPr="00B224A4">
              <w:rPr>
                <w:spacing w:val="-2"/>
                <w:sz w:val="24"/>
                <w:szCs w:val="24"/>
              </w:rPr>
              <w:t xml:space="preserve"> </w:t>
            </w:r>
            <w:r w:rsidRPr="00B224A4">
              <w:rPr>
                <w:spacing w:val="1"/>
                <w:sz w:val="24"/>
                <w:szCs w:val="24"/>
              </w:rPr>
              <w:t>/</w:t>
            </w:r>
            <w:r w:rsidRPr="00B224A4">
              <w:rPr>
                <w:spacing w:val="-2"/>
                <w:sz w:val="24"/>
                <w:szCs w:val="24"/>
              </w:rPr>
              <w:t>kg</w:t>
            </w:r>
            <w:r w:rsidRPr="00B224A4">
              <w:rPr>
                <w:spacing w:val="1"/>
                <w:sz w:val="24"/>
                <w:szCs w:val="24"/>
              </w:rPr>
              <w:t>/</w:t>
            </w:r>
            <w:r w:rsidRPr="00B224A4">
              <w:rPr>
                <w:sz w:val="24"/>
                <w:szCs w:val="24"/>
              </w:rPr>
              <w:t>d</w:t>
            </w:r>
          </w:p>
        </w:tc>
        <w:tc>
          <w:tcPr>
            <w:tcW w:w="3217" w:type="dxa"/>
            <w:shd w:val="clear" w:color="auto" w:fill="auto"/>
          </w:tcPr>
          <w:p w:rsidR="00B224A4" w:rsidRPr="00B224A4" w:rsidRDefault="00B224A4" w:rsidP="00C50630">
            <w:pPr>
              <w:keepNext/>
              <w:autoSpaceDE w:val="0"/>
              <w:autoSpaceDN w:val="0"/>
              <w:adjustRightInd w:val="0"/>
              <w:rPr>
                <w:rFonts w:ascii="SimSun" w:eastAsia="SimSun"/>
                <w:sz w:val="24"/>
                <w:szCs w:val="24"/>
              </w:rPr>
            </w:pPr>
            <w:r w:rsidRPr="00B224A4">
              <w:rPr>
                <w:spacing w:val="1"/>
                <w:sz w:val="24"/>
                <w:szCs w:val="24"/>
              </w:rPr>
              <w:t xml:space="preserve">i </w:t>
            </w:r>
            <w:r w:rsidRPr="00B224A4">
              <w:rPr>
                <w:sz w:val="24"/>
                <w:szCs w:val="24"/>
              </w:rPr>
              <w:t>5</w:t>
            </w:r>
            <w:r w:rsidRPr="00B224A4">
              <w:rPr>
                <w:spacing w:val="-2"/>
                <w:sz w:val="24"/>
                <w:szCs w:val="24"/>
              </w:rPr>
              <w:t xml:space="preserve"> </w:t>
            </w:r>
            <w:r w:rsidRPr="00B224A4">
              <w:rPr>
                <w:sz w:val="24"/>
                <w:szCs w:val="24"/>
              </w:rPr>
              <w:t>dage</w:t>
            </w:r>
          </w:p>
        </w:tc>
      </w:tr>
      <w:tr w:rsidR="00B224A4" w:rsidRPr="00B224A4" w:rsidTr="00C50630">
        <w:tc>
          <w:tcPr>
            <w:tcW w:w="3897" w:type="dxa"/>
            <w:shd w:val="clear" w:color="auto" w:fill="auto"/>
          </w:tcPr>
          <w:p w:rsidR="00B224A4" w:rsidRPr="00B224A4" w:rsidRDefault="00B224A4" w:rsidP="00C50630">
            <w:pPr>
              <w:keepNext/>
              <w:autoSpaceDE w:val="0"/>
              <w:autoSpaceDN w:val="0"/>
              <w:adjustRightInd w:val="0"/>
              <w:rPr>
                <w:rFonts w:ascii="SimSun" w:eastAsia="SimSun"/>
                <w:sz w:val="24"/>
                <w:szCs w:val="24"/>
              </w:rPr>
            </w:pPr>
            <w:r w:rsidRPr="00B224A4">
              <w:rPr>
                <w:sz w:val="24"/>
                <w:szCs w:val="24"/>
              </w:rPr>
              <w:t>Kawasakis sygdom</w:t>
            </w:r>
          </w:p>
        </w:tc>
        <w:tc>
          <w:tcPr>
            <w:tcW w:w="2628" w:type="dxa"/>
            <w:shd w:val="clear" w:color="auto" w:fill="auto"/>
          </w:tcPr>
          <w:p w:rsidR="00B224A4" w:rsidRPr="00B224A4" w:rsidRDefault="00B224A4" w:rsidP="00C50630">
            <w:pPr>
              <w:keepNext/>
              <w:autoSpaceDE w:val="0"/>
              <w:autoSpaceDN w:val="0"/>
              <w:adjustRightInd w:val="0"/>
              <w:ind w:left="175"/>
              <w:rPr>
                <w:rFonts w:eastAsia="SimSun"/>
                <w:sz w:val="24"/>
                <w:szCs w:val="24"/>
              </w:rPr>
            </w:pPr>
            <w:r w:rsidRPr="00B224A4">
              <w:rPr>
                <w:sz w:val="24"/>
                <w:szCs w:val="24"/>
              </w:rPr>
              <w:t xml:space="preserve">2 </w:t>
            </w:r>
            <w:r w:rsidRPr="00B224A4">
              <w:rPr>
                <w:spacing w:val="-2"/>
                <w:sz w:val="24"/>
                <w:szCs w:val="24"/>
              </w:rPr>
              <w:t>g</w:t>
            </w:r>
            <w:r w:rsidRPr="00B224A4">
              <w:rPr>
                <w:spacing w:val="1"/>
                <w:sz w:val="24"/>
                <w:szCs w:val="24"/>
              </w:rPr>
              <w:t>/</w:t>
            </w:r>
            <w:r w:rsidRPr="00B224A4">
              <w:rPr>
                <w:sz w:val="24"/>
                <w:szCs w:val="24"/>
              </w:rPr>
              <w:t>kg</w:t>
            </w:r>
          </w:p>
        </w:tc>
        <w:tc>
          <w:tcPr>
            <w:tcW w:w="3217" w:type="dxa"/>
            <w:shd w:val="clear" w:color="auto" w:fill="auto"/>
          </w:tcPr>
          <w:p w:rsidR="00B224A4" w:rsidRPr="00B224A4" w:rsidRDefault="00B224A4" w:rsidP="00C50630">
            <w:pPr>
              <w:keepNext/>
              <w:autoSpaceDE w:val="0"/>
              <w:autoSpaceDN w:val="0"/>
              <w:adjustRightInd w:val="0"/>
              <w:rPr>
                <w:rFonts w:ascii="SimSun" w:eastAsia="SimSun"/>
                <w:sz w:val="24"/>
                <w:szCs w:val="24"/>
              </w:rPr>
            </w:pPr>
            <w:r w:rsidRPr="00B224A4">
              <w:rPr>
                <w:sz w:val="24"/>
                <w:szCs w:val="24"/>
              </w:rPr>
              <w:t>i én dosis kombineret med acetylsalicylsyre</w:t>
            </w:r>
          </w:p>
        </w:tc>
      </w:tr>
      <w:tr w:rsidR="00B224A4" w:rsidRPr="00B224A4" w:rsidTr="00C50630">
        <w:tc>
          <w:tcPr>
            <w:tcW w:w="3897" w:type="dxa"/>
            <w:shd w:val="clear" w:color="auto" w:fill="auto"/>
          </w:tcPr>
          <w:p w:rsidR="00B224A4" w:rsidRPr="00B224A4" w:rsidRDefault="00B224A4" w:rsidP="00C50630">
            <w:pPr>
              <w:widowControl w:val="0"/>
              <w:autoSpaceDE w:val="0"/>
              <w:autoSpaceDN w:val="0"/>
              <w:adjustRightInd w:val="0"/>
              <w:spacing w:line="246" w:lineRule="exact"/>
              <w:ind w:left="133" w:right="-20"/>
              <w:rPr>
                <w:spacing w:val="-1"/>
                <w:sz w:val="24"/>
                <w:szCs w:val="24"/>
              </w:rPr>
            </w:pPr>
          </w:p>
          <w:p w:rsidR="00B224A4" w:rsidRPr="00B224A4" w:rsidRDefault="00B224A4" w:rsidP="00C50630">
            <w:pPr>
              <w:widowControl w:val="0"/>
              <w:autoSpaceDE w:val="0"/>
              <w:autoSpaceDN w:val="0"/>
              <w:adjustRightInd w:val="0"/>
              <w:spacing w:line="246" w:lineRule="exact"/>
              <w:ind w:left="133" w:right="-20"/>
              <w:rPr>
                <w:spacing w:val="-1"/>
                <w:sz w:val="24"/>
                <w:szCs w:val="24"/>
              </w:rPr>
            </w:pPr>
          </w:p>
          <w:p w:rsidR="00B224A4" w:rsidRPr="00B224A4" w:rsidRDefault="00B224A4" w:rsidP="00C50630">
            <w:pPr>
              <w:keepNext/>
              <w:autoSpaceDE w:val="0"/>
              <w:autoSpaceDN w:val="0"/>
              <w:adjustRightInd w:val="0"/>
              <w:spacing w:before="120" w:after="120"/>
              <w:rPr>
                <w:rFonts w:eastAsia="SimSun"/>
                <w:sz w:val="24"/>
                <w:szCs w:val="24"/>
              </w:rPr>
            </w:pPr>
            <w:r w:rsidRPr="00B224A4">
              <w:rPr>
                <w:sz w:val="24"/>
                <w:szCs w:val="24"/>
              </w:rPr>
              <w:t xml:space="preserve">Kronisk inflammatorisk </w:t>
            </w:r>
            <w:proofErr w:type="spellStart"/>
            <w:r w:rsidRPr="00B224A4">
              <w:rPr>
                <w:sz w:val="24"/>
                <w:szCs w:val="24"/>
              </w:rPr>
              <w:t>demyeliniserende</w:t>
            </w:r>
            <w:proofErr w:type="spellEnd"/>
            <w:r w:rsidRPr="00B224A4">
              <w:rPr>
                <w:sz w:val="24"/>
                <w:szCs w:val="24"/>
              </w:rPr>
              <w:t xml:space="preserve"> </w:t>
            </w:r>
            <w:proofErr w:type="spellStart"/>
            <w:r w:rsidRPr="00B224A4">
              <w:rPr>
                <w:sz w:val="24"/>
                <w:szCs w:val="24"/>
              </w:rPr>
              <w:t>polyneuropati</w:t>
            </w:r>
            <w:proofErr w:type="spellEnd"/>
            <w:r w:rsidRPr="00B224A4">
              <w:rPr>
                <w:spacing w:val="-1"/>
                <w:sz w:val="24"/>
                <w:szCs w:val="24"/>
              </w:rPr>
              <w:t xml:space="preserve"> (CIDP</w:t>
            </w:r>
            <w:r w:rsidRPr="00B224A4">
              <w:rPr>
                <w:sz w:val="24"/>
                <w:szCs w:val="24"/>
              </w:rPr>
              <w:t>)</w:t>
            </w:r>
          </w:p>
        </w:tc>
        <w:tc>
          <w:tcPr>
            <w:tcW w:w="2628" w:type="dxa"/>
            <w:shd w:val="clear" w:color="auto" w:fill="auto"/>
          </w:tcPr>
          <w:p w:rsidR="00B224A4" w:rsidRPr="00B224A4" w:rsidRDefault="00B224A4" w:rsidP="00C50630">
            <w:pPr>
              <w:widowControl w:val="0"/>
              <w:autoSpaceDE w:val="0"/>
              <w:autoSpaceDN w:val="0"/>
              <w:adjustRightInd w:val="0"/>
              <w:spacing w:line="246" w:lineRule="exact"/>
              <w:ind w:left="131" w:right="-20"/>
              <w:rPr>
                <w:sz w:val="24"/>
                <w:szCs w:val="24"/>
              </w:rPr>
            </w:pPr>
          </w:p>
          <w:p w:rsidR="00B224A4" w:rsidRPr="00B224A4" w:rsidRDefault="00B224A4" w:rsidP="00C50630">
            <w:pPr>
              <w:widowControl w:val="0"/>
              <w:autoSpaceDE w:val="0"/>
              <w:autoSpaceDN w:val="0"/>
              <w:adjustRightInd w:val="0"/>
              <w:spacing w:line="246" w:lineRule="exact"/>
              <w:ind w:left="131" w:right="-20"/>
              <w:rPr>
                <w:sz w:val="24"/>
                <w:szCs w:val="24"/>
              </w:rPr>
            </w:pPr>
            <w:r w:rsidRPr="00B224A4">
              <w:rPr>
                <w:sz w:val="24"/>
                <w:szCs w:val="24"/>
              </w:rPr>
              <w:t>S</w:t>
            </w:r>
            <w:r w:rsidRPr="00B224A4">
              <w:rPr>
                <w:spacing w:val="1"/>
                <w:sz w:val="24"/>
                <w:szCs w:val="24"/>
              </w:rPr>
              <w:t>t</w:t>
            </w:r>
            <w:r w:rsidRPr="00B224A4">
              <w:rPr>
                <w:sz w:val="24"/>
                <w:szCs w:val="24"/>
              </w:rPr>
              <w:t>a</w:t>
            </w:r>
            <w:r w:rsidRPr="00B224A4">
              <w:rPr>
                <w:spacing w:val="-2"/>
                <w:sz w:val="24"/>
                <w:szCs w:val="24"/>
              </w:rPr>
              <w:t>r</w:t>
            </w:r>
            <w:r w:rsidRPr="00B224A4">
              <w:rPr>
                <w:spacing w:val="1"/>
                <w:sz w:val="24"/>
                <w:szCs w:val="24"/>
              </w:rPr>
              <w:t>tdosis</w:t>
            </w:r>
            <w:r w:rsidRPr="00B224A4">
              <w:rPr>
                <w:sz w:val="24"/>
                <w:szCs w:val="24"/>
              </w:rPr>
              <w:t>:</w:t>
            </w:r>
          </w:p>
          <w:p w:rsidR="00B224A4" w:rsidRPr="00B224A4" w:rsidRDefault="00B224A4" w:rsidP="00C50630">
            <w:pPr>
              <w:widowControl w:val="0"/>
              <w:autoSpaceDE w:val="0"/>
              <w:autoSpaceDN w:val="0"/>
              <w:adjustRightInd w:val="0"/>
              <w:spacing w:line="246" w:lineRule="exact"/>
              <w:ind w:left="131" w:right="-20"/>
              <w:rPr>
                <w:sz w:val="24"/>
                <w:szCs w:val="24"/>
              </w:rPr>
            </w:pPr>
          </w:p>
          <w:p w:rsidR="00B224A4" w:rsidRPr="00B224A4" w:rsidRDefault="00B224A4" w:rsidP="00C50630">
            <w:pPr>
              <w:widowControl w:val="0"/>
              <w:autoSpaceDE w:val="0"/>
              <w:autoSpaceDN w:val="0"/>
              <w:adjustRightInd w:val="0"/>
              <w:spacing w:line="246" w:lineRule="exact"/>
              <w:ind w:left="131" w:right="-20"/>
              <w:rPr>
                <w:sz w:val="24"/>
                <w:szCs w:val="24"/>
              </w:rPr>
            </w:pPr>
            <w:r w:rsidRPr="00B224A4">
              <w:rPr>
                <w:sz w:val="24"/>
                <w:szCs w:val="24"/>
              </w:rPr>
              <w:t xml:space="preserve">2 </w:t>
            </w:r>
            <w:r w:rsidRPr="00B224A4">
              <w:rPr>
                <w:spacing w:val="-2"/>
                <w:sz w:val="24"/>
                <w:szCs w:val="24"/>
              </w:rPr>
              <w:t>g</w:t>
            </w:r>
            <w:r w:rsidRPr="00B224A4">
              <w:rPr>
                <w:spacing w:val="1"/>
                <w:sz w:val="24"/>
                <w:szCs w:val="24"/>
              </w:rPr>
              <w:t>/</w:t>
            </w:r>
            <w:r w:rsidRPr="00B224A4">
              <w:rPr>
                <w:sz w:val="24"/>
                <w:szCs w:val="24"/>
              </w:rPr>
              <w:t>kg</w:t>
            </w:r>
          </w:p>
          <w:p w:rsidR="00B224A4" w:rsidRPr="00B224A4" w:rsidRDefault="00B224A4" w:rsidP="00C50630">
            <w:pPr>
              <w:widowControl w:val="0"/>
              <w:autoSpaceDE w:val="0"/>
              <w:autoSpaceDN w:val="0"/>
              <w:adjustRightInd w:val="0"/>
              <w:spacing w:before="13" w:line="240" w:lineRule="exact"/>
              <w:rPr>
                <w:sz w:val="24"/>
                <w:szCs w:val="24"/>
              </w:rPr>
            </w:pPr>
          </w:p>
          <w:p w:rsidR="00B224A4" w:rsidRPr="00B224A4" w:rsidRDefault="00B224A4" w:rsidP="00C50630">
            <w:pPr>
              <w:widowControl w:val="0"/>
              <w:autoSpaceDE w:val="0"/>
              <w:autoSpaceDN w:val="0"/>
              <w:adjustRightInd w:val="0"/>
              <w:ind w:left="131" w:right="-20"/>
              <w:rPr>
                <w:sz w:val="24"/>
                <w:szCs w:val="24"/>
              </w:rPr>
            </w:pPr>
            <w:r w:rsidRPr="00B224A4">
              <w:rPr>
                <w:sz w:val="24"/>
                <w:szCs w:val="24"/>
              </w:rPr>
              <w:t>Vedligeholdelsesdosis:</w:t>
            </w:r>
          </w:p>
          <w:p w:rsidR="00B224A4" w:rsidRPr="00B224A4" w:rsidRDefault="00B224A4" w:rsidP="00C50630">
            <w:pPr>
              <w:keepNext/>
              <w:autoSpaceDE w:val="0"/>
              <w:autoSpaceDN w:val="0"/>
              <w:adjustRightInd w:val="0"/>
              <w:ind w:left="175"/>
              <w:rPr>
                <w:rFonts w:eastAsia="SimSun"/>
                <w:sz w:val="24"/>
                <w:szCs w:val="24"/>
              </w:rPr>
            </w:pPr>
            <w:r w:rsidRPr="00B224A4">
              <w:rPr>
                <w:sz w:val="24"/>
                <w:szCs w:val="24"/>
              </w:rPr>
              <w:t xml:space="preserve">1 </w:t>
            </w:r>
            <w:r w:rsidRPr="00B224A4">
              <w:rPr>
                <w:spacing w:val="-2"/>
                <w:sz w:val="24"/>
                <w:szCs w:val="24"/>
              </w:rPr>
              <w:t>g</w:t>
            </w:r>
            <w:r w:rsidRPr="00B224A4">
              <w:rPr>
                <w:spacing w:val="1"/>
                <w:sz w:val="24"/>
                <w:szCs w:val="24"/>
              </w:rPr>
              <w:t>/</w:t>
            </w:r>
            <w:r w:rsidRPr="00B224A4">
              <w:rPr>
                <w:sz w:val="24"/>
                <w:szCs w:val="24"/>
              </w:rPr>
              <w:t>kg</w:t>
            </w:r>
          </w:p>
        </w:tc>
        <w:tc>
          <w:tcPr>
            <w:tcW w:w="3217" w:type="dxa"/>
            <w:shd w:val="clear" w:color="auto" w:fill="auto"/>
          </w:tcPr>
          <w:p w:rsidR="00C50630" w:rsidRDefault="00C50630" w:rsidP="00C50630">
            <w:pPr>
              <w:widowControl w:val="0"/>
              <w:autoSpaceDE w:val="0"/>
              <w:autoSpaceDN w:val="0"/>
              <w:adjustRightInd w:val="0"/>
              <w:rPr>
                <w:sz w:val="24"/>
                <w:szCs w:val="24"/>
              </w:rPr>
            </w:pPr>
          </w:p>
          <w:p w:rsidR="00C50630" w:rsidRDefault="00C50630" w:rsidP="00C50630">
            <w:pPr>
              <w:widowControl w:val="0"/>
              <w:autoSpaceDE w:val="0"/>
              <w:autoSpaceDN w:val="0"/>
              <w:adjustRightInd w:val="0"/>
              <w:spacing w:line="246" w:lineRule="exact"/>
              <w:ind w:right="-20"/>
              <w:rPr>
                <w:sz w:val="24"/>
                <w:szCs w:val="24"/>
              </w:rPr>
            </w:pPr>
            <w:r>
              <w:rPr>
                <w:sz w:val="24"/>
                <w:szCs w:val="24"/>
              </w:rPr>
              <w:t>i opdelte doser over 2-5 dage</w:t>
            </w:r>
          </w:p>
          <w:p w:rsidR="00C50630" w:rsidRDefault="00C50630" w:rsidP="00C50630">
            <w:pPr>
              <w:widowControl w:val="0"/>
              <w:autoSpaceDE w:val="0"/>
              <w:autoSpaceDN w:val="0"/>
              <w:adjustRightInd w:val="0"/>
              <w:spacing w:before="5" w:line="100" w:lineRule="exact"/>
              <w:rPr>
                <w:sz w:val="24"/>
                <w:szCs w:val="24"/>
              </w:rPr>
            </w:pPr>
          </w:p>
          <w:p w:rsidR="00C50630" w:rsidRDefault="00C50630" w:rsidP="00C50630">
            <w:pPr>
              <w:widowControl w:val="0"/>
              <w:autoSpaceDE w:val="0"/>
              <w:autoSpaceDN w:val="0"/>
              <w:adjustRightInd w:val="0"/>
              <w:spacing w:line="200" w:lineRule="exact"/>
              <w:rPr>
                <w:sz w:val="24"/>
                <w:szCs w:val="24"/>
              </w:rPr>
            </w:pPr>
          </w:p>
          <w:p w:rsidR="00C50630" w:rsidRDefault="00C50630" w:rsidP="00C50630">
            <w:pPr>
              <w:widowControl w:val="0"/>
              <w:autoSpaceDE w:val="0"/>
              <w:autoSpaceDN w:val="0"/>
              <w:adjustRightInd w:val="0"/>
              <w:spacing w:line="200" w:lineRule="exact"/>
              <w:rPr>
                <w:sz w:val="24"/>
                <w:szCs w:val="24"/>
              </w:rPr>
            </w:pPr>
          </w:p>
          <w:p w:rsidR="00C50630" w:rsidRDefault="00C50630" w:rsidP="00C50630">
            <w:pPr>
              <w:widowControl w:val="0"/>
              <w:autoSpaceDE w:val="0"/>
              <w:autoSpaceDN w:val="0"/>
              <w:adjustRightInd w:val="0"/>
              <w:spacing w:line="200" w:lineRule="exact"/>
              <w:rPr>
                <w:sz w:val="24"/>
                <w:szCs w:val="24"/>
              </w:rPr>
            </w:pPr>
          </w:p>
          <w:p w:rsidR="00B224A4" w:rsidRPr="00B224A4" w:rsidRDefault="00C50630" w:rsidP="00C50630">
            <w:pPr>
              <w:keepNext/>
              <w:autoSpaceDE w:val="0"/>
              <w:autoSpaceDN w:val="0"/>
              <w:adjustRightInd w:val="0"/>
              <w:rPr>
                <w:rFonts w:ascii="SimSun" w:eastAsia="SimSun"/>
                <w:sz w:val="24"/>
                <w:szCs w:val="24"/>
              </w:rPr>
            </w:pPr>
            <w:r>
              <w:rPr>
                <w:sz w:val="24"/>
                <w:szCs w:val="24"/>
              </w:rPr>
              <w:t>hver 3. uge i opdelte doser over</w:t>
            </w:r>
            <w:r>
              <w:rPr>
                <w:spacing w:val="1"/>
                <w:sz w:val="24"/>
                <w:szCs w:val="24"/>
              </w:rPr>
              <w:t xml:space="preserve"> </w:t>
            </w:r>
            <w:r>
              <w:rPr>
                <w:sz w:val="24"/>
                <w:szCs w:val="24"/>
              </w:rPr>
              <w:t>1</w:t>
            </w:r>
            <w:r>
              <w:rPr>
                <w:spacing w:val="-4"/>
                <w:sz w:val="24"/>
                <w:szCs w:val="24"/>
              </w:rPr>
              <w:t>-</w:t>
            </w:r>
            <w:r>
              <w:rPr>
                <w:sz w:val="24"/>
                <w:szCs w:val="24"/>
              </w:rPr>
              <w:t>2 d</w:t>
            </w:r>
            <w:r>
              <w:rPr>
                <w:spacing w:val="3"/>
                <w:sz w:val="24"/>
                <w:szCs w:val="24"/>
              </w:rPr>
              <w:t>age</w:t>
            </w:r>
          </w:p>
        </w:tc>
      </w:tr>
      <w:tr w:rsidR="00B224A4" w:rsidRPr="00B224A4" w:rsidTr="00C50630">
        <w:tc>
          <w:tcPr>
            <w:tcW w:w="3897" w:type="dxa"/>
            <w:shd w:val="clear" w:color="auto" w:fill="auto"/>
          </w:tcPr>
          <w:p w:rsidR="00B224A4" w:rsidRPr="00B224A4" w:rsidRDefault="00B224A4" w:rsidP="00C50630">
            <w:pPr>
              <w:keepNext/>
              <w:autoSpaceDE w:val="0"/>
              <w:autoSpaceDN w:val="0"/>
              <w:adjustRightInd w:val="0"/>
              <w:spacing w:before="120" w:after="120"/>
              <w:rPr>
                <w:rFonts w:eastAsia="SimSun"/>
                <w:color w:val="000000"/>
                <w:sz w:val="24"/>
                <w:szCs w:val="24"/>
              </w:rPr>
            </w:pPr>
          </w:p>
          <w:p w:rsidR="00B224A4" w:rsidRPr="00B224A4" w:rsidRDefault="00B224A4" w:rsidP="00C50630">
            <w:pPr>
              <w:keepNext/>
              <w:autoSpaceDE w:val="0"/>
              <w:autoSpaceDN w:val="0"/>
              <w:adjustRightInd w:val="0"/>
              <w:spacing w:before="120" w:after="120"/>
              <w:rPr>
                <w:rFonts w:eastAsia="SimSun"/>
                <w:color w:val="000000"/>
                <w:sz w:val="24"/>
                <w:szCs w:val="24"/>
              </w:rPr>
            </w:pPr>
          </w:p>
          <w:p w:rsidR="00B224A4" w:rsidRPr="00B224A4" w:rsidRDefault="00B224A4" w:rsidP="00C50630">
            <w:pPr>
              <w:keepNext/>
              <w:autoSpaceDE w:val="0"/>
              <w:autoSpaceDN w:val="0"/>
              <w:adjustRightInd w:val="0"/>
              <w:spacing w:before="120" w:after="120"/>
              <w:rPr>
                <w:rFonts w:eastAsia="SimSun"/>
                <w:sz w:val="24"/>
                <w:szCs w:val="24"/>
              </w:rPr>
            </w:pPr>
            <w:r w:rsidRPr="00B224A4">
              <w:rPr>
                <w:rFonts w:eastAsia="SimSun"/>
                <w:color w:val="000000"/>
                <w:sz w:val="24"/>
                <w:szCs w:val="24"/>
              </w:rPr>
              <w:t xml:space="preserve">Multifokal Motorisk </w:t>
            </w:r>
            <w:proofErr w:type="spellStart"/>
            <w:r w:rsidRPr="00B224A4">
              <w:rPr>
                <w:rFonts w:eastAsia="SimSun"/>
                <w:color w:val="000000"/>
                <w:sz w:val="24"/>
                <w:szCs w:val="24"/>
              </w:rPr>
              <w:t>Neuropati</w:t>
            </w:r>
            <w:proofErr w:type="spellEnd"/>
            <w:r w:rsidRPr="00B224A4">
              <w:rPr>
                <w:rFonts w:eastAsia="SimSun"/>
                <w:color w:val="000000"/>
                <w:sz w:val="24"/>
                <w:szCs w:val="24"/>
              </w:rPr>
              <w:t xml:space="preserve"> (MMN)</w:t>
            </w:r>
          </w:p>
        </w:tc>
        <w:tc>
          <w:tcPr>
            <w:tcW w:w="2628" w:type="dxa"/>
            <w:shd w:val="clear" w:color="auto" w:fill="auto"/>
          </w:tcPr>
          <w:p w:rsidR="00B224A4" w:rsidRPr="00B224A4" w:rsidRDefault="00B224A4" w:rsidP="00C50630">
            <w:pPr>
              <w:widowControl w:val="0"/>
              <w:autoSpaceDE w:val="0"/>
              <w:autoSpaceDN w:val="0"/>
              <w:adjustRightInd w:val="0"/>
              <w:spacing w:line="246" w:lineRule="exact"/>
              <w:ind w:left="131" w:right="-20"/>
              <w:rPr>
                <w:sz w:val="24"/>
                <w:szCs w:val="24"/>
              </w:rPr>
            </w:pPr>
            <w:r w:rsidRPr="00B224A4">
              <w:rPr>
                <w:sz w:val="24"/>
                <w:szCs w:val="24"/>
              </w:rPr>
              <w:t>S</w:t>
            </w:r>
            <w:r w:rsidRPr="00B224A4">
              <w:rPr>
                <w:spacing w:val="1"/>
                <w:sz w:val="24"/>
                <w:szCs w:val="24"/>
              </w:rPr>
              <w:t>t</w:t>
            </w:r>
            <w:r w:rsidRPr="00B224A4">
              <w:rPr>
                <w:sz w:val="24"/>
                <w:szCs w:val="24"/>
              </w:rPr>
              <w:t>a</w:t>
            </w:r>
            <w:r w:rsidRPr="00B224A4">
              <w:rPr>
                <w:spacing w:val="-2"/>
                <w:sz w:val="24"/>
                <w:szCs w:val="24"/>
              </w:rPr>
              <w:t>r</w:t>
            </w:r>
            <w:r w:rsidRPr="00B224A4">
              <w:rPr>
                <w:spacing w:val="1"/>
                <w:sz w:val="24"/>
                <w:szCs w:val="24"/>
              </w:rPr>
              <w:t>tdosis</w:t>
            </w:r>
            <w:r w:rsidRPr="00B224A4">
              <w:rPr>
                <w:sz w:val="24"/>
                <w:szCs w:val="24"/>
              </w:rPr>
              <w:t>:</w:t>
            </w:r>
          </w:p>
          <w:p w:rsidR="00B224A4" w:rsidRPr="00B224A4" w:rsidRDefault="00B224A4" w:rsidP="00C50630">
            <w:pPr>
              <w:widowControl w:val="0"/>
              <w:autoSpaceDE w:val="0"/>
              <w:autoSpaceDN w:val="0"/>
              <w:adjustRightInd w:val="0"/>
              <w:spacing w:line="252" w:lineRule="exact"/>
              <w:ind w:left="131" w:right="-20"/>
              <w:rPr>
                <w:sz w:val="24"/>
                <w:szCs w:val="24"/>
              </w:rPr>
            </w:pPr>
            <w:r w:rsidRPr="00B224A4">
              <w:rPr>
                <w:sz w:val="24"/>
                <w:szCs w:val="24"/>
              </w:rPr>
              <w:t xml:space="preserve">2 </w:t>
            </w:r>
            <w:r w:rsidRPr="00B224A4">
              <w:rPr>
                <w:spacing w:val="-2"/>
                <w:sz w:val="24"/>
                <w:szCs w:val="24"/>
              </w:rPr>
              <w:t>g</w:t>
            </w:r>
            <w:r w:rsidRPr="00B224A4">
              <w:rPr>
                <w:spacing w:val="1"/>
                <w:sz w:val="24"/>
                <w:szCs w:val="24"/>
              </w:rPr>
              <w:t>/</w:t>
            </w:r>
            <w:r w:rsidRPr="00B224A4">
              <w:rPr>
                <w:sz w:val="24"/>
                <w:szCs w:val="24"/>
              </w:rPr>
              <w:t>kg</w:t>
            </w:r>
          </w:p>
          <w:p w:rsidR="00B224A4" w:rsidRPr="00B224A4" w:rsidRDefault="00B224A4" w:rsidP="00C50630">
            <w:pPr>
              <w:widowControl w:val="0"/>
              <w:autoSpaceDE w:val="0"/>
              <w:autoSpaceDN w:val="0"/>
              <w:adjustRightInd w:val="0"/>
              <w:spacing w:before="13" w:line="240" w:lineRule="exact"/>
              <w:rPr>
                <w:sz w:val="24"/>
                <w:szCs w:val="24"/>
              </w:rPr>
            </w:pPr>
          </w:p>
          <w:p w:rsidR="00B224A4" w:rsidRPr="00B224A4" w:rsidRDefault="00B224A4" w:rsidP="00C50630">
            <w:pPr>
              <w:widowControl w:val="0"/>
              <w:autoSpaceDE w:val="0"/>
              <w:autoSpaceDN w:val="0"/>
              <w:adjustRightInd w:val="0"/>
              <w:ind w:left="131" w:right="-20"/>
              <w:rPr>
                <w:sz w:val="24"/>
                <w:szCs w:val="24"/>
              </w:rPr>
            </w:pPr>
            <w:r w:rsidRPr="00B224A4">
              <w:rPr>
                <w:sz w:val="24"/>
                <w:szCs w:val="24"/>
              </w:rPr>
              <w:t>Vedligeholdelsesdosis:</w:t>
            </w:r>
          </w:p>
          <w:p w:rsidR="00B224A4" w:rsidRPr="00B224A4" w:rsidRDefault="00B224A4" w:rsidP="00C50630">
            <w:pPr>
              <w:widowControl w:val="0"/>
              <w:autoSpaceDE w:val="0"/>
              <w:autoSpaceDN w:val="0"/>
              <w:adjustRightInd w:val="0"/>
              <w:ind w:left="131" w:right="1427"/>
              <w:rPr>
                <w:sz w:val="24"/>
                <w:szCs w:val="24"/>
              </w:rPr>
            </w:pPr>
            <w:r w:rsidRPr="00B224A4">
              <w:rPr>
                <w:sz w:val="24"/>
                <w:szCs w:val="24"/>
              </w:rPr>
              <w:t xml:space="preserve">1 </w:t>
            </w:r>
            <w:r w:rsidRPr="00B224A4">
              <w:rPr>
                <w:spacing w:val="-2"/>
                <w:sz w:val="24"/>
                <w:szCs w:val="24"/>
              </w:rPr>
              <w:t>g</w:t>
            </w:r>
            <w:r w:rsidRPr="00B224A4">
              <w:rPr>
                <w:spacing w:val="1"/>
                <w:sz w:val="24"/>
                <w:szCs w:val="24"/>
              </w:rPr>
              <w:t>/</w:t>
            </w:r>
            <w:r w:rsidRPr="00B224A4">
              <w:rPr>
                <w:sz w:val="24"/>
                <w:szCs w:val="24"/>
              </w:rPr>
              <w:t xml:space="preserve">kg </w:t>
            </w:r>
          </w:p>
          <w:p w:rsidR="00B224A4" w:rsidRPr="00B224A4" w:rsidRDefault="00B224A4" w:rsidP="00C50630">
            <w:pPr>
              <w:widowControl w:val="0"/>
              <w:autoSpaceDE w:val="0"/>
              <w:autoSpaceDN w:val="0"/>
              <w:adjustRightInd w:val="0"/>
              <w:ind w:left="131" w:right="1427"/>
              <w:rPr>
                <w:sz w:val="24"/>
                <w:szCs w:val="24"/>
              </w:rPr>
            </w:pPr>
          </w:p>
          <w:p w:rsidR="00B224A4" w:rsidRPr="00B224A4" w:rsidRDefault="00B224A4" w:rsidP="00C50630">
            <w:pPr>
              <w:widowControl w:val="0"/>
              <w:autoSpaceDE w:val="0"/>
              <w:autoSpaceDN w:val="0"/>
              <w:adjustRightInd w:val="0"/>
              <w:ind w:left="131" w:right="1427"/>
              <w:rPr>
                <w:sz w:val="24"/>
                <w:szCs w:val="24"/>
                <w:lang w:val="en-US"/>
              </w:rPr>
            </w:pPr>
            <w:proofErr w:type="spellStart"/>
            <w:r w:rsidRPr="00B224A4">
              <w:rPr>
                <w:sz w:val="24"/>
                <w:szCs w:val="24"/>
                <w:lang w:val="en-US"/>
              </w:rPr>
              <w:t>eller</w:t>
            </w:r>
            <w:proofErr w:type="spellEnd"/>
          </w:p>
          <w:p w:rsidR="00B224A4" w:rsidRPr="00B224A4" w:rsidRDefault="00B224A4" w:rsidP="00C50630">
            <w:pPr>
              <w:widowControl w:val="0"/>
              <w:autoSpaceDE w:val="0"/>
              <w:autoSpaceDN w:val="0"/>
              <w:adjustRightInd w:val="0"/>
              <w:ind w:left="131" w:right="1427"/>
              <w:rPr>
                <w:sz w:val="24"/>
                <w:szCs w:val="24"/>
                <w:lang w:val="en-US"/>
              </w:rPr>
            </w:pPr>
          </w:p>
          <w:p w:rsidR="00B224A4" w:rsidRPr="00B224A4" w:rsidRDefault="00B224A4" w:rsidP="00C50630">
            <w:pPr>
              <w:widowControl w:val="0"/>
              <w:autoSpaceDE w:val="0"/>
              <w:autoSpaceDN w:val="0"/>
              <w:adjustRightInd w:val="0"/>
              <w:ind w:left="131" w:right="1427"/>
              <w:rPr>
                <w:sz w:val="24"/>
                <w:szCs w:val="24"/>
                <w:lang w:val="en-US"/>
              </w:rPr>
            </w:pPr>
            <w:r w:rsidRPr="00B224A4">
              <w:rPr>
                <w:sz w:val="24"/>
                <w:szCs w:val="24"/>
              </w:rPr>
              <w:t xml:space="preserve">2 </w:t>
            </w:r>
            <w:r w:rsidRPr="00B224A4">
              <w:rPr>
                <w:spacing w:val="-2"/>
                <w:sz w:val="24"/>
                <w:szCs w:val="24"/>
              </w:rPr>
              <w:t>g</w:t>
            </w:r>
            <w:r w:rsidRPr="00B224A4">
              <w:rPr>
                <w:spacing w:val="1"/>
                <w:sz w:val="24"/>
                <w:szCs w:val="24"/>
              </w:rPr>
              <w:t>/</w:t>
            </w:r>
            <w:r w:rsidRPr="00B224A4">
              <w:rPr>
                <w:sz w:val="24"/>
                <w:szCs w:val="24"/>
              </w:rPr>
              <w:t>kg</w:t>
            </w:r>
          </w:p>
          <w:p w:rsidR="00B224A4" w:rsidRPr="00B224A4" w:rsidRDefault="00B224A4" w:rsidP="00C50630">
            <w:pPr>
              <w:keepNext/>
              <w:autoSpaceDE w:val="0"/>
              <w:autoSpaceDN w:val="0"/>
              <w:adjustRightInd w:val="0"/>
              <w:jc w:val="center"/>
              <w:rPr>
                <w:rFonts w:eastAsia="SimSun"/>
                <w:sz w:val="24"/>
                <w:szCs w:val="24"/>
              </w:rPr>
            </w:pPr>
          </w:p>
        </w:tc>
        <w:tc>
          <w:tcPr>
            <w:tcW w:w="3217" w:type="dxa"/>
            <w:shd w:val="clear" w:color="auto" w:fill="auto"/>
          </w:tcPr>
          <w:p w:rsidR="00C50630" w:rsidRDefault="00C50630" w:rsidP="00C50630">
            <w:pPr>
              <w:widowControl w:val="0"/>
              <w:autoSpaceDE w:val="0"/>
              <w:autoSpaceDN w:val="0"/>
              <w:adjustRightInd w:val="0"/>
              <w:ind w:right="-20"/>
              <w:rPr>
                <w:sz w:val="24"/>
                <w:szCs w:val="24"/>
              </w:rPr>
            </w:pPr>
            <w:r>
              <w:rPr>
                <w:sz w:val="24"/>
                <w:szCs w:val="24"/>
              </w:rPr>
              <w:t>i opdelte doser o</w:t>
            </w:r>
            <w:r>
              <w:rPr>
                <w:spacing w:val="-2"/>
                <w:sz w:val="24"/>
                <w:szCs w:val="24"/>
              </w:rPr>
              <w:t>v</w:t>
            </w:r>
            <w:r>
              <w:rPr>
                <w:sz w:val="24"/>
                <w:szCs w:val="24"/>
              </w:rPr>
              <w:t>er</w:t>
            </w:r>
            <w:r>
              <w:rPr>
                <w:spacing w:val="1"/>
                <w:sz w:val="24"/>
                <w:szCs w:val="24"/>
              </w:rPr>
              <w:t xml:space="preserve"> </w:t>
            </w:r>
            <w:r>
              <w:rPr>
                <w:sz w:val="24"/>
                <w:szCs w:val="24"/>
              </w:rPr>
              <w:t>2</w:t>
            </w:r>
            <w:r>
              <w:rPr>
                <w:spacing w:val="-4"/>
                <w:sz w:val="24"/>
                <w:szCs w:val="24"/>
              </w:rPr>
              <w:t>-</w:t>
            </w:r>
            <w:r>
              <w:rPr>
                <w:sz w:val="24"/>
                <w:szCs w:val="24"/>
              </w:rPr>
              <w:t>5 sammenhængende dage</w:t>
            </w:r>
          </w:p>
          <w:p w:rsidR="00C50630" w:rsidRDefault="00C50630" w:rsidP="00C50630">
            <w:pPr>
              <w:widowControl w:val="0"/>
              <w:autoSpaceDE w:val="0"/>
              <w:autoSpaceDN w:val="0"/>
              <w:adjustRightInd w:val="0"/>
              <w:spacing w:before="8" w:line="100" w:lineRule="exact"/>
              <w:rPr>
                <w:sz w:val="24"/>
                <w:szCs w:val="24"/>
              </w:rPr>
            </w:pPr>
          </w:p>
          <w:p w:rsidR="00C50630" w:rsidRDefault="00C50630" w:rsidP="00C50630">
            <w:pPr>
              <w:widowControl w:val="0"/>
              <w:autoSpaceDE w:val="0"/>
              <w:autoSpaceDN w:val="0"/>
              <w:adjustRightInd w:val="0"/>
              <w:spacing w:line="200" w:lineRule="exact"/>
              <w:rPr>
                <w:sz w:val="24"/>
                <w:szCs w:val="24"/>
              </w:rPr>
            </w:pPr>
          </w:p>
          <w:p w:rsidR="00C50630" w:rsidRDefault="00C50630" w:rsidP="00C50630">
            <w:pPr>
              <w:widowControl w:val="0"/>
              <w:autoSpaceDE w:val="0"/>
              <w:autoSpaceDN w:val="0"/>
              <w:adjustRightInd w:val="0"/>
              <w:spacing w:line="200" w:lineRule="exact"/>
              <w:rPr>
                <w:sz w:val="24"/>
                <w:szCs w:val="24"/>
              </w:rPr>
            </w:pPr>
          </w:p>
          <w:p w:rsidR="00C50630" w:rsidRDefault="00C50630" w:rsidP="00C50630">
            <w:pPr>
              <w:widowControl w:val="0"/>
              <w:autoSpaceDE w:val="0"/>
              <w:autoSpaceDN w:val="0"/>
              <w:adjustRightInd w:val="0"/>
              <w:spacing w:line="477" w:lineRule="auto"/>
              <w:ind w:right="67"/>
              <w:rPr>
                <w:sz w:val="24"/>
                <w:szCs w:val="24"/>
              </w:rPr>
            </w:pPr>
            <w:r>
              <w:rPr>
                <w:sz w:val="24"/>
                <w:szCs w:val="24"/>
              </w:rPr>
              <w:t>hver</w:t>
            </w:r>
            <w:r>
              <w:rPr>
                <w:spacing w:val="-2"/>
                <w:sz w:val="24"/>
                <w:szCs w:val="24"/>
              </w:rPr>
              <w:t xml:space="preserve"> </w:t>
            </w:r>
            <w:r>
              <w:rPr>
                <w:spacing w:val="2"/>
                <w:sz w:val="24"/>
                <w:szCs w:val="24"/>
              </w:rPr>
              <w:t xml:space="preserve">2. </w:t>
            </w:r>
            <w:r>
              <w:rPr>
                <w:spacing w:val="-4"/>
                <w:sz w:val="24"/>
                <w:szCs w:val="24"/>
              </w:rPr>
              <w:t xml:space="preserve">– </w:t>
            </w:r>
            <w:r>
              <w:rPr>
                <w:sz w:val="24"/>
                <w:szCs w:val="24"/>
              </w:rPr>
              <w:t xml:space="preserve">4. uge </w:t>
            </w:r>
          </w:p>
          <w:p w:rsidR="00C50630" w:rsidRDefault="00C50630" w:rsidP="00C50630">
            <w:pPr>
              <w:widowControl w:val="0"/>
              <w:autoSpaceDE w:val="0"/>
              <w:autoSpaceDN w:val="0"/>
              <w:adjustRightInd w:val="0"/>
              <w:spacing w:line="477" w:lineRule="auto"/>
              <w:ind w:right="67"/>
              <w:rPr>
                <w:sz w:val="24"/>
                <w:szCs w:val="24"/>
              </w:rPr>
            </w:pPr>
            <w:r>
              <w:rPr>
                <w:sz w:val="24"/>
                <w:szCs w:val="24"/>
              </w:rPr>
              <w:t>eller</w:t>
            </w:r>
          </w:p>
          <w:p w:rsidR="00C50630" w:rsidRDefault="00C50630" w:rsidP="00C50630">
            <w:pPr>
              <w:keepNext/>
              <w:autoSpaceDE w:val="0"/>
              <w:autoSpaceDN w:val="0"/>
              <w:adjustRightInd w:val="0"/>
              <w:spacing w:before="120" w:after="120"/>
              <w:ind w:right="67"/>
              <w:rPr>
                <w:rFonts w:eastAsia="SimSun"/>
                <w:color w:val="000000"/>
                <w:sz w:val="24"/>
                <w:szCs w:val="24"/>
              </w:rPr>
            </w:pPr>
            <w:r>
              <w:rPr>
                <w:sz w:val="24"/>
                <w:szCs w:val="24"/>
              </w:rPr>
              <w:t>hver</w:t>
            </w:r>
            <w:r>
              <w:rPr>
                <w:spacing w:val="-2"/>
                <w:sz w:val="24"/>
                <w:szCs w:val="24"/>
              </w:rPr>
              <w:t xml:space="preserve"> </w:t>
            </w:r>
            <w:r>
              <w:rPr>
                <w:spacing w:val="2"/>
                <w:sz w:val="24"/>
                <w:szCs w:val="24"/>
              </w:rPr>
              <w:t xml:space="preserve">4. </w:t>
            </w:r>
            <w:r>
              <w:rPr>
                <w:spacing w:val="-4"/>
                <w:sz w:val="24"/>
                <w:szCs w:val="24"/>
              </w:rPr>
              <w:t xml:space="preserve">– </w:t>
            </w:r>
            <w:r>
              <w:rPr>
                <w:sz w:val="24"/>
                <w:szCs w:val="24"/>
              </w:rPr>
              <w:t>8. uge</w:t>
            </w:r>
            <w:r>
              <w:rPr>
                <w:spacing w:val="1"/>
                <w:sz w:val="24"/>
                <w:szCs w:val="24"/>
              </w:rPr>
              <w:t xml:space="preserve"> </w:t>
            </w:r>
            <w:r>
              <w:rPr>
                <w:sz w:val="24"/>
                <w:szCs w:val="24"/>
              </w:rPr>
              <w:t>i opdelte doser o</w:t>
            </w:r>
            <w:r>
              <w:rPr>
                <w:spacing w:val="-2"/>
                <w:sz w:val="24"/>
                <w:szCs w:val="24"/>
              </w:rPr>
              <w:t>v</w:t>
            </w:r>
            <w:r>
              <w:rPr>
                <w:sz w:val="24"/>
                <w:szCs w:val="24"/>
              </w:rPr>
              <w:t>er</w:t>
            </w:r>
            <w:r>
              <w:rPr>
                <w:spacing w:val="1"/>
                <w:sz w:val="24"/>
                <w:szCs w:val="24"/>
              </w:rPr>
              <w:t xml:space="preserve"> </w:t>
            </w:r>
            <w:r>
              <w:rPr>
                <w:spacing w:val="2"/>
                <w:sz w:val="24"/>
                <w:szCs w:val="24"/>
              </w:rPr>
              <w:t>2</w:t>
            </w:r>
            <w:r>
              <w:rPr>
                <w:spacing w:val="-4"/>
                <w:sz w:val="24"/>
                <w:szCs w:val="24"/>
              </w:rPr>
              <w:t>-</w:t>
            </w:r>
            <w:r>
              <w:rPr>
                <w:sz w:val="24"/>
                <w:szCs w:val="24"/>
              </w:rPr>
              <w:t>5 dage</w:t>
            </w:r>
          </w:p>
          <w:p w:rsidR="00B224A4" w:rsidRPr="00B224A4" w:rsidRDefault="00B224A4" w:rsidP="00C50630">
            <w:pPr>
              <w:keepNext/>
              <w:autoSpaceDE w:val="0"/>
              <w:autoSpaceDN w:val="0"/>
              <w:adjustRightInd w:val="0"/>
              <w:rPr>
                <w:sz w:val="24"/>
                <w:szCs w:val="24"/>
              </w:rPr>
            </w:pPr>
          </w:p>
        </w:tc>
      </w:tr>
    </w:tbl>
    <w:p w:rsidR="00B224A4" w:rsidRDefault="00B224A4" w:rsidP="00B224A4">
      <w:pPr>
        <w:pStyle w:val="Brdtekst"/>
        <w:jc w:val="left"/>
        <w:rPr>
          <w:i/>
          <w:szCs w:val="24"/>
          <w:lang w:val="da-DK"/>
        </w:rPr>
      </w:pPr>
    </w:p>
    <w:p w:rsidR="00426218" w:rsidRDefault="00426218" w:rsidP="00B224A4">
      <w:pPr>
        <w:pStyle w:val="Brdtekst"/>
        <w:jc w:val="left"/>
        <w:rPr>
          <w:i/>
          <w:szCs w:val="24"/>
          <w:lang w:val="da-DK"/>
        </w:rPr>
      </w:pPr>
    </w:p>
    <w:p w:rsidR="00C50630" w:rsidRDefault="00C50630" w:rsidP="00C50630">
      <w:pPr>
        <w:pStyle w:val="Brdtekst"/>
        <w:ind w:left="851"/>
        <w:jc w:val="left"/>
        <w:rPr>
          <w:i/>
          <w:sz w:val="24"/>
          <w:szCs w:val="24"/>
          <w:lang w:val="da-DK"/>
        </w:rPr>
      </w:pPr>
      <w:r>
        <w:rPr>
          <w:i/>
          <w:sz w:val="24"/>
          <w:szCs w:val="24"/>
          <w:lang w:val="da-DK"/>
        </w:rPr>
        <w:t>Pædiatrisk population</w:t>
      </w:r>
    </w:p>
    <w:p w:rsidR="00C50630" w:rsidRDefault="00C50630" w:rsidP="00C50630">
      <w:pPr>
        <w:autoSpaceDE w:val="0"/>
        <w:autoSpaceDN w:val="0"/>
        <w:adjustRightInd w:val="0"/>
        <w:ind w:left="851"/>
        <w:rPr>
          <w:color w:val="000000"/>
          <w:sz w:val="24"/>
          <w:szCs w:val="24"/>
        </w:rPr>
      </w:pPr>
      <w:r>
        <w:rPr>
          <w:color w:val="000000"/>
          <w:sz w:val="24"/>
          <w:szCs w:val="24"/>
        </w:rPr>
        <w:t>Dosering for børn og unge (0 </w:t>
      </w:r>
      <w:r>
        <w:rPr>
          <w:color w:val="000000"/>
          <w:sz w:val="24"/>
          <w:szCs w:val="24"/>
        </w:rPr>
        <w:noBreakHyphen/>
        <w:t> 18 år) er ikke forskellig fra doseringen for voksne, da doseringen for hver indikation er angivet efter kropsvægt og skal justeres til det kliniske resultat for ovennævnte lidelser.</w:t>
      </w:r>
    </w:p>
    <w:p w:rsidR="00C50630" w:rsidRDefault="00C50630" w:rsidP="00C50630">
      <w:pPr>
        <w:pStyle w:val="Brdtekst"/>
        <w:ind w:left="851"/>
        <w:jc w:val="left"/>
        <w:rPr>
          <w:sz w:val="24"/>
          <w:szCs w:val="24"/>
          <w:u w:val="single"/>
          <w:lang w:val="da-DK"/>
        </w:rPr>
      </w:pPr>
    </w:p>
    <w:p w:rsidR="00C50630" w:rsidRDefault="00C50630" w:rsidP="00C50630">
      <w:pPr>
        <w:autoSpaceDE w:val="0"/>
        <w:autoSpaceDN w:val="0"/>
        <w:adjustRightInd w:val="0"/>
        <w:ind w:left="851"/>
        <w:rPr>
          <w:i/>
          <w:iCs/>
          <w:color w:val="000000"/>
          <w:sz w:val="24"/>
          <w:szCs w:val="24"/>
        </w:rPr>
      </w:pPr>
      <w:r>
        <w:rPr>
          <w:i/>
          <w:iCs/>
          <w:color w:val="000000"/>
          <w:sz w:val="24"/>
          <w:szCs w:val="24"/>
        </w:rPr>
        <w:t>Nedsat leverfunktion</w:t>
      </w:r>
    </w:p>
    <w:p w:rsidR="00C50630" w:rsidRDefault="00C50630" w:rsidP="00C50630">
      <w:pPr>
        <w:autoSpaceDE w:val="0"/>
        <w:autoSpaceDN w:val="0"/>
        <w:adjustRightInd w:val="0"/>
        <w:ind w:left="851"/>
        <w:rPr>
          <w:color w:val="000000"/>
          <w:sz w:val="24"/>
          <w:szCs w:val="24"/>
        </w:rPr>
      </w:pPr>
      <w:r>
        <w:rPr>
          <w:color w:val="000000"/>
          <w:sz w:val="24"/>
          <w:szCs w:val="24"/>
        </w:rPr>
        <w:t xml:space="preserve">Ingen tilgængelige data kræver dosisjustering. </w:t>
      </w:r>
    </w:p>
    <w:p w:rsidR="00C50630" w:rsidRDefault="00C50630" w:rsidP="00C50630">
      <w:pPr>
        <w:autoSpaceDE w:val="0"/>
        <w:autoSpaceDN w:val="0"/>
        <w:adjustRightInd w:val="0"/>
        <w:ind w:left="851"/>
        <w:rPr>
          <w:color w:val="000000"/>
          <w:sz w:val="24"/>
          <w:szCs w:val="24"/>
        </w:rPr>
      </w:pPr>
    </w:p>
    <w:p w:rsidR="00C50630" w:rsidRDefault="00C50630" w:rsidP="00C50630">
      <w:pPr>
        <w:autoSpaceDE w:val="0"/>
        <w:autoSpaceDN w:val="0"/>
        <w:adjustRightInd w:val="0"/>
        <w:ind w:left="851"/>
        <w:rPr>
          <w:i/>
          <w:iCs/>
          <w:color w:val="000000"/>
          <w:sz w:val="24"/>
          <w:szCs w:val="24"/>
        </w:rPr>
      </w:pPr>
      <w:r>
        <w:rPr>
          <w:i/>
          <w:iCs/>
          <w:color w:val="000000"/>
          <w:sz w:val="24"/>
          <w:szCs w:val="24"/>
        </w:rPr>
        <w:t>Nedsat nyrefunktion</w:t>
      </w:r>
    </w:p>
    <w:p w:rsidR="00C50630" w:rsidRDefault="00C50630" w:rsidP="00C50630">
      <w:pPr>
        <w:autoSpaceDE w:val="0"/>
        <w:autoSpaceDN w:val="0"/>
        <w:adjustRightInd w:val="0"/>
        <w:ind w:left="851"/>
        <w:rPr>
          <w:color w:val="000000"/>
          <w:sz w:val="24"/>
          <w:szCs w:val="24"/>
        </w:rPr>
      </w:pPr>
      <w:r>
        <w:rPr>
          <w:color w:val="000000"/>
          <w:sz w:val="24"/>
          <w:szCs w:val="24"/>
        </w:rPr>
        <w:t xml:space="preserve">Ingen dosisjustering medmindre det er klinisk garanteret, se punkt 4.4. </w:t>
      </w:r>
    </w:p>
    <w:p w:rsidR="00C50630" w:rsidRDefault="00C50630" w:rsidP="00C50630">
      <w:pPr>
        <w:autoSpaceDE w:val="0"/>
        <w:autoSpaceDN w:val="0"/>
        <w:adjustRightInd w:val="0"/>
        <w:ind w:left="851"/>
        <w:rPr>
          <w:color w:val="000000"/>
          <w:sz w:val="24"/>
          <w:szCs w:val="24"/>
        </w:rPr>
      </w:pPr>
    </w:p>
    <w:p w:rsidR="00C50630" w:rsidRDefault="00C50630" w:rsidP="00C50630">
      <w:pPr>
        <w:autoSpaceDE w:val="0"/>
        <w:autoSpaceDN w:val="0"/>
        <w:adjustRightInd w:val="0"/>
        <w:ind w:left="851"/>
        <w:rPr>
          <w:i/>
          <w:iCs/>
          <w:color w:val="000000"/>
          <w:sz w:val="24"/>
          <w:szCs w:val="24"/>
        </w:rPr>
      </w:pPr>
      <w:r>
        <w:rPr>
          <w:i/>
          <w:iCs/>
          <w:color w:val="000000"/>
          <w:sz w:val="24"/>
          <w:szCs w:val="24"/>
        </w:rPr>
        <w:t>Ældre personer</w:t>
      </w:r>
    </w:p>
    <w:p w:rsidR="00C50630" w:rsidRDefault="00C50630" w:rsidP="00C50630">
      <w:pPr>
        <w:pStyle w:val="Brdtekst"/>
        <w:ind w:left="851"/>
        <w:jc w:val="left"/>
        <w:rPr>
          <w:color w:val="000000"/>
          <w:sz w:val="24"/>
          <w:szCs w:val="24"/>
          <w:lang w:val="da-DK"/>
        </w:rPr>
      </w:pPr>
      <w:r>
        <w:rPr>
          <w:color w:val="000000"/>
          <w:sz w:val="24"/>
          <w:szCs w:val="24"/>
          <w:lang w:val="da-DK"/>
        </w:rPr>
        <w:lastRenderedPageBreak/>
        <w:t>Ingen dosisjustering medmindre det er klinisk garanteret, se punkt 4.4.</w:t>
      </w:r>
    </w:p>
    <w:p w:rsidR="00B224A4" w:rsidRPr="00B224A4" w:rsidRDefault="00B224A4" w:rsidP="00B224A4">
      <w:pPr>
        <w:pStyle w:val="Brdtekst"/>
        <w:ind w:left="851"/>
        <w:jc w:val="left"/>
        <w:rPr>
          <w:sz w:val="24"/>
          <w:szCs w:val="24"/>
          <w:u w:val="single"/>
          <w:lang w:val="da-DK"/>
        </w:rPr>
      </w:pPr>
    </w:p>
    <w:p w:rsidR="00C50630" w:rsidRDefault="00C50630" w:rsidP="00C50630">
      <w:pPr>
        <w:pStyle w:val="Brdtekst"/>
        <w:ind w:left="851"/>
        <w:jc w:val="left"/>
        <w:rPr>
          <w:sz w:val="24"/>
          <w:szCs w:val="24"/>
          <w:u w:val="single"/>
          <w:lang w:val="da-DK"/>
        </w:rPr>
      </w:pPr>
      <w:r>
        <w:rPr>
          <w:sz w:val="24"/>
          <w:szCs w:val="24"/>
          <w:u w:val="single"/>
          <w:lang w:val="da-DK"/>
        </w:rPr>
        <w:t>Administration</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sz w:val="24"/>
          <w:szCs w:val="24"/>
          <w:lang w:val="da-DK"/>
        </w:rPr>
      </w:pPr>
      <w:r>
        <w:rPr>
          <w:sz w:val="24"/>
          <w:szCs w:val="24"/>
          <w:lang w:val="da-DK"/>
        </w:rPr>
        <w:t>Til intravenøs brug.</w:t>
      </w:r>
    </w:p>
    <w:p w:rsidR="00C50630" w:rsidRDefault="00C50630" w:rsidP="00C50630">
      <w:pPr>
        <w:pStyle w:val="Brdtekst"/>
        <w:ind w:left="851"/>
        <w:jc w:val="left"/>
        <w:rPr>
          <w:sz w:val="24"/>
          <w:szCs w:val="24"/>
          <w:lang w:val="da-DK"/>
        </w:rPr>
      </w:pPr>
      <w:r>
        <w:rPr>
          <w:sz w:val="24"/>
          <w:szCs w:val="24"/>
          <w:lang w:val="da-DK"/>
        </w:rPr>
        <w:t xml:space="preserve">Humant normalt </w:t>
      </w:r>
      <w:proofErr w:type="spellStart"/>
      <w:r>
        <w:rPr>
          <w:sz w:val="24"/>
          <w:szCs w:val="24"/>
          <w:lang w:val="da-DK"/>
        </w:rPr>
        <w:t>immunglobulin</w:t>
      </w:r>
      <w:proofErr w:type="spellEnd"/>
      <w:r>
        <w:rPr>
          <w:sz w:val="24"/>
          <w:szCs w:val="24"/>
          <w:lang w:val="da-DK"/>
        </w:rPr>
        <w:t xml:space="preserve"> bør </w:t>
      </w:r>
      <w:proofErr w:type="spellStart"/>
      <w:r>
        <w:rPr>
          <w:sz w:val="24"/>
          <w:szCs w:val="24"/>
          <w:lang w:val="da-DK"/>
        </w:rPr>
        <w:t>infunderes</w:t>
      </w:r>
      <w:proofErr w:type="spellEnd"/>
      <w:r>
        <w:rPr>
          <w:sz w:val="24"/>
          <w:szCs w:val="24"/>
          <w:lang w:val="da-DK"/>
        </w:rPr>
        <w:t xml:space="preserve"> intravenøst med en begyndelseshastighed på 0,5 </w:t>
      </w:r>
      <w:proofErr w:type="spellStart"/>
      <w:r>
        <w:rPr>
          <w:sz w:val="24"/>
          <w:szCs w:val="24"/>
          <w:lang w:val="da-DK"/>
        </w:rPr>
        <w:t>mL</w:t>
      </w:r>
      <w:proofErr w:type="spellEnd"/>
      <w:r>
        <w:rPr>
          <w:sz w:val="24"/>
          <w:szCs w:val="24"/>
          <w:lang w:val="da-DK"/>
        </w:rPr>
        <w:t>/kg/t i 30 minutter. Se punkt 4.4. I tilfælde af bivirkninger skal indgivelseshastigheden enten sættes ned, eller infusionen skal stoppes. Hvis det tåles godt, kan indgivelseshastigheden gradvist sættes op til højst 6 </w:t>
      </w:r>
      <w:proofErr w:type="spellStart"/>
      <w:r>
        <w:rPr>
          <w:sz w:val="24"/>
          <w:szCs w:val="24"/>
          <w:lang w:val="da-DK"/>
        </w:rPr>
        <w:t>mL</w:t>
      </w:r>
      <w:proofErr w:type="spellEnd"/>
      <w:r>
        <w:rPr>
          <w:sz w:val="24"/>
          <w:szCs w:val="24"/>
          <w:lang w:val="da-DK"/>
        </w:rPr>
        <w:t>/kg/t.</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sz w:val="24"/>
          <w:szCs w:val="24"/>
          <w:lang w:val="da-DK"/>
        </w:rPr>
      </w:pPr>
      <w:r>
        <w:rPr>
          <w:sz w:val="24"/>
          <w:szCs w:val="24"/>
          <w:lang w:val="da-DK"/>
        </w:rPr>
        <w:t>Kliniske data opnået med et begrænset antal patienter med PID og ITP indikerer også, at voksne og børn kan tolerere en infusionshastighed på op til 8 </w:t>
      </w:r>
      <w:proofErr w:type="spellStart"/>
      <w:r>
        <w:rPr>
          <w:sz w:val="24"/>
          <w:szCs w:val="24"/>
          <w:lang w:val="da-DK"/>
        </w:rPr>
        <w:t>mL</w:t>
      </w:r>
      <w:proofErr w:type="spellEnd"/>
      <w:r>
        <w:rPr>
          <w:sz w:val="24"/>
          <w:szCs w:val="24"/>
          <w:lang w:val="da-DK"/>
        </w:rPr>
        <w:t>/kg/t.</w:t>
      </w:r>
    </w:p>
    <w:p w:rsidR="00812371" w:rsidRPr="00CE6FA2" w:rsidRDefault="00812371" w:rsidP="00812371">
      <w:pPr>
        <w:ind w:left="851" w:hanging="851"/>
        <w:rPr>
          <w:sz w:val="24"/>
          <w:szCs w:val="24"/>
        </w:rPr>
      </w:pPr>
    </w:p>
    <w:p w:rsidR="00B224A4" w:rsidRPr="00CD6ABB" w:rsidRDefault="00812371" w:rsidP="00CD6ABB">
      <w:pPr>
        <w:ind w:left="851" w:hanging="851"/>
        <w:rPr>
          <w:b/>
          <w:sz w:val="24"/>
          <w:szCs w:val="24"/>
        </w:rPr>
      </w:pPr>
      <w:r w:rsidRPr="00CE6FA2">
        <w:rPr>
          <w:b/>
          <w:sz w:val="24"/>
          <w:szCs w:val="24"/>
        </w:rPr>
        <w:t>4.3</w:t>
      </w:r>
      <w:r w:rsidRPr="00CE6FA2">
        <w:rPr>
          <w:b/>
          <w:sz w:val="24"/>
          <w:szCs w:val="24"/>
        </w:rPr>
        <w:tab/>
        <w:t>Kontraindikationer</w:t>
      </w:r>
    </w:p>
    <w:p w:rsidR="00C50630" w:rsidRDefault="00C50630" w:rsidP="00B224A4">
      <w:pPr>
        <w:pStyle w:val="Brdtekst"/>
        <w:ind w:left="851"/>
        <w:rPr>
          <w:sz w:val="24"/>
          <w:szCs w:val="24"/>
          <w:lang w:val="da-DK"/>
        </w:rPr>
      </w:pPr>
    </w:p>
    <w:p w:rsidR="00B224A4" w:rsidRPr="00B224A4" w:rsidRDefault="00B224A4" w:rsidP="00B224A4">
      <w:pPr>
        <w:pStyle w:val="Brdtekst"/>
        <w:ind w:left="851"/>
        <w:rPr>
          <w:sz w:val="24"/>
          <w:szCs w:val="24"/>
          <w:lang w:val="da-DK"/>
        </w:rPr>
      </w:pPr>
      <w:r w:rsidRPr="00B224A4">
        <w:rPr>
          <w:sz w:val="24"/>
          <w:szCs w:val="24"/>
          <w:lang w:val="da-DK"/>
        </w:rPr>
        <w:t xml:space="preserve">Overfølsomhed over for det aktive stof (humane </w:t>
      </w:r>
      <w:proofErr w:type="spellStart"/>
      <w:r w:rsidRPr="00B224A4">
        <w:rPr>
          <w:sz w:val="24"/>
          <w:szCs w:val="24"/>
          <w:lang w:val="da-DK"/>
        </w:rPr>
        <w:t>immunglobuliner</w:t>
      </w:r>
      <w:proofErr w:type="spellEnd"/>
      <w:r w:rsidRPr="00B224A4">
        <w:rPr>
          <w:sz w:val="24"/>
          <w:szCs w:val="24"/>
          <w:lang w:val="da-DK"/>
        </w:rPr>
        <w:t>) eller over for et eller flere af hjælpestofferne anført i pkt.4.4 og 6.1.</w:t>
      </w:r>
    </w:p>
    <w:p w:rsidR="00B224A4" w:rsidRPr="00B224A4" w:rsidRDefault="00B224A4" w:rsidP="00B224A4">
      <w:pPr>
        <w:pStyle w:val="Brdtekst"/>
        <w:ind w:left="851" w:hanging="851"/>
        <w:rPr>
          <w:sz w:val="24"/>
          <w:szCs w:val="24"/>
          <w:lang w:val="da-DK"/>
        </w:rPr>
      </w:pPr>
    </w:p>
    <w:p w:rsidR="00812371" w:rsidRDefault="00B224A4" w:rsidP="00B224A4">
      <w:pPr>
        <w:pStyle w:val="Brdtekst"/>
        <w:ind w:left="851"/>
        <w:jc w:val="left"/>
        <w:rPr>
          <w:sz w:val="24"/>
          <w:szCs w:val="24"/>
          <w:lang w:val="da-DK"/>
        </w:rPr>
      </w:pPr>
      <w:r w:rsidRPr="00B224A4">
        <w:rPr>
          <w:sz w:val="24"/>
          <w:szCs w:val="24"/>
          <w:lang w:val="da-DK"/>
        </w:rPr>
        <w:t xml:space="preserve">Patienter med selektiv </w:t>
      </w:r>
      <w:proofErr w:type="spellStart"/>
      <w:r w:rsidRPr="00B224A4">
        <w:rPr>
          <w:sz w:val="24"/>
          <w:szCs w:val="24"/>
          <w:lang w:val="da-DK"/>
        </w:rPr>
        <w:t>IgA</w:t>
      </w:r>
      <w:proofErr w:type="spellEnd"/>
      <w:r w:rsidRPr="00B224A4">
        <w:rPr>
          <w:sz w:val="24"/>
          <w:szCs w:val="24"/>
          <w:lang w:val="da-DK"/>
        </w:rPr>
        <w:t xml:space="preserve">-mangel, som har udviklet antistoffer mod </w:t>
      </w:r>
      <w:proofErr w:type="spellStart"/>
      <w:r w:rsidRPr="00B224A4">
        <w:rPr>
          <w:sz w:val="24"/>
          <w:szCs w:val="24"/>
          <w:lang w:val="da-DK"/>
        </w:rPr>
        <w:t>IgA</w:t>
      </w:r>
      <w:proofErr w:type="spellEnd"/>
      <w:r w:rsidRPr="00B224A4">
        <w:rPr>
          <w:sz w:val="24"/>
          <w:szCs w:val="24"/>
          <w:lang w:val="da-DK"/>
        </w:rPr>
        <w:t xml:space="preserve">, da indgivelse af et produkt, der indeholder </w:t>
      </w:r>
      <w:proofErr w:type="spellStart"/>
      <w:r w:rsidRPr="00B224A4">
        <w:rPr>
          <w:sz w:val="24"/>
          <w:szCs w:val="24"/>
          <w:lang w:val="da-DK"/>
        </w:rPr>
        <w:t>IgA</w:t>
      </w:r>
      <w:proofErr w:type="spellEnd"/>
      <w:r w:rsidRPr="00B224A4">
        <w:rPr>
          <w:sz w:val="24"/>
          <w:szCs w:val="24"/>
          <w:lang w:val="da-DK"/>
        </w:rPr>
        <w:t>, kan føre til anafylaksi</w:t>
      </w:r>
      <w:r w:rsidR="008209AA">
        <w:rPr>
          <w:sz w:val="24"/>
          <w:szCs w:val="24"/>
          <w:lang w:val="da-DK"/>
        </w:rPr>
        <w:t>.</w:t>
      </w:r>
    </w:p>
    <w:p w:rsidR="00B224A4" w:rsidRPr="00B224A4" w:rsidRDefault="00B224A4" w:rsidP="00B224A4">
      <w:pPr>
        <w:pStyle w:val="Brdtekst"/>
        <w:ind w:left="851"/>
        <w:jc w:val="left"/>
        <w:rPr>
          <w:sz w:val="24"/>
          <w:szCs w:val="24"/>
          <w:lang w:val="da-DK"/>
        </w:rPr>
      </w:pPr>
    </w:p>
    <w:p w:rsidR="00DC3D8B" w:rsidRPr="00CD6ABB" w:rsidRDefault="00812371" w:rsidP="00CD6ABB">
      <w:pPr>
        <w:ind w:left="851" w:hanging="851"/>
        <w:rPr>
          <w:b/>
          <w:sz w:val="24"/>
          <w:szCs w:val="24"/>
        </w:rPr>
      </w:pPr>
      <w:r w:rsidRPr="00CE6FA2">
        <w:rPr>
          <w:b/>
          <w:sz w:val="24"/>
          <w:szCs w:val="24"/>
        </w:rPr>
        <w:t>4.4</w:t>
      </w:r>
      <w:r w:rsidRPr="00CE6FA2">
        <w:rPr>
          <w:b/>
          <w:sz w:val="24"/>
          <w:szCs w:val="24"/>
        </w:rPr>
        <w:tab/>
        <w:t>Særlige advarsler og forsigtighedsregler vedrørende brugen</w:t>
      </w:r>
      <w:r w:rsidRPr="00CE6FA2">
        <w:rPr>
          <w:sz w:val="24"/>
          <w:szCs w:val="24"/>
        </w:rPr>
        <w:tab/>
      </w:r>
    </w:p>
    <w:p w:rsidR="00C50630" w:rsidRDefault="00C50630" w:rsidP="00DC3D8B">
      <w:pPr>
        <w:autoSpaceDE w:val="0"/>
        <w:autoSpaceDN w:val="0"/>
        <w:adjustRightInd w:val="0"/>
        <w:ind w:left="851"/>
        <w:rPr>
          <w:i/>
          <w:iCs/>
          <w:color w:val="000000"/>
          <w:sz w:val="24"/>
          <w:szCs w:val="24"/>
        </w:rPr>
      </w:pPr>
    </w:p>
    <w:p w:rsidR="00C50630" w:rsidRDefault="00C50630" w:rsidP="00C50630">
      <w:pPr>
        <w:autoSpaceDE w:val="0"/>
        <w:autoSpaceDN w:val="0"/>
        <w:adjustRightInd w:val="0"/>
        <w:ind w:left="851"/>
        <w:rPr>
          <w:color w:val="000000"/>
          <w:sz w:val="24"/>
          <w:szCs w:val="24"/>
          <w:u w:val="single"/>
        </w:rPr>
      </w:pPr>
      <w:r>
        <w:rPr>
          <w:color w:val="000000"/>
          <w:sz w:val="24"/>
          <w:szCs w:val="24"/>
          <w:u w:val="single"/>
        </w:rPr>
        <w:t>Sporbarhed</w:t>
      </w:r>
    </w:p>
    <w:p w:rsidR="00C50630" w:rsidRDefault="00C50630" w:rsidP="00C50630">
      <w:pPr>
        <w:pStyle w:val="Brdtekst"/>
        <w:ind w:left="851"/>
        <w:rPr>
          <w:color w:val="000000"/>
          <w:sz w:val="24"/>
          <w:szCs w:val="24"/>
          <w:lang w:val="da-DK"/>
        </w:rPr>
      </w:pPr>
      <w:r>
        <w:rPr>
          <w:color w:val="000000"/>
          <w:sz w:val="24"/>
          <w:szCs w:val="24"/>
          <w:lang w:val="da-DK"/>
        </w:rPr>
        <w:t xml:space="preserve">For at forbedre sporbarheden af biologiske præparater skal handelsnavnet og batchnummeret for det administrerede præparat registreres tydeligt </w:t>
      </w:r>
    </w:p>
    <w:p w:rsidR="00C50630" w:rsidRDefault="00C50630" w:rsidP="00C50630">
      <w:pPr>
        <w:autoSpaceDE w:val="0"/>
        <w:autoSpaceDN w:val="0"/>
        <w:adjustRightInd w:val="0"/>
        <w:ind w:left="851"/>
        <w:rPr>
          <w:i/>
          <w:iCs/>
          <w:color w:val="000000"/>
          <w:sz w:val="24"/>
          <w:szCs w:val="24"/>
        </w:rPr>
      </w:pPr>
    </w:p>
    <w:p w:rsidR="00C50630" w:rsidRDefault="00C50630" w:rsidP="00C50630">
      <w:pPr>
        <w:autoSpaceDE w:val="0"/>
        <w:autoSpaceDN w:val="0"/>
        <w:adjustRightInd w:val="0"/>
        <w:ind w:left="851"/>
        <w:rPr>
          <w:color w:val="000000"/>
          <w:sz w:val="24"/>
          <w:szCs w:val="24"/>
        </w:rPr>
      </w:pPr>
      <w:r>
        <w:rPr>
          <w:i/>
          <w:iCs/>
          <w:color w:val="000000"/>
          <w:sz w:val="24"/>
          <w:szCs w:val="24"/>
        </w:rPr>
        <w:t xml:space="preserve">Forholdsregler </w:t>
      </w:r>
    </w:p>
    <w:p w:rsidR="00C50630" w:rsidRDefault="00C50630" w:rsidP="00C50630">
      <w:pPr>
        <w:autoSpaceDE w:val="0"/>
        <w:autoSpaceDN w:val="0"/>
        <w:adjustRightInd w:val="0"/>
        <w:ind w:left="851"/>
        <w:rPr>
          <w:color w:val="000000"/>
          <w:sz w:val="24"/>
          <w:szCs w:val="24"/>
        </w:rPr>
      </w:pPr>
      <w:r>
        <w:rPr>
          <w:sz w:val="24"/>
          <w:szCs w:val="24"/>
        </w:rPr>
        <w:t>Eventuelle komplikationer kan ofte undgås ved at sørge for, at patienterne</w:t>
      </w:r>
      <w:r>
        <w:rPr>
          <w:color w:val="000000"/>
          <w:sz w:val="24"/>
          <w:szCs w:val="24"/>
        </w:rPr>
        <w:t xml:space="preserve">: </w:t>
      </w:r>
    </w:p>
    <w:p w:rsidR="00C50630" w:rsidRDefault="00C50630" w:rsidP="00C50630">
      <w:pPr>
        <w:autoSpaceDE w:val="0"/>
        <w:autoSpaceDN w:val="0"/>
        <w:adjustRightInd w:val="0"/>
        <w:ind w:left="851"/>
        <w:rPr>
          <w:color w:val="000000"/>
          <w:sz w:val="24"/>
          <w:szCs w:val="24"/>
        </w:rPr>
      </w:pPr>
      <w:r>
        <w:rPr>
          <w:color w:val="000000"/>
          <w:sz w:val="24"/>
          <w:szCs w:val="24"/>
        </w:rPr>
        <w:t xml:space="preserve">• </w:t>
      </w:r>
      <w:r>
        <w:rPr>
          <w:sz w:val="24"/>
          <w:szCs w:val="24"/>
        </w:rPr>
        <w:t xml:space="preserve">ikke er følsomme over for humant normalt </w:t>
      </w:r>
      <w:proofErr w:type="spellStart"/>
      <w:r>
        <w:rPr>
          <w:sz w:val="24"/>
          <w:szCs w:val="24"/>
        </w:rPr>
        <w:t>immunglobulin</w:t>
      </w:r>
      <w:proofErr w:type="spellEnd"/>
      <w:r>
        <w:rPr>
          <w:sz w:val="24"/>
          <w:szCs w:val="24"/>
        </w:rPr>
        <w:t xml:space="preserve"> ved først at administrere produktet</w:t>
      </w:r>
      <w:r>
        <w:rPr>
          <w:color w:val="000000"/>
          <w:sz w:val="24"/>
          <w:szCs w:val="24"/>
        </w:rPr>
        <w:t xml:space="preserve"> </w:t>
      </w:r>
      <w:r>
        <w:rPr>
          <w:sz w:val="24"/>
          <w:szCs w:val="24"/>
        </w:rPr>
        <w:t>langsomt (0,5 </w:t>
      </w:r>
      <w:proofErr w:type="spellStart"/>
      <w:r>
        <w:rPr>
          <w:sz w:val="24"/>
          <w:szCs w:val="24"/>
        </w:rPr>
        <w:t>mL</w:t>
      </w:r>
      <w:proofErr w:type="spellEnd"/>
      <w:r>
        <w:rPr>
          <w:sz w:val="24"/>
          <w:szCs w:val="24"/>
        </w:rPr>
        <w:t xml:space="preserve">/kg/t svarende til 0,0083 </w:t>
      </w:r>
      <w:proofErr w:type="spellStart"/>
      <w:r>
        <w:rPr>
          <w:sz w:val="24"/>
          <w:szCs w:val="24"/>
        </w:rPr>
        <w:t>mL</w:t>
      </w:r>
      <w:proofErr w:type="spellEnd"/>
      <w:r>
        <w:rPr>
          <w:sz w:val="24"/>
          <w:szCs w:val="24"/>
        </w:rPr>
        <w:t>/kg/minut)</w:t>
      </w:r>
    </w:p>
    <w:p w:rsidR="00C50630" w:rsidRDefault="00C50630" w:rsidP="00C50630">
      <w:pPr>
        <w:autoSpaceDE w:val="0"/>
        <w:autoSpaceDN w:val="0"/>
        <w:adjustRightInd w:val="0"/>
        <w:ind w:left="851"/>
        <w:rPr>
          <w:color w:val="000000"/>
          <w:sz w:val="24"/>
          <w:szCs w:val="24"/>
        </w:rPr>
      </w:pPr>
      <w:r>
        <w:rPr>
          <w:color w:val="000000"/>
          <w:sz w:val="24"/>
          <w:szCs w:val="24"/>
        </w:rPr>
        <w:t xml:space="preserve">• </w:t>
      </w:r>
      <w:r>
        <w:rPr>
          <w:sz w:val="24"/>
          <w:szCs w:val="24"/>
        </w:rPr>
        <w:t xml:space="preserve">overvåges omhyggeligt for symptomer gennem hele infusionsperioden. Især patienter, der er behandlingsnaive over for humant normalt </w:t>
      </w:r>
      <w:proofErr w:type="spellStart"/>
      <w:r>
        <w:rPr>
          <w:sz w:val="24"/>
          <w:szCs w:val="24"/>
        </w:rPr>
        <w:t>immunglobulin</w:t>
      </w:r>
      <w:proofErr w:type="spellEnd"/>
      <w:r>
        <w:rPr>
          <w:sz w:val="24"/>
          <w:szCs w:val="24"/>
        </w:rPr>
        <w:t xml:space="preserve">, patienter, der skifter fra et andet </w:t>
      </w:r>
      <w:proofErr w:type="spellStart"/>
      <w:r>
        <w:rPr>
          <w:sz w:val="24"/>
          <w:szCs w:val="24"/>
        </w:rPr>
        <w:t>IVIg</w:t>
      </w:r>
      <w:proofErr w:type="spellEnd"/>
      <w:r>
        <w:rPr>
          <w:sz w:val="24"/>
          <w:szCs w:val="24"/>
        </w:rPr>
        <w:noBreakHyphen/>
        <w:t>produkt, eller for hvem der har været et langt interval efter den forrige infusion, bør overvåges under den første infusion og i den første time efter den første infusion i et kontrolleret hospitalsmiljø, så man opfanger eventuelle uønskede tegn, og for at sikre, at nødbehandling straks kan iværksættes, hvis der skulle opstå problemer. Alle andre patienter bør observeres i mindst 20 minutter efter indgivelsen</w:t>
      </w:r>
      <w:r>
        <w:rPr>
          <w:color w:val="000000"/>
          <w:sz w:val="24"/>
          <w:szCs w:val="24"/>
        </w:rPr>
        <w:t xml:space="preserve">. </w:t>
      </w:r>
    </w:p>
    <w:p w:rsidR="00C50630" w:rsidRDefault="00C50630" w:rsidP="00C50630">
      <w:pPr>
        <w:autoSpaceDE w:val="0"/>
        <w:autoSpaceDN w:val="0"/>
        <w:adjustRightInd w:val="0"/>
        <w:ind w:left="851"/>
        <w:rPr>
          <w:sz w:val="24"/>
          <w:szCs w:val="24"/>
        </w:rPr>
      </w:pPr>
    </w:p>
    <w:p w:rsidR="00C50630" w:rsidRDefault="00C50630" w:rsidP="00C50630">
      <w:pPr>
        <w:autoSpaceDE w:val="0"/>
        <w:autoSpaceDN w:val="0"/>
        <w:adjustRightInd w:val="0"/>
        <w:ind w:left="851"/>
        <w:rPr>
          <w:color w:val="000000"/>
          <w:sz w:val="24"/>
          <w:szCs w:val="24"/>
        </w:rPr>
      </w:pPr>
      <w:r>
        <w:rPr>
          <w:sz w:val="24"/>
          <w:szCs w:val="24"/>
        </w:rPr>
        <w:t xml:space="preserve">Hos alle patienter kræver indgivelse af </w:t>
      </w:r>
      <w:proofErr w:type="spellStart"/>
      <w:r>
        <w:rPr>
          <w:sz w:val="24"/>
          <w:szCs w:val="24"/>
        </w:rPr>
        <w:t>IVIg</w:t>
      </w:r>
      <w:proofErr w:type="spellEnd"/>
      <w:r>
        <w:rPr>
          <w:color w:val="000000"/>
          <w:sz w:val="24"/>
          <w:szCs w:val="24"/>
        </w:rPr>
        <w:t xml:space="preserve">: </w:t>
      </w:r>
    </w:p>
    <w:p w:rsidR="00C50630" w:rsidRDefault="00C50630" w:rsidP="00C50630">
      <w:pPr>
        <w:autoSpaceDE w:val="0"/>
        <w:autoSpaceDN w:val="0"/>
        <w:adjustRightInd w:val="0"/>
        <w:ind w:left="851"/>
        <w:rPr>
          <w:color w:val="000000"/>
          <w:sz w:val="24"/>
          <w:szCs w:val="24"/>
        </w:rPr>
      </w:pPr>
      <w:r>
        <w:rPr>
          <w:color w:val="000000"/>
          <w:sz w:val="24"/>
          <w:szCs w:val="24"/>
        </w:rPr>
        <w:t xml:space="preserve">• </w:t>
      </w:r>
      <w:r>
        <w:rPr>
          <w:sz w:val="24"/>
          <w:szCs w:val="24"/>
        </w:rPr>
        <w:t xml:space="preserve">passende hydrering forud for påbegyndelse af </w:t>
      </w:r>
      <w:proofErr w:type="spellStart"/>
      <w:r>
        <w:rPr>
          <w:sz w:val="24"/>
          <w:szCs w:val="24"/>
        </w:rPr>
        <w:t>IVIg</w:t>
      </w:r>
      <w:proofErr w:type="spellEnd"/>
      <w:r>
        <w:rPr>
          <w:sz w:val="24"/>
          <w:szCs w:val="24"/>
        </w:rPr>
        <w:noBreakHyphen/>
        <w:t>infusionen</w:t>
      </w:r>
    </w:p>
    <w:p w:rsidR="00C50630" w:rsidRDefault="00C50630" w:rsidP="00C50630">
      <w:pPr>
        <w:autoSpaceDE w:val="0"/>
        <w:autoSpaceDN w:val="0"/>
        <w:adjustRightInd w:val="0"/>
        <w:ind w:left="851"/>
        <w:rPr>
          <w:color w:val="000000"/>
          <w:sz w:val="24"/>
          <w:szCs w:val="24"/>
        </w:rPr>
      </w:pPr>
      <w:r>
        <w:rPr>
          <w:color w:val="000000"/>
          <w:sz w:val="24"/>
          <w:szCs w:val="24"/>
        </w:rPr>
        <w:t xml:space="preserve">• </w:t>
      </w:r>
      <w:r>
        <w:rPr>
          <w:sz w:val="24"/>
          <w:szCs w:val="24"/>
        </w:rPr>
        <w:t>monitorering af diuresen</w:t>
      </w:r>
      <w:r>
        <w:rPr>
          <w:color w:val="000000"/>
          <w:sz w:val="24"/>
          <w:szCs w:val="24"/>
        </w:rPr>
        <w:t xml:space="preserve"> </w:t>
      </w:r>
    </w:p>
    <w:p w:rsidR="00C50630" w:rsidRDefault="00C50630" w:rsidP="00C50630">
      <w:pPr>
        <w:autoSpaceDE w:val="0"/>
        <w:autoSpaceDN w:val="0"/>
        <w:adjustRightInd w:val="0"/>
        <w:ind w:left="851"/>
        <w:rPr>
          <w:color w:val="000000"/>
          <w:sz w:val="24"/>
          <w:szCs w:val="24"/>
        </w:rPr>
      </w:pPr>
      <w:r>
        <w:rPr>
          <w:color w:val="000000"/>
          <w:sz w:val="24"/>
          <w:szCs w:val="24"/>
        </w:rPr>
        <w:t xml:space="preserve">• </w:t>
      </w:r>
      <w:r>
        <w:rPr>
          <w:sz w:val="24"/>
          <w:szCs w:val="24"/>
        </w:rPr>
        <w:t xml:space="preserve">monitorering af </w:t>
      </w:r>
      <w:proofErr w:type="spellStart"/>
      <w:r>
        <w:rPr>
          <w:sz w:val="24"/>
          <w:szCs w:val="24"/>
        </w:rPr>
        <w:t>serumkreatinin</w:t>
      </w:r>
      <w:proofErr w:type="spellEnd"/>
      <w:r>
        <w:rPr>
          <w:color w:val="000000"/>
          <w:sz w:val="24"/>
          <w:szCs w:val="24"/>
        </w:rPr>
        <w:t xml:space="preserve"> </w:t>
      </w:r>
    </w:p>
    <w:p w:rsidR="00C50630" w:rsidRDefault="00C50630" w:rsidP="00C50630">
      <w:pPr>
        <w:autoSpaceDE w:val="0"/>
        <w:autoSpaceDN w:val="0"/>
        <w:adjustRightInd w:val="0"/>
        <w:ind w:left="851"/>
        <w:rPr>
          <w:color w:val="000000"/>
          <w:sz w:val="24"/>
          <w:szCs w:val="24"/>
        </w:rPr>
      </w:pPr>
      <w:r>
        <w:rPr>
          <w:color w:val="000000"/>
          <w:sz w:val="24"/>
          <w:szCs w:val="24"/>
        </w:rPr>
        <w:t xml:space="preserve">• </w:t>
      </w:r>
      <w:r>
        <w:rPr>
          <w:sz w:val="24"/>
          <w:szCs w:val="24"/>
        </w:rPr>
        <w:t>at samtidig brug af loop</w:t>
      </w:r>
      <w:r>
        <w:rPr>
          <w:sz w:val="24"/>
          <w:szCs w:val="24"/>
        </w:rPr>
        <w:noBreakHyphen/>
      </w:r>
      <w:proofErr w:type="spellStart"/>
      <w:r>
        <w:rPr>
          <w:sz w:val="24"/>
          <w:szCs w:val="24"/>
        </w:rPr>
        <w:t>diuretika</w:t>
      </w:r>
      <w:proofErr w:type="spellEnd"/>
      <w:r>
        <w:rPr>
          <w:sz w:val="24"/>
          <w:szCs w:val="24"/>
        </w:rPr>
        <w:t xml:space="preserve"> undgås</w:t>
      </w:r>
      <w:r>
        <w:rPr>
          <w:color w:val="000000"/>
          <w:sz w:val="24"/>
          <w:szCs w:val="24"/>
        </w:rPr>
        <w:t xml:space="preserve"> (se </w:t>
      </w:r>
      <w:proofErr w:type="spellStart"/>
      <w:r>
        <w:rPr>
          <w:color w:val="000000"/>
          <w:sz w:val="24"/>
          <w:szCs w:val="24"/>
        </w:rPr>
        <w:t>pkt</w:t>
      </w:r>
      <w:proofErr w:type="spellEnd"/>
      <w:r>
        <w:rPr>
          <w:color w:val="000000"/>
          <w:sz w:val="24"/>
          <w:szCs w:val="24"/>
        </w:rPr>
        <w:t xml:space="preserve"> 4.5). </w:t>
      </w:r>
    </w:p>
    <w:p w:rsidR="00C50630" w:rsidRDefault="00C50630" w:rsidP="00C50630">
      <w:pPr>
        <w:autoSpaceDE w:val="0"/>
        <w:autoSpaceDN w:val="0"/>
        <w:adjustRightInd w:val="0"/>
        <w:ind w:left="851"/>
        <w:rPr>
          <w:sz w:val="24"/>
          <w:szCs w:val="24"/>
        </w:rPr>
      </w:pPr>
      <w:r>
        <w:rPr>
          <w:sz w:val="24"/>
          <w:szCs w:val="24"/>
        </w:rPr>
        <w:t>I tilfælde af en uønsket reaktion skal infusionshastigheden enten reduceres, eller infusionen standses. Hvilken behandling der kræves, afhænger af karakteren og sværhedsgraden af den uønskede reaktion.</w:t>
      </w:r>
    </w:p>
    <w:p w:rsidR="00C50630" w:rsidRDefault="00C50630" w:rsidP="00C50630">
      <w:pPr>
        <w:autoSpaceDE w:val="0"/>
        <w:autoSpaceDN w:val="0"/>
        <w:adjustRightInd w:val="0"/>
        <w:ind w:left="851"/>
        <w:rPr>
          <w:color w:val="000000"/>
          <w:sz w:val="24"/>
          <w:szCs w:val="24"/>
        </w:rPr>
      </w:pPr>
    </w:p>
    <w:p w:rsidR="00C50630" w:rsidRDefault="00C50630" w:rsidP="00C50630">
      <w:pPr>
        <w:autoSpaceDE w:val="0"/>
        <w:autoSpaceDN w:val="0"/>
        <w:adjustRightInd w:val="0"/>
        <w:ind w:left="851"/>
        <w:rPr>
          <w:color w:val="000000"/>
          <w:sz w:val="24"/>
          <w:szCs w:val="24"/>
          <w:u w:val="single"/>
        </w:rPr>
      </w:pPr>
      <w:r>
        <w:rPr>
          <w:color w:val="000000"/>
          <w:sz w:val="24"/>
          <w:szCs w:val="24"/>
          <w:u w:val="single"/>
        </w:rPr>
        <w:t>Infusionsrelateret reaktion</w:t>
      </w:r>
    </w:p>
    <w:p w:rsidR="00C50630" w:rsidRDefault="00C50630" w:rsidP="00C50630">
      <w:pPr>
        <w:autoSpaceDE w:val="0"/>
        <w:autoSpaceDN w:val="0"/>
        <w:adjustRightInd w:val="0"/>
        <w:ind w:left="851"/>
        <w:rPr>
          <w:sz w:val="24"/>
          <w:szCs w:val="24"/>
        </w:rPr>
      </w:pPr>
    </w:p>
    <w:p w:rsidR="00C50630" w:rsidRDefault="00C50630" w:rsidP="00C50630">
      <w:pPr>
        <w:autoSpaceDE w:val="0"/>
        <w:autoSpaceDN w:val="0"/>
        <w:adjustRightInd w:val="0"/>
        <w:ind w:left="851"/>
        <w:rPr>
          <w:color w:val="000000"/>
          <w:sz w:val="24"/>
          <w:szCs w:val="24"/>
        </w:rPr>
      </w:pPr>
      <w:r>
        <w:rPr>
          <w:sz w:val="24"/>
          <w:szCs w:val="24"/>
        </w:rPr>
        <w:lastRenderedPageBreak/>
        <w:t>Visse bivirkninger</w:t>
      </w:r>
      <w:r>
        <w:rPr>
          <w:color w:val="000000"/>
          <w:sz w:val="24"/>
          <w:szCs w:val="24"/>
        </w:rPr>
        <w:t xml:space="preserve"> (f.eks. hovedpine, rødme, kuldegysninger, muskelsmerter, pibende vejrtrækning, </w:t>
      </w:r>
      <w:proofErr w:type="spellStart"/>
      <w:r>
        <w:rPr>
          <w:color w:val="000000"/>
          <w:sz w:val="24"/>
          <w:szCs w:val="24"/>
        </w:rPr>
        <w:t>takykardi</w:t>
      </w:r>
      <w:proofErr w:type="spellEnd"/>
      <w:r>
        <w:rPr>
          <w:color w:val="000000"/>
          <w:sz w:val="24"/>
          <w:szCs w:val="24"/>
        </w:rPr>
        <w:t xml:space="preserve">, lændesmerter, kvalme og hypotension) kan tilskrives infusionshastigheden. </w:t>
      </w:r>
      <w:r>
        <w:rPr>
          <w:sz w:val="24"/>
          <w:szCs w:val="24"/>
        </w:rPr>
        <w:t>Den infusionshastighed, der anbefales i pkt. 4.2, skal følges nøje</w:t>
      </w:r>
      <w:r>
        <w:rPr>
          <w:color w:val="000000"/>
          <w:sz w:val="24"/>
          <w:szCs w:val="24"/>
        </w:rPr>
        <w:t xml:space="preserve">. </w:t>
      </w:r>
      <w:r>
        <w:rPr>
          <w:sz w:val="24"/>
          <w:szCs w:val="24"/>
        </w:rPr>
        <w:t>Patienterne skal overvåges nøje og observeres omhyggeligt for symptomer i hele infusionsperioden</w:t>
      </w:r>
      <w:r>
        <w:rPr>
          <w:color w:val="000000"/>
          <w:sz w:val="24"/>
          <w:szCs w:val="24"/>
        </w:rPr>
        <w:t xml:space="preserve">. </w:t>
      </w:r>
    </w:p>
    <w:p w:rsidR="00C50630" w:rsidRDefault="00C50630" w:rsidP="00C50630">
      <w:pPr>
        <w:autoSpaceDE w:val="0"/>
        <w:autoSpaceDN w:val="0"/>
        <w:adjustRightInd w:val="0"/>
        <w:ind w:left="851"/>
        <w:rPr>
          <w:color w:val="000000"/>
          <w:sz w:val="24"/>
          <w:szCs w:val="24"/>
        </w:rPr>
      </w:pPr>
    </w:p>
    <w:p w:rsidR="00C50630" w:rsidRDefault="00C50630" w:rsidP="00C50630">
      <w:pPr>
        <w:autoSpaceDE w:val="0"/>
        <w:autoSpaceDN w:val="0"/>
        <w:adjustRightInd w:val="0"/>
        <w:ind w:left="851"/>
        <w:rPr>
          <w:color w:val="000000"/>
          <w:sz w:val="24"/>
          <w:szCs w:val="24"/>
        </w:rPr>
      </w:pPr>
      <w:r>
        <w:rPr>
          <w:sz w:val="24"/>
          <w:szCs w:val="24"/>
        </w:rPr>
        <w:t>Visse bivirkninger kan optræde hyppigere</w:t>
      </w:r>
      <w:r>
        <w:rPr>
          <w:color w:val="000000"/>
          <w:sz w:val="24"/>
          <w:szCs w:val="24"/>
        </w:rPr>
        <w:t xml:space="preserve"> </w:t>
      </w:r>
    </w:p>
    <w:p w:rsidR="00C50630" w:rsidRDefault="00C50630" w:rsidP="00C50630">
      <w:pPr>
        <w:autoSpaceDE w:val="0"/>
        <w:autoSpaceDN w:val="0"/>
        <w:adjustRightInd w:val="0"/>
        <w:ind w:left="851"/>
        <w:rPr>
          <w:color w:val="000000"/>
          <w:sz w:val="24"/>
          <w:szCs w:val="24"/>
        </w:rPr>
      </w:pPr>
      <w:r>
        <w:rPr>
          <w:color w:val="000000"/>
          <w:sz w:val="24"/>
          <w:szCs w:val="24"/>
        </w:rPr>
        <w:t xml:space="preserve">• </w:t>
      </w:r>
      <w:r>
        <w:rPr>
          <w:sz w:val="24"/>
          <w:szCs w:val="24"/>
        </w:rPr>
        <w:t xml:space="preserve">hos patienter, der får humant normalt </w:t>
      </w:r>
      <w:proofErr w:type="spellStart"/>
      <w:r>
        <w:rPr>
          <w:sz w:val="24"/>
          <w:szCs w:val="24"/>
        </w:rPr>
        <w:t>immunglobulin</w:t>
      </w:r>
      <w:proofErr w:type="spellEnd"/>
      <w:r>
        <w:rPr>
          <w:sz w:val="24"/>
          <w:szCs w:val="24"/>
        </w:rPr>
        <w:t xml:space="preserve"> for første gang eller, i sjældne tilfælde, når det humane normale </w:t>
      </w:r>
      <w:proofErr w:type="spellStart"/>
      <w:r>
        <w:rPr>
          <w:sz w:val="24"/>
          <w:szCs w:val="24"/>
        </w:rPr>
        <w:t>immunglobulinprodukt</w:t>
      </w:r>
      <w:proofErr w:type="spellEnd"/>
      <w:r>
        <w:rPr>
          <w:sz w:val="24"/>
          <w:szCs w:val="24"/>
        </w:rPr>
        <w:t xml:space="preserve"> bliver udskiftet, eller når der har været et langt interval efter den forrige infusion</w:t>
      </w:r>
    </w:p>
    <w:p w:rsidR="00C50630" w:rsidRDefault="00C50630" w:rsidP="00C50630">
      <w:pPr>
        <w:pStyle w:val="Brdtekst"/>
        <w:ind w:left="851"/>
        <w:jc w:val="left"/>
        <w:rPr>
          <w:color w:val="000000"/>
          <w:sz w:val="24"/>
          <w:szCs w:val="24"/>
          <w:lang w:val="da-DK"/>
        </w:rPr>
      </w:pPr>
      <w:r>
        <w:rPr>
          <w:color w:val="000000"/>
          <w:sz w:val="24"/>
          <w:szCs w:val="24"/>
          <w:lang w:val="da-DK"/>
        </w:rPr>
        <w:t>• hos patienter med en aktiv infektion eller en underliggende kronisk inflammation</w:t>
      </w:r>
    </w:p>
    <w:p w:rsidR="00DC3D8B" w:rsidRPr="00DC3D8B" w:rsidRDefault="00DC3D8B" w:rsidP="00DC3D8B">
      <w:pPr>
        <w:pStyle w:val="Brdtekst"/>
        <w:ind w:left="851"/>
        <w:jc w:val="left"/>
        <w:rPr>
          <w:sz w:val="24"/>
          <w:szCs w:val="24"/>
          <w:lang w:val="da-DK"/>
        </w:rPr>
      </w:pPr>
    </w:p>
    <w:p w:rsidR="00DC3D8B" w:rsidRPr="00DC3D8B" w:rsidRDefault="00DC3D8B" w:rsidP="00DC3D8B">
      <w:pPr>
        <w:pStyle w:val="Brdtekst"/>
        <w:ind w:left="851"/>
        <w:jc w:val="left"/>
        <w:rPr>
          <w:sz w:val="24"/>
          <w:szCs w:val="24"/>
          <w:u w:val="single"/>
          <w:lang w:val="da-DK"/>
        </w:rPr>
      </w:pPr>
      <w:r w:rsidRPr="00DC3D8B">
        <w:rPr>
          <w:sz w:val="24"/>
          <w:szCs w:val="24"/>
          <w:u w:val="single"/>
          <w:lang w:val="da-DK"/>
        </w:rPr>
        <w:t>Overfølsomhed</w:t>
      </w:r>
    </w:p>
    <w:p w:rsidR="00DC3D8B" w:rsidRPr="00DC3D8B" w:rsidRDefault="00DC3D8B" w:rsidP="00DC3D8B">
      <w:pPr>
        <w:pStyle w:val="Brdtekst"/>
        <w:ind w:left="851"/>
        <w:jc w:val="left"/>
        <w:rPr>
          <w:sz w:val="24"/>
          <w:szCs w:val="24"/>
          <w:lang w:val="da-DK"/>
        </w:rPr>
      </w:pPr>
    </w:p>
    <w:p w:rsidR="00DC3D8B" w:rsidRPr="00DC3D8B" w:rsidRDefault="00DC3D8B" w:rsidP="00DC3D8B">
      <w:pPr>
        <w:pStyle w:val="Brdtekst"/>
        <w:ind w:left="851"/>
        <w:jc w:val="left"/>
        <w:rPr>
          <w:sz w:val="24"/>
          <w:szCs w:val="24"/>
          <w:lang w:val="da-DK"/>
        </w:rPr>
      </w:pPr>
      <w:r w:rsidRPr="00DC3D8B">
        <w:rPr>
          <w:sz w:val="24"/>
          <w:szCs w:val="24"/>
          <w:lang w:val="da-DK"/>
        </w:rPr>
        <w:t xml:space="preserve">Overfølsomhedsreaktioner er sjældne. </w:t>
      </w:r>
    </w:p>
    <w:p w:rsidR="00DC3D8B" w:rsidRPr="00DC3D8B" w:rsidRDefault="00DC3D8B" w:rsidP="00DC3D8B">
      <w:pPr>
        <w:pStyle w:val="Brdtekst"/>
        <w:ind w:left="851"/>
        <w:jc w:val="left"/>
        <w:rPr>
          <w:sz w:val="24"/>
          <w:szCs w:val="24"/>
          <w:lang w:val="da-DK"/>
        </w:rPr>
      </w:pPr>
    </w:p>
    <w:p w:rsidR="00DC3D8B" w:rsidRPr="00DC3D8B" w:rsidRDefault="00DC3D8B" w:rsidP="00DC3D8B">
      <w:pPr>
        <w:pStyle w:val="Brdtekst"/>
        <w:ind w:left="851"/>
        <w:jc w:val="left"/>
        <w:rPr>
          <w:sz w:val="24"/>
          <w:szCs w:val="24"/>
          <w:lang w:val="da-DK"/>
        </w:rPr>
      </w:pPr>
      <w:r w:rsidRPr="00DC3D8B">
        <w:rPr>
          <w:sz w:val="24"/>
          <w:szCs w:val="24"/>
          <w:lang w:val="da-DK"/>
        </w:rPr>
        <w:t>Anafylaksi kan forekomme hos patienter:</w:t>
      </w:r>
    </w:p>
    <w:p w:rsidR="00DC3D8B" w:rsidRPr="00DC3D8B" w:rsidRDefault="00DC3D8B" w:rsidP="00DC3D8B">
      <w:pPr>
        <w:autoSpaceDE w:val="0"/>
        <w:autoSpaceDN w:val="0"/>
        <w:adjustRightInd w:val="0"/>
        <w:ind w:left="851"/>
        <w:rPr>
          <w:color w:val="000000"/>
          <w:sz w:val="24"/>
          <w:szCs w:val="24"/>
        </w:rPr>
      </w:pPr>
      <w:r w:rsidRPr="00DC3D8B">
        <w:rPr>
          <w:color w:val="000000"/>
          <w:sz w:val="24"/>
          <w:szCs w:val="24"/>
        </w:rPr>
        <w:t>• med ikke-</w:t>
      </w:r>
      <w:proofErr w:type="spellStart"/>
      <w:r w:rsidRPr="00DC3D8B">
        <w:rPr>
          <w:color w:val="000000"/>
          <w:sz w:val="24"/>
          <w:szCs w:val="24"/>
        </w:rPr>
        <w:t>detekterbar</w:t>
      </w:r>
      <w:proofErr w:type="spellEnd"/>
      <w:r w:rsidRPr="00DC3D8B">
        <w:rPr>
          <w:color w:val="000000"/>
          <w:sz w:val="24"/>
          <w:szCs w:val="24"/>
        </w:rPr>
        <w:t xml:space="preserve"> </w:t>
      </w:r>
      <w:proofErr w:type="spellStart"/>
      <w:r w:rsidRPr="00DC3D8B">
        <w:rPr>
          <w:color w:val="000000"/>
          <w:sz w:val="24"/>
          <w:szCs w:val="24"/>
        </w:rPr>
        <w:t>IgA</w:t>
      </w:r>
      <w:proofErr w:type="spellEnd"/>
      <w:r w:rsidRPr="00DC3D8B">
        <w:rPr>
          <w:color w:val="000000"/>
          <w:sz w:val="24"/>
          <w:szCs w:val="24"/>
        </w:rPr>
        <w:t xml:space="preserve"> som har </w:t>
      </w:r>
      <w:proofErr w:type="spellStart"/>
      <w:r w:rsidRPr="00DC3D8B">
        <w:rPr>
          <w:sz w:val="24"/>
          <w:szCs w:val="24"/>
        </w:rPr>
        <w:t>anti</w:t>
      </w:r>
      <w:proofErr w:type="spellEnd"/>
      <w:r w:rsidRPr="00DC3D8B">
        <w:rPr>
          <w:sz w:val="24"/>
          <w:szCs w:val="24"/>
        </w:rPr>
        <w:noBreakHyphen/>
      </w:r>
      <w:proofErr w:type="spellStart"/>
      <w:r w:rsidRPr="00DC3D8B">
        <w:rPr>
          <w:sz w:val="24"/>
          <w:szCs w:val="24"/>
        </w:rPr>
        <w:t>IgA</w:t>
      </w:r>
      <w:proofErr w:type="spellEnd"/>
      <w:r w:rsidRPr="00DC3D8B">
        <w:rPr>
          <w:sz w:val="24"/>
          <w:szCs w:val="24"/>
        </w:rPr>
        <w:noBreakHyphen/>
        <w:t>antistoffer</w:t>
      </w:r>
    </w:p>
    <w:p w:rsidR="00DC3D8B" w:rsidRPr="00DC3D8B" w:rsidRDefault="00DC3D8B" w:rsidP="00DC3D8B">
      <w:pPr>
        <w:autoSpaceDE w:val="0"/>
        <w:autoSpaceDN w:val="0"/>
        <w:adjustRightInd w:val="0"/>
        <w:ind w:left="851"/>
        <w:rPr>
          <w:color w:val="000000"/>
          <w:sz w:val="24"/>
          <w:szCs w:val="24"/>
        </w:rPr>
      </w:pPr>
      <w:r w:rsidRPr="00DC3D8B">
        <w:rPr>
          <w:color w:val="000000"/>
          <w:sz w:val="24"/>
          <w:szCs w:val="24"/>
        </w:rPr>
        <w:t xml:space="preserve">• der tidligere har tålt behandling med humant normalt </w:t>
      </w:r>
      <w:proofErr w:type="spellStart"/>
      <w:r w:rsidRPr="00DC3D8B">
        <w:rPr>
          <w:color w:val="000000"/>
          <w:sz w:val="24"/>
          <w:szCs w:val="24"/>
        </w:rPr>
        <w:t>immunglobulin</w:t>
      </w:r>
      <w:proofErr w:type="spellEnd"/>
      <w:r w:rsidRPr="00DC3D8B">
        <w:rPr>
          <w:color w:val="000000"/>
          <w:sz w:val="24"/>
          <w:szCs w:val="24"/>
        </w:rPr>
        <w:t xml:space="preserve"> </w:t>
      </w:r>
    </w:p>
    <w:p w:rsidR="00DC3D8B" w:rsidRPr="00DC3D8B" w:rsidRDefault="00DC3D8B" w:rsidP="00DC3D8B">
      <w:pPr>
        <w:autoSpaceDE w:val="0"/>
        <w:autoSpaceDN w:val="0"/>
        <w:adjustRightInd w:val="0"/>
        <w:ind w:left="851"/>
        <w:rPr>
          <w:color w:val="000000"/>
          <w:sz w:val="24"/>
          <w:szCs w:val="24"/>
        </w:rPr>
      </w:pPr>
    </w:p>
    <w:p w:rsidR="00DC3D8B" w:rsidRPr="00DC3D8B" w:rsidRDefault="00DC3D8B" w:rsidP="00DC3D8B">
      <w:pPr>
        <w:pStyle w:val="Brdtekst"/>
        <w:ind w:left="851"/>
        <w:rPr>
          <w:color w:val="000000"/>
          <w:sz w:val="24"/>
          <w:szCs w:val="24"/>
          <w:lang w:val="da-DK"/>
        </w:rPr>
      </w:pPr>
      <w:r w:rsidRPr="00DC3D8B">
        <w:rPr>
          <w:color w:val="000000"/>
          <w:sz w:val="24"/>
          <w:szCs w:val="24"/>
          <w:lang w:val="da-DK"/>
        </w:rPr>
        <w:t xml:space="preserve">I tilfælde </w:t>
      </w:r>
      <w:proofErr w:type="spellStart"/>
      <w:r w:rsidRPr="00DC3D8B">
        <w:rPr>
          <w:color w:val="000000"/>
          <w:sz w:val="24"/>
          <w:szCs w:val="24"/>
          <w:lang w:val="da-DK"/>
        </w:rPr>
        <w:t>afshock</w:t>
      </w:r>
      <w:proofErr w:type="spellEnd"/>
      <w:r w:rsidRPr="00DC3D8B">
        <w:rPr>
          <w:color w:val="000000"/>
          <w:sz w:val="24"/>
          <w:szCs w:val="24"/>
          <w:lang w:val="da-DK"/>
        </w:rPr>
        <w:t xml:space="preserve">, bør standardbehandling af </w:t>
      </w:r>
      <w:proofErr w:type="spellStart"/>
      <w:r w:rsidRPr="00DC3D8B">
        <w:rPr>
          <w:color w:val="000000"/>
          <w:sz w:val="24"/>
          <w:szCs w:val="24"/>
          <w:lang w:val="da-DK"/>
        </w:rPr>
        <w:t>shock</w:t>
      </w:r>
      <w:proofErr w:type="spellEnd"/>
      <w:r w:rsidRPr="00DC3D8B">
        <w:rPr>
          <w:color w:val="000000"/>
          <w:sz w:val="24"/>
          <w:szCs w:val="24"/>
          <w:lang w:val="da-DK"/>
        </w:rPr>
        <w:t xml:space="preserve"> iværksættes. </w:t>
      </w:r>
    </w:p>
    <w:p w:rsidR="00DC3D8B" w:rsidRPr="00DC3D8B" w:rsidRDefault="00DC3D8B" w:rsidP="00DC3D8B">
      <w:pPr>
        <w:pStyle w:val="Brdtekst"/>
        <w:ind w:left="851"/>
        <w:jc w:val="left"/>
        <w:rPr>
          <w:sz w:val="24"/>
          <w:szCs w:val="24"/>
          <w:lang w:val="da-DK"/>
        </w:rPr>
      </w:pPr>
    </w:p>
    <w:p w:rsidR="00DC3D8B" w:rsidRPr="00DC3D8B" w:rsidRDefault="00DC3D8B" w:rsidP="00DC3D8B">
      <w:pPr>
        <w:pStyle w:val="Brdtekst"/>
        <w:ind w:left="851"/>
        <w:jc w:val="left"/>
        <w:rPr>
          <w:sz w:val="24"/>
          <w:szCs w:val="24"/>
          <w:u w:val="single"/>
          <w:lang w:val="da-DK"/>
        </w:rPr>
      </w:pPr>
      <w:proofErr w:type="spellStart"/>
      <w:r w:rsidRPr="00DC3D8B">
        <w:rPr>
          <w:sz w:val="24"/>
          <w:szCs w:val="24"/>
          <w:u w:val="single"/>
          <w:lang w:val="da-DK"/>
        </w:rPr>
        <w:t>Tromboemboli</w:t>
      </w:r>
      <w:proofErr w:type="spellEnd"/>
    </w:p>
    <w:p w:rsidR="00DC3D8B" w:rsidRPr="00DC3D8B" w:rsidRDefault="00DC3D8B" w:rsidP="00DC3D8B">
      <w:pPr>
        <w:pStyle w:val="Brdtekst"/>
        <w:ind w:left="851"/>
        <w:jc w:val="left"/>
        <w:rPr>
          <w:sz w:val="24"/>
          <w:szCs w:val="24"/>
          <w:lang w:val="da-DK"/>
        </w:rPr>
      </w:pPr>
    </w:p>
    <w:p w:rsidR="00DC3D8B" w:rsidRPr="00DC3D8B" w:rsidRDefault="00DC3D8B" w:rsidP="00DC3D8B">
      <w:pPr>
        <w:pStyle w:val="Brdtekst"/>
        <w:ind w:left="851"/>
        <w:jc w:val="left"/>
        <w:rPr>
          <w:sz w:val="24"/>
          <w:szCs w:val="24"/>
          <w:lang w:val="da-DK"/>
        </w:rPr>
      </w:pPr>
      <w:r w:rsidRPr="00DC3D8B">
        <w:rPr>
          <w:sz w:val="24"/>
          <w:szCs w:val="24"/>
          <w:lang w:val="da-DK"/>
        </w:rPr>
        <w:t xml:space="preserve">Der er kliniske tegn på en forbindelse mellem indgivelse af </w:t>
      </w:r>
      <w:proofErr w:type="spellStart"/>
      <w:r w:rsidRPr="00DC3D8B">
        <w:rPr>
          <w:sz w:val="24"/>
          <w:szCs w:val="24"/>
          <w:lang w:val="da-DK"/>
        </w:rPr>
        <w:t>IVIg</w:t>
      </w:r>
      <w:proofErr w:type="spellEnd"/>
      <w:r w:rsidRPr="00DC3D8B">
        <w:rPr>
          <w:sz w:val="24"/>
          <w:szCs w:val="24"/>
          <w:lang w:val="da-DK"/>
        </w:rPr>
        <w:t xml:space="preserve"> og </w:t>
      </w:r>
      <w:proofErr w:type="spellStart"/>
      <w:r w:rsidRPr="00DC3D8B">
        <w:rPr>
          <w:sz w:val="24"/>
          <w:szCs w:val="24"/>
          <w:lang w:val="da-DK"/>
        </w:rPr>
        <w:t>tromboemboliske</w:t>
      </w:r>
      <w:proofErr w:type="spellEnd"/>
      <w:r w:rsidRPr="00DC3D8B">
        <w:rPr>
          <w:sz w:val="24"/>
          <w:szCs w:val="24"/>
          <w:lang w:val="da-DK"/>
        </w:rPr>
        <w:t xml:space="preserve"> hændelser som f.eks. myokardieinfarkt, cerebral </w:t>
      </w:r>
      <w:proofErr w:type="spellStart"/>
      <w:r w:rsidRPr="00DC3D8B">
        <w:rPr>
          <w:sz w:val="24"/>
          <w:szCs w:val="24"/>
          <w:lang w:val="da-DK"/>
        </w:rPr>
        <w:t>vaskulær</w:t>
      </w:r>
      <w:proofErr w:type="spellEnd"/>
      <w:r w:rsidRPr="00DC3D8B">
        <w:rPr>
          <w:sz w:val="24"/>
          <w:szCs w:val="24"/>
          <w:lang w:val="da-DK"/>
        </w:rPr>
        <w:t xml:space="preserve"> hændelse (herunder apopleksi), </w:t>
      </w:r>
      <w:proofErr w:type="spellStart"/>
      <w:r w:rsidRPr="00DC3D8B">
        <w:rPr>
          <w:sz w:val="24"/>
          <w:szCs w:val="24"/>
          <w:lang w:val="da-DK"/>
        </w:rPr>
        <w:t>lungeemboli</w:t>
      </w:r>
      <w:proofErr w:type="spellEnd"/>
      <w:r w:rsidRPr="00DC3D8B">
        <w:rPr>
          <w:sz w:val="24"/>
          <w:szCs w:val="24"/>
          <w:lang w:val="da-DK"/>
        </w:rPr>
        <w:t xml:space="preserve"> og dyb venetrombose, der antages at skyldes en relativ forøgelse af blodviskositeten på grund af den store indstrømning af </w:t>
      </w:r>
      <w:proofErr w:type="spellStart"/>
      <w:r w:rsidRPr="00DC3D8B">
        <w:rPr>
          <w:sz w:val="24"/>
          <w:szCs w:val="24"/>
          <w:lang w:val="da-DK"/>
        </w:rPr>
        <w:t>immunglobulin</w:t>
      </w:r>
      <w:proofErr w:type="spellEnd"/>
      <w:r w:rsidRPr="00DC3D8B">
        <w:rPr>
          <w:sz w:val="24"/>
          <w:szCs w:val="24"/>
          <w:lang w:val="da-DK"/>
        </w:rPr>
        <w:t xml:space="preserve"> hos patienter i risikogruppe. Der bør udvises forsigtighed med ordinering og infusion af </w:t>
      </w:r>
      <w:proofErr w:type="spellStart"/>
      <w:r w:rsidRPr="00DC3D8B">
        <w:rPr>
          <w:sz w:val="24"/>
          <w:szCs w:val="24"/>
          <w:lang w:val="da-DK"/>
        </w:rPr>
        <w:t>IVIg</w:t>
      </w:r>
      <w:proofErr w:type="spellEnd"/>
      <w:r w:rsidRPr="00DC3D8B">
        <w:rPr>
          <w:sz w:val="24"/>
          <w:szCs w:val="24"/>
          <w:lang w:val="da-DK"/>
        </w:rPr>
        <w:t xml:space="preserve"> til adipøse patienter og patienter, der på forhånd har risikofaktorer for </w:t>
      </w:r>
      <w:proofErr w:type="spellStart"/>
      <w:r w:rsidRPr="00DC3D8B">
        <w:rPr>
          <w:sz w:val="24"/>
          <w:szCs w:val="24"/>
          <w:lang w:val="da-DK"/>
        </w:rPr>
        <w:t>trombotiske</w:t>
      </w:r>
      <w:proofErr w:type="spellEnd"/>
      <w:r w:rsidRPr="00DC3D8B">
        <w:rPr>
          <w:sz w:val="24"/>
          <w:szCs w:val="24"/>
          <w:lang w:val="da-DK"/>
        </w:rPr>
        <w:t xml:space="preserve"> hændelser (f.eks.</w:t>
      </w:r>
      <w:r>
        <w:rPr>
          <w:sz w:val="24"/>
          <w:szCs w:val="24"/>
          <w:lang w:val="da-DK"/>
        </w:rPr>
        <w:t xml:space="preserve"> </w:t>
      </w:r>
      <w:r w:rsidRPr="00DC3D8B">
        <w:rPr>
          <w:sz w:val="24"/>
          <w:szCs w:val="24"/>
          <w:lang w:val="da-DK"/>
        </w:rPr>
        <w:t xml:space="preserve">fremskreden alder, hypertension, diabetes mellitus og karsygdom eller </w:t>
      </w:r>
      <w:proofErr w:type="spellStart"/>
      <w:r w:rsidRPr="00DC3D8B">
        <w:rPr>
          <w:sz w:val="24"/>
          <w:szCs w:val="24"/>
          <w:lang w:val="da-DK"/>
        </w:rPr>
        <w:t>trombotiske</w:t>
      </w:r>
      <w:proofErr w:type="spellEnd"/>
      <w:r w:rsidRPr="00DC3D8B">
        <w:rPr>
          <w:sz w:val="24"/>
          <w:szCs w:val="24"/>
          <w:lang w:val="da-DK"/>
        </w:rPr>
        <w:t xml:space="preserve"> episoder i anamnesen, patienter med erhvervet eller nedarvet </w:t>
      </w:r>
      <w:proofErr w:type="spellStart"/>
      <w:r w:rsidRPr="00DC3D8B">
        <w:rPr>
          <w:sz w:val="24"/>
          <w:szCs w:val="24"/>
          <w:lang w:val="da-DK"/>
        </w:rPr>
        <w:t>trombofile</w:t>
      </w:r>
      <w:proofErr w:type="spellEnd"/>
      <w:r w:rsidRPr="00DC3D8B">
        <w:rPr>
          <w:sz w:val="24"/>
          <w:szCs w:val="24"/>
          <w:lang w:val="da-DK"/>
        </w:rPr>
        <w:t xml:space="preserve"> lidelser, patienter med længere perioder med immobilisering, patienter med svær </w:t>
      </w:r>
      <w:proofErr w:type="spellStart"/>
      <w:r w:rsidRPr="00DC3D8B">
        <w:rPr>
          <w:sz w:val="24"/>
          <w:szCs w:val="24"/>
          <w:lang w:val="da-DK"/>
        </w:rPr>
        <w:t>hypovolæmi</w:t>
      </w:r>
      <w:proofErr w:type="spellEnd"/>
      <w:r w:rsidRPr="00DC3D8B">
        <w:rPr>
          <w:sz w:val="24"/>
          <w:szCs w:val="24"/>
          <w:lang w:val="da-DK"/>
        </w:rPr>
        <w:t>, patienter med sygdomme, som øger blodviskositeten).</w:t>
      </w:r>
    </w:p>
    <w:p w:rsidR="00DC3D8B" w:rsidRPr="00DC3D8B" w:rsidRDefault="00DC3D8B" w:rsidP="00DC3D8B">
      <w:pPr>
        <w:pStyle w:val="Brdtekst"/>
        <w:ind w:left="851"/>
        <w:jc w:val="left"/>
        <w:rPr>
          <w:sz w:val="24"/>
          <w:szCs w:val="24"/>
          <w:lang w:val="da-DK"/>
        </w:rPr>
      </w:pPr>
    </w:p>
    <w:p w:rsidR="00DC3D8B" w:rsidRPr="00DC3D8B" w:rsidRDefault="00DC3D8B" w:rsidP="00DC3D8B">
      <w:pPr>
        <w:pStyle w:val="Brdtekst"/>
        <w:ind w:left="851"/>
        <w:jc w:val="left"/>
        <w:rPr>
          <w:sz w:val="24"/>
          <w:szCs w:val="24"/>
          <w:lang w:val="da-DK"/>
        </w:rPr>
      </w:pPr>
      <w:r w:rsidRPr="00DC3D8B">
        <w:rPr>
          <w:sz w:val="24"/>
          <w:szCs w:val="24"/>
          <w:lang w:val="da-DK"/>
        </w:rPr>
        <w:t xml:space="preserve">Hos patienter i risikogruppe for </w:t>
      </w:r>
      <w:proofErr w:type="spellStart"/>
      <w:r w:rsidRPr="00DC3D8B">
        <w:rPr>
          <w:sz w:val="24"/>
          <w:szCs w:val="24"/>
          <w:lang w:val="da-DK"/>
        </w:rPr>
        <w:t>tromboemboliske</w:t>
      </w:r>
      <w:proofErr w:type="spellEnd"/>
      <w:r w:rsidRPr="00DC3D8B">
        <w:rPr>
          <w:sz w:val="24"/>
          <w:szCs w:val="24"/>
          <w:lang w:val="da-DK"/>
        </w:rPr>
        <w:t xml:space="preserve"> reaktioner skal </w:t>
      </w:r>
      <w:proofErr w:type="spellStart"/>
      <w:r w:rsidRPr="00DC3D8B">
        <w:rPr>
          <w:sz w:val="24"/>
          <w:szCs w:val="24"/>
          <w:lang w:val="da-DK"/>
        </w:rPr>
        <w:t>IVIg</w:t>
      </w:r>
      <w:proofErr w:type="spellEnd"/>
      <w:r w:rsidRPr="00DC3D8B">
        <w:rPr>
          <w:sz w:val="24"/>
          <w:szCs w:val="24"/>
          <w:lang w:val="da-DK"/>
        </w:rPr>
        <w:noBreakHyphen/>
        <w:t>produkter indgives med den lavest anvendelige infusionshastighed og dosis.</w:t>
      </w:r>
    </w:p>
    <w:p w:rsidR="00DC3D8B" w:rsidRPr="00DC3D8B" w:rsidRDefault="00DC3D8B" w:rsidP="00DC3D8B">
      <w:pPr>
        <w:pStyle w:val="Brdtekst"/>
        <w:ind w:left="851"/>
        <w:jc w:val="left"/>
        <w:rPr>
          <w:sz w:val="24"/>
          <w:szCs w:val="24"/>
          <w:lang w:val="da-DK"/>
        </w:rPr>
      </w:pPr>
    </w:p>
    <w:p w:rsidR="00DC3D8B" w:rsidRPr="00DC3D8B" w:rsidRDefault="00DC3D8B" w:rsidP="00DC3D8B">
      <w:pPr>
        <w:pStyle w:val="Brdtekst"/>
        <w:ind w:left="851"/>
        <w:jc w:val="left"/>
        <w:rPr>
          <w:sz w:val="24"/>
          <w:szCs w:val="24"/>
          <w:u w:val="single"/>
          <w:lang w:val="da-DK"/>
        </w:rPr>
      </w:pPr>
      <w:r w:rsidRPr="00DC3D8B">
        <w:rPr>
          <w:sz w:val="24"/>
          <w:szCs w:val="24"/>
          <w:u w:val="single"/>
          <w:lang w:val="da-DK"/>
        </w:rPr>
        <w:t>Akut nyresvigt</w:t>
      </w:r>
    </w:p>
    <w:p w:rsidR="00DC3D8B" w:rsidRPr="00DC3D8B" w:rsidRDefault="00DC3D8B" w:rsidP="00DC3D8B">
      <w:pPr>
        <w:pStyle w:val="Brdtekst"/>
        <w:ind w:left="851"/>
        <w:jc w:val="left"/>
        <w:rPr>
          <w:sz w:val="24"/>
          <w:szCs w:val="24"/>
          <w:lang w:val="da-DK"/>
        </w:rPr>
      </w:pPr>
      <w:r w:rsidRPr="00DC3D8B">
        <w:rPr>
          <w:sz w:val="24"/>
          <w:szCs w:val="24"/>
          <w:lang w:val="da-DK"/>
        </w:rPr>
        <w:t xml:space="preserve">Tilfælde af akut nyresvigt er rapporteret hos patienter, der får </w:t>
      </w:r>
      <w:proofErr w:type="spellStart"/>
      <w:r w:rsidRPr="00DC3D8B">
        <w:rPr>
          <w:sz w:val="24"/>
          <w:szCs w:val="24"/>
          <w:lang w:val="da-DK"/>
        </w:rPr>
        <w:t>IVIg</w:t>
      </w:r>
      <w:proofErr w:type="spellEnd"/>
      <w:r w:rsidRPr="00DC3D8B">
        <w:rPr>
          <w:sz w:val="24"/>
          <w:szCs w:val="24"/>
          <w:lang w:val="da-DK"/>
        </w:rPr>
        <w:noBreakHyphen/>
        <w:t xml:space="preserve">terapi. I de fleste tilfælde har man identificeret risikofaktorer, såsom allerede eksisterende nyreinsufficiens, diabetes mellitus, </w:t>
      </w:r>
      <w:proofErr w:type="spellStart"/>
      <w:r w:rsidRPr="00DC3D8B">
        <w:rPr>
          <w:sz w:val="24"/>
          <w:szCs w:val="24"/>
          <w:lang w:val="da-DK"/>
        </w:rPr>
        <w:t>hypovolæmi</w:t>
      </w:r>
      <w:proofErr w:type="spellEnd"/>
      <w:r w:rsidRPr="00DC3D8B">
        <w:rPr>
          <w:sz w:val="24"/>
          <w:szCs w:val="24"/>
          <w:lang w:val="da-DK"/>
        </w:rPr>
        <w:t xml:space="preserve">, overvægt, samtidige </w:t>
      </w:r>
      <w:proofErr w:type="spellStart"/>
      <w:r w:rsidRPr="00DC3D8B">
        <w:rPr>
          <w:sz w:val="24"/>
          <w:szCs w:val="24"/>
          <w:lang w:val="da-DK"/>
        </w:rPr>
        <w:t>nefrotoksiske</w:t>
      </w:r>
      <w:proofErr w:type="spellEnd"/>
      <w:r w:rsidRPr="00DC3D8B">
        <w:rPr>
          <w:sz w:val="24"/>
          <w:szCs w:val="24"/>
          <w:lang w:val="da-DK"/>
        </w:rPr>
        <w:t xml:space="preserve"> lægemidler eller alder på over 65.</w:t>
      </w:r>
    </w:p>
    <w:p w:rsidR="00DC3D8B" w:rsidRPr="00DC3D8B" w:rsidRDefault="00DC3D8B" w:rsidP="00DC3D8B">
      <w:pPr>
        <w:pStyle w:val="Brdtekst"/>
        <w:ind w:left="851"/>
        <w:rPr>
          <w:sz w:val="24"/>
          <w:szCs w:val="24"/>
          <w:lang w:val="da-DK"/>
        </w:rPr>
      </w:pPr>
    </w:p>
    <w:p w:rsidR="00DC3D8B" w:rsidRPr="00DC3D8B" w:rsidRDefault="00DC3D8B" w:rsidP="00DC3D8B">
      <w:pPr>
        <w:pStyle w:val="Brdtekst"/>
        <w:ind w:left="851"/>
        <w:rPr>
          <w:noProof/>
          <w:sz w:val="24"/>
          <w:szCs w:val="24"/>
          <w:lang w:val="da-DK"/>
        </w:rPr>
      </w:pPr>
      <w:r w:rsidRPr="00DC3D8B">
        <w:rPr>
          <w:sz w:val="24"/>
          <w:szCs w:val="24"/>
          <w:lang w:val="da-DK"/>
        </w:rPr>
        <w:t xml:space="preserve">Nyreparametre bør analyseres før infusion af </w:t>
      </w:r>
      <w:proofErr w:type="spellStart"/>
      <w:r w:rsidRPr="00DC3D8B">
        <w:rPr>
          <w:sz w:val="24"/>
          <w:szCs w:val="24"/>
          <w:lang w:val="da-DK"/>
        </w:rPr>
        <w:t>IVIg</w:t>
      </w:r>
      <w:proofErr w:type="spellEnd"/>
      <w:r w:rsidRPr="00DC3D8B">
        <w:rPr>
          <w:sz w:val="24"/>
          <w:szCs w:val="24"/>
          <w:lang w:val="da-DK"/>
        </w:rPr>
        <w:t xml:space="preserve">, særligt hos patienter, der vurderes at have en potentielt øget risiko for at udvikle akut nyresvigt, og igen i passende intervaller. </w:t>
      </w:r>
      <w:proofErr w:type="spellStart"/>
      <w:r w:rsidRPr="00DC3D8B">
        <w:rPr>
          <w:sz w:val="24"/>
          <w:szCs w:val="24"/>
          <w:lang w:val="da-DK"/>
        </w:rPr>
        <w:t>IVIg</w:t>
      </w:r>
      <w:proofErr w:type="spellEnd"/>
      <w:r w:rsidRPr="00DC3D8B">
        <w:rPr>
          <w:sz w:val="24"/>
          <w:szCs w:val="24"/>
          <w:lang w:val="da-DK"/>
        </w:rPr>
        <w:t>-produkter bør indgives ved minimal infusionshastighed og dosis ho</w:t>
      </w:r>
      <w:r w:rsidRPr="00DC3D8B">
        <w:rPr>
          <w:noProof/>
          <w:sz w:val="24"/>
          <w:szCs w:val="24"/>
          <w:lang w:val="da-DK"/>
        </w:rPr>
        <w:t xml:space="preserve">s patienter med risiko for akut nyresvigt. </w:t>
      </w:r>
      <w:r w:rsidRPr="00DC3D8B">
        <w:rPr>
          <w:sz w:val="24"/>
          <w:szCs w:val="24"/>
          <w:lang w:val="da-DK"/>
        </w:rPr>
        <w:t xml:space="preserve">I tilfælde af nyreskade bør det overvejes at ophøre med </w:t>
      </w:r>
      <w:proofErr w:type="spellStart"/>
      <w:r w:rsidRPr="00DC3D8B">
        <w:rPr>
          <w:sz w:val="24"/>
          <w:szCs w:val="24"/>
          <w:lang w:val="da-DK"/>
        </w:rPr>
        <w:t>IVIg</w:t>
      </w:r>
      <w:proofErr w:type="spellEnd"/>
      <w:r w:rsidRPr="00DC3D8B">
        <w:rPr>
          <w:sz w:val="24"/>
          <w:szCs w:val="24"/>
          <w:lang w:val="da-DK"/>
        </w:rPr>
        <w:t>.</w:t>
      </w:r>
    </w:p>
    <w:p w:rsidR="00DC3D8B" w:rsidRPr="00DC3D8B" w:rsidRDefault="00DC3D8B" w:rsidP="00DC3D8B">
      <w:pPr>
        <w:pStyle w:val="Brdtekst"/>
        <w:ind w:left="851"/>
        <w:jc w:val="left"/>
        <w:rPr>
          <w:sz w:val="24"/>
          <w:szCs w:val="24"/>
          <w:lang w:val="da-DK"/>
        </w:rPr>
      </w:pPr>
    </w:p>
    <w:p w:rsidR="00C50630" w:rsidRDefault="00C50630" w:rsidP="00C50630">
      <w:pPr>
        <w:pStyle w:val="Brdtekst"/>
        <w:ind w:left="851"/>
        <w:jc w:val="left"/>
        <w:rPr>
          <w:sz w:val="24"/>
          <w:szCs w:val="24"/>
          <w:lang w:val="da-DK"/>
        </w:rPr>
      </w:pPr>
      <w:r>
        <w:rPr>
          <w:sz w:val="24"/>
          <w:szCs w:val="24"/>
          <w:lang w:val="da-DK"/>
        </w:rPr>
        <w:t xml:space="preserve">Mens rapporter om </w:t>
      </w:r>
      <w:proofErr w:type="spellStart"/>
      <w:r>
        <w:rPr>
          <w:sz w:val="24"/>
          <w:szCs w:val="24"/>
          <w:lang w:val="da-DK"/>
        </w:rPr>
        <w:t>renal</w:t>
      </w:r>
      <w:proofErr w:type="spellEnd"/>
      <w:r>
        <w:rPr>
          <w:sz w:val="24"/>
          <w:szCs w:val="24"/>
          <w:lang w:val="da-DK"/>
        </w:rPr>
        <w:t xml:space="preserve"> dysfunktion og akut nyresvigt er blevet forbundet med brugen af mange af de godkendte </w:t>
      </w:r>
      <w:proofErr w:type="spellStart"/>
      <w:r>
        <w:rPr>
          <w:sz w:val="24"/>
          <w:szCs w:val="24"/>
          <w:lang w:val="da-DK"/>
        </w:rPr>
        <w:t>IVIg</w:t>
      </w:r>
      <w:proofErr w:type="spellEnd"/>
      <w:r>
        <w:rPr>
          <w:sz w:val="24"/>
          <w:szCs w:val="24"/>
          <w:lang w:val="da-DK"/>
        </w:rPr>
        <w:noBreakHyphen/>
        <w:t xml:space="preserve">produkter, som indeholder forskellige hjælpestoffer som </w:t>
      </w:r>
      <w:r>
        <w:rPr>
          <w:sz w:val="24"/>
          <w:szCs w:val="24"/>
          <w:lang w:val="da-DK"/>
        </w:rPr>
        <w:lastRenderedPageBreak/>
        <w:t xml:space="preserve">sukrose, glukose og maltose, tegnede de, der indeholder sukrose som stabilisator, sig for en uforholdsmæssig stor andel af det samlede antal. Hos patienter i risiko kan det overvejes at anvende </w:t>
      </w:r>
      <w:proofErr w:type="spellStart"/>
      <w:r>
        <w:rPr>
          <w:sz w:val="24"/>
          <w:szCs w:val="24"/>
          <w:lang w:val="da-DK"/>
        </w:rPr>
        <w:t>IVIg</w:t>
      </w:r>
      <w:proofErr w:type="spellEnd"/>
      <w:r>
        <w:rPr>
          <w:sz w:val="24"/>
          <w:szCs w:val="24"/>
          <w:lang w:val="da-DK"/>
        </w:rPr>
        <w:noBreakHyphen/>
        <w:t xml:space="preserve">produkter, der ikke indeholder disse hjælpestoffer. </w:t>
      </w:r>
      <w:proofErr w:type="spellStart"/>
      <w:r>
        <w:rPr>
          <w:sz w:val="24"/>
          <w:szCs w:val="24"/>
          <w:lang w:val="da-DK"/>
        </w:rPr>
        <w:t>Iqymune</w:t>
      </w:r>
      <w:proofErr w:type="spellEnd"/>
      <w:r>
        <w:rPr>
          <w:sz w:val="24"/>
          <w:szCs w:val="24"/>
          <w:lang w:val="da-DK"/>
        </w:rPr>
        <w:t xml:space="preserve"> indeholder hverken sukrose, maltose eller glukose.</w:t>
      </w:r>
    </w:p>
    <w:p w:rsidR="00DC3D8B" w:rsidRPr="00DC3D8B" w:rsidRDefault="00DC3D8B" w:rsidP="00DC3D8B">
      <w:pPr>
        <w:pStyle w:val="Brdtekst"/>
        <w:ind w:left="851"/>
        <w:jc w:val="left"/>
        <w:rPr>
          <w:sz w:val="24"/>
          <w:szCs w:val="24"/>
          <w:lang w:val="da-DK"/>
        </w:rPr>
      </w:pPr>
    </w:p>
    <w:p w:rsidR="00DC3D8B" w:rsidRPr="00DC3D8B" w:rsidRDefault="00DC3D8B" w:rsidP="00DC3D8B">
      <w:pPr>
        <w:pStyle w:val="Brdtekst"/>
        <w:ind w:left="851"/>
        <w:jc w:val="left"/>
        <w:rPr>
          <w:sz w:val="24"/>
          <w:szCs w:val="24"/>
          <w:u w:val="single"/>
          <w:lang w:val="da-DK"/>
        </w:rPr>
      </w:pPr>
      <w:r w:rsidRPr="00DC3D8B">
        <w:rPr>
          <w:sz w:val="24"/>
          <w:szCs w:val="24"/>
          <w:u w:val="single"/>
          <w:lang w:val="da-DK"/>
        </w:rPr>
        <w:t>Natriumindhold</w:t>
      </w:r>
    </w:p>
    <w:p w:rsidR="00DC3D8B" w:rsidRPr="00DC3D8B" w:rsidRDefault="00DC3D8B" w:rsidP="00DC3D8B">
      <w:pPr>
        <w:pStyle w:val="Brdtekst"/>
        <w:ind w:left="851"/>
        <w:jc w:val="left"/>
        <w:rPr>
          <w:sz w:val="24"/>
          <w:szCs w:val="24"/>
          <w:u w:val="single"/>
          <w:lang w:val="da-DK"/>
        </w:rPr>
      </w:pPr>
    </w:p>
    <w:p w:rsidR="00DC3D8B" w:rsidRPr="00DC3D8B" w:rsidRDefault="00DC3D8B" w:rsidP="00DC3D8B">
      <w:pPr>
        <w:pStyle w:val="Brdtekst"/>
        <w:ind w:left="851"/>
        <w:jc w:val="left"/>
        <w:rPr>
          <w:sz w:val="24"/>
          <w:szCs w:val="24"/>
          <w:lang w:val="da-DK"/>
        </w:rPr>
      </w:pPr>
      <w:r w:rsidRPr="00DC3D8B">
        <w:rPr>
          <w:sz w:val="24"/>
          <w:szCs w:val="24"/>
          <w:lang w:val="da-DK"/>
        </w:rPr>
        <w:t>Dette lægemiddel indeholder mindre end 1 mmol natrium (23 mg) pr. dosis, hvilket vil sige, at det er næsten "natriumfrit".</w:t>
      </w:r>
    </w:p>
    <w:p w:rsidR="00DC3D8B" w:rsidRPr="00DC3D8B" w:rsidRDefault="00DC3D8B" w:rsidP="00DC3D8B">
      <w:pPr>
        <w:pStyle w:val="Brdtekst"/>
        <w:ind w:left="851"/>
        <w:jc w:val="left"/>
        <w:rPr>
          <w:sz w:val="24"/>
          <w:szCs w:val="24"/>
          <w:lang w:val="da-DK"/>
        </w:rPr>
      </w:pPr>
    </w:p>
    <w:p w:rsidR="00DC3D8B" w:rsidRPr="00DC3D8B" w:rsidRDefault="00DC3D8B" w:rsidP="00DC3D8B">
      <w:pPr>
        <w:pStyle w:val="Brdtekst"/>
        <w:ind w:left="851"/>
        <w:jc w:val="left"/>
        <w:rPr>
          <w:sz w:val="24"/>
          <w:szCs w:val="24"/>
          <w:u w:val="single"/>
          <w:lang w:val="da-DK"/>
        </w:rPr>
      </w:pPr>
      <w:r w:rsidRPr="00DC3D8B">
        <w:rPr>
          <w:sz w:val="24"/>
          <w:szCs w:val="24"/>
          <w:u w:val="single"/>
          <w:lang w:val="da-DK"/>
        </w:rPr>
        <w:t>Aseptisk meningitissyndrom (AMS)</w:t>
      </w:r>
    </w:p>
    <w:p w:rsidR="00DC3D8B" w:rsidRPr="00DC3D8B" w:rsidRDefault="00DC3D8B" w:rsidP="00DC3D8B">
      <w:pPr>
        <w:pStyle w:val="Brdtekst"/>
        <w:ind w:left="851"/>
        <w:jc w:val="left"/>
        <w:rPr>
          <w:sz w:val="24"/>
          <w:szCs w:val="24"/>
          <w:lang w:val="da-DK"/>
        </w:rPr>
      </w:pPr>
    </w:p>
    <w:p w:rsidR="00C50630" w:rsidRDefault="00C50630" w:rsidP="00C50630">
      <w:pPr>
        <w:autoSpaceDE w:val="0"/>
        <w:autoSpaceDN w:val="0"/>
        <w:adjustRightInd w:val="0"/>
        <w:ind w:left="851"/>
        <w:jc w:val="both"/>
        <w:rPr>
          <w:sz w:val="24"/>
          <w:szCs w:val="24"/>
        </w:rPr>
      </w:pPr>
      <w:r>
        <w:rPr>
          <w:sz w:val="24"/>
          <w:szCs w:val="24"/>
        </w:rPr>
        <w:t xml:space="preserve">AMS er blevet rapporteret at forekomme i forbindelse med </w:t>
      </w:r>
      <w:proofErr w:type="spellStart"/>
      <w:r>
        <w:rPr>
          <w:color w:val="000000"/>
          <w:sz w:val="24"/>
          <w:szCs w:val="24"/>
        </w:rPr>
        <w:t>IVIg</w:t>
      </w:r>
      <w:proofErr w:type="spellEnd"/>
      <w:r>
        <w:rPr>
          <w:color w:val="000000"/>
          <w:sz w:val="24"/>
          <w:szCs w:val="24"/>
        </w:rPr>
        <w:t>-</w:t>
      </w:r>
      <w:r>
        <w:rPr>
          <w:sz w:val="24"/>
          <w:szCs w:val="24"/>
        </w:rPr>
        <w:t xml:space="preserve">behandling. Syndromet begynder sædvanligvis inden for adskillige timer og op til 2 dage efter </w:t>
      </w:r>
      <w:proofErr w:type="spellStart"/>
      <w:r>
        <w:rPr>
          <w:color w:val="000000"/>
          <w:sz w:val="24"/>
          <w:szCs w:val="24"/>
        </w:rPr>
        <w:t>IVIg</w:t>
      </w:r>
      <w:proofErr w:type="spellEnd"/>
      <w:r>
        <w:rPr>
          <w:color w:val="000000"/>
          <w:sz w:val="24"/>
          <w:szCs w:val="24"/>
        </w:rPr>
        <w:t>-</w:t>
      </w:r>
      <w:r>
        <w:rPr>
          <w:sz w:val="24"/>
          <w:szCs w:val="24"/>
        </w:rPr>
        <w:t xml:space="preserve">behandling. Cerebrospinalvæske (CSF) -undersøgelser er ofte positive med </w:t>
      </w:r>
      <w:proofErr w:type="spellStart"/>
      <w:r>
        <w:rPr>
          <w:sz w:val="24"/>
          <w:szCs w:val="24"/>
        </w:rPr>
        <w:t>pleocytose</w:t>
      </w:r>
      <w:proofErr w:type="spellEnd"/>
      <w:r>
        <w:rPr>
          <w:sz w:val="24"/>
          <w:szCs w:val="24"/>
        </w:rPr>
        <w:t xml:space="preserve"> på op til adskillige tusinde celler pr. mm3, hovedsageligt fra </w:t>
      </w:r>
      <w:proofErr w:type="spellStart"/>
      <w:r>
        <w:rPr>
          <w:sz w:val="24"/>
          <w:szCs w:val="24"/>
        </w:rPr>
        <w:t>granulocytiske</w:t>
      </w:r>
      <w:proofErr w:type="spellEnd"/>
      <w:r>
        <w:rPr>
          <w:sz w:val="24"/>
          <w:szCs w:val="24"/>
        </w:rPr>
        <w:t xml:space="preserve"> serier, og forhøjede proteinniveauer på op til adskillige hundrede mg/</w:t>
      </w:r>
      <w:proofErr w:type="spellStart"/>
      <w:r>
        <w:rPr>
          <w:sz w:val="24"/>
          <w:szCs w:val="24"/>
        </w:rPr>
        <w:t>dL</w:t>
      </w:r>
      <w:proofErr w:type="spellEnd"/>
      <w:r>
        <w:rPr>
          <w:color w:val="000000"/>
          <w:sz w:val="24"/>
          <w:szCs w:val="24"/>
        </w:rPr>
        <w:t xml:space="preserve">. </w:t>
      </w:r>
    </w:p>
    <w:p w:rsidR="00C50630" w:rsidRDefault="00C50630" w:rsidP="00C50630">
      <w:pPr>
        <w:autoSpaceDE w:val="0"/>
        <w:autoSpaceDN w:val="0"/>
        <w:adjustRightInd w:val="0"/>
        <w:ind w:left="851"/>
        <w:jc w:val="both"/>
        <w:rPr>
          <w:color w:val="000000"/>
          <w:sz w:val="24"/>
          <w:szCs w:val="24"/>
        </w:rPr>
      </w:pPr>
      <w:r>
        <w:rPr>
          <w:sz w:val="24"/>
          <w:szCs w:val="24"/>
        </w:rPr>
        <w:t xml:space="preserve">Aseptisk meningitissyndrom kan opstå hyppigere i forbindelse med </w:t>
      </w:r>
      <w:proofErr w:type="spellStart"/>
      <w:r>
        <w:rPr>
          <w:sz w:val="24"/>
          <w:szCs w:val="24"/>
        </w:rPr>
        <w:t>IVIg</w:t>
      </w:r>
      <w:proofErr w:type="spellEnd"/>
      <w:r>
        <w:rPr>
          <w:sz w:val="24"/>
          <w:szCs w:val="24"/>
        </w:rPr>
        <w:t>–behandling med høj dosis (2 g/kg)</w:t>
      </w:r>
      <w:r>
        <w:rPr>
          <w:color w:val="000000"/>
          <w:sz w:val="24"/>
          <w:szCs w:val="24"/>
        </w:rPr>
        <w:t xml:space="preserve">. </w:t>
      </w:r>
    </w:p>
    <w:p w:rsidR="00DC3D8B" w:rsidRPr="00DC3D8B" w:rsidRDefault="00DC3D8B" w:rsidP="00DC3D8B">
      <w:pPr>
        <w:autoSpaceDE w:val="0"/>
        <w:autoSpaceDN w:val="0"/>
        <w:adjustRightInd w:val="0"/>
        <w:ind w:left="851"/>
        <w:jc w:val="both"/>
        <w:rPr>
          <w:color w:val="000000"/>
          <w:sz w:val="24"/>
          <w:szCs w:val="24"/>
        </w:rPr>
      </w:pPr>
    </w:p>
    <w:p w:rsidR="00DC3D8B" w:rsidRPr="00DC3D8B" w:rsidRDefault="00DC3D8B" w:rsidP="00DC3D8B">
      <w:pPr>
        <w:autoSpaceDE w:val="0"/>
        <w:autoSpaceDN w:val="0"/>
        <w:adjustRightInd w:val="0"/>
        <w:ind w:left="851"/>
        <w:jc w:val="both"/>
        <w:rPr>
          <w:color w:val="000000"/>
          <w:sz w:val="24"/>
          <w:szCs w:val="24"/>
        </w:rPr>
      </w:pPr>
      <w:r w:rsidRPr="00DC3D8B">
        <w:rPr>
          <w:color w:val="000000"/>
          <w:sz w:val="24"/>
          <w:szCs w:val="24"/>
        </w:rPr>
        <w:t xml:space="preserve">Patienter, der udviser sådanne tegn og symptomer bør få foretaget </w:t>
      </w:r>
      <w:r w:rsidRPr="00DC3D8B">
        <w:rPr>
          <w:sz w:val="24"/>
          <w:szCs w:val="24"/>
        </w:rPr>
        <w:t>en grundig neurologisk undersøgelse, herunder af CSF, for at udelukke andre årsager til meningitis</w:t>
      </w:r>
      <w:r w:rsidRPr="00DC3D8B">
        <w:rPr>
          <w:color w:val="000000"/>
          <w:sz w:val="24"/>
          <w:szCs w:val="24"/>
        </w:rPr>
        <w:t xml:space="preserve">. </w:t>
      </w:r>
    </w:p>
    <w:p w:rsidR="00DC3D8B" w:rsidRPr="00DC3D8B" w:rsidRDefault="00DC3D8B" w:rsidP="00DC3D8B">
      <w:pPr>
        <w:pStyle w:val="Brdtekst"/>
        <w:ind w:left="851"/>
        <w:rPr>
          <w:sz w:val="24"/>
          <w:szCs w:val="24"/>
          <w:lang w:val="da-DK"/>
        </w:rPr>
      </w:pPr>
    </w:p>
    <w:p w:rsidR="00DC3D8B" w:rsidRPr="00DC3D8B" w:rsidRDefault="00DC3D8B" w:rsidP="00DC3D8B">
      <w:pPr>
        <w:pStyle w:val="Brdtekst"/>
        <w:ind w:left="851"/>
        <w:rPr>
          <w:noProof/>
          <w:sz w:val="24"/>
          <w:szCs w:val="24"/>
          <w:u w:val="single"/>
          <w:lang w:val="da-DK"/>
        </w:rPr>
      </w:pPr>
      <w:r w:rsidRPr="00DC3D8B">
        <w:rPr>
          <w:sz w:val="24"/>
          <w:szCs w:val="24"/>
          <w:lang w:val="da-DK"/>
        </w:rPr>
        <w:t xml:space="preserve">Afbrydelse af </w:t>
      </w:r>
      <w:proofErr w:type="spellStart"/>
      <w:r w:rsidRPr="00DC3D8B">
        <w:rPr>
          <w:sz w:val="24"/>
          <w:szCs w:val="24"/>
          <w:lang w:val="da-DK"/>
        </w:rPr>
        <w:t>IVIg</w:t>
      </w:r>
      <w:proofErr w:type="spellEnd"/>
      <w:r w:rsidRPr="00DC3D8B">
        <w:rPr>
          <w:sz w:val="24"/>
          <w:szCs w:val="24"/>
          <w:lang w:val="da-DK"/>
        </w:rPr>
        <w:noBreakHyphen/>
        <w:t>behandling har resulteret i remission af aseptisk meningitissyndrom inden for adskillige dage uden følgevirkninger</w:t>
      </w:r>
      <w:r w:rsidRPr="00DC3D8B">
        <w:rPr>
          <w:color w:val="000000"/>
          <w:sz w:val="24"/>
          <w:szCs w:val="24"/>
          <w:lang w:val="da-DK"/>
        </w:rPr>
        <w:t>.</w:t>
      </w:r>
    </w:p>
    <w:p w:rsidR="00DC3D8B" w:rsidRPr="00DC3D8B" w:rsidRDefault="00DC3D8B" w:rsidP="00DC3D8B">
      <w:pPr>
        <w:pStyle w:val="Brdtekst"/>
        <w:ind w:left="851"/>
        <w:jc w:val="left"/>
        <w:rPr>
          <w:sz w:val="24"/>
          <w:szCs w:val="24"/>
          <w:u w:val="single"/>
          <w:lang w:val="da-DK"/>
        </w:rPr>
      </w:pPr>
    </w:p>
    <w:p w:rsidR="00C50630" w:rsidRDefault="00C50630" w:rsidP="00C50630">
      <w:pPr>
        <w:pStyle w:val="Brdtekst"/>
        <w:ind w:left="851"/>
        <w:jc w:val="left"/>
        <w:rPr>
          <w:sz w:val="24"/>
          <w:szCs w:val="24"/>
          <w:lang w:val="da-DK"/>
        </w:rPr>
      </w:pPr>
      <w:proofErr w:type="spellStart"/>
      <w:r>
        <w:rPr>
          <w:sz w:val="24"/>
          <w:szCs w:val="24"/>
          <w:u w:val="single"/>
          <w:lang w:val="da-DK"/>
        </w:rPr>
        <w:t>Hæmolytisk</w:t>
      </w:r>
      <w:proofErr w:type="spellEnd"/>
      <w:r>
        <w:rPr>
          <w:sz w:val="24"/>
          <w:szCs w:val="24"/>
          <w:u w:val="single"/>
          <w:lang w:val="da-DK"/>
        </w:rPr>
        <w:t xml:space="preserve"> anæmi</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sz w:val="24"/>
          <w:szCs w:val="24"/>
          <w:lang w:val="da-DK"/>
        </w:rPr>
      </w:pPr>
      <w:proofErr w:type="spellStart"/>
      <w:r>
        <w:rPr>
          <w:sz w:val="24"/>
          <w:szCs w:val="24"/>
          <w:lang w:val="da-DK"/>
        </w:rPr>
        <w:t>IVIg</w:t>
      </w:r>
      <w:proofErr w:type="spellEnd"/>
      <w:r>
        <w:rPr>
          <w:sz w:val="24"/>
          <w:szCs w:val="24"/>
          <w:lang w:val="da-DK"/>
        </w:rPr>
        <w:noBreakHyphen/>
        <w:t>produkter kan indeholde blodtype</w:t>
      </w:r>
      <w:r>
        <w:rPr>
          <w:sz w:val="24"/>
          <w:szCs w:val="24"/>
          <w:lang w:val="da-DK"/>
        </w:rPr>
        <w:noBreakHyphen/>
        <w:t xml:space="preserve">antistoffer, der fungerer som </w:t>
      </w:r>
      <w:proofErr w:type="spellStart"/>
      <w:r>
        <w:rPr>
          <w:sz w:val="24"/>
          <w:szCs w:val="24"/>
          <w:lang w:val="da-DK"/>
        </w:rPr>
        <w:t>hæmolysiner</w:t>
      </w:r>
      <w:proofErr w:type="spellEnd"/>
      <w:r>
        <w:rPr>
          <w:sz w:val="24"/>
          <w:szCs w:val="24"/>
          <w:lang w:val="da-DK"/>
        </w:rPr>
        <w:t xml:space="preserve"> og inducerer </w:t>
      </w:r>
      <w:r>
        <w:rPr>
          <w:i/>
          <w:sz w:val="24"/>
          <w:szCs w:val="24"/>
          <w:lang w:val="da-DK"/>
        </w:rPr>
        <w:t xml:space="preserve">in </w:t>
      </w:r>
      <w:proofErr w:type="spellStart"/>
      <w:r>
        <w:rPr>
          <w:i/>
          <w:sz w:val="24"/>
          <w:szCs w:val="24"/>
          <w:lang w:val="da-DK"/>
        </w:rPr>
        <w:t>vivo</w:t>
      </w:r>
      <w:proofErr w:type="spellEnd"/>
      <w:r>
        <w:rPr>
          <w:i/>
          <w:sz w:val="24"/>
          <w:szCs w:val="24"/>
          <w:lang w:val="da-DK"/>
        </w:rPr>
        <w:t xml:space="preserve"> coating </w:t>
      </w:r>
      <w:r>
        <w:rPr>
          <w:sz w:val="24"/>
          <w:szCs w:val="24"/>
          <w:lang w:val="da-DK"/>
        </w:rPr>
        <w:t xml:space="preserve">af erytrocytter med </w:t>
      </w:r>
      <w:proofErr w:type="spellStart"/>
      <w:r>
        <w:rPr>
          <w:sz w:val="24"/>
          <w:szCs w:val="24"/>
          <w:lang w:val="da-DK"/>
        </w:rPr>
        <w:t>immunglobulin</w:t>
      </w:r>
      <w:proofErr w:type="spellEnd"/>
      <w:r>
        <w:rPr>
          <w:sz w:val="24"/>
          <w:szCs w:val="24"/>
          <w:lang w:val="da-DK"/>
        </w:rPr>
        <w:t xml:space="preserve">, hvilket fører til en positiv direkte </w:t>
      </w:r>
      <w:proofErr w:type="spellStart"/>
      <w:r>
        <w:rPr>
          <w:sz w:val="24"/>
          <w:szCs w:val="24"/>
          <w:lang w:val="da-DK"/>
        </w:rPr>
        <w:t>antiglobulinreaktion</w:t>
      </w:r>
      <w:proofErr w:type="spellEnd"/>
      <w:r>
        <w:rPr>
          <w:sz w:val="24"/>
          <w:szCs w:val="24"/>
          <w:lang w:val="da-DK"/>
        </w:rPr>
        <w:t xml:space="preserve"> (</w:t>
      </w:r>
      <w:proofErr w:type="spellStart"/>
      <w:r>
        <w:rPr>
          <w:sz w:val="24"/>
          <w:szCs w:val="24"/>
          <w:lang w:val="da-DK"/>
        </w:rPr>
        <w:t>Coombs</w:t>
      </w:r>
      <w:proofErr w:type="spellEnd"/>
      <w:r>
        <w:rPr>
          <w:sz w:val="24"/>
          <w:szCs w:val="24"/>
          <w:lang w:val="da-DK"/>
        </w:rPr>
        <w:t xml:space="preserve">’ test) og i sjældne tilfælde </w:t>
      </w:r>
      <w:proofErr w:type="spellStart"/>
      <w:r>
        <w:rPr>
          <w:sz w:val="24"/>
          <w:szCs w:val="24"/>
          <w:lang w:val="da-DK"/>
        </w:rPr>
        <w:t>hæmolyse</w:t>
      </w:r>
      <w:proofErr w:type="spellEnd"/>
      <w:r>
        <w:rPr>
          <w:sz w:val="24"/>
          <w:szCs w:val="24"/>
          <w:lang w:val="da-DK"/>
        </w:rPr>
        <w:t xml:space="preserve">. </w:t>
      </w:r>
      <w:proofErr w:type="spellStart"/>
      <w:r>
        <w:rPr>
          <w:sz w:val="24"/>
          <w:szCs w:val="24"/>
          <w:lang w:val="da-DK"/>
        </w:rPr>
        <w:t>Hæmolytisk</w:t>
      </w:r>
      <w:proofErr w:type="spellEnd"/>
      <w:r>
        <w:rPr>
          <w:sz w:val="24"/>
          <w:szCs w:val="24"/>
          <w:lang w:val="da-DK"/>
        </w:rPr>
        <w:t xml:space="preserve"> anæmi kan opstå efter </w:t>
      </w:r>
      <w:proofErr w:type="spellStart"/>
      <w:r>
        <w:rPr>
          <w:sz w:val="24"/>
          <w:szCs w:val="24"/>
          <w:lang w:val="da-DK"/>
        </w:rPr>
        <w:t>IVIg</w:t>
      </w:r>
      <w:proofErr w:type="spellEnd"/>
      <w:r>
        <w:rPr>
          <w:sz w:val="24"/>
          <w:szCs w:val="24"/>
          <w:lang w:val="da-DK"/>
        </w:rPr>
        <w:noBreakHyphen/>
        <w:t xml:space="preserve">behandling pga. øget </w:t>
      </w:r>
      <w:proofErr w:type="spellStart"/>
      <w:r>
        <w:rPr>
          <w:sz w:val="24"/>
          <w:szCs w:val="24"/>
          <w:lang w:val="da-DK"/>
        </w:rPr>
        <w:t>sekvestrering</w:t>
      </w:r>
      <w:proofErr w:type="spellEnd"/>
      <w:r>
        <w:rPr>
          <w:sz w:val="24"/>
          <w:szCs w:val="24"/>
          <w:lang w:val="da-DK"/>
        </w:rPr>
        <w:t xml:space="preserve"> af erytrocytter. </w:t>
      </w:r>
      <w:proofErr w:type="spellStart"/>
      <w:r>
        <w:rPr>
          <w:sz w:val="24"/>
          <w:szCs w:val="24"/>
          <w:lang w:val="da-DK"/>
        </w:rPr>
        <w:t>IVIg</w:t>
      </w:r>
      <w:proofErr w:type="spellEnd"/>
      <w:r>
        <w:rPr>
          <w:sz w:val="24"/>
          <w:szCs w:val="24"/>
          <w:lang w:val="da-DK"/>
        </w:rPr>
        <w:noBreakHyphen/>
        <w:t xml:space="preserve">modtagere skal monitoreres for kliniske tegn og symptomer på </w:t>
      </w:r>
      <w:proofErr w:type="spellStart"/>
      <w:r>
        <w:rPr>
          <w:sz w:val="24"/>
          <w:szCs w:val="24"/>
          <w:lang w:val="da-DK"/>
        </w:rPr>
        <w:t>hæmolyse</w:t>
      </w:r>
      <w:proofErr w:type="spellEnd"/>
      <w:r>
        <w:rPr>
          <w:sz w:val="24"/>
          <w:szCs w:val="24"/>
          <w:lang w:val="da-DK"/>
        </w:rPr>
        <w:t xml:space="preserve"> (se pkt. 4.8).</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sz w:val="24"/>
          <w:szCs w:val="24"/>
          <w:u w:val="single"/>
          <w:lang w:val="da-DK"/>
        </w:rPr>
      </w:pPr>
      <w:proofErr w:type="spellStart"/>
      <w:r>
        <w:rPr>
          <w:sz w:val="24"/>
          <w:szCs w:val="24"/>
          <w:u w:val="single"/>
          <w:lang w:val="da-DK"/>
        </w:rPr>
        <w:t>Neutropeni</w:t>
      </w:r>
      <w:proofErr w:type="spellEnd"/>
      <w:r>
        <w:rPr>
          <w:sz w:val="24"/>
          <w:szCs w:val="24"/>
          <w:u w:val="single"/>
          <w:lang w:val="da-DK"/>
        </w:rPr>
        <w:t>/</w:t>
      </w:r>
      <w:proofErr w:type="spellStart"/>
      <w:r>
        <w:rPr>
          <w:sz w:val="24"/>
          <w:szCs w:val="24"/>
          <w:u w:val="single"/>
          <w:lang w:val="da-DK"/>
        </w:rPr>
        <w:t>Leukopeni</w:t>
      </w:r>
      <w:proofErr w:type="spellEnd"/>
      <w:r>
        <w:rPr>
          <w:sz w:val="24"/>
          <w:szCs w:val="24"/>
          <w:u w:val="single"/>
          <w:lang w:val="da-DK"/>
        </w:rPr>
        <w:t xml:space="preserve"> </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sz w:val="24"/>
          <w:szCs w:val="24"/>
          <w:lang w:val="da-DK"/>
        </w:rPr>
      </w:pPr>
      <w:r>
        <w:rPr>
          <w:sz w:val="24"/>
          <w:szCs w:val="24"/>
          <w:lang w:val="da-DK"/>
        </w:rPr>
        <w:t xml:space="preserve">Der er rapporteret om forbigående fald i antallet af </w:t>
      </w:r>
      <w:proofErr w:type="spellStart"/>
      <w:r>
        <w:rPr>
          <w:sz w:val="24"/>
          <w:szCs w:val="24"/>
          <w:lang w:val="da-DK"/>
        </w:rPr>
        <w:t>neutrofile</w:t>
      </w:r>
      <w:proofErr w:type="spellEnd"/>
      <w:r>
        <w:rPr>
          <w:sz w:val="24"/>
          <w:szCs w:val="24"/>
          <w:lang w:val="da-DK"/>
        </w:rPr>
        <w:t xml:space="preserve"> granulocytter og/eller episoder med </w:t>
      </w:r>
      <w:proofErr w:type="spellStart"/>
      <w:r>
        <w:rPr>
          <w:sz w:val="24"/>
          <w:szCs w:val="24"/>
          <w:lang w:val="da-DK"/>
        </w:rPr>
        <w:t>neutropeni</w:t>
      </w:r>
      <w:proofErr w:type="spellEnd"/>
      <w:r>
        <w:rPr>
          <w:sz w:val="24"/>
          <w:szCs w:val="24"/>
          <w:lang w:val="da-DK"/>
        </w:rPr>
        <w:t xml:space="preserve">, som undertiden har været svære, efter behandling med </w:t>
      </w:r>
      <w:proofErr w:type="spellStart"/>
      <w:r>
        <w:rPr>
          <w:sz w:val="24"/>
          <w:szCs w:val="24"/>
          <w:lang w:val="da-DK"/>
        </w:rPr>
        <w:t>IVIg'er</w:t>
      </w:r>
      <w:proofErr w:type="spellEnd"/>
      <w:r>
        <w:rPr>
          <w:sz w:val="24"/>
          <w:szCs w:val="24"/>
          <w:lang w:val="da-DK"/>
        </w:rPr>
        <w:t xml:space="preserve">. Dette forekommer som regel timer eller dage efter </w:t>
      </w:r>
      <w:proofErr w:type="spellStart"/>
      <w:r>
        <w:rPr>
          <w:sz w:val="24"/>
          <w:szCs w:val="24"/>
          <w:lang w:val="da-DK"/>
        </w:rPr>
        <w:t>IVIg</w:t>
      </w:r>
      <w:proofErr w:type="spellEnd"/>
      <w:r>
        <w:rPr>
          <w:sz w:val="24"/>
          <w:szCs w:val="24"/>
          <w:lang w:val="da-DK"/>
        </w:rPr>
        <w:noBreakHyphen/>
        <w:t>behandling og fortager sig spontant inden for 7</w:t>
      </w:r>
      <w:r>
        <w:rPr>
          <w:sz w:val="24"/>
          <w:szCs w:val="24"/>
          <w:lang w:val="da-DK"/>
        </w:rPr>
        <w:noBreakHyphen/>
        <w:t xml:space="preserve">14 dage. </w:t>
      </w:r>
    </w:p>
    <w:p w:rsidR="00C50630" w:rsidRDefault="00C50630" w:rsidP="00C50630">
      <w:pPr>
        <w:pStyle w:val="Brdtekst"/>
        <w:ind w:left="851"/>
        <w:jc w:val="left"/>
        <w:rPr>
          <w:sz w:val="24"/>
          <w:szCs w:val="24"/>
          <w:lang w:val="da-DK"/>
        </w:rPr>
      </w:pPr>
    </w:p>
    <w:p w:rsidR="00C50630" w:rsidRDefault="00C50630" w:rsidP="00C50630">
      <w:pPr>
        <w:pStyle w:val="Brdtekst"/>
        <w:ind w:left="851"/>
        <w:rPr>
          <w:sz w:val="24"/>
          <w:szCs w:val="24"/>
          <w:lang w:val="da-DK"/>
        </w:rPr>
      </w:pPr>
      <w:r>
        <w:rPr>
          <w:noProof/>
          <w:sz w:val="24"/>
          <w:szCs w:val="24"/>
          <w:u w:val="single"/>
          <w:lang w:val="da-DK"/>
        </w:rPr>
        <w:t>Transfusionsrelateret akut lungeskade</w:t>
      </w:r>
      <w:r>
        <w:rPr>
          <w:b/>
          <w:bCs/>
          <w:sz w:val="24"/>
          <w:szCs w:val="24"/>
          <w:lang w:val="da-DK"/>
        </w:rPr>
        <w:t xml:space="preserve"> </w:t>
      </w:r>
      <w:r>
        <w:rPr>
          <w:noProof/>
          <w:sz w:val="24"/>
          <w:szCs w:val="24"/>
          <w:u w:val="single"/>
          <w:lang w:val="da-DK"/>
        </w:rPr>
        <w:t>(TRALI)</w:t>
      </w:r>
    </w:p>
    <w:p w:rsidR="00C50630" w:rsidRDefault="00C50630" w:rsidP="00C50630">
      <w:pPr>
        <w:pStyle w:val="Brdtekst"/>
        <w:ind w:left="851"/>
        <w:rPr>
          <w:sz w:val="24"/>
          <w:szCs w:val="24"/>
          <w:lang w:val="da-DK"/>
        </w:rPr>
      </w:pPr>
      <w:r>
        <w:rPr>
          <w:sz w:val="24"/>
          <w:szCs w:val="24"/>
          <w:lang w:val="da-DK"/>
        </w:rPr>
        <w:t>Der har været rapporteret om akut non-</w:t>
      </w:r>
      <w:proofErr w:type="spellStart"/>
      <w:r>
        <w:rPr>
          <w:sz w:val="24"/>
          <w:szCs w:val="24"/>
          <w:lang w:val="da-DK"/>
        </w:rPr>
        <w:t>kardiogent</w:t>
      </w:r>
      <w:proofErr w:type="spellEnd"/>
      <w:r>
        <w:rPr>
          <w:sz w:val="24"/>
          <w:szCs w:val="24"/>
          <w:lang w:val="da-DK"/>
        </w:rPr>
        <w:t xml:space="preserve"> lungeødem [t</w:t>
      </w:r>
      <w:r>
        <w:rPr>
          <w:noProof/>
          <w:sz w:val="24"/>
          <w:szCs w:val="24"/>
          <w:lang w:val="da-DK"/>
        </w:rPr>
        <w:t>ransfusionsrelateret akut lungeskade</w:t>
      </w:r>
      <w:r>
        <w:rPr>
          <w:sz w:val="24"/>
          <w:szCs w:val="24"/>
          <w:lang w:val="da-DK"/>
        </w:rPr>
        <w:t xml:space="preserve"> (TRALI)] hos patienter, der fik </w:t>
      </w:r>
      <w:proofErr w:type="spellStart"/>
      <w:r>
        <w:rPr>
          <w:sz w:val="24"/>
          <w:szCs w:val="24"/>
          <w:lang w:val="da-DK"/>
        </w:rPr>
        <w:t>IVIg</w:t>
      </w:r>
      <w:proofErr w:type="spellEnd"/>
      <w:r>
        <w:rPr>
          <w:sz w:val="24"/>
          <w:szCs w:val="24"/>
          <w:lang w:val="da-DK"/>
        </w:rPr>
        <w:t xml:space="preserve">. TRALI er kendetegnet ved alvorlig </w:t>
      </w:r>
      <w:proofErr w:type="spellStart"/>
      <w:r>
        <w:rPr>
          <w:sz w:val="24"/>
          <w:szCs w:val="24"/>
          <w:lang w:val="da-DK"/>
        </w:rPr>
        <w:t>hypoxia</w:t>
      </w:r>
      <w:proofErr w:type="spellEnd"/>
      <w:r>
        <w:rPr>
          <w:sz w:val="24"/>
          <w:szCs w:val="24"/>
          <w:lang w:val="da-DK"/>
        </w:rPr>
        <w:t xml:space="preserve">, dyspnø, </w:t>
      </w:r>
      <w:proofErr w:type="spellStart"/>
      <w:r>
        <w:rPr>
          <w:sz w:val="24"/>
          <w:szCs w:val="24"/>
          <w:lang w:val="da-DK"/>
        </w:rPr>
        <w:t>takypnø</w:t>
      </w:r>
      <w:proofErr w:type="spellEnd"/>
      <w:r>
        <w:rPr>
          <w:sz w:val="24"/>
          <w:szCs w:val="24"/>
          <w:lang w:val="da-DK"/>
        </w:rPr>
        <w:t xml:space="preserve">, cyanose, feber og hypotension. Symptomer på TRALI forekommer typisk under eller inden for 6 timer efter en transfusion, ofte efter 1-2 timer. Derfor skal </w:t>
      </w:r>
      <w:proofErr w:type="spellStart"/>
      <w:r>
        <w:rPr>
          <w:sz w:val="24"/>
          <w:szCs w:val="24"/>
          <w:lang w:val="da-DK"/>
        </w:rPr>
        <w:t>IVIg</w:t>
      </w:r>
      <w:proofErr w:type="spellEnd"/>
      <w:r>
        <w:rPr>
          <w:sz w:val="24"/>
          <w:szCs w:val="24"/>
          <w:lang w:val="da-DK"/>
        </w:rPr>
        <w:t xml:space="preserve">-patienter nøje overvåges, og </w:t>
      </w:r>
      <w:proofErr w:type="spellStart"/>
      <w:r>
        <w:rPr>
          <w:sz w:val="24"/>
          <w:szCs w:val="24"/>
          <w:lang w:val="da-DK"/>
        </w:rPr>
        <w:t>IVIg</w:t>
      </w:r>
      <w:proofErr w:type="spellEnd"/>
      <w:r>
        <w:rPr>
          <w:sz w:val="24"/>
          <w:szCs w:val="24"/>
          <w:lang w:val="da-DK"/>
        </w:rPr>
        <w:t xml:space="preserve">-infusionen skal straks standses i tilfælde af uønskede lungereaktioner. TRALI er en potentielt livstruende tilstand, der kræver øjeblikkelig pleje på intensivafdeling. </w:t>
      </w:r>
    </w:p>
    <w:p w:rsidR="00DC3D8B" w:rsidRPr="00DC3D8B" w:rsidRDefault="00DC3D8B" w:rsidP="00DC3D8B">
      <w:pPr>
        <w:pStyle w:val="Brdtekst"/>
        <w:ind w:left="851"/>
        <w:jc w:val="left"/>
        <w:rPr>
          <w:sz w:val="24"/>
          <w:szCs w:val="24"/>
          <w:lang w:val="da-DK"/>
        </w:rPr>
      </w:pPr>
    </w:p>
    <w:p w:rsidR="00DC3D8B" w:rsidRPr="00DC3D8B" w:rsidRDefault="00DC3D8B" w:rsidP="00DC3D8B">
      <w:pPr>
        <w:pStyle w:val="Brdtekst"/>
        <w:ind w:left="851"/>
        <w:jc w:val="left"/>
        <w:rPr>
          <w:sz w:val="24"/>
          <w:szCs w:val="24"/>
          <w:u w:val="single"/>
          <w:lang w:val="da-DK"/>
        </w:rPr>
      </w:pPr>
      <w:r w:rsidRPr="00DC3D8B">
        <w:rPr>
          <w:sz w:val="24"/>
          <w:szCs w:val="24"/>
          <w:u w:val="single"/>
          <w:lang w:val="da-DK"/>
        </w:rPr>
        <w:lastRenderedPageBreak/>
        <w:t>Interferens med serologisk testning</w:t>
      </w:r>
    </w:p>
    <w:p w:rsidR="00DC3D8B" w:rsidRPr="00DC3D8B" w:rsidRDefault="00DC3D8B" w:rsidP="00DC3D8B">
      <w:pPr>
        <w:pStyle w:val="Brdtekst"/>
        <w:ind w:left="851"/>
        <w:jc w:val="left"/>
        <w:rPr>
          <w:sz w:val="24"/>
          <w:szCs w:val="24"/>
          <w:lang w:val="da-DK"/>
        </w:rPr>
      </w:pPr>
    </w:p>
    <w:p w:rsidR="00DC3D8B" w:rsidRPr="00DC3D8B" w:rsidRDefault="00DC3D8B" w:rsidP="00DC3D8B">
      <w:pPr>
        <w:pStyle w:val="Brdtekst"/>
        <w:ind w:left="851"/>
        <w:jc w:val="left"/>
        <w:rPr>
          <w:sz w:val="24"/>
          <w:szCs w:val="24"/>
          <w:lang w:val="da-DK"/>
        </w:rPr>
      </w:pPr>
      <w:r w:rsidRPr="00DC3D8B">
        <w:rPr>
          <w:sz w:val="24"/>
          <w:szCs w:val="24"/>
          <w:lang w:val="da-DK"/>
        </w:rPr>
        <w:t xml:space="preserve">Efter indgivelse af </w:t>
      </w:r>
      <w:proofErr w:type="spellStart"/>
      <w:r w:rsidRPr="00DC3D8B">
        <w:rPr>
          <w:sz w:val="24"/>
          <w:szCs w:val="24"/>
          <w:lang w:val="da-DK"/>
        </w:rPr>
        <w:t>immunglobulin</w:t>
      </w:r>
      <w:proofErr w:type="spellEnd"/>
      <w:r w:rsidRPr="00DC3D8B">
        <w:rPr>
          <w:sz w:val="24"/>
          <w:szCs w:val="24"/>
          <w:lang w:val="da-DK"/>
        </w:rPr>
        <w:t xml:space="preserve"> kan en forbigående stigning af de forskellige passivt overførte antistoffer i patientens blod resultere i misvisende positive resultater af serologiske tests.</w:t>
      </w:r>
    </w:p>
    <w:p w:rsidR="00DC3D8B" w:rsidRPr="00DC3D8B" w:rsidRDefault="00DC3D8B" w:rsidP="00DC3D8B">
      <w:pPr>
        <w:pStyle w:val="Brdtekst"/>
        <w:ind w:left="851"/>
        <w:jc w:val="left"/>
        <w:rPr>
          <w:sz w:val="24"/>
          <w:szCs w:val="24"/>
          <w:lang w:val="da-DK"/>
        </w:rPr>
      </w:pPr>
    </w:p>
    <w:p w:rsidR="00DC3D8B" w:rsidRPr="00DC3D8B" w:rsidRDefault="00DC3D8B" w:rsidP="00DC3D8B">
      <w:pPr>
        <w:pStyle w:val="Brdtekst"/>
        <w:ind w:left="851"/>
        <w:jc w:val="left"/>
        <w:rPr>
          <w:sz w:val="24"/>
          <w:szCs w:val="24"/>
          <w:lang w:val="da-DK"/>
        </w:rPr>
      </w:pPr>
      <w:r w:rsidRPr="00DC3D8B">
        <w:rPr>
          <w:sz w:val="24"/>
          <w:szCs w:val="24"/>
          <w:lang w:val="da-DK"/>
        </w:rPr>
        <w:t xml:space="preserve">Passiv overførsel af antistoffer til røde blodlegemers antigener, f.eks. A, B, D, kan påvirke nogle serologiske tests af røde blodlegemers antistoffer, for eksempel direkte </w:t>
      </w:r>
      <w:proofErr w:type="spellStart"/>
      <w:r w:rsidRPr="00DC3D8B">
        <w:rPr>
          <w:sz w:val="24"/>
          <w:szCs w:val="24"/>
          <w:lang w:val="da-DK"/>
        </w:rPr>
        <w:t>antiglobulin</w:t>
      </w:r>
      <w:proofErr w:type="spellEnd"/>
      <w:r w:rsidRPr="00DC3D8B">
        <w:rPr>
          <w:sz w:val="24"/>
          <w:szCs w:val="24"/>
          <w:lang w:val="da-DK"/>
        </w:rPr>
        <w:noBreakHyphen/>
        <w:t xml:space="preserve">test (DAT, direkte </w:t>
      </w:r>
      <w:proofErr w:type="spellStart"/>
      <w:r w:rsidRPr="00DC3D8B">
        <w:rPr>
          <w:sz w:val="24"/>
          <w:szCs w:val="24"/>
          <w:lang w:val="da-DK"/>
        </w:rPr>
        <w:t>Coombs</w:t>
      </w:r>
      <w:proofErr w:type="spellEnd"/>
      <w:r w:rsidRPr="00DC3D8B">
        <w:rPr>
          <w:sz w:val="24"/>
          <w:szCs w:val="24"/>
          <w:lang w:val="da-DK"/>
        </w:rPr>
        <w:t>’ test).</w:t>
      </w:r>
    </w:p>
    <w:p w:rsidR="00DC3D8B" w:rsidRPr="00DC3D8B" w:rsidRDefault="00DC3D8B" w:rsidP="00DC3D8B">
      <w:pPr>
        <w:pStyle w:val="Brdtekst"/>
        <w:ind w:left="851"/>
        <w:jc w:val="left"/>
        <w:rPr>
          <w:sz w:val="24"/>
          <w:szCs w:val="24"/>
          <w:lang w:val="da-DK"/>
        </w:rPr>
      </w:pPr>
    </w:p>
    <w:p w:rsidR="00DC3D8B" w:rsidRPr="00DC3D8B" w:rsidRDefault="00DC3D8B" w:rsidP="00DC3D8B">
      <w:pPr>
        <w:pStyle w:val="Brdtekst"/>
        <w:ind w:left="851"/>
        <w:jc w:val="left"/>
        <w:rPr>
          <w:sz w:val="24"/>
          <w:szCs w:val="24"/>
          <w:u w:val="single"/>
          <w:lang w:val="da-DK"/>
        </w:rPr>
      </w:pPr>
      <w:r w:rsidRPr="00DC3D8B">
        <w:rPr>
          <w:sz w:val="24"/>
          <w:szCs w:val="24"/>
          <w:u w:val="single"/>
          <w:lang w:val="da-DK"/>
        </w:rPr>
        <w:t>Stoffer, der kan overføres</w:t>
      </w:r>
    </w:p>
    <w:p w:rsidR="00DC3D8B" w:rsidRPr="00DC3D8B" w:rsidRDefault="00DC3D8B" w:rsidP="00DC3D8B">
      <w:pPr>
        <w:pStyle w:val="Brdtekst"/>
        <w:ind w:left="851"/>
        <w:jc w:val="left"/>
        <w:rPr>
          <w:sz w:val="24"/>
          <w:szCs w:val="24"/>
          <w:lang w:val="da-DK"/>
        </w:rPr>
      </w:pPr>
    </w:p>
    <w:p w:rsidR="00DC3D8B" w:rsidRPr="00DC3D8B" w:rsidRDefault="00DC3D8B" w:rsidP="00DC3D8B">
      <w:pPr>
        <w:pStyle w:val="Brdtekst"/>
        <w:ind w:left="851"/>
        <w:jc w:val="left"/>
        <w:rPr>
          <w:sz w:val="24"/>
          <w:szCs w:val="24"/>
          <w:lang w:val="da-DK"/>
        </w:rPr>
      </w:pPr>
      <w:r w:rsidRPr="00DC3D8B">
        <w:rPr>
          <w:sz w:val="24"/>
          <w:szCs w:val="24"/>
          <w:lang w:val="da-DK"/>
        </w:rPr>
        <w:t>Standardforholdsregler for at forebygge infektioner, som skyldes brugen af lægemidler fremstillet af humant blod eller plasma, omfatter udvælgelse af donorer, screening af de enkelte bloddonationer og plasma</w:t>
      </w:r>
      <w:r w:rsidRPr="00DC3D8B">
        <w:rPr>
          <w:sz w:val="24"/>
          <w:szCs w:val="24"/>
          <w:lang w:val="da-DK"/>
        </w:rPr>
        <w:noBreakHyphen/>
        <w:t xml:space="preserve">pools for specifikke infektionsmarkører samt anvendelse af effektive foranstaltninger under produktionen for at inaktivere/fjerne vira. Alligevel kan muligheden for at overføre smitsomme stoffer ikke helt udelukkes, når lægemidler er fremstillet af humant blod eller plasma. Dette gælder også for ukendte eller opdukkende vira og andre </w:t>
      </w:r>
      <w:proofErr w:type="spellStart"/>
      <w:r w:rsidRPr="00DC3D8B">
        <w:rPr>
          <w:sz w:val="24"/>
          <w:szCs w:val="24"/>
          <w:lang w:val="da-DK"/>
        </w:rPr>
        <w:t>patogener</w:t>
      </w:r>
      <w:proofErr w:type="spellEnd"/>
      <w:r w:rsidRPr="00DC3D8B">
        <w:rPr>
          <w:sz w:val="24"/>
          <w:szCs w:val="24"/>
          <w:lang w:val="da-DK"/>
        </w:rPr>
        <w:t>.</w:t>
      </w:r>
    </w:p>
    <w:p w:rsidR="00DC3D8B" w:rsidRPr="00DC3D8B" w:rsidRDefault="00DC3D8B" w:rsidP="00DC3D8B">
      <w:pPr>
        <w:pStyle w:val="Brdtekst"/>
        <w:ind w:left="851"/>
        <w:jc w:val="left"/>
        <w:rPr>
          <w:sz w:val="24"/>
          <w:szCs w:val="24"/>
          <w:lang w:val="da-DK"/>
        </w:rPr>
      </w:pPr>
    </w:p>
    <w:p w:rsidR="00DC3D8B" w:rsidRPr="00DC3D8B" w:rsidRDefault="00DC3D8B" w:rsidP="00DC3D8B">
      <w:pPr>
        <w:pStyle w:val="Brdtekst"/>
        <w:ind w:left="851"/>
        <w:jc w:val="left"/>
        <w:rPr>
          <w:sz w:val="24"/>
          <w:szCs w:val="24"/>
          <w:lang w:val="da-DK"/>
        </w:rPr>
      </w:pPr>
      <w:r w:rsidRPr="00DC3D8B">
        <w:rPr>
          <w:sz w:val="24"/>
          <w:szCs w:val="24"/>
          <w:lang w:val="da-DK"/>
        </w:rPr>
        <w:t xml:space="preserve">De forholdsregler, der er truffet, betragtes som effektive mod </w:t>
      </w:r>
      <w:proofErr w:type="spellStart"/>
      <w:r w:rsidRPr="00DC3D8B">
        <w:rPr>
          <w:sz w:val="24"/>
          <w:szCs w:val="24"/>
          <w:lang w:val="da-DK"/>
        </w:rPr>
        <w:t>enveloped</w:t>
      </w:r>
      <w:proofErr w:type="spellEnd"/>
      <w:r w:rsidRPr="00DC3D8B">
        <w:rPr>
          <w:sz w:val="24"/>
          <w:szCs w:val="24"/>
          <w:lang w:val="da-DK"/>
        </w:rPr>
        <w:t xml:space="preserve"> vira som human immundefekt virus (HIV), hepatitis B-virus (HBV) og hepatitis C-virus (HCV) samt non</w:t>
      </w:r>
      <w:r w:rsidRPr="00DC3D8B">
        <w:rPr>
          <w:sz w:val="24"/>
          <w:szCs w:val="24"/>
          <w:lang w:val="da-DK"/>
        </w:rPr>
        <w:noBreakHyphen/>
      </w:r>
      <w:proofErr w:type="spellStart"/>
      <w:r w:rsidRPr="00DC3D8B">
        <w:rPr>
          <w:sz w:val="24"/>
          <w:szCs w:val="24"/>
          <w:lang w:val="da-DK"/>
        </w:rPr>
        <w:t>enveloped</w:t>
      </w:r>
      <w:proofErr w:type="spellEnd"/>
      <w:r w:rsidRPr="00DC3D8B">
        <w:rPr>
          <w:sz w:val="24"/>
          <w:szCs w:val="24"/>
          <w:lang w:val="da-DK"/>
        </w:rPr>
        <w:t xml:space="preserve"> vira hepatitis A (HAV) og </w:t>
      </w:r>
      <w:proofErr w:type="spellStart"/>
      <w:r w:rsidRPr="00DC3D8B">
        <w:rPr>
          <w:sz w:val="24"/>
          <w:szCs w:val="24"/>
          <w:lang w:val="da-DK"/>
        </w:rPr>
        <w:t>parvovirus</w:t>
      </w:r>
      <w:proofErr w:type="spellEnd"/>
      <w:r w:rsidRPr="00DC3D8B">
        <w:rPr>
          <w:sz w:val="24"/>
          <w:szCs w:val="24"/>
          <w:lang w:val="da-DK"/>
        </w:rPr>
        <w:t xml:space="preserve"> B19.</w:t>
      </w:r>
    </w:p>
    <w:p w:rsidR="00DC3D8B" w:rsidRPr="00DC3D8B" w:rsidRDefault="00DC3D8B" w:rsidP="00DC3D8B">
      <w:pPr>
        <w:pStyle w:val="Brdtekst"/>
        <w:ind w:left="851"/>
        <w:jc w:val="left"/>
        <w:rPr>
          <w:sz w:val="24"/>
          <w:szCs w:val="24"/>
          <w:lang w:val="da-DK"/>
        </w:rPr>
      </w:pPr>
    </w:p>
    <w:p w:rsidR="00DC3D8B" w:rsidRPr="00DC3D8B" w:rsidRDefault="00DC3D8B" w:rsidP="00DC3D8B">
      <w:pPr>
        <w:pStyle w:val="Brdtekst"/>
        <w:ind w:left="851"/>
        <w:jc w:val="left"/>
        <w:rPr>
          <w:sz w:val="24"/>
          <w:szCs w:val="24"/>
          <w:lang w:val="da-DK"/>
        </w:rPr>
      </w:pPr>
      <w:r w:rsidRPr="00DC3D8B">
        <w:rPr>
          <w:sz w:val="24"/>
          <w:szCs w:val="24"/>
          <w:lang w:val="da-DK"/>
        </w:rPr>
        <w:t xml:space="preserve">Der er beroligende klinisk erfaring med hensyn til manglende overførsel af hepatitis A eller </w:t>
      </w:r>
      <w:proofErr w:type="spellStart"/>
      <w:r w:rsidRPr="00DC3D8B">
        <w:rPr>
          <w:sz w:val="24"/>
          <w:szCs w:val="24"/>
          <w:lang w:val="da-DK"/>
        </w:rPr>
        <w:t>Parvovirus</w:t>
      </w:r>
      <w:proofErr w:type="spellEnd"/>
      <w:r w:rsidRPr="00DC3D8B">
        <w:rPr>
          <w:sz w:val="24"/>
          <w:szCs w:val="24"/>
          <w:lang w:val="da-DK"/>
        </w:rPr>
        <w:t xml:space="preserve"> B19 med </w:t>
      </w:r>
      <w:proofErr w:type="spellStart"/>
      <w:r w:rsidRPr="00DC3D8B">
        <w:rPr>
          <w:sz w:val="24"/>
          <w:szCs w:val="24"/>
          <w:lang w:val="da-DK"/>
        </w:rPr>
        <w:t>immunglobuliner</w:t>
      </w:r>
      <w:proofErr w:type="spellEnd"/>
      <w:r w:rsidRPr="00DC3D8B">
        <w:rPr>
          <w:sz w:val="24"/>
          <w:szCs w:val="24"/>
          <w:lang w:val="da-DK"/>
        </w:rPr>
        <w:t>, og det antages også, at antistofindholdet bidrager i væsentlig grad til den virale sikkerhed.</w:t>
      </w:r>
    </w:p>
    <w:p w:rsidR="00DC3D8B" w:rsidRPr="00DC3D8B" w:rsidRDefault="00DC3D8B" w:rsidP="00DC3D8B">
      <w:pPr>
        <w:pStyle w:val="Brdtekst"/>
        <w:ind w:left="851"/>
        <w:jc w:val="left"/>
        <w:rPr>
          <w:sz w:val="24"/>
          <w:szCs w:val="24"/>
          <w:lang w:val="da-DK"/>
        </w:rPr>
      </w:pPr>
    </w:p>
    <w:p w:rsidR="00C50630" w:rsidRDefault="00C50630" w:rsidP="00C50630">
      <w:pPr>
        <w:pStyle w:val="Brdtekst"/>
        <w:ind w:left="851"/>
        <w:jc w:val="left"/>
        <w:rPr>
          <w:sz w:val="24"/>
          <w:szCs w:val="24"/>
          <w:lang w:val="da-DK"/>
        </w:rPr>
      </w:pPr>
      <w:r>
        <w:rPr>
          <w:sz w:val="24"/>
          <w:szCs w:val="24"/>
          <w:lang w:val="da-DK"/>
        </w:rPr>
        <w:t xml:space="preserve">Det anbefales kraftigt at notere navn og batchnummer på produktet, hver gang </w:t>
      </w:r>
      <w:proofErr w:type="spellStart"/>
      <w:r>
        <w:rPr>
          <w:sz w:val="24"/>
          <w:szCs w:val="24"/>
          <w:lang w:val="da-DK"/>
        </w:rPr>
        <w:t>Iqymune</w:t>
      </w:r>
      <w:proofErr w:type="spellEnd"/>
      <w:r>
        <w:rPr>
          <w:sz w:val="24"/>
          <w:szCs w:val="24"/>
          <w:lang w:val="da-DK"/>
        </w:rPr>
        <w:t xml:space="preserve"> indgives i en patient, så der opretholdes en forbindelse mellem patienten og den pågældende batch af produktet.</w:t>
      </w:r>
    </w:p>
    <w:p w:rsidR="00DC3D8B" w:rsidRPr="00DC3D8B" w:rsidRDefault="00DC3D8B" w:rsidP="00DC3D8B">
      <w:pPr>
        <w:pStyle w:val="Brdtekst"/>
        <w:ind w:left="851"/>
        <w:jc w:val="left"/>
        <w:rPr>
          <w:sz w:val="24"/>
          <w:szCs w:val="24"/>
          <w:lang w:val="da-DK"/>
        </w:rPr>
      </w:pPr>
    </w:p>
    <w:p w:rsidR="00DC3D8B" w:rsidRPr="00DC3D8B" w:rsidRDefault="00DC3D8B" w:rsidP="00DC3D8B">
      <w:pPr>
        <w:pStyle w:val="Brdtekst"/>
        <w:ind w:left="851"/>
        <w:jc w:val="left"/>
        <w:rPr>
          <w:sz w:val="24"/>
          <w:szCs w:val="24"/>
          <w:lang w:val="da-DK"/>
        </w:rPr>
      </w:pPr>
      <w:r w:rsidRPr="00DC3D8B">
        <w:rPr>
          <w:sz w:val="24"/>
          <w:szCs w:val="24"/>
          <w:u w:val="single"/>
          <w:lang w:val="da-DK"/>
        </w:rPr>
        <w:t>Pædiatrisk population</w:t>
      </w:r>
    </w:p>
    <w:p w:rsidR="00DC3D8B" w:rsidRPr="00DC3D8B" w:rsidRDefault="00DC3D8B" w:rsidP="00DC3D8B">
      <w:pPr>
        <w:pStyle w:val="Brdtekst"/>
        <w:ind w:left="851"/>
        <w:jc w:val="left"/>
        <w:rPr>
          <w:sz w:val="24"/>
          <w:szCs w:val="24"/>
          <w:lang w:val="da-DK"/>
        </w:rPr>
      </w:pPr>
    </w:p>
    <w:p w:rsidR="00DC3D8B" w:rsidRPr="00DC3D8B" w:rsidRDefault="00DC3D8B" w:rsidP="00DC3D8B">
      <w:pPr>
        <w:pStyle w:val="Brdtekst"/>
        <w:ind w:left="851"/>
        <w:jc w:val="left"/>
        <w:rPr>
          <w:sz w:val="24"/>
          <w:szCs w:val="24"/>
          <w:lang w:val="da-DK"/>
        </w:rPr>
      </w:pPr>
      <w:r w:rsidRPr="00DC3D8B">
        <w:rPr>
          <w:sz w:val="24"/>
          <w:szCs w:val="24"/>
          <w:lang w:val="da-DK"/>
        </w:rPr>
        <w:t>De anførte advarsler og forsigtighedsregler gælder for både voksne og børn.</w:t>
      </w:r>
    </w:p>
    <w:p w:rsidR="00426218" w:rsidRDefault="00426218" w:rsidP="00C50630">
      <w:pPr>
        <w:pStyle w:val="Brdtekst"/>
        <w:jc w:val="left"/>
        <w:rPr>
          <w:sz w:val="24"/>
          <w:szCs w:val="24"/>
          <w:lang w:val="da-DK"/>
        </w:rPr>
      </w:pPr>
    </w:p>
    <w:p w:rsidR="00426218" w:rsidRPr="00DC3D8B" w:rsidRDefault="00426218" w:rsidP="00DC3D8B">
      <w:pPr>
        <w:pStyle w:val="Brdtekst"/>
        <w:ind w:left="851" w:hanging="851"/>
        <w:jc w:val="left"/>
        <w:rPr>
          <w:sz w:val="24"/>
          <w:szCs w:val="24"/>
          <w:lang w:val="da-DK"/>
        </w:rPr>
      </w:pPr>
    </w:p>
    <w:p w:rsidR="00DC3D8B" w:rsidRDefault="00812371" w:rsidP="00CD6ABB">
      <w:pPr>
        <w:ind w:left="851" w:hanging="851"/>
        <w:rPr>
          <w:b/>
          <w:sz w:val="24"/>
          <w:szCs w:val="24"/>
        </w:rPr>
      </w:pPr>
      <w:r w:rsidRPr="00CE6FA2">
        <w:rPr>
          <w:b/>
          <w:sz w:val="24"/>
          <w:szCs w:val="24"/>
        </w:rPr>
        <w:t>4.5</w:t>
      </w:r>
      <w:r w:rsidRPr="00CE6FA2">
        <w:rPr>
          <w:b/>
          <w:sz w:val="24"/>
          <w:szCs w:val="24"/>
        </w:rPr>
        <w:tab/>
        <w:t>Interaktion med andre lægemidler og andre former for interaktion</w:t>
      </w:r>
    </w:p>
    <w:p w:rsidR="00CD6ABB" w:rsidRPr="00CD6ABB" w:rsidRDefault="00CD6ABB" w:rsidP="00CD6ABB">
      <w:pPr>
        <w:ind w:left="851" w:hanging="851"/>
        <w:rPr>
          <w:b/>
          <w:sz w:val="24"/>
          <w:szCs w:val="24"/>
        </w:rPr>
      </w:pPr>
    </w:p>
    <w:p w:rsidR="00C50630" w:rsidRDefault="00C50630" w:rsidP="00C50630">
      <w:pPr>
        <w:pStyle w:val="Brdtekst"/>
        <w:ind w:left="851"/>
        <w:jc w:val="left"/>
        <w:rPr>
          <w:sz w:val="24"/>
          <w:szCs w:val="24"/>
          <w:u w:val="single"/>
          <w:lang w:val="da-DK"/>
        </w:rPr>
      </w:pPr>
      <w:r>
        <w:rPr>
          <w:sz w:val="24"/>
          <w:szCs w:val="24"/>
          <w:u w:val="single"/>
          <w:lang w:val="da-DK"/>
        </w:rPr>
        <w:t>Levende svækkede virusvacciner</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sz w:val="24"/>
          <w:szCs w:val="24"/>
          <w:lang w:val="da-DK"/>
        </w:rPr>
      </w:pPr>
      <w:r>
        <w:rPr>
          <w:sz w:val="24"/>
          <w:szCs w:val="24"/>
          <w:lang w:val="da-DK"/>
        </w:rPr>
        <w:t xml:space="preserve">Indgivelse af </w:t>
      </w:r>
      <w:proofErr w:type="spellStart"/>
      <w:r>
        <w:rPr>
          <w:sz w:val="24"/>
          <w:szCs w:val="24"/>
          <w:lang w:val="da-DK"/>
        </w:rPr>
        <w:t>immunglobulin</w:t>
      </w:r>
      <w:proofErr w:type="spellEnd"/>
      <w:r>
        <w:rPr>
          <w:sz w:val="24"/>
          <w:szCs w:val="24"/>
          <w:lang w:val="da-DK"/>
        </w:rPr>
        <w:t xml:space="preserve"> kan i en periode på mindst 6 uger og op til 3 måneder nedsætte effekten af levende svækkede virusvacciner som mæslinger</w:t>
      </w:r>
      <w:r>
        <w:rPr>
          <w:i/>
          <w:sz w:val="24"/>
          <w:szCs w:val="24"/>
          <w:lang w:val="da-DK"/>
        </w:rPr>
        <w:t xml:space="preserve">, </w:t>
      </w:r>
      <w:r>
        <w:rPr>
          <w:sz w:val="24"/>
          <w:szCs w:val="24"/>
          <w:lang w:val="da-DK"/>
        </w:rPr>
        <w:t>røde hunde, fåresyge og skoldkopper. Efter indgivelse af dette produkt skal der være et interval på 3 måneder inden vaccinering med levende svækkede virusvacciner. Ved mæslinger kan denne nedsatte effekt vare ved i op til 1 år.</w:t>
      </w:r>
    </w:p>
    <w:p w:rsidR="00C50630" w:rsidRDefault="00C50630" w:rsidP="00C50630">
      <w:pPr>
        <w:pStyle w:val="Brdtekst"/>
        <w:ind w:left="851"/>
        <w:jc w:val="left"/>
        <w:rPr>
          <w:sz w:val="24"/>
          <w:szCs w:val="24"/>
          <w:lang w:val="da-DK"/>
        </w:rPr>
      </w:pPr>
      <w:r>
        <w:rPr>
          <w:sz w:val="24"/>
          <w:szCs w:val="24"/>
          <w:lang w:val="da-DK"/>
        </w:rPr>
        <w:t>Derfor bør patienter, der får vaccine mod mæslinger, have deres status for antistoffer kontrolleret.</w:t>
      </w:r>
    </w:p>
    <w:p w:rsidR="00DC3D8B" w:rsidRPr="00DC3D8B" w:rsidRDefault="00DC3D8B" w:rsidP="00DC3D8B">
      <w:pPr>
        <w:pStyle w:val="Brdtekst"/>
        <w:ind w:left="851"/>
        <w:jc w:val="left"/>
        <w:rPr>
          <w:sz w:val="24"/>
          <w:szCs w:val="24"/>
          <w:u w:val="single"/>
          <w:lang w:val="da-DK"/>
        </w:rPr>
      </w:pPr>
    </w:p>
    <w:p w:rsidR="00DC3D8B" w:rsidRPr="00DC3D8B" w:rsidRDefault="00DC3D8B" w:rsidP="00DC3D8B">
      <w:pPr>
        <w:pStyle w:val="Brdtekst"/>
        <w:ind w:left="851"/>
        <w:rPr>
          <w:noProof/>
          <w:sz w:val="24"/>
          <w:szCs w:val="24"/>
          <w:u w:val="single"/>
          <w:lang w:val="da-DK"/>
        </w:rPr>
      </w:pPr>
      <w:r w:rsidRPr="00DC3D8B">
        <w:rPr>
          <w:noProof/>
          <w:sz w:val="24"/>
          <w:szCs w:val="24"/>
          <w:u w:val="single"/>
          <w:lang w:val="da-DK"/>
        </w:rPr>
        <w:t xml:space="preserve">Loop-diuretika </w:t>
      </w:r>
    </w:p>
    <w:p w:rsidR="00DC3D8B" w:rsidRPr="00DC3D8B" w:rsidRDefault="00DC3D8B" w:rsidP="00DC3D8B">
      <w:pPr>
        <w:pStyle w:val="Brdtekst"/>
        <w:ind w:left="851"/>
        <w:rPr>
          <w:noProof/>
          <w:sz w:val="24"/>
          <w:szCs w:val="24"/>
          <w:u w:val="single"/>
          <w:lang w:val="da-DK"/>
        </w:rPr>
      </w:pPr>
    </w:p>
    <w:p w:rsidR="00DC3D8B" w:rsidRPr="00DC3D8B" w:rsidRDefault="00DC3D8B" w:rsidP="00DC3D8B">
      <w:pPr>
        <w:pStyle w:val="Brdtekst"/>
        <w:ind w:left="851"/>
        <w:rPr>
          <w:sz w:val="24"/>
          <w:szCs w:val="24"/>
          <w:lang w:val="da-DK"/>
        </w:rPr>
      </w:pPr>
      <w:r w:rsidRPr="00DC3D8B">
        <w:rPr>
          <w:sz w:val="24"/>
          <w:szCs w:val="24"/>
          <w:lang w:val="da-DK"/>
        </w:rPr>
        <w:lastRenderedPageBreak/>
        <w:t>Samtidig brug af loop</w:t>
      </w:r>
      <w:r w:rsidRPr="00DC3D8B">
        <w:rPr>
          <w:sz w:val="24"/>
          <w:szCs w:val="24"/>
          <w:lang w:val="da-DK"/>
        </w:rPr>
        <w:noBreakHyphen/>
      </w:r>
      <w:proofErr w:type="spellStart"/>
      <w:r w:rsidRPr="00DC3D8B">
        <w:rPr>
          <w:sz w:val="24"/>
          <w:szCs w:val="24"/>
          <w:lang w:val="da-DK"/>
        </w:rPr>
        <w:t>diuretika</w:t>
      </w:r>
      <w:proofErr w:type="spellEnd"/>
      <w:r w:rsidRPr="00DC3D8B">
        <w:rPr>
          <w:sz w:val="24"/>
          <w:szCs w:val="24"/>
          <w:lang w:val="da-DK"/>
        </w:rPr>
        <w:t xml:space="preserve"> undgås</w:t>
      </w:r>
      <w:r>
        <w:rPr>
          <w:sz w:val="24"/>
          <w:szCs w:val="24"/>
          <w:lang w:val="da-DK"/>
        </w:rPr>
        <w:t>.</w:t>
      </w:r>
    </w:p>
    <w:p w:rsidR="00DC3D8B" w:rsidRPr="00DC3D8B" w:rsidRDefault="00DC3D8B" w:rsidP="00DC3D8B">
      <w:pPr>
        <w:pStyle w:val="Brdtekst"/>
        <w:ind w:left="851"/>
        <w:jc w:val="left"/>
        <w:rPr>
          <w:sz w:val="24"/>
          <w:szCs w:val="24"/>
          <w:u w:val="single"/>
          <w:lang w:val="da-DK"/>
        </w:rPr>
      </w:pPr>
    </w:p>
    <w:p w:rsidR="00DC3D8B" w:rsidRPr="00DC3D8B" w:rsidRDefault="00DC3D8B" w:rsidP="00DC3D8B">
      <w:pPr>
        <w:pStyle w:val="Brdtekst"/>
        <w:ind w:left="851"/>
        <w:jc w:val="left"/>
        <w:rPr>
          <w:sz w:val="24"/>
          <w:szCs w:val="24"/>
          <w:u w:val="single"/>
          <w:lang w:val="da-DK"/>
        </w:rPr>
      </w:pPr>
      <w:r w:rsidRPr="00DC3D8B">
        <w:rPr>
          <w:sz w:val="24"/>
          <w:szCs w:val="24"/>
          <w:u w:val="single"/>
          <w:lang w:val="da-DK"/>
        </w:rPr>
        <w:t>Pædiatrisk population</w:t>
      </w:r>
    </w:p>
    <w:p w:rsidR="00DC3D8B" w:rsidRPr="00DC3D8B" w:rsidRDefault="00DC3D8B" w:rsidP="00DC3D8B">
      <w:pPr>
        <w:pStyle w:val="Brdtekst"/>
        <w:ind w:left="851"/>
        <w:jc w:val="left"/>
        <w:rPr>
          <w:sz w:val="24"/>
          <w:szCs w:val="24"/>
          <w:lang w:val="da-DK"/>
        </w:rPr>
      </w:pPr>
    </w:p>
    <w:p w:rsidR="00812371" w:rsidRPr="00DC3D8B" w:rsidRDefault="00DC3D8B" w:rsidP="00DC3D8B">
      <w:pPr>
        <w:pStyle w:val="Brdtekst"/>
        <w:ind w:left="851"/>
        <w:jc w:val="left"/>
        <w:rPr>
          <w:sz w:val="24"/>
          <w:szCs w:val="24"/>
          <w:lang w:val="da-DK"/>
        </w:rPr>
      </w:pPr>
      <w:r w:rsidRPr="00DC3D8B">
        <w:rPr>
          <w:sz w:val="24"/>
          <w:szCs w:val="24"/>
          <w:lang w:val="da-DK"/>
        </w:rPr>
        <w:t>De anførte interaktioner gælder for både voksne og børn.</w:t>
      </w:r>
    </w:p>
    <w:p w:rsidR="00812371" w:rsidRPr="00CE6FA2" w:rsidRDefault="00812371" w:rsidP="00812371">
      <w:pPr>
        <w:ind w:left="851" w:hanging="851"/>
        <w:rPr>
          <w:sz w:val="24"/>
          <w:szCs w:val="24"/>
        </w:rPr>
      </w:pPr>
    </w:p>
    <w:p w:rsidR="00812371" w:rsidRPr="00C94F77" w:rsidRDefault="00812371" w:rsidP="00812371">
      <w:pPr>
        <w:ind w:left="851" w:hanging="851"/>
        <w:rPr>
          <w:b/>
          <w:sz w:val="24"/>
          <w:szCs w:val="24"/>
        </w:rPr>
      </w:pPr>
      <w:r w:rsidRPr="00CE6FA2">
        <w:rPr>
          <w:b/>
          <w:sz w:val="24"/>
          <w:szCs w:val="24"/>
        </w:rPr>
        <w:t>4.6</w:t>
      </w:r>
      <w:r w:rsidRPr="00CE6FA2">
        <w:rPr>
          <w:b/>
          <w:sz w:val="24"/>
          <w:szCs w:val="24"/>
        </w:rPr>
        <w:tab/>
      </w:r>
      <w:r w:rsidR="00426218">
        <w:rPr>
          <w:b/>
          <w:sz w:val="24"/>
          <w:szCs w:val="24"/>
        </w:rPr>
        <w:t>Fertilitet, g</w:t>
      </w:r>
      <w:r w:rsidRPr="00CE6FA2">
        <w:rPr>
          <w:b/>
          <w:sz w:val="24"/>
          <w:szCs w:val="24"/>
        </w:rPr>
        <w:t>raviditet og amning</w:t>
      </w:r>
    </w:p>
    <w:p w:rsidR="00C50630" w:rsidRDefault="00C50630" w:rsidP="00C50630">
      <w:pPr>
        <w:pStyle w:val="Brdtekst"/>
        <w:ind w:left="851"/>
        <w:jc w:val="left"/>
        <w:rPr>
          <w:sz w:val="24"/>
          <w:szCs w:val="24"/>
          <w:u w:val="single"/>
          <w:lang w:val="da-DK"/>
        </w:rPr>
      </w:pPr>
    </w:p>
    <w:p w:rsidR="00C50630" w:rsidRDefault="00C50630" w:rsidP="00C50630">
      <w:pPr>
        <w:pStyle w:val="Brdtekst"/>
        <w:ind w:left="851"/>
        <w:jc w:val="left"/>
        <w:rPr>
          <w:sz w:val="24"/>
          <w:szCs w:val="24"/>
          <w:lang w:val="da-DK"/>
        </w:rPr>
      </w:pPr>
      <w:r>
        <w:rPr>
          <w:sz w:val="24"/>
          <w:szCs w:val="24"/>
          <w:u w:val="single"/>
          <w:lang w:val="da-DK"/>
        </w:rPr>
        <w:t>Graviditet</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sz w:val="24"/>
          <w:szCs w:val="24"/>
          <w:lang w:val="da-DK"/>
        </w:rPr>
      </w:pPr>
      <w:r>
        <w:rPr>
          <w:sz w:val="24"/>
          <w:szCs w:val="24"/>
          <w:lang w:val="da-DK"/>
        </w:rPr>
        <w:t xml:space="preserve">Sikkerheden af dette lægemiddel til brug under graviditet hos kvinder er ikke blevet fastslået i kontrollerede kliniske forsøg, og derfor bør det kun gives med forsigtighed til gravide kvinder. </w:t>
      </w:r>
      <w:proofErr w:type="spellStart"/>
      <w:r>
        <w:rPr>
          <w:sz w:val="24"/>
          <w:szCs w:val="24"/>
          <w:lang w:val="da-DK"/>
        </w:rPr>
        <w:t>IVIg</w:t>
      </w:r>
      <w:proofErr w:type="spellEnd"/>
      <w:r>
        <w:rPr>
          <w:sz w:val="24"/>
          <w:szCs w:val="24"/>
          <w:lang w:val="da-DK"/>
        </w:rPr>
        <w:noBreakHyphen/>
        <w:t xml:space="preserve">produkter er vist at krydse placenta, i stigende grad under tredje trimester. </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sz w:val="24"/>
          <w:szCs w:val="24"/>
          <w:lang w:val="da-DK"/>
        </w:rPr>
      </w:pPr>
      <w:r>
        <w:rPr>
          <w:sz w:val="24"/>
          <w:szCs w:val="24"/>
          <w:lang w:val="da-DK"/>
        </w:rPr>
        <w:t xml:space="preserve">Kliniske erfaringer med </w:t>
      </w:r>
      <w:proofErr w:type="spellStart"/>
      <w:r>
        <w:rPr>
          <w:sz w:val="24"/>
          <w:szCs w:val="24"/>
          <w:lang w:val="da-DK"/>
        </w:rPr>
        <w:t>immunglobuliner</w:t>
      </w:r>
      <w:proofErr w:type="spellEnd"/>
      <w:r>
        <w:rPr>
          <w:sz w:val="24"/>
          <w:szCs w:val="24"/>
          <w:lang w:val="da-DK"/>
        </w:rPr>
        <w:t xml:space="preserve"> lader antage, at der ikke kan forventes skadelige virkninger på graviditetens forløb eller på fostret og den nyfødte.</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sz w:val="24"/>
          <w:szCs w:val="24"/>
          <w:u w:val="single"/>
          <w:lang w:val="da-DK"/>
        </w:rPr>
      </w:pPr>
      <w:r>
        <w:rPr>
          <w:sz w:val="24"/>
          <w:szCs w:val="24"/>
          <w:u w:val="single"/>
          <w:lang w:val="da-DK"/>
        </w:rPr>
        <w:t>Amning</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sz w:val="24"/>
          <w:szCs w:val="24"/>
          <w:lang w:val="da-DK"/>
        </w:rPr>
      </w:pPr>
      <w:r>
        <w:rPr>
          <w:sz w:val="24"/>
          <w:szCs w:val="24"/>
          <w:lang w:val="da-DK"/>
        </w:rPr>
        <w:t xml:space="preserve">Dette lægemiddels sikkerhed ved anvendelse i forbindelse med human graviditet er ikke blevet fastlagt i kontrollerede kliniske forsøg, og derfor skal det anvendes med forsigtighed til ammende mødre. </w:t>
      </w:r>
      <w:proofErr w:type="spellStart"/>
      <w:r>
        <w:rPr>
          <w:sz w:val="24"/>
          <w:szCs w:val="24"/>
          <w:lang w:val="da-DK"/>
        </w:rPr>
        <w:t>Immunglobuliner</w:t>
      </w:r>
      <w:proofErr w:type="spellEnd"/>
      <w:r>
        <w:rPr>
          <w:sz w:val="24"/>
          <w:szCs w:val="24"/>
          <w:lang w:val="da-DK"/>
        </w:rPr>
        <w:t xml:space="preserve"> udskilles i den humane mælk. Der forventes ingen negativ påvirkning af det ammede barn.</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sz w:val="24"/>
          <w:szCs w:val="24"/>
          <w:u w:val="single"/>
          <w:lang w:val="da-DK"/>
        </w:rPr>
      </w:pPr>
      <w:r>
        <w:rPr>
          <w:sz w:val="24"/>
          <w:szCs w:val="24"/>
          <w:u w:val="single"/>
          <w:lang w:val="da-DK"/>
        </w:rPr>
        <w:t>Fertilitet</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sz w:val="24"/>
          <w:szCs w:val="24"/>
          <w:lang w:val="da-DK"/>
        </w:rPr>
      </w:pPr>
      <w:r>
        <w:rPr>
          <w:sz w:val="24"/>
          <w:szCs w:val="24"/>
          <w:lang w:val="da-DK"/>
        </w:rPr>
        <w:t xml:space="preserve">Klinisk erfaring med </w:t>
      </w:r>
      <w:proofErr w:type="spellStart"/>
      <w:r>
        <w:rPr>
          <w:sz w:val="24"/>
          <w:szCs w:val="24"/>
          <w:lang w:val="da-DK"/>
        </w:rPr>
        <w:t>immunglobuliner</w:t>
      </w:r>
      <w:proofErr w:type="spellEnd"/>
      <w:r>
        <w:rPr>
          <w:sz w:val="24"/>
          <w:szCs w:val="24"/>
          <w:lang w:val="da-DK"/>
        </w:rPr>
        <w:t xml:space="preserve"> antyder, at der ikke forventes skadelige virkninger på fertilitet.</w:t>
      </w:r>
    </w:p>
    <w:p w:rsidR="00C50630" w:rsidRDefault="00C50630" w:rsidP="00C50630">
      <w:pPr>
        <w:rPr>
          <w:sz w:val="24"/>
          <w:szCs w:val="24"/>
        </w:rPr>
      </w:pPr>
    </w:p>
    <w:p w:rsidR="00812371" w:rsidRPr="00CE6FA2" w:rsidRDefault="00812371" w:rsidP="00812371">
      <w:pPr>
        <w:rPr>
          <w:sz w:val="24"/>
          <w:szCs w:val="24"/>
        </w:rPr>
      </w:pPr>
    </w:p>
    <w:p w:rsidR="00812371" w:rsidRPr="00C94F77" w:rsidRDefault="00812371" w:rsidP="00812371">
      <w:pPr>
        <w:ind w:left="851" w:hanging="851"/>
        <w:rPr>
          <w:b/>
          <w:sz w:val="24"/>
          <w:szCs w:val="24"/>
        </w:rPr>
      </w:pPr>
      <w:r w:rsidRPr="00CE6FA2">
        <w:rPr>
          <w:b/>
          <w:sz w:val="24"/>
          <w:szCs w:val="24"/>
        </w:rPr>
        <w:t>4.7</w:t>
      </w:r>
      <w:r w:rsidRPr="00CE6FA2">
        <w:rPr>
          <w:b/>
          <w:sz w:val="24"/>
          <w:szCs w:val="24"/>
        </w:rPr>
        <w:tab/>
        <w:t xml:space="preserve">Virkninger på evnen til at føre motorkøretøj </w:t>
      </w:r>
      <w:r w:rsidR="00426218">
        <w:rPr>
          <w:b/>
          <w:sz w:val="24"/>
          <w:szCs w:val="24"/>
        </w:rPr>
        <w:t>og</w:t>
      </w:r>
      <w:r w:rsidRPr="00CE6FA2">
        <w:rPr>
          <w:b/>
          <w:sz w:val="24"/>
          <w:szCs w:val="24"/>
        </w:rPr>
        <w:t xml:space="preserve"> betjene maskiner</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sz w:val="24"/>
          <w:szCs w:val="24"/>
          <w:lang w:val="da-DK"/>
        </w:rPr>
      </w:pPr>
      <w:proofErr w:type="spellStart"/>
      <w:r>
        <w:rPr>
          <w:sz w:val="24"/>
          <w:szCs w:val="24"/>
          <w:lang w:val="da-DK"/>
        </w:rPr>
        <w:t>Iqymune</w:t>
      </w:r>
      <w:proofErr w:type="spellEnd"/>
      <w:r>
        <w:rPr>
          <w:sz w:val="24"/>
          <w:szCs w:val="24"/>
          <w:lang w:val="da-DK"/>
        </w:rPr>
        <w:t xml:space="preserve"> påvirker i mindre grad evnen til at føre motorkøretøj og betjene </w:t>
      </w:r>
      <w:proofErr w:type="gramStart"/>
      <w:r>
        <w:rPr>
          <w:sz w:val="24"/>
          <w:szCs w:val="24"/>
          <w:lang w:val="da-DK"/>
        </w:rPr>
        <w:t>maskiner..</w:t>
      </w:r>
      <w:proofErr w:type="gramEnd"/>
      <w:r>
        <w:rPr>
          <w:sz w:val="24"/>
          <w:szCs w:val="24"/>
          <w:lang w:val="da-DK"/>
        </w:rPr>
        <w:t xml:space="preserve"> Der kan forekomme svimmelhed efter administration af det aktive stof (se pkt. 4.8). Patienter, der oplever bivirkninger under behandlingen, bør vente med at føre motorkøretøj og betjene maskiner, indtil bivirkningerne er ophørt.</w:t>
      </w:r>
    </w:p>
    <w:p w:rsidR="00812371" w:rsidRPr="00CE6FA2" w:rsidRDefault="00812371" w:rsidP="00812371">
      <w:pPr>
        <w:ind w:left="851" w:hanging="851"/>
        <w:rPr>
          <w:sz w:val="24"/>
          <w:szCs w:val="24"/>
        </w:rPr>
      </w:pPr>
    </w:p>
    <w:p w:rsidR="00812371" w:rsidRPr="009F6DF7" w:rsidRDefault="00812371" w:rsidP="00812371">
      <w:pPr>
        <w:ind w:left="851" w:hanging="851"/>
        <w:rPr>
          <w:b/>
          <w:sz w:val="24"/>
          <w:szCs w:val="24"/>
        </w:rPr>
      </w:pPr>
      <w:r w:rsidRPr="00CE6FA2">
        <w:rPr>
          <w:b/>
          <w:sz w:val="24"/>
          <w:szCs w:val="24"/>
        </w:rPr>
        <w:t>4.8</w:t>
      </w:r>
      <w:r w:rsidRPr="00CE6FA2">
        <w:rPr>
          <w:b/>
          <w:sz w:val="24"/>
          <w:szCs w:val="24"/>
        </w:rPr>
        <w:tab/>
        <w:t>Bivirkninger</w:t>
      </w:r>
    </w:p>
    <w:p w:rsidR="00C50630" w:rsidRDefault="00C50630" w:rsidP="00DC3D8B">
      <w:pPr>
        <w:pStyle w:val="Brdtekst"/>
        <w:ind w:left="851"/>
        <w:jc w:val="left"/>
        <w:rPr>
          <w:sz w:val="24"/>
          <w:szCs w:val="24"/>
          <w:u w:val="single"/>
          <w:lang w:val="da-DK"/>
        </w:rPr>
      </w:pPr>
    </w:p>
    <w:p w:rsidR="00DC3D8B" w:rsidRDefault="00DC3D8B" w:rsidP="00DC3D8B">
      <w:pPr>
        <w:pStyle w:val="Brdtekst"/>
        <w:ind w:left="851"/>
        <w:jc w:val="left"/>
        <w:rPr>
          <w:sz w:val="24"/>
          <w:szCs w:val="24"/>
          <w:u w:val="single"/>
          <w:lang w:val="da-DK"/>
        </w:rPr>
      </w:pPr>
      <w:r w:rsidRPr="00DC3D8B">
        <w:rPr>
          <w:sz w:val="24"/>
          <w:szCs w:val="24"/>
          <w:u w:val="single"/>
          <w:lang w:val="da-DK"/>
        </w:rPr>
        <w:t>Oversigt over sikkerhedsprofil</w:t>
      </w:r>
    </w:p>
    <w:p w:rsidR="00C50630" w:rsidRPr="00DC3D8B" w:rsidRDefault="00C50630" w:rsidP="00DC3D8B">
      <w:pPr>
        <w:pStyle w:val="Brdtekst"/>
        <w:ind w:left="851"/>
        <w:jc w:val="left"/>
        <w:rPr>
          <w:sz w:val="24"/>
          <w:szCs w:val="24"/>
          <w:lang w:val="da-DK"/>
        </w:rPr>
      </w:pPr>
    </w:p>
    <w:p w:rsidR="00DC3D8B" w:rsidRPr="00DC3D8B" w:rsidRDefault="00DC3D8B" w:rsidP="00DC3D8B">
      <w:pPr>
        <w:autoSpaceDE w:val="0"/>
        <w:autoSpaceDN w:val="0"/>
        <w:adjustRightInd w:val="0"/>
        <w:ind w:left="851"/>
        <w:rPr>
          <w:color w:val="000000"/>
          <w:sz w:val="24"/>
          <w:szCs w:val="24"/>
        </w:rPr>
      </w:pPr>
      <w:r w:rsidRPr="00DC3D8B">
        <w:rPr>
          <w:color w:val="000000"/>
          <w:sz w:val="24"/>
          <w:szCs w:val="24"/>
        </w:rPr>
        <w:t xml:space="preserve">Bivirkninger, som skyldes humant normal </w:t>
      </w:r>
      <w:proofErr w:type="spellStart"/>
      <w:r w:rsidRPr="00DC3D8B">
        <w:rPr>
          <w:color w:val="000000"/>
          <w:sz w:val="24"/>
          <w:szCs w:val="24"/>
        </w:rPr>
        <w:t>immunglobulin</w:t>
      </w:r>
      <w:proofErr w:type="spellEnd"/>
      <w:r w:rsidRPr="00DC3D8B">
        <w:rPr>
          <w:color w:val="000000"/>
          <w:sz w:val="24"/>
          <w:szCs w:val="24"/>
        </w:rPr>
        <w:t xml:space="preserve"> (i faldende hyppighed) omfatter (se også punkt 4.4): </w:t>
      </w:r>
    </w:p>
    <w:p w:rsidR="00DC3D8B" w:rsidRPr="00DC3D8B" w:rsidRDefault="00DC3D8B" w:rsidP="00DC3D8B">
      <w:pPr>
        <w:autoSpaceDE w:val="0"/>
        <w:autoSpaceDN w:val="0"/>
        <w:adjustRightInd w:val="0"/>
        <w:ind w:left="851"/>
        <w:rPr>
          <w:color w:val="000000"/>
          <w:sz w:val="24"/>
          <w:szCs w:val="24"/>
        </w:rPr>
      </w:pPr>
      <w:r w:rsidRPr="00DC3D8B">
        <w:rPr>
          <w:color w:val="000000"/>
          <w:sz w:val="24"/>
          <w:szCs w:val="24"/>
        </w:rPr>
        <w:t xml:space="preserve">• kulderystelser, </w:t>
      </w:r>
      <w:r w:rsidRPr="00DC3D8B">
        <w:rPr>
          <w:sz w:val="24"/>
          <w:szCs w:val="24"/>
        </w:rPr>
        <w:t xml:space="preserve">hovedpine, svimmelhed, feber, opkastning, allergiske reaktioner, kvalme, </w:t>
      </w:r>
      <w:proofErr w:type="spellStart"/>
      <w:r w:rsidRPr="00DC3D8B">
        <w:rPr>
          <w:sz w:val="24"/>
          <w:szCs w:val="24"/>
        </w:rPr>
        <w:t>artralgi</w:t>
      </w:r>
      <w:proofErr w:type="spellEnd"/>
      <w:r w:rsidRPr="00DC3D8B">
        <w:rPr>
          <w:sz w:val="24"/>
          <w:szCs w:val="24"/>
        </w:rPr>
        <w:t>, lavt blodtryk og moderate lændesmerter</w:t>
      </w:r>
      <w:r w:rsidRPr="00DC3D8B">
        <w:rPr>
          <w:color w:val="000000"/>
          <w:sz w:val="24"/>
          <w:szCs w:val="24"/>
        </w:rPr>
        <w:t xml:space="preserve"> </w:t>
      </w:r>
    </w:p>
    <w:p w:rsidR="00DC3D8B" w:rsidRPr="00DC3D8B" w:rsidRDefault="00DC3D8B" w:rsidP="00DC3D8B">
      <w:pPr>
        <w:autoSpaceDE w:val="0"/>
        <w:autoSpaceDN w:val="0"/>
        <w:adjustRightInd w:val="0"/>
        <w:ind w:left="851"/>
        <w:rPr>
          <w:color w:val="000000"/>
          <w:sz w:val="24"/>
          <w:szCs w:val="24"/>
        </w:rPr>
      </w:pPr>
      <w:r w:rsidRPr="00DC3D8B">
        <w:rPr>
          <w:color w:val="000000"/>
          <w:sz w:val="24"/>
          <w:szCs w:val="24"/>
        </w:rPr>
        <w:t xml:space="preserve">• </w:t>
      </w:r>
      <w:r w:rsidRPr="00DC3D8B">
        <w:rPr>
          <w:sz w:val="24"/>
          <w:szCs w:val="24"/>
        </w:rPr>
        <w:t xml:space="preserve">reversible </w:t>
      </w:r>
      <w:proofErr w:type="spellStart"/>
      <w:r w:rsidRPr="00DC3D8B">
        <w:rPr>
          <w:sz w:val="24"/>
          <w:szCs w:val="24"/>
        </w:rPr>
        <w:t>hæmolytiske</w:t>
      </w:r>
      <w:proofErr w:type="spellEnd"/>
      <w:r w:rsidRPr="00DC3D8B">
        <w:rPr>
          <w:sz w:val="24"/>
          <w:szCs w:val="24"/>
        </w:rPr>
        <w:t xml:space="preserve"> reaktioner er observeret hos patienter, særligt dem med blodtype A, B og AB</w:t>
      </w:r>
      <w:r w:rsidRPr="00DC3D8B">
        <w:rPr>
          <w:color w:val="000000"/>
          <w:sz w:val="24"/>
          <w:szCs w:val="24"/>
        </w:rPr>
        <w:t xml:space="preserve"> og (sjældent) </w:t>
      </w:r>
      <w:r w:rsidRPr="00DC3D8B">
        <w:rPr>
          <w:sz w:val="24"/>
          <w:szCs w:val="24"/>
        </w:rPr>
        <w:t xml:space="preserve">transfusionskrævende </w:t>
      </w:r>
      <w:proofErr w:type="spellStart"/>
      <w:r w:rsidRPr="00DC3D8B">
        <w:rPr>
          <w:sz w:val="24"/>
          <w:szCs w:val="24"/>
        </w:rPr>
        <w:t>hæmolytisk</w:t>
      </w:r>
      <w:proofErr w:type="spellEnd"/>
      <w:r w:rsidRPr="00DC3D8B">
        <w:rPr>
          <w:sz w:val="24"/>
          <w:szCs w:val="24"/>
        </w:rPr>
        <w:t xml:space="preserve"> anæmi</w:t>
      </w:r>
    </w:p>
    <w:p w:rsidR="00DC3D8B" w:rsidRPr="00DC3D8B" w:rsidRDefault="00DC3D8B" w:rsidP="00DC3D8B">
      <w:pPr>
        <w:autoSpaceDE w:val="0"/>
        <w:autoSpaceDN w:val="0"/>
        <w:adjustRightInd w:val="0"/>
        <w:ind w:left="851"/>
        <w:rPr>
          <w:color w:val="000000"/>
          <w:sz w:val="24"/>
          <w:szCs w:val="24"/>
        </w:rPr>
      </w:pPr>
      <w:r w:rsidRPr="00DC3D8B">
        <w:rPr>
          <w:color w:val="000000"/>
          <w:sz w:val="24"/>
          <w:szCs w:val="24"/>
        </w:rPr>
        <w:t xml:space="preserve">• (sjældent) </w:t>
      </w:r>
      <w:r w:rsidRPr="00DC3D8B">
        <w:rPr>
          <w:sz w:val="24"/>
          <w:szCs w:val="24"/>
        </w:rPr>
        <w:t xml:space="preserve">et pludseligt fald i blodtrykket og, i isolerede tilfælde, </w:t>
      </w:r>
      <w:proofErr w:type="spellStart"/>
      <w:r w:rsidRPr="00DC3D8B">
        <w:rPr>
          <w:sz w:val="24"/>
          <w:szCs w:val="24"/>
        </w:rPr>
        <w:t>anafylaktisk</w:t>
      </w:r>
      <w:proofErr w:type="spellEnd"/>
      <w:r w:rsidRPr="00DC3D8B">
        <w:rPr>
          <w:sz w:val="24"/>
          <w:szCs w:val="24"/>
        </w:rPr>
        <w:t xml:space="preserve"> </w:t>
      </w:r>
      <w:proofErr w:type="spellStart"/>
      <w:r w:rsidRPr="00DC3D8B">
        <w:rPr>
          <w:sz w:val="24"/>
          <w:szCs w:val="24"/>
        </w:rPr>
        <w:t>shock</w:t>
      </w:r>
      <w:proofErr w:type="spellEnd"/>
      <w:r w:rsidRPr="00DC3D8B">
        <w:rPr>
          <w:sz w:val="24"/>
          <w:szCs w:val="24"/>
        </w:rPr>
        <w:t>, selv om patienten ikke har vist nogen overfølsomhed ved tidligere indgivelse</w:t>
      </w:r>
    </w:p>
    <w:p w:rsidR="00DC3D8B" w:rsidRPr="00DC3D8B" w:rsidRDefault="00DC3D8B" w:rsidP="00DC3D8B">
      <w:pPr>
        <w:autoSpaceDE w:val="0"/>
        <w:autoSpaceDN w:val="0"/>
        <w:adjustRightInd w:val="0"/>
        <w:ind w:left="851"/>
        <w:rPr>
          <w:color w:val="000000"/>
          <w:sz w:val="24"/>
          <w:szCs w:val="24"/>
        </w:rPr>
      </w:pPr>
      <w:r w:rsidRPr="00DC3D8B">
        <w:rPr>
          <w:color w:val="000000"/>
          <w:sz w:val="24"/>
          <w:szCs w:val="24"/>
        </w:rPr>
        <w:lastRenderedPageBreak/>
        <w:t xml:space="preserve">• (sjældent) </w:t>
      </w:r>
      <w:r w:rsidRPr="00DC3D8B">
        <w:rPr>
          <w:sz w:val="24"/>
          <w:szCs w:val="24"/>
        </w:rPr>
        <w:t xml:space="preserve">forbigående hudreaktioner (herunder </w:t>
      </w:r>
      <w:proofErr w:type="spellStart"/>
      <w:r w:rsidRPr="00DC3D8B">
        <w:rPr>
          <w:sz w:val="24"/>
          <w:szCs w:val="24"/>
        </w:rPr>
        <w:t>kutan</w:t>
      </w:r>
      <w:proofErr w:type="spellEnd"/>
      <w:r w:rsidRPr="00DC3D8B">
        <w:rPr>
          <w:sz w:val="24"/>
          <w:szCs w:val="24"/>
        </w:rPr>
        <w:t xml:space="preserve"> lupus </w:t>
      </w:r>
      <w:proofErr w:type="spellStart"/>
      <w:r w:rsidRPr="00DC3D8B">
        <w:rPr>
          <w:sz w:val="24"/>
          <w:szCs w:val="24"/>
        </w:rPr>
        <w:t>erythematosus</w:t>
      </w:r>
      <w:proofErr w:type="spellEnd"/>
      <w:r w:rsidRPr="00DC3D8B">
        <w:rPr>
          <w:sz w:val="24"/>
          <w:szCs w:val="24"/>
        </w:rPr>
        <w:t xml:space="preserve"> – hyppighed ikke kendt)</w:t>
      </w:r>
    </w:p>
    <w:p w:rsidR="00DC3D8B" w:rsidRPr="00DC3D8B" w:rsidRDefault="00DC3D8B" w:rsidP="00DC3D8B">
      <w:pPr>
        <w:autoSpaceDE w:val="0"/>
        <w:autoSpaceDN w:val="0"/>
        <w:adjustRightInd w:val="0"/>
        <w:ind w:left="851"/>
        <w:rPr>
          <w:color w:val="000000"/>
          <w:sz w:val="24"/>
          <w:szCs w:val="24"/>
        </w:rPr>
      </w:pPr>
      <w:r w:rsidRPr="00DC3D8B">
        <w:rPr>
          <w:color w:val="000000"/>
          <w:sz w:val="24"/>
          <w:szCs w:val="24"/>
        </w:rPr>
        <w:t>• (m</w:t>
      </w:r>
      <w:r w:rsidRPr="00DC3D8B">
        <w:rPr>
          <w:sz w:val="24"/>
          <w:szCs w:val="24"/>
        </w:rPr>
        <w:t>eget sjældent</w:t>
      </w:r>
      <w:r w:rsidRPr="00DC3D8B">
        <w:rPr>
          <w:color w:val="000000"/>
          <w:sz w:val="24"/>
          <w:szCs w:val="24"/>
        </w:rPr>
        <w:t xml:space="preserve">) </w:t>
      </w:r>
      <w:proofErr w:type="spellStart"/>
      <w:r w:rsidRPr="00DC3D8B">
        <w:rPr>
          <w:color w:val="000000"/>
          <w:sz w:val="24"/>
          <w:szCs w:val="24"/>
        </w:rPr>
        <w:t>t</w:t>
      </w:r>
      <w:r w:rsidRPr="00DC3D8B">
        <w:rPr>
          <w:sz w:val="24"/>
          <w:szCs w:val="24"/>
        </w:rPr>
        <w:t>romboemboliske</w:t>
      </w:r>
      <w:proofErr w:type="spellEnd"/>
      <w:r w:rsidRPr="00DC3D8B">
        <w:rPr>
          <w:sz w:val="24"/>
          <w:szCs w:val="24"/>
        </w:rPr>
        <w:t xml:space="preserve"> reaktioner som myokardieinfarkt, slagtilfælde, </w:t>
      </w:r>
      <w:proofErr w:type="spellStart"/>
      <w:r w:rsidRPr="00DC3D8B">
        <w:rPr>
          <w:sz w:val="24"/>
          <w:szCs w:val="24"/>
        </w:rPr>
        <w:t>pulmonal</w:t>
      </w:r>
      <w:proofErr w:type="spellEnd"/>
      <w:r w:rsidRPr="00DC3D8B">
        <w:rPr>
          <w:sz w:val="24"/>
          <w:szCs w:val="24"/>
        </w:rPr>
        <w:t xml:space="preserve"> </w:t>
      </w:r>
      <w:proofErr w:type="spellStart"/>
      <w:r w:rsidRPr="00DC3D8B">
        <w:rPr>
          <w:sz w:val="24"/>
          <w:szCs w:val="24"/>
        </w:rPr>
        <w:t>emboli</w:t>
      </w:r>
      <w:proofErr w:type="spellEnd"/>
      <w:r w:rsidRPr="00DC3D8B">
        <w:rPr>
          <w:sz w:val="24"/>
          <w:szCs w:val="24"/>
        </w:rPr>
        <w:t xml:space="preserve"> og dybe venetromboser</w:t>
      </w:r>
    </w:p>
    <w:p w:rsidR="00DC3D8B" w:rsidRPr="00DC3D8B" w:rsidRDefault="00DC3D8B" w:rsidP="00DC3D8B">
      <w:pPr>
        <w:autoSpaceDE w:val="0"/>
        <w:autoSpaceDN w:val="0"/>
        <w:adjustRightInd w:val="0"/>
        <w:ind w:left="851"/>
        <w:rPr>
          <w:color w:val="000000"/>
          <w:sz w:val="24"/>
          <w:szCs w:val="24"/>
        </w:rPr>
      </w:pPr>
      <w:r w:rsidRPr="00DC3D8B">
        <w:rPr>
          <w:color w:val="000000"/>
          <w:sz w:val="24"/>
          <w:szCs w:val="24"/>
        </w:rPr>
        <w:t>• t</w:t>
      </w:r>
      <w:r w:rsidRPr="00DC3D8B">
        <w:rPr>
          <w:sz w:val="24"/>
          <w:szCs w:val="24"/>
        </w:rPr>
        <w:t>ilfælde af reversibel aseptisk meningitis</w:t>
      </w:r>
    </w:p>
    <w:p w:rsidR="00DC3D8B" w:rsidRPr="00DC3D8B" w:rsidRDefault="00DC3D8B" w:rsidP="00DC3D8B">
      <w:pPr>
        <w:autoSpaceDE w:val="0"/>
        <w:autoSpaceDN w:val="0"/>
        <w:adjustRightInd w:val="0"/>
        <w:ind w:left="851"/>
        <w:rPr>
          <w:color w:val="000000"/>
          <w:sz w:val="24"/>
          <w:szCs w:val="24"/>
        </w:rPr>
      </w:pPr>
      <w:r w:rsidRPr="00DC3D8B">
        <w:rPr>
          <w:color w:val="000000"/>
          <w:sz w:val="24"/>
          <w:szCs w:val="24"/>
        </w:rPr>
        <w:t xml:space="preserve">• tilfælde af </w:t>
      </w:r>
      <w:r w:rsidRPr="00DC3D8B">
        <w:rPr>
          <w:sz w:val="24"/>
          <w:szCs w:val="24"/>
        </w:rPr>
        <w:t xml:space="preserve">øget </w:t>
      </w:r>
      <w:proofErr w:type="spellStart"/>
      <w:r w:rsidRPr="00DC3D8B">
        <w:rPr>
          <w:sz w:val="24"/>
          <w:szCs w:val="24"/>
        </w:rPr>
        <w:t>serumkreatininniveau</w:t>
      </w:r>
      <w:proofErr w:type="spellEnd"/>
      <w:r w:rsidRPr="00DC3D8B">
        <w:rPr>
          <w:sz w:val="24"/>
          <w:szCs w:val="24"/>
        </w:rPr>
        <w:t xml:space="preserve"> og/eller akut nyresvigt</w:t>
      </w:r>
    </w:p>
    <w:p w:rsidR="00DC3D8B" w:rsidRPr="00DC3D8B" w:rsidRDefault="00DC3D8B" w:rsidP="00DC3D8B">
      <w:pPr>
        <w:autoSpaceDE w:val="0"/>
        <w:autoSpaceDN w:val="0"/>
        <w:adjustRightInd w:val="0"/>
        <w:ind w:left="851"/>
        <w:rPr>
          <w:color w:val="000000"/>
          <w:sz w:val="24"/>
          <w:szCs w:val="24"/>
        </w:rPr>
      </w:pPr>
      <w:r w:rsidRPr="00DC3D8B">
        <w:rPr>
          <w:color w:val="000000"/>
          <w:sz w:val="24"/>
          <w:szCs w:val="24"/>
        </w:rPr>
        <w:t xml:space="preserve">• tilfælde af </w:t>
      </w:r>
      <w:r w:rsidRPr="00DC3D8B">
        <w:rPr>
          <w:sz w:val="24"/>
          <w:szCs w:val="24"/>
        </w:rPr>
        <w:t>t</w:t>
      </w:r>
      <w:r w:rsidRPr="00DC3D8B">
        <w:rPr>
          <w:noProof/>
          <w:sz w:val="24"/>
          <w:szCs w:val="24"/>
        </w:rPr>
        <w:t>ransfusionsrelateret akut lungeskade</w:t>
      </w:r>
      <w:r w:rsidRPr="00DC3D8B">
        <w:rPr>
          <w:b/>
          <w:bCs/>
          <w:sz w:val="24"/>
          <w:szCs w:val="24"/>
        </w:rPr>
        <w:t xml:space="preserve"> </w:t>
      </w:r>
      <w:r w:rsidRPr="00DC3D8B">
        <w:rPr>
          <w:color w:val="000000"/>
          <w:sz w:val="24"/>
          <w:szCs w:val="24"/>
        </w:rPr>
        <w:t xml:space="preserve">(TRALI) </w:t>
      </w:r>
    </w:p>
    <w:p w:rsidR="00DC3D8B" w:rsidRPr="00DC3D8B" w:rsidRDefault="00DC3D8B" w:rsidP="00DC3D8B">
      <w:pPr>
        <w:pStyle w:val="Brdtekst"/>
        <w:ind w:left="851"/>
        <w:jc w:val="left"/>
        <w:rPr>
          <w:sz w:val="24"/>
          <w:szCs w:val="24"/>
          <w:lang w:val="da-DK"/>
        </w:rPr>
      </w:pPr>
    </w:p>
    <w:p w:rsidR="00C50630" w:rsidRDefault="00C50630" w:rsidP="00C50630">
      <w:pPr>
        <w:pStyle w:val="Brdtekst"/>
        <w:ind w:left="851"/>
        <w:jc w:val="left"/>
        <w:rPr>
          <w:sz w:val="24"/>
          <w:szCs w:val="24"/>
          <w:lang w:val="da-DK"/>
        </w:rPr>
      </w:pPr>
      <w:r>
        <w:rPr>
          <w:sz w:val="24"/>
          <w:szCs w:val="24"/>
          <w:u w:val="single"/>
          <w:lang w:val="da-DK"/>
        </w:rPr>
        <w:t>Tabel over bivirkninger</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sz w:val="24"/>
          <w:szCs w:val="24"/>
          <w:lang w:val="da-DK"/>
        </w:rPr>
      </w:pPr>
      <w:r>
        <w:rPr>
          <w:sz w:val="24"/>
          <w:szCs w:val="24"/>
          <w:lang w:val="da-DK"/>
        </w:rPr>
        <w:t xml:space="preserve">I alt fik 165 patienter 1.819 infusioner med </w:t>
      </w:r>
      <w:proofErr w:type="spellStart"/>
      <w:r>
        <w:rPr>
          <w:sz w:val="24"/>
          <w:szCs w:val="24"/>
          <w:lang w:val="da-DK"/>
        </w:rPr>
        <w:t>Iqymune</w:t>
      </w:r>
      <w:proofErr w:type="spellEnd"/>
      <w:r>
        <w:rPr>
          <w:sz w:val="24"/>
          <w:szCs w:val="24"/>
          <w:lang w:val="da-DK"/>
        </w:rPr>
        <w:t xml:space="preserve"> i de 5 kliniske forsøg, der er udført med lægemidlet.</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sz w:val="24"/>
          <w:szCs w:val="24"/>
          <w:lang w:val="da-DK"/>
        </w:rPr>
      </w:pPr>
      <w:r>
        <w:rPr>
          <w:sz w:val="24"/>
          <w:szCs w:val="24"/>
          <w:lang w:val="da-DK"/>
        </w:rPr>
        <w:t xml:space="preserve">Tabellen som kan ses herunder er i overensstemmelse med </w:t>
      </w:r>
      <w:proofErr w:type="spellStart"/>
      <w:r>
        <w:rPr>
          <w:sz w:val="24"/>
          <w:szCs w:val="24"/>
          <w:lang w:val="da-DK"/>
        </w:rPr>
        <w:t>MedDRA</w:t>
      </w:r>
      <w:proofErr w:type="spellEnd"/>
      <w:r>
        <w:rPr>
          <w:sz w:val="24"/>
          <w:szCs w:val="24"/>
          <w:lang w:val="da-DK"/>
        </w:rPr>
        <w:noBreakHyphen/>
        <w:t>organklassificering (SOC og foretrukken betegnelse).</w:t>
      </w:r>
    </w:p>
    <w:p w:rsidR="00C50630" w:rsidRDefault="00C50630" w:rsidP="00C50630">
      <w:pPr>
        <w:pStyle w:val="Brdtekst"/>
        <w:ind w:left="851"/>
        <w:jc w:val="left"/>
        <w:rPr>
          <w:sz w:val="24"/>
          <w:szCs w:val="24"/>
          <w:lang w:val="da-DK"/>
        </w:rPr>
      </w:pPr>
      <w:r>
        <w:rPr>
          <w:sz w:val="24"/>
          <w:szCs w:val="24"/>
          <w:lang w:val="da-DK"/>
        </w:rPr>
        <w:t>Hyppigheden er blevet evalueret i henhold til følgende konvention: meget almindelig (≥1/10); almindelig (≥1/100 til &lt;1/10); ikke almindelig (≥1/1.000 til &lt;1/100); sjælden (≥1/10.000 til &lt;1/1.000); meget sjælden (&lt;1/10.000), ikke kendt (kan ikke estimeres ud fra forhåndenværende data).</w:t>
      </w:r>
    </w:p>
    <w:p w:rsidR="00C50630" w:rsidRDefault="00C50630" w:rsidP="00C50630">
      <w:pPr>
        <w:pStyle w:val="Brdtekst"/>
        <w:ind w:left="851"/>
        <w:jc w:val="left"/>
        <w:rPr>
          <w:sz w:val="24"/>
          <w:szCs w:val="24"/>
          <w:lang w:val="da-DK"/>
        </w:rPr>
      </w:pPr>
    </w:p>
    <w:p w:rsidR="00C50630" w:rsidRDefault="00C50630" w:rsidP="00C50630">
      <w:pPr>
        <w:pStyle w:val="Brdtekst"/>
        <w:ind w:left="851"/>
        <w:jc w:val="left"/>
        <w:rPr>
          <w:sz w:val="24"/>
          <w:szCs w:val="24"/>
          <w:lang w:val="da-DK"/>
        </w:rPr>
      </w:pPr>
      <w:r>
        <w:rPr>
          <w:sz w:val="24"/>
          <w:szCs w:val="24"/>
          <w:lang w:val="da-DK"/>
        </w:rPr>
        <w:t>Bivirkningerne er anført efter faldende sværhedsgrad inden for hver hyppighedsgruppe.</w:t>
      </w:r>
    </w:p>
    <w:p w:rsidR="00C50630" w:rsidRDefault="00C50630" w:rsidP="00C50630">
      <w:pPr>
        <w:pStyle w:val="Brdtekst"/>
        <w:ind w:left="851"/>
        <w:jc w:val="left"/>
        <w:rPr>
          <w:sz w:val="24"/>
          <w:szCs w:val="24"/>
          <w:lang w:val="da-DK"/>
        </w:rPr>
      </w:pPr>
    </w:p>
    <w:p w:rsidR="00C50630" w:rsidRDefault="00C50630" w:rsidP="00C50630">
      <w:pPr>
        <w:autoSpaceDE w:val="0"/>
        <w:autoSpaceDN w:val="0"/>
        <w:adjustRightInd w:val="0"/>
        <w:ind w:left="851"/>
        <w:jc w:val="both"/>
        <w:rPr>
          <w:sz w:val="24"/>
          <w:szCs w:val="24"/>
        </w:rPr>
      </w:pPr>
      <w:r>
        <w:rPr>
          <w:sz w:val="24"/>
          <w:szCs w:val="24"/>
        </w:rPr>
        <w:t xml:space="preserve">Kilden til sikkerhedsdatabasen stammer fra kliniske forsøg med i alt 165 patienter, som blev eksponeret for </w:t>
      </w:r>
      <w:proofErr w:type="spellStart"/>
      <w:r>
        <w:rPr>
          <w:sz w:val="24"/>
          <w:szCs w:val="24"/>
        </w:rPr>
        <w:t>Iqymune</w:t>
      </w:r>
      <w:proofErr w:type="spellEnd"/>
      <w:r>
        <w:rPr>
          <w:sz w:val="24"/>
          <w:szCs w:val="24"/>
        </w:rPr>
        <w:t xml:space="preserve"> (med i alt 1.819 infusioner), og spontan indberetning.</w:t>
      </w:r>
    </w:p>
    <w:p w:rsidR="00812371" w:rsidRDefault="00812371" w:rsidP="00812371">
      <w:pPr>
        <w:autoSpaceDE w:val="0"/>
        <w:autoSpaceDN w:val="0"/>
        <w:adjustRightInd w:val="0"/>
        <w:ind w:left="851"/>
        <w:jc w:val="both"/>
        <w:rPr>
          <w:sz w:val="24"/>
          <w:szCs w:val="24"/>
        </w:rPr>
      </w:pPr>
    </w:p>
    <w:tbl>
      <w:tblPr>
        <w:tblW w:w="84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239"/>
        <w:gridCol w:w="1694"/>
        <w:gridCol w:w="1695"/>
      </w:tblGrid>
      <w:tr w:rsidR="00A1753E" w:rsidRPr="003B562A" w:rsidTr="00D2604A">
        <w:trPr>
          <w:cantSplit/>
          <w:trHeight w:val="300"/>
          <w:tblHeader/>
        </w:trPr>
        <w:tc>
          <w:tcPr>
            <w:tcW w:w="2835" w:type="dxa"/>
            <w:tcBorders>
              <w:top w:val="single" w:sz="4" w:space="0" w:color="auto"/>
              <w:left w:val="single" w:sz="4" w:space="0" w:color="auto"/>
              <w:bottom w:val="single" w:sz="4" w:space="0" w:color="auto"/>
              <w:right w:val="single" w:sz="4" w:space="0" w:color="auto"/>
            </w:tcBorders>
            <w:hideMark/>
          </w:tcPr>
          <w:p w:rsidR="00A1753E" w:rsidRPr="003B562A" w:rsidRDefault="00A1753E" w:rsidP="00D2604A">
            <w:pPr>
              <w:keepNext/>
              <w:keepLines/>
              <w:autoSpaceDE w:val="0"/>
              <w:autoSpaceDN w:val="0"/>
              <w:adjustRightInd w:val="0"/>
              <w:rPr>
                <w:sz w:val="24"/>
                <w:szCs w:val="24"/>
              </w:rPr>
            </w:pPr>
            <w:r w:rsidRPr="003B562A">
              <w:rPr>
                <w:b/>
                <w:sz w:val="24"/>
                <w:szCs w:val="24"/>
              </w:rPr>
              <w:t xml:space="preserve">Systemorganklasse iht. </w:t>
            </w:r>
            <w:proofErr w:type="spellStart"/>
            <w:r w:rsidRPr="003B562A">
              <w:rPr>
                <w:b/>
                <w:sz w:val="24"/>
                <w:szCs w:val="24"/>
              </w:rPr>
              <w:t>MedDRA</w:t>
            </w:r>
            <w:proofErr w:type="spellEnd"/>
          </w:p>
        </w:tc>
        <w:tc>
          <w:tcPr>
            <w:tcW w:w="2239" w:type="dxa"/>
            <w:tcBorders>
              <w:top w:val="single" w:sz="4" w:space="0" w:color="auto"/>
              <w:left w:val="single" w:sz="4" w:space="0" w:color="auto"/>
              <w:bottom w:val="single" w:sz="4" w:space="0" w:color="auto"/>
              <w:right w:val="single" w:sz="4" w:space="0" w:color="auto"/>
            </w:tcBorders>
            <w:vAlign w:val="center"/>
            <w:hideMark/>
          </w:tcPr>
          <w:p w:rsidR="00A1753E" w:rsidRPr="003B562A" w:rsidRDefault="00A1753E" w:rsidP="00D2604A">
            <w:pPr>
              <w:keepNext/>
              <w:keepLines/>
              <w:autoSpaceDE w:val="0"/>
              <w:autoSpaceDN w:val="0"/>
              <w:adjustRightInd w:val="0"/>
              <w:rPr>
                <w:sz w:val="24"/>
                <w:szCs w:val="24"/>
              </w:rPr>
            </w:pPr>
            <w:r w:rsidRPr="003B562A">
              <w:rPr>
                <w:b/>
                <w:sz w:val="24"/>
                <w:szCs w:val="24"/>
              </w:rPr>
              <w:t>Bivirkning</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b/>
                <w:sz w:val="24"/>
                <w:szCs w:val="24"/>
              </w:rPr>
              <w:t>Hyppighed pr. patient</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b/>
                <w:bCs/>
                <w:sz w:val="24"/>
                <w:szCs w:val="24"/>
              </w:rPr>
            </w:pPr>
            <w:r w:rsidRPr="003B562A">
              <w:rPr>
                <w:b/>
                <w:bCs/>
                <w:sz w:val="24"/>
                <w:szCs w:val="24"/>
              </w:rPr>
              <w:t>Hyppighed pr. infusion</w:t>
            </w:r>
          </w:p>
        </w:tc>
      </w:tr>
      <w:tr w:rsidR="00A1753E" w:rsidRPr="003B562A" w:rsidTr="00D2604A">
        <w:trPr>
          <w:cantSplit/>
          <w:trHeight w:val="300"/>
        </w:trPr>
        <w:tc>
          <w:tcPr>
            <w:tcW w:w="2835" w:type="dxa"/>
            <w:vMerge w:val="restart"/>
            <w:tcBorders>
              <w:top w:val="single" w:sz="4" w:space="0" w:color="auto"/>
              <w:left w:val="single" w:sz="4" w:space="0" w:color="auto"/>
              <w:right w:val="single" w:sz="4" w:space="0" w:color="auto"/>
            </w:tcBorders>
            <w:hideMark/>
          </w:tcPr>
          <w:p w:rsidR="00A1753E" w:rsidRPr="003B562A" w:rsidRDefault="00A1753E" w:rsidP="00D2604A">
            <w:pPr>
              <w:keepNext/>
              <w:keepLines/>
              <w:autoSpaceDE w:val="0"/>
              <w:autoSpaceDN w:val="0"/>
              <w:adjustRightInd w:val="0"/>
              <w:rPr>
                <w:sz w:val="24"/>
                <w:szCs w:val="24"/>
              </w:rPr>
            </w:pPr>
            <w:r w:rsidRPr="003B562A">
              <w:rPr>
                <w:b/>
                <w:sz w:val="24"/>
                <w:szCs w:val="24"/>
              </w:rPr>
              <w:t>Blod og lymfesystem</w:t>
            </w:r>
          </w:p>
        </w:tc>
        <w:tc>
          <w:tcPr>
            <w:tcW w:w="2239" w:type="dxa"/>
            <w:tcBorders>
              <w:top w:val="single" w:sz="4" w:space="0" w:color="auto"/>
              <w:left w:val="single" w:sz="4" w:space="0" w:color="auto"/>
              <w:bottom w:val="single" w:sz="4" w:space="0" w:color="auto"/>
              <w:right w:val="single" w:sz="4" w:space="0" w:color="auto"/>
            </w:tcBorders>
            <w:vAlign w:val="center"/>
            <w:hideMark/>
          </w:tcPr>
          <w:p w:rsidR="00A1753E" w:rsidRPr="003B562A" w:rsidRDefault="00A1753E" w:rsidP="00D2604A">
            <w:pPr>
              <w:keepNext/>
              <w:keepLines/>
              <w:rPr>
                <w:sz w:val="24"/>
                <w:szCs w:val="24"/>
              </w:rPr>
            </w:pPr>
            <w:proofErr w:type="spellStart"/>
            <w:r w:rsidRPr="003B562A">
              <w:rPr>
                <w:sz w:val="24"/>
                <w:szCs w:val="24"/>
              </w:rPr>
              <w:t>Neutropeni</w:t>
            </w:r>
            <w:proofErr w:type="spellEnd"/>
          </w:p>
        </w:tc>
        <w:tc>
          <w:tcPr>
            <w:tcW w:w="1694" w:type="dxa"/>
            <w:tcBorders>
              <w:top w:val="single" w:sz="4" w:space="0" w:color="auto"/>
              <w:left w:val="single" w:sz="4" w:space="0" w:color="auto"/>
              <w:bottom w:val="single" w:sz="4" w:space="0" w:color="auto"/>
              <w:right w:val="single" w:sz="4" w:space="0" w:color="auto"/>
            </w:tcBorders>
            <w:vAlign w:val="center"/>
            <w:hideMark/>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r>
      <w:tr w:rsidR="00A1753E" w:rsidRPr="003B562A" w:rsidTr="00D2604A">
        <w:trPr>
          <w:cantSplit/>
          <w:trHeight w:val="300"/>
        </w:trPr>
        <w:tc>
          <w:tcPr>
            <w:tcW w:w="2835" w:type="dxa"/>
            <w:vMerge/>
            <w:tcBorders>
              <w:left w:val="single" w:sz="4" w:space="0" w:color="auto"/>
              <w:right w:val="single" w:sz="4" w:space="0" w:color="auto"/>
            </w:tcBorders>
            <w:hideMark/>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hideMark/>
          </w:tcPr>
          <w:p w:rsidR="00A1753E" w:rsidRPr="003B562A" w:rsidRDefault="00A1753E" w:rsidP="00D2604A">
            <w:pPr>
              <w:keepNext/>
              <w:keepLines/>
              <w:rPr>
                <w:sz w:val="24"/>
                <w:szCs w:val="24"/>
              </w:rPr>
            </w:pPr>
            <w:proofErr w:type="spellStart"/>
            <w:r w:rsidRPr="003B562A">
              <w:rPr>
                <w:sz w:val="24"/>
                <w:szCs w:val="24"/>
              </w:rPr>
              <w:t>Leukopeni</w:t>
            </w:r>
            <w:proofErr w:type="spellEnd"/>
          </w:p>
        </w:tc>
        <w:tc>
          <w:tcPr>
            <w:tcW w:w="1694" w:type="dxa"/>
            <w:tcBorders>
              <w:top w:val="single" w:sz="4" w:space="0" w:color="auto"/>
              <w:left w:val="single" w:sz="4" w:space="0" w:color="auto"/>
              <w:bottom w:val="single" w:sz="4" w:space="0" w:color="auto"/>
              <w:right w:val="single" w:sz="4" w:space="0" w:color="auto"/>
            </w:tcBorders>
            <w:vAlign w:val="center"/>
            <w:hideMark/>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Anæmi</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proofErr w:type="spellStart"/>
            <w:r w:rsidRPr="003B562A">
              <w:rPr>
                <w:sz w:val="24"/>
                <w:szCs w:val="24"/>
              </w:rPr>
              <w:t>Lymfopeni</w:t>
            </w:r>
            <w:proofErr w:type="spellEnd"/>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proofErr w:type="spellStart"/>
            <w:r w:rsidRPr="003B562A">
              <w:rPr>
                <w:sz w:val="24"/>
                <w:szCs w:val="24"/>
              </w:rPr>
              <w:t>Monocytopeni</w:t>
            </w:r>
            <w:proofErr w:type="spellEnd"/>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bottom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proofErr w:type="spellStart"/>
            <w:r w:rsidRPr="003B562A">
              <w:rPr>
                <w:sz w:val="24"/>
                <w:szCs w:val="24"/>
              </w:rPr>
              <w:t>Hæmolytisk</w:t>
            </w:r>
            <w:proofErr w:type="spellEnd"/>
            <w:r w:rsidRPr="003B562A">
              <w:rPr>
                <w:sz w:val="24"/>
                <w:szCs w:val="24"/>
              </w:rPr>
              <w:t xml:space="preserve"> anæmi</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kendt</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kendt</w:t>
            </w:r>
          </w:p>
        </w:tc>
      </w:tr>
      <w:tr w:rsidR="00A1753E" w:rsidRPr="003B562A" w:rsidTr="00D2604A">
        <w:trPr>
          <w:cantSplit/>
          <w:trHeight w:val="300"/>
        </w:trPr>
        <w:tc>
          <w:tcPr>
            <w:tcW w:w="8463" w:type="dxa"/>
            <w:gridSpan w:val="4"/>
            <w:tcBorders>
              <w:left w:val="single" w:sz="4" w:space="0" w:color="auto"/>
              <w:bottom w:val="single" w:sz="4" w:space="0" w:color="auto"/>
              <w:right w:val="single" w:sz="4" w:space="0" w:color="auto"/>
            </w:tcBorders>
          </w:tcPr>
          <w:p w:rsidR="00A1753E" w:rsidRPr="003B562A" w:rsidRDefault="00A1753E" w:rsidP="00D2604A">
            <w:pPr>
              <w:keepNext/>
              <w:widowControl w:val="0"/>
              <w:rPr>
                <w:sz w:val="24"/>
                <w:szCs w:val="24"/>
              </w:rPr>
            </w:pPr>
          </w:p>
        </w:tc>
      </w:tr>
      <w:tr w:rsidR="00A1753E" w:rsidRPr="003B562A" w:rsidTr="00D2604A">
        <w:trPr>
          <w:cantSplit/>
          <w:trHeight w:val="300"/>
        </w:trPr>
        <w:tc>
          <w:tcPr>
            <w:tcW w:w="2835" w:type="dxa"/>
            <w:vMerge w:val="restart"/>
            <w:tcBorders>
              <w:top w:val="single" w:sz="4" w:space="0" w:color="auto"/>
              <w:left w:val="single" w:sz="4" w:space="0" w:color="auto"/>
              <w:right w:val="single" w:sz="4" w:space="0" w:color="auto"/>
            </w:tcBorders>
            <w:hideMark/>
          </w:tcPr>
          <w:p w:rsidR="00A1753E" w:rsidRPr="003B562A" w:rsidRDefault="00A1753E" w:rsidP="00D2604A">
            <w:pPr>
              <w:keepNext/>
              <w:keepLines/>
              <w:autoSpaceDE w:val="0"/>
              <w:autoSpaceDN w:val="0"/>
              <w:adjustRightInd w:val="0"/>
              <w:rPr>
                <w:sz w:val="24"/>
                <w:szCs w:val="24"/>
              </w:rPr>
            </w:pPr>
            <w:r w:rsidRPr="003B562A">
              <w:rPr>
                <w:b/>
                <w:sz w:val="24"/>
                <w:szCs w:val="24"/>
              </w:rPr>
              <w:t>Immunsystemet</w:t>
            </w:r>
          </w:p>
        </w:tc>
        <w:tc>
          <w:tcPr>
            <w:tcW w:w="2239" w:type="dxa"/>
            <w:tcBorders>
              <w:top w:val="single" w:sz="4" w:space="0" w:color="auto"/>
              <w:left w:val="single" w:sz="4" w:space="0" w:color="auto"/>
              <w:bottom w:val="single" w:sz="4" w:space="0" w:color="auto"/>
              <w:right w:val="single" w:sz="4" w:space="0" w:color="auto"/>
            </w:tcBorders>
            <w:vAlign w:val="center"/>
            <w:hideMark/>
          </w:tcPr>
          <w:p w:rsidR="00A1753E" w:rsidRPr="003B562A" w:rsidRDefault="00A1753E" w:rsidP="00D2604A">
            <w:pPr>
              <w:keepNext/>
              <w:keepLines/>
              <w:rPr>
                <w:sz w:val="24"/>
                <w:szCs w:val="24"/>
              </w:rPr>
            </w:pPr>
            <w:proofErr w:type="spellStart"/>
            <w:r w:rsidRPr="003B562A">
              <w:rPr>
                <w:sz w:val="24"/>
                <w:szCs w:val="24"/>
              </w:rPr>
              <w:t>Anafylaktisk</w:t>
            </w:r>
            <w:proofErr w:type="spellEnd"/>
            <w:r w:rsidRPr="003B562A">
              <w:rPr>
                <w:sz w:val="24"/>
                <w:szCs w:val="24"/>
              </w:rPr>
              <w:t xml:space="preserve"> reaktion</w:t>
            </w:r>
          </w:p>
        </w:tc>
        <w:tc>
          <w:tcPr>
            <w:tcW w:w="1694" w:type="dxa"/>
            <w:tcBorders>
              <w:top w:val="single" w:sz="4" w:space="0" w:color="auto"/>
              <w:left w:val="single" w:sz="4" w:space="0" w:color="auto"/>
              <w:bottom w:val="single" w:sz="4" w:space="0" w:color="auto"/>
              <w:right w:val="single" w:sz="4" w:space="0" w:color="auto"/>
            </w:tcBorders>
            <w:vAlign w:val="center"/>
            <w:hideMark/>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bottom w:val="single" w:sz="4" w:space="0" w:color="auto"/>
              <w:right w:val="single" w:sz="4" w:space="0" w:color="auto"/>
            </w:tcBorders>
          </w:tcPr>
          <w:p w:rsidR="00A1753E" w:rsidRPr="003B562A" w:rsidRDefault="00A1753E" w:rsidP="00D2604A">
            <w:pPr>
              <w:keepNext/>
              <w:keepLines/>
              <w:autoSpaceDE w:val="0"/>
              <w:autoSpaceDN w:val="0"/>
              <w:adjustRightInd w:val="0"/>
              <w:rPr>
                <w:b/>
                <w:sz w:val="24"/>
                <w:szCs w:val="24"/>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proofErr w:type="spellStart"/>
            <w:r w:rsidRPr="003B562A">
              <w:rPr>
                <w:sz w:val="24"/>
                <w:szCs w:val="24"/>
              </w:rPr>
              <w:t>Anafylaktisk</w:t>
            </w:r>
            <w:proofErr w:type="spellEnd"/>
            <w:r w:rsidRPr="003B562A">
              <w:rPr>
                <w:sz w:val="24"/>
                <w:szCs w:val="24"/>
              </w:rPr>
              <w:t xml:space="preserve"> </w:t>
            </w:r>
            <w:proofErr w:type="spellStart"/>
            <w:r w:rsidRPr="003B562A">
              <w:rPr>
                <w:sz w:val="24"/>
                <w:szCs w:val="24"/>
              </w:rPr>
              <w:t>shock</w:t>
            </w:r>
            <w:proofErr w:type="spellEnd"/>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kendt</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kendt</w:t>
            </w:r>
          </w:p>
        </w:tc>
      </w:tr>
      <w:tr w:rsidR="00A1753E" w:rsidRPr="003B562A" w:rsidTr="00D2604A">
        <w:trPr>
          <w:cantSplit/>
          <w:trHeight w:val="300"/>
        </w:trPr>
        <w:tc>
          <w:tcPr>
            <w:tcW w:w="8463" w:type="dxa"/>
            <w:gridSpan w:val="4"/>
            <w:tcBorders>
              <w:left w:val="single" w:sz="4" w:space="0" w:color="auto"/>
              <w:bottom w:val="single" w:sz="4" w:space="0" w:color="auto"/>
              <w:right w:val="single" w:sz="4" w:space="0" w:color="auto"/>
            </w:tcBorders>
          </w:tcPr>
          <w:p w:rsidR="00A1753E" w:rsidRPr="003B562A" w:rsidRDefault="00A1753E" w:rsidP="00D2604A">
            <w:pPr>
              <w:widowControl w:val="0"/>
              <w:rPr>
                <w:sz w:val="24"/>
                <w:szCs w:val="24"/>
              </w:rPr>
            </w:pPr>
          </w:p>
        </w:tc>
      </w:tr>
      <w:tr w:rsidR="00A1753E" w:rsidRPr="003B562A" w:rsidTr="00D2604A">
        <w:trPr>
          <w:cantSplit/>
          <w:trHeight w:val="300"/>
        </w:trPr>
        <w:tc>
          <w:tcPr>
            <w:tcW w:w="2835" w:type="dxa"/>
            <w:vMerge w:val="restart"/>
            <w:tcBorders>
              <w:top w:val="single" w:sz="4" w:space="0" w:color="auto"/>
              <w:left w:val="single" w:sz="4" w:space="0" w:color="auto"/>
              <w:right w:val="single" w:sz="4" w:space="0" w:color="auto"/>
            </w:tcBorders>
            <w:hideMark/>
          </w:tcPr>
          <w:p w:rsidR="00A1753E" w:rsidRPr="003B562A" w:rsidRDefault="00A1753E" w:rsidP="00D2604A">
            <w:pPr>
              <w:keepNext/>
              <w:keepLines/>
              <w:autoSpaceDE w:val="0"/>
              <w:autoSpaceDN w:val="0"/>
              <w:adjustRightInd w:val="0"/>
              <w:rPr>
                <w:sz w:val="24"/>
                <w:szCs w:val="24"/>
              </w:rPr>
            </w:pPr>
            <w:r w:rsidRPr="003B562A">
              <w:rPr>
                <w:b/>
                <w:sz w:val="24"/>
                <w:szCs w:val="24"/>
              </w:rPr>
              <w:t>Nervesystemet</w:t>
            </w:r>
          </w:p>
        </w:tc>
        <w:tc>
          <w:tcPr>
            <w:tcW w:w="2239" w:type="dxa"/>
            <w:tcBorders>
              <w:top w:val="single" w:sz="4" w:space="0" w:color="auto"/>
              <w:left w:val="single" w:sz="4" w:space="0" w:color="auto"/>
              <w:bottom w:val="single" w:sz="4" w:space="0" w:color="auto"/>
              <w:right w:val="single" w:sz="4" w:space="0" w:color="auto"/>
            </w:tcBorders>
            <w:vAlign w:val="center"/>
            <w:hideMark/>
          </w:tcPr>
          <w:p w:rsidR="00A1753E" w:rsidRPr="003B562A" w:rsidRDefault="00A1753E" w:rsidP="00D2604A">
            <w:pPr>
              <w:keepNext/>
              <w:keepLines/>
              <w:rPr>
                <w:sz w:val="24"/>
                <w:szCs w:val="24"/>
              </w:rPr>
            </w:pPr>
            <w:r w:rsidRPr="003B562A">
              <w:rPr>
                <w:sz w:val="24"/>
                <w:szCs w:val="24"/>
              </w:rPr>
              <w:t>Hovedpine</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Meget 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r>
      <w:tr w:rsidR="00A1753E" w:rsidRPr="003B562A" w:rsidTr="00D2604A">
        <w:trPr>
          <w:cantSplit/>
          <w:trHeight w:val="300"/>
        </w:trPr>
        <w:tc>
          <w:tcPr>
            <w:tcW w:w="2835" w:type="dxa"/>
            <w:vMerge/>
            <w:tcBorders>
              <w:left w:val="single" w:sz="4" w:space="0" w:color="auto"/>
              <w:right w:val="single" w:sz="4" w:space="0" w:color="auto"/>
            </w:tcBorders>
            <w:hideMark/>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hideMark/>
          </w:tcPr>
          <w:p w:rsidR="00A1753E" w:rsidRPr="003B562A" w:rsidRDefault="00A1753E" w:rsidP="00D2604A">
            <w:pPr>
              <w:keepNext/>
              <w:keepLines/>
              <w:rPr>
                <w:sz w:val="24"/>
                <w:szCs w:val="24"/>
              </w:rPr>
            </w:pPr>
            <w:r w:rsidRPr="003B562A">
              <w:rPr>
                <w:sz w:val="24"/>
                <w:szCs w:val="24"/>
              </w:rPr>
              <w:t xml:space="preserve">Svimmelhed, herunder </w:t>
            </w:r>
            <w:proofErr w:type="spellStart"/>
            <w:r w:rsidRPr="003B562A">
              <w:rPr>
                <w:sz w:val="24"/>
                <w:szCs w:val="24"/>
              </w:rPr>
              <w:t>vertigo</w:t>
            </w:r>
            <w:proofErr w:type="spellEnd"/>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right w:val="single" w:sz="4" w:space="0" w:color="auto"/>
            </w:tcBorders>
            <w:hideMark/>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Migræne</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Transitorisk iskæmisk attak</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Sjælden</w:t>
            </w:r>
          </w:p>
        </w:tc>
      </w:tr>
      <w:tr w:rsidR="00A1753E" w:rsidRPr="003B562A" w:rsidTr="00D2604A">
        <w:trPr>
          <w:cantSplit/>
          <w:trHeight w:val="300"/>
        </w:trPr>
        <w:tc>
          <w:tcPr>
            <w:tcW w:w="2835" w:type="dxa"/>
            <w:vMerge/>
            <w:tcBorders>
              <w:left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Aseptisk meningitis</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Sjælden</w:t>
            </w:r>
          </w:p>
        </w:tc>
      </w:tr>
      <w:tr w:rsidR="00A1753E" w:rsidRPr="003B562A" w:rsidTr="00D2604A">
        <w:trPr>
          <w:cantSplit/>
          <w:trHeight w:val="300"/>
        </w:trPr>
        <w:tc>
          <w:tcPr>
            <w:tcW w:w="2835" w:type="dxa"/>
            <w:vMerge/>
            <w:tcBorders>
              <w:left w:val="single" w:sz="4" w:space="0" w:color="auto"/>
              <w:bottom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proofErr w:type="spellStart"/>
            <w:r w:rsidRPr="003B562A">
              <w:rPr>
                <w:sz w:val="24"/>
                <w:szCs w:val="24"/>
              </w:rPr>
              <w:t>Paræstesi</w:t>
            </w:r>
            <w:proofErr w:type="spellEnd"/>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Sjælden</w:t>
            </w:r>
          </w:p>
        </w:tc>
      </w:tr>
      <w:tr w:rsidR="00A1753E" w:rsidRPr="003B562A" w:rsidTr="00D2604A">
        <w:trPr>
          <w:cantSplit/>
          <w:trHeight w:val="300"/>
        </w:trPr>
        <w:tc>
          <w:tcPr>
            <w:tcW w:w="8463" w:type="dxa"/>
            <w:gridSpan w:val="4"/>
            <w:tcBorders>
              <w:top w:val="single" w:sz="4" w:space="0" w:color="auto"/>
              <w:left w:val="single" w:sz="4" w:space="0" w:color="auto"/>
              <w:bottom w:val="single" w:sz="4" w:space="0" w:color="auto"/>
              <w:right w:val="single" w:sz="4" w:space="0" w:color="auto"/>
            </w:tcBorders>
          </w:tcPr>
          <w:p w:rsidR="00A1753E" w:rsidRPr="003B562A" w:rsidRDefault="00A1753E" w:rsidP="00D2604A">
            <w:pPr>
              <w:widowControl w:val="0"/>
              <w:rPr>
                <w:sz w:val="24"/>
                <w:szCs w:val="24"/>
              </w:rPr>
            </w:pPr>
          </w:p>
        </w:tc>
      </w:tr>
      <w:tr w:rsidR="00A1753E" w:rsidRPr="003B562A" w:rsidTr="00D2604A">
        <w:trPr>
          <w:cantSplit/>
          <w:trHeight w:val="300"/>
        </w:trPr>
        <w:tc>
          <w:tcPr>
            <w:tcW w:w="2835" w:type="dxa"/>
            <w:vMerge w:val="restart"/>
            <w:tcBorders>
              <w:top w:val="single" w:sz="4" w:space="0" w:color="auto"/>
              <w:left w:val="single" w:sz="4" w:space="0" w:color="auto"/>
              <w:right w:val="single" w:sz="4" w:space="0" w:color="auto"/>
            </w:tcBorders>
            <w:hideMark/>
          </w:tcPr>
          <w:p w:rsidR="00A1753E" w:rsidRPr="003B562A" w:rsidRDefault="00A1753E" w:rsidP="00D2604A">
            <w:pPr>
              <w:keepNext/>
              <w:keepLines/>
              <w:autoSpaceDE w:val="0"/>
              <w:autoSpaceDN w:val="0"/>
              <w:adjustRightInd w:val="0"/>
              <w:rPr>
                <w:sz w:val="24"/>
                <w:szCs w:val="24"/>
              </w:rPr>
            </w:pPr>
            <w:r w:rsidRPr="003B562A">
              <w:rPr>
                <w:b/>
                <w:sz w:val="24"/>
                <w:szCs w:val="24"/>
              </w:rPr>
              <w:t>Øjne</w:t>
            </w:r>
          </w:p>
        </w:tc>
        <w:tc>
          <w:tcPr>
            <w:tcW w:w="2239" w:type="dxa"/>
            <w:tcBorders>
              <w:top w:val="single" w:sz="4" w:space="0" w:color="auto"/>
              <w:left w:val="single" w:sz="4" w:space="0" w:color="auto"/>
              <w:bottom w:val="single" w:sz="4" w:space="0" w:color="auto"/>
              <w:right w:val="single" w:sz="4" w:space="0" w:color="auto"/>
            </w:tcBorders>
            <w:vAlign w:val="center"/>
            <w:hideMark/>
          </w:tcPr>
          <w:p w:rsidR="00A1753E" w:rsidRPr="003B562A" w:rsidRDefault="00A1753E" w:rsidP="00D2604A">
            <w:pPr>
              <w:keepNext/>
              <w:keepLines/>
              <w:rPr>
                <w:sz w:val="24"/>
                <w:szCs w:val="24"/>
              </w:rPr>
            </w:pPr>
            <w:r w:rsidRPr="003B562A">
              <w:rPr>
                <w:sz w:val="24"/>
                <w:szCs w:val="24"/>
              </w:rPr>
              <w:t xml:space="preserve">Allergisk </w:t>
            </w:r>
            <w:proofErr w:type="spellStart"/>
            <w:r w:rsidRPr="003B562A">
              <w:rPr>
                <w:sz w:val="24"/>
                <w:szCs w:val="24"/>
              </w:rPr>
              <w:t>blefaritis</w:t>
            </w:r>
            <w:proofErr w:type="spellEnd"/>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Sjælden</w:t>
            </w:r>
          </w:p>
        </w:tc>
      </w:tr>
      <w:tr w:rsidR="00A1753E" w:rsidRPr="003B562A" w:rsidTr="00D2604A">
        <w:trPr>
          <w:cantSplit/>
          <w:trHeight w:val="300"/>
        </w:trPr>
        <w:tc>
          <w:tcPr>
            <w:tcW w:w="2835" w:type="dxa"/>
            <w:vMerge/>
            <w:tcBorders>
              <w:left w:val="single" w:sz="4" w:space="0" w:color="auto"/>
              <w:bottom w:val="single" w:sz="4" w:space="0" w:color="auto"/>
              <w:right w:val="single" w:sz="4" w:space="0" w:color="auto"/>
            </w:tcBorders>
          </w:tcPr>
          <w:p w:rsidR="00A1753E" w:rsidRPr="003B562A" w:rsidRDefault="00A1753E" w:rsidP="00D2604A">
            <w:pPr>
              <w:keepNext/>
              <w:keepLines/>
              <w:autoSpaceDE w:val="0"/>
              <w:autoSpaceDN w:val="0"/>
              <w:adjustRightInd w:val="0"/>
              <w:rPr>
                <w:b/>
                <w:sz w:val="24"/>
                <w:szCs w:val="24"/>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Øjenirritation</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Sjælden</w:t>
            </w:r>
          </w:p>
        </w:tc>
      </w:tr>
      <w:tr w:rsidR="00A1753E" w:rsidRPr="003B562A" w:rsidTr="00D2604A">
        <w:trPr>
          <w:cantSplit/>
          <w:trHeight w:val="300"/>
        </w:trPr>
        <w:tc>
          <w:tcPr>
            <w:tcW w:w="8463" w:type="dxa"/>
            <w:gridSpan w:val="4"/>
            <w:tcBorders>
              <w:top w:val="single" w:sz="4" w:space="0" w:color="auto"/>
              <w:left w:val="single" w:sz="4" w:space="0" w:color="auto"/>
              <w:bottom w:val="single" w:sz="4" w:space="0" w:color="auto"/>
              <w:right w:val="single" w:sz="4" w:space="0" w:color="auto"/>
            </w:tcBorders>
          </w:tcPr>
          <w:p w:rsidR="00A1753E" w:rsidRPr="003B562A" w:rsidRDefault="00A1753E" w:rsidP="00D2604A">
            <w:pPr>
              <w:keepNext/>
              <w:keepLines/>
              <w:rPr>
                <w:sz w:val="24"/>
                <w:szCs w:val="24"/>
              </w:rPr>
            </w:pPr>
          </w:p>
        </w:tc>
      </w:tr>
      <w:tr w:rsidR="00A1753E" w:rsidRPr="003B562A" w:rsidTr="00D2604A">
        <w:trPr>
          <w:cantSplit/>
          <w:trHeight w:val="300"/>
        </w:trPr>
        <w:tc>
          <w:tcPr>
            <w:tcW w:w="2835" w:type="dxa"/>
            <w:vMerge w:val="restart"/>
            <w:tcBorders>
              <w:top w:val="single" w:sz="4" w:space="0" w:color="auto"/>
              <w:left w:val="single" w:sz="4" w:space="0" w:color="auto"/>
              <w:right w:val="single" w:sz="4" w:space="0" w:color="auto"/>
            </w:tcBorders>
            <w:hideMark/>
          </w:tcPr>
          <w:p w:rsidR="00A1753E" w:rsidRPr="003B562A" w:rsidRDefault="00A1753E" w:rsidP="00D2604A">
            <w:pPr>
              <w:keepNext/>
              <w:keepLines/>
              <w:autoSpaceDE w:val="0"/>
              <w:autoSpaceDN w:val="0"/>
              <w:adjustRightInd w:val="0"/>
              <w:rPr>
                <w:sz w:val="24"/>
                <w:szCs w:val="24"/>
              </w:rPr>
            </w:pPr>
            <w:proofErr w:type="spellStart"/>
            <w:r w:rsidRPr="003B562A">
              <w:rPr>
                <w:b/>
                <w:sz w:val="24"/>
                <w:szCs w:val="24"/>
              </w:rPr>
              <w:t>Vaskulære</w:t>
            </w:r>
            <w:proofErr w:type="spellEnd"/>
            <w:r w:rsidRPr="003B562A">
              <w:rPr>
                <w:b/>
                <w:sz w:val="24"/>
                <w:szCs w:val="24"/>
              </w:rPr>
              <w:t xml:space="preserve"> sygdomme</w:t>
            </w:r>
          </w:p>
        </w:tc>
        <w:tc>
          <w:tcPr>
            <w:tcW w:w="2239" w:type="dxa"/>
            <w:tcBorders>
              <w:top w:val="single" w:sz="4" w:space="0" w:color="auto"/>
              <w:left w:val="single" w:sz="4" w:space="0" w:color="auto"/>
              <w:bottom w:val="single" w:sz="4" w:space="0" w:color="auto"/>
              <w:right w:val="single" w:sz="4" w:space="0" w:color="auto"/>
            </w:tcBorders>
            <w:vAlign w:val="center"/>
            <w:hideMark/>
          </w:tcPr>
          <w:p w:rsidR="00A1753E" w:rsidRPr="003B562A" w:rsidRDefault="00A1753E" w:rsidP="00D2604A">
            <w:pPr>
              <w:keepNext/>
              <w:keepLines/>
              <w:rPr>
                <w:sz w:val="24"/>
                <w:szCs w:val="24"/>
              </w:rPr>
            </w:pPr>
            <w:r w:rsidRPr="003B562A">
              <w:rPr>
                <w:sz w:val="24"/>
                <w:szCs w:val="24"/>
              </w:rPr>
              <w:t>Hypertension</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r>
      <w:tr w:rsidR="00A1753E" w:rsidRPr="003B562A" w:rsidTr="00D2604A">
        <w:trPr>
          <w:cantSplit/>
          <w:trHeight w:val="300"/>
        </w:trPr>
        <w:tc>
          <w:tcPr>
            <w:tcW w:w="2835" w:type="dxa"/>
            <w:vMerge/>
            <w:tcBorders>
              <w:left w:val="single" w:sz="4" w:space="0" w:color="auto"/>
              <w:right w:val="single" w:sz="4" w:space="0" w:color="auto"/>
            </w:tcBorders>
            <w:hideMark/>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hideMark/>
          </w:tcPr>
          <w:p w:rsidR="00A1753E" w:rsidRPr="003B562A" w:rsidRDefault="00A1753E" w:rsidP="00D2604A">
            <w:pPr>
              <w:keepNext/>
              <w:keepLines/>
              <w:rPr>
                <w:sz w:val="24"/>
                <w:szCs w:val="24"/>
              </w:rPr>
            </w:pPr>
            <w:r w:rsidRPr="003B562A">
              <w:rPr>
                <w:sz w:val="24"/>
                <w:szCs w:val="24"/>
              </w:rPr>
              <w:t>Perifer cyanose</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Sjælden</w:t>
            </w:r>
          </w:p>
        </w:tc>
      </w:tr>
      <w:tr w:rsidR="00A1753E" w:rsidRPr="003B562A" w:rsidTr="00D2604A">
        <w:trPr>
          <w:cantSplit/>
          <w:trHeight w:val="300"/>
        </w:trPr>
        <w:tc>
          <w:tcPr>
            <w:tcW w:w="2835" w:type="dxa"/>
            <w:vMerge/>
            <w:tcBorders>
              <w:left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proofErr w:type="spellStart"/>
            <w:r w:rsidRPr="003B562A">
              <w:rPr>
                <w:sz w:val="24"/>
                <w:szCs w:val="24"/>
              </w:rPr>
              <w:t>Tromboemboliske</w:t>
            </w:r>
            <w:proofErr w:type="spellEnd"/>
            <w:r w:rsidRPr="003B562A">
              <w:rPr>
                <w:sz w:val="24"/>
                <w:szCs w:val="24"/>
              </w:rPr>
              <w:t xml:space="preserve"> reaktioner (herunder myokardieinfarkt, stroke, </w:t>
            </w:r>
            <w:proofErr w:type="spellStart"/>
            <w:r w:rsidRPr="003B562A">
              <w:rPr>
                <w:sz w:val="24"/>
                <w:szCs w:val="24"/>
              </w:rPr>
              <w:t>lungeemboli</w:t>
            </w:r>
            <w:proofErr w:type="spellEnd"/>
            <w:r w:rsidRPr="003B562A">
              <w:rPr>
                <w:sz w:val="24"/>
                <w:szCs w:val="24"/>
              </w:rPr>
              <w:t>, dyb venetrombose)</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kendt</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kendt</w:t>
            </w:r>
          </w:p>
        </w:tc>
      </w:tr>
      <w:tr w:rsidR="00A1753E" w:rsidRPr="003B562A" w:rsidTr="00D2604A">
        <w:trPr>
          <w:cantSplit/>
          <w:trHeight w:val="300"/>
        </w:trPr>
        <w:tc>
          <w:tcPr>
            <w:tcW w:w="2835" w:type="dxa"/>
            <w:vMerge/>
            <w:tcBorders>
              <w:left w:val="single" w:sz="4" w:space="0" w:color="auto"/>
              <w:bottom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Hedeture</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Sjælden</w:t>
            </w:r>
          </w:p>
        </w:tc>
      </w:tr>
      <w:tr w:rsidR="00A1753E" w:rsidRPr="003B562A" w:rsidTr="00D2604A">
        <w:trPr>
          <w:cantSplit/>
          <w:trHeight w:val="300"/>
        </w:trPr>
        <w:tc>
          <w:tcPr>
            <w:tcW w:w="8463" w:type="dxa"/>
            <w:gridSpan w:val="4"/>
            <w:tcBorders>
              <w:top w:val="single" w:sz="4" w:space="0" w:color="auto"/>
              <w:left w:val="single" w:sz="4" w:space="0" w:color="auto"/>
              <w:bottom w:val="single" w:sz="4" w:space="0" w:color="auto"/>
              <w:right w:val="single" w:sz="4" w:space="0" w:color="auto"/>
            </w:tcBorders>
          </w:tcPr>
          <w:p w:rsidR="00A1753E" w:rsidRPr="003B562A" w:rsidRDefault="00A1753E" w:rsidP="00D2604A">
            <w:pPr>
              <w:widowControl w:val="0"/>
              <w:rPr>
                <w:sz w:val="24"/>
                <w:szCs w:val="24"/>
              </w:rPr>
            </w:pPr>
          </w:p>
        </w:tc>
      </w:tr>
      <w:tr w:rsidR="00A1753E" w:rsidRPr="003B562A" w:rsidTr="00D2604A">
        <w:trPr>
          <w:cantSplit/>
          <w:trHeight w:val="300"/>
        </w:trPr>
        <w:tc>
          <w:tcPr>
            <w:tcW w:w="2835" w:type="dxa"/>
            <w:tcBorders>
              <w:top w:val="single" w:sz="4" w:space="0" w:color="auto"/>
              <w:left w:val="single" w:sz="4" w:space="0" w:color="auto"/>
              <w:bottom w:val="single" w:sz="4" w:space="0" w:color="auto"/>
              <w:right w:val="single" w:sz="4" w:space="0" w:color="auto"/>
            </w:tcBorders>
          </w:tcPr>
          <w:p w:rsidR="00A1753E" w:rsidRPr="003B562A" w:rsidRDefault="00A1753E" w:rsidP="00D2604A">
            <w:pPr>
              <w:keepNext/>
              <w:keepLines/>
              <w:autoSpaceDE w:val="0"/>
              <w:autoSpaceDN w:val="0"/>
              <w:adjustRightInd w:val="0"/>
              <w:rPr>
                <w:b/>
                <w:sz w:val="24"/>
                <w:szCs w:val="24"/>
              </w:rPr>
            </w:pPr>
            <w:r w:rsidRPr="003B562A">
              <w:rPr>
                <w:b/>
                <w:sz w:val="24"/>
                <w:szCs w:val="24"/>
              </w:rPr>
              <w:t xml:space="preserve">Luftveje, thorax og </w:t>
            </w:r>
            <w:proofErr w:type="spellStart"/>
            <w:r w:rsidRPr="003B562A">
              <w:rPr>
                <w:b/>
                <w:sz w:val="24"/>
                <w:szCs w:val="24"/>
              </w:rPr>
              <w:t>mediastinum</w:t>
            </w:r>
            <w:proofErr w:type="spellEnd"/>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Tørhed i svælget</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Sjælden</w:t>
            </w:r>
          </w:p>
        </w:tc>
      </w:tr>
      <w:tr w:rsidR="00A1753E" w:rsidRPr="003B562A" w:rsidTr="00D2604A">
        <w:trPr>
          <w:cantSplit/>
          <w:trHeight w:val="300"/>
        </w:trPr>
        <w:tc>
          <w:tcPr>
            <w:tcW w:w="8463" w:type="dxa"/>
            <w:gridSpan w:val="4"/>
            <w:tcBorders>
              <w:top w:val="single" w:sz="4" w:space="0" w:color="auto"/>
              <w:left w:val="single" w:sz="4" w:space="0" w:color="auto"/>
              <w:bottom w:val="single" w:sz="4" w:space="0" w:color="auto"/>
              <w:right w:val="single" w:sz="4" w:space="0" w:color="auto"/>
            </w:tcBorders>
          </w:tcPr>
          <w:p w:rsidR="00A1753E" w:rsidRPr="003B562A" w:rsidRDefault="00A1753E" w:rsidP="00D2604A">
            <w:pPr>
              <w:widowControl w:val="0"/>
              <w:rPr>
                <w:sz w:val="24"/>
                <w:szCs w:val="24"/>
              </w:rPr>
            </w:pPr>
          </w:p>
        </w:tc>
      </w:tr>
      <w:tr w:rsidR="00A1753E" w:rsidRPr="003B562A" w:rsidTr="00D2604A">
        <w:trPr>
          <w:cantSplit/>
          <w:trHeight w:val="300"/>
        </w:trPr>
        <w:tc>
          <w:tcPr>
            <w:tcW w:w="2835" w:type="dxa"/>
            <w:vMerge w:val="restart"/>
            <w:tcBorders>
              <w:top w:val="single" w:sz="4" w:space="0" w:color="auto"/>
              <w:left w:val="single" w:sz="4" w:space="0" w:color="auto"/>
              <w:right w:val="single" w:sz="4" w:space="0" w:color="auto"/>
            </w:tcBorders>
            <w:hideMark/>
          </w:tcPr>
          <w:p w:rsidR="00A1753E" w:rsidRPr="003B562A" w:rsidRDefault="00A1753E" w:rsidP="00D2604A">
            <w:pPr>
              <w:keepNext/>
              <w:keepLines/>
              <w:autoSpaceDE w:val="0"/>
              <w:autoSpaceDN w:val="0"/>
              <w:adjustRightInd w:val="0"/>
              <w:rPr>
                <w:sz w:val="24"/>
                <w:szCs w:val="24"/>
              </w:rPr>
            </w:pPr>
            <w:r w:rsidRPr="003B562A">
              <w:rPr>
                <w:b/>
                <w:sz w:val="24"/>
                <w:szCs w:val="24"/>
              </w:rPr>
              <w:t>Mave</w:t>
            </w:r>
            <w:r w:rsidRPr="003B562A">
              <w:rPr>
                <w:b/>
                <w:sz w:val="24"/>
                <w:szCs w:val="24"/>
              </w:rPr>
              <w:noBreakHyphen/>
              <w:t>tarm</w:t>
            </w:r>
            <w:r w:rsidRPr="003B562A">
              <w:rPr>
                <w:b/>
                <w:sz w:val="24"/>
                <w:szCs w:val="24"/>
              </w:rPr>
              <w:noBreakHyphen/>
              <w:t>kanalen</w:t>
            </w:r>
          </w:p>
        </w:tc>
        <w:tc>
          <w:tcPr>
            <w:tcW w:w="2239" w:type="dxa"/>
            <w:tcBorders>
              <w:top w:val="single" w:sz="4" w:space="0" w:color="auto"/>
              <w:left w:val="single" w:sz="4" w:space="0" w:color="auto"/>
              <w:bottom w:val="single" w:sz="4" w:space="0" w:color="auto"/>
              <w:right w:val="single" w:sz="4" w:space="0" w:color="auto"/>
            </w:tcBorders>
            <w:vAlign w:val="center"/>
            <w:hideMark/>
          </w:tcPr>
          <w:p w:rsidR="00A1753E" w:rsidRPr="003B562A" w:rsidRDefault="00A1753E" w:rsidP="00D2604A">
            <w:pPr>
              <w:keepNext/>
              <w:keepLines/>
              <w:rPr>
                <w:sz w:val="24"/>
                <w:szCs w:val="24"/>
              </w:rPr>
            </w:pPr>
            <w:r w:rsidRPr="003B562A">
              <w:rPr>
                <w:sz w:val="24"/>
                <w:szCs w:val="24"/>
              </w:rPr>
              <w:t>Opkastning</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right w:val="single" w:sz="4" w:space="0" w:color="auto"/>
            </w:tcBorders>
            <w:hideMark/>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hideMark/>
          </w:tcPr>
          <w:p w:rsidR="00A1753E" w:rsidRPr="003B562A" w:rsidRDefault="00A1753E" w:rsidP="00D2604A">
            <w:pPr>
              <w:keepNext/>
              <w:keepLines/>
              <w:rPr>
                <w:sz w:val="24"/>
                <w:szCs w:val="24"/>
              </w:rPr>
            </w:pPr>
            <w:r w:rsidRPr="003B562A">
              <w:rPr>
                <w:sz w:val="24"/>
                <w:szCs w:val="24"/>
              </w:rPr>
              <w:t>Kvalme</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proofErr w:type="spellStart"/>
            <w:r w:rsidRPr="003B562A">
              <w:rPr>
                <w:sz w:val="24"/>
                <w:szCs w:val="24"/>
              </w:rPr>
              <w:t>Abdominalsmerter</w:t>
            </w:r>
            <w:proofErr w:type="spellEnd"/>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Orale smerter</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bottom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Diarré</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Sjælden</w:t>
            </w:r>
          </w:p>
        </w:tc>
      </w:tr>
      <w:tr w:rsidR="00A1753E" w:rsidRPr="003B562A" w:rsidTr="00D2604A">
        <w:trPr>
          <w:cantSplit/>
          <w:trHeight w:val="300"/>
        </w:trPr>
        <w:tc>
          <w:tcPr>
            <w:tcW w:w="8463" w:type="dxa"/>
            <w:gridSpan w:val="4"/>
            <w:tcBorders>
              <w:left w:val="single" w:sz="4" w:space="0" w:color="auto"/>
              <w:bottom w:val="single" w:sz="4" w:space="0" w:color="auto"/>
              <w:right w:val="single" w:sz="4" w:space="0" w:color="auto"/>
            </w:tcBorders>
          </w:tcPr>
          <w:p w:rsidR="00A1753E" w:rsidRPr="003B562A" w:rsidRDefault="00A1753E" w:rsidP="00D2604A">
            <w:pPr>
              <w:widowControl w:val="0"/>
              <w:rPr>
                <w:sz w:val="24"/>
                <w:szCs w:val="24"/>
              </w:rPr>
            </w:pPr>
          </w:p>
        </w:tc>
      </w:tr>
      <w:tr w:rsidR="00A1753E" w:rsidRPr="003B562A" w:rsidTr="00D2604A">
        <w:trPr>
          <w:cantSplit/>
          <w:trHeight w:val="300"/>
        </w:trPr>
        <w:tc>
          <w:tcPr>
            <w:tcW w:w="2835" w:type="dxa"/>
            <w:vMerge w:val="restart"/>
            <w:tcBorders>
              <w:top w:val="single" w:sz="4" w:space="0" w:color="auto"/>
              <w:left w:val="single" w:sz="4" w:space="0" w:color="auto"/>
              <w:right w:val="single" w:sz="4" w:space="0" w:color="auto"/>
            </w:tcBorders>
            <w:hideMark/>
          </w:tcPr>
          <w:p w:rsidR="00A1753E" w:rsidRPr="003B562A" w:rsidRDefault="00A1753E" w:rsidP="00D2604A">
            <w:pPr>
              <w:keepNext/>
              <w:keepLines/>
              <w:autoSpaceDE w:val="0"/>
              <w:autoSpaceDN w:val="0"/>
              <w:adjustRightInd w:val="0"/>
              <w:rPr>
                <w:sz w:val="24"/>
                <w:szCs w:val="24"/>
              </w:rPr>
            </w:pPr>
            <w:r w:rsidRPr="003B562A">
              <w:rPr>
                <w:b/>
                <w:sz w:val="24"/>
                <w:szCs w:val="24"/>
              </w:rPr>
              <w:t xml:space="preserve">Hud og subkutane væv </w:t>
            </w: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Udslæt</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right w:val="single" w:sz="4" w:space="0" w:color="auto"/>
            </w:tcBorders>
            <w:hideMark/>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hideMark/>
          </w:tcPr>
          <w:p w:rsidR="00A1753E" w:rsidRPr="003B562A" w:rsidRDefault="00A1753E" w:rsidP="00D2604A">
            <w:pPr>
              <w:keepNext/>
              <w:keepLines/>
              <w:rPr>
                <w:sz w:val="24"/>
                <w:szCs w:val="24"/>
              </w:rPr>
            </w:pPr>
            <w:proofErr w:type="spellStart"/>
            <w:r w:rsidRPr="003B562A">
              <w:rPr>
                <w:sz w:val="24"/>
                <w:szCs w:val="24"/>
              </w:rPr>
              <w:t>Pruritus</w:t>
            </w:r>
            <w:proofErr w:type="spellEnd"/>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proofErr w:type="spellStart"/>
            <w:r w:rsidRPr="003B562A">
              <w:rPr>
                <w:sz w:val="24"/>
                <w:szCs w:val="24"/>
              </w:rPr>
              <w:t>Hyperhidrose</w:t>
            </w:r>
            <w:proofErr w:type="spellEnd"/>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bottom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proofErr w:type="spellStart"/>
            <w:r w:rsidRPr="003B562A">
              <w:rPr>
                <w:sz w:val="24"/>
                <w:szCs w:val="24"/>
              </w:rPr>
              <w:t>Erytem</w:t>
            </w:r>
            <w:proofErr w:type="spellEnd"/>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8463" w:type="dxa"/>
            <w:gridSpan w:val="4"/>
            <w:tcBorders>
              <w:left w:val="single" w:sz="4" w:space="0" w:color="auto"/>
              <w:bottom w:val="single" w:sz="4" w:space="0" w:color="auto"/>
              <w:right w:val="single" w:sz="4" w:space="0" w:color="auto"/>
            </w:tcBorders>
          </w:tcPr>
          <w:p w:rsidR="00A1753E" w:rsidRPr="003B562A" w:rsidRDefault="00A1753E" w:rsidP="00D2604A">
            <w:pPr>
              <w:widowControl w:val="0"/>
              <w:rPr>
                <w:sz w:val="24"/>
                <w:szCs w:val="24"/>
              </w:rPr>
            </w:pPr>
          </w:p>
        </w:tc>
      </w:tr>
      <w:tr w:rsidR="00A1753E" w:rsidRPr="003B562A" w:rsidTr="00D2604A">
        <w:trPr>
          <w:cantSplit/>
          <w:trHeight w:val="300"/>
        </w:trPr>
        <w:tc>
          <w:tcPr>
            <w:tcW w:w="2835" w:type="dxa"/>
            <w:vMerge w:val="restart"/>
            <w:tcBorders>
              <w:top w:val="single" w:sz="4" w:space="0" w:color="auto"/>
              <w:left w:val="single" w:sz="4" w:space="0" w:color="auto"/>
              <w:right w:val="single" w:sz="4" w:space="0" w:color="auto"/>
            </w:tcBorders>
            <w:hideMark/>
          </w:tcPr>
          <w:p w:rsidR="00A1753E" w:rsidRPr="003B562A" w:rsidRDefault="00A1753E" w:rsidP="00D2604A">
            <w:pPr>
              <w:keepNext/>
              <w:widowControl w:val="0"/>
              <w:autoSpaceDE w:val="0"/>
              <w:autoSpaceDN w:val="0"/>
              <w:adjustRightInd w:val="0"/>
              <w:rPr>
                <w:sz w:val="24"/>
                <w:szCs w:val="24"/>
              </w:rPr>
            </w:pPr>
            <w:r w:rsidRPr="003B562A">
              <w:rPr>
                <w:b/>
                <w:sz w:val="24"/>
                <w:szCs w:val="24"/>
              </w:rPr>
              <w:t xml:space="preserve">Knogler, led, muskler og bindevæv </w:t>
            </w: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widowControl w:val="0"/>
              <w:rPr>
                <w:sz w:val="24"/>
                <w:szCs w:val="24"/>
              </w:rPr>
            </w:pPr>
            <w:proofErr w:type="spellStart"/>
            <w:r w:rsidRPr="003B562A">
              <w:rPr>
                <w:sz w:val="24"/>
                <w:szCs w:val="24"/>
              </w:rPr>
              <w:t>Artralgi</w:t>
            </w:r>
            <w:proofErr w:type="spellEnd"/>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widowControl w:val="0"/>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widowControl w:val="0"/>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right w:val="single" w:sz="4" w:space="0" w:color="auto"/>
            </w:tcBorders>
            <w:hideMark/>
          </w:tcPr>
          <w:p w:rsidR="00A1753E" w:rsidRPr="003B562A" w:rsidRDefault="00A1753E" w:rsidP="00D2604A">
            <w:pPr>
              <w:widowControl w:val="0"/>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hideMark/>
          </w:tcPr>
          <w:p w:rsidR="00A1753E" w:rsidRPr="003B562A" w:rsidRDefault="00A1753E" w:rsidP="00D2604A">
            <w:pPr>
              <w:widowControl w:val="0"/>
              <w:rPr>
                <w:sz w:val="24"/>
                <w:szCs w:val="24"/>
              </w:rPr>
            </w:pPr>
            <w:r w:rsidRPr="003B562A">
              <w:rPr>
                <w:sz w:val="24"/>
                <w:szCs w:val="24"/>
              </w:rPr>
              <w:t>Rygsmerter</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widowControl w:val="0"/>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widowControl w:val="0"/>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right w:val="single" w:sz="4" w:space="0" w:color="auto"/>
            </w:tcBorders>
          </w:tcPr>
          <w:p w:rsidR="00A1753E" w:rsidRPr="003B562A" w:rsidRDefault="00A1753E" w:rsidP="00D2604A">
            <w:pPr>
              <w:widowControl w:val="0"/>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widowControl w:val="0"/>
              <w:rPr>
                <w:sz w:val="24"/>
                <w:szCs w:val="24"/>
              </w:rPr>
            </w:pPr>
            <w:r w:rsidRPr="003B562A">
              <w:rPr>
                <w:sz w:val="24"/>
                <w:szCs w:val="24"/>
              </w:rPr>
              <w:t>Smerter i ekstremiteter</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widowControl w:val="0"/>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widowControl w:val="0"/>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right w:val="single" w:sz="4" w:space="0" w:color="auto"/>
            </w:tcBorders>
          </w:tcPr>
          <w:p w:rsidR="00A1753E" w:rsidRPr="003B562A" w:rsidRDefault="00A1753E" w:rsidP="00D2604A">
            <w:pPr>
              <w:widowControl w:val="0"/>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widowControl w:val="0"/>
              <w:rPr>
                <w:sz w:val="24"/>
                <w:szCs w:val="24"/>
              </w:rPr>
            </w:pPr>
            <w:proofErr w:type="spellStart"/>
            <w:r w:rsidRPr="003B562A">
              <w:rPr>
                <w:sz w:val="24"/>
                <w:szCs w:val="24"/>
              </w:rPr>
              <w:t>Muskuloskeletale</w:t>
            </w:r>
            <w:proofErr w:type="spellEnd"/>
            <w:r w:rsidRPr="003B562A">
              <w:rPr>
                <w:sz w:val="24"/>
                <w:szCs w:val="24"/>
              </w:rPr>
              <w:t xml:space="preserve"> smerter</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widowControl w:val="0"/>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widowControl w:val="0"/>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bottom w:val="single" w:sz="4" w:space="0" w:color="auto"/>
              <w:right w:val="single" w:sz="4" w:space="0" w:color="auto"/>
            </w:tcBorders>
          </w:tcPr>
          <w:p w:rsidR="00A1753E" w:rsidRPr="003B562A" w:rsidRDefault="00A1753E" w:rsidP="00D2604A">
            <w:pPr>
              <w:widowControl w:val="0"/>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widowControl w:val="0"/>
              <w:rPr>
                <w:sz w:val="24"/>
                <w:szCs w:val="24"/>
              </w:rPr>
            </w:pPr>
            <w:r w:rsidRPr="003B562A">
              <w:rPr>
                <w:sz w:val="24"/>
                <w:szCs w:val="24"/>
              </w:rPr>
              <w:t>Muskelspasmer</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widowControl w:val="0"/>
              <w:rPr>
                <w:sz w:val="24"/>
                <w:szCs w:val="24"/>
              </w:rPr>
            </w:pPr>
            <w:r w:rsidRPr="003B562A">
              <w:rPr>
                <w:sz w:val="24"/>
                <w:szCs w:val="24"/>
              </w:rPr>
              <w:t>Ikke 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widowControl w:val="0"/>
              <w:rPr>
                <w:sz w:val="24"/>
                <w:szCs w:val="24"/>
              </w:rPr>
            </w:pPr>
            <w:r w:rsidRPr="003B562A">
              <w:rPr>
                <w:sz w:val="24"/>
                <w:szCs w:val="24"/>
              </w:rPr>
              <w:t>Sjælden</w:t>
            </w:r>
          </w:p>
        </w:tc>
      </w:tr>
      <w:tr w:rsidR="00A1753E" w:rsidRPr="003B562A" w:rsidTr="00D2604A">
        <w:trPr>
          <w:cantSplit/>
          <w:trHeight w:val="300"/>
        </w:trPr>
        <w:tc>
          <w:tcPr>
            <w:tcW w:w="8463" w:type="dxa"/>
            <w:gridSpan w:val="4"/>
            <w:tcBorders>
              <w:top w:val="single" w:sz="4" w:space="0" w:color="auto"/>
              <w:left w:val="single" w:sz="4" w:space="0" w:color="auto"/>
              <w:bottom w:val="single" w:sz="4" w:space="0" w:color="auto"/>
              <w:right w:val="single" w:sz="4" w:space="0" w:color="auto"/>
            </w:tcBorders>
          </w:tcPr>
          <w:p w:rsidR="00A1753E" w:rsidRPr="003B562A" w:rsidRDefault="00A1753E" w:rsidP="00D2604A">
            <w:pPr>
              <w:widowControl w:val="0"/>
              <w:rPr>
                <w:sz w:val="24"/>
                <w:szCs w:val="24"/>
              </w:rPr>
            </w:pPr>
          </w:p>
        </w:tc>
      </w:tr>
      <w:tr w:rsidR="00A1753E" w:rsidRPr="003B562A" w:rsidTr="00D2604A">
        <w:trPr>
          <w:cantSplit/>
          <w:trHeight w:val="300"/>
        </w:trPr>
        <w:tc>
          <w:tcPr>
            <w:tcW w:w="2835" w:type="dxa"/>
            <w:tcBorders>
              <w:top w:val="single" w:sz="4" w:space="0" w:color="auto"/>
              <w:left w:val="single" w:sz="4" w:space="0" w:color="auto"/>
              <w:bottom w:val="single" w:sz="4" w:space="0" w:color="auto"/>
              <w:right w:val="single" w:sz="4" w:space="0" w:color="auto"/>
            </w:tcBorders>
          </w:tcPr>
          <w:p w:rsidR="00A1753E" w:rsidRPr="003B562A" w:rsidRDefault="00A1753E" w:rsidP="00D2604A">
            <w:pPr>
              <w:keepNext/>
              <w:keepLines/>
              <w:autoSpaceDE w:val="0"/>
              <w:autoSpaceDN w:val="0"/>
              <w:adjustRightInd w:val="0"/>
              <w:rPr>
                <w:b/>
                <w:sz w:val="24"/>
                <w:szCs w:val="24"/>
              </w:rPr>
            </w:pPr>
            <w:r w:rsidRPr="003B562A">
              <w:rPr>
                <w:b/>
                <w:sz w:val="24"/>
                <w:szCs w:val="24"/>
              </w:rPr>
              <w:t>Nyrer og urinveje</w:t>
            </w: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Akut nyreskade</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kendt</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kendt</w:t>
            </w:r>
          </w:p>
        </w:tc>
      </w:tr>
      <w:tr w:rsidR="00A1753E" w:rsidRPr="003B562A" w:rsidTr="00D2604A">
        <w:trPr>
          <w:cantSplit/>
          <w:trHeight w:val="300"/>
        </w:trPr>
        <w:tc>
          <w:tcPr>
            <w:tcW w:w="8463" w:type="dxa"/>
            <w:gridSpan w:val="4"/>
            <w:tcBorders>
              <w:top w:val="single" w:sz="4" w:space="0" w:color="auto"/>
              <w:left w:val="single" w:sz="4" w:space="0" w:color="auto"/>
              <w:bottom w:val="single" w:sz="4" w:space="0" w:color="auto"/>
              <w:right w:val="single" w:sz="4" w:space="0" w:color="auto"/>
            </w:tcBorders>
          </w:tcPr>
          <w:p w:rsidR="00A1753E" w:rsidRPr="003B562A" w:rsidRDefault="00A1753E" w:rsidP="00D2604A">
            <w:pPr>
              <w:widowControl w:val="0"/>
              <w:rPr>
                <w:sz w:val="24"/>
                <w:szCs w:val="24"/>
              </w:rPr>
            </w:pPr>
          </w:p>
        </w:tc>
      </w:tr>
      <w:tr w:rsidR="00A1753E" w:rsidRPr="003B562A" w:rsidTr="00D2604A">
        <w:trPr>
          <w:cantSplit/>
          <w:trHeight w:val="300"/>
        </w:trPr>
        <w:tc>
          <w:tcPr>
            <w:tcW w:w="2835" w:type="dxa"/>
            <w:vMerge w:val="restart"/>
            <w:tcBorders>
              <w:top w:val="single" w:sz="4" w:space="0" w:color="auto"/>
              <w:left w:val="single" w:sz="4" w:space="0" w:color="auto"/>
              <w:right w:val="single" w:sz="4" w:space="0" w:color="auto"/>
            </w:tcBorders>
            <w:hideMark/>
          </w:tcPr>
          <w:p w:rsidR="00A1753E" w:rsidRPr="003B562A" w:rsidRDefault="00A1753E" w:rsidP="00D2604A">
            <w:pPr>
              <w:keepNext/>
              <w:keepLines/>
              <w:autoSpaceDE w:val="0"/>
              <w:autoSpaceDN w:val="0"/>
              <w:adjustRightInd w:val="0"/>
              <w:rPr>
                <w:sz w:val="24"/>
                <w:szCs w:val="24"/>
              </w:rPr>
            </w:pPr>
            <w:r w:rsidRPr="003B562A">
              <w:rPr>
                <w:b/>
                <w:sz w:val="24"/>
                <w:szCs w:val="24"/>
              </w:rPr>
              <w:t>Almene symptomer og reaktioner på administrationsstedet</w:t>
            </w:r>
          </w:p>
        </w:tc>
        <w:tc>
          <w:tcPr>
            <w:tcW w:w="2239" w:type="dxa"/>
            <w:tcBorders>
              <w:top w:val="single" w:sz="4" w:space="0" w:color="auto"/>
              <w:left w:val="single" w:sz="4" w:space="0" w:color="auto"/>
              <w:bottom w:val="single" w:sz="4" w:space="0" w:color="auto"/>
              <w:right w:val="single" w:sz="4" w:space="0" w:color="auto"/>
            </w:tcBorders>
            <w:vAlign w:val="center"/>
            <w:hideMark/>
          </w:tcPr>
          <w:p w:rsidR="00A1753E" w:rsidRPr="003B562A" w:rsidRDefault="00A1753E" w:rsidP="00D2604A">
            <w:pPr>
              <w:keepNext/>
              <w:keepLines/>
              <w:rPr>
                <w:sz w:val="24"/>
                <w:szCs w:val="24"/>
              </w:rPr>
            </w:pPr>
            <w:proofErr w:type="spellStart"/>
            <w:r w:rsidRPr="003B562A">
              <w:rPr>
                <w:sz w:val="24"/>
                <w:szCs w:val="24"/>
              </w:rPr>
              <w:t>Pyre</w:t>
            </w:r>
            <w:r>
              <w:rPr>
                <w:sz w:val="24"/>
                <w:szCs w:val="24"/>
              </w:rPr>
              <w:t>ks</w:t>
            </w:r>
            <w:r w:rsidRPr="003B562A">
              <w:rPr>
                <w:sz w:val="24"/>
                <w:szCs w:val="24"/>
              </w:rPr>
              <w:t>i</w:t>
            </w:r>
            <w:proofErr w:type="spellEnd"/>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Meget 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r>
      <w:tr w:rsidR="00A1753E" w:rsidRPr="003B562A" w:rsidTr="00D2604A">
        <w:trPr>
          <w:cantSplit/>
          <w:trHeight w:val="300"/>
        </w:trPr>
        <w:tc>
          <w:tcPr>
            <w:tcW w:w="2835" w:type="dxa"/>
            <w:vMerge/>
            <w:tcBorders>
              <w:left w:val="single" w:sz="4" w:space="0" w:color="auto"/>
              <w:right w:val="single" w:sz="4" w:space="0" w:color="auto"/>
            </w:tcBorders>
            <w:hideMark/>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Træthed</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r>
      <w:tr w:rsidR="00A1753E" w:rsidRPr="003B562A" w:rsidTr="00D2604A">
        <w:trPr>
          <w:cantSplit/>
          <w:trHeight w:val="300"/>
        </w:trPr>
        <w:tc>
          <w:tcPr>
            <w:tcW w:w="2835" w:type="dxa"/>
            <w:vMerge/>
            <w:tcBorders>
              <w:left w:val="single" w:sz="4" w:space="0" w:color="auto"/>
              <w:right w:val="single" w:sz="4" w:space="0" w:color="auto"/>
            </w:tcBorders>
            <w:hideMark/>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Kulderystelser</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r>
      <w:tr w:rsidR="00A1753E" w:rsidRPr="003B562A" w:rsidTr="00D2604A">
        <w:trPr>
          <w:cantSplit/>
          <w:trHeight w:val="300"/>
        </w:trPr>
        <w:tc>
          <w:tcPr>
            <w:tcW w:w="2835" w:type="dxa"/>
            <w:vMerge/>
            <w:tcBorders>
              <w:left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Reaktion på administrations</w:t>
            </w:r>
            <w:r>
              <w:rPr>
                <w:sz w:val="24"/>
                <w:szCs w:val="24"/>
              </w:rPr>
              <w:softHyphen/>
            </w:r>
            <w:r w:rsidRPr="003B562A">
              <w:rPr>
                <w:sz w:val="24"/>
                <w:szCs w:val="24"/>
              </w:rPr>
              <w:t>stedet</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Influenza-lignende sygdom</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Utilpashed</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Perifert ødem</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2835" w:type="dxa"/>
            <w:vMerge/>
            <w:tcBorders>
              <w:left w:val="single" w:sz="4" w:space="0" w:color="auto"/>
              <w:bottom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Ubehag</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Sjælden</w:t>
            </w:r>
          </w:p>
        </w:tc>
      </w:tr>
      <w:tr w:rsidR="00A1753E" w:rsidRPr="003B562A" w:rsidTr="00D2604A">
        <w:trPr>
          <w:cantSplit/>
          <w:trHeight w:val="300"/>
        </w:trPr>
        <w:tc>
          <w:tcPr>
            <w:tcW w:w="8463" w:type="dxa"/>
            <w:gridSpan w:val="4"/>
            <w:tcBorders>
              <w:left w:val="single" w:sz="4" w:space="0" w:color="auto"/>
              <w:bottom w:val="single" w:sz="4" w:space="0" w:color="auto"/>
              <w:right w:val="single" w:sz="4" w:space="0" w:color="auto"/>
            </w:tcBorders>
          </w:tcPr>
          <w:p w:rsidR="00A1753E" w:rsidRPr="003B562A" w:rsidRDefault="00A1753E" w:rsidP="00D2604A">
            <w:pPr>
              <w:widowControl w:val="0"/>
              <w:rPr>
                <w:sz w:val="24"/>
                <w:szCs w:val="24"/>
              </w:rPr>
            </w:pPr>
          </w:p>
        </w:tc>
      </w:tr>
      <w:tr w:rsidR="00A1753E" w:rsidRPr="003B562A" w:rsidTr="00D2604A">
        <w:trPr>
          <w:cantSplit/>
          <w:trHeight w:val="300"/>
        </w:trPr>
        <w:tc>
          <w:tcPr>
            <w:tcW w:w="2835" w:type="dxa"/>
            <w:vMerge w:val="restart"/>
            <w:tcBorders>
              <w:top w:val="single" w:sz="4" w:space="0" w:color="auto"/>
              <w:left w:val="single" w:sz="4" w:space="0" w:color="auto"/>
              <w:bottom w:val="single" w:sz="4" w:space="0" w:color="auto"/>
              <w:right w:val="single" w:sz="4" w:space="0" w:color="auto"/>
            </w:tcBorders>
            <w:hideMark/>
          </w:tcPr>
          <w:p w:rsidR="00A1753E" w:rsidRPr="003B562A" w:rsidRDefault="00A1753E" w:rsidP="00D2604A">
            <w:pPr>
              <w:keepNext/>
              <w:keepLines/>
              <w:autoSpaceDE w:val="0"/>
              <w:autoSpaceDN w:val="0"/>
              <w:adjustRightInd w:val="0"/>
              <w:rPr>
                <w:sz w:val="24"/>
                <w:szCs w:val="24"/>
              </w:rPr>
            </w:pPr>
            <w:r w:rsidRPr="003B562A">
              <w:rPr>
                <w:b/>
                <w:sz w:val="24"/>
                <w:szCs w:val="24"/>
              </w:rPr>
              <w:t>Undersøgelser</w:t>
            </w: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lang w:val="en-GB"/>
              </w:rPr>
            </w:pPr>
            <w:r w:rsidRPr="003B562A">
              <w:rPr>
                <w:sz w:val="24"/>
                <w:szCs w:val="24"/>
              </w:rPr>
              <w:t xml:space="preserve">Nedsat </w:t>
            </w:r>
            <w:proofErr w:type="spellStart"/>
            <w:r w:rsidRPr="003B562A">
              <w:rPr>
                <w:sz w:val="24"/>
                <w:szCs w:val="24"/>
              </w:rPr>
              <w:t>renal</w:t>
            </w:r>
            <w:proofErr w:type="spellEnd"/>
            <w:r w:rsidRPr="003B562A">
              <w:rPr>
                <w:sz w:val="24"/>
                <w:szCs w:val="24"/>
              </w:rPr>
              <w:t xml:space="preserve"> </w:t>
            </w:r>
            <w:proofErr w:type="spellStart"/>
            <w:r w:rsidRPr="003B562A">
              <w:rPr>
                <w:sz w:val="24"/>
                <w:szCs w:val="24"/>
              </w:rPr>
              <w:t>kreatininclearance</w:t>
            </w:r>
            <w:proofErr w:type="spellEnd"/>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r>
      <w:tr w:rsidR="00A1753E" w:rsidRPr="003B562A" w:rsidTr="00D2604A">
        <w:trPr>
          <w:cantSplit/>
          <w:trHeight w:val="300"/>
        </w:trPr>
        <w:tc>
          <w:tcPr>
            <w:tcW w:w="2835" w:type="dxa"/>
            <w:vMerge/>
            <w:tcBorders>
              <w:top w:val="single" w:sz="4" w:space="0" w:color="auto"/>
              <w:left w:val="single" w:sz="4" w:space="0" w:color="auto"/>
              <w:bottom w:val="single" w:sz="4" w:space="0" w:color="auto"/>
              <w:right w:val="single" w:sz="4" w:space="0" w:color="auto"/>
            </w:tcBorders>
            <w:hideMark/>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hideMark/>
          </w:tcPr>
          <w:p w:rsidR="00A1753E" w:rsidRPr="003B562A" w:rsidRDefault="00A1753E" w:rsidP="00D2604A">
            <w:pPr>
              <w:keepNext/>
              <w:keepLines/>
              <w:rPr>
                <w:sz w:val="24"/>
                <w:szCs w:val="24"/>
              </w:rPr>
            </w:pPr>
            <w:r w:rsidRPr="003B562A">
              <w:rPr>
                <w:sz w:val="24"/>
                <w:szCs w:val="24"/>
              </w:rPr>
              <w:t xml:space="preserve">Forhøjet </w:t>
            </w:r>
            <w:proofErr w:type="spellStart"/>
            <w:r w:rsidRPr="003B562A">
              <w:rPr>
                <w:sz w:val="24"/>
                <w:szCs w:val="24"/>
              </w:rPr>
              <w:t>kreatinin</w:t>
            </w:r>
            <w:proofErr w:type="spellEnd"/>
            <w:r w:rsidRPr="003B562A">
              <w:rPr>
                <w:sz w:val="24"/>
                <w:szCs w:val="24"/>
              </w:rPr>
              <w:t xml:space="preserve"> i blodet</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Sjælden</w:t>
            </w:r>
          </w:p>
        </w:tc>
      </w:tr>
      <w:tr w:rsidR="00A1753E" w:rsidRPr="003B562A" w:rsidTr="00D2604A">
        <w:trPr>
          <w:cantSplit/>
          <w:trHeight w:val="300"/>
        </w:trPr>
        <w:tc>
          <w:tcPr>
            <w:tcW w:w="2835" w:type="dxa"/>
            <w:tcBorders>
              <w:top w:val="single" w:sz="4" w:space="0" w:color="auto"/>
              <w:left w:val="single" w:sz="4" w:space="0" w:color="auto"/>
              <w:bottom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Udsving i legemstemperatur</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Sjælden</w:t>
            </w:r>
          </w:p>
        </w:tc>
      </w:tr>
      <w:tr w:rsidR="00A1753E" w:rsidRPr="003B562A" w:rsidTr="00D2604A">
        <w:trPr>
          <w:cantSplit/>
          <w:trHeight w:val="300"/>
        </w:trPr>
        <w:tc>
          <w:tcPr>
            <w:tcW w:w="2835" w:type="dxa"/>
            <w:tcBorders>
              <w:top w:val="single" w:sz="4" w:space="0" w:color="auto"/>
              <w:left w:val="single" w:sz="4" w:space="0" w:color="auto"/>
              <w:bottom w:val="single" w:sz="4" w:space="0" w:color="auto"/>
              <w:right w:val="single" w:sz="4" w:space="0" w:color="auto"/>
            </w:tcBorders>
          </w:tcPr>
          <w:p w:rsidR="00A1753E" w:rsidRPr="003B562A" w:rsidRDefault="00A1753E" w:rsidP="00D2604A">
            <w:pPr>
              <w:rPr>
                <w:sz w:val="24"/>
                <w:szCs w:val="24"/>
                <w:lang w:eastAsia="fr-FR"/>
              </w:rPr>
            </w:pPr>
          </w:p>
        </w:tc>
        <w:tc>
          <w:tcPr>
            <w:tcW w:w="2239"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 xml:space="preserve">Forhøjet </w:t>
            </w:r>
            <w:proofErr w:type="spellStart"/>
            <w:r w:rsidRPr="003B562A">
              <w:rPr>
                <w:sz w:val="24"/>
                <w:szCs w:val="24"/>
              </w:rPr>
              <w:t>fibrin</w:t>
            </w:r>
            <w:proofErr w:type="spellEnd"/>
            <w:r w:rsidRPr="003B562A">
              <w:rPr>
                <w:sz w:val="24"/>
                <w:szCs w:val="24"/>
              </w:rPr>
              <w:t>-D</w:t>
            </w:r>
            <w:r w:rsidRPr="003B562A">
              <w:rPr>
                <w:sz w:val="24"/>
                <w:szCs w:val="24"/>
              </w:rPr>
              <w:noBreakHyphen/>
            </w:r>
            <w:proofErr w:type="spellStart"/>
            <w:r w:rsidRPr="003B562A">
              <w:rPr>
                <w:sz w:val="24"/>
                <w:szCs w:val="24"/>
              </w:rPr>
              <w:t>dimer</w:t>
            </w:r>
            <w:proofErr w:type="spellEnd"/>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Sjælden</w:t>
            </w:r>
          </w:p>
        </w:tc>
      </w:tr>
      <w:tr w:rsidR="00A1753E" w:rsidRPr="003B562A" w:rsidTr="00D2604A">
        <w:trPr>
          <w:cantSplit/>
          <w:trHeight w:val="300"/>
        </w:trPr>
        <w:tc>
          <w:tcPr>
            <w:tcW w:w="8463" w:type="dxa"/>
            <w:gridSpan w:val="4"/>
            <w:tcBorders>
              <w:top w:val="single" w:sz="4" w:space="0" w:color="auto"/>
              <w:left w:val="single" w:sz="4" w:space="0" w:color="auto"/>
              <w:bottom w:val="single" w:sz="4" w:space="0" w:color="auto"/>
              <w:right w:val="single" w:sz="4" w:space="0" w:color="auto"/>
            </w:tcBorders>
          </w:tcPr>
          <w:p w:rsidR="00A1753E" w:rsidRPr="003B562A" w:rsidRDefault="00A1753E" w:rsidP="00D2604A">
            <w:pPr>
              <w:widowControl w:val="0"/>
              <w:rPr>
                <w:sz w:val="24"/>
                <w:szCs w:val="24"/>
              </w:rPr>
            </w:pPr>
          </w:p>
        </w:tc>
      </w:tr>
      <w:tr w:rsidR="00A1753E" w:rsidRPr="003B562A" w:rsidTr="00D2604A">
        <w:trPr>
          <w:cantSplit/>
          <w:trHeight w:val="300"/>
        </w:trPr>
        <w:tc>
          <w:tcPr>
            <w:tcW w:w="2835" w:type="dxa"/>
            <w:tcBorders>
              <w:top w:val="single" w:sz="4" w:space="0" w:color="auto"/>
              <w:left w:val="single" w:sz="4" w:space="0" w:color="auto"/>
              <w:bottom w:val="single" w:sz="4" w:space="0" w:color="auto"/>
              <w:right w:val="single" w:sz="4" w:space="0" w:color="auto"/>
            </w:tcBorders>
            <w:hideMark/>
          </w:tcPr>
          <w:p w:rsidR="00A1753E" w:rsidRPr="003B562A" w:rsidRDefault="00A1753E" w:rsidP="00D2604A">
            <w:pPr>
              <w:keepNext/>
              <w:keepLines/>
              <w:autoSpaceDE w:val="0"/>
              <w:autoSpaceDN w:val="0"/>
              <w:adjustRightInd w:val="0"/>
              <w:rPr>
                <w:sz w:val="24"/>
                <w:szCs w:val="24"/>
              </w:rPr>
            </w:pPr>
            <w:r w:rsidRPr="003B562A">
              <w:rPr>
                <w:b/>
                <w:sz w:val="24"/>
                <w:szCs w:val="24"/>
              </w:rPr>
              <w:t>Traumer, forgiftninger og behandlings</w:t>
            </w:r>
            <w:r>
              <w:rPr>
                <w:b/>
                <w:sz w:val="24"/>
                <w:szCs w:val="24"/>
              </w:rPr>
              <w:softHyphen/>
            </w:r>
            <w:r w:rsidRPr="003B562A">
              <w:rPr>
                <w:b/>
                <w:sz w:val="24"/>
                <w:szCs w:val="24"/>
              </w:rPr>
              <w:t>komplikationer</w:t>
            </w:r>
          </w:p>
        </w:tc>
        <w:tc>
          <w:tcPr>
            <w:tcW w:w="2239" w:type="dxa"/>
            <w:tcBorders>
              <w:top w:val="single" w:sz="4" w:space="0" w:color="auto"/>
              <w:left w:val="single" w:sz="4" w:space="0" w:color="auto"/>
              <w:bottom w:val="single" w:sz="4" w:space="0" w:color="auto"/>
              <w:right w:val="single" w:sz="4" w:space="0" w:color="auto"/>
            </w:tcBorders>
            <w:vAlign w:val="center"/>
            <w:hideMark/>
          </w:tcPr>
          <w:p w:rsidR="00A1753E" w:rsidRPr="003B562A" w:rsidRDefault="00A1753E" w:rsidP="00D2604A">
            <w:pPr>
              <w:keepNext/>
              <w:keepLines/>
              <w:rPr>
                <w:sz w:val="24"/>
                <w:szCs w:val="24"/>
              </w:rPr>
            </w:pPr>
            <w:r w:rsidRPr="003B562A">
              <w:rPr>
                <w:sz w:val="24"/>
                <w:szCs w:val="24"/>
              </w:rPr>
              <w:t>Infusionsrelateret reaktion</w:t>
            </w:r>
          </w:p>
        </w:tc>
        <w:tc>
          <w:tcPr>
            <w:tcW w:w="1694"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Ikke almindelig</w:t>
            </w:r>
          </w:p>
        </w:tc>
        <w:tc>
          <w:tcPr>
            <w:tcW w:w="1695" w:type="dxa"/>
            <w:tcBorders>
              <w:top w:val="single" w:sz="4" w:space="0" w:color="auto"/>
              <w:left w:val="single" w:sz="4" w:space="0" w:color="auto"/>
              <w:bottom w:val="single" w:sz="4" w:space="0" w:color="auto"/>
              <w:right w:val="single" w:sz="4" w:space="0" w:color="auto"/>
            </w:tcBorders>
            <w:vAlign w:val="center"/>
          </w:tcPr>
          <w:p w:rsidR="00A1753E" w:rsidRPr="003B562A" w:rsidRDefault="00A1753E" w:rsidP="00D2604A">
            <w:pPr>
              <w:keepNext/>
              <w:keepLines/>
              <w:rPr>
                <w:sz w:val="24"/>
                <w:szCs w:val="24"/>
              </w:rPr>
            </w:pPr>
            <w:r w:rsidRPr="003B562A">
              <w:rPr>
                <w:sz w:val="24"/>
                <w:szCs w:val="24"/>
              </w:rPr>
              <w:t>Sjælden</w:t>
            </w:r>
          </w:p>
        </w:tc>
      </w:tr>
    </w:tbl>
    <w:p w:rsidR="00A1753E" w:rsidRPr="00C94F77" w:rsidRDefault="00A1753E" w:rsidP="00812371">
      <w:pPr>
        <w:autoSpaceDE w:val="0"/>
        <w:autoSpaceDN w:val="0"/>
        <w:adjustRightInd w:val="0"/>
        <w:ind w:left="851"/>
        <w:jc w:val="both"/>
        <w:rPr>
          <w:sz w:val="24"/>
          <w:szCs w:val="24"/>
        </w:rPr>
      </w:pPr>
    </w:p>
    <w:p w:rsidR="00812371" w:rsidRPr="00C94F77" w:rsidRDefault="00812371" w:rsidP="00DC3D8B">
      <w:pPr>
        <w:autoSpaceDE w:val="0"/>
        <w:autoSpaceDN w:val="0"/>
        <w:adjustRightInd w:val="0"/>
        <w:jc w:val="both"/>
        <w:rPr>
          <w:sz w:val="24"/>
          <w:szCs w:val="24"/>
          <w:lang w:eastAsia="fr-FR"/>
        </w:rPr>
      </w:pPr>
    </w:p>
    <w:p w:rsidR="00A1753E" w:rsidRPr="00C94F77" w:rsidRDefault="00A1753E" w:rsidP="00A1753E">
      <w:pPr>
        <w:pStyle w:val="Brdtekst"/>
        <w:ind w:left="851"/>
        <w:jc w:val="left"/>
        <w:rPr>
          <w:sz w:val="24"/>
          <w:szCs w:val="24"/>
          <w:u w:val="single"/>
          <w:lang w:val="da-DK"/>
        </w:rPr>
      </w:pPr>
      <w:r w:rsidRPr="00C94F77">
        <w:rPr>
          <w:sz w:val="24"/>
          <w:szCs w:val="24"/>
          <w:u w:val="single"/>
          <w:lang w:val="da-DK"/>
        </w:rPr>
        <w:t>Pædiatrisk population</w:t>
      </w:r>
    </w:p>
    <w:p w:rsidR="00A1753E" w:rsidRDefault="00A1753E" w:rsidP="00A1753E">
      <w:pPr>
        <w:pStyle w:val="Brdtekst"/>
        <w:ind w:left="851"/>
        <w:jc w:val="left"/>
        <w:rPr>
          <w:sz w:val="24"/>
          <w:szCs w:val="24"/>
          <w:lang w:val="da-DK"/>
        </w:rPr>
      </w:pPr>
    </w:p>
    <w:p w:rsidR="00A1753E" w:rsidRPr="00C94F77" w:rsidRDefault="00A1753E" w:rsidP="00A1753E">
      <w:pPr>
        <w:pStyle w:val="Brdtekst"/>
        <w:ind w:left="851"/>
        <w:jc w:val="left"/>
        <w:rPr>
          <w:sz w:val="24"/>
          <w:szCs w:val="24"/>
          <w:lang w:val="da-DK"/>
        </w:rPr>
      </w:pPr>
      <w:r>
        <w:rPr>
          <w:sz w:val="24"/>
          <w:szCs w:val="24"/>
          <w:lang w:val="da-DK"/>
        </w:rPr>
        <w:t>Hyppigheden, typen og sværhedsgraden af bivirkninger hos børn er de samme som hos voksne.</w:t>
      </w:r>
    </w:p>
    <w:p w:rsidR="00812371" w:rsidRPr="00CE6FA2" w:rsidRDefault="00812371" w:rsidP="00812371">
      <w:pPr>
        <w:pStyle w:val="Brdtekst"/>
        <w:ind w:left="851" w:hanging="851"/>
        <w:jc w:val="left"/>
        <w:rPr>
          <w:rFonts w:eastAsia="SimSun"/>
          <w:sz w:val="24"/>
          <w:szCs w:val="24"/>
          <w:lang w:val="da-DK"/>
        </w:rPr>
      </w:pPr>
    </w:p>
    <w:p w:rsidR="00812371" w:rsidRDefault="00812371" w:rsidP="00812371">
      <w:pPr>
        <w:autoSpaceDE w:val="0"/>
        <w:autoSpaceDN w:val="0"/>
        <w:ind w:left="851"/>
        <w:rPr>
          <w:sz w:val="24"/>
          <w:szCs w:val="24"/>
          <w:u w:val="single"/>
          <w:lang w:eastAsia="da-DK"/>
        </w:rPr>
      </w:pPr>
      <w:r>
        <w:rPr>
          <w:sz w:val="24"/>
          <w:szCs w:val="24"/>
          <w:u w:val="single"/>
        </w:rPr>
        <w:t>Indberetning af formodede bivirkninger</w:t>
      </w:r>
    </w:p>
    <w:p w:rsidR="00A1753E" w:rsidRDefault="00A1753E" w:rsidP="00812371">
      <w:pPr>
        <w:ind w:left="851"/>
        <w:rPr>
          <w:sz w:val="24"/>
          <w:szCs w:val="24"/>
        </w:rPr>
      </w:pPr>
    </w:p>
    <w:p w:rsidR="00812371" w:rsidRDefault="00812371" w:rsidP="00812371">
      <w:pPr>
        <w:ind w:left="851"/>
        <w:rPr>
          <w:sz w:val="24"/>
          <w:szCs w:val="24"/>
        </w:rPr>
      </w:pPr>
      <w:r>
        <w:rPr>
          <w:sz w:val="24"/>
          <w:szCs w:val="24"/>
        </w:rPr>
        <w:lastRenderedPageBreak/>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1159FC">
        <w:rPr>
          <w:sz w:val="24"/>
          <w:szCs w:val="24"/>
        </w:rPr>
        <w:t xml:space="preserve">Sundhedspersoner </w:t>
      </w:r>
      <w:r>
        <w:rPr>
          <w:sz w:val="24"/>
          <w:szCs w:val="24"/>
        </w:rPr>
        <w:t>anmodes om at indberette alle formodede bivirkninger via:</w:t>
      </w:r>
    </w:p>
    <w:p w:rsidR="00812371" w:rsidRDefault="00812371" w:rsidP="00812371">
      <w:pPr>
        <w:pStyle w:val="Brdtekst"/>
        <w:jc w:val="left"/>
        <w:rPr>
          <w:lang w:val="da-DK"/>
        </w:rPr>
      </w:pPr>
    </w:p>
    <w:p w:rsidR="00812371" w:rsidRPr="0079588C" w:rsidRDefault="00812371" w:rsidP="00812371">
      <w:pPr>
        <w:ind w:left="851"/>
        <w:rPr>
          <w:sz w:val="24"/>
          <w:szCs w:val="24"/>
          <w:lang w:eastAsia="zh-CN"/>
        </w:rPr>
      </w:pPr>
      <w:r w:rsidRPr="0079588C">
        <w:rPr>
          <w:sz w:val="24"/>
          <w:szCs w:val="24"/>
          <w:lang w:eastAsia="zh-CN"/>
        </w:rPr>
        <w:t>Lægemiddelstyrelsen</w:t>
      </w:r>
    </w:p>
    <w:p w:rsidR="00812371" w:rsidRPr="0079588C" w:rsidRDefault="00812371" w:rsidP="00812371">
      <w:pPr>
        <w:ind w:left="851"/>
        <w:rPr>
          <w:noProof/>
          <w:sz w:val="24"/>
          <w:szCs w:val="24"/>
          <w:lang w:eastAsia="zh-CN"/>
        </w:rPr>
      </w:pPr>
      <w:r w:rsidRPr="0079588C">
        <w:rPr>
          <w:sz w:val="24"/>
          <w:szCs w:val="24"/>
          <w:lang w:eastAsia="zh-CN"/>
        </w:rPr>
        <w:t>Axel Heides Gade 1</w:t>
      </w:r>
    </w:p>
    <w:p w:rsidR="00812371" w:rsidRPr="0079588C" w:rsidRDefault="00812371" w:rsidP="00812371">
      <w:pPr>
        <w:ind w:left="851"/>
        <w:rPr>
          <w:noProof/>
          <w:sz w:val="24"/>
          <w:szCs w:val="24"/>
          <w:lang w:eastAsia="zh-CN"/>
        </w:rPr>
      </w:pPr>
      <w:r w:rsidRPr="0079588C">
        <w:rPr>
          <w:noProof/>
          <w:sz w:val="24"/>
          <w:szCs w:val="24"/>
          <w:lang w:eastAsia="zh-CN"/>
        </w:rPr>
        <w:t>DK</w:t>
      </w:r>
      <w:r w:rsidRPr="0079588C">
        <w:rPr>
          <w:noProof/>
          <w:sz w:val="24"/>
          <w:szCs w:val="24"/>
          <w:lang w:eastAsia="zh-CN"/>
        </w:rPr>
        <w:noBreakHyphen/>
        <w:t>2300 </w:t>
      </w:r>
      <w:r w:rsidRPr="0079588C">
        <w:rPr>
          <w:sz w:val="24"/>
          <w:szCs w:val="24"/>
          <w:lang w:eastAsia="zh-CN"/>
        </w:rPr>
        <w:t>København S</w:t>
      </w:r>
    </w:p>
    <w:p w:rsidR="00812371" w:rsidRPr="00CC4BE4" w:rsidRDefault="00812371" w:rsidP="00812371">
      <w:pPr>
        <w:tabs>
          <w:tab w:val="left" w:pos="-720"/>
        </w:tabs>
        <w:suppressAutoHyphens/>
        <w:ind w:left="851"/>
        <w:rPr>
          <w:noProof/>
          <w:sz w:val="24"/>
          <w:szCs w:val="24"/>
          <w:lang w:eastAsia="zh-CN"/>
        </w:rPr>
      </w:pPr>
      <w:r w:rsidRPr="00CC4BE4">
        <w:rPr>
          <w:sz w:val="24"/>
          <w:szCs w:val="24"/>
          <w:lang w:eastAsia="zh-CN"/>
        </w:rPr>
        <w:t>Websted</w:t>
      </w:r>
      <w:r w:rsidRPr="00CC4BE4">
        <w:rPr>
          <w:noProof/>
          <w:sz w:val="24"/>
          <w:szCs w:val="24"/>
          <w:lang w:eastAsia="zh-CN"/>
        </w:rPr>
        <w:t xml:space="preserve">: </w:t>
      </w:r>
      <w:hyperlink r:id="rId8" w:history="1">
        <w:r w:rsidRPr="00CC4BE4">
          <w:rPr>
            <w:rStyle w:val="Hyperlink"/>
            <w:noProof/>
            <w:sz w:val="24"/>
            <w:szCs w:val="24"/>
            <w:lang w:eastAsia="zh-CN"/>
          </w:rPr>
          <w:t>www.meldenbivirkning.dk</w:t>
        </w:r>
      </w:hyperlink>
    </w:p>
    <w:p w:rsidR="00812371" w:rsidRPr="00CC4BE4" w:rsidRDefault="00812371" w:rsidP="00812371">
      <w:pPr>
        <w:pStyle w:val="Sidehoved"/>
        <w:tabs>
          <w:tab w:val="clear" w:pos="4819"/>
          <w:tab w:val="clear" w:pos="9638"/>
        </w:tabs>
        <w:ind w:left="851" w:hanging="851"/>
        <w:rPr>
          <w:szCs w:val="24"/>
        </w:rPr>
      </w:pPr>
    </w:p>
    <w:p w:rsidR="00812371" w:rsidRPr="00CE6FA2" w:rsidRDefault="00812371" w:rsidP="00812371">
      <w:pPr>
        <w:ind w:left="851" w:hanging="851"/>
        <w:rPr>
          <w:b/>
          <w:sz w:val="24"/>
          <w:szCs w:val="24"/>
        </w:rPr>
      </w:pPr>
      <w:r w:rsidRPr="00CE6FA2">
        <w:rPr>
          <w:b/>
          <w:sz w:val="24"/>
          <w:szCs w:val="24"/>
        </w:rPr>
        <w:t>4.9</w:t>
      </w:r>
      <w:r w:rsidRPr="00CE6FA2">
        <w:rPr>
          <w:b/>
          <w:sz w:val="24"/>
          <w:szCs w:val="24"/>
        </w:rPr>
        <w:tab/>
        <w:t>Overdosering</w:t>
      </w:r>
    </w:p>
    <w:p w:rsidR="00A1753E" w:rsidRDefault="00812371" w:rsidP="00A1753E">
      <w:pPr>
        <w:pStyle w:val="Brdtekst"/>
        <w:ind w:left="851" w:hanging="851"/>
        <w:jc w:val="left"/>
        <w:rPr>
          <w:sz w:val="24"/>
          <w:szCs w:val="24"/>
          <w:lang w:val="da-DK"/>
        </w:rPr>
      </w:pPr>
      <w:r w:rsidRPr="00CE6FA2">
        <w:rPr>
          <w:sz w:val="24"/>
          <w:szCs w:val="24"/>
          <w:lang w:val="da-DK"/>
        </w:rPr>
        <w:tab/>
      </w:r>
    </w:p>
    <w:p w:rsidR="00A1753E" w:rsidRPr="00CE6FA2" w:rsidRDefault="00A1753E" w:rsidP="00A1753E">
      <w:pPr>
        <w:ind w:left="851"/>
        <w:rPr>
          <w:sz w:val="24"/>
          <w:szCs w:val="24"/>
          <w:lang w:eastAsia="zh-CN"/>
        </w:rPr>
      </w:pPr>
      <w:r w:rsidRPr="00DC3D8B">
        <w:rPr>
          <w:sz w:val="24"/>
          <w:szCs w:val="24"/>
          <w:lang w:eastAsia="zh-CN"/>
        </w:rPr>
        <w:t xml:space="preserve">Overdosering kan medføre overhydrering og </w:t>
      </w:r>
      <w:proofErr w:type="spellStart"/>
      <w:r w:rsidRPr="00DC3D8B">
        <w:rPr>
          <w:sz w:val="24"/>
          <w:szCs w:val="24"/>
          <w:lang w:eastAsia="zh-CN"/>
        </w:rPr>
        <w:t>hyperviskositet</w:t>
      </w:r>
      <w:proofErr w:type="spellEnd"/>
      <w:r w:rsidRPr="00DC3D8B">
        <w:rPr>
          <w:sz w:val="24"/>
          <w:szCs w:val="24"/>
          <w:lang w:eastAsia="zh-CN"/>
        </w:rPr>
        <w:t xml:space="preserve">, særlig hos patienter, der er udsat for risiko, herunder </w:t>
      </w:r>
      <w:r>
        <w:rPr>
          <w:sz w:val="24"/>
          <w:szCs w:val="24"/>
          <w:lang w:eastAsia="zh-CN"/>
        </w:rPr>
        <w:t xml:space="preserve">spædbørn, </w:t>
      </w:r>
      <w:r w:rsidRPr="00DC3D8B">
        <w:rPr>
          <w:sz w:val="24"/>
          <w:szCs w:val="24"/>
          <w:lang w:eastAsia="zh-CN"/>
        </w:rPr>
        <w:t>ældre patienter eller patienter med hjerte</w:t>
      </w:r>
      <w:r>
        <w:rPr>
          <w:sz w:val="24"/>
          <w:szCs w:val="24"/>
          <w:lang w:eastAsia="zh-CN"/>
        </w:rPr>
        <w:t>-</w:t>
      </w:r>
      <w:r w:rsidRPr="00DC3D8B">
        <w:rPr>
          <w:sz w:val="24"/>
          <w:szCs w:val="24"/>
          <w:lang w:eastAsia="zh-CN"/>
        </w:rPr>
        <w:t xml:space="preserve"> eller nyreskader (se punkt 4.4).</w:t>
      </w:r>
    </w:p>
    <w:p w:rsidR="00812371" w:rsidRPr="00CE6FA2" w:rsidRDefault="00812371" w:rsidP="00812371">
      <w:pPr>
        <w:pStyle w:val="Brdtekst"/>
        <w:ind w:left="851" w:hanging="851"/>
        <w:jc w:val="left"/>
        <w:rPr>
          <w:sz w:val="24"/>
          <w:szCs w:val="24"/>
          <w:lang w:val="da-DK"/>
        </w:rPr>
      </w:pPr>
    </w:p>
    <w:p w:rsidR="00812371" w:rsidRPr="00CE6FA2" w:rsidRDefault="00812371" w:rsidP="00812371">
      <w:pPr>
        <w:ind w:left="851" w:hanging="851"/>
        <w:rPr>
          <w:sz w:val="24"/>
          <w:szCs w:val="24"/>
        </w:rPr>
      </w:pPr>
    </w:p>
    <w:p w:rsidR="00812371" w:rsidRPr="00CE6FA2" w:rsidRDefault="00812371" w:rsidP="00812371">
      <w:pPr>
        <w:ind w:left="851" w:hanging="851"/>
        <w:rPr>
          <w:b/>
          <w:sz w:val="24"/>
          <w:szCs w:val="24"/>
        </w:rPr>
      </w:pPr>
      <w:r w:rsidRPr="00CE6FA2">
        <w:rPr>
          <w:b/>
          <w:sz w:val="24"/>
          <w:szCs w:val="24"/>
        </w:rPr>
        <w:t>4.10</w:t>
      </w:r>
      <w:r w:rsidRPr="00CE6FA2">
        <w:rPr>
          <w:b/>
          <w:sz w:val="24"/>
          <w:szCs w:val="24"/>
        </w:rPr>
        <w:tab/>
        <w:t>Udlevering</w:t>
      </w:r>
    </w:p>
    <w:p w:rsidR="00812371" w:rsidRPr="00CE6FA2" w:rsidRDefault="00812371" w:rsidP="00812371">
      <w:pPr>
        <w:ind w:left="851" w:hanging="851"/>
        <w:rPr>
          <w:sz w:val="24"/>
          <w:szCs w:val="24"/>
        </w:rPr>
      </w:pPr>
      <w:r w:rsidRPr="00CE6FA2">
        <w:rPr>
          <w:sz w:val="24"/>
          <w:szCs w:val="24"/>
        </w:rPr>
        <w:tab/>
      </w:r>
      <w:r>
        <w:rPr>
          <w:sz w:val="24"/>
          <w:szCs w:val="24"/>
        </w:rPr>
        <w:t>B</w:t>
      </w:r>
    </w:p>
    <w:p w:rsidR="00812371" w:rsidRPr="00CE6FA2" w:rsidRDefault="00812371" w:rsidP="00812371">
      <w:pPr>
        <w:ind w:left="851" w:hanging="851"/>
        <w:rPr>
          <w:sz w:val="24"/>
          <w:szCs w:val="24"/>
        </w:rPr>
      </w:pPr>
    </w:p>
    <w:p w:rsidR="00812371" w:rsidRPr="00CE6FA2" w:rsidRDefault="00812371" w:rsidP="00812371">
      <w:pPr>
        <w:ind w:left="851" w:hanging="851"/>
        <w:rPr>
          <w:sz w:val="24"/>
          <w:szCs w:val="24"/>
        </w:rPr>
      </w:pPr>
    </w:p>
    <w:p w:rsidR="00812371" w:rsidRPr="00CE6FA2" w:rsidRDefault="00812371" w:rsidP="00812371">
      <w:pPr>
        <w:ind w:left="851" w:hanging="851"/>
        <w:rPr>
          <w:b/>
          <w:sz w:val="24"/>
          <w:szCs w:val="24"/>
        </w:rPr>
      </w:pPr>
      <w:r w:rsidRPr="00CE6FA2">
        <w:rPr>
          <w:b/>
          <w:sz w:val="24"/>
          <w:szCs w:val="24"/>
        </w:rPr>
        <w:t>5.</w:t>
      </w:r>
      <w:r w:rsidRPr="00CE6FA2">
        <w:rPr>
          <w:b/>
          <w:sz w:val="24"/>
          <w:szCs w:val="24"/>
        </w:rPr>
        <w:tab/>
        <w:t>FARMAKOLOGISKE EGENSKABER</w:t>
      </w:r>
    </w:p>
    <w:p w:rsidR="00812371" w:rsidRPr="00CE6FA2" w:rsidRDefault="00812371" w:rsidP="00812371">
      <w:pPr>
        <w:ind w:left="851" w:hanging="851"/>
        <w:rPr>
          <w:sz w:val="24"/>
          <w:szCs w:val="24"/>
        </w:rPr>
      </w:pPr>
    </w:p>
    <w:p w:rsidR="00812371" w:rsidRPr="0079588C" w:rsidRDefault="00812371" w:rsidP="00812371">
      <w:pPr>
        <w:ind w:left="851" w:hanging="851"/>
        <w:rPr>
          <w:b/>
          <w:sz w:val="24"/>
          <w:szCs w:val="24"/>
        </w:rPr>
      </w:pPr>
      <w:r w:rsidRPr="00CE6FA2">
        <w:rPr>
          <w:b/>
          <w:sz w:val="24"/>
          <w:szCs w:val="24"/>
        </w:rPr>
        <w:t>5.1</w:t>
      </w:r>
      <w:r w:rsidRPr="00CE6FA2">
        <w:rPr>
          <w:b/>
          <w:sz w:val="24"/>
          <w:szCs w:val="24"/>
        </w:rPr>
        <w:tab/>
      </w:r>
      <w:proofErr w:type="spellStart"/>
      <w:r w:rsidRPr="00CE6FA2">
        <w:rPr>
          <w:b/>
          <w:sz w:val="24"/>
          <w:szCs w:val="24"/>
        </w:rPr>
        <w:t>Farmakodynamiske</w:t>
      </w:r>
      <w:proofErr w:type="spellEnd"/>
      <w:r w:rsidRPr="00CE6FA2">
        <w:rPr>
          <w:b/>
          <w:sz w:val="24"/>
          <w:szCs w:val="24"/>
        </w:rPr>
        <w:t xml:space="preserve"> egenskaber</w:t>
      </w:r>
    </w:p>
    <w:p w:rsidR="00A1753E" w:rsidRDefault="00A1753E" w:rsidP="00A1753E">
      <w:pPr>
        <w:pStyle w:val="Brdtekst"/>
        <w:ind w:left="851"/>
        <w:jc w:val="left"/>
        <w:rPr>
          <w:sz w:val="24"/>
          <w:szCs w:val="24"/>
          <w:lang w:val="da-DK"/>
        </w:rPr>
      </w:pPr>
    </w:p>
    <w:p w:rsidR="00A1753E" w:rsidRPr="00B30D09" w:rsidRDefault="00A1753E" w:rsidP="00A1753E">
      <w:pPr>
        <w:pStyle w:val="Brdtekst"/>
        <w:ind w:left="851"/>
        <w:jc w:val="left"/>
        <w:rPr>
          <w:sz w:val="24"/>
          <w:szCs w:val="24"/>
          <w:lang w:val="da-DK"/>
        </w:rPr>
      </w:pPr>
      <w:proofErr w:type="spellStart"/>
      <w:r w:rsidRPr="00426218">
        <w:rPr>
          <w:sz w:val="24"/>
          <w:szCs w:val="24"/>
          <w:lang w:val="da-DK"/>
        </w:rPr>
        <w:t>Farmakoterapeutisk</w:t>
      </w:r>
      <w:proofErr w:type="spellEnd"/>
      <w:r w:rsidRPr="00426218">
        <w:rPr>
          <w:sz w:val="24"/>
          <w:szCs w:val="24"/>
          <w:lang w:val="da-DK"/>
        </w:rPr>
        <w:t xml:space="preserve"> klassifikation: </w:t>
      </w:r>
      <w:r>
        <w:rPr>
          <w:sz w:val="24"/>
          <w:szCs w:val="24"/>
          <w:lang w:val="da-DK"/>
        </w:rPr>
        <w:t>I</w:t>
      </w:r>
      <w:r w:rsidRPr="00CE6FA2">
        <w:rPr>
          <w:sz w:val="24"/>
          <w:szCs w:val="24"/>
          <w:lang w:val="da-DK"/>
        </w:rPr>
        <w:t xml:space="preserve">mmunsera og </w:t>
      </w:r>
      <w:proofErr w:type="spellStart"/>
      <w:r w:rsidRPr="00CE6FA2">
        <w:rPr>
          <w:sz w:val="24"/>
          <w:szCs w:val="24"/>
          <w:lang w:val="da-DK"/>
        </w:rPr>
        <w:t>immunglobuliner</w:t>
      </w:r>
      <w:proofErr w:type="spellEnd"/>
      <w:r w:rsidRPr="00CE6FA2">
        <w:rPr>
          <w:sz w:val="24"/>
          <w:szCs w:val="24"/>
          <w:lang w:val="da-DK"/>
        </w:rPr>
        <w:t xml:space="preserve">: </w:t>
      </w:r>
      <w:proofErr w:type="spellStart"/>
      <w:r w:rsidRPr="00CE6FA2">
        <w:rPr>
          <w:sz w:val="24"/>
          <w:szCs w:val="24"/>
          <w:lang w:val="da-DK"/>
        </w:rPr>
        <w:t>immunglobuliner</w:t>
      </w:r>
      <w:proofErr w:type="spellEnd"/>
      <w:r w:rsidRPr="00CE6FA2">
        <w:rPr>
          <w:sz w:val="24"/>
          <w:szCs w:val="24"/>
          <w:lang w:val="da-DK"/>
        </w:rPr>
        <w:t xml:space="preserve">, normale humane, til </w:t>
      </w:r>
      <w:proofErr w:type="spellStart"/>
      <w:r w:rsidRPr="00CE6FA2">
        <w:rPr>
          <w:sz w:val="24"/>
          <w:szCs w:val="24"/>
          <w:lang w:val="da-DK"/>
        </w:rPr>
        <w:t>intravaskulær</w:t>
      </w:r>
      <w:proofErr w:type="spellEnd"/>
      <w:r w:rsidRPr="00CE6FA2">
        <w:rPr>
          <w:sz w:val="24"/>
          <w:szCs w:val="24"/>
          <w:lang w:val="da-DK"/>
        </w:rPr>
        <w:t xml:space="preserve"> brug, ATC</w:t>
      </w:r>
      <w:r w:rsidRPr="00CE6FA2">
        <w:rPr>
          <w:sz w:val="24"/>
          <w:szCs w:val="24"/>
          <w:lang w:val="da-DK"/>
        </w:rPr>
        <w:noBreakHyphen/>
        <w:t>kode: J06BA02.</w:t>
      </w:r>
    </w:p>
    <w:p w:rsidR="00A1753E" w:rsidRPr="00C94F77" w:rsidRDefault="00A1753E" w:rsidP="00A1753E">
      <w:pPr>
        <w:pStyle w:val="Brdtekst"/>
        <w:ind w:left="851"/>
        <w:jc w:val="left"/>
        <w:rPr>
          <w:sz w:val="24"/>
          <w:szCs w:val="24"/>
          <w:lang w:val="da-DK"/>
        </w:rPr>
      </w:pPr>
      <w:r w:rsidRPr="00C94F77">
        <w:rPr>
          <w:sz w:val="24"/>
          <w:szCs w:val="24"/>
          <w:lang w:val="da-DK"/>
        </w:rPr>
        <w:t xml:space="preserve">Humant normalt </w:t>
      </w:r>
      <w:proofErr w:type="spellStart"/>
      <w:r w:rsidRPr="00C94F77">
        <w:rPr>
          <w:sz w:val="24"/>
          <w:szCs w:val="24"/>
          <w:lang w:val="da-DK"/>
        </w:rPr>
        <w:t>immunglobulin</w:t>
      </w:r>
      <w:proofErr w:type="spellEnd"/>
      <w:r w:rsidRPr="00C94F77">
        <w:rPr>
          <w:sz w:val="24"/>
          <w:szCs w:val="24"/>
          <w:lang w:val="da-DK"/>
        </w:rPr>
        <w:t xml:space="preserve"> indeholder hovedsageligt </w:t>
      </w:r>
      <w:proofErr w:type="spellStart"/>
      <w:r w:rsidRPr="00C94F77">
        <w:rPr>
          <w:sz w:val="24"/>
          <w:szCs w:val="24"/>
          <w:lang w:val="da-DK"/>
        </w:rPr>
        <w:t>immunglobulin</w:t>
      </w:r>
      <w:proofErr w:type="spellEnd"/>
      <w:r w:rsidRPr="00C94F77">
        <w:rPr>
          <w:sz w:val="24"/>
          <w:szCs w:val="24"/>
          <w:lang w:val="da-DK"/>
        </w:rPr>
        <w:t xml:space="preserve"> G (</w:t>
      </w:r>
      <w:proofErr w:type="spellStart"/>
      <w:r w:rsidRPr="00C94F77">
        <w:rPr>
          <w:sz w:val="24"/>
          <w:szCs w:val="24"/>
          <w:lang w:val="da-DK"/>
        </w:rPr>
        <w:t>IgG</w:t>
      </w:r>
      <w:proofErr w:type="spellEnd"/>
      <w:r w:rsidRPr="00C94F77">
        <w:rPr>
          <w:sz w:val="24"/>
          <w:szCs w:val="24"/>
          <w:lang w:val="da-DK"/>
        </w:rPr>
        <w:t>) med et bredt spektrum af antistoffer mod smitsomme stoffer.</w:t>
      </w:r>
    </w:p>
    <w:p w:rsidR="00A1753E" w:rsidRPr="00820100" w:rsidRDefault="00A1753E" w:rsidP="00A1753E">
      <w:pPr>
        <w:pStyle w:val="Brdtekst"/>
        <w:ind w:left="851"/>
        <w:jc w:val="left"/>
        <w:rPr>
          <w:sz w:val="24"/>
          <w:szCs w:val="24"/>
          <w:lang w:val="da-DK"/>
        </w:rPr>
      </w:pPr>
      <w:r w:rsidRPr="00C94F77">
        <w:rPr>
          <w:sz w:val="24"/>
          <w:szCs w:val="24"/>
          <w:lang w:val="da-DK"/>
        </w:rPr>
        <w:t xml:space="preserve">Humant normalt </w:t>
      </w:r>
      <w:proofErr w:type="spellStart"/>
      <w:r w:rsidRPr="00C94F77">
        <w:rPr>
          <w:sz w:val="24"/>
          <w:szCs w:val="24"/>
          <w:lang w:val="da-DK"/>
        </w:rPr>
        <w:t>immunglobulin</w:t>
      </w:r>
      <w:proofErr w:type="spellEnd"/>
      <w:r w:rsidRPr="00C94F77">
        <w:rPr>
          <w:sz w:val="24"/>
          <w:szCs w:val="24"/>
          <w:lang w:val="da-DK"/>
        </w:rPr>
        <w:t xml:space="preserve"> indeholder de </w:t>
      </w:r>
      <w:proofErr w:type="spellStart"/>
      <w:r w:rsidRPr="00C94F77">
        <w:rPr>
          <w:sz w:val="24"/>
          <w:szCs w:val="24"/>
          <w:lang w:val="da-DK"/>
        </w:rPr>
        <w:t>IgG</w:t>
      </w:r>
      <w:proofErr w:type="spellEnd"/>
      <w:r w:rsidRPr="00C94F77">
        <w:rPr>
          <w:sz w:val="24"/>
          <w:szCs w:val="24"/>
          <w:lang w:val="da-DK"/>
        </w:rPr>
        <w:noBreakHyphen/>
        <w:t xml:space="preserve">antistoffer, der findes i den normale population. Det tilberedes sædvanligvis af </w:t>
      </w:r>
      <w:proofErr w:type="spellStart"/>
      <w:r w:rsidRPr="00C94F77">
        <w:rPr>
          <w:sz w:val="24"/>
          <w:szCs w:val="24"/>
          <w:lang w:val="da-DK"/>
        </w:rPr>
        <w:t>pooled</w:t>
      </w:r>
      <w:proofErr w:type="spellEnd"/>
      <w:r w:rsidRPr="00C94F77">
        <w:rPr>
          <w:sz w:val="24"/>
          <w:szCs w:val="24"/>
          <w:lang w:val="da-DK"/>
        </w:rPr>
        <w:t xml:space="preserve"> plasma fra ikke under 1.000 bloddon</w:t>
      </w:r>
      <w:r>
        <w:rPr>
          <w:sz w:val="24"/>
          <w:szCs w:val="24"/>
          <w:lang w:val="da-DK"/>
        </w:rPr>
        <w:t>orer</w:t>
      </w:r>
      <w:r w:rsidRPr="00C94F77">
        <w:rPr>
          <w:sz w:val="24"/>
          <w:szCs w:val="24"/>
          <w:lang w:val="da-DK"/>
        </w:rPr>
        <w:t xml:space="preserve">. Det har en fordeling af </w:t>
      </w:r>
      <w:proofErr w:type="spellStart"/>
      <w:r w:rsidRPr="00C94F77">
        <w:rPr>
          <w:sz w:val="24"/>
          <w:szCs w:val="24"/>
          <w:lang w:val="da-DK"/>
        </w:rPr>
        <w:t>immunglobulin</w:t>
      </w:r>
      <w:proofErr w:type="spellEnd"/>
      <w:r w:rsidRPr="00C94F77">
        <w:rPr>
          <w:sz w:val="24"/>
          <w:szCs w:val="24"/>
          <w:lang w:val="da-DK"/>
        </w:rPr>
        <w:t xml:space="preserve"> G</w:t>
      </w:r>
      <w:r w:rsidRPr="00C94F77">
        <w:rPr>
          <w:sz w:val="24"/>
          <w:szCs w:val="24"/>
          <w:lang w:val="da-DK"/>
        </w:rPr>
        <w:noBreakHyphen/>
        <w:t xml:space="preserve">underklasser, der er nært proportional med den, der findes i normalt humant plasma. Passende doser af dette lægemiddel kan bringe abnormt lave </w:t>
      </w:r>
      <w:proofErr w:type="spellStart"/>
      <w:r w:rsidRPr="00C94F77">
        <w:rPr>
          <w:sz w:val="24"/>
          <w:szCs w:val="24"/>
          <w:lang w:val="da-DK"/>
        </w:rPr>
        <w:t>immunglobulin</w:t>
      </w:r>
      <w:proofErr w:type="spellEnd"/>
      <w:r w:rsidRPr="00C94F77">
        <w:rPr>
          <w:sz w:val="24"/>
          <w:szCs w:val="24"/>
          <w:lang w:val="da-DK"/>
        </w:rPr>
        <w:t xml:space="preserve"> G</w:t>
      </w:r>
      <w:r w:rsidRPr="00C94F77">
        <w:rPr>
          <w:sz w:val="24"/>
          <w:szCs w:val="24"/>
          <w:lang w:val="da-DK"/>
        </w:rPr>
        <w:noBreakHyphen/>
        <w:t>niveauer op i normalområdet.</w:t>
      </w:r>
      <w:r>
        <w:rPr>
          <w:sz w:val="24"/>
          <w:szCs w:val="24"/>
          <w:lang w:val="da-DK"/>
        </w:rPr>
        <w:t xml:space="preserve"> </w:t>
      </w:r>
      <w:r w:rsidRPr="00820100">
        <w:rPr>
          <w:sz w:val="24"/>
          <w:szCs w:val="24"/>
          <w:lang w:val="da-DK"/>
        </w:rPr>
        <w:t>Virkningsmekanismen i andre indikationer end substitutionsterapi er ikke helt belyst.</w:t>
      </w:r>
    </w:p>
    <w:p w:rsidR="00A1753E" w:rsidRPr="00820100" w:rsidRDefault="00A1753E" w:rsidP="00A1753E">
      <w:pPr>
        <w:pStyle w:val="Brdtekst"/>
        <w:ind w:left="851"/>
        <w:jc w:val="left"/>
        <w:rPr>
          <w:sz w:val="24"/>
          <w:szCs w:val="24"/>
          <w:lang w:val="da-DK"/>
        </w:rPr>
      </w:pPr>
    </w:p>
    <w:p w:rsidR="00A1753E" w:rsidRPr="00820100" w:rsidRDefault="00A1753E" w:rsidP="00A1753E">
      <w:pPr>
        <w:pStyle w:val="Brdtekst"/>
        <w:ind w:left="851"/>
        <w:jc w:val="left"/>
        <w:rPr>
          <w:sz w:val="24"/>
          <w:szCs w:val="24"/>
          <w:lang w:val="da-DK"/>
        </w:rPr>
      </w:pPr>
      <w:r w:rsidRPr="00820100">
        <w:rPr>
          <w:sz w:val="24"/>
          <w:szCs w:val="24"/>
          <w:lang w:val="da-DK"/>
        </w:rPr>
        <w:t xml:space="preserve">Effekten af </w:t>
      </w:r>
      <w:proofErr w:type="spellStart"/>
      <w:r w:rsidRPr="00820100">
        <w:rPr>
          <w:sz w:val="24"/>
          <w:szCs w:val="24"/>
          <w:lang w:val="da-DK"/>
        </w:rPr>
        <w:t>I</w:t>
      </w:r>
      <w:r>
        <w:rPr>
          <w:sz w:val="24"/>
          <w:szCs w:val="24"/>
          <w:lang w:val="da-DK"/>
        </w:rPr>
        <w:t>qymune</w:t>
      </w:r>
      <w:proofErr w:type="spellEnd"/>
      <w:r w:rsidRPr="00820100">
        <w:rPr>
          <w:sz w:val="24"/>
          <w:szCs w:val="24"/>
          <w:lang w:val="da-DK"/>
        </w:rPr>
        <w:t xml:space="preserve"> som erstatningsbehandling blev vurderet hos i alt 62 PID</w:t>
      </w:r>
      <w:r w:rsidRPr="00820100">
        <w:rPr>
          <w:sz w:val="24"/>
          <w:szCs w:val="24"/>
          <w:lang w:val="da-DK"/>
        </w:rPr>
        <w:noBreakHyphen/>
        <w:t>patienter (36 voksne og 26 </w:t>
      </w:r>
      <w:proofErr w:type="gramStart"/>
      <w:r w:rsidRPr="00820100">
        <w:rPr>
          <w:sz w:val="24"/>
          <w:szCs w:val="24"/>
          <w:lang w:val="da-DK"/>
        </w:rPr>
        <w:t>pædiatrisk</w:t>
      </w:r>
      <w:proofErr w:type="gramEnd"/>
      <w:r w:rsidRPr="00820100">
        <w:rPr>
          <w:sz w:val="24"/>
          <w:szCs w:val="24"/>
          <w:lang w:val="da-DK"/>
        </w:rPr>
        <w:t xml:space="preserve"> patienter), herunder 4 behandlingsnaive patienter.</w:t>
      </w:r>
    </w:p>
    <w:p w:rsidR="00A1753E" w:rsidRPr="00820100" w:rsidRDefault="00A1753E" w:rsidP="00A1753E">
      <w:pPr>
        <w:pStyle w:val="Brdtekst"/>
        <w:ind w:left="851"/>
        <w:jc w:val="left"/>
        <w:rPr>
          <w:sz w:val="24"/>
          <w:szCs w:val="24"/>
          <w:lang w:val="da-DK"/>
        </w:rPr>
      </w:pPr>
    </w:p>
    <w:p w:rsidR="00A1753E" w:rsidRPr="00820100" w:rsidRDefault="00A1753E" w:rsidP="00A1753E">
      <w:pPr>
        <w:pStyle w:val="Brdtekst"/>
        <w:ind w:left="851"/>
        <w:jc w:val="left"/>
        <w:rPr>
          <w:sz w:val="24"/>
          <w:szCs w:val="24"/>
          <w:lang w:val="da-DK"/>
        </w:rPr>
      </w:pPr>
      <w:r w:rsidRPr="00820100">
        <w:rPr>
          <w:sz w:val="24"/>
          <w:szCs w:val="24"/>
          <w:lang w:val="da-DK"/>
        </w:rPr>
        <w:t xml:space="preserve">Effekten af </w:t>
      </w:r>
      <w:proofErr w:type="spellStart"/>
      <w:r w:rsidRPr="00820100">
        <w:rPr>
          <w:sz w:val="24"/>
          <w:szCs w:val="24"/>
          <w:lang w:val="da-DK"/>
        </w:rPr>
        <w:t>I</w:t>
      </w:r>
      <w:r>
        <w:rPr>
          <w:sz w:val="24"/>
          <w:szCs w:val="24"/>
          <w:lang w:val="da-DK"/>
        </w:rPr>
        <w:t>qymune</w:t>
      </w:r>
      <w:proofErr w:type="spellEnd"/>
      <w:r w:rsidRPr="00820100">
        <w:rPr>
          <w:sz w:val="24"/>
          <w:szCs w:val="24"/>
          <w:lang w:val="da-DK"/>
        </w:rPr>
        <w:t xml:space="preserve"> i immunmodulation blev vurderet hos 38 voksne patienter med kronisk primær ITP med et </w:t>
      </w:r>
      <w:proofErr w:type="spellStart"/>
      <w:r w:rsidRPr="00820100">
        <w:rPr>
          <w:sz w:val="24"/>
          <w:szCs w:val="24"/>
          <w:lang w:val="da-DK"/>
        </w:rPr>
        <w:t>trombocyttal</w:t>
      </w:r>
      <w:proofErr w:type="spellEnd"/>
      <w:r w:rsidRPr="00820100">
        <w:rPr>
          <w:sz w:val="24"/>
          <w:szCs w:val="24"/>
          <w:lang w:val="da-DK"/>
        </w:rPr>
        <w:t xml:space="preserve"> &lt; 30 </w:t>
      </w:r>
      <w:r w:rsidRPr="00820100">
        <w:rPr>
          <w:noProof/>
          <w:sz w:val="24"/>
          <w:szCs w:val="24"/>
          <w:lang w:val="da-DK"/>
        </w:rPr>
        <w:t>×</w:t>
      </w:r>
      <w:r w:rsidRPr="00820100">
        <w:rPr>
          <w:sz w:val="24"/>
          <w:szCs w:val="24"/>
          <w:lang w:val="da-DK"/>
        </w:rPr>
        <w:t> 10</w:t>
      </w:r>
      <w:r w:rsidRPr="00820100">
        <w:rPr>
          <w:sz w:val="24"/>
          <w:szCs w:val="24"/>
          <w:vertAlign w:val="superscript"/>
          <w:lang w:val="da-DK"/>
        </w:rPr>
        <w:t>9</w:t>
      </w:r>
      <w:r w:rsidRPr="00820100">
        <w:rPr>
          <w:sz w:val="24"/>
          <w:szCs w:val="24"/>
          <w:lang w:val="da-DK"/>
        </w:rPr>
        <w:t>/L</w:t>
      </w:r>
      <w:r>
        <w:rPr>
          <w:sz w:val="24"/>
          <w:szCs w:val="24"/>
          <w:lang w:val="da-DK"/>
        </w:rPr>
        <w:t>,</w:t>
      </w:r>
      <w:r w:rsidRPr="00820100">
        <w:rPr>
          <w:sz w:val="24"/>
          <w:szCs w:val="24"/>
          <w:lang w:val="da-DK"/>
        </w:rPr>
        <w:t xml:space="preserve"> hos 22 voksne patienter med MMN</w:t>
      </w:r>
      <w:r>
        <w:rPr>
          <w:sz w:val="24"/>
          <w:szCs w:val="24"/>
          <w:lang w:val="da-DK"/>
        </w:rPr>
        <w:t xml:space="preserve"> samt hos 42 voksne patienter med CIDP</w:t>
      </w:r>
      <w:r w:rsidRPr="00820100">
        <w:rPr>
          <w:sz w:val="24"/>
          <w:szCs w:val="24"/>
          <w:lang w:val="da-DK"/>
        </w:rPr>
        <w:t>.</w:t>
      </w:r>
    </w:p>
    <w:p w:rsidR="00426218" w:rsidRPr="00820100" w:rsidRDefault="00426218" w:rsidP="00A1753E">
      <w:pPr>
        <w:pStyle w:val="Brdtekst"/>
        <w:jc w:val="left"/>
        <w:rPr>
          <w:sz w:val="24"/>
          <w:szCs w:val="24"/>
          <w:lang w:val="da-DK"/>
        </w:rPr>
      </w:pPr>
    </w:p>
    <w:p w:rsidR="00A1753E" w:rsidRPr="00820100" w:rsidRDefault="00A1753E" w:rsidP="00A1753E">
      <w:pPr>
        <w:pStyle w:val="Brdtekst"/>
        <w:ind w:left="851"/>
        <w:jc w:val="left"/>
        <w:rPr>
          <w:sz w:val="24"/>
          <w:szCs w:val="24"/>
          <w:u w:val="single"/>
          <w:lang w:val="da-DK"/>
        </w:rPr>
      </w:pPr>
      <w:r w:rsidRPr="00820100">
        <w:rPr>
          <w:sz w:val="24"/>
          <w:szCs w:val="24"/>
          <w:u w:val="single"/>
          <w:lang w:val="da-DK"/>
        </w:rPr>
        <w:t>Pædiatrisk population</w:t>
      </w:r>
    </w:p>
    <w:p w:rsidR="00A1753E" w:rsidRPr="00C94F77" w:rsidRDefault="00A1753E" w:rsidP="00A1753E">
      <w:pPr>
        <w:pStyle w:val="Brdtekst"/>
        <w:ind w:left="851"/>
        <w:jc w:val="left"/>
        <w:rPr>
          <w:sz w:val="24"/>
          <w:szCs w:val="24"/>
          <w:lang w:val="da-DK"/>
        </w:rPr>
      </w:pPr>
    </w:p>
    <w:p w:rsidR="00A1753E" w:rsidRDefault="00A1753E" w:rsidP="00A1753E">
      <w:pPr>
        <w:pStyle w:val="Brdtekst"/>
        <w:ind w:left="851"/>
        <w:jc w:val="left"/>
        <w:rPr>
          <w:sz w:val="24"/>
          <w:szCs w:val="24"/>
          <w:lang w:val="da-DK"/>
        </w:rPr>
      </w:pPr>
      <w:r w:rsidRPr="001B4AD2">
        <w:rPr>
          <w:sz w:val="24"/>
          <w:szCs w:val="24"/>
          <w:lang w:val="da-DK"/>
        </w:rPr>
        <w:t xml:space="preserve">Det Europæiske Lægemiddelagentur har dispenseret fra kravet om at fremlægge resultaterne af studier med </w:t>
      </w:r>
      <w:proofErr w:type="spellStart"/>
      <w:r>
        <w:rPr>
          <w:sz w:val="24"/>
          <w:szCs w:val="24"/>
          <w:lang w:val="da-DK"/>
        </w:rPr>
        <w:t>Iqymune</w:t>
      </w:r>
      <w:proofErr w:type="spellEnd"/>
    </w:p>
    <w:p w:rsidR="00A1753E" w:rsidRDefault="00A1753E" w:rsidP="00A1753E">
      <w:pPr>
        <w:pStyle w:val="Brdtekst"/>
        <w:numPr>
          <w:ilvl w:val="0"/>
          <w:numId w:val="18"/>
        </w:numPr>
        <w:jc w:val="left"/>
        <w:rPr>
          <w:sz w:val="24"/>
          <w:szCs w:val="24"/>
          <w:lang w:val="da-DK"/>
        </w:rPr>
      </w:pPr>
      <w:r w:rsidRPr="001B4AD2">
        <w:rPr>
          <w:sz w:val="24"/>
          <w:szCs w:val="24"/>
          <w:lang w:val="da-DK"/>
        </w:rPr>
        <w:t>i alle undergrupper af den pædiatriske population med</w:t>
      </w:r>
      <w:r>
        <w:rPr>
          <w:sz w:val="24"/>
          <w:szCs w:val="24"/>
          <w:lang w:val="da-DK"/>
        </w:rPr>
        <w:t xml:space="preserve"> ITP, MMN og CIDP.</w:t>
      </w:r>
    </w:p>
    <w:p w:rsidR="00A1753E" w:rsidRDefault="00A1753E" w:rsidP="00A1753E">
      <w:pPr>
        <w:pStyle w:val="Brdtekst"/>
        <w:numPr>
          <w:ilvl w:val="0"/>
          <w:numId w:val="18"/>
        </w:numPr>
        <w:jc w:val="left"/>
        <w:rPr>
          <w:sz w:val="24"/>
          <w:szCs w:val="24"/>
          <w:lang w:val="da-DK"/>
        </w:rPr>
      </w:pPr>
      <w:r>
        <w:rPr>
          <w:sz w:val="24"/>
          <w:szCs w:val="24"/>
          <w:lang w:val="da-DK"/>
        </w:rPr>
        <w:t>i den pædiatriske population fra fødsel til under 24 måneder med PID</w:t>
      </w:r>
      <w:r w:rsidRPr="001B4AD2">
        <w:rPr>
          <w:sz w:val="24"/>
          <w:szCs w:val="24"/>
          <w:lang w:val="da-DK"/>
        </w:rPr>
        <w:t>.</w:t>
      </w:r>
    </w:p>
    <w:p w:rsidR="00A1753E" w:rsidRPr="00C94F77" w:rsidRDefault="00A1753E" w:rsidP="00A1753E">
      <w:pPr>
        <w:pStyle w:val="Brdtekst"/>
        <w:ind w:left="851"/>
        <w:jc w:val="left"/>
        <w:rPr>
          <w:sz w:val="24"/>
          <w:szCs w:val="24"/>
          <w:lang w:val="da-DK"/>
        </w:rPr>
      </w:pPr>
    </w:p>
    <w:p w:rsidR="00A1753E" w:rsidRPr="00CE6FA2" w:rsidRDefault="00A1753E" w:rsidP="00A1753E">
      <w:pPr>
        <w:pStyle w:val="Brdtekst"/>
        <w:ind w:left="851"/>
        <w:jc w:val="left"/>
        <w:rPr>
          <w:sz w:val="24"/>
          <w:szCs w:val="24"/>
          <w:lang w:val="da-DK"/>
        </w:rPr>
      </w:pPr>
      <w:r w:rsidRPr="00C94F77">
        <w:rPr>
          <w:sz w:val="24"/>
          <w:szCs w:val="24"/>
          <w:lang w:val="da-DK"/>
        </w:rPr>
        <w:t>Se pkt. 4.2 for information om pædiatrisk brug.</w:t>
      </w:r>
    </w:p>
    <w:p w:rsidR="00812371" w:rsidRPr="00CE6FA2" w:rsidRDefault="00812371" w:rsidP="00812371">
      <w:pPr>
        <w:ind w:left="851" w:hanging="851"/>
        <w:rPr>
          <w:sz w:val="24"/>
          <w:szCs w:val="24"/>
        </w:rPr>
      </w:pPr>
    </w:p>
    <w:p w:rsidR="00812371" w:rsidRPr="00CE6FA2" w:rsidRDefault="00812371" w:rsidP="00812371">
      <w:pPr>
        <w:ind w:left="851" w:hanging="851"/>
        <w:rPr>
          <w:b/>
          <w:sz w:val="24"/>
          <w:szCs w:val="24"/>
        </w:rPr>
      </w:pPr>
      <w:r w:rsidRPr="00CE6FA2">
        <w:rPr>
          <w:b/>
          <w:sz w:val="24"/>
          <w:szCs w:val="24"/>
        </w:rPr>
        <w:lastRenderedPageBreak/>
        <w:t>5.2</w:t>
      </w:r>
      <w:r w:rsidRPr="00CE6FA2">
        <w:rPr>
          <w:b/>
          <w:sz w:val="24"/>
          <w:szCs w:val="24"/>
        </w:rPr>
        <w:tab/>
      </w:r>
      <w:proofErr w:type="spellStart"/>
      <w:r w:rsidRPr="00CE6FA2">
        <w:rPr>
          <w:b/>
          <w:sz w:val="24"/>
          <w:szCs w:val="24"/>
        </w:rPr>
        <w:t>Farmakokinetiske</w:t>
      </w:r>
      <w:proofErr w:type="spellEnd"/>
      <w:r w:rsidRPr="00CE6FA2">
        <w:rPr>
          <w:b/>
          <w:sz w:val="24"/>
          <w:szCs w:val="24"/>
        </w:rPr>
        <w:t xml:space="preserve"> egenskaber</w:t>
      </w:r>
    </w:p>
    <w:p w:rsidR="00A1753E" w:rsidRDefault="00812371" w:rsidP="00A1753E">
      <w:pPr>
        <w:pStyle w:val="Brdtekst"/>
        <w:ind w:left="851" w:hanging="851"/>
        <w:jc w:val="left"/>
        <w:rPr>
          <w:sz w:val="24"/>
          <w:szCs w:val="24"/>
          <w:lang w:val="da-DK"/>
        </w:rPr>
      </w:pPr>
      <w:r w:rsidRPr="00CE6FA2">
        <w:rPr>
          <w:sz w:val="24"/>
          <w:szCs w:val="24"/>
          <w:lang w:val="da-DK"/>
        </w:rPr>
        <w:tab/>
      </w:r>
    </w:p>
    <w:p w:rsidR="00A1753E" w:rsidRPr="00E155A4" w:rsidRDefault="00A1753E" w:rsidP="00A1753E">
      <w:pPr>
        <w:pStyle w:val="Brdtekst"/>
        <w:ind w:left="851"/>
        <w:jc w:val="left"/>
        <w:rPr>
          <w:sz w:val="24"/>
          <w:szCs w:val="24"/>
          <w:u w:val="single"/>
          <w:lang w:val="da-DK"/>
        </w:rPr>
      </w:pPr>
      <w:r w:rsidRPr="00E155A4">
        <w:rPr>
          <w:sz w:val="24"/>
          <w:szCs w:val="24"/>
          <w:u w:val="single"/>
          <w:lang w:val="da-DK"/>
        </w:rPr>
        <w:t>Absorption</w:t>
      </w:r>
    </w:p>
    <w:p w:rsidR="00A1753E" w:rsidRDefault="00A1753E" w:rsidP="00A1753E">
      <w:pPr>
        <w:pStyle w:val="Brdtekst"/>
        <w:ind w:left="851"/>
        <w:jc w:val="left"/>
        <w:rPr>
          <w:sz w:val="24"/>
          <w:szCs w:val="24"/>
          <w:lang w:val="da-DK"/>
        </w:rPr>
      </w:pPr>
    </w:p>
    <w:p w:rsidR="00A1753E" w:rsidRDefault="00A1753E" w:rsidP="00A1753E">
      <w:pPr>
        <w:pStyle w:val="Brdtekst"/>
        <w:ind w:left="851"/>
        <w:jc w:val="left"/>
        <w:rPr>
          <w:sz w:val="24"/>
          <w:szCs w:val="24"/>
          <w:lang w:val="da-DK"/>
        </w:rPr>
      </w:pPr>
      <w:r w:rsidRPr="00CE6FA2">
        <w:rPr>
          <w:sz w:val="24"/>
          <w:szCs w:val="24"/>
          <w:lang w:val="da-DK"/>
        </w:rPr>
        <w:t xml:space="preserve">Humant normalt </w:t>
      </w:r>
      <w:proofErr w:type="spellStart"/>
      <w:r w:rsidRPr="00CE6FA2">
        <w:rPr>
          <w:sz w:val="24"/>
          <w:szCs w:val="24"/>
          <w:lang w:val="da-DK"/>
        </w:rPr>
        <w:t>immunglobulin</w:t>
      </w:r>
      <w:proofErr w:type="spellEnd"/>
      <w:r w:rsidRPr="00CE6FA2">
        <w:rPr>
          <w:sz w:val="24"/>
          <w:szCs w:val="24"/>
          <w:lang w:val="da-DK"/>
        </w:rPr>
        <w:t xml:space="preserve"> er efter intravenøs indgivelse øjeblikkeligt og fuldstændigt biotilgængeligt i modtagerens kredsløb.</w:t>
      </w:r>
    </w:p>
    <w:p w:rsidR="00A1753E" w:rsidRDefault="00A1753E" w:rsidP="00A1753E">
      <w:pPr>
        <w:pStyle w:val="Brdtekst"/>
        <w:ind w:left="851"/>
        <w:jc w:val="left"/>
        <w:rPr>
          <w:sz w:val="24"/>
          <w:szCs w:val="24"/>
          <w:lang w:val="da-DK"/>
        </w:rPr>
      </w:pPr>
    </w:p>
    <w:p w:rsidR="00A1753E" w:rsidRPr="00E155A4" w:rsidRDefault="00A1753E" w:rsidP="00A1753E">
      <w:pPr>
        <w:pStyle w:val="Brdtekst"/>
        <w:ind w:left="851"/>
        <w:jc w:val="left"/>
        <w:rPr>
          <w:sz w:val="24"/>
          <w:szCs w:val="24"/>
          <w:u w:val="single"/>
          <w:lang w:val="da-DK"/>
        </w:rPr>
      </w:pPr>
      <w:r w:rsidRPr="00E155A4">
        <w:rPr>
          <w:sz w:val="24"/>
          <w:szCs w:val="24"/>
          <w:u w:val="single"/>
          <w:lang w:val="da-DK"/>
        </w:rPr>
        <w:t>Fordeling</w:t>
      </w:r>
    </w:p>
    <w:p w:rsidR="00A1753E" w:rsidRDefault="00A1753E" w:rsidP="00A1753E">
      <w:pPr>
        <w:pStyle w:val="Brdtekst"/>
        <w:ind w:left="851"/>
        <w:jc w:val="left"/>
        <w:rPr>
          <w:sz w:val="24"/>
          <w:szCs w:val="24"/>
          <w:lang w:val="da-DK"/>
        </w:rPr>
      </w:pPr>
    </w:p>
    <w:p w:rsidR="00A1753E" w:rsidRPr="00CE6FA2" w:rsidRDefault="00A1753E" w:rsidP="00A1753E">
      <w:pPr>
        <w:pStyle w:val="Brdtekst"/>
        <w:ind w:left="851"/>
        <w:jc w:val="left"/>
        <w:rPr>
          <w:sz w:val="24"/>
          <w:szCs w:val="24"/>
          <w:lang w:val="da-DK"/>
        </w:rPr>
      </w:pPr>
      <w:r w:rsidRPr="00CE6FA2">
        <w:rPr>
          <w:sz w:val="24"/>
          <w:szCs w:val="24"/>
          <w:lang w:val="da-DK"/>
        </w:rPr>
        <w:t xml:space="preserve">Det fordeles relativt hurtigt mellem plasma og </w:t>
      </w:r>
      <w:proofErr w:type="spellStart"/>
      <w:r w:rsidRPr="00CE6FA2">
        <w:rPr>
          <w:sz w:val="24"/>
          <w:szCs w:val="24"/>
          <w:lang w:val="da-DK"/>
        </w:rPr>
        <w:t>ekstravaskulær</w:t>
      </w:r>
      <w:proofErr w:type="spellEnd"/>
      <w:r w:rsidRPr="00CE6FA2">
        <w:rPr>
          <w:sz w:val="24"/>
          <w:szCs w:val="24"/>
          <w:lang w:val="da-DK"/>
        </w:rPr>
        <w:t xml:space="preserve"> væske; efter cirka 3 til 5 dage opnås en balance mellem de intra</w:t>
      </w:r>
      <w:r w:rsidRPr="00CE6FA2">
        <w:rPr>
          <w:sz w:val="24"/>
          <w:szCs w:val="24"/>
          <w:lang w:val="da-DK"/>
        </w:rPr>
        <w:noBreakHyphen/>
        <w:t xml:space="preserve"> og </w:t>
      </w:r>
      <w:proofErr w:type="spellStart"/>
      <w:r w:rsidRPr="00CE6FA2">
        <w:rPr>
          <w:sz w:val="24"/>
          <w:szCs w:val="24"/>
          <w:lang w:val="da-DK"/>
        </w:rPr>
        <w:t>ekstravaskulære</w:t>
      </w:r>
      <w:proofErr w:type="spellEnd"/>
      <w:r w:rsidRPr="00CE6FA2">
        <w:rPr>
          <w:sz w:val="24"/>
          <w:szCs w:val="24"/>
          <w:lang w:val="da-DK"/>
        </w:rPr>
        <w:t xml:space="preserve"> rum.</w:t>
      </w:r>
    </w:p>
    <w:p w:rsidR="00A1753E" w:rsidRDefault="00A1753E" w:rsidP="00A1753E">
      <w:pPr>
        <w:pStyle w:val="Brdtekst"/>
        <w:ind w:left="851"/>
        <w:jc w:val="left"/>
        <w:rPr>
          <w:sz w:val="24"/>
          <w:szCs w:val="24"/>
          <w:u w:val="single"/>
          <w:lang w:val="da-DK"/>
        </w:rPr>
      </w:pPr>
    </w:p>
    <w:p w:rsidR="00A1753E" w:rsidRPr="00E155A4" w:rsidRDefault="00A1753E" w:rsidP="00A1753E">
      <w:pPr>
        <w:pStyle w:val="Brdtekst"/>
        <w:ind w:left="851"/>
        <w:jc w:val="left"/>
        <w:rPr>
          <w:sz w:val="24"/>
          <w:szCs w:val="24"/>
          <w:u w:val="single"/>
          <w:lang w:val="da-DK"/>
        </w:rPr>
      </w:pPr>
      <w:r w:rsidRPr="00E155A4">
        <w:rPr>
          <w:sz w:val="24"/>
          <w:szCs w:val="24"/>
          <w:u w:val="single"/>
          <w:lang w:val="da-DK"/>
        </w:rPr>
        <w:t>Elimination</w:t>
      </w:r>
    </w:p>
    <w:p w:rsidR="00A1753E" w:rsidRDefault="00A1753E" w:rsidP="00A1753E">
      <w:pPr>
        <w:pStyle w:val="Brdtekst"/>
        <w:ind w:left="851"/>
        <w:jc w:val="left"/>
        <w:rPr>
          <w:sz w:val="24"/>
          <w:szCs w:val="24"/>
          <w:lang w:val="da-DK"/>
        </w:rPr>
      </w:pPr>
    </w:p>
    <w:p w:rsidR="00A1753E" w:rsidRDefault="00A1753E" w:rsidP="00A1753E">
      <w:pPr>
        <w:pStyle w:val="Brdtekst"/>
        <w:ind w:left="851"/>
        <w:jc w:val="left"/>
        <w:rPr>
          <w:sz w:val="24"/>
          <w:szCs w:val="24"/>
          <w:lang w:val="da-DK"/>
        </w:rPr>
      </w:pPr>
      <w:r>
        <w:rPr>
          <w:sz w:val="24"/>
          <w:szCs w:val="24"/>
          <w:lang w:val="da-DK"/>
        </w:rPr>
        <w:t xml:space="preserve">Humant normalt </w:t>
      </w:r>
      <w:proofErr w:type="spellStart"/>
      <w:r>
        <w:rPr>
          <w:sz w:val="24"/>
          <w:szCs w:val="24"/>
          <w:lang w:val="da-DK"/>
        </w:rPr>
        <w:t>immunglobulin</w:t>
      </w:r>
      <w:proofErr w:type="spellEnd"/>
      <w:r>
        <w:rPr>
          <w:sz w:val="24"/>
          <w:szCs w:val="24"/>
          <w:lang w:val="da-DK"/>
        </w:rPr>
        <w:t xml:space="preserve"> har en halveringstid på ca. 34 dage. Denne halveringstid kan variere fra patient til patient, især ved primær immundefekt.</w:t>
      </w:r>
    </w:p>
    <w:p w:rsidR="00A1753E" w:rsidRPr="00CE6FA2" w:rsidRDefault="00A1753E" w:rsidP="00A1753E">
      <w:pPr>
        <w:pStyle w:val="Brdtekst"/>
        <w:ind w:left="851" w:hanging="851"/>
        <w:jc w:val="left"/>
        <w:rPr>
          <w:sz w:val="24"/>
          <w:szCs w:val="24"/>
          <w:lang w:val="da-DK"/>
        </w:rPr>
      </w:pPr>
    </w:p>
    <w:p w:rsidR="00A1753E" w:rsidRPr="00CE6FA2" w:rsidRDefault="00A1753E" w:rsidP="00A1753E">
      <w:pPr>
        <w:pStyle w:val="Brdtekst"/>
        <w:ind w:left="851"/>
        <w:jc w:val="left"/>
        <w:rPr>
          <w:sz w:val="24"/>
          <w:szCs w:val="24"/>
          <w:lang w:val="da-DK"/>
        </w:rPr>
      </w:pPr>
      <w:proofErr w:type="spellStart"/>
      <w:r w:rsidRPr="00CE6FA2">
        <w:rPr>
          <w:sz w:val="24"/>
          <w:szCs w:val="24"/>
          <w:lang w:val="da-DK"/>
        </w:rPr>
        <w:t>IgG</w:t>
      </w:r>
      <w:proofErr w:type="spellEnd"/>
      <w:r w:rsidRPr="00CE6FA2">
        <w:rPr>
          <w:sz w:val="24"/>
          <w:szCs w:val="24"/>
          <w:lang w:val="da-DK"/>
        </w:rPr>
        <w:t xml:space="preserve"> og </w:t>
      </w:r>
      <w:proofErr w:type="spellStart"/>
      <w:r w:rsidRPr="00CE6FA2">
        <w:rPr>
          <w:sz w:val="24"/>
          <w:szCs w:val="24"/>
          <w:lang w:val="da-DK"/>
        </w:rPr>
        <w:t>IgG</w:t>
      </w:r>
      <w:proofErr w:type="spellEnd"/>
      <w:r w:rsidRPr="00CE6FA2">
        <w:rPr>
          <w:sz w:val="24"/>
          <w:szCs w:val="24"/>
          <w:lang w:val="da-DK"/>
        </w:rPr>
        <w:noBreakHyphen/>
        <w:t xml:space="preserve">komplekser nedbrydes i celler i det </w:t>
      </w:r>
      <w:proofErr w:type="spellStart"/>
      <w:r w:rsidRPr="00CE6FA2">
        <w:rPr>
          <w:sz w:val="24"/>
          <w:szCs w:val="24"/>
          <w:lang w:val="da-DK"/>
        </w:rPr>
        <w:t>retikuloendoteliale</w:t>
      </w:r>
      <w:proofErr w:type="spellEnd"/>
      <w:r w:rsidRPr="00CE6FA2">
        <w:rPr>
          <w:sz w:val="24"/>
          <w:szCs w:val="24"/>
          <w:lang w:val="da-DK"/>
        </w:rPr>
        <w:t xml:space="preserve"> system.</w:t>
      </w:r>
    </w:p>
    <w:p w:rsidR="00A1753E" w:rsidRPr="00CE6FA2" w:rsidRDefault="00A1753E" w:rsidP="00A1753E">
      <w:pPr>
        <w:pStyle w:val="Brdtekst"/>
        <w:ind w:left="851" w:hanging="851"/>
        <w:jc w:val="left"/>
        <w:rPr>
          <w:sz w:val="24"/>
          <w:szCs w:val="24"/>
          <w:lang w:val="da-DK"/>
        </w:rPr>
      </w:pPr>
    </w:p>
    <w:p w:rsidR="00A1753E" w:rsidRDefault="00A1753E" w:rsidP="00A1753E">
      <w:pPr>
        <w:pStyle w:val="Brdtekst"/>
        <w:ind w:left="851"/>
        <w:jc w:val="left"/>
        <w:rPr>
          <w:sz w:val="24"/>
          <w:szCs w:val="24"/>
          <w:u w:val="single"/>
          <w:lang w:val="da-DK"/>
        </w:rPr>
      </w:pPr>
      <w:r w:rsidRPr="00CE6FA2">
        <w:rPr>
          <w:sz w:val="24"/>
          <w:szCs w:val="24"/>
          <w:u w:val="single"/>
          <w:lang w:val="da-DK"/>
        </w:rPr>
        <w:t>Pædiatrisk population</w:t>
      </w:r>
    </w:p>
    <w:p w:rsidR="00A1753E" w:rsidRPr="00CE6FA2" w:rsidRDefault="00A1753E" w:rsidP="00A1753E">
      <w:pPr>
        <w:pStyle w:val="Brdtekst"/>
        <w:ind w:left="851"/>
        <w:jc w:val="left"/>
        <w:rPr>
          <w:sz w:val="24"/>
          <w:szCs w:val="24"/>
          <w:u w:val="single"/>
          <w:lang w:val="da-DK"/>
        </w:rPr>
      </w:pPr>
    </w:p>
    <w:p w:rsidR="00A1753E" w:rsidRDefault="00A1753E" w:rsidP="00A1753E">
      <w:pPr>
        <w:pStyle w:val="Brdtekst"/>
        <w:ind w:left="851"/>
        <w:jc w:val="left"/>
        <w:rPr>
          <w:sz w:val="24"/>
          <w:szCs w:val="24"/>
          <w:lang w:val="da-DK"/>
        </w:rPr>
      </w:pPr>
      <w:r w:rsidRPr="00CE6FA2">
        <w:rPr>
          <w:sz w:val="24"/>
          <w:szCs w:val="24"/>
          <w:lang w:val="da-DK"/>
        </w:rPr>
        <w:t xml:space="preserve">Der blev ikke udført nogen </w:t>
      </w:r>
      <w:proofErr w:type="spellStart"/>
      <w:r w:rsidRPr="00CE6FA2">
        <w:rPr>
          <w:sz w:val="24"/>
          <w:szCs w:val="24"/>
          <w:lang w:val="da-DK"/>
        </w:rPr>
        <w:t>farmakokinetisk</w:t>
      </w:r>
      <w:proofErr w:type="spellEnd"/>
      <w:r w:rsidRPr="00CE6FA2">
        <w:rPr>
          <w:sz w:val="24"/>
          <w:szCs w:val="24"/>
          <w:lang w:val="da-DK"/>
        </w:rPr>
        <w:t xml:space="preserve"> analyse med </w:t>
      </w:r>
      <w:proofErr w:type="spellStart"/>
      <w:r w:rsidRPr="00553C25">
        <w:rPr>
          <w:sz w:val="24"/>
          <w:szCs w:val="24"/>
          <w:lang w:val="da-DK"/>
        </w:rPr>
        <w:t>Iqymune</w:t>
      </w:r>
      <w:proofErr w:type="spellEnd"/>
      <w:r w:rsidRPr="00CE6FA2">
        <w:rPr>
          <w:sz w:val="24"/>
          <w:szCs w:val="24"/>
          <w:lang w:val="da-DK"/>
        </w:rPr>
        <w:t xml:space="preserve"> hos pædiatriske patienter. De dalkoncentrationer, der blev observeret hos de 26 pædiatriske PID</w:t>
      </w:r>
      <w:r w:rsidRPr="00CE6FA2">
        <w:rPr>
          <w:sz w:val="24"/>
          <w:szCs w:val="24"/>
          <w:lang w:val="da-DK"/>
        </w:rPr>
        <w:noBreakHyphen/>
        <w:t>patienter ≥ 24 måneder, var dog sammenlignelige med dem, der blev observeret hos voksne PID</w:t>
      </w:r>
      <w:r w:rsidRPr="00CE6FA2">
        <w:rPr>
          <w:sz w:val="24"/>
          <w:szCs w:val="24"/>
          <w:lang w:val="da-DK"/>
        </w:rPr>
        <w:noBreakHyphen/>
        <w:t>patienter.</w:t>
      </w:r>
    </w:p>
    <w:p w:rsidR="00A1753E" w:rsidRPr="00CE6FA2" w:rsidRDefault="00A1753E" w:rsidP="00A1753E">
      <w:pPr>
        <w:pStyle w:val="Brdtekst"/>
        <w:ind w:left="851"/>
        <w:jc w:val="left"/>
        <w:rPr>
          <w:sz w:val="24"/>
          <w:szCs w:val="24"/>
          <w:lang w:val="da-DK"/>
        </w:rPr>
      </w:pPr>
    </w:p>
    <w:p w:rsidR="00812371" w:rsidRPr="00A1451C" w:rsidRDefault="00812371" w:rsidP="00A1753E">
      <w:pPr>
        <w:pStyle w:val="Brdtekst"/>
        <w:ind w:left="851" w:hanging="851"/>
        <w:jc w:val="left"/>
        <w:rPr>
          <w:b/>
          <w:sz w:val="24"/>
          <w:szCs w:val="24"/>
          <w:lang w:val="da-DK"/>
        </w:rPr>
      </w:pPr>
      <w:r w:rsidRPr="00A1451C">
        <w:rPr>
          <w:b/>
          <w:sz w:val="24"/>
          <w:szCs w:val="24"/>
          <w:lang w:val="da-DK"/>
        </w:rPr>
        <w:t>5.3</w:t>
      </w:r>
      <w:r w:rsidRPr="00A1451C">
        <w:rPr>
          <w:b/>
          <w:sz w:val="24"/>
          <w:szCs w:val="24"/>
          <w:lang w:val="da-DK"/>
        </w:rPr>
        <w:tab/>
      </w:r>
      <w:r w:rsidR="00426218" w:rsidRPr="00A1451C">
        <w:rPr>
          <w:b/>
          <w:sz w:val="24"/>
          <w:szCs w:val="24"/>
          <w:lang w:val="da-DK"/>
        </w:rPr>
        <w:t>Non-</w:t>
      </w:r>
      <w:r w:rsidRPr="00A1451C">
        <w:rPr>
          <w:b/>
          <w:sz w:val="24"/>
          <w:szCs w:val="24"/>
          <w:lang w:val="da-DK"/>
        </w:rPr>
        <w:t>kliniske sikkerhedsdata</w:t>
      </w:r>
    </w:p>
    <w:p w:rsidR="00A1753E" w:rsidRDefault="00812371" w:rsidP="00812371">
      <w:pPr>
        <w:pStyle w:val="Brdtekst"/>
        <w:ind w:left="851" w:hanging="851"/>
        <w:jc w:val="left"/>
        <w:rPr>
          <w:sz w:val="24"/>
          <w:szCs w:val="24"/>
          <w:lang w:val="da-DK"/>
        </w:rPr>
      </w:pPr>
      <w:r w:rsidRPr="00CE6FA2">
        <w:rPr>
          <w:sz w:val="24"/>
          <w:szCs w:val="24"/>
          <w:lang w:val="da-DK"/>
        </w:rPr>
        <w:tab/>
      </w:r>
    </w:p>
    <w:p w:rsidR="00812371" w:rsidRPr="00CE6FA2" w:rsidRDefault="00812371" w:rsidP="00A1753E">
      <w:pPr>
        <w:pStyle w:val="Brdtekst"/>
        <w:ind w:left="851"/>
        <w:jc w:val="left"/>
        <w:rPr>
          <w:sz w:val="24"/>
          <w:szCs w:val="24"/>
          <w:lang w:val="da-DK"/>
        </w:rPr>
      </w:pPr>
      <w:proofErr w:type="spellStart"/>
      <w:r w:rsidRPr="00CE6FA2">
        <w:rPr>
          <w:sz w:val="24"/>
          <w:szCs w:val="24"/>
          <w:lang w:val="da-DK"/>
        </w:rPr>
        <w:t>Immunglobulin</w:t>
      </w:r>
      <w:proofErr w:type="spellEnd"/>
      <w:r w:rsidRPr="00CE6FA2">
        <w:rPr>
          <w:sz w:val="24"/>
          <w:szCs w:val="24"/>
          <w:lang w:val="da-DK"/>
        </w:rPr>
        <w:t xml:space="preserve"> er en normal </w:t>
      </w:r>
      <w:r w:rsidR="001159FC" w:rsidRPr="00CE6FA2">
        <w:rPr>
          <w:sz w:val="24"/>
          <w:szCs w:val="24"/>
          <w:lang w:val="da-DK"/>
        </w:rPr>
        <w:t>bestanddel</w:t>
      </w:r>
      <w:r w:rsidRPr="00CE6FA2">
        <w:rPr>
          <w:sz w:val="24"/>
          <w:szCs w:val="24"/>
          <w:lang w:val="da-DK"/>
        </w:rPr>
        <w:t xml:space="preserve"> af menneskets krop.</w:t>
      </w:r>
    </w:p>
    <w:p w:rsidR="00812371" w:rsidRPr="00CE6FA2" w:rsidRDefault="00812371" w:rsidP="00812371">
      <w:pPr>
        <w:pStyle w:val="Brdtekst"/>
        <w:ind w:left="851" w:hanging="851"/>
        <w:jc w:val="left"/>
        <w:rPr>
          <w:sz w:val="24"/>
          <w:szCs w:val="24"/>
          <w:lang w:val="da-DK"/>
        </w:rPr>
      </w:pPr>
    </w:p>
    <w:p w:rsidR="00812371" w:rsidRPr="00CE6FA2" w:rsidRDefault="00812371" w:rsidP="00812371">
      <w:pPr>
        <w:pStyle w:val="Brdtekst"/>
        <w:ind w:left="851"/>
        <w:jc w:val="left"/>
        <w:rPr>
          <w:sz w:val="24"/>
          <w:szCs w:val="24"/>
          <w:lang w:val="da-DK"/>
        </w:rPr>
      </w:pPr>
      <w:r w:rsidRPr="00CE6FA2">
        <w:rPr>
          <w:sz w:val="24"/>
          <w:szCs w:val="24"/>
          <w:lang w:val="da-DK"/>
        </w:rPr>
        <w:t xml:space="preserve">Sikkerheden ved </w:t>
      </w:r>
      <w:proofErr w:type="spellStart"/>
      <w:r w:rsidRPr="00553C25">
        <w:rPr>
          <w:sz w:val="24"/>
          <w:szCs w:val="24"/>
          <w:lang w:val="da-DK"/>
        </w:rPr>
        <w:t>Iqymune</w:t>
      </w:r>
      <w:proofErr w:type="spellEnd"/>
      <w:r w:rsidRPr="00CE6FA2">
        <w:rPr>
          <w:sz w:val="24"/>
          <w:szCs w:val="24"/>
          <w:lang w:val="da-DK"/>
        </w:rPr>
        <w:t xml:space="preserve"> er blevet påvist i adskillige ikke</w:t>
      </w:r>
      <w:r w:rsidRPr="00CE6FA2">
        <w:rPr>
          <w:sz w:val="24"/>
          <w:szCs w:val="24"/>
          <w:lang w:val="da-DK"/>
        </w:rPr>
        <w:noBreakHyphen/>
        <w:t>kliniske undersøgelser. Ikke</w:t>
      </w:r>
      <w:r w:rsidRPr="00CE6FA2">
        <w:rPr>
          <w:sz w:val="24"/>
          <w:szCs w:val="24"/>
          <w:lang w:val="da-DK"/>
        </w:rPr>
        <w:noBreakHyphen/>
        <w:t xml:space="preserve">kliniske data viste ikke nogen </w:t>
      </w:r>
      <w:r w:rsidR="001159FC" w:rsidRPr="00CE6FA2">
        <w:rPr>
          <w:sz w:val="24"/>
          <w:szCs w:val="24"/>
          <w:lang w:val="da-DK"/>
        </w:rPr>
        <w:t>toksikologiske</w:t>
      </w:r>
      <w:r w:rsidRPr="00CE6FA2">
        <w:rPr>
          <w:sz w:val="24"/>
          <w:szCs w:val="24"/>
          <w:lang w:val="da-DK"/>
        </w:rPr>
        <w:t xml:space="preserve"> effekter (enkeltdosistoksicitet hos rotter, lokalt toleranceforsøg med kaniner).</w:t>
      </w:r>
    </w:p>
    <w:p w:rsidR="00812371" w:rsidRPr="00CE6FA2" w:rsidRDefault="00812371" w:rsidP="00812371">
      <w:pPr>
        <w:pStyle w:val="Brdtekst"/>
        <w:ind w:left="851" w:hanging="851"/>
        <w:jc w:val="left"/>
        <w:rPr>
          <w:sz w:val="24"/>
          <w:szCs w:val="24"/>
          <w:lang w:val="da-DK"/>
        </w:rPr>
      </w:pPr>
    </w:p>
    <w:p w:rsidR="00812371" w:rsidRPr="00CE6FA2" w:rsidRDefault="00812371" w:rsidP="00812371">
      <w:pPr>
        <w:pStyle w:val="Brdtekst"/>
        <w:ind w:left="851"/>
        <w:jc w:val="left"/>
        <w:rPr>
          <w:sz w:val="24"/>
          <w:szCs w:val="24"/>
          <w:lang w:val="da-DK"/>
        </w:rPr>
      </w:pPr>
      <w:r w:rsidRPr="00CE6FA2">
        <w:rPr>
          <w:sz w:val="24"/>
          <w:szCs w:val="24"/>
          <w:lang w:val="da-DK"/>
        </w:rPr>
        <w:t>Undersøgelser af toksicitet efter gentagne doser, genotoksicitet og reproduktionstoksicitet hos dyr kan ikke gennemføres på grund af induktion af og interferens fra antistoffer, der udvikles til heterologe proteiner.</w:t>
      </w:r>
    </w:p>
    <w:p w:rsidR="00812371" w:rsidRPr="00CE6FA2" w:rsidRDefault="00812371" w:rsidP="00812371">
      <w:pPr>
        <w:pStyle w:val="Brdtekst"/>
        <w:ind w:left="851" w:hanging="851"/>
        <w:jc w:val="left"/>
        <w:rPr>
          <w:sz w:val="24"/>
          <w:szCs w:val="24"/>
          <w:lang w:val="da-DK"/>
        </w:rPr>
      </w:pPr>
    </w:p>
    <w:p w:rsidR="00812371" w:rsidRPr="00CE6FA2" w:rsidRDefault="00812371" w:rsidP="00812371">
      <w:pPr>
        <w:pStyle w:val="Brdtekst"/>
        <w:ind w:left="851"/>
        <w:jc w:val="left"/>
        <w:rPr>
          <w:sz w:val="24"/>
          <w:szCs w:val="24"/>
          <w:lang w:val="da-DK"/>
        </w:rPr>
      </w:pPr>
      <w:r w:rsidRPr="00CE6FA2">
        <w:rPr>
          <w:sz w:val="24"/>
          <w:szCs w:val="24"/>
          <w:lang w:val="da-DK"/>
        </w:rPr>
        <w:t xml:space="preserve">Da </w:t>
      </w:r>
      <w:proofErr w:type="spellStart"/>
      <w:r w:rsidRPr="00CE6FA2">
        <w:rPr>
          <w:sz w:val="24"/>
          <w:szCs w:val="24"/>
          <w:lang w:val="da-DK"/>
        </w:rPr>
        <w:t>immunglobuliner</w:t>
      </w:r>
      <w:proofErr w:type="spellEnd"/>
      <w:r w:rsidRPr="00CE6FA2">
        <w:rPr>
          <w:sz w:val="24"/>
          <w:szCs w:val="24"/>
          <w:lang w:val="da-DK"/>
        </w:rPr>
        <w:t xml:space="preserve"> er humane proteiner uden evidens for </w:t>
      </w:r>
      <w:proofErr w:type="spellStart"/>
      <w:r w:rsidRPr="00CE6FA2">
        <w:rPr>
          <w:sz w:val="24"/>
          <w:szCs w:val="24"/>
          <w:lang w:val="da-DK"/>
        </w:rPr>
        <w:t>karcinogent</w:t>
      </w:r>
      <w:proofErr w:type="spellEnd"/>
      <w:r w:rsidRPr="00CE6FA2">
        <w:rPr>
          <w:sz w:val="24"/>
          <w:szCs w:val="24"/>
          <w:lang w:val="da-DK"/>
        </w:rPr>
        <w:t xml:space="preserve"> potentiale, er der ikke udført specifikke prækliniske undersøgelser.</w:t>
      </w:r>
    </w:p>
    <w:p w:rsidR="00812371" w:rsidRDefault="00812371" w:rsidP="00812371">
      <w:pPr>
        <w:ind w:left="851" w:hanging="851"/>
        <w:rPr>
          <w:sz w:val="24"/>
          <w:szCs w:val="24"/>
        </w:rPr>
      </w:pPr>
    </w:p>
    <w:p w:rsidR="001159FC" w:rsidRDefault="001159FC">
      <w:pPr>
        <w:rPr>
          <w:b/>
          <w:sz w:val="24"/>
          <w:szCs w:val="24"/>
        </w:rPr>
      </w:pPr>
    </w:p>
    <w:p w:rsidR="00812371" w:rsidRPr="00CE6FA2" w:rsidRDefault="00812371" w:rsidP="00812371">
      <w:pPr>
        <w:ind w:left="851" w:hanging="851"/>
        <w:rPr>
          <w:b/>
          <w:sz w:val="24"/>
          <w:szCs w:val="24"/>
        </w:rPr>
      </w:pPr>
      <w:r w:rsidRPr="00CE6FA2">
        <w:rPr>
          <w:b/>
          <w:sz w:val="24"/>
          <w:szCs w:val="24"/>
        </w:rPr>
        <w:t>6.</w:t>
      </w:r>
      <w:r w:rsidRPr="00CE6FA2">
        <w:rPr>
          <w:b/>
          <w:sz w:val="24"/>
          <w:szCs w:val="24"/>
        </w:rPr>
        <w:tab/>
        <w:t>FARMACEUTISKE OPLYSNINGER</w:t>
      </w:r>
    </w:p>
    <w:p w:rsidR="00812371" w:rsidRPr="00CE6FA2" w:rsidRDefault="00812371" w:rsidP="00812371">
      <w:pPr>
        <w:ind w:left="851" w:hanging="851"/>
        <w:rPr>
          <w:b/>
          <w:sz w:val="24"/>
          <w:szCs w:val="24"/>
        </w:rPr>
      </w:pPr>
    </w:p>
    <w:p w:rsidR="00812371" w:rsidRPr="00CE6FA2" w:rsidRDefault="00812371" w:rsidP="00812371">
      <w:pPr>
        <w:ind w:left="851" w:hanging="851"/>
        <w:rPr>
          <w:b/>
          <w:sz w:val="24"/>
          <w:szCs w:val="24"/>
        </w:rPr>
      </w:pPr>
      <w:r w:rsidRPr="00CE6FA2">
        <w:rPr>
          <w:b/>
          <w:sz w:val="24"/>
          <w:szCs w:val="24"/>
        </w:rPr>
        <w:t>6.1</w:t>
      </w:r>
      <w:r w:rsidRPr="00CE6FA2">
        <w:rPr>
          <w:b/>
          <w:sz w:val="24"/>
          <w:szCs w:val="24"/>
        </w:rPr>
        <w:tab/>
        <w:t>Hjælpestoffer</w:t>
      </w:r>
    </w:p>
    <w:p w:rsidR="00A1753E" w:rsidRDefault="00812371" w:rsidP="00812371">
      <w:pPr>
        <w:pStyle w:val="Brdtekst"/>
        <w:ind w:left="851" w:hanging="851"/>
        <w:jc w:val="left"/>
        <w:rPr>
          <w:sz w:val="24"/>
          <w:szCs w:val="24"/>
          <w:lang w:val="da-DK"/>
        </w:rPr>
      </w:pPr>
      <w:r w:rsidRPr="00CE6FA2">
        <w:rPr>
          <w:sz w:val="24"/>
          <w:szCs w:val="24"/>
          <w:lang w:val="da-DK"/>
        </w:rPr>
        <w:tab/>
      </w:r>
    </w:p>
    <w:p w:rsidR="00812371" w:rsidRPr="00CE6FA2" w:rsidRDefault="00812371" w:rsidP="00A1753E">
      <w:pPr>
        <w:pStyle w:val="Brdtekst"/>
        <w:ind w:left="851"/>
        <w:jc w:val="left"/>
        <w:rPr>
          <w:sz w:val="24"/>
          <w:szCs w:val="24"/>
          <w:lang w:val="da-DK"/>
        </w:rPr>
      </w:pPr>
      <w:proofErr w:type="spellStart"/>
      <w:r w:rsidRPr="00CE6FA2">
        <w:rPr>
          <w:sz w:val="24"/>
          <w:szCs w:val="24"/>
          <w:lang w:val="da-DK"/>
        </w:rPr>
        <w:t>Glycin</w:t>
      </w:r>
      <w:proofErr w:type="spellEnd"/>
    </w:p>
    <w:p w:rsidR="00812371" w:rsidRPr="00CE6FA2" w:rsidRDefault="00812371" w:rsidP="00812371">
      <w:pPr>
        <w:pStyle w:val="CorpsdetexteSuite"/>
        <w:ind w:left="851"/>
        <w:jc w:val="left"/>
        <w:rPr>
          <w:sz w:val="24"/>
          <w:szCs w:val="24"/>
          <w:lang w:val="da-DK"/>
        </w:rPr>
      </w:pPr>
      <w:proofErr w:type="spellStart"/>
      <w:r w:rsidRPr="00CE6FA2">
        <w:rPr>
          <w:sz w:val="24"/>
          <w:szCs w:val="24"/>
          <w:lang w:val="da-DK"/>
        </w:rPr>
        <w:t>Polysorbat</w:t>
      </w:r>
      <w:proofErr w:type="spellEnd"/>
      <w:r w:rsidRPr="00CE6FA2">
        <w:rPr>
          <w:sz w:val="24"/>
          <w:szCs w:val="24"/>
          <w:lang w:val="da-DK"/>
        </w:rPr>
        <w:t> 80</w:t>
      </w:r>
    </w:p>
    <w:p w:rsidR="00812371" w:rsidRPr="00CE6FA2" w:rsidRDefault="00812371" w:rsidP="00812371">
      <w:pPr>
        <w:pStyle w:val="CorpsdetexteSuite"/>
        <w:ind w:left="851"/>
        <w:jc w:val="left"/>
        <w:rPr>
          <w:sz w:val="24"/>
          <w:szCs w:val="24"/>
          <w:lang w:val="da-DK"/>
        </w:rPr>
      </w:pPr>
      <w:r w:rsidRPr="00CE6FA2">
        <w:rPr>
          <w:sz w:val="24"/>
          <w:szCs w:val="24"/>
          <w:lang w:val="da-DK"/>
        </w:rPr>
        <w:t>Vand til injektionsvæsker</w:t>
      </w:r>
    </w:p>
    <w:p w:rsidR="00812371" w:rsidRPr="00CE6FA2" w:rsidRDefault="00812371" w:rsidP="00812371">
      <w:pPr>
        <w:ind w:left="851" w:hanging="851"/>
        <w:rPr>
          <w:sz w:val="24"/>
          <w:szCs w:val="24"/>
        </w:rPr>
      </w:pPr>
    </w:p>
    <w:p w:rsidR="00812371" w:rsidRPr="00CE6FA2" w:rsidRDefault="00812371" w:rsidP="00812371">
      <w:pPr>
        <w:ind w:left="851" w:hanging="851"/>
        <w:rPr>
          <w:b/>
          <w:sz w:val="24"/>
          <w:szCs w:val="24"/>
        </w:rPr>
      </w:pPr>
      <w:r w:rsidRPr="00CE6FA2">
        <w:rPr>
          <w:b/>
          <w:sz w:val="24"/>
          <w:szCs w:val="24"/>
        </w:rPr>
        <w:t>6.2</w:t>
      </w:r>
      <w:r w:rsidRPr="00CE6FA2">
        <w:rPr>
          <w:b/>
          <w:sz w:val="24"/>
          <w:szCs w:val="24"/>
        </w:rPr>
        <w:tab/>
        <w:t>Uforligeligheder</w:t>
      </w:r>
    </w:p>
    <w:p w:rsidR="00A1753E" w:rsidRDefault="00A1753E" w:rsidP="00820100">
      <w:pPr>
        <w:pStyle w:val="Brdtekst"/>
        <w:ind w:left="851"/>
        <w:jc w:val="left"/>
        <w:rPr>
          <w:sz w:val="24"/>
          <w:szCs w:val="24"/>
          <w:lang w:val="da-DK"/>
        </w:rPr>
      </w:pPr>
    </w:p>
    <w:p w:rsidR="00820100" w:rsidRPr="00820100" w:rsidRDefault="00820100" w:rsidP="00820100">
      <w:pPr>
        <w:pStyle w:val="Brdtekst"/>
        <w:ind w:left="851"/>
        <w:jc w:val="left"/>
        <w:rPr>
          <w:sz w:val="24"/>
          <w:szCs w:val="24"/>
          <w:lang w:val="da-DK"/>
        </w:rPr>
      </w:pPr>
      <w:r w:rsidRPr="00820100">
        <w:rPr>
          <w:sz w:val="24"/>
          <w:szCs w:val="24"/>
          <w:lang w:val="da-DK"/>
        </w:rPr>
        <w:t xml:space="preserve">Da der ikke er foreligger studier af eventuelle uforligeligheder, må dette lægemiddel ikke blandes med andre lægemidler, heller ikke med andre </w:t>
      </w:r>
      <w:proofErr w:type="spellStart"/>
      <w:r w:rsidRPr="00820100">
        <w:rPr>
          <w:sz w:val="24"/>
          <w:szCs w:val="24"/>
          <w:lang w:val="da-DK"/>
        </w:rPr>
        <w:t>IVIg</w:t>
      </w:r>
      <w:proofErr w:type="spellEnd"/>
      <w:r w:rsidRPr="00820100">
        <w:rPr>
          <w:sz w:val="24"/>
          <w:szCs w:val="24"/>
          <w:lang w:val="da-DK"/>
        </w:rPr>
        <w:t>-produkter.</w:t>
      </w:r>
    </w:p>
    <w:p w:rsidR="00812371" w:rsidRPr="00820100" w:rsidRDefault="00812371" w:rsidP="00820100">
      <w:pPr>
        <w:pStyle w:val="Brdtekst"/>
        <w:ind w:left="851" w:hanging="851"/>
        <w:jc w:val="left"/>
        <w:rPr>
          <w:sz w:val="24"/>
          <w:szCs w:val="24"/>
          <w:lang w:val="da-DK"/>
        </w:rPr>
      </w:pPr>
    </w:p>
    <w:p w:rsidR="00812371" w:rsidRPr="00CE6FA2" w:rsidRDefault="00812371" w:rsidP="00812371">
      <w:pPr>
        <w:ind w:left="851" w:hanging="851"/>
        <w:rPr>
          <w:b/>
          <w:sz w:val="24"/>
          <w:szCs w:val="24"/>
        </w:rPr>
      </w:pPr>
      <w:r w:rsidRPr="00CE6FA2">
        <w:rPr>
          <w:b/>
          <w:sz w:val="24"/>
          <w:szCs w:val="24"/>
        </w:rPr>
        <w:t>6.3</w:t>
      </w:r>
      <w:r w:rsidRPr="00CE6FA2">
        <w:rPr>
          <w:b/>
          <w:sz w:val="24"/>
          <w:szCs w:val="24"/>
        </w:rPr>
        <w:tab/>
        <w:t>Opbevaringstid</w:t>
      </w:r>
    </w:p>
    <w:p w:rsidR="00A1753E" w:rsidRDefault="00812371" w:rsidP="00812371">
      <w:pPr>
        <w:pStyle w:val="Brdtekst"/>
        <w:ind w:left="851" w:hanging="851"/>
        <w:jc w:val="left"/>
        <w:rPr>
          <w:sz w:val="24"/>
          <w:szCs w:val="24"/>
          <w:lang w:val="da-DK"/>
        </w:rPr>
      </w:pPr>
      <w:r w:rsidRPr="00CE6FA2">
        <w:rPr>
          <w:sz w:val="24"/>
          <w:szCs w:val="24"/>
          <w:lang w:val="da-DK"/>
        </w:rPr>
        <w:tab/>
      </w:r>
    </w:p>
    <w:p w:rsidR="00812371" w:rsidRPr="00CE6FA2" w:rsidRDefault="00812371" w:rsidP="00A1753E">
      <w:pPr>
        <w:pStyle w:val="Brdtekst"/>
        <w:ind w:left="851"/>
        <w:jc w:val="left"/>
        <w:rPr>
          <w:sz w:val="24"/>
          <w:szCs w:val="24"/>
          <w:lang w:val="da-DK"/>
        </w:rPr>
      </w:pPr>
      <w:r>
        <w:rPr>
          <w:sz w:val="24"/>
          <w:szCs w:val="24"/>
          <w:lang w:val="da-DK"/>
        </w:rPr>
        <w:t>36</w:t>
      </w:r>
      <w:r w:rsidRPr="00CE6FA2">
        <w:rPr>
          <w:sz w:val="24"/>
          <w:szCs w:val="24"/>
          <w:lang w:val="da-DK"/>
        </w:rPr>
        <w:t> måneder.</w:t>
      </w:r>
    </w:p>
    <w:p w:rsidR="00812371" w:rsidRPr="00CE6FA2" w:rsidRDefault="00812371" w:rsidP="00812371">
      <w:pPr>
        <w:pStyle w:val="CorpsdetexteSuite"/>
        <w:ind w:left="851"/>
        <w:jc w:val="left"/>
        <w:rPr>
          <w:sz w:val="24"/>
          <w:szCs w:val="24"/>
          <w:lang w:val="da-DK"/>
        </w:rPr>
      </w:pPr>
      <w:r w:rsidRPr="00CE6FA2">
        <w:rPr>
          <w:sz w:val="24"/>
          <w:szCs w:val="24"/>
          <w:lang w:val="da-DK"/>
        </w:rPr>
        <w:t>Efter åbning: Anvendes straks.</w:t>
      </w:r>
    </w:p>
    <w:p w:rsidR="00812371" w:rsidRPr="00CE6FA2" w:rsidRDefault="00812371" w:rsidP="00812371">
      <w:pPr>
        <w:ind w:left="851" w:hanging="851"/>
        <w:rPr>
          <w:sz w:val="24"/>
          <w:szCs w:val="24"/>
        </w:rPr>
      </w:pPr>
    </w:p>
    <w:p w:rsidR="00812371" w:rsidRPr="00CE6FA2" w:rsidRDefault="00812371" w:rsidP="00812371">
      <w:pPr>
        <w:ind w:left="851" w:hanging="851"/>
        <w:rPr>
          <w:b/>
          <w:sz w:val="24"/>
          <w:szCs w:val="24"/>
        </w:rPr>
      </w:pPr>
      <w:r w:rsidRPr="00CE6FA2">
        <w:rPr>
          <w:b/>
          <w:sz w:val="24"/>
          <w:szCs w:val="24"/>
        </w:rPr>
        <w:t>6.4</w:t>
      </w:r>
      <w:r w:rsidRPr="00CE6FA2">
        <w:rPr>
          <w:b/>
          <w:sz w:val="24"/>
          <w:szCs w:val="24"/>
        </w:rPr>
        <w:tab/>
        <w:t>Særlige opbevaringsforhold</w:t>
      </w:r>
    </w:p>
    <w:p w:rsidR="00A1753E" w:rsidRDefault="00812371" w:rsidP="00812371">
      <w:pPr>
        <w:pStyle w:val="Brdtekst"/>
        <w:ind w:left="851" w:hanging="851"/>
        <w:jc w:val="left"/>
        <w:rPr>
          <w:sz w:val="24"/>
          <w:szCs w:val="24"/>
          <w:lang w:val="da-DK"/>
        </w:rPr>
      </w:pPr>
      <w:r w:rsidRPr="00CE6FA2">
        <w:rPr>
          <w:sz w:val="24"/>
          <w:szCs w:val="24"/>
          <w:lang w:val="da-DK"/>
        </w:rPr>
        <w:tab/>
      </w:r>
    </w:p>
    <w:p w:rsidR="00A1753E" w:rsidRPr="00CE6FA2" w:rsidRDefault="00A1753E" w:rsidP="00A1753E">
      <w:pPr>
        <w:pStyle w:val="Brdtekst"/>
        <w:ind w:left="851"/>
        <w:jc w:val="left"/>
        <w:rPr>
          <w:sz w:val="24"/>
          <w:szCs w:val="24"/>
          <w:lang w:val="da-DK"/>
        </w:rPr>
      </w:pPr>
      <w:r w:rsidRPr="00CE6FA2">
        <w:rPr>
          <w:sz w:val="24"/>
          <w:szCs w:val="24"/>
          <w:lang w:val="da-DK"/>
        </w:rPr>
        <w:t>Må ikke opbevares ved temperaturer over 25 °C.</w:t>
      </w:r>
    </w:p>
    <w:p w:rsidR="00A1753E" w:rsidRPr="00CE6FA2" w:rsidRDefault="00A1753E" w:rsidP="00A1753E">
      <w:pPr>
        <w:pStyle w:val="CorpsdetexteSuite"/>
        <w:ind w:left="851"/>
        <w:jc w:val="left"/>
        <w:rPr>
          <w:sz w:val="24"/>
          <w:szCs w:val="24"/>
          <w:lang w:val="da-DK"/>
        </w:rPr>
      </w:pPr>
      <w:r w:rsidRPr="00CE6FA2">
        <w:rPr>
          <w:sz w:val="24"/>
          <w:szCs w:val="24"/>
          <w:lang w:val="da-DK"/>
        </w:rPr>
        <w:t>Må ikke nedfryses.</w:t>
      </w:r>
    </w:p>
    <w:p w:rsidR="00A1753E" w:rsidRPr="00CE6FA2" w:rsidRDefault="00A1753E" w:rsidP="00A1753E">
      <w:pPr>
        <w:pStyle w:val="CorpsdetexteSuite"/>
        <w:ind w:left="851"/>
        <w:jc w:val="left"/>
        <w:rPr>
          <w:sz w:val="24"/>
          <w:szCs w:val="24"/>
          <w:lang w:val="da-DK"/>
        </w:rPr>
      </w:pPr>
      <w:r w:rsidRPr="00CE6FA2">
        <w:rPr>
          <w:sz w:val="24"/>
          <w:szCs w:val="24"/>
          <w:lang w:val="da-DK"/>
        </w:rPr>
        <w:t>Opbevar hætteglasset i den ydre karton for at beskytte mod lys.</w:t>
      </w:r>
    </w:p>
    <w:p w:rsidR="00A1753E" w:rsidRPr="00CE6FA2" w:rsidRDefault="00A1753E" w:rsidP="00A1753E">
      <w:pPr>
        <w:pStyle w:val="CorpsdetexteSuite"/>
        <w:ind w:left="851"/>
        <w:jc w:val="left"/>
        <w:rPr>
          <w:sz w:val="24"/>
          <w:szCs w:val="24"/>
          <w:lang w:val="da-DK"/>
        </w:rPr>
      </w:pPr>
      <w:r w:rsidRPr="00CE6FA2">
        <w:rPr>
          <w:sz w:val="24"/>
          <w:szCs w:val="24"/>
          <w:lang w:val="da-DK"/>
        </w:rPr>
        <w:t xml:space="preserve">Opbevaringsforhold efter </w:t>
      </w:r>
      <w:r>
        <w:rPr>
          <w:sz w:val="24"/>
          <w:szCs w:val="24"/>
          <w:lang w:val="da-DK"/>
        </w:rPr>
        <w:t>anbrud</w:t>
      </w:r>
      <w:r w:rsidRPr="00CE6FA2">
        <w:rPr>
          <w:sz w:val="24"/>
          <w:szCs w:val="24"/>
          <w:lang w:val="da-DK"/>
        </w:rPr>
        <w:t xml:space="preserve"> af lægemidlet, se pkt. 6.3</w:t>
      </w:r>
    </w:p>
    <w:p w:rsidR="00812371" w:rsidRPr="00CE6FA2" w:rsidRDefault="00812371" w:rsidP="00812371">
      <w:pPr>
        <w:ind w:left="851" w:hanging="851"/>
        <w:rPr>
          <w:sz w:val="24"/>
          <w:szCs w:val="24"/>
        </w:rPr>
      </w:pPr>
    </w:p>
    <w:p w:rsidR="00812371" w:rsidRPr="00CE6FA2" w:rsidRDefault="00812371" w:rsidP="00812371">
      <w:pPr>
        <w:ind w:left="851" w:hanging="851"/>
        <w:rPr>
          <w:b/>
          <w:sz w:val="24"/>
          <w:szCs w:val="24"/>
        </w:rPr>
      </w:pPr>
      <w:r w:rsidRPr="00CE6FA2">
        <w:rPr>
          <w:b/>
          <w:sz w:val="24"/>
          <w:szCs w:val="24"/>
        </w:rPr>
        <w:t>6.5</w:t>
      </w:r>
      <w:r w:rsidRPr="00CE6FA2">
        <w:rPr>
          <w:b/>
          <w:sz w:val="24"/>
          <w:szCs w:val="24"/>
        </w:rPr>
        <w:tab/>
        <w:t>Emballagetype og pakningsstørrelser</w:t>
      </w:r>
    </w:p>
    <w:p w:rsidR="00A1753E" w:rsidRDefault="00812371" w:rsidP="00812371">
      <w:pPr>
        <w:pStyle w:val="Brdtekst"/>
        <w:ind w:left="851" w:hanging="851"/>
        <w:jc w:val="left"/>
        <w:rPr>
          <w:sz w:val="24"/>
          <w:szCs w:val="24"/>
          <w:lang w:val="da-DK"/>
        </w:rPr>
      </w:pPr>
      <w:r w:rsidRPr="00CE6FA2">
        <w:rPr>
          <w:sz w:val="24"/>
          <w:szCs w:val="24"/>
          <w:lang w:val="da-DK"/>
        </w:rPr>
        <w:tab/>
      </w:r>
    </w:p>
    <w:p w:rsidR="00812371" w:rsidRPr="00CE6FA2" w:rsidRDefault="00812371" w:rsidP="00A1753E">
      <w:pPr>
        <w:pStyle w:val="Brdtekst"/>
        <w:ind w:left="851"/>
        <w:jc w:val="left"/>
        <w:rPr>
          <w:sz w:val="24"/>
          <w:szCs w:val="24"/>
          <w:lang w:val="da-DK"/>
        </w:rPr>
      </w:pPr>
      <w:r w:rsidRPr="00CE6FA2">
        <w:rPr>
          <w:sz w:val="24"/>
          <w:szCs w:val="24"/>
          <w:lang w:val="da-DK"/>
        </w:rPr>
        <w:t>20, 50, 100, 200 m</w:t>
      </w:r>
      <w:r>
        <w:rPr>
          <w:sz w:val="24"/>
          <w:szCs w:val="24"/>
          <w:lang w:val="da-DK"/>
        </w:rPr>
        <w:t>l</w:t>
      </w:r>
      <w:r w:rsidRPr="00CE6FA2">
        <w:rPr>
          <w:sz w:val="24"/>
          <w:szCs w:val="24"/>
          <w:lang w:val="da-DK"/>
        </w:rPr>
        <w:t xml:space="preserve"> opløsning i et hætteglas (type I</w:t>
      </w:r>
      <w:r w:rsidRPr="00CE6FA2">
        <w:rPr>
          <w:sz w:val="24"/>
          <w:szCs w:val="24"/>
          <w:lang w:val="da-DK"/>
        </w:rPr>
        <w:noBreakHyphen/>
        <w:t xml:space="preserve">glas) med en prop (elastomer), et låg (aluminium) og flip </w:t>
      </w:r>
      <w:proofErr w:type="spellStart"/>
      <w:r w:rsidRPr="00CE6FA2">
        <w:rPr>
          <w:sz w:val="24"/>
          <w:szCs w:val="24"/>
          <w:lang w:val="da-DK"/>
        </w:rPr>
        <w:t>off</w:t>
      </w:r>
      <w:proofErr w:type="spellEnd"/>
      <w:r w:rsidRPr="00CE6FA2">
        <w:rPr>
          <w:sz w:val="24"/>
          <w:szCs w:val="24"/>
          <w:lang w:val="da-DK"/>
        </w:rPr>
        <w:noBreakHyphen/>
        <w:t>hætte (polypropylen).</w:t>
      </w:r>
    </w:p>
    <w:p w:rsidR="00812371" w:rsidRPr="00CE6FA2" w:rsidRDefault="00812371" w:rsidP="00812371">
      <w:pPr>
        <w:pStyle w:val="Brdtekst"/>
        <w:ind w:left="851" w:hanging="851"/>
        <w:jc w:val="left"/>
        <w:rPr>
          <w:sz w:val="24"/>
          <w:szCs w:val="24"/>
          <w:lang w:val="da-DK"/>
        </w:rPr>
      </w:pPr>
    </w:p>
    <w:p w:rsidR="00812371" w:rsidRPr="00CE6FA2" w:rsidRDefault="00812371" w:rsidP="00812371">
      <w:pPr>
        <w:pStyle w:val="Brdtekst"/>
        <w:ind w:left="851"/>
        <w:jc w:val="left"/>
        <w:rPr>
          <w:sz w:val="24"/>
          <w:szCs w:val="24"/>
          <w:lang w:val="da-DK"/>
        </w:rPr>
      </w:pPr>
      <w:r w:rsidRPr="00CE6FA2">
        <w:rPr>
          <w:sz w:val="24"/>
          <w:szCs w:val="24"/>
          <w:lang w:val="da-DK"/>
        </w:rPr>
        <w:t>Pakningsstørrelse: 1 hætteglas.</w:t>
      </w:r>
    </w:p>
    <w:p w:rsidR="00812371" w:rsidRPr="00CE6FA2" w:rsidRDefault="00812371" w:rsidP="00812371">
      <w:pPr>
        <w:pStyle w:val="Brdtekst"/>
        <w:ind w:left="851" w:hanging="851"/>
        <w:jc w:val="left"/>
        <w:rPr>
          <w:sz w:val="24"/>
          <w:szCs w:val="24"/>
          <w:lang w:val="da-DK"/>
        </w:rPr>
      </w:pPr>
    </w:p>
    <w:p w:rsidR="00812371" w:rsidRPr="00CE6FA2" w:rsidRDefault="00812371" w:rsidP="00812371">
      <w:pPr>
        <w:pStyle w:val="Brdtekst"/>
        <w:ind w:left="851"/>
        <w:jc w:val="left"/>
        <w:rPr>
          <w:sz w:val="24"/>
          <w:szCs w:val="24"/>
          <w:lang w:val="da-DK"/>
        </w:rPr>
      </w:pPr>
      <w:r w:rsidRPr="00CE6FA2">
        <w:rPr>
          <w:sz w:val="24"/>
          <w:szCs w:val="24"/>
          <w:lang w:val="da-DK"/>
        </w:rPr>
        <w:t>Ikke alle pakningsstørrelser er nødvendigvis markedsført.</w:t>
      </w:r>
    </w:p>
    <w:p w:rsidR="00812371" w:rsidRPr="00CE6FA2" w:rsidRDefault="00812371" w:rsidP="00812371">
      <w:pPr>
        <w:ind w:left="851" w:hanging="851"/>
        <w:rPr>
          <w:sz w:val="24"/>
          <w:szCs w:val="24"/>
        </w:rPr>
      </w:pPr>
    </w:p>
    <w:p w:rsidR="00812371" w:rsidRPr="00CE6FA2" w:rsidRDefault="00812371" w:rsidP="00812371">
      <w:pPr>
        <w:ind w:left="851" w:hanging="851"/>
        <w:rPr>
          <w:b/>
          <w:sz w:val="24"/>
          <w:szCs w:val="24"/>
        </w:rPr>
      </w:pPr>
      <w:r w:rsidRPr="00CE6FA2">
        <w:rPr>
          <w:b/>
          <w:sz w:val="24"/>
          <w:szCs w:val="24"/>
        </w:rPr>
        <w:t>6.6</w:t>
      </w:r>
      <w:r w:rsidRPr="00CE6FA2">
        <w:rPr>
          <w:b/>
          <w:sz w:val="24"/>
          <w:szCs w:val="24"/>
        </w:rPr>
        <w:tab/>
        <w:t xml:space="preserve">Regler for </w:t>
      </w:r>
      <w:r w:rsidR="00426218">
        <w:rPr>
          <w:b/>
          <w:sz w:val="24"/>
          <w:szCs w:val="24"/>
        </w:rPr>
        <w:t>bortskaffelse</w:t>
      </w:r>
      <w:r w:rsidRPr="00CE6FA2">
        <w:rPr>
          <w:b/>
          <w:sz w:val="24"/>
          <w:szCs w:val="24"/>
        </w:rPr>
        <w:t xml:space="preserve"> og anden håndtering</w:t>
      </w:r>
    </w:p>
    <w:p w:rsidR="00820100" w:rsidRDefault="00820100" w:rsidP="00820100">
      <w:pPr>
        <w:pStyle w:val="Brdtekst"/>
        <w:ind w:left="851"/>
        <w:jc w:val="left"/>
        <w:rPr>
          <w:sz w:val="24"/>
          <w:szCs w:val="24"/>
          <w:lang w:val="da-DK"/>
        </w:rPr>
      </w:pPr>
    </w:p>
    <w:p w:rsidR="00A1753E" w:rsidRPr="00820100" w:rsidRDefault="00A1753E" w:rsidP="00A1753E">
      <w:pPr>
        <w:pStyle w:val="Brdtekst"/>
        <w:ind w:left="851"/>
        <w:jc w:val="left"/>
        <w:rPr>
          <w:sz w:val="24"/>
          <w:szCs w:val="24"/>
          <w:lang w:val="da-DK"/>
        </w:rPr>
      </w:pPr>
      <w:r w:rsidRPr="00820100">
        <w:rPr>
          <w:sz w:val="24"/>
          <w:szCs w:val="24"/>
          <w:lang w:val="da-DK"/>
        </w:rPr>
        <w:t>Produktet skal bringes til stuetemperatur eller kropstemperatur før anvendelsen.</w:t>
      </w:r>
    </w:p>
    <w:p w:rsidR="00A1753E" w:rsidRPr="00820100" w:rsidRDefault="00A1753E" w:rsidP="00A1753E">
      <w:pPr>
        <w:pStyle w:val="Brdtekst"/>
        <w:ind w:left="851"/>
        <w:jc w:val="left"/>
        <w:rPr>
          <w:sz w:val="24"/>
          <w:szCs w:val="24"/>
          <w:lang w:val="da-DK"/>
        </w:rPr>
      </w:pPr>
    </w:p>
    <w:p w:rsidR="00A1753E" w:rsidRPr="00820100" w:rsidRDefault="00A1753E" w:rsidP="00A1753E">
      <w:pPr>
        <w:pStyle w:val="Brdtekst"/>
        <w:ind w:left="851"/>
        <w:jc w:val="left"/>
        <w:rPr>
          <w:sz w:val="24"/>
          <w:szCs w:val="24"/>
          <w:lang w:val="da-DK"/>
        </w:rPr>
      </w:pPr>
      <w:r>
        <w:rPr>
          <w:sz w:val="24"/>
          <w:szCs w:val="24"/>
          <w:lang w:val="da-DK"/>
        </w:rPr>
        <w:t xml:space="preserve">Det </w:t>
      </w:r>
      <w:proofErr w:type="spellStart"/>
      <w:r>
        <w:rPr>
          <w:sz w:val="24"/>
          <w:szCs w:val="24"/>
          <w:lang w:val="da-DK"/>
        </w:rPr>
        <w:t>rekonstituerede</w:t>
      </w:r>
      <w:proofErr w:type="spellEnd"/>
      <w:r>
        <w:rPr>
          <w:sz w:val="24"/>
          <w:szCs w:val="24"/>
          <w:lang w:val="da-DK"/>
        </w:rPr>
        <w:t xml:space="preserve"> produkt skal kontrolleres visuelt for partikler og misfarvning forud for administration. </w:t>
      </w:r>
      <w:r w:rsidRPr="00820100">
        <w:rPr>
          <w:sz w:val="24"/>
          <w:szCs w:val="24"/>
          <w:lang w:val="da-DK"/>
        </w:rPr>
        <w:t>Opløsningen skal være klar eller let uigennemsigtig og farveløs eller bleggul. Opløsninger, der er grumsede eller indeholder bundfald, må ikke anvendes.</w:t>
      </w:r>
    </w:p>
    <w:p w:rsidR="00A1753E" w:rsidRPr="00820100" w:rsidRDefault="00A1753E" w:rsidP="00A1753E">
      <w:pPr>
        <w:pStyle w:val="Brdtekst"/>
        <w:ind w:left="851"/>
        <w:jc w:val="left"/>
        <w:rPr>
          <w:sz w:val="24"/>
          <w:szCs w:val="24"/>
          <w:lang w:val="da-DK"/>
        </w:rPr>
      </w:pPr>
    </w:p>
    <w:p w:rsidR="00A1753E" w:rsidRPr="00820100" w:rsidRDefault="00A1753E" w:rsidP="00A1753E">
      <w:pPr>
        <w:pStyle w:val="Brdtekst"/>
        <w:ind w:left="851"/>
        <w:jc w:val="left"/>
        <w:rPr>
          <w:sz w:val="24"/>
          <w:szCs w:val="24"/>
          <w:lang w:val="da-DK"/>
        </w:rPr>
      </w:pPr>
      <w:r w:rsidRPr="00820100">
        <w:rPr>
          <w:sz w:val="24"/>
          <w:szCs w:val="24"/>
          <w:lang w:val="da-DK"/>
        </w:rPr>
        <w:t xml:space="preserve">Når beholderen er blevet </w:t>
      </w:r>
      <w:r w:rsidRPr="00820100">
        <w:rPr>
          <w:color w:val="222222"/>
          <w:sz w:val="24"/>
          <w:szCs w:val="24"/>
          <w:lang w:val="da-DK"/>
        </w:rPr>
        <w:t xml:space="preserve">åbnet </w:t>
      </w:r>
      <w:r w:rsidRPr="00820100">
        <w:rPr>
          <w:sz w:val="24"/>
          <w:szCs w:val="24"/>
          <w:lang w:val="da-DK"/>
        </w:rPr>
        <w:t xml:space="preserve">under aseptiske forhold, skal indholdet bruges straks. Da opløsningen ikke indeholder nogen konserveringsmidler, skal </w:t>
      </w:r>
      <w:proofErr w:type="spellStart"/>
      <w:r w:rsidRPr="00820100">
        <w:rPr>
          <w:sz w:val="24"/>
          <w:szCs w:val="24"/>
          <w:lang w:val="da-DK"/>
        </w:rPr>
        <w:t>Iqymune</w:t>
      </w:r>
      <w:proofErr w:type="spellEnd"/>
      <w:r w:rsidRPr="00820100">
        <w:rPr>
          <w:sz w:val="24"/>
          <w:szCs w:val="24"/>
          <w:lang w:val="da-DK"/>
        </w:rPr>
        <w:t xml:space="preserve"> </w:t>
      </w:r>
      <w:proofErr w:type="spellStart"/>
      <w:r w:rsidRPr="00820100">
        <w:rPr>
          <w:sz w:val="24"/>
          <w:szCs w:val="24"/>
          <w:lang w:val="da-DK"/>
        </w:rPr>
        <w:t>infunderes</w:t>
      </w:r>
      <w:proofErr w:type="spellEnd"/>
      <w:r w:rsidRPr="00820100">
        <w:rPr>
          <w:sz w:val="24"/>
          <w:szCs w:val="24"/>
          <w:lang w:val="da-DK"/>
        </w:rPr>
        <w:t xml:space="preserve"> så hurtigt som muligt og kun til engangsbrug.</w:t>
      </w:r>
    </w:p>
    <w:p w:rsidR="00A1753E" w:rsidRPr="00820100" w:rsidRDefault="00A1753E" w:rsidP="00A1753E">
      <w:pPr>
        <w:pStyle w:val="Brdtekst"/>
        <w:ind w:left="851"/>
        <w:jc w:val="left"/>
        <w:rPr>
          <w:sz w:val="24"/>
          <w:szCs w:val="24"/>
          <w:lang w:val="da-DK"/>
        </w:rPr>
      </w:pPr>
    </w:p>
    <w:p w:rsidR="00A1753E" w:rsidRPr="00820100" w:rsidRDefault="00A1753E" w:rsidP="00A1753E">
      <w:pPr>
        <w:pStyle w:val="Brdtekst"/>
        <w:ind w:left="851"/>
        <w:jc w:val="left"/>
        <w:rPr>
          <w:sz w:val="24"/>
          <w:szCs w:val="24"/>
          <w:lang w:val="da-DK"/>
        </w:rPr>
      </w:pPr>
      <w:r w:rsidRPr="00820100">
        <w:rPr>
          <w:sz w:val="24"/>
          <w:szCs w:val="24"/>
          <w:lang w:val="da-DK"/>
        </w:rPr>
        <w:t>Ikke anvendt lægemiddel samt affald heraf skal bortskaffes i henhold til lokale retningslinjer.</w:t>
      </w:r>
    </w:p>
    <w:p w:rsidR="00812371" w:rsidRPr="00820100" w:rsidRDefault="00812371" w:rsidP="00820100">
      <w:pPr>
        <w:pStyle w:val="Brdtekst"/>
        <w:ind w:left="851" w:hanging="851"/>
        <w:jc w:val="left"/>
        <w:rPr>
          <w:sz w:val="24"/>
          <w:szCs w:val="24"/>
          <w:lang w:val="da-DK"/>
        </w:rPr>
      </w:pPr>
    </w:p>
    <w:p w:rsidR="00812371" w:rsidRPr="00CE6FA2" w:rsidRDefault="00812371" w:rsidP="00812371">
      <w:pPr>
        <w:ind w:left="851" w:hanging="851"/>
        <w:rPr>
          <w:b/>
          <w:sz w:val="24"/>
          <w:szCs w:val="24"/>
        </w:rPr>
      </w:pPr>
      <w:r w:rsidRPr="00CE6FA2">
        <w:rPr>
          <w:b/>
          <w:sz w:val="24"/>
          <w:szCs w:val="24"/>
        </w:rPr>
        <w:t>7.</w:t>
      </w:r>
      <w:r w:rsidRPr="00CE6FA2">
        <w:rPr>
          <w:b/>
          <w:sz w:val="24"/>
          <w:szCs w:val="24"/>
        </w:rPr>
        <w:tab/>
        <w:t>INDEHAVER AF MARKEDSFØRINGSTILLADELSEN</w:t>
      </w:r>
    </w:p>
    <w:p w:rsidR="00A1753E" w:rsidRDefault="00A1753E" w:rsidP="00426218">
      <w:pPr>
        <w:ind w:left="851"/>
        <w:rPr>
          <w:sz w:val="24"/>
          <w:szCs w:val="24"/>
          <w:lang w:val="fr-FR"/>
        </w:rPr>
      </w:pPr>
    </w:p>
    <w:p w:rsidR="00426218" w:rsidRPr="00A1753E" w:rsidRDefault="00426218" w:rsidP="00426218">
      <w:pPr>
        <w:ind w:left="851"/>
        <w:rPr>
          <w:b/>
          <w:sz w:val="24"/>
          <w:szCs w:val="24"/>
          <w:lang w:val="fr-FR"/>
        </w:rPr>
      </w:pPr>
      <w:r w:rsidRPr="00A1753E">
        <w:rPr>
          <w:b/>
          <w:sz w:val="24"/>
          <w:szCs w:val="24"/>
          <w:lang w:val="fr-FR"/>
        </w:rPr>
        <w:t>Laboratoire français du Fractionnement et des Biotechnologies</w:t>
      </w:r>
    </w:p>
    <w:p w:rsidR="00426218" w:rsidRPr="00426218" w:rsidRDefault="00426218" w:rsidP="00426218">
      <w:pPr>
        <w:ind w:left="851"/>
        <w:rPr>
          <w:sz w:val="24"/>
          <w:szCs w:val="24"/>
          <w:lang w:val="fr-FR"/>
        </w:rPr>
      </w:pPr>
      <w:r w:rsidRPr="00426218">
        <w:rPr>
          <w:sz w:val="24"/>
          <w:szCs w:val="24"/>
          <w:lang w:val="fr-FR"/>
        </w:rPr>
        <w:t>Tour W</w:t>
      </w:r>
    </w:p>
    <w:p w:rsidR="00426218" w:rsidRPr="00426218" w:rsidRDefault="00426218" w:rsidP="00426218">
      <w:pPr>
        <w:ind w:left="851"/>
        <w:rPr>
          <w:sz w:val="24"/>
          <w:szCs w:val="24"/>
          <w:lang w:val="fr-FR"/>
        </w:rPr>
      </w:pPr>
      <w:r w:rsidRPr="00426218">
        <w:rPr>
          <w:sz w:val="24"/>
          <w:szCs w:val="24"/>
          <w:lang w:val="fr-FR"/>
        </w:rPr>
        <w:t>102 Terrasse Boieldieu 19ème Etage</w:t>
      </w:r>
    </w:p>
    <w:p w:rsidR="00426218" w:rsidRPr="00426218" w:rsidRDefault="00426218" w:rsidP="00426218">
      <w:pPr>
        <w:ind w:left="851"/>
        <w:rPr>
          <w:sz w:val="24"/>
          <w:szCs w:val="24"/>
          <w:lang w:val="fr-FR"/>
        </w:rPr>
      </w:pPr>
      <w:r w:rsidRPr="00426218">
        <w:rPr>
          <w:sz w:val="24"/>
          <w:szCs w:val="24"/>
          <w:lang w:val="fr-FR"/>
        </w:rPr>
        <w:t>92800 Puteaux</w:t>
      </w:r>
    </w:p>
    <w:p w:rsidR="00812371" w:rsidRDefault="00426218" w:rsidP="00426218">
      <w:pPr>
        <w:ind w:left="851"/>
        <w:rPr>
          <w:sz w:val="24"/>
          <w:szCs w:val="24"/>
          <w:lang w:val="fr-FR"/>
        </w:rPr>
      </w:pPr>
      <w:r w:rsidRPr="00426218">
        <w:rPr>
          <w:sz w:val="24"/>
          <w:szCs w:val="24"/>
          <w:lang w:val="fr-FR"/>
        </w:rPr>
        <w:t>Frankrig</w:t>
      </w:r>
    </w:p>
    <w:p w:rsidR="00426218" w:rsidRPr="00CE6FA2" w:rsidRDefault="00426218" w:rsidP="00426218">
      <w:pPr>
        <w:ind w:left="851" w:hanging="851"/>
        <w:rPr>
          <w:sz w:val="24"/>
          <w:szCs w:val="24"/>
        </w:rPr>
      </w:pPr>
    </w:p>
    <w:p w:rsidR="00812371" w:rsidRPr="00CE6FA2" w:rsidRDefault="00812371" w:rsidP="00812371">
      <w:pPr>
        <w:ind w:left="851" w:hanging="851"/>
        <w:rPr>
          <w:b/>
          <w:sz w:val="24"/>
          <w:szCs w:val="24"/>
        </w:rPr>
      </w:pPr>
      <w:r w:rsidRPr="00CE6FA2">
        <w:rPr>
          <w:b/>
          <w:sz w:val="24"/>
          <w:szCs w:val="24"/>
        </w:rPr>
        <w:t>8.</w:t>
      </w:r>
      <w:r w:rsidRPr="00CE6FA2">
        <w:rPr>
          <w:b/>
          <w:sz w:val="24"/>
          <w:szCs w:val="24"/>
        </w:rPr>
        <w:tab/>
        <w:t>MARKEDSFØRINGSTILLADELSESNUMMER (</w:t>
      </w:r>
      <w:r w:rsidR="00426218">
        <w:rPr>
          <w:b/>
          <w:sz w:val="24"/>
          <w:szCs w:val="24"/>
        </w:rPr>
        <w:t>-</w:t>
      </w:r>
      <w:r w:rsidRPr="00CE6FA2">
        <w:rPr>
          <w:b/>
          <w:sz w:val="24"/>
          <w:szCs w:val="24"/>
        </w:rPr>
        <w:t>NUMRE)</w:t>
      </w:r>
    </w:p>
    <w:p w:rsidR="00812371" w:rsidRPr="00CE6FA2" w:rsidRDefault="00812371" w:rsidP="00812371">
      <w:pPr>
        <w:ind w:left="851" w:hanging="851"/>
        <w:rPr>
          <w:sz w:val="24"/>
          <w:szCs w:val="24"/>
        </w:rPr>
      </w:pPr>
      <w:r w:rsidRPr="00CE6FA2">
        <w:rPr>
          <w:sz w:val="24"/>
          <w:szCs w:val="24"/>
        </w:rPr>
        <w:tab/>
        <w:t>54790</w:t>
      </w:r>
    </w:p>
    <w:p w:rsidR="00812371" w:rsidRPr="00CE6FA2" w:rsidRDefault="00812371" w:rsidP="00812371">
      <w:pPr>
        <w:ind w:left="851" w:hanging="851"/>
        <w:jc w:val="both"/>
        <w:rPr>
          <w:sz w:val="24"/>
          <w:szCs w:val="24"/>
        </w:rPr>
      </w:pPr>
    </w:p>
    <w:p w:rsidR="00812371" w:rsidRPr="00CE6FA2" w:rsidRDefault="00812371" w:rsidP="00812371">
      <w:pPr>
        <w:ind w:left="851" w:hanging="851"/>
        <w:rPr>
          <w:b/>
          <w:sz w:val="24"/>
          <w:szCs w:val="24"/>
        </w:rPr>
      </w:pPr>
      <w:r w:rsidRPr="00CE6FA2">
        <w:rPr>
          <w:b/>
          <w:sz w:val="24"/>
          <w:szCs w:val="24"/>
        </w:rPr>
        <w:lastRenderedPageBreak/>
        <w:t>9.</w:t>
      </w:r>
      <w:r w:rsidRPr="00CE6FA2">
        <w:rPr>
          <w:b/>
          <w:sz w:val="24"/>
          <w:szCs w:val="24"/>
        </w:rPr>
        <w:tab/>
        <w:t>DATO FOR FØRSTE MARKEDSFØRINGSTILLADELSE</w:t>
      </w:r>
    </w:p>
    <w:p w:rsidR="00812371" w:rsidRPr="00CE6FA2" w:rsidRDefault="00812371" w:rsidP="00812371">
      <w:pPr>
        <w:ind w:left="851" w:hanging="851"/>
        <w:rPr>
          <w:sz w:val="24"/>
          <w:szCs w:val="24"/>
        </w:rPr>
      </w:pPr>
      <w:r w:rsidRPr="00CE6FA2">
        <w:rPr>
          <w:sz w:val="24"/>
          <w:szCs w:val="24"/>
        </w:rPr>
        <w:tab/>
        <w:t>4. september 2015</w:t>
      </w:r>
    </w:p>
    <w:p w:rsidR="00812371" w:rsidRPr="00CE6FA2" w:rsidRDefault="00812371" w:rsidP="00812371">
      <w:pPr>
        <w:ind w:left="851" w:hanging="851"/>
        <w:rPr>
          <w:sz w:val="24"/>
          <w:szCs w:val="24"/>
        </w:rPr>
      </w:pPr>
    </w:p>
    <w:p w:rsidR="00812371" w:rsidRPr="00CE6FA2" w:rsidRDefault="00812371" w:rsidP="00812371">
      <w:pPr>
        <w:ind w:left="851" w:hanging="851"/>
        <w:rPr>
          <w:b/>
          <w:sz w:val="24"/>
          <w:szCs w:val="24"/>
        </w:rPr>
      </w:pPr>
      <w:r w:rsidRPr="00CE6FA2">
        <w:rPr>
          <w:b/>
          <w:sz w:val="24"/>
          <w:szCs w:val="24"/>
        </w:rPr>
        <w:t>10.</w:t>
      </w:r>
      <w:r w:rsidRPr="00CE6FA2">
        <w:rPr>
          <w:b/>
          <w:sz w:val="24"/>
          <w:szCs w:val="24"/>
        </w:rPr>
        <w:tab/>
        <w:t>DATO FOR ÆNDRING AF TEKSTEN</w:t>
      </w:r>
    </w:p>
    <w:p w:rsidR="009260DE" w:rsidRPr="00CD6ABB" w:rsidRDefault="00812371" w:rsidP="00CD6ABB">
      <w:pPr>
        <w:ind w:left="851" w:hanging="851"/>
        <w:rPr>
          <w:sz w:val="24"/>
          <w:szCs w:val="24"/>
        </w:rPr>
      </w:pPr>
      <w:r w:rsidRPr="00CE6FA2">
        <w:rPr>
          <w:sz w:val="24"/>
          <w:szCs w:val="24"/>
        </w:rPr>
        <w:tab/>
      </w:r>
      <w:r w:rsidR="00A1451C">
        <w:rPr>
          <w:sz w:val="24"/>
          <w:szCs w:val="24"/>
        </w:rPr>
        <w:t>7</w:t>
      </w:r>
      <w:bookmarkStart w:id="0" w:name="_GoBack"/>
      <w:bookmarkEnd w:id="0"/>
      <w:r w:rsidR="00222DF5">
        <w:rPr>
          <w:sz w:val="24"/>
          <w:szCs w:val="24"/>
        </w:rPr>
        <w:t>. april 2025</w:t>
      </w:r>
    </w:p>
    <w:sectPr w:rsidR="009260DE" w:rsidRPr="00CD6AB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630" w:rsidRDefault="00C50630">
      <w:r>
        <w:separator/>
      </w:r>
    </w:p>
  </w:endnote>
  <w:endnote w:type="continuationSeparator" w:id="0">
    <w:p w:rsidR="00C50630" w:rsidRDefault="00C5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630" w:rsidRDefault="00C50630">
    <w:pPr>
      <w:pStyle w:val="Sidefod"/>
      <w:pBdr>
        <w:bottom w:val="single" w:sz="6" w:space="1" w:color="auto"/>
      </w:pBdr>
    </w:pPr>
  </w:p>
  <w:p w:rsidR="00C50630" w:rsidRDefault="00C50630" w:rsidP="00C42586">
    <w:pPr>
      <w:pStyle w:val="Sidefod"/>
      <w:tabs>
        <w:tab w:val="clear" w:pos="4819"/>
        <w:tab w:val="left" w:pos="8505"/>
      </w:tabs>
      <w:rPr>
        <w:i/>
        <w:sz w:val="18"/>
        <w:szCs w:val="18"/>
      </w:rPr>
    </w:pPr>
  </w:p>
  <w:p w:rsidR="00C50630" w:rsidRPr="00B373D7" w:rsidRDefault="00C5063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Iqymune, infusionsvæske, opløsning 100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630" w:rsidRDefault="00C50630">
      <w:r>
        <w:separator/>
      </w:r>
    </w:p>
  </w:footnote>
  <w:footnote w:type="continuationSeparator" w:id="0">
    <w:p w:rsidR="00C50630" w:rsidRDefault="00C50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3E862AE"/>
    <w:lvl w:ilvl="0">
      <w:start w:val="1"/>
      <w:numFmt w:val="bullet"/>
      <w:lvlText w:val=""/>
      <w:lvlJc w:val="left"/>
      <w:pPr>
        <w:tabs>
          <w:tab w:val="num" w:pos="567"/>
        </w:tabs>
        <w:ind w:left="567" w:hanging="283"/>
      </w:pPr>
      <w:rPr>
        <w:rFonts w:ascii="Symbol" w:hAnsi="Symbol" w:hint="default"/>
      </w:rPr>
    </w:lvl>
  </w:abstractNum>
  <w:abstractNum w:abstractNumId="1" w15:restartNumberingAfterBreak="0">
    <w:nsid w:val="FFFFFF89"/>
    <w:multiLevelType w:val="singleLevel"/>
    <w:tmpl w:val="DD3C03E2"/>
    <w:lvl w:ilvl="0">
      <w:start w:val="1"/>
      <w:numFmt w:val="bullet"/>
      <w:pStyle w:val="Opstilling-punkttegn"/>
      <w:lvlText w:val=""/>
      <w:lvlJc w:val="left"/>
      <w:pPr>
        <w:tabs>
          <w:tab w:val="num" w:pos="284"/>
        </w:tabs>
        <w:ind w:left="284" w:hanging="284"/>
      </w:pPr>
      <w:rPr>
        <w:rFonts w:ascii="Symbol" w:hAnsi="Symbol" w:hint="default"/>
      </w:rPr>
    </w:lvl>
  </w:abstractNum>
  <w:abstractNum w:abstractNumId="2" w15:restartNumberingAfterBreak="0">
    <w:nsid w:val="0D4079CE"/>
    <w:multiLevelType w:val="hybridMultilevel"/>
    <w:tmpl w:val="335EEB8C"/>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12520295"/>
    <w:multiLevelType w:val="hybridMultilevel"/>
    <w:tmpl w:val="90021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DC513E0"/>
    <w:multiLevelType w:val="hybridMultilevel"/>
    <w:tmpl w:val="56D000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A2D1835"/>
    <w:multiLevelType w:val="hybridMultilevel"/>
    <w:tmpl w:val="A76A127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3CF2456D"/>
    <w:multiLevelType w:val="hybridMultilevel"/>
    <w:tmpl w:val="397A76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541A39A8"/>
    <w:multiLevelType w:val="hybridMultilevel"/>
    <w:tmpl w:val="5832FCF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8700D05"/>
    <w:multiLevelType w:val="hybridMultilevel"/>
    <w:tmpl w:val="5AD61AF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65926998"/>
    <w:multiLevelType w:val="hybridMultilevel"/>
    <w:tmpl w:val="78FA8086"/>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5" w15:restartNumberingAfterBreak="0">
    <w:nsid w:val="6E2F4D37"/>
    <w:multiLevelType w:val="hybridMultilevel"/>
    <w:tmpl w:val="FF6ED3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5"/>
  </w:num>
  <w:num w:numId="8">
    <w:abstractNumId w:val="3"/>
  </w:num>
  <w:num w:numId="9">
    <w:abstractNumId w:val="5"/>
  </w:num>
  <w:num w:numId="10">
    <w:abstractNumId w:val="9"/>
  </w:num>
  <w:num w:numId="11">
    <w:abstractNumId w:val="13"/>
  </w:num>
  <w:num w:numId="12">
    <w:abstractNumId w:val="0"/>
  </w:num>
  <w:num w:numId="13">
    <w:abstractNumId w:val="1"/>
  </w:num>
  <w:num w:numId="14">
    <w:abstractNumId w:val="2"/>
  </w:num>
  <w:num w:numId="15">
    <w:abstractNumId w:val="8"/>
  </w:num>
  <w:num w:numId="16">
    <w:abstractNumId w:val="14"/>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71"/>
    <w:rsid w:val="000259B9"/>
    <w:rsid w:val="00041244"/>
    <w:rsid w:val="00041491"/>
    <w:rsid w:val="00050D16"/>
    <w:rsid w:val="00074F2A"/>
    <w:rsid w:val="000A1CA8"/>
    <w:rsid w:val="000A466B"/>
    <w:rsid w:val="000B058C"/>
    <w:rsid w:val="000E4EE6"/>
    <w:rsid w:val="001159FC"/>
    <w:rsid w:val="001454E2"/>
    <w:rsid w:val="00206CE8"/>
    <w:rsid w:val="0021526C"/>
    <w:rsid w:val="00222DF5"/>
    <w:rsid w:val="00283A2B"/>
    <w:rsid w:val="002B30AD"/>
    <w:rsid w:val="002C2C01"/>
    <w:rsid w:val="003A29AE"/>
    <w:rsid w:val="003A32D7"/>
    <w:rsid w:val="003B4074"/>
    <w:rsid w:val="003C769A"/>
    <w:rsid w:val="003F1838"/>
    <w:rsid w:val="00426218"/>
    <w:rsid w:val="0045746C"/>
    <w:rsid w:val="004627B8"/>
    <w:rsid w:val="0049104B"/>
    <w:rsid w:val="004E3B12"/>
    <w:rsid w:val="00532310"/>
    <w:rsid w:val="00560ECC"/>
    <w:rsid w:val="00562D81"/>
    <w:rsid w:val="00565F0F"/>
    <w:rsid w:val="00594A86"/>
    <w:rsid w:val="00596D86"/>
    <w:rsid w:val="00637F5A"/>
    <w:rsid w:val="006560B1"/>
    <w:rsid w:val="006756DD"/>
    <w:rsid w:val="00737275"/>
    <w:rsid w:val="00740EEC"/>
    <w:rsid w:val="0078011A"/>
    <w:rsid w:val="00782AF4"/>
    <w:rsid w:val="00790EE7"/>
    <w:rsid w:val="007B6649"/>
    <w:rsid w:val="00812371"/>
    <w:rsid w:val="0081546F"/>
    <w:rsid w:val="00820100"/>
    <w:rsid w:val="008209AA"/>
    <w:rsid w:val="0082576E"/>
    <w:rsid w:val="00891662"/>
    <w:rsid w:val="00907F75"/>
    <w:rsid w:val="009260DE"/>
    <w:rsid w:val="0093258A"/>
    <w:rsid w:val="00943BC1"/>
    <w:rsid w:val="009C7BA3"/>
    <w:rsid w:val="009D1F5A"/>
    <w:rsid w:val="009D446B"/>
    <w:rsid w:val="009F0B0D"/>
    <w:rsid w:val="009F7CE8"/>
    <w:rsid w:val="00A1451C"/>
    <w:rsid w:val="00A1753E"/>
    <w:rsid w:val="00B003BF"/>
    <w:rsid w:val="00B224A4"/>
    <w:rsid w:val="00B373D7"/>
    <w:rsid w:val="00BE4427"/>
    <w:rsid w:val="00BE7BA8"/>
    <w:rsid w:val="00C36276"/>
    <w:rsid w:val="00C42586"/>
    <w:rsid w:val="00C50630"/>
    <w:rsid w:val="00C60CCD"/>
    <w:rsid w:val="00C84483"/>
    <w:rsid w:val="00C95551"/>
    <w:rsid w:val="00CB20D7"/>
    <w:rsid w:val="00CC4BE4"/>
    <w:rsid w:val="00CD6ABB"/>
    <w:rsid w:val="00D020B0"/>
    <w:rsid w:val="00D11748"/>
    <w:rsid w:val="00D366CF"/>
    <w:rsid w:val="00DC3D8B"/>
    <w:rsid w:val="00E108AA"/>
    <w:rsid w:val="00E31812"/>
    <w:rsid w:val="00E3749A"/>
    <w:rsid w:val="00E7437F"/>
    <w:rsid w:val="00E865B8"/>
    <w:rsid w:val="00EC0B9B"/>
    <w:rsid w:val="00ED5E9F"/>
    <w:rsid w:val="00EF3982"/>
    <w:rsid w:val="00F1148B"/>
    <w:rsid w:val="00F66D4F"/>
    <w:rsid w:val="00F9798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39FFC"/>
  <w15:chartTrackingRefBased/>
  <w15:docId w15:val="{042902FE-70C7-41FD-A125-AEDDF708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99"/>
    <w:unhideWhenUsed/>
    <w:rsid w:val="00812371"/>
    <w:pPr>
      <w:jc w:val="both"/>
    </w:pPr>
    <w:rPr>
      <w:sz w:val="22"/>
      <w:szCs w:val="22"/>
      <w:lang w:val="en-GB" w:eastAsia="fr-FR"/>
    </w:rPr>
  </w:style>
  <w:style w:type="character" w:customStyle="1" w:styleId="BrdtekstTegn">
    <w:name w:val="Brødtekst Tegn"/>
    <w:basedOn w:val="Standardskrifttypeiafsnit"/>
    <w:link w:val="Brdtekst"/>
    <w:uiPriority w:val="99"/>
    <w:rsid w:val="00812371"/>
    <w:rPr>
      <w:sz w:val="22"/>
      <w:szCs w:val="22"/>
      <w:lang w:val="en-GB" w:eastAsia="fr-FR"/>
    </w:rPr>
  </w:style>
  <w:style w:type="paragraph" w:customStyle="1" w:styleId="CorpsdetexteSuite">
    <w:name w:val="Corps de texte _Suite"/>
    <w:basedOn w:val="Brdtekst"/>
    <w:uiPriority w:val="99"/>
    <w:rsid w:val="00812371"/>
  </w:style>
  <w:style w:type="paragraph" w:styleId="Opstilling-punkttegn">
    <w:name w:val="List Bullet"/>
    <w:basedOn w:val="Brdtekst"/>
    <w:uiPriority w:val="99"/>
    <w:unhideWhenUsed/>
    <w:rsid w:val="00812371"/>
    <w:pPr>
      <w:keepLines/>
      <w:numPr>
        <w:numId w:val="6"/>
      </w:numPr>
      <w:tabs>
        <w:tab w:val="num" w:pos="567"/>
      </w:tabs>
    </w:pPr>
  </w:style>
  <w:style w:type="character" w:styleId="Hyperlink">
    <w:name w:val="Hyperlink"/>
    <w:uiPriority w:val="99"/>
    <w:semiHidden/>
    <w:unhideWhenUsed/>
    <w:rsid w:val="00812371"/>
    <w:rPr>
      <w:color w:val="0000FF"/>
      <w:u w:val="single"/>
    </w:rPr>
  </w:style>
  <w:style w:type="paragraph" w:styleId="Opstilling-talellerbogst">
    <w:name w:val="List Number"/>
    <w:basedOn w:val="Brdtekst"/>
    <w:uiPriority w:val="99"/>
    <w:rsid w:val="004627B8"/>
    <w:pPr>
      <w:tabs>
        <w:tab w:val="num" w:pos="284"/>
        <w:tab w:val="num" w:pos="567"/>
      </w:tabs>
      <w:ind w:left="284" w:hanging="284"/>
    </w:pPr>
  </w:style>
  <w:style w:type="paragraph" w:customStyle="1" w:styleId="Tableau">
    <w:name w:val="Tableau"/>
    <w:basedOn w:val="Brdtekst"/>
    <w:uiPriority w:val="99"/>
    <w:rsid w:val="00B224A4"/>
    <w:pPr>
      <w:spacing w:before="12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3289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6809036">
      <w:bodyDiv w:val="1"/>
      <w:marLeft w:val="0"/>
      <w:marRight w:val="0"/>
      <w:marTop w:val="0"/>
      <w:marBottom w:val="0"/>
      <w:divBdr>
        <w:top w:val="none" w:sz="0" w:space="0" w:color="auto"/>
        <w:left w:val="none" w:sz="0" w:space="0" w:color="auto"/>
        <w:bottom w:val="none" w:sz="0" w:space="0" w:color="auto"/>
        <w:right w:val="none" w:sz="0" w:space="0" w:color="auto"/>
      </w:divBdr>
    </w:div>
    <w:div w:id="466167197">
      <w:bodyDiv w:val="1"/>
      <w:marLeft w:val="0"/>
      <w:marRight w:val="0"/>
      <w:marTop w:val="0"/>
      <w:marBottom w:val="0"/>
      <w:divBdr>
        <w:top w:val="none" w:sz="0" w:space="0" w:color="auto"/>
        <w:left w:val="none" w:sz="0" w:space="0" w:color="auto"/>
        <w:bottom w:val="none" w:sz="0" w:space="0" w:color="auto"/>
        <w:right w:val="none" w:sz="0" w:space="0" w:color="auto"/>
      </w:divBdr>
    </w:div>
    <w:div w:id="469906140">
      <w:bodyDiv w:val="1"/>
      <w:marLeft w:val="0"/>
      <w:marRight w:val="0"/>
      <w:marTop w:val="0"/>
      <w:marBottom w:val="0"/>
      <w:divBdr>
        <w:top w:val="none" w:sz="0" w:space="0" w:color="auto"/>
        <w:left w:val="none" w:sz="0" w:space="0" w:color="auto"/>
        <w:bottom w:val="none" w:sz="0" w:space="0" w:color="auto"/>
        <w:right w:val="none" w:sz="0" w:space="0" w:color="auto"/>
      </w:divBdr>
    </w:div>
    <w:div w:id="523595263">
      <w:bodyDiv w:val="1"/>
      <w:marLeft w:val="0"/>
      <w:marRight w:val="0"/>
      <w:marTop w:val="0"/>
      <w:marBottom w:val="0"/>
      <w:divBdr>
        <w:top w:val="none" w:sz="0" w:space="0" w:color="auto"/>
        <w:left w:val="none" w:sz="0" w:space="0" w:color="auto"/>
        <w:bottom w:val="none" w:sz="0" w:space="0" w:color="auto"/>
        <w:right w:val="none" w:sz="0" w:space="0" w:color="auto"/>
      </w:divBdr>
    </w:div>
    <w:div w:id="554782155">
      <w:bodyDiv w:val="1"/>
      <w:marLeft w:val="0"/>
      <w:marRight w:val="0"/>
      <w:marTop w:val="0"/>
      <w:marBottom w:val="0"/>
      <w:divBdr>
        <w:top w:val="none" w:sz="0" w:space="0" w:color="auto"/>
        <w:left w:val="none" w:sz="0" w:space="0" w:color="auto"/>
        <w:bottom w:val="none" w:sz="0" w:space="0" w:color="auto"/>
        <w:right w:val="none" w:sz="0" w:space="0" w:color="auto"/>
      </w:divBdr>
    </w:div>
    <w:div w:id="657227428">
      <w:bodyDiv w:val="1"/>
      <w:marLeft w:val="0"/>
      <w:marRight w:val="0"/>
      <w:marTop w:val="0"/>
      <w:marBottom w:val="0"/>
      <w:divBdr>
        <w:top w:val="none" w:sz="0" w:space="0" w:color="auto"/>
        <w:left w:val="none" w:sz="0" w:space="0" w:color="auto"/>
        <w:bottom w:val="none" w:sz="0" w:space="0" w:color="auto"/>
        <w:right w:val="none" w:sz="0" w:space="0" w:color="auto"/>
      </w:divBdr>
    </w:div>
    <w:div w:id="771511250">
      <w:bodyDiv w:val="1"/>
      <w:marLeft w:val="0"/>
      <w:marRight w:val="0"/>
      <w:marTop w:val="0"/>
      <w:marBottom w:val="0"/>
      <w:divBdr>
        <w:top w:val="none" w:sz="0" w:space="0" w:color="auto"/>
        <w:left w:val="none" w:sz="0" w:space="0" w:color="auto"/>
        <w:bottom w:val="none" w:sz="0" w:space="0" w:color="auto"/>
        <w:right w:val="none" w:sz="0" w:space="0" w:color="auto"/>
      </w:divBdr>
    </w:div>
    <w:div w:id="814758197">
      <w:bodyDiv w:val="1"/>
      <w:marLeft w:val="0"/>
      <w:marRight w:val="0"/>
      <w:marTop w:val="0"/>
      <w:marBottom w:val="0"/>
      <w:divBdr>
        <w:top w:val="none" w:sz="0" w:space="0" w:color="auto"/>
        <w:left w:val="none" w:sz="0" w:space="0" w:color="auto"/>
        <w:bottom w:val="none" w:sz="0" w:space="0" w:color="auto"/>
        <w:right w:val="none" w:sz="0" w:space="0" w:color="auto"/>
      </w:divBdr>
    </w:div>
    <w:div w:id="1262638939">
      <w:bodyDiv w:val="1"/>
      <w:marLeft w:val="0"/>
      <w:marRight w:val="0"/>
      <w:marTop w:val="0"/>
      <w:marBottom w:val="0"/>
      <w:divBdr>
        <w:top w:val="none" w:sz="0" w:space="0" w:color="auto"/>
        <w:left w:val="none" w:sz="0" w:space="0" w:color="auto"/>
        <w:bottom w:val="none" w:sz="0" w:space="0" w:color="auto"/>
        <w:right w:val="none" w:sz="0" w:space="0" w:color="auto"/>
      </w:divBdr>
    </w:div>
    <w:div w:id="1305086447">
      <w:bodyDiv w:val="1"/>
      <w:marLeft w:val="0"/>
      <w:marRight w:val="0"/>
      <w:marTop w:val="0"/>
      <w:marBottom w:val="0"/>
      <w:divBdr>
        <w:top w:val="none" w:sz="0" w:space="0" w:color="auto"/>
        <w:left w:val="none" w:sz="0" w:space="0" w:color="auto"/>
        <w:bottom w:val="none" w:sz="0" w:space="0" w:color="auto"/>
        <w:right w:val="none" w:sz="0" w:space="0" w:color="auto"/>
      </w:divBdr>
    </w:div>
    <w:div w:id="1556894842">
      <w:bodyDiv w:val="1"/>
      <w:marLeft w:val="0"/>
      <w:marRight w:val="0"/>
      <w:marTop w:val="0"/>
      <w:marBottom w:val="0"/>
      <w:divBdr>
        <w:top w:val="none" w:sz="0" w:space="0" w:color="auto"/>
        <w:left w:val="none" w:sz="0" w:space="0" w:color="auto"/>
        <w:bottom w:val="none" w:sz="0" w:space="0" w:color="auto"/>
        <w:right w:val="none" w:sz="0" w:space="0" w:color="auto"/>
      </w:divBdr>
    </w:div>
    <w:div w:id="1603223639">
      <w:bodyDiv w:val="1"/>
      <w:marLeft w:val="0"/>
      <w:marRight w:val="0"/>
      <w:marTop w:val="0"/>
      <w:marBottom w:val="0"/>
      <w:divBdr>
        <w:top w:val="none" w:sz="0" w:space="0" w:color="auto"/>
        <w:left w:val="none" w:sz="0" w:space="0" w:color="auto"/>
        <w:bottom w:val="none" w:sz="0" w:space="0" w:color="auto"/>
        <w:right w:val="none" w:sz="0" w:space="0" w:color="auto"/>
      </w:divBdr>
    </w:div>
    <w:div w:id="1642033384">
      <w:bodyDiv w:val="1"/>
      <w:marLeft w:val="0"/>
      <w:marRight w:val="0"/>
      <w:marTop w:val="0"/>
      <w:marBottom w:val="0"/>
      <w:divBdr>
        <w:top w:val="none" w:sz="0" w:space="0" w:color="auto"/>
        <w:left w:val="none" w:sz="0" w:space="0" w:color="auto"/>
        <w:bottom w:val="none" w:sz="0" w:space="0" w:color="auto"/>
        <w:right w:val="none" w:sz="0" w:space="0" w:color="auto"/>
      </w:divBdr>
    </w:div>
    <w:div w:id="1686008335">
      <w:bodyDiv w:val="1"/>
      <w:marLeft w:val="0"/>
      <w:marRight w:val="0"/>
      <w:marTop w:val="0"/>
      <w:marBottom w:val="0"/>
      <w:divBdr>
        <w:top w:val="none" w:sz="0" w:space="0" w:color="auto"/>
        <w:left w:val="none" w:sz="0" w:space="0" w:color="auto"/>
        <w:bottom w:val="none" w:sz="0" w:space="0" w:color="auto"/>
        <w:right w:val="none" w:sz="0" w:space="0" w:color="auto"/>
      </w:divBdr>
    </w:div>
    <w:div w:id="1802117771">
      <w:bodyDiv w:val="1"/>
      <w:marLeft w:val="0"/>
      <w:marRight w:val="0"/>
      <w:marTop w:val="0"/>
      <w:marBottom w:val="0"/>
      <w:divBdr>
        <w:top w:val="none" w:sz="0" w:space="0" w:color="auto"/>
        <w:left w:val="none" w:sz="0" w:space="0" w:color="auto"/>
        <w:bottom w:val="none" w:sz="0" w:space="0" w:color="auto"/>
        <w:right w:val="none" w:sz="0" w:space="0" w:color="auto"/>
      </w:divBdr>
    </w:div>
    <w:div w:id="1816993593">
      <w:bodyDiv w:val="1"/>
      <w:marLeft w:val="0"/>
      <w:marRight w:val="0"/>
      <w:marTop w:val="0"/>
      <w:marBottom w:val="0"/>
      <w:divBdr>
        <w:top w:val="none" w:sz="0" w:space="0" w:color="auto"/>
        <w:left w:val="none" w:sz="0" w:space="0" w:color="auto"/>
        <w:bottom w:val="none" w:sz="0" w:space="0" w:color="auto"/>
        <w:right w:val="none" w:sz="0" w:space="0" w:color="auto"/>
      </w:divBdr>
    </w:div>
    <w:div w:id="1979872009">
      <w:bodyDiv w:val="1"/>
      <w:marLeft w:val="0"/>
      <w:marRight w:val="0"/>
      <w:marTop w:val="0"/>
      <w:marBottom w:val="0"/>
      <w:divBdr>
        <w:top w:val="none" w:sz="0" w:space="0" w:color="auto"/>
        <w:left w:val="none" w:sz="0" w:space="0" w:color="auto"/>
        <w:bottom w:val="none" w:sz="0" w:space="0" w:color="auto"/>
        <w:right w:val="none" w:sz="0" w:space="0" w:color="auto"/>
      </w:divBdr>
    </w:div>
    <w:div w:id="20594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3744</Words>
  <Characters>24783</Characters>
  <Application>Microsoft Office Word</Application>
  <DocSecurity>0</DocSecurity>
  <Lines>206</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2024071239 pkt. 4.1, 4.2, 4.4, 4.5, 4.6, 4.7, 4.8, 4.9, 5.1, 5.2, 6.4, 6.6</dc:description>
  <cp:lastModifiedBy>Lea Daugaard Kristiansen</cp:lastModifiedBy>
  <cp:revision>4</cp:revision>
  <cp:lastPrinted>2012-08-22T08:53:00Z</cp:lastPrinted>
  <dcterms:created xsi:type="dcterms:W3CDTF">2025-04-02T06:44:00Z</dcterms:created>
  <dcterms:modified xsi:type="dcterms:W3CDTF">2025-04-07T12:59:00Z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