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5B1" w:rsidRPr="00C84483" w:rsidRDefault="002F45B1" w:rsidP="002F45B1">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136D2CF" wp14:editId="5F424C7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45B1" w:rsidRPr="00C84483" w:rsidRDefault="002F45B1" w:rsidP="002F45B1">
      <w:pPr>
        <w:pStyle w:val="Titel"/>
        <w:tabs>
          <w:tab w:val="right" w:pos="9356"/>
        </w:tabs>
        <w:jc w:val="left"/>
        <w:rPr>
          <w:b w:val="0"/>
          <w:szCs w:val="24"/>
          <w:lang w:eastAsia="en-US"/>
        </w:rPr>
      </w:pPr>
      <w:r w:rsidRPr="00C84483">
        <w:rPr>
          <w:b w:val="0"/>
          <w:szCs w:val="24"/>
          <w:lang w:eastAsia="en-US"/>
        </w:rPr>
        <w:tab/>
      </w:r>
      <w:r w:rsidR="00873CD3">
        <w:rPr>
          <w:szCs w:val="24"/>
          <w:lang w:eastAsia="en-US"/>
        </w:rPr>
        <w:t>23</w:t>
      </w:r>
      <w:r w:rsidR="002B1FA6">
        <w:rPr>
          <w:szCs w:val="24"/>
          <w:lang w:eastAsia="en-US"/>
        </w:rPr>
        <w:t xml:space="preserve">. </w:t>
      </w:r>
      <w:r w:rsidR="00873CD3">
        <w:rPr>
          <w:szCs w:val="24"/>
          <w:lang w:eastAsia="en-US"/>
        </w:rPr>
        <w:t>januar</w:t>
      </w:r>
      <w:r w:rsidR="002B1FA6">
        <w:rPr>
          <w:szCs w:val="24"/>
          <w:lang w:eastAsia="en-US"/>
        </w:rPr>
        <w:t xml:space="preserve"> 202</w:t>
      </w:r>
      <w:r w:rsidR="00873CD3">
        <w:rPr>
          <w:szCs w:val="24"/>
          <w:lang w:eastAsia="en-US"/>
        </w:rPr>
        <w:t>4</w:t>
      </w:r>
    </w:p>
    <w:p w:rsidR="002F45B1" w:rsidRPr="00C84483" w:rsidRDefault="002F45B1" w:rsidP="002F45B1">
      <w:pPr>
        <w:pStyle w:val="Titel"/>
        <w:jc w:val="left"/>
        <w:rPr>
          <w:b w:val="0"/>
          <w:szCs w:val="24"/>
        </w:rPr>
      </w:pPr>
    </w:p>
    <w:p w:rsidR="002F45B1" w:rsidRPr="00C84483" w:rsidRDefault="002F45B1" w:rsidP="002F45B1">
      <w:pPr>
        <w:pStyle w:val="Titel"/>
        <w:jc w:val="left"/>
        <w:rPr>
          <w:b w:val="0"/>
          <w:szCs w:val="24"/>
        </w:rPr>
      </w:pPr>
    </w:p>
    <w:p w:rsidR="002F45B1" w:rsidRPr="00C84483" w:rsidRDefault="002F45B1" w:rsidP="002F45B1">
      <w:pPr>
        <w:jc w:val="center"/>
        <w:rPr>
          <w:b/>
          <w:sz w:val="24"/>
          <w:szCs w:val="24"/>
        </w:rPr>
      </w:pPr>
      <w:r w:rsidRPr="00C84483">
        <w:rPr>
          <w:b/>
          <w:sz w:val="24"/>
          <w:szCs w:val="24"/>
        </w:rPr>
        <w:t>PRODUKTRESUMÉ</w:t>
      </w:r>
    </w:p>
    <w:p w:rsidR="002F45B1" w:rsidRPr="00C84483" w:rsidRDefault="002F45B1" w:rsidP="002F45B1">
      <w:pPr>
        <w:jc w:val="center"/>
        <w:rPr>
          <w:b/>
          <w:sz w:val="24"/>
          <w:szCs w:val="24"/>
        </w:rPr>
      </w:pPr>
    </w:p>
    <w:p w:rsidR="002F45B1" w:rsidRDefault="002F45B1" w:rsidP="002F45B1">
      <w:pPr>
        <w:jc w:val="center"/>
        <w:rPr>
          <w:b/>
          <w:sz w:val="24"/>
          <w:szCs w:val="24"/>
        </w:rPr>
      </w:pPr>
      <w:r w:rsidRPr="00C84483">
        <w:rPr>
          <w:b/>
          <w:sz w:val="24"/>
          <w:szCs w:val="24"/>
        </w:rPr>
        <w:t>for</w:t>
      </w:r>
    </w:p>
    <w:p w:rsidR="002F45B1" w:rsidRPr="00C84483" w:rsidRDefault="002F45B1" w:rsidP="002F45B1">
      <w:pPr>
        <w:jc w:val="center"/>
        <w:rPr>
          <w:b/>
          <w:sz w:val="24"/>
          <w:szCs w:val="24"/>
        </w:rPr>
      </w:pPr>
    </w:p>
    <w:p w:rsidR="002F45B1" w:rsidRPr="00C84483" w:rsidRDefault="002F45B1" w:rsidP="002F45B1">
      <w:pPr>
        <w:jc w:val="center"/>
        <w:rPr>
          <w:b/>
          <w:sz w:val="24"/>
          <w:szCs w:val="24"/>
        </w:rPr>
      </w:pPr>
      <w:proofErr w:type="spellStart"/>
      <w:r>
        <w:rPr>
          <w:b/>
          <w:sz w:val="24"/>
          <w:szCs w:val="24"/>
        </w:rPr>
        <w:t>Irinotecan</w:t>
      </w:r>
      <w:proofErr w:type="spellEnd"/>
      <w:r>
        <w:rPr>
          <w:b/>
          <w:sz w:val="24"/>
          <w:szCs w:val="24"/>
        </w:rPr>
        <w:t xml:space="preserve"> "</w:t>
      </w:r>
      <w:proofErr w:type="spellStart"/>
      <w:r>
        <w:rPr>
          <w:b/>
          <w:sz w:val="24"/>
          <w:szCs w:val="24"/>
        </w:rPr>
        <w:t>Accord</w:t>
      </w:r>
      <w:proofErr w:type="spellEnd"/>
      <w:r>
        <w:rPr>
          <w:b/>
          <w:sz w:val="24"/>
          <w:szCs w:val="24"/>
        </w:rPr>
        <w:t>", koncentrat til infusionsvæske, opløsning</w:t>
      </w:r>
    </w:p>
    <w:p w:rsidR="002F45B1" w:rsidRPr="00C84483" w:rsidRDefault="002F45B1" w:rsidP="002F45B1">
      <w:pPr>
        <w:jc w:val="both"/>
        <w:rPr>
          <w:sz w:val="24"/>
          <w:szCs w:val="24"/>
        </w:rPr>
      </w:pPr>
    </w:p>
    <w:p w:rsidR="002F45B1" w:rsidRPr="00C84483" w:rsidRDefault="002F45B1" w:rsidP="002F45B1">
      <w:pPr>
        <w:jc w:val="both"/>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0.</w:t>
      </w:r>
      <w:r w:rsidRPr="00C84483">
        <w:rPr>
          <w:b/>
          <w:sz w:val="24"/>
          <w:szCs w:val="24"/>
        </w:rPr>
        <w:tab/>
        <w:t>D.SP.NR.</w:t>
      </w:r>
    </w:p>
    <w:p w:rsidR="002F45B1" w:rsidRPr="00C84483" w:rsidRDefault="002F45B1" w:rsidP="002F45B1">
      <w:pPr>
        <w:tabs>
          <w:tab w:val="left" w:pos="851"/>
        </w:tabs>
        <w:ind w:left="851"/>
        <w:rPr>
          <w:sz w:val="24"/>
          <w:szCs w:val="24"/>
        </w:rPr>
      </w:pPr>
      <w:r>
        <w:rPr>
          <w:sz w:val="24"/>
          <w:szCs w:val="24"/>
        </w:rPr>
        <w:t>29763</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1.</w:t>
      </w:r>
      <w:r w:rsidRPr="00C84483">
        <w:rPr>
          <w:b/>
          <w:sz w:val="24"/>
          <w:szCs w:val="24"/>
        </w:rPr>
        <w:tab/>
        <w:t>LÆGEMIDLETS NAVN</w:t>
      </w:r>
    </w:p>
    <w:p w:rsidR="002F45B1" w:rsidRPr="00C84483" w:rsidRDefault="002F45B1" w:rsidP="002F45B1">
      <w:pPr>
        <w:tabs>
          <w:tab w:val="left" w:pos="851"/>
        </w:tabs>
        <w:ind w:left="851"/>
        <w:rPr>
          <w:sz w:val="24"/>
          <w:szCs w:val="24"/>
        </w:rPr>
      </w:pPr>
      <w:proofErr w:type="spellStart"/>
      <w:r>
        <w:rPr>
          <w:sz w:val="24"/>
          <w:szCs w:val="24"/>
        </w:rPr>
        <w:t>Irinotecan</w:t>
      </w:r>
      <w:proofErr w:type="spellEnd"/>
      <w:r>
        <w:rPr>
          <w:sz w:val="24"/>
          <w:szCs w:val="24"/>
        </w:rPr>
        <w:t xml:space="preserve"> "</w:t>
      </w:r>
      <w:proofErr w:type="spellStart"/>
      <w:r>
        <w:rPr>
          <w:sz w:val="24"/>
          <w:szCs w:val="24"/>
        </w:rPr>
        <w:t>Accord</w:t>
      </w:r>
      <w:proofErr w:type="spellEnd"/>
      <w:r>
        <w:rPr>
          <w:sz w:val="24"/>
          <w:szCs w:val="24"/>
        </w:rPr>
        <w:t>"</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F45B1" w:rsidRPr="00403ACE" w:rsidRDefault="002F45B1" w:rsidP="002F45B1">
      <w:pPr>
        <w:shd w:val="clear" w:color="auto" w:fill="FFFFFF"/>
        <w:autoSpaceDE w:val="0"/>
        <w:autoSpaceDN w:val="0"/>
        <w:adjustRightInd w:val="0"/>
        <w:ind w:left="851"/>
        <w:rPr>
          <w:sz w:val="24"/>
          <w:szCs w:val="24"/>
          <w:shd w:val="clear" w:color="000000" w:fill="auto"/>
          <w:lang w:eastAsia="da-DK"/>
        </w:rPr>
      </w:pPr>
      <w:r w:rsidRPr="00403ACE">
        <w:rPr>
          <w:sz w:val="24"/>
          <w:szCs w:val="24"/>
          <w:lang w:eastAsia="da-DK"/>
        </w:rPr>
        <w:t xml:space="preserve">En ml koncentrat indeholder 20 mg </w:t>
      </w:r>
      <w:proofErr w:type="spellStart"/>
      <w:r w:rsidRPr="00403ACE">
        <w:rPr>
          <w:sz w:val="24"/>
          <w:szCs w:val="24"/>
          <w:lang w:eastAsia="da-DK"/>
        </w:rPr>
        <w:t>irinotecanhydrochloridtrihydrat</w:t>
      </w:r>
      <w:proofErr w:type="spellEnd"/>
      <w:r w:rsidRPr="00403ACE">
        <w:rPr>
          <w:sz w:val="24"/>
          <w:szCs w:val="24"/>
          <w:lang w:eastAsia="da-DK"/>
        </w:rPr>
        <w:t xml:space="preserve"> svarende til 17,33 mg </w:t>
      </w:r>
      <w:proofErr w:type="spellStart"/>
      <w:r w:rsidRPr="00403ACE">
        <w:rPr>
          <w:sz w:val="24"/>
          <w:szCs w:val="24"/>
          <w:lang w:eastAsia="da-DK"/>
        </w:rPr>
        <w:t>irinotecan</w:t>
      </w:r>
      <w:proofErr w:type="spellEnd"/>
      <w:r w:rsidRPr="00403ACE">
        <w:rPr>
          <w:sz w:val="24"/>
          <w:szCs w:val="24"/>
          <w:lang w:eastAsia="da-DK"/>
        </w:rPr>
        <w:t xml:space="preserve">. </w:t>
      </w:r>
    </w:p>
    <w:p w:rsidR="002F45B1" w:rsidRPr="00403ACE" w:rsidRDefault="002F45B1" w:rsidP="002F45B1">
      <w:pPr>
        <w:shd w:val="clear" w:color="auto" w:fill="FFFFFF"/>
        <w:autoSpaceDE w:val="0"/>
        <w:autoSpaceDN w:val="0"/>
        <w:adjustRightInd w:val="0"/>
        <w:ind w:left="851"/>
        <w:rPr>
          <w:sz w:val="24"/>
          <w:szCs w:val="24"/>
          <w:shd w:val="clear" w:color="000000" w:fill="auto"/>
          <w:lang w:eastAsia="da-DK"/>
        </w:rPr>
      </w:pPr>
    </w:p>
    <w:p w:rsidR="002F45B1" w:rsidRDefault="002F45B1" w:rsidP="00941E1F">
      <w:pPr>
        <w:shd w:val="clear" w:color="auto" w:fill="FFFFFF"/>
        <w:autoSpaceDE w:val="0"/>
        <w:autoSpaceDN w:val="0"/>
        <w:adjustRightInd w:val="0"/>
        <w:ind w:left="851"/>
        <w:rPr>
          <w:sz w:val="24"/>
          <w:szCs w:val="24"/>
          <w:lang w:eastAsia="da-DK"/>
        </w:rPr>
      </w:pPr>
      <w:r w:rsidRPr="00403ACE">
        <w:rPr>
          <w:sz w:val="24"/>
          <w:szCs w:val="24"/>
          <w:lang w:eastAsia="da-DK"/>
        </w:rPr>
        <w:t xml:space="preserve">Hvert hætteglas med 2 ml indeholder 40 mg </w:t>
      </w:r>
      <w:proofErr w:type="spellStart"/>
      <w:r w:rsidRPr="00403ACE">
        <w:rPr>
          <w:sz w:val="24"/>
          <w:szCs w:val="24"/>
          <w:lang w:eastAsia="da-DK"/>
        </w:rPr>
        <w:t>irinotecanhydrochloridtrihydrat</w:t>
      </w:r>
      <w:proofErr w:type="spellEnd"/>
      <w:r w:rsidRPr="00403ACE">
        <w:rPr>
          <w:sz w:val="24"/>
          <w:szCs w:val="24"/>
          <w:lang w:eastAsia="da-DK"/>
        </w:rPr>
        <w:t xml:space="preserve"> (40 mg/2 ml)</w:t>
      </w:r>
    </w:p>
    <w:p w:rsidR="002F45B1" w:rsidRDefault="002F45B1" w:rsidP="00941E1F">
      <w:pPr>
        <w:shd w:val="clear" w:color="auto" w:fill="FFFFFF"/>
        <w:autoSpaceDE w:val="0"/>
        <w:autoSpaceDN w:val="0"/>
        <w:adjustRightInd w:val="0"/>
        <w:ind w:left="851"/>
        <w:rPr>
          <w:sz w:val="24"/>
          <w:szCs w:val="24"/>
          <w:lang w:eastAsia="da-DK"/>
        </w:rPr>
      </w:pPr>
      <w:r w:rsidRPr="00403ACE">
        <w:rPr>
          <w:sz w:val="24"/>
          <w:szCs w:val="24"/>
          <w:lang w:eastAsia="da-DK"/>
        </w:rPr>
        <w:t xml:space="preserve">Hvert hætteglas med 5 ml indeholder 100 mg </w:t>
      </w:r>
      <w:proofErr w:type="spellStart"/>
      <w:r w:rsidRPr="00403ACE">
        <w:rPr>
          <w:sz w:val="24"/>
          <w:szCs w:val="24"/>
          <w:lang w:eastAsia="da-DK"/>
        </w:rPr>
        <w:t>irinotecanhydrochloridtrihydrat</w:t>
      </w:r>
      <w:proofErr w:type="spellEnd"/>
      <w:r w:rsidRPr="00403ACE">
        <w:rPr>
          <w:sz w:val="24"/>
          <w:szCs w:val="24"/>
          <w:lang w:eastAsia="da-DK"/>
        </w:rPr>
        <w:t xml:space="preserve"> (100</w:t>
      </w:r>
      <w:r w:rsidR="00941E1F">
        <w:rPr>
          <w:sz w:val="24"/>
          <w:szCs w:val="24"/>
          <w:lang w:eastAsia="da-DK"/>
        </w:rPr>
        <w:t> </w:t>
      </w:r>
      <w:r w:rsidRPr="00403ACE">
        <w:rPr>
          <w:sz w:val="24"/>
          <w:szCs w:val="24"/>
          <w:lang w:eastAsia="da-DK"/>
        </w:rPr>
        <w:t>mg/5</w:t>
      </w:r>
      <w:r w:rsidR="00941E1F">
        <w:rPr>
          <w:sz w:val="24"/>
          <w:szCs w:val="24"/>
          <w:lang w:eastAsia="da-DK"/>
        </w:rPr>
        <w:t> </w:t>
      </w:r>
      <w:r w:rsidRPr="00403ACE">
        <w:rPr>
          <w:sz w:val="24"/>
          <w:szCs w:val="24"/>
          <w:lang w:eastAsia="da-DK"/>
        </w:rPr>
        <w:t>ml)</w:t>
      </w:r>
    </w:p>
    <w:p w:rsidR="002F45B1" w:rsidRDefault="002F45B1" w:rsidP="00941E1F">
      <w:pPr>
        <w:shd w:val="clear" w:color="auto" w:fill="FFFFFF"/>
        <w:autoSpaceDE w:val="0"/>
        <w:autoSpaceDN w:val="0"/>
        <w:adjustRightInd w:val="0"/>
        <w:ind w:left="851"/>
        <w:rPr>
          <w:sz w:val="24"/>
          <w:szCs w:val="24"/>
          <w:lang w:eastAsia="da-DK"/>
        </w:rPr>
      </w:pPr>
      <w:r w:rsidRPr="00403ACE">
        <w:rPr>
          <w:sz w:val="24"/>
          <w:szCs w:val="24"/>
          <w:lang w:eastAsia="da-DK"/>
        </w:rPr>
        <w:t xml:space="preserve">Hvert hætteglas med 15 ml indeholder 300 mg </w:t>
      </w:r>
      <w:proofErr w:type="spellStart"/>
      <w:r w:rsidRPr="00403ACE">
        <w:rPr>
          <w:sz w:val="24"/>
          <w:szCs w:val="24"/>
          <w:lang w:eastAsia="da-DK"/>
        </w:rPr>
        <w:t>irinotecanhydrochloridtrihydrat</w:t>
      </w:r>
      <w:proofErr w:type="spellEnd"/>
      <w:r w:rsidRPr="00403ACE">
        <w:rPr>
          <w:sz w:val="24"/>
          <w:szCs w:val="24"/>
          <w:lang w:eastAsia="da-DK"/>
        </w:rPr>
        <w:t xml:space="preserve"> (300</w:t>
      </w:r>
      <w:r w:rsidR="00941E1F">
        <w:rPr>
          <w:sz w:val="24"/>
          <w:szCs w:val="24"/>
          <w:lang w:eastAsia="da-DK"/>
        </w:rPr>
        <w:t> </w:t>
      </w:r>
      <w:r w:rsidRPr="00403ACE">
        <w:rPr>
          <w:sz w:val="24"/>
          <w:szCs w:val="24"/>
          <w:lang w:eastAsia="da-DK"/>
        </w:rPr>
        <w:t>mg/15</w:t>
      </w:r>
      <w:r w:rsidR="00941E1F">
        <w:rPr>
          <w:sz w:val="24"/>
          <w:szCs w:val="24"/>
          <w:lang w:eastAsia="da-DK"/>
        </w:rPr>
        <w:t> </w:t>
      </w:r>
      <w:r w:rsidRPr="00403ACE">
        <w:rPr>
          <w:sz w:val="24"/>
          <w:szCs w:val="24"/>
          <w:lang w:eastAsia="da-DK"/>
        </w:rPr>
        <w:t>ml)</w:t>
      </w:r>
    </w:p>
    <w:p w:rsidR="002F45B1" w:rsidRDefault="002F45B1" w:rsidP="00941E1F">
      <w:pPr>
        <w:shd w:val="clear" w:color="auto" w:fill="FFFFFF"/>
        <w:autoSpaceDE w:val="0"/>
        <w:autoSpaceDN w:val="0"/>
        <w:adjustRightInd w:val="0"/>
        <w:ind w:left="851"/>
        <w:rPr>
          <w:sz w:val="24"/>
          <w:szCs w:val="24"/>
          <w:lang w:eastAsia="da-DK"/>
        </w:rPr>
      </w:pPr>
      <w:r w:rsidRPr="00403ACE">
        <w:rPr>
          <w:sz w:val="24"/>
          <w:szCs w:val="24"/>
          <w:lang w:eastAsia="da-DK"/>
        </w:rPr>
        <w:t xml:space="preserve">Hvert hætteglas med 25 ml indeholder 500 mg </w:t>
      </w:r>
      <w:proofErr w:type="spellStart"/>
      <w:r w:rsidRPr="00403ACE">
        <w:rPr>
          <w:sz w:val="24"/>
          <w:szCs w:val="24"/>
          <w:lang w:eastAsia="da-DK"/>
        </w:rPr>
        <w:t>irinotecanhydrochloridtrihydrat</w:t>
      </w:r>
      <w:proofErr w:type="spellEnd"/>
      <w:r w:rsidRPr="00403ACE">
        <w:rPr>
          <w:sz w:val="24"/>
          <w:szCs w:val="24"/>
          <w:lang w:eastAsia="da-DK"/>
        </w:rPr>
        <w:t xml:space="preserve"> (500</w:t>
      </w:r>
      <w:r w:rsidR="00941E1F">
        <w:rPr>
          <w:sz w:val="24"/>
          <w:szCs w:val="24"/>
          <w:lang w:eastAsia="da-DK"/>
        </w:rPr>
        <w:t> </w:t>
      </w:r>
      <w:r w:rsidRPr="00403ACE">
        <w:rPr>
          <w:sz w:val="24"/>
          <w:szCs w:val="24"/>
          <w:lang w:eastAsia="da-DK"/>
        </w:rPr>
        <w:t>mg/25</w:t>
      </w:r>
      <w:r w:rsidR="00941E1F">
        <w:rPr>
          <w:sz w:val="24"/>
          <w:szCs w:val="24"/>
          <w:lang w:eastAsia="da-DK"/>
        </w:rPr>
        <w:t> </w:t>
      </w:r>
      <w:r w:rsidRPr="00403ACE">
        <w:rPr>
          <w:sz w:val="24"/>
          <w:szCs w:val="24"/>
          <w:lang w:eastAsia="da-DK"/>
        </w:rPr>
        <w:t>ml)</w:t>
      </w:r>
    </w:p>
    <w:p w:rsidR="008166BA" w:rsidRPr="008166BA" w:rsidRDefault="008166BA" w:rsidP="00941E1F">
      <w:pPr>
        <w:shd w:val="clear" w:color="auto" w:fill="FFFFFF"/>
        <w:autoSpaceDE w:val="0"/>
        <w:autoSpaceDN w:val="0"/>
        <w:adjustRightInd w:val="0"/>
        <w:ind w:left="851"/>
        <w:rPr>
          <w:sz w:val="24"/>
          <w:szCs w:val="24"/>
          <w:lang w:eastAsia="da-DK"/>
        </w:rPr>
      </w:pPr>
      <w:r>
        <w:rPr>
          <w:sz w:val="24"/>
          <w:szCs w:val="24"/>
          <w:lang w:eastAsia="da-DK"/>
        </w:rPr>
        <w:t xml:space="preserve">Hvert hætteglas med 50 ml indeholder 1000 mg </w:t>
      </w:r>
      <w:proofErr w:type="spellStart"/>
      <w:r>
        <w:rPr>
          <w:sz w:val="24"/>
          <w:szCs w:val="24"/>
          <w:lang w:eastAsia="da-DK"/>
        </w:rPr>
        <w:t>irinotecanhydrochloridtrihydrat</w:t>
      </w:r>
      <w:proofErr w:type="spellEnd"/>
      <w:r>
        <w:rPr>
          <w:sz w:val="24"/>
          <w:szCs w:val="24"/>
          <w:lang w:eastAsia="da-DK"/>
        </w:rPr>
        <w:t xml:space="preserve"> (1000</w:t>
      </w:r>
      <w:r w:rsidR="00941E1F">
        <w:rPr>
          <w:sz w:val="24"/>
          <w:szCs w:val="24"/>
          <w:lang w:eastAsia="da-DK"/>
        </w:rPr>
        <w:t> </w:t>
      </w:r>
      <w:r>
        <w:rPr>
          <w:sz w:val="24"/>
          <w:szCs w:val="24"/>
          <w:lang w:eastAsia="da-DK"/>
        </w:rPr>
        <w:t>mg/50 ml)</w:t>
      </w:r>
    </w:p>
    <w:p w:rsidR="002F45B1" w:rsidRPr="00403ACE" w:rsidRDefault="002F45B1" w:rsidP="002F45B1">
      <w:pPr>
        <w:shd w:val="clear" w:color="auto" w:fill="FFFFFF"/>
        <w:tabs>
          <w:tab w:val="left" w:pos="810"/>
        </w:tabs>
        <w:autoSpaceDE w:val="0"/>
        <w:autoSpaceDN w:val="0"/>
        <w:adjustRightInd w:val="0"/>
        <w:ind w:left="851"/>
        <w:rPr>
          <w:sz w:val="24"/>
          <w:szCs w:val="24"/>
          <w:shd w:val="clear" w:color="000000" w:fill="auto"/>
          <w:lang w:eastAsia="da-DK"/>
        </w:rPr>
      </w:pPr>
    </w:p>
    <w:p w:rsidR="002F45B1" w:rsidRPr="00403ACE" w:rsidRDefault="002F45B1" w:rsidP="002F45B1">
      <w:pPr>
        <w:ind w:left="851"/>
        <w:rPr>
          <w:sz w:val="24"/>
          <w:szCs w:val="24"/>
          <w:u w:val="single"/>
          <w:lang w:eastAsia="da-DK"/>
        </w:rPr>
      </w:pPr>
      <w:r w:rsidRPr="00403ACE">
        <w:rPr>
          <w:sz w:val="24"/>
          <w:szCs w:val="24"/>
          <w:u w:val="single"/>
          <w:lang w:eastAsia="da-DK"/>
        </w:rPr>
        <w:t>Hjælpestof, som behandleren skal være opmærksom på</w:t>
      </w:r>
    </w:p>
    <w:p w:rsidR="002F45B1" w:rsidRPr="00403ACE" w:rsidRDefault="002F45B1" w:rsidP="002F45B1">
      <w:pPr>
        <w:ind w:left="851"/>
        <w:rPr>
          <w:sz w:val="24"/>
          <w:szCs w:val="24"/>
          <w:lang w:eastAsia="da-DK"/>
        </w:rPr>
      </w:pPr>
      <w:r w:rsidRPr="00403ACE">
        <w:rPr>
          <w:sz w:val="24"/>
          <w:szCs w:val="24"/>
          <w:lang w:eastAsia="da-DK"/>
        </w:rPr>
        <w:t>Hver ml indeholder 45 mg sorbitol.</w:t>
      </w:r>
    </w:p>
    <w:p w:rsidR="002F45B1" w:rsidRPr="00403ACE" w:rsidRDefault="002F45B1" w:rsidP="002F45B1">
      <w:pPr>
        <w:shd w:val="clear" w:color="auto" w:fill="FFFFFF"/>
        <w:tabs>
          <w:tab w:val="left" w:pos="600"/>
        </w:tabs>
        <w:ind w:left="851"/>
        <w:rPr>
          <w:sz w:val="24"/>
          <w:szCs w:val="24"/>
          <w:shd w:val="clear" w:color="000000" w:fill="auto"/>
          <w:lang w:eastAsia="da-DK"/>
        </w:rPr>
      </w:pPr>
    </w:p>
    <w:p w:rsidR="002F45B1" w:rsidRPr="00A13D69" w:rsidRDefault="002F45B1" w:rsidP="002F45B1">
      <w:pPr>
        <w:shd w:val="clear" w:color="auto" w:fill="FFFFFF"/>
        <w:tabs>
          <w:tab w:val="left" w:pos="851"/>
        </w:tabs>
        <w:autoSpaceDE w:val="0"/>
        <w:autoSpaceDN w:val="0"/>
        <w:adjustRightInd w:val="0"/>
        <w:ind w:left="851"/>
        <w:rPr>
          <w:sz w:val="24"/>
          <w:szCs w:val="24"/>
          <w:shd w:val="clear" w:color="000000" w:fill="auto"/>
          <w:lang w:eastAsia="da-DK"/>
        </w:rPr>
      </w:pPr>
      <w:r w:rsidRPr="00403ACE">
        <w:rPr>
          <w:sz w:val="24"/>
          <w:szCs w:val="24"/>
          <w:lang w:eastAsia="da-DK"/>
        </w:rPr>
        <w:t>Alle hjælpestoffer er anført under pkt. 6.1.</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3.</w:t>
      </w:r>
      <w:r w:rsidRPr="00C84483">
        <w:rPr>
          <w:b/>
          <w:sz w:val="24"/>
          <w:szCs w:val="24"/>
        </w:rPr>
        <w:tab/>
        <w:t>LÆGEMIDDELFORM</w:t>
      </w:r>
    </w:p>
    <w:p w:rsidR="002F45B1" w:rsidRPr="00502688" w:rsidRDefault="002F45B1" w:rsidP="002F45B1">
      <w:pPr>
        <w:pStyle w:val="Normalindrykning"/>
        <w:spacing w:after="0"/>
        <w:ind w:left="851"/>
        <w:rPr>
          <w:sz w:val="24"/>
          <w:szCs w:val="24"/>
        </w:rPr>
      </w:pPr>
      <w:r w:rsidRPr="00502688">
        <w:rPr>
          <w:sz w:val="24"/>
          <w:szCs w:val="24"/>
        </w:rPr>
        <w:t>Koncentrat</w:t>
      </w:r>
      <w:r>
        <w:rPr>
          <w:sz w:val="24"/>
          <w:szCs w:val="24"/>
        </w:rPr>
        <w:t xml:space="preserve"> til infusionsvæske, opløsning</w:t>
      </w:r>
    </w:p>
    <w:p w:rsidR="002F45B1" w:rsidRPr="00502688" w:rsidRDefault="002F45B1" w:rsidP="002F45B1">
      <w:pPr>
        <w:pStyle w:val="Normalindrykning"/>
        <w:spacing w:after="0"/>
        <w:ind w:left="851"/>
        <w:rPr>
          <w:sz w:val="24"/>
          <w:szCs w:val="24"/>
        </w:rPr>
      </w:pPr>
    </w:p>
    <w:p w:rsidR="002F45B1" w:rsidRDefault="002F45B1" w:rsidP="002F45B1">
      <w:pPr>
        <w:pStyle w:val="Brdtekst3"/>
        <w:shd w:val="clear" w:color="auto" w:fill="FFFFFF"/>
        <w:tabs>
          <w:tab w:val="left" w:pos="600"/>
        </w:tabs>
        <w:ind w:left="851"/>
        <w:jc w:val="left"/>
        <w:rPr>
          <w:rFonts w:ascii="Times New Roman" w:hAnsi="Times New Roman" w:cs="Times New Roman"/>
          <w:szCs w:val="24"/>
        </w:rPr>
      </w:pPr>
      <w:r w:rsidRPr="00502688">
        <w:rPr>
          <w:rFonts w:ascii="Times New Roman" w:hAnsi="Times New Roman" w:cs="Times New Roman"/>
          <w:szCs w:val="24"/>
        </w:rPr>
        <w:t>En svagt gul</w:t>
      </w:r>
      <w:r>
        <w:rPr>
          <w:rFonts w:ascii="Times New Roman" w:hAnsi="Times New Roman" w:cs="Times New Roman"/>
          <w:szCs w:val="24"/>
        </w:rPr>
        <w:t>,</w:t>
      </w:r>
      <w:r w:rsidRPr="00502688">
        <w:rPr>
          <w:rFonts w:ascii="Times New Roman" w:hAnsi="Times New Roman" w:cs="Times New Roman"/>
          <w:szCs w:val="24"/>
        </w:rPr>
        <w:t xml:space="preserve"> klar opløsning praktisk taget fri for partikler.</w:t>
      </w:r>
    </w:p>
    <w:p w:rsidR="002F45B1" w:rsidRDefault="002F45B1" w:rsidP="002F45B1">
      <w:pPr>
        <w:pStyle w:val="Brdtekst3"/>
        <w:shd w:val="clear" w:color="auto" w:fill="FFFFFF"/>
        <w:tabs>
          <w:tab w:val="left" w:pos="600"/>
        </w:tabs>
        <w:ind w:left="851"/>
        <w:jc w:val="left"/>
        <w:rPr>
          <w:rFonts w:ascii="Times New Roman" w:hAnsi="Times New Roman" w:cs="Times New Roman"/>
          <w:szCs w:val="24"/>
        </w:rPr>
      </w:pPr>
      <w:r w:rsidRPr="00502688">
        <w:rPr>
          <w:rFonts w:ascii="Times New Roman" w:hAnsi="Times New Roman" w:cs="Times New Roman"/>
          <w:szCs w:val="24"/>
        </w:rPr>
        <w:t>pH i området fra ca. 3,0 til 3,8</w:t>
      </w:r>
    </w:p>
    <w:p w:rsidR="002F45B1" w:rsidRDefault="002F45B1" w:rsidP="002F45B1">
      <w:pPr>
        <w:pStyle w:val="Brdtekst3"/>
        <w:shd w:val="clear" w:color="auto" w:fill="FFFFFF"/>
        <w:tabs>
          <w:tab w:val="left" w:pos="600"/>
        </w:tabs>
        <w:ind w:left="851"/>
        <w:jc w:val="left"/>
        <w:rPr>
          <w:rFonts w:ascii="Times New Roman" w:hAnsi="Times New Roman" w:cs="Times New Roman"/>
          <w:szCs w:val="24"/>
        </w:rPr>
      </w:pPr>
      <w:proofErr w:type="spellStart"/>
      <w:r>
        <w:rPr>
          <w:rFonts w:ascii="Times New Roman" w:hAnsi="Times New Roman" w:cs="Times New Roman"/>
          <w:szCs w:val="24"/>
        </w:rPr>
        <w:t>O</w:t>
      </w:r>
      <w:r w:rsidRPr="00502688">
        <w:rPr>
          <w:rFonts w:ascii="Times New Roman" w:hAnsi="Times New Roman" w:cs="Times New Roman"/>
          <w:szCs w:val="24"/>
        </w:rPr>
        <w:t>smolalitet</w:t>
      </w:r>
      <w:proofErr w:type="spellEnd"/>
      <w:r w:rsidRPr="00502688">
        <w:rPr>
          <w:rFonts w:ascii="Times New Roman" w:hAnsi="Times New Roman" w:cs="Times New Roman"/>
          <w:szCs w:val="24"/>
        </w:rPr>
        <w:t xml:space="preserve"> i området fra ca. 270 til 330 </w:t>
      </w:r>
      <w:proofErr w:type="spellStart"/>
      <w:r w:rsidRPr="00502688">
        <w:rPr>
          <w:rFonts w:ascii="Times New Roman" w:hAnsi="Times New Roman" w:cs="Times New Roman"/>
          <w:szCs w:val="24"/>
        </w:rPr>
        <w:t>mOsmol</w:t>
      </w:r>
      <w:proofErr w:type="spellEnd"/>
      <w:r w:rsidRPr="00502688">
        <w:rPr>
          <w:rFonts w:ascii="Times New Roman" w:hAnsi="Times New Roman" w:cs="Times New Roman"/>
          <w:szCs w:val="24"/>
        </w:rPr>
        <w:t>/kg.</w:t>
      </w:r>
    </w:p>
    <w:p w:rsidR="002F45B1" w:rsidRPr="00C84483" w:rsidRDefault="002F45B1" w:rsidP="002F45B1">
      <w:pPr>
        <w:pStyle w:val="Brdtekst3"/>
        <w:shd w:val="clear" w:color="auto" w:fill="FFFFFF"/>
        <w:tabs>
          <w:tab w:val="left" w:pos="600"/>
        </w:tabs>
        <w:ind w:left="851"/>
        <w:jc w:val="left"/>
        <w:rPr>
          <w:szCs w:val="24"/>
        </w:rPr>
      </w:pPr>
    </w:p>
    <w:p w:rsidR="002F45B1" w:rsidRDefault="002F45B1" w:rsidP="002F45B1">
      <w:pPr>
        <w:rPr>
          <w:sz w:val="24"/>
          <w:szCs w:val="24"/>
        </w:rPr>
      </w:pPr>
      <w:r>
        <w:rPr>
          <w:sz w:val="24"/>
          <w:szCs w:val="24"/>
        </w:rPr>
        <w:br w:type="page"/>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4.</w:t>
      </w:r>
      <w:r w:rsidRPr="00C84483">
        <w:rPr>
          <w:b/>
          <w:sz w:val="24"/>
          <w:szCs w:val="24"/>
        </w:rPr>
        <w:tab/>
        <w:t>KLINISKE OPLYSNINGER</w:t>
      </w:r>
    </w:p>
    <w:p w:rsidR="002F45B1" w:rsidRPr="00C84483" w:rsidRDefault="002F45B1" w:rsidP="002F45B1">
      <w:pPr>
        <w:tabs>
          <w:tab w:val="left" w:pos="851"/>
        </w:tabs>
        <w:ind w:left="851"/>
        <w:rPr>
          <w:b/>
          <w:sz w:val="24"/>
          <w:szCs w:val="24"/>
        </w:rPr>
      </w:pPr>
    </w:p>
    <w:p w:rsidR="002F45B1" w:rsidRPr="00C84483" w:rsidRDefault="002F45B1" w:rsidP="002F45B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F45B1" w:rsidRPr="00E94809" w:rsidRDefault="002F45B1" w:rsidP="002F45B1">
      <w:pPr>
        <w:ind w:left="851"/>
        <w:rPr>
          <w:sz w:val="24"/>
          <w:szCs w:val="24"/>
          <w:lang w:eastAsia="da-DK"/>
        </w:rPr>
      </w:pPr>
      <w:proofErr w:type="spellStart"/>
      <w:r w:rsidRPr="00E94809">
        <w:rPr>
          <w:sz w:val="24"/>
          <w:szCs w:val="24"/>
          <w:lang w:eastAsia="da-DK"/>
        </w:rPr>
        <w:t>Irinotecan</w:t>
      </w:r>
      <w:proofErr w:type="spellEnd"/>
      <w:r w:rsidRPr="00E94809">
        <w:rPr>
          <w:sz w:val="24"/>
          <w:szCs w:val="24"/>
          <w:lang w:eastAsia="da-DK"/>
        </w:rPr>
        <w:t xml:space="preserve"> "</w:t>
      </w:r>
      <w:proofErr w:type="spellStart"/>
      <w:r w:rsidRPr="00E94809">
        <w:rPr>
          <w:sz w:val="24"/>
          <w:szCs w:val="24"/>
          <w:lang w:eastAsia="da-DK"/>
        </w:rPr>
        <w:t>Accord</w:t>
      </w:r>
      <w:proofErr w:type="spellEnd"/>
      <w:r w:rsidRPr="00E94809">
        <w:rPr>
          <w:sz w:val="24"/>
          <w:szCs w:val="24"/>
          <w:lang w:eastAsia="da-DK"/>
        </w:rPr>
        <w:t xml:space="preserve">" er indiceret til behandling af patienter med avanceret </w:t>
      </w:r>
      <w:proofErr w:type="spellStart"/>
      <w:r w:rsidRPr="00E94809">
        <w:rPr>
          <w:sz w:val="24"/>
          <w:szCs w:val="24"/>
          <w:lang w:eastAsia="da-DK"/>
        </w:rPr>
        <w:t>colorectal</w:t>
      </w:r>
      <w:proofErr w:type="spellEnd"/>
      <w:r w:rsidRPr="00E94809">
        <w:rPr>
          <w:sz w:val="24"/>
          <w:szCs w:val="24"/>
          <w:lang w:eastAsia="da-DK"/>
        </w:rPr>
        <w:t xml:space="preserve"> cancer: </w:t>
      </w:r>
    </w:p>
    <w:p w:rsidR="002F45B1" w:rsidRPr="00941E1F" w:rsidRDefault="002F45B1" w:rsidP="00941E1F">
      <w:pPr>
        <w:pStyle w:val="Listeafsnit"/>
        <w:numPr>
          <w:ilvl w:val="0"/>
          <w:numId w:val="12"/>
        </w:numPr>
        <w:ind w:left="1276" w:hanging="425"/>
      </w:pPr>
      <w:r w:rsidRPr="00941E1F">
        <w:t xml:space="preserve">I kombination med 5-fluorouracil og </w:t>
      </w:r>
      <w:proofErr w:type="spellStart"/>
      <w:r w:rsidRPr="00941E1F">
        <w:t>folininsyre</w:t>
      </w:r>
      <w:proofErr w:type="spellEnd"/>
      <w:r w:rsidRPr="00941E1F">
        <w:t xml:space="preserve"> hos patienter uden tidligere kemoterapi med avanceret cancer. </w:t>
      </w:r>
    </w:p>
    <w:p w:rsidR="002F45B1" w:rsidRPr="00941E1F" w:rsidRDefault="002F45B1" w:rsidP="00941E1F">
      <w:pPr>
        <w:pStyle w:val="Listeafsnit"/>
        <w:numPr>
          <w:ilvl w:val="0"/>
          <w:numId w:val="12"/>
        </w:numPr>
        <w:ind w:left="1276" w:hanging="425"/>
      </w:pPr>
      <w:r w:rsidRPr="00941E1F">
        <w:t xml:space="preserve">Som enkeltstofbehandling hos patienter, der tidligere har fået et regime med 5-fluorouracil uden resultat. </w:t>
      </w:r>
    </w:p>
    <w:p w:rsidR="002F45B1" w:rsidRPr="00E94809" w:rsidRDefault="002F45B1" w:rsidP="002F45B1">
      <w:pPr>
        <w:tabs>
          <w:tab w:val="left" w:pos="1080"/>
        </w:tabs>
        <w:ind w:left="851"/>
        <w:rPr>
          <w:sz w:val="24"/>
          <w:szCs w:val="24"/>
          <w:lang w:eastAsia="da-DK"/>
        </w:rPr>
      </w:pPr>
    </w:p>
    <w:p w:rsidR="002F45B1" w:rsidRPr="00E94809" w:rsidRDefault="002F45B1" w:rsidP="002F45B1">
      <w:pPr>
        <w:ind w:left="851"/>
        <w:rPr>
          <w:sz w:val="24"/>
          <w:szCs w:val="24"/>
          <w:lang w:eastAsia="da-DK"/>
        </w:rPr>
      </w:pPr>
      <w:proofErr w:type="spellStart"/>
      <w:r w:rsidRPr="00E94809">
        <w:rPr>
          <w:sz w:val="24"/>
          <w:szCs w:val="24"/>
          <w:lang w:eastAsia="da-DK"/>
        </w:rPr>
        <w:t>Irinotecan</w:t>
      </w:r>
      <w:proofErr w:type="spellEnd"/>
      <w:r w:rsidRPr="00E94809">
        <w:rPr>
          <w:sz w:val="24"/>
          <w:szCs w:val="24"/>
          <w:lang w:eastAsia="da-DK"/>
        </w:rPr>
        <w:t xml:space="preserve"> "</w:t>
      </w:r>
      <w:proofErr w:type="spellStart"/>
      <w:r w:rsidRPr="00E94809">
        <w:rPr>
          <w:sz w:val="24"/>
          <w:szCs w:val="24"/>
          <w:lang w:eastAsia="da-DK"/>
        </w:rPr>
        <w:t>Accord</w:t>
      </w:r>
      <w:proofErr w:type="spellEnd"/>
      <w:r w:rsidRPr="00E94809">
        <w:rPr>
          <w:sz w:val="24"/>
          <w:szCs w:val="24"/>
          <w:lang w:eastAsia="da-DK"/>
        </w:rPr>
        <w:t xml:space="preserve">" i kombination med </w:t>
      </w:r>
      <w:proofErr w:type="spellStart"/>
      <w:r w:rsidRPr="00E94809">
        <w:rPr>
          <w:sz w:val="24"/>
          <w:szCs w:val="24"/>
          <w:lang w:eastAsia="da-DK"/>
        </w:rPr>
        <w:t>cetuximab</w:t>
      </w:r>
      <w:proofErr w:type="spellEnd"/>
      <w:r w:rsidRPr="00E94809">
        <w:rPr>
          <w:sz w:val="24"/>
          <w:szCs w:val="24"/>
          <w:lang w:eastAsia="da-DK"/>
        </w:rPr>
        <w:t xml:space="preserve"> indiceret til behandling af patienter med metastatisk </w:t>
      </w:r>
      <w:proofErr w:type="spellStart"/>
      <w:r w:rsidRPr="00E94809">
        <w:rPr>
          <w:sz w:val="24"/>
          <w:szCs w:val="24"/>
          <w:lang w:eastAsia="da-DK"/>
        </w:rPr>
        <w:t>colorektal</w:t>
      </w:r>
      <w:proofErr w:type="spellEnd"/>
      <w:r w:rsidRPr="00E94809">
        <w:rPr>
          <w:sz w:val="24"/>
          <w:szCs w:val="24"/>
          <w:lang w:eastAsia="da-DK"/>
        </w:rPr>
        <w:t xml:space="preserve"> cancer af RAS-vildtypen, som udviser </w:t>
      </w:r>
      <w:proofErr w:type="spellStart"/>
      <w:r w:rsidRPr="00E94809">
        <w:rPr>
          <w:sz w:val="24"/>
          <w:szCs w:val="24"/>
          <w:lang w:eastAsia="da-DK"/>
        </w:rPr>
        <w:t>epidermale</w:t>
      </w:r>
      <w:proofErr w:type="spellEnd"/>
      <w:r w:rsidRPr="00E94809">
        <w:rPr>
          <w:sz w:val="24"/>
          <w:szCs w:val="24"/>
          <w:lang w:eastAsia="da-DK"/>
        </w:rPr>
        <w:t xml:space="preserve"> vækstfaktorreceptorer (EGFR), og som ikke tidligere har fået behandling for metastatisk sygdom eller som har gennemgået en virkningsløs </w:t>
      </w:r>
      <w:proofErr w:type="spellStart"/>
      <w:r w:rsidRPr="00E94809">
        <w:rPr>
          <w:sz w:val="24"/>
          <w:szCs w:val="24"/>
          <w:lang w:eastAsia="da-DK"/>
        </w:rPr>
        <w:t>cytotoksisk</w:t>
      </w:r>
      <w:proofErr w:type="spellEnd"/>
      <w:r w:rsidRPr="00E94809">
        <w:rPr>
          <w:sz w:val="24"/>
          <w:szCs w:val="24"/>
          <w:lang w:eastAsia="da-DK"/>
        </w:rPr>
        <w:t xml:space="preserve"> behandling med </w:t>
      </w:r>
      <w:proofErr w:type="spellStart"/>
      <w:r w:rsidRPr="00E94809">
        <w:rPr>
          <w:sz w:val="24"/>
          <w:szCs w:val="24"/>
          <w:lang w:eastAsia="da-DK"/>
        </w:rPr>
        <w:t>irinotecan</w:t>
      </w:r>
      <w:proofErr w:type="spellEnd"/>
      <w:r w:rsidRPr="00E94809">
        <w:rPr>
          <w:sz w:val="24"/>
          <w:szCs w:val="24"/>
          <w:lang w:eastAsia="da-DK"/>
        </w:rPr>
        <w:t xml:space="preserve"> (se pkt. 5.1).</w:t>
      </w:r>
    </w:p>
    <w:p w:rsidR="002F45B1" w:rsidRPr="00E94809" w:rsidRDefault="002F45B1" w:rsidP="002F45B1">
      <w:pPr>
        <w:ind w:left="851"/>
        <w:rPr>
          <w:sz w:val="24"/>
          <w:szCs w:val="24"/>
          <w:lang w:eastAsia="da-DK"/>
        </w:rPr>
      </w:pPr>
    </w:p>
    <w:p w:rsidR="002F45B1" w:rsidRPr="00E94809" w:rsidRDefault="002F45B1" w:rsidP="002F45B1">
      <w:pPr>
        <w:ind w:left="851"/>
        <w:rPr>
          <w:sz w:val="24"/>
          <w:szCs w:val="24"/>
          <w:lang w:eastAsia="da-DK"/>
        </w:rPr>
      </w:pPr>
      <w:proofErr w:type="spellStart"/>
      <w:r w:rsidRPr="00E94809">
        <w:rPr>
          <w:sz w:val="24"/>
          <w:szCs w:val="24"/>
          <w:lang w:eastAsia="da-DK"/>
        </w:rPr>
        <w:t>Irinotecan</w:t>
      </w:r>
      <w:proofErr w:type="spellEnd"/>
      <w:r w:rsidRPr="00E94809">
        <w:rPr>
          <w:sz w:val="24"/>
          <w:szCs w:val="24"/>
          <w:lang w:eastAsia="da-DK"/>
        </w:rPr>
        <w:t xml:space="preserve"> "</w:t>
      </w:r>
      <w:proofErr w:type="spellStart"/>
      <w:r w:rsidRPr="00E94809">
        <w:rPr>
          <w:sz w:val="24"/>
          <w:szCs w:val="24"/>
          <w:lang w:eastAsia="da-DK"/>
        </w:rPr>
        <w:t>Accord</w:t>
      </w:r>
      <w:proofErr w:type="spellEnd"/>
      <w:r w:rsidRPr="00E94809">
        <w:rPr>
          <w:sz w:val="24"/>
          <w:szCs w:val="24"/>
          <w:lang w:eastAsia="da-DK"/>
        </w:rPr>
        <w:t xml:space="preserve">" i kombination med 5-fluorouracil, </w:t>
      </w:r>
      <w:proofErr w:type="spellStart"/>
      <w:r w:rsidRPr="00E94809">
        <w:rPr>
          <w:sz w:val="24"/>
          <w:szCs w:val="24"/>
          <w:lang w:eastAsia="da-DK"/>
        </w:rPr>
        <w:t>folinsyre</w:t>
      </w:r>
      <w:proofErr w:type="spellEnd"/>
      <w:r w:rsidRPr="00E94809">
        <w:rPr>
          <w:sz w:val="24"/>
          <w:szCs w:val="24"/>
          <w:lang w:eastAsia="da-DK"/>
        </w:rPr>
        <w:t xml:space="preserve"> og </w:t>
      </w:r>
      <w:proofErr w:type="spellStart"/>
      <w:r w:rsidRPr="00E94809">
        <w:rPr>
          <w:sz w:val="24"/>
          <w:szCs w:val="24"/>
          <w:lang w:eastAsia="da-DK"/>
        </w:rPr>
        <w:t>bevacizumab</w:t>
      </w:r>
      <w:proofErr w:type="spellEnd"/>
      <w:r w:rsidRPr="00E94809">
        <w:rPr>
          <w:sz w:val="24"/>
          <w:szCs w:val="24"/>
          <w:lang w:eastAsia="da-DK"/>
        </w:rPr>
        <w:t xml:space="preserve"> indiceret til førstevalgsbehandling af patienter med metastatisk karcinom i tyktarmen eller endetarmen. </w:t>
      </w:r>
    </w:p>
    <w:p w:rsidR="002F45B1" w:rsidRPr="00E94809" w:rsidRDefault="002F45B1" w:rsidP="002F45B1">
      <w:pPr>
        <w:ind w:left="851"/>
        <w:rPr>
          <w:sz w:val="24"/>
          <w:szCs w:val="24"/>
          <w:lang w:eastAsia="da-DK"/>
        </w:rPr>
      </w:pPr>
    </w:p>
    <w:p w:rsidR="002F45B1" w:rsidRPr="00C84483" w:rsidRDefault="002F45B1" w:rsidP="002F45B1">
      <w:pPr>
        <w:ind w:left="851"/>
        <w:rPr>
          <w:sz w:val="24"/>
          <w:szCs w:val="24"/>
          <w:lang w:eastAsia="da-DK"/>
        </w:rPr>
      </w:pPr>
      <w:proofErr w:type="spellStart"/>
      <w:r w:rsidRPr="00E94809">
        <w:rPr>
          <w:sz w:val="24"/>
          <w:szCs w:val="24"/>
          <w:lang w:eastAsia="da-DK"/>
        </w:rPr>
        <w:t>Irinotecan</w:t>
      </w:r>
      <w:proofErr w:type="spellEnd"/>
      <w:r w:rsidRPr="00E94809">
        <w:rPr>
          <w:sz w:val="24"/>
          <w:szCs w:val="24"/>
          <w:lang w:eastAsia="da-DK"/>
        </w:rPr>
        <w:t xml:space="preserve"> "</w:t>
      </w:r>
      <w:proofErr w:type="spellStart"/>
      <w:r w:rsidRPr="00E94809">
        <w:rPr>
          <w:sz w:val="24"/>
          <w:szCs w:val="24"/>
          <w:lang w:eastAsia="da-DK"/>
        </w:rPr>
        <w:t>Accord</w:t>
      </w:r>
      <w:proofErr w:type="spellEnd"/>
      <w:r w:rsidRPr="00E94809">
        <w:rPr>
          <w:sz w:val="24"/>
          <w:szCs w:val="24"/>
          <w:lang w:eastAsia="da-DK"/>
        </w:rPr>
        <w:t xml:space="preserve">" i kombination med </w:t>
      </w:r>
      <w:proofErr w:type="spellStart"/>
      <w:r w:rsidRPr="00E94809">
        <w:rPr>
          <w:sz w:val="24"/>
          <w:szCs w:val="24"/>
          <w:lang w:eastAsia="da-DK"/>
        </w:rPr>
        <w:t>capecitabin</w:t>
      </w:r>
      <w:proofErr w:type="spellEnd"/>
      <w:r w:rsidRPr="00E94809">
        <w:rPr>
          <w:sz w:val="24"/>
          <w:szCs w:val="24"/>
          <w:lang w:eastAsia="da-DK"/>
        </w:rPr>
        <w:t xml:space="preserve"> med eller uden </w:t>
      </w:r>
      <w:proofErr w:type="spellStart"/>
      <w:r w:rsidRPr="00E94809">
        <w:rPr>
          <w:sz w:val="24"/>
          <w:szCs w:val="24"/>
          <w:lang w:eastAsia="da-DK"/>
        </w:rPr>
        <w:t>bevacizumab</w:t>
      </w:r>
      <w:proofErr w:type="spellEnd"/>
      <w:r w:rsidRPr="00E94809">
        <w:rPr>
          <w:sz w:val="24"/>
          <w:szCs w:val="24"/>
          <w:lang w:eastAsia="da-DK"/>
        </w:rPr>
        <w:t xml:space="preserve"> indiceret til førstevalgsbehandling af patienter med metastatisk </w:t>
      </w:r>
      <w:proofErr w:type="spellStart"/>
      <w:r w:rsidRPr="00E94809">
        <w:rPr>
          <w:sz w:val="24"/>
          <w:szCs w:val="24"/>
          <w:lang w:eastAsia="da-DK"/>
        </w:rPr>
        <w:t>colorektal</w:t>
      </w:r>
      <w:proofErr w:type="spellEnd"/>
      <w:r w:rsidRPr="00E94809">
        <w:rPr>
          <w:sz w:val="24"/>
          <w:szCs w:val="24"/>
          <w:lang w:eastAsia="da-DK"/>
        </w:rPr>
        <w:t xml:space="preserve"> </w:t>
      </w:r>
      <w:proofErr w:type="spellStart"/>
      <w:r w:rsidRPr="00E94809">
        <w:rPr>
          <w:sz w:val="24"/>
          <w:szCs w:val="24"/>
          <w:lang w:eastAsia="da-DK"/>
        </w:rPr>
        <w:t>carcinoma</w:t>
      </w:r>
      <w:proofErr w:type="spellEnd"/>
      <w:r w:rsidRPr="00E94809">
        <w:rPr>
          <w:sz w:val="24"/>
          <w:szCs w:val="24"/>
          <w:lang w:eastAsia="da-DK"/>
        </w:rPr>
        <w:t>.</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B1FA6">
        <w:rPr>
          <w:b/>
          <w:sz w:val="24"/>
          <w:szCs w:val="24"/>
        </w:rPr>
        <w:t>administration</w:t>
      </w:r>
    </w:p>
    <w:p w:rsidR="00F93ABF" w:rsidRPr="00F93ABF" w:rsidRDefault="00F93ABF" w:rsidP="00F93ABF">
      <w:pPr>
        <w:pStyle w:val="Normalindrykning"/>
        <w:spacing w:after="0"/>
        <w:ind w:left="851"/>
        <w:rPr>
          <w:sz w:val="24"/>
          <w:szCs w:val="24"/>
          <w:u w:val="single"/>
        </w:rPr>
      </w:pPr>
      <w:r w:rsidRPr="00F93ABF">
        <w:rPr>
          <w:sz w:val="24"/>
          <w:szCs w:val="24"/>
          <w:u w:val="single"/>
        </w:rPr>
        <w:t>Dosering</w:t>
      </w:r>
    </w:p>
    <w:p w:rsidR="00F93ABF" w:rsidRPr="00F93ABF" w:rsidRDefault="00F93ABF" w:rsidP="00F93ABF">
      <w:pPr>
        <w:pStyle w:val="Normalindrykning"/>
        <w:spacing w:after="0"/>
        <w:ind w:left="851"/>
        <w:rPr>
          <w:sz w:val="24"/>
          <w:szCs w:val="24"/>
        </w:rPr>
      </w:pPr>
      <w:r w:rsidRPr="00F93ABF">
        <w:rPr>
          <w:sz w:val="24"/>
          <w:szCs w:val="24"/>
        </w:rPr>
        <w:t xml:space="preserve">Kun til voksne.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koncentrat til infusionsvæske, opløsning, </w:t>
      </w:r>
      <w:proofErr w:type="spellStart"/>
      <w:r w:rsidRPr="00F93ABF">
        <w:rPr>
          <w:sz w:val="24"/>
          <w:szCs w:val="24"/>
        </w:rPr>
        <w:t>infunderes</w:t>
      </w:r>
      <w:proofErr w:type="spellEnd"/>
      <w:r w:rsidRPr="00F93ABF">
        <w:rPr>
          <w:sz w:val="24"/>
          <w:szCs w:val="24"/>
        </w:rPr>
        <w:t xml:space="preserve"> i en perifer eller central vene.</w:t>
      </w:r>
    </w:p>
    <w:p w:rsidR="00F93ABF" w:rsidRPr="00F93ABF" w:rsidRDefault="00F93ABF" w:rsidP="00F93ABF">
      <w:pPr>
        <w:pStyle w:val="Normalindrykning"/>
        <w:spacing w:after="0"/>
        <w:ind w:left="851"/>
        <w:rPr>
          <w:b/>
          <w:bCs/>
          <w:sz w:val="24"/>
          <w:szCs w:val="24"/>
        </w:rPr>
      </w:pPr>
    </w:p>
    <w:p w:rsidR="00F93ABF" w:rsidRPr="00F93ABF" w:rsidRDefault="00F93ABF" w:rsidP="00F93ABF">
      <w:pPr>
        <w:pStyle w:val="Normalindrykning"/>
        <w:spacing w:after="0"/>
        <w:ind w:left="851"/>
        <w:rPr>
          <w:bCs/>
          <w:i/>
          <w:iCs/>
          <w:sz w:val="24"/>
          <w:szCs w:val="24"/>
        </w:rPr>
      </w:pPr>
      <w:r w:rsidRPr="00F93ABF">
        <w:rPr>
          <w:bCs/>
          <w:i/>
          <w:iCs/>
          <w:sz w:val="24"/>
          <w:szCs w:val="24"/>
        </w:rPr>
        <w:t>Anbefalet dosis</w:t>
      </w:r>
    </w:p>
    <w:p w:rsidR="00F93ABF" w:rsidRPr="00F93ABF" w:rsidRDefault="00F93ABF" w:rsidP="00F93ABF">
      <w:pPr>
        <w:pStyle w:val="Normalindrykning"/>
        <w:spacing w:after="0"/>
        <w:ind w:left="851"/>
        <w:rPr>
          <w:sz w:val="24"/>
          <w:szCs w:val="24"/>
          <w:u w:val="single"/>
        </w:rPr>
      </w:pPr>
    </w:p>
    <w:p w:rsidR="00F93ABF" w:rsidRPr="00F93ABF" w:rsidRDefault="00F93ABF" w:rsidP="00F93ABF">
      <w:pPr>
        <w:pStyle w:val="Normalindrykning"/>
        <w:spacing w:after="0"/>
        <w:ind w:left="851"/>
        <w:rPr>
          <w:sz w:val="24"/>
          <w:szCs w:val="24"/>
        </w:rPr>
      </w:pPr>
      <w:r w:rsidRPr="00F93ABF">
        <w:rPr>
          <w:sz w:val="24"/>
          <w:szCs w:val="24"/>
          <w:u w:val="single"/>
        </w:rPr>
        <w:t>Som monoterapi (tidligere behandlede patienter)</w:t>
      </w:r>
    </w:p>
    <w:p w:rsidR="00F93ABF" w:rsidRPr="00F93ABF" w:rsidRDefault="00F93ABF" w:rsidP="00F93ABF">
      <w:pPr>
        <w:pStyle w:val="Normalindrykning"/>
        <w:spacing w:after="0"/>
        <w:ind w:left="851"/>
        <w:rPr>
          <w:sz w:val="24"/>
          <w:szCs w:val="24"/>
        </w:rPr>
      </w:pPr>
      <w:r w:rsidRPr="00F93ABF">
        <w:rPr>
          <w:sz w:val="24"/>
          <w:szCs w:val="24"/>
        </w:rPr>
        <w:t xml:space="preserve">Den anbefalede dosis af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er 350 mg/m² givet som intravenøs infusion af 30-90 minutters varighed hver 3. uge (se pkt. 4.4 og 6.6). </w:t>
      </w:r>
    </w:p>
    <w:p w:rsidR="00F93ABF" w:rsidRPr="00F93ABF" w:rsidRDefault="00F93ABF" w:rsidP="00F93ABF">
      <w:pPr>
        <w:pStyle w:val="Normalindrykning"/>
        <w:spacing w:after="0"/>
        <w:ind w:left="851"/>
        <w:rPr>
          <w:sz w:val="24"/>
          <w:szCs w:val="24"/>
          <w:u w:val="single"/>
        </w:rPr>
      </w:pPr>
    </w:p>
    <w:p w:rsidR="00F93ABF" w:rsidRPr="00F93ABF" w:rsidRDefault="00F93ABF" w:rsidP="00F93ABF">
      <w:pPr>
        <w:pStyle w:val="Normalindrykning"/>
        <w:spacing w:after="0"/>
        <w:ind w:left="851"/>
        <w:rPr>
          <w:sz w:val="24"/>
          <w:szCs w:val="24"/>
        </w:rPr>
      </w:pPr>
      <w:r w:rsidRPr="00F93ABF">
        <w:rPr>
          <w:sz w:val="24"/>
          <w:szCs w:val="24"/>
          <w:u w:val="single"/>
        </w:rPr>
        <w:t>Som kombinationsterapi (tidligere ubehandlede patienter)</w:t>
      </w:r>
    </w:p>
    <w:p w:rsidR="00873CD3" w:rsidRPr="00F93ABF" w:rsidRDefault="00873CD3" w:rsidP="00873CD3">
      <w:pPr>
        <w:pStyle w:val="Normalindrykning"/>
        <w:spacing w:after="0"/>
        <w:ind w:left="851"/>
        <w:rPr>
          <w:sz w:val="24"/>
          <w:szCs w:val="24"/>
        </w:rPr>
      </w:pPr>
      <w:r w:rsidRPr="00F93ABF">
        <w:rPr>
          <w:sz w:val="24"/>
          <w:szCs w:val="24"/>
        </w:rPr>
        <w:t xml:space="preserve">Sikkerhed og effekt af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er vurderet i kombination med 5-fluorouracil (5FU) og </w:t>
      </w:r>
      <w:proofErr w:type="spellStart"/>
      <w:r w:rsidRPr="00F93ABF">
        <w:rPr>
          <w:sz w:val="24"/>
          <w:szCs w:val="24"/>
        </w:rPr>
        <w:t>folininsyre</w:t>
      </w:r>
      <w:proofErr w:type="spellEnd"/>
      <w:r w:rsidRPr="00F93ABF">
        <w:rPr>
          <w:sz w:val="24"/>
          <w:szCs w:val="24"/>
        </w:rPr>
        <w:t xml:space="preserve"> (FA) i følgende regimer (se pkt. 5.1)</w:t>
      </w:r>
      <w:r>
        <w:rPr>
          <w:sz w:val="24"/>
          <w:szCs w:val="24"/>
        </w:rPr>
        <w:t>.</w:t>
      </w:r>
      <w:r w:rsidRPr="00F93ABF">
        <w:rPr>
          <w:sz w:val="24"/>
          <w:szCs w:val="24"/>
        </w:rPr>
        <w:t xml:space="preserve"> </w:t>
      </w:r>
    </w:p>
    <w:p w:rsidR="00873CD3" w:rsidRPr="00F93ABF" w:rsidRDefault="00873CD3" w:rsidP="00873CD3">
      <w:pPr>
        <w:pStyle w:val="Normalindrykning"/>
        <w:spacing w:after="0"/>
        <w:ind w:left="851"/>
        <w:rPr>
          <w:sz w:val="24"/>
          <w:szCs w:val="24"/>
        </w:rPr>
      </w:pPr>
    </w:p>
    <w:p w:rsidR="00873CD3" w:rsidRPr="00F93ABF" w:rsidRDefault="00873CD3" w:rsidP="00873CD3">
      <w:pPr>
        <w:pStyle w:val="Normalindrykning"/>
        <w:numPr>
          <w:ilvl w:val="0"/>
          <w:numId w:val="14"/>
        </w:numPr>
        <w:tabs>
          <w:tab w:val="left" w:pos="567"/>
        </w:tabs>
        <w:spacing w:after="0"/>
        <w:ind w:left="1134" w:hanging="283"/>
        <w:rPr>
          <w:sz w:val="24"/>
          <w:szCs w:val="24"/>
        </w:rPr>
      </w:pP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+ 5FU/FA hver anden uge </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sz w:val="24"/>
          <w:szCs w:val="24"/>
        </w:rPr>
      </w:pPr>
      <w:r w:rsidRPr="00F93ABF">
        <w:rPr>
          <w:sz w:val="24"/>
          <w:szCs w:val="24"/>
        </w:rPr>
        <w:t xml:space="preserve">Den anbefalede dosis af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er 180 mg/m² givet hver anden uge som intravenøs infusion af 30-90 minutters varighed, efterfulgt af infusion med </w:t>
      </w:r>
      <w:proofErr w:type="spellStart"/>
      <w:r w:rsidRPr="00F93ABF">
        <w:rPr>
          <w:sz w:val="24"/>
          <w:szCs w:val="24"/>
        </w:rPr>
        <w:t>folininsyre</w:t>
      </w:r>
      <w:proofErr w:type="spellEnd"/>
      <w:r w:rsidRPr="00F93ABF">
        <w:rPr>
          <w:sz w:val="24"/>
          <w:szCs w:val="24"/>
        </w:rPr>
        <w:t xml:space="preserve"> og 5-fluororacil.</w:t>
      </w:r>
    </w:p>
    <w:p w:rsidR="00F93ABF" w:rsidRPr="00F93ABF" w:rsidRDefault="00F93ABF" w:rsidP="00F93ABF">
      <w:pPr>
        <w:pStyle w:val="Normalindrykning"/>
        <w:spacing w:after="0"/>
        <w:ind w:left="851"/>
        <w:rPr>
          <w:sz w:val="24"/>
          <w:szCs w:val="24"/>
        </w:rPr>
      </w:pPr>
      <w:r w:rsidRPr="00F93ABF">
        <w:rPr>
          <w:sz w:val="24"/>
          <w:szCs w:val="24"/>
        </w:rPr>
        <w:t xml:space="preserve"> </w:t>
      </w:r>
    </w:p>
    <w:p w:rsidR="00F93ABF" w:rsidRPr="00F93ABF" w:rsidRDefault="00F93ABF" w:rsidP="00F93ABF">
      <w:pPr>
        <w:pStyle w:val="Normalindrykning"/>
        <w:spacing w:after="0"/>
        <w:ind w:left="851"/>
        <w:rPr>
          <w:sz w:val="24"/>
          <w:szCs w:val="24"/>
        </w:rPr>
      </w:pPr>
      <w:r w:rsidRPr="00F93ABF">
        <w:rPr>
          <w:sz w:val="24"/>
          <w:szCs w:val="24"/>
        </w:rPr>
        <w:t xml:space="preserve">Med hensyn til dosering og indgivelsesmåde ved samtidig behandling med </w:t>
      </w:r>
      <w:proofErr w:type="spellStart"/>
      <w:r w:rsidRPr="00F93ABF">
        <w:rPr>
          <w:sz w:val="24"/>
          <w:szCs w:val="24"/>
        </w:rPr>
        <w:t>cetuximab</w:t>
      </w:r>
      <w:proofErr w:type="spellEnd"/>
      <w:r w:rsidRPr="00F93ABF">
        <w:rPr>
          <w:sz w:val="24"/>
          <w:szCs w:val="24"/>
        </w:rPr>
        <w:t xml:space="preserve"> henvises til produktinformationen for dette lægemiddel.</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sz w:val="24"/>
          <w:szCs w:val="24"/>
        </w:rPr>
      </w:pPr>
      <w:r w:rsidRPr="00F93ABF">
        <w:rPr>
          <w:sz w:val="24"/>
          <w:szCs w:val="24"/>
        </w:rPr>
        <w:t xml:space="preserve">Sædvanligvis anvendes samme dosis af </w:t>
      </w:r>
      <w:proofErr w:type="spellStart"/>
      <w:r w:rsidRPr="00F93ABF">
        <w:rPr>
          <w:sz w:val="24"/>
          <w:szCs w:val="24"/>
        </w:rPr>
        <w:t>irinotecan</w:t>
      </w:r>
      <w:proofErr w:type="spellEnd"/>
      <w:r w:rsidRPr="00F93ABF">
        <w:rPr>
          <w:sz w:val="24"/>
          <w:szCs w:val="24"/>
        </w:rPr>
        <w:t xml:space="preserve">, som blev givet ved sidste cyklus af det tidligere </w:t>
      </w:r>
      <w:proofErr w:type="spellStart"/>
      <w:r w:rsidRPr="00F93ABF">
        <w:rPr>
          <w:sz w:val="24"/>
          <w:szCs w:val="24"/>
        </w:rPr>
        <w:t>irinotecan</w:t>
      </w:r>
      <w:proofErr w:type="spellEnd"/>
      <w:r w:rsidRPr="00F93ABF">
        <w:rPr>
          <w:sz w:val="24"/>
          <w:szCs w:val="24"/>
        </w:rPr>
        <w:t xml:space="preserve"> behandlingsregime. </w:t>
      </w:r>
      <w:proofErr w:type="spellStart"/>
      <w:r w:rsidRPr="00F93ABF">
        <w:rPr>
          <w:sz w:val="24"/>
          <w:szCs w:val="24"/>
        </w:rPr>
        <w:t>Irinotecan</w:t>
      </w:r>
      <w:proofErr w:type="spellEnd"/>
      <w:r w:rsidRPr="00F93ABF">
        <w:rPr>
          <w:sz w:val="24"/>
          <w:szCs w:val="24"/>
        </w:rPr>
        <w:t xml:space="preserve"> må tidligst indgives 1 time efter afslutningen af </w:t>
      </w:r>
      <w:proofErr w:type="spellStart"/>
      <w:r w:rsidRPr="00F93ABF">
        <w:rPr>
          <w:sz w:val="24"/>
          <w:szCs w:val="24"/>
        </w:rPr>
        <w:t>cetuximabinfusionen</w:t>
      </w:r>
      <w:proofErr w:type="spellEnd"/>
      <w:r w:rsidRPr="00F93ABF">
        <w:rPr>
          <w:sz w:val="24"/>
          <w:szCs w:val="24"/>
        </w:rPr>
        <w:t xml:space="preserve">. </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sz w:val="24"/>
          <w:szCs w:val="24"/>
        </w:rPr>
      </w:pPr>
      <w:r w:rsidRPr="00F93ABF">
        <w:rPr>
          <w:sz w:val="24"/>
          <w:szCs w:val="24"/>
        </w:rPr>
        <w:t xml:space="preserve">Med hensyn til </w:t>
      </w:r>
      <w:proofErr w:type="spellStart"/>
      <w:r w:rsidRPr="00F93ABF">
        <w:rPr>
          <w:sz w:val="24"/>
          <w:szCs w:val="24"/>
        </w:rPr>
        <w:t>bevacizumabs</w:t>
      </w:r>
      <w:proofErr w:type="spellEnd"/>
      <w:r w:rsidRPr="00F93ABF">
        <w:rPr>
          <w:sz w:val="24"/>
          <w:szCs w:val="24"/>
        </w:rPr>
        <w:t xml:space="preserve"> dosering og indgivelsesmåde henvises til produktresuméet for </w:t>
      </w:r>
      <w:proofErr w:type="spellStart"/>
      <w:r w:rsidRPr="00F93ABF">
        <w:rPr>
          <w:sz w:val="24"/>
          <w:szCs w:val="24"/>
        </w:rPr>
        <w:t>bevacizumab</w:t>
      </w:r>
      <w:proofErr w:type="spellEnd"/>
      <w:r w:rsidRPr="00F93ABF">
        <w:rPr>
          <w:sz w:val="24"/>
          <w:szCs w:val="24"/>
        </w:rPr>
        <w:t>.</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sz w:val="24"/>
          <w:szCs w:val="24"/>
        </w:rPr>
      </w:pPr>
      <w:r w:rsidRPr="00F93ABF">
        <w:rPr>
          <w:sz w:val="24"/>
          <w:szCs w:val="24"/>
        </w:rPr>
        <w:t xml:space="preserve">Med hensyn til dosering og indgivelsesmåde ved behandling i kombination med </w:t>
      </w:r>
      <w:proofErr w:type="spellStart"/>
      <w:r w:rsidRPr="00F93ABF">
        <w:rPr>
          <w:sz w:val="24"/>
          <w:szCs w:val="24"/>
        </w:rPr>
        <w:t>capecitabin</w:t>
      </w:r>
      <w:proofErr w:type="spellEnd"/>
      <w:r w:rsidRPr="00F93ABF">
        <w:rPr>
          <w:sz w:val="24"/>
          <w:szCs w:val="24"/>
        </w:rPr>
        <w:t xml:space="preserve"> henvises til pkt. 5.1 og relevante punkter i produktresuméet for </w:t>
      </w:r>
      <w:proofErr w:type="spellStart"/>
      <w:r w:rsidRPr="00F93ABF">
        <w:rPr>
          <w:sz w:val="24"/>
          <w:szCs w:val="24"/>
        </w:rPr>
        <w:t>capecitabin</w:t>
      </w:r>
      <w:proofErr w:type="spellEnd"/>
      <w:r w:rsidRPr="00F93ABF">
        <w:rPr>
          <w:sz w:val="24"/>
          <w:szCs w:val="24"/>
        </w:rPr>
        <w:t>.</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bCs/>
          <w:i/>
          <w:iCs/>
          <w:sz w:val="24"/>
          <w:szCs w:val="24"/>
        </w:rPr>
      </w:pPr>
      <w:r w:rsidRPr="00F93ABF">
        <w:rPr>
          <w:bCs/>
          <w:i/>
          <w:iCs/>
          <w:sz w:val="24"/>
          <w:szCs w:val="24"/>
        </w:rPr>
        <w:t>Dosismodifikation</w:t>
      </w:r>
    </w:p>
    <w:p w:rsidR="00873CD3" w:rsidRPr="00F93ABF" w:rsidRDefault="00873CD3" w:rsidP="00873CD3">
      <w:pPr>
        <w:pStyle w:val="Normalindrykning"/>
        <w:spacing w:after="0"/>
        <w:ind w:left="851"/>
        <w:rPr>
          <w:sz w:val="24"/>
          <w:szCs w:val="24"/>
        </w:rPr>
      </w:pP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bør først genadministreres, når tilstrækkelig restitution fra alle bivirkninger er opnået, dvs. opnåelse af </w:t>
      </w:r>
      <w:r>
        <w:rPr>
          <w:sz w:val="24"/>
          <w:szCs w:val="24"/>
        </w:rPr>
        <w:t>G</w:t>
      </w:r>
      <w:r w:rsidRPr="00F93ABF">
        <w:rPr>
          <w:sz w:val="24"/>
          <w:szCs w:val="24"/>
        </w:rPr>
        <w:t xml:space="preserve">rad 0 </w:t>
      </w:r>
      <w:proofErr w:type="gramStart"/>
      <w:r w:rsidRPr="00F93ABF">
        <w:rPr>
          <w:sz w:val="24"/>
          <w:szCs w:val="24"/>
        </w:rPr>
        <w:t>eller  1</w:t>
      </w:r>
      <w:proofErr w:type="gramEnd"/>
      <w:r w:rsidRPr="00F93ABF">
        <w:rPr>
          <w:sz w:val="24"/>
          <w:szCs w:val="24"/>
        </w:rPr>
        <w:t xml:space="preserve"> ifølge NCI-CTC gradueringen (National Cancer Institute Common </w:t>
      </w:r>
      <w:proofErr w:type="spellStart"/>
      <w:r w:rsidRPr="00F93ABF">
        <w:rPr>
          <w:sz w:val="24"/>
          <w:szCs w:val="24"/>
        </w:rPr>
        <w:t>Toxicity</w:t>
      </w:r>
      <w:proofErr w:type="spellEnd"/>
      <w:r w:rsidRPr="00F93ABF">
        <w:rPr>
          <w:sz w:val="24"/>
          <w:szCs w:val="24"/>
        </w:rPr>
        <w:t xml:space="preserve"> </w:t>
      </w:r>
      <w:proofErr w:type="spellStart"/>
      <w:r w:rsidRPr="00F93ABF">
        <w:rPr>
          <w:sz w:val="24"/>
          <w:szCs w:val="24"/>
        </w:rPr>
        <w:t>Criteria</w:t>
      </w:r>
      <w:proofErr w:type="spellEnd"/>
      <w:r w:rsidRPr="00F93ABF">
        <w:rPr>
          <w:sz w:val="24"/>
          <w:szCs w:val="24"/>
        </w:rPr>
        <w:t>), samt efter ophør af behandlings-relateret diarré.</w:t>
      </w:r>
    </w:p>
    <w:p w:rsidR="00F93ABF" w:rsidRPr="00F93ABF" w:rsidRDefault="00F93ABF" w:rsidP="00F93ABF">
      <w:pPr>
        <w:pStyle w:val="Normalindrykning"/>
        <w:spacing w:after="0"/>
        <w:ind w:left="851"/>
        <w:rPr>
          <w:sz w:val="24"/>
          <w:szCs w:val="24"/>
        </w:rPr>
      </w:pPr>
      <w:r w:rsidRPr="00F93ABF">
        <w:rPr>
          <w:sz w:val="24"/>
          <w:szCs w:val="24"/>
        </w:rPr>
        <w:t xml:space="preserve"> </w:t>
      </w:r>
    </w:p>
    <w:p w:rsidR="00F93ABF" w:rsidRPr="00F93ABF" w:rsidRDefault="00F93ABF" w:rsidP="00F93ABF">
      <w:pPr>
        <w:pStyle w:val="Normalindrykning"/>
        <w:spacing w:after="0"/>
        <w:ind w:left="851"/>
        <w:rPr>
          <w:sz w:val="24"/>
          <w:szCs w:val="24"/>
        </w:rPr>
      </w:pPr>
      <w:r w:rsidRPr="00F93ABF">
        <w:rPr>
          <w:sz w:val="24"/>
          <w:szCs w:val="24"/>
        </w:rPr>
        <w:t xml:space="preserve">I starten af en efterfølgende infusion skal doseringen af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og, hvor dette er relevant, af 5FU, nedsættes svarende til den alvorligste grad af bivirkninger set i den forrige infusionsperiode. Behandlingen bør udsættes i 1-2 uger for at give mulighed for restitution efter behandlingsrelaterede bivirkninger. </w:t>
      </w:r>
    </w:p>
    <w:p w:rsidR="00F93ABF" w:rsidRPr="00F93ABF" w:rsidRDefault="00F93ABF" w:rsidP="00F93ABF">
      <w:pPr>
        <w:pStyle w:val="Normalindrykning"/>
        <w:spacing w:after="0"/>
        <w:ind w:left="851"/>
        <w:rPr>
          <w:sz w:val="24"/>
          <w:szCs w:val="24"/>
        </w:rPr>
      </w:pPr>
    </w:p>
    <w:p w:rsidR="00873CD3" w:rsidRDefault="00873CD3" w:rsidP="00873CD3">
      <w:pPr>
        <w:pStyle w:val="Normalindrykning"/>
        <w:spacing w:after="0"/>
        <w:ind w:left="851"/>
        <w:rPr>
          <w:sz w:val="24"/>
          <w:szCs w:val="24"/>
        </w:rPr>
      </w:pPr>
      <w:r w:rsidRPr="00F93ABF">
        <w:rPr>
          <w:sz w:val="24"/>
          <w:szCs w:val="24"/>
        </w:rPr>
        <w:t xml:space="preserve">I forbindelse med følgende bivirkninger bør der foretages en dosisreduktion på 15-20 % for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og/eller, hvis dette er relevant, for 5FU: </w:t>
      </w:r>
    </w:p>
    <w:p w:rsidR="00873CD3" w:rsidRPr="00F93ABF" w:rsidRDefault="00873CD3" w:rsidP="00873CD3">
      <w:pPr>
        <w:pStyle w:val="Normalindrykning"/>
        <w:spacing w:after="0"/>
        <w:ind w:left="851"/>
        <w:rPr>
          <w:sz w:val="24"/>
          <w:szCs w:val="24"/>
        </w:rPr>
      </w:pPr>
    </w:p>
    <w:p w:rsidR="00873CD3" w:rsidRDefault="00873CD3" w:rsidP="00873CD3">
      <w:pPr>
        <w:pStyle w:val="Normalindrykning"/>
        <w:numPr>
          <w:ilvl w:val="0"/>
          <w:numId w:val="15"/>
        </w:numPr>
        <w:spacing w:after="0"/>
        <w:ind w:left="1134" w:hanging="283"/>
        <w:rPr>
          <w:sz w:val="24"/>
          <w:szCs w:val="24"/>
          <w:lang w:val="nb-NO"/>
        </w:rPr>
      </w:pPr>
      <w:r w:rsidRPr="00F93ABF">
        <w:rPr>
          <w:sz w:val="24"/>
          <w:szCs w:val="24"/>
          <w:lang w:val="nb-NO"/>
        </w:rPr>
        <w:t xml:space="preserve">hæmatologisk toksicitet [neutropeni </w:t>
      </w:r>
      <w:r>
        <w:rPr>
          <w:sz w:val="24"/>
          <w:szCs w:val="24"/>
          <w:lang w:val="nb-NO"/>
        </w:rPr>
        <w:t>Grad</w:t>
      </w:r>
      <w:r w:rsidRPr="00F93ABF">
        <w:rPr>
          <w:sz w:val="24"/>
          <w:szCs w:val="24"/>
          <w:lang w:val="nb-NO"/>
        </w:rPr>
        <w:t xml:space="preserve"> 4, febril neutropeni (neutropeni </w:t>
      </w:r>
      <w:r>
        <w:rPr>
          <w:sz w:val="24"/>
          <w:szCs w:val="24"/>
          <w:lang w:val="nb-NO"/>
        </w:rPr>
        <w:t>G</w:t>
      </w:r>
      <w:r w:rsidRPr="00F93ABF">
        <w:rPr>
          <w:sz w:val="24"/>
          <w:szCs w:val="24"/>
          <w:lang w:val="nb-NO"/>
        </w:rPr>
        <w:t xml:space="preserve">rad 3-4 og feber </w:t>
      </w:r>
      <w:r>
        <w:rPr>
          <w:sz w:val="24"/>
          <w:szCs w:val="24"/>
          <w:lang w:val="nb-NO"/>
        </w:rPr>
        <w:t>G</w:t>
      </w:r>
      <w:r w:rsidRPr="00F93ABF">
        <w:rPr>
          <w:sz w:val="24"/>
          <w:szCs w:val="24"/>
          <w:lang w:val="nb-NO"/>
        </w:rPr>
        <w:t>rad 2-4), thrombocytopeni og leukopeni (</w:t>
      </w:r>
      <w:r>
        <w:rPr>
          <w:sz w:val="24"/>
          <w:szCs w:val="24"/>
          <w:lang w:val="nb-NO"/>
        </w:rPr>
        <w:t>G</w:t>
      </w:r>
      <w:r w:rsidRPr="00F93ABF">
        <w:rPr>
          <w:sz w:val="24"/>
          <w:szCs w:val="24"/>
          <w:lang w:val="nb-NO"/>
        </w:rPr>
        <w:t>rad 4)],</w:t>
      </w:r>
    </w:p>
    <w:p w:rsidR="00873CD3" w:rsidRPr="00F93ABF" w:rsidRDefault="00873CD3" w:rsidP="00873CD3">
      <w:pPr>
        <w:pStyle w:val="Normalindrykning"/>
        <w:spacing w:after="0"/>
        <w:ind w:left="1134"/>
        <w:rPr>
          <w:sz w:val="24"/>
          <w:szCs w:val="24"/>
          <w:lang w:val="nb-NO"/>
        </w:rPr>
      </w:pPr>
      <w:r w:rsidRPr="00F93ABF">
        <w:rPr>
          <w:sz w:val="24"/>
          <w:szCs w:val="24"/>
          <w:lang w:val="nb-NO"/>
        </w:rPr>
        <w:t xml:space="preserve"> </w:t>
      </w:r>
    </w:p>
    <w:p w:rsidR="00873CD3" w:rsidRPr="00F93ABF" w:rsidRDefault="00873CD3" w:rsidP="00873CD3">
      <w:pPr>
        <w:pStyle w:val="Normalindrykning"/>
        <w:numPr>
          <w:ilvl w:val="0"/>
          <w:numId w:val="15"/>
        </w:numPr>
        <w:spacing w:after="0"/>
        <w:ind w:left="1134" w:hanging="283"/>
        <w:rPr>
          <w:sz w:val="24"/>
          <w:szCs w:val="24"/>
        </w:rPr>
      </w:pPr>
      <w:r w:rsidRPr="00F93ABF">
        <w:rPr>
          <w:sz w:val="24"/>
          <w:szCs w:val="24"/>
        </w:rPr>
        <w:t>ikke-hæmatologisk toksicitet (</w:t>
      </w:r>
      <w:r>
        <w:rPr>
          <w:sz w:val="24"/>
          <w:szCs w:val="24"/>
        </w:rPr>
        <w:t>G</w:t>
      </w:r>
      <w:r w:rsidRPr="00F93ABF">
        <w:rPr>
          <w:sz w:val="24"/>
          <w:szCs w:val="24"/>
        </w:rPr>
        <w:t>rad 3-4).</w:t>
      </w:r>
    </w:p>
    <w:p w:rsidR="00873CD3" w:rsidRPr="00F93ABF" w:rsidRDefault="00873CD3" w:rsidP="00873CD3">
      <w:pPr>
        <w:pStyle w:val="Normalindrykning"/>
        <w:spacing w:after="0"/>
        <w:ind w:left="851"/>
        <w:rPr>
          <w:sz w:val="24"/>
          <w:szCs w:val="24"/>
        </w:rPr>
      </w:pPr>
    </w:p>
    <w:p w:rsidR="00873CD3" w:rsidRPr="00F93ABF" w:rsidRDefault="00873CD3" w:rsidP="00873CD3">
      <w:pPr>
        <w:pStyle w:val="Normalindrykning"/>
        <w:spacing w:after="0"/>
        <w:ind w:left="851"/>
        <w:rPr>
          <w:sz w:val="24"/>
          <w:szCs w:val="24"/>
        </w:rPr>
      </w:pPr>
      <w:r w:rsidRPr="00F93ABF">
        <w:rPr>
          <w:sz w:val="24"/>
          <w:szCs w:val="24"/>
        </w:rPr>
        <w:t xml:space="preserve">Anbefalinger om dosisændringer for </w:t>
      </w:r>
      <w:proofErr w:type="spellStart"/>
      <w:r w:rsidRPr="00F93ABF">
        <w:rPr>
          <w:sz w:val="24"/>
          <w:szCs w:val="24"/>
        </w:rPr>
        <w:t>cetuximab</w:t>
      </w:r>
      <w:proofErr w:type="spellEnd"/>
      <w:r w:rsidRPr="00F93ABF">
        <w:rPr>
          <w:sz w:val="24"/>
          <w:szCs w:val="24"/>
        </w:rPr>
        <w:t xml:space="preserve"> i kombination med </w:t>
      </w:r>
      <w:proofErr w:type="spellStart"/>
      <w:r w:rsidRPr="00F93ABF">
        <w:rPr>
          <w:sz w:val="24"/>
          <w:szCs w:val="24"/>
        </w:rPr>
        <w:t>irinotecan</w:t>
      </w:r>
      <w:proofErr w:type="spellEnd"/>
      <w:r w:rsidRPr="00F93ABF">
        <w:rPr>
          <w:sz w:val="24"/>
          <w:szCs w:val="24"/>
        </w:rPr>
        <w:t xml:space="preserve"> skal følges som angivet i produktresuméet for dette lægemiddel.</w:t>
      </w:r>
    </w:p>
    <w:p w:rsidR="00873CD3" w:rsidRPr="00F93ABF" w:rsidRDefault="00873CD3" w:rsidP="00873CD3">
      <w:pPr>
        <w:pStyle w:val="Normalindrykning"/>
        <w:spacing w:after="0"/>
        <w:ind w:left="851"/>
        <w:rPr>
          <w:sz w:val="24"/>
          <w:szCs w:val="24"/>
        </w:rPr>
      </w:pPr>
    </w:p>
    <w:p w:rsidR="00F93ABF" w:rsidRDefault="00873CD3" w:rsidP="00873CD3">
      <w:pPr>
        <w:pStyle w:val="Normalindrykning"/>
        <w:spacing w:after="0"/>
        <w:ind w:left="851"/>
        <w:rPr>
          <w:sz w:val="24"/>
          <w:szCs w:val="24"/>
        </w:rPr>
      </w:pPr>
      <w:r w:rsidRPr="005B7AA9">
        <w:rPr>
          <w:sz w:val="24"/>
          <w:szCs w:val="24"/>
        </w:rPr>
        <w:t xml:space="preserve">Der henvises til produktresuméet for </w:t>
      </w:r>
      <w:proofErr w:type="spellStart"/>
      <w:r w:rsidRPr="005B7AA9">
        <w:rPr>
          <w:sz w:val="24"/>
          <w:szCs w:val="24"/>
        </w:rPr>
        <w:t>bevacizumab</w:t>
      </w:r>
      <w:proofErr w:type="spellEnd"/>
      <w:r w:rsidRPr="005B7AA9">
        <w:rPr>
          <w:sz w:val="24"/>
          <w:szCs w:val="24"/>
        </w:rPr>
        <w:t xml:space="preserve"> vedr. foranstaltninger, der skal tages ved bivirkninger som følge af </w:t>
      </w:r>
      <w:proofErr w:type="spellStart"/>
      <w:r w:rsidRPr="005B7AA9">
        <w:rPr>
          <w:sz w:val="24"/>
          <w:szCs w:val="24"/>
        </w:rPr>
        <w:t>bevacizumab</w:t>
      </w:r>
      <w:proofErr w:type="spellEnd"/>
      <w:r w:rsidRPr="005B7AA9">
        <w:rPr>
          <w:sz w:val="24"/>
          <w:szCs w:val="24"/>
        </w:rPr>
        <w:t>.</w:t>
      </w:r>
    </w:p>
    <w:p w:rsidR="00873CD3" w:rsidRPr="00F93ABF" w:rsidRDefault="00873CD3" w:rsidP="00873CD3">
      <w:pPr>
        <w:pStyle w:val="Normalindrykning"/>
        <w:spacing w:after="0"/>
        <w:ind w:left="851"/>
        <w:rPr>
          <w:sz w:val="24"/>
          <w:szCs w:val="24"/>
        </w:rPr>
      </w:pPr>
    </w:p>
    <w:p w:rsidR="00F93ABF" w:rsidRPr="00F93ABF" w:rsidRDefault="00F93ABF" w:rsidP="00F93ABF">
      <w:pPr>
        <w:pStyle w:val="Normalindrykning"/>
        <w:spacing w:after="0"/>
        <w:ind w:left="851"/>
        <w:rPr>
          <w:sz w:val="24"/>
          <w:szCs w:val="24"/>
        </w:rPr>
      </w:pPr>
      <w:r w:rsidRPr="00F93ABF">
        <w:rPr>
          <w:sz w:val="24"/>
          <w:szCs w:val="24"/>
        </w:rPr>
        <w:t xml:space="preserve">Ved kombination med </w:t>
      </w:r>
      <w:proofErr w:type="spellStart"/>
      <w:r w:rsidRPr="00F93ABF">
        <w:rPr>
          <w:sz w:val="24"/>
          <w:szCs w:val="24"/>
        </w:rPr>
        <w:t>capecitabin</w:t>
      </w:r>
      <w:proofErr w:type="spellEnd"/>
      <w:r w:rsidRPr="00F93ABF">
        <w:rPr>
          <w:sz w:val="24"/>
          <w:szCs w:val="24"/>
        </w:rPr>
        <w:t xml:space="preserve"> til patienter på 65 år og derover anbefales en reduceret initialdosis på 800 mg/m</w:t>
      </w:r>
      <w:r w:rsidRPr="00F93ABF">
        <w:rPr>
          <w:sz w:val="24"/>
          <w:szCs w:val="24"/>
          <w:vertAlign w:val="superscript"/>
        </w:rPr>
        <w:t>2</w:t>
      </w:r>
      <w:r w:rsidRPr="00F93ABF">
        <w:rPr>
          <w:sz w:val="24"/>
          <w:szCs w:val="24"/>
        </w:rPr>
        <w:t xml:space="preserve"> </w:t>
      </w:r>
      <w:proofErr w:type="spellStart"/>
      <w:r w:rsidRPr="00F93ABF">
        <w:rPr>
          <w:sz w:val="24"/>
          <w:szCs w:val="24"/>
        </w:rPr>
        <w:t>capecitabin</w:t>
      </w:r>
      <w:proofErr w:type="spellEnd"/>
      <w:r w:rsidRPr="00F93ABF">
        <w:rPr>
          <w:sz w:val="24"/>
          <w:szCs w:val="24"/>
        </w:rPr>
        <w:t xml:space="preserve"> 2 gange dagligt i henhold til produktresuméet for </w:t>
      </w:r>
      <w:proofErr w:type="spellStart"/>
      <w:r w:rsidRPr="00F93ABF">
        <w:rPr>
          <w:sz w:val="24"/>
          <w:szCs w:val="24"/>
        </w:rPr>
        <w:t>capecitabin</w:t>
      </w:r>
      <w:proofErr w:type="spellEnd"/>
      <w:r w:rsidRPr="00F93ABF">
        <w:rPr>
          <w:sz w:val="24"/>
          <w:szCs w:val="24"/>
        </w:rPr>
        <w:t xml:space="preserve">. Der henvises endvidere til anbefalinger for dosisjusteringer ved kombinationsbehandling angivet i produktresuméet for </w:t>
      </w:r>
      <w:proofErr w:type="spellStart"/>
      <w:r w:rsidRPr="00F93ABF">
        <w:rPr>
          <w:sz w:val="24"/>
          <w:szCs w:val="24"/>
        </w:rPr>
        <w:t>capecitabin</w:t>
      </w:r>
      <w:proofErr w:type="spellEnd"/>
      <w:r w:rsidRPr="00F93ABF">
        <w:rPr>
          <w:sz w:val="24"/>
          <w:szCs w:val="24"/>
        </w:rPr>
        <w:t>.</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bCs/>
          <w:sz w:val="24"/>
          <w:szCs w:val="24"/>
          <w:u w:val="single"/>
        </w:rPr>
      </w:pPr>
      <w:r w:rsidRPr="00F93ABF">
        <w:rPr>
          <w:bCs/>
          <w:sz w:val="24"/>
          <w:szCs w:val="24"/>
          <w:u w:val="single"/>
        </w:rPr>
        <w:t>Behandlingsvarighed</w:t>
      </w:r>
    </w:p>
    <w:p w:rsidR="00F93ABF" w:rsidRPr="00F93ABF" w:rsidRDefault="00F93ABF" w:rsidP="00F93ABF">
      <w:pPr>
        <w:pStyle w:val="Normalindrykning"/>
        <w:spacing w:after="0"/>
        <w:ind w:left="851"/>
        <w:rPr>
          <w:sz w:val="24"/>
          <w:szCs w:val="24"/>
        </w:rPr>
      </w:pPr>
      <w:r w:rsidRPr="00F93ABF">
        <w:rPr>
          <w:sz w:val="24"/>
          <w:szCs w:val="24"/>
        </w:rPr>
        <w:t xml:space="preserve">Behandling med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bør fortsættes, indtil der indtræffer en objektiv progression af sygdommen eller en uacceptabel toksicitet.</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bCs/>
          <w:i/>
          <w:iCs/>
          <w:sz w:val="24"/>
          <w:szCs w:val="24"/>
        </w:rPr>
      </w:pPr>
      <w:r w:rsidRPr="00F93ABF">
        <w:rPr>
          <w:bCs/>
          <w:i/>
          <w:iCs/>
          <w:sz w:val="24"/>
          <w:szCs w:val="24"/>
        </w:rPr>
        <w:t>Særlige populationer</w:t>
      </w:r>
    </w:p>
    <w:p w:rsidR="00F93ABF" w:rsidRPr="00F93ABF" w:rsidRDefault="00F93ABF" w:rsidP="00F93ABF">
      <w:pPr>
        <w:pStyle w:val="Normalindrykning"/>
        <w:spacing w:after="0"/>
        <w:ind w:left="851"/>
        <w:rPr>
          <w:b/>
          <w:bCs/>
          <w:sz w:val="24"/>
          <w:szCs w:val="24"/>
        </w:rPr>
      </w:pPr>
    </w:p>
    <w:p w:rsidR="00873CD3" w:rsidRPr="00F93ABF" w:rsidRDefault="00873CD3" w:rsidP="00873CD3">
      <w:pPr>
        <w:pStyle w:val="Normalindrykning"/>
        <w:spacing w:after="0"/>
        <w:ind w:left="851"/>
        <w:rPr>
          <w:sz w:val="24"/>
          <w:szCs w:val="24"/>
          <w:u w:val="single"/>
        </w:rPr>
      </w:pPr>
      <w:r w:rsidRPr="00F93ABF">
        <w:rPr>
          <w:sz w:val="24"/>
          <w:szCs w:val="24"/>
          <w:u w:val="single"/>
        </w:rPr>
        <w:t>Patienter med nedsat leverfunktion</w:t>
      </w:r>
    </w:p>
    <w:p w:rsidR="00873CD3" w:rsidRDefault="00873CD3" w:rsidP="00873CD3">
      <w:pPr>
        <w:pStyle w:val="Normalindrykning"/>
        <w:spacing w:after="0"/>
        <w:ind w:left="851"/>
        <w:rPr>
          <w:sz w:val="24"/>
          <w:szCs w:val="24"/>
        </w:rPr>
      </w:pPr>
      <w:r w:rsidRPr="00F93ABF">
        <w:rPr>
          <w:sz w:val="24"/>
          <w:szCs w:val="24"/>
        </w:rPr>
        <w:t xml:space="preserve">Som monoterapi: Blodbilirubinkoncentrationer [op til 3 gange den øvre grænse af normalområdet (UNL)] hos patienter med </w:t>
      </w:r>
      <w:proofErr w:type="gramStart"/>
      <w:r w:rsidRPr="00F93ABF">
        <w:rPr>
          <w:sz w:val="24"/>
          <w:szCs w:val="24"/>
        </w:rPr>
        <w:t>WHO performance</w:t>
      </w:r>
      <w:proofErr w:type="gramEnd"/>
      <w:r w:rsidRPr="00F93ABF">
        <w:rPr>
          <w:sz w:val="24"/>
          <w:szCs w:val="24"/>
        </w:rPr>
        <w:t xml:space="preserve"> status ≤ 2 bør bestemme startdosen af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Hos disse patienter med </w:t>
      </w:r>
      <w:proofErr w:type="spellStart"/>
      <w:r w:rsidRPr="00F93ABF">
        <w:rPr>
          <w:sz w:val="24"/>
          <w:szCs w:val="24"/>
        </w:rPr>
        <w:t>hyperbilirubinæmi</w:t>
      </w:r>
      <w:proofErr w:type="spellEnd"/>
      <w:r w:rsidRPr="00F93ABF">
        <w:rPr>
          <w:sz w:val="24"/>
          <w:szCs w:val="24"/>
        </w:rPr>
        <w:t xml:space="preserve"> og </w:t>
      </w:r>
      <w:proofErr w:type="spellStart"/>
      <w:r w:rsidRPr="00F93ABF">
        <w:rPr>
          <w:sz w:val="24"/>
          <w:szCs w:val="24"/>
        </w:rPr>
        <w:t>protrombintid</w:t>
      </w:r>
      <w:proofErr w:type="spellEnd"/>
      <w:r w:rsidRPr="00F93ABF">
        <w:rPr>
          <w:sz w:val="24"/>
          <w:szCs w:val="24"/>
        </w:rPr>
        <w:t xml:space="preserve"> større end 50 % er </w:t>
      </w:r>
      <w:proofErr w:type="spellStart"/>
      <w:r w:rsidRPr="00F93ABF">
        <w:rPr>
          <w:sz w:val="24"/>
          <w:szCs w:val="24"/>
        </w:rPr>
        <w:t>clearance</w:t>
      </w:r>
      <w:proofErr w:type="spellEnd"/>
      <w:r w:rsidRPr="00F93ABF">
        <w:rPr>
          <w:sz w:val="24"/>
          <w:szCs w:val="24"/>
        </w:rPr>
        <w:t xml:space="preserve"> af </w:t>
      </w:r>
      <w:proofErr w:type="spellStart"/>
      <w:r w:rsidRPr="00F93ABF">
        <w:rPr>
          <w:sz w:val="24"/>
          <w:szCs w:val="24"/>
        </w:rPr>
        <w:t>irinotecan</w:t>
      </w:r>
      <w:proofErr w:type="spellEnd"/>
      <w:r w:rsidRPr="00F93ABF">
        <w:rPr>
          <w:sz w:val="24"/>
          <w:szCs w:val="24"/>
        </w:rPr>
        <w:t xml:space="preserve"> nedsat (se pkt. 5.2), og risikoen for </w:t>
      </w:r>
      <w:proofErr w:type="spellStart"/>
      <w:r>
        <w:rPr>
          <w:sz w:val="24"/>
          <w:szCs w:val="24"/>
        </w:rPr>
        <w:t>hepatotoksicitet</w:t>
      </w:r>
      <w:proofErr w:type="spellEnd"/>
      <w:r>
        <w:rPr>
          <w:sz w:val="24"/>
          <w:szCs w:val="24"/>
        </w:rPr>
        <w:t xml:space="preserve"> </w:t>
      </w:r>
      <w:r w:rsidRPr="00F93ABF">
        <w:rPr>
          <w:sz w:val="24"/>
          <w:szCs w:val="24"/>
        </w:rPr>
        <w:t xml:space="preserve">er derfor forøget. Derfor skal der foretages ugentlig komplet hæmatologisk </w:t>
      </w:r>
      <w:proofErr w:type="spellStart"/>
      <w:r w:rsidRPr="00F93ABF">
        <w:rPr>
          <w:sz w:val="24"/>
          <w:szCs w:val="24"/>
        </w:rPr>
        <w:t>differentialtælling</w:t>
      </w:r>
      <w:proofErr w:type="spellEnd"/>
      <w:r w:rsidRPr="00F93ABF">
        <w:rPr>
          <w:sz w:val="24"/>
          <w:szCs w:val="24"/>
        </w:rPr>
        <w:t xml:space="preserve"> hos denne patientgruppe.</w:t>
      </w:r>
    </w:p>
    <w:p w:rsidR="00873CD3" w:rsidRPr="00F93ABF" w:rsidRDefault="00873CD3" w:rsidP="00873CD3">
      <w:pPr>
        <w:pStyle w:val="Normalindrykning"/>
        <w:spacing w:after="0"/>
        <w:ind w:left="851"/>
        <w:rPr>
          <w:sz w:val="24"/>
          <w:szCs w:val="24"/>
        </w:rPr>
      </w:pPr>
    </w:p>
    <w:p w:rsidR="00873CD3" w:rsidRDefault="00873CD3" w:rsidP="00873CD3">
      <w:pPr>
        <w:pStyle w:val="Normalindrykning"/>
        <w:numPr>
          <w:ilvl w:val="0"/>
          <w:numId w:val="16"/>
        </w:numPr>
        <w:tabs>
          <w:tab w:val="left" w:pos="567"/>
        </w:tabs>
        <w:spacing w:after="0"/>
        <w:ind w:left="1134" w:hanging="283"/>
        <w:rPr>
          <w:sz w:val="24"/>
          <w:szCs w:val="24"/>
        </w:rPr>
      </w:pPr>
      <w:r w:rsidRPr="00F93ABF">
        <w:rPr>
          <w:sz w:val="24"/>
          <w:szCs w:val="24"/>
        </w:rPr>
        <w:lastRenderedPageBreak/>
        <w:t xml:space="preserve">Hos patienter med bilirubin op til 1,5 gange ULN er den anbefalede dosis af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350 mg/m²</w:t>
      </w:r>
      <w:r>
        <w:rPr>
          <w:sz w:val="24"/>
          <w:szCs w:val="24"/>
        </w:rPr>
        <w:t>.</w:t>
      </w:r>
      <w:r w:rsidRPr="00F93ABF">
        <w:rPr>
          <w:sz w:val="24"/>
          <w:szCs w:val="24"/>
        </w:rPr>
        <w:t xml:space="preserve"> </w:t>
      </w:r>
    </w:p>
    <w:p w:rsidR="00873CD3" w:rsidRPr="00F93ABF" w:rsidRDefault="00873CD3" w:rsidP="00873CD3">
      <w:pPr>
        <w:pStyle w:val="Normalindrykning"/>
        <w:tabs>
          <w:tab w:val="left" w:pos="567"/>
        </w:tabs>
        <w:spacing w:after="0"/>
        <w:ind w:left="1134"/>
        <w:rPr>
          <w:sz w:val="24"/>
          <w:szCs w:val="24"/>
        </w:rPr>
      </w:pPr>
    </w:p>
    <w:p w:rsidR="00873CD3" w:rsidRDefault="00873CD3" w:rsidP="00873CD3">
      <w:pPr>
        <w:pStyle w:val="Normalindrykning"/>
        <w:numPr>
          <w:ilvl w:val="0"/>
          <w:numId w:val="16"/>
        </w:numPr>
        <w:tabs>
          <w:tab w:val="left" w:pos="567"/>
        </w:tabs>
        <w:spacing w:after="0"/>
        <w:ind w:left="1134" w:hanging="283"/>
        <w:rPr>
          <w:sz w:val="24"/>
          <w:szCs w:val="24"/>
        </w:rPr>
      </w:pPr>
      <w:r w:rsidRPr="00F93ABF">
        <w:rPr>
          <w:sz w:val="24"/>
          <w:szCs w:val="24"/>
        </w:rPr>
        <w:t xml:space="preserve">Hos patienter med bilirubin fra 1,5 til 3 gange </w:t>
      </w:r>
      <w:r>
        <w:rPr>
          <w:sz w:val="24"/>
          <w:szCs w:val="24"/>
        </w:rPr>
        <w:t>ULN</w:t>
      </w:r>
      <w:r w:rsidRPr="00F93ABF">
        <w:rPr>
          <w:sz w:val="24"/>
          <w:szCs w:val="24"/>
        </w:rPr>
        <w:t xml:space="preserve"> er den anbefalede dosis af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200 mg/m²</w:t>
      </w:r>
      <w:r>
        <w:rPr>
          <w:sz w:val="24"/>
          <w:szCs w:val="24"/>
        </w:rPr>
        <w:t>.</w:t>
      </w:r>
      <w:r w:rsidRPr="00F93ABF">
        <w:rPr>
          <w:sz w:val="24"/>
          <w:szCs w:val="24"/>
        </w:rPr>
        <w:t xml:space="preserve"> </w:t>
      </w:r>
    </w:p>
    <w:p w:rsidR="00873CD3" w:rsidRPr="00F93ABF" w:rsidRDefault="00873CD3" w:rsidP="00873CD3">
      <w:pPr>
        <w:pStyle w:val="Normalindrykning"/>
        <w:tabs>
          <w:tab w:val="left" w:pos="567"/>
        </w:tabs>
        <w:spacing w:after="0"/>
        <w:ind w:left="1134"/>
        <w:rPr>
          <w:sz w:val="24"/>
          <w:szCs w:val="24"/>
        </w:rPr>
      </w:pPr>
    </w:p>
    <w:p w:rsidR="00873CD3" w:rsidRPr="00F93ABF" w:rsidRDefault="00873CD3" w:rsidP="00873CD3">
      <w:pPr>
        <w:pStyle w:val="Normalindrykning"/>
        <w:numPr>
          <w:ilvl w:val="0"/>
          <w:numId w:val="16"/>
        </w:numPr>
        <w:tabs>
          <w:tab w:val="left" w:pos="567"/>
        </w:tabs>
        <w:spacing w:after="0"/>
        <w:ind w:left="1134" w:hanging="283"/>
        <w:rPr>
          <w:sz w:val="24"/>
          <w:szCs w:val="24"/>
        </w:rPr>
      </w:pPr>
      <w:r w:rsidRPr="00F93ABF">
        <w:rPr>
          <w:sz w:val="24"/>
          <w:szCs w:val="24"/>
        </w:rPr>
        <w:t xml:space="preserve">Patienter med bilirubin mere end 3 gange </w:t>
      </w:r>
      <w:r>
        <w:rPr>
          <w:sz w:val="24"/>
          <w:szCs w:val="24"/>
        </w:rPr>
        <w:t>ULN</w:t>
      </w:r>
      <w:r w:rsidRPr="00F93ABF">
        <w:rPr>
          <w:sz w:val="24"/>
          <w:szCs w:val="24"/>
        </w:rPr>
        <w:t xml:space="preserve"> bør ikke behandles med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(se pkt. 4.3 og 4.4). </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sz w:val="24"/>
          <w:szCs w:val="24"/>
        </w:rPr>
      </w:pPr>
      <w:r w:rsidRPr="00F93ABF">
        <w:rPr>
          <w:sz w:val="24"/>
          <w:szCs w:val="24"/>
        </w:rPr>
        <w:t xml:space="preserve">Der er ingen tilgængelige data vedrørende patienter med nedsat leverfunktion behandlet med </w:t>
      </w: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i kombinationsbehandling.</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sz w:val="24"/>
          <w:szCs w:val="24"/>
          <w:u w:val="single"/>
        </w:rPr>
      </w:pPr>
      <w:r w:rsidRPr="00F93ABF">
        <w:rPr>
          <w:sz w:val="24"/>
          <w:szCs w:val="24"/>
          <w:u w:val="single"/>
        </w:rPr>
        <w:t>Patienter med nedsat nyrefunktion</w:t>
      </w:r>
    </w:p>
    <w:p w:rsidR="00F93ABF" w:rsidRPr="00F93ABF" w:rsidRDefault="00F93ABF" w:rsidP="00F93ABF">
      <w:pPr>
        <w:pStyle w:val="Normalindrykning"/>
        <w:spacing w:after="0"/>
        <w:ind w:left="851"/>
        <w:rPr>
          <w:sz w:val="24"/>
          <w:szCs w:val="24"/>
        </w:rPr>
      </w:pPr>
      <w:proofErr w:type="spellStart"/>
      <w:r w:rsidRPr="00F93ABF">
        <w:rPr>
          <w:sz w:val="24"/>
          <w:szCs w:val="24"/>
        </w:rPr>
        <w:t>Irinotecan</w:t>
      </w:r>
      <w:proofErr w:type="spellEnd"/>
      <w:r w:rsidRPr="00F93ABF">
        <w:rPr>
          <w:sz w:val="24"/>
          <w:szCs w:val="24"/>
        </w:rPr>
        <w:t xml:space="preserve"> "</w:t>
      </w:r>
      <w:proofErr w:type="spellStart"/>
      <w:r w:rsidRPr="00F93ABF">
        <w:rPr>
          <w:sz w:val="24"/>
          <w:szCs w:val="24"/>
        </w:rPr>
        <w:t>Accord</w:t>
      </w:r>
      <w:proofErr w:type="spellEnd"/>
      <w:r w:rsidRPr="00F93ABF">
        <w:rPr>
          <w:sz w:val="24"/>
          <w:szCs w:val="24"/>
        </w:rPr>
        <w:t xml:space="preserve">" er ikke anbefalet til patienter med nedsat nyrefunktion, da der ikke er udført undersøgelser i denne patientgruppe (se pkt. 4.4 og 5.2). </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sz w:val="24"/>
          <w:szCs w:val="24"/>
          <w:u w:val="single"/>
        </w:rPr>
      </w:pPr>
      <w:r w:rsidRPr="00F93ABF">
        <w:rPr>
          <w:sz w:val="24"/>
          <w:szCs w:val="24"/>
          <w:u w:val="single"/>
        </w:rPr>
        <w:t>Ældre</w:t>
      </w:r>
    </w:p>
    <w:p w:rsidR="00873CD3" w:rsidRPr="00F93ABF" w:rsidRDefault="00873CD3" w:rsidP="00873CD3">
      <w:pPr>
        <w:pStyle w:val="Normalindrykning"/>
        <w:spacing w:after="0"/>
        <w:ind w:left="851"/>
        <w:rPr>
          <w:sz w:val="24"/>
          <w:szCs w:val="24"/>
        </w:rPr>
      </w:pPr>
      <w:r w:rsidRPr="00F93ABF">
        <w:rPr>
          <w:sz w:val="24"/>
          <w:szCs w:val="24"/>
        </w:rPr>
        <w:t xml:space="preserve">Der er ikke udført specifikke </w:t>
      </w:r>
      <w:proofErr w:type="spellStart"/>
      <w:r w:rsidRPr="00F93ABF">
        <w:rPr>
          <w:sz w:val="24"/>
          <w:szCs w:val="24"/>
        </w:rPr>
        <w:t>farmakokinetiske</w:t>
      </w:r>
      <w:proofErr w:type="spellEnd"/>
      <w:r w:rsidRPr="00F93ABF">
        <w:rPr>
          <w:sz w:val="24"/>
          <w:szCs w:val="24"/>
        </w:rPr>
        <w:t xml:space="preserve"> undersøgelser hos ældre. Imidlertid bør dosis vælges omhyggeligt i denne patientgruppe under hensyntagen til den hyppigere forekomst af nedsatte biologiske funktioner. Denne patientgruppe </w:t>
      </w:r>
      <w:r>
        <w:rPr>
          <w:sz w:val="24"/>
          <w:szCs w:val="24"/>
        </w:rPr>
        <w:t>kræver</w:t>
      </w:r>
      <w:r w:rsidRPr="00F93ABF">
        <w:rPr>
          <w:sz w:val="24"/>
          <w:szCs w:val="24"/>
        </w:rPr>
        <w:t xml:space="preserve"> mere omhyggelig overvågning (se pkt. 4.4).</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sz w:val="24"/>
          <w:szCs w:val="24"/>
          <w:u w:val="single"/>
        </w:rPr>
      </w:pPr>
      <w:r w:rsidRPr="00F93ABF">
        <w:rPr>
          <w:sz w:val="24"/>
          <w:szCs w:val="24"/>
          <w:u w:val="single"/>
        </w:rPr>
        <w:t>Pædiatrisk population</w:t>
      </w:r>
    </w:p>
    <w:p w:rsidR="00F93ABF" w:rsidRPr="00F93ABF" w:rsidRDefault="00F93ABF" w:rsidP="00F93ABF">
      <w:pPr>
        <w:pStyle w:val="Normalindrykning"/>
        <w:spacing w:after="0"/>
        <w:ind w:left="851"/>
        <w:rPr>
          <w:sz w:val="24"/>
          <w:szCs w:val="24"/>
        </w:rPr>
      </w:pPr>
      <w:proofErr w:type="spellStart"/>
      <w:r w:rsidRPr="00F93ABF">
        <w:rPr>
          <w:sz w:val="24"/>
          <w:szCs w:val="24"/>
        </w:rPr>
        <w:t>Irinotecans</w:t>
      </w:r>
      <w:proofErr w:type="spellEnd"/>
      <w:r w:rsidRPr="00F93ABF">
        <w:rPr>
          <w:sz w:val="24"/>
          <w:szCs w:val="24"/>
        </w:rPr>
        <w:t xml:space="preserve"> sikkerhed og virkning hos børn er endnu ikke klarlagt. Der foreligger ingen data.</w:t>
      </w:r>
    </w:p>
    <w:p w:rsidR="00F93ABF" w:rsidRPr="00F93ABF" w:rsidRDefault="00F93ABF" w:rsidP="00F93ABF">
      <w:pPr>
        <w:pStyle w:val="Normalindrykning"/>
        <w:spacing w:after="0"/>
        <w:ind w:left="851"/>
        <w:rPr>
          <w:sz w:val="24"/>
          <w:szCs w:val="24"/>
        </w:rPr>
      </w:pPr>
    </w:p>
    <w:p w:rsidR="00F93ABF" w:rsidRPr="00F93ABF" w:rsidRDefault="00F93ABF" w:rsidP="00F93ABF">
      <w:pPr>
        <w:pStyle w:val="Normalindrykning"/>
        <w:spacing w:after="0"/>
        <w:ind w:left="851"/>
        <w:rPr>
          <w:bCs/>
          <w:sz w:val="24"/>
          <w:szCs w:val="24"/>
          <w:u w:val="single"/>
        </w:rPr>
      </w:pPr>
      <w:r w:rsidRPr="00F93ABF">
        <w:rPr>
          <w:bCs/>
          <w:sz w:val="24"/>
          <w:szCs w:val="24"/>
          <w:u w:val="single"/>
        </w:rPr>
        <w:t>Administration</w:t>
      </w:r>
    </w:p>
    <w:p w:rsidR="00F93ABF" w:rsidRPr="00F93ABF" w:rsidRDefault="00F93ABF" w:rsidP="00F93ABF">
      <w:pPr>
        <w:pStyle w:val="Normalindrykning"/>
        <w:spacing w:after="0"/>
        <w:ind w:left="851"/>
        <w:rPr>
          <w:bCs/>
          <w:i/>
          <w:sz w:val="24"/>
          <w:szCs w:val="24"/>
        </w:rPr>
      </w:pPr>
      <w:r w:rsidRPr="00F93ABF">
        <w:rPr>
          <w:i/>
          <w:sz w:val="24"/>
          <w:szCs w:val="24"/>
        </w:rPr>
        <w:t>Sikkerhedsforanstaltninger, der skal tages før håndtering og administration af lægemidlet</w:t>
      </w:r>
    </w:p>
    <w:p w:rsidR="00F93ABF" w:rsidRPr="00F93ABF" w:rsidRDefault="00F93ABF" w:rsidP="00F93ABF">
      <w:pPr>
        <w:pStyle w:val="Normalindrykning"/>
        <w:spacing w:after="0"/>
        <w:ind w:left="851"/>
        <w:rPr>
          <w:bCs/>
          <w:i/>
          <w:sz w:val="24"/>
          <w:szCs w:val="24"/>
        </w:rPr>
      </w:pPr>
    </w:p>
    <w:p w:rsidR="00F93ABF" w:rsidRPr="00F93ABF" w:rsidRDefault="00F93ABF" w:rsidP="00F93ABF">
      <w:pPr>
        <w:pStyle w:val="Normalindrykning"/>
        <w:spacing w:after="0"/>
        <w:ind w:left="851"/>
        <w:rPr>
          <w:sz w:val="24"/>
          <w:szCs w:val="24"/>
        </w:rPr>
      </w:pPr>
      <w:proofErr w:type="spellStart"/>
      <w:r w:rsidRPr="00F93ABF">
        <w:rPr>
          <w:sz w:val="24"/>
          <w:szCs w:val="24"/>
        </w:rPr>
        <w:t>Irinotecan</w:t>
      </w:r>
      <w:proofErr w:type="spellEnd"/>
      <w:r w:rsidRPr="00F93ABF">
        <w:rPr>
          <w:sz w:val="24"/>
          <w:szCs w:val="24"/>
        </w:rPr>
        <w:t xml:space="preserve"> koncentrat til infusionsvæske, opløsning, er </w:t>
      </w:r>
      <w:proofErr w:type="spellStart"/>
      <w:r w:rsidRPr="00F93ABF">
        <w:rPr>
          <w:sz w:val="24"/>
          <w:szCs w:val="24"/>
        </w:rPr>
        <w:t>cytotoksisk</w:t>
      </w:r>
      <w:proofErr w:type="spellEnd"/>
      <w:r w:rsidRPr="00F93ABF">
        <w:rPr>
          <w:sz w:val="24"/>
          <w:szCs w:val="24"/>
        </w:rPr>
        <w:t>. For oplysninger om fortynding, og særlige forholdsregler for bortskaffelse og anden håndtering, se pkt. 6.6.</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4.3</w:t>
      </w:r>
      <w:r w:rsidRPr="00C84483">
        <w:rPr>
          <w:b/>
          <w:sz w:val="24"/>
          <w:szCs w:val="24"/>
        </w:rPr>
        <w:tab/>
        <w:t>Kontraindikationer</w:t>
      </w:r>
    </w:p>
    <w:p w:rsidR="00F93ABF" w:rsidRPr="00F93ABF" w:rsidRDefault="00F93ABF" w:rsidP="00F93ABF">
      <w:pPr>
        <w:pStyle w:val="Normalindrykning"/>
        <w:numPr>
          <w:ilvl w:val="0"/>
          <w:numId w:val="17"/>
        </w:numPr>
        <w:spacing w:after="0"/>
        <w:ind w:left="1134" w:hanging="283"/>
        <w:rPr>
          <w:sz w:val="24"/>
          <w:szCs w:val="24"/>
        </w:rPr>
      </w:pPr>
      <w:r w:rsidRPr="00F93ABF">
        <w:rPr>
          <w:sz w:val="24"/>
          <w:szCs w:val="24"/>
        </w:rPr>
        <w:t xml:space="preserve">Kronisk inflammatorisk tarmsygdom og/eller tarmobstruktion (se pkt. 4.4). </w:t>
      </w:r>
    </w:p>
    <w:p w:rsidR="00F93ABF" w:rsidRPr="00F93ABF" w:rsidRDefault="00F93ABF" w:rsidP="00F93ABF">
      <w:pPr>
        <w:pStyle w:val="Normalindrykning"/>
        <w:numPr>
          <w:ilvl w:val="0"/>
          <w:numId w:val="17"/>
        </w:numPr>
        <w:spacing w:after="0"/>
        <w:ind w:left="1134" w:hanging="283"/>
        <w:rPr>
          <w:sz w:val="24"/>
          <w:szCs w:val="24"/>
        </w:rPr>
      </w:pPr>
      <w:r w:rsidRPr="00F93ABF">
        <w:rPr>
          <w:sz w:val="24"/>
          <w:szCs w:val="24"/>
        </w:rPr>
        <w:t xml:space="preserve">Overfølsomhed over for det aktive stof eller over for et eller flere af hjælpestofferne anført i pkt. 6.1. </w:t>
      </w:r>
    </w:p>
    <w:p w:rsidR="00F93ABF" w:rsidRPr="00F93ABF" w:rsidRDefault="00F93ABF" w:rsidP="00F93ABF">
      <w:pPr>
        <w:pStyle w:val="Normalindrykning"/>
        <w:numPr>
          <w:ilvl w:val="0"/>
          <w:numId w:val="17"/>
        </w:numPr>
        <w:spacing w:after="0"/>
        <w:ind w:left="1134" w:hanging="283"/>
        <w:rPr>
          <w:sz w:val="24"/>
          <w:szCs w:val="24"/>
        </w:rPr>
      </w:pPr>
      <w:r w:rsidRPr="00F93ABF">
        <w:rPr>
          <w:sz w:val="24"/>
          <w:szCs w:val="24"/>
        </w:rPr>
        <w:t xml:space="preserve">Amning (se pkt. </w:t>
      </w:r>
      <w:r w:rsidR="002B1FA6">
        <w:rPr>
          <w:sz w:val="24"/>
          <w:szCs w:val="24"/>
        </w:rPr>
        <w:t>4.4 og 4.6).</w:t>
      </w:r>
      <w:r w:rsidRPr="00F93ABF">
        <w:rPr>
          <w:sz w:val="24"/>
          <w:szCs w:val="24"/>
        </w:rPr>
        <w:t xml:space="preserve"> </w:t>
      </w:r>
    </w:p>
    <w:p w:rsidR="00F93ABF" w:rsidRPr="00F93ABF" w:rsidRDefault="00F93ABF" w:rsidP="00F93ABF">
      <w:pPr>
        <w:pStyle w:val="Normalindrykning"/>
        <w:numPr>
          <w:ilvl w:val="0"/>
          <w:numId w:val="17"/>
        </w:numPr>
        <w:spacing w:after="0"/>
        <w:ind w:left="1134" w:hanging="283"/>
        <w:rPr>
          <w:sz w:val="24"/>
          <w:szCs w:val="24"/>
        </w:rPr>
      </w:pPr>
      <w:r w:rsidRPr="00F93ABF">
        <w:rPr>
          <w:sz w:val="24"/>
          <w:szCs w:val="24"/>
        </w:rPr>
        <w:t xml:space="preserve">Bilirubin &gt;3 gange den øvre værdi af normalområdet (se pkt. 4.4). </w:t>
      </w:r>
    </w:p>
    <w:p w:rsidR="00F93ABF" w:rsidRPr="00F93ABF" w:rsidRDefault="00F93ABF" w:rsidP="00F93ABF">
      <w:pPr>
        <w:pStyle w:val="Normalindrykning"/>
        <w:numPr>
          <w:ilvl w:val="0"/>
          <w:numId w:val="17"/>
        </w:numPr>
        <w:spacing w:after="0"/>
        <w:ind w:left="1134" w:hanging="283"/>
        <w:rPr>
          <w:sz w:val="24"/>
          <w:szCs w:val="24"/>
        </w:rPr>
      </w:pPr>
      <w:r w:rsidRPr="00F93ABF">
        <w:rPr>
          <w:sz w:val="24"/>
          <w:szCs w:val="24"/>
        </w:rPr>
        <w:t xml:space="preserve">Alvorlig </w:t>
      </w:r>
      <w:proofErr w:type="spellStart"/>
      <w:r w:rsidRPr="00F93ABF">
        <w:rPr>
          <w:sz w:val="24"/>
          <w:szCs w:val="24"/>
        </w:rPr>
        <w:t>knoglemarvsinsuffiens</w:t>
      </w:r>
      <w:proofErr w:type="spellEnd"/>
      <w:r w:rsidRPr="00F93ABF">
        <w:rPr>
          <w:sz w:val="24"/>
          <w:szCs w:val="24"/>
        </w:rPr>
        <w:t xml:space="preserve">. </w:t>
      </w:r>
    </w:p>
    <w:p w:rsidR="00F93ABF" w:rsidRPr="00F93ABF" w:rsidRDefault="00F93ABF" w:rsidP="00F93ABF">
      <w:pPr>
        <w:pStyle w:val="Normalindrykning"/>
        <w:numPr>
          <w:ilvl w:val="0"/>
          <w:numId w:val="17"/>
        </w:numPr>
        <w:spacing w:after="0"/>
        <w:ind w:left="1134" w:hanging="283"/>
        <w:rPr>
          <w:sz w:val="24"/>
          <w:szCs w:val="24"/>
        </w:rPr>
      </w:pPr>
      <w:r w:rsidRPr="00F93ABF">
        <w:rPr>
          <w:sz w:val="24"/>
          <w:szCs w:val="24"/>
        </w:rPr>
        <w:t xml:space="preserve">WHO Performance Status &gt;2. </w:t>
      </w:r>
    </w:p>
    <w:p w:rsidR="00F93ABF" w:rsidRPr="00F93ABF" w:rsidRDefault="00F93ABF" w:rsidP="00F93ABF">
      <w:pPr>
        <w:pStyle w:val="Normalindrykning"/>
        <w:numPr>
          <w:ilvl w:val="0"/>
          <w:numId w:val="17"/>
        </w:numPr>
        <w:spacing w:after="0"/>
        <w:ind w:left="1134" w:hanging="283"/>
        <w:rPr>
          <w:sz w:val="24"/>
          <w:szCs w:val="24"/>
        </w:rPr>
      </w:pPr>
      <w:r w:rsidRPr="00F93ABF">
        <w:rPr>
          <w:sz w:val="24"/>
          <w:szCs w:val="24"/>
        </w:rPr>
        <w:t>Samtidig brug af perikon (se pkt. 4.5).</w:t>
      </w:r>
    </w:p>
    <w:p w:rsidR="00F93ABF" w:rsidRPr="00F93ABF" w:rsidRDefault="00F93ABF" w:rsidP="00F93ABF">
      <w:pPr>
        <w:pStyle w:val="Normalindrykning"/>
        <w:numPr>
          <w:ilvl w:val="0"/>
          <w:numId w:val="17"/>
        </w:numPr>
        <w:spacing w:after="0"/>
        <w:ind w:left="1134" w:hanging="283"/>
        <w:rPr>
          <w:sz w:val="24"/>
          <w:szCs w:val="24"/>
        </w:rPr>
      </w:pPr>
      <w:r w:rsidRPr="00F93ABF">
        <w:rPr>
          <w:sz w:val="24"/>
          <w:szCs w:val="24"/>
        </w:rPr>
        <w:t>Levende, svækkede vacciner (se pkt. 4.5).</w:t>
      </w:r>
    </w:p>
    <w:p w:rsidR="002F45B1" w:rsidRPr="00502688" w:rsidRDefault="002F45B1" w:rsidP="002F45B1">
      <w:pPr>
        <w:pStyle w:val="Normalindrykning"/>
        <w:spacing w:after="0"/>
        <w:ind w:left="1134" w:hanging="283"/>
        <w:rPr>
          <w:sz w:val="24"/>
          <w:szCs w:val="24"/>
        </w:rPr>
      </w:pPr>
    </w:p>
    <w:p w:rsidR="002F45B1" w:rsidRPr="00C84483" w:rsidRDefault="002F45B1" w:rsidP="002F45B1">
      <w:pPr>
        <w:pStyle w:val="Normalindrykning"/>
        <w:spacing w:after="0"/>
        <w:ind w:left="851"/>
        <w:rPr>
          <w:sz w:val="24"/>
          <w:szCs w:val="24"/>
        </w:rPr>
      </w:pPr>
      <w:r w:rsidRPr="00502688">
        <w:rPr>
          <w:sz w:val="24"/>
          <w:szCs w:val="24"/>
        </w:rPr>
        <w:t xml:space="preserve">For yderligere kontraindikationer for </w:t>
      </w:r>
      <w:proofErr w:type="spellStart"/>
      <w:r w:rsidRPr="00502688">
        <w:rPr>
          <w:sz w:val="24"/>
          <w:szCs w:val="24"/>
        </w:rPr>
        <w:t>cetuximab</w:t>
      </w:r>
      <w:proofErr w:type="spellEnd"/>
      <w:r w:rsidRPr="00502688">
        <w:rPr>
          <w:sz w:val="24"/>
          <w:szCs w:val="24"/>
        </w:rPr>
        <w:t xml:space="preserve"> elle</w:t>
      </w:r>
      <w:r>
        <w:rPr>
          <w:sz w:val="24"/>
          <w:szCs w:val="24"/>
        </w:rPr>
        <w:t xml:space="preserve">r </w:t>
      </w:r>
      <w:proofErr w:type="spellStart"/>
      <w:r>
        <w:rPr>
          <w:sz w:val="24"/>
          <w:szCs w:val="24"/>
        </w:rPr>
        <w:t>bevacizumab</w:t>
      </w:r>
      <w:proofErr w:type="spellEnd"/>
      <w:r>
        <w:rPr>
          <w:sz w:val="24"/>
          <w:szCs w:val="24"/>
        </w:rPr>
        <w:t xml:space="preserve"> eller </w:t>
      </w:r>
      <w:proofErr w:type="spellStart"/>
      <w:r>
        <w:rPr>
          <w:sz w:val="24"/>
          <w:szCs w:val="24"/>
        </w:rPr>
        <w:t>capecitabin</w:t>
      </w:r>
      <w:proofErr w:type="spellEnd"/>
      <w:r>
        <w:rPr>
          <w:sz w:val="24"/>
          <w:szCs w:val="24"/>
        </w:rPr>
        <w:t xml:space="preserve"> </w:t>
      </w:r>
      <w:r w:rsidRPr="00502688">
        <w:rPr>
          <w:sz w:val="24"/>
          <w:szCs w:val="24"/>
        </w:rPr>
        <w:t>henvises til produktresuméet for disse lægemidler.</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F45B1" w:rsidRPr="00EC3E95" w:rsidRDefault="002F45B1" w:rsidP="002F45B1">
      <w:pPr>
        <w:ind w:left="851"/>
        <w:rPr>
          <w:sz w:val="24"/>
          <w:szCs w:val="24"/>
          <w:lang w:eastAsia="da-DK"/>
        </w:rPr>
      </w:pPr>
      <w:r w:rsidRPr="00EC3E95">
        <w:rPr>
          <w:sz w:val="24"/>
          <w:szCs w:val="24"/>
          <w:lang w:eastAsia="da-DK"/>
        </w:rPr>
        <w:t xml:space="preserve">Anvendelse af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xml:space="preserve">" bør kun finde sted på afdelinger med særlig erfaring i administration af </w:t>
      </w:r>
      <w:proofErr w:type="spellStart"/>
      <w:r w:rsidRPr="00EC3E95">
        <w:rPr>
          <w:sz w:val="24"/>
          <w:szCs w:val="24"/>
          <w:lang w:eastAsia="da-DK"/>
        </w:rPr>
        <w:t>cytostatika</w:t>
      </w:r>
      <w:proofErr w:type="spellEnd"/>
      <w:r w:rsidRPr="00EC3E95">
        <w:rPr>
          <w:sz w:val="24"/>
          <w:szCs w:val="24"/>
          <w:lang w:eastAsia="da-DK"/>
        </w:rPr>
        <w:t xml:space="preserve"> og bør kun indgives under supervision af en læge, som er kvalificeret til at ordinere </w:t>
      </w:r>
      <w:proofErr w:type="spellStart"/>
      <w:r w:rsidRPr="00EC3E95">
        <w:rPr>
          <w:sz w:val="24"/>
          <w:szCs w:val="24"/>
          <w:lang w:eastAsia="da-DK"/>
        </w:rPr>
        <w:t>cytostatika</w:t>
      </w:r>
      <w:proofErr w:type="spellEnd"/>
      <w:r w:rsidRPr="00EC3E95">
        <w:rPr>
          <w:sz w:val="24"/>
          <w:szCs w:val="24"/>
          <w:lang w:eastAsia="da-DK"/>
        </w:rPr>
        <w:t xml:space="preserve">. </w:t>
      </w:r>
    </w:p>
    <w:p w:rsidR="002F45B1" w:rsidRPr="00EC3E95" w:rsidRDefault="002F45B1" w:rsidP="002F45B1">
      <w:pPr>
        <w:ind w:left="851"/>
        <w:rPr>
          <w:sz w:val="24"/>
          <w:szCs w:val="24"/>
          <w:lang w:eastAsia="da-DK"/>
        </w:rPr>
      </w:pPr>
    </w:p>
    <w:p w:rsidR="002F45B1" w:rsidRDefault="002F45B1" w:rsidP="002F45B1">
      <w:pPr>
        <w:ind w:left="851"/>
        <w:rPr>
          <w:sz w:val="24"/>
          <w:szCs w:val="24"/>
          <w:lang w:eastAsia="da-DK"/>
        </w:rPr>
      </w:pPr>
      <w:r w:rsidRPr="00EC3E95">
        <w:rPr>
          <w:sz w:val="24"/>
          <w:szCs w:val="24"/>
          <w:lang w:eastAsia="da-DK"/>
        </w:rPr>
        <w:lastRenderedPageBreak/>
        <w:t xml:space="preserve">I betragtning af bivirkningernes karakter og </w:t>
      </w:r>
      <w:proofErr w:type="spellStart"/>
      <w:r w:rsidRPr="00EC3E95">
        <w:rPr>
          <w:sz w:val="24"/>
          <w:szCs w:val="24"/>
          <w:lang w:eastAsia="da-DK"/>
        </w:rPr>
        <w:t>incidens</w:t>
      </w:r>
      <w:proofErr w:type="spellEnd"/>
      <w:r w:rsidRPr="00EC3E95">
        <w:rPr>
          <w:sz w:val="24"/>
          <w:szCs w:val="24"/>
          <w:lang w:eastAsia="da-DK"/>
        </w:rPr>
        <w:t xml:space="preserve"> skal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xml:space="preserve">" kun ordineres til nedenstående patientgrupper efter nøje overvejelse af de forventede behandlingsfordele i forhold til mulige behandlingsrisici: </w:t>
      </w:r>
    </w:p>
    <w:p w:rsidR="00B40B17" w:rsidRPr="00EC3E95" w:rsidRDefault="00B40B17" w:rsidP="002F45B1">
      <w:pPr>
        <w:ind w:left="851"/>
        <w:rPr>
          <w:sz w:val="24"/>
          <w:szCs w:val="24"/>
          <w:lang w:eastAsia="da-DK"/>
        </w:rPr>
      </w:pPr>
    </w:p>
    <w:p w:rsidR="00B40B17" w:rsidRPr="00B40B17" w:rsidRDefault="00B40B17" w:rsidP="00B40B17">
      <w:pPr>
        <w:numPr>
          <w:ilvl w:val="0"/>
          <w:numId w:val="18"/>
        </w:numPr>
        <w:tabs>
          <w:tab w:val="clear" w:pos="1080"/>
        </w:tabs>
        <w:ind w:left="1134" w:hanging="283"/>
        <w:rPr>
          <w:sz w:val="24"/>
          <w:szCs w:val="24"/>
          <w:lang w:eastAsia="da-DK"/>
        </w:rPr>
      </w:pPr>
      <w:r w:rsidRPr="00B40B17">
        <w:rPr>
          <w:sz w:val="24"/>
          <w:szCs w:val="24"/>
          <w:lang w:eastAsia="da-DK"/>
        </w:rPr>
        <w:t xml:space="preserve">Patienter med risikofaktorer. Specielt patienter med en WHO Performance Status = 2. </w:t>
      </w:r>
    </w:p>
    <w:p w:rsidR="00B40B17" w:rsidRPr="00B40B17" w:rsidRDefault="00B40B17" w:rsidP="00B40B17">
      <w:pPr>
        <w:numPr>
          <w:ilvl w:val="0"/>
          <w:numId w:val="18"/>
        </w:numPr>
        <w:tabs>
          <w:tab w:val="clear" w:pos="1080"/>
        </w:tabs>
        <w:ind w:left="1134" w:hanging="283"/>
        <w:rPr>
          <w:sz w:val="24"/>
          <w:szCs w:val="24"/>
          <w:lang w:eastAsia="da-DK"/>
        </w:rPr>
      </w:pPr>
      <w:r w:rsidRPr="00B40B17">
        <w:rPr>
          <w:sz w:val="24"/>
          <w:szCs w:val="24"/>
          <w:lang w:eastAsia="da-DK"/>
        </w:rPr>
        <w:t xml:space="preserve">I de få sjældne tilfælde, hvor patienten skønnes ikke at være i stand til at følge retningslinjerne for behandling af bivirkninger (behov for øjeblikkelig påbegyndelse af obstiperende langtidsterapi samtidig med rigelig væske ved indtræden af sent indtrædende diarré). Det anbefales, at hospitalet observerer disse patienter nøje. </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Når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xml:space="preserve">" administreres i monoterapi, ordineres det normalt med behandling hver 3. uge. Det kan imidlertid overvejes at anvende et regime med behandling hver uge (se pkt. 5) hos patienter, som kræver en tættere opfølgning, eller som har en særlig risiko for svær </w:t>
      </w:r>
      <w:proofErr w:type="spellStart"/>
      <w:r w:rsidRPr="00EC3E95">
        <w:rPr>
          <w:sz w:val="24"/>
          <w:szCs w:val="24"/>
          <w:lang w:eastAsia="da-DK"/>
        </w:rPr>
        <w:t>neutropeni</w:t>
      </w:r>
      <w:proofErr w:type="spellEnd"/>
      <w:r w:rsidRPr="00EC3E95">
        <w:rPr>
          <w:sz w:val="24"/>
          <w:szCs w:val="24"/>
          <w:lang w:eastAsia="da-DK"/>
        </w:rPr>
        <w:t xml:space="preserve">. </w:t>
      </w:r>
    </w:p>
    <w:p w:rsidR="002F45B1" w:rsidRPr="00EC3E95" w:rsidRDefault="002F45B1" w:rsidP="002F45B1">
      <w:pPr>
        <w:ind w:left="851"/>
        <w:rPr>
          <w:b/>
          <w:bCs/>
          <w:sz w:val="24"/>
          <w:szCs w:val="24"/>
          <w:lang w:eastAsia="da-DK"/>
        </w:rPr>
      </w:pPr>
    </w:p>
    <w:p w:rsidR="002F45B1" w:rsidRPr="00B40B17" w:rsidRDefault="002F45B1" w:rsidP="002F45B1">
      <w:pPr>
        <w:ind w:left="851"/>
        <w:rPr>
          <w:bCs/>
          <w:sz w:val="24"/>
          <w:szCs w:val="24"/>
          <w:u w:val="single"/>
          <w:lang w:eastAsia="da-DK"/>
        </w:rPr>
      </w:pPr>
      <w:r w:rsidRPr="00B40B17">
        <w:rPr>
          <w:sz w:val="24"/>
          <w:szCs w:val="24"/>
          <w:u w:val="single"/>
          <w:lang w:eastAsia="da-DK"/>
        </w:rPr>
        <w:t>Sent indsættende diarré</w:t>
      </w:r>
    </w:p>
    <w:p w:rsidR="002F45B1" w:rsidRPr="00EC3E95" w:rsidRDefault="002F45B1" w:rsidP="002F45B1">
      <w:pPr>
        <w:ind w:left="851"/>
        <w:rPr>
          <w:sz w:val="24"/>
          <w:szCs w:val="24"/>
          <w:lang w:eastAsia="da-DK"/>
        </w:rPr>
      </w:pPr>
      <w:r w:rsidRPr="00EC3E95">
        <w:rPr>
          <w:sz w:val="24"/>
          <w:szCs w:val="24"/>
          <w:lang w:eastAsia="da-DK"/>
        </w:rPr>
        <w:t xml:space="preserve">Patienter skal gøres opmærksomme på risikoen for sent indsættende diarré, der kan opstå senere end 24 timer efter administration af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xml:space="preserve">" og på ethvert tidspunkt inden næste behandling. I monoterapi var mediantiden for start af den første flydende afføring på 5 dage efter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xml:space="preserve">"-infusionen. Patienter skal hurtigst muligt informere den behandlende læge, hvis denne diarrétype opstår, og omgående starte passende behandling. </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Patienter, som har øget risiko for diarré, er patienter, som tidligere har fået </w:t>
      </w:r>
      <w:proofErr w:type="spellStart"/>
      <w:r w:rsidRPr="00EC3E95">
        <w:rPr>
          <w:sz w:val="24"/>
          <w:szCs w:val="24"/>
          <w:lang w:eastAsia="da-DK"/>
        </w:rPr>
        <w:t>abdominal</w:t>
      </w:r>
      <w:proofErr w:type="spellEnd"/>
      <w:r w:rsidRPr="00EC3E95">
        <w:rPr>
          <w:sz w:val="24"/>
          <w:szCs w:val="24"/>
          <w:lang w:eastAsia="da-DK"/>
        </w:rPr>
        <w:t xml:space="preserve">/bækken-strålebehandling, patienter med </w:t>
      </w:r>
      <w:proofErr w:type="spellStart"/>
      <w:r w:rsidRPr="00EC3E95">
        <w:rPr>
          <w:sz w:val="24"/>
          <w:szCs w:val="24"/>
          <w:lang w:eastAsia="da-DK"/>
        </w:rPr>
        <w:t>hyperleukocytose</w:t>
      </w:r>
      <w:proofErr w:type="spellEnd"/>
      <w:r w:rsidRPr="00EC3E95">
        <w:rPr>
          <w:sz w:val="24"/>
          <w:szCs w:val="24"/>
          <w:lang w:eastAsia="da-DK"/>
        </w:rPr>
        <w:t xml:space="preserve"> ved behandlingens start, patienter med performance status ≥ 2 samt kvindelige patienter. Diarré kan blive livstruende, hvis korrekt behandling ikke påbegyndes, specielt hvis patienten samtidig har </w:t>
      </w:r>
      <w:proofErr w:type="spellStart"/>
      <w:r w:rsidRPr="00EC3E95">
        <w:rPr>
          <w:sz w:val="24"/>
          <w:szCs w:val="24"/>
          <w:lang w:eastAsia="da-DK"/>
        </w:rPr>
        <w:t>neutropeni</w:t>
      </w:r>
      <w:proofErr w:type="spellEnd"/>
      <w:r w:rsidRPr="00EC3E95">
        <w:rPr>
          <w:sz w:val="24"/>
          <w:szCs w:val="24"/>
          <w:lang w:eastAsia="da-DK"/>
        </w:rPr>
        <w:t xml:space="preserve">. </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Så snart den første flydende afføring opstår, skal patienten indtage store mængder væske indeholdende elektrolytter, og sufficient obstiperende behandling skal straks påbegyndes. Denne obstiperende behandling skal ordineres af den afdeling, hvor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xml:space="preserve">" er blevet administreret. Ved udskrivning fra hospitalet skal de ordinerede </w:t>
      </w:r>
      <w:r w:rsidR="00B40B17">
        <w:rPr>
          <w:sz w:val="24"/>
          <w:szCs w:val="24"/>
          <w:lang w:eastAsia="da-DK"/>
        </w:rPr>
        <w:t xml:space="preserve">lægemidler </w:t>
      </w:r>
      <w:r w:rsidRPr="00EC3E95">
        <w:rPr>
          <w:sz w:val="24"/>
          <w:szCs w:val="24"/>
          <w:lang w:eastAsia="da-DK"/>
        </w:rPr>
        <w:t xml:space="preserve">udleveres til patienten, så den obstiperende behandling kan påbegyndes, så snart diarréen opstår. Patienter skal desuden informere den behandlende læge eller afdeling, når/hvis diarré opstår. </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Den aktuelle anbefalede obstiperende behandling består af høje doser af </w:t>
      </w:r>
      <w:proofErr w:type="spellStart"/>
      <w:r w:rsidRPr="00EC3E95">
        <w:rPr>
          <w:sz w:val="24"/>
          <w:szCs w:val="24"/>
          <w:lang w:eastAsia="da-DK"/>
        </w:rPr>
        <w:t>loperamid</w:t>
      </w:r>
      <w:proofErr w:type="spellEnd"/>
      <w:r w:rsidRPr="00EC3E95">
        <w:rPr>
          <w:sz w:val="24"/>
          <w:szCs w:val="24"/>
          <w:lang w:eastAsia="da-DK"/>
        </w:rPr>
        <w:t xml:space="preserve"> (4 mg som første dosis og derefter 2 mg hver 2. time). Denne behandling bør fortsætte i 12 timer efter den sidste flydende afføring, og behandlingen bør ikke ændres. </w:t>
      </w:r>
      <w:proofErr w:type="spellStart"/>
      <w:r w:rsidRPr="00EC3E95">
        <w:rPr>
          <w:sz w:val="24"/>
          <w:szCs w:val="24"/>
          <w:lang w:eastAsia="da-DK"/>
        </w:rPr>
        <w:t>Loperamid</w:t>
      </w:r>
      <w:proofErr w:type="spellEnd"/>
      <w:r w:rsidRPr="00EC3E95">
        <w:rPr>
          <w:sz w:val="24"/>
          <w:szCs w:val="24"/>
          <w:lang w:eastAsia="da-DK"/>
        </w:rPr>
        <w:t xml:space="preserve"> må under ingen omstændigheder administreres i mere end 48 timer i træk i denne dosering på grund af risikoen for paralytisk </w:t>
      </w:r>
      <w:proofErr w:type="spellStart"/>
      <w:r w:rsidRPr="00EC3E95">
        <w:rPr>
          <w:sz w:val="24"/>
          <w:szCs w:val="24"/>
          <w:lang w:eastAsia="da-DK"/>
        </w:rPr>
        <w:t>ileus</w:t>
      </w:r>
      <w:proofErr w:type="spellEnd"/>
      <w:r w:rsidRPr="00EC3E95">
        <w:rPr>
          <w:sz w:val="24"/>
          <w:szCs w:val="24"/>
          <w:lang w:eastAsia="da-DK"/>
        </w:rPr>
        <w:t>, og skal gives i mindst 12 timer.</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Når der samtidig med diarréen opstår alvorlig </w:t>
      </w:r>
      <w:proofErr w:type="spellStart"/>
      <w:r w:rsidRPr="00EC3E95">
        <w:rPr>
          <w:sz w:val="24"/>
          <w:szCs w:val="24"/>
          <w:lang w:eastAsia="da-DK"/>
        </w:rPr>
        <w:t>neutropeni</w:t>
      </w:r>
      <w:proofErr w:type="spellEnd"/>
      <w:r w:rsidRPr="00EC3E95">
        <w:rPr>
          <w:sz w:val="24"/>
          <w:szCs w:val="24"/>
          <w:lang w:eastAsia="da-DK"/>
        </w:rPr>
        <w:t xml:space="preserve"> (</w:t>
      </w:r>
      <w:proofErr w:type="spellStart"/>
      <w:r w:rsidRPr="00EC3E95">
        <w:rPr>
          <w:sz w:val="24"/>
          <w:szCs w:val="24"/>
          <w:lang w:eastAsia="da-DK"/>
        </w:rPr>
        <w:t>neutrofil</w:t>
      </w:r>
      <w:proofErr w:type="spellEnd"/>
      <w:r w:rsidRPr="00EC3E95">
        <w:rPr>
          <w:sz w:val="24"/>
          <w:szCs w:val="24"/>
          <w:lang w:eastAsia="da-DK"/>
        </w:rPr>
        <w:t xml:space="preserve"> tal &lt;500 celler/mm³), skal der gives profylaktisk bredspektret antibiotika i tilslutning til den obstiperende behandling. </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I tilslutning til antibiotikabehandling anbefales det i følgende tilfælde at indlægge patienten for at kontrollere diarréen: </w:t>
      </w:r>
    </w:p>
    <w:p w:rsidR="002F45B1" w:rsidRPr="00EC3E95" w:rsidRDefault="002F45B1" w:rsidP="002F45B1">
      <w:pPr>
        <w:numPr>
          <w:ilvl w:val="0"/>
          <w:numId w:val="11"/>
        </w:numPr>
        <w:tabs>
          <w:tab w:val="clear" w:pos="1080"/>
          <w:tab w:val="num" w:pos="567"/>
        </w:tabs>
        <w:ind w:left="1134" w:hanging="283"/>
        <w:rPr>
          <w:sz w:val="24"/>
          <w:szCs w:val="24"/>
          <w:lang w:eastAsia="da-DK"/>
        </w:rPr>
      </w:pPr>
      <w:r w:rsidRPr="00EC3E95">
        <w:rPr>
          <w:sz w:val="24"/>
          <w:szCs w:val="24"/>
          <w:lang w:eastAsia="da-DK"/>
        </w:rPr>
        <w:t xml:space="preserve">diarréen er forbundet med feber, </w:t>
      </w:r>
    </w:p>
    <w:p w:rsidR="002F45B1" w:rsidRPr="00EC3E95" w:rsidRDefault="002F45B1" w:rsidP="002F45B1">
      <w:pPr>
        <w:numPr>
          <w:ilvl w:val="0"/>
          <w:numId w:val="11"/>
        </w:numPr>
        <w:tabs>
          <w:tab w:val="clear" w:pos="1080"/>
          <w:tab w:val="num" w:pos="567"/>
        </w:tabs>
        <w:ind w:left="1134" w:hanging="283"/>
        <w:rPr>
          <w:sz w:val="24"/>
          <w:szCs w:val="24"/>
          <w:lang w:eastAsia="da-DK"/>
        </w:rPr>
      </w:pPr>
      <w:r w:rsidRPr="00EC3E95">
        <w:rPr>
          <w:sz w:val="24"/>
          <w:szCs w:val="24"/>
          <w:lang w:eastAsia="da-DK"/>
        </w:rPr>
        <w:t xml:space="preserve">alvorlig diarré (der kræver intravenøs hydrering), </w:t>
      </w:r>
    </w:p>
    <w:p w:rsidR="002F45B1" w:rsidRPr="00EC3E95" w:rsidRDefault="002F45B1" w:rsidP="002F45B1">
      <w:pPr>
        <w:numPr>
          <w:ilvl w:val="0"/>
          <w:numId w:val="11"/>
        </w:numPr>
        <w:tabs>
          <w:tab w:val="clear" w:pos="1080"/>
          <w:tab w:val="num" w:pos="567"/>
        </w:tabs>
        <w:ind w:left="1134" w:hanging="283"/>
        <w:rPr>
          <w:sz w:val="24"/>
          <w:szCs w:val="24"/>
          <w:lang w:eastAsia="da-DK"/>
        </w:rPr>
      </w:pPr>
      <w:r w:rsidRPr="00EC3E95">
        <w:rPr>
          <w:sz w:val="24"/>
          <w:szCs w:val="24"/>
          <w:lang w:eastAsia="da-DK"/>
        </w:rPr>
        <w:lastRenderedPageBreak/>
        <w:t>diarré, der varer i mere end 48 timer</w:t>
      </w:r>
      <w:r>
        <w:rPr>
          <w:sz w:val="24"/>
          <w:szCs w:val="24"/>
          <w:lang w:eastAsia="da-DK"/>
        </w:rPr>
        <w:t xml:space="preserve"> efter påbegyndelse af højdosis </w:t>
      </w:r>
      <w:proofErr w:type="spellStart"/>
      <w:r w:rsidRPr="00EC3E95">
        <w:rPr>
          <w:sz w:val="24"/>
          <w:szCs w:val="24"/>
          <w:lang w:eastAsia="da-DK"/>
        </w:rPr>
        <w:t>loperamid</w:t>
      </w:r>
      <w:r>
        <w:rPr>
          <w:sz w:val="24"/>
          <w:szCs w:val="24"/>
          <w:lang w:eastAsia="da-DK"/>
        </w:rPr>
        <w:softHyphen/>
      </w:r>
      <w:r w:rsidRPr="00EC3E95">
        <w:rPr>
          <w:sz w:val="24"/>
          <w:szCs w:val="24"/>
          <w:lang w:eastAsia="da-DK"/>
        </w:rPr>
        <w:t>behandling</w:t>
      </w:r>
      <w:proofErr w:type="spellEnd"/>
      <w:r w:rsidRPr="00EC3E95">
        <w:rPr>
          <w:sz w:val="24"/>
          <w:szCs w:val="24"/>
          <w:lang w:eastAsia="da-DK"/>
        </w:rPr>
        <w:t xml:space="preserve">. </w:t>
      </w:r>
    </w:p>
    <w:p w:rsidR="002F45B1" w:rsidRPr="00EC3E95" w:rsidRDefault="002F45B1" w:rsidP="002F45B1">
      <w:pPr>
        <w:ind w:left="851"/>
        <w:rPr>
          <w:sz w:val="24"/>
          <w:szCs w:val="24"/>
          <w:lang w:eastAsia="da-DK"/>
        </w:rPr>
      </w:pPr>
    </w:p>
    <w:p w:rsidR="00873CD3" w:rsidRPr="00EC3E95" w:rsidRDefault="00873CD3" w:rsidP="00873CD3">
      <w:pPr>
        <w:ind w:left="851"/>
        <w:rPr>
          <w:sz w:val="24"/>
          <w:szCs w:val="24"/>
          <w:lang w:eastAsia="da-DK"/>
        </w:rPr>
      </w:pPr>
      <w:proofErr w:type="spellStart"/>
      <w:r w:rsidRPr="00EC3E95">
        <w:rPr>
          <w:sz w:val="24"/>
          <w:szCs w:val="24"/>
          <w:lang w:eastAsia="da-DK"/>
        </w:rPr>
        <w:t>Loperamid</w:t>
      </w:r>
      <w:proofErr w:type="spellEnd"/>
      <w:r w:rsidRPr="00EC3E95">
        <w:rPr>
          <w:sz w:val="24"/>
          <w:szCs w:val="24"/>
          <w:lang w:eastAsia="da-DK"/>
        </w:rPr>
        <w:t xml:space="preserve"> bør ikke gives profylaktisk, selv ikke hvor patienten har haft sent indsættende diarré </w:t>
      </w:r>
      <w:r>
        <w:rPr>
          <w:sz w:val="24"/>
          <w:szCs w:val="24"/>
          <w:lang w:eastAsia="da-DK"/>
        </w:rPr>
        <w:t>i</w:t>
      </w:r>
      <w:r w:rsidRPr="00EC3E95">
        <w:rPr>
          <w:sz w:val="24"/>
          <w:szCs w:val="24"/>
          <w:lang w:eastAsia="da-DK"/>
        </w:rPr>
        <w:t xml:space="preserve"> de tidligere behandlingscykler. </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Hos patienter, som har haft svær diarré, anbefales en dosisreduktion i de efterfølgende behandlingscykler (se pkt. 4.2). </w:t>
      </w:r>
    </w:p>
    <w:p w:rsidR="002F45B1" w:rsidRPr="00EC3E95" w:rsidRDefault="002F45B1" w:rsidP="002F45B1">
      <w:pPr>
        <w:ind w:left="851"/>
        <w:rPr>
          <w:b/>
          <w:bCs/>
          <w:sz w:val="24"/>
          <w:szCs w:val="24"/>
          <w:lang w:eastAsia="da-DK"/>
        </w:rPr>
      </w:pPr>
    </w:p>
    <w:p w:rsidR="002F45B1" w:rsidRPr="000934DB" w:rsidRDefault="002F45B1" w:rsidP="002F45B1">
      <w:pPr>
        <w:ind w:left="851"/>
        <w:rPr>
          <w:sz w:val="24"/>
          <w:szCs w:val="24"/>
          <w:u w:val="single"/>
          <w:lang w:eastAsia="da-DK"/>
        </w:rPr>
      </w:pPr>
      <w:r w:rsidRPr="000934DB">
        <w:rPr>
          <w:sz w:val="24"/>
          <w:szCs w:val="24"/>
          <w:u w:val="single"/>
          <w:lang w:eastAsia="da-DK"/>
        </w:rPr>
        <w:t xml:space="preserve">Hæmatologi </w:t>
      </w:r>
    </w:p>
    <w:p w:rsidR="00873CD3" w:rsidRPr="00EC3E95" w:rsidRDefault="00873CD3" w:rsidP="00873CD3">
      <w:pPr>
        <w:ind w:left="851"/>
        <w:rPr>
          <w:sz w:val="24"/>
          <w:szCs w:val="24"/>
          <w:lang w:eastAsia="da-DK"/>
        </w:rPr>
      </w:pPr>
      <w:r w:rsidRPr="00EC3E95">
        <w:rPr>
          <w:sz w:val="24"/>
          <w:szCs w:val="24"/>
          <w:lang w:eastAsia="da-DK"/>
        </w:rPr>
        <w:t xml:space="preserve">I kliniske undersøgelser har hyppigheden af ​​NCI CTC </w:t>
      </w:r>
      <w:r>
        <w:rPr>
          <w:sz w:val="24"/>
          <w:szCs w:val="24"/>
          <w:lang w:eastAsia="da-DK"/>
        </w:rPr>
        <w:t>Grad</w:t>
      </w:r>
      <w:r w:rsidRPr="00EC3E95">
        <w:rPr>
          <w:sz w:val="24"/>
          <w:szCs w:val="24"/>
          <w:lang w:eastAsia="da-DK"/>
        </w:rPr>
        <w:t xml:space="preserve"> 3 og 4 </w:t>
      </w:r>
      <w:proofErr w:type="spellStart"/>
      <w:r w:rsidRPr="00EC3E95">
        <w:rPr>
          <w:sz w:val="24"/>
          <w:szCs w:val="24"/>
          <w:lang w:eastAsia="da-DK"/>
        </w:rPr>
        <w:t>neutropeni</w:t>
      </w:r>
      <w:proofErr w:type="spellEnd"/>
      <w:r w:rsidRPr="00EC3E95">
        <w:rPr>
          <w:sz w:val="24"/>
          <w:szCs w:val="24"/>
          <w:lang w:eastAsia="da-DK"/>
        </w:rPr>
        <w:t xml:space="preserve"> været signifikant højere hos patienter, der tidligere fik bækken/</w:t>
      </w:r>
      <w:proofErr w:type="spellStart"/>
      <w:r w:rsidRPr="00EC3E95">
        <w:rPr>
          <w:sz w:val="24"/>
          <w:szCs w:val="24"/>
          <w:lang w:eastAsia="da-DK"/>
        </w:rPr>
        <w:t>abdominal</w:t>
      </w:r>
      <w:proofErr w:type="spellEnd"/>
      <w:r w:rsidRPr="00EC3E95">
        <w:rPr>
          <w:sz w:val="24"/>
          <w:szCs w:val="24"/>
          <w:lang w:eastAsia="da-DK"/>
        </w:rPr>
        <w:t xml:space="preserve">-strålebehandling end hos dem, der ikke havde modtaget en sådan strålebehandling. Patienter med total serum-bilirubin på 0,01 mg/ml eller højere ved baseline havde også en signifikant højere risiko for at få </w:t>
      </w:r>
      <w:r>
        <w:rPr>
          <w:sz w:val="24"/>
          <w:szCs w:val="24"/>
          <w:lang w:eastAsia="da-DK"/>
        </w:rPr>
        <w:t>Grad</w:t>
      </w:r>
      <w:r w:rsidRPr="00EC3E95">
        <w:rPr>
          <w:sz w:val="24"/>
          <w:szCs w:val="24"/>
          <w:lang w:eastAsia="da-DK"/>
        </w:rPr>
        <w:t xml:space="preserve"> 3 eller 4 </w:t>
      </w:r>
      <w:proofErr w:type="spellStart"/>
      <w:r w:rsidRPr="00EC3E95">
        <w:rPr>
          <w:sz w:val="24"/>
          <w:szCs w:val="24"/>
          <w:lang w:eastAsia="da-DK"/>
        </w:rPr>
        <w:t>neutropeni</w:t>
      </w:r>
      <w:proofErr w:type="spellEnd"/>
      <w:r w:rsidRPr="00EC3E95">
        <w:rPr>
          <w:sz w:val="24"/>
          <w:szCs w:val="24"/>
          <w:lang w:eastAsia="da-DK"/>
        </w:rPr>
        <w:t xml:space="preserve"> efter første behandling end dem med bilirubin-niveauer lavere end 0,01 mg/ml.</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Ugentlig komplet hæmatologisk </w:t>
      </w:r>
      <w:proofErr w:type="spellStart"/>
      <w:r w:rsidRPr="00EC3E95">
        <w:rPr>
          <w:sz w:val="24"/>
          <w:szCs w:val="24"/>
          <w:lang w:eastAsia="da-DK"/>
        </w:rPr>
        <w:t>differentialtælling</w:t>
      </w:r>
      <w:proofErr w:type="spellEnd"/>
      <w:r w:rsidRPr="00EC3E95">
        <w:rPr>
          <w:sz w:val="24"/>
          <w:szCs w:val="24"/>
          <w:lang w:eastAsia="da-DK"/>
        </w:rPr>
        <w:t xml:space="preserve"> anbefales under behandlingen med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xml:space="preserve">". Patienterne skal informeres om risikoen for </w:t>
      </w:r>
      <w:proofErr w:type="spellStart"/>
      <w:r w:rsidRPr="00EC3E95">
        <w:rPr>
          <w:sz w:val="24"/>
          <w:szCs w:val="24"/>
          <w:lang w:eastAsia="da-DK"/>
        </w:rPr>
        <w:t>neutropeni</w:t>
      </w:r>
      <w:proofErr w:type="spellEnd"/>
      <w:r w:rsidRPr="00EC3E95">
        <w:rPr>
          <w:sz w:val="24"/>
          <w:szCs w:val="24"/>
          <w:lang w:eastAsia="da-DK"/>
        </w:rPr>
        <w:t xml:space="preserve"> og betydningen af feber. Febril </w:t>
      </w:r>
      <w:proofErr w:type="spellStart"/>
      <w:r w:rsidRPr="00EC3E95">
        <w:rPr>
          <w:sz w:val="24"/>
          <w:szCs w:val="24"/>
          <w:lang w:eastAsia="da-DK"/>
        </w:rPr>
        <w:t>neutropeni</w:t>
      </w:r>
      <w:proofErr w:type="spellEnd"/>
      <w:r w:rsidRPr="00EC3E95">
        <w:rPr>
          <w:sz w:val="24"/>
          <w:szCs w:val="24"/>
          <w:lang w:eastAsia="da-DK"/>
        </w:rPr>
        <w:t xml:space="preserve"> (temperaturer &gt;38 °C og </w:t>
      </w:r>
      <w:proofErr w:type="spellStart"/>
      <w:r w:rsidRPr="00EC3E95">
        <w:rPr>
          <w:sz w:val="24"/>
          <w:szCs w:val="24"/>
          <w:lang w:eastAsia="da-DK"/>
        </w:rPr>
        <w:t>neutrofiltal</w:t>
      </w:r>
      <w:proofErr w:type="spellEnd"/>
      <w:r w:rsidRPr="00EC3E95">
        <w:rPr>
          <w:sz w:val="24"/>
          <w:szCs w:val="24"/>
          <w:lang w:eastAsia="da-DK"/>
        </w:rPr>
        <w:t xml:space="preserve"> på </w:t>
      </w:r>
      <w:r w:rsidRPr="00EC3E95">
        <w:rPr>
          <w:sz w:val="24"/>
          <w:szCs w:val="24"/>
          <w:cs/>
          <w:lang w:eastAsia="da-DK"/>
        </w:rPr>
        <w:t>≤</w:t>
      </w:r>
      <w:r w:rsidRPr="00EC3E95">
        <w:rPr>
          <w:sz w:val="24"/>
          <w:szCs w:val="24"/>
          <w:lang w:eastAsia="da-DK"/>
        </w:rPr>
        <w:t xml:space="preserve">1.000 celler/mm³) skal omgående behandles under indlæggelse med bredspektrede intravenøse antibiotika. </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Hos patienter, der har haft alvorlige hæmatologiske bivirkninger, anbefales en reduceret dosis i den efterfølgende behandling (se pkt. 4.2). </w:t>
      </w:r>
    </w:p>
    <w:p w:rsidR="002F45B1" w:rsidRPr="00EC3E95" w:rsidRDefault="002F45B1" w:rsidP="002F45B1">
      <w:pPr>
        <w:tabs>
          <w:tab w:val="left" w:pos="975"/>
        </w:tabs>
        <w:ind w:left="851"/>
        <w:rPr>
          <w:sz w:val="24"/>
          <w:szCs w:val="24"/>
          <w:lang w:eastAsia="da-DK"/>
        </w:rPr>
      </w:pPr>
      <w:r w:rsidRPr="00EC3E95">
        <w:rPr>
          <w:sz w:val="24"/>
          <w:szCs w:val="24"/>
          <w:lang w:eastAsia="da-DK"/>
        </w:rPr>
        <w:tab/>
      </w:r>
    </w:p>
    <w:p w:rsidR="002F45B1" w:rsidRPr="00EC3E95" w:rsidRDefault="002F45B1" w:rsidP="002F45B1">
      <w:pPr>
        <w:ind w:left="851"/>
        <w:rPr>
          <w:sz w:val="24"/>
          <w:szCs w:val="24"/>
          <w:lang w:eastAsia="da-DK"/>
        </w:rPr>
      </w:pPr>
      <w:r w:rsidRPr="00EC3E95">
        <w:rPr>
          <w:sz w:val="24"/>
          <w:szCs w:val="24"/>
          <w:lang w:eastAsia="da-DK"/>
        </w:rPr>
        <w:t>Der er øget risiko for infektioner og hæmatologisk toksicitet hos patienter med svær diarré. Hos patienter med svær diarré, skal der foretages komplet hæmatologisk</w:t>
      </w:r>
      <w:r>
        <w:rPr>
          <w:sz w:val="24"/>
          <w:szCs w:val="24"/>
          <w:lang w:eastAsia="da-DK"/>
        </w:rPr>
        <w:t xml:space="preserve"> </w:t>
      </w:r>
      <w:proofErr w:type="spellStart"/>
      <w:r w:rsidRPr="00EC3E95">
        <w:rPr>
          <w:sz w:val="24"/>
          <w:szCs w:val="24"/>
          <w:lang w:eastAsia="da-DK"/>
        </w:rPr>
        <w:t>differential</w:t>
      </w:r>
      <w:r>
        <w:rPr>
          <w:sz w:val="24"/>
          <w:szCs w:val="24"/>
          <w:lang w:eastAsia="da-DK"/>
        </w:rPr>
        <w:softHyphen/>
      </w:r>
      <w:r w:rsidRPr="00EC3E95">
        <w:rPr>
          <w:sz w:val="24"/>
          <w:szCs w:val="24"/>
          <w:lang w:eastAsia="da-DK"/>
        </w:rPr>
        <w:t>tælling</w:t>
      </w:r>
      <w:proofErr w:type="spellEnd"/>
      <w:r w:rsidRPr="00EC3E95">
        <w:rPr>
          <w:sz w:val="24"/>
          <w:szCs w:val="24"/>
          <w:lang w:eastAsia="da-DK"/>
        </w:rPr>
        <w:t>.</w:t>
      </w:r>
    </w:p>
    <w:p w:rsidR="002F45B1" w:rsidRPr="00EC3E95" w:rsidRDefault="002F45B1" w:rsidP="002F45B1">
      <w:pPr>
        <w:ind w:left="851"/>
        <w:rPr>
          <w:sz w:val="24"/>
          <w:szCs w:val="24"/>
          <w:lang w:eastAsia="da-DK"/>
        </w:rPr>
      </w:pPr>
    </w:p>
    <w:p w:rsidR="002F45B1" w:rsidRPr="000934DB" w:rsidRDefault="002F45B1" w:rsidP="002F45B1">
      <w:pPr>
        <w:ind w:left="851"/>
        <w:rPr>
          <w:bCs/>
          <w:sz w:val="24"/>
          <w:szCs w:val="24"/>
          <w:u w:val="single"/>
          <w:lang w:eastAsia="da-DK"/>
        </w:rPr>
      </w:pPr>
      <w:r w:rsidRPr="000934DB">
        <w:rPr>
          <w:sz w:val="24"/>
          <w:szCs w:val="24"/>
          <w:u w:val="single"/>
          <w:lang w:eastAsia="da-DK"/>
        </w:rPr>
        <w:t>Nedsat leverfunktion</w:t>
      </w:r>
    </w:p>
    <w:p w:rsidR="002F45B1" w:rsidRPr="00EC3E95" w:rsidRDefault="002F45B1" w:rsidP="002F45B1">
      <w:pPr>
        <w:ind w:left="851"/>
        <w:rPr>
          <w:sz w:val="24"/>
          <w:szCs w:val="24"/>
          <w:lang w:eastAsia="da-DK"/>
        </w:rPr>
      </w:pPr>
      <w:r w:rsidRPr="00EC3E95">
        <w:rPr>
          <w:sz w:val="24"/>
          <w:szCs w:val="24"/>
          <w:lang w:eastAsia="da-DK"/>
        </w:rPr>
        <w:t xml:space="preserve">Leverfunktionsundersøgelser skal udføres før behandlingens påbegyndelse og før hver behandlingscyklus. </w:t>
      </w:r>
    </w:p>
    <w:p w:rsidR="002F45B1" w:rsidRPr="00EC3E95" w:rsidRDefault="002F45B1" w:rsidP="002F45B1">
      <w:pPr>
        <w:ind w:left="851"/>
        <w:rPr>
          <w:sz w:val="24"/>
          <w:szCs w:val="24"/>
          <w:lang w:eastAsia="da-DK"/>
        </w:rPr>
      </w:pPr>
    </w:p>
    <w:p w:rsidR="00873CD3" w:rsidRPr="00EC3E95" w:rsidRDefault="00873CD3" w:rsidP="00873CD3">
      <w:pPr>
        <w:ind w:left="851"/>
        <w:rPr>
          <w:sz w:val="24"/>
          <w:szCs w:val="24"/>
          <w:lang w:eastAsia="da-DK"/>
        </w:rPr>
      </w:pPr>
      <w:r w:rsidRPr="00EC3E95">
        <w:rPr>
          <w:sz w:val="24"/>
          <w:szCs w:val="24"/>
          <w:lang w:eastAsia="da-DK"/>
        </w:rPr>
        <w:t xml:space="preserve">Der skal fortages ugentlig komplet hæmatologisk </w:t>
      </w:r>
      <w:proofErr w:type="spellStart"/>
      <w:r w:rsidRPr="00EC3E95">
        <w:rPr>
          <w:sz w:val="24"/>
          <w:szCs w:val="24"/>
          <w:lang w:eastAsia="da-DK"/>
        </w:rPr>
        <w:t>differentialtælling</w:t>
      </w:r>
      <w:proofErr w:type="spellEnd"/>
      <w:r w:rsidRPr="00EC3E95">
        <w:rPr>
          <w:sz w:val="24"/>
          <w:szCs w:val="24"/>
          <w:lang w:eastAsia="da-DK"/>
        </w:rPr>
        <w:t xml:space="preserve"> hos patienter med bilirubin fra 1,5-3 gange </w:t>
      </w:r>
      <w:r>
        <w:rPr>
          <w:sz w:val="24"/>
          <w:szCs w:val="24"/>
          <w:lang w:eastAsia="da-DK"/>
        </w:rPr>
        <w:t>ULN</w:t>
      </w:r>
      <w:r w:rsidRPr="00EC3E95">
        <w:rPr>
          <w:sz w:val="24"/>
          <w:szCs w:val="24"/>
          <w:lang w:eastAsia="da-DK"/>
        </w:rPr>
        <w:t xml:space="preserve"> på grund af nedsat </w:t>
      </w:r>
      <w:proofErr w:type="spellStart"/>
      <w:r w:rsidRPr="00EC3E95">
        <w:rPr>
          <w:sz w:val="24"/>
          <w:szCs w:val="24"/>
          <w:lang w:eastAsia="da-DK"/>
        </w:rPr>
        <w:t>clearance</w:t>
      </w:r>
      <w:proofErr w:type="spellEnd"/>
      <w:r w:rsidRPr="00EC3E95">
        <w:rPr>
          <w:sz w:val="24"/>
          <w:szCs w:val="24"/>
          <w:lang w:eastAsia="da-DK"/>
        </w:rPr>
        <w:t xml:space="preserve"> af </w:t>
      </w:r>
      <w:proofErr w:type="spellStart"/>
      <w:r w:rsidRPr="00EC3E95">
        <w:rPr>
          <w:sz w:val="24"/>
          <w:szCs w:val="24"/>
          <w:lang w:eastAsia="da-DK"/>
        </w:rPr>
        <w:t>irinotecan</w:t>
      </w:r>
      <w:proofErr w:type="spellEnd"/>
      <w:r w:rsidRPr="00EC3E95">
        <w:rPr>
          <w:sz w:val="24"/>
          <w:szCs w:val="24"/>
          <w:lang w:eastAsia="da-DK"/>
        </w:rPr>
        <w:t xml:space="preserve"> (se pkt. 5.2) og dermed forøget risiko for </w:t>
      </w:r>
      <w:proofErr w:type="spellStart"/>
      <w:r w:rsidRPr="00EC3E95">
        <w:rPr>
          <w:sz w:val="24"/>
          <w:szCs w:val="24"/>
          <w:lang w:eastAsia="da-DK"/>
        </w:rPr>
        <w:t>hæmotoksicitet</w:t>
      </w:r>
      <w:proofErr w:type="spellEnd"/>
      <w:r w:rsidRPr="00EC3E95">
        <w:rPr>
          <w:sz w:val="24"/>
          <w:szCs w:val="24"/>
          <w:lang w:eastAsia="da-DK"/>
        </w:rPr>
        <w:t xml:space="preserve"> hos denne </w:t>
      </w:r>
      <w:proofErr w:type="spellStart"/>
      <w:r w:rsidRPr="00EC3E95">
        <w:rPr>
          <w:sz w:val="24"/>
          <w:szCs w:val="24"/>
          <w:lang w:eastAsia="da-DK"/>
        </w:rPr>
        <w:t>patient-gruppe</w:t>
      </w:r>
      <w:proofErr w:type="spellEnd"/>
      <w:r w:rsidRPr="00EC3E95">
        <w:rPr>
          <w:sz w:val="24"/>
          <w:szCs w:val="24"/>
          <w:lang w:eastAsia="da-DK"/>
        </w:rPr>
        <w:t xml:space="preserve">. Se pkt. 4.3 for patienter med bilirubin &gt;3 gange </w:t>
      </w:r>
      <w:r>
        <w:rPr>
          <w:sz w:val="24"/>
          <w:szCs w:val="24"/>
          <w:lang w:eastAsia="da-DK"/>
        </w:rPr>
        <w:t>ULN</w:t>
      </w:r>
      <w:r w:rsidRPr="00EC3E95">
        <w:rPr>
          <w:sz w:val="24"/>
          <w:szCs w:val="24"/>
          <w:lang w:eastAsia="da-DK"/>
        </w:rPr>
        <w:t>.</w:t>
      </w:r>
    </w:p>
    <w:p w:rsidR="002F45B1" w:rsidRPr="00EC3E95" w:rsidRDefault="002F45B1" w:rsidP="002F45B1">
      <w:pPr>
        <w:ind w:left="851"/>
        <w:rPr>
          <w:b/>
          <w:bCs/>
          <w:sz w:val="24"/>
          <w:szCs w:val="24"/>
          <w:lang w:eastAsia="da-DK"/>
        </w:rPr>
      </w:pPr>
    </w:p>
    <w:p w:rsidR="002F45B1" w:rsidRPr="000934DB" w:rsidRDefault="002F45B1" w:rsidP="002F45B1">
      <w:pPr>
        <w:ind w:left="851"/>
        <w:rPr>
          <w:sz w:val="24"/>
          <w:szCs w:val="24"/>
          <w:u w:val="single"/>
          <w:lang w:eastAsia="da-DK"/>
        </w:rPr>
      </w:pPr>
      <w:r w:rsidRPr="000934DB">
        <w:rPr>
          <w:sz w:val="24"/>
          <w:szCs w:val="24"/>
          <w:u w:val="single"/>
          <w:lang w:eastAsia="da-DK"/>
        </w:rPr>
        <w:t xml:space="preserve">Kvalme og opkastning </w:t>
      </w:r>
    </w:p>
    <w:p w:rsidR="002F45B1" w:rsidRPr="00EC3E95" w:rsidRDefault="002F45B1" w:rsidP="002F45B1">
      <w:pPr>
        <w:ind w:left="851"/>
        <w:rPr>
          <w:sz w:val="24"/>
          <w:szCs w:val="24"/>
          <w:lang w:eastAsia="da-DK"/>
        </w:rPr>
      </w:pPr>
      <w:r w:rsidRPr="00EC3E95">
        <w:rPr>
          <w:sz w:val="24"/>
          <w:szCs w:val="24"/>
          <w:lang w:eastAsia="da-DK"/>
        </w:rPr>
        <w:t xml:space="preserve">Profylaktisk behandling med </w:t>
      </w:r>
      <w:proofErr w:type="spellStart"/>
      <w:r w:rsidRPr="00EC3E95">
        <w:rPr>
          <w:sz w:val="24"/>
          <w:szCs w:val="24"/>
          <w:lang w:eastAsia="da-DK"/>
        </w:rPr>
        <w:t>antiemetika</w:t>
      </w:r>
      <w:proofErr w:type="spellEnd"/>
      <w:r w:rsidRPr="00EC3E95">
        <w:rPr>
          <w:sz w:val="24"/>
          <w:szCs w:val="24"/>
          <w:lang w:eastAsia="da-DK"/>
        </w:rPr>
        <w:t xml:space="preserve"> anbefales forud for hver behandling med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xml:space="preserve">". Kvalme og opkastning er observeret hyppigt. Patienter med opkastning associeret med sent indsættende diarré bør indlægges så hurtigt som muligt med henblik på behandling. </w:t>
      </w:r>
    </w:p>
    <w:p w:rsidR="002F45B1" w:rsidRPr="00EC3E95" w:rsidRDefault="002F45B1" w:rsidP="002F45B1">
      <w:pPr>
        <w:ind w:left="851"/>
        <w:rPr>
          <w:b/>
          <w:bCs/>
          <w:sz w:val="24"/>
          <w:szCs w:val="24"/>
          <w:lang w:eastAsia="da-DK"/>
        </w:rPr>
      </w:pPr>
    </w:p>
    <w:p w:rsidR="002F45B1" w:rsidRPr="000934DB" w:rsidRDefault="002F45B1" w:rsidP="002F45B1">
      <w:pPr>
        <w:ind w:left="851"/>
        <w:rPr>
          <w:sz w:val="24"/>
          <w:szCs w:val="24"/>
          <w:u w:val="single"/>
          <w:lang w:eastAsia="da-DK"/>
        </w:rPr>
      </w:pPr>
      <w:r w:rsidRPr="000934DB">
        <w:rPr>
          <w:sz w:val="24"/>
          <w:szCs w:val="24"/>
          <w:u w:val="single"/>
          <w:lang w:eastAsia="da-DK"/>
        </w:rPr>
        <w:t xml:space="preserve">Akut </w:t>
      </w:r>
      <w:proofErr w:type="spellStart"/>
      <w:r w:rsidRPr="000934DB">
        <w:rPr>
          <w:sz w:val="24"/>
          <w:szCs w:val="24"/>
          <w:u w:val="single"/>
          <w:lang w:eastAsia="da-DK"/>
        </w:rPr>
        <w:t>kolinergt</w:t>
      </w:r>
      <w:proofErr w:type="spellEnd"/>
      <w:r w:rsidRPr="000934DB">
        <w:rPr>
          <w:sz w:val="24"/>
          <w:szCs w:val="24"/>
          <w:u w:val="single"/>
          <w:lang w:eastAsia="da-DK"/>
        </w:rPr>
        <w:t xml:space="preserve"> syndrom</w:t>
      </w:r>
    </w:p>
    <w:p w:rsidR="002F45B1" w:rsidRPr="00EC3E95" w:rsidRDefault="002F45B1" w:rsidP="002F45B1">
      <w:pPr>
        <w:ind w:left="851"/>
        <w:rPr>
          <w:sz w:val="24"/>
          <w:szCs w:val="24"/>
          <w:lang w:eastAsia="da-DK"/>
        </w:rPr>
      </w:pPr>
      <w:r w:rsidRPr="00EC3E95">
        <w:rPr>
          <w:sz w:val="24"/>
          <w:szCs w:val="24"/>
          <w:lang w:eastAsia="da-DK"/>
        </w:rPr>
        <w:t xml:space="preserve">Hvis der opstår akut </w:t>
      </w:r>
      <w:proofErr w:type="spellStart"/>
      <w:r w:rsidRPr="00EC3E95">
        <w:rPr>
          <w:sz w:val="24"/>
          <w:szCs w:val="24"/>
          <w:lang w:eastAsia="da-DK"/>
        </w:rPr>
        <w:t>kolinergt</w:t>
      </w:r>
      <w:proofErr w:type="spellEnd"/>
      <w:r w:rsidRPr="00EC3E95">
        <w:rPr>
          <w:sz w:val="24"/>
          <w:szCs w:val="24"/>
          <w:lang w:eastAsia="da-DK"/>
        </w:rPr>
        <w:t xml:space="preserve"> syndrom (defineret som tidligt indsættende diarré og visse andre symptomer, såsom svedudbrud, </w:t>
      </w:r>
      <w:proofErr w:type="spellStart"/>
      <w:r w:rsidRPr="00EC3E95">
        <w:rPr>
          <w:sz w:val="24"/>
          <w:szCs w:val="24"/>
          <w:lang w:eastAsia="da-DK"/>
        </w:rPr>
        <w:t>abdominalkramper</w:t>
      </w:r>
      <w:proofErr w:type="spellEnd"/>
      <w:r w:rsidRPr="00EC3E95">
        <w:rPr>
          <w:sz w:val="24"/>
          <w:szCs w:val="24"/>
          <w:lang w:eastAsia="da-DK"/>
        </w:rPr>
        <w:t xml:space="preserve">, </w:t>
      </w:r>
      <w:proofErr w:type="spellStart"/>
      <w:r w:rsidRPr="00EC3E95">
        <w:rPr>
          <w:sz w:val="24"/>
          <w:szCs w:val="24"/>
          <w:lang w:eastAsia="da-DK"/>
        </w:rPr>
        <w:t>myosis</w:t>
      </w:r>
      <w:proofErr w:type="spellEnd"/>
      <w:r w:rsidRPr="00EC3E95">
        <w:rPr>
          <w:sz w:val="24"/>
          <w:szCs w:val="24"/>
          <w:lang w:eastAsia="da-DK"/>
        </w:rPr>
        <w:t xml:space="preserve"> og spytsekretion), bør der gives atropinsulfat (0,25 mg subkutant), medmindre dette er klinisk kontraindiceret (se pkt. 4.8). </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lastRenderedPageBreak/>
        <w:t xml:space="preserve">Disse symptomer, der kan observeres under eller kort efter infusion af </w:t>
      </w:r>
      <w:proofErr w:type="spellStart"/>
      <w:r w:rsidRPr="00EC3E95">
        <w:rPr>
          <w:sz w:val="24"/>
          <w:szCs w:val="24"/>
          <w:lang w:eastAsia="da-DK"/>
        </w:rPr>
        <w:t>irinotecan</w:t>
      </w:r>
      <w:proofErr w:type="spellEnd"/>
      <w:r w:rsidRPr="00EC3E95">
        <w:rPr>
          <w:sz w:val="24"/>
          <w:szCs w:val="24"/>
          <w:lang w:eastAsia="da-DK"/>
        </w:rPr>
        <w:t xml:space="preserve">, menes at være relateret til </w:t>
      </w:r>
      <w:proofErr w:type="spellStart"/>
      <w:r w:rsidRPr="00EC3E95">
        <w:rPr>
          <w:sz w:val="24"/>
          <w:szCs w:val="24"/>
          <w:lang w:eastAsia="da-DK"/>
        </w:rPr>
        <w:t>anticholinesteraseaktivitet</w:t>
      </w:r>
      <w:proofErr w:type="spellEnd"/>
      <w:r w:rsidRPr="00EC3E95">
        <w:rPr>
          <w:sz w:val="24"/>
          <w:szCs w:val="24"/>
          <w:lang w:eastAsia="da-DK"/>
        </w:rPr>
        <w:t xml:space="preserve"> af </w:t>
      </w:r>
      <w:proofErr w:type="spellStart"/>
      <w:r w:rsidRPr="00EC3E95">
        <w:rPr>
          <w:sz w:val="24"/>
          <w:szCs w:val="24"/>
          <w:lang w:eastAsia="da-DK"/>
        </w:rPr>
        <w:t>irinotecan</w:t>
      </w:r>
      <w:proofErr w:type="spellEnd"/>
      <w:r w:rsidRPr="00EC3E95">
        <w:rPr>
          <w:sz w:val="24"/>
          <w:szCs w:val="24"/>
          <w:lang w:eastAsia="da-DK"/>
        </w:rPr>
        <w:t xml:space="preserve"> stamforbindelsen, og forventes at forekomme hyppigere med højere </w:t>
      </w:r>
      <w:proofErr w:type="spellStart"/>
      <w:r w:rsidRPr="00EC3E95">
        <w:rPr>
          <w:sz w:val="24"/>
          <w:szCs w:val="24"/>
          <w:lang w:eastAsia="da-DK"/>
        </w:rPr>
        <w:t>irinotecan</w:t>
      </w:r>
      <w:proofErr w:type="spellEnd"/>
      <w:r w:rsidRPr="00EC3E95">
        <w:rPr>
          <w:sz w:val="24"/>
          <w:szCs w:val="24"/>
          <w:lang w:eastAsia="da-DK"/>
        </w:rPr>
        <w:t>-doser.</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Der bør udvises forsigtighed hos patienter med astma. Hos patienter med tidligere akut eller alvorligt </w:t>
      </w:r>
      <w:proofErr w:type="spellStart"/>
      <w:r w:rsidRPr="00EC3E95">
        <w:rPr>
          <w:sz w:val="24"/>
          <w:szCs w:val="24"/>
          <w:lang w:eastAsia="da-DK"/>
        </w:rPr>
        <w:t>kolinergt</w:t>
      </w:r>
      <w:proofErr w:type="spellEnd"/>
      <w:r w:rsidRPr="00EC3E95">
        <w:rPr>
          <w:sz w:val="24"/>
          <w:szCs w:val="24"/>
          <w:lang w:eastAsia="da-DK"/>
        </w:rPr>
        <w:t xml:space="preserve"> syndrom, anbefales det at give atropinsulfat profylaktisk i forbindelse med efterfølgende administration af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w:t>
      </w:r>
    </w:p>
    <w:p w:rsidR="002F45B1" w:rsidRPr="00EC3E95" w:rsidRDefault="002F45B1" w:rsidP="002F45B1">
      <w:pPr>
        <w:ind w:left="851"/>
        <w:rPr>
          <w:b/>
          <w:bCs/>
          <w:sz w:val="24"/>
          <w:szCs w:val="24"/>
          <w:lang w:eastAsia="da-DK"/>
        </w:rPr>
      </w:pPr>
    </w:p>
    <w:p w:rsidR="002F45B1" w:rsidRPr="000934DB" w:rsidRDefault="002F45B1" w:rsidP="002F45B1">
      <w:pPr>
        <w:ind w:left="851"/>
        <w:rPr>
          <w:sz w:val="24"/>
          <w:szCs w:val="24"/>
          <w:u w:val="single"/>
          <w:lang w:eastAsia="da-DK"/>
        </w:rPr>
      </w:pPr>
      <w:r w:rsidRPr="000934DB">
        <w:rPr>
          <w:sz w:val="24"/>
          <w:szCs w:val="24"/>
          <w:u w:val="single"/>
          <w:lang w:eastAsia="da-DK"/>
        </w:rPr>
        <w:t xml:space="preserve">Respiratoriske lidelser </w:t>
      </w:r>
    </w:p>
    <w:p w:rsidR="002F45B1" w:rsidRPr="00EC3E95" w:rsidRDefault="002F45B1" w:rsidP="002F45B1">
      <w:pPr>
        <w:ind w:left="851"/>
        <w:rPr>
          <w:sz w:val="24"/>
          <w:szCs w:val="24"/>
          <w:lang w:eastAsia="da-DK"/>
        </w:rPr>
      </w:pPr>
      <w:proofErr w:type="spellStart"/>
      <w:r w:rsidRPr="00EC3E95">
        <w:rPr>
          <w:sz w:val="24"/>
          <w:szCs w:val="24"/>
          <w:lang w:eastAsia="da-DK"/>
        </w:rPr>
        <w:t>Interstitiel</w:t>
      </w:r>
      <w:proofErr w:type="spellEnd"/>
      <w:r w:rsidRPr="00EC3E95">
        <w:rPr>
          <w:sz w:val="24"/>
          <w:szCs w:val="24"/>
          <w:lang w:eastAsia="da-DK"/>
        </w:rPr>
        <w:t xml:space="preserve"> lungesygdom, der er repræsenteret ved</w:t>
      </w:r>
      <w:r w:rsidRPr="000934DB">
        <w:rPr>
          <w:sz w:val="24"/>
          <w:szCs w:val="24"/>
          <w:lang w:eastAsia="da-DK"/>
        </w:rPr>
        <w:t xml:space="preserve"> </w:t>
      </w:r>
      <w:proofErr w:type="spellStart"/>
      <w:r w:rsidR="000934DB" w:rsidRPr="000934DB">
        <w:rPr>
          <w:sz w:val="24"/>
          <w:szCs w:val="24"/>
          <w:lang w:eastAsia="da-DK"/>
        </w:rPr>
        <w:t>lungeinfiltrat</w:t>
      </w:r>
      <w:proofErr w:type="spellEnd"/>
      <w:r w:rsidRPr="00EC3E95">
        <w:rPr>
          <w:sz w:val="24"/>
          <w:szCs w:val="24"/>
          <w:lang w:eastAsia="da-DK"/>
        </w:rPr>
        <w:t xml:space="preserve">, er ikke almindeligt forekommende under behandling med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Interstitiel</w:t>
      </w:r>
      <w:proofErr w:type="spellEnd"/>
      <w:r w:rsidRPr="00EC3E95">
        <w:rPr>
          <w:sz w:val="24"/>
          <w:szCs w:val="24"/>
          <w:lang w:eastAsia="da-DK"/>
        </w:rPr>
        <w:t xml:space="preserve"> lungesygdom kan have dødelig udgang. Risikofaktorer, der muligvis er relateret til udviklingen af </w:t>
      </w:r>
      <w:proofErr w:type="spellStart"/>
      <w:r w:rsidRPr="00EC3E95">
        <w:rPr>
          <w:sz w:val="24"/>
          <w:szCs w:val="24"/>
          <w:lang w:eastAsia="da-DK"/>
        </w:rPr>
        <w:t>interstitiel</w:t>
      </w:r>
      <w:proofErr w:type="spellEnd"/>
      <w:r w:rsidRPr="00EC3E95">
        <w:rPr>
          <w:sz w:val="24"/>
          <w:szCs w:val="24"/>
          <w:lang w:eastAsia="da-DK"/>
        </w:rPr>
        <w:t xml:space="preserve"> lungesygdom, omfatter anvendelsen af </w:t>
      </w:r>
      <w:proofErr w:type="spellStart"/>
      <w:r w:rsidRPr="00EC3E95">
        <w:rPr>
          <w:sz w:val="24"/>
          <w:szCs w:val="24"/>
          <w:lang w:eastAsia="da-DK"/>
        </w:rPr>
        <w:t>pneumotoksiske</w:t>
      </w:r>
      <w:proofErr w:type="spellEnd"/>
      <w:r w:rsidRPr="00EC3E95">
        <w:rPr>
          <w:sz w:val="24"/>
          <w:szCs w:val="24"/>
          <w:lang w:eastAsia="da-DK"/>
        </w:rPr>
        <w:t xml:space="preserve"> lægemidler, strålebehandling og kolonistimulerende faktorer. Patienter med risikofaktorer bør overvåges nøje for respiratoriske symptomer inden og under behandlingen med </w:t>
      </w:r>
      <w:proofErr w:type="spellStart"/>
      <w:r w:rsidRPr="00EC3E95">
        <w:rPr>
          <w:sz w:val="24"/>
          <w:szCs w:val="24"/>
          <w:lang w:eastAsia="da-DK"/>
        </w:rPr>
        <w:t>irinotecan</w:t>
      </w:r>
      <w:proofErr w:type="spellEnd"/>
      <w:r w:rsidRPr="00EC3E95">
        <w:rPr>
          <w:sz w:val="24"/>
          <w:szCs w:val="24"/>
          <w:lang w:eastAsia="da-DK"/>
        </w:rPr>
        <w:t xml:space="preserve">. </w:t>
      </w:r>
    </w:p>
    <w:p w:rsidR="002F45B1" w:rsidRPr="00EC3E95" w:rsidRDefault="002F45B1" w:rsidP="002F45B1">
      <w:pPr>
        <w:ind w:left="851"/>
        <w:rPr>
          <w:b/>
          <w:sz w:val="24"/>
          <w:szCs w:val="24"/>
          <w:lang w:eastAsia="da-DK"/>
        </w:rPr>
      </w:pPr>
    </w:p>
    <w:p w:rsidR="002F45B1" w:rsidRPr="000934DB" w:rsidRDefault="002F45B1" w:rsidP="002F45B1">
      <w:pPr>
        <w:ind w:left="851"/>
        <w:rPr>
          <w:sz w:val="24"/>
          <w:szCs w:val="24"/>
          <w:u w:val="single"/>
          <w:lang w:eastAsia="da-DK"/>
        </w:rPr>
      </w:pPr>
      <w:proofErr w:type="spellStart"/>
      <w:r w:rsidRPr="000934DB">
        <w:rPr>
          <w:sz w:val="24"/>
          <w:szCs w:val="24"/>
          <w:u w:val="single"/>
          <w:lang w:eastAsia="da-DK"/>
        </w:rPr>
        <w:t>Ekstravasation</w:t>
      </w:r>
      <w:proofErr w:type="spellEnd"/>
    </w:p>
    <w:p w:rsidR="002F45B1" w:rsidRPr="00EC3E95" w:rsidRDefault="002F45B1" w:rsidP="002F45B1">
      <w:pPr>
        <w:ind w:left="851"/>
        <w:rPr>
          <w:sz w:val="24"/>
          <w:szCs w:val="24"/>
          <w:lang w:eastAsia="da-DK"/>
        </w:rPr>
      </w:pPr>
      <w:r w:rsidRPr="00EC3E95">
        <w:rPr>
          <w:sz w:val="24"/>
          <w:szCs w:val="24"/>
          <w:lang w:eastAsia="da-DK"/>
        </w:rPr>
        <w:t xml:space="preserve">Selvom </w:t>
      </w:r>
      <w:proofErr w:type="spellStart"/>
      <w:r w:rsidRPr="00EC3E95">
        <w:rPr>
          <w:sz w:val="24"/>
          <w:szCs w:val="24"/>
          <w:lang w:eastAsia="da-DK"/>
        </w:rPr>
        <w:t>irinotecan</w:t>
      </w:r>
      <w:proofErr w:type="spellEnd"/>
      <w:r w:rsidRPr="00EC3E95">
        <w:rPr>
          <w:sz w:val="24"/>
          <w:szCs w:val="24"/>
          <w:lang w:eastAsia="da-DK"/>
        </w:rPr>
        <w:t xml:space="preserve"> ikke er en kendt </w:t>
      </w:r>
      <w:proofErr w:type="spellStart"/>
      <w:r w:rsidRPr="00EC3E95">
        <w:rPr>
          <w:sz w:val="24"/>
          <w:szCs w:val="24"/>
          <w:lang w:eastAsia="da-DK"/>
        </w:rPr>
        <w:t>vesicant</w:t>
      </w:r>
      <w:proofErr w:type="spellEnd"/>
      <w:r w:rsidRPr="00EC3E95">
        <w:rPr>
          <w:sz w:val="24"/>
          <w:szCs w:val="24"/>
          <w:lang w:eastAsia="da-DK"/>
        </w:rPr>
        <w:t xml:space="preserve">, skal man sørge for at undgå </w:t>
      </w:r>
      <w:proofErr w:type="spellStart"/>
      <w:r w:rsidRPr="00EC3E95">
        <w:rPr>
          <w:sz w:val="24"/>
          <w:szCs w:val="24"/>
          <w:lang w:eastAsia="da-DK"/>
        </w:rPr>
        <w:t>ekstravasation</w:t>
      </w:r>
      <w:proofErr w:type="spellEnd"/>
      <w:r w:rsidRPr="00EC3E95">
        <w:rPr>
          <w:sz w:val="24"/>
          <w:szCs w:val="24"/>
          <w:lang w:eastAsia="da-DK"/>
        </w:rPr>
        <w:t xml:space="preserve"> og infusionsstedet bør overvåges for tegn på inflammation. Skulle der opstå </w:t>
      </w:r>
      <w:proofErr w:type="spellStart"/>
      <w:r w:rsidRPr="00EC3E95">
        <w:rPr>
          <w:sz w:val="24"/>
          <w:szCs w:val="24"/>
          <w:lang w:eastAsia="da-DK"/>
        </w:rPr>
        <w:t>ekstravasation</w:t>
      </w:r>
      <w:proofErr w:type="spellEnd"/>
      <w:r w:rsidRPr="00EC3E95">
        <w:rPr>
          <w:sz w:val="24"/>
          <w:szCs w:val="24"/>
          <w:lang w:eastAsia="da-DK"/>
        </w:rPr>
        <w:t xml:space="preserve">, anbefales skylning af stedet og anvendelse af ​​is. </w:t>
      </w:r>
    </w:p>
    <w:p w:rsidR="002F45B1" w:rsidRPr="00EC3E95" w:rsidRDefault="002F45B1" w:rsidP="002F45B1">
      <w:pPr>
        <w:ind w:left="851"/>
        <w:rPr>
          <w:b/>
          <w:bCs/>
          <w:sz w:val="24"/>
          <w:szCs w:val="24"/>
          <w:lang w:eastAsia="da-DK"/>
        </w:rPr>
      </w:pPr>
    </w:p>
    <w:p w:rsidR="002F45B1" w:rsidRPr="000934DB" w:rsidRDefault="002F45B1" w:rsidP="002F45B1">
      <w:pPr>
        <w:ind w:left="851"/>
        <w:rPr>
          <w:sz w:val="24"/>
          <w:szCs w:val="24"/>
          <w:u w:val="single"/>
          <w:lang w:eastAsia="da-DK"/>
        </w:rPr>
      </w:pPr>
      <w:r w:rsidRPr="000934DB">
        <w:rPr>
          <w:sz w:val="24"/>
          <w:szCs w:val="24"/>
          <w:u w:val="single"/>
          <w:lang w:eastAsia="da-DK"/>
        </w:rPr>
        <w:t xml:space="preserve">Ældre </w:t>
      </w:r>
    </w:p>
    <w:p w:rsidR="002F45B1" w:rsidRPr="00EC3E95" w:rsidRDefault="002F45B1" w:rsidP="002F45B1">
      <w:pPr>
        <w:ind w:left="851"/>
        <w:rPr>
          <w:sz w:val="24"/>
          <w:szCs w:val="24"/>
          <w:lang w:eastAsia="da-DK"/>
        </w:rPr>
      </w:pPr>
      <w:r w:rsidRPr="00EC3E95">
        <w:rPr>
          <w:sz w:val="24"/>
          <w:szCs w:val="24"/>
          <w:lang w:eastAsia="da-DK"/>
        </w:rPr>
        <w:t xml:space="preserve">På grund af øget hyppighed af nedsatte biologiske funktioner, specielt leverfunktionen, hos ældre patienter, bør der udvises forsigtighed ved dosering af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i denne patientgruppe (se pkt. 4.2).</w:t>
      </w:r>
    </w:p>
    <w:p w:rsidR="002F45B1" w:rsidRPr="00EC3E95" w:rsidRDefault="002F45B1" w:rsidP="002F45B1">
      <w:pPr>
        <w:ind w:left="851"/>
        <w:rPr>
          <w:b/>
          <w:sz w:val="24"/>
          <w:szCs w:val="24"/>
          <w:lang w:eastAsia="da-DK"/>
        </w:rPr>
      </w:pPr>
    </w:p>
    <w:p w:rsidR="002F45B1" w:rsidRPr="000934DB" w:rsidRDefault="002F45B1" w:rsidP="002F45B1">
      <w:pPr>
        <w:ind w:left="851"/>
        <w:rPr>
          <w:sz w:val="24"/>
          <w:szCs w:val="24"/>
          <w:u w:val="single"/>
          <w:lang w:eastAsia="da-DK"/>
        </w:rPr>
      </w:pPr>
      <w:r w:rsidRPr="000934DB">
        <w:rPr>
          <w:sz w:val="24"/>
          <w:szCs w:val="24"/>
          <w:u w:val="single"/>
          <w:lang w:eastAsia="da-DK"/>
        </w:rPr>
        <w:t>Kronisk inflammatorisk tarmsygdom og/eller tarmobstruktion</w:t>
      </w:r>
    </w:p>
    <w:p w:rsidR="002F45B1" w:rsidRPr="00EC3E95" w:rsidRDefault="002F45B1" w:rsidP="002F45B1">
      <w:pPr>
        <w:ind w:left="851"/>
        <w:rPr>
          <w:sz w:val="24"/>
          <w:szCs w:val="24"/>
          <w:lang w:eastAsia="da-DK"/>
        </w:rPr>
      </w:pPr>
      <w:r w:rsidRPr="00EC3E95">
        <w:rPr>
          <w:sz w:val="24"/>
          <w:szCs w:val="24"/>
          <w:lang w:eastAsia="da-DK"/>
        </w:rPr>
        <w:t xml:space="preserve">Patienter må ikke behandles med </w:t>
      </w:r>
      <w:proofErr w:type="spellStart"/>
      <w:r w:rsidRPr="00EC3E95">
        <w:rPr>
          <w:sz w:val="24"/>
          <w:szCs w:val="24"/>
          <w:lang w:eastAsia="da-DK"/>
        </w:rPr>
        <w:t>Irinotecan</w:t>
      </w:r>
      <w:proofErr w:type="spellEnd"/>
      <w:r w:rsidRPr="00EC3E95">
        <w:rPr>
          <w:sz w:val="24"/>
          <w:szCs w:val="24"/>
          <w:lang w:eastAsia="da-DK"/>
        </w:rPr>
        <w:t xml:space="preserve"> "</w:t>
      </w:r>
      <w:proofErr w:type="spellStart"/>
      <w:r w:rsidRPr="00EC3E95">
        <w:rPr>
          <w:sz w:val="24"/>
          <w:szCs w:val="24"/>
          <w:lang w:eastAsia="da-DK"/>
        </w:rPr>
        <w:t>Accord</w:t>
      </w:r>
      <w:proofErr w:type="spellEnd"/>
      <w:r w:rsidRPr="00EC3E95">
        <w:rPr>
          <w:sz w:val="24"/>
          <w:szCs w:val="24"/>
          <w:lang w:eastAsia="da-DK"/>
        </w:rPr>
        <w:t xml:space="preserve">", før normal tarmpassage er opnået (se pkt. 4.3). </w:t>
      </w:r>
    </w:p>
    <w:p w:rsidR="002F45B1" w:rsidRPr="00EC3E95" w:rsidRDefault="002F45B1" w:rsidP="002F45B1">
      <w:pPr>
        <w:ind w:left="851"/>
        <w:rPr>
          <w:b/>
          <w:bCs/>
          <w:sz w:val="24"/>
          <w:szCs w:val="24"/>
          <w:lang w:eastAsia="da-DK"/>
        </w:rPr>
      </w:pPr>
    </w:p>
    <w:p w:rsidR="002F45B1" w:rsidRPr="000934DB" w:rsidRDefault="002F45B1" w:rsidP="002F45B1">
      <w:pPr>
        <w:ind w:left="851"/>
        <w:rPr>
          <w:sz w:val="24"/>
          <w:szCs w:val="24"/>
          <w:u w:val="single"/>
          <w:lang w:eastAsia="da-DK"/>
        </w:rPr>
      </w:pPr>
      <w:r w:rsidRPr="000934DB">
        <w:rPr>
          <w:sz w:val="24"/>
          <w:szCs w:val="24"/>
          <w:u w:val="single"/>
          <w:lang w:eastAsia="da-DK"/>
        </w:rPr>
        <w:t>Nyrefunktion</w:t>
      </w:r>
    </w:p>
    <w:p w:rsidR="002F45B1" w:rsidRPr="00EC3E95" w:rsidRDefault="002F45B1" w:rsidP="002F45B1">
      <w:pPr>
        <w:ind w:left="851"/>
        <w:rPr>
          <w:sz w:val="24"/>
          <w:szCs w:val="24"/>
          <w:lang w:eastAsia="da-DK"/>
        </w:rPr>
      </w:pPr>
      <w:r w:rsidRPr="00EC3E95">
        <w:rPr>
          <w:sz w:val="24"/>
          <w:szCs w:val="24"/>
          <w:lang w:eastAsia="da-DK"/>
        </w:rPr>
        <w:t xml:space="preserve">Der er observeret stigninger i </w:t>
      </w:r>
      <w:proofErr w:type="spellStart"/>
      <w:r w:rsidRPr="00EC3E95">
        <w:rPr>
          <w:sz w:val="24"/>
          <w:szCs w:val="24"/>
          <w:lang w:eastAsia="da-DK"/>
        </w:rPr>
        <w:t>serumkreatinin</w:t>
      </w:r>
      <w:proofErr w:type="spellEnd"/>
      <w:r w:rsidRPr="00EC3E95">
        <w:rPr>
          <w:sz w:val="24"/>
          <w:szCs w:val="24"/>
          <w:lang w:eastAsia="da-DK"/>
        </w:rPr>
        <w:t xml:space="preserve"> eller urinkvælstof. Der har været tilfælde af akut nyresvigt. Disse hændelser er generelt blevet tilskrevet infektionskomplikationer eller dehydrering i forbindelse med kvalme, opkastning eller diarré. Der er også rapporteret om sjældne tilfælde af nedsat nyrefunktion på grund af tumorlysesyndrom.</w:t>
      </w:r>
    </w:p>
    <w:p w:rsidR="002F45B1" w:rsidRPr="00EC3E95" w:rsidRDefault="002F45B1" w:rsidP="002F45B1">
      <w:pPr>
        <w:ind w:left="851"/>
        <w:rPr>
          <w:sz w:val="24"/>
          <w:szCs w:val="24"/>
          <w:lang w:eastAsia="da-DK"/>
        </w:rPr>
      </w:pPr>
    </w:p>
    <w:p w:rsidR="002F45B1" w:rsidRPr="000934DB" w:rsidRDefault="002F45B1" w:rsidP="002F45B1">
      <w:pPr>
        <w:ind w:left="851"/>
        <w:rPr>
          <w:sz w:val="24"/>
          <w:szCs w:val="24"/>
          <w:u w:val="single"/>
          <w:lang w:eastAsia="da-DK"/>
        </w:rPr>
      </w:pPr>
      <w:r w:rsidRPr="000934DB">
        <w:rPr>
          <w:sz w:val="24"/>
          <w:szCs w:val="24"/>
          <w:u w:val="single"/>
          <w:lang w:eastAsia="da-DK"/>
        </w:rPr>
        <w:t>Strålebehandling</w:t>
      </w:r>
    </w:p>
    <w:p w:rsidR="002F45B1" w:rsidRPr="00EC3E95" w:rsidRDefault="002F45B1" w:rsidP="002F45B1">
      <w:pPr>
        <w:ind w:left="851"/>
        <w:rPr>
          <w:sz w:val="24"/>
          <w:szCs w:val="24"/>
          <w:lang w:eastAsia="da-DK"/>
        </w:rPr>
      </w:pPr>
      <w:r w:rsidRPr="00EC3E95">
        <w:rPr>
          <w:sz w:val="24"/>
          <w:szCs w:val="24"/>
          <w:lang w:eastAsia="da-DK"/>
        </w:rPr>
        <w:t>Patienter, der tidligere har modtaget bækken-/</w:t>
      </w:r>
      <w:proofErr w:type="spellStart"/>
      <w:r w:rsidRPr="00EC3E95">
        <w:rPr>
          <w:sz w:val="24"/>
          <w:szCs w:val="24"/>
          <w:lang w:eastAsia="da-DK"/>
        </w:rPr>
        <w:t>abdominalbestråling</w:t>
      </w:r>
      <w:proofErr w:type="spellEnd"/>
      <w:r w:rsidRPr="00EC3E95">
        <w:rPr>
          <w:sz w:val="24"/>
          <w:szCs w:val="24"/>
          <w:lang w:eastAsia="da-DK"/>
        </w:rPr>
        <w:t xml:space="preserve"> har øget risiko for </w:t>
      </w:r>
      <w:proofErr w:type="spellStart"/>
      <w:r w:rsidRPr="00EC3E95">
        <w:rPr>
          <w:sz w:val="24"/>
          <w:szCs w:val="24"/>
          <w:lang w:eastAsia="da-DK"/>
        </w:rPr>
        <w:t>myelosuppression</w:t>
      </w:r>
      <w:proofErr w:type="spellEnd"/>
      <w:r w:rsidRPr="00EC3E95">
        <w:rPr>
          <w:sz w:val="24"/>
          <w:szCs w:val="24"/>
          <w:lang w:eastAsia="da-DK"/>
        </w:rPr>
        <w:t xml:space="preserve"> efter administration af </w:t>
      </w:r>
      <w:proofErr w:type="spellStart"/>
      <w:r w:rsidRPr="00EC3E95">
        <w:rPr>
          <w:sz w:val="24"/>
          <w:szCs w:val="24"/>
          <w:lang w:eastAsia="da-DK"/>
        </w:rPr>
        <w:t>irinotecan</w:t>
      </w:r>
      <w:proofErr w:type="spellEnd"/>
      <w:r w:rsidRPr="00EC3E95">
        <w:rPr>
          <w:sz w:val="24"/>
          <w:szCs w:val="24"/>
          <w:lang w:eastAsia="da-DK"/>
        </w:rPr>
        <w:t xml:space="preserve">. Læger bør udvise forsigtighed ved behandling af patienter med omfattende forudgående bestråling (f.eks. &gt; 25 % af knoglemarv bestrålet og inden for 6 uger før behandlingsstart med </w:t>
      </w:r>
      <w:proofErr w:type="spellStart"/>
      <w:r w:rsidRPr="00EC3E95">
        <w:rPr>
          <w:sz w:val="24"/>
          <w:szCs w:val="24"/>
          <w:lang w:eastAsia="da-DK"/>
        </w:rPr>
        <w:t>irinotecan</w:t>
      </w:r>
      <w:proofErr w:type="spellEnd"/>
      <w:r w:rsidRPr="00EC3E95">
        <w:rPr>
          <w:sz w:val="24"/>
          <w:szCs w:val="24"/>
          <w:lang w:eastAsia="da-DK"/>
        </w:rPr>
        <w:t>). Dosisjustering kan være gældende for denne population (se pkt. 4.2).</w:t>
      </w:r>
    </w:p>
    <w:p w:rsidR="002F45B1" w:rsidRPr="00EC3E95" w:rsidRDefault="002F45B1" w:rsidP="002F45B1">
      <w:pPr>
        <w:ind w:left="851"/>
        <w:rPr>
          <w:sz w:val="24"/>
          <w:szCs w:val="24"/>
          <w:lang w:eastAsia="da-DK"/>
        </w:rPr>
      </w:pPr>
    </w:p>
    <w:p w:rsidR="002F45B1" w:rsidRPr="000934DB" w:rsidRDefault="002F45B1" w:rsidP="002F45B1">
      <w:pPr>
        <w:ind w:left="851"/>
        <w:rPr>
          <w:sz w:val="24"/>
          <w:szCs w:val="24"/>
          <w:u w:val="single"/>
          <w:lang w:eastAsia="da-DK"/>
        </w:rPr>
      </w:pPr>
      <w:r w:rsidRPr="000934DB">
        <w:rPr>
          <w:sz w:val="24"/>
          <w:szCs w:val="24"/>
          <w:u w:val="single"/>
          <w:lang w:eastAsia="da-DK"/>
        </w:rPr>
        <w:t>Hjerte</w:t>
      </w:r>
    </w:p>
    <w:p w:rsidR="002F45B1" w:rsidRPr="00EC3E95" w:rsidRDefault="002F45B1" w:rsidP="002F45B1">
      <w:pPr>
        <w:ind w:left="851"/>
        <w:rPr>
          <w:sz w:val="24"/>
          <w:szCs w:val="24"/>
          <w:lang w:eastAsia="da-DK"/>
        </w:rPr>
      </w:pPr>
      <w:r w:rsidRPr="00EC3E95">
        <w:rPr>
          <w:sz w:val="24"/>
          <w:szCs w:val="24"/>
          <w:lang w:eastAsia="da-DK"/>
        </w:rPr>
        <w:t xml:space="preserve">Der er observeret hændelser med </w:t>
      </w:r>
      <w:proofErr w:type="spellStart"/>
      <w:r w:rsidRPr="00EC3E95">
        <w:rPr>
          <w:sz w:val="24"/>
          <w:szCs w:val="24"/>
          <w:lang w:eastAsia="da-DK"/>
        </w:rPr>
        <w:t>myokardieiskæmi</w:t>
      </w:r>
      <w:proofErr w:type="spellEnd"/>
      <w:r w:rsidRPr="00EC3E95">
        <w:rPr>
          <w:sz w:val="24"/>
          <w:szCs w:val="24"/>
          <w:lang w:eastAsia="da-DK"/>
        </w:rPr>
        <w:t xml:space="preserve"> efter </w:t>
      </w:r>
      <w:proofErr w:type="spellStart"/>
      <w:r w:rsidRPr="00EC3E95">
        <w:rPr>
          <w:sz w:val="24"/>
          <w:szCs w:val="24"/>
          <w:lang w:eastAsia="da-DK"/>
        </w:rPr>
        <w:t>irinotecanbehandling</w:t>
      </w:r>
      <w:proofErr w:type="spellEnd"/>
      <w:r w:rsidRPr="00EC3E95">
        <w:rPr>
          <w:sz w:val="24"/>
          <w:szCs w:val="24"/>
          <w:lang w:eastAsia="da-DK"/>
        </w:rPr>
        <w:t xml:space="preserve"> overvejende hos patienter med underliggende hjertesygdom, andre kendte risikofaktorer for hjertesygdom, eller tidligere </w:t>
      </w:r>
      <w:proofErr w:type="spellStart"/>
      <w:r w:rsidRPr="00EC3E95">
        <w:rPr>
          <w:sz w:val="24"/>
          <w:szCs w:val="24"/>
          <w:lang w:eastAsia="da-DK"/>
        </w:rPr>
        <w:t>cytotoksisk</w:t>
      </w:r>
      <w:proofErr w:type="spellEnd"/>
      <w:r w:rsidRPr="00EC3E95">
        <w:rPr>
          <w:sz w:val="24"/>
          <w:szCs w:val="24"/>
          <w:lang w:eastAsia="da-DK"/>
        </w:rPr>
        <w:t xml:space="preserve"> kemoterapi (se pkt. 4.8). </w:t>
      </w:r>
    </w:p>
    <w:p w:rsidR="002F45B1" w:rsidRPr="00EC3E95" w:rsidRDefault="002F45B1" w:rsidP="002F45B1">
      <w:pPr>
        <w:ind w:left="851"/>
        <w:rPr>
          <w:sz w:val="24"/>
          <w:szCs w:val="24"/>
          <w:lang w:eastAsia="da-DK"/>
        </w:rPr>
      </w:pPr>
    </w:p>
    <w:p w:rsidR="002F45B1" w:rsidRPr="00EC3E95" w:rsidRDefault="002F45B1" w:rsidP="002F45B1">
      <w:pPr>
        <w:ind w:left="851"/>
        <w:rPr>
          <w:sz w:val="24"/>
          <w:szCs w:val="24"/>
          <w:lang w:eastAsia="da-DK"/>
        </w:rPr>
      </w:pPr>
      <w:r w:rsidRPr="00EC3E95">
        <w:rPr>
          <w:sz w:val="24"/>
          <w:szCs w:val="24"/>
          <w:lang w:eastAsia="da-DK"/>
        </w:rPr>
        <w:t xml:space="preserve">Derfor bør patienter med kendte risikofaktorer overvåges nøje, og der bør træffes foranstaltninger for at forsøge at minimere samtlige påvirkelige risikofaktorer (såsom rygning, hypertension og </w:t>
      </w:r>
      <w:proofErr w:type="spellStart"/>
      <w:r w:rsidRPr="00EC3E95">
        <w:rPr>
          <w:sz w:val="24"/>
          <w:szCs w:val="24"/>
          <w:lang w:eastAsia="da-DK"/>
        </w:rPr>
        <w:t>hyperlipidæmi</w:t>
      </w:r>
      <w:proofErr w:type="spellEnd"/>
      <w:r w:rsidRPr="00EC3E95">
        <w:rPr>
          <w:sz w:val="24"/>
          <w:szCs w:val="24"/>
          <w:lang w:eastAsia="da-DK"/>
        </w:rPr>
        <w:t>).</w:t>
      </w:r>
    </w:p>
    <w:p w:rsidR="002F45B1" w:rsidRPr="00EC3E95" w:rsidRDefault="002F45B1" w:rsidP="002F45B1">
      <w:pPr>
        <w:ind w:left="851"/>
        <w:rPr>
          <w:sz w:val="24"/>
          <w:szCs w:val="24"/>
          <w:lang w:eastAsia="da-DK"/>
        </w:rPr>
      </w:pPr>
    </w:p>
    <w:p w:rsidR="002F45B1" w:rsidRPr="000934DB" w:rsidRDefault="002F45B1" w:rsidP="002F45B1">
      <w:pPr>
        <w:ind w:left="851"/>
        <w:rPr>
          <w:sz w:val="24"/>
          <w:szCs w:val="24"/>
          <w:u w:val="single"/>
          <w:lang w:eastAsia="da-DK"/>
        </w:rPr>
      </w:pPr>
      <w:proofErr w:type="spellStart"/>
      <w:r w:rsidRPr="000934DB">
        <w:rPr>
          <w:sz w:val="24"/>
          <w:szCs w:val="24"/>
          <w:u w:val="single"/>
          <w:lang w:eastAsia="da-DK"/>
        </w:rPr>
        <w:t>Vaskulære</w:t>
      </w:r>
      <w:proofErr w:type="spellEnd"/>
      <w:r w:rsidRPr="000934DB">
        <w:rPr>
          <w:sz w:val="24"/>
          <w:szCs w:val="24"/>
          <w:u w:val="single"/>
          <w:lang w:eastAsia="da-DK"/>
        </w:rPr>
        <w:t xml:space="preserve"> sygdomme</w:t>
      </w:r>
    </w:p>
    <w:p w:rsidR="002F45B1" w:rsidRPr="00EC3E95" w:rsidRDefault="002F45B1" w:rsidP="002F45B1">
      <w:pPr>
        <w:ind w:left="851"/>
        <w:rPr>
          <w:sz w:val="24"/>
          <w:szCs w:val="24"/>
          <w:lang w:eastAsia="da-DK"/>
        </w:rPr>
      </w:pPr>
      <w:proofErr w:type="spellStart"/>
      <w:r w:rsidRPr="00EC3E95">
        <w:rPr>
          <w:sz w:val="24"/>
          <w:szCs w:val="24"/>
          <w:lang w:eastAsia="da-DK"/>
        </w:rPr>
        <w:t>Irinotecan</w:t>
      </w:r>
      <w:proofErr w:type="spellEnd"/>
      <w:r w:rsidRPr="00EC3E95">
        <w:rPr>
          <w:sz w:val="24"/>
          <w:szCs w:val="24"/>
          <w:lang w:eastAsia="da-DK"/>
        </w:rPr>
        <w:t xml:space="preserve"> er sjældent forbundet med </w:t>
      </w:r>
      <w:proofErr w:type="spellStart"/>
      <w:r w:rsidRPr="00EC3E95">
        <w:rPr>
          <w:sz w:val="24"/>
          <w:szCs w:val="24"/>
          <w:lang w:eastAsia="da-DK"/>
        </w:rPr>
        <w:t>tromboemboliske</w:t>
      </w:r>
      <w:proofErr w:type="spellEnd"/>
      <w:r w:rsidRPr="00EC3E95">
        <w:rPr>
          <w:sz w:val="24"/>
          <w:szCs w:val="24"/>
          <w:lang w:eastAsia="da-DK"/>
        </w:rPr>
        <w:t xml:space="preserve"> hændelser (</w:t>
      </w:r>
      <w:proofErr w:type="spellStart"/>
      <w:r w:rsidRPr="00EC3E95">
        <w:rPr>
          <w:sz w:val="24"/>
          <w:szCs w:val="24"/>
          <w:lang w:eastAsia="da-DK"/>
        </w:rPr>
        <w:t>lungeemboli</w:t>
      </w:r>
      <w:proofErr w:type="spellEnd"/>
      <w:r w:rsidRPr="00EC3E95">
        <w:rPr>
          <w:sz w:val="24"/>
          <w:szCs w:val="24"/>
          <w:lang w:eastAsia="da-DK"/>
        </w:rPr>
        <w:t xml:space="preserve">, venøs trombose og arteriel </w:t>
      </w:r>
      <w:proofErr w:type="spellStart"/>
      <w:r w:rsidRPr="00EC3E95">
        <w:rPr>
          <w:sz w:val="24"/>
          <w:szCs w:val="24"/>
          <w:lang w:eastAsia="da-DK"/>
        </w:rPr>
        <w:t>tromboemboli</w:t>
      </w:r>
      <w:proofErr w:type="spellEnd"/>
      <w:r w:rsidRPr="00EC3E95">
        <w:rPr>
          <w:sz w:val="24"/>
          <w:szCs w:val="24"/>
          <w:lang w:eastAsia="da-DK"/>
        </w:rPr>
        <w:t xml:space="preserve">) hos patienter med flere risikofaktorer ud over </w:t>
      </w:r>
      <w:proofErr w:type="gramStart"/>
      <w:r w:rsidRPr="00EC3E95">
        <w:rPr>
          <w:sz w:val="24"/>
          <w:szCs w:val="24"/>
          <w:lang w:eastAsia="da-DK"/>
        </w:rPr>
        <w:t>den</w:t>
      </w:r>
      <w:r w:rsidR="002B1FA6">
        <w:rPr>
          <w:sz w:val="24"/>
          <w:szCs w:val="24"/>
          <w:lang w:eastAsia="da-DK"/>
        </w:rPr>
        <w:t xml:space="preserve"> </w:t>
      </w:r>
      <w:r w:rsidRPr="00EC3E95">
        <w:rPr>
          <w:sz w:val="24"/>
          <w:szCs w:val="24"/>
          <w:lang w:eastAsia="da-DK"/>
        </w:rPr>
        <w:t xml:space="preserve">underliggende </w:t>
      </w:r>
      <w:proofErr w:type="spellStart"/>
      <w:r w:rsidRPr="00EC3E95">
        <w:rPr>
          <w:sz w:val="24"/>
          <w:szCs w:val="24"/>
          <w:lang w:eastAsia="da-DK"/>
        </w:rPr>
        <w:t>neoplasma</w:t>
      </w:r>
      <w:proofErr w:type="spellEnd"/>
      <w:proofErr w:type="gramEnd"/>
      <w:r w:rsidRPr="00EC3E95">
        <w:rPr>
          <w:sz w:val="24"/>
          <w:szCs w:val="24"/>
          <w:lang w:eastAsia="da-DK"/>
        </w:rPr>
        <w:t>.</w:t>
      </w:r>
    </w:p>
    <w:p w:rsidR="00CB5916" w:rsidRDefault="00CB5916" w:rsidP="00CB5916">
      <w:pPr>
        <w:ind w:left="851"/>
        <w:rPr>
          <w:b/>
          <w:bCs/>
          <w:sz w:val="24"/>
          <w:szCs w:val="24"/>
          <w:lang w:eastAsia="da-DK"/>
        </w:rPr>
      </w:pPr>
    </w:p>
    <w:p w:rsidR="00873CD3" w:rsidRDefault="00873CD3" w:rsidP="00873CD3">
      <w:pPr>
        <w:ind w:left="851"/>
        <w:rPr>
          <w:sz w:val="24"/>
          <w:szCs w:val="24"/>
          <w:u w:val="single"/>
          <w:lang w:eastAsia="da-DK"/>
        </w:rPr>
      </w:pPr>
      <w:r w:rsidRPr="00C71C28">
        <w:rPr>
          <w:sz w:val="24"/>
          <w:szCs w:val="24"/>
          <w:u w:val="single"/>
          <w:lang w:eastAsia="da-DK"/>
        </w:rPr>
        <w:t>Patienter med reduceret UGT1A</w:t>
      </w:r>
      <w:r>
        <w:rPr>
          <w:sz w:val="24"/>
          <w:szCs w:val="24"/>
          <w:u w:val="single"/>
          <w:lang w:eastAsia="da-DK"/>
        </w:rPr>
        <w:t>-</w:t>
      </w:r>
      <w:r w:rsidRPr="00C71C28">
        <w:rPr>
          <w:sz w:val="24"/>
          <w:szCs w:val="24"/>
          <w:u w:val="single"/>
          <w:lang w:eastAsia="da-DK"/>
        </w:rPr>
        <w:t>aktivitet</w:t>
      </w:r>
    </w:p>
    <w:p w:rsidR="00873CD3" w:rsidRDefault="00873CD3" w:rsidP="00873CD3">
      <w:pPr>
        <w:ind w:left="851"/>
        <w:rPr>
          <w:sz w:val="24"/>
          <w:szCs w:val="24"/>
          <w:lang w:eastAsia="da-DK"/>
        </w:rPr>
      </w:pPr>
      <w:r w:rsidRPr="001F1DF0">
        <w:rPr>
          <w:sz w:val="24"/>
          <w:szCs w:val="24"/>
          <w:lang w:eastAsia="da-DK"/>
        </w:rPr>
        <w:t>Patienter</w:t>
      </w:r>
      <w:r>
        <w:rPr>
          <w:sz w:val="24"/>
          <w:szCs w:val="24"/>
          <w:lang w:eastAsia="da-DK"/>
        </w:rPr>
        <w:t xml:space="preserve"> med ringe </w:t>
      </w:r>
      <w:r w:rsidRPr="001F1DF0">
        <w:rPr>
          <w:sz w:val="24"/>
          <w:szCs w:val="24"/>
          <w:lang w:eastAsia="da-DK"/>
        </w:rPr>
        <w:t>UGT1A1</w:t>
      </w:r>
      <w:r>
        <w:rPr>
          <w:sz w:val="24"/>
          <w:szCs w:val="24"/>
          <w:lang w:eastAsia="da-DK"/>
        </w:rPr>
        <w:t>-metaboliseringsevne</w:t>
      </w:r>
      <w:r w:rsidRPr="001F1DF0">
        <w:rPr>
          <w:sz w:val="24"/>
          <w:szCs w:val="24"/>
          <w:lang w:eastAsia="da-DK"/>
        </w:rPr>
        <w:t>, såsom patienter med Gilberts syndrom (</w:t>
      </w:r>
      <w:r>
        <w:rPr>
          <w:sz w:val="24"/>
          <w:szCs w:val="24"/>
          <w:lang w:eastAsia="da-DK"/>
        </w:rPr>
        <w:t>dvs.</w:t>
      </w:r>
      <w:r w:rsidRPr="001F1DF0">
        <w:rPr>
          <w:sz w:val="24"/>
          <w:szCs w:val="24"/>
          <w:lang w:eastAsia="da-DK"/>
        </w:rPr>
        <w:t xml:space="preserve"> </w:t>
      </w:r>
      <w:proofErr w:type="spellStart"/>
      <w:r w:rsidRPr="001F1DF0">
        <w:rPr>
          <w:sz w:val="24"/>
          <w:szCs w:val="24"/>
          <w:lang w:eastAsia="da-DK"/>
        </w:rPr>
        <w:t>homozygote</w:t>
      </w:r>
      <w:proofErr w:type="spellEnd"/>
      <w:r w:rsidRPr="001F1DF0">
        <w:rPr>
          <w:sz w:val="24"/>
          <w:szCs w:val="24"/>
          <w:lang w:eastAsia="da-DK"/>
        </w:rPr>
        <w:t xml:space="preserve"> for UGT1A1*28 eller *6 varianter), har øget risiko for svær </w:t>
      </w:r>
      <w:proofErr w:type="spellStart"/>
      <w:r w:rsidRPr="001F1DF0">
        <w:rPr>
          <w:sz w:val="24"/>
          <w:szCs w:val="24"/>
          <w:lang w:eastAsia="da-DK"/>
        </w:rPr>
        <w:t>neutropeni</w:t>
      </w:r>
      <w:proofErr w:type="spellEnd"/>
      <w:r w:rsidRPr="001F1DF0">
        <w:rPr>
          <w:sz w:val="24"/>
          <w:szCs w:val="24"/>
          <w:lang w:eastAsia="da-DK"/>
        </w:rPr>
        <w:t xml:space="preserve"> og diarré efter behandling med </w:t>
      </w:r>
      <w:proofErr w:type="spellStart"/>
      <w:r w:rsidRPr="001F1DF0">
        <w:rPr>
          <w:sz w:val="24"/>
          <w:szCs w:val="24"/>
          <w:lang w:eastAsia="da-DK"/>
        </w:rPr>
        <w:t>irinotecan</w:t>
      </w:r>
      <w:proofErr w:type="spellEnd"/>
      <w:r w:rsidRPr="001F1DF0">
        <w:rPr>
          <w:sz w:val="24"/>
          <w:szCs w:val="24"/>
          <w:lang w:eastAsia="da-DK"/>
        </w:rPr>
        <w:t xml:space="preserve">. Denne risiko øges med </w:t>
      </w:r>
      <w:proofErr w:type="spellStart"/>
      <w:r w:rsidRPr="001F1DF0">
        <w:rPr>
          <w:sz w:val="24"/>
          <w:szCs w:val="24"/>
          <w:lang w:eastAsia="da-DK"/>
        </w:rPr>
        <w:t>irinotecan</w:t>
      </w:r>
      <w:proofErr w:type="spellEnd"/>
      <w:r w:rsidRPr="001F1DF0">
        <w:rPr>
          <w:sz w:val="24"/>
          <w:szCs w:val="24"/>
          <w:lang w:eastAsia="da-DK"/>
        </w:rPr>
        <w:t xml:space="preserve">-dosisniveauet. Selvom en præcis dosisreduktion i startdosis ikke er blevet fastlagt, bør en reduceret startdosis af </w:t>
      </w:r>
      <w:proofErr w:type="spellStart"/>
      <w:r w:rsidRPr="001F1DF0">
        <w:rPr>
          <w:sz w:val="24"/>
          <w:szCs w:val="24"/>
          <w:lang w:eastAsia="da-DK"/>
        </w:rPr>
        <w:t>irinotecan</w:t>
      </w:r>
      <w:proofErr w:type="spellEnd"/>
      <w:r w:rsidRPr="001F1DF0">
        <w:rPr>
          <w:sz w:val="24"/>
          <w:szCs w:val="24"/>
          <w:lang w:eastAsia="da-DK"/>
        </w:rPr>
        <w:t xml:space="preserve"> overvejes til patienter</w:t>
      </w:r>
      <w:r>
        <w:rPr>
          <w:sz w:val="24"/>
          <w:szCs w:val="24"/>
          <w:lang w:eastAsia="da-DK"/>
        </w:rPr>
        <w:t xml:space="preserve"> med ringe</w:t>
      </w:r>
      <w:r w:rsidRPr="001F1DF0">
        <w:rPr>
          <w:sz w:val="24"/>
          <w:szCs w:val="24"/>
          <w:lang w:eastAsia="da-DK"/>
        </w:rPr>
        <w:t xml:space="preserve"> UGT1A1</w:t>
      </w:r>
      <w:r>
        <w:rPr>
          <w:sz w:val="24"/>
          <w:szCs w:val="24"/>
          <w:lang w:eastAsia="da-DK"/>
        </w:rPr>
        <w:t>-metaboliseringsevne</w:t>
      </w:r>
      <w:r w:rsidRPr="001F1DF0">
        <w:rPr>
          <w:sz w:val="24"/>
          <w:szCs w:val="24"/>
          <w:lang w:eastAsia="da-DK"/>
        </w:rPr>
        <w:t xml:space="preserve">, især patienter, som får doser &gt;180 mg/m² eller </w:t>
      </w:r>
      <w:r>
        <w:rPr>
          <w:sz w:val="24"/>
          <w:szCs w:val="24"/>
          <w:lang w:eastAsia="da-DK"/>
        </w:rPr>
        <w:t>skrøbelige</w:t>
      </w:r>
      <w:r w:rsidRPr="001F1DF0">
        <w:rPr>
          <w:sz w:val="24"/>
          <w:szCs w:val="24"/>
          <w:lang w:eastAsia="da-DK"/>
        </w:rPr>
        <w:t xml:space="preserve"> patienter. Der bør tages hensyn til gældende kliniske retningslinjer for dosisanbefalinger til denne patientpopulation. Efterfølgende doser kan øges baseret på individuel patienttolerance over for behandling. UGT1A1-genotypebestemmelse kan bruges til at identificere patienter med øget risiko for svær </w:t>
      </w:r>
      <w:proofErr w:type="spellStart"/>
      <w:r w:rsidRPr="001F1DF0">
        <w:rPr>
          <w:sz w:val="24"/>
          <w:szCs w:val="24"/>
          <w:lang w:eastAsia="da-DK"/>
        </w:rPr>
        <w:t>neutropeni</w:t>
      </w:r>
      <w:proofErr w:type="spellEnd"/>
      <w:r w:rsidRPr="001F1DF0">
        <w:rPr>
          <w:sz w:val="24"/>
          <w:szCs w:val="24"/>
          <w:lang w:eastAsia="da-DK"/>
        </w:rPr>
        <w:t xml:space="preserve"> og diarré, men den kliniske nytte af genotypebestemmelse før behandling er usikker, da UGT1A1-polymorfi ikke tager højde for al toksiciteten fra </w:t>
      </w:r>
      <w:proofErr w:type="spellStart"/>
      <w:r w:rsidRPr="001F1DF0">
        <w:rPr>
          <w:sz w:val="24"/>
          <w:szCs w:val="24"/>
          <w:lang w:eastAsia="da-DK"/>
        </w:rPr>
        <w:t>irinotecanbehandling</w:t>
      </w:r>
      <w:proofErr w:type="spellEnd"/>
      <w:r w:rsidRPr="001F1DF0">
        <w:rPr>
          <w:sz w:val="24"/>
          <w:szCs w:val="24"/>
          <w:lang w:eastAsia="da-DK"/>
        </w:rPr>
        <w:t xml:space="preserve"> (se pkt. 5.2).</w:t>
      </w:r>
    </w:p>
    <w:p w:rsidR="00873CD3" w:rsidRDefault="00873CD3" w:rsidP="00873CD3">
      <w:pPr>
        <w:ind w:left="851"/>
        <w:rPr>
          <w:bCs/>
          <w:sz w:val="24"/>
          <w:szCs w:val="24"/>
          <w:u w:val="single"/>
          <w:lang w:eastAsia="da-DK"/>
        </w:rPr>
      </w:pPr>
      <w:r>
        <w:rPr>
          <w:sz w:val="24"/>
          <w:szCs w:val="24"/>
          <w:u w:val="single"/>
          <w:lang w:eastAsia="da-DK"/>
        </w:rPr>
        <w:t>Andre</w:t>
      </w:r>
    </w:p>
    <w:p w:rsidR="00873CD3" w:rsidRDefault="00873CD3" w:rsidP="00873CD3">
      <w:pPr>
        <w:ind w:left="851"/>
        <w:rPr>
          <w:sz w:val="24"/>
          <w:szCs w:val="24"/>
          <w:lang w:eastAsia="da-DK"/>
        </w:rPr>
      </w:pPr>
      <w:r>
        <w:rPr>
          <w:sz w:val="24"/>
          <w:szCs w:val="24"/>
          <w:lang w:eastAsia="da-DK"/>
        </w:rPr>
        <w:t xml:space="preserve">Sjældne tilfælde af nyreinsufficiens, hypotension eller kredsløbssvigt er observeret hos patienter, der har været dehydreret i forbindelse med diarré og/eller opkastning eller sepsis. </w:t>
      </w:r>
    </w:p>
    <w:p w:rsidR="002B1FA6" w:rsidRDefault="002B1FA6" w:rsidP="00873CD3">
      <w:pPr>
        <w:rPr>
          <w:sz w:val="24"/>
          <w:szCs w:val="24"/>
          <w:lang w:eastAsia="da-DK"/>
        </w:rPr>
      </w:pPr>
    </w:p>
    <w:p w:rsidR="00873CD3" w:rsidRDefault="00873CD3" w:rsidP="00873CD3">
      <w:pPr>
        <w:ind w:left="851"/>
        <w:rPr>
          <w:sz w:val="24"/>
          <w:szCs w:val="24"/>
          <w:lang w:eastAsia="da-DK"/>
        </w:rPr>
      </w:pPr>
      <w:proofErr w:type="spellStart"/>
      <w:r>
        <w:rPr>
          <w:sz w:val="24"/>
          <w:szCs w:val="24"/>
          <w:lang w:eastAsia="da-DK"/>
        </w:rPr>
        <w:t>Irinotecanbehandling</w:t>
      </w:r>
      <w:proofErr w:type="spellEnd"/>
      <w:r>
        <w:rPr>
          <w:sz w:val="24"/>
          <w:szCs w:val="24"/>
          <w:lang w:eastAsia="da-DK"/>
        </w:rPr>
        <w:t xml:space="preserve"> sammen med en kraftig CYP3A4-hæmmer (f.eks. </w:t>
      </w:r>
      <w:proofErr w:type="spellStart"/>
      <w:r>
        <w:rPr>
          <w:sz w:val="24"/>
          <w:szCs w:val="24"/>
          <w:lang w:eastAsia="da-DK"/>
        </w:rPr>
        <w:t>ketoconazol</w:t>
      </w:r>
      <w:proofErr w:type="spellEnd"/>
      <w:r>
        <w:rPr>
          <w:sz w:val="24"/>
          <w:szCs w:val="24"/>
          <w:lang w:eastAsia="da-DK"/>
        </w:rPr>
        <w:t xml:space="preserve">) eller CYP3A4-inducer (f.eks. </w:t>
      </w:r>
      <w:proofErr w:type="spellStart"/>
      <w:r>
        <w:rPr>
          <w:sz w:val="24"/>
          <w:szCs w:val="24"/>
          <w:lang w:eastAsia="da-DK"/>
        </w:rPr>
        <w:t>rifampicin</w:t>
      </w:r>
      <w:proofErr w:type="spellEnd"/>
      <w:r>
        <w:rPr>
          <w:sz w:val="24"/>
          <w:szCs w:val="24"/>
          <w:lang w:eastAsia="da-DK"/>
        </w:rPr>
        <w:t xml:space="preserve">, </w:t>
      </w:r>
      <w:proofErr w:type="spellStart"/>
      <w:r>
        <w:rPr>
          <w:sz w:val="24"/>
          <w:szCs w:val="24"/>
          <w:lang w:eastAsia="da-DK"/>
        </w:rPr>
        <w:t>carbamazepin</w:t>
      </w:r>
      <w:proofErr w:type="spellEnd"/>
      <w:r>
        <w:rPr>
          <w:sz w:val="24"/>
          <w:szCs w:val="24"/>
          <w:lang w:eastAsia="da-DK"/>
        </w:rPr>
        <w:t xml:space="preserve">, </w:t>
      </w:r>
      <w:proofErr w:type="spellStart"/>
      <w:r>
        <w:rPr>
          <w:sz w:val="24"/>
          <w:szCs w:val="24"/>
          <w:lang w:eastAsia="da-DK"/>
        </w:rPr>
        <w:t>phenobarbital</w:t>
      </w:r>
      <w:proofErr w:type="spellEnd"/>
      <w:r>
        <w:rPr>
          <w:sz w:val="24"/>
          <w:szCs w:val="24"/>
          <w:lang w:eastAsia="da-DK"/>
        </w:rPr>
        <w:t xml:space="preserve">, </w:t>
      </w:r>
      <w:proofErr w:type="spellStart"/>
      <w:r>
        <w:rPr>
          <w:sz w:val="24"/>
          <w:szCs w:val="24"/>
          <w:lang w:eastAsia="da-DK"/>
        </w:rPr>
        <w:t>phenytoin</w:t>
      </w:r>
      <w:proofErr w:type="spellEnd"/>
      <w:r>
        <w:rPr>
          <w:sz w:val="24"/>
          <w:szCs w:val="24"/>
          <w:lang w:eastAsia="da-DK"/>
        </w:rPr>
        <w:t xml:space="preserve">, </w:t>
      </w:r>
      <w:proofErr w:type="spellStart"/>
      <w:r>
        <w:rPr>
          <w:sz w:val="24"/>
          <w:szCs w:val="24"/>
          <w:lang w:eastAsia="da-DK"/>
        </w:rPr>
        <w:t>apalutamid</w:t>
      </w:r>
      <w:proofErr w:type="spellEnd"/>
      <w:r>
        <w:rPr>
          <w:sz w:val="24"/>
          <w:szCs w:val="24"/>
          <w:lang w:eastAsia="da-DK"/>
        </w:rPr>
        <w:t xml:space="preserve">) kan ændre </w:t>
      </w:r>
      <w:proofErr w:type="spellStart"/>
      <w:r>
        <w:rPr>
          <w:sz w:val="24"/>
          <w:szCs w:val="24"/>
          <w:lang w:eastAsia="da-DK"/>
        </w:rPr>
        <w:t>irinotecans</w:t>
      </w:r>
      <w:proofErr w:type="spellEnd"/>
      <w:r>
        <w:rPr>
          <w:sz w:val="24"/>
          <w:szCs w:val="24"/>
          <w:lang w:eastAsia="da-DK"/>
        </w:rPr>
        <w:t xml:space="preserve"> metabolisme og bør derfor undgås (se pkt. 4.5).</w:t>
      </w:r>
    </w:p>
    <w:p w:rsidR="00873CD3" w:rsidRDefault="00873CD3" w:rsidP="00873CD3">
      <w:pPr>
        <w:ind w:left="851"/>
        <w:rPr>
          <w:sz w:val="24"/>
          <w:szCs w:val="24"/>
          <w:lang w:eastAsia="da-DK"/>
        </w:rPr>
      </w:pPr>
    </w:p>
    <w:p w:rsidR="00873CD3" w:rsidRPr="00DD6506" w:rsidRDefault="00873CD3" w:rsidP="00873CD3">
      <w:pPr>
        <w:ind w:left="851"/>
        <w:rPr>
          <w:sz w:val="24"/>
          <w:szCs w:val="24"/>
          <w:u w:val="single"/>
          <w:lang w:eastAsia="da-DK"/>
        </w:rPr>
      </w:pPr>
      <w:r w:rsidRPr="00DD6506">
        <w:rPr>
          <w:sz w:val="24"/>
          <w:szCs w:val="24"/>
          <w:u w:val="single"/>
          <w:lang w:eastAsia="da-DK"/>
        </w:rPr>
        <w:t>Prævention hos kvinder i den fødedygtige alder/mænd:</w:t>
      </w:r>
    </w:p>
    <w:p w:rsidR="00873CD3" w:rsidRDefault="00873CD3" w:rsidP="00873CD3">
      <w:pPr>
        <w:ind w:left="851"/>
        <w:rPr>
          <w:sz w:val="24"/>
          <w:szCs w:val="24"/>
          <w:lang w:eastAsia="da-DK"/>
        </w:rPr>
      </w:pPr>
      <w:r>
        <w:rPr>
          <w:sz w:val="24"/>
          <w:szCs w:val="24"/>
          <w:lang w:eastAsia="da-DK"/>
        </w:rPr>
        <w:t xml:space="preserve">På grund af potentialet for genotoksicitet, skal fertile kvindelige patienter rådgives om at benytte højeffektiv prævention under behandlingen og i 6 måneder efter den sidste dosis </w:t>
      </w:r>
      <w:proofErr w:type="spellStart"/>
      <w:r>
        <w:rPr>
          <w:sz w:val="24"/>
          <w:szCs w:val="24"/>
          <w:lang w:eastAsia="da-DK"/>
        </w:rPr>
        <w:t>irinotecan</w:t>
      </w:r>
      <w:proofErr w:type="spellEnd"/>
      <w:r>
        <w:rPr>
          <w:sz w:val="24"/>
          <w:szCs w:val="24"/>
          <w:lang w:eastAsia="da-DK"/>
        </w:rPr>
        <w:t>.</w:t>
      </w:r>
    </w:p>
    <w:p w:rsidR="00873CD3" w:rsidRDefault="00873CD3" w:rsidP="00873CD3">
      <w:pPr>
        <w:ind w:left="851"/>
        <w:rPr>
          <w:sz w:val="24"/>
          <w:szCs w:val="24"/>
          <w:lang w:eastAsia="da-DK"/>
        </w:rPr>
      </w:pPr>
    </w:p>
    <w:p w:rsidR="00873CD3" w:rsidRDefault="00873CD3" w:rsidP="00873CD3">
      <w:pPr>
        <w:ind w:left="851"/>
        <w:rPr>
          <w:sz w:val="24"/>
          <w:szCs w:val="24"/>
          <w:lang w:eastAsia="da-DK"/>
        </w:rPr>
      </w:pPr>
      <w:r>
        <w:rPr>
          <w:sz w:val="24"/>
          <w:szCs w:val="24"/>
          <w:lang w:eastAsia="da-DK"/>
        </w:rPr>
        <w:t xml:space="preserve">På grund af potentialet for genotoksicitet, skal mandlige patienter med fertile kvindelige partnere rådgives om at benytte effektiv prævention under behandlingen og i 3 måneder efter den sidste dosis </w:t>
      </w:r>
      <w:proofErr w:type="spellStart"/>
      <w:r>
        <w:rPr>
          <w:sz w:val="24"/>
          <w:szCs w:val="24"/>
          <w:lang w:eastAsia="da-DK"/>
        </w:rPr>
        <w:t>irinotecan</w:t>
      </w:r>
      <w:proofErr w:type="spellEnd"/>
      <w:r>
        <w:rPr>
          <w:sz w:val="24"/>
          <w:szCs w:val="24"/>
          <w:lang w:eastAsia="da-DK"/>
        </w:rPr>
        <w:t xml:space="preserve"> (se pkt. 4.6).</w:t>
      </w:r>
    </w:p>
    <w:p w:rsidR="00873CD3" w:rsidRDefault="00873CD3" w:rsidP="00873CD3">
      <w:pPr>
        <w:ind w:left="851"/>
        <w:rPr>
          <w:sz w:val="24"/>
          <w:szCs w:val="24"/>
          <w:lang w:eastAsia="da-DK"/>
        </w:rPr>
      </w:pPr>
    </w:p>
    <w:p w:rsidR="00873CD3" w:rsidRDefault="00873CD3" w:rsidP="00873CD3">
      <w:pPr>
        <w:ind w:left="851"/>
        <w:rPr>
          <w:sz w:val="24"/>
          <w:szCs w:val="24"/>
          <w:u w:val="single"/>
          <w:lang w:eastAsia="da-DK"/>
        </w:rPr>
      </w:pPr>
      <w:r>
        <w:rPr>
          <w:sz w:val="24"/>
          <w:szCs w:val="24"/>
          <w:u w:val="single"/>
          <w:lang w:eastAsia="da-DK"/>
        </w:rPr>
        <w:t>Amning</w:t>
      </w:r>
    </w:p>
    <w:p w:rsidR="00873CD3" w:rsidRDefault="00873CD3" w:rsidP="00873CD3">
      <w:pPr>
        <w:ind w:left="851"/>
        <w:rPr>
          <w:sz w:val="24"/>
          <w:szCs w:val="24"/>
          <w:lang w:eastAsia="da-DK"/>
        </w:rPr>
      </w:pPr>
      <w:r>
        <w:rPr>
          <w:sz w:val="24"/>
          <w:szCs w:val="24"/>
          <w:lang w:eastAsia="da-DK"/>
        </w:rPr>
        <w:t xml:space="preserve">På grund af risikoen for bivirkninger hos ammende spædbørn, skal amning seponeres under behandlingen med </w:t>
      </w:r>
      <w:proofErr w:type="spellStart"/>
      <w:r>
        <w:rPr>
          <w:bCs/>
          <w:sz w:val="24"/>
          <w:szCs w:val="24"/>
        </w:rPr>
        <w:t>Irinotecan</w:t>
      </w:r>
      <w:proofErr w:type="spellEnd"/>
      <w:r>
        <w:rPr>
          <w:bCs/>
          <w:sz w:val="24"/>
          <w:szCs w:val="24"/>
        </w:rPr>
        <w:t xml:space="preserve"> "</w:t>
      </w:r>
      <w:proofErr w:type="spellStart"/>
      <w:r>
        <w:rPr>
          <w:bCs/>
          <w:sz w:val="24"/>
          <w:szCs w:val="24"/>
        </w:rPr>
        <w:t>Accord</w:t>
      </w:r>
      <w:proofErr w:type="spellEnd"/>
      <w:r>
        <w:rPr>
          <w:bCs/>
          <w:sz w:val="24"/>
          <w:szCs w:val="24"/>
        </w:rPr>
        <w:t xml:space="preserve">" </w:t>
      </w:r>
      <w:r>
        <w:rPr>
          <w:sz w:val="24"/>
          <w:szCs w:val="24"/>
          <w:lang w:eastAsia="da-DK"/>
        </w:rPr>
        <w:t>(se pkt. 4.3 og 4.6).</w:t>
      </w:r>
    </w:p>
    <w:p w:rsidR="00873CD3" w:rsidRDefault="00873CD3" w:rsidP="00873CD3">
      <w:pPr>
        <w:ind w:left="851"/>
        <w:rPr>
          <w:sz w:val="24"/>
          <w:szCs w:val="24"/>
          <w:lang w:eastAsia="da-DK"/>
        </w:rPr>
      </w:pPr>
    </w:p>
    <w:p w:rsidR="00873CD3" w:rsidRDefault="00873CD3" w:rsidP="00873CD3">
      <w:pPr>
        <w:ind w:left="851"/>
        <w:rPr>
          <w:sz w:val="24"/>
          <w:szCs w:val="24"/>
          <w:lang w:eastAsia="da-DK"/>
        </w:rPr>
      </w:pPr>
      <w:r w:rsidRPr="00DD6506">
        <w:rPr>
          <w:sz w:val="24"/>
          <w:szCs w:val="24"/>
          <w:u w:val="single"/>
          <w:lang w:eastAsia="da-DK"/>
        </w:rPr>
        <w:t>Hjælpestoffer</w:t>
      </w:r>
      <w:r>
        <w:rPr>
          <w:sz w:val="24"/>
          <w:szCs w:val="24"/>
          <w:lang w:eastAsia="da-DK"/>
        </w:rPr>
        <w:t>:</w:t>
      </w:r>
    </w:p>
    <w:p w:rsidR="00873CD3" w:rsidRDefault="00873CD3" w:rsidP="00873CD3">
      <w:pPr>
        <w:ind w:left="851"/>
        <w:rPr>
          <w:sz w:val="24"/>
          <w:szCs w:val="24"/>
          <w:lang w:eastAsia="da-DK"/>
        </w:rPr>
      </w:pPr>
      <w:r>
        <w:rPr>
          <w:sz w:val="24"/>
          <w:szCs w:val="24"/>
          <w:lang w:eastAsia="da-DK"/>
        </w:rPr>
        <w:t xml:space="preserve">Dette lægemiddel indeholder sorbitol (se pkt. 2). Sorbitol er en kilde til fruktose. Bør ikke anvendes til patienter med hereditær </w:t>
      </w:r>
      <w:proofErr w:type="spellStart"/>
      <w:r>
        <w:rPr>
          <w:sz w:val="24"/>
          <w:szCs w:val="24"/>
          <w:lang w:eastAsia="da-DK"/>
        </w:rPr>
        <w:t>fructoseintolerans</w:t>
      </w:r>
      <w:proofErr w:type="spellEnd"/>
      <w:r>
        <w:rPr>
          <w:sz w:val="24"/>
          <w:szCs w:val="24"/>
          <w:lang w:eastAsia="da-DK"/>
        </w:rPr>
        <w:t xml:space="preserve"> medmindre det er strengt nødvendigt.</w:t>
      </w:r>
    </w:p>
    <w:p w:rsidR="00873CD3" w:rsidRDefault="00873CD3" w:rsidP="00873CD3">
      <w:pPr>
        <w:rPr>
          <w:sz w:val="24"/>
          <w:szCs w:val="24"/>
          <w:lang w:eastAsia="da-DK"/>
        </w:rPr>
      </w:pPr>
    </w:p>
    <w:p w:rsidR="00873CD3" w:rsidRDefault="00873CD3" w:rsidP="00873CD3">
      <w:pPr>
        <w:ind w:left="851"/>
        <w:rPr>
          <w:sz w:val="24"/>
          <w:szCs w:val="24"/>
          <w:lang w:eastAsia="da-DK"/>
        </w:rPr>
      </w:pPr>
      <w:r>
        <w:rPr>
          <w:sz w:val="24"/>
          <w:szCs w:val="24"/>
          <w:lang w:eastAsia="da-DK"/>
        </w:rPr>
        <w:t xml:space="preserve">Babyer og småbørn (under 2 år) kan have hereditær </w:t>
      </w:r>
      <w:proofErr w:type="spellStart"/>
      <w:r>
        <w:rPr>
          <w:sz w:val="24"/>
          <w:szCs w:val="24"/>
          <w:lang w:eastAsia="da-DK"/>
        </w:rPr>
        <w:t>fructoseintolerans</w:t>
      </w:r>
      <w:proofErr w:type="spellEnd"/>
      <w:r>
        <w:rPr>
          <w:sz w:val="24"/>
          <w:szCs w:val="24"/>
          <w:lang w:eastAsia="da-DK"/>
        </w:rPr>
        <w:t xml:space="preserve"> (HFI) uden at være diagnosticeret for det. Lægemidler (indeholdende sorbitol/</w:t>
      </w:r>
      <w:proofErr w:type="spellStart"/>
      <w:r>
        <w:rPr>
          <w:sz w:val="24"/>
          <w:szCs w:val="24"/>
          <w:lang w:eastAsia="da-DK"/>
        </w:rPr>
        <w:t>fructose</w:t>
      </w:r>
      <w:proofErr w:type="spellEnd"/>
      <w:r>
        <w:rPr>
          <w:sz w:val="24"/>
          <w:szCs w:val="24"/>
          <w:lang w:eastAsia="da-DK"/>
        </w:rPr>
        <w:t>) givet intravenøst ​​kan være livstruende og være kontraindicerede for denne population, og bør ikke administreres, medmindre der er et overvældende klinisk behov, og der ikke findes andet alternativ.</w:t>
      </w:r>
    </w:p>
    <w:p w:rsidR="00873CD3" w:rsidRDefault="00873CD3" w:rsidP="00873CD3">
      <w:pPr>
        <w:ind w:left="851"/>
        <w:rPr>
          <w:sz w:val="24"/>
          <w:szCs w:val="24"/>
          <w:lang w:eastAsia="da-DK"/>
        </w:rPr>
      </w:pPr>
    </w:p>
    <w:p w:rsidR="00873CD3" w:rsidRDefault="00873CD3" w:rsidP="00873CD3">
      <w:pPr>
        <w:ind w:left="851"/>
        <w:rPr>
          <w:sz w:val="24"/>
          <w:szCs w:val="24"/>
          <w:lang w:eastAsia="da-DK"/>
        </w:rPr>
      </w:pPr>
      <w:r>
        <w:rPr>
          <w:sz w:val="24"/>
          <w:szCs w:val="24"/>
          <w:lang w:eastAsia="da-DK"/>
        </w:rPr>
        <w:lastRenderedPageBreak/>
        <w:t>Detaljeret anamnese med henblik på symptomer på HFI skal foretages, før patienten kan anvende lægemidlet.</w:t>
      </w:r>
    </w:p>
    <w:p w:rsidR="00873CD3" w:rsidRDefault="00873CD3" w:rsidP="00873CD3">
      <w:pPr>
        <w:ind w:left="851"/>
        <w:rPr>
          <w:sz w:val="24"/>
          <w:szCs w:val="24"/>
          <w:lang w:eastAsia="da-DK"/>
        </w:rPr>
      </w:pPr>
    </w:p>
    <w:p w:rsidR="00873CD3" w:rsidRDefault="00873CD3" w:rsidP="00873CD3">
      <w:pPr>
        <w:ind w:left="851"/>
        <w:rPr>
          <w:sz w:val="24"/>
          <w:szCs w:val="24"/>
          <w:lang w:eastAsia="da-DK"/>
        </w:rPr>
      </w:pPr>
      <w:r>
        <w:rPr>
          <w:sz w:val="24"/>
          <w:szCs w:val="24"/>
          <w:lang w:eastAsia="da-DK"/>
        </w:rPr>
        <w:t>Dette lægemiddel indeholder mindre end 1 mmol (23 mg) natrium pr. hætteglas, dvs. det er i det væsentlige natriumfrit.</w:t>
      </w:r>
    </w:p>
    <w:p w:rsidR="00980D61" w:rsidRPr="00EC3E95" w:rsidRDefault="00980D61" w:rsidP="00980D61">
      <w:pPr>
        <w:ind w:left="851"/>
        <w:rPr>
          <w:sz w:val="24"/>
          <w:szCs w:val="24"/>
          <w:lang w:eastAsia="da-DK"/>
        </w:rPr>
      </w:pPr>
    </w:p>
    <w:p w:rsidR="00980D61" w:rsidRPr="000B0AD0" w:rsidRDefault="00980D61" w:rsidP="00980D61">
      <w:pPr>
        <w:keepNext/>
        <w:ind w:left="851"/>
        <w:outlineLvl w:val="1"/>
        <w:rPr>
          <w:b/>
          <w:sz w:val="24"/>
          <w:szCs w:val="24"/>
          <w:lang w:eastAsia="da-DK"/>
        </w:rPr>
      </w:pPr>
      <w:r w:rsidRPr="00EC3E95">
        <w:rPr>
          <w:b/>
          <w:sz w:val="24"/>
          <w:szCs w:val="24"/>
          <w:lang w:eastAsia="da-DK"/>
        </w:rPr>
        <w:t>4.5</w:t>
      </w:r>
      <w:r w:rsidRPr="00EC3E95">
        <w:rPr>
          <w:b/>
          <w:sz w:val="24"/>
          <w:szCs w:val="24"/>
          <w:lang w:eastAsia="da-DK"/>
        </w:rPr>
        <w:tab/>
        <w:t>Interaktion med andre lægemidler og andre former for interaktion</w:t>
      </w:r>
    </w:p>
    <w:p w:rsidR="00980D61" w:rsidRPr="000B0AD0" w:rsidRDefault="00980D61" w:rsidP="00980D61">
      <w:pPr>
        <w:keepNext/>
        <w:ind w:left="851"/>
        <w:outlineLvl w:val="1"/>
        <w:rPr>
          <w:b/>
          <w:sz w:val="24"/>
          <w:szCs w:val="24"/>
          <w:lang w:eastAsia="da-DK"/>
        </w:rPr>
      </w:pPr>
    </w:p>
    <w:p w:rsidR="00980D61" w:rsidRPr="000B0AD0" w:rsidRDefault="00980D61" w:rsidP="00980D61">
      <w:pPr>
        <w:ind w:left="851"/>
        <w:rPr>
          <w:sz w:val="24"/>
          <w:szCs w:val="24"/>
          <w:u w:val="single"/>
          <w:lang w:eastAsia="da-DK"/>
        </w:rPr>
      </w:pPr>
      <w:r w:rsidRPr="000B0AD0">
        <w:rPr>
          <w:sz w:val="24"/>
          <w:szCs w:val="24"/>
          <w:u w:val="single"/>
          <w:lang w:eastAsia="da-DK"/>
        </w:rPr>
        <w:t xml:space="preserve">Samtidig brug kontraindiceret </w:t>
      </w:r>
    </w:p>
    <w:p w:rsidR="000B0AD0" w:rsidRPr="000B0AD0" w:rsidRDefault="000B0AD0" w:rsidP="000B0AD0">
      <w:pPr>
        <w:ind w:left="851"/>
        <w:rPr>
          <w:sz w:val="24"/>
          <w:szCs w:val="24"/>
          <w:lang w:eastAsia="da-DK"/>
        </w:rPr>
      </w:pPr>
    </w:p>
    <w:p w:rsidR="000B0AD0" w:rsidRPr="000B0AD0" w:rsidRDefault="000B0AD0" w:rsidP="000B0AD0">
      <w:pPr>
        <w:ind w:left="851"/>
        <w:rPr>
          <w:sz w:val="24"/>
          <w:szCs w:val="24"/>
        </w:rPr>
      </w:pPr>
      <w:r w:rsidRPr="000B0AD0">
        <w:rPr>
          <w:i/>
          <w:sz w:val="24"/>
          <w:szCs w:val="24"/>
          <w:lang w:eastAsia="da-DK"/>
        </w:rPr>
        <w:t>Perikon</w:t>
      </w:r>
      <w:r w:rsidRPr="000B0AD0">
        <w:rPr>
          <w:sz w:val="24"/>
          <w:szCs w:val="24"/>
          <w:lang w:eastAsia="da-DK"/>
        </w:rPr>
        <w:t xml:space="preserve">: Fald i plasmaniveau af </w:t>
      </w:r>
      <w:proofErr w:type="spellStart"/>
      <w:r w:rsidRPr="000B0AD0">
        <w:rPr>
          <w:sz w:val="24"/>
          <w:szCs w:val="24"/>
          <w:lang w:eastAsia="da-DK"/>
        </w:rPr>
        <w:t>irinotecans</w:t>
      </w:r>
      <w:proofErr w:type="spellEnd"/>
      <w:r w:rsidRPr="000B0AD0">
        <w:rPr>
          <w:sz w:val="24"/>
          <w:szCs w:val="24"/>
          <w:lang w:eastAsia="da-DK"/>
        </w:rPr>
        <w:t xml:space="preserve"> aktive metabolit, SN-38. </w:t>
      </w:r>
      <w:r w:rsidRPr="000B0AD0">
        <w:rPr>
          <w:sz w:val="24"/>
          <w:szCs w:val="24"/>
        </w:rPr>
        <w:t xml:space="preserve">I en mindre </w:t>
      </w:r>
      <w:proofErr w:type="spellStart"/>
      <w:r w:rsidRPr="000B0AD0">
        <w:rPr>
          <w:sz w:val="24"/>
          <w:szCs w:val="24"/>
        </w:rPr>
        <w:t>farmakokinetisk</w:t>
      </w:r>
      <w:proofErr w:type="spellEnd"/>
      <w:r w:rsidRPr="000B0AD0">
        <w:rPr>
          <w:sz w:val="24"/>
          <w:szCs w:val="24"/>
        </w:rPr>
        <w:t xml:space="preserve"> undersøgelse (n=5), hvor der blev indgivet 350 mg/m</w:t>
      </w:r>
      <w:r w:rsidRPr="000B0AD0">
        <w:rPr>
          <w:sz w:val="24"/>
          <w:szCs w:val="24"/>
          <w:vertAlign w:val="superscript"/>
        </w:rPr>
        <w:t>2</w:t>
      </w:r>
      <w:r w:rsidRPr="000B0AD0">
        <w:rPr>
          <w:sz w:val="24"/>
          <w:szCs w:val="24"/>
        </w:rPr>
        <w:t xml:space="preserve"> </w:t>
      </w:r>
      <w:proofErr w:type="spellStart"/>
      <w:r w:rsidRPr="000B0AD0">
        <w:rPr>
          <w:sz w:val="24"/>
          <w:szCs w:val="24"/>
        </w:rPr>
        <w:t>irinotecan</w:t>
      </w:r>
      <w:proofErr w:type="spellEnd"/>
      <w:r w:rsidRPr="000B0AD0">
        <w:rPr>
          <w:sz w:val="24"/>
          <w:szCs w:val="24"/>
        </w:rPr>
        <w:t xml:space="preserve"> sammen med perikon (</w:t>
      </w:r>
      <w:proofErr w:type="spellStart"/>
      <w:r w:rsidRPr="000B0AD0">
        <w:rPr>
          <w:i/>
          <w:iCs/>
          <w:sz w:val="24"/>
          <w:szCs w:val="24"/>
        </w:rPr>
        <w:t>Hypericum</w:t>
      </w:r>
      <w:proofErr w:type="spellEnd"/>
      <w:r w:rsidRPr="000B0AD0">
        <w:rPr>
          <w:i/>
          <w:iCs/>
          <w:sz w:val="24"/>
          <w:szCs w:val="24"/>
        </w:rPr>
        <w:t xml:space="preserve"> </w:t>
      </w:r>
      <w:proofErr w:type="spellStart"/>
      <w:r w:rsidRPr="000B0AD0">
        <w:rPr>
          <w:i/>
          <w:iCs/>
          <w:sz w:val="24"/>
          <w:szCs w:val="24"/>
        </w:rPr>
        <w:t>perforatum</w:t>
      </w:r>
      <w:proofErr w:type="spellEnd"/>
      <w:r w:rsidRPr="000B0AD0">
        <w:rPr>
          <w:sz w:val="24"/>
          <w:szCs w:val="24"/>
        </w:rPr>
        <w:t xml:space="preserve">) 900 mg, blev der observeret et fald på 42 % i plasmakoncentrationen for den aktive </w:t>
      </w:r>
      <w:proofErr w:type="spellStart"/>
      <w:r w:rsidRPr="000B0AD0">
        <w:rPr>
          <w:sz w:val="24"/>
          <w:szCs w:val="24"/>
        </w:rPr>
        <w:t>irinotecan</w:t>
      </w:r>
      <w:proofErr w:type="spellEnd"/>
      <w:r w:rsidRPr="000B0AD0">
        <w:rPr>
          <w:sz w:val="24"/>
          <w:szCs w:val="24"/>
        </w:rPr>
        <w:t xml:space="preserve"> metabolit, SN-38.  Perikon bør derfor ikke administreres med </w:t>
      </w:r>
      <w:proofErr w:type="spellStart"/>
      <w:r w:rsidRPr="000B0AD0">
        <w:rPr>
          <w:sz w:val="24"/>
          <w:szCs w:val="24"/>
        </w:rPr>
        <w:t>irinotecan</w:t>
      </w:r>
      <w:proofErr w:type="spellEnd"/>
      <w:r w:rsidRPr="000B0AD0">
        <w:rPr>
          <w:sz w:val="24"/>
          <w:szCs w:val="24"/>
        </w:rPr>
        <w:t xml:space="preserve"> (se pkt. 4.3).</w:t>
      </w:r>
    </w:p>
    <w:p w:rsidR="000B0AD0" w:rsidRPr="000B0AD0" w:rsidRDefault="000B0AD0" w:rsidP="000B0AD0">
      <w:pPr>
        <w:ind w:left="851"/>
        <w:rPr>
          <w:sz w:val="24"/>
          <w:szCs w:val="24"/>
        </w:rPr>
      </w:pPr>
    </w:p>
    <w:p w:rsidR="00980D61" w:rsidRPr="000B0AD0" w:rsidRDefault="00980D61" w:rsidP="00980D61">
      <w:pPr>
        <w:ind w:left="851"/>
        <w:rPr>
          <w:sz w:val="24"/>
          <w:szCs w:val="24"/>
          <w:lang w:eastAsia="da-DK"/>
        </w:rPr>
      </w:pPr>
      <w:r w:rsidRPr="000B0AD0">
        <w:rPr>
          <w:i/>
          <w:sz w:val="24"/>
          <w:szCs w:val="24"/>
        </w:rPr>
        <w:t>Levende, svækkede vacciner</w:t>
      </w:r>
      <w:r>
        <w:rPr>
          <w:i/>
          <w:sz w:val="24"/>
          <w:szCs w:val="24"/>
        </w:rPr>
        <w:t xml:space="preserve"> </w:t>
      </w:r>
      <w:r w:rsidRPr="00AB7DC3">
        <w:rPr>
          <w:i/>
          <w:sz w:val="24"/>
          <w:szCs w:val="24"/>
        </w:rPr>
        <w:t>(f.eks. vaccine mod gul feber):</w:t>
      </w:r>
      <w:r w:rsidRPr="000B0AD0">
        <w:rPr>
          <w:sz w:val="24"/>
          <w:szCs w:val="24"/>
        </w:rPr>
        <w:t xml:space="preserve"> Risiko for generaliseret reaktion af vacciner, kan være fatal. Samtidig brug er kontraindiceret under behandling med </w:t>
      </w:r>
      <w:proofErr w:type="spellStart"/>
      <w:r w:rsidRPr="000B0AD0">
        <w:rPr>
          <w:sz w:val="24"/>
          <w:szCs w:val="24"/>
        </w:rPr>
        <w:t>irinotecan</w:t>
      </w:r>
      <w:proofErr w:type="spellEnd"/>
      <w:r w:rsidRPr="000B0AD0">
        <w:rPr>
          <w:sz w:val="24"/>
          <w:szCs w:val="24"/>
        </w:rPr>
        <w:t xml:space="preserve"> og i 6 måneder efter endt kemoterapi. Døde eller inaktive vacciner kan administreres; dog kan responset af sådanne vacciner være formindsket.</w:t>
      </w:r>
    </w:p>
    <w:p w:rsidR="00980D61" w:rsidRPr="000B0AD0" w:rsidRDefault="00980D61" w:rsidP="00980D61">
      <w:pPr>
        <w:ind w:left="851"/>
        <w:rPr>
          <w:sz w:val="24"/>
          <w:szCs w:val="24"/>
          <w:lang w:eastAsia="da-DK"/>
        </w:rPr>
      </w:pPr>
    </w:p>
    <w:p w:rsidR="00980D61" w:rsidRPr="000B0AD0" w:rsidRDefault="00980D61" w:rsidP="00980D61">
      <w:pPr>
        <w:ind w:left="851"/>
        <w:rPr>
          <w:iCs/>
          <w:sz w:val="24"/>
          <w:szCs w:val="24"/>
          <w:lang w:eastAsia="da-DK"/>
        </w:rPr>
      </w:pPr>
      <w:r w:rsidRPr="000B0AD0">
        <w:rPr>
          <w:iCs/>
          <w:sz w:val="24"/>
          <w:szCs w:val="24"/>
          <w:u w:val="single"/>
          <w:lang w:eastAsia="da-DK"/>
        </w:rPr>
        <w:t>Samtidig brug frarådes</w:t>
      </w:r>
      <w:r>
        <w:rPr>
          <w:iCs/>
          <w:sz w:val="24"/>
          <w:szCs w:val="24"/>
          <w:u w:val="single"/>
          <w:lang w:eastAsia="da-DK"/>
        </w:rPr>
        <w:t xml:space="preserve"> </w:t>
      </w:r>
      <w:r w:rsidRPr="00252F1A">
        <w:rPr>
          <w:iCs/>
          <w:sz w:val="22"/>
          <w:szCs w:val="22"/>
          <w:u w:val="single"/>
          <w:lang w:eastAsia="da-DK"/>
        </w:rPr>
        <w:t>(se pkt. 4.4)</w:t>
      </w:r>
    </w:p>
    <w:p w:rsidR="00980D61" w:rsidRPr="000B0AD0" w:rsidRDefault="00980D61" w:rsidP="00980D61">
      <w:pPr>
        <w:ind w:left="851"/>
        <w:rPr>
          <w:sz w:val="24"/>
          <w:szCs w:val="24"/>
        </w:rPr>
      </w:pPr>
      <w:r w:rsidRPr="000B0AD0">
        <w:rPr>
          <w:sz w:val="24"/>
          <w:szCs w:val="24"/>
        </w:rPr>
        <w:t xml:space="preserve">Samtidig brug af </w:t>
      </w:r>
      <w:proofErr w:type="spellStart"/>
      <w:r w:rsidRPr="000B0AD0">
        <w:rPr>
          <w:sz w:val="24"/>
          <w:szCs w:val="24"/>
        </w:rPr>
        <w:t>irinotecan</w:t>
      </w:r>
      <w:proofErr w:type="spellEnd"/>
      <w:r w:rsidRPr="000B0AD0">
        <w:rPr>
          <w:sz w:val="24"/>
          <w:szCs w:val="24"/>
        </w:rPr>
        <w:t xml:space="preserve"> med en stærk hæmmer eller inducer af </w:t>
      </w:r>
      <w:proofErr w:type="spellStart"/>
      <w:r w:rsidRPr="000B0AD0">
        <w:rPr>
          <w:sz w:val="24"/>
          <w:szCs w:val="24"/>
        </w:rPr>
        <w:t>cytochrome</w:t>
      </w:r>
      <w:proofErr w:type="spellEnd"/>
      <w:r w:rsidRPr="000B0AD0">
        <w:rPr>
          <w:sz w:val="24"/>
          <w:szCs w:val="24"/>
        </w:rPr>
        <w:t xml:space="preserve"> P450 3A4 (CYP3A4) kan ændre metabolismen af </w:t>
      </w:r>
      <w:proofErr w:type="spellStart"/>
      <w:r w:rsidRPr="000B0AD0">
        <w:rPr>
          <w:sz w:val="24"/>
          <w:szCs w:val="24"/>
        </w:rPr>
        <w:t>irinotecan</w:t>
      </w:r>
      <w:proofErr w:type="spellEnd"/>
      <w:r w:rsidRPr="000B0AD0">
        <w:rPr>
          <w:sz w:val="24"/>
          <w:szCs w:val="24"/>
        </w:rPr>
        <w:t xml:space="preserve"> og bør undgås (se pkt. 4.4).  </w:t>
      </w:r>
    </w:p>
    <w:p w:rsidR="00980D61" w:rsidRPr="000B0AD0" w:rsidRDefault="00980D61" w:rsidP="00980D61">
      <w:pPr>
        <w:tabs>
          <w:tab w:val="left" w:pos="851"/>
        </w:tabs>
        <w:ind w:left="851"/>
        <w:rPr>
          <w:sz w:val="24"/>
          <w:szCs w:val="24"/>
        </w:rPr>
      </w:pPr>
    </w:p>
    <w:p w:rsidR="00980D61" w:rsidRPr="000B0AD0" w:rsidRDefault="00980D61" w:rsidP="00980D61">
      <w:pPr>
        <w:tabs>
          <w:tab w:val="left" w:pos="851"/>
        </w:tabs>
        <w:ind w:left="851"/>
        <w:rPr>
          <w:sz w:val="24"/>
          <w:szCs w:val="24"/>
        </w:rPr>
      </w:pPr>
      <w:r w:rsidRPr="000B0AD0">
        <w:rPr>
          <w:i/>
          <w:sz w:val="24"/>
          <w:szCs w:val="24"/>
        </w:rPr>
        <w:t>Stærke CYP3A4 og/eller UGT1A1 inducerende lægemidler:</w:t>
      </w:r>
      <w:r w:rsidRPr="000B0AD0">
        <w:rPr>
          <w:sz w:val="24"/>
          <w:szCs w:val="24"/>
        </w:rPr>
        <w:t xml:space="preserve"> (fx. </w:t>
      </w:r>
      <w:proofErr w:type="spellStart"/>
      <w:r w:rsidRPr="000B0AD0">
        <w:rPr>
          <w:sz w:val="24"/>
          <w:szCs w:val="24"/>
        </w:rPr>
        <w:t>rifampicin</w:t>
      </w:r>
      <w:proofErr w:type="spellEnd"/>
      <w:r w:rsidRPr="000B0AD0">
        <w:rPr>
          <w:sz w:val="24"/>
          <w:szCs w:val="24"/>
        </w:rPr>
        <w:t xml:space="preserve">, </w:t>
      </w:r>
      <w:proofErr w:type="spellStart"/>
      <w:r w:rsidRPr="000B0AD0">
        <w:rPr>
          <w:sz w:val="24"/>
          <w:szCs w:val="24"/>
        </w:rPr>
        <w:t>cabamazepin</w:t>
      </w:r>
      <w:proofErr w:type="spellEnd"/>
      <w:r w:rsidRPr="000B0AD0">
        <w:rPr>
          <w:sz w:val="24"/>
          <w:szCs w:val="24"/>
        </w:rPr>
        <w:t xml:space="preserve">, </w:t>
      </w:r>
      <w:proofErr w:type="spellStart"/>
      <w:proofErr w:type="gramStart"/>
      <w:r w:rsidRPr="000B0AD0">
        <w:rPr>
          <w:sz w:val="24"/>
          <w:szCs w:val="24"/>
        </w:rPr>
        <w:t>phenobarbital</w:t>
      </w:r>
      <w:r>
        <w:rPr>
          <w:sz w:val="24"/>
          <w:szCs w:val="24"/>
        </w:rPr>
        <w:t>,</w:t>
      </w:r>
      <w:r w:rsidRPr="000B0AD0">
        <w:rPr>
          <w:spacing w:val="-3"/>
          <w:sz w:val="24"/>
          <w:szCs w:val="24"/>
        </w:rPr>
        <w:t>phenytoin</w:t>
      </w:r>
      <w:proofErr w:type="spellEnd"/>
      <w:proofErr w:type="gramEnd"/>
      <w:r>
        <w:rPr>
          <w:spacing w:val="-3"/>
          <w:sz w:val="24"/>
          <w:szCs w:val="24"/>
        </w:rPr>
        <w:t xml:space="preserve"> </w:t>
      </w:r>
      <w:r w:rsidRPr="00AB7DC3">
        <w:rPr>
          <w:spacing w:val="-3"/>
          <w:sz w:val="24"/>
          <w:szCs w:val="24"/>
        </w:rPr>
        <w:t xml:space="preserve">eller </w:t>
      </w:r>
      <w:proofErr w:type="spellStart"/>
      <w:r w:rsidRPr="00AB7DC3">
        <w:rPr>
          <w:spacing w:val="-3"/>
          <w:sz w:val="24"/>
          <w:szCs w:val="24"/>
        </w:rPr>
        <w:t>apalutamid</w:t>
      </w:r>
      <w:proofErr w:type="spellEnd"/>
      <w:r w:rsidRPr="000B0AD0">
        <w:rPr>
          <w:sz w:val="24"/>
          <w:szCs w:val="24"/>
        </w:rPr>
        <w:t>):</w:t>
      </w:r>
    </w:p>
    <w:p w:rsidR="00980D61" w:rsidRDefault="00980D61" w:rsidP="00980D61">
      <w:pPr>
        <w:tabs>
          <w:tab w:val="left" w:pos="851"/>
        </w:tabs>
        <w:ind w:left="851"/>
        <w:rPr>
          <w:sz w:val="24"/>
          <w:szCs w:val="24"/>
        </w:rPr>
      </w:pPr>
    </w:p>
    <w:p w:rsidR="00980D61" w:rsidRPr="000B0AD0" w:rsidRDefault="00980D61" w:rsidP="00980D61">
      <w:pPr>
        <w:tabs>
          <w:tab w:val="left" w:pos="851"/>
        </w:tabs>
        <w:ind w:left="851"/>
        <w:rPr>
          <w:spacing w:val="-3"/>
          <w:sz w:val="24"/>
          <w:szCs w:val="24"/>
        </w:rPr>
      </w:pPr>
      <w:r w:rsidRPr="000B0AD0">
        <w:rPr>
          <w:sz w:val="24"/>
          <w:szCs w:val="24"/>
        </w:rPr>
        <w:t xml:space="preserve">Risiko for nedsat eksponering af </w:t>
      </w:r>
      <w:proofErr w:type="spellStart"/>
      <w:r w:rsidRPr="000B0AD0">
        <w:rPr>
          <w:sz w:val="24"/>
          <w:szCs w:val="24"/>
        </w:rPr>
        <w:t>irinotecan</w:t>
      </w:r>
      <w:proofErr w:type="spellEnd"/>
      <w:r w:rsidRPr="000B0AD0">
        <w:rPr>
          <w:sz w:val="24"/>
          <w:szCs w:val="24"/>
        </w:rPr>
        <w:t xml:space="preserve">, SN-38 og SN-38 </w:t>
      </w:r>
      <w:proofErr w:type="spellStart"/>
      <w:r w:rsidRPr="000B0AD0">
        <w:rPr>
          <w:sz w:val="24"/>
          <w:szCs w:val="24"/>
        </w:rPr>
        <w:t>glucuronid</w:t>
      </w:r>
      <w:proofErr w:type="spellEnd"/>
      <w:r w:rsidRPr="000B0AD0">
        <w:rPr>
          <w:sz w:val="24"/>
          <w:szCs w:val="24"/>
        </w:rPr>
        <w:t xml:space="preserve"> og nedsatte </w:t>
      </w:r>
      <w:proofErr w:type="spellStart"/>
      <w:r w:rsidRPr="000B0AD0">
        <w:rPr>
          <w:sz w:val="24"/>
          <w:szCs w:val="24"/>
        </w:rPr>
        <w:t>pharmakodynamiske</w:t>
      </w:r>
      <w:proofErr w:type="spellEnd"/>
      <w:r w:rsidRPr="000B0AD0">
        <w:rPr>
          <w:sz w:val="24"/>
          <w:szCs w:val="24"/>
        </w:rPr>
        <w:t xml:space="preserve"> effekter. En række forsøg har vist at samtidig administration med CYP3A4-inducerede antiepileptiske lægemidler fører til nedsat eksponering af </w:t>
      </w:r>
      <w:proofErr w:type="spellStart"/>
      <w:r w:rsidRPr="000B0AD0">
        <w:rPr>
          <w:sz w:val="24"/>
          <w:szCs w:val="24"/>
        </w:rPr>
        <w:t>irinotecan</w:t>
      </w:r>
      <w:proofErr w:type="spellEnd"/>
      <w:r w:rsidRPr="000B0AD0">
        <w:rPr>
          <w:sz w:val="24"/>
          <w:szCs w:val="24"/>
        </w:rPr>
        <w:t xml:space="preserve">, SN-38 og SN-38 </w:t>
      </w:r>
      <w:proofErr w:type="spellStart"/>
      <w:r w:rsidRPr="000B0AD0">
        <w:rPr>
          <w:sz w:val="24"/>
          <w:szCs w:val="24"/>
        </w:rPr>
        <w:t>glucuronid</w:t>
      </w:r>
      <w:proofErr w:type="spellEnd"/>
      <w:r w:rsidRPr="000B0AD0">
        <w:rPr>
          <w:sz w:val="24"/>
          <w:szCs w:val="24"/>
        </w:rPr>
        <w:t xml:space="preserve"> og nedsatte </w:t>
      </w:r>
      <w:proofErr w:type="spellStart"/>
      <w:r w:rsidRPr="000B0AD0">
        <w:rPr>
          <w:sz w:val="24"/>
          <w:szCs w:val="24"/>
        </w:rPr>
        <w:t>pharmakodynamiske</w:t>
      </w:r>
      <w:proofErr w:type="spellEnd"/>
      <w:r w:rsidRPr="000B0AD0">
        <w:rPr>
          <w:sz w:val="24"/>
          <w:szCs w:val="24"/>
        </w:rPr>
        <w:t xml:space="preserve"> virkning. Virkningen af disse </w:t>
      </w:r>
      <w:proofErr w:type="spellStart"/>
      <w:r w:rsidRPr="000B0AD0">
        <w:rPr>
          <w:sz w:val="24"/>
          <w:szCs w:val="24"/>
        </w:rPr>
        <w:t>antiepilepiske</w:t>
      </w:r>
      <w:proofErr w:type="spellEnd"/>
      <w:r w:rsidRPr="000B0AD0">
        <w:rPr>
          <w:sz w:val="24"/>
          <w:szCs w:val="24"/>
        </w:rPr>
        <w:t xml:space="preserve"> lægemidler blev påvist af et fald i AUC af SN-38 og SN38G med 50 % eller mere. Ud over induktion af CYP3A4 enzymer kan øget </w:t>
      </w:r>
      <w:proofErr w:type="spellStart"/>
      <w:r w:rsidRPr="000B0AD0">
        <w:rPr>
          <w:sz w:val="24"/>
          <w:szCs w:val="24"/>
        </w:rPr>
        <w:t>glucoronidering</w:t>
      </w:r>
      <w:proofErr w:type="spellEnd"/>
      <w:r w:rsidRPr="000B0AD0">
        <w:rPr>
          <w:sz w:val="24"/>
          <w:szCs w:val="24"/>
        </w:rPr>
        <w:t xml:space="preserve"> og øget udskillelse af galde spille en rolle i den nedsatte eksponering af </w:t>
      </w:r>
      <w:proofErr w:type="spellStart"/>
      <w:r w:rsidRPr="000B0AD0">
        <w:rPr>
          <w:sz w:val="24"/>
          <w:szCs w:val="24"/>
        </w:rPr>
        <w:t>irinotecan</w:t>
      </w:r>
      <w:proofErr w:type="spellEnd"/>
      <w:r w:rsidRPr="000B0AD0">
        <w:rPr>
          <w:sz w:val="24"/>
          <w:szCs w:val="24"/>
        </w:rPr>
        <w:t xml:space="preserve"> og dens metabolitter. Yderligere med </w:t>
      </w:r>
      <w:proofErr w:type="spellStart"/>
      <w:r w:rsidRPr="000B0AD0">
        <w:rPr>
          <w:spacing w:val="-3"/>
          <w:sz w:val="24"/>
          <w:szCs w:val="24"/>
        </w:rPr>
        <w:t>phenytoin</w:t>
      </w:r>
      <w:proofErr w:type="spellEnd"/>
      <w:r w:rsidRPr="000B0AD0">
        <w:rPr>
          <w:sz w:val="24"/>
          <w:szCs w:val="24"/>
        </w:rPr>
        <w:t xml:space="preserve">: </w:t>
      </w:r>
      <w:r w:rsidRPr="000B0AD0">
        <w:rPr>
          <w:spacing w:val="-3"/>
          <w:sz w:val="24"/>
          <w:szCs w:val="24"/>
        </w:rPr>
        <w:t xml:space="preserve">Risiko for forværring af kramper som følge af fald i den fordøjelsesmæssige absorption af </w:t>
      </w:r>
      <w:proofErr w:type="spellStart"/>
      <w:r w:rsidRPr="000B0AD0">
        <w:rPr>
          <w:spacing w:val="-3"/>
          <w:sz w:val="24"/>
          <w:szCs w:val="24"/>
        </w:rPr>
        <w:t>phenytoin</w:t>
      </w:r>
      <w:proofErr w:type="spellEnd"/>
      <w:r w:rsidRPr="000B0AD0">
        <w:rPr>
          <w:spacing w:val="-3"/>
          <w:sz w:val="24"/>
          <w:szCs w:val="24"/>
        </w:rPr>
        <w:t xml:space="preserve">, forårsaget af </w:t>
      </w:r>
      <w:proofErr w:type="spellStart"/>
      <w:r w:rsidRPr="000B0AD0">
        <w:rPr>
          <w:spacing w:val="-3"/>
          <w:sz w:val="24"/>
          <w:szCs w:val="24"/>
        </w:rPr>
        <w:t>cytotoksiske</w:t>
      </w:r>
      <w:proofErr w:type="spellEnd"/>
      <w:r w:rsidRPr="000B0AD0">
        <w:rPr>
          <w:spacing w:val="-3"/>
          <w:sz w:val="24"/>
          <w:szCs w:val="24"/>
        </w:rPr>
        <w:t xml:space="preserve"> lægemidler.</w:t>
      </w:r>
    </w:p>
    <w:p w:rsidR="00980D61" w:rsidRPr="000B0AD0" w:rsidRDefault="00980D61" w:rsidP="00980D61">
      <w:pPr>
        <w:tabs>
          <w:tab w:val="left" w:pos="851"/>
        </w:tabs>
        <w:ind w:left="851"/>
        <w:rPr>
          <w:sz w:val="24"/>
          <w:szCs w:val="24"/>
        </w:rPr>
      </w:pPr>
    </w:p>
    <w:p w:rsidR="00980D61" w:rsidRPr="000B0AD0" w:rsidRDefault="00980D61" w:rsidP="00980D61">
      <w:pPr>
        <w:tabs>
          <w:tab w:val="left" w:pos="851"/>
        </w:tabs>
        <w:ind w:left="851"/>
        <w:rPr>
          <w:sz w:val="24"/>
          <w:szCs w:val="24"/>
          <w:u w:val="single"/>
        </w:rPr>
      </w:pPr>
      <w:r w:rsidRPr="000B0AD0">
        <w:rPr>
          <w:i/>
          <w:sz w:val="24"/>
          <w:szCs w:val="24"/>
        </w:rPr>
        <w:t xml:space="preserve">Stærke CYP3A4 </w:t>
      </w:r>
      <w:proofErr w:type="spellStart"/>
      <w:r w:rsidRPr="000B0AD0">
        <w:rPr>
          <w:i/>
          <w:spacing w:val="-3"/>
          <w:sz w:val="24"/>
          <w:szCs w:val="24"/>
        </w:rPr>
        <w:t>hæmmere</w:t>
      </w:r>
      <w:proofErr w:type="spellEnd"/>
      <w:r w:rsidRPr="000B0AD0">
        <w:rPr>
          <w:i/>
          <w:spacing w:val="-3"/>
          <w:sz w:val="24"/>
          <w:szCs w:val="24"/>
        </w:rPr>
        <w:t>:</w:t>
      </w:r>
      <w:r w:rsidRPr="000B0AD0">
        <w:rPr>
          <w:i/>
          <w:spacing w:val="-3"/>
          <w:sz w:val="24"/>
          <w:szCs w:val="24"/>
          <w:u w:val="single"/>
        </w:rPr>
        <w:t xml:space="preserve"> </w:t>
      </w:r>
      <w:r w:rsidRPr="000B0AD0">
        <w:rPr>
          <w:spacing w:val="-3"/>
          <w:sz w:val="24"/>
          <w:szCs w:val="24"/>
        </w:rPr>
        <w:t xml:space="preserve">(fx. </w:t>
      </w:r>
      <w:proofErr w:type="spellStart"/>
      <w:r w:rsidRPr="000B0AD0">
        <w:rPr>
          <w:spacing w:val="-3"/>
          <w:sz w:val="24"/>
          <w:szCs w:val="24"/>
        </w:rPr>
        <w:t>ketoconazol</w:t>
      </w:r>
      <w:proofErr w:type="spellEnd"/>
      <w:r w:rsidRPr="000B0AD0">
        <w:rPr>
          <w:spacing w:val="-3"/>
          <w:sz w:val="24"/>
          <w:szCs w:val="24"/>
        </w:rPr>
        <w:t xml:space="preserve">, </w:t>
      </w:r>
      <w:proofErr w:type="spellStart"/>
      <w:r w:rsidRPr="000B0AD0">
        <w:rPr>
          <w:spacing w:val="-3"/>
          <w:sz w:val="24"/>
          <w:szCs w:val="24"/>
        </w:rPr>
        <w:t>itraconazol</w:t>
      </w:r>
      <w:proofErr w:type="spellEnd"/>
      <w:r w:rsidRPr="000B0AD0">
        <w:rPr>
          <w:spacing w:val="-3"/>
          <w:sz w:val="24"/>
          <w:szCs w:val="24"/>
        </w:rPr>
        <w:t xml:space="preserve">, </w:t>
      </w:r>
      <w:proofErr w:type="spellStart"/>
      <w:r w:rsidRPr="000B0AD0">
        <w:rPr>
          <w:spacing w:val="-3"/>
          <w:sz w:val="24"/>
          <w:szCs w:val="24"/>
        </w:rPr>
        <w:t>voriconazol</w:t>
      </w:r>
      <w:proofErr w:type="spellEnd"/>
      <w:r w:rsidRPr="000B0AD0">
        <w:rPr>
          <w:spacing w:val="-3"/>
          <w:sz w:val="24"/>
          <w:szCs w:val="24"/>
        </w:rPr>
        <w:t xml:space="preserve">, </w:t>
      </w:r>
      <w:proofErr w:type="spellStart"/>
      <w:r w:rsidRPr="000B0AD0">
        <w:rPr>
          <w:spacing w:val="-3"/>
          <w:sz w:val="24"/>
          <w:szCs w:val="24"/>
        </w:rPr>
        <w:t>posaconazol</w:t>
      </w:r>
      <w:proofErr w:type="spellEnd"/>
      <w:r w:rsidRPr="000B0AD0">
        <w:rPr>
          <w:spacing w:val="-3"/>
          <w:sz w:val="24"/>
          <w:szCs w:val="24"/>
        </w:rPr>
        <w:t xml:space="preserve">, </w:t>
      </w:r>
      <w:proofErr w:type="spellStart"/>
      <w:r w:rsidRPr="000B0AD0">
        <w:rPr>
          <w:spacing w:val="-3"/>
          <w:sz w:val="24"/>
          <w:szCs w:val="24"/>
        </w:rPr>
        <w:t>proteasehæmmere</w:t>
      </w:r>
      <w:proofErr w:type="spellEnd"/>
      <w:r w:rsidRPr="000B0AD0">
        <w:rPr>
          <w:spacing w:val="-3"/>
          <w:sz w:val="24"/>
          <w:szCs w:val="24"/>
        </w:rPr>
        <w:t>,</w:t>
      </w:r>
      <w:r w:rsidRPr="000B0AD0">
        <w:rPr>
          <w:sz w:val="24"/>
          <w:szCs w:val="24"/>
        </w:rPr>
        <w:t xml:space="preserve"> </w:t>
      </w:r>
      <w:proofErr w:type="spellStart"/>
      <w:r w:rsidRPr="000B0AD0">
        <w:rPr>
          <w:sz w:val="24"/>
          <w:szCs w:val="24"/>
        </w:rPr>
        <w:t>clarithromycin</w:t>
      </w:r>
      <w:proofErr w:type="spellEnd"/>
      <w:r w:rsidRPr="000B0AD0">
        <w:rPr>
          <w:sz w:val="24"/>
          <w:szCs w:val="24"/>
        </w:rPr>
        <w:t xml:space="preserve">, </w:t>
      </w:r>
      <w:proofErr w:type="spellStart"/>
      <w:r w:rsidRPr="000B0AD0">
        <w:rPr>
          <w:sz w:val="24"/>
          <w:szCs w:val="24"/>
        </w:rPr>
        <w:t>erythromycin</w:t>
      </w:r>
      <w:proofErr w:type="spellEnd"/>
      <w:r w:rsidRPr="000B0AD0">
        <w:rPr>
          <w:sz w:val="24"/>
          <w:szCs w:val="24"/>
        </w:rPr>
        <w:t xml:space="preserve">, </w:t>
      </w:r>
      <w:proofErr w:type="spellStart"/>
      <w:r w:rsidRPr="000B0AD0">
        <w:rPr>
          <w:sz w:val="24"/>
          <w:szCs w:val="24"/>
        </w:rPr>
        <w:t>telithromycin</w:t>
      </w:r>
      <w:proofErr w:type="spellEnd"/>
      <w:r w:rsidRPr="000B0AD0">
        <w:rPr>
          <w:sz w:val="24"/>
          <w:szCs w:val="24"/>
        </w:rPr>
        <w:t>):</w:t>
      </w:r>
    </w:p>
    <w:p w:rsidR="00980D61" w:rsidRPr="000B0AD0" w:rsidRDefault="00980D61" w:rsidP="00980D61">
      <w:pPr>
        <w:tabs>
          <w:tab w:val="left" w:pos="851"/>
        </w:tabs>
        <w:ind w:left="851"/>
        <w:rPr>
          <w:sz w:val="24"/>
          <w:szCs w:val="24"/>
        </w:rPr>
      </w:pPr>
      <w:r w:rsidRPr="000B0AD0">
        <w:rPr>
          <w:sz w:val="24"/>
          <w:szCs w:val="24"/>
        </w:rPr>
        <w:t xml:space="preserve">Et forsøg har vist, at samtidig indgift af </w:t>
      </w:r>
      <w:proofErr w:type="spellStart"/>
      <w:r w:rsidRPr="000B0AD0">
        <w:rPr>
          <w:sz w:val="24"/>
          <w:szCs w:val="24"/>
        </w:rPr>
        <w:t>ketoconazol</w:t>
      </w:r>
      <w:proofErr w:type="spellEnd"/>
      <w:r w:rsidRPr="000B0AD0">
        <w:rPr>
          <w:sz w:val="24"/>
          <w:szCs w:val="24"/>
        </w:rPr>
        <w:t xml:space="preserve"> førte til et fald i AUC for APC på 87 % og til en stigning i AUC for SN-38 på 109 % sammenlignet med indgift af </w:t>
      </w:r>
      <w:proofErr w:type="spellStart"/>
      <w:r w:rsidRPr="000B0AD0">
        <w:rPr>
          <w:sz w:val="24"/>
          <w:szCs w:val="24"/>
        </w:rPr>
        <w:t>irinotecan</w:t>
      </w:r>
      <w:proofErr w:type="spellEnd"/>
      <w:r w:rsidRPr="000B0AD0">
        <w:rPr>
          <w:sz w:val="24"/>
          <w:szCs w:val="24"/>
        </w:rPr>
        <w:t xml:space="preserve"> alene.</w:t>
      </w:r>
    </w:p>
    <w:p w:rsidR="00980D61" w:rsidRPr="000B0AD0" w:rsidRDefault="00980D61" w:rsidP="00980D61">
      <w:pPr>
        <w:tabs>
          <w:tab w:val="left" w:pos="851"/>
        </w:tabs>
        <w:ind w:left="851"/>
        <w:rPr>
          <w:i/>
          <w:sz w:val="24"/>
          <w:szCs w:val="24"/>
          <w:u w:val="single"/>
        </w:rPr>
      </w:pPr>
    </w:p>
    <w:p w:rsidR="00980D61" w:rsidRPr="000B0AD0" w:rsidRDefault="00980D61" w:rsidP="00980D61">
      <w:pPr>
        <w:tabs>
          <w:tab w:val="left" w:pos="851"/>
        </w:tabs>
        <w:ind w:left="851"/>
        <w:rPr>
          <w:spacing w:val="-3"/>
          <w:sz w:val="24"/>
          <w:szCs w:val="24"/>
        </w:rPr>
      </w:pPr>
      <w:r w:rsidRPr="000B0AD0">
        <w:rPr>
          <w:i/>
          <w:sz w:val="24"/>
          <w:szCs w:val="24"/>
        </w:rPr>
        <w:t xml:space="preserve">UGT1A1 </w:t>
      </w:r>
      <w:proofErr w:type="spellStart"/>
      <w:r w:rsidRPr="000B0AD0">
        <w:rPr>
          <w:i/>
          <w:sz w:val="24"/>
          <w:szCs w:val="24"/>
        </w:rPr>
        <w:t>hæmmere</w:t>
      </w:r>
      <w:proofErr w:type="spellEnd"/>
      <w:r w:rsidRPr="000B0AD0">
        <w:rPr>
          <w:i/>
          <w:sz w:val="24"/>
          <w:szCs w:val="24"/>
        </w:rPr>
        <w:t>:</w:t>
      </w:r>
      <w:r w:rsidRPr="000B0AD0">
        <w:rPr>
          <w:sz w:val="24"/>
          <w:szCs w:val="24"/>
        </w:rPr>
        <w:t xml:space="preserve"> (fx. </w:t>
      </w:r>
      <w:proofErr w:type="spellStart"/>
      <w:r w:rsidRPr="000B0AD0">
        <w:rPr>
          <w:spacing w:val="-3"/>
          <w:sz w:val="24"/>
          <w:szCs w:val="24"/>
        </w:rPr>
        <w:t>atazanvir</w:t>
      </w:r>
      <w:proofErr w:type="spellEnd"/>
      <w:r w:rsidRPr="000B0AD0">
        <w:rPr>
          <w:spacing w:val="-3"/>
          <w:sz w:val="24"/>
          <w:szCs w:val="24"/>
        </w:rPr>
        <w:t xml:space="preserve">, </w:t>
      </w:r>
      <w:proofErr w:type="spellStart"/>
      <w:r w:rsidRPr="000B0AD0">
        <w:rPr>
          <w:spacing w:val="-3"/>
          <w:sz w:val="24"/>
          <w:szCs w:val="24"/>
        </w:rPr>
        <w:t>ketoconazol</w:t>
      </w:r>
      <w:proofErr w:type="spellEnd"/>
      <w:r w:rsidRPr="000B0AD0">
        <w:rPr>
          <w:spacing w:val="-3"/>
          <w:sz w:val="24"/>
          <w:szCs w:val="24"/>
        </w:rPr>
        <w:t xml:space="preserve">, </w:t>
      </w:r>
      <w:proofErr w:type="spellStart"/>
      <w:r w:rsidRPr="000B0AD0">
        <w:rPr>
          <w:spacing w:val="-3"/>
          <w:sz w:val="24"/>
          <w:szCs w:val="24"/>
        </w:rPr>
        <w:t>regorafenib</w:t>
      </w:r>
      <w:proofErr w:type="spellEnd"/>
      <w:r w:rsidRPr="000B0AD0">
        <w:rPr>
          <w:spacing w:val="-3"/>
          <w:sz w:val="24"/>
          <w:szCs w:val="24"/>
        </w:rPr>
        <w:t>)</w:t>
      </w:r>
    </w:p>
    <w:p w:rsidR="00980D61" w:rsidRPr="000B0AD0" w:rsidRDefault="00980D61" w:rsidP="00980D61">
      <w:pPr>
        <w:tabs>
          <w:tab w:val="left" w:pos="0"/>
          <w:tab w:val="left" w:pos="851"/>
        </w:tabs>
        <w:ind w:left="851"/>
        <w:rPr>
          <w:spacing w:val="-3"/>
          <w:sz w:val="24"/>
          <w:szCs w:val="24"/>
        </w:rPr>
      </w:pPr>
      <w:r w:rsidRPr="000B0AD0">
        <w:rPr>
          <w:sz w:val="24"/>
          <w:szCs w:val="24"/>
        </w:rPr>
        <w:t>Risiko for</w:t>
      </w:r>
      <w:r w:rsidRPr="000B0AD0">
        <w:rPr>
          <w:sz w:val="24"/>
          <w:szCs w:val="24"/>
          <w:u w:val="single"/>
        </w:rPr>
        <w:t xml:space="preserve"> </w:t>
      </w:r>
      <w:r w:rsidRPr="000B0AD0">
        <w:rPr>
          <w:spacing w:val="-3"/>
          <w:sz w:val="24"/>
          <w:szCs w:val="24"/>
        </w:rPr>
        <w:t xml:space="preserve">øget systemiske eksponering for SN-38, den aktive metabolit af </w:t>
      </w:r>
      <w:proofErr w:type="spellStart"/>
      <w:r w:rsidRPr="000B0AD0">
        <w:rPr>
          <w:spacing w:val="-3"/>
          <w:sz w:val="24"/>
          <w:szCs w:val="24"/>
        </w:rPr>
        <w:t>irinotecan</w:t>
      </w:r>
      <w:proofErr w:type="spellEnd"/>
      <w:r w:rsidRPr="000B0AD0">
        <w:rPr>
          <w:spacing w:val="-3"/>
          <w:sz w:val="24"/>
          <w:szCs w:val="24"/>
        </w:rPr>
        <w:t>. Lægen bør tage dette med i overvejelserne, når samtidig indgift af disse to lægemidler er uundgåelig.</w:t>
      </w:r>
    </w:p>
    <w:p w:rsidR="00980D61" w:rsidRPr="000B0AD0" w:rsidRDefault="00980D61" w:rsidP="00980D61">
      <w:pPr>
        <w:tabs>
          <w:tab w:val="left" w:pos="0"/>
          <w:tab w:val="left" w:pos="851"/>
        </w:tabs>
        <w:ind w:left="851"/>
        <w:rPr>
          <w:spacing w:val="-3"/>
          <w:sz w:val="24"/>
          <w:szCs w:val="24"/>
        </w:rPr>
      </w:pPr>
    </w:p>
    <w:p w:rsidR="00980D61" w:rsidRPr="000B0AD0" w:rsidRDefault="00980D61" w:rsidP="00980D61">
      <w:pPr>
        <w:tabs>
          <w:tab w:val="left" w:pos="0"/>
          <w:tab w:val="left" w:pos="851"/>
        </w:tabs>
        <w:ind w:left="851"/>
        <w:rPr>
          <w:spacing w:val="-3"/>
          <w:sz w:val="24"/>
          <w:szCs w:val="24"/>
        </w:rPr>
      </w:pPr>
      <w:r w:rsidRPr="000B0AD0">
        <w:rPr>
          <w:i/>
          <w:spacing w:val="-3"/>
          <w:sz w:val="24"/>
          <w:szCs w:val="24"/>
        </w:rPr>
        <w:t xml:space="preserve">Andre CYP3A4 </w:t>
      </w:r>
      <w:proofErr w:type="spellStart"/>
      <w:r w:rsidRPr="000B0AD0">
        <w:rPr>
          <w:i/>
          <w:spacing w:val="-3"/>
          <w:sz w:val="24"/>
          <w:szCs w:val="24"/>
        </w:rPr>
        <w:t>hæmmere</w:t>
      </w:r>
      <w:proofErr w:type="spellEnd"/>
      <w:r w:rsidRPr="000B0AD0">
        <w:rPr>
          <w:i/>
          <w:spacing w:val="-3"/>
          <w:sz w:val="24"/>
          <w:szCs w:val="24"/>
        </w:rPr>
        <w:t>:</w:t>
      </w:r>
      <w:r w:rsidRPr="000B0AD0">
        <w:rPr>
          <w:spacing w:val="-3"/>
          <w:sz w:val="24"/>
          <w:szCs w:val="24"/>
        </w:rPr>
        <w:t xml:space="preserve"> (fx </w:t>
      </w:r>
      <w:proofErr w:type="spellStart"/>
      <w:r w:rsidRPr="000B0AD0">
        <w:rPr>
          <w:spacing w:val="-3"/>
          <w:sz w:val="24"/>
          <w:szCs w:val="24"/>
        </w:rPr>
        <w:t>crizotinib</w:t>
      </w:r>
      <w:proofErr w:type="spellEnd"/>
      <w:r w:rsidRPr="000B0AD0">
        <w:rPr>
          <w:spacing w:val="-3"/>
          <w:sz w:val="24"/>
          <w:szCs w:val="24"/>
        </w:rPr>
        <w:t xml:space="preserve">, </w:t>
      </w:r>
      <w:proofErr w:type="spellStart"/>
      <w:r w:rsidRPr="000B0AD0">
        <w:rPr>
          <w:spacing w:val="-3"/>
          <w:sz w:val="24"/>
          <w:szCs w:val="24"/>
        </w:rPr>
        <w:t>idelalisib</w:t>
      </w:r>
      <w:proofErr w:type="spellEnd"/>
      <w:r w:rsidRPr="000B0AD0">
        <w:rPr>
          <w:spacing w:val="-3"/>
          <w:sz w:val="24"/>
          <w:szCs w:val="24"/>
        </w:rPr>
        <w:t>)</w:t>
      </w:r>
    </w:p>
    <w:p w:rsidR="00980D61" w:rsidRPr="000B0AD0" w:rsidRDefault="00980D61" w:rsidP="00980D61">
      <w:pPr>
        <w:tabs>
          <w:tab w:val="left" w:pos="0"/>
          <w:tab w:val="left" w:pos="851"/>
        </w:tabs>
        <w:ind w:left="851"/>
        <w:rPr>
          <w:spacing w:val="-3"/>
          <w:sz w:val="24"/>
          <w:szCs w:val="24"/>
        </w:rPr>
      </w:pPr>
      <w:r w:rsidRPr="000B0AD0">
        <w:rPr>
          <w:spacing w:val="-3"/>
          <w:sz w:val="24"/>
          <w:szCs w:val="24"/>
        </w:rPr>
        <w:t xml:space="preserve">Risiko for øget toksicitet af </w:t>
      </w:r>
      <w:proofErr w:type="spellStart"/>
      <w:r w:rsidRPr="000B0AD0">
        <w:rPr>
          <w:spacing w:val="-3"/>
          <w:sz w:val="24"/>
          <w:szCs w:val="24"/>
        </w:rPr>
        <w:t>irinotecan</w:t>
      </w:r>
      <w:proofErr w:type="spellEnd"/>
      <w:r w:rsidRPr="000B0AD0">
        <w:rPr>
          <w:spacing w:val="-3"/>
          <w:sz w:val="24"/>
          <w:szCs w:val="24"/>
        </w:rPr>
        <w:t xml:space="preserve"> grundet et fald i </w:t>
      </w:r>
      <w:proofErr w:type="spellStart"/>
      <w:r w:rsidRPr="000B0AD0">
        <w:rPr>
          <w:spacing w:val="-3"/>
          <w:sz w:val="24"/>
          <w:szCs w:val="24"/>
        </w:rPr>
        <w:t>irinotecans</w:t>
      </w:r>
      <w:proofErr w:type="spellEnd"/>
      <w:r w:rsidRPr="000B0AD0">
        <w:rPr>
          <w:spacing w:val="-3"/>
          <w:sz w:val="24"/>
          <w:szCs w:val="24"/>
        </w:rPr>
        <w:t xml:space="preserve"> metabolisme af </w:t>
      </w:r>
      <w:proofErr w:type="spellStart"/>
      <w:r w:rsidRPr="000B0AD0">
        <w:rPr>
          <w:spacing w:val="-3"/>
          <w:sz w:val="24"/>
          <w:szCs w:val="24"/>
        </w:rPr>
        <w:t>crizotinib</w:t>
      </w:r>
      <w:proofErr w:type="spellEnd"/>
      <w:r w:rsidRPr="000B0AD0">
        <w:rPr>
          <w:spacing w:val="-3"/>
          <w:sz w:val="24"/>
          <w:szCs w:val="24"/>
        </w:rPr>
        <w:t xml:space="preserve"> eller </w:t>
      </w:r>
      <w:proofErr w:type="spellStart"/>
      <w:r w:rsidRPr="000B0AD0">
        <w:rPr>
          <w:spacing w:val="-3"/>
          <w:sz w:val="24"/>
          <w:szCs w:val="24"/>
        </w:rPr>
        <w:t>idelalisib</w:t>
      </w:r>
      <w:proofErr w:type="spellEnd"/>
      <w:r w:rsidRPr="000B0AD0">
        <w:rPr>
          <w:spacing w:val="-3"/>
          <w:sz w:val="24"/>
          <w:szCs w:val="24"/>
        </w:rPr>
        <w:t xml:space="preserve">   </w:t>
      </w:r>
    </w:p>
    <w:p w:rsidR="00980D61" w:rsidRPr="000B0AD0" w:rsidRDefault="00980D61" w:rsidP="00980D61">
      <w:pPr>
        <w:tabs>
          <w:tab w:val="left" w:pos="851"/>
        </w:tabs>
        <w:ind w:left="851"/>
        <w:rPr>
          <w:sz w:val="24"/>
          <w:szCs w:val="24"/>
        </w:rPr>
      </w:pPr>
    </w:p>
    <w:p w:rsidR="00980D61" w:rsidRPr="000B0AD0" w:rsidRDefault="00980D61" w:rsidP="00DF5ED3">
      <w:pPr>
        <w:keepNext/>
        <w:tabs>
          <w:tab w:val="left" w:pos="851"/>
        </w:tabs>
        <w:ind w:left="851"/>
        <w:rPr>
          <w:sz w:val="24"/>
          <w:szCs w:val="24"/>
          <w:u w:val="single"/>
        </w:rPr>
      </w:pPr>
      <w:r w:rsidRPr="000B0AD0">
        <w:rPr>
          <w:sz w:val="24"/>
          <w:szCs w:val="24"/>
          <w:u w:val="single"/>
        </w:rPr>
        <w:t>Forsigtighed ved brug</w:t>
      </w:r>
    </w:p>
    <w:p w:rsidR="00980D61" w:rsidRPr="000B0AD0" w:rsidRDefault="00980D61" w:rsidP="00DF5ED3">
      <w:pPr>
        <w:keepNext/>
        <w:tabs>
          <w:tab w:val="left" w:pos="851"/>
        </w:tabs>
        <w:ind w:left="851"/>
        <w:rPr>
          <w:sz w:val="24"/>
          <w:szCs w:val="24"/>
          <w:u w:val="single"/>
        </w:rPr>
      </w:pPr>
    </w:p>
    <w:p w:rsidR="00980D61" w:rsidRPr="000B0AD0" w:rsidRDefault="00980D61" w:rsidP="00980D61">
      <w:pPr>
        <w:tabs>
          <w:tab w:val="left" w:pos="851"/>
        </w:tabs>
        <w:ind w:left="851"/>
        <w:rPr>
          <w:spacing w:val="-3"/>
          <w:sz w:val="24"/>
          <w:szCs w:val="24"/>
        </w:rPr>
      </w:pPr>
      <w:r w:rsidRPr="000B0AD0">
        <w:rPr>
          <w:i/>
          <w:sz w:val="24"/>
          <w:szCs w:val="24"/>
        </w:rPr>
        <w:t xml:space="preserve">Vitamin K antagonister: </w:t>
      </w:r>
      <w:r w:rsidRPr="000B0AD0">
        <w:rPr>
          <w:spacing w:val="-3"/>
          <w:sz w:val="24"/>
          <w:szCs w:val="24"/>
        </w:rPr>
        <w:t xml:space="preserve">Øget risiko for </w:t>
      </w:r>
      <w:proofErr w:type="spellStart"/>
      <w:r w:rsidRPr="000B0AD0">
        <w:rPr>
          <w:spacing w:val="-3"/>
          <w:sz w:val="24"/>
          <w:szCs w:val="24"/>
        </w:rPr>
        <w:t>hæmoragi</w:t>
      </w:r>
      <w:proofErr w:type="spellEnd"/>
      <w:r w:rsidRPr="000B0AD0">
        <w:rPr>
          <w:spacing w:val="-3"/>
          <w:sz w:val="24"/>
          <w:szCs w:val="24"/>
        </w:rPr>
        <w:t xml:space="preserve"> og </w:t>
      </w:r>
      <w:proofErr w:type="spellStart"/>
      <w:r w:rsidRPr="000B0AD0">
        <w:rPr>
          <w:spacing w:val="-3"/>
          <w:sz w:val="24"/>
          <w:szCs w:val="24"/>
        </w:rPr>
        <w:t>trombotiske</w:t>
      </w:r>
      <w:proofErr w:type="spellEnd"/>
      <w:r w:rsidRPr="000B0AD0">
        <w:rPr>
          <w:spacing w:val="-3"/>
          <w:sz w:val="24"/>
          <w:szCs w:val="24"/>
        </w:rPr>
        <w:t xml:space="preserve"> hændelser hos patienter med tumorsygdomme. Hvis der er indikation for vitamin K antagonist, så påkræves øget hyppighed i monitoreringen af INR (International </w:t>
      </w:r>
      <w:proofErr w:type="spellStart"/>
      <w:r w:rsidRPr="000B0AD0">
        <w:rPr>
          <w:spacing w:val="-3"/>
          <w:sz w:val="24"/>
          <w:szCs w:val="24"/>
        </w:rPr>
        <w:t>Normalised</w:t>
      </w:r>
      <w:proofErr w:type="spellEnd"/>
      <w:r w:rsidRPr="000B0AD0">
        <w:rPr>
          <w:spacing w:val="-3"/>
          <w:sz w:val="24"/>
          <w:szCs w:val="24"/>
        </w:rPr>
        <w:t xml:space="preserve"> Ratio). </w:t>
      </w:r>
    </w:p>
    <w:p w:rsidR="00980D61" w:rsidRPr="000B0AD0" w:rsidRDefault="00980D61" w:rsidP="00980D61">
      <w:pPr>
        <w:tabs>
          <w:tab w:val="left" w:pos="851"/>
        </w:tabs>
        <w:ind w:left="851"/>
        <w:rPr>
          <w:spacing w:val="-3"/>
          <w:sz w:val="24"/>
          <w:szCs w:val="24"/>
        </w:rPr>
      </w:pPr>
    </w:p>
    <w:p w:rsidR="00980D61" w:rsidRPr="000B0AD0" w:rsidRDefault="00980D61" w:rsidP="00980D61">
      <w:pPr>
        <w:tabs>
          <w:tab w:val="left" w:pos="851"/>
        </w:tabs>
        <w:ind w:left="851"/>
        <w:rPr>
          <w:spacing w:val="-3"/>
          <w:sz w:val="24"/>
          <w:szCs w:val="24"/>
          <w:u w:val="single"/>
        </w:rPr>
      </w:pPr>
      <w:r w:rsidRPr="000B0AD0">
        <w:rPr>
          <w:spacing w:val="-3"/>
          <w:sz w:val="24"/>
          <w:szCs w:val="24"/>
          <w:u w:val="single"/>
        </w:rPr>
        <w:t>Samtidig anvendelse, som bør overvejes</w:t>
      </w:r>
    </w:p>
    <w:p w:rsidR="00980D61" w:rsidRPr="000B0AD0" w:rsidRDefault="00980D61" w:rsidP="00980D61">
      <w:pPr>
        <w:tabs>
          <w:tab w:val="left" w:pos="851"/>
        </w:tabs>
        <w:ind w:left="851"/>
        <w:rPr>
          <w:sz w:val="24"/>
          <w:szCs w:val="24"/>
        </w:rPr>
      </w:pPr>
      <w:proofErr w:type="spellStart"/>
      <w:r w:rsidRPr="000B0AD0">
        <w:rPr>
          <w:i/>
          <w:sz w:val="24"/>
          <w:szCs w:val="24"/>
        </w:rPr>
        <w:t>Immundepressiva</w:t>
      </w:r>
      <w:proofErr w:type="spellEnd"/>
      <w:r w:rsidRPr="000B0AD0">
        <w:rPr>
          <w:i/>
          <w:sz w:val="24"/>
          <w:szCs w:val="24"/>
        </w:rPr>
        <w:t xml:space="preserve"> (fx </w:t>
      </w:r>
      <w:proofErr w:type="spellStart"/>
      <w:r w:rsidRPr="000B0AD0">
        <w:rPr>
          <w:i/>
          <w:sz w:val="24"/>
          <w:szCs w:val="24"/>
        </w:rPr>
        <w:t>ciclosporin</w:t>
      </w:r>
      <w:proofErr w:type="spellEnd"/>
      <w:r w:rsidRPr="000B0AD0">
        <w:rPr>
          <w:i/>
          <w:sz w:val="24"/>
          <w:szCs w:val="24"/>
        </w:rPr>
        <w:t xml:space="preserve">, </w:t>
      </w:r>
      <w:proofErr w:type="spellStart"/>
      <w:r w:rsidRPr="000B0AD0">
        <w:rPr>
          <w:i/>
          <w:sz w:val="24"/>
          <w:szCs w:val="24"/>
        </w:rPr>
        <w:t>tacrolimus</w:t>
      </w:r>
      <w:proofErr w:type="spellEnd"/>
      <w:r w:rsidRPr="000B0AD0">
        <w:rPr>
          <w:i/>
          <w:sz w:val="24"/>
          <w:szCs w:val="24"/>
        </w:rPr>
        <w:t>):</w:t>
      </w:r>
      <w:r w:rsidRPr="000B0AD0">
        <w:rPr>
          <w:sz w:val="24"/>
          <w:szCs w:val="24"/>
        </w:rPr>
        <w:t xml:space="preserve"> Omfattende </w:t>
      </w:r>
      <w:proofErr w:type="spellStart"/>
      <w:r w:rsidRPr="000B0AD0">
        <w:rPr>
          <w:sz w:val="24"/>
          <w:szCs w:val="24"/>
        </w:rPr>
        <w:t>immunosuppression</w:t>
      </w:r>
      <w:proofErr w:type="spellEnd"/>
      <w:r w:rsidRPr="000B0AD0">
        <w:rPr>
          <w:sz w:val="24"/>
          <w:szCs w:val="24"/>
        </w:rPr>
        <w:t xml:space="preserve"> med risiko for </w:t>
      </w:r>
      <w:proofErr w:type="spellStart"/>
      <w:r w:rsidRPr="000B0AD0">
        <w:rPr>
          <w:sz w:val="24"/>
          <w:szCs w:val="24"/>
        </w:rPr>
        <w:t>lymfeproliferation</w:t>
      </w:r>
      <w:proofErr w:type="spellEnd"/>
      <w:r w:rsidRPr="000B0AD0">
        <w:rPr>
          <w:sz w:val="24"/>
          <w:szCs w:val="24"/>
        </w:rPr>
        <w:t xml:space="preserve">. </w:t>
      </w:r>
    </w:p>
    <w:p w:rsidR="00980D61" w:rsidRPr="000B0AD0" w:rsidRDefault="00980D61" w:rsidP="00980D61">
      <w:pPr>
        <w:tabs>
          <w:tab w:val="left" w:pos="851"/>
        </w:tabs>
        <w:ind w:left="851"/>
        <w:rPr>
          <w:sz w:val="24"/>
          <w:szCs w:val="24"/>
        </w:rPr>
      </w:pPr>
    </w:p>
    <w:p w:rsidR="00980D61" w:rsidRPr="000B0AD0" w:rsidRDefault="00980D61" w:rsidP="00980D61">
      <w:pPr>
        <w:tabs>
          <w:tab w:val="left" w:pos="851"/>
        </w:tabs>
        <w:ind w:left="851"/>
        <w:rPr>
          <w:sz w:val="24"/>
          <w:szCs w:val="24"/>
        </w:rPr>
      </w:pPr>
      <w:proofErr w:type="spellStart"/>
      <w:r w:rsidRPr="000B0AD0">
        <w:rPr>
          <w:i/>
          <w:sz w:val="24"/>
          <w:szCs w:val="24"/>
        </w:rPr>
        <w:t>Neuromuskulær</w:t>
      </w:r>
      <w:proofErr w:type="spellEnd"/>
      <w:r w:rsidRPr="000B0AD0">
        <w:rPr>
          <w:i/>
          <w:sz w:val="24"/>
          <w:szCs w:val="24"/>
        </w:rPr>
        <w:t>-blokerende stoffer</w:t>
      </w:r>
      <w:r w:rsidRPr="000B0AD0">
        <w:rPr>
          <w:sz w:val="24"/>
          <w:szCs w:val="24"/>
        </w:rPr>
        <w:t xml:space="preserve">: Interaktion mellem </w:t>
      </w:r>
      <w:proofErr w:type="spellStart"/>
      <w:r w:rsidRPr="000B0AD0">
        <w:rPr>
          <w:sz w:val="24"/>
          <w:szCs w:val="24"/>
        </w:rPr>
        <w:t>irinotecan</w:t>
      </w:r>
      <w:proofErr w:type="spellEnd"/>
      <w:r w:rsidRPr="000B0AD0">
        <w:rPr>
          <w:sz w:val="24"/>
          <w:szCs w:val="24"/>
        </w:rPr>
        <w:t xml:space="preserve"> og </w:t>
      </w:r>
      <w:proofErr w:type="spellStart"/>
      <w:r w:rsidRPr="000B0AD0">
        <w:rPr>
          <w:sz w:val="24"/>
          <w:szCs w:val="24"/>
        </w:rPr>
        <w:t>neuromuskulære</w:t>
      </w:r>
      <w:proofErr w:type="spellEnd"/>
      <w:r w:rsidRPr="000B0AD0">
        <w:rPr>
          <w:sz w:val="24"/>
          <w:szCs w:val="24"/>
        </w:rPr>
        <w:t xml:space="preserve"> </w:t>
      </w:r>
      <w:proofErr w:type="spellStart"/>
      <w:r w:rsidRPr="000B0AD0">
        <w:rPr>
          <w:sz w:val="24"/>
          <w:szCs w:val="24"/>
        </w:rPr>
        <w:t>blokkere</w:t>
      </w:r>
      <w:proofErr w:type="spellEnd"/>
      <w:r w:rsidRPr="000B0AD0">
        <w:rPr>
          <w:sz w:val="24"/>
          <w:szCs w:val="24"/>
        </w:rPr>
        <w:t xml:space="preserve"> kan ikke udelukkes. Da </w:t>
      </w:r>
      <w:proofErr w:type="spellStart"/>
      <w:r w:rsidRPr="000B0AD0">
        <w:rPr>
          <w:sz w:val="24"/>
          <w:szCs w:val="24"/>
        </w:rPr>
        <w:t>irinotecan</w:t>
      </w:r>
      <w:proofErr w:type="spellEnd"/>
      <w:r w:rsidRPr="000B0AD0">
        <w:rPr>
          <w:sz w:val="24"/>
          <w:szCs w:val="24"/>
        </w:rPr>
        <w:t xml:space="preserve"> har </w:t>
      </w:r>
      <w:proofErr w:type="spellStart"/>
      <w:r w:rsidRPr="000B0AD0">
        <w:rPr>
          <w:sz w:val="24"/>
          <w:szCs w:val="24"/>
        </w:rPr>
        <w:t>antikolinesterase</w:t>
      </w:r>
      <w:proofErr w:type="spellEnd"/>
      <w:r w:rsidRPr="000B0AD0">
        <w:rPr>
          <w:sz w:val="24"/>
          <w:szCs w:val="24"/>
        </w:rPr>
        <w:t xml:space="preserve">-aktivitet, kan lægemidler med </w:t>
      </w:r>
      <w:proofErr w:type="spellStart"/>
      <w:r w:rsidRPr="000B0AD0">
        <w:rPr>
          <w:sz w:val="24"/>
          <w:szCs w:val="24"/>
        </w:rPr>
        <w:t>antikolinesterase</w:t>
      </w:r>
      <w:proofErr w:type="spellEnd"/>
      <w:r w:rsidRPr="000B0AD0">
        <w:rPr>
          <w:sz w:val="24"/>
          <w:szCs w:val="24"/>
        </w:rPr>
        <w:t xml:space="preserve"> aktivitet forlænge den </w:t>
      </w:r>
      <w:proofErr w:type="spellStart"/>
      <w:r w:rsidRPr="000B0AD0">
        <w:rPr>
          <w:sz w:val="24"/>
          <w:szCs w:val="24"/>
        </w:rPr>
        <w:t>neuromuskulære</w:t>
      </w:r>
      <w:proofErr w:type="spellEnd"/>
      <w:r w:rsidRPr="000B0AD0">
        <w:rPr>
          <w:sz w:val="24"/>
          <w:szCs w:val="24"/>
        </w:rPr>
        <w:t xml:space="preserve"> blokerende effekt af </w:t>
      </w:r>
      <w:proofErr w:type="spellStart"/>
      <w:r w:rsidRPr="000B0AD0">
        <w:rPr>
          <w:sz w:val="24"/>
          <w:szCs w:val="24"/>
        </w:rPr>
        <w:t>suxamethonium</w:t>
      </w:r>
      <w:proofErr w:type="spellEnd"/>
      <w:r w:rsidRPr="000B0AD0">
        <w:rPr>
          <w:sz w:val="24"/>
          <w:szCs w:val="24"/>
        </w:rPr>
        <w:t xml:space="preserve">, og den </w:t>
      </w:r>
      <w:proofErr w:type="spellStart"/>
      <w:r w:rsidRPr="000B0AD0">
        <w:rPr>
          <w:sz w:val="24"/>
          <w:szCs w:val="24"/>
        </w:rPr>
        <w:t>neuromuskulære</w:t>
      </w:r>
      <w:proofErr w:type="spellEnd"/>
      <w:r w:rsidRPr="000B0AD0">
        <w:rPr>
          <w:sz w:val="24"/>
          <w:szCs w:val="24"/>
        </w:rPr>
        <w:t xml:space="preserve"> blokade af ikke-</w:t>
      </w:r>
      <w:proofErr w:type="spellStart"/>
      <w:r w:rsidRPr="000B0AD0">
        <w:rPr>
          <w:sz w:val="24"/>
          <w:szCs w:val="24"/>
        </w:rPr>
        <w:t>depolarisende</w:t>
      </w:r>
      <w:proofErr w:type="spellEnd"/>
      <w:r w:rsidRPr="000B0AD0">
        <w:rPr>
          <w:sz w:val="24"/>
          <w:szCs w:val="24"/>
        </w:rPr>
        <w:t xml:space="preserve"> lægemidler kan </w:t>
      </w:r>
      <w:proofErr w:type="spellStart"/>
      <w:r w:rsidRPr="000B0AD0">
        <w:rPr>
          <w:sz w:val="24"/>
          <w:szCs w:val="24"/>
        </w:rPr>
        <w:t>antagoniseres</w:t>
      </w:r>
      <w:proofErr w:type="spellEnd"/>
      <w:r w:rsidRPr="000B0AD0">
        <w:rPr>
          <w:sz w:val="24"/>
          <w:szCs w:val="24"/>
        </w:rPr>
        <w:t>.</w:t>
      </w:r>
    </w:p>
    <w:p w:rsidR="00980D61" w:rsidRPr="000B0AD0" w:rsidRDefault="00980D61" w:rsidP="00980D61">
      <w:pPr>
        <w:tabs>
          <w:tab w:val="left" w:pos="851"/>
        </w:tabs>
        <w:ind w:left="851"/>
        <w:rPr>
          <w:sz w:val="24"/>
          <w:szCs w:val="24"/>
        </w:rPr>
      </w:pPr>
      <w:r w:rsidRPr="000B0AD0">
        <w:rPr>
          <w:sz w:val="24"/>
          <w:szCs w:val="24"/>
        </w:rPr>
        <w:t xml:space="preserve"> </w:t>
      </w:r>
    </w:p>
    <w:p w:rsidR="00980D61" w:rsidRPr="000B0AD0" w:rsidRDefault="00980D61" w:rsidP="00980D61">
      <w:pPr>
        <w:tabs>
          <w:tab w:val="left" w:pos="851"/>
        </w:tabs>
        <w:ind w:left="851"/>
        <w:rPr>
          <w:sz w:val="24"/>
          <w:szCs w:val="24"/>
          <w:u w:val="single"/>
        </w:rPr>
      </w:pPr>
      <w:r w:rsidRPr="000B0AD0">
        <w:rPr>
          <w:sz w:val="24"/>
          <w:szCs w:val="24"/>
          <w:u w:val="single"/>
        </w:rPr>
        <w:t>Andre kombinationer</w:t>
      </w:r>
    </w:p>
    <w:p w:rsidR="00980D61" w:rsidRPr="000B0AD0" w:rsidRDefault="00980D61" w:rsidP="00980D61">
      <w:pPr>
        <w:tabs>
          <w:tab w:val="left" w:pos="851"/>
        </w:tabs>
        <w:ind w:left="851"/>
        <w:rPr>
          <w:sz w:val="24"/>
          <w:szCs w:val="24"/>
          <w:u w:val="single"/>
        </w:rPr>
      </w:pPr>
    </w:p>
    <w:p w:rsidR="00980D61" w:rsidRPr="000B0AD0" w:rsidRDefault="00980D61" w:rsidP="00980D61">
      <w:pPr>
        <w:tabs>
          <w:tab w:val="left" w:pos="851"/>
        </w:tabs>
        <w:ind w:left="851"/>
        <w:rPr>
          <w:sz w:val="24"/>
          <w:szCs w:val="24"/>
        </w:rPr>
      </w:pPr>
      <w:r w:rsidRPr="000B0AD0">
        <w:rPr>
          <w:i/>
          <w:sz w:val="24"/>
          <w:szCs w:val="24"/>
        </w:rPr>
        <w:t>5-fluorouracil/</w:t>
      </w:r>
      <w:proofErr w:type="spellStart"/>
      <w:r w:rsidRPr="000B0AD0">
        <w:rPr>
          <w:i/>
          <w:sz w:val="24"/>
          <w:szCs w:val="24"/>
        </w:rPr>
        <w:t>folinsyre</w:t>
      </w:r>
      <w:proofErr w:type="spellEnd"/>
      <w:r w:rsidRPr="000B0AD0">
        <w:rPr>
          <w:i/>
          <w:sz w:val="24"/>
          <w:szCs w:val="24"/>
        </w:rPr>
        <w:t xml:space="preserve">: </w:t>
      </w:r>
      <w:r w:rsidRPr="000B0AD0">
        <w:rPr>
          <w:sz w:val="24"/>
          <w:szCs w:val="24"/>
        </w:rPr>
        <w:t>Samtidig indgift af 5-fluorouracil/</w:t>
      </w:r>
      <w:proofErr w:type="spellStart"/>
      <w:r w:rsidRPr="000B0AD0">
        <w:rPr>
          <w:sz w:val="24"/>
          <w:szCs w:val="24"/>
        </w:rPr>
        <w:t>folinsyre</w:t>
      </w:r>
      <w:proofErr w:type="spellEnd"/>
      <w:r w:rsidRPr="000B0AD0">
        <w:rPr>
          <w:sz w:val="24"/>
          <w:szCs w:val="24"/>
        </w:rPr>
        <w:t xml:space="preserve"> i kombinationsbehandling ændrer ikke </w:t>
      </w:r>
      <w:proofErr w:type="spellStart"/>
      <w:r w:rsidRPr="000B0AD0">
        <w:rPr>
          <w:sz w:val="24"/>
          <w:szCs w:val="24"/>
        </w:rPr>
        <w:t>irinotecans</w:t>
      </w:r>
      <w:proofErr w:type="spellEnd"/>
      <w:r w:rsidRPr="000B0AD0">
        <w:rPr>
          <w:sz w:val="24"/>
          <w:szCs w:val="24"/>
        </w:rPr>
        <w:t xml:space="preserve"> farmakokinetik.</w:t>
      </w:r>
    </w:p>
    <w:p w:rsidR="00980D61" w:rsidRPr="000B0AD0" w:rsidRDefault="00980D61" w:rsidP="00980D61">
      <w:pPr>
        <w:tabs>
          <w:tab w:val="left" w:pos="851"/>
        </w:tabs>
        <w:ind w:left="851"/>
        <w:rPr>
          <w:sz w:val="24"/>
          <w:szCs w:val="24"/>
        </w:rPr>
      </w:pPr>
    </w:p>
    <w:p w:rsidR="00980D61" w:rsidRPr="000B0AD0" w:rsidRDefault="00980D61" w:rsidP="00980D61">
      <w:pPr>
        <w:tabs>
          <w:tab w:val="left" w:pos="0"/>
          <w:tab w:val="left" w:pos="851"/>
        </w:tabs>
        <w:ind w:left="851"/>
        <w:rPr>
          <w:spacing w:val="-3"/>
          <w:sz w:val="24"/>
          <w:szCs w:val="24"/>
        </w:rPr>
      </w:pPr>
      <w:proofErr w:type="spellStart"/>
      <w:r w:rsidRPr="000B0AD0">
        <w:rPr>
          <w:i/>
          <w:spacing w:val="-3"/>
          <w:sz w:val="24"/>
          <w:szCs w:val="24"/>
        </w:rPr>
        <w:t>Bevacizumab</w:t>
      </w:r>
      <w:proofErr w:type="spellEnd"/>
      <w:r w:rsidRPr="000B0AD0">
        <w:rPr>
          <w:i/>
          <w:spacing w:val="-3"/>
          <w:sz w:val="24"/>
          <w:szCs w:val="24"/>
        </w:rPr>
        <w:t>:</w:t>
      </w:r>
      <w:r w:rsidRPr="000B0AD0">
        <w:rPr>
          <w:spacing w:val="-3"/>
          <w:sz w:val="24"/>
          <w:szCs w:val="24"/>
        </w:rPr>
        <w:t xml:space="preserve"> Resultaterne fra et specifikt forsøg med lægemiddelinteraktion viste ingen signifikant effekt af </w:t>
      </w:r>
      <w:proofErr w:type="spellStart"/>
      <w:r w:rsidRPr="000B0AD0">
        <w:rPr>
          <w:spacing w:val="-3"/>
          <w:sz w:val="24"/>
          <w:szCs w:val="24"/>
        </w:rPr>
        <w:t>bevacizumab</w:t>
      </w:r>
      <w:proofErr w:type="spellEnd"/>
      <w:r w:rsidRPr="000B0AD0">
        <w:rPr>
          <w:spacing w:val="-3"/>
          <w:sz w:val="24"/>
          <w:szCs w:val="24"/>
        </w:rPr>
        <w:t xml:space="preserve"> på </w:t>
      </w:r>
      <w:proofErr w:type="spellStart"/>
      <w:r w:rsidRPr="000B0AD0">
        <w:rPr>
          <w:spacing w:val="-3"/>
          <w:sz w:val="24"/>
          <w:szCs w:val="24"/>
        </w:rPr>
        <w:t>irinotecans</w:t>
      </w:r>
      <w:proofErr w:type="spellEnd"/>
      <w:r w:rsidRPr="000B0AD0">
        <w:rPr>
          <w:spacing w:val="-3"/>
          <w:sz w:val="24"/>
          <w:szCs w:val="24"/>
        </w:rPr>
        <w:t xml:space="preserve"> farmakokinetik og dets aktive metabolit SN-38. Dette udelukker dog ikke muligheden for øget toksicitet på grund af de farmakologiske egenskaber.</w:t>
      </w:r>
    </w:p>
    <w:p w:rsidR="00980D61" w:rsidRPr="000B0AD0" w:rsidRDefault="00980D61" w:rsidP="00980D61">
      <w:pPr>
        <w:tabs>
          <w:tab w:val="left" w:pos="0"/>
          <w:tab w:val="left" w:pos="851"/>
        </w:tabs>
        <w:ind w:left="851"/>
        <w:rPr>
          <w:spacing w:val="-3"/>
          <w:sz w:val="24"/>
          <w:szCs w:val="24"/>
        </w:rPr>
      </w:pPr>
    </w:p>
    <w:p w:rsidR="00980D61" w:rsidRPr="000B0AD0" w:rsidRDefault="00980D61" w:rsidP="00980D61">
      <w:pPr>
        <w:tabs>
          <w:tab w:val="left" w:pos="0"/>
          <w:tab w:val="left" w:pos="851"/>
        </w:tabs>
        <w:ind w:left="851"/>
        <w:rPr>
          <w:spacing w:val="-3"/>
          <w:sz w:val="24"/>
          <w:szCs w:val="24"/>
        </w:rPr>
      </w:pPr>
      <w:proofErr w:type="spellStart"/>
      <w:r w:rsidRPr="000B0AD0">
        <w:rPr>
          <w:i/>
          <w:sz w:val="24"/>
          <w:szCs w:val="24"/>
        </w:rPr>
        <w:t>Cetuximab</w:t>
      </w:r>
      <w:proofErr w:type="spellEnd"/>
      <w:r w:rsidRPr="000B0AD0">
        <w:rPr>
          <w:i/>
          <w:sz w:val="24"/>
          <w:szCs w:val="24"/>
        </w:rPr>
        <w:t>:</w:t>
      </w:r>
      <w:r w:rsidRPr="000B0AD0">
        <w:rPr>
          <w:sz w:val="24"/>
          <w:szCs w:val="24"/>
        </w:rPr>
        <w:t xml:space="preserve"> Der er ingen evidens for at </w:t>
      </w:r>
      <w:proofErr w:type="spellStart"/>
      <w:r w:rsidRPr="000B0AD0">
        <w:rPr>
          <w:sz w:val="24"/>
          <w:szCs w:val="24"/>
        </w:rPr>
        <w:t>irinotecans</w:t>
      </w:r>
      <w:proofErr w:type="spellEnd"/>
      <w:r w:rsidRPr="000B0AD0">
        <w:rPr>
          <w:sz w:val="24"/>
          <w:szCs w:val="24"/>
        </w:rPr>
        <w:t xml:space="preserve"> sikkerhedsprofil påvirkes af </w:t>
      </w:r>
      <w:proofErr w:type="spellStart"/>
      <w:r w:rsidRPr="000B0AD0">
        <w:rPr>
          <w:sz w:val="24"/>
          <w:szCs w:val="24"/>
        </w:rPr>
        <w:t>cetuximab</w:t>
      </w:r>
      <w:proofErr w:type="spellEnd"/>
      <w:r w:rsidRPr="000B0AD0">
        <w:rPr>
          <w:sz w:val="24"/>
          <w:szCs w:val="24"/>
        </w:rPr>
        <w:t xml:space="preserve"> eller </w:t>
      </w:r>
      <w:r w:rsidRPr="000B0AD0">
        <w:rPr>
          <w:i/>
          <w:iCs/>
          <w:sz w:val="24"/>
          <w:szCs w:val="24"/>
        </w:rPr>
        <w:t>vice versa.</w:t>
      </w:r>
    </w:p>
    <w:p w:rsidR="00980D61" w:rsidRDefault="00980D61" w:rsidP="00980D61">
      <w:pPr>
        <w:tabs>
          <w:tab w:val="left" w:pos="851"/>
        </w:tabs>
        <w:ind w:left="851"/>
        <w:rPr>
          <w:sz w:val="24"/>
          <w:szCs w:val="24"/>
        </w:rPr>
      </w:pPr>
    </w:p>
    <w:p w:rsidR="00980D61" w:rsidRPr="0089030B" w:rsidRDefault="00980D61" w:rsidP="00980D61">
      <w:pPr>
        <w:tabs>
          <w:tab w:val="left" w:pos="851"/>
        </w:tabs>
        <w:ind w:left="851"/>
        <w:rPr>
          <w:i/>
          <w:iCs/>
          <w:sz w:val="24"/>
          <w:szCs w:val="24"/>
        </w:rPr>
      </w:pPr>
      <w:proofErr w:type="spellStart"/>
      <w:r w:rsidRPr="0089030B">
        <w:rPr>
          <w:i/>
          <w:iCs/>
          <w:sz w:val="24"/>
          <w:szCs w:val="24"/>
        </w:rPr>
        <w:t>Antineoplastiske</w:t>
      </w:r>
      <w:proofErr w:type="spellEnd"/>
      <w:r w:rsidRPr="0089030B">
        <w:rPr>
          <w:i/>
          <w:iCs/>
          <w:sz w:val="24"/>
          <w:szCs w:val="24"/>
        </w:rPr>
        <w:t xml:space="preserve"> midler (herunder </w:t>
      </w:r>
      <w:proofErr w:type="spellStart"/>
      <w:r w:rsidRPr="0089030B">
        <w:rPr>
          <w:i/>
          <w:iCs/>
          <w:sz w:val="24"/>
          <w:szCs w:val="24"/>
        </w:rPr>
        <w:t>flucytosin</w:t>
      </w:r>
      <w:proofErr w:type="spellEnd"/>
      <w:r w:rsidRPr="0089030B">
        <w:rPr>
          <w:i/>
          <w:iCs/>
          <w:sz w:val="24"/>
          <w:szCs w:val="24"/>
        </w:rPr>
        <w:t xml:space="preserve"> som </w:t>
      </w:r>
      <w:proofErr w:type="gramStart"/>
      <w:r w:rsidRPr="0089030B">
        <w:rPr>
          <w:i/>
          <w:iCs/>
          <w:sz w:val="24"/>
          <w:szCs w:val="24"/>
        </w:rPr>
        <w:t>et prodrug</w:t>
      </w:r>
      <w:proofErr w:type="gramEnd"/>
      <w:r w:rsidRPr="0089030B">
        <w:rPr>
          <w:i/>
          <w:iCs/>
          <w:sz w:val="24"/>
          <w:szCs w:val="24"/>
        </w:rPr>
        <w:t xml:space="preserve"> til 5-fluorouracil) </w:t>
      </w:r>
    </w:p>
    <w:p w:rsidR="00980D61" w:rsidRPr="00C84483" w:rsidRDefault="00980D61" w:rsidP="00980D61">
      <w:pPr>
        <w:tabs>
          <w:tab w:val="left" w:pos="851"/>
        </w:tabs>
        <w:ind w:left="851"/>
        <w:rPr>
          <w:sz w:val="24"/>
          <w:szCs w:val="24"/>
        </w:rPr>
      </w:pPr>
      <w:r w:rsidRPr="00AB7DC3">
        <w:rPr>
          <w:sz w:val="24"/>
          <w:szCs w:val="24"/>
        </w:rPr>
        <w:t xml:space="preserve">Bivirkninger ved </w:t>
      </w:r>
      <w:proofErr w:type="spellStart"/>
      <w:r w:rsidRPr="00AB7DC3">
        <w:rPr>
          <w:sz w:val="24"/>
          <w:szCs w:val="24"/>
        </w:rPr>
        <w:t>irinotecan</w:t>
      </w:r>
      <w:proofErr w:type="spellEnd"/>
      <w:r w:rsidRPr="00AB7DC3">
        <w:rPr>
          <w:sz w:val="24"/>
          <w:szCs w:val="24"/>
        </w:rPr>
        <w:t xml:space="preserve">, som f.eks. </w:t>
      </w:r>
      <w:proofErr w:type="spellStart"/>
      <w:r w:rsidRPr="00AB7DC3">
        <w:rPr>
          <w:sz w:val="24"/>
          <w:szCs w:val="24"/>
        </w:rPr>
        <w:t>myelosuppression</w:t>
      </w:r>
      <w:proofErr w:type="spellEnd"/>
      <w:r w:rsidRPr="00AB7DC3">
        <w:rPr>
          <w:sz w:val="24"/>
          <w:szCs w:val="24"/>
        </w:rPr>
        <w:t xml:space="preserve">, kan forværres af andre </w:t>
      </w:r>
      <w:proofErr w:type="spellStart"/>
      <w:r w:rsidRPr="00AB7DC3">
        <w:rPr>
          <w:sz w:val="24"/>
          <w:szCs w:val="24"/>
        </w:rPr>
        <w:t>antineoplastiske</w:t>
      </w:r>
      <w:proofErr w:type="spellEnd"/>
      <w:r w:rsidRPr="00AB7DC3">
        <w:rPr>
          <w:sz w:val="24"/>
          <w:szCs w:val="24"/>
        </w:rPr>
        <w:t xml:space="preserve"> midler, der har en tilsvarende bivirkningsprofil.</w:t>
      </w:r>
    </w:p>
    <w:p w:rsidR="002F45B1" w:rsidRPr="00C84483" w:rsidRDefault="002F45B1" w:rsidP="002F45B1">
      <w:pPr>
        <w:tabs>
          <w:tab w:val="left" w:pos="851"/>
        </w:tabs>
        <w:ind w:left="851"/>
        <w:rPr>
          <w:sz w:val="24"/>
          <w:szCs w:val="24"/>
        </w:rPr>
      </w:pPr>
    </w:p>
    <w:p w:rsidR="002F45B1" w:rsidRPr="00C84483" w:rsidRDefault="002F45B1" w:rsidP="00236DCF">
      <w:pPr>
        <w:keepNext/>
        <w:tabs>
          <w:tab w:val="left" w:pos="851"/>
        </w:tabs>
        <w:ind w:left="851" w:hanging="851"/>
        <w:rPr>
          <w:b/>
          <w:sz w:val="24"/>
          <w:szCs w:val="24"/>
        </w:rPr>
      </w:pPr>
      <w:r w:rsidRPr="00C84483">
        <w:rPr>
          <w:b/>
          <w:sz w:val="24"/>
          <w:szCs w:val="24"/>
        </w:rPr>
        <w:t>4.6</w:t>
      </w:r>
      <w:r w:rsidRPr="00C84483">
        <w:rPr>
          <w:b/>
          <w:sz w:val="24"/>
          <w:szCs w:val="24"/>
        </w:rPr>
        <w:tab/>
      </w:r>
      <w:r w:rsidR="002B1FA6">
        <w:rPr>
          <w:b/>
          <w:sz w:val="24"/>
          <w:szCs w:val="24"/>
        </w:rPr>
        <w:t>Fertilitet, g</w:t>
      </w:r>
      <w:r w:rsidRPr="00C84483">
        <w:rPr>
          <w:b/>
          <w:sz w:val="24"/>
          <w:szCs w:val="24"/>
        </w:rPr>
        <w:t>raviditet og amning</w:t>
      </w:r>
    </w:p>
    <w:p w:rsidR="002B1FA6" w:rsidRDefault="002B1FA6" w:rsidP="002B1FA6">
      <w:pPr>
        <w:rPr>
          <w:sz w:val="24"/>
          <w:szCs w:val="24"/>
          <w:u w:val="single"/>
          <w:lang w:eastAsia="da-DK"/>
        </w:rPr>
      </w:pPr>
    </w:p>
    <w:p w:rsidR="002B1FA6" w:rsidRDefault="002B1FA6" w:rsidP="002B1FA6">
      <w:pPr>
        <w:ind w:left="851"/>
        <w:rPr>
          <w:bCs/>
          <w:sz w:val="24"/>
          <w:szCs w:val="24"/>
          <w:u w:val="single"/>
          <w:lang w:eastAsia="da-DK"/>
        </w:rPr>
      </w:pPr>
      <w:r>
        <w:rPr>
          <w:sz w:val="24"/>
          <w:szCs w:val="24"/>
          <w:u w:val="single"/>
          <w:lang w:eastAsia="da-DK"/>
        </w:rPr>
        <w:t>Prævention</w:t>
      </w:r>
    </w:p>
    <w:p w:rsidR="002B1FA6" w:rsidRDefault="002B1FA6" w:rsidP="002B1FA6">
      <w:pPr>
        <w:ind w:left="851"/>
        <w:rPr>
          <w:sz w:val="24"/>
          <w:szCs w:val="24"/>
          <w:lang w:eastAsia="da-DK"/>
        </w:rPr>
      </w:pPr>
      <w:r>
        <w:rPr>
          <w:sz w:val="24"/>
          <w:szCs w:val="24"/>
          <w:lang w:eastAsia="da-DK"/>
        </w:rPr>
        <w:t xml:space="preserve">På grund af potentialet for genotoksicitet, skal fertile kvindelige patienter rådgives om at benytte højeffektiv prævention under behandlingen og i 6 måneder efter den sidste dosis </w:t>
      </w:r>
      <w:proofErr w:type="spellStart"/>
      <w:r>
        <w:rPr>
          <w:sz w:val="24"/>
          <w:szCs w:val="24"/>
          <w:lang w:eastAsia="da-DK"/>
        </w:rPr>
        <w:t>irinotecan</w:t>
      </w:r>
      <w:proofErr w:type="spellEnd"/>
      <w:r>
        <w:rPr>
          <w:sz w:val="24"/>
          <w:szCs w:val="24"/>
          <w:lang w:eastAsia="da-DK"/>
        </w:rPr>
        <w:t xml:space="preserve"> (se pkt. 4.4).</w:t>
      </w:r>
    </w:p>
    <w:p w:rsidR="002B1FA6" w:rsidRDefault="002B1FA6" w:rsidP="002B1FA6">
      <w:pPr>
        <w:ind w:left="851"/>
        <w:rPr>
          <w:sz w:val="24"/>
          <w:szCs w:val="24"/>
          <w:lang w:eastAsia="da-DK"/>
        </w:rPr>
      </w:pPr>
    </w:p>
    <w:p w:rsidR="002B1FA6" w:rsidRDefault="002B1FA6" w:rsidP="002B1FA6">
      <w:pPr>
        <w:ind w:left="851"/>
        <w:rPr>
          <w:sz w:val="24"/>
          <w:szCs w:val="24"/>
          <w:lang w:eastAsia="da-DK"/>
        </w:rPr>
      </w:pPr>
      <w:r>
        <w:rPr>
          <w:sz w:val="24"/>
          <w:szCs w:val="24"/>
          <w:lang w:eastAsia="da-DK"/>
        </w:rPr>
        <w:t xml:space="preserve">På grund af potentialet for genotoksicitet, skal mandlige patienter med fertile kvindelige partnere rådgives om at benytte effektiv prævention under behandlingen og i 3 måneder efter den sidste dosis </w:t>
      </w:r>
      <w:proofErr w:type="spellStart"/>
      <w:r>
        <w:rPr>
          <w:sz w:val="24"/>
          <w:szCs w:val="24"/>
          <w:lang w:eastAsia="da-DK"/>
        </w:rPr>
        <w:t>irinotecan</w:t>
      </w:r>
      <w:proofErr w:type="spellEnd"/>
      <w:r>
        <w:rPr>
          <w:sz w:val="24"/>
          <w:szCs w:val="24"/>
          <w:lang w:eastAsia="da-DK"/>
        </w:rPr>
        <w:t xml:space="preserve"> (se pkt. 4.4).</w:t>
      </w:r>
    </w:p>
    <w:p w:rsidR="002B1FA6" w:rsidRDefault="002B1FA6" w:rsidP="002B1FA6">
      <w:pPr>
        <w:ind w:left="851"/>
        <w:rPr>
          <w:b/>
          <w:bCs/>
          <w:sz w:val="24"/>
          <w:szCs w:val="24"/>
          <w:lang w:eastAsia="da-DK"/>
        </w:rPr>
      </w:pPr>
    </w:p>
    <w:p w:rsidR="002B1FA6" w:rsidRDefault="002B1FA6" w:rsidP="002B1FA6">
      <w:pPr>
        <w:ind w:left="851"/>
        <w:rPr>
          <w:bCs/>
          <w:sz w:val="24"/>
          <w:szCs w:val="24"/>
          <w:u w:val="single"/>
          <w:lang w:eastAsia="da-DK"/>
        </w:rPr>
      </w:pPr>
      <w:r>
        <w:rPr>
          <w:sz w:val="24"/>
          <w:szCs w:val="24"/>
          <w:u w:val="single"/>
          <w:lang w:eastAsia="da-DK"/>
        </w:rPr>
        <w:t>Graviditet</w:t>
      </w:r>
    </w:p>
    <w:p w:rsidR="002B1FA6" w:rsidRDefault="002B1FA6" w:rsidP="002B1FA6">
      <w:pPr>
        <w:ind w:left="851"/>
        <w:rPr>
          <w:sz w:val="24"/>
          <w:szCs w:val="24"/>
          <w:lang w:eastAsia="da-DK"/>
        </w:rPr>
      </w:pPr>
      <w:r>
        <w:rPr>
          <w:sz w:val="24"/>
          <w:szCs w:val="24"/>
          <w:lang w:eastAsia="da-DK"/>
        </w:rPr>
        <w:t xml:space="preserve">Der foreligger begrænset data om anvendelse af </w:t>
      </w:r>
      <w:proofErr w:type="spellStart"/>
      <w:r>
        <w:rPr>
          <w:sz w:val="24"/>
          <w:szCs w:val="24"/>
          <w:lang w:eastAsia="da-DK"/>
        </w:rPr>
        <w:t>irinotecan</w:t>
      </w:r>
      <w:proofErr w:type="spellEnd"/>
      <w:r>
        <w:rPr>
          <w:sz w:val="24"/>
          <w:szCs w:val="24"/>
          <w:lang w:eastAsia="da-DK"/>
        </w:rPr>
        <w:t xml:space="preserve"> til gravide kvinder. </w:t>
      </w:r>
      <w:proofErr w:type="spellStart"/>
      <w:r>
        <w:rPr>
          <w:sz w:val="24"/>
          <w:szCs w:val="24"/>
          <w:lang w:eastAsia="da-DK"/>
        </w:rPr>
        <w:t>Irinotecan</w:t>
      </w:r>
      <w:proofErr w:type="spellEnd"/>
      <w:r>
        <w:rPr>
          <w:sz w:val="24"/>
          <w:szCs w:val="24"/>
          <w:lang w:eastAsia="da-DK"/>
        </w:rPr>
        <w:t xml:space="preserve"> har vist sig at være embryotoksisk og </w:t>
      </w:r>
      <w:proofErr w:type="spellStart"/>
      <w:r>
        <w:rPr>
          <w:sz w:val="24"/>
          <w:szCs w:val="24"/>
          <w:lang w:eastAsia="da-DK"/>
        </w:rPr>
        <w:t>teratogent</w:t>
      </w:r>
      <w:proofErr w:type="spellEnd"/>
      <w:r>
        <w:rPr>
          <w:sz w:val="24"/>
          <w:szCs w:val="24"/>
          <w:lang w:eastAsia="da-DK"/>
        </w:rPr>
        <w:t xml:space="preserve"> hos dyr (se pkt. 5.3). Baseret på resultater fra dyrestudier og </w:t>
      </w:r>
      <w:proofErr w:type="spellStart"/>
      <w:r>
        <w:rPr>
          <w:sz w:val="24"/>
          <w:szCs w:val="24"/>
          <w:lang w:eastAsia="da-DK"/>
        </w:rPr>
        <w:t>irinotecans</w:t>
      </w:r>
      <w:proofErr w:type="spellEnd"/>
      <w:r>
        <w:rPr>
          <w:sz w:val="24"/>
          <w:szCs w:val="24"/>
          <w:lang w:eastAsia="da-DK"/>
        </w:rPr>
        <w:t xml:space="preserve"> virkningsmekanisme, bør </w:t>
      </w:r>
      <w:proofErr w:type="spellStart"/>
      <w:r>
        <w:rPr>
          <w:sz w:val="24"/>
          <w:szCs w:val="24"/>
          <w:lang w:eastAsia="da-DK"/>
        </w:rPr>
        <w:t>irinotecan</w:t>
      </w:r>
      <w:proofErr w:type="spellEnd"/>
      <w:r>
        <w:rPr>
          <w:sz w:val="24"/>
          <w:szCs w:val="24"/>
          <w:lang w:eastAsia="da-DK"/>
        </w:rPr>
        <w:t xml:space="preserve"> derfor ikke anvendes under </w:t>
      </w:r>
      <w:bookmarkStart w:id="1" w:name="OLE_LINK3"/>
      <w:r>
        <w:rPr>
          <w:sz w:val="24"/>
          <w:szCs w:val="24"/>
          <w:lang w:eastAsia="da-DK"/>
        </w:rPr>
        <w:t>graviditet medmindre det er klart nødvendigt.</w:t>
      </w:r>
      <w:bookmarkEnd w:id="1"/>
    </w:p>
    <w:p w:rsidR="002B1FA6" w:rsidRDefault="002B1FA6" w:rsidP="002B1FA6">
      <w:pPr>
        <w:ind w:left="851"/>
        <w:rPr>
          <w:sz w:val="24"/>
          <w:szCs w:val="24"/>
          <w:lang w:eastAsia="da-DK"/>
        </w:rPr>
      </w:pPr>
      <w:r>
        <w:rPr>
          <w:sz w:val="24"/>
          <w:szCs w:val="24"/>
          <w:lang w:eastAsia="da-DK"/>
        </w:rPr>
        <w:lastRenderedPageBreak/>
        <w:t xml:space="preserve">Kvinder i den fødedygtige alder bør ikke startes med </w:t>
      </w:r>
      <w:proofErr w:type="spellStart"/>
      <w:r>
        <w:rPr>
          <w:sz w:val="24"/>
          <w:szCs w:val="24"/>
          <w:lang w:eastAsia="da-DK"/>
        </w:rPr>
        <w:t>irinotecan</w:t>
      </w:r>
      <w:proofErr w:type="spellEnd"/>
      <w:r>
        <w:rPr>
          <w:sz w:val="24"/>
          <w:szCs w:val="24"/>
          <w:lang w:eastAsia="da-DK"/>
        </w:rPr>
        <w:t xml:space="preserve">, før graviditet er udelukket. Graviditet bør undgås hvis en af partnerne modtager </w:t>
      </w:r>
      <w:proofErr w:type="spellStart"/>
      <w:r>
        <w:rPr>
          <w:sz w:val="24"/>
          <w:szCs w:val="24"/>
          <w:lang w:eastAsia="da-DK"/>
        </w:rPr>
        <w:t>irinotecan</w:t>
      </w:r>
      <w:proofErr w:type="spellEnd"/>
      <w:r>
        <w:rPr>
          <w:sz w:val="24"/>
          <w:szCs w:val="24"/>
          <w:lang w:eastAsia="da-DK"/>
        </w:rPr>
        <w:t xml:space="preserve">. </w:t>
      </w:r>
    </w:p>
    <w:p w:rsidR="002B1FA6" w:rsidRDefault="002B1FA6" w:rsidP="002B1FA6">
      <w:pPr>
        <w:ind w:left="851"/>
        <w:rPr>
          <w:bCs/>
          <w:sz w:val="24"/>
          <w:szCs w:val="24"/>
          <w:u w:val="single"/>
          <w:lang w:eastAsia="da-DK"/>
        </w:rPr>
      </w:pPr>
    </w:p>
    <w:p w:rsidR="002B1FA6" w:rsidRDefault="002B1FA6" w:rsidP="002B1FA6">
      <w:pPr>
        <w:keepNext/>
        <w:ind w:left="851"/>
        <w:rPr>
          <w:bCs/>
          <w:sz w:val="24"/>
          <w:szCs w:val="24"/>
          <w:u w:val="single"/>
          <w:lang w:eastAsia="da-DK"/>
        </w:rPr>
      </w:pPr>
      <w:r>
        <w:rPr>
          <w:sz w:val="24"/>
          <w:szCs w:val="24"/>
          <w:u w:val="single"/>
          <w:lang w:eastAsia="da-DK"/>
        </w:rPr>
        <w:t>Amning</w:t>
      </w:r>
    </w:p>
    <w:p w:rsidR="002B1FA6" w:rsidRDefault="002B1FA6" w:rsidP="002B1FA6">
      <w:pPr>
        <w:keepNext/>
        <w:ind w:left="851"/>
        <w:rPr>
          <w:sz w:val="24"/>
          <w:szCs w:val="24"/>
          <w:lang w:eastAsia="da-DK"/>
        </w:rPr>
      </w:pPr>
      <w:r>
        <w:rPr>
          <w:sz w:val="24"/>
          <w:szCs w:val="24"/>
          <w:lang w:eastAsia="da-DK"/>
        </w:rPr>
        <w:t xml:space="preserve">De tilgængelige data er begrænsede, men tyder på, at </w:t>
      </w:r>
      <w:proofErr w:type="spellStart"/>
      <w:r>
        <w:rPr>
          <w:sz w:val="24"/>
          <w:szCs w:val="24"/>
          <w:lang w:eastAsia="da-DK"/>
        </w:rPr>
        <w:t>irinotecan</w:t>
      </w:r>
      <w:proofErr w:type="spellEnd"/>
      <w:r>
        <w:rPr>
          <w:sz w:val="24"/>
          <w:szCs w:val="24"/>
          <w:lang w:eastAsia="da-DK"/>
        </w:rPr>
        <w:t xml:space="preserve"> og dets metabolit udskilles i human modermælk. Som følge af den potentielle risiko for bivirkninger hos det ammede barn, bør amning derfor ophøre, så længe der behandles med </w:t>
      </w:r>
      <w:proofErr w:type="spellStart"/>
      <w:r>
        <w:rPr>
          <w:sz w:val="24"/>
          <w:szCs w:val="24"/>
          <w:lang w:eastAsia="da-DK"/>
        </w:rPr>
        <w:t>irinotecan</w:t>
      </w:r>
      <w:proofErr w:type="spellEnd"/>
      <w:r>
        <w:rPr>
          <w:sz w:val="24"/>
          <w:szCs w:val="24"/>
          <w:lang w:eastAsia="da-DK"/>
        </w:rPr>
        <w:t xml:space="preserve"> (se pkt. 4.3 og 4.4).</w:t>
      </w:r>
    </w:p>
    <w:p w:rsidR="002B1FA6" w:rsidRDefault="002B1FA6" w:rsidP="002B1FA6">
      <w:pPr>
        <w:ind w:left="851"/>
        <w:rPr>
          <w:sz w:val="24"/>
          <w:szCs w:val="24"/>
          <w:lang w:eastAsia="da-DK"/>
        </w:rPr>
      </w:pPr>
    </w:p>
    <w:p w:rsidR="002B1FA6" w:rsidRDefault="002B1FA6" w:rsidP="002B1FA6">
      <w:pPr>
        <w:keepNext/>
        <w:ind w:left="851"/>
        <w:rPr>
          <w:bCs/>
          <w:sz w:val="24"/>
          <w:szCs w:val="24"/>
          <w:u w:val="single"/>
          <w:lang w:eastAsia="da-DK"/>
        </w:rPr>
      </w:pPr>
      <w:r>
        <w:rPr>
          <w:sz w:val="24"/>
          <w:szCs w:val="24"/>
          <w:u w:val="single"/>
          <w:lang w:eastAsia="da-DK"/>
        </w:rPr>
        <w:t>Fertilitet</w:t>
      </w:r>
    </w:p>
    <w:p w:rsidR="002B1FA6" w:rsidRDefault="002B1FA6" w:rsidP="002B1FA6">
      <w:pPr>
        <w:ind w:left="851"/>
        <w:rPr>
          <w:sz w:val="24"/>
          <w:szCs w:val="24"/>
          <w:lang w:eastAsia="da-DK"/>
        </w:rPr>
      </w:pPr>
      <w:r>
        <w:rPr>
          <w:sz w:val="24"/>
          <w:szCs w:val="24"/>
          <w:lang w:eastAsia="da-DK"/>
        </w:rPr>
        <w:t xml:space="preserve">Der foreligger ingen data vedrørende </w:t>
      </w:r>
      <w:proofErr w:type="spellStart"/>
      <w:r>
        <w:rPr>
          <w:sz w:val="24"/>
          <w:szCs w:val="24"/>
          <w:lang w:eastAsia="da-DK"/>
        </w:rPr>
        <w:t>irinotecans</w:t>
      </w:r>
      <w:proofErr w:type="spellEnd"/>
      <w:r>
        <w:rPr>
          <w:sz w:val="24"/>
          <w:szCs w:val="24"/>
          <w:lang w:eastAsia="da-DK"/>
        </w:rPr>
        <w:t xml:space="preserve"> indvirkning på fertiliteten hos mennesker. Hos forsøgsdyr er der dokumenteret skadelige virkninger af </w:t>
      </w:r>
      <w:proofErr w:type="spellStart"/>
      <w:r>
        <w:rPr>
          <w:sz w:val="24"/>
          <w:szCs w:val="24"/>
          <w:lang w:eastAsia="da-DK"/>
        </w:rPr>
        <w:t>irinotecan</w:t>
      </w:r>
      <w:proofErr w:type="spellEnd"/>
      <w:r>
        <w:rPr>
          <w:sz w:val="24"/>
          <w:szCs w:val="24"/>
          <w:lang w:eastAsia="da-DK"/>
        </w:rPr>
        <w:t xml:space="preserve"> på fertiliteten hos afkommet (se pkt. 5.3). </w:t>
      </w:r>
      <w:r>
        <w:rPr>
          <w:b/>
          <w:bCs/>
          <w:sz w:val="24"/>
          <w:szCs w:val="24"/>
          <w:lang w:eastAsia="da-DK"/>
        </w:rPr>
        <w:t xml:space="preserve">Inden påbegyndelse af </w:t>
      </w:r>
      <w:proofErr w:type="spellStart"/>
      <w:r>
        <w:rPr>
          <w:b/>
          <w:bCs/>
          <w:sz w:val="24"/>
          <w:szCs w:val="24"/>
        </w:rPr>
        <w:t>Irinotecan</w:t>
      </w:r>
      <w:proofErr w:type="spellEnd"/>
      <w:r>
        <w:rPr>
          <w:b/>
          <w:bCs/>
          <w:sz w:val="24"/>
          <w:szCs w:val="24"/>
        </w:rPr>
        <w:t xml:space="preserve"> "</w:t>
      </w:r>
      <w:proofErr w:type="spellStart"/>
      <w:r>
        <w:rPr>
          <w:b/>
          <w:bCs/>
          <w:sz w:val="24"/>
          <w:szCs w:val="24"/>
        </w:rPr>
        <w:t>Accord</w:t>
      </w:r>
      <w:proofErr w:type="spellEnd"/>
      <w:r>
        <w:rPr>
          <w:b/>
          <w:bCs/>
          <w:sz w:val="24"/>
          <w:szCs w:val="24"/>
        </w:rPr>
        <w:t>" skal det overvejes at rådgive patienten om præservering af kønsceller.</w:t>
      </w:r>
    </w:p>
    <w:p w:rsidR="002F45B1" w:rsidRPr="00465778" w:rsidRDefault="002F45B1" w:rsidP="002F45B1">
      <w:pPr>
        <w:ind w:left="851"/>
        <w:rPr>
          <w:bCs/>
          <w:sz w:val="24"/>
          <w:szCs w:val="24"/>
          <w:u w:val="single"/>
          <w:lang w:eastAsia="da-DK"/>
        </w:rPr>
      </w:pPr>
    </w:p>
    <w:p w:rsidR="002F45B1" w:rsidRPr="00C84483" w:rsidRDefault="002F45B1" w:rsidP="002F45B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2B1FA6">
        <w:rPr>
          <w:b/>
          <w:sz w:val="24"/>
          <w:szCs w:val="24"/>
        </w:rPr>
        <w:t xml:space="preserve">og </w:t>
      </w:r>
      <w:r w:rsidRPr="00C84483">
        <w:rPr>
          <w:b/>
          <w:sz w:val="24"/>
          <w:szCs w:val="24"/>
        </w:rPr>
        <w:t>betjene maskiner</w:t>
      </w:r>
    </w:p>
    <w:p w:rsidR="000B0AD0" w:rsidRPr="000B0AD0" w:rsidRDefault="000B0AD0" w:rsidP="000B0AD0">
      <w:pPr>
        <w:pStyle w:val="Normalindrykning"/>
        <w:spacing w:after="0"/>
        <w:ind w:left="851"/>
        <w:rPr>
          <w:sz w:val="24"/>
          <w:szCs w:val="24"/>
        </w:rPr>
      </w:pPr>
      <w:r w:rsidRPr="000B0AD0">
        <w:rPr>
          <w:sz w:val="24"/>
          <w:szCs w:val="24"/>
        </w:rPr>
        <w:t>Ikke mærkning</w:t>
      </w:r>
    </w:p>
    <w:p w:rsidR="000B0AD0" w:rsidRPr="000B0AD0" w:rsidRDefault="000B0AD0" w:rsidP="000B0AD0">
      <w:pPr>
        <w:pStyle w:val="Normalindrykning"/>
        <w:ind w:left="851"/>
        <w:rPr>
          <w:sz w:val="24"/>
          <w:szCs w:val="24"/>
        </w:rPr>
      </w:pPr>
      <w:proofErr w:type="spellStart"/>
      <w:r w:rsidRPr="000B0AD0">
        <w:rPr>
          <w:sz w:val="24"/>
          <w:szCs w:val="24"/>
        </w:rPr>
        <w:t>Irinotecan</w:t>
      </w:r>
      <w:proofErr w:type="spellEnd"/>
      <w:r w:rsidRPr="000B0AD0">
        <w:rPr>
          <w:sz w:val="24"/>
          <w:szCs w:val="24"/>
        </w:rPr>
        <w:t xml:space="preserve"> "</w:t>
      </w:r>
      <w:proofErr w:type="spellStart"/>
      <w:r w:rsidRPr="000B0AD0">
        <w:rPr>
          <w:sz w:val="24"/>
          <w:szCs w:val="24"/>
        </w:rPr>
        <w:t>Accord</w:t>
      </w:r>
      <w:proofErr w:type="spellEnd"/>
      <w:r w:rsidRPr="000B0AD0">
        <w:rPr>
          <w:sz w:val="24"/>
          <w:szCs w:val="24"/>
        </w:rPr>
        <w:t>" har en moderat indflydelse på evnen til at føre motorkøretøj eller betjene maskiner.</w:t>
      </w:r>
    </w:p>
    <w:p w:rsidR="002F45B1" w:rsidRPr="00C84483" w:rsidRDefault="002F45B1" w:rsidP="002F45B1">
      <w:pPr>
        <w:pStyle w:val="Normalindrykning"/>
        <w:spacing w:after="0"/>
        <w:ind w:left="851"/>
        <w:rPr>
          <w:sz w:val="24"/>
          <w:szCs w:val="24"/>
        </w:rPr>
      </w:pPr>
      <w:r w:rsidRPr="00502688">
        <w:rPr>
          <w:sz w:val="24"/>
          <w:szCs w:val="24"/>
        </w:rPr>
        <w:t xml:space="preserve">Patienterne skal advares om risiko for svimmelhed eller synsforstyrrelser, som kan opstå indtil 24 timer efter administration af </w:t>
      </w:r>
      <w:proofErr w:type="spellStart"/>
      <w:r>
        <w:rPr>
          <w:sz w:val="24"/>
          <w:szCs w:val="24"/>
        </w:rPr>
        <w:t>Irinotecan</w:t>
      </w:r>
      <w:proofErr w:type="spellEnd"/>
      <w:r>
        <w:rPr>
          <w:sz w:val="24"/>
          <w:szCs w:val="24"/>
        </w:rPr>
        <w:t xml:space="preserve"> "</w:t>
      </w:r>
      <w:proofErr w:type="spellStart"/>
      <w:r>
        <w:rPr>
          <w:sz w:val="24"/>
          <w:szCs w:val="24"/>
        </w:rPr>
        <w:t>Accord</w:t>
      </w:r>
      <w:proofErr w:type="spellEnd"/>
      <w:r>
        <w:rPr>
          <w:sz w:val="24"/>
          <w:szCs w:val="24"/>
        </w:rPr>
        <w:t>"</w:t>
      </w:r>
      <w:r w:rsidRPr="00502688">
        <w:rPr>
          <w:sz w:val="24"/>
          <w:szCs w:val="24"/>
        </w:rPr>
        <w:t>, og det tilrådes at undlade at køre bil og betjene maskiner, hvis disse symptomer opstår.</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4.8</w:t>
      </w:r>
      <w:r w:rsidRPr="00C84483">
        <w:rPr>
          <w:b/>
          <w:sz w:val="24"/>
          <w:szCs w:val="24"/>
        </w:rPr>
        <w:tab/>
        <w:t>Bivirkninger</w:t>
      </w:r>
    </w:p>
    <w:p w:rsidR="002F45B1" w:rsidRDefault="002F45B1" w:rsidP="002F45B1">
      <w:pPr>
        <w:ind w:left="851"/>
        <w:rPr>
          <w:b/>
          <w:sz w:val="24"/>
          <w:szCs w:val="24"/>
          <w:lang w:eastAsia="da-DK"/>
        </w:rPr>
      </w:pPr>
    </w:p>
    <w:p w:rsidR="000B0AD0" w:rsidRPr="000B0AD0" w:rsidRDefault="000B0AD0" w:rsidP="000B0AD0">
      <w:pPr>
        <w:ind w:left="851"/>
        <w:rPr>
          <w:bCs/>
          <w:sz w:val="24"/>
          <w:szCs w:val="24"/>
          <w:u w:val="single"/>
          <w:lang w:eastAsia="da-DK"/>
        </w:rPr>
      </w:pPr>
      <w:r w:rsidRPr="000B0AD0">
        <w:rPr>
          <w:sz w:val="24"/>
          <w:szCs w:val="24"/>
          <w:u w:val="single"/>
          <w:lang w:eastAsia="da-DK"/>
        </w:rPr>
        <w:t>Kliniske undersøgelser</w:t>
      </w:r>
    </w:p>
    <w:p w:rsidR="000B0AD0" w:rsidRPr="000B0AD0" w:rsidRDefault="000B0AD0" w:rsidP="000B0AD0">
      <w:pPr>
        <w:ind w:left="851"/>
        <w:rPr>
          <w:sz w:val="24"/>
          <w:szCs w:val="24"/>
          <w:lang w:eastAsia="da-DK"/>
        </w:rPr>
      </w:pPr>
      <w:r w:rsidRPr="000B0AD0">
        <w:rPr>
          <w:sz w:val="24"/>
          <w:szCs w:val="24"/>
          <w:lang w:eastAsia="da-DK"/>
        </w:rPr>
        <w:t xml:space="preserve">Bivirkningsdata er blevet grundigt indsamlet fra studier i metastatisk </w:t>
      </w:r>
      <w:proofErr w:type="spellStart"/>
      <w:r w:rsidRPr="000B0AD0">
        <w:rPr>
          <w:sz w:val="24"/>
          <w:szCs w:val="24"/>
          <w:lang w:eastAsia="da-DK"/>
        </w:rPr>
        <w:t>colorectal</w:t>
      </w:r>
      <w:proofErr w:type="spellEnd"/>
      <w:r w:rsidRPr="000B0AD0">
        <w:rPr>
          <w:sz w:val="24"/>
          <w:szCs w:val="24"/>
          <w:lang w:eastAsia="da-DK"/>
        </w:rPr>
        <w:t xml:space="preserve"> cancer; hyppigheder er præsenteret herunder. </w:t>
      </w:r>
      <w:r w:rsidRPr="000B0AD0">
        <w:rPr>
          <w:sz w:val="24"/>
          <w:szCs w:val="24"/>
        </w:rPr>
        <w:t xml:space="preserve">Bivirkninger for andre indikationer forventes at være tilsvarende dem, som ses for </w:t>
      </w:r>
      <w:proofErr w:type="spellStart"/>
      <w:r w:rsidRPr="000B0AD0">
        <w:rPr>
          <w:sz w:val="24"/>
          <w:szCs w:val="24"/>
        </w:rPr>
        <w:t>kolorektalkræft</w:t>
      </w:r>
      <w:proofErr w:type="spellEnd"/>
      <w:r w:rsidRPr="000B0AD0">
        <w:rPr>
          <w:sz w:val="24"/>
          <w:szCs w:val="24"/>
        </w:rPr>
        <w:t>.</w:t>
      </w:r>
    </w:p>
    <w:p w:rsidR="000B0AD0" w:rsidRPr="000B0AD0" w:rsidRDefault="000B0AD0" w:rsidP="000B0AD0">
      <w:pPr>
        <w:ind w:left="851"/>
        <w:rPr>
          <w:sz w:val="24"/>
          <w:szCs w:val="24"/>
          <w:lang w:eastAsia="da-DK"/>
        </w:rPr>
      </w:pPr>
    </w:p>
    <w:p w:rsidR="000B0AD0" w:rsidRPr="000B0AD0" w:rsidRDefault="000B0AD0" w:rsidP="000B0AD0">
      <w:pPr>
        <w:ind w:left="851"/>
        <w:rPr>
          <w:sz w:val="24"/>
          <w:szCs w:val="24"/>
          <w:lang w:eastAsia="da-DK"/>
        </w:rPr>
      </w:pPr>
      <w:proofErr w:type="spellStart"/>
      <w:r w:rsidRPr="000B0AD0">
        <w:rPr>
          <w:sz w:val="24"/>
          <w:szCs w:val="24"/>
          <w:lang w:eastAsia="da-DK"/>
        </w:rPr>
        <w:t>Irinotecans</w:t>
      </w:r>
      <w:proofErr w:type="spellEnd"/>
      <w:r w:rsidRPr="000B0AD0">
        <w:rPr>
          <w:sz w:val="24"/>
          <w:szCs w:val="24"/>
          <w:lang w:eastAsia="da-DK"/>
        </w:rPr>
        <w:t xml:space="preserve"> mest almindelige (≥ 1/10) dosisbegrænsende bivirkninger er sent indsættende diarré (der forekommer mere end 24 timer efter indgift) og blodsygdomme, herunder </w:t>
      </w:r>
      <w:proofErr w:type="spellStart"/>
      <w:r w:rsidRPr="000B0AD0">
        <w:rPr>
          <w:sz w:val="24"/>
          <w:szCs w:val="24"/>
          <w:lang w:eastAsia="da-DK"/>
        </w:rPr>
        <w:t>neutropeni</w:t>
      </w:r>
      <w:proofErr w:type="spellEnd"/>
      <w:r w:rsidRPr="000B0AD0">
        <w:rPr>
          <w:sz w:val="24"/>
          <w:szCs w:val="24"/>
          <w:lang w:eastAsia="da-DK"/>
        </w:rPr>
        <w:t xml:space="preserve">, anæmi og </w:t>
      </w:r>
      <w:proofErr w:type="spellStart"/>
      <w:r w:rsidRPr="000B0AD0">
        <w:rPr>
          <w:sz w:val="24"/>
          <w:szCs w:val="24"/>
          <w:lang w:eastAsia="da-DK"/>
        </w:rPr>
        <w:t>trombocytopeni</w:t>
      </w:r>
      <w:proofErr w:type="spellEnd"/>
      <w:r w:rsidRPr="000B0AD0">
        <w:rPr>
          <w:sz w:val="24"/>
          <w:szCs w:val="24"/>
          <w:lang w:eastAsia="da-DK"/>
        </w:rPr>
        <w:t>.</w:t>
      </w:r>
    </w:p>
    <w:p w:rsidR="000B0AD0" w:rsidRPr="000B0AD0" w:rsidRDefault="000B0AD0" w:rsidP="000B0AD0">
      <w:pPr>
        <w:ind w:left="851"/>
        <w:rPr>
          <w:sz w:val="24"/>
          <w:szCs w:val="24"/>
          <w:lang w:eastAsia="da-DK"/>
        </w:rPr>
      </w:pPr>
    </w:p>
    <w:p w:rsidR="000B0AD0" w:rsidRPr="000B0AD0" w:rsidRDefault="000B0AD0" w:rsidP="000B0AD0">
      <w:pPr>
        <w:ind w:left="851"/>
        <w:rPr>
          <w:sz w:val="24"/>
          <w:szCs w:val="24"/>
          <w:lang w:eastAsia="da-DK"/>
        </w:rPr>
      </w:pPr>
      <w:proofErr w:type="spellStart"/>
      <w:r w:rsidRPr="000B0AD0">
        <w:rPr>
          <w:sz w:val="24"/>
          <w:szCs w:val="24"/>
          <w:lang w:eastAsia="da-DK"/>
        </w:rPr>
        <w:t>Neutropeni</w:t>
      </w:r>
      <w:proofErr w:type="spellEnd"/>
      <w:r w:rsidRPr="000B0AD0">
        <w:rPr>
          <w:sz w:val="24"/>
          <w:szCs w:val="24"/>
          <w:lang w:eastAsia="da-DK"/>
        </w:rPr>
        <w:t xml:space="preserve"> er en dosisbegrænsende toksisk virkning. </w:t>
      </w:r>
      <w:proofErr w:type="spellStart"/>
      <w:r w:rsidRPr="000B0AD0">
        <w:rPr>
          <w:sz w:val="24"/>
          <w:szCs w:val="24"/>
          <w:lang w:eastAsia="da-DK"/>
        </w:rPr>
        <w:t>Neutropeni</w:t>
      </w:r>
      <w:proofErr w:type="spellEnd"/>
      <w:r w:rsidRPr="000B0AD0">
        <w:rPr>
          <w:sz w:val="24"/>
          <w:szCs w:val="24"/>
          <w:lang w:eastAsia="da-DK"/>
        </w:rPr>
        <w:t xml:space="preserve"> var reversibel og ikke kumulativ. Mediantiden til nadir var 8 dage </w:t>
      </w:r>
      <w:r w:rsidRPr="000B0AD0">
        <w:rPr>
          <w:sz w:val="24"/>
          <w:szCs w:val="24"/>
        </w:rPr>
        <w:t>uanset om behandlingen gives som mono- eller kombinationsterapi</w:t>
      </w:r>
      <w:r w:rsidRPr="000B0AD0">
        <w:rPr>
          <w:sz w:val="24"/>
          <w:szCs w:val="24"/>
          <w:lang w:eastAsia="da-DK"/>
        </w:rPr>
        <w:t>.</w:t>
      </w:r>
    </w:p>
    <w:p w:rsidR="000B0AD0" w:rsidRPr="000B0AD0" w:rsidRDefault="000B0AD0" w:rsidP="000B0AD0">
      <w:pPr>
        <w:ind w:left="851"/>
        <w:rPr>
          <w:sz w:val="24"/>
          <w:szCs w:val="24"/>
          <w:lang w:eastAsia="da-DK"/>
        </w:rPr>
      </w:pPr>
    </w:p>
    <w:p w:rsidR="000B0AD0" w:rsidRPr="000B0AD0" w:rsidRDefault="000B0AD0" w:rsidP="000B0AD0">
      <w:pPr>
        <w:ind w:left="851"/>
        <w:rPr>
          <w:sz w:val="24"/>
          <w:szCs w:val="24"/>
          <w:lang w:eastAsia="da-DK"/>
        </w:rPr>
      </w:pPr>
      <w:r w:rsidRPr="000B0AD0">
        <w:rPr>
          <w:sz w:val="24"/>
          <w:szCs w:val="24"/>
          <w:lang w:eastAsia="da-DK"/>
        </w:rPr>
        <w:t xml:space="preserve">Svær forbigående akut </w:t>
      </w:r>
      <w:proofErr w:type="spellStart"/>
      <w:r w:rsidRPr="000B0AD0">
        <w:rPr>
          <w:sz w:val="24"/>
          <w:szCs w:val="24"/>
          <w:lang w:eastAsia="da-DK"/>
        </w:rPr>
        <w:t>kolinergt</w:t>
      </w:r>
      <w:proofErr w:type="spellEnd"/>
      <w:r w:rsidRPr="000B0AD0">
        <w:rPr>
          <w:sz w:val="24"/>
          <w:szCs w:val="24"/>
          <w:lang w:eastAsia="da-DK"/>
        </w:rPr>
        <w:t xml:space="preserve"> syndrom blev observeret som meget almindelig bivirkning. De vigtigste symptomer blev defineret som tidligt indsættende diarré og forskellige andre symptomer såsom mavesmerter, svedtendens, </w:t>
      </w:r>
      <w:proofErr w:type="spellStart"/>
      <w:r w:rsidRPr="000B0AD0">
        <w:rPr>
          <w:sz w:val="24"/>
          <w:szCs w:val="24"/>
          <w:lang w:eastAsia="da-DK"/>
        </w:rPr>
        <w:t>myosis</w:t>
      </w:r>
      <w:proofErr w:type="spellEnd"/>
      <w:r w:rsidRPr="000B0AD0">
        <w:rPr>
          <w:sz w:val="24"/>
          <w:szCs w:val="24"/>
          <w:lang w:eastAsia="da-DK"/>
        </w:rPr>
        <w:t xml:space="preserve"> og spytflåd, der opstod under eller inden for de første 24 timer efter infusion af </w:t>
      </w:r>
      <w:proofErr w:type="spellStart"/>
      <w:r w:rsidRPr="000B0AD0">
        <w:rPr>
          <w:sz w:val="24"/>
          <w:szCs w:val="24"/>
          <w:lang w:eastAsia="da-DK"/>
        </w:rPr>
        <w:t>irinotecan</w:t>
      </w:r>
      <w:proofErr w:type="spellEnd"/>
      <w:r w:rsidRPr="000B0AD0">
        <w:rPr>
          <w:sz w:val="24"/>
          <w:szCs w:val="24"/>
          <w:lang w:eastAsia="da-DK"/>
        </w:rPr>
        <w:t>. Disse symptomer forsvinder efter atropinadministration (se pkt. 4.4).</w:t>
      </w:r>
    </w:p>
    <w:p w:rsidR="000B0AD0" w:rsidRPr="000B0AD0" w:rsidRDefault="000B0AD0" w:rsidP="000B0AD0">
      <w:pPr>
        <w:ind w:left="851"/>
        <w:rPr>
          <w:sz w:val="24"/>
          <w:szCs w:val="24"/>
          <w:lang w:eastAsia="da-DK"/>
        </w:rPr>
      </w:pPr>
    </w:p>
    <w:p w:rsidR="00873CD3" w:rsidRPr="000B0AD0" w:rsidRDefault="00873CD3" w:rsidP="00873CD3">
      <w:pPr>
        <w:ind w:left="851"/>
        <w:rPr>
          <w:bCs/>
          <w:sz w:val="24"/>
          <w:szCs w:val="24"/>
          <w:u w:val="single"/>
          <w:lang w:eastAsia="da-DK"/>
        </w:rPr>
      </w:pPr>
      <w:r w:rsidRPr="000B0AD0">
        <w:rPr>
          <w:bCs/>
          <w:sz w:val="24"/>
          <w:szCs w:val="24"/>
          <w:u w:val="single"/>
          <w:lang w:eastAsia="da-DK"/>
        </w:rPr>
        <w:t xml:space="preserve">Monoterapi </w:t>
      </w:r>
    </w:p>
    <w:p w:rsidR="00873CD3" w:rsidRPr="000B0AD0" w:rsidRDefault="00873CD3" w:rsidP="00873CD3">
      <w:pPr>
        <w:ind w:left="851"/>
        <w:rPr>
          <w:sz w:val="24"/>
          <w:szCs w:val="24"/>
          <w:lang w:eastAsia="da-DK"/>
        </w:rPr>
      </w:pPr>
      <w:r w:rsidRPr="000B0AD0">
        <w:rPr>
          <w:sz w:val="24"/>
          <w:szCs w:val="24"/>
          <w:lang w:eastAsia="da-DK"/>
        </w:rPr>
        <w:t xml:space="preserve">Følgende bivirkninger med mulig eller sandsynlig relation til administration af </w:t>
      </w:r>
      <w:proofErr w:type="spellStart"/>
      <w:r w:rsidRPr="000B0AD0">
        <w:rPr>
          <w:sz w:val="24"/>
          <w:szCs w:val="24"/>
          <w:lang w:eastAsia="da-DK"/>
        </w:rPr>
        <w:t>irinotecan</w:t>
      </w:r>
      <w:proofErr w:type="spellEnd"/>
      <w:r w:rsidRPr="000B0AD0">
        <w:rPr>
          <w:sz w:val="24"/>
          <w:szCs w:val="24"/>
          <w:lang w:eastAsia="da-DK"/>
        </w:rPr>
        <w:t xml:space="preserve"> er rapporteret hos 765 patienter ved den anbefalede dosis på 350 mg/m</w:t>
      </w:r>
      <w:r w:rsidRPr="000B0AD0">
        <w:rPr>
          <w:sz w:val="24"/>
          <w:szCs w:val="24"/>
          <w:vertAlign w:val="superscript"/>
          <w:lang w:eastAsia="da-DK"/>
        </w:rPr>
        <w:t>2</w:t>
      </w:r>
      <w:r w:rsidRPr="000B0AD0">
        <w:rPr>
          <w:sz w:val="24"/>
          <w:szCs w:val="24"/>
          <w:lang w:eastAsia="da-DK"/>
        </w:rPr>
        <w:t xml:space="preserve"> i monoterapi. Inden for hver frekvensgruppe er bivirkningerne opstillet efter faldende alvorlighed. Hyppighed er defineret som meget almindelig (≥ 1/10), almindelig (≥ 1/100 til &lt; 1/10), ikke almindelig (≥ 1/1.000 til &lt; 1/100), sjælden (≥ 1/10.000 til &lt; 1/1.000), meget sjælden (&lt; 1/10.000) og ikke kendt (kan ikke estimeres ud fra forhåndenværende data).</w:t>
      </w:r>
    </w:p>
    <w:p w:rsidR="00873CD3" w:rsidRDefault="00873CD3" w:rsidP="00873CD3">
      <w:pPr>
        <w:ind w:left="851"/>
        <w:rPr>
          <w:sz w:val="22"/>
          <w:szCs w:val="22"/>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2338"/>
        <w:gridCol w:w="4309"/>
      </w:tblGrid>
      <w:tr w:rsidR="00873CD3" w:rsidTr="00873CD3">
        <w:tc>
          <w:tcPr>
            <w:tcW w:w="5000" w:type="pct"/>
            <w:gridSpan w:val="3"/>
            <w:tcBorders>
              <w:top w:val="single" w:sz="4" w:space="0" w:color="auto"/>
              <w:left w:val="single" w:sz="4" w:space="0" w:color="auto"/>
              <w:bottom w:val="single" w:sz="4" w:space="0" w:color="auto"/>
              <w:right w:val="single" w:sz="4" w:space="0" w:color="auto"/>
            </w:tcBorders>
            <w:hideMark/>
          </w:tcPr>
          <w:p w:rsidR="00873CD3" w:rsidRDefault="00873CD3" w:rsidP="00873CD3">
            <w:pPr>
              <w:keepNext/>
              <w:ind w:left="28"/>
              <w:rPr>
                <w:bCs/>
                <w:sz w:val="22"/>
                <w:szCs w:val="22"/>
                <w:u w:val="single"/>
                <w:lang w:eastAsia="da-DK"/>
              </w:rPr>
            </w:pPr>
            <w:r>
              <w:rPr>
                <w:bCs/>
                <w:sz w:val="22"/>
                <w:szCs w:val="22"/>
                <w:u w:val="single"/>
                <w:lang w:eastAsia="da-DK"/>
              </w:rPr>
              <w:lastRenderedPageBreak/>
              <w:t xml:space="preserve">Bivirkninger rapporteret med </w:t>
            </w:r>
            <w:proofErr w:type="spellStart"/>
            <w:r>
              <w:rPr>
                <w:bCs/>
                <w:sz w:val="22"/>
                <w:szCs w:val="22"/>
                <w:u w:val="single"/>
                <w:lang w:eastAsia="da-DK"/>
              </w:rPr>
              <w:t>irinotecan</w:t>
            </w:r>
            <w:proofErr w:type="spellEnd"/>
            <w:r>
              <w:rPr>
                <w:bCs/>
                <w:sz w:val="22"/>
                <w:szCs w:val="22"/>
                <w:u w:val="single"/>
                <w:lang w:eastAsia="da-DK"/>
              </w:rPr>
              <w:t xml:space="preserve"> ved monoterapi (350 mg/m</w:t>
            </w:r>
            <w:r>
              <w:rPr>
                <w:bCs/>
                <w:sz w:val="22"/>
                <w:szCs w:val="22"/>
                <w:u w:val="single"/>
                <w:vertAlign w:val="superscript"/>
                <w:lang w:eastAsia="da-DK"/>
              </w:rPr>
              <w:t>2</w:t>
            </w:r>
            <w:r>
              <w:rPr>
                <w:bCs/>
                <w:sz w:val="22"/>
                <w:szCs w:val="22"/>
                <w:u w:val="single"/>
                <w:lang w:eastAsia="da-DK"/>
              </w:rPr>
              <w:t xml:space="preserve"> hver 3. uge)</w:t>
            </w:r>
          </w:p>
        </w:tc>
      </w:tr>
      <w:tr w:rsidR="00873CD3" w:rsidTr="00873CD3">
        <w:tc>
          <w:tcPr>
            <w:tcW w:w="154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bCs/>
                <w:sz w:val="22"/>
                <w:szCs w:val="22"/>
                <w:u w:val="single"/>
                <w:lang w:eastAsia="da-DK"/>
              </w:rPr>
            </w:pPr>
            <w:proofErr w:type="spellStart"/>
            <w:r>
              <w:rPr>
                <w:bCs/>
                <w:sz w:val="22"/>
                <w:szCs w:val="22"/>
                <w:u w:val="single"/>
                <w:lang w:eastAsia="da-DK"/>
              </w:rPr>
              <w:t>MedDRA</w:t>
            </w:r>
            <w:proofErr w:type="spellEnd"/>
            <w:r>
              <w:rPr>
                <w:bCs/>
                <w:sz w:val="22"/>
                <w:szCs w:val="22"/>
                <w:u w:val="single"/>
                <w:lang w:eastAsia="da-DK"/>
              </w:rPr>
              <w:t xml:space="preserve"> systemorganklasse </w:t>
            </w: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bCs/>
                <w:sz w:val="22"/>
                <w:szCs w:val="22"/>
                <w:u w:val="single"/>
                <w:lang w:eastAsia="da-DK"/>
              </w:rPr>
            </w:pPr>
            <w:r>
              <w:rPr>
                <w:bCs/>
                <w:sz w:val="22"/>
                <w:szCs w:val="22"/>
                <w:u w:val="single"/>
                <w:lang w:eastAsia="da-DK"/>
              </w:rPr>
              <w:t xml:space="preserve">Frekvens </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bCs/>
                <w:sz w:val="22"/>
                <w:szCs w:val="22"/>
                <w:u w:val="single"/>
                <w:lang w:eastAsia="da-DK"/>
              </w:rPr>
            </w:pPr>
            <w:r>
              <w:rPr>
                <w:bCs/>
                <w:sz w:val="22"/>
                <w:szCs w:val="22"/>
                <w:u w:val="single"/>
                <w:lang w:eastAsia="da-DK"/>
              </w:rPr>
              <w:t>Bivirkninger</w:t>
            </w:r>
          </w:p>
        </w:tc>
      </w:tr>
      <w:tr w:rsidR="00873CD3" w:rsidTr="00873CD3">
        <w:tc>
          <w:tcPr>
            <w:tcW w:w="154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Infektioner og parasitære sygdomme</w:t>
            </w: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Almindelig</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Infektion</w:t>
            </w:r>
          </w:p>
        </w:tc>
      </w:tr>
      <w:tr w:rsidR="00873CD3" w:rsidTr="00873CD3">
        <w:tc>
          <w:tcPr>
            <w:tcW w:w="1548" w:type="pct"/>
            <w:vMerge w:val="restar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Blod- og lymfesystem</w:t>
            </w: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proofErr w:type="spellStart"/>
            <w:r>
              <w:rPr>
                <w:sz w:val="22"/>
                <w:szCs w:val="22"/>
                <w:lang w:eastAsia="da-DK"/>
              </w:rPr>
              <w:t>Neutropeni</w:t>
            </w:r>
            <w:proofErr w:type="spellEnd"/>
            <w:r>
              <w:rPr>
                <w:sz w:val="22"/>
                <w:szCs w:val="22"/>
                <w:lang w:eastAsia="da-DK"/>
              </w:rPr>
              <w:t>, anæmi</w:t>
            </w:r>
          </w:p>
        </w:tc>
      </w:tr>
      <w:tr w:rsidR="00873CD3"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Default="00873CD3" w:rsidP="00873CD3">
            <w:pPr>
              <w:rPr>
                <w:i/>
                <w:iCs/>
                <w:sz w:val="22"/>
                <w:szCs w:val="22"/>
                <w:lang w:eastAsia="da-DK"/>
              </w:rPr>
            </w:pP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Almindelig</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autoSpaceDE w:val="0"/>
              <w:autoSpaceDN w:val="0"/>
              <w:adjustRightInd w:val="0"/>
              <w:ind w:left="29"/>
              <w:rPr>
                <w:sz w:val="22"/>
                <w:szCs w:val="22"/>
                <w:lang w:eastAsia="da-DK"/>
              </w:rPr>
            </w:pPr>
            <w:proofErr w:type="spellStart"/>
            <w:r>
              <w:rPr>
                <w:sz w:val="22"/>
                <w:szCs w:val="22"/>
                <w:lang w:eastAsia="da-DK"/>
              </w:rPr>
              <w:t>Trombocytopeni</w:t>
            </w:r>
            <w:proofErr w:type="spellEnd"/>
            <w:r>
              <w:rPr>
                <w:sz w:val="22"/>
                <w:szCs w:val="22"/>
                <w:lang w:eastAsia="da-DK"/>
              </w:rPr>
              <w:t xml:space="preserve">, febril </w:t>
            </w:r>
            <w:proofErr w:type="spellStart"/>
            <w:r>
              <w:rPr>
                <w:sz w:val="22"/>
                <w:szCs w:val="22"/>
                <w:lang w:eastAsia="da-DK"/>
              </w:rPr>
              <w:t>neutropeni</w:t>
            </w:r>
            <w:proofErr w:type="spellEnd"/>
          </w:p>
        </w:tc>
      </w:tr>
      <w:tr w:rsidR="00873CD3" w:rsidTr="00873CD3">
        <w:tc>
          <w:tcPr>
            <w:tcW w:w="154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Metabolisme og ernæring</w:t>
            </w: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Nedsat appetit</w:t>
            </w:r>
          </w:p>
        </w:tc>
      </w:tr>
      <w:tr w:rsidR="00873CD3" w:rsidTr="00873CD3">
        <w:tc>
          <w:tcPr>
            <w:tcW w:w="154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Nervesystemet</w:t>
            </w: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proofErr w:type="spellStart"/>
            <w:r>
              <w:rPr>
                <w:sz w:val="22"/>
                <w:szCs w:val="22"/>
                <w:lang w:eastAsia="da-DK"/>
              </w:rPr>
              <w:t>Kolinergt</w:t>
            </w:r>
            <w:proofErr w:type="spellEnd"/>
            <w:r>
              <w:rPr>
                <w:sz w:val="22"/>
                <w:szCs w:val="22"/>
                <w:lang w:eastAsia="da-DK"/>
              </w:rPr>
              <w:t xml:space="preserve"> syndrom</w:t>
            </w:r>
          </w:p>
        </w:tc>
      </w:tr>
      <w:tr w:rsidR="00873CD3" w:rsidTr="00873CD3">
        <w:tc>
          <w:tcPr>
            <w:tcW w:w="1548" w:type="pct"/>
            <w:vMerge w:val="restar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Mave-tarm-kanalen</w:t>
            </w: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 xml:space="preserve">Diarré, opkast, kvalme, mavesmerter  </w:t>
            </w:r>
          </w:p>
        </w:tc>
      </w:tr>
      <w:tr w:rsidR="00873CD3"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Default="00873CD3" w:rsidP="00873CD3">
            <w:pPr>
              <w:rPr>
                <w:i/>
                <w:iCs/>
                <w:sz w:val="22"/>
                <w:szCs w:val="22"/>
                <w:lang w:eastAsia="da-DK"/>
              </w:rPr>
            </w:pP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Almindelig</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Forstoppelse</w:t>
            </w:r>
          </w:p>
        </w:tc>
      </w:tr>
      <w:tr w:rsidR="00873CD3" w:rsidTr="00873CD3">
        <w:tc>
          <w:tcPr>
            <w:tcW w:w="154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Hud og subkutane væv</w:t>
            </w: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proofErr w:type="spellStart"/>
            <w:r>
              <w:rPr>
                <w:sz w:val="22"/>
                <w:szCs w:val="22"/>
                <w:lang w:eastAsia="da-DK"/>
              </w:rPr>
              <w:t>Alopeci</w:t>
            </w:r>
            <w:proofErr w:type="spellEnd"/>
            <w:r>
              <w:rPr>
                <w:sz w:val="22"/>
                <w:szCs w:val="22"/>
                <w:lang w:eastAsia="da-DK"/>
              </w:rPr>
              <w:t xml:space="preserve"> (reversibel)</w:t>
            </w:r>
          </w:p>
        </w:tc>
      </w:tr>
      <w:tr w:rsidR="00873CD3" w:rsidTr="00873CD3">
        <w:tc>
          <w:tcPr>
            <w:tcW w:w="154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Almene symptomer og reaktioner på administrationsstedet</w:t>
            </w:r>
          </w:p>
        </w:tc>
        <w:tc>
          <w:tcPr>
            <w:tcW w:w="121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38"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 xml:space="preserve">Slimhindeinflammation, </w:t>
            </w:r>
            <w:proofErr w:type="spellStart"/>
            <w:r>
              <w:rPr>
                <w:sz w:val="22"/>
                <w:szCs w:val="22"/>
                <w:lang w:eastAsia="da-DK"/>
              </w:rPr>
              <w:t>pyreksi</w:t>
            </w:r>
            <w:proofErr w:type="spellEnd"/>
            <w:r>
              <w:rPr>
                <w:sz w:val="22"/>
                <w:szCs w:val="22"/>
                <w:lang w:eastAsia="da-DK"/>
              </w:rPr>
              <w:t>, asteni</w:t>
            </w:r>
          </w:p>
        </w:tc>
      </w:tr>
      <w:tr w:rsidR="00873CD3" w:rsidTr="00873CD3">
        <w:tc>
          <w:tcPr>
            <w:tcW w:w="1548" w:type="pct"/>
            <w:tcBorders>
              <w:top w:val="single" w:sz="4" w:space="0" w:color="auto"/>
              <w:left w:val="single" w:sz="4" w:space="0" w:color="auto"/>
              <w:bottom w:val="single" w:sz="4" w:space="0" w:color="auto"/>
              <w:right w:val="single" w:sz="4" w:space="0" w:color="auto"/>
            </w:tcBorders>
          </w:tcPr>
          <w:p w:rsidR="00873CD3" w:rsidRDefault="00873CD3" w:rsidP="00873CD3">
            <w:pPr>
              <w:ind w:left="29"/>
              <w:rPr>
                <w:i/>
                <w:iCs/>
                <w:sz w:val="22"/>
                <w:szCs w:val="22"/>
                <w:lang w:eastAsia="da-DK"/>
              </w:rPr>
            </w:pPr>
            <w:r>
              <w:rPr>
                <w:i/>
                <w:iCs/>
                <w:sz w:val="22"/>
                <w:szCs w:val="22"/>
                <w:lang w:eastAsia="da-DK"/>
              </w:rPr>
              <w:t>Undersøgelser</w:t>
            </w:r>
          </w:p>
        </w:tc>
        <w:tc>
          <w:tcPr>
            <w:tcW w:w="1214" w:type="pct"/>
            <w:tcBorders>
              <w:top w:val="single" w:sz="4" w:space="0" w:color="auto"/>
              <w:left w:val="single" w:sz="4" w:space="0" w:color="auto"/>
              <w:bottom w:val="single" w:sz="4" w:space="0" w:color="auto"/>
              <w:right w:val="single" w:sz="4" w:space="0" w:color="auto"/>
            </w:tcBorders>
          </w:tcPr>
          <w:p w:rsidR="00873CD3" w:rsidRDefault="00873CD3" w:rsidP="00873CD3">
            <w:pPr>
              <w:ind w:left="29"/>
              <w:rPr>
                <w:sz w:val="22"/>
                <w:szCs w:val="22"/>
                <w:lang w:eastAsia="da-DK"/>
              </w:rPr>
            </w:pPr>
            <w:r>
              <w:rPr>
                <w:sz w:val="22"/>
                <w:szCs w:val="22"/>
                <w:lang w:eastAsia="da-DK"/>
              </w:rPr>
              <w:t>Almindelig</w:t>
            </w:r>
          </w:p>
        </w:tc>
        <w:tc>
          <w:tcPr>
            <w:tcW w:w="2238" w:type="pct"/>
            <w:tcBorders>
              <w:top w:val="single" w:sz="4" w:space="0" w:color="auto"/>
              <w:left w:val="single" w:sz="4" w:space="0" w:color="auto"/>
              <w:bottom w:val="single" w:sz="4" w:space="0" w:color="auto"/>
              <w:right w:val="single" w:sz="4" w:space="0" w:color="auto"/>
            </w:tcBorders>
          </w:tcPr>
          <w:p w:rsidR="00873CD3" w:rsidRPr="008B163B" w:rsidRDefault="00873CD3" w:rsidP="00873CD3">
            <w:pPr>
              <w:ind w:left="29"/>
              <w:rPr>
                <w:sz w:val="22"/>
                <w:szCs w:val="22"/>
                <w:lang w:eastAsia="da-DK"/>
              </w:rPr>
            </w:pPr>
            <w:proofErr w:type="spellStart"/>
            <w:r w:rsidRPr="00100F25">
              <w:rPr>
                <w:spacing w:val="-3"/>
                <w:sz w:val="22"/>
                <w:szCs w:val="22"/>
              </w:rPr>
              <w:t>Blodkreatinin</w:t>
            </w:r>
            <w:proofErr w:type="spellEnd"/>
            <w:r w:rsidRPr="00100F25">
              <w:rPr>
                <w:spacing w:val="-3"/>
                <w:sz w:val="22"/>
                <w:szCs w:val="22"/>
              </w:rPr>
              <w:t xml:space="preserve"> øget</w:t>
            </w:r>
            <w:r>
              <w:rPr>
                <w:spacing w:val="-3"/>
                <w:sz w:val="22"/>
                <w:szCs w:val="22"/>
              </w:rPr>
              <w:t xml:space="preserve">, </w:t>
            </w:r>
            <w:proofErr w:type="spellStart"/>
            <w:r>
              <w:rPr>
                <w:spacing w:val="-3"/>
                <w:sz w:val="22"/>
                <w:szCs w:val="22"/>
              </w:rPr>
              <w:t>transaminaser</w:t>
            </w:r>
            <w:proofErr w:type="spellEnd"/>
            <w:r>
              <w:rPr>
                <w:spacing w:val="-3"/>
                <w:sz w:val="22"/>
                <w:szCs w:val="22"/>
              </w:rPr>
              <w:t xml:space="preserve"> øget (ALAT og ASAT), bilirubin i blodet øget, alkalisk fosfatase i blodet øget</w:t>
            </w:r>
          </w:p>
        </w:tc>
      </w:tr>
    </w:tbl>
    <w:p w:rsidR="002F45B1" w:rsidRPr="00147A5F" w:rsidRDefault="002F45B1" w:rsidP="002F45B1">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bCs/>
          <w:sz w:val="24"/>
          <w:szCs w:val="24"/>
          <w:u w:val="single"/>
          <w:lang w:eastAsia="da-DK"/>
        </w:rPr>
      </w:pPr>
      <w:r w:rsidRPr="00D429C9">
        <w:rPr>
          <w:sz w:val="24"/>
          <w:szCs w:val="24"/>
          <w:u w:val="single"/>
          <w:lang w:eastAsia="da-DK"/>
        </w:rPr>
        <w:t>Beskrivelse af udvalgte bivirkninger (monoterapi)</w:t>
      </w:r>
    </w:p>
    <w:p w:rsidR="00D429C9" w:rsidRPr="00D429C9" w:rsidRDefault="00D429C9" w:rsidP="00D429C9">
      <w:pPr>
        <w:autoSpaceDE w:val="0"/>
        <w:autoSpaceDN w:val="0"/>
        <w:adjustRightInd w:val="0"/>
        <w:ind w:left="851"/>
        <w:rPr>
          <w:b/>
          <w:sz w:val="24"/>
          <w:szCs w:val="24"/>
          <w:lang w:eastAsia="da-DK"/>
        </w:rPr>
      </w:pPr>
    </w:p>
    <w:p w:rsidR="00873CD3" w:rsidRPr="00D429C9" w:rsidRDefault="00873CD3" w:rsidP="00873CD3">
      <w:pPr>
        <w:autoSpaceDE w:val="0"/>
        <w:autoSpaceDN w:val="0"/>
        <w:adjustRightInd w:val="0"/>
        <w:ind w:left="851"/>
        <w:rPr>
          <w:sz w:val="24"/>
          <w:szCs w:val="24"/>
          <w:lang w:eastAsia="da-DK"/>
        </w:rPr>
      </w:pPr>
      <w:r w:rsidRPr="00D429C9">
        <w:rPr>
          <w:bCs/>
          <w:i/>
          <w:iCs/>
          <w:sz w:val="24"/>
          <w:szCs w:val="24"/>
          <w:lang w:eastAsia="da-DK"/>
        </w:rPr>
        <w:t>Alvorlig diarré</w:t>
      </w:r>
      <w:r w:rsidRPr="00D429C9">
        <w:rPr>
          <w:sz w:val="24"/>
          <w:szCs w:val="24"/>
          <w:lang w:eastAsia="da-DK"/>
        </w:rPr>
        <w:t xml:space="preserve"> blev observeret hos 20 % af patienterne, der fulgte anbefalinger for kontrol af diarréen. Af de </w:t>
      </w:r>
      <w:proofErr w:type="spellStart"/>
      <w:r w:rsidRPr="00D429C9">
        <w:rPr>
          <w:sz w:val="24"/>
          <w:szCs w:val="24"/>
          <w:lang w:eastAsia="da-DK"/>
        </w:rPr>
        <w:t>evaluerbare</w:t>
      </w:r>
      <w:proofErr w:type="spellEnd"/>
      <w:r w:rsidRPr="00D429C9">
        <w:rPr>
          <w:sz w:val="24"/>
          <w:szCs w:val="24"/>
          <w:lang w:eastAsia="da-DK"/>
        </w:rPr>
        <w:t xml:space="preserve"> cykler opst</w:t>
      </w:r>
      <w:r>
        <w:rPr>
          <w:sz w:val="24"/>
          <w:szCs w:val="24"/>
          <w:lang w:eastAsia="da-DK"/>
        </w:rPr>
        <w:t>år der</w:t>
      </w:r>
      <w:r w:rsidRPr="00D429C9">
        <w:rPr>
          <w:sz w:val="24"/>
          <w:szCs w:val="24"/>
          <w:lang w:eastAsia="da-DK"/>
        </w:rPr>
        <w:t xml:space="preserve"> alvorlig diarré hos 14 %. Mediantiden for start af den første flydende afføring var på dag 5 efter </w:t>
      </w:r>
      <w:proofErr w:type="spellStart"/>
      <w:r w:rsidRPr="00D429C9">
        <w:rPr>
          <w:sz w:val="24"/>
          <w:szCs w:val="24"/>
          <w:lang w:eastAsia="da-DK"/>
        </w:rPr>
        <w:t>irinotecan</w:t>
      </w:r>
      <w:proofErr w:type="spellEnd"/>
      <w:r w:rsidRPr="00D429C9">
        <w:rPr>
          <w:sz w:val="24"/>
          <w:szCs w:val="24"/>
          <w:lang w:eastAsia="da-DK"/>
        </w:rPr>
        <w:t>-infusionen.</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r w:rsidRPr="00D429C9">
        <w:rPr>
          <w:bCs/>
          <w:i/>
          <w:iCs/>
          <w:sz w:val="24"/>
          <w:szCs w:val="24"/>
          <w:lang w:eastAsia="da-DK"/>
        </w:rPr>
        <w:t>Kvalme og opkastning</w:t>
      </w:r>
      <w:r w:rsidRPr="00D429C9">
        <w:rPr>
          <w:sz w:val="24"/>
          <w:szCs w:val="24"/>
          <w:lang w:eastAsia="da-DK"/>
        </w:rPr>
        <w:t xml:space="preserve"> var alvorlig hos ca. 10 % af patienterne, der blev behandlet med </w:t>
      </w:r>
      <w:proofErr w:type="spellStart"/>
      <w:r w:rsidRPr="00D429C9">
        <w:rPr>
          <w:sz w:val="24"/>
          <w:szCs w:val="24"/>
          <w:lang w:eastAsia="da-DK"/>
        </w:rPr>
        <w:t>antiemetika</w:t>
      </w:r>
      <w:proofErr w:type="spellEnd"/>
      <w:r w:rsidRPr="00D429C9">
        <w:rPr>
          <w:sz w:val="24"/>
          <w:szCs w:val="24"/>
          <w:lang w:eastAsia="da-DK"/>
        </w:rPr>
        <w:t>.</w:t>
      </w:r>
    </w:p>
    <w:p w:rsidR="00D429C9" w:rsidRPr="00D429C9" w:rsidRDefault="00D429C9" w:rsidP="00D429C9">
      <w:pPr>
        <w:autoSpaceDE w:val="0"/>
        <w:autoSpaceDN w:val="0"/>
        <w:adjustRightInd w:val="0"/>
        <w:ind w:left="851"/>
        <w:rPr>
          <w:b/>
          <w:sz w:val="24"/>
          <w:szCs w:val="24"/>
          <w:lang w:eastAsia="da-DK"/>
        </w:rPr>
      </w:pPr>
    </w:p>
    <w:p w:rsidR="00873CD3" w:rsidRPr="00D429C9" w:rsidRDefault="00873CD3" w:rsidP="00873CD3">
      <w:pPr>
        <w:autoSpaceDE w:val="0"/>
        <w:autoSpaceDN w:val="0"/>
        <w:adjustRightInd w:val="0"/>
        <w:ind w:left="851"/>
        <w:rPr>
          <w:sz w:val="24"/>
          <w:szCs w:val="24"/>
          <w:lang w:eastAsia="da-DK"/>
        </w:rPr>
      </w:pPr>
      <w:r w:rsidRPr="00D429C9">
        <w:rPr>
          <w:bCs/>
          <w:i/>
          <w:iCs/>
          <w:sz w:val="24"/>
          <w:szCs w:val="24"/>
          <w:lang w:eastAsia="da-DK"/>
        </w:rPr>
        <w:t>Forstoppelse</w:t>
      </w:r>
      <w:r w:rsidRPr="00D429C9">
        <w:rPr>
          <w:sz w:val="24"/>
          <w:szCs w:val="24"/>
          <w:lang w:eastAsia="da-DK"/>
        </w:rPr>
        <w:t xml:space="preserve"> </w:t>
      </w:r>
      <w:r>
        <w:rPr>
          <w:sz w:val="24"/>
          <w:szCs w:val="24"/>
          <w:lang w:eastAsia="da-DK"/>
        </w:rPr>
        <w:t>er blevet</w:t>
      </w:r>
      <w:r w:rsidRPr="00D429C9">
        <w:rPr>
          <w:sz w:val="24"/>
          <w:szCs w:val="24"/>
          <w:lang w:eastAsia="da-DK"/>
        </w:rPr>
        <w:t xml:space="preserve"> observeret hos mindre end 10 % af patienterne.</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proofErr w:type="spellStart"/>
      <w:r w:rsidRPr="00D429C9">
        <w:rPr>
          <w:bCs/>
          <w:i/>
          <w:iCs/>
          <w:sz w:val="24"/>
          <w:szCs w:val="24"/>
          <w:lang w:eastAsia="da-DK"/>
        </w:rPr>
        <w:t>Neutropeni</w:t>
      </w:r>
      <w:proofErr w:type="spellEnd"/>
      <w:r w:rsidRPr="00D429C9">
        <w:rPr>
          <w:b/>
          <w:sz w:val="24"/>
          <w:szCs w:val="24"/>
          <w:lang w:eastAsia="da-DK"/>
        </w:rPr>
        <w:t xml:space="preserve"> </w:t>
      </w:r>
      <w:r w:rsidRPr="00D429C9">
        <w:rPr>
          <w:sz w:val="24"/>
          <w:szCs w:val="24"/>
          <w:lang w:eastAsia="da-DK"/>
        </w:rPr>
        <w:t>blev observeret hos 78,7 % af patienterne, og var alvorlig (</w:t>
      </w:r>
      <w:proofErr w:type="spellStart"/>
      <w:r w:rsidRPr="00D429C9">
        <w:rPr>
          <w:sz w:val="24"/>
          <w:szCs w:val="24"/>
          <w:lang w:eastAsia="da-DK"/>
        </w:rPr>
        <w:t>neutrofiltal</w:t>
      </w:r>
      <w:proofErr w:type="spellEnd"/>
      <w:r w:rsidRPr="00D429C9">
        <w:rPr>
          <w:sz w:val="24"/>
          <w:szCs w:val="24"/>
          <w:lang w:eastAsia="da-DK"/>
        </w:rPr>
        <w:t xml:space="preserve"> &lt; 500 celler/mm</w:t>
      </w:r>
      <w:r w:rsidRPr="00D429C9">
        <w:rPr>
          <w:sz w:val="24"/>
          <w:szCs w:val="24"/>
          <w:vertAlign w:val="superscript"/>
          <w:lang w:eastAsia="da-DK"/>
        </w:rPr>
        <w:t>3</w:t>
      </w:r>
      <w:r w:rsidRPr="00D429C9">
        <w:rPr>
          <w:sz w:val="24"/>
          <w:szCs w:val="24"/>
          <w:lang w:eastAsia="da-DK"/>
        </w:rPr>
        <w:t xml:space="preserve">) hos 22,6 % af patienterne. Af de evaluerede cykler, havde 18 % et </w:t>
      </w:r>
      <w:proofErr w:type="spellStart"/>
      <w:r w:rsidRPr="00D429C9">
        <w:rPr>
          <w:sz w:val="24"/>
          <w:szCs w:val="24"/>
          <w:lang w:eastAsia="da-DK"/>
        </w:rPr>
        <w:t>neutrofiltal</w:t>
      </w:r>
      <w:proofErr w:type="spellEnd"/>
      <w:r w:rsidRPr="00D429C9">
        <w:rPr>
          <w:sz w:val="24"/>
          <w:szCs w:val="24"/>
          <w:lang w:eastAsia="da-DK"/>
        </w:rPr>
        <w:t xml:space="preserve"> på under 1.000 celler/mm³ inklusiv 7,6 % med et </w:t>
      </w:r>
      <w:proofErr w:type="spellStart"/>
      <w:r w:rsidRPr="00D429C9">
        <w:rPr>
          <w:sz w:val="24"/>
          <w:szCs w:val="24"/>
          <w:lang w:eastAsia="da-DK"/>
        </w:rPr>
        <w:t>neutrofiltal</w:t>
      </w:r>
      <w:proofErr w:type="spellEnd"/>
      <w:r w:rsidRPr="00D429C9">
        <w:rPr>
          <w:sz w:val="24"/>
          <w:szCs w:val="24"/>
          <w:lang w:eastAsia="da-DK"/>
        </w:rPr>
        <w:t xml:space="preserve"> &lt;500 celler/mm³). Fuldstændig restitution opnåedes normalt på 22. dagen.</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r w:rsidRPr="00D429C9">
        <w:rPr>
          <w:bCs/>
          <w:i/>
          <w:iCs/>
          <w:sz w:val="24"/>
          <w:szCs w:val="24"/>
          <w:lang w:eastAsia="da-DK"/>
        </w:rPr>
        <w:t xml:space="preserve">Febril </w:t>
      </w:r>
      <w:proofErr w:type="spellStart"/>
      <w:r w:rsidRPr="00D429C9">
        <w:rPr>
          <w:bCs/>
          <w:i/>
          <w:iCs/>
          <w:sz w:val="24"/>
          <w:szCs w:val="24"/>
          <w:lang w:eastAsia="da-DK"/>
        </w:rPr>
        <w:t>neutropeni</w:t>
      </w:r>
      <w:proofErr w:type="spellEnd"/>
      <w:r w:rsidRPr="00D429C9">
        <w:rPr>
          <w:sz w:val="24"/>
          <w:szCs w:val="24"/>
          <w:lang w:eastAsia="da-DK"/>
        </w:rPr>
        <w:t xml:space="preserve"> blev rapporteret hos 6,2 % af patienterne og i 1,7 % af cyklerne.</w:t>
      </w:r>
    </w:p>
    <w:p w:rsidR="00D429C9" w:rsidRPr="00D429C9" w:rsidRDefault="00D429C9" w:rsidP="00D429C9">
      <w:pPr>
        <w:autoSpaceDE w:val="0"/>
        <w:autoSpaceDN w:val="0"/>
        <w:adjustRightInd w:val="0"/>
        <w:ind w:left="851"/>
        <w:rPr>
          <w:sz w:val="24"/>
          <w:szCs w:val="24"/>
          <w:lang w:eastAsia="da-DK"/>
        </w:rPr>
      </w:pPr>
      <w:r w:rsidRPr="00D429C9">
        <w:rPr>
          <w:sz w:val="24"/>
          <w:szCs w:val="24"/>
          <w:lang w:eastAsia="da-DK"/>
        </w:rPr>
        <w:t xml:space="preserve">Infektioner forekom hos ca. 10,3 % af patienterne (2,5 % af cyklerne) og var associeret med alvorlig </w:t>
      </w:r>
      <w:proofErr w:type="spellStart"/>
      <w:r w:rsidRPr="00D429C9">
        <w:rPr>
          <w:sz w:val="24"/>
          <w:szCs w:val="24"/>
          <w:lang w:eastAsia="da-DK"/>
        </w:rPr>
        <w:t>neutropeni</w:t>
      </w:r>
      <w:proofErr w:type="spellEnd"/>
      <w:r w:rsidRPr="00D429C9">
        <w:rPr>
          <w:sz w:val="24"/>
          <w:szCs w:val="24"/>
          <w:lang w:eastAsia="da-DK"/>
        </w:rPr>
        <w:t xml:space="preserve"> hos ca. 5,3 % af patienterne (1,1 % af cykler) og havde dødelig udgang i to tilfælde.</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r w:rsidRPr="00D429C9">
        <w:rPr>
          <w:bCs/>
          <w:i/>
          <w:iCs/>
          <w:sz w:val="24"/>
          <w:szCs w:val="24"/>
          <w:lang w:eastAsia="da-DK"/>
        </w:rPr>
        <w:t>Anæmi</w:t>
      </w:r>
      <w:r w:rsidRPr="00D429C9">
        <w:rPr>
          <w:sz w:val="24"/>
          <w:szCs w:val="24"/>
          <w:lang w:eastAsia="da-DK"/>
        </w:rPr>
        <w:t xml:space="preserve"> blev rapporteret hos ca. 58,7 % af patienterne (8 % med hæmoglobin &lt;8 g/dl og 0,9</w:t>
      </w:r>
      <w:r>
        <w:rPr>
          <w:sz w:val="24"/>
          <w:szCs w:val="24"/>
          <w:lang w:eastAsia="da-DK"/>
        </w:rPr>
        <w:t> </w:t>
      </w:r>
      <w:r w:rsidRPr="00D429C9">
        <w:rPr>
          <w:sz w:val="24"/>
          <w:szCs w:val="24"/>
          <w:lang w:eastAsia="da-DK"/>
        </w:rPr>
        <w:t>% med hæmoglobin &lt;6,5 g/dl).</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proofErr w:type="spellStart"/>
      <w:r w:rsidRPr="00D429C9">
        <w:rPr>
          <w:bCs/>
          <w:i/>
          <w:iCs/>
          <w:sz w:val="24"/>
          <w:szCs w:val="24"/>
          <w:lang w:eastAsia="da-DK"/>
        </w:rPr>
        <w:t>Trombocytopeni</w:t>
      </w:r>
      <w:proofErr w:type="spellEnd"/>
      <w:r w:rsidRPr="00D429C9">
        <w:rPr>
          <w:b/>
          <w:sz w:val="24"/>
          <w:szCs w:val="24"/>
          <w:lang w:eastAsia="da-DK"/>
        </w:rPr>
        <w:t xml:space="preserve"> </w:t>
      </w:r>
      <w:r w:rsidRPr="00D429C9">
        <w:rPr>
          <w:sz w:val="24"/>
          <w:szCs w:val="24"/>
          <w:lang w:eastAsia="da-DK"/>
        </w:rPr>
        <w:t>(&lt;100.000 celler/m</w:t>
      </w:r>
      <w:r w:rsidRPr="00D429C9">
        <w:rPr>
          <w:sz w:val="24"/>
          <w:szCs w:val="24"/>
          <w:vertAlign w:val="superscript"/>
          <w:lang w:eastAsia="da-DK"/>
        </w:rPr>
        <w:t>3)</w:t>
      </w:r>
      <w:r w:rsidRPr="00D429C9">
        <w:rPr>
          <w:sz w:val="24"/>
          <w:szCs w:val="24"/>
          <w:lang w:eastAsia="da-DK"/>
        </w:rPr>
        <w:t xml:space="preserve"> blev observeret hos 7,4 % af patienterne og 1,8 % af cyklerne med 0,9 % blodpladetal ≤50,000 celler/mm</w:t>
      </w:r>
      <w:r w:rsidRPr="00D429C9">
        <w:rPr>
          <w:sz w:val="24"/>
          <w:szCs w:val="24"/>
          <w:vertAlign w:val="superscript"/>
          <w:lang w:eastAsia="da-DK"/>
        </w:rPr>
        <w:t>3</w:t>
      </w:r>
      <w:r w:rsidRPr="00D429C9">
        <w:rPr>
          <w:sz w:val="24"/>
          <w:szCs w:val="24"/>
          <w:lang w:eastAsia="da-DK"/>
        </w:rPr>
        <w:t xml:space="preserve"> og 0,2 % af cyklerne. Næsten alle patienterne var restituerede på dag 22.</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236DCF">
      <w:pPr>
        <w:keepNext/>
        <w:autoSpaceDE w:val="0"/>
        <w:autoSpaceDN w:val="0"/>
        <w:adjustRightInd w:val="0"/>
        <w:ind w:left="851"/>
        <w:rPr>
          <w:bCs/>
          <w:i/>
          <w:iCs/>
          <w:sz w:val="24"/>
          <w:szCs w:val="24"/>
          <w:lang w:eastAsia="da-DK"/>
        </w:rPr>
      </w:pPr>
      <w:r w:rsidRPr="00D429C9">
        <w:rPr>
          <w:bCs/>
          <w:i/>
          <w:iCs/>
          <w:sz w:val="24"/>
          <w:szCs w:val="24"/>
          <w:lang w:eastAsia="da-DK"/>
        </w:rPr>
        <w:t xml:space="preserve">Akut </w:t>
      </w:r>
      <w:proofErr w:type="spellStart"/>
      <w:r w:rsidRPr="00D429C9">
        <w:rPr>
          <w:bCs/>
          <w:i/>
          <w:iCs/>
          <w:sz w:val="24"/>
          <w:szCs w:val="24"/>
          <w:lang w:eastAsia="da-DK"/>
        </w:rPr>
        <w:t>kolinergt</w:t>
      </w:r>
      <w:proofErr w:type="spellEnd"/>
      <w:r w:rsidRPr="00D429C9">
        <w:rPr>
          <w:bCs/>
          <w:i/>
          <w:iCs/>
          <w:sz w:val="24"/>
          <w:szCs w:val="24"/>
          <w:lang w:eastAsia="da-DK"/>
        </w:rPr>
        <w:t xml:space="preserve"> syndrom</w:t>
      </w:r>
    </w:p>
    <w:p w:rsidR="00D429C9" w:rsidRPr="00D429C9" w:rsidRDefault="00D429C9" w:rsidP="00D429C9">
      <w:pPr>
        <w:autoSpaceDE w:val="0"/>
        <w:autoSpaceDN w:val="0"/>
        <w:adjustRightInd w:val="0"/>
        <w:ind w:left="851"/>
        <w:rPr>
          <w:sz w:val="24"/>
          <w:szCs w:val="24"/>
          <w:lang w:eastAsia="da-DK"/>
        </w:rPr>
      </w:pPr>
      <w:r w:rsidRPr="00D429C9">
        <w:rPr>
          <w:sz w:val="24"/>
          <w:szCs w:val="24"/>
          <w:lang w:eastAsia="da-DK"/>
        </w:rPr>
        <w:t xml:space="preserve">Svært forbigående akut </w:t>
      </w:r>
      <w:proofErr w:type="spellStart"/>
      <w:r w:rsidRPr="00D429C9">
        <w:rPr>
          <w:sz w:val="24"/>
          <w:szCs w:val="24"/>
          <w:lang w:eastAsia="da-DK"/>
        </w:rPr>
        <w:t>kolinergt</w:t>
      </w:r>
      <w:proofErr w:type="spellEnd"/>
      <w:r w:rsidRPr="00D429C9">
        <w:rPr>
          <w:sz w:val="24"/>
          <w:szCs w:val="24"/>
          <w:lang w:eastAsia="da-DK"/>
        </w:rPr>
        <w:t xml:space="preserve"> syndrom blev observeret hos 9 % af patienterne behandlet i monoterapi.</w:t>
      </w:r>
    </w:p>
    <w:p w:rsidR="00873CD3" w:rsidRDefault="00873CD3" w:rsidP="00D429C9">
      <w:pPr>
        <w:autoSpaceDE w:val="0"/>
        <w:autoSpaceDN w:val="0"/>
        <w:adjustRightInd w:val="0"/>
        <w:ind w:left="851"/>
        <w:rPr>
          <w:bCs/>
          <w:i/>
          <w:iCs/>
          <w:sz w:val="24"/>
          <w:szCs w:val="24"/>
          <w:lang w:eastAsia="da-DK"/>
        </w:rPr>
      </w:pPr>
    </w:p>
    <w:p w:rsidR="00D429C9" w:rsidRPr="00D429C9" w:rsidRDefault="00D429C9" w:rsidP="00D429C9">
      <w:pPr>
        <w:autoSpaceDE w:val="0"/>
        <w:autoSpaceDN w:val="0"/>
        <w:adjustRightInd w:val="0"/>
        <w:ind w:left="851"/>
        <w:rPr>
          <w:sz w:val="24"/>
          <w:szCs w:val="24"/>
          <w:lang w:eastAsia="da-DK"/>
        </w:rPr>
      </w:pPr>
      <w:r w:rsidRPr="00D429C9">
        <w:rPr>
          <w:bCs/>
          <w:i/>
          <w:iCs/>
          <w:sz w:val="24"/>
          <w:szCs w:val="24"/>
          <w:lang w:eastAsia="da-DK"/>
        </w:rPr>
        <w:lastRenderedPageBreak/>
        <w:t>Asteni</w:t>
      </w:r>
      <w:r w:rsidRPr="00D429C9">
        <w:rPr>
          <w:b/>
          <w:sz w:val="24"/>
          <w:szCs w:val="24"/>
          <w:lang w:eastAsia="da-DK"/>
        </w:rPr>
        <w:t xml:space="preserve"> </w:t>
      </w:r>
      <w:r w:rsidRPr="00D429C9">
        <w:rPr>
          <w:sz w:val="24"/>
          <w:szCs w:val="24"/>
          <w:lang w:eastAsia="da-DK"/>
        </w:rPr>
        <w:t xml:space="preserve">var alvorlig hos mindre end 10 % af patienterne behandlet i monoterapi. Den kausale sammenhæng med </w:t>
      </w:r>
      <w:proofErr w:type="spellStart"/>
      <w:r w:rsidRPr="00D429C9">
        <w:rPr>
          <w:sz w:val="24"/>
          <w:szCs w:val="24"/>
          <w:lang w:eastAsia="da-DK"/>
        </w:rPr>
        <w:t>irinotecan</w:t>
      </w:r>
      <w:proofErr w:type="spellEnd"/>
      <w:r w:rsidRPr="00D429C9">
        <w:rPr>
          <w:sz w:val="24"/>
          <w:szCs w:val="24"/>
          <w:lang w:eastAsia="da-DK"/>
        </w:rPr>
        <w:t xml:space="preserve"> er ikke klart fastlagt. </w:t>
      </w:r>
      <w:proofErr w:type="spellStart"/>
      <w:r w:rsidRPr="00D429C9">
        <w:rPr>
          <w:sz w:val="24"/>
          <w:szCs w:val="24"/>
          <w:lang w:eastAsia="da-DK"/>
        </w:rPr>
        <w:t>Pyreksi</w:t>
      </w:r>
      <w:proofErr w:type="spellEnd"/>
      <w:r w:rsidRPr="00D429C9">
        <w:rPr>
          <w:sz w:val="24"/>
          <w:szCs w:val="24"/>
          <w:lang w:eastAsia="da-DK"/>
        </w:rPr>
        <w:t xml:space="preserve"> uden infektion og uden samtidig alvorlig </w:t>
      </w:r>
      <w:proofErr w:type="spellStart"/>
      <w:r w:rsidRPr="00D429C9">
        <w:rPr>
          <w:sz w:val="24"/>
          <w:szCs w:val="24"/>
          <w:lang w:eastAsia="da-DK"/>
        </w:rPr>
        <w:t>neutropeni</w:t>
      </w:r>
      <w:proofErr w:type="spellEnd"/>
      <w:r w:rsidRPr="00D429C9">
        <w:rPr>
          <w:sz w:val="24"/>
          <w:szCs w:val="24"/>
          <w:lang w:eastAsia="da-DK"/>
        </w:rPr>
        <w:t xml:space="preserve"> opstod hos 12 % af patienterne i monoterapi.</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F5ED3">
      <w:pPr>
        <w:keepNext/>
        <w:autoSpaceDE w:val="0"/>
        <w:autoSpaceDN w:val="0"/>
        <w:adjustRightInd w:val="0"/>
        <w:ind w:left="851"/>
        <w:rPr>
          <w:bCs/>
          <w:i/>
          <w:iCs/>
          <w:sz w:val="24"/>
          <w:szCs w:val="24"/>
          <w:lang w:eastAsia="da-DK"/>
        </w:rPr>
      </w:pPr>
      <w:r w:rsidRPr="00D429C9">
        <w:rPr>
          <w:bCs/>
          <w:i/>
          <w:iCs/>
          <w:sz w:val="24"/>
          <w:szCs w:val="24"/>
          <w:lang w:eastAsia="da-DK"/>
        </w:rPr>
        <w:t>Laboratorieundersøgelser</w:t>
      </w:r>
    </w:p>
    <w:p w:rsidR="00D429C9" w:rsidRPr="00D429C9" w:rsidRDefault="00D429C9" w:rsidP="00D429C9">
      <w:pPr>
        <w:autoSpaceDE w:val="0"/>
        <w:autoSpaceDN w:val="0"/>
        <w:adjustRightInd w:val="0"/>
        <w:ind w:left="851"/>
        <w:rPr>
          <w:sz w:val="24"/>
          <w:szCs w:val="24"/>
          <w:lang w:eastAsia="da-DK"/>
        </w:rPr>
      </w:pPr>
      <w:r w:rsidRPr="00D429C9">
        <w:rPr>
          <w:sz w:val="24"/>
          <w:szCs w:val="24"/>
          <w:lang w:eastAsia="da-DK"/>
        </w:rPr>
        <w:t xml:space="preserve">I monoterapi er forbigående, milde til moderate stigninger i serumværdier for </w:t>
      </w:r>
      <w:proofErr w:type="spellStart"/>
      <w:r w:rsidRPr="00D429C9">
        <w:rPr>
          <w:sz w:val="24"/>
          <w:szCs w:val="24"/>
          <w:lang w:eastAsia="da-DK"/>
        </w:rPr>
        <w:t>transaminase</w:t>
      </w:r>
      <w:proofErr w:type="spellEnd"/>
      <w:r w:rsidRPr="00D429C9">
        <w:rPr>
          <w:sz w:val="24"/>
          <w:szCs w:val="24"/>
          <w:lang w:eastAsia="da-DK"/>
        </w:rPr>
        <w:t>, alkalisk fosfatase eller bilirubin observeret hos henholdsvis 9,2 %, 8,1 % og 1,8 % af patienterne uden fremskredne levermetastaser.</w:t>
      </w:r>
    </w:p>
    <w:p w:rsidR="00D429C9" w:rsidRPr="00D429C9" w:rsidRDefault="00D429C9" w:rsidP="00D429C9">
      <w:pPr>
        <w:autoSpaceDE w:val="0"/>
        <w:autoSpaceDN w:val="0"/>
        <w:adjustRightInd w:val="0"/>
        <w:ind w:left="851"/>
        <w:rPr>
          <w:sz w:val="24"/>
          <w:szCs w:val="24"/>
          <w:lang w:eastAsia="da-DK"/>
        </w:rPr>
      </w:pPr>
      <w:r w:rsidRPr="00D429C9">
        <w:rPr>
          <w:sz w:val="24"/>
          <w:szCs w:val="24"/>
          <w:lang w:eastAsia="da-DK"/>
        </w:rPr>
        <w:t xml:space="preserve">Forbigående og milde til moderate stigninger i serumværdier for </w:t>
      </w:r>
      <w:proofErr w:type="spellStart"/>
      <w:r w:rsidRPr="00D429C9">
        <w:rPr>
          <w:sz w:val="24"/>
          <w:szCs w:val="24"/>
          <w:lang w:eastAsia="da-DK"/>
        </w:rPr>
        <w:t>kreatinin</w:t>
      </w:r>
      <w:proofErr w:type="spellEnd"/>
      <w:r w:rsidRPr="00D429C9">
        <w:rPr>
          <w:sz w:val="24"/>
          <w:szCs w:val="24"/>
          <w:lang w:eastAsia="da-DK"/>
        </w:rPr>
        <w:t xml:space="preserve"> er rapporteret hos 7,3 % af patienterne.</w:t>
      </w:r>
    </w:p>
    <w:p w:rsidR="00D429C9" w:rsidRPr="00D429C9" w:rsidRDefault="00D429C9" w:rsidP="00D429C9">
      <w:pPr>
        <w:ind w:left="851"/>
        <w:rPr>
          <w:sz w:val="24"/>
          <w:szCs w:val="24"/>
          <w:lang w:eastAsia="da-DK"/>
        </w:rPr>
      </w:pPr>
    </w:p>
    <w:p w:rsidR="00D429C9" w:rsidRPr="00D429C9" w:rsidRDefault="00D429C9" w:rsidP="00D429C9">
      <w:pPr>
        <w:ind w:left="851"/>
        <w:rPr>
          <w:bCs/>
          <w:i/>
          <w:iCs/>
          <w:sz w:val="24"/>
          <w:szCs w:val="24"/>
          <w:lang w:eastAsia="da-DK"/>
        </w:rPr>
      </w:pPr>
      <w:r w:rsidRPr="00D429C9">
        <w:rPr>
          <w:bCs/>
          <w:i/>
          <w:iCs/>
          <w:sz w:val="24"/>
          <w:szCs w:val="24"/>
          <w:lang w:eastAsia="da-DK"/>
        </w:rPr>
        <w:t xml:space="preserve">Kombinationsterapi </w:t>
      </w:r>
    </w:p>
    <w:p w:rsidR="00D429C9" w:rsidRPr="00D429C9" w:rsidRDefault="00D429C9" w:rsidP="00D429C9">
      <w:pPr>
        <w:ind w:left="851"/>
        <w:rPr>
          <w:sz w:val="24"/>
          <w:szCs w:val="24"/>
          <w:lang w:eastAsia="da-DK"/>
        </w:rPr>
      </w:pPr>
      <w:r w:rsidRPr="00D429C9">
        <w:rPr>
          <w:sz w:val="24"/>
          <w:szCs w:val="24"/>
          <w:lang w:eastAsia="da-DK"/>
        </w:rPr>
        <w:t xml:space="preserve">Bivirkninger beskrevet i dette afsnit gælder kun for </w:t>
      </w:r>
      <w:proofErr w:type="spellStart"/>
      <w:r w:rsidRPr="00D429C9">
        <w:rPr>
          <w:sz w:val="24"/>
          <w:szCs w:val="24"/>
          <w:lang w:eastAsia="da-DK"/>
        </w:rPr>
        <w:t>irinotecan</w:t>
      </w:r>
      <w:proofErr w:type="spellEnd"/>
      <w:r w:rsidRPr="00D429C9">
        <w:rPr>
          <w:sz w:val="24"/>
          <w:szCs w:val="24"/>
          <w:lang w:eastAsia="da-DK"/>
        </w:rPr>
        <w:t xml:space="preserve">. Der foreligger ikke bevis for, at sikkerhedsprofilen for </w:t>
      </w:r>
      <w:proofErr w:type="spellStart"/>
      <w:r w:rsidRPr="00D429C9">
        <w:rPr>
          <w:sz w:val="24"/>
          <w:szCs w:val="24"/>
          <w:lang w:eastAsia="da-DK"/>
        </w:rPr>
        <w:t>irinotecan</w:t>
      </w:r>
      <w:proofErr w:type="spellEnd"/>
      <w:r w:rsidRPr="00D429C9">
        <w:rPr>
          <w:sz w:val="24"/>
          <w:szCs w:val="24"/>
          <w:lang w:eastAsia="da-DK"/>
        </w:rPr>
        <w:t xml:space="preserve"> påvirkes af </w:t>
      </w:r>
      <w:proofErr w:type="spellStart"/>
      <w:r w:rsidRPr="00D429C9">
        <w:rPr>
          <w:sz w:val="24"/>
          <w:szCs w:val="24"/>
          <w:lang w:eastAsia="da-DK"/>
        </w:rPr>
        <w:t>cetuximab</w:t>
      </w:r>
      <w:proofErr w:type="spellEnd"/>
      <w:r w:rsidRPr="00D429C9">
        <w:rPr>
          <w:sz w:val="24"/>
          <w:szCs w:val="24"/>
          <w:lang w:eastAsia="da-DK"/>
        </w:rPr>
        <w:t xml:space="preserve"> eller </w:t>
      </w:r>
      <w:r w:rsidRPr="00D429C9">
        <w:rPr>
          <w:i/>
          <w:sz w:val="24"/>
          <w:szCs w:val="24"/>
          <w:lang w:eastAsia="da-DK"/>
        </w:rPr>
        <w:t>vice versa</w:t>
      </w:r>
      <w:r w:rsidRPr="00D429C9">
        <w:rPr>
          <w:sz w:val="24"/>
          <w:szCs w:val="24"/>
          <w:lang w:eastAsia="da-DK"/>
        </w:rPr>
        <w:t xml:space="preserve">. I kombination med </w:t>
      </w:r>
      <w:proofErr w:type="spellStart"/>
      <w:r w:rsidRPr="00D429C9">
        <w:rPr>
          <w:sz w:val="24"/>
          <w:szCs w:val="24"/>
          <w:lang w:eastAsia="da-DK"/>
        </w:rPr>
        <w:t>cetuximab</w:t>
      </w:r>
      <w:proofErr w:type="spellEnd"/>
      <w:r w:rsidRPr="00D429C9">
        <w:rPr>
          <w:sz w:val="24"/>
          <w:szCs w:val="24"/>
          <w:lang w:eastAsia="da-DK"/>
        </w:rPr>
        <w:t xml:space="preserve"> svarede de yderligere rapporterede bivirkninger til dem, der kunne forventes ved behandling med </w:t>
      </w:r>
      <w:proofErr w:type="spellStart"/>
      <w:r w:rsidRPr="00D429C9">
        <w:rPr>
          <w:sz w:val="24"/>
          <w:szCs w:val="24"/>
          <w:lang w:eastAsia="da-DK"/>
        </w:rPr>
        <w:t>cetuximab</w:t>
      </w:r>
      <w:proofErr w:type="spellEnd"/>
      <w:r w:rsidRPr="00D429C9">
        <w:rPr>
          <w:sz w:val="24"/>
          <w:szCs w:val="24"/>
          <w:lang w:eastAsia="da-DK"/>
        </w:rPr>
        <w:t xml:space="preserve"> (f.eks. </w:t>
      </w:r>
      <w:proofErr w:type="spellStart"/>
      <w:r w:rsidRPr="00D429C9">
        <w:rPr>
          <w:color w:val="000000"/>
          <w:sz w:val="24"/>
          <w:szCs w:val="24"/>
        </w:rPr>
        <w:t>acneiform</w:t>
      </w:r>
      <w:proofErr w:type="spellEnd"/>
      <w:r w:rsidRPr="00D429C9">
        <w:rPr>
          <w:color w:val="000000"/>
          <w:sz w:val="24"/>
          <w:szCs w:val="24"/>
        </w:rPr>
        <w:t xml:space="preserve"> </w:t>
      </w:r>
      <w:proofErr w:type="spellStart"/>
      <w:r w:rsidRPr="00D429C9">
        <w:rPr>
          <w:color w:val="000000"/>
          <w:sz w:val="24"/>
          <w:szCs w:val="24"/>
        </w:rPr>
        <w:t>dermatitis</w:t>
      </w:r>
      <w:proofErr w:type="spellEnd"/>
      <w:r w:rsidRPr="00D429C9">
        <w:rPr>
          <w:sz w:val="24"/>
          <w:szCs w:val="24"/>
          <w:lang w:eastAsia="da-DK"/>
        </w:rPr>
        <w:t xml:space="preserve"> 88 %). Med hensyn til bivirkninger for </w:t>
      </w:r>
      <w:proofErr w:type="spellStart"/>
      <w:r w:rsidRPr="00D429C9">
        <w:rPr>
          <w:sz w:val="24"/>
          <w:szCs w:val="24"/>
          <w:lang w:eastAsia="da-DK"/>
        </w:rPr>
        <w:t>irinotecan</w:t>
      </w:r>
      <w:proofErr w:type="spellEnd"/>
      <w:r w:rsidRPr="00D429C9">
        <w:rPr>
          <w:sz w:val="24"/>
          <w:szCs w:val="24"/>
          <w:lang w:eastAsia="da-DK"/>
        </w:rPr>
        <w:t xml:space="preserve"> i kombination med </w:t>
      </w:r>
      <w:proofErr w:type="spellStart"/>
      <w:r w:rsidRPr="00D429C9">
        <w:rPr>
          <w:sz w:val="24"/>
          <w:szCs w:val="24"/>
          <w:lang w:eastAsia="da-DK"/>
        </w:rPr>
        <w:t>cetuximab</w:t>
      </w:r>
      <w:proofErr w:type="spellEnd"/>
      <w:r w:rsidRPr="00D429C9">
        <w:rPr>
          <w:sz w:val="24"/>
          <w:szCs w:val="24"/>
          <w:lang w:eastAsia="da-DK"/>
        </w:rPr>
        <w:t>, henvises også til deres respektive produktresumé</w:t>
      </w:r>
      <w:r w:rsidR="00873CD3">
        <w:rPr>
          <w:sz w:val="24"/>
          <w:szCs w:val="24"/>
          <w:lang w:eastAsia="da-DK"/>
        </w:rPr>
        <w:t>.</w:t>
      </w:r>
      <w:r w:rsidRPr="00D429C9">
        <w:rPr>
          <w:sz w:val="24"/>
          <w:szCs w:val="24"/>
          <w:lang w:eastAsia="da-DK"/>
        </w:rPr>
        <w:t xml:space="preserve"> </w:t>
      </w:r>
    </w:p>
    <w:p w:rsidR="00D429C9" w:rsidRPr="00D429C9" w:rsidRDefault="00D429C9" w:rsidP="00D429C9">
      <w:pPr>
        <w:ind w:left="851"/>
        <w:rPr>
          <w:sz w:val="24"/>
          <w:szCs w:val="24"/>
          <w:lang w:eastAsia="da-DK"/>
        </w:rPr>
      </w:pPr>
    </w:p>
    <w:p w:rsidR="00873CD3" w:rsidRPr="00D429C9" w:rsidRDefault="00873CD3" w:rsidP="00873CD3">
      <w:pPr>
        <w:ind w:left="851"/>
        <w:rPr>
          <w:sz w:val="24"/>
          <w:szCs w:val="24"/>
          <w:lang w:eastAsia="da-DK"/>
        </w:rPr>
      </w:pPr>
      <w:r w:rsidRPr="00D429C9">
        <w:rPr>
          <w:sz w:val="24"/>
          <w:szCs w:val="24"/>
          <w:lang w:eastAsia="da-DK"/>
        </w:rPr>
        <w:t xml:space="preserve">Bivirkninger rapporteret hos patienter i behandling med </w:t>
      </w:r>
      <w:proofErr w:type="spellStart"/>
      <w:r w:rsidRPr="00D429C9">
        <w:rPr>
          <w:sz w:val="24"/>
          <w:szCs w:val="24"/>
          <w:lang w:eastAsia="da-DK"/>
        </w:rPr>
        <w:t>capecitabin</w:t>
      </w:r>
      <w:proofErr w:type="spellEnd"/>
      <w:r w:rsidRPr="00D429C9">
        <w:rPr>
          <w:sz w:val="24"/>
          <w:szCs w:val="24"/>
          <w:lang w:eastAsia="da-DK"/>
        </w:rPr>
        <w:t xml:space="preserve"> i kombination med </w:t>
      </w:r>
      <w:proofErr w:type="spellStart"/>
      <w:r w:rsidRPr="00D429C9">
        <w:rPr>
          <w:sz w:val="24"/>
          <w:szCs w:val="24"/>
          <w:lang w:eastAsia="da-DK"/>
        </w:rPr>
        <w:t>irinotecan</w:t>
      </w:r>
      <w:proofErr w:type="spellEnd"/>
      <w:r w:rsidRPr="00D429C9">
        <w:rPr>
          <w:sz w:val="24"/>
          <w:szCs w:val="24"/>
          <w:lang w:eastAsia="da-DK"/>
        </w:rPr>
        <w:t xml:space="preserve"> omfatter ud over dem, der ses ved </w:t>
      </w:r>
      <w:proofErr w:type="spellStart"/>
      <w:r w:rsidRPr="00D429C9">
        <w:rPr>
          <w:sz w:val="24"/>
          <w:szCs w:val="24"/>
          <w:lang w:eastAsia="da-DK"/>
        </w:rPr>
        <w:t>capecitabin</w:t>
      </w:r>
      <w:proofErr w:type="spellEnd"/>
      <w:r w:rsidRPr="00D429C9">
        <w:rPr>
          <w:sz w:val="24"/>
          <w:szCs w:val="24"/>
          <w:lang w:eastAsia="da-DK"/>
        </w:rPr>
        <w:t xml:space="preserve"> monoterapi eller som ses hyppigere sammenlignet med </w:t>
      </w:r>
      <w:proofErr w:type="spellStart"/>
      <w:r w:rsidRPr="00D429C9">
        <w:rPr>
          <w:sz w:val="24"/>
          <w:szCs w:val="24"/>
          <w:lang w:eastAsia="da-DK"/>
        </w:rPr>
        <w:t>capecitabin</w:t>
      </w:r>
      <w:proofErr w:type="spellEnd"/>
      <w:r w:rsidRPr="00D429C9">
        <w:rPr>
          <w:sz w:val="24"/>
          <w:szCs w:val="24"/>
          <w:lang w:eastAsia="da-DK"/>
        </w:rPr>
        <w:t xml:space="preserve"> monoterapi omfatter: </w:t>
      </w:r>
      <w:r w:rsidRPr="00D429C9">
        <w:rPr>
          <w:i/>
          <w:sz w:val="24"/>
          <w:szCs w:val="24"/>
          <w:lang w:eastAsia="da-DK"/>
        </w:rPr>
        <w:t>Meget almindelig, alle grader bivirkninger:</w:t>
      </w:r>
      <w:r w:rsidRPr="00D429C9">
        <w:rPr>
          <w:sz w:val="24"/>
          <w:szCs w:val="24"/>
          <w:lang w:eastAsia="da-DK"/>
        </w:rPr>
        <w:t xml:space="preserve"> Trombose/</w:t>
      </w:r>
      <w:proofErr w:type="spellStart"/>
      <w:r w:rsidRPr="00D429C9">
        <w:rPr>
          <w:sz w:val="24"/>
          <w:szCs w:val="24"/>
          <w:lang w:eastAsia="da-DK"/>
        </w:rPr>
        <w:t>embolisme</w:t>
      </w:r>
      <w:proofErr w:type="spellEnd"/>
      <w:r w:rsidRPr="00D429C9">
        <w:rPr>
          <w:sz w:val="24"/>
          <w:szCs w:val="24"/>
          <w:lang w:eastAsia="da-DK"/>
        </w:rPr>
        <w:t xml:space="preserve">. </w:t>
      </w:r>
      <w:r w:rsidRPr="00D429C9">
        <w:rPr>
          <w:i/>
          <w:sz w:val="24"/>
          <w:szCs w:val="24"/>
          <w:lang w:eastAsia="da-DK"/>
        </w:rPr>
        <w:t>Almindelig, alle grader bivirkninger:</w:t>
      </w:r>
      <w:r w:rsidRPr="00D429C9">
        <w:rPr>
          <w:sz w:val="24"/>
          <w:szCs w:val="24"/>
          <w:lang w:eastAsia="da-DK"/>
        </w:rPr>
        <w:t xml:space="preserve"> Overfølsomhedsreaktioner, </w:t>
      </w:r>
      <w:proofErr w:type="spellStart"/>
      <w:r w:rsidRPr="00D429C9">
        <w:rPr>
          <w:color w:val="000000"/>
          <w:sz w:val="24"/>
          <w:szCs w:val="24"/>
        </w:rPr>
        <w:t>myokardieiskæmi</w:t>
      </w:r>
      <w:proofErr w:type="spellEnd"/>
      <w:r w:rsidRPr="00D429C9">
        <w:rPr>
          <w:sz w:val="24"/>
          <w:szCs w:val="24"/>
          <w:lang w:eastAsia="da-DK"/>
        </w:rPr>
        <w:t xml:space="preserve">/infarkt. </w:t>
      </w:r>
      <w:r w:rsidRPr="00D429C9">
        <w:rPr>
          <w:i/>
          <w:sz w:val="24"/>
          <w:szCs w:val="24"/>
          <w:lang w:eastAsia="da-DK"/>
        </w:rPr>
        <w:t xml:space="preserve">Almindelig, </w:t>
      </w:r>
      <w:r>
        <w:rPr>
          <w:i/>
          <w:sz w:val="24"/>
          <w:szCs w:val="24"/>
          <w:lang w:eastAsia="da-DK"/>
        </w:rPr>
        <w:t>Grad</w:t>
      </w:r>
      <w:r w:rsidRPr="00D429C9">
        <w:rPr>
          <w:i/>
          <w:sz w:val="24"/>
          <w:szCs w:val="24"/>
          <w:lang w:eastAsia="da-DK"/>
        </w:rPr>
        <w:t xml:space="preserve"> 3-4 bivirkninger:</w:t>
      </w:r>
      <w:r w:rsidRPr="00D429C9">
        <w:rPr>
          <w:sz w:val="24"/>
          <w:szCs w:val="24"/>
          <w:lang w:eastAsia="da-DK"/>
        </w:rPr>
        <w:t xml:space="preserve"> Febril </w:t>
      </w:r>
      <w:proofErr w:type="spellStart"/>
      <w:r w:rsidRPr="00D429C9">
        <w:rPr>
          <w:sz w:val="24"/>
          <w:szCs w:val="24"/>
          <w:lang w:eastAsia="da-DK"/>
        </w:rPr>
        <w:t>neutropeni</w:t>
      </w:r>
      <w:proofErr w:type="spellEnd"/>
      <w:r w:rsidRPr="00D429C9">
        <w:rPr>
          <w:sz w:val="24"/>
          <w:szCs w:val="24"/>
          <w:lang w:eastAsia="da-DK"/>
        </w:rPr>
        <w:t xml:space="preserve">. For fyldestgørende information om bivirkninger for </w:t>
      </w:r>
      <w:proofErr w:type="spellStart"/>
      <w:r w:rsidRPr="00D429C9">
        <w:rPr>
          <w:sz w:val="24"/>
          <w:szCs w:val="24"/>
          <w:lang w:eastAsia="da-DK"/>
        </w:rPr>
        <w:t>capecitabin</w:t>
      </w:r>
      <w:proofErr w:type="spellEnd"/>
      <w:r w:rsidRPr="00D429C9">
        <w:rPr>
          <w:sz w:val="24"/>
          <w:szCs w:val="24"/>
          <w:lang w:eastAsia="da-DK"/>
        </w:rPr>
        <w:t xml:space="preserve"> henvises til produktresuméet for </w:t>
      </w:r>
      <w:proofErr w:type="spellStart"/>
      <w:r w:rsidRPr="00D429C9">
        <w:rPr>
          <w:sz w:val="24"/>
          <w:szCs w:val="24"/>
          <w:lang w:eastAsia="da-DK"/>
        </w:rPr>
        <w:t>capecitabin</w:t>
      </w:r>
      <w:proofErr w:type="spellEnd"/>
      <w:r w:rsidRPr="00D429C9">
        <w:rPr>
          <w:sz w:val="24"/>
          <w:szCs w:val="24"/>
          <w:lang w:eastAsia="da-DK"/>
        </w:rPr>
        <w:t>.</w:t>
      </w:r>
    </w:p>
    <w:p w:rsidR="00D429C9" w:rsidRPr="00D429C9" w:rsidRDefault="00D429C9" w:rsidP="00D429C9">
      <w:pPr>
        <w:ind w:left="851"/>
        <w:rPr>
          <w:sz w:val="24"/>
          <w:szCs w:val="24"/>
          <w:lang w:eastAsia="da-DK"/>
        </w:rPr>
      </w:pPr>
    </w:p>
    <w:p w:rsidR="00873CD3" w:rsidRPr="00D429C9" w:rsidRDefault="00873CD3" w:rsidP="00873CD3">
      <w:pPr>
        <w:ind w:left="851"/>
        <w:rPr>
          <w:sz w:val="24"/>
          <w:szCs w:val="24"/>
          <w:lang w:eastAsia="da-DK"/>
        </w:rPr>
      </w:pPr>
      <w:r w:rsidRPr="00D429C9">
        <w:rPr>
          <w:sz w:val="24"/>
          <w:szCs w:val="24"/>
          <w:lang w:eastAsia="da-DK"/>
        </w:rPr>
        <w:t xml:space="preserve">Grad 3-4 bivirkninger rapporteret hos patienter i behandling med </w:t>
      </w:r>
      <w:proofErr w:type="spellStart"/>
      <w:r w:rsidRPr="00D429C9">
        <w:rPr>
          <w:sz w:val="24"/>
          <w:szCs w:val="24"/>
          <w:lang w:eastAsia="da-DK"/>
        </w:rPr>
        <w:t>capecitabin</w:t>
      </w:r>
      <w:proofErr w:type="spellEnd"/>
      <w:r w:rsidRPr="00D429C9">
        <w:rPr>
          <w:sz w:val="24"/>
          <w:szCs w:val="24"/>
          <w:lang w:eastAsia="da-DK"/>
        </w:rPr>
        <w:t xml:space="preserve"> i kombination med </w:t>
      </w:r>
      <w:proofErr w:type="spellStart"/>
      <w:r w:rsidRPr="00D429C9">
        <w:rPr>
          <w:sz w:val="24"/>
          <w:szCs w:val="24"/>
          <w:lang w:eastAsia="da-DK"/>
        </w:rPr>
        <w:t>irinotecan</w:t>
      </w:r>
      <w:proofErr w:type="spellEnd"/>
      <w:r w:rsidRPr="00D429C9">
        <w:rPr>
          <w:sz w:val="24"/>
          <w:szCs w:val="24"/>
          <w:lang w:eastAsia="da-DK"/>
        </w:rPr>
        <w:t xml:space="preserve"> og </w:t>
      </w:r>
      <w:proofErr w:type="spellStart"/>
      <w:r w:rsidRPr="00D429C9">
        <w:rPr>
          <w:sz w:val="24"/>
          <w:szCs w:val="24"/>
          <w:lang w:eastAsia="da-DK"/>
        </w:rPr>
        <w:t>bevacizumab</w:t>
      </w:r>
      <w:proofErr w:type="spellEnd"/>
      <w:r w:rsidRPr="00D429C9">
        <w:rPr>
          <w:sz w:val="24"/>
          <w:szCs w:val="24"/>
          <w:lang w:eastAsia="da-DK"/>
        </w:rPr>
        <w:t xml:space="preserve"> omfatter ud over dem, der ses ved </w:t>
      </w:r>
      <w:proofErr w:type="spellStart"/>
      <w:r w:rsidRPr="00D429C9">
        <w:rPr>
          <w:sz w:val="24"/>
          <w:szCs w:val="24"/>
          <w:lang w:eastAsia="da-DK"/>
        </w:rPr>
        <w:t>capecitabin</w:t>
      </w:r>
      <w:proofErr w:type="spellEnd"/>
      <w:r w:rsidRPr="00D429C9">
        <w:rPr>
          <w:sz w:val="24"/>
          <w:szCs w:val="24"/>
          <w:lang w:eastAsia="da-DK"/>
        </w:rPr>
        <w:t xml:space="preserve"> monoterapi eller som ses hyppigere sammenlignet med </w:t>
      </w:r>
      <w:proofErr w:type="spellStart"/>
      <w:r w:rsidRPr="00D429C9">
        <w:rPr>
          <w:sz w:val="24"/>
          <w:szCs w:val="24"/>
          <w:lang w:eastAsia="da-DK"/>
        </w:rPr>
        <w:t>capecitabin</w:t>
      </w:r>
      <w:proofErr w:type="spellEnd"/>
      <w:r w:rsidRPr="00D429C9">
        <w:rPr>
          <w:sz w:val="24"/>
          <w:szCs w:val="24"/>
          <w:lang w:eastAsia="da-DK"/>
        </w:rPr>
        <w:t xml:space="preserve"> monoterapi omfatter: </w:t>
      </w:r>
      <w:r w:rsidRPr="00D429C9">
        <w:rPr>
          <w:i/>
          <w:sz w:val="24"/>
          <w:szCs w:val="24"/>
          <w:lang w:eastAsia="da-DK"/>
        </w:rPr>
        <w:t xml:space="preserve">Almindelig, </w:t>
      </w:r>
      <w:r>
        <w:rPr>
          <w:i/>
          <w:sz w:val="24"/>
          <w:szCs w:val="24"/>
          <w:lang w:eastAsia="da-DK"/>
        </w:rPr>
        <w:t>Grad</w:t>
      </w:r>
      <w:r w:rsidRPr="00D429C9">
        <w:rPr>
          <w:i/>
          <w:sz w:val="24"/>
          <w:szCs w:val="24"/>
          <w:lang w:eastAsia="da-DK"/>
        </w:rPr>
        <w:t xml:space="preserve"> 3-4 bivirkninger:</w:t>
      </w:r>
      <w:r w:rsidRPr="00D429C9">
        <w:rPr>
          <w:sz w:val="24"/>
          <w:szCs w:val="24"/>
          <w:lang w:eastAsia="da-DK"/>
        </w:rPr>
        <w:t xml:space="preserve"> </w:t>
      </w:r>
      <w:proofErr w:type="spellStart"/>
      <w:r w:rsidRPr="00D429C9">
        <w:rPr>
          <w:sz w:val="24"/>
          <w:szCs w:val="24"/>
          <w:lang w:eastAsia="da-DK"/>
        </w:rPr>
        <w:t>Neutropeni</w:t>
      </w:r>
      <w:proofErr w:type="spellEnd"/>
      <w:r w:rsidRPr="00D429C9">
        <w:rPr>
          <w:sz w:val="24"/>
          <w:szCs w:val="24"/>
          <w:lang w:eastAsia="da-DK"/>
        </w:rPr>
        <w:t>, trombose/</w:t>
      </w:r>
      <w:proofErr w:type="spellStart"/>
      <w:r w:rsidRPr="00D429C9">
        <w:rPr>
          <w:sz w:val="24"/>
          <w:szCs w:val="24"/>
          <w:lang w:eastAsia="da-DK"/>
        </w:rPr>
        <w:t>embolisme</w:t>
      </w:r>
      <w:proofErr w:type="spellEnd"/>
      <w:r w:rsidRPr="00D429C9">
        <w:rPr>
          <w:sz w:val="24"/>
          <w:szCs w:val="24"/>
          <w:lang w:eastAsia="da-DK"/>
        </w:rPr>
        <w:t xml:space="preserve">, hypertension, iskæmisk hjertesygdom/infarkt. For fyldestgørende information om bivirkninger for </w:t>
      </w:r>
      <w:proofErr w:type="spellStart"/>
      <w:r w:rsidRPr="00D429C9">
        <w:rPr>
          <w:sz w:val="24"/>
          <w:szCs w:val="24"/>
          <w:lang w:eastAsia="da-DK"/>
        </w:rPr>
        <w:t>capecitabin</w:t>
      </w:r>
      <w:proofErr w:type="spellEnd"/>
      <w:r w:rsidRPr="00D429C9">
        <w:rPr>
          <w:sz w:val="24"/>
          <w:szCs w:val="24"/>
          <w:lang w:eastAsia="da-DK"/>
        </w:rPr>
        <w:t xml:space="preserve"> og </w:t>
      </w:r>
      <w:proofErr w:type="spellStart"/>
      <w:r w:rsidRPr="00D429C9">
        <w:rPr>
          <w:sz w:val="24"/>
          <w:szCs w:val="24"/>
          <w:lang w:eastAsia="da-DK"/>
        </w:rPr>
        <w:t>bevacizumab</w:t>
      </w:r>
      <w:proofErr w:type="spellEnd"/>
      <w:r w:rsidRPr="00D429C9">
        <w:rPr>
          <w:sz w:val="24"/>
          <w:szCs w:val="24"/>
          <w:lang w:eastAsia="da-DK"/>
        </w:rPr>
        <w:t xml:space="preserve"> henvises til produktresuméet for </w:t>
      </w:r>
      <w:proofErr w:type="spellStart"/>
      <w:r w:rsidRPr="00D429C9">
        <w:rPr>
          <w:sz w:val="24"/>
          <w:szCs w:val="24"/>
          <w:lang w:eastAsia="da-DK"/>
        </w:rPr>
        <w:t>capecitabin</w:t>
      </w:r>
      <w:proofErr w:type="spellEnd"/>
      <w:r w:rsidRPr="00D429C9">
        <w:rPr>
          <w:sz w:val="24"/>
          <w:szCs w:val="24"/>
          <w:lang w:eastAsia="da-DK"/>
        </w:rPr>
        <w:t xml:space="preserve"> og </w:t>
      </w:r>
      <w:proofErr w:type="spellStart"/>
      <w:r w:rsidRPr="00D429C9">
        <w:rPr>
          <w:sz w:val="24"/>
          <w:szCs w:val="24"/>
          <w:lang w:eastAsia="da-DK"/>
        </w:rPr>
        <w:t>bevacizumab</w:t>
      </w:r>
      <w:proofErr w:type="spellEnd"/>
      <w:r w:rsidRPr="00D429C9">
        <w:rPr>
          <w:sz w:val="24"/>
          <w:szCs w:val="24"/>
          <w:lang w:eastAsia="da-DK"/>
        </w:rPr>
        <w:t>.</w:t>
      </w:r>
    </w:p>
    <w:p w:rsidR="00D429C9" w:rsidRPr="00D429C9" w:rsidRDefault="00D429C9" w:rsidP="00D429C9">
      <w:pPr>
        <w:ind w:left="851"/>
        <w:rPr>
          <w:bCs/>
          <w:sz w:val="24"/>
          <w:szCs w:val="24"/>
          <w:lang w:eastAsia="da-DK"/>
        </w:rPr>
      </w:pPr>
    </w:p>
    <w:p w:rsidR="00873CD3" w:rsidRPr="00D429C9" w:rsidRDefault="00873CD3" w:rsidP="00873CD3">
      <w:pPr>
        <w:ind w:left="851"/>
        <w:rPr>
          <w:bCs/>
          <w:sz w:val="24"/>
          <w:szCs w:val="24"/>
          <w:lang w:eastAsia="da-DK"/>
        </w:rPr>
      </w:pPr>
      <w:r w:rsidRPr="00D429C9">
        <w:rPr>
          <w:sz w:val="24"/>
          <w:szCs w:val="24"/>
          <w:lang w:eastAsia="da-DK"/>
        </w:rPr>
        <w:t xml:space="preserve">Grad 3 hypertension var den vigtigste betydelige risiko, der var involveret ved tilføjelse af </w:t>
      </w:r>
      <w:proofErr w:type="spellStart"/>
      <w:r w:rsidRPr="00D429C9">
        <w:rPr>
          <w:sz w:val="24"/>
          <w:szCs w:val="24"/>
          <w:lang w:eastAsia="da-DK"/>
        </w:rPr>
        <w:t>bevacizumab</w:t>
      </w:r>
      <w:proofErr w:type="spellEnd"/>
      <w:r w:rsidRPr="00D429C9">
        <w:rPr>
          <w:sz w:val="24"/>
          <w:szCs w:val="24"/>
          <w:lang w:eastAsia="da-DK"/>
        </w:rPr>
        <w:t xml:space="preserve"> til </w:t>
      </w:r>
      <w:proofErr w:type="spellStart"/>
      <w:r w:rsidRPr="00D429C9">
        <w:rPr>
          <w:sz w:val="24"/>
          <w:szCs w:val="24"/>
          <w:lang w:eastAsia="da-DK"/>
        </w:rPr>
        <w:t>bolus</w:t>
      </w:r>
      <w:proofErr w:type="spellEnd"/>
      <w:r w:rsidRPr="00D429C9">
        <w:rPr>
          <w:sz w:val="24"/>
          <w:szCs w:val="24"/>
          <w:lang w:eastAsia="da-DK"/>
        </w:rPr>
        <w:t xml:space="preserve"> </w:t>
      </w:r>
      <w:proofErr w:type="spellStart"/>
      <w:r w:rsidRPr="00D429C9">
        <w:rPr>
          <w:sz w:val="24"/>
          <w:szCs w:val="24"/>
          <w:lang w:eastAsia="da-DK"/>
        </w:rPr>
        <w:t>irinotecan</w:t>
      </w:r>
      <w:proofErr w:type="spellEnd"/>
      <w:r w:rsidRPr="00D429C9">
        <w:rPr>
          <w:sz w:val="24"/>
          <w:szCs w:val="24"/>
          <w:lang w:eastAsia="da-DK"/>
        </w:rPr>
        <w:t>/5-FU/FA.</w:t>
      </w:r>
    </w:p>
    <w:p w:rsidR="00873CD3" w:rsidRPr="00D429C9" w:rsidRDefault="00873CD3" w:rsidP="00873CD3">
      <w:pPr>
        <w:ind w:left="851"/>
        <w:rPr>
          <w:bCs/>
          <w:sz w:val="24"/>
          <w:szCs w:val="24"/>
          <w:lang w:eastAsia="da-DK"/>
        </w:rPr>
      </w:pPr>
      <w:r w:rsidRPr="00D429C9">
        <w:rPr>
          <w:sz w:val="24"/>
          <w:szCs w:val="24"/>
          <w:lang w:eastAsia="da-DK"/>
        </w:rPr>
        <w:t xml:space="preserve">Derudover var der en lille stigning i </w:t>
      </w:r>
      <w:r>
        <w:rPr>
          <w:sz w:val="24"/>
          <w:szCs w:val="24"/>
          <w:lang w:eastAsia="da-DK"/>
        </w:rPr>
        <w:t>Grad</w:t>
      </w:r>
      <w:r w:rsidRPr="00D429C9">
        <w:rPr>
          <w:sz w:val="24"/>
          <w:szCs w:val="24"/>
          <w:lang w:eastAsia="da-DK"/>
        </w:rPr>
        <w:t xml:space="preserve"> 3/4 kemoterapi-bivirkningerne diarré og </w:t>
      </w:r>
      <w:proofErr w:type="spellStart"/>
      <w:r w:rsidRPr="00D429C9">
        <w:rPr>
          <w:sz w:val="24"/>
          <w:szCs w:val="24"/>
          <w:lang w:eastAsia="da-DK"/>
        </w:rPr>
        <w:t>leukopeni</w:t>
      </w:r>
      <w:proofErr w:type="spellEnd"/>
      <w:r w:rsidRPr="00D429C9">
        <w:rPr>
          <w:sz w:val="24"/>
          <w:szCs w:val="24"/>
          <w:lang w:eastAsia="da-DK"/>
        </w:rPr>
        <w:t xml:space="preserve"> med dette regime sammenlignet med patienter, der fik </w:t>
      </w:r>
      <w:proofErr w:type="spellStart"/>
      <w:r w:rsidRPr="00D429C9">
        <w:rPr>
          <w:sz w:val="24"/>
          <w:szCs w:val="24"/>
          <w:lang w:eastAsia="da-DK"/>
        </w:rPr>
        <w:t>bolus</w:t>
      </w:r>
      <w:proofErr w:type="spellEnd"/>
      <w:r w:rsidRPr="00D429C9">
        <w:rPr>
          <w:sz w:val="24"/>
          <w:szCs w:val="24"/>
          <w:lang w:eastAsia="da-DK"/>
        </w:rPr>
        <w:t xml:space="preserve"> </w:t>
      </w:r>
      <w:proofErr w:type="spellStart"/>
      <w:r w:rsidRPr="00D429C9">
        <w:rPr>
          <w:sz w:val="24"/>
          <w:szCs w:val="24"/>
          <w:lang w:eastAsia="da-DK"/>
        </w:rPr>
        <w:t>irinotecan</w:t>
      </w:r>
      <w:proofErr w:type="spellEnd"/>
      <w:r w:rsidRPr="00D429C9">
        <w:rPr>
          <w:sz w:val="24"/>
          <w:szCs w:val="24"/>
          <w:lang w:eastAsia="da-DK"/>
        </w:rPr>
        <w:t xml:space="preserve">/5-FU/FA alene. For øvrig information om bivirkninger i kombination med </w:t>
      </w:r>
      <w:proofErr w:type="spellStart"/>
      <w:r w:rsidRPr="00D429C9">
        <w:rPr>
          <w:sz w:val="24"/>
          <w:szCs w:val="24"/>
          <w:lang w:eastAsia="da-DK"/>
        </w:rPr>
        <w:t>bevacizumab</w:t>
      </w:r>
      <w:proofErr w:type="spellEnd"/>
      <w:r w:rsidRPr="00D429C9">
        <w:rPr>
          <w:sz w:val="24"/>
          <w:szCs w:val="24"/>
          <w:lang w:eastAsia="da-DK"/>
        </w:rPr>
        <w:t xml:space="preserve"> henvises til produktresuméet for </w:t>
      </w:r>
      <w:proofErr w:type="spellStart"/>
      <w:r w:rsidRPr="00D429C9">
        <w:rPr>
          <w:sz w:val="24"/>
          <w:szCs w:val="24"/>
          <w:lang w:eastAsia="da-DK"/>
        </w:rPr>
        <w:t>bevacizumab</w:t>
      </w:r>
      <w:proofErr w:type="spellEnd"/>
      <w:r w:rsidRPr="00D429C9">
        <w:rPr>
          <w:sz w:val="24"/>
          <w:szCs w:val="24"/>
          <w:lang w:eastAsia="da-DK"/>
        </w:rPr>
        <w:t>.</w:t>
      </w:r>
    </w:p>
    <w:p w:rsidR="00D429C9" w:rsidRPr="00D429C9" w:rsidRDefault="00D429C9" w:rsidP="00D429C9">
      <w:pPr>
        <w:ind w:left="851"/>
        <w:rPr>
          <w:bCs/>
          <w:sz w:val="24"/>
          <w:szCs w:val="24"/>
          <w:lang w:eastAsia="da-DK"/>
        </w:rPr>
      </w:pPr>
    </w:p>
    <w:p w:rsidR="00873CD3" w:rsidRPr="00D429C9" w:rsidRDefault="00873CD3" w:rsidP="00873CD3">
      <w:pPr>
        <w:ind w:left="851"/>
        <w:rPr>
          <w:bCs/>
          <w:sz w:val="24"/>
          <w:szCs w:val="24"/>
          <w:lang w:eastAsia="da-DK"/>
        </w:rPr>
      </w:pPr>
      <w:proofErr w:type="spellStart"/>
      <w:r w:rsidRPr="00D429C9">
        <w:rPr>
          <w:sz w:val="24"/>
          <w:szCs w:val="24"/>
          <w:lang w:eastAsia="da-DK"/>
        </w:rPr>
        <w:t>Irinotecan</w:t>
      </w:r>
      <w:proofErr w:type="spellEnd"/>
      <w:r w:rsidRPr="00D429C9">
        <w:rPr>
          <w:sz w:val="24"/>
          <w:szCs w:val="24"/>
          <w:lang w:eastAsia="da-DK"/>
        </w:rPr>
        <w:t xml:space="preserve"> er blevet undersøgt i kombination med 5-FU og FA for metastatisk </w:t>
      </w:r>
      <w:proofErr w:type="spellStart"/>
      <w:r w:rsidRPr="00D429C9">
        <w:rPr>
          <w:sz w:val="24"/>
          <w:szCs w:val="24"/>
          <w:lang w:eastAsia="da-DK"/>
        </w:rPr>
        <w:t>kolorektal</w:t>
      </w:r>
      <w:proofErr w:type="spellEnd"/>
      <w:r w:rsidRPr="00D429C9">
        <w:rPr>
          <w:sz w:val="24"/>
          <w:szCs w:val="24"/>
          <w:lang w:eastAsia="da-DK"/>
        </w:rPr>
        <w:t xml:space="preserve"> cancer. Sikkerhedsdata for bivirkninger fra kliniske undersøgelser viser meget almindeligt observeret NCI </w:t>
      </w:r>
      <w:r>
        <w:rPr>
          <w:sz w:val="24"/>
          <w:szCs w:val="24"/>
          <w:lang w:eastAsia="da-DK"/>
        </w:rPr>
        <w:t>Grad</w:t>
      </w:r>
      <w:r w:rsidRPr="00D429C9">
        <w:rPr>
          <w:sz w:val="24"/>
          <w:szCs w:val="24"/>
          <w:lang w:eastAsia="da-DK"/>
        </w:rPr>
        <w:t xml:space="preserve"> 3 eller 4, mulige eller sandsynlige bivirkninger, der relaterer til blod og lymfesystem, </w:t>
      </w:r>
      <w:proofErr w:type="spellStart"/>
      <w:r w:rsidRPr="00D429C9">
        <w:rPr>
          <w:sz w:val="24"/>
          <w:szCs w:val="24"/>
          <w:lang w:eastAsia="da-DK"/>
        </w:rPr>
        <w:t>gastrointestinale</w:t>
      </w:r>
      <w:proofErr w:type="spellEnd"/>
      <w:r w:rsidRPr="00D429C9">
        <w:rPr>
          <w:sz w:val="24"/>
          <w:szCs w:val="24"/>
          <w:lang w:eastAsia="da-DK"/>
        </w:rPr>
        <w:t xml:space="preserve"> lidelser, og hud og subkutane væv for </w:t>
      </w:r>
      <w:proofErr w:type="spellStart"/>
      <w:r w:rsidRPr="00D429C9">
        <w:rPr>
          <w:sz w:val="24"/>
          <w:szCs w:val="24"/>
          <w:lang w:eastAsia="da-DK"/>
        </w:rPr>
        <w:t>MedDRA</w:t>
      </w:r>
      <w:proofErr w:type="spellEnd"/>
      <w:r w:rsidRPr="00D429C9">
        <w:rPr>
          <w:sz w:val="24"/>
          <w:szCs w:val="24"/>
          <w:lang w:eastAsia="da-DK"/>
        </w:rPr>
        <w:t xml:space="preserve"> systemorganklasser.</w:t>
      </w:r>
    </w:p>
    <w:p w:rsidR="00D429C9" w:rsidRPr="00D429C9" w:rsidRDefault="00D429C9" w:rsidP="00D429C9">
      <w:pPr>
        <w:ind w:left="851"/>
        <w:rPr>
          <w:bCs/>
          <w:sz w:val="24"/>
          <w:szCs w:val="24"/>
          <w:lang w:eastAsia="da-DK"/>
        </w:rPr>
      </w:pPr>
    </w:p>
    <w:p w:rsidR="00873CD3" w:rsidRPr="00D429C9" w:rsidRDefault="00873CD3" w:rsidP="00873CD3">
      <w:pPr>
        <w:ind w:left="851"/>
        <w:rPr>
          <w:bCs/>
          <w:sz w:val="24"/>
          <w:szCs w:val="24"/>
          <w:lang w:eastAsia="da-DK"/>
        </w:rPr>
      </w:pPr>
      <w:r w:rsidRPr="00D429C9">
        <w:rPr>
          <w:sz w:val="24"/>
          <w:szCs w:val="24"/>
          <w:lang w:eastAsia="da-DK"/>
        </w:rPr>
        <w:t xml:space="preserve">Følgende bivirkninger med mulig eller sandsynlig relation til administration af </w:t>
      </w:r>
      <w:proofErr w:type="spellStart"/>
      <w:r w:rsidRPr="00D429C9">
        <w:rPr>
          <w:sz w:val="24"/>
          <w:szCs w:val="24"/>
          <w:lang w:eastAsia="da-DK"/>
        </w:rPr>
        <w:t>irinotecan</w:t>
      </w:r>
      <w:proofErr w:type="spellEnd"/>
      <w:r w:rsidRPr="00D429C9">
        <w:rPr>
          <w:sz w:val="24"/>
          <w:szCs w:val="24"/>
          <w:lang w:eastAsia="da-DK"/>
        </w:rPr>
        <w:t xml:space="preserve"> er blevet rapporteret fra 145 patienter behandlet med </w:t>
      </w:r>
      <w:proofErr w:type="spellStart"/>
      <w:r w:rsidRPr="00D429C9">
        <w:rPr>
          <w:sz w:val="24"/>
          <w:szCs w:val="24"/>
          <w:lang w:eastAsia="da-DK"/>
        </w:rPr>
        <w:t>irinotecan</w:t>
      </w:r>
      <w:proofErr w:type="spellEnd"/>
      <w:r w:rsidRPr="00D429C9">
        <w:rPr>
          <w:sz w:val="24"/>
          <w:szCs w:val="24"/>
          <w:lang w:eastAsia="da-DK"/>
        </w:rPr>
        <w:t xml:space="preserve"> i kombination med 5FU/FA i hver 2. uge ved den anbefalede dosis på 180 mg/m².</w:t>
      </w:r>
    </w:p>
    <w:p w:rsidR="00873CD3" w:rsidRDefault="00873CD3" w:rsidP="00873CD3">
      <w:pPr>
        <w:keepNext/>
        <w:ind w:left="851"/>
        <w:rPr>
          <w:b/>
          <w:bCs/>
          <w:sz w:val="22"/>
          <w:szCs w:val="22"/>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2301"/>
        <w:gridCol w:w="4392"/>
      </w:tblGrid>
      <w:tr w:rsidR="00873CD3" w:rsidTr="00873CD3">
        <w:tc>
          <w:tcPr>
            <w:tcW w:w="5000" w:type="pct"/>
            <w:gridSpan w:val="3"/>
            <w:tcBorders>
              <w:top w:val="single" w:sz="4" w:space="0" w:color="auto"/>
              <w:left w:val="single" w:sz="4" w:space="0" w:color="auto"/>
              <w:bottom w:val="single" w:sz="4" w:space="0" w:color="auto"/>
              <w:right w:val="single" w:sz="4" w:space="0" w:color="auto"/>
            </w:tcBorders>
            <w:hideMark/>
          </w:tcPr>
          <w:p w:rsidR="00873CD3" w:rsidRDefault="00873CD3" w:rsidP="00873CD3">
            <w:pPr>
              <w:keepNext/>
              <w:ind w:left="29"/>
              <w:rPr>
                <w:bCs/>
                <w:sz w:val="22"/>
                <w:szCs w:val="22"/>
                <w:u w:val="single"/>
                <w:lang w:eastAsia="da-DK"/>
              </w:rPr>
            </w:pPr>
            <w:r>
              <w:rPr>
                <w:bCs/>
                <w:sz w:val="22"/>
                <w:szCs w:val="22"/>
                <w:u w:val="single"/>
                <w:lang w:eastAsia="da-DK"/>
              </w:rPr>
              <w:t xml:space="preserve">Bivirkninger rapporteret med </w:t>
            </w:r>
            <w:proofErr w:type="spellStart"/>
            <w:r>
              <w:rPr>
                <w:bCs/>
                <w:sz w:val="22"/>
                <w:szCs w:val="22"/>
                <w:u w:val="single"/>
                <w:lang w:eastAsia="da-DK"/>
              </w:rPr>
              <w:t>irinotecan</w:t>
            </w:r>
            <w:proofErr w:type="spellEnd"/>
            <w:r>
              <w:rPr>
                <w:bCs/>
                <w:sz w:val="22"/>
                <w:szCs w:val="22"/>
                <w:u w:val="single"/>
                <w:lang w:eastAsia="da-DK"/>
              </w:rPr>
              <w:t xml:space="preserve"> ved kombinationsterapi (180 mg/m</w:t>
            </w:r>
            <w:r>
              <w:rPr>
                <w:bCs/>
                <w:sz w:val="22"/>
                <w:szCs w:val="22"/>
                <w:u w:val="single"/>
                <w:vertAlign w:val="superscript"/>
                <w:lang w:eastAsia="da-DK"/>
              </w:rPr>
              <w:t>2</w:t>
            </w:r>
            <w:r>
              <w:rPr>
                <w:bCs/>
                <w:sz w:val="22"/>
                <w:szCs w:val="22"/>
                <w:u w:val="single"/>
                <w:lang w:eastAsia="da-DK"/>
              </w:rPr>
              <w:t xml:space="preserve"> hver 2. uge)</w:t>
            </w:r>
          </w:p>
        </w:tc>
      </w:tr>
      <w:tr w:rsidR="00873CD3" w:rsidTr="00873CD3">
        <w:tc>
          <w:tcPr>
            <w:tcW w:w="1524" w:type="pct"/>
            <w:tcBorders>
              <w:top w:val="single" w:sz="4" w:space="0" w:color="auto"/>
              <w:left w:val="single" w:sz="4" w:space="0" w:color="auto"/>
              <w:bottom w:val="single" w:sz="4" w:space="0" w:color="auto"/>
              <w:right w:val="single" w:sz="4" w:space="0" w:color="auto"/>
            </w:tcBorders>
            <w:hideMark/>
          </w:tcPr>
          <w:p w:rsidR="00873CD3" w:rsidRDefault="00873CD3" w:rsidP="00873CD3">
            <w:pPr>
              <w:keepNext/>
              <w:ind w:left="29"/>
              <w:rPr>
                <w:bCs/>
                <w:sz w:val="22"/>
                <w:szCs w:val="22"/>
                <w:u w:val="single"/>
                <w:lang w:eastAsia="da-DK"/>
              </w:rPr>
            </w:pPr>
            <w:proofErr w:type="spellStart"/>
            <w:r>
              <w:rPr>
                <w:bCs/>
                <w:sz w:val="22"/>
                <w:szCs w:val="22"/>
                <w:u w:val="single"/>
                <w:lang w:eastAsia="da-DK"/>
              </w:rPr>
              <w:t>MedDRA</w:t>
            </w:r>
            <w:proofErr w:type="spellEnd"/>
            <w:r>
              <w:rPr>
                <w:bCs/>
                <w:sz w:val="22"/>
                <w:szCs w:val="22"/>
                <w:u w:val="single"/>
                <w:lang w:eastAsia="da-DK"/>
              </w:rPr>
              <w:t xml:space="preserve"> systemorganklasse </w:t>
            </w: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keepNext/>
              <w:ind w:left="29"/>
              <w:rPr>
                <w:bCs/>
                <w:sz w:val="22"/>
                <w:szCs w:val="22"/>
                <w:u w:val="single"/>
                <w:lang w:eastAsia="da-DK"/>
              </w:rPr>
            </w:pPr>
            <w:r>
              <w:rPr>
                <w:bCs/>
                <w:sz w:val="22"/>
                <w:szCs w:val="22"/>
                <w:u w:val="single"/>
                <w:lang w:eastAsia="da-DK"/>
              </w:rPr>
              <w:t>Frekvens</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keepNext/>
              <w:ind w:left="29"/>
              <w:rPr>
                <w:bCs/>
                <w:sz w:val="22"/>
                <w:szCs w:val="22"/>
                <w:u w:val="single"/>
                <w:lang w:eastAsia="da-DK"/>
              </w:rPr>
            </w:pPr>
            <w:r>
              <w:rPr>
                <w:bCs/>
                <w:sz w:val="22"/>
                <w:szCs w:val="22"/>
                <w:u w:val="single"/>
                <w:lang w:eastAsia="da-DK"/>
              </w:rPr>
              <w:t>Bivirkninger</w:t>
            </w:r>
          </w:p>
        </w:tc>
      </w:tr>
      <w:tr w:rsidR="00873CD3" w:rsidTr="00873CD3">
        <w:tc>
          <w:tcPr>
            <w:tcW w:w="1524" w:type="pct"/>
            <w:tcBorders>
              <w:top w:val="single" w:sz="4" w:space="0" w:color="auto"/>
              <w:left w:val="single" w:sz="4" w:space="0" w:color="auto"/>
              <w:bottom w:val="single" w:sz="4" w:space="0" w:color="auto"/>
              <w:right w:val="single" w:sz="4" w:space="0" w:color="auto"/>
            </w:tcBorders>
            <w:hideMark/>
          </w:tcPr>
          <w:p w:rsidR="00873CD3" w:rsidRDefault="00873CD3" w:rsidP="00873CD3">
            <w:pPr>
              <w:keepNext/>
              <w:ind w:left="29"/>
              <w:rPr>
                <w:i/>
                <w:iCs/>
                <w:sz w:val="22"/>
                <w:szCs w:val="22"/>
                <w:lang w:eastAsia="da-DK"/>
              </w:rPr>
            </w:pPr>
            <w:r>
              <w:rPr>
                <w:i/>
                <w:iCs/>
                <w:sz w:val="22"/>
                <w:szCs w:val="22"/>
                <w:lang w:eastAsia="da-DK"/>
              </w:rPr>
              <w:t>Infektioner og parasitære sygdomme</w:t>
            </w: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keepNext/>
              <w:ind w:left="29"/>
              <w:rPr>
                <w:sz w:val="22"/>
                <w:szCs w:val="22"/>
                <w:lang w:eastAsia="da-DK"/>
              </w:rPr>
            </w:pPr>
            <w:r>
              <w:rPr>
                <w:sz w:val="22"/>
                <w:szCs w:val="22"/>
                <w:lang w:eastAsia="da-DK"/>
              </w:rPr>
              <w:t>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keepNext/>
              <w:ind w:left="29"/>
              <w:rPr>
                <w:sz w:val="22"/>
                <w:szCs w:val="22"/>
                <w:lang w:eastAsia="da-DK"/>
              </w:rPr>
            </w:pPr>
            <w:r>
              <w:rPr>
                <w:sz w:val="22"/>
                <w:szCs w:val="22"/>
                <w:lang w:eastAsia="da-DK"/>
              </w:rPr>
              <w:t>Infektion</w:t>
            </w:r>
          </w:p>
        </w:tc>
      </w:tr>
      <w:tr w:rsidR="00873CD3" w:rsidTr="00873CD3">
        <w:tc>
          <w:tcPr>
            <w:tcW w:w="1524" w:type="pct"/>
            <w:vMerge w:val="restar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Blod- og lymfesystem</w:t>
            </w: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proofErr w:type="spellStart"/>
            <w:r>
              <w:rPr>
                <w:sz w:val="22"/>
                <w:szCs w:val="22"/>
                <w:lang w:eastAsia="da-DK"/>
              </w:rPr>
              <w:t>Thrombocytopeni</w:t>
            </w:r>
            <w:proofErr w:type="spellEnd"/>
            <w:r>
              <w:rPr>
                <w:sz w:val="22"/>
                <w:szCs w:val="22"/>
                <w:lang w:eastAsia="da-DK"/>
              </w:rPr>
              <w:t xml:space="preserve">, </w:t>
            </w:r>
            <w:proofErr w:type="spellStart"/>
            <w:r>
              <w:rPr>
                <w:sz w:val="22"/>
                <w:szCs w:val="22"/>
                <w:lang w:eastAsia="da-DK"/>
              </w:rPr>
              <w:t>neutropeni</w:t>
            </w:r>
            <w:proofErr w:type="spellEnd"/>
            <w:r>
              <w:rPr>
                <w:sz w:val="22"/>
                <w:szCs w:val="22"/>
                <w:lang w:eastAsia="da-DK"/>
              </w:rPr>
              <w:t>, anæmi</w:t>
            </w:r>
          </w:p>
        </w:tc>
      </w:tr>
      <w:tr w:rsidR="00873CD3"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Default="00873CD3" w:rsidP="00873CD3">
            <w:pPr>
              <w:rPr>
                <w:i/>
                <w:iCs/>
                <w:sz w:val="22"/>
                <w:szCs w:val="22"/>
                <w:lang w:eastAsia="da-DK"/>
              </w:rPr>
            </w:pP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 xml:space="preserve">Febril </w:t>
            </w:r>
            <w:proofErr w:type="spellStart"/>
            <w:r>
              <w:rPr>
                <w:sz w:val="22"/>
                <w:szCs w:val="22"/>
                <w:lang w:eastAsia="da-DK"/>
              </w:rPr>
              <w:t>neutropeni</w:t>
            </w:r>
            <w:proofErr w:type="spellEnd"/>
          </w:p>
        </w:tc>
      </w:tr>
      <w:tr w:rsidR="00873CD3" w:rsidTr="00873CD3">
        <w:tc>
          <w:tcPr>
            <w:tcW w:w="152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Metabolisme og ernæring</w:t>
            </w: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Nedsat appetit</w:t>
            </w:r>
          </w:p>
        </w:tc>
      </w:tr>
      <w:tr w:rsidR="00873CD3" w:rsidTr="00873CD3">
        <w:tc>
          <w:tcPr>
            <w:tcW w:w="152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Nervesystemet</w:t>
            </w: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proofErr w:type="spellStart"/>
            <w:r>
              <w:rPr>
                <w:sz w:val="22"/>
                <w:szCs w:val="22"/>
                <w:lang w:eastAsia="da-DK"/>
              </w:rPr>
              <w:t>Kolinergt</w:t>
            </w:r>
            <w:proofErr w:type="spellEnd"/>
            <w:r>
              <w:rPr>
                <w:sz w:val="22"/>
                <w:szCs w:val="22"/>
                <w:lang w:eastAsia="da-DK"/>
              </w:rPr>
              <w:t xml:space="preserve"> syndrom</w:t>
            </w:r>
          </w:p>
        </w:tc>
      </w:tr>
      <w:tr w:rsidR="00873CD3" w:rsidTr="00873CD3">
        <w:tc>
          <w:tcPr>
            <w:tcW w:w="1524" w:type="pct"/>
            <w:vMerge w:val="restar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proofErr w:type="spellStart"/>
            <w:r>
              <w:rPr>
                <w:i/>
                <w:iCs/>
                <w:sz w:val="22"/>
                <w:szCs w:val="22"/>
                <w:lang w:eastAsia="da-DK"/>
              </w:rPr>
              <w:t>Mave-tarmkanalen</w:t>
            </w:r>
            <w:proofErr w:type="spellEnd"/>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Diarré, opkastning, kvalme</w:t>
            </w:r>
          </w:p>
        </w:tc>
      </w:tr>
      <w:tr w:rsidR="00873CD3"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Default="00873CD3" w:rsidP="00873CD3">
            <w:pPr>
              <w:rPr>
                <w:i/>
                <w:iCs/>
                <w:sz w:val="22"/>
                <w:szCs w:val="22"/>
                <w:lang w:eastAsia="da-DK"/>
              </w:rPr>
            </w:pP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proofErr w:type="spellStart"/>
            <w:r>
              <w:rPr>
                <w:sz w:val="22"/>
                <w:szCs w:val="22"/>
                <w:lang w:eastAsia="da-DK"/>
              </w:rPr>
              <w:t>Abdominale</w:t>
            </w:r>
            <w:proofErr w:type="spellEnd"/>
            <w:r>
              <w:rPr>
                <w:sz w:val="22"/>
                <w:szCs w:val="22"/>
                <w:lang w:eastAsia="da-DK"/>
              </w:rPr>
              <w:t xml:space="preserve"> smerter, forstoppelse</w:t>
            </w:r>
          </w:p>
        </w:tc>
      </w:tr>
      <w:tr w:rsidR="00873CD3" w:rsidTr="00873CD3">
        <w:tc>
          <w:tcPr>
            <w:tcW w:w="152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Undersøgelser</w:t>
            </w: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 xml:space="preserve">Stigning i </w:t>
            </w:r>
            <w:proofErr w:type="spellStart"/>
            <w:r>
              <w:rPr>
                <w:sz w:val="22"/>
                <w:szCs w:val="22"/>
                <w:lang w:eastAsia="da-DK"/>
              </w:rPr>
              <w:t>transaminaser</w:t>
            </w:r>
            <w:proofErr w:type="spellEnd"/>
            <w:r>
              <w:rPr>
                <w:sz w:val="22"/>
                <w:szCs w:val="22"/>
                <w:lang w:eastAsia="da-DK"/>
              </w:rPr>
              <w:t xml:space="preserve"> (AST og ALT), stigning i bilirubin i blodet, stigning i serumalkalisk fosfatase</w:t>
            </w:r>
          </w:p>
        </w:tc>
      </w:tr>
      <w:tr w:rsidR="00873CD3" w:rsidTr="00873CD3">
        <w:tc>
          <w:tcPr>
            <w:tcW w:w="1524"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Hud og subkutane væv</w:t>
            </w: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proofErr w:type="spellStart"/>
            <w:r>
              <w:rPr>
                <w:sz w:val="22"/>
                <w:szCs w:val="22"/>
                <w:lang w:eastAsia="da-DK"/>
              </w:rPr>
              <w:t>Alopeci</w:t>
            </w:r>
            <w:proofErr w:type="spellEnd"/>
            <w:r>
              <w:rPr>
                <w:sz w:val="22"/>
                <w:szCs w:val="22"/>
                <w:lang w:eastAsia="da-DK"/>
              </w:rPr>
              <w:t xml:space="preserve"> (reversibel)</w:t>
            </w:r>
          </w:p>
        </w:tc>
      </w:tr>
      <w:tr w:rsidR="00873CD3" w:rsidTr="00873CD3">
        <w:tc>
          <w:tcPr>
            <w:tcW w:w="1524" w:type="pct"/>
            <w:vMerge w:val="restar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i/>
                <w:iCs/>
                <w:sz w:val="22"/>
                <w:szCs w:val="22"/>
                <w:lang w:eastAsia="da-DK"/>
              </w:rPr>
            </w:pPr>
            <w:r>
              <w:rPr>
                <w:i/>
                <w:iCs/>
                <w:sz w:val="22"/>
                <w:szCs w:val="22"/>
                <w:lang w:eastAsia="da-DK"/>
              </w:rPr>
              <w:t>Almene symptomer og reaktioner på administrationsstedet</w:t>
            </w: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Meget 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Slimhindeinflammation, asteni</w:t>
            </w:r>
          </w:p>
        </w:tc>
      </w:tr>
      <w:tr w:rsidR="00873CD3"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Default="00873CD3" w:rsidP="00873CD3">
            <w:pPr>
              <w:rPr>
                <w:i/>
                <w:iCs/>
                <w:sz w:val="22"/>
                <w:szCs w:val="22"/>
                <w:lang w:eastAsia="da-DK"/>
              </w:rPr>
            </w:pPr>
          </w:p>
        </w:tc>
        <w:tc>
          <w:tcPr>
            <w:tcW w:w="1195"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r>
              <w:rPr>
                <w:sz w:val="22"/>
                <w:szCs w:val="22"/>
                <w:lang w:eastAsia="da-DK"/>
              </w:rPr>
              <w:t>Almindelig</w:t>
            </w:r>
          </w:p>
        </w:tc>
        <w:tc>
          <w:tcPr>
            <w:tcW w:w="2281" w:type="pct"/>
            <w:tcBorders>
              <w:top w:val="single" w:sz="4" w:space="0" w:color="auto"/>
              <w:left w:val="single" w:sz="4" w:space="0" w:color="auto"/>
              <w:bottom w:val="single" w:sz="4" w:space="0" w:color="auto"/>
              <w:right w:val="single" w:sz="4" w:space="0" w:color="auto"/>
            </w:tcBorders>
            <w:hideMark/>
          </w:tcPr>
          <w:p w:rsidR="00873CD3" w:rsidRDefault="00873CD3" w:rsidP="00873CD3">
            <w:pPr>
              <w:ind w:left="29"/>
              <w:rPr>
                <w:sz w:val="22"/>
                <w:szCs w:val="22"/>
                <w:lang w:eastAsia="da-DK"/>
              </w:rPr>
            </w:pPr>
            <w:proofErr w:type="spellStart"/>
            <w:r>
              <w:rPr>
                <w:sz w:val="22"/>
                <w:szCs w:val="22"/>
                <w:lang w:eastAsia="da-DK"/>
              </w:rPr>
              <w:t>Pyreksi</w:t>
            </w:r>
            <w:proofErr w:type="spellEnd"/>
          </w:p>
        </w:tc>
      </w:tr>
    </w:tbl>
    <w:p w:rsidR="00D429C9" w:rsidRDefault="00D429C9" w:rsidP="00D429C9">
      <w:pPr>
        <w:ind w:left="851"/>
        <w:rPr>
          <w:b/>
          <w:bCs/>
          <w:sz w:val="22"/>
          <w:szCs w:val="22"/>
          <w:lang w:eastAsia="da-DK"/>
        </w:rPr>
      </w:pPr>
    </w:p>
    <w:p w:rsidR="00D429C9" w:rsidRPr="00D429C9" w:rsidRDefault="00D429C9" w:rsidP="00D429C9">
      <w:pPr>
        <w:autoSpaceDE w:val="0"/>
        <w:autoSpaceDN w:val="0"/>
        <w:adjustRightInd w:val="0"/>
        <w:ind w:left="851"/>
        <w:rPr>
          <w:bCs/>
          <w:sz w:val="24"/>
          <w:szCs w:val="24"/>
          <w:u w:val="single"/>
          <w:lang w:eastAsia="da-DK"/>
        </w:rPr>
      </w:pPr>
      <w:r w:rsidRPr="00D429C9">
        <w:rPr>
          <w:sz w:val="24"/>
          <w:szCs w:val="24"/>
          <w:u w:val="single"/>
          <w:lang w:eastAsia="da-DK"/>
        </w:rPr>
        <w:t>Beskrivelse af udvalgte bivirkninger (kombinationsterapi)</w:t>
      </w:r>
    </w:p>
    <w:p w:rsidR="00D429C9" w:rsidRPr="00D429C9" w:rsidRDefault="00D429C9" w:rsidP="00D429C9">
      <w:pPr>
        <w:autoSpaceDE w:val="0"/>
        <w:autoSpaceDN w:val="0"/>
        <w:adjustRightInd w:val="0"/>
        <w:ind w:left="851"/>
        <w:rPr>
          <w:b/>
          <w:sz w:val="24"/>
          <w:szCs w:val="24"/>
          <w:lang w:eastAsia="da-DK"/>
        </w:rPr>
      </w:pPr>
    </w:p>
    <w:p w:rsidR="00873CD3" w:rsidRPr="00D429C9" w:rsidRDefault="00873CD3" w:rsidP="00873CD3">
      <w:pPr>
        <w:autoSpaceDE w:val="0"/>
        <w:autoSpaceDN w:val="0"/>
        <w:adjustRightInd w:val="0"/>
        <w:ind w:left="851"/>
        <w:rPr>
          <w:sz w:val="24"/>
          <w:szCs w:val="24"/>
          <w:lang w:eastAsia="da-DK"/>
        </w:rPr>
      </w:pPr>
      <w:r w:rsidRPr="00D429C9">
        <w:rPr>
          <w:bCs/>
          <w:i/>
          <w:iCs/>
          <w:sz w:val="24"/>
          <w:szCs w:val="24"/>
          <w:lang w:eastAsia="da-DK"/>
        </w:rPr>
        <w:t>Alvorlig diarré</w:t>
      </w:r>
      <w:r w:rsidRPr="00D429C9">
        <w:rPr>
          <w:sz w:val="24"/>
          <w:szCs w:val="24"/>
          <w:lang w:eastAsia="da-DK"/>
        </w:rPr>
        <w:t xml:space="preserve"> blev observeret hos 13,1 % af patienterne, der </w:t>
      </w:r>
      <w:r>
        <w:rPr>
          <w:sz w:val="24"/>
          <w:szCs w:val="24"/>
          <w:lang w:eastAsia="da-DK"/>
        </w:rPr>
        <w:t>følger</w:t>
      </w:r>
      <w:r w:rsidRPr="00D429C9">
        <w:rPr>
          <w:sz w:val="24"/>
          <w:szCs w:val="24"/>
          <w:lang w:eastAsia="da-DK"/>
        </w:rPr>
        <w:t xml:space="preserve"> anbefalingerne for kontrol af diarréen. Af de </w:t>
      </w:r>
      <w:proofErr w:type="spellStart"/>
      <w:r w:rsidRPr="00D429C9">
        <w:rPr>
          <w:sz w:val="24"/>
          <w:szCs w:val="24"/>
          <w:lang w:eastAsia="da-DK"/>
        </w:rPr>
        <w:t>evaluerbare</w:t>
      </w:r>
      <w:proofErr w:type="spellEnd"/>
      <w:r w:rsidRPr="00D429C9">
        <w:rPr>
          <w:sz w:val="24"/>
          <w:szCs w:val="24"/>
          <w:lang w:eastAsia="da-DK"/>
        </w:rPr>
        <w:t xml:space="preserve"> cykler </w:t>
      </w:r>
      <w:r>
        <w:rPr>
          <w:sz w:val="24"/>
          <w:szCs w:val="24"/>
          <w:lang w:eastAsia="da-DK"/>
        </w:rPr>
        <w:t>opstår der</w:t>
      </w:r>
      <w:r w:rsidRPr="00D429C9">
        <w:rPr>
          <w:sz w:val="24"/>
          <w:szCs w:val="24"/>
          <w:lang w:eastAsia="da-DK"/>
        </w:rPr>
        <w:t xml:space="preserve"> alvorlig diarré hos 3,9 %.</w:t>
      </w:r>
    </w:p>
    <w:p w:rsidR="00873CD3" w:rsidRPr="00D429C9" w:rsidRDefault="00873CD3" w:rsidP="00873CD3">
      <w:pPr>
        <w:autoSpaceDE w:val="0"/>
        <w:autoSpaceDN w:val="0"/>
        <w:adjustRightInd w:val="0"/>
        <w:ind w:left="851"/>
        <w:rPr>
          <w:sz w:val="24"/>
          <w:szCs w:val="24"/>
          <w:lang w:eastAsia="da-DK"/>
        </w:rPr>
      </w:pPr>
      <w:r w:rsidRPr="00D429C9">
        <w:rPr>
          <w:sz w:val="24"/>
          <w:szCs w:val="24"/>
          <w:lang w:eastAsia="da-DK"/>
        </w:rPr>
        <w:t xml:space="preserve">Der ses en lavere </w:t>
      </w:r>
      <w:proofErr w:type="spellStart"/>
      <w:r w:rsidRPr="00D429C9">
        <w:rPr>
          <w:sz w:val="24"/>
          <w:szCs w:val="24"/>
          <w:lang w:eastAsia="da-DK"/>
        </w:rPr>
        <w:t>incidens</w:t>
      </w:r>
      <w:proofErr w:type="spellEnd"/>
      <w:r w:rsidRPr="00D429C9">
        <w:rPr>
          <w:sz w:val="24"/>
          <w:szCs w:val="24"/>
          <w:lang w:eastAsia="da-DK"/>
        </w:rPr>
        <w:t xml:space="preserve"> af alvorlig </w:t>
      </w:r>
      <w:r w:rsidRPr="00D429C9">
        <w:rPr>
          <w:bCs/>
          <w:i/>
          <w:iCs/>
          <w:sz w:val="24"/>
          <w:szCs w:val="24"/>
          <w:lang w:eastAsia="da-DK"/>
        </w:rPr>
        <w:t>kvalme og opkastning</w:t>
      </w:r>
      <w:r w:rsidRPr="00D429C9">
        <w:rPr>
          <w:sz w:val="24"/>
          <w:szCs w:val="24"/>
          <w:lang w:eastAsia="da-DK"/>
        </w:rPr>
        <w:t xml:space="preserve"> (hos henholdsvis 2,1 % og 2,8 % af patienterne).</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r w:rsidRPr="00D429C9">
        <w:rPr>
          <w:bCs/>
          <w:i/>
          <w:iCs/>
          <w:sz w:val="24"/>
          <w:szCs w:val="24"/>
          <w:lang w:eastAsia="da-DK"/>
        </w:rPr>
        <w:t>Forstoppelse</w:t>
      </w:r>
      <w:r w:rsidRPr="00D429C9">
        <w:rPr>
          <w:sz w:val="24"/>
          <w:szCs w:val="24"/>
          <w:lang w:eastAsia="da-DK"/>
        </w:rPr>
        <w:t xml:space="preserve"> relateret til </w:t>
      </w:r>
      <w:proofErr w:type="spellStart"/>
      <w:r w:rsidRPr="00D429C9">
        <w:rPr>
          <w:sz w:val="24"/>
          <w:szCs w:val="24"/>
          <w:lang w:eastAsia="da-DK"/>
        </w:rPr>
        <w:t>irinotecan</w:t>
      </w:r>
      <w:proofErr w:type="spellEnd"/>
      <w:r w:rsidRPr="00D429C9">
        <w:rPr>
          <w:sz w:val="24"/>
          <w:szCs w:val="24"/>
          <w:lang w:eastAsia="da-DK"/>
        </w:rPr>
        <w:t xml:space="preserve"> og </w:t>
      </w:r>
      <w:proofErr w:type="spellStart"/>
      <w:r w:rsidRPr="00D429C9">
        <w:rPr>
          <w:sz w:val="24"/>
          <w:szCs w:val="24"/>
          <w:lang w:eastAsia="da-DK"/>
        </w:rPr>
        <w:t>loperamid</w:t>
      </w:r>
      <w:proofErr w:type="spellEnd"/>
      <w:r w:rsidRPr="00D429C9">
        <w:rPr>
          <w:sz w:val="24"/>
          <w:szCs w:val="24"/>
          <w:lang w:eastAsia="da-DK"/>
        </w:rPr>
        <w:t xml:space="preserve"> er blevet observeret hos 3,4% af patienterne.</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proofErr w:type="spellStart"/>
      <w:r w:rsidRPr="00D429C9">
        <w:rPr>
          <w:bCs/>
          <w:i/>
          <w:iCs/>
          <w:sz w:val="24"/>
          <w:szCs w:val="24"/>
          <w:lang w:eastAsia="da-DK"/>
        </w:rPr>
        <w:t>Neutropeni</w:t>
      </w:r>
      <w:proofErr w:type="spellEnd"/>
      <w:r w:rsidRPr="00D429C9">
        <w:rPr>
          <w:b/>
          <w:sz w:val="24"/>
          <w:szCs w:val="24"/>
          <w:lang w:eastAsia="da-DK"/>
        </w:rPr>
        <w:t xml:space="preserve"> </w:t>
      </w:r>
      <w:r w:rsidRPr="00D429C9">
        <w:rPr>
          <w:sz w:val="24"/>
          <w:szCs w:val="24"/>
          <w:lang w:eastAsia="da-DK"/>
        </w:rPr>
        <w:t>blev observeret hos 82,5 % af patienterne, og var alvorlig (</w:t>
      </w:r>
      <w:proofErr w:type="spellStart"/>
      <w:r w:rsidRPr="00D429C9">
        <w:rPr>
          <w:sz w:val="24"/>
          <w:szCs w:val="24"/>
          <w:lang w:eastAsia="da-DK"/>
        </w:rPr>
        <w:t>neutrofiltal</w:t>
      </w:r>
      <w:proofErr w:type="spellEnd"/>
      <w:r w:rsidRPr="00D429C9">
        <w:rPr>
          <w:sz w:val="24"/>
          <w:szCs w:val="24"/>
          <w:lang w:eastAsia="da-DK"/>
        </w:rPr>
        <w:t xml:space="preserve"> &lt; 500 celler/mm</w:t>
      </w:r>
      <w:r w:rsidRPr="00D429C9">
        <w:rPr>
          <w:sz w:val="24"/>
          <w:szCs w:val="24"/>
          <w:vertAlign w:val="superscript"/>
          <w:lang w:eastAsia="da-DK"/>
        </w:rPr>
        <w:t>3</w:t>
      </w:r>
      <w:r w:rsidRPr="00D429C9">
        <w:rPr>
          <w:sz w:val="24"/>
          <w:szCs w:val="24"/>
          <w:lang w:eastAsia="da-DK"/>
        </w:rPr>
        <w:t xml:space="preserve">) hos 9,8 % af patienterne. Af de evaluerede cykler, havde 67,3 % et </w:t>
      </w:r>
      <w:proofErr w:type="spellStart"/>
      <w:r w:rsidRPr="00D429C9">
        <w:rPr>
          <w:sz w:val="24"/>
          <w:szCs w:val="24"/>
          <w:lang w:eastAsia="da-DK"/>
        </w:rPr>
        <w:t>neutrofiltal</w:t>
      </w:r>
      <w:proofErr w:type="spellEnd"/>
      <w:r w:rsidRPr="00D429C9">
        <w:rPr>
          <w:sz w:val="24"/>
          <w:szCs w:val="24"/>
          <w:lang w:eastAsia="da-DK"/>
        </w:rPr>
        <w:t xml:space="preserve"> på under 1,000 celler/mm³ inkluderet 2,7 % med et </w:t>
      </w:r>
      <w:proofErr w:type="spellStart"/>
      <w:r w:rsidRPr="00D429C9">
        <w:rPr>
          <w:sz w:val="24"/>
          <w:szCs w:val="24"/>
          <w:lang w:eastAsia="da-DK"/>
        </w:rPr>
        <w:t>neutrofiltal</w:t>
      </w:r>
      <w:proofErr w:type="spellEnd"/>
      <w:r w:rsidRPr="00D429C9">
        <w:rPr>
          <w:sz w:val="24"/>
          <w:szCs w:val="24"/>
          <w:lang w:eastAsia="da-DK"/>
        </w:rPr>
        <w:t xml:space="preserve"> &lt;500 celler/mm³). Fuldstændig restitution opnåedes normalt inden for 7-8 dage.</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r w:rsidRPr="00D429C9">
        <w:rPr>
          <w:bCs/>
          <w:i/>
          <w:iCs/>
          <w:sz w:val="24"/>
          <w:szCs w:val="24"/>
          <w:lang w:eastAsia="da-DK"/>
        </w:rPr>
        <w:t xml:space="preserve">Febril </w:t>
      </w:r>
      <w:proofErr w:type="spellStart"/>
      <w:r w:rsidRPr="00D429C9">
        <w:rPr>
          <w:bCs/>
          <w:i/>
          <w:iCs/>
          <w:sz w:val="24"/>
          <w:szCs w:val="24"/>
          <w:lang w:eastAsia="da-DK"/>
        </w:rPr>
        <w:t>neutropeni</w:t>
      </w:r>
      <w:proofErr w:type="spellEnd"/>
      <w:r w:rsidRPr="00D429C9">
        <w:rPr>
          <w:sz w:val="24"/>
          <w:szCs w:val="24"/>
          <w:lang w:eastAsia="da-DK"/>
        </w:rPr>
        <w:t xml:space="preserve"> blev rapporteret hos 3,4 % af patienterne og i 0,9 % af cyklerne.</w:t>
      </w:r>
    </w:p>
    <w:p w:rsidR="00D429C9" w:rsidRPr="00D429C9" w:rsidRDefault="00D429C9" w:rsidP="00D429C9">
      <w:pPr>
        <w:autoSpaceDE w:val="0"/>
        <w:autoSpaceDN w:val="0"/>
        <w:adjustRightInd w:val="0"/>
        <w:ind w:left="851"/>
        <w:rPr>
          <w:sz w:val="24"/>
          <w:szCs w:val="24"/>
          <w:lang w:eastAsia="da-DK"/>
        </w:rPr>
      </w:pPr>
      <w:r w:rsidRPr="00D429C9">
        <w:rPr>
          <w:sz w:val="24"/>
          <w:szCs w:val="24"/>
          <w:lang w:eastAsia="da-DK"/>
        </w:rPr>
        <w:t xml:space="preserve">Infektioner forekom hos ca. 2 % af patienterne (0,5 % af cyklerne) og var associeret med alvorlig </w:t>
      </w:r>
      <w:proofErr w:type="spellStart"/>
      <w:r w:rsidRPr="00D429C9">
        <w:rPr>
          <w:sz w:val="24"/>
          <w:szCs w:val="24"/>
          <w:lang w:eastAsia="da-DK"/>
        </w:rPr>
        <w:t>neutropeni</w:t>
      </w:r>
      <w:proofErr w:type="spellEnd"/>
      <w:r w:rsidRPr="00D429C9">
        <w:rPr>
          <w:sz w:val="24"/>
          <w:szCs w:val="24"/>
          <w:lang w:eastAsia="da-DK"/>
        </w:rPr>
        <w:t xml:space="preserve"> hos ca. 2,1 % af patienterne (0,5 % af cykler) og havde dødelig udgang i et tilfælde.</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r w:rsidRPr="00D429C9">
        <w:rPr>
          <w:bCs/>
          <w:i/>
          <w:iCs/>
          <w:sz w:val="24"/>
          <w:szCs w:val="24"/>
          <w:lang w:eastAsia="da-DK"/>
        </w:rPr>
        <w:t>Anæmi</w:t>
      </w:r>
      <w:r w:rsidRPr="00D429C9">
        <w:rPr>
          <w:b/>
          <w:sz w:val="24"/>
          <w:szCs w:val="24"/>
          <w:lang w:eastAsia="da-DK"/>
        </w:rPr>
        <w:t xml:space="preserve"> </w:t>
      </w:r>
      <w:r w:rsidRPr="00D429C9">
        <w:rPr>
          <w:sz w:val="24"/>
          <w:szCs w:val="24"/>
          <w:lang w:eastAsia="da-DK"/>
        </w:rPr>
        <w:t>blev rapporteret hos ca. 97,2 % af patienterne (2,1 % med hæmoglobin &lt;8 g/dl).</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proofErr w:type="spellStart"/>
      <w:r w:rsidRPr="00D429C9">
        <w:rPr>
          <w:bCs/>
          <w:i/>
          <w:iCs/>
          <w:sz w:val="24"/>
          <w:szCs w:val="24"/>
          <w:lang w:eastAsia="da-DK"/>
        </w:rPr>
        <w:t>Trombocytopeni</w:t>
      </w:r>
      <w:proofErr w:type="spellEnd"/>
      <w:r w:rsidRPr="00D429C9">
        <w:rPr>
          <w:b/>
          <w:sz w:val="24"/>
          <w:szCs w:val="24"/>
          <w:lang w:eastAsia="da-DK"/>
        </w:rPr>
        <w:t xml:space="preserve"> </w:t>
      </w:r>
      <w:r w:rsidRPr="00D429C9">
        <w:rPr>
          <w:sz w:val="24"/>
          <w:szCs w:val="24"/>
          <w:lang w:eastAsia="da-DK"/>
        </w:rPr>
        <w:t>(&lt;100.000 celler/mm</w:t>
      </w:r>
      <w:r w:rsidRPr="00D429C9">
        <w:rPr>
          <w:sz w:val="24"/>
          <w:szCs w:val="24"/>
          <w:vertAlign w:val="superscript"/>
          <w:lang w:eastAsia="da-DK"/>
        </w:rPr>
        <w:t>3)</w:t>
      </w:r>
      <w:r w:rsidRPr="00D429C9">
        <w:rPr>
          <w:sz w:val="24"/>
          <w:szCs w:val="24"/>
          <w:lang w:eastAsia="da-DK"/>
        </w:rPr>
        <w:t xml:space="preserve"> blev observeret hos 32,6 % af patienterne og 21,8 % af cyklusserne. Ingen alvorlig </w:t>
      </w:r>
      <w:proofErr w:type="spellStart"/>
      <w:r w:rsidRPr="00D429C9">
        <w:rPr>
          <w:sz w:val="24"/>
          <w:szCs w:val="24"/>
          <w:lang w:eastAsia="da-DK"/>
        </w:rPr>
        <w:t>trombocytopeni</w:t>
      </w:r>
      <w:proofErr w:type="spellEnd"/>
      <w:r w:rsidRPr="00D429C9">
        <w:rPr>
          <w:sz w:val="24"/>
          <w:szCs w:val="24"/>
          <w:lang w:eastAsia="da-DK"/>
        </w:rPr>
        <w:t xml:space="preserve"> (&lt;50.000 celler/mm</w:t>
      </w:r>
      <w:r w:rsidRPr="00D429C9">
        <w:rPr>
          <w:sz w:val="24"/>
          <w:szCs w:val="24"/>
          <w:vertAlign w:val="superscript"/>
          <w:lang w:eastAsia="da-DK"/>
        </w:rPr>
        <w:t>3)</w:t>
      </w:r>
      <w:r w:rsidRPr="00D429C9">
        <w:rPr>
          <w:sz w:val="24"/>
          <w:szCs w:val="24"/>
          <w:lang w:eastAsia="da-DK"/>
        </w:rPr>
        <w:t xml:space="preserve"> er blevet observeret.</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bCs/>
          <w:i/>
          <w:iCs/>
          <w:sz w:val="24"/>
          <w:szCs w:val="24"/>
          <w:lang w:eastAsia="da-DK"/>
        </w:rPr>
      </w:pPr>
      <w:r w:rsidRPr="00D429C9">
        <w:rPr>
          <w:bCs/>
          <w:i/>
          <w:iCs/>
          <w:sz w:val="24"/>
          <w:szCs w:val="24"/>
          <w:lang w:eastAsia="da-DK"/>
        </w:rPr>
        <w:t xml:space="preserve">Akut </w:t>
      </w:r>
      <w:proofErr w:type="spellStart"/>
      <w:r w:rsidRPr="00D429C9">
        <w:rPr>
          <w:bCs/>
          <w:i/>
          <w:iCs/>
          <w:sz w:val="24"/>
          <w:szCs w:val="24"/>
          <w:lang w:eastAsia="da-DK"/>
        </w:rPr>
        <w:t>kolinergt</w:t>
      </w:r>
      <w:proofErr w:type="spellEnd"/>
      <w:r w:rsidRPr="00D429C9">
        <w:rPr>
          <w:bCs/>
          <w:i/>
          <w:iCs/>
          <w:sz w:val="24"/>
          <w:szCs w:val="24"/>
          <w:lang w:eastAsia="da-DK"/>
        </w:rPr>
        <w:t xml:space="preserve"> syndrom</w:t>
      </w:r>
    </w:p>
    <w:p w:rsidR="00D429C9" w:rsidRPr="00D429C9" w:rsidRDefault="00D429C9" w:rsidP="00D429C9">
      <w:pPr>
        <w:autoSpaceDE w:val="0"/>
        <w:autoSpaceDN w:val="0"/>
        <w:adjustRightInd w:val="0"/>
        <w:ind w:left="851"/>
        <w:rPr>
          <w:sz w:val="24"/>
          <w:szCs w:val="24"/>
          <w:lang w:eastAsia="da-DK"/>
        </w:rPr>
      </w:pPr>
      <w:r w:rsidRPr="00D429C9">
        <w:rPr>
          <w:sz w:val="24"/>
          <w:szCs w:val="24"/>
          <w:lang w:eastAsia="da-DK"/>
        </w:rPr>
        <w:t xml:space="preserve">Svært forbigående akut </w:t>
      </w:r>
      <w:proofErr w:type="spellStart"/>
      <w:r w:rsidRPr="00D429C9">
        <w:rPr>
          <w:sz w:val="24"/>
          <w:szCs w:val="24"/>
          <w:lang w:eastAsia="da-DK"/>
        </w:rPr>
        <w:t>kolinergt</w:t>
      </w:r>
      <w:proofErr w:type="spellEnd"/>
      <w:r w:rsidRPr="00D429C9">
        <w:rPr>
          <w:sz w:val="24"/>
          <w:szCs w:val="24"/>
          <w:lang w:eastAsia="da-DK"/>
        </w:rPr>
        <w:t xml:space="preserve"> syndrom blev observeret hos 1,4 % af patienterne behandlet i kombinationsterapi.</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r w:rsidRPr="00D429C9">
        <w:rPr>
          <w:bCs/>
          <w:i/>
          <w:iCs/>
          <w:sz w:val="24"/>
          <w:szCs w:val="24"/>
          <w:lang w:eastAsia="da-DK"/>
        </w:rPr>
        <w:t>Asteni</w:t>
      </w:r>
      <w:r w:rsidRPr="00D429C9">
        <w:rPr>
          <w:b/>
          <w:sz w:val="24"/>
          <w:szCs w:val="24"/>
          <w:lang w:eastAsia="da-DK"/>
        </w:rPr>
        <w:t xml:space="preserve"> </w:t>
      </w:r>
      <w:r w:rsidRPr="00D429C9">
        <w:rPr>
          <w:sz w:val="24"/>
          <w:szCs w:val="24"/>
          <w:lang w:eastAsia="da-DK"/>
        </w:rPr>
        <w:t xml:space="preserve">var alvorlig hos 6,2 % af patienterne behandlet i kombinationsterapi. Den kausale sammenhæng med </w:t>
      </w:r>
      <w:proofErr w:type="spellStart"/>
      <w:r w:rsidRPr="00D429C9">
        <w:rPr>
          <w:sz w:val="24"/>
          <w:szCs w:val="24"/>
          <w:lang w:eastAsia="da-DK"/>
        </w:rPr>
        <w:t>irinotecan</w:t>
      </w:r>
      <w:proofErr w:type="spellEnd"/>
      <w:r w:rsidRPr="00D429C9">
        <w:rPr>
          <w:sz w:val="24"/>
          <w:szCs w:val="24"/>
          <w:lang w:eastAsia="da-DK"/>
        </w:rPr>
        <w:t xml:space="preserve"> er ikke klart fastlagt.</w:t>
      </w:r>
    </w:p>
    <w:p w:rsidR="00D429C9" w:rsidRPr="00D429C9" w:rsidRDefault="00D429C9" w:rsidP="00D429C9">
      <w:pPr>
        <w:autoSpaceDE w:val="0"/>
        <w:autoSpaceDN w:val="0"/>
        <w:adjustRightInd w:val="0"/>
        <w:ind w:left="851"/>
        <w:rPr>
          <w:b/>
          <w:sz w:val="24"/>
          <w:szCs w:val="24"/>
          <w:lang w:eastAsia="da-DK"/>
        </w:rPr>
      </w:pPr>
    </w:p>
    <w:p w:rsidR="00D429C9" w:rsidRPr="00D429C9" w:rsidRDefault="00D429C9" w:rsidP="00D429C9">
      <w:pPr>
        <w:autoSpaceDE w:val="0"/>
        <w:autoSpaceDN w:val="0"/>
        <w:adjustRightInd w:val="0"/>
        <w:ind w:left="851"/>
        <w:rPr>
          <w:sz w:val="24"/>
          <w:szCs w:val="24"/>
          <w:lang w:eastAsia="da-DK"/>
        </w:rPr>
      </w:pPr>
      <w:proofErr w:type="spellStart"/>
      <w:r w:rsidRPr="00D429C9">
        <w:rPr>
          <w:bCs/>
          <w:i/>
          <w:iCs/>
          <w:sz w:val="24"/>
          <w:szCs w:val="24"/>
          <w:lang w:eastAsia="da-DK"/>
        </w:rPr>
        <w:lastRenderedPageBreak/>
        <w:t>Pyreksi</w:t>
      </w:r>
      <w:proofErr w:type="spellEnd"/>
      <w:r w:rsidRPr="00D429C9">
        <w:rPr>
          <w:bCs/>
          <w:i/>
          <w:iCs/>
          <w:sz w:val="24"/>
          <w:szCs w:val="24"/>
          <w:lang w:eastAsia="da-DK"/>
        </w:rPr>
        <w:t xml:space="preserve"> uden infektion</w:t>
      </w:r>
      <w:r w:rsidRPr="00D429C9">
        <w:rPr>
          <w:sz w:val="24"/>
          <w:szCs w:val="24"/>
          <w:lang w:eastAsia="da-DK"/>
        </w:rPr>
        <w:t xml:space="preserve"> og uden samtidig alvorlig </w:t>
      </w:r>
      <w:proofErr w:type="spellStart"/>
      <w:r w:rsidRPr="00D429C9">
        <w:rPr>
          <w:sz w:val="24"/>
          <w:szCs w:val="24"/>
          <w:lang w:eastAsia="da-DK"/>
        </w:rPr>
        <w:t>neutropeni</w:t>
      </w:r>
      <w:proofErr w:type="spellEnd"/>
      <w:r w:rsidRPr="00D429C9">
        <w:rPr>
          <w:sz w:val="24"/>
          <w:szCs w:val="24"/>
          <w:lang w:eastAsia="da-DK"/>
        </w:rPr>
        <w:t xml:space="preserve"> opstod hos 6,2 % af patienterne i kombinationsterapi.</w:t>
      </w:r>
    </w:p>
    <w:p w:rsidR="00D429C9" w:rsidRPr="00D429C9" w:rsidRDefault="00D429C9" w:rsidP="00D429C9">
      <w:pPr>
        <w:autoSpaceDE w:val="0"/>
        <w:autoSpaceDN w:val="0"/>
        <w:adjustRightInd w:val="0"/>
        <w:ind w:left="851"/>
        <w:rPr>
          <w:b/>
          <w:sz w:val="24"/>
          <w:szCs w:val="24"/>
          <w:lang w:eastAsia="da-DK"/>
        </w:rPr>
      </w:pPr>
    </w:p>
    <w:p w:rsidR="00873CD3" w:rsidRPr="00D429C9" w:rsidRDefault="00873CD3" w:rsidP="00873CD3">
      <w:pPr>
        <w:autoSpaceDE w:val="0"/>
        <w:autoSpaceDN w:val="0"/>
        <w:adjustRightInd w:val="0"/>
        <w:ind w:left="851"/>
        <w:rPr>
          <w:bCs/>
          <w:i/>
          <w:iCs/>
          <w:sz w:val="24"/>
          <w:szCs w:val="24"/>
          <w:lang w:eastAsia="da-DK"/>
        </w:rPr>
      </w:pPr>
      <w:r w:rsidRPr="00D429C9">
        <w:rPr>
          <w:bCs/>
          <w:i/>
          <w:iCs/>
          <w:sz w:val="24"/>
          <w:szCs w:val="24"/>
          <w:lang w:eastAsia="da-DK"/>
        </w:rPr>
        <w:t>Laboratorieundersøgelser</w:t>
      </w:r>
    </w:p>
    <w:p w:rsidR="00873CD3" w:rsidRPr="00D429C9" w:rsidRDefault="00873CD3" w:rsidP="00873CD3">
      <w:pPr>
        <w:autoSpaceDE w:val="0"/>
        <w:autoSpaceDN w:val="0"/>
        <w:adjustRightInd w:val="0"/>
        <w:ind w:left="851"/>
        <w:rPr>
          <w:sz w:val="24"/>
          <w:szCs w:val="24"/>
          <w:lang w:eastAsia="da-DK"/>
        </w:rPr>
      </w:pPr>
      <w:r w:rsidRPr="00D429C9">
        <w:rPr>
          <w:sz w:val="24"/>
          <w:szCs w:val="24"/>
          <w:lang w:eastAsia="da-DK"/>
        </w:rPr>
        <w:t>Forbigående serumniveauer (</w:t>
      </w:r>
      <w:r>
        <w:rPr>
          <w:sz w:val="24"/>
          <w:szCs w:val="24"/>
          <w:lang w:eastAsia="da-DK"/>
        </w:rPr>
        <w:t>Grad</w:t>
      </w:r>
      <w:r w:rsidRPr="00D429C9">
        <w:rPr>
          <w:sz w:val="24"/>
          <w:szCs w:val="24"/>
          <w:lang w:eastAsia="da-DK"/>
        </w:rPr>
        <w:t xml:space="preserve"> 1 og 2) af enten SGOT, SGPT, alkalisk fosfatase eller bilirubin er observeret hos henholdsvis 15 %, 11 %, 11 % og 10 % af patienterne, skønt der ikke var observeret fremskredne levermetastaser. Forbigående </w:t>
      </w:r>
      <w:r>
        <w:rPr>
          <w:sz w:val="24"/>
          <w:szCs w:val="24"/>
          <w:lang w:eastAsia="da-DK"/>
        </w:rPr>
        <w:t>Grad</w:t>
      </w:r>
      <w:r w:rsidRPr="00D429C9">
        <w:rPr>
          <w:sz w:val="24"/>
          <w:szCs w:val="24"/>
          <w:lang w:eastAsia="da-DK"/>
        </w:rPr>
        <w:t xml:space="preserve"> 3 blev observeret hos henholdsvis 0 %, 0 %, 0 % og 1 % af patienterne. Ingen </w:t>
      </w:r>
      <w:r>
        <w:rPr>
          <w:sz w:val="24"/>
          <w:szCs w:val="24"/>
          <w:lang w:eastAsia="da-DK"/>
        </w:rPr>
        <w:t>Grad</w:t>
      </w:r>
      <w:r w:rsidRPr="00D429C9">
        <w:rPr>
          <w:sz w:val="24"/>
          <w:szCs w:val="24"/>
          <w:lang w:eastAsia="da-DK"/>
        </w:rPr>
        <w:t xml:space="preserve"> 4 blev observeret.</w:t>
      </w:r>
    </w:p>
    <w:p w:rsidR="00873CD3" w:rsidRPr="00D429C9" w:rsidRDefault="00873CD3" w:rsidP="00873CD3">
      <w:pPr>
        <w:autoSpaceDE w:val="0"/>
        <w:autoSpaceDN w:val="0"/>
        <w:adjustRightInd w:val="0"/>
        <w:ind w:left="851"/>
        <w:rPr>
          <w:sz w:val="24"/>
          <w:szCs w:val="24"/>
          <w:lang w:eastAsia="da-DK"/>
        </w:rPr>
      </w:pPr>
      <w:r w:rsidRPr="00D429C9">
        <w:rPr>
          <w:sz w:val="24"/>
          <w:szCs w:val="24"/>
          <w:lang w:eastAsia="da-DK"/>
        </w:rPr>
        <w:t xml:space="preserve">Stigninger i amylase og/eller </w:t>
      </w:r>
      <w:proofErr w:type="spellStart"/>
      <w:r w:rsidRPr="00D429C9">
        <w:rPr>
          <w:sz w:val="24"/>
          <w:szCs w:val="24"/>
          <w:lang w:eastAsia="da-DK"/>
        </w:rPr>
        <w:t>lipase</w:t>
      </w:r>
      <w:proofErr w:type="spellEnd"/>
      <w:r w:rsidRPr="00D429C9">
        <w:rPr>
          <w:sz w:val="24"/>
          <w:szCs w:val="24"/>
          <w:lang w:eastAsia="da-DK"/>
        </w:rPr>
        <w:t xml:space="preserve"> er meget sjældent rapporteret.</w:t>
      </w:r>
    </w:p>
    <w:p w:rsidR="00873CD3" w:rsidRDefault="00873CD3" w:rsidP="00873CD3">
      <w:pPr>
        <w:autoSpaceDE w:val="0"/>
        <w:autoSpaceDN w:val="0"/>
        <w:adjustRightInd w:val="0"/>
        <w:ind w:left="851"/>
        <w:rPr>
          <w:sz w:val="24"/>
          <w:szCs w:val="24"/>
          <w:lang w:eastAsia="da-DK"/>
        </w:rPr>
      </w:pPr>
      <w:r w:rsidRPr="00D429C9">
        <w:rPr>
          <w:sz w:val="24"/>
          <w:szCs w:val="24"/>
          <w:lang w:eastAsia="da-DK"/>
        </w:rPr>
        <w:t xml:space="preserve">Der er rapporteret om sjældne tilfælde af </w:t>
      </w:r>
      <w:proofErr w:type="spellStart"/>
      <w:r w:rsidRPr="00D429C9">
        <w:rPr>
          <w:sz w:val="24"/>
          <w:szCs w:val="24"/>
          <w:lang w:eastAsia="da-DK"/>
        </w:rPr>
        <w:t>hypokaliæmi</w:t>
      </w:r>
      <w:proofErr w:type="spellEnd"/>
      <w:r w:rsidRPr="00D429C9">
        <w:rPr>
          <w:sz w:val="24"/>
          <w:szCs w:val="24"/>
          <w:lang w:eastAsia="da-DK"/>
        </w:rPr>
        <w:t xml:space="preserve"> og </w:t>
      </w:r>
      <w:proofErr w:type="spellStart"/>
      <w:r w:rsidRPr="00D429C9">
        <w:rPr>
          <w:sz w:val="24"/>
          <w:szCs w:val="24"/>
          <w:lang w:eastAsia="da-DK"/>
        </w:rPr>
        <w:t>hyponatriæmi</w:t>
      </w:r>
      <w:proofErr w:type="spellEnd"/>
      <w:r w:rsidRPr="00D429C9">
        <w:rPr>
          <w:sz w:val="24"/>
          <w:szCs w:val="24"/>
          <w:lang w:eastAsia="da-DK"/>
        </w:rPr>
        <w:t>, oftest relateret til diarré og opkastning.</w:t>
      </w:r>
    </w:p>
    <w:p w:rsidR="00873CD3" w:rsidRDefault="00873CD3" w:rsidP="00873CD3">
      <w:pPr>
        <w:autoSpaceDE w:val="0"/>
        <w:autoSpaceDN w:val="0"/>
        <w:adjustRightInd w:val="0"/>
        <w:ind w:left="851"/>
        <w:rPr>
          <w:sz w:val="24"/>
          <w:szCs w:val="24"/>
          <w:lang w:eastAsia="da-DK"/>
        </w:rPr>
      </w:pPr>
    </w:p>
    <w:p w:rsidR="00873CD3" w:rsidRPr="0082204E" w:rsidRDefault="00873CD3" w:rsidP="00873CD3">
      <w:pPr>
        <w:ind w:left="851"/>
        <w:rPr>
          <w:b/>
          <w:spacing w:val="-3"/>
          <w:sz w:val="24"/>
          <w:szCs w:val="24"/>
        </w:rPr>
      </w:pPr>
      <w:r w:rsidRPr="0082204E">
        <w:rPr>
          <w:b/>
          <w:spacing w:val="-3"/>
          <w:sz w:val="24"/>
          <w:szCs w:val="24"/>
        </w:rPr>
        <w:t xml:space="preserve">ANDRE BIVIRKNINGER, DER ER </w:t>
      </w:r>
      <w:r>
        <w:rPr>
          <w:b/>
          <w:spacing w:val="-3"/>
          <w:sz w:val="24"/>
          <w:szCs w:val="24"/>
        </w:rPr>
        <w:t>INDBERETTET</w:t>
      </w:r>
      <w:r w:rsidRPr="0082204E">
        <w:rPr>
          <w:b/>
          <w:spacing w:val="-3"/>
          <w:sz w:val="24"/>
          <w:szCs w:val="24"/>
        </w:rPr>
        <w:t xml:space="preserve"> I KLINISKE FORSØG MED UGENTLIG BEHANDLING MED IRINOTECAN </w:t>
      </w:r>
    </w:p>
    <w:p w:rsidR="00873CD3" w:rsidRPr="0082204E" w:rsidRDefault="00873CD3" w:rsidP="00873CD3">
      <w:pPr>
        <w:ind w:left="851"/>
        <w:rPr>
          <w:b/>
          <w:spacing w:val="-3"/>
          <w:sz w:val="24"/>
          <w:szCs w:val="24"/>
        </w:rPr>
      </w:pPr>
    </w:p>
    <w:p w:rsidR="00873CD3" w:rsidRPr="0082204E" w:rsidRDefault="00873CD3" w:rsidP="00873CD3">
      <w:pPr>
        <w:ind w:left="851"/>
        <w:rPr>
          <w:spacing w:val="-3"/>
          <w:sz w:val="24"/>
          <w:szCs w:val="24"/>
        </w:rPr>
      </w:pPr>
      <w:r w:rsidRPr="0082204E">
        <w:rPr>
          <w:spacing w:val="-3"/>
          <w:sz w:val="24"/>
          <w:szCs w:val="24"/>
        </w:rPr>
        <w:t xml:space="preserve">Følgende yderligere </w:t>
      </w:r>
      <w:r>
        <w:rPr>
          <w:spacing w:val="-3"/>
          <w:sz w:val="24"/>
          <w:szCs w:val="24"/>
        </w:rPr>
        <w:t>lægemiddel</w:t>
      </w:r>
      <w:r w:rsidRPr="0082204E">
        <w:rPr>
          <w:spacing w:val="-3"/>
          <w:sz w:val="24"/>
          <w:szCs w:val="24"/>
        </w:rPr>
        <w:t xml:space="preserve">relaterede bivirkninger er </w:t>
      </w:r>
      <w:r>
        <w:rPr>
          <w:spacing w:val="-3"/>
          <w:sz w:val="24"/>
          <w:szCs w:val="24"/>
        </w:rPr>
        <w:t>indberettet</w:t>
      </w:r>
      <w:r w:rsidRPr="0082204E">
        <w:rPr>
          <w:spacing w:val="-3"/>
          <w:sz w:val="24"/>
          <w:szCs w:val="24"/>
        </w:rPr>
        <w:t xml:space="preserve"> i kliniske forsøg med </w:t>
      </w:r>
      <w:proofErr w:type="spellStart"/>
      <w:r w:rsidRPr="0082204E">
        <w:rPr>
          <w:spacing w:val="-3"/>
          <w:sz w:val="24"/>
          <w:szCs w:val="24"/>
        </w:rPr>
        <w:t>irinotecan</w:t>
      </w:r>
      <w:proofErr w:type="spellEnd"/>
      <w:r w:rsidRPr="0082204E">
        <w:rPr>
          <w:spacing w:val="-3"/>
          <w:sz w:val="24"/>
          <w:szCs w:val="24"/>
        </w:rPr>
        <w:t xml:space="preserve">: smerte, sepsis, </w:t>
      </w:r>
      <w:proofErr w:type="spellStart"/>
      <w:r w:rsidRPr="0082204E">
        <w:rPr>
          <w:spacing w:val="-3"/>
          <w:sz w:val="24"/>
          <w:szCs w:val="24"/>
        </w:rPr>
        <w:t>anorektale</w:t>
      </w:r>
      <w:proofErr w:type="spellEnd"/>
      <w:r w:rsidRPr="0082204E">
        <w:rPr>
          <w:spacing w:val="-3"/>
          <w:sz w:val="24"/>
          <w:szCs w:val="24"/>
        </w:rPr>
        <w:t xml:space="preserve"> lidelser, </w:t>
      </w:r>
      <w:proofErr w:type="spellStart"/>
      <w:r w:rsidRPr="0082204E">
        <w:rPr>
          <w:spacing w:val="-3"/>
          <w:sz w:val="24"/>
          <w:szCs w:val="24"/>
        </w:rPr>
        <w:t>candidainfektion</w:t>
      </w:r>
      <w:proofErr w:type="spellEnd"/>
      <w:r>
        <w:rPr>
          <w:spacing w:val="-3"/>
          <w:sz w:val="24"/>
          <w:szCs w:val="24"/>
        </w:rPr>
        <w:t xml:space="preserve"> i mave-tarm-kanalen</w:t>
      </w:r>
      <w:r w:rsidRPr="0082204E">
        <w:rPr>
          <w:spacing w:val="-3"/>
          <w:sz w:val="24"/>
          <w:szCs w:val="24"/>
        </w:rPr>
        <w:t xml:space="preserve">, </w:t>
      </w:r>
      <w:proofErr w:type="spellStart"/>
      <w:r w:rsidRPr="0082204E">
        <w:rPr>
          <w:spacing w:val="-3"/>
          <w:sz w:val="24"/>
          <w:szCs w:val="24"/>
        </w:rPr>
        <w:t>hypomagnesiæmi</w:t>
      </w:r>
      <w:proofErr w:type="spellEnd"/>
      <w:r w:rsidRPr="0082204E">
        <w:rPr>
          <w:spacing w:val="-3"/>
          <w:sz w:val="24"/>
          <w:szCs w:val="24"/>
        </w:rPr>
        <w:t>, udslæt, hudsymptomer, gangforstyrrelser, forvirring, hovedpine, synkope, rødmen, bradykardi, urinvejsinfektion, brystsmerter, forhøjet gamma-</w:t>
      </w:r>
      <w:proofErr w:type="spellStart"/>
      <w:r w:rsidRPr="0082204E">
        <w:rPr>
          <w:spacing w:val="-3"/>
          <w:sz w:val="24"/>
          <w:szCs w:val="24"/>
        </w:rPr>
        <w:t>glutamyltransferase</w:t>
      </w:r>
      <w:proofErr w:type="spellEnd"/>
      <w:r w:rsidRPr="0082204E">
        <w:rPr>
          <w:spacing w:val="-3"/>
          <w:sz w:val="24"/>
          <w:szCs w:val="24"/>
        </w:rPr>
        <w:t xml:space="preserve">, </w:t>
      </w:r>
      <w:proofErr w:type="spellStart"/>
      <w:r w:rsidRPr="0082204E">
        <w:rPr>
          <w:spacing w:val="-3"/>
          <w:sz w:val="24"/>
          <w:szCs w:val="24"/>
        </w:rPr>
        <w:t>extravasation</w:t>
      </w:r>
      <w:proofErr w:type="spellEnd"/>
      <w:r w:rsidRPr="0082204E">
        <w:rPr>
          <w:spacing w:val="-3"/>
          <w:sz w:val="24"/>
          <w:szCs w:val="24"/>
        </w:rPr>
        <w:t xml:space="preserve"> og tumorlysesyndrom, hjerte-kar</w:t>
      </w:r>
      <w:r>
        <w:rPr>
          <w:spacing w:val="-3"/>
          <w:sz w:val="24"/>
          <w:szCs w:val="24"/>
        </w:rPr>
        <w:t>-</w:t>
      </w:r>
      <w:r w:rsidRPr="0082204E">
        <w:rPr>
          <w:spacing w:val="-3"/>
          <w:sz w:val="24"/>
          <w:szCs w:val="24"/>
        </w:rPr>
        <w:t xml:space="preserve">sygdomme (angina pectoris, hjertestop, myokardieinfarkt, </w:t>
      </w:r>
      <w:proofErr w:type="spellStart"/>
      <w:r w:rsidRPr="0082204E">
        <w:rPr>
          <w:spacing w:val="-3"/>
          <w:sz w:val="24"/>
          <w:szCs w:val="24"/>
        </w:rPr>
        <w:t>myokardieiskæmi</w:t>
      </w:r>
      <w:proofErr w:type="spellEnd"/>
      <w:r w:rsidRPr="0082204E">
        <w:rPr>
          <w:spacing w:val="-3"/>
          <w:sz w:val="24"/>
          <w:szCs w:val="24"/>
        </w:rPr>
        <w:t xml:space="preserve">, perifer </w:t>
      </w:r>
      <w:proofErr w:type="spellStart"/>
      <w:r w:rsidRPr="0082204E">
        <w:rPr>
          <w:spacing w:val="-3"/>
          <w:sz w:val="24"/>
          <w:szCs w:val="24"/>
        </w:rPr>
        <w:t>vaskulær</w:t>
      </w:r>
      <w:proofErr w:type="spellEnd"/>
      <w:r w:rsidRPr="0082204E">
        <w:rPr>
          <w:spacing w:val="-3"/>
          <w:sz w:val="24"/>
          <w:szCs w:val="24"/>
        </w:rPr>
        <w:t xml:space="preserve"> sygdom, </w:t>
      </w:r>
      <w:proofErr w:type="spellStart"/>
      <w:r w:rsidRPr="0082204E">
        <w:rPr>
          <w:spacing w:val="-3"/>
          <w:sz w:val="24"/>
          <w:szCs w:val="24"/>
        </w:rPr>
        <w:t>vaskulære</w:t>
      </w:r>
      <w:proofErr w:type="spellEnd"/>
      <w:r w:rsidRPr="0082204E">
        <w:rPr>
          <w:spacing w:val="-3"/>
          <w:sz w:val="24"/>
          <w:szCs w:val="24"/>
        </w:rPr>
        <w:t xml:space="preserve"> lidelser), og </w:t>
      </w:r>
      <w:proofErr w:type="spellStart"/>
      <w:r w:rsidRPr="0082204E">
        <w:rPr>
          <w:spacing w:val="-3"/>
          <w:sz w:val="24"/>
          <w:szCs w:val="24"/>
        </w:rPr>
        <w:t>tromboemboliske</w:t>
      </w:r>
      <w:proofErr w:type="spellEnd"/>
      <w:r w:rsidRPr="0082204E">
        <w:rPr>
          <w:spacing w:val="-3"/>
          <w:sz w:val="24"/>
          <w:szCs w:val="24"/>
        </w:rPr>
        <w:t xml:space="preserve"> komplikationer (arteriel trombose, cerebralt infarkt, </w:t>
      </w:r>
      <w:proofErr w:type="spellStart"/>
      <w:r w:rsidRPr="0082204E">
        <w:rPr>
          <w:spacing w:val="-3"/>
          <w:sz w:val="24"/>
          <w:szCs w:val="24"/>
        </w:rPr>
        <w:t>cerebrovaskulære</w:t>
      </w:r>
      <w:proofErr w:type="spellEnd"/>
      <w:r w:rsidRPr="0082204E">
        <w:rPr>
          <w:spacing w:val="-3"/>
          <w:sz w:val="24"/>
          <w:szCs w:val="24"/>
        </w:rPr>
        <w:t xml:space="preserve"> hændelser, dyb venetrombose, perifer </w:t>
      </w:r>
      <w:proofErr w:type="spellStart"/>
      <w:r w:rsidRPr="0082204E">
        <w:rPr>
          <w:spacing w:val="-3"/>
          <w:sz w:val="24"/>
          <w:szCs w:val="24"/>
        </w:rPr>
        <w:t>emboli</w:t>
      </w:r>
      <w:proofErr w:type="spellEnd"/>
      <w:r w:rsidRPr="0082204E">
        <w:rPr>
          <w:spacing w:val="-3"/>
          <w:sz w:val="24"/>
          <w:szCs w:val="24"/>
        </w:rPr>
        <w:t xml:space="preserve">, </w:t>
      </w:r>
      <w:proofErr w:type="spellStart"/>
      <w:r w:rsidRPr="0082204E">
        <w:rPr>
          <w:spacing w:val="-3"/>
          <w:sz w:val="24"/>
          <w:szCs w:val="24"/>
        </w:rPr>
        <w:t>lungeemboli</w:t>
      </w:r>
      <w:proofErr w:type="spellEnd"/>
      <w:r w:rsidRPr="0082204E">
        <w:rPr>
          <w:spacing w:val="-3"/>
          <w:sz w:val="24"/>
          <w:szCs w:val="24"/>
        </w:rPr>
        <w:t xml:space="preserve">, </w:t>
      </w:r>
      <w:proofErr w:type="spellStart"/>
      <w:r w:rsidRPr="0082204E">
        <w:rPr>
          <w:spacing w:val="-3"/>
          <w:sz w:val="24"/>
          <w:szCs w:val="24"/>
        </w:rPr>
        <w:t>thromboflebitis</w:t>
      </w:r>
      <w:proofErr w:type="spellEnd"/>
      <w:r w:rsidRPr="0082204E">
        <w:rPr>
          <w:spacing w:val="-3"/>
          <w:sz w:val="24"/>
          <w:szCs w:val="24"/>
        </w:rPr>
        <w:t>, trombose og pludselig død) (se pkt. 4.4).</w:t>
      </w:r>
    </w:p>
    <w:p w:rsidR="00873CD3" w:rsidRPr="0082204E" w:rsidRDefault="00873CD3" w:rsidP="00873CD3">
      <w:pPr>
        <w:ind w:left="851"/>
        <w:rPr>
          <w:spacing w:val="-3"/>
          <w:sz w:val="24"/>
          <w:szCs w:val="24"/>
        </w:rPr>
      </w:pPr>
    </w:p>
    <w:p w:rsidR="00873CD3" w:rsidRPr="0082204E" w:rsidRDefault="00873CD3" w:rsidP="00873CD3">
      <w:pPr>
        <w:ind w:left="851"/>
        <w:rPr>
          <w:b/>
          <w:spacing w:val="-3"/>
          <w:sz w:val="24"/>
          <w:szCs w:val="24"/>
        </w:rPr>
      </w:pPr>
      <w:r w:rsidRPr="0082204E">
        <w:rPr>
          <w:b/>
          <w:spacing w:val="-3"/>
          <w:sz w:val="24"/>
          <w:szCs w:val="24"/>
        </w:rPr>
        <w:t>OVERVÅGNING EFTER MARKEDSFØRING</w:t>
      </w:r>
    </w:p>
    <w:p w:rsidR="00873CD3" w:rsidRPr="0082204E" w:rsidRDefault="00873CD3" w:rsidP="00873CD3">
      <w:pPr>
        <w:ind w:left="851"/>
        <w:rPr>
          <w:spacing w:val="-3"/>
          <w:sz w:val="24"/>
          <w:szCs w:val="24"/>
        </w:rPr>
      </w:pPr>
      <w:r>
        <w:rPr>
          <w:spacing w:val="-3"/>
          <w:sz w:val="24"/>
          <w:szCs w:val="24"/>
        </w:rPr>
        <w:t>Hyppigheder</w:t>
      </w:r>
      <w:r w:rsidRPr="0082204E">
        <w:rPr>
          <w:spacing w:val="-3"/>
          <w:sz w:val="24"/>
          <w:szCs w:val="24"/>
        </w:rPr>
        <w:t xml:space="preserve"> fra overvågning efter markedsføring er ikke kendt (kan ikke estimeres ud fra tilgængelige data)</w:t>
      </w:r>
    </w:p>
    <w:p w:rsidR="00873CD3" w:rsidRPr="0082204E" w:rsidRDefault="00873CD3" w:rsidP="00873CD3">
      <w:pPr>
        <w:ind w:left="850"/>
        <w:jc w:val="both"/>
        <w:rPr>
          <w:spacing w:val="-3"/>
          <w:sz w:val="24"/>
          <w:szCs w:val="24"/>
        </w:rPr>
      </w:pPr>
    </w:p>
    <w:tbl>
      <w:tblPr>
        <w:tblW w:w="90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06"/>
      </w:tblGrid>
      <w:tr w:rsidR="00873CD3" w:rsidRPr="0082204E" w:rsidTr="00873CD3">
        <w:tc>
          <w:tcPr>
            <w:tcW w:w="4498"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b/>
                <w:spacing w:val="-3"/>
                <w:sz w:val="22"/>
                <w:szCs w:val="22"/>
              </w:rPr>
              <w:t>MedDRA</w:t>
            </w:r>
            <w:proofErr w:type="spellEnd"/>
            <w:r w:rsidRPr="00100F25">
              <w:rPr>
                <w:b/>
                <w:spacing w:val="-3"/>
                <w:sz w:val="22"/>
                <w:szCs w:val="22"/>
              </w:rPr>
              <w:t xml:space="preserve"> Systemorganklasse</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b/>
                <w:spacing w:val="-3"/>
                <w:sz w:val="22"/>
                <w:szCs w:val="22"/>
              </w:rPr>
            </w:pPr>
            <w:r w:rsidRPr="00100F25">
              <w:rPr>
                <w:b/>
                <w:spacing w:val="-3"/>
                <w:sz w:val="22"/>
                <w:szCs w:val="22"/>
              </w:rPr>
              <w:t>Foretruk</w:t>
            </w:r>
            <w:r>
              <w:rPr>
                <w:b/>
                <w:spacing w:val="-3"/>
                <w:sz w:val="22"/>
                <w:szCs w:val="22"/>
              </w:rPr>
              <w:t>ket</w:t>
            </w:r>
            <w:r w:rsidRPr="00100F25">
              <w:rPr>
                <w:b/>
                <w:spacing w:val="-3"/>
                <w:sz w:val="22"/>
                <w:szCs w:val="22"/>
              </w:rPr>
              <w:t xml:space="preserve"> term</w:t>
            </w:r>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noProof/>
                <w:sz w:val="22"/>
                <w:szCs w:val="22"/>
              </w:rPr>
              <w:t>Infektioner og parasitære sygdomme</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Pseudomembranøs</w:t>
            </w:r>
            <w:proofErr w:type="spellEnd"/>
            <w:r w:rsidRPr="00100F25">
              <w:rPr>
                <w:spacing w:val="-3"/>
                <w:sz w:val="22"/>
                <w:szCs w:val="22"/>
              </w:rPr>
              <w:t xml:space="preserve"> colitis som er dokumenteret til at være bakteriel </w:t>
            </w:r>
            <w:r w:rsidRPr="00100F25">
              <w:rPr>
                <w:i/>
                <w:spacing w:val="-3"/>
                <w:sz w:val="22"/>
                <w:szCs w:val="22"/>
              </w:rPr>
              <w:t>(</w:t>
            </w:r>
            <w:proofErr w:type="spellStart"/>
            <w:r w:rsidRPr="00100F25">
              <w:rPr>
                <w:i/>
                <w:spacing w:val="-3"/>
                <w:sz w:val="22"/>
                <w:szCs w:val="22"/>
              </w:rPr>
              <w:t>clostridium</w:t>
            </w:r>
            <w:proofErr w:type="spellEnd"/>
            <w:r w:rsidRPr="00100F25">
              <w:rPr>
                <w:i/>
                <w:spacing w:val="-3"/>
                <w:sz w:val="22"/>
                <w:szCs w:val="22"/>
              </w:rPr>
              <w:t xml:space="preserve"> difficile)</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Sepsis</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Fungale</w:t>
            </w:r>
            <w:proofErr w:type="spellEnd"/>
            <w:r w:rsidRPr="00100F25">
              <w:rPr>
                <w:spacing w:val="-3"/>
                <w:sz w:val="22"/>
                <w:szCs w:val="22"/>
              </w:rPr>
              <w:t xml:space="preserve"> infektioner* </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Virale infektioner</w:t>
            </w:r>
            <w:r w:rsidRPr="00100F25">
              <w:rPr>
                <w:sz w:val="22"/>
                <w:szCs w:val="22"/>
                <w:vertAlign w:val="superscript"/>
              </w:rPr>
              <w:t>†</w:t>
            </w:r>
          </w:p>
        </w:tc>
      </w:tr>
      <w:tr w:rsidR="00873CD3" w:rsidRPr="0082204E" w:rsidTr="00873CD3">
        <w:tc>
          <w:tcPr>
            <w:tcW w:w="4498"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noProof/>
                <w:sz w:val="22"/>
                <w:szCs w:val="22"/>
              </w:rPr>
              <w:t>Blod and lymfesystem</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Thrombocytopeni</w:t>
            </w:r>
            <w:proofErr w:type="spellEnd"/>
            <w:r w:rsidRPr="00100F25">
              <w:rPr>
                <w:spacing w:val="-3"/>
                <w:sz w:val="22"/>
                <w:szCs w:val="22"/>
              </w:rPr>
              <w:t xml:space="preserve"> med </w:t>
            </w:r>
            <w:proofErr w:type="spellStart"/>
            <w:r w:rsidRPr="00100F25">
              <w:rPr>
                <w:spacing w:val="-3"/>
                <w:sz w:val="22"/>
                <w:szCs w:val="22"/>
              </w:rPr>
              <w:t>thrombocytantistoffer</w:t>
            </w:r>
            <w:proofErr w:type="spellEnd"/>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Immunsystemet</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Overfølsomhed</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Anafylaktisk</w:t>
            </w:r>
            <w:proofErr w:type="spellEnd"/>
            <w:r w:rsidRPr="00100F25">
              <w:rPr>
                <w:spacing w:val="-3"/>
                <w:sz w:val="22"/>
                <w:szCs w:val="22"/>
              </w:rPr>
              <w:t xml:space="preserve"> reaktion</w:t>
            </w:r>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z w:val="22"/>
                <w:szCs w:val="22"/>
              </w:rPr>
              <w:t>Metabolisme og ernæring</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Dehydrering (grundet diarré og opkast</w:t>
            </w:r>
            <w:r>
              <w:rPr>
                <w:spacing w:val="-3"/>
                <w:sz w:val="22"/>
                <w:szCs w:val="22"/>
              </w:rPr>
              <w:t>ning</w:t>
            </w:r>
            <w:r w:rsidRPr="00100F25">
              <w:rPr>
                <w:spacing w:val="-3"/>
                <w:sz w:val="22"/>
                <w:szCs w:val="22"/>
              </w:rPr>
              <w:t>)</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Hypovolæmi</w:t>
            </w:r>
            <w:proofErr w:type="spellEnd"/>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Nervesystemet</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 xml:space="preserve">Forbigående talebesvær og i nogle tilfælde var dette observeret under et </w:t>
            </w:r>
            <w:proofErr w:type="spellStart"/>
            <w:r w:rsidRPr="00100F25">
              <w:rPr>
                <w:spacing w:val="-3"/>
                <w:sz w:val="22"/>
                <w:szCs w:val="22"/>
              </w:rPr>
              <w:t>cholinergt</w:t>
            </w:r>
            <w:proofErr w:type="spellEnd"/>
            <w:r w:rsidRPr="00100F25">
              <w:rPr>
                <w:spacing w:val="-3"/>
                <w:sz w:val="22"/>
                <w:szCs w:val="22"/>
              </w:rPr>
              <w:t xml:space="preserve"> syndrom eller kort efter infusion af </w:t>
            </w:r>
            <w:proofErr w:type="spellStart"/>
            <w:r w:rsidRPr="00100F25">
              <w:rPr>
                <w:spacing w:val="-3"/>
                <w:sz w:val="22"/>
                <w:szCs w:val="22"/>
              </w:rPr>
              <w:t>irinotecan</w:t>
            </w:r>
            <w:proofErr w:type="spellEnd"/>
            <w:r w:rsidRPr="00100F25">
              <w:rPr>
                <w:spacing w:val="-3"/>
                <w:sz w:val="22"/>
                <w:szCs w:val="22"/>
              </w:rPr>
              <w:t xml:space="preserve"> </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Paræstesi</w:t>
            </w:r>
            <w:proofErr w:type="spellEnd"/>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Ufrivillige muskelsammentrækninger</w:t>
            </w:r>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Hjerte</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Hypertension (under og efter infusion)</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Hjertesvigt</w:t>
            </w:r>
            <w:r w:rsidRPr="00100F25">
              <w:rPr>
                <w:sz w:val="22"/>
                <w:szCs w:val="22"/>
                <w:vertAlign w:val="superscript"/>
              </w:rPr>
              <w:t xml:space="preserve"> ‡</w:t>
            </w:r>
            <w:r w:rsidRPr="00100F25">
              <w:rPr>
                <w:spacing w:val="-3"/>
                <w:sz w:val="22"/>
                <w:szCs w:val="22"/>
              </w:rPr>
              <w:t xml:space="preserve"> </w:t>
            </w:r>
          </w:p>
        </w:tc>
      </w:tr>
      <w:tr w:rsidR="00873CD3" w:rsidRPr="0082204E" w:rsidTr="00873CD3">
        <w:tc>
          <w:tcPr>
            <w:tcW w:w="4498"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noProof/>
                <w:sz w:val="22"/>
                <w:szCs w:val="22"/>
              </w:rPr>
            </w:pPr>
            <w:r w:rsidRPr="00100F25">
              <w:rPr>
                <w:noProof/>
                <w:sz w:val="22"/>
                <w:szCs w:val="22"/>
              </w:rPr>
              <w:t>Vaskulære sygdomme</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Hypotension</w:t>
            </w:r>
            <w:r w:rsidRPr="00100F25">
              <w:rPr>
                <w:sz w:val="22"/>
                <w:szCs w:val="22"/>
                <w:vertAlign w:val="superscript"/>
              </w:rPr>
              <w:t>‡</w:t>
            </w:r>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noProof/>
                <w:sz w:val="22"/>
                <w:szCs w:val="22"/>
              </w:rPr>
              <w:t xml:space="preserve">Luftveje, thorax og mediastinum  </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Interstitiel</w:t>
            </w:r>
            <w:proofErr w:type="spellEnd"/>
            <w:r w:rsidRPr="00100F25">
              <w:rPr>
                <w:spacing w:val="-3"/>
                <w:sz w:val="22"/>
                <w:szCs w:val="22"/>
              </w:rPr>
              <w:t xml:space="preserve"> lungesygdom, der viser sig som </w:t>
            </w:r>
            <w:proofErr w:type="spellStart"/>
            <w:r w:rsidRPr="00100F25">
              <w:rPr>
                <w:spacing w:val="-3"/>
                <w:sz w:val="22"/>
                <w:szCs w:val="22"/>
              </w:rPr>
              <w:t>lungeinfiltrater</w:t>
            </w:r>
            <w:proofErr w:type="spellEnd"/>
            <w:r w:rsidRPr="00100F25">
              <w:rPr>
                <w:spacing w:val="-3"/>
                <w:sz w:val="22"/>
                <w:szCs w:val="22"/>
              </w:rPr>
              <w:t xml:space="preserve">, er ikke almindelig under </w:t>
            </w:r>
            <w:proofErr w:type="spellStart"/>
            <w:r w:rsidRPr="00100F25">
              <w:rPr>
                <w:spacing w:val="-3"/>
                <w:sz w:val="22"/>
                <w:szCs w:val="22"/>
              </w:rPr>
              <w:t>irinotecanbehandling</w:t>
            </w:r>
            <w:proofErr w:type="spellEnd"/>
            <w:r>
              <w:rPr>
                <w:spacing w:val="-3"/>
                <w:sz w:val="22"/>
                <w:szCs w:val="22"/>
              </w:rPr>
              <w:t xml:space="preserve">. Der er indberettet </w:t>
            </w:r>
            <w:r w:rsidRPr="00100F25">
              <w:rPr>
                <w:spacing w:val="-3"/>
                <w:sz w:val="22"/>
                <w:szCs w:val="22"/>
              </w:rPr>
              <w:t>tidlige tegn såsom dyspnø (se pkt. 4.4)</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Dyspnø (se pkt. 4.4)</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Hikke</w:t>
            </w:r>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Mave-tarm-kanalen</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Intestinal</w:t>
            </w:r>
            <w:proofErr w:type="spellEnd"/>
            <w:r w:rsidRPr="00100F25">
              <w:rPr>
                <w:spacing w:val="-3"/>
                <w:sz w:val="22"/>
                <w:szCs w:val="22"/>
              </w:rPr>
              <w:t xml:space="preserve"> obstruktion</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Ileus</w:t>
            </w:r>
            <w:proofErr w:type="spellEnd"/>
            <w:r w:rsidRPr="00100F25">
              <w:rPr>
                <w:spacing w:val="-3"/>
                <w:sz w:val="22"/>
                <w:szCs w:val="22"/>
              </w:rPr>
              <w:t xml:space="preserve">: </w:t>
            </w:r>
            <w:r>
              <w:rPr>
                <w:spacing w:val="-3"/>
                <w:sz w:val="22"/>
                <w:szCs w:val="22"/>
              </w:rPr>
              <w:t xml:space="preserve">der er indberettet </w:t>
            </w:r>
            <w:r w:rsidRPr="00100F25">
              <w:rPr>
                <w:spacing w:val="-3"/>
                <w:sz w:val="22"/>
                <w:szCs w:val="22"/>
              </w:rPr>
              <w:t xml:space="preserve">tilfælde af </w:t>
            </w:r>
            <w:proofErr w:type="spellStart"/>
            <w:r w:rsidRPr="00100F25">
              <w:rPr>
                <w:spacing w:val="-3"/>
                <w:sz w:val="22"/>
                <w:szCs w:val="22"/>
              </w:rPr>
              <w:t>ileus</w:t>
            </w:r>
            <w:proofErr w:type="spellEnd"/>
            <w:r w:rsidRPr="00100F25">
              <w:rPr>
                <w:spacing w:val="-3"/>
                <w:sz w:val="22"/>
                <w:szCs w:val="22"/>
              </w:rPr>
              <w:t xml:space="preserve"> uden nogen forudgående colitis </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Megacolon</w:t>
            </w:r>
            <w:proofErr w:type="spellEnd"/>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Gastrointestinal</w:t>
            </w:r>
            <w:proofErr w:type="spellEnd"/>
            <w:r w:rsidRPr="00100F25">
              <w:rPr>
                <w:spacing w:val="-3"/>
                <w:sz w:val="22"/>
                <w:szCs w:val="22"/>
              </w:rPr>
              <w:t xml:space="preserve"> blødning</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 xml:space="preserve">Colitis, i nogle tilfælde var colitis kompliceret af </w:t>
            </w:r>
            <w:proofErr w:type="spellStart"/>
            <w:r w:rsidRPr="00100F25">
              <w:rPr>
                <w:spacing w:val="-3"/>
                <w:sz w:val="22"/>
                <w:szCs w:val="22"/>
              </w:rPr>
              <w:t>ulceration</w:t>
            </w:r>
            <w:proofErr w:type="spellEnd"/>
            <w:r w:rsidRPr="00100F25">
              <w:rPr>
                <w:spacing w:val="-3"/>
                <w:sz w:val="22"/>
                <w:szCs w:val="22"/>
              </w:rPr>
              <w:t xml:space="preserve">, blødning, </w:t>
            </w:r>
            <w:proofErr w:type="spellStart"/>
            <w:r w:rsidRPr="00100F25">
              <w:rPr>
                <w:spacing w:val="-3"/>
                <w:sz w:val="22"/>
                <w:szCs w:val="22"/>
              </w:rPr>
              <w:t>ileus</w:t>
            </w:r>
            <w:proofErr w:type="spellEnd"/>
            <w:r w:rsidRPr="00100F25">
              <w:rPr>
                <w:spacing w:val="-3"/>
                <w:sz w:val="22"/>
                <w:szCs w:val="22"/>
              </w:rPr>
              <w:t xml:space="preserve"> eller infektion</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Typhlitis</w:t>
            </w:r>
            <w:proofErr w:type="spellEnd"/>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Iskæmisk colitis</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 xml:space="preserve">Colitis </w:t>
            </w:r>
            <w:proofErr w:type="spellStart"/>
            <w:r w:rsidRPr="00100F25">
              <w:rPr>
                <w:spacing w:val="-3"/>
                <w:sz w:val="22"/>
                <w:szCs w:val="22"/>
              </w:rPr>
              <w:t>ulcerosa</w:t>
            </w:r>
            <w:proofErr w:type="spellEnd"/>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Symptomatisk eller asymptomatisk forhøjet bugspytkirtelenzymer</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Tarmperforation</w:t>
            </w:r>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noProof/>
                <w:sz w:val="22"/>
                <w:szCs w:val="22"/>
              </w:rPr>
              <w:t>Lever og galdeveje</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Steatohepatitis</w:t>
            </w:r>
            <w:proofErr w:type="spellEnd"/>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Hepatisk</w:t>
            </w:r>
            <w:proofErr w:type="spellEnd"/>
            <w:r w:rsidRPr="00100F25">
              <w:rPr>
                <w:spacing w:val="-3"/>
                <w:sz w:val="22"/>
                <w:szCs w:val="22"/>
              </w:rPr>
              <w:t xml:space="preserve"> </w:t>
            </w:r>
            <w:proofErr w:type="spellStart"/>
            <w:r w:rsidRPr="00100F25">
              <w:rPr>
                <w:spacing w:val="-3"/>
                <w:sz w:val="22"/>
                <w:szCs w:val="22"/>
              </w:rPr>
              <w:t>steatose</w:t>
            </w:r>
            <w:proofErr w:type="spellEnd"/>
          </w:p>
        </w:tc>
      </w:tr>
      <w:tr w:rsidR="00873CD3" w:rsidRPr="0082204E" w:rsidTr="00873CD3">
        <w:tc>
          <w:tcPr>
            <w:tcW w:w="4498"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Hud og subkutane væv</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Hudreaktion</w:t>
            </w:r>
          </w:p>
        </w:tc>
      </w:tr>
      <w:tr w:rsidR="00873CD3" w:rsidRPr="0082204E" w:rsidTr="00873CD3">
        <w:tc>
          <w:tcPr>
            <w:tcW w:w="4498"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noProof/>
                <w:sz w:val="22"/>
                <w:szCs w:val="22"/>
              </w:rPr>
              <w:t>Knogler, led, muskler og bindevæv</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Kramper</w:t>
            </w:r>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noProof/>
                <w:sz w:val="22"/>
                <w:szCs w:val="22"/>
              </w:rPr>
              <w:t>Nyrer og urinveje</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 xml:space="preserve">Nedsat nyrefunktion og akut nyresvigt generelt hos patienter, som er blevet inficereret og/eller har væskemangel grundet svær </w:t>
            </w:r>
            <w:proofErr w:type="spellStart"/>
            <w:r w:rsidRPr="00100F25">
              <w:rPr>
                <w:spacing w:val="-3"/>
                <w:sz w:val="22"/>
                <w:szCs w:val="22"/>
              </w:rPr>
              <w:t>gastrointestinal</w:t>
            </w:r>
            <w:proofErr w:type="spellEnd"/>
            <w:r w:rsidRPr="00100F25">
              <w:rPr>
                <w:spacing w:val="-3"/>
                <w:sz w:val="22"/>
                <w:szCs w:val="22"/>
              </w:rPr>
              <w:t xml:space="preserve"> toksicitet</w:t>
            </w:r>
            <w:r w:rsidRPr="00100F25">
              <w:rPr>
                <w:sz w:val="22"/>
                <w:szCs w:val="22"/>
                <w:vertAlign w:val="superscript"/>
              </w:rPr>
              <w:t>‡</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Nyreinsufficiens</w:t>
            </w:r>
            <w:r w:rsidRPr="00100F25">
              <w:rPr>
                <w:sz w:val="22"/>
                <w:szCs w:val="22"/>
                <w:vertAlign w:val="superscript"/>
              </w:rPr>
              <w:t>‡</w:t>
            </w:r>
          </w:p>
        </w:tc>
      </w:tr>
      <w:tr w:rsidR="00873CD3" w:rsidRPr="0082204E" w:rsidTr="00873CD3">
        <w:tc>
          <w:tcPr>
            <w:tcW w:w="4498"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Almene symptomer og reaktioner på administrationsstedet</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Reaktioner ved infusionsstedet</w:t>
            </w:r>
          </w:p>
        </w:tc>
      </w:tr>
      <w:tr w:rsidR="00873CD3" w:rsidRPr="0082204E" w:rsidTr="00873CD3">
        <w:tc>
          <w:tcPr>
            <w:tcW w:w="4498" w:type="dxa"/>
            <w:vMerge w:val="restart"/>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Undersøgelser</w:t>
            </w: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Forhøjet amylase</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 xml:space="preserve">Forøget </w:t>
            </w:r>
            <w:proofErr w:type="spellStart"/>
            <w:r w:rsidRPr="00100F25">
              <w:rPr>
                <w:spacing w:val="-3"/>
                <w:sz w:val="22"/>
                <w:szCs w:val="22"/>
              </w:rPr>
              <w:t>lipase</w:t>
            </w:r>
            <w:proofErr w:type="spellEnd"/>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Hypokaliæmi</w:t>
            </w:r>
            <w:proofErr w:type="spellEnd"/>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proofErr w:type="spellStart"/>
            <w:r w:rsidRPr="00100F25">
              <w:rPr>
                <w:spacing w:val="-3"/>
                <w:sz w:val="22"/>
                <w:szCs w:val="22"/>
              </w:rPr>
              <w:t>Hyponatriæmi</w:t>
            </w:r>
            <w:proofErr w:type="spellEnd"/>
            <w:r w:rsidRPr="00100F25">
              <w:rPr>
                <w:spacing w:val="-3"/>
                <w:sz w:val="22"/>
                <w:szCs w:val="22"/>
              </w:rPr>
              <w:t xml:space="preserve"> mest relateret til diarré og opkast</w:t>
            </w:r>
          </w:p>
        </w:tc>
      </w:tr>
      <w:tr w:rsidR="00873CD3" w:rsidRPr="0082204E" w:rsidTr="00873CD3">
        <w:tc>
          <w:tcPr>
            <w:tcW w:w="0" w:type="auto"/>
            <w:vMerge/>
            <w:tcBorders>
              <w:top w:val="single" w:sz="4" w:space="0" w:color="auto"/>
              <w:left w:val="single" w:sz="4" w:space="0" w:color="auto"/>
              <w:bottom w:val="single" w:sz="4" w:space="0" w:color="auto"/>
              <w:right w:val="single" w:sz="4" w:space="0" w:color="auto"/>
            </w:tcBorders>
            <w:vAlign w:val="center"/>
            <w:hideMark/>
          </w:tcPr>
          <w:p w:rsidR="00873CD3" w:rsidRPr="00100F25" w:rsidRDefault="00873CD3" w:rsidP="00873CD3">
            <w:pPr>
              <w:rPr>
                <w:spacing w:val="-3"/>
                <w:sz w:val="22"/>
                <w:szCs w:val="22"/>
              </w:rPr>
            </w:pPr>
          </w:p>
        </w:tc>
        <w:tc>
          <w:tcPr>
            <w:tcW w:w="4506" w:type="dxa"/>
            <w:tcBorders>
              <w:top w:val="single" w:sz="4" w:space="0" w:color="auto"/>
              <w:left w:val="single" w:sz="4" w:space="0" w:color="auto"/>
              <w:bottom w:val="single" w:sz="4" w:space="0" w:color="auto"/>
              <w:right w:val="single" w:sz="4" w:space="0" w:color="auto"/>
            </w:tcBorders>
            <w:hideMark/>
          </w:tcPr>
          <w:p w:rsidR="00873CD3" w:rsidRPr="00100F25" w:rsidRDefault="00873CD3" w:rsidP="00873CD3">
            <w:pPr>
              <w:rPr>
                <w:spacing w:val="-3"/>
                <w:sz w:val="22"/>
                <w:szCs w:val="22"/>
              </w:rPr>
            </w:pPr>
            <w:r w:rsidRPr="00100F25">
              <w:rPr>
                <w:spacing w:val="-3"/>
                <w:sz w:val="22"/>
                <w:szCs w:val="22"/>
              </w:rPr>
              <w:t xml:space="preserve">Forøgede </w:t>
            </w:r>
            <w:proofErr w:type="spellStart"/>
            <w:r w:rsidRPr="00100F25">
              <w:rPr>
                <w:spacing w:val="-3"/>
                <w:sz w:val="22"/>
                <w:szCs w:val="22"/>
              </w:rPr>
              <w:t>transaminaser</w:t>
            </w:r>
            <w:proofErr w:type="spellEnd"/>
            <w:r w:rsidRPr="00100F25">
              <w:rPr>
                <w:spacing w:val="-3"/>
                <w:sz w:val="22"/>
                <w:szCs w:val="22"/>
              </w:rPr>
              <w:t xml:space="preserve"> (f.eks. ASAT og ALAT) er blevet </w:t>
            </w:r>
            <w:r>
              <w:rPr>
                <w:spacing w:val="-3"/>
                <w:sz w:val="22"/>
                <w:szCs w:val="22"/>
              </w:rPr>
              <w:t>indberettet</w:t>
            </w:r>
            <w:r w:rsidRPr="00100F25">
              <w:rPr>
                <w:spacing w:val="-3"/>
                <w:sz w:val="22"/>
                <w:szCs w:val="22"/>
              </w:rPr>
              <w:t xml:space="preserve"> meget sjældent, hvor der ikke er progressive levermetastaser </w:t>
            </w:r>
          </w:p>
        </w:tc>
      </w:tr>
    </w:tbl>
    <w:p w:rsidR="00873CD3" w:rsidRPr="00100F25" w:rsidRDefault="00873CD3" w:rsidP="00873CD3">
      <w:pPr>
        <w:ind w:left="851"/>
        <w:rPr>
          <w:spacing w:val="-3"/>
          <w:sz w:val="22"/>
          <w:szCs w:val="22"/>
        </w:rPr>
      </w:pPr>
      <w:r w:rsidRPr="00100F25">
        <w:rPr>
          <w:spacing w:val="-3"/>
          <w:sz w:val="22"/>
          <w:szCs w:val="22"/>
        </w:rPr>
        <w:t xml:space="preserve">*F.eks. </w:t>
      </w:r>
      <w:proofErr w:type="spellStart"/>
      <w:r w:rsidRPr="00100F25">
        <w:rPr>
          <w:iCs/>
          <w:sz w:val="22"/>
          <w:szCs w:val="22"/>
        </w:rPr>
        <w:t>Pneumocystis</w:t>
      </w:r>
      <w:proofErr w:type="spellEnd"/>
      <w:r w:rsidRPr="00100F25">
        <w:rPr>
          <w:iCs/>
          <w:sz w:val="22"/>
          <w:szCs w:val="22"/>
        </w:rPr>
        <w:t xml:space="preserve"> </w:t>
      </w:r>
      <w:proofErr w:type="spellStart"/>
      <w:r w:rsidRPr="00100F25">
        <w:rPr>
          <w:iCs/>
          <w:sz w:val="22"/>
          <w:szCs w:val="22"/>
        </w:rPr>
        <w:t>jiroveci</w:t>
      </w:r>
      <w:proofErr w:type="spellEnd"/>
      <w:r w:rsidRPr="00100F25">
        <w:rPr>
          <w:sz w:val="22"/>
          <w:szCs w:val="22"/>
        </w:rPr>
        <w:t xml:space="preserve"> pneumoni, </w:t>
      </w:r>
      <w:proofErr w:type="spellStart"/>
      <w:r w:rsidRPr="00100F25">
        <w:rPr>
          <w:rStyle w:val="Fremhv"/>
          <w:b w:val="0"/>
          <w:sz w:val="22"/>
          <w:szCs w:val="22"/>
        </w:rPr>
        <w:t>bronkopulmonal</w:t>
      </w:r>
      <w:proofErr w:type="spellEnd"/>
      <w:r w:rsidRPr="00100F25">
        <w:rPr>
          <w:rStyle w:val="st1"/>
          <w:sz w:val="22"/>
          <w:szCs w:val="22"/>
        </w:rPr>
        <w:t xml:space="preserve"> </w:t>
      </w:r>
      <w:proofErr w:type="spellStart"/>
      <w:r w:rsidRPr="00100F25">
        <w:rPr>
          <w:rStyle w:val="st1"/>
          <w:sz w:val="22"/>
          <w:szCs w:val="22"/>
        </w:rPr>
        <w:t>aspergillose</w:t>
      </w:r>
      <w:proofErr w:type="spellEnd"/>
      <w:r w:rsidRPr="00100F25">
        <w:rPr>
          <w:rStyle w:val="st1"/>
          <w:sz w:val="22"/>
          <w:szCs w:val="22"/>
        </w:rPr>
        <w:t xml:space="preserve">, </w:t>
      </w:r>
      <w:proofErr w:type="spellStart"/>
      <w:r w:rsidRPr="00100F25">
        <w:rPr>
          <w:rStyle w:val="st1"/>
          <w:sz w:val="22"/>
          <w:szCs w:val="22"/>
        </w:rPr>
        <w:t>systemtisk</w:t>
      </w:r>
      <w:proofErr w:type="spellEnd"/>
      <w:r w:rsidRPr="00100F25">
        <w:rPr>
          <w:rStyle w:val="st1"/>
          <w:sz w:val="22"/>
          <w:szCs w:val="22"/>
        </w:rPr>
        <w:t xml:space="preserve"> </w:t>
      </w:r>
      <w:proofErr w:type="spellStart"/>
      <w:r w:rsidRPr="00100F25">
        <w:rPr>
          <w:rStyle w:val="st1"/>
          <w:sz w:val="22"/>
          <w:szCs w:val="22"/>
        </w:rPr>
        <w:t>candida</w:t>
      </w:r>
      <w:proofErr w:type="spellEnd"/>
    </w:p>
    <w:p w:rsidR="00873CD3" w:rsidRPr="00100F25" w:rsidRDefault="00873CD3" w:rsidP="00873CD3">
      <w:pPr>
        <w:ind w:left="851"/>
        <w:rPr>
          <w:spacing w:val="-3"/>
          <w:sz w:val="22"/>
          <w:szCs w:val="22"/>
        </w:rPr>
      </w:pPr>
      <w:r w:rsidRPr="00100F25">
        <w:rPr>
          <w:sz w:val="22"/>
          <w:szCs w:val="22"/>
          <w:vertAlign w:val="superscript"/>
        </w:rPr>
        <w:t xml:space="preserve">† </w:t>
      </w:r>
      <w:r w:rsidRPr="00100F25">
        <w:rPr>
          <w:sz w:val="22"/>
          <w:szCs w:val="22"/>
        </w:rPr>
        <w:t xml:space="preserve">F.eks. Herpes </w:t>
      </w:r>
      <w:proofErr w:type="spellStart"/>
      <w:r w:rsidRPr="00100F25">
        <w:rPr>
          <w:sz w:val="22"/>
          <w:szCs w:val="22"/>
        </w:rPr>
        <w:t>zoster</w:t>
      </w:r>
      <w:proofErr w:type="spellEnd"/>
      <w:r w:rsidRPr="00100F25">
        <w:rPr>
          <w:sz w:val="22"/>
          <w:szCs w:val="22"/>
        </w:rPr>
        <w:t xml:space="preserve">, influenza, hepatitis B reaktivering, </w:t>
      </w:r>
      <w:proofErr w:type="spellStart"/>
      <w:r w:rsidRPr="00100F25">
        <w:rPr>
          <w:sz w:val="22"/>
          <w:szCs w:val="22"/>
        </w:rPr>
        <w:t>cytomegalovirus</w:t>
      </w:r>
      <w:proofErr w:type="spellEnd"/>
      <w:r w:rsidRPr="00100F25">
        <w:rPr>
          <w:sz w:val="22"/>
          <w:szCs w:val="22"/>
        </w:rPr>
        <w:t xml:space="preserve"> colitis </w:t>
      </w:r>
    </w:p>
    <w:p w:rsidR="00873CD3" w:rsidRPr="00100F25" w:rsidRDefault="00873CD3" w:rsidP="00873CD3">
      <w:pPr>
        <w:ind w:left="851"/>
        <w:rPr>
          <w:spacing w:val="-3"/>
          <w:sz w:val="22"/>
          <w:szCs w:val="22"/>
        </w:rPr>
      </w:pPr>
      <w:r w:rsidRPr="00100F25">
        <w:rPr>
          <w:sz w:val="22"/>
          <w:szCs w:val="22"/>
          <w:vertAlign w:val="superscript"/>
        </w:rPr>
        <w:t>‡</w:t>
      </w:r>
      <w:r w:rsidRPr="00100F25">
        <w:rPr>
          <w:spacing w:val="-3"/>
          <w:sz w:val="22"/>
          <w:szCs w:val="22"/>
        </w:rPr>
        <w:t>Sjældne tilfælde af nyreinsufficiens, hypotension eller hjertesvigt er blevet observeret hos patienter, som har oplevet episoder med dehydrering associeret med diarré og/eller opkastning eller sepsis.</w:t>
      </w:r>
    </w:p>
    <w:p w:rsidR="00D429C9" w:rsidRPr="00D429C9" w:rsidRDefault="00D429C9" w:rsidP="00D429C9">
      <w:pPr>
        <w:autoSpaceDE w:val="0"/>
        <w:autoSpaceDN w:val="0"/>
        <w:adjustRightInd w:val="0"/>
        <w:ind w:left="851"/>
        <w:rPr>
          <w:sz w:val="24"/>
          <w:szCs w:val="24"/>
          <w:lang w:eastAsia="da-DK"/>
        </w:rPr>
      </w:pPr>
    </w:p>
    <w:p w:rsidR="00D429C9" w:rsidRPr="00D429C9" w:rsidRDefault="00D429C9" w:rsidP="00D429C9">
      <w:pPr>
        <w:autoSpaceDE w:val="0"/>
        <w:autoSpaceDN w:val="0"/>
        <w:ind w:left="851"/>
        <w:rPr>
          <w:sz w:val="24"/>
          <w:szCs w:val="24"/>
          <w:u w:val="single"/>
          <w:lang w:eastAsia="da-DK"/>
        </w:rPr>
      </w:pPr>
      <w:r w:rsidRPr="00D429C9">
        <w:rPr>
          <w:sz w:val="24"/>
          <w:szCs w:val="24"/>
          <w:u w:val="single"/>
          <w:lang w:eastAsia="da-DK"/>
        </w:rPr>
        <w:t>Indberetning af formodede bivirkninger</w:t>
      </w:r>
    </w:p>
    <w:p w:rsidR="00D429C9" w:rsidRPr="00D429C9" w:rsidRDefault="00D429C9" w:rsidP="00D429C9">
      <w:pPr>
        <w:ind w:left="851"/>
        <w:rPr>
          <w:sz w:val="24"/>
          <w:szCs w:val="24"/>
          <w:lang w:eastAsia="da-DK"/>
        </w:rPr>
      </w:pPr>
      <w:r w:rsidRPr="00D429C9">
        <w:rPr>
          <w:sz w:val="24"/>
          <w:szCs w:val="24"/>
          <w:lang w:eastAsia="da-DK"/>
        </w:rPr>
        <w:t>Når lægemidlet er godkendt, er indberetning af formodede bivirkninger vigtig. Det muliggør løbende overvågning af benefit/</w:t>
      </w:r>
      <w:proofErr w:type="spellStart"/>
      <w:r w:rsidRPr="00D429C9">
        <w:rPr>
          <w:sz w:val="24"/>
          <w:szCs w:val="24"/>
          <w:lang w:eastAsia="da-DK"/>
        </w:rPr>
        <w:t>risk</w:t>
      </w:r>
      <w:proofErr w:type="spellEnd"/>
      <w:r w:rsidRPr="00D429C9">
        <w:rPr>
          <w:sz w:val="24"/>
          <w:szCs w:val="24"/>
          <w:lang w:eastAsia="da-DK"/>
        </w:rPr>
        <w:t>-forholdet for lægemidlet. Sundhedspersoner anmodes om at indberette alle formodede bivirkninger via:</w:t>
      </w:r>
    </w:p>
    <w:p w:rsidR="002F45B1" w:rsidRDefault="002F45B1" w:rsidP="002F45B1">
      <w:pPr>
        <w:ind w:left="851"/>
        <w:rPr>
          <w:sz w:val="24"/>
          <w:szCs w:val="24"/>
          <w:lang w:eastAsia="da-DK"/>
        </w:rPr>
      </w:pPr>
    </w:p>
    <w:p w:rsidR="002F45B1" w:rsidRDefault="002F45B1" w:rsidP="002F45B1">
      <w:pPr>
        <w:ind w:left="851"/>
        <w:rPr>
          <w:sz w:val="24"/>
          <w:szCs w:val="24"/>
          <w:lang w:eastAsia="da-DK"/>
        </w:rPr>
      </w:pPr>
      <w:r>
        <w:rPr>
          <w:sz w:val="24"/>
          <w:szCs w:val="24"/>
          <w:lang w:eastAsia="da-DK"/>
        </w:rPr>
        <w:t>Lægemiddelstyrelsen</w:t>
      </w:r>
    </w:p>
    <w:p w:rsidR="002F45B1" w:rsidRDefault="002F45B1" w:rsidP="002F45B1">
      <w:pPr>
        <w:ind w:left="851"/>
        <w:rPr>
          <w:sz w:val="24"/>
          <w:szCs w:val="24"/>
          <w:lang w:eastAsia="da-DK"/>
        </w:rPr>
      </w:pPr>
      <w:r>
        <w:rPr>
          <w:sz w:val="24"/>
          <w:szCs w:val="24"/>
          <w:lang w:eastAsia="da-DK"/>
        </w:rPr>
        <w:t>Axel Heides Gade 1</w:t>
      </w:r>
    </w:p>
    <w:p w:rsidR="002F45B1" w:rsidRDefault="002F45B1" w:rsidP="002F45B1">
      <w:pPr>
        <w:ind w:left="851"/>
        <w:rPr>
          <w:sz w:val="24"/>
          <w:szCs w:val="24"/>
          <w:lang w:eastAsia="da-DK"/>
        </w:rPr>
      </w:pPr>
      <w:r>
        <w:rPr>
          <w:sz w:val="24"/>
          <w:szCs w:val="24"/>
          <w:lang w:eastAsia="da-DK"/>
        </w:rPr>
        <w:t>DK-2300 København S</w:t>
      </w:r>
    </w:p>
    <w:p w:rsidR="002F45B1" w:rsidRPr="00656E67" w:rsidRDefault="002F45B1" w:rsidP="002F45B1">
      <w:pPr>
        <w:ind w:left="851"/>
        <w:rPr>
          <w:sz w:val="24"/>
          <w:szCs w:val="24"/>
          <w:lang w:eastAsia="da-DK"/>
        </w:rPr>
      </w:pPr>
      <w:r w:rsidRPr="00656E67">
        <w:rPr>
          <w:sz w:val="24"/>
          <w:szCs w:val="24"/>
          <w:lang w:eastAsia="da-DK"/>
        </w:rPr>
        <w:t xml:space="preserve">Websted: </w:t>
      </w:r>
      <w:hyperlink r:id="rId8" w:history="1">
        <w:r w:rsidRPr="00656E67">
          <w:rPr>
            <w:rStyle w:val="Hyperlink"/>
            <w:sz w:val="24"/>
          </w:rPr>
          <w:t>www.meldenbivirkning.dk</w:t>
        </w:r>
      </w:hyperlink>
    </w:p>
    <w:p w:rsidR="002F45B1" w:rsidRPr="00656E67" w:rsidRDefault="002F45B1" w:rsidP="002F45B1">
      <w:pPr>
        <w:pStyle w:val="Sidehoved"/>
        <w:tabs>
          <w:tab w:val="left" w:pos="851"/>
        </w:tabs>
        <w:ind w:left="851"/>
        <w:rPr>
          <w:szCs w:val="24"/>
        </w:rPr>
      </w:pPr>
    </w:p>
    <w:p w:rsidR="002F45B1" w:rsidRPr="00C84483" w:rsidRDefault="002F45B1" w:rsidP="002F45B1">
      <w:pPr>
        <w:tabs>
          <w:tab w:val="left" w:pos="851"/>
        </w:tabs>
        <w:ind w:left="851" w:hanging="851"/>
        <w:rPr>
          <w:b/>
          <w:sz w:val="24"/>
          <w:szCs w:val="24"/>
        </w:rPr>
      </w:pPr>
      <w:r w:rsidRPr="00C84483">
        <w:rPr>
          <w:b/>
          <w:sz w:val="24"/>
          <w:szCs w:val="24"/>
        </w:rPr>
        <w:t>4.9</w:t>
      </w:r>
      <w:r w:rsidRPr="00C84483">
        <w:rPr>
          <w:b/>
          <w:sz w:val="24"/>
          <w:szCs w:val="24"/>
        </w:rPr>
        <w:tab/>
        <w:t>Overdosering</w:t>
      </w:r>
    </w:p>
    <w:p w:rsidR="00D429C9" w:rsidRDefault="00D429C9" w:rsidP="00D429C9">
      <w:pPr>
        <w:pStyle w:val="Normalindrykning"/>
        <w:spacing w:after="0"/>
        <w:ind w:left="851"/>
        <w:rPr>
          <w:sz w:val="24"/>
          <w:szCs w:val="24"/>
          <w:u w:val="single"/>
        </w:rPr>
      </w:pPr>
    </w:p>
    <w:p w:rsidR="00D429C9" w:rsidRPr="00D429C9" w:rsidRDefault="00D429C9" w:rsidP="00D429C9">
      <w:pPr>
        <w:pStyle w:val="Normalindrykning"/>
        <w:spacing w:after="0"/>
        <w:ind w:left="851"/>
        <w:rPr>
          <w:sz w:val="24"/>
          <w:szCs w:val="24"/>
          <w:u w:val="single"/>
        </w:rPr>
      </w:pPr>
      <w:r w:rsidRPr="00D429C9">
        <w:rPr>
          <w:sz w:val="24"/>
          <w:szCs w:val="24"/>
          <w:u w:val="single"/>
        </w:rPr>
        <w:t>Symptomer</w:t>
      </w:r>
    </w:p>
    <w:p w:rsidR="00D429C9" w:rsidRPr="00D429C9" w:rsidRDefault="00D429C9" w:rsidP="00D429C9">
      <w:pPr>
        <w:pStyle w:val="Normalindrykning"/>
        <w:spacing w:after="0"/>
        <w:ind w:left="851"/>
        <w:rPr>
          <w:sz w:val="24"/>
          <w:szCs w:val="24"/>
        </w:rPr>
      </w:pPr>
      <w:r w:rsidRPr="00D429C9">
        <w:rPr>
          <w:sz w:val="24"/>
          <w:szCs w:val="24"/>
        </w:rPr>
        <w:t xml:space="preserve">Der har været rapporteret tilfælde af overdosering i doser op til ca. 2 gange den anbefalede dosis, hvilket kan være fatalt. De mest signifikante bivirkninger, der er rapporteret, har været svær </w:t>
      </w:r>
      <w:proofErr w:type="spellStart"/>
      <w:r w:rsidRPr="00D429C9">
        <w:rPr>
          <w:sz w:val="24"/>
          <w:szCs w:val="24"/>
        </w:rPr>
        <w:t>neutropeni</w:t>
      </w:r>
      <w:proofErr w:type="spellEnd"/>
      <w:r w:rsidRPr="00D429C9">
        <w:rPr>
          <w:sz w:val="24"/>
          <w:szCs w:val="24"/>
        </w:rPr>
        <w:t xml:space="preserve"> og svær diarré. </w:t>
      </w:r>
    </w:p>
    <w:p w:rsidR="00D429C9" w:rsidRPr="00D429C9" w:rsidRDefault="00D429C9" w:rsidP="00D429C9">
      <w:pPr>
        <w:pStyle w:val="Normalindrykning"/>
        <w:spacing w:after="0"/>
        <w:ind w:left="851"/>
        <w:rPr>
          <w:sz w:val="24"/>
          <w:szCs w:val="24"/>
        </w:rPr>
      </w:pPr>
    </w:p>
    <w:p w:rsidR="00D429C9" w:rsidRPr="00D429C9" w:rsidRDefault="00D429C9" w:rsidP="00D429C9">
      <w:pPr>
        <w:pStyle w:val="Normalindrykning"/>
        <w:spacing w:after="0"/>
        <w:ind w:left="851"/>
        <w:rPr>
          <w:sz w:val="24"/>
          <w:szCs w:val="24"/>
          <w:u w:val="single"/>
        </w:rPr>
      </w:pPr>
      <w:r w:rsidRPr="00D429C9">
        <w:rPr>
          <w:sz w:val="24"/>
          <w:szCs w:val="24"/>
          <w:u w:val="single"/>
        </w:rPr>
        <w:t>Håndtering</w:t>
      </w:r>
    </w:p>
    <w:p w:rsidR="00D429C9" w:rsidRPr="00D429C9" w:rsidRDefault="00D429C9" w:rsidP="00DF5ED3">
      <w:pPr>
        <w:pStyle w:val="Normalindrykning"/>
        <w:spacing w:after="0"/>
        <w:ind w:left="851"/>
        <w:rPr>
          <w:sz w:val="24"/>
          <w:szCs w:val="24"/>
        </w:rPr>
      </w:pPr>
      <w:r w:rsidRPr="00D429C9">
        <w:rPr>
          <w:sz w:val="24"/>
          <w:szCs w:val="24"/>
        </w:rPr>
        <w:t xml:space="preserve">Der findes ingen kendt </w:t>
      </w:r>
      <w:proofErr w:type="spellStart"/>
      <w:r w:rsidRPr="00D429C9">
        <w:rPr>
          <w:sz w:val="24"/>
          <w:szCs w:val="24"/>
        </w:rPr>
        <w:t>antidot</w:t>
      </w:r>
      <w:proofErr w:type="spellEnd"/>
      <w:r w:rsidRPr="00D429C9">
        <w:rPr>
          <w:sz w:val="24"/>
          <w:szCs w:val="24"/>
        </w:rPr>
        <w:t xml:space="preserve"> for </w:t>
      </w:r>
      <w:proofErr w:type="spellStart"/>
      <w:r w:rsidRPr="00D429C9">
        <w:rPr>
          <w:sz w:val="24"/>
          <w:szCs w:val="24"/>
        </w:rPr>
        <w:t>Irinotecan</w:t>
      </w:r>
      <w:proofErr w:type="spellEnd"/>
      <w:r w:rsidRPr="00D429C9">
        <w:rPr>
          <w:sz w:val="24"/>
          <w:szCs w:val="24"/>
        </w:rPr>
        <w:t xml:space="preserve"> "</w:t>
      </w:r>
      <w:proofErr w:type="spellStart"/>
      <w:r w:rsidRPr="00D429C9">
        <w:rPr>
          <w:sz w:val="24"/>
          <w:szCs w:val="24"/>
        </w:rPr>
        <w:t>Accord</w:t>
      </w:r>
      <w:proofErr w:type="spellEnd"/>
      <w:r w:rsidRPr="00D429C9">
        <w:rPr>
          <w:sz w:val="24"/>
          <w:szCs w:val="24"/>
        </w:rPr>
        <w:t>". Maksimal understøttende behandling bør iværksættes for at undgå dehydrering på grund af diarré og for at behandle eventuelle infektionskomplikationer.</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4.10</w:t>
      </w:r>
      <w:r w:rsidRPr="00C84483">
        <w:rPr>
          <w:b/>
          <w:sz w:val="24"/>
          <w:szCs w:val="24"/>
        </w:rPr>
        <w:tab/>
        <w:t>Udlevering</w:t>
      </w:r>
    </w:p>
    <w:p w:rsidR="002F45B1" w:rsidRPr="00C84483" w:rsidRDefault="002F45B1" w:rsidP="002F45B1">
      <w:pPr>
        <w:tabs>
          <w:tab w:val="left" w:pos="851"/>
        </w:tabs>
        <w:ind w:left="851"/>
        <w:rPr>
          <w:sz w:val="24"/>
          <w:szCs w:val="24"/>
        </w:rPr>
      </w:pPr>
      <w:r>
        <w:rPr>
          <w:sz w:val="24"/>
          <w:szCs w:val="24"/>
        </w:rPr>
        <w:t>BEGR - kun til sygehuse</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F45B1" w:rsidRPr="00C84483" w:rsidRDefault="002F45B1" w:rsidP="002F45B1">
      <w:pPr>
        <w:tabs>
          <w:tab w:val="left" w:pos="851"/>
        </w:tabs>
        <w:ind w:left="851"/>
        <w:rPr>
          <w:sz w:val="24"/>
          <w:szCs w:val="24"/>
        </w:rPr>
      </w:pPr>
    </w:p>
    <w:p w:rsidR="002F45B1" w:rsidRPr="00C84483" w:rsidRDefault="002F45B1" w:rsidP="00236DCF">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B1FA6" w:rsidRPr="002B1FA6" w:rsidRDefault="002B1FA6" w:rsidP="00B60920">
      <w:pPr>
        <w:tabs>
          <w:tab w:val="left" w:pos="851"/>
        </w:tabs>
        <w:ind w:left="851" w:hanging="851"/>
        <w:rPr>
          <w:sz w:val="24"/>
          <w:szCs w:val="24"/>
        </w:rPr>
      </w:pPr>
      <w:r w:rsidRPr="002B1FA6">
        <w:rPr>
          <w:sz w:val="24"/>
          <w:szCs w:val="24"/>
        </w:rPr>
        <w:tab/>
      </w:r>
      <w:proofErr w:type="spellStart"/>
      <w:r w:rsidR="00B60920" w:rsidRPr="002B1FA6">
        <w:rPr>
          <w:sz w:val="24"/>
          <w:szCs w:val="24"/>
        </w:rPr>
        <w:t>Farmakoterapeutisk</w:t>
      </w:r>
      <w:proofErr w:type="spellEnd"/>
      <w:r w:rsidR="00B60920" w:rsidRPr="002B1FA6">
        <w:rPr>
          <w:sz w:val="24"/>
          <w:szCs w:val="24"/>
        </w:rPr>
        <w:t xml:space="preserve"> klassifikation: </w:t>
      </w:r>
      <w:proofErr w:type="spellStart"/>
      <w:r w:rsidR="00B60920" w:rsidRPr="002B1FA6">
        <w:rPr>
          <w:sz w:val="24"/>
          <w:szCs w:val="24"/>
        </w:rPr>
        <w:t>Antineoplastiske</w:t>
      </w:r>
      <w:proofErr w:type="spellEnd"/>
      <w:r w:rsidR="00B60920" w:rsidRPr="002B1FA6">
        <w:rPr>
          <w:sz w:val="24"/>
          <w:szCs w:val="24"/>
        </w:rPr>
        <w:t xml:space="preserve"> stoffer</w:t>
      </w:r>
      <w:r w:rsidR="00B60920">
        <w:rPr>
          <w:sz w:val="24"/>
          <w:szCs w:val="24"/>
        </w:rPr>
        <w:t xml:space="preserve">, </w:t>
      </w:r>
      <w:proofErr w:type="spellStart"/>
      <w:r w:rsidR="00B60920" w:rsidRPr="0082204E">
        <w:rPr>
          <w:spacing w:val="-3"/>
          <w:sz w:val="24"/>
          <w:szCs w:val="24"/>
        </w:rPr>
        <w:t>topoisomerase</w:t>
      </w:r>
      <w:proofErr w:type="spellEnd"/>
      <w:r w:rsidR="00B60920" w:rsidRPr="0082204E">
        <w:rPr>
          <w:spacing w:val="-3"/>
          <w:sz w:val="24"/>
          <w:szCs w:val="24"/>
        </w:rPr>
        <w:t xml:space="preserve"> I-hæmmer</w:t>
      </w:r>
      <w:r w:rsidR="00B60920" w:rsidRPr="002B1FA6">
        <w:rPr>
          <w:sz w:val="24"/>
          <w:szCs w:val="24"/>
        </w:rPr>
        <w:t>. ATC-kode: L01CE02.</w:t>
      </w:r>
    </w:p>
    <w:p w:rsidR="002B1FA6" w:rsidRDefault="002B1FA6" w:rsidP="00236DCF">
      <w:pPr>
        <w:keepNext/>
        <w:ind w:left="851"/>
        <w:rPr>
          <w:sz w:val="24"/>
          <w:szCs w:val="24"/>
          <w:u w:val="single"/>
        </w:rPr>
      </w:pPr>
    </w:p>
    <w:p w:rsidR="004C2E02" w:rsidRPr="004C2E02" w:rsidRDefault="004C2E02" w:rsidP="00236DCF">
      <w:pPr>
        <w:keepNext/>
        <w:ind w:left="851"/>
        <w:rPr>
          <w:b/>
          <w:bCs/>
          <w:sz w:val="24"/>
          <w:szCs w:val="24"/>
          <w:lang w:eastAsia="da-DK"/>
        </w:rPr>
      </w:pPr>
      <w:r w:rsidRPr="004C2E02">
        <w:rPr>
          <w:sz w:val="24"/>
          <w:szCs w:val="24"/>
          <w:u w:val="single"/>
        </w:rPr>
        <w:t>Virkningsmekanisme</w:t>
      </w:r>
      <w:r w:rsidRPr="004C2E02">
        <w:rPr>
          <w:b/>
          <w:bCs/>
          <w:sz w:val="24"/>
          <w:szCs w:val="24"/>
          <w:lang w:eastAsia="da-DK"/>
        </w:rPr>
        <w:t xml:space="preserve"> </w:t>
      </w:r>
    </w:p>
    <w:p w:rsidR="004C2E02" w:rsidRPr="004C2E02" w:rsidRDefault="004C2E02" w:rsidP="004C2E02">
      <w:pPr>
        <w:ind w:left="851"/>
        <w:rPr>
          <w:sz w:val="24"/>
          <w:szCs w:val="24"/>
          <w:lang w:eastAsia="da-DK"/>
        </w:rPr>
      </w:pPr>
    </w:p>
    <w:p w:rsidR="004C2E02" w:rsidRPr="004C2E02" w:rsidRDefault="004C2E02" w:rsidP="004C2E02">
      <w:pPr>
        <w:ind w:left="851"/>
        <w:rPr>
          <w:i/>
          <w:iCs/>
          <w:sz w:val="24"/>
          <w:szCs w:val="24"/>
          <w:lang w:eastAsia="da-DK"/>
        </w:rPr>
      </w:pPr>
      <w:r w:rsidRPr="004C2E02">
        <w:rPr>
          <w:i/>
          <w:iCs/>
          <w:sz w:val="24"/>
          <w:szCs w:val="24"/>
          <w:lang w:eastAsia="da-DK"/>
        </w:rPr>
        <w:t>Forsøgsdata</w:t>
      </w:r>
    </w:p>
    <w:p w:rsidR="004C2E02" w:rsidRPr="004C2E02" w:rsidRDefault="004C2E02" w:rsidP="004C2E02">
      <w:pPr>
        <w:ind w:left="851"/>
        <w:rPr>
          <w:sz w:val="24"/>
          <w:szCs w:val="24"/>
          <w:lang w:eastAsia="da-DK"/>
        </w:rPr>
      </w:pPr>
      <w:proofErr w:type="spellStart"/>
      <w:r w:rsidRPr="004C2E02">
        <w:rPr>
          <w:sz w:val="24"/>
          <w:szCs w:val="24"/>
          <w:lang w:eastAsia="da-DK"/>
        </w:rPr>
        <w:t>Irinotecan</w:t>
      </w:r>
      <w:proofErr w:type="spellEnd"/>
      <w:r w:rsidRPr="004C2E02">
        <w:rPr>
          <w:sz w:val="24"/>
          <w:szCs w:val="24"/>
          <w:lang w:eastAsia="da-DK"/>
        </w:rPr>
        <w:t xml:space="preserve"> er et semisyntetisk derivat af </w:t>
      </w:r>
      <w:proofErr w:type="spellStart"/>
      <w:r w:rsidRPr="004C2E02">
        <w:rPr>
          <w:sz w:val="24"/>
          <w:szCs w:val="24"/>
          <w:lang w:eastAsia="da-DK"/>
        </w:rPr>
        <w:t>camptothecin</w:t>
      </w:r>
      <w:proofErr w:type="spellEnd"/>
      <w:r w:rsidRPr="004C2E02">
        <w:rPr>
          <w:sz w:val="24"/>
          <w:szCs w:val="24"/>
          <w:lang w:eastAsia="da-DK"/>
        </w:rPr>
        <w:t xml:space="preserve">. Det er et </w:t>
      </w:r>
      <w:proofErr w:type="spellStart"/>
      <w:r w:rsidRPr="004C2E02">
        <w:rPr>
          <w:sz w:val="24"/>
          <w:szCs w:val="24"/>
          <w:lang w:eastAsia="da-DK"/>
        </w:rPr>
        <w:t>antineoplastisk</w:t>
      </w:r>
      <w:proofErr w:type="spellEnd"/>
      <w:r w:rsidRPr="004C2E02">
        <w:rPr>
          <w:sz w:val="24"/>
          <w:szCs w:val="24"/>
          <w:lang w:eastAsia="da-DK"/>
        </w:rPr>
        <w:t xml:space="preserve"> stof, der reagerer som en specifik hæmmer af DNA-</w:t>
      </w:r>
      <w:proofErr w:type="spellStart"/>
      <w:r w:rsidRPr="004C2E02">
        <w:rPr>
          <w:sz w:val="24"/>
          <w:szCs w:val="24"/>
          <w:lang w:eastAsia="da-DK"/>
        </w:rPr>
        <w:t>topoisomerase</w:t>
      </w:r>
      <w:proofErr w:type="spellEnd"/>
      <w:r w:rsidRPr="004C2E02">
        <w:rPr>
          <w:sz w:val="24"/>
          <w:szCs w:val="24"/>
          <w:lang w:eastAsia="da-DK"/>
        </w:rPr>
        <w:t xml:space="preserve"> I. Det </w:t>
      </w:r>
      <w:proofErr w:type="spellStart"/>
      <w:r w:rsidRPr="004C2E02">
        <w:rPr>
          <w:sz w:val="24"/>
          <w:szCs w:val="24"/>
          <w:lang w:eastAsia="da-DK"/>
        </w:rPr>
        <w:t>metaboliseres</w:t>
      </w:r>
      <w:proofErr w:type="spellEnd"/>
      <w:r w:rsidRPr="004C2E02">
        <w:rPr>
          <w:sz w:val="24"/>
          <w:szCs w:val="24"/>
          <w:lang w:eastAsia="da-DK"/>
        </w:rPr>
        <w:t xml:space="preserve"> af </w:t>
      </w:r>
      <w:proofErr w:type="spellStart"/>
      <w:r w:rsidRPr="004C2E02">
        <w:rPr>
          <w:sz w:val="24"/>
          <w:szCs w:val="24"/>
          <w:lang w:eastAsia="da-DK"/>
        </w:rPr>
        <w:t>carboxylesterase</w:t>
      </w:r>
      <w:proofErr w:type="spellEnd"/>
      <w:r w:rsidRPr="004C2E02">
        <w:rPr>
          <w:sz w:val="24"/>
          <w:szCs w:val="24"/>
          <w:lang w:eastAsia="da-DK"/>
        </w:rPr>
        <w:t xml:space="preserve"> i de fleste væv til SN-38, som har vist sig mere aktivt end </w:t>
      </w:r>
      <w:proofErr w:type="spellStart"/>
      <w:r w:rsidRPr="004C2E02">
        <w:rPr>
          <w:sz w:val="24"/>
          <w:szCs w:val="24"/>
          <w:lang w:eastAsia="da-DK"/>
        </w:rPr>
        <w:t>irinotecan</w:t>
      </w:r>
      <w:proofErr w:type="spellEnd"/>
      <w:r w:rsidRPr="004C2E02">
        <w:rPr>
          <w:sz w:val="24"/>
          <w:szCs w:val="24"/>
          <w:lang w:eastAsia="da-DK"/>
        </w:rPr>
        <w:t xml:space="preserve"> i oprenset </w:t>
      </w:r>
      <w:proofErr w:type="spellStart"/>
      <w:r w:rsidRPr="004C2E02">
        <w:rPr>
          <w:sz w:val="24"/>
          <w:szCs w:val="24"/>
          <w:lang w:eastAsia="da-DK"/>
        </w:rPr>
        <w:t>topoisomerase</w:t>
      </w:r>
      <w:proofErr w:type="spellEnd"/>
      <w:r w:rsidRPr="004C2E02">
        <w:rPr>
          <w:sz w:val="24"/>
          <w:szCs w:val="24"/>
          <w:lang w:eastAsia="da-DK"/>
        </w:rPr>
        <w:t xml:space="preserve"> I og mere </w:t>
      </w:r>
      <w:proofErr w:type="spellStart"/>
      <w:r w:rsidRPr="004C2E02">
        <w:rPr>
          <w:sz w:val="24"/>
          <w:szCs w:val="24"/>
          <w:lang w:eastAsia="da-DK"/>
        </w:rPr>
        <w:t>cytotoksisk</w:t>
      </w:r>
      <w:proofErr w:type="spellEnd"/>
      <w:r w:rsidRPr="004C2E02">
        <w:rPr>
          <w:sz w:val="24"/>
          <w:szCs w:val="24"/>
          <w:lang w:eastAsia="da-DK"/>
        </w:rPr>
        <w:t xml:space="preserve"> end </w:t>
      </w:r>
      <w:proofErr w:type="spellStart"/>
      <w:r w:rsidRPr="004C2E02">
        <w:rPr>
          <w:sz w:val="24"/>
          <w:szCs w:val="24"/>
          <w:lang w:eastAsia="da-DK"/>
        </w:rPr>
        <w:t>irinotecan</w:t>
      </w:r>
      <w:proofErr w:type="spellEnd"/>
      <w:r w:rsidRPr="004C2E02">
        <w:rPr>
          <w:sz w:val="24"/>
          <w:szCs w:val="24"/>
          <w:lang w:eastAsia="da-DK"/>
        </w:rPr>
        <w:t xml:space="preserve"> over for flere </w:t>
      </w:r>
      <w:proofErr w:type="spellStart"/>
      <w:r w:rsidRPr="004C2E02">
        <w:rPr>
          <w:sz w:val="24"/>
          <w:szCs w:val="24"/>
          <w:lang w:eastAsia="da-DK"/>
        </w:rPr>
        <w:t>murine</w:t>
      </w:r>
      <w:proofErr w:type="spellEnd"/>
      <w:r w:rsidRPr="004C2E02">
        <w:rPr>
          <w:sz w:val="24"/>
          <w:szCs w:val="24"/>
          <w:lang w:eastAsia="da-DK"/>
        </w:rPr>
        <w:t xml:space="preserve"> og humane tumorcellelinjer. Hæmning af DNA-</w:t>
      </w:r>
      <w:proofErr w:type="spellStart"/>
      <w:r w:rsidRPr="004C2E02">
        <w:rPr>
          <w:sz w:val="24"/>
          <w:szCs w:val="24"/>
          <w:lang w:eastAsia="da-DK"/>
        </w:rPr>
        <w:t>topoisomerase</w:t>
      </w:r>
      <w:proofErr w:type="spellEnd"/>
      <w:r w:rsidRPr="004C2E02">
        <w:rPr>
          <w:sz w:val="24"/>
          <w:szCs w:val="24"/>
          <w:lang w:eastAsia="da-DK"/>
        </w:rPr>
        <w:t xml:space="preserve"> I med </w:t>
      </w:r>
      <w:proofErr w:type="spellStart"/>
      <w:r w:rsidRPr="004C2E02">
        <w:rPr>
          <w:sz w:val="24"/>
          <w:szCs w:val="24"/>
          <w:lang w:eastAsia="da-DK"/>
        </w:rPr>
        <w:t>irinotecan</w:t>
      </w:r>
      <w:proofErr w:type="spellEnd"/>
      <w:r w:rsidRPr="004C2E02">
        <w:rPr>
          <w:sz w:val="24"/>
          <w:szCs w:val="24"/>
          <w:lang w:eastAsia="da-DK"/>
        </w:rPr>
        <w:t xml:space="preserve"> eller SN-38 fremkalder enkeltstrengede DNA-brud, der blokerer replikationsgaflen, og således er årsag til stoffets </w:t>
      </w:r>
      <w:proofErr w:type="spellStart"/>
      <w:r w:rsidRPr="004C2E02">
        <w:rPr>
          <w:sz w:val="24"/>
          <w:szCs w:val="24"/>
          <w:lang w:eastAsia="da-DK"/>
        </w:rPr>
        <w:t>cytotoksiske</w:t>
      </w:r>
      <w:proofErr w:type="spellEnd"/>
      <w:r w:rsidRPr="004C2E02">
        <w:rPr>
          <w:sz w:val="24"/>
          <w:szCs w:val="24"/>
          <w:lang w:eastAsia="da-DK"/>
        </w:rPr>
        <w:t xml:space="preserve"> effekt. Denne </w:t>
      </w:r>
      <w:proofErr w:type="spellStart"/>
      <w:r w:rsidRPr="004C2E02">
        <w:rPr>
          <w:sz w:val="24"/>
          <w:szCs w:val="24"/>
          <w:lang w:eastAsia="da-DK"/>
        </w:rPr>
        <w:t>cytotoksiske</w:t>
      </w:r>
      <w:proofErr w:type="spellEnd"/>
      <w:r w:rsidRPr="004C2E02">
        <w:rPr>
          <w:sz w:val="24"/>
          <w:szCs w:val="24"/>
          <w:lang w:eastAsia="da-DK"/>
        </w:rPr>
        <w:t xml:space="preserve"> aktivitet er tidsafhængig og specifik for cellecyklussens S-fase.</w:t>
      </w:r>
    </w:p>
    <w:p w:rsidR="004C2E02" w:rsidRPr="004C2E02" w:rsidRDefault="004C2E02" w:rsidP="004C2E02">
      <w:pPr>
        <w:ind w:left="851"/>
        <w:rPr>
          <w:sz w:val="24"/>
          <w:szCs w:val="24"/>
          <w:lang w:eastAsia="da-DK"/>
        </w:rPr>
      </w:pPr>
    </w:p>
    <w:p w:rsidR="004C2E02" w:rsidRPr="004C2E02" w:rsidRDefault="004C2E02" w:rsidP="004C2E02">
      <w:pPr>
        <w:ind w:left="851"/>
        <w:rPr>
          <w:sz w:val="24"/>
          <w:szCs w:val="24"/>
          <w:lang w:eastAsia="da-DK"/>
        </w:rPr>
      </w:pPr>
      <w:r w:rsidRPr="004C2E02">
        <w:rPr>
          <w:sz w:val="24"/>
          <w:szCs w:val="24"/>
          <w:lang w:eastAsia="da-DK"/>
        </w:rPr>
        <w:t xml:space="preserve">Det er påvist </w:t>
      </w:r>
      <w:r w:rsidRPr="004C2E02">
        <w:rPr>
          <w:i/>
          <w:sz w:val="24"/>
          <w:szCs w:val="24"/>
          <w:lang w:eastAsia="da-DK"/>
        </w:rPr>
        <w:t xml:space="preserve">in </w:t>
      </w:r>
      <w:proofErr w:type="spellStart"/>
      <w:r w:rsidRPr="004C2E02">
        <w:rPr>
          <w:i/>
          <w:sz w:val="24"/>
          <w:szCs w:val="24"/>
          <w:lang w:eastAsia="da-DK"/>
        </w:rPr>
        <w:t>vitro</w:t>
      </w:r>
      <w:proofErr w:type="spellEnd"/>
      <w:r w:rsidRPr="004C2E02">
        <w:rPr>
          <w:sz w:val="24"/>
          <w:szCs w:val="24"/>
          <w:lang w:eastAsia="da-DK"/>
        </w:rPr>
        <w:t xml:space="preserve">, at </w:t>
      </w:r>
      <w:proofErr w:type="spellStart"/>
      <w:r w:rsidRPr="004C2E02">
        <w:rPr>
          <w:sz w:val="24"/>
          <w:szCs w:val="24"/>
          <w:lang w:eastAsia="da-DK"/>
        </w:rPr>
        <w:t>irinotecan</w:t>
      </w:r>
      <w:proofErr w:type="spellEnd"/>
      <w:r w:rsidRPr="004C2E02">
        <w:rPr>
          <w:sz w:val="24"/>
          <w:szCs w:val="24"/>
          <w:lang w:eastAsia="da-DK"/>
        </w:rPr>
        <w:t xml:space="preserve"> og SN-38 ikke signifikant genkendes af P-</w:t>
      </w:r>
      <w:proofErr w:type="spellStart"/>
      <w:r w:rsidRPr="004C2E02">
        <w:rPr>
          <w:sz w:val="24"/>
          <w:szCs w:val="24"/>
          <w:lang w:eastAsia="da-DK"/>
        </w:rPr>
        <w:t>glykoproteinet</w:t>
      </w:r>
      <w:proofErr w:type="spellEnd"/>
      <w:r w:rsidRPr="004C2E02">
        <w:rPr>
          <w:sz w:val="24"/>
          <w:szCs w:val="24"/>
          <w:lang w:eastAsia="da-DK"/>
        </w:rPr>
        <w:t xml:space="preserve"> MDR, og </w:t>
      </w:r>
      <w:proofErr w:type="spellStart"/>
      <w:r w:rsidRPr="004C2E02">
        <w:rPr>
          <w:sz w:val="24"/>
          <w:szCs w:val="24"/>
          <w:lang w:eastAsia="da-DK"/>
        </w:rPr>
        <w:t>irinotecan</w:t>
      </w:r>
      <w:proofErr w:type="spellEnd"/>
      <w:r w:rsidRPr="004C2E02">
        <w:rPr>
          <w:sz w:val="24"/>
          <w:szCs w:val="24"/>
          <w:lang w:eastAsia="da-DK"/>
        </w:rPr>
        <w:t xml:space="preserve"> udviser </w:t>
      </w:r>
      <w:proofErr w:type="spellStart"/>
      <w:r w:rsidRPr="004C2E02">
        <w:rPr>
          <w:sz w:val="24"/>
          <w:szCs w:val="24"/>
          <w:lang w:eastAsia="da-DK"/>
        </w:rPr>
        <w:t>cytotoksisk</w:t>
      </w:r>
      <w:proofErr w:type="spellEnd"/>
      <w:r w:rsidRPr="004C2E02">
        <w:rPr>
          <w:sz w:val="24"/>
          <w:szCs w:val="24"/>
          <w:lang w:eastAsia="da-DK"/>
        </w:rPr>
        <w:t xml:space="preserve"> aktivitet over for </w:t>
      </w:r>
      <w:proofErr w:type="spellStart"/>
      <w:r w:rsidRPr="004C2E02">
        <w:rPr>
          <w:sz w:val="24"/>
          <w:szCs w:val="24"/>
          <w:lang w:eastAsia="da-DK"/>
        </w:rPr>
        <w:t>doxorubicin</w:t>
      </w:r>
      <w:proofErr w:type="spellEnd"/>
      <w:r w:rsidRPr="004C2E02">
        <w:rPr>
          <w:sz w:val="24"/>
          <w:szCs w:val="24"/>
          <w:lang w:eastAsia="da-DK"/>
        </w:rPr>
        <w:t xml:space="preserve">- og </w:t>
      </w:r>
      <w:proofErr w:type="spellStart"/>
      <w:r w:rsidRPr="004C2E02">
        <w:rPr>
          <w:sz w:val="24"/>
          <w:szCs w:val="24"/>
          <w:lang w:eastAsia="da-DK"/>
        </w:rPr>
        <w:t>vinblastin</w:t>
      </w:r>
      <w:proofErr w:type="spellEnd"/>
      <w:r w:rsidRPr="004C2E02">
        <w:rPr>
          <w:sz w:val="24"/>
          <w:szCs w:val="24"/>
          <w:lang w:eastAsia="da-DK"/>
        </w:rPr>
        <w:t>-resistente cellelinjer.</w:t>
      </w:r>
    </w:p>
    <w:p w:rsidR="004C2E02" w:rsidRPr="004C2E02" w:rsidRDefault="004C2E02" w:rsidP="004C2E02">
      <w:pPr>
        <w:ind w:left="851"/>
        <w:rPr>
          <w:sz w:val="24"/>
          <w:szCs w:val="24"/>
          <w:lang w:eastAsia="da-DK"/>
        </w:rPr>
      </w:pPr>
    </w:p>
    <w:p w:rsidR="004C2E02" w:rsidRPr="004C2E02" w:rsidRDefault="004C2E02" w:rsidP="004C2E02">
      <w:pPr>
        <w:ind w:left="851"/>
        <w:rPr>
          <w:sz w:val="24"/>
          <w:szCs w:val="24"/>
          <w:lang w:eastAsia="da-DK"/>
        </w:rPr>
      </w:pPr>
      <w:r w:rsidRPr="004C2E02">
        <w:rPr>
          <w:sz w:val="24"/>
          <w:szCs w:val="24"/>
          <w:lang w:eastAsia="da-DK"/>
        </w:rPr>
        <w:t xml:space="preserve">Desuden har </w:t>
      </w:r>
      <w:proofErr w:type="spellStart"/>
      <w:r w:rsidRPr="004C2E02">
        <w:rPr>
          <w:sz w:val="24"/>
          <w:szCs w:val="24"/>
          <w:lang w:eastAsia="da-DK"/>
        </w:rPr>
        <w:t>irinotecan</w:t>
      </w:r>
      <w:proofErr w:type="spellEnd"/>
      <w:r w:rsidRPr="004C2E02">
        <w:rPr>
          <w:sz w:val="24"/>
          <w:szCs w:val="24"/>
          <w:lang w:eastAsia="da-DK"/>
        </w:rPr>
        <w:t xml:space="preserve"> bred </w:t>
      </w:r>
      <w:proofErr w:type="spellStart"/>
      <w:r w:rsidRPr="004C2E02">
        <w:rPr>
          <w:sz w:val="24"/>
          <w:szCs w:val="24"/>
          <w:lang w:eastAsia="da-DK"/>
        </w:rPr>
        <w:t>antitumoraktivitet</w:t>
      </w:r>
      <w:proofErr w:type="spellEnd"/>
      <w:r w:rsidRPr="004C2E02">
        <w:rPr>
          <w:sz w:val="24"/>
          <w:szCs w:val="24"/>
          <w:lang w:eastAsia="da-DK"/>
        </w:rPr>
        <w:t xml:space="preserve"> </w:t>
      </w:r>
      <w:r w:rsidRPr="004C2E02">
        <w:rPr>
          <w:i/>
          <w:sz w:val="24"/>
          <w:szCs w:val="24"/>
          <w:lang w:eastAsia="da-DK"/>
        </w:rPr>
        <w:t xml:space="preserve">in </w:t>
      </w:r>
      <w:proofErr w:type="spellStart"/>
      <w:r w:rsidRPr="004C2E02">
        <w:rPr>
          <w:i/>
          <w:sz w:val="24"/>
          <w:szCs w:val="24"/>
          <w:lang w:eastAsia="da-DK"/>
        </w:rPr>
        <w:t>vivo</w:t>
      </w:r>
      <w:proofErr w:type="spellEnd"/>
      <w:r w:rsidRPr="004C2E02">
        <w:rPr>
          <w:sz w:val="24"/>
          <w:szCs w:val="24"/>
          <w:lang w:eastAsia="da-DK"/>
        </w:rPr>
        <w:t xml:space="preserve"> overfor </w:t>
      </w:r>
      <w:proofErr w:type="spellStart"/>
      <w:r w:rsidRPr="004C2E02">
        <w:rPr>
          <w:sz w:val="24"/>
          <w:szCs w:val="24"/>
          <w:lang w:eastAsia="da-DK"/>
        </w:rPr>
        <w:t>murine</w:t>
      </w:r>
      <w:proofErr w:type="spellEnd"/>
      <w:r w:rsidRPr="004C2E02">
        <w:rPr>
          <w:sz w:val="24"/>
          <w:szCs w:val="24"/>
          <w:lang w:eastAsia="da-DK"/>
        </w:rPr>
        <w:t xml:space="preserve"> tumormodeller (P03 </w:t>
      </w:r>
      <w:proofErr w:type="spellStart"/>
      <w:r w:rsidRPr="004C2E02">
        <w:rPr>
          <w:sz w:val="24"/>
          <w:szCs w:val="24"/>
          <w:lang w:eastAsia="da-DK"/>
        </w:rPr>
        <w:t>duktalt</w:t>
      </w:r>
      <w:proofErr w:type="spellEnd"/>
      <w:r w:rsidRPr="004C2E02">
        <w:rPr>
          <w:sz w:val="24"/>
          <w:szCs w:val="24"/>
          <w:lang w:eastAsia="da-DK"/>
        </w:rPr>
        <w:t xml:space="preserve"> pancreas-</w:t>
      </w:r>
      <w:proofErr w:type="spellStart"/>
      <w:r w:rsidRPr="004C2E02">
        <w:rPr>
          <w:sz w:val="24"/>
          <w:szCs w:val="24"/>
          <w:lang w:eastAsia="da-DK"/>
        </w:rPr>
        <w:t>adenocarcinom</w:t>
      </w:r>
      <w:proofErr w:type="spellEnd"/>
      <w:r w:rsidRPr="004C2E02">
        <w:rPr>
          <w:sz w:val="24"/>
          <w:szCs w:val="24"/>
          <w:lang w:eastAsia="da-DK"/>
        </w:rPr>
        <w:t xml:space="preserve">, MA16/C </w:t>
      </w:r>
      <w:proofErr w:type="spellStart"/>
      <w:r w:rsidRPr="004C2E02">
        <w:rPr>
          <w:sz w:val="24"/>
          <w:szCs w:val="24"/>
          <w:lang w:eastAsia="da-DK"/>
        </w:rPr>
        <w:t>adenocarcinoma</w:t>
      </w:r>
      <w:proofErr w:type="spellEnd"/>
      <w:r w:rsidRPr="004C2E02">
        <w:rPr>
          <w:sz w:val="24"/>
          <w:szCs w:val="24"/>
          <w:lang w:eastAsia="da-DK"/>
        </w:rPr>
        <w:t xml:space="preserve"> mammae, C38 og C51 </w:t>
      </w:r>
      <w:proofErr w:type="spellStart"/>
      <w:r w:rsidRPr="004C2E02">
        <w:rPr>
          <w:sz w:val="24"/>
          <w:szCs w:val="24"/>
          <w:lang w:eastAsia="da-DK"/>
        </w:rPr>
        <w:t>adenocarcinoma</w:t>
      </w:r>
      <w:proofErr w:type="spellEnd"/>
      <w:r w:rsidRPr="004C2E02">
        <w:rPr>
          <w:sz w:val="24"/>
          <w:szCs w:val="24"/>
          <w:lang w:eastAsia="da-DK"/>
        </w:rPr>
        <w:t xml:space="preserve"> coli) og mod humane </w:t>
      </w:r>
      <w:proofErr w:type="spellStart"/>
      <w:r w:rsidRPr="004C2E02">
        <w:rPr>
          <w:sz w:val="24"/>
          <w:szCs w:val="24"/>
          <w:lang w:eastAsia="da-DK"/>
        </w:rPr>
        <w:t>xenografts</w:t>
      </w:r>
      <w:proofErr w:type="spellEnd"/>
      <w:r w:rsidRPr="004C2E02">
        <w:rPr>
          <w:sz w:val="24"/>
          <w:szCs w:val="24"/>
          <w:lang w:eastAsia="da-DK"/>
        </w:rPr>
        <w:t xml:space="preserve"> (Co-4 </w:t>
      </w:r>
      <w:proofErr w:type="spellStart"/>
      <w:r w:rsidRPr="004C2E02">
        <w:rPr>
          <w:sz w:val="24"/>
          <w:szCs w:val="24"/>
          <w:lang w:eastAsia="da-DK"/>
        </w:rPr>
        <w:t>adenocarcinoma</w:t>
      </w:r>
      <w:proofErr w:type="spellEnd"/>
      <w:r w:rsidRPr="004C2E02">
        <w:rPr>
          <w:sz w:val="24"/>
          <w:szCs w:val="24"/>
          <w:lang w:eastAsia="da-DK"/>
        </w:rPr>
        <w:t xml:space="preserve"> coli, </w:t>
      </w:r>
      <w:proofErr w:type="spellStart"/>
      <w:r w:rsidRPr="004C2E02">
        <w:rPr>
          <w:sz w:val="24"/>
          <w:szCs w:val="24"/>
          <w:lang w:eastAsia="da-DK"/>
        </w:rPr>
        <w:t>Mx</w:t>
      </w:r>
      <w:proofErr w:type="spellEnd"/>
      <w:r w:rsidRPr="004C2E02">
        <w:rPr>
          <w:sz w:val="24"/>
          <w:szCs w:val="24"/>
          <w:lang w:eastAsia="da-DK"/>
        </w:rPr>
        <w:t xml:space="preserve">-l </w:t>
      </w:r>
      <w:proofErr w:type="spellStart"/>
      <w:r w:rsidRPr="004C2E02">
        <w:rPr>
          <w:sz w:val="24"/>
          <w:szCs w:val="24"/>
          <w:lang w:eastAsia="da-DK"/>
        </w:rPr>
        <w:t>adenocarcinoma</w:t>
      </w:r>
      <w:proofErr w:type="spellEnd"/>
      <w:r w:rsidRPr="004C2E02">
        <w:rPr>
          <w:sz w:val="24"/>
          <w:szCs w:val="24"/>
          <w:lang w:eastAsia="da-DK"/>
        </w:rPr>
        <w:t xml:space="preserve"> mammae, ST-15 og SC-16 </w:t>
      </w:r>
      <w:proofErr w:type="spellStart"/>
      <w:r w:rsidRPr="004C2E02">
        <w:rPr>
          <w:sz w:val="24"/>
          <w:szCs w:val="24"/>
          <w:lang w:eastAsia="da-DK"/>
        </w:rPr>
        <w:t>adenocarcinoma</w:t>
      </w:r>
      <w:proofErr w:type="spellEnd"/>
      <w:r w:rsidRPr="004C2E02">
        <w:rPr>
          <w:sz w:val="24"/>
          <w:szCs w:val="24"/>
          <w:lang w:eastAsia="da-DK"/>
        </w:rPr>
        <w:t xml:space="preserve"> </w:t>
      </w:r>
      <w:proofErr w:type="spellStart"/>
      <w:r w:rsidRPr="004C2E02">
        <w:rPr>
          <w:sz w:val="24"/>
          <w:szCs w:val="24"/>
          <w:lang w:eastAsia="da-DK"/>
        </w:rPr>
        <w:t>ventriculi</w:t>
      </w:r>
      <w:proofErr w:type="spellEnd"/>
      <w:r w:rsidRPr="004C2E02">
        <w:rPr>
          <w:sz w:val="24"/>
          <w:szCs w:val="24"/>
          <w:lang w:eastAsia="da-DK"/>
        </w:rPr>
        <w:t xml:space="preserve">). </w:t>
      </w:r>
      <w:proofErr w:type="spellStart"/>
      <w:r w:rsidRPr="004C2E02">
        <w:rPr>
          <w:sz w:val="24"/>
          <w:szCs w:val="24"/>
          <w:lang w:eastAsia="da-DK"/>
        </w:rPr>
        <w:t>Irinotecan</w:t>
      </w:r>
      <w:proofErr w:type="spellEnd"/>
      <w:r w:rsidRPr="004C2E02">
        <w:rPr>
          <w:sz w:val="24"/>
          <w:szCs w:val="24"/>
          <w:lang w:eastAsia="da-DK"/>
        </w:rPr>
        <w:t xml:space="preserve"> er også aktivt mod tumorer, der udtrykker P-</w:t>
      </w:r>
      <w:proofErr w:type="spellStart"/>
      <w:r w:rsidRPr="004C2E02">
        <w:rPr>
          <w:sz w:val="24"/>
          <w:szCs w:val="24"/>
          <w:lang w:eastAsia="da-DK"/>
        </w:rPr>
        <w:t>glykoproteinet</w:t>
      </w:r>
      <w:proofErr w:type="spellEnd"/>
      <w:r w:rsidRPr="004C2E02">
        <w:rPr>
          <w:sz w:val="24"/>
          <w:szCs w:val="24"/>
          <w:lang w:eastAsia="da-DK"/>
        </w:rPr>
        <w:t xml:space="preserve"> MDR (</w:t>
      </w:r>
      <w:proofErr w:type="spellStart"/>
      <w:r w:rsidRPr="004C2E02">
        <w:rPr>
          <w:sz w:val="24"/>
          <w:szCs w:val="24"/>
          <w:lang w:eastAsia="da-DK"/>
        </w:rPr>
        <w:t>vincristin</w:t>
      </w:r>
      <w:proofErr w:type="spellEnd"/>
      <w:r w:rsidRPr="004C2E02">
        <w:rPr>
          <w:sz w:val="24"/>
          <w:szCs w:val="24"/>
          <w:lang w:eastAsia="da-DK"/>
        </w:rPr>
        <w:t xml:space="preserve">- og </w:t>
      </w:r>
      <w:proofErr w:type="spellStart"/>
      <w:r w:rsidRPr="004C2E02">
        <w:rPr>
          <w:sz w:val="24"/>
          <w:szCs w:val="24"/>
          <w:lang w:eastAsia="da-DK"/>
        </w:rPr>
        <w:t>doxorubicin</w:t>
      </w:r>
      <w:proofErr w:type="spellEnd"/>
      <w:r w:rsidRPr="004C2E02">
        <w:rPr>
          <w:sz w:val="24"/>
          <w:szCs w:val="24"/>
          <w:lang w:eastAsia="da-DK"/>
        </w:rPr>
        <w:t xml:space="preserve">-resistente P388 </w:t>
      </w:r>
      <w:proofErr w:type="spellStart"/>
      <w:r w:rsidRPr="004C2E02">
        <w:rPr>
          <w:sz w:val="24"/>
          <w:szCs w:val="24"/>
          <w:lang w:eastAsia="da-DK"/>
        </w:rPr>
        <w:t>leukæmier</w:t>
      </w:r>
      <w:proofErr w:type="spellEnd"/>
      <w:r w:rsidRPr="004C2E02">
        <w:rPr>
          <w:sz w:val="24"/>
          <w:szCs w:val="24"/>
          <w:lang w:eastAsia="da-DK"/>
        </w:rPr>
        <w:t>).</w:t>
      </w:r>
    </w:p>
    <w:p w:rsidR="004C2E02" w:rsidRPr="004C2E02" w:rsidRDefault="004C2E02" w:rsidP="004C2E02">
      <w:pPr>
        <w:ind w:left="851"/>
        <w:rPr>
          <w:sz w:val="24"/>
          <w:szCs w:val="24"/>
          <w:lang w:eastAsia="da-DK"/>
        </w:rPr>
      </w:pPr>
    </w:p>
    <w:p w:rsidR="004C2E02" w:rsidRPr="004C2E02" w:rsidRDefault="004C2E02" w:rsidP="004C2E02">
      <w:pPr>
        <w:ind w:left="851"/>
        <w:rPr>
          <w:sz w:val="24"/>
          <w:szCs w:val="24"/>
          <w:lang w:eastAsia="da-DK"/>
        </w:rPr>
      </w:pPr>
      <w:r w:rsidRPr="004C2E02">
        <w:rPr>
          <w:sz w:val="24"/>
          <w:szCs w:val="24"/>
          <w:lang w:eastAsia="da-DK"/>
        </w:rPr>
        <w:t xml:space="preserve">Foruden </w:t>
      </w:r>
      <w:proofErr w:type="spellStart"/>
      <w:r w:rsidRPr="004C2E02">
        <w:rPr>
          <w:sz w:val="24"/>
          <w:szCs w:val="24"/>
          <w:lang w:eastAsia="da-DK"/>
        </w:rPr>
        <w:t>irinotecans</w:t>
      </w:r>
      <w:proofErr w:type="spellEnd"/>
      <w:r w:rsidRPr="004C2E02">
        <w:rPr>
          <w:sz w:val="24"/>
          <w:szCs w:val="24"/>
          <w:lang w:eastAsia="da-DK"/>
        </w:rPr>
        <w:t xml:space="preserve"> </w:t>
      </w:r>
      <w:proofErr w:type="spellStart"/>
      <w:r w:rsidRPr="004C2E02">
        <w:rPr>
          <w:sz w:val="24"/>
          <w:szCs w:val="24"/>
          <w:lang w:eastAsia="da-DK"/>
        </w:rPr>
        <w:t>antitumoraktivitet</w:t>
      </w:r>
      <w:proofErr w:type="spellEnd"/>
      <w:r w:rsidRPr="004C2E02">
        <w:rPr>
          <w:sz w:val="24"/>
          <w:szCs w:val="24"/>
          <w:lang w:eastAsia="da-DK"/>
        </w:rPr>
        <w:t xml:space="preserve"> er den mest relevante farmakologiske effekt af </w:t>
      </w:r>
      <w:proofErr w:type="spellStart"/>
      <w:r w:rsidRPr="004C2E02">
        <w:rPr>
          <w:sz w:val="24"/>
          <w:szCs w:val="24"/>
          <w:lang w:eastAsia="da-DK"/>
        </w:rPr>
        <w:t>irinotecan</w:t>
      </w:r>
      <w:proofErr w:type="spellEnd"/>
      <w:r w:rsidRPr="004C2E02">
        <w:rPr>
          <w:sz w:val="24"/>
          <w:szCs w:val="24"/>
          <w:lang w:eastAsia="da-DK"/>
        </w:rPr>
        <w:t xml:space="preserve"> dets hæmning af </w:t>
      </w:r>
      <w:proofErr w:type="spellStart"/>
      <w:r w:rsidRPr="004C2E02">
        <w:rPr>
          <w:sz w:val="24"/>
          <w:szCs w:val="24"/>
          <w:lang w:eastAsia="da-DK"/>
        </w:rPr>
        <w:t>acetylcholinesterase</w:t>
      </w:r>
      <w:proofErr w:type="spellEnd"/>
      <w:r w:rsidRPr="004C2E02">
        <w:rPr>
          <w:sz w:val="24"/>
          <w:szCs w:val="24"/>
          <w:lang w:eastAsia="da-DK"/>
        </w:rPr>
        <w:t>.</w:t>
      </w:r>
    </w:p>
    <w:p w:rsidR="004C2E02" w:rsidRPr="004C2E02" w:rsidRDefault="004C2E02" w:rsidP="004C2E02">
      <w:pPr>
        <w:ind w:left="851"/>
        <w:rPr>
          <w:b/>
          <w:bCs/>
          <w:sz w:val="24"/>
          <w:szCs w:val="24"/>
          <w:lang w:eastAsia="da-DK"/>
        </w:rPr>
      </w:pPr>
    </w:p>
    <w:p w:rsidR="004C2E02" w:rsidRPr="004C2E02" w:rsidRDefault="004C2E02" w:rsidP="004C2E02">
      <w:pPr>
        <w:tabs>
          <w:tab w:val="left" w:pos="851"/>
        </w:tabs>
        <w:ind w:left="851"/>
        <w:rPr>
          <w:i/>
          <w:iCs/>
          <w:sz w:val="24"/>
          <w:szCs w:val="24"/>
          <w:lang w:eastAsia="da-DK"/>
        </w:rPr>
      </w:pPr>
      <w:r w:rsidRPr="004C2E02">
        <w:rPr>
          <w:i/>
          <w:iCs/>
          <w:sz w:val="24"/>
          <w:szCs w:val="24"/>
          <w:lang w:eastAsia="da-DK"/>
        </w:rPr>
        <w:t>Kliniske data</w:t>
      </w:r>
    </w:p>
    <w:p w:rsidR="004C2E02" w:rsidRPr="004C2E02" w:rsidRDefault="004C2E02" w:rsidP="004C2E02">
      <w:pPr>
        <w:ind w:left="851"/>
        <w:rPr>
          <w:b/>
          <w:color w:val="000000"/>
          <w:sz w:val="24"/>
          <w:szCs w:val="24"/>
          <w:u w:val="single"/>
          <w:lang w:eastAsia="da-DK"/>
        </w:rPr>
      </w:pPr>
    </w:p>
    <w:p w:rsidR="004C2E02" w:rsidRPr="004C2E02" w:rsidRDefault="004C2E02" w:rsidP="004C2E02">
      <w:pPr>
        <w:ind w:left="851"/>
        <w:rPr>
          <w:color w:val="000000"/>
          <w:sz w:val="24"/>
          <w:szCs w:val="24"/>
          <w:u w:val="single"/>
          <w:lang w:eastAsia="da-DK"/>
        </w:rPr>
      </w:pPr>
      <w:r w:rsidRPr="004C2E02">
        <w:rPr>
          <w:color w:val="000000"/>
          <w:sz w:val="24"/>
          <w:szCs w:val="24"/>
          <w:u w:val="single"/>
          <w:lang w:eastAsia="da-DK"/>
        </w:rPr>
        <w:t xml:space="preserve">I kombinationsterapi ved førstevalgsbehandling af metastatisk </w:t>
      </w:r>
      <w:proofErr w:type="spellStart"/>
      <w:r w:rsidRPr="004C2E02">
        <w:rPr>
          <w:color w:val="000000"/>
          <w:sz w:val="24"/>
          <w:szCs w:val="24"/>
          <w:u w:val="single"/>
          <w:lang w:eastAsia="da-DK"/>
        </w:rPr>
        <w:t>colorektal</w:t>
      </w:r>
      <w:proofErr w:type="spellEnd"/>
      <w:r w:rsidRPr="004C2E02">
        <w:rPr>
          <w:color w:val="000000"/>
          <w:sz w:val="24"/>
          <w:szCs w:val="24"/>
          <w:u w:val="single"/>
          <w:lang w:eastAsia="da-DK"/>
        </w:rPr>
        <w:t xml:space="preserve"> </w:t>
      </w:r>
      <w:proofErr w:type="spellStart"/>
      <w:r w:rsidRPr="004C2E02">
        <w:rPr>
          <w:color w:val="000000"/>
          <w:sz w:val="24"/>
          <w:szCs w:val="24"/>
          <w:u w:val="single"/>
          <w:lang w:eastAsia="da-DK"/>
        </w:rPr>
        <w:t>carcinoma</w:t>
      </w:r>
      <w:proofErr w:type="spellEnd"/>
    </w:p>
    <w:p w:rsidR="004C2E02" w:rsidRPr="004C2E02" w:rsidRDefault="004C2E02" w:rsidP="004C2E02">
      <w:pPr>
        <w:tabs>
          <w:tab w:val="left" w:pos="851"/>
        </w:tabs>
        <w:ind w:left="851"/>
        <w:rPr>
          <w:b/>
          <w:iCs/>
          <w:sz w:val="24"/>
          <w:szCs w:val="24"/>
          <w:lang w:eastAsia="da-DK"/>
        </w:rPr>
      </w:pPr>
    </w:p>
    <w:p w:rsidR="004C2E02" w:rsidRPr="004C2E02" w:rsidRDefault="004C2E02" w:rsidP="004C2E02">
      <w:pPr>
        <w:tabs>
          <w:tab w:val="left" w:pos="851"/>
        </w:tabs>
        <w:ind w:left="851"/>
        <w:rPr>
          <w:i/>
          <w:sz w:val="24"/>
          <w:szCs w:val="24"/>
          <w:lang w:eastAsia="da-DK"/>
        </w:rPr>
      </w:pPr>
      <w:r w:rsidRPr="004C2E02">
        <w:rPr>
          <w:i/>
          <w:iCs/>
          <w:sz w:val="24"/>
          <w:szCs w:val="24"/>
          <w:lang w:eastAsia="da-DK"/>
        </w:rPr>
        <w:t xml:space="preserve">I kombinationsterapi med </w:t>
      </w:r>
      <w:proofErr w:type="spellStart"/>
      <w:r w:rsidRPr="004C2E02">
        <w:rPr>
          <w:i/>
          <w:iCs/>
          <w:sz w:val="24"/>
          <w:szCs w:val="24"/>
          <w:lang w:eastAsia="da-DK"/>
        </w:rPr>
        <w:t>folininsyre</w:t>
      </w:r>
      <w:proofErr w:type="spellEnd"/>
      <w:r w:rsidRPr="004C2E02">
        <w:rPr>
          <w:i/>
          <w:iCs/>
          <w:sz w:val="24"/>
          <w:szCs w:val="24"/>
          <w:lang w:eastAsia="da-DK"/>
        </w:rPr>
        <w:t xml:space="preserve"> og 5-fluorouracil</w:t>
      </w:r>
    </w:p>
    <w:p w:rsidR="004C2E02" w:rsidRPr="004C2E02" w:rsidRDefault="004C2E02" w:rsidP="004C2E02">
      <w:pPr>
        <w:tabs>
          <w:tab w:val="left" w:pos="851"/>
        </w:tabs>
        <w:ind w:left="851" w:hanging="851"/>
        <w:rPr>
          <w:sz w:val="24"/>
          <w:szCs w:val="24"/>
          <w:lang w:eastAsia="da-DK"/>
        </w:rPr>
      </w:pPr>
      <w:r w:rsidRPr="004C2E02">
        <w:rPr>
          <w:sz w:val="24"/>
          <w:szCs w:val="24"/>
          <w:lang w:eastAsia="da-DK"/>
        </w:rPr>
        <w:tab/>
        <w:t xml:space="preserve">I en fase III-undersøgelse indgik 385 tidligere ubehandlede patienter med metastaserende </w:t>
      </w:r>
      <w:proofErr w:type="spellStart"/>
      <w:r w:rsidRPr="004C2E02">
        <w:rPr>
          <w:sz w:val="24"/>
          <w:szCs w:val="24"/>
          <w:lang w:eastAsia="da-DK"/>
        </w:rPr>
        <w:t>colorectal</w:t>
      </w:r>
      <w:proofErr w:type="spellEnd"/>
      <w:r w:rsidRPr="004C2E02">
        <w:rPr>
          <w:sz w:val="24"/>
          <w:szCs w:val="24"/>
          <w:lang w:eastAsia="da-DK"/>
        </w:rPr>
        <w:t xml:space="preserve"> cancer, der fik behandling enten hver 2. uge (se 4.2) eller ugentligt. I regimet med behandling hver 2. uge blev der på dag 1 givet en dosis </w:t>
      </w:r>
      <w:proofErr w:type="spellStart"/>
      <w:r w:rsidRPr="004C2E02">
        <w:rPr>
          <w:sz w:val="24"/>
          <w:szCs w:val="24"/>
          <w:lang w:eastAsia="da-DK"/>
        </w:rPr>
        <w:t>irinotecan</w:t>
      </w:r>
      <w:proofErr w:type="spellEnd"/>
      <w:r w:rsidRPr="004C2E02">
        <w:rPr>
          <w:sz w:val="24"/>
          <w:szCs w:val="24"/>
          <w:lang w:eastAsia="da-DK"/>
        </w:rPr>
        <w:t xml:space="preserve"> på 180 mg/m</w:t>
      </w:r>
      <w:r w:rsidRPr="004C2E02">
        <w:rPr>
          <w:sz w:val="24"/>
          <w:szCs w:val="24"/>
          <w:vertAlign w:val="superscript"/>
          <w:lang w:eastAsia="da-DK"/>
        </w:rPr>
        <w:t>2</w:t>
      </w:r>
      <w:r w:rsidRPr="004C2E02">
        <w:rPr>
          <w:sz w:val="24"/>
          <w:szCs w:val="24"/>
          <w:lang w:eastAsia="da-DK"/>
        </w:rPr>
        <w:t xml:space="preserve"> efterfulgt af en infusion med </w:t>
      </w:r>
      <w:proofErr w:type="spellStart"/>
      <w:r w:rsidRPr="004C2E02">
        <w:rPr>
          <w:sz w:val="24"/>
          <w:szCs w:val="24"/>
          <w:lang w:eastAsia="da-DK"/>
        </w:rPr>
        <w:t>folininsyre</w:t>
      </w:r>
      <w:proofErr w:type="spellEnd"/>
      <w:r w:rsidRPr="004C2E02">
        <w:rPr>
          <w:sz w:val="24"/>
          <w:szCs w:val="24"/>
          <w:lang w:eastAsia="da-DK"/>
        </w:rPr>
        <w:t xml:space="preserve"> (200 mg/m</w:t>
      </w:r>
      <w:r w:rsidRPr="004C2E02">
        <w:rPr>
          <w:sz w:val="24"/>
          <w:szCs w:val="24"/>
          <w:vertAlign w:val="superscript"/>
          <w:lang w:eastAsia="da-DK"/>
        </w:rPr>
        <w:t>2</w:t>
      </w:r>
      <w:r w:rsidRPr="004C2E02">
        <w:rPr>
          <w:sz w:val="24"/>
          <w:szCs w:val="24"/>
          <w:lang w:eastAsia="da-DK"/>
        </w:rPr>
        <w:t xml:space="preserve"> givet som en 2-timers intravenøs </w:t>
      </w:r>
      <w:r w:rsidRPr="004C2E02">
        <w:rPr>
          <w:sz w:val="24"/>
          <w:szCs w:val="24"/>
          <w:lang w:eastAsia="da-DK"/>
        </w:rPr>
        <w:lastRenderedPageBreak/>
        <w:t>infusion) og 5-fluorouracil (400 mg/m</w:t>
      </w:r>
      <w:r w:rsidRPr="004C2E02">
        <w:rPr>
          <w:sz w:val="24"/>
          <w:szCs w:val="24"/>
          <w:vertAlign w:val="superscript"/>
          <w:lang w:eastAsia="da-DK"/>
        </w:rPr>
        <w:t>2</w:t>
      </w:r>
      <w:r w:rsidRPr="004C2E02">
        <w:rPr>
          <w:sz w:val="24"/>
          <w:szCs w:val="24"/>
          <w:lang w:eastAsia="da-DK"/>
        </w:rPr>
        <w:t xml:space="preserve"> som en intravenøs </w:t>
      </w:r>
      <w:proofErr w:type="spellStart"/>
      <w:r w:rsidRPr="004C2E02">
        <w:rPr>
          <w:sz w:val="24"/>
          <w:szCs w:val="24"/>
          <w:lang w:eastAsia="da-DK"/>
        </w:rPr>
        <w:t>bolus</w:t>
      </w:r>
      <w:proofErr w:type="spellEnd"/>
      <w:r w:rsidRPr="004C2E02">
        <w:rPr>
          <w:sz w:val="24"/>
          <w:szCs w:val="24"/>
          <w:lang w:eastAsia="da-DK"/>
        </w:rPr>
        <w:t>, efterfulgt af 600 mg/m</w:t>
      </w:r>
      <w:r w:rsidRPr="004C2E02">
        <w:rPr>
          <w:sz w:val="24"/>
          <w:szCs w:val="24"/>
          <w:vertAlign w:val="superscript"/>
          <w:lang w:eastAsia="da-DK"/>
        </w:rPr>
        <w:t>2</w:t>
      </w:r>
      <w:r w:rsidRPr="004C2E02">
        <w:rPr>
          <w:sz w:val="24"/>
          <w:szCs w:val="24"/>
          <w:lang w:eastAsia="da-DK"/>
        </w:rPr>
        <w:t xml:space="preserve"> som en 22-timers intravenøs infusion). På dag 2 blev der givet </w:t>
      </w:r>
      <w:proofErr w:type="spellStart"/>
      <w:r w:rsidRPr="004C2E02">
        <w:rPr>
          <w:sz w:val="24"/>
          <w:szCs w:val="24"/>
          <w:lang w:eastAsia="da-DK"/>
        </w:rPr>
        <w:t>folininsyre</w:t>
      </w:r>
      <w:proofErr w:type="spellEnd"/>
      <w:r w:rsidRPr="004C2E02">
        <w:rPr>
          <w:sz w:val="24"/>
          <w:szCs w:val="24"/>
          <w:lang w:eastAsia="da-DK"/>
        </w:rPr>
        <w:t xml:space="preserve"> og 5-fluorouracil med samme doser og intervaller. I det ugentlige regime blev der givet </w:t>
      </w:r>
      <w:proofErr w:type="spellStart"/>
      <w:r w:rsidRPr="004C2E02">
        <w:rPr>
          <w:sz w:val="24"/>
          <w:szCs w:val="24"/>
          <w:lang w:eastAsia="da-DK"/>
        </w:rPr>
        <w:t>irinotecan</w:t>
      </w:r>
      <w:proofErr w:type="spellEnd"/>
      <w:r w:rsidRPr="004C2E02">
        <w:rPr>
          <w:sz w:val="24"/>
          <w:szCs w:val="24"/>
          <w:lang w:eastAsia="da-DK"/>
        </w:rPr>
        <w:t xml:space="preserve"> med en dosis på 80 mg/m</w:t>
      </w:r>
      <w:r w:rsidRPr="004C2E02">
        <w:rPr>
          <w:sz w:val="24"/>
          <w:szCs w:val="24"/>
          <w:vertAlign w:val="superscript"/>
          <w:lang w:eastAsia="da-DK"/>
        </w:rPr>
        <w:t>2</w:t>
      </w:r>
      <w:r w:rsidRPr="004C2E02">
        <w:rPr>
          <w:sz w:val="24"/>
          <w:szCs w:val="24"/>
          <w:lang w:eastAsia="da-DK"/>
        </w:rPr>
        <w:t xml:space="preserve"> efterfulgt af en infusion med </w:t>
      </w:r>
      <w:proofErr w:type="spellStart"/>
      <w:r w:rsidRPr="004C2E02">
        <w:rPr>
          <w:sz w:val="24"/>
          <w:szCs w:val="24"/>
          <w:lang w:eastAsia="da-DK"/>
        </w:rPr>
        <w:t>folininsyre</w:t>
      </w:r>
      <w:proofErr w:type="spellEnd"/>
      <w:r w:rsidRPr="004C2E02">
        <w:rPr>
          <w:sz w:val="24"/>
          <w:szCs w:val="24"/>
          <w:lang w:eastAsia="da-DK"/>
        </w:rPr>
        <w:t xml:space="preserve"> (500 mg/m</w:t>
      </w:r>
      <w:r w:rsidRPr="004C2E02">
        <w:rPr>
          <w:sz w:val="24"/>
          <w:szCs w:val="24"/>
          <w:vertAlign w:val="superscript"/>
          <w:lang w:eastAsia="da-DK"/>
        </w:rPr>
        <w:t>2</w:t>
      </w:r>
      <w:r w:rsidRPr="004C2E02">
        <w:rPr>
          <w:sz w:val="24"/>
          <w:szCs w:val="24"/>
          <w:lang w:eastAsia="da-DK"/>
        </w:rPr>
        <w:t xml:space="preserve"> som en 2-timers intravenøs infusion) og derefter af 5-fluorouracil (2.300 mg/m</w:t>
      </w:r>
      <w:r w:rsidRPr="004C2E02">
        <w:rPr>
          <w:sz w:val="24"/>
          <w:szCs w:val="24"/>
          <w:vertAlign w:val="superscript"/>
          <w:lang w:eastAsia="da-DK"/>
        </w:rPr>
        <w:t>2</w:t>
      </w:r>
      <w:r w:rsidRPr="004C2E02">
        <w:rPr>
          <w:sz w:val="24"/>
          <w:szCs w:val="24"/>
          <w:lang w:eastAsia="da-DK"/>
        </w:rPr>
        <w:t xml:space="preserve"> som en 24-timers intravenøs infusion) i 6 uger.</w:t>
      </w:r>
    </w:p>
    <w:p w:rsidR="004C2E02" w:rsidRPr="004C2E02" w:rsidRDefault="004C2E02" w:rsidP="004C2E02">
      <w:pPr>
        <w:tabs>
          <w:tab w:val="left" w:pos="851"/>
        </w:tabs>
        <w:ind w:left="851" w:hanging="851"/>
        <w:rPr>
          <w:sz w:val="24"/>
          <w:szCs w:val="24"/>
          <w:lang w:eastAsia="da-DK"/>
        </w:rPr>
      </w:pPr>
    </w:p>
    <w:p w:rsidR="004C2E02" w:rsidRPr="004C2E02" w:rsidRDefault="004C2E02" w:rsidP="004C2E02">
      <w:pPr>
        <w:tabs>
          <w:tab w:val="left" w:pos="851"/>
        </w:tabs>
        <w:ind w:left="851" w:hanging="851"/>
        <w:rPr>
          <w:sz w:val="24"/>
          <w:szCs w:val="24"/>
          <w:lang w:eastAsia="da-DK"/>
        </w:rPr>
      </w:pPr>
      <w:r w:rsidRPr="004C2E02">
        <w:rPr>
          <w:sz w:val="24"/>
          <w:szCs w:val="24"/>
          <w:lang w:eastAsia="da-DK"/>
        </w:rPr>
        <w:tab/>
        <w:t xml:space="preserve">Effekten af </w:t>
      </w:r>
      <w:proofErr w:type="spellStart"/>
      <w:r w:rsidRPr="004C2E02">
        <w:rPr>
          <w:sz w:val="24"/>
          <w:szCs w:val="24"/>
          <w:lang w:eastAsia="da-DK"/>
        </w:rPr>
        <w:t>irinotecan</w:t>
      </w:r>
      <w:proofErr w:type="spellEnd"/>
      <w:r w:rsidRPr="004C2E02">
        <w:rPr>
          <w:sz w:val="24"/>
          <w:szCs w:val="24"/>
          <w:lang w:eastAsia="da-DK"/>
        </w:rPr>
        <w:t xml:space="preserve"> ved kombinationsbehandling med de to ovennævnte regimer blev vurderet hos 198 behandlede patienter:</w:t>
      </w:r>
    </w:p>
    <w:p w:rsidR="004C2E02" w:rsidRPr="004C2E02" w:rsidRDefault="004C2E02" w:rsidP="004C2E02">
      <w:pPr>
        <w:tabs>
          <w:tab w:val="left" w:pos="851"/>
        </w:tabs>
        <w:ind w:left="851" w:hanging="851"/>
        <w:rPr>
          <w:sz w:val="24"/>
          <w:szCs w:val="24"/>
          <w:lang w:eastAsia="da-DK"/>
        </w:rPr>
      </w:pPr>
    </w:p>
    <w:tbl>
      <w:tblPr>
        <w:tblW w:w="5000" w:type="pct"/>
        <w:tblCellMar>
          <w:left w:w="40" w:type="dxa"/>
          <w:right w:w="40" w:type="dxa"/>
        </w:tblCellMar>
        <w:tblLook w:val="04A0" w:firstRow="1" w:lastRow="0" w:firstColumn="1" w:lastColumn="0" w:noHBand="0" w:noVBand="1"/>
      </w:tblPr>
      <w:tblGrid>
        <w:gridCol w:w="1777"/>
        <w:gridCol w:w="1184"/>
        <w:gridCol w:w="1037"/>
        <w:gridCol w:w="1184"/>
        <w:gridCol w:w="1184"/>
        <w:gridCol w:w="1776"/>
        <w:gridCol w:w="1480"/>
      </w:tblGrid>
      <w:tr w:rsidR="004C2E02" w:rsidTr="004C2E02">
        <w:trPr>
          <w:cantSplit/>
          <w:trHeight w:val="710"/>
        </w:trPr>
        <w:tc>
          <w:tcPr>
            <w:tcW w:w="924" w:type="pct"/>
            <w:tcBorders>
              <w:top w:val="single" w:sz="6" w:space="0" w:color="auto"/>
              <w:left w:val="single" w:sz="6" w:space="0" w:color="auto"/>
              <w:bottom w:val="nil"/>
              <w:right w:val="single" w:sz="6" w:space="0" w:color="auto"/>
            </w:tcBorders>
            <w:shd w:val="clear" w:color="auto" w:fill="FFFFFF"/>
          </w:tcPr>
          <w:p w:rsidR="004C2E02" w:rsidRDefault="004C2E02" w:rsidP="00236DCF">
            <w:pPr>
              <w:keepNext/>
              <w:tabs>
                <w:tab w:val="left" w:pos="244"/>
              </w:tabs>
              <w:ind w:left="244"/>
              <w:rPr>
                <w:sz w:val="22"/>
                <w:szCs w:val="22"/>
                <w:lang w:eastAsia="da-DK"/>
              </w:rPr>
            </w:pPr>
          </w:p>
        </w:tc>
        <w:tc>
          <w:tcPr>
            <w:tcW w:w="115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rsidP="00236DCF">
            <w:pPr>
              <w:keepNext/>
              <w:tabs>
                <w:tab w:val="left" w:pos="851"/>
              </w:tabs>
              <w:ind w:left="851" w:hanging="851"/>
              <w:rPr>
                <w:sz w:val="22"/>
                <w:szCs w:val="22"/>
                <w:lang w:val="cs-CZ" w:eastAsia="da-DK"/>
              </w:rPr>
            </w:pPr>
            <w:r>
              <w:rPr>
                <w:sz w:val="22"/>
                <w:szCs w:val="22"/>
                <w:lang w:eastAsia="da-DK"/>
              </w:rPr>
              <w:t>Kombinerede regimer (n=198)</w:t>
            </w:r>
          </w:p>
        </w:tc>
        <w:tc>
          <w:tcPr>
            <w:tcW w:w="12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rsidP="00236DCF">
            <w:pPr>
              <w:keepNext/>
              <w:tabs>
                <w:tab w:val="left" w:pos="851"/>
              </w:tabs>
              <w:ind w:left="851" w:hanging="851"/>
              <w:rPr>
                <w:sz w:val="22"/>
                <w:szCs w:val="22"/>
                <w:lang w:val="cs-CZ" w:eastAsia="da-DK"/>
              </w:rPr>
            </w:pPr>
            <w:r>
              <w:rPr>
                <w:sz w:val="22"/>
                <w:szCs w:val="22"/>
                <w:lang w:eastAsia="da-DK"/>
              </w:rPr>
              <w:t>Behandling hver uge (n=50)</w:t>
            </w:r>
          </w:p>
        </w:tc>
        <w:tc>
          <w:tcPr>
            <w:tcW w:w="1692"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rsidP="00236DCF">
            <w:pPr>
              <w:keepNext/>
              <w:tabs>
                <w:tab w:val="left" w:pos="851"/>
              </w:tabs>
              <w:ind w:left="851" w:hanging="851"/>
              <w:rPr>
                <w:sz w:val="22"/>
                <w:szCs w:val="22"/>
                <w:lang w:val="cs-CZ" w:eastAsia="da-DK"/>
              </w:rPr>
            </w:pPr>
            <w:r>
              <w:rPr>
                <w:sz w:val="22"/>
                <w:szCs w:val="22"/>
                <w:lang w:eastAsia="da-DK"/>
              </w:rPr>
              <w:t>Behandling hver 2. uge (n=148)</w:t>
            </w:r>
          </w:p>
        </w:tc>
      </w:tr>
      <w:tr w:rsidR="004C2E02" w:rsidTr="004C2E02">
        <w:trPr>
          <w:cantSplit/>
          <w:trHeight w:val="701"/>
        </w:trPr>
        <w:tc>
          <w:tcPr>
            <w:tcW w:w="924" w:type="pct"/>
            <w:tcBorders>
              <w:top w:val="nil"/>
              <w:left w:val="single" w:sz="6" w:space="0" w:color="auto"/>
              <w:bottom w:val="single" w:sz="6" w:space="0" w:color="auto"/>
              <w:right w:val="single" w:sz="6" w:space="0" w:color="auto"/>
            </w:tcBorders>
            <w:shd w:val="clear" w:color="auto" w:fill="FFFFFF"/>
          </w:tcPr>
          <w:p w:rsidR="004C2E02" w:rsidRDefault="004C2E02">
            <w:pPr>
              <w:tabs>
                <w:tab w:val="left" w:pos="244"/>
              </w:tabs>
              <w:ind w:left="244"/>
              <w:rPr>
                <w:sz w:val="22"/>
                <w:szCs w:val="22"/>
                <w:lang w:val="en-US" w:eastAsia="da-DK"/>
              </w:rPr>
            </w:pP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Irinotecan</w:t>
            </w:r>
          </w:p>
          <w:p w:rsidR="004C2E02" w:rsidRDefault="004C2E02">
            <w:pPr>
              <w:tabs>
                <w:tab w:val="left" w:pos="851"/>
              </w:tabs>
              <w:ind w:left="851" w:hanging="851"/>
              <w:rPr>
                <w:sz w:val="22"/>
                <w:szCs w:val="22"/>
                <w:lang w:val="en-US" w:eastAsia="da-DK"/>
              </w:rPr>
            </w:pPr>
            <w:r>
              <w:rPr>
                <w:sz w:val="22"/>
                <w:szCs w:val="22"/>
                <w:lang w:val="en-US" w:eastAsia="da-DK"/>
              </w:rPr>
              <w:t>+5FU/FA</w:t>
            </w:r>
          </w:p>
        </w:tc>
        <w:tc>
          <w:tcPr>
            <w:tcW w:w="538"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5FU/FA</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Irinotecan</w:t>
            </w:r>
          </w:p>
          <w:p w:rsidR="004C2E02" w:rsidRDefault="004C2E02">
            <w:pPr>
              <w:tabs>
                <w:tab w:val="left" w:pos="851"/>
              </w:tabs>
              <w:ind w:left="851" w:hanging="851"/>
              <w:rPr>
                <w:sz w:val="22"/>
                <w:szCs w:val="22"/>
                <w:lang w:val="en-US" w:eastAsia="da-DK"/>
              </w:rPr>
            </w:pPr>
            <w:r>
              <w:rPr>
                <w:sz w:val="22"/>
                <w:szCs w:val="22"/>
                <w:lang w:val="en-US" w:eastAsia="da-DK"/>
              </w:rPr>
              <w:t>+5FU/FA</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5FU/FA</w:t>
            </w:r>
          </w:p>
        </w:tc>
        <w:tc>
          <w:tcPr>
            <w:tcW w:w="923"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Irinotecan</w:t>
            </w:r>
          </w:p>
          <w:p w:rsidR="004C2E02" w:rsidRDefault="004C2E02">
            <w:pPr>
              <w:tabs>
                <w:tab w:val="left" w:pos="851"/>
              </w:tabs>
              <w:ind w:left="851" w:hanging="851"/>
              <w:rPr>
                <w:sz w:val="22"/>
                <w:szCs w:val="22"/>
                <w:lang w:val="en-US" w:eastAsia="da-DK"/>
              </w:rPr>
            </w:pPr>
            <w:r>
              <w:rPr>
                <w:sz w:val="22"/>
                <w:szCs w:val="22"/>
                <w:lang w:val="en-US" w:eastAsia="da-DK"/>
              </w:rPr>
              <w:t>+5FU/FA</w:t>
            </w:r>
          </w:p>
        </w:tc>
        <w:tc>
          <w:tcPr>
            <w:tcW w:w="769"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5FU/FA</w:t>
            </w:r>
          </w:p>
        </w:tc>
      </w:tr>
      <w:tr w:rsidR="004C2E02" w:rsidTr="004C2E02">
        <w:trPr>
          <w:trHeight w:val="691"/>
        </w:trPr>
        <w:tc>
          <w:tcPr>
            <w:tcW w:w="9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C2E02" w:rsidRDefault="004C2E02">
            <w:pPr>
              <w:tabs>
                <w:tab w:val="left" w:pos="244"/>
              </w:tabs>
              <w:ind w:left="244"/>
              <w:rPr>
                <w:sz w:val="22"/>
                <w:szCs w:val="22"/>
                <w:lang w:val="cs-CZ" w:eastAsia="da-DK"/>
              </w:rPr>
            </w:pPr>
            <w:r>
              <w:rPr>
                <w:sz w:val="22"/>
                <w:szCs w:val="22"/>
                <w:lang w:eastAsia="da-DK"/>
              </w:rPr>
              <w:t>Responsrate (%)</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40,8*</w:t>
            </w:r>
          </w:p>
        </w:tc>
        <w:tc>
          <w:tcPr>
            <w:tcW w:w="538"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23,1*</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51,2*</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28,6*</w:t>
            </w:r>
          </w:p>
        </w:tc>
        <w:tc>
          <w:tcPr>
            <w:tcW w:w="923"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37,5*</w:t>
            </w:r>
          </w:p>
        </w:tc>
        <w:tc>
          <w:tcPr>
            <w:tcW w:w="769"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21,6*</w:t>
            </w:r>
          </w:p>
        </w:tc>
      </w:tr>
      <w:tr w:rsidR="004C2E02" w:rsidTr="004C2E02">
        <w:trPr>
          <w:trHeight w:val="413"/>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proofErr w:type="spellStart"/>
            <w:r>
              <w:rPr>
                <w:sz w:val="22"/>
                <w:szCs w:val="22"/>
                <w:lang w:eastAsia="da-DK"/>
              </w:rPr>
              <w:t>p-værdi</w:t>
            </w:r>
            <w:proofErr w:type="spellEnd"/>
          </w:p>
        </w:tc>
        <w:tc>
          <w:tcPr>
            <w:tcW w:w="115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p&lt;0,001</w:t>
            </w:r>
          </w:p>
        </w:tc>
        <w:tc>
          <w:tcPr>
            <w:tcW w:w="12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p=0,045</w:t>
            </w:r>
          </w:p>
        </w:tc>
        <w:tc>
          <w:tcPr>
            <w:tcW w:w="1692"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p=0,005</w:t>
            </w:r>
          </w:p>
        </w:tc>
      </w:tr>
      <w:tr w:rsidR="004C2E02" w:rsidTr="004C2E02">
        <w:trPr>
          <w:trHeight w:val="766"/>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r>
              <w:rPr>
                <w:sz w:val="22"/>
                <w:szCs w:val="22"/>
                <w:lang w:eastAsia="da-DK"/>
              </w:rPr>
              <w:t>Mediantid til progression (måneder)</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6,7</w:t>
            </w:r>
          </w:p>
        </w:tc>
        <w:tc>
          <w:tcPr>
            <w:tcW w:w="538"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4,4</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7,2</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6,5</w:t>
            </w:r>
          </w:p>
        </w:tc>
        <w:tc>
          <w:tcPr>
            <w:tcW w:w="923"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6,5</w:t>
            </w:r>
          </w:p>
        </w:tc>
        <w:tc>
          <w:tcPr>
            <w:tcW w:w="769"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3,7</w:t>
            </w:r>
          </w:p>
        </w:tc>
      </w:tr>
      <w:tr w:rsidR="004C2E02" w:rsidTr="004C2E02">
        <w:trPr>
          <w:trHeight w:val="413"/>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proofErr w:type="spellStart"/>
            <w:r>
              <w:rPr>
                <w:sz w:val="22"/>
                <w:szCs w:val="22"/>
                <w:lang w:eastAsia="da-DK"/>
              </w:rPr>
              <w:t>p-værdi</w:t>
            </w:r>
            <w:proofErr w:type="spellEnd"/>
          </w:p>
        </w:tc>
        <w:tc>
          <w:tcPr>
            <w:tcW w:w="115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p&lt;0,001</w:t>
            </w:r>
          </w:p>
        </w:tc>
        <w:tc>
          <w:tcPr>
            <w:tcW w:w="12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NS</w:t>
            </w:r>
          </w:p>
        </w:tc>
        <w:tc>
          <w:tcPr>
            <w:tcW w:w="1692"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p=0,001</w:t>
            </w:r>
          </w:p>
        </w:tc>
      </w:tr>
      <w:tr w:rsidR="004C2E02" w:rsidTr="004C2E02">
        <w:trPr>
          <w:trHeight w:val="714"/>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r>
              <w:rPr>
                <w:sz w:val="22"/>
                <w:szCs w:val="22"/>
                <w:lang w:eastAsia="da-DK"/>
              </w:rPr>
              <w:t>Median varighed af respons (måneder)</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9,3</w:t>
            </w:r>
          </w:p>
        </w:tc>
        <w:tc>
          <w:tcPr>
            <w:tcW w:w="538"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8,8</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8,9</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6,7</w:t>
            </w:r>
          </w:p>
        </w:tc>
        <w:tc>
          <w:tcPr>
            <w:tcW w:w="923"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9,3</w:t>
            </w:r>
          </w:p>
        </w:tc>
        <w:tc>
          <w:tcPr>
            <w:tcW w:w="769"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9,5</w:t>
            </w:r>
          </w:p>
        </w:tc>
      </w:tr>
      <w:tr w:rsidR="004C2E02" w:rsidTr="004C2E02">
        <w:trPr>
          <w:trHeight w:val="422"/>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proofErr w:type="spellStart"/>
            <w:r>
              <w:rPr>
                <w:sz w:val="22"/>
                <w:szCs w:val="22"/>
                <w:lang w:eastAsia="da-DK"/>
              </w:rPr>
              <w:t>p-værdi</w:t>
            </w:r>
            <w:proofErr w:type="spellEnd"/>
          </w:p>
        </w:tc>
        <w:tc>
          <w:tcPr>
            <w:tcW w:w="115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NS</w:t>
            </w:r>
          </w:p>
        </w:tc>
        <w:tc>
          <w:tcPr>
            <w:tcW w:w="12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p=0,043</w:t>
            </w:r>
          </w:p>
        </w:tc>
        <w:tc>
          <w:tcPr>
            <w:tcW w:w="1692"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NS</w:t>
            </w:r>
          </w:p>
        </w:tc>
      </w:tr>
      <w:tr w:rsidR="004C2E02" w:rsidTr="004C2E02">
        <w:trPr>
          <w:trHeight w:val="999"/>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r>
              <w:rPr>
                <w:sz w:val="22"/>
                <w:szCs w:val="22"/>
                <w:lang w:eastAsia="da-DK"/>
              </w:rPr>
              <w:t>Median varighed af respons og stabilisering (måneder)</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8,6</w:t>
            </w:r>
          </w:p>
        </w:tc>
        <w:tc>
          <w:tcPr>
            <w:tcW w:w="538"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6,2</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8,3</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6,7</w:t>
            </w:r>
          </w:p>
        </w:tc>
        <w:tc>
          <w:tcPr>
            <w:tcW w:w="923"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8,5</w:t>
            </w:r>
          </w:p>
        </w:tc>
        <w:tc>
          <w:tcPr>
            <w:tcW w:w="769"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5,6</w:t>
            </w:r>
          </w:p>
        </w:tc>
      </w:tr>
      <w:tr w:rsidR="004C2E02" w:rsidTr="004C2E02">
        <w:trPr>
          <w:trHeight w:val="413"/>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proofErr w:type="spellStart"/>
            <w:r>
              <w:rPr>
                <w:sz w:val="22"/>
                <w:szCs w:val="22"/>
                <w:lang w:eastAsia="da-DK"/>
              </w:rPr>
              <w:t>p-værdi</w:t>
            </w:r>
            <w:proofErr w:type="spellEnd"/>
          </w:p>
        </w:tc>
        <w:tc>
          <w:tcPr>
            <w:tcW w:w="115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p&lt;0,001</w:t>
            </w:r>
          </w:p>
        </w:tc>
        <w:tc>
          <w:tcPr>
            <w:tcW w:w="12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NS</w:t>
            </w:r>
          </w:p>
        </w:tc>
        <w:tc>
          <w:tcPr>
            <w:tcW w:w="1692"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p=0,003</w:t>
            </w:r>
          </w:p>
        </w:tc>
      </w:tr>
      <w:tr w:rsidR="004C2E02" w:rsidTr="004C2E02">
        <w:trPr>
          <w:trHeight w:val="996"/>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r>
              <w:rPr>
                <w:sz w:val="22"/>
                <w:szCs w:val="22"/>
                <w:lang w:eastAsia="da-DK"/>
              </w:rPr>
              <w:t>Mediantid til behandlings-svigt (måneder)</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5,3</w:t>
            </w:r>
          </w:p>
        </w:tc>
        <w:tc>
          <w:tcPr>
            <w:tcW w:w="538"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3,8</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5,4</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5,0</w:t>
            </w:r>
          </w:p>
        </w:tc>
        <w:tc>
          <w:tcPr>
            <w:tcW w:w="923"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5,1</w:t>
            </w:r>
          </w:p>
        </w:tc>
        <w:tc>
          <w:tcPr>
            <w:tcW w:w="769"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3,0</w:t>
            </w:r>
          </w:p>
        </w:tc>
      </w:tr>
      <w:tr w:rsidR="004C2E02" w:rsidTr="004C2E02">
        <w:trPr>
          <w:trHeight w:val="413"/>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proofErr w:type="spellStart"/>
            <w:r>
              <w:rPr>
                <w:sz w:val="22"/>
                <w:szCs w:val="22"/>
                <w:lang w:eastAsia="da-DK"/>
              </w:rPr>
              <w:t>p-værdi</w:t>
            </w:r>
            <w:proofErr w:type="spellEnd"/>
          </w:p>
        </w:tc>
        <w:tc>
          <w:tcPr>
            <w:tcW w:w="115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p=0,0014</w:t>
            </w:r>
          </w:p>
        </w:tc>
        <w:tc>
          <w:tcPr>
            <w:tcW w:w="12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NS</w:t>
            </w:r>
          </w:p>
        </w:tc>
        <w:tc>
          <w:tcPr>
            <w:tcW w:w="1692"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p&lt;0,001</w:t>
            </w:r>
          </w:p>
        </w:tc>
      </w:tr>
      <w:tr w:rsidR="004C2E02" w:rsidTr="004C2E02">
        <w:trPr>
          <w:trHeight w:val="728"/>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r>
              <w:rPr>
                <w:sz w:val="22"/>
                <w:szCs w:val="22"/>
                <w:lang w:eastAsia="da-DK"/>
              </w:rPr>
              <w:t>Median overlevelse (måneder)</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16,8</w:t>
            </w:r>
          </w:p>
        </w:tc>
        <w:tc>
          <w:tcPr>
            <w:tcW w:w="538"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14,0</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19,2</w:t>
            </w:r>
          </w:p>
        </w:tc>
        <w:tc>
          <w:tcPr>
            <w:tcW w:w="615"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14,1</w:t>
            </w:r>
          </w:p>
        </w:tc>
        <w:tc>
          <w:tcPr>
            <w:tcW w:w="923"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15,6</w:t>
            </w:r>
          </w:p>
        </w:tc>
        <w:tc>
          <w:tcPr>
            <w:tcW w:w="769"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en-US" w:eastAsia="da-DK"/>
              </w:rPr>
            </w:pPr>
            <w:r>
              <w:rPr>
                <w:sz w:val="22"/>
                <w:szCs w:val="22"/>
                <w:lang w:val="en-US" w:eastAsia="da-DK"/>
              </w:rPr>
              <w:t>13,0</w:t>
            </w:r>
          </w:p>
        </w:tc>
      </w:tr>
      <w:tr w:rsidR="004C2E02" w:rsidTr="004C2E02">
        <w:trPr>
          <w:trHeight w:val="432"/>
        </w:trPr>
        <w:tc>
          <w:tcPr>
            <w:tcW w:w="924" w:type="pct"/>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244"/>
              </w:tabs>
              <w:ind w:left="244"/>
              <w:rPr>
                <w:sz w:val="22"/>
                <w:szCs w:val="22"/>
                <w:lang w:val="cs-CZ" w:eastAsia="da-DK"/>
              </w:rPr>
            </w:pPr>
            <w:proofErr w:type="spellStart"/>
            <w:r>
              <w:rPr>
                <w:sz w:val="22"/>
                <w:szCs w:val="22"/>
                <w:lang w:eastAsia="da-DK"/>
              </w:rPr>
              <w:t>p-værdi</w:t>
            </w:r>
            <w:proofErr w:type="spellEnd"/>
          </w:p>
        </w:tc>
        <w:tc>
          <w:tcPr>
            <w:tcW w:w="115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p=0,028</w:t>
            </w:r>
          </w:p>
        </w:tc>
        <w:tc>
          <w:tcPr>
            <w:tcW w:w="12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NS</w:t>
            </w:r>
          </w:p>
        </w:tc>
        <w:tc>
          <w:tcPr>
            <w:tcW w:w="1692" w:type="pct"/>
            <w:gridSpan w:val="2"/>
            <w:tcBorders>
              <w:top w:val="single" w:sz="6" w:space="0" w:color="auto"/>
              <w:left w:val="single" w:sz="6" w:space="0" w:color="auto"/>
              <w:bottom w:val="single" w:sz="6" w:space="0" w:color="auto"/>
              <w:right w:val="single" w:sz="6" w:space="0" w:color="auto"/>
            </w:tcBorders>
            <w:shd w:val="clear" w:color="auto" w:fill="FFFFFF"/>
            <w:hideMark/>
          </w:tcPr>
          <w:p w:rsidR="004C2E02" w:rsidRDefault="004C2E02">
            <w:pPr>
              <w:tabs>
                <w:tab w:val="left" w:pos="851"/>
              </w:tabs>
              <w:ind w:left="851" w:hanging="851"/>
              <w:rPr>
                <w:sz w:val="22"/>
                <w:szCs w:val="22"/>
                <w:lang w:val="cs-CZ" w:eastAsia="da-DK"/>
              </w:rPr>
            </w:pPr>
            <w:r>
              <w:rPr>
                <w:sz w:val="22"/>
                <w:szCs w:val="22"/>
                <w:lang w:eastAsia="da-DK"/>
              </w:rPr>
              <w:t>p=0,041</w:t>
            </w:r>
          </w:p>
        </w:tc>
      </w:tr>
    </w:tbl>
    <w:p w:rsidR="004C2E02" w:rsidRDefault="004C2E02" w:rsidP="004C2E02">
      <w:pPr>
        <w:rPr>
          <w:sz w:val="20"/>
          <w:lang w:eastAsia="da-DK"/>
        </w:rPr>
      </w:pPr>
      <w:r>
        <w:rPr>
          <w:sz w:val="20"/>
          <w:lang w:eastAsia="da-DK"/>
        </w:rPr>
        <w:t>5FU: 5-fluorouracil</w:t>
      </w:r>
    </w:p>
    <w:p w:rsidR="004C2E02" w:rsidRDefault="004C2E02" w:rsidP="004C2E02">
      <w:pPr>
        <w:rPr>
          <w:sz w:val="20"/>
          <w:lang w:eastAsia="da-DK"/>
        </w:rPr>
      </w:pPr>
      <w:r>
        <w:rPr>
          <w:sz w:val="20"/>
          <w:lang w:eastAsia="da-DK"/>
        </w:rPr>
        <w:t xml:space="preserve">FA: </w:t>
      </w:r>
      <w:proofErr w:type="spellStart"/>
      <w:r>
        <w:rPr>
          <w:sz w:val="20"/>
          <w:lang w:eastAsia="da-DK"/>
        </w:rPr>
        <w:t>folininsyre</w:t>
      </w:r>
      <w:proofErr w:type="spellEnd"/>
    </w:p>
    <w:p w:rsidR="004C2E02" w:rsidRDefault="004C2E02" w:rsidP="004C2E02">
      <w:pPr>
        <w:rPr>
          <w:sz w:val="20"/>
          <w:lang w:eastAsia="da-DK"/>
        </w:rPr>
      </w:pPr>
      <w:r>
        <w:rPr>
          <w:sz w:val="20"/>
          <w:lang w:eastAsia="da-DK"/>
        </w:rPr>
        <w:t>NS: Ikke signifikant</w:t>
      </w:r>
    </w:p>
    <w:p w:rsidR="004C2E02" w:rsidRDefault="004C2E02" w:rsidP="004C2E02">
      <w:pPr>
        <w:rPr>
          <w:sz w:val="20"/>
          <w:lang w:eastAsia="da-DK"/>
        </w:rPr>
      </w:pPr>
      <w:r>
        <w:rPr>
          <w:sz w:val="20"/>
          <w:lang w:eastAsia="da-DK"/>
        </w:rPr>
        <w:t>*: I henhold til populationsanalyse i protokol</w:t>
      </w:r>
    </w:p>
    <w:p w:rsidR="004C2E02" w:rsidRDefault="004C2E02" w:rsidP="004C2E02">
      <w:pPr>
        <w:tabs>
          <w:tab w:val="left" w:pos="851"/>
        </w:tabs>
        <w:ind w:left="851"/>
        <w:rPr>
          <w:sz w:val="22"/>
          <w:szCs w:val="22"/>
          <w:lang w:eastAsia="da-DK"/>
        </w:rPr>
      </w:pPr>
    </w:p>
    <w:p w:rsidR="004C2E02" w:rsidRPr="004C2E02" w:rsidRDefault="004C2E02" w:rsidP="004C2E02">
      <w:pPr>
        <w:ind w:left="851"/>
        <w:rPr>
          <w:sz w:val="24"/>
          <w:szCs w:val="24"/>
          <w:lang w:eastAsia="da-DK"/>
        </w:rPr>
      </w:pPr>
      <w:r w:rsidRPr="004C2E02">
        <w:rPr>
          <w:sz w:val="24"/>
          <w:szCs w:val="24"/>
          <w:lang w:eastAsia="da-DK"/>
        </w:rPr>
        <w:t xml:space="preserve">I det ugentlige regime var forekomsten af svær diarré 44,4 % hos de patienter, der blev behandlet med </w:t>
      </w:r>
      <w:proofErr w:type="spellStart"/>
      <w:r w:rsidRPr="004C2E02">
        <w:rPr>
          <w:sz w:val="24"/>
          <w:szCs w:val="24"/>
          <w:lang w:eastAsia="da-DK"/>
        </w:rPr>
        <w:t>irinotecan</w:t>
      </w:r>
      <w:proofErr w:type="spellEnd"/>
      <w:r w:rsidRPr="004C2E02">
        <w:rPr>
          <w:sz w:val="24"/>
          <w:szCs w:val="24"/>
          <w:lang w:eastAsia="da-DK"/>
        </w:rPr>
        <w:t xml:space="preserve"> i kombination med 5FU/FA, og 25,6 % hos de patienter, der blev </w:t>
      </w:r>
      <w:r w:rsidRPr="004C2E02">
        <w:rPr>
          <w:sz w:val="24"/>
          <w:szCs w:val="24"/>
          <w:lang w:eastAsia="da-DK"/>
        </w:rPr>
        <w:lastRenderedPageBreak/>
        <w:t xml:space="preserve">behandlet med 5FU/FA alene. Forekomsten af svær </w:t>
      </w:r>
      <w:proofErr w:type="spellStart"/>
      <w:r w:rsidRPr="004C2E02">
        <w:rPr>
          <w:sz w:val="24"/>
          <w:szCs w:val="24"/>
          <w:lang w:eastAsia="da-DK"/>
        </w:rPr>
        <w:t>neutropeni</w:t>
      </w:r>
      <w:proofErr w:type="spellEnd"/>
      <w:r w:rsidRPr="004C2E02">
        <w:rPr>
          <w:sz w:val="24"/>
          <w:szCs w:val="24"/>
          <w:lang w:eastAsia="da-DK"/>
        </w:rPr>
        <w:t xml:space="preserve"> (</w:t>
      </w:r>
      <w:proofErr w:type="spellStart"/>
      <w:r w:rsidRPr="004C2E02">
        <w:rPr>
          <w:sz w:val="24"/>
          <w:szCs w:val="24"/>
          <w:lang w:eastAsia="da-DK"/>
        </w:rPr>
        <w:t>neutrofil</w:t>
      </w:r>
      <w:proofErr w:type="spellEnd"/>
      <w:r w:rsidRPr="004C2E02">
        <w:rPr>
          <w:sz w:val="24"/>
          <w:szCs w:val="24"/>
          <w:lang w:eastAsia="da-DK"/>
        </w:rPr>
        <w:t xml:space="preserve"> tal &lt;0.5 x 10</w:t>
      </w:r>
      <w:r w:rsidRPr="004C2E02">
        <w:rPr>
          <w:sz w:val="24"/>
          <w:szCs w:val="24"/>
          <w:vertAlign w:val="superscript"/>
          <w:lang w:eastAsia="da-DK"/>
        </w:rPr>
        <w:t>9</w:t>
      </w:r>
      <w:r w:rsidRPr="004C2E02">
        <w:rPr>
          <w:sz w:val="24"/>
          <w:szCs w:val="24"/>
          <w:lang w:eastAsia="da-DK"/>
        </w:rPr>
        <w:t xml:space="preserve">/l, dvs. &lt;500 celler/mm³) var 5,8 % hos patienter behandlet med </w:t>
      </w:r>
      <w:proofErr w:type="spellStart"/>
      <w:r w:rsidRPr="004C2E02">
        <w:rPr>
          <w:sz w:val="24"/>
          <w:szCs w:val="24"/>
          <w:lang w:eastAsia="da-DK"/>
        </w:rPr>
        <w:t>irinotecan</w:t>
      </w:r>
      <w:proofErr w:type="spellEnd"/>
      <w:r w:rsidRPr="004C2E02">
        <w:rPr>
          <w:sz w:val="24"/>
          <w:szCs w:val="24"/>
          <w:lang w:eastAsia="da-DK"/>
        </w:rPr>
        <w:t xml:space="preserve"> i kombination med 5FU/FA og 2,4 % hos patienter behandlet med 5FU/FA alene.</w:t>
      </w:r>
    </w:p>
    <w:p w:rsidR="004C2E02" w:rsidRPr="004C2E02" w:rsidRDefault="004C2E02" w:rsidP="004C2E02">
      <w:pPr>
        <w:ind w:left="851"/>
        <w:rPr>
          <w:sz w:val="24"/>
          <w:szCs w:val="24"/>
          <w:lang w:eastAsia="da-DK"/>
        </w:rPr>
      </w:pPr>
    </w:p>
    <w:p w:rsidR="004C2E02" w:rsidRPr="004C2E02" w:rsidRDefault="004C2E02" w:rsidP="004C2E02">
      <w:pPr>
        <w:ind w:left="851"/>
        <w:rPr>
          <w:sz w:val="24"/>
          <w:szCs w:val="24"/>
          <w:lang w:eastAsia="da-DK"/>
        </w:rPr>
      </w:pPr>
      <w:r w:rsidRPr="004C2E02">
        <w:rPr>
          <w:sz w:val="24"/>
          <w:szCs w:val="24"/>
          <w:lang w:eastAsia="da-DK"/>
        </w:rPr>
        <w:t xml:space="preserve">Desuden var mediantiden til definitiv forværring af performance status signifikant længere i gruppen, der fik </w:t>
      </w:r>
      <w:proofErr w:type="spellStart"/>
      <w:r w:rsidRPr="004C2E02">
        <w:rPr>
          <w:sz w:val="24"/>
          <w:szCs w:val="24"/>
          <w:lang w:eastAsia="da-DK"/>
        </w:rPr>
        <w:t>irinotecan</w:t>
      </w:r>
      <w:proofErr w:type="spellEnd"/>
      <w:r w:rsidRPr="004C2E02">
        <w:rPr>
          <w:sz w:val="24"/>
          <w:szCs w:val="24"/>
          <w:lang w:eastAsia="da-DK"/>
        </w:rPr>
        <w:t xml:space="preserve"> i kombination med 5FU/FA, end i gruppen, der fik 5FU/FA alene (p=0,046).</w:t>
      </w:r>
    </w:p>
    <w:p w:rsidR="004C2E02" w:rsidRPr="004C2E02" w:rsidRDefault="004C2E02" w:rsidP="004C2E02">
      <w:pPr>
        <w:ind w:left="851"/>
        <w:rPr>
          <w:sz w:val="24"/>
          <w:szCs w:val="24"/>
          <w:lang w:eastAsia="da-DK"/>
        </w:rPr>
      </w:pPr>
    </w:p>
    <w:p w:rsidR="004C2E02" w:rsidRPr="004C2E02" w:rsidRDefault="004C2E02" w:rsidP="004C2E02">
      <w:pPr>
        <w:ind w:left="851"/>
        <w:rPr>
          <w:sz w:val="24"/>
          <w:szCs w:val="24"/>
          <w:lang w:eastAsia="da-DK"/>
        </w:rPr>
      </w:pPr>
      <w:r w:rsidRPr="004C2E02">
        <w:rPr>
          <w:sz w:val="24"/>
          <w:szCs w:val="24"/>
          <w:lang w:eastAsia="da-DK"/>
        </w:rPr>
        <w:t xml:space="preserve">Livskvaliteten i denne fase III-undersøgelse blev vurderet med </w:t>
      </w:r>
      <w:proofErr w:type="spellStart"/>
      <w:r w:rsidRPr="004C2E02">
        <w:rPr>
          <w:sz w:val="24"/>
          <w:szCs w:val="24"/>
          <w:lang w:eastAsia="da-DK"/>
        </w:rPr>
        <w:t>EORTC's</w:t>
      </w:r>
      <w:proofErr w:type="spellEnd"/>
      <w:r w:rsidRPr="004C2E02">
        <w:rPr>
          <w:sz w:val="24"/>
          <w:szCs w:val="24"/>
          <w:lang w:eastAsia="da-DK"/>
        </w:rPr>
        <w:t xml:space="preserve"> spørgeskema QLQ-C30. Tiden til definitiv forværring fandt hele tiden senere sted i </w:t>
      </w:r>
      <w:proofErr w:type="spellStart"/>
      <w:r w:rsidRPr="004C2E02">
        <w:rPr>
          <w:sz w:val="24"/>
          <w:szCs w:val="24"/>
          <w:lang w:eastAsia="da-DK"/>
        </w:rPr>
        <w:t>irinotecan</w:t>
      </w:r>
      <w:proofErr w:type="spellEnd"/>
      <w:r w:rsidRPr="004C2E02">
        <w:rPr>
          <w:sz w:val="24"/>
          <w:szCs w:val="24"/>
          <w:lang w:eastAsia="da-DK"/>
        </w:rPr>
        <w:t xml:space="preserve">- </w:t>
      </w:r>
      <w:proofErr w:type="spellStart"/>
      <w:r w:rsidRPr="004C2E02">
        <w:rPr>
          <w:sz w:val="24"/>
          <w:szCs w:val="24"/>
          <w:lang w:eastAsia="da-DK"/>
        </w:rPr>
        <w:t>hydrochlorid</w:t>
      </w:r>
      <w:proofErr w:type="spellEnd"/>
      <w:r w:rsidRPr="004C2E02">
        <w:rPr>
          <w:sz w:val="24"/>
          <w:szCs w:val="24"/>
          <w:lang w:eastAsia="da-DK"/>
        </w:rPr>
        <w:t xml:space="preserve">-grupperne. Udviklingen i total helbredstilstand og livskvalitet var lidt bedre i grupperne, der fik </w:t>
      </w:r>
      <w:proofErr w:type="spellStart"/>
      <w:r w:rsidRPr="004C2E02">
        <w:rPr>
          <w:sz w:val="24"/>
          <w:szCs w:val="24"/>
          <w:lang w:eastAsia="da-DK"/>
        </w:rPr>
        <w:t>irinotecan</w:t>
      </w:r>
      <w:proofErr w:type="spellEnd"/>
      <w:r w:rsidRPr="004C2E02">
        <w:rPr>
          <w:sz w:val="24"/>
          <w:szCs w:val="24"/>
          <w:lang w:eastAsia="da-DK"/>
        </w:rPr>
        <w:t xml:space="preserve"> som kombinationsbehandling, men dog ikke signifikant. Dette viser, at effekten med </w:t>
      </w:r>
      <w:proofErr w:type="spellStart"/>
      <w:r w:rsidRPr="004C2E02">
        <w:rPr>
          <w:sz w:val="24"/>
          <w:szCs w:val="24"/>
          <w:lang w:eastAsia="da-DK"/>
        </w:rPr>
        <w:t>irinotecan</w:t>
      </w:r>
      <w:proofErr w:type="spellEnd"/>
      <w:r w:rsidRPr="004C2E02">
        <w:rPr>
          <w:sz w:val="24"/>
          <w:szCs w:val="24"/>
          <w:lang w:eastAsia="da-DK"/>
        </w:rPr>
        <w:t xml:space="preserve"> i kombinationsbehandling kan opnås, uden at det påvirker livskvaliteten.</w:t>
      </w:r>
    </w:p>
    <w:p w:rsidR="004C2E02" w:rsidRPr="004C2E02" w:rsidRDefault="004C2E02" w:rsidP="004C2E02">
      <w:pPr>
        <w:ind w:left="851"/>
        <w:rPr>
          <w:b/>
          <w:sz w:val="24"/>
          <w:szCs w:val="24"/>
          <w:lang w:eastAsia="da-DK"/>
        </w:rPr>
      </w:pPr>
    </w:p>
    <w:p w:rsidR="004C2E02" w:rsidRPr="004C2E02" w:rsidRDefault="004C2E02" w:rsidP="004C2E02">
      <w:pPr>
        <w:ind w:left="851"/>
        <w:rPr>
          <w:sz w:val="24"/>
          <w:szCs w:val="24"/>
          <w:lang w:eastAsia="da-DK"/>
        </w:rPr>
      </w:pPr>
      <w:r w:rsidRPr="004C2E02">
        <w:rPr>
          <w:color w:val="000000"/>
          <w:sz w:val="24"/>
          <w:szCs w:val="24"/>
          <w:u w:val="single"/>
          <w:lang w:eastAsia="da-DK"/>
        </w:rPr>
        <w:t xml:space="preserve">I kombinationsterapi med </w:t>
      </w:r>
      <w:proofErr w:type="spellStart"/>
      <w:r w:rsidRPr="004C2E02">
        <w:rPr>
          <w:color w:val="000000"/>
          <w:sz w:val="24"/>
          <w:szCs w:val="24"/>
          <w:u w:val="single"/>
          <w:lang w:eastAsia="da-DK"/>
        </w:rPr>
        <w:t>bevacizumab</w:t>
      </w:r>
      <w:proofErr w:type="spellEnd"/>
    </w:p>
    <w:p w:rsidR="004C2E02" w:rsidRPr="004C2E02" w:rsidRDefault="004C2E02" w:rsidP="004C2E02">
      <w:pPr>
        <w:ind w:left="851"/>
        <w:rPr>
          <w:color w:val="000000"/>
          <w:sz w:val="24"/>
          <w:szCs w:val="24"/>
          <w:lang w:eastAsia="da-DK"/>
        </w:rPr>
      </w:pPr>
      <w:r w:rsidRPr="004C2E02">
        <w:rPr>
          <w:color w:val="000000"/>
          <w:sz w:val="24"/>
          <w:szCs w:val="24"/>
          <w:lang w:eastAsia="da-DK"/>
        </w:rPr>
        <w:t xml:space="preserve">Effekten af </w:t>
      </w:r>
      <w:proofErr w:type="spellStart"/>
      <w:r w:rsidRPr="004C2E02">
        <w:rPr>
          <w:color w:val="000000"/>
          <w:sz w:val="24"/>
          <w:szCs w:val="24"/>
          <w:lang w:eastAsia="da-DK"/>
        </w:rPr>
        <w:t>bevacizumab</w:t>
      </w:r>
      <w:proofErr w:type="spellEnd"/>
      <w:r w:rsidRPr="004C2E02">
        <w:rPr>
          <w:color w:val="000000"/>
          <w:sz w:val="24"/>
          <w:szCs w:val="24"/>
          <w:lang w:eastAsia="da-DK"/>
        </w:rPr>
        <w:t xml:space="preserve"> i kombinationsbehandling med </w:t>
      </w:r>
      <w:proofErr w:type="spellStart"/>
      <w:r w:rsidRPr="004C2E02">
        <w:rPr>
          <w:color w:val="000000"/>
          <w:sz w:val="24"/>
          <w:szCs w:val="24"/>
          <w:lang w:eastAsia="da-DK"/>
        </w:rPr>
        <w:t>irinotecan</w:t>
      </w:r>
      <w:proofErr w:type="spellEnd"/>
      <w:r w:rsidRPr="004C2E02">
        <w:rPr>
          <w:color w:val="000000"/>
          <w:sz w:val="24"/>
          <w:szCs w:val="24"/>
          <w:lang w:eastAsia="da-DK"/>
        </w:rPr>
        <w:t xml:space="preserve">/5FU/FA som 1. linjebehandling af metastaserende </w:t>
      </w:r>
      <w:proofErr w:type="spellStart"/>
      <w:r w:rsidRPr="004C2E02">
        <w:rPr>
          <w:color w:val="000000"/>
          <w:sz w:val="24"/>
          <w:szCs w:val="24"/>
          <w:lang w:eastAsia="da-DK"/>
        </w:rPr>
        <w:t>carcinoma</w:t>
      </w:r>
      <w:proofErr w:type="spellEnd"/>
      <w:r w:rsidRPr="004C2E02">
        <w:rPr>
          <w:color w:val="000000"/>
          <w:sz w:val="24"/>
          <w:szCs w:val="24"/>
          <w:lang w:eastAsia="da-DK"/>
        </w:rPr>
        <w:t xml:space="preserve"> i </w:t>
      </w:r>
      <w:proofErr w:type="spellStart"/>
      <w:r w:rsidRPr="004C2E02">
        <w:rPr>
          <w:color w:val="000000"/>
          <w:sz w:val="24"/>
          <w:szCs w:val="24"/>
          <w:lang w:eastAsia="da-DK"/>
        </w:rPr>
        <w:t>colon</w:t>
      </w:r>
      <w:proofErr w:type="spellEnd"/>
      <w:r w:rsidRPr="004C2E02">
        <w:rPr>
          <w:color w:val="000000"/>
          <w:sz w:val="24"/>
          <w:szCs w:val="24"/>
          <w:lang w:eastAsia="da-DK"/>
        </w:rPr>
        <w:t xml:space="preserve"> eller </w:t>
      </w:r>
      <w:proofErr w:type="spellStart"/>
      <w:r w:rsidRPr="004C2E02">
        <w:rPr>
          <w:color w:val="000000"/>
          <w:sz w:val="24"/>
          <w:szCs w:val="24"/>
          <w:lang w:eastAsia="da-DK"/>
        </w:rPr>
        <w:t>rektum</w:t>
      </w:r>
      <w:proofErr w:type="spellEnd"/>
      <w:r w:rsidRPr="004C2E02">
        <w:rPr>
          <w:color w:val="000000"/>
          <w:sz w:val="24"/>
          <w:szCs w:val="24"/>
          <w:lang w:eastAsia="da-DK"/>
        </w:rPr>
        <w:t xml:space="preserve"> blev undersøgt i et randomiseret, dobbeltblindt, fase-III forsøg med aktiv kontrol (forsøg AVF2107g). Kombinationsbehandling med </w:t>
      </w:r>
      <w:proofErr w:type="spellStart"/>
      <w:r w:rsidRPr="004C2E02">
        <w:rPr>
          <w:color w:val="000000"/>
          <w:sz w:val="24"/>
          <w:szCs w:val="24"/>
          <w:lang w:eastAsia="da-DK"/>
        </w:rPr>
        <w:t>bevacizumab</w:t>
      </w:r>
      <w:proofErr w:type="spellEnd"/>
      <w:r w:rsidRPr="004C2E02">
        <w:rPr>
          <w:color w:val="000000"/>
          <w:sz w:val="24"/>
          <w:szCs w:val="24"/>
          <w:lang w:eastAsia="da-DK"/>
        </w:rPr>
        <w:t xml:space="preserve"> og </w:t>
      </w:r>
      <w:proofErr w:type="spellStart"/>
      <w:r w:rsidRPr="004C2E02">
        <w:rPr>
          <w:color w:val="000000"/>
          <w:sz w:val="24"/>
          <w:szCs w:val="24"/>
          <w:lang w:eastAsia="da-DK"/>
        </w:rPr>
        <w:t>irinotecan</w:t>
      </w:r>
      <w:proofErr w:type="spellEnd"/>
      <w:r w:rsidRPr="004C2E02">
        <w:rPr>
          <w:color w:val="000000"/>
          <w:sz w:val="24"/>
          <w:szCs w:val="24"/>
          <w:lang w:eastAsia="da-DK"/>
        </w:rPr>
        <w:t xml:space="preserve">/5FU/FA gav en signifikant stigning i samlet overlevelse. Den kliniske værdi, målt ved samlet overlevelse, blev set i alle præ-specificerede undergrupper af patienter, herunder grupper defineret ved alder, køn, performance-status, primær-tumorens placering, antal involverede organer og varighed af den </w:t>
      </w:r>
      <w:proofErr w:type="spellStart"/>
      <w:r w:rsidRPr="004C2E02">
        <w:rPr>
          <w:color w:val="000000"/>
          <w:sz w:val="24"/>
          <w:szCs w:val="24"/>
          <w:lang w:eastAsia="da-DK"/>
        </w:rPr>
        <w:t>metastiske</w:t>
      </w:r>
      <w:proofErr w:type="spellEnd"/>
      <w:r w:rsidRPr="004C2E02">
        <w:rPr>
          <w:color w:val="000000"/>
          <w:sz w:val="24"/>
          <w:szCs w:val="24"/>
          <w:lang w:eastAsia="da-DK"/>
        </w:rPr>
        <w:t xml:space="preserve"> fase. Se også produktresuméet for </w:t>
      </w:r>
      <w:proofErr w:type="spellStart"/>
      <w:r w:rsidRPr="004C2E02">
        <w:rPr>
          <w:color w:val="000000"/>
          <w:sz w:val="24"/>
          <w:szCs w:val="24"/>
          <w:lang w:eastAsia="da-DK"/>
        </w:rPr>
        <w:t>bevacizumab</w:t>
      </w:r>
      <w:proofErr w:type="spellEnd"/>
      <w:r w:rsidRPr="004C2E02">
        <w:rPr>
          <w:color w:val="000000"/>
          <w:sz w:val="24"/>
          <w:szCs w:val="24"/>
          <w:lang w:eastAsia="da-DK"/>
        </w:rPr>
        <w:t xml:space="preserve">. </w:t>
      </w:r>
    </w:p>
    <w:p w:rsidR="004C2E02" w:rsidRPr="004C2E02" w:rsidRDefault="004C2E02" w:rsidP="004C2E02">
      <w:pPr>
        <w:ind w:left="851"/>
        <w:rPr>
          <w:color w:val="000000"/>
          <w:sz w:val="24"/>
          <w:szCs w:val="24"/>
          <w:lang w:eastAsia="da-DK"/>
        </w:rPr>
      </w:pPr>
      <w:r w:rsidRPr="004C2E02">
        <w:rPr>
          <w:color w:val="000000"/>
          <w:sz w:val="24"/>
          <w:szCs w:val="24"/>
          <w:lang w:eastAsia="da-DK"/>
        </w:rPr>
        <w:t>Effektdata fra forsøg AVF21007g er sammenfattet i tabellen nedenfor.</w:t>
      </w:r>
    </w:p>
    <w:p w:rsidR="004C2E02" w:rsidRPr="004C2E02" w:rsidRDefault="004C2E02" w:rsidP="004C2E02">
      <w:pPr>
        <w:ind w:left="851"/>
        <w:rPr>
          <w:b/>
          <w:bCs/>
          <w:sz w:val="24"/>
          <w:szCs w:val="24"/>
          <w:lang w:eastAsia="da-DK"/>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7"/>
        <w:gridCol w:w="2551"/>
      </w:tblGrid>
      <w:tr w:rsidR="004C2E02" w:rsidTr="004C2E02">
        <w:tc>
          <w:tcPr>
            <w:tcW w:w="3544" w:type="dxa"/>
            <w:vMerge w:val="restart"/>
            <w:tcBorders>
              <w:top w:val="single" w:sz="4" w:space="0" w:color="auto"/>
              <w:left w:val="single" w:sz="4" w:space="0" w:color="auto"/>
              <w:bottom w:val="single" w:sz="4" w:space="0" w:color="auto"/>
              <w:right w:val="single" w:sz="4" w:space="0" w:color="auto"/>
            </w:tcBorders>
          </w:tcPr>
          <w:p w:rsidR="004C2E02" w:rsidRDefault="004C2E02">
            <w:pPr>
              <w:ind w:left="29"/>
              <w:rPr>
                <w:color w:val="000000"/>
                <w:sz w:val="22"/>
                <w:szCs w:val="22"/>
                <w:lang w:eastAsia="da-DK"/>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bCs/>
                <w:i/>
                <w:iCs/>
                <w:color w:val="000000"/>
                <w:sz w:val="22"/>
                <w:szCs w:val="22"/>
                <w:lang w:eastAsia="da-DK"/>
              </w:rPr>
            </w:pPr>
            <w:r>
              <w:rPr>
                <w:bCs/>
                <w:i/>
                <w:iCs/>
                <w:color w:val="000000"/>
                <w:sz w:val="22"/>
                <w:szCs w:val="22"/>
                <w:lang w:eastAsia="da-DK"/>
              </w:rPr>
              <w:t>AVF2107g</w:t>
            </w:r>
          </w:p>
        </w:tc>
      </w:tr>
      <w:tr w:rsidR="004C2E02" w:rsidRPr="00BC7381" w:rsidTr="004C2E02">
        <w:tc>
          <w:tcPr>
            <w:tcW w:w="0" w:type="auto"/>
            <w:vMerge/>
            <w:tcBorders>
              <w:top w:val="single" w:sz="4" w:space="0" w:color="auto"/>
              <w:left w:val="single" w:sz="4" w:space="0" w:color="auto"/>
              <w:bottom w:val="single" w:sz="4" w:space="0" w:color="auto"/>
              <w:right w:val="single" w:sz="4" w:space="0" w:color="auto"/>
            </w:tcBorders>
            <w:vAlign w:val="center"/>
            <w:hideMark/>
          </w:tcPr>
          <w:p w:rsidR="004C2E02" w:rsidRDefault="004C2E02">
            <w:pPr>
              <w:rPr>
                <w:color w:val="000000"/>
                <w:sz w:val="22"/>
                <w:szCs w:val="22"/>
                <w:lang w:eastAsia="da-DK"/>
              </w:rPr>
            </w:pPr>
          </w:p>
        </w:tc>
        <w:tc>
          <w:tcPr>
            <w:tcW w:w="2977"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bCs/>
                <w:i/>
                <w:iCs/>
                <w:color w:val="000000"/>
                <w:sz w:val="22"/>
                <w:szCs w:val="22"/>
                <w:lang w:val="en-GB" w:eastAsia="da-DK"/>
              </w:rPr>
            </w:pPr>
            <w:r>
              <w:rPr>
                <w:bCs/>
                <w:i/>
                <w:iCs/>
                <w:color w:val="000000"/>
                <w:sz w:val="22"/>
                <w:szCs w:val="22"/>
                <w:lang w:val="en-GB" w:eastAsia="da-DK"/>
              </w:rPr>
              <w:t>Arm 1</w:t>
            </w:r>
          </w:p>
          <w:p w:rsidR="004C2E02" w:rsidRDefault="004C2E02">
            <w:pPr>
              <w:ind w:left="119"/>
              <w:jc w:val="center"/>
              <w:rPr>
                <w:bCs/>
                <w:i/>
                <w:iCs/>
                <w:color w:val="000000"/>
                <w:sz w:val="22"/>
                <w:szCs w:val="22"/>
                <w:lang w:val="en-GB" w:eastAsia="da-DK"/>
              </w:rPr>
            </w:pPr>
            <w:r>
              <w:rPr>
                <w:bCs/>
                <w:i/>
                <w:iCs/>
                <w:color w:val="000000"/>
                <w:sz w:val="22"/>
                <w:szCs w:val="22"/>
                <w:lang w:val="en-GB" w:eastAsia="da-DK"/>
              </w:rPr>
              <w:t>Irinotecan/5FU/FA+ Placebo</w:t>
            </w: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bCs/>
                <w:i/>
                <w:iCs/>
                <w:color w:val="000000"/>
                <w:sz w:val="22"/>
                <w:szCs w:val="22"/>
                <w:lang w:val="fr-FR" w:eastAsia="da-DK"/>
              </w:rPr>
            </w:pPr>
            <w:r>
              <w:rPr>
                <w:bCs/>
                <w:i/>
                <w:iCs/>
                <w:color w:val="000000"/>
                <w:sz w:val="22"/>
                <w:szCs w:val="22"/>
                <w:lang w:val="fr-FR" w:eastAsia="da-DK"/>
              </w:rPr>
              <w:t>Arm 2</w:t>
            </w:r>
          </w:p>
          <w:p w:rsidR="004C2E02" w:rsidRDefault="004C2E02">
            <w:pPr>
              <w:ind w:left="119"/>
              <w:jc w:val="center"/>
              <w:rPr>
                <w:bCs/>
                <w:i/>
                <w:iCs/>
                <w:color w:val="000000"/>
                <w:sz w:val="22"/>
                <w:szCs w:val="22"/>
                <w:lang w:val="fr-FR" w:eastAsia="da-DK"/>
              </w:rPr>
            </w:pPr>
            <w:r>
              <w:rPr>
                <w:bCs/>
                <w:i/>
                <w:iCs/>
                <w:color w:val="000000"/>
                <w:sz w:val="22"/>
                <w:szCs w:val="22"/>
                <w:lang w:val="fr-FR" w:eastAsia="da-DK"/>
              </w:rPr>
              <w:t>Irinotean/5FU/FA</w:t>
            </w:r>
          </w:p>
          <w:p w:rsidR="004C2E02" w:rsidRDefault="004C2E02">
            <w:pPr>
              <w:ind w:left="119"/>
              <w:jc w:val="center"/>
              <w:rPr>
                <w:bCs/>
                <w:i/>
                <w:iCs/>
                <w:color w:val="000000"/>
                <w:sz w:val="22"/>
                <w:szCs w:val="22"/>
                <w:lang w:val="fr-FR" w:eastAsia="da-DK"/>
              </w:rPr>
            </w:pPr>
            <w:r>
              <w:rPr>
                <w:bCs/>
                <w:i/>
                <w:iCs/>
                <w:color w:val="000000"/>
                <w:sz w:val="22"/>
                <w:szCs w:val="22"/>
                <w:lang w:val="fr-FR" w:eastAsia="da-DK"/>
              </w:rPr>
              <w:t>+ Avastin</w:t>
            </w:r>
            <w:r>
              <w:rPr>
                <w:bCs/>
                <w:i/>
                <w:iCs/>
                <w:color w:val="000000"/>
                <w:sz w:val="22"/>
                <w:szCs w:val="22"/>
                <w:vertAlign w:val="superscript"/>
                <w:lang w:val="fr-FR" w:eastAsia="da-DK"/>
              </w:rPr>
              <w:t>a</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29"/>
              <w:rPr>
                <w:bCs/>
                <w:color w:val="000000"/>
                <w:sz w:val="22"/>
                <w:szCs w:val="22"/>
                <w:u w:val="single"/>
                <w:lang w:eastAsia="da-DK"/>
              </w:rPr>
            </w:pPr>
            <w:r>
              <w:rPr>
                <w:bCs/>
                <w:color w:val="000000"/>
                <w:sz w:val="22"/>
                <w:szCs w:val="22"/>
                <w:u w:val="single"/>
                <w:lang w:eastAsia="da-DK"/>
              </w:rPr>
              <w:t>Antal patienter</w:t>
            </w:r>
          </w:p>
        </w:tc>
        <w:tc>
          <w:tcPr>
            <w:tcW w:w="2977"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411</w:t>
            </w: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402</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29"/>
              <w:rPr>
                <w:color w:val="000000"/>
                <w:sz w:val="22"/>
                <w:szCs w:val="22"/>
                <w:lang w:eastAsia="da-DK"/>
              </w:rPr>
            </w:pPr>
            <w:r>
              <w:rPr>
                <w:color w:val="000000"/>
                <w:sz w:val="22"/>
                <w:szCs w:val="22"/>
                <w:lang w:eastAsia="da-DK"/>
              </w:rPr>
              <w:t>Samlet overlevelse</w:t>
            </w:r>
          </w:p>
        </w:tc>
        <w:tc>
          <w:tcPr>
            <w:tcW w:w="2977"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c>
          <w:tcPr>
            <w:tcW w:w="2551"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tabs>
                <w:tab w:val="left" w:pos="459"/>
              </w:tabs>
              <w:ind w:left="317"/>
              <w:rPr>
                <w:color w:val="000000"/>
                <w:sz w:val="22"/>
                <w:szCs w:val="22"/>
                <w:lang w:eastAsia="da-DK"/>
              </w:rPr>
            </w:pPr>
            <w:r>
              <w:rPr>
                <w:color w:val="000000"/>
                <w:sz w:val="22"/>
                <w:szCs w:val="22"/>
                <w:lang w:eastAsia="da-DK"/>
              </w:rPr>
              <w:t>Median overlevelse (måneder)</w:t>
            </w:r>
          </w:p>
        </w:tc>
        <w:tc>
          <w:tcPr>
            <w:tcW w:w="2977"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15,6</w:t>
            </w: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20,3</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r>
              <w:rPr>
                <w:color w:val="000000"/>
                <w:sz w:val="22"/>
                <w:szCs w:val="22"/>
                <w:lang w:eastAsia="da-DK"/>
              </w:rPr>
              <w:t>95 % konfidensinterval</w:t>
            </w:r>
          </w:p>
        </w:tc>
        <w:tc>
          <w:tcPr>
            <w:tcW w:w="2977"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14,29-16,99</w:t>
            </w: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18,46-24,18</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proofErr w:type="spellStart"/>
            <w:r>
              <w:rPr>
                <w:color w:val="000000"/>
                <w:sz w:val="22"/>
                <w:szCs w:val="22"/>
                <w:lang w:eastAsia="da-DK"/>
              </w:rPr>
              <w:t>Hazard</w:t>
            </w:r>
            <w:proofErr w:type="spellEnd"/>
            <w:r>
              <w:rPr>
                <w:color w:val="000000"/>
                <w:sz w:val="22"/>
                <w:szCs w:val="22"/>
                <w:lang w:eastAsia="da-DK"/>
              </w:rPr>
              <w:t xml:space="preserve"> </w:t>
            </w:r>
            <w:proofErr w:type="spellStart"/>
            <w:r>
              <w:rPr>
                <w:color w:val="000000"/>
                <w:sz w:val="22"/>
                <w:szCs w:val="22"/>
                <w:lang w:eastAsia="da-DK"/>
              </w:rPr>
              <w:t>ratio</w:t>
            </w:r>
            <w:r>
              <w:rPr>
                <w:color w:val="000000"/>
                <w:sz w:val="22"/>
                <w:szCs w:val="22"/>
                <w:vertAlign w:val="superscript"/>
                <w:lang w:eastAsia="da-DK"/>
              </w:rPr>
              <w:t>b</w:t>
            </w:r>
            <w:proofErr w:type="spellEnd"/>
          </w:p>
        </w:tc>
        <w:tc>
          <w:tcPr>
            <w:tcW w:w="2977"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0,660</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proofErr w:type="spellStart"/>
            <w:r>
              <w:rPr>
                <w:color w:val="000000"/>
                <w:sz w:val="22"/>
                <w:szCs w:val="22"/>
                <w:lang w:eastAsia="da-DK"/>
              </w:rPr>
              <w:t>p-værdi</w:t>
            </w:r>
            <w:proofErr w:type="spellEnd"/>
          </w:p>
        </w:tc>
        <w:tc>
          <w:tcPr>
            <w:tcW w:w="2977"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0,00004</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29"/>
              <w:rPr>
                <w:color w:val="000000"/>
                <w:sz w:val="22"/>
                <w:szCs w:val="22"/>
                <w:lang w:eastAsia="da-DK"/>
              </w:rPr>
            </w:pPr>
            <w:r>
              <w:rPr>
                <w:color w:val="000000"/>
                <w:sz w:val="22"/>
                <w:szCs w:val="22"/>
                <w:lang w:eastAsia="da-DK"/>
              </w:rPr>
              <w:t>Progressionsfri overlevelse</w:t>
            </w:r>
          </w:p>
        </w:tc>
        <w:tc>
          <w:tcPr>
            <w:tcW w:w="2977"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c>
          <w:tcPr>
            <w:tcW w:w="2551"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r>
              <w:rPr>
                <w:color w:val="000000"/>
                <w:sz w:val="22"/>
                <w:szCs w:val="22"/>
                <w:lang w:eastAsia="da-DK"/>
              </w:rPr>
              <w:t>Median overlevelse (måneder)</w:t>
            </w:r>
          </w:p>
        </w:tc>
        <w:tc>
          <w:tcPr>
            <w:tcW w:w="2977"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6,2</w:t>
            </w: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10,6</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proofErr w:type="spellStart"/>
            <w:r>
              <w:rPr>
                <w:color w:val="000000"/>
                <w:sz w:val="22"/>
                <w:szCs w:val="22"/>
                <w:lang w:eastAsia="da-DK"/>
              </w:rPr>
              <w:t>Hazard</w:t>
            </w:r>
            <w:proofErr w:type="spellEnd"/>
            <w:r>
              <w:rPr>
                <w:color w:val="000000"/>
                <w:sz w:val="22"/>
                <w:szCs w:val="22"/>
                <w:lang w:eastAsia="da-DK"/>
              </w:rPr>
              <w:t xml:space="preserve"> ratio</w:t>
            </w:r>
          </w:p>
        </w:tc>
        <w:tc>
          <w:tcPr>
            <w:tcW w:w="2977"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0,54</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proofErr w:type="spellStart"/>
            <w:r>
              <w:rPr>
                <w:color w:val="000000"/>
                <w:sz w:val="22"/>
                <w:szCs w:val="22"/>
                <w:lang w:eastAsia="da-DK"/>
              </w:rPr>
              <w:t>p-værdi</w:t>
            </w:r>
            <w:proofErr w:type="spellEnd"/>
          </w:p>
        </w:tc>
        <w:tc>
          <w:tcPr>
            <w:tcW w:w="2977"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&lt;0,0001</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29"/>
              <w:rPr>
                <w:color w:val="000000"/>
                <w:sz w:val="22"/>
                <w:szCs w:val="22"/>
                <w:lang w:eastAsia="da-DK"/>
              </w:rPr>
            </w:pPr>
            <w:r>
              <w:rPr>
                <w:color w:val="000000"/>
                <w:sz w:val="22"/>
                <w:szCs w:val="22"/>
                <w:lang w:eastAsia="da-DK"/>
              </w:rPr>
              <w:t>Samlet responsrate</w:t>
            </w:r>
          </w:p>
        </w:tc>
        <w:tc>
          <w:tcPr>
            <w:tcW w:w="2977"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c>
          <w:tcPr>
            <w:tcW w:w="2551"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r>
              <w:rPr>
                <w:color w:val="000000"/>
                <w:sz w:val="22"/>
                <w:szCs w:val="22"/>
                <w:lang w:eastAsia="da-DK"/>
              </w:rPr>
              <w:t>Rate (%)</w:t>
            </w:r>
          </w:p>
        </w:tc>
        <w:tc>
          <w:tcPr>
            <w:tcW w:w="2977"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34,8</w:t>
            </w: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44,8</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r>
              <w:rPr>
                <w:color w:val="000000"/>
                <w:sz w:val="22"/>
                <w:szCs w:val="22"/>
                <w:lang w:eastAsia="da-DK"/>
              </w:rPr>
              <w:t>95 % CI</w:t>
            </w:r>
          </w:p>
        </w:tc>
        <w:tc>
          <w:tcPr>
            <w:tcW w:w="2977"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30,2-39,6</w:t>
            </w: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39,9-49,8</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proofErr w:type="spellStart"/>
            <w:r>
              <w:rPr>
                <w:color w:val="000000"/>
                <w:sz w:val="22"/>
                <w:szCs w:val="22"/>
                <w:lang w:eastAsia="da-DK"/>
              </w:rPr>
              <w:t>p-værdi</w:t>
            </w:r>
            <w:proofErr w:type="spellEnd"/>
          </w:p>
        </w:tc>
        <w:tc>
          <w:tcPr>
            <w:tcW w:w="2977"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0,0036</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29"/>
              <w:rPr>
                <w:color w:val="000000"/>
                <w:sz w:val="22"/>
                <w:szCs w:val="22"/>
                <w:lang w:eastAsia="da-DK"/>
              </w:rPr>
            </w:pPr>
            <w:r>
              <w:rPr>
                <w:color w:val="000000"/>
                <w:sz w:val="22"/>
                <w:szCs w:val="22"/>
                <w:lang w:eastAsia="da-DK"/>
              </w:rPr>
              <w:t>Varighed af respons</w:t>
            </w:r>
          </w:p>
        </w:tc>
        <w:tc>
          <w:tcPr>
            <w:tcW w:w="2977"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c>
          <w:tcPr>
            <w:tcW w:w="2551" w:type="dxa"/>
            <w:tcBorders>
              <w:top w:val="single" w:sz="4" w:space="0" w:color="auto"/>
              <w:left w:val="single" w:sz="4" w:space="0" w:color="auto"/>
              <w:bottom w:val="single" w:sz="4" w:space="0" w:color="auto"/>
              <w:right w:val="single" w:sz="4" w:space="0" w:color="auto"/>
            </w:tcBorders>
          </w:tcPr>
          <w:p w:rsidR="004C2E02" w:rsidRDefault="004C2E02">
            <w:pPr>
              <w:ind w:left="119"/>
              <w:jc w:val="center"/>
              <w:rPr>
                <w:color w:val="000000"/>
                <w:sz w:val="22"/>
                <w:szCs w:val="22"/>
                <w:lang w:eastAsia="da-DK"/>
              </w:rPr>
            </w:pP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r>
              <w:rPr>
                <w:color w:val="000000"/>
                <w:sz w:val="22"/>
                <w:szCs w:val="22"/>
                <w:lang w:eastAsia="da-DK"/>
              </w:rPr>
              <w:t>Median overlevelse (måneder)</w:t>
            </w:r>
          </w:p>
        </w:tc>
        <w:tc>
          <w:tcPr>
            <w:tcW w:w="2977"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7,1</w:t>
            </w: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10,4</w:t>
            </w:r>
          </w:p>
        </w:tc>
      </w:tr>
      <w:tr w:rsidR="004C2E02" w:rsidTr="004C2E02">
        <w:tc>
          <w:tcPr>
            <w:tcW w:w="3544" w:type="dxa"/>
            <w:tcBorders>
              <w:top w:val="single" w:sz="4" w:space="0" w:color="auto"/>
              <w:left w:val="single" w:sz="4" w:space="0" w:color="auto"/>
              <w:bottom w:val="single" w:sz="4" w:space="0" w:color="auto"/>
              <w:right w:val="single" w:sz="4" w:space="0" w:color="auto"/>
            </w:tcBorders>
            <w:hideMark/>
          </w:tcPr>
          <w:p w:rsidR="004C2E02" w:rsidRDefault="004C2E02">
            <w:pPr>
              <w:ind w:left="317"/>
              <w:rPr>
                <w:color w:val="000000"/>
                <w:sz w:val="22"/>
                <w:szCs w:val="22"/>
                <w:lang w:eastAsia="da-DK"/>
              </w:rPr>
            </w:pPr>
            <w:r>
              <w:rPr>
                <w:color w:val="000000"/>
                <w:sz w:val="22"/>
                <w:szCs w:val="22"/>
                <w:lang w:eastAsia="da-DK"/>
              </w:rPr>
              <w:t xml:space="preserve">25-75 </w:t>
            </w:r>
            <w:proofErr w:type="spellStart"/>
            <w:r>
              <w:rPr>
                <w:color w:val="000000"/>
                <w:sz w:val="22"/>
                <w:szCs w:val="22"/>
                <w:lang w:eastAsia="da-DK"/>
              </w:rPr>
              <w:t>percentil</w:t>
            </w:r>
            <w:proofErr w:type="spellEnd"/>
            <w:r>
              <w:rPr>
                <w:color w:val="000000"/>
                <w:sz w:val="22"/>
                <w:szCs w:val="22"/>
                <w:lang w:eastAsia="da-DK"/>
              </w:rPr>
              <w:t xml:space="preserve"> (måneder)</w:t>
            </w:r>
          </w:p>
        </w:tc>
        <w:tc>
          <w:tcPr>
            <w:tcW w:w="2977"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4,7-11,8</w:t>
            </w:r>
          </w:p>
        </w:tc>
        <w:tc>
          <w:tcPr>
            <w:tcW w:w="2551" w:type="dxa"/>
            <w:tcBorders>
              <w:top w:val="single" w:sz="4" w:space="0" w:color="auto"/>
              <w:left w:val="single" w:sz="4" w:space="0" w:color="auto"/>
              <w:bottom w:val="single" w:sz="4" w:space="0" w:color="auto"/>
              <w:right w:val="single" w:sz="4" w:space="0" w:color="auto"/>
            </w:tcBorders>
            <w:hideMark/>
          </w:tcPr>
          <w:p w:rsidR="004C2E02" w:rsidRDefault="004C2E02">
            <w:pPr>
              <w:ind w:left="119"/>
              <w:jc w:val="center"/>
              <w:rPr>
                <w:color w:val="000000"/>
                <w:sz w:val="22"/>
                <w:szCs w:val="22"/>
                <w:lang w:eastAsia="da-DK"/>
              </w:rPr>
            </w:pPr>
            <w:r>
              <w:rPr>
                <w:color w:val="000000"/>
                <w:sz w:val="22"/>
                <w:szCs w:val="22"/>
                <w:lang w:eastAsia="da-DK"/>
              </w:rPr>
              <w:t>6,7-15,0</w:t>
            </w:r>
          </w:p>
        </w:tc>
      </w:tr>
    </w:tbl>
    <w:p w:rsidR="004C2E02" w:rsidRDefault="004C2E02" w:rsidP="004C2E02">
      <w:pPr>
        <w:rPr>
          <w:color w:val="000000"/>
          <w:sz w:val="20"/>
          <w:lang w:eastAsia="da-DK"/>
        </w:rPr>
      </w:pPr>
      <w:r>
        <w:rPr>
          <w:color w:val="000000"/>
          <w:sz w:val="20"/>
          <w:vertAlign w:val="superscript"/>
          <w:lang w:eastAsia="da-DK"/>
        </w:rPr>
        <w:t>a</w:t>
      </w:r>
      <w:r>
        <w:rPr>
          <w:color w:val="000000"/>
          <w:sz w:val="20"/>
          <w:lang w:eastAsia="da-DK"/>
        </w:rPr>
        <w:t xml:space="preserve"> 5 mg/kg hver anden uge</w:t>
      </w:r>
    </w:p>
    <w:p w:rsidR="004C2E02" w:rsidRDefault="004C2E02" w:rsidP="004C2E02">
      <w:pPr>
        <w:rPr>
          <w:color w:val="000000"/>
          <w:sz w:val="20"/>
          <w:lang w:eastAsia="da-DK"/>
        </w:rPr>
      </w:pPr>
      <w:r>
        <w:rPr>
          <w:color w:val="000000"/>
          <w:sz w:val="20"/>
          <w:vertAlign w:val="superscript"/>
          <w:lang w:eastAsia="da-DK"/>
        </w:rPr>
        <w:t>b</w:t>
      </w:r>
      <w:r>
        <w:rPr>
          <w:color w:val="000000"/>
          <w:sz w:val="20"/>
          <w:lang w:eastAsia="da-DK"/>
        </w:rPr>
        <w:t xml:space="preserve"> relativ i forhold til kontrolarmen</w:t>
      </w:r>
    </w:p>
    <w:p w:rsidR="004C2E02" w:rsidRDefault="004C2E02" w:rsidP="004C2E02">
      <w:pPr>
        <w:rPr>
          <w:b/>
          <w:bCs/>
          <w:sz w:val="22"/>
          <w:szCs w:val="22"/>
          <w:lang w:eastAsia="da-DK"/>
        </w:rPr>
      </w:pPr>
    </w:p>
    <w:p w:rsidR="004C2E02" w:rsidRPr="004C2E02" w:rsidRDefault="004C2E02" w:rsidP="004C2E02">
      <w:pPr>
        <w:ind w:left="851"/>
        <w:rPr>
          <w:sz w:val="24"/>
          <w:szCs w:val="24"/>
          <w:u w:val="single"/>
          <w:lang w:eastAsia="da-DK"/>
        </w:rPr>
      </w:pPr>
      <w:r w:rsidRPr="004C2E02">
        <w:rPr>
          <w:sz w:val="24"/>
          <w:szCs w:val="24"/>
          <w:u w:val="single"/>
          <w:lang w:eastAsia="da-DK"/>
        </w:rPr>
        <w:t xml:space="preserve">I kombinationsterapi med </w:t>
      </w:r>
      <w:proofErr w:type="spellStart"/>
      <w:r w:rsidRPr="004C2E02">
        <w:rPr>
          <w:sz w:val="24"/>
          <w:szCs w:val="24"/>
          <w:u w:val="single"/>
          <w:lang w:eastAsia="da-DK"/>
        </w:rPr>
        <w:t>cetuximab</w:t>
      </w:r>
      <w:proofErr w:type="spellEnd"/>
    </w:p>
    <w:p w:rsidR="004C2E02" w:rsidRPr="004C2E02" w:rsidRDefault="004C2E02" w:rsidP="004C2E02">
      <w:pPr>
        <w:ind w:left="851"/>
        <w:rPr>
          <w:sz w:val="24"/>
          <w:szCs w:val="24"/>
          <w:lang w:eastAsia="da-DK"/>
        </w:rPr>
      </w:pPr>
      <w:r w:rsidRPr="004C2E02">
        <w:rPr>
          <w:sz w:val="24"/>
          <w:szCs w:val="24"/>
          <w:lang w:eastAsia="da-DK"/>
        </w:rPr>
        <w:t xml:space="preserve">EMR 62 202-013: Dette randomiserede forsøg med patienter med metastatisk </w:t>
      </w:r>
      <w:proofErr w:type="spellStart"/>
      <w:r w:rsidRPr="004C2E02">
        <w:rPr>
          <w:sz w:val="24"/>
          <w:szCs w:val="24"/>
          <w:lang w:eastAsia="da-DK"/>
        </w:rPr>
        <w:t>colorektal</w:t>
      </w:r>
      <w:proofErr w:type="spellEnd"/>
      <w:r w:rsidRPr="004C2E02">
        <w:rPr>
          <w:sz w:val="24"/>
          <w:szCs w:val="24"/>
          <w:lang w:eastAsia="da-DK"/>
        </w:rPr>
        <w:t xml:space="preserve"> cancer, som ikke tidligere havde fået behandling for metastatisk sygdom, sammenlignede </w:t>
      </w:r>
      <w:r w:rsidRPr="004C2E02">
        <w:rPr>
          <w:sz w:val="24"/>
          <w:szCs w:val="24"/>
          <w:lang w:eastAsia="da-DK"/>
        </w:rPr>
        <w:lastRenderedPageBreak/>
        <w:t xml:space="preserve">kombinationen af </w:t>
      </w:r>
      <w:proofErr w:type="spellStart"/>
      <w:r w:rsidRPr="004C2E02">
        <w:rPr>
          <w:sz w:val="24"/>
          <w:szCs w:val="24"/>
          <w:lang w:eastAsia="da-DK"/>
        </w:rPr>
        <w:t>cetuximab</w:t>
      </w:r>
      <w:proofErr w:type="spellEnd"/>
      <w:r w:rsidRPr="004C2E02">
        <w:rPr>
          <w:sz w:val="24"/>
          <w:szCs w:val="24"/>
          <w:lang w:eastAsia="da-DK"/>
        </w:rPr>
        <w:t xml:space="preserve"> og </w:t>
      </w:r>
      <w:proofErr w:type="spellStart"/>
      <w:r w:rsidRPr="004C2E02">
        <w:rPr>
          <w:sz w:val="24"/>
          <w:szCs w:val="24"/>
          <w:lang w:eastAsia="da-DK"/>
        </w:rPr>
        <w:t>irinotecan</w:t>
      </w:r>
      <w:proofErr w:type="spellEnd"/>
      <w:r w:rsidRPr="004C2E02">
        <w:rPr>
          <w:sz w:val="24"/>
          <w:szCs w:val="24"/>
          <w:lang w:eastAsia="da-DK"/>
        </w:rPr>
        <w:t xml:space="preserve"> + 5-fluorouracil/</w:t>
      </w:r>
      <w:proofErr w:type="spellStart"/>
      <w:r w:rsidRPr="004C2E02">
        <w:rPr>
          <w:sz w:val="24"/>
          <w:szCs w:val="24"/>
          <w:lang w:eastAsia="da-DK"/>
        </w:rPr>
        <w:t>folininsyre</w:t>
      </w:r>
      <w:proofErr w:type="spellEnd"/>
      <w:r w:rsidRPr="004C2E02">
        <w:rPr>
          <w:sz w:val="24"/>
          <w:szCs w:val="24"/>
          <w:lang w:eastAsia="da-DK"/>
        </w:rPr>
        <w:t xml:space="preserve">-infusion (5-FU/FA) (599 patienter) med den samme kemoterapibehandling uden </w:t>
      </w:r>
      <w:proofErr w:type="spellStart"/>
      <w:r w:rsidRPr="004C2E02">
        <w:rPr>
          <w:sz w:val="24"/>
          <w:szCs w:val="24"/>
          <w:lang w:eastAsia="da-DK"/>
        </w:rPr>
        <w:t>cetuximab</w:t>
      </w:r>
      <w:proofErr w:type="spellEnd"/>
      <w:r w:rsidRPr="004C2E02">
        <w:rPr>
          <w:sz w:val="24"/>
          <w:szCs w:val="24"/>
          <w:lang w:eastAsia="da-DK"/>
        </w:rPr>
        <w:t xml:space="preserve"> (599 patienter). Andelen af patienter i patientpopulationen, som havde tumorer af KRAS-vildtypen og som kunne vurderes mht. KRAS-status, var 64 %.</w:t>
      </w:r>
    </w:p>
    <w:p w:rsidR="004C2E02" w:rsidRPr="004C2E02" w:rsidRDefault="004C2E02" w:rsidP="004C2E02">
      <w:pPr>
        <w:ind w:left="851"/>
        <w:rPr>
          <w:sz w:val="24"/>
          <w:szCs w:val="24"/>
          <w:lang w:eastAsia="da-DK"/>
        </w:rPr>
      </w:pPr>
    </w:p>
    <w:p w:rsidR="004C2E02" w:rsidRPr="004C2E02" w:rsidRDefault="004C2E02" w:rsidP="004C2E02">
      <w:pPr>
        <w:ind w:left="851"/>
        <w:rPr>
          <w:sz w:val="24"/>
          <w:szCs w:val="24"/>
          <w:lang w:eastAsia="da-DK"/>
        </w:rPr>
      </w:pPr>
      <w:r w:rsidRPr="004C2E02">
        <w:rPr>
          <w:sz w:val="24"/>
          <w:szCs w:val="24"/>
          <w:lang w:eastAsia="da-DK"/>
        </w:rPr>
        <w:t>Forsøgets effektdata er opsummeret i nedenstående tabel:</w:t>
      </w:r>
    </w:p>
    <w:p w:rsidR="004C2E02" w:rsidRDefault="004C2E02" w:rsidP="004C2E02">
      <w:pPr>
        <w:ind w:left="851"/>
        <w:rPr>
          <w:sz w:val="22"/>
          <w:szCs w:val="22"/>
          <w:lang w:eastAsia="da-DK"/>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83"/>
        <w:gridCol w:w="1797"/>
        <w:gridCol w:w="1976"/>
        <w:gridCol w:w="1920"/>
        <w:gridCol w:w="1852"/>
      </w:tblGrid>
      <w:tr w:rsidR="004C2E02" w:rsidTr="004C2E02">
        <w:trPr>
          <w:trHeight w:val="284"/>
        </w:trPr>
        <w:tc>
          <w:tcPr>
            <w:tcW w:w="1082" w:type="pct"/>
            <w:tcBorders>
              <w:top w:val="single" w:sz="4" w:space="0" w:color="auto"/>
              <w:left w:val="single" w:sz="4" w:space="0" w:color="auto"/>
              <w:bottom w:val="nil"/>
              <w:right w:val="nil"/>
            </w:tcBorders>
            <w:vAlign w:val="center"/>
          </w:tcPr>
          <w:p w:rsidR="004C2E02" w:rsidRDefault="004C2E02" w:rsidP="00236DCF">
            <w:pPr>
              <w:keepNext/>
              <w:ind w:left="29"/>
              <w:rPr>
                <w:bCs/>
                <w:i/>
                <w:iCs/>
                <w:sz w:val="22"/>
                <w:szCs w:val="22"/>
                <w:lang w:eastAsia="da-DK"/>
              </w:rPr>
            </w:pPr>
          </w:p>
        </w:tc>
        <w:tc>
          <w:tcPr>
            <w:tcW w:w="1959" w:type="pct"/>
            <w:gridSpan w:val="2"/>
            <w:tcBorders>
              <w:top w:val="single" w:sz="4" w:space="0" w:color="auto"/>
              <w:left w:val="nil"/>
              <w:bottom w:val="nil"/>
              <w:right w:val="nil"/>
            </w:tcBorders>
            <w:vAlign w:val="center"/>
            <w:hideMark/>
          </w:tcPr>
          <w:p w:rsidR="004C2E02" w:rsidRDefault="004C2E02" w:rsidP="00236DCF">
            <w:pPr>
              <w:keepNext/>
              <w:ind w:left="67"/>
              <w:jc w:val="center"/>
              <w:rPr>
                <w:bCs/>
                <w:i/>
                <w:iCs/>
                <w:sz w:val="22"/>
                <w:szCs w:val="22"/>
                <w:lang w:val="en-US" w:eastAsia="da-DK"/>
              </w:rPr>
            </w:pPr>
            <w:proofErr w:type="spellStart"/>
            <w:r>
              <w:rPr>
                <w:bCs/>
                <w:i/>
                <w:iCs/>
                <w:sz w:val="22"/>
                <w:szCs w:val="22"/>
                <w:lang w:val="en-US" w:eastAsia="da-DK"/>
              </w:rPr>
              <w:t>Samlet</w:t>
            </w:r>
            <w:proofErr w:type="spellEnd"/>
            <w:r>
              <w:rPr>
                <w:bCs/>
                <w:i/>
                <w:iCs/>
                <w:sz w:val="22"/>
                <w:szCs w:val="22"/>
                <w:lang w:val="en-US" w:eastAsia="da-DK"/>
              </w:rPr>
              <w:t xml:space="preserve"> population</w:t>
            </w:r>
          </w:p>
        </w:tc>
        <w:tc>
          <w:tcPr>
            <w:tcW w:w="1959" w:type="pct"/>
            <w:gridSpan w:val="2"/>
            <w:tcBorders>
              <w:top w:val="single" w:sz="4" w:space="0" w:color="auto"/>
              <w:left w:val="nil"/>
              <w:bottom w:val="nil"/>
              <w:right w:val="single" w:sz="4" w:space="0" w:color="auto"/>
            </w:tcBorders>
            <w:vAlign w:val="center"/>
            <w:hideMark/>
          </w:tcPr>
          <w:p w:rsidR="004C2E02" w:rsidRDefault="004C2E02" w:rsidP="00236DCF">
            <w:pPr>
              <w:keepNext/>
              <w:ind w:left="115"/>
              <w:jc w:val="center"/>
              <w:rPr>
                <w:bCs/>
                <w:i/>
                <w:iCs/>
                <w:sz w:val="22"/>
                <w:szCs w:val="22"/>
                <w:lang w:val="en-US" w:eastAsia="da-DK"/>
              </w:rPr>
            </w:pPr>
            <w:r>
              <w:rPr>
                <w:bCs/>
                <w:i/>
                <w:iCs/>
                <w:sz w:val="22"/>
                <w:szCs w:val="22"/>
                <w:lang w:val="en-US" w:eastAsia="da-DK"/>
              </w:rPr>
              <w:t>Population med KRAS-</w:t>
            </w:r>
            <w:proofErr w:type="spellStart"/>
            <w:r>
              <w:rPr>
                <w:bCs/>
                <w:i/>
                <w:iCs/>
                <w:sz w:val="22"/>
                <w:szCs w:val="22"/>
                <w:lang w:val="en-US" w:eastAsia="da-DK"/>
              </w:rPr>
              <w:t>vildtypen</w:t>
            </w:r>
            <w:proofErr w:type="spellEnd"/>
          </w:p>
        </w:tc>
      </w:tr>
      <w:tr w:rsidR="004C2E02" w:rsidTr="004C2E02">
        <w:trPr>
          <w:trHeight w:val="284"/>
        </w:trPr>
        <w:tc>
          <w:tcPr>
            <w:tcW w:w="1082" w:type="pct"/>
            <w:tcBorders>
              <w:top w:val="nil"/>
              <w:left w:val="single" w:sz="4" w:space="0" w:color="auto"/>
              <w:bottom w:val="nil"/>
              <w:right w:val="nil"/>
            </w:tcBorders>
            <w:vAlign w:val="center"/>
            <w:hideMark/>
          </w:tcPr>
          <w:p w:rsidR="004C2E02" w:rsidRDefault="004C2E02" w:rsidP="00236DCF">
            <w:pPr>
              <w:keepNext/>
              <w:ind w:left="29"/>
              <w:rPr>
                <w:bCs/>
                <w:i/>
                <w:iCs/>
                <w:sz w:val="22"/>
                <w:szCs w:val="22"/>
                <w:lang w:val="en-US" w:eastAsia="da-DK"/>
              </w:rPr>
            </w:pPr>
            <w:proofErr w:type="spellStart"/>
            <w:r>
              <w:rPr>
                <w:bCs/>
                <w:i/>
                <w:iCs/>
                <w:sz w:val="22"/>
                <w:szCs w:val="22"/>
                <w:lang w:val="en-US" w:eastAsia="da-DK"/>
              </w:rPr>
              <w:t>Variabel</w:t>
            </w:r>
            <w:proofErr w:type="spellEnd"/>
            <w:r>
              <w:rPr>
                <w:bCs/>
                <w:i/>
                <w:iCs/>
                <w:sz w:val="22"/>
                <w:szCs w:val="22"/>
                <w:lang w:val="en-US" w:eastAsia="da-DK"/>
              </w:rPr>
              <w:t>/</w:t>
            </w:r>
            <w:proofErr w:type="spellStart"/>
            <w:r>
              <w:rPr>
                <w:bCs/>
                <w:i/>
                <w:iCs/>
                <w:sz w:val="22"/>
                <w:szCs w:val="22"/>
                <w:lang w:val="en-US" w:eastAsia="da-DK"/>
              </w:rPr>
              <w:t>statistisk</w:t>
            </w:r>
            <w:proofErr w:type="spellEnd"/>
          </w:p>
        </w:tc>
        <w:tc>
          <w:tcPr>
            <w:tcW w:w="933" w:type="pct"/>
            <w:tcBorders>
              <w:top w:val="nil"/>
              <w:left w:val="nil"/>
              <w:bottom w:val="nil"/>
              <w:right w:val="nil"/>
            </w:tcBorders>
            <w:vAlign w:val="center"/>
            <w:hideMark/>
          </w:tcPr>
          <w:p w:rsidR="004C2E02" w:rsidRDefault="004C2E02" w:rsidP="00236DCF">
            <w:pPr>
              <w:keepNext/>
              <w:ind w:left="67"/>
              <w:rPr>
                <w:bCs/>
                <w:i/>
                <w:iCs/>
                <w:sz w:val="22"/>
                <w:szCs w:val="22"/>
                <w:lang w:val="en-US" w:eastAsia="da-DK"/>
              </w:rPr>
            </w:pPr>
            <w:r>
              <w:rPr>
                <w:bCs/>
                <w:i/>
                <w:iCs/>
                <w:sz w:val="22"/>
                <w:szCs w:val="22"/>
                <w:lang w:val="en-US" w:eastAsia="da-DK"/>
              </w:rPr>
              <w:t>Cetuximab</w:t>
            </w:r>
          </w:p>
          <w:p w:rsidR="004C2E02" w:rsidRDefault="004C2E02" w:rsidP="00236DCF">
            <w:pPr>
              <w:keepNext/>
              <w:ind w:left="67"/>
              <w:rPr>
                <w:bCs/>
                <w:i/>
                <w:iCs/>
                <w:sz w:val="22"/>
                <w:szCs w:val="22"/>
                <w:lang w:val="en-US" w:eastAsia="da-DK"/>
              </w:rPr>
            </w:pPr>
            <w:r>
              <w:rPr>
                <w:bCs/>
                <w:i/>
                <w:iCs/>
                <w:sz w:val="22"/>
                <w:szCs w:val="22"/>
                <w:lang w:val="en-US" w:eastAsia="da-DK"/>
              </w:rPr>
              <w:t>plus FOLFIRI</w:t>
            </w:r>
          </w:p>
          <w:p w:rsidR="004C2E02" w:rsidRDefault="004C2E02" w:rsidP="00236DCF">
            <w:pPr>
              <w:keepNext/>
              <w:ind w:left="67"/>
              <w:rPr>
                <w:bCs/>
                <w:i/>
                <w:iCs/>
                <w:sz w:val="22"/>
                <w:szCs w:val="22"/>
                <w:lang w:val="en-US" w:eastAsia="da-DK"/>
              </w:rPr>
            </w:pPr>
            <w:r>
              <w:rPr>
                <w:bCs/>
                <w:i/>
                <w:iCs/>
                <w:sz w:val="22"/>
                <w:szCs w:val="22"/>
                <w:lang w:val="en-US" w:eastAsia="da-DK"/>
              </w:rPr>
              <w:t>(N=599)</w:t>
            </w:r>
          </w:p>
        </w:tc>
        <w:tc>
          <w:tcPr>
            <w:tcW w:w="1026" w:type="pct"/>
            <w:tcBorders>
              <w:top w:val="nil"/>
              <w:left w:val="nil"/>
              <w:bottom w:val="nil"/>
              <w:right w:val="nil"/>
            </w:tcBorders>
            <w:vAlign w:val="center"/>
          </w:tcPr>
          <w:p w:rsidR="004C2E02" w:rsidRDefault="004C2E02" w:rsidP="00236DCF">
            <w:pPr>
              <w:keepNext/>
              <w:ind w:left="67"/>
              <w:rPr>
                <w:bCs/>
                <w:i/>
                <w:iCs/>
                <w:sz w:val="22"/>
                <w:szCs w:val="22"/>
                <w:lang w:val="en-US" w:eastAsia="da-DK"/>
              </w:rPr>
            </w:pPr>
            <w:r>
              <w:rPr>
                <w:bCs/>
                <w:i/>
                <w:iCs/>
                <w:sz w:val="22"/>
                <w:szCs w:val="22"/>
                <w:lang w:val="en-US" w:eastAsia="da-DK"/>
              </w:rPr>
              <w:t>FOLFIRI</w:t>
            </w:r>
          </w:p>
          <w:p w:rsidR="004C2E02" w:rsidRDefault="004C2E02" w:rsidP="00236DCF">
            <w:pPr>
              <w:keepNext/>
              <w:ind w:left="67"/>
              <w:rPr>
                <w:bCs/>
                <w:i/>
                <w:iCs/>
                <w:sz w:val="22"/>
                <w:szCs w:val="22"/>
                <w:lang w:val="en-US" w:eastAsia="da-DK"/>
              </w:rPr>
            </w:pPr>
          </w:p>
          <w:p w:rsidR="004C2E02" w:rsidRDefault="004C2E02" w:rsidP="00236DCF">
            <w:pPr>
              <w:keepNext/>
              <w:ind w:left="67"/>
              <w:rPr>
                <w:bCs/>
                <w:i/>
                <w:iCs/>
                <w:sz w:val="22"/>
                <w:szCs w:val="22"/>
                <w:lang w:val="en-US" w:eastAsia="da-DK"/>
              </w:rPr>
            </w:pPr>
            <w:r>
              <w:rPr>
                <w:bCs/>
                <w:i/>
                <w:iCs/>
                <w:sz w:val="22"/>
                <w:szCs w:val="22"/>
                <w:lang w:val="en-US" w:eastAsia="da-DK"/>
              </w:rPr>
              <w:t>(N=599)</w:t>
            </w:r>
          </w:p>
        </w:tc>
        <w:tc>
          <w:tcPr>
            <w:tcW w:w="997" w:type="pct"/>
            <w:tcBorders>
              <w:top w:val="nil"/>
              <w:left w:val="nil"/>
              <w:bottom w:val="nil"/>
              <w:right w:val="nil"/>
            </w:tcBorders>
            <w:vAlign w:val="center"/>
            <w:hideMark/>
          </w:tcPr>
          <w:p w:rsidR="004C2E02" w:rsidRDefault="004C2E02" w:rsidP="00236DCF">
            <w:pPr>
              <w:keepNext/>
              <w:ind w:left="115"/>
              <w:rPr>
                <w:bCs/>
                <w:i/>
                <w:iCs/>
                <w:sz w:val="22"/>
                <w:szCs w:val="22"/>
                <w:lang w:val="en-US" w:eastAsia="da-DK"/>
              </w:rPr>
            </w:pPr>
            <w:r>
              <w:rPr>
                <w:bCs/>
                <w:i/>
                <w:iCs/>
                <w:sz w:val="22"/>
                <w:szCs w:val="22"/>
                <w:lang w:val="en-US" w:eastAsia="da-DK"/>
              </w:rPr>
              <w:t>Cetuximab</w:t>
            </w:r>
          </w:p>
          <w:p w:rsidR="004C2E02" w:rsidRDefault="004C2E02" w:rsidP="00236DCF">
            <w:pPr>
              <w:keepNext/>
              <w:ind w:left="115"/>
              <w:rPr>
                <w:bCs/>
                <w:i/>
                <w:iCs/>
                <w:sz w:val="22"/>
                <w:szCs w:val="22"/>
                <w:lang w:val="en-US" w:eastAsia="da-DK"/>
              </w:rPr>
            </w:pPr>
            <w:r>
              <w:rPr>
                <w:bCs/>
                <w:i/>
                <w:iCs/>
                <w:sz w:val="22"/>
                <w:szCs w:val="22"/>
                <w:lang w:val="en-US" w:eastAsia="da-DK"/>
              </w:rPr>
              <w:t>plus FOLFIRI</w:t>
            </w:r>
          </w:p>
          <w:p w:rsidR="004C2E02" w:rsidRDefault="004C2E02" w:rsidP="00236DCF">
            <w:pPr>
              <w:keepNext/>
              <w:ind w:left="115"/>
              <w:rPr>
                <w:bCs/>
                <w:i/>
                <w:iCs/>
                <w:sz w:val="22"/>
                <w:szCs w:val="22"/>
                <w:lang w:val="en-US" w:eastAsia="da-DK"/>
              </w:rPr>
            </w:pPr>
            <w:r>
              <w:rPr>
                <w:bCs/>
                <w:i/>
                <w:iCs/>
                <w:sz w:val="22"/>
                <w:szCs w:val="22"/>
                <w:lang w:val="en-US" w:eastAsia="da-DK"/>
              </w:rPr>
              <w:t>(N=172)</w:t>
            </w:r>
          </w:p>
        </w:tc>
        <w:tc>
          <w:tcPr>
            <w:tcW w:w="962" w:type="pct"/>
            <w:tcBorders>
              <w:top w:val="nil"/>
              <w:left w:val="nil"/>
              <w:bottom w:val="nil"/>
              <w:right w:val="single" w:sz="4" w:space="0" w:color="auto"/>
            </w:tcBorders>
            <w:vAlign w:val="center"/>
          </w:tcPr>
          <w:p w:rsidR="004C2E02" w:rsidRDefault="004C2E02" w:rsidP="00236DCF">
            <w:pPr>
              <w:keepNext/>
              <w:ind w:left="115"/>
              <w:rPr>
                <w:bCs/>
                <w:i/>
                <w:iCs/>
                <w:sz w:val="22"/>
                <w:szCs w:val="22"/>
                <w:lang w:val="en-US" w:eastAsia="da-DK"/>
              </w:rPr>
            </w:pPr>
            <w:r>
              <w:rPr>
                <w:bCs/>
                <w:i/>
                <w:iCs/>
                <w:sz w:val="22"/>
                <w:szCs w:val="22"/>
                <w:lang w:val="en-US" w:eastAsia="da-DK"/>
              </w:rPr>
              <w:t>FOLFIRI</w:t>
            </w:r>
          </w:p>
          <w:p w:rsidR="004C2E02" w:rsidRDefault="004C2E02" w:rsidP="00236DCF">
            <w:pPr>
              <w:keepNext/>
              <w:ind w:left="115"/>
              <w:rPr>
                <w:bCs/>
                <w:i/>
                <w:iCs/>
                <w:sz w:val="22"/>
                <w:szCs w:val="22"/>
                <w:lang w:val="en-US" w:eastAsia="da-DK"/>
              </w:rPr>
            </w:pPr>
          </w:p>
          <w:p w:rsidR="004C2E02" w:rsidRDefault="004C2E02" w:rsidP="00236DCF">
            <w:pPr>
              <w:keepNext/>
              <w:ind w:left="115"/>
              <w:rPr>
                <w:bCs/>
                <w:i/>
                <w:iCs/>
                <w:sz w:val="22"/>
                <w:szCs w:val="22"/>
                <w:lang w:val="en-US" w:eastAsia="da-DK"/>
              </w:rPr>
            </w:pPr>
            <w:r>
              <w:rPr>
                <w:bCs/>
                <w:i/>
                <w:iCs/>
                <w:sz w:val="22"/>
                <w:szCs w:val="22"/>
                <w:lang w:val="en-US" w:eastAsia="da-DK"/>
              </w:rPr>
              <w:t>(N=176)</w:t>
            </w:r>
          </w:p>
        </w:tc>
      </w:tr>
      <w:tr w:rsidR="004C2E02" w:rsidTr="004C2E02">
        <w:trPr>
          <w:trHeight w:val="284"/>
        </w:trPr>
        <w:tc>
          <w:tcPr>
            <w:tcW w:w="1082" w:type="pct"/>
            <w:tcBorders>
              <w:top w:val="nil"/>
              <w:left w:val="single" w:sz="4" w:space="0" w:color="auto"/>
              <w:bottom w:val="nil"/>
              <w:right w:val="nil"/>
            </w:tcBorders>
            <w:vAlign w:val="center"/>
            <w:hideMark/>
          </w:tcPr>
          <w:p w:rsidR="004C2E02" w:rsidRDefault="004C2E02">
            <w:pPr>
              <w:ind w:left="29"/>
              <w:rPr>
                <w:bCs/>
                <w:i/>
                <w:iCs/>
                <w:sz w:val="22"/>
                <w:szCs w:val="22"/>
                <w:lang w:val="en-US" w:eastAsia="da-DK"/>
              </w:rPr>
            </w:pPr>
            <w:r>
              <w:rPr>
                <w:bCs/>
                <w:i/>
                <w:iCs/>
                <w:sz w:val="22"/>
                <w:szCs w:val="22"/>
                <w:lang w:val="en-US" w:eastAsia="da-DK"/>
              </w:rPr>
              <w:t>ORR</w:t>
            </w:r>
          </w:p>
        </w:tc>
        <w:tc>
          <w:tcPr>
            <w:tcW w:w="933" w:type="pct"/>
            <w:tcBorders>
              <w:top w:val="nil"/>
              <w:left w:val="nil"/>
              <w:bottom w:val="nil"/>
              <w:right w:val="nil"/>
            </w:tcBorders>
            <w:vAlign w:val="center"/>
          </w:tcPr>
          <w:p w:rsidR="004C2E02" w:rsidRDefault="004C2E02">
            <w:pPr>
              <w:ind w:left="67"/>
              <w:rPr>
                <w:bCs/>
                <w:i/>
                <w:iCs/>
                <w:sz w:val="22"/>
                <w:szCs w:val="22"/>
                <w:lang w:val="en-US" w:eastAsia="da-DK"/>
              </w:rPr>
            </w:pPr>
          </w:p>
        </w:tc>
        <w:tc>
          <w:tcPr>
            <w:tcW w:w="1026" w:type="pct"/>
            <w:tcBorders>
              <w:top w:val="nil"/>
              <w:left w:val="nil"/>
              <w:bottom w:val="nil"/>
              <w:right w:val="nil"/>
            </w:tcBorders>
            <w:vAlign w:val="center"/>
          </w:tcPr>
          <w:p w:rsidR="004C2E02" w:rsidRDefault="004C2E02">
            <w:pPr>
              <w:ind w:left="67"/>
              <w:rPr>
                <w:bCs/>
                <w:i/>
                <w:iCs/>
                <w:sz w:val="22"/>
                <w:szCs w:val="22"/>
                <w:lang w:val="en-US" w:eastAsia="da-DK"/>
              </w:rPr>
            </w:pPr>
          </w:p>
        </w:tc>
        <w:tc>
          <w:tcPr>
            <w:tcW w:w="997" w:type="pct"/>
            <w:tcBorders>
              <w:top w:val="nil"/>
              <w:left w:val="nil"/>
              <w:bottom w:val="nil"/>
              <w:right w:val="nil"/>
            </w:tcBorders>
            <w:vAlign w:val="center"/>
          </w:tcPr>
          <w:p w:rsidR="004C2E02" w:rsidRDefault="004C2E02">
            <w:pPr>
              <w:ind w:left="115"/>
              <w:rPr>
                <w:bCs/>
                <w:i/>
                <w:iCs/>
                <w:sz w:val="22"/>
                <w:szCs w:val="22"/>
                <w:lang w:val="en-US" w:eastAsia="da-DK"/>
              </w:rPr>
            </w:pPr>
          </w:p>
        </w:tc>
        <w:tc>
          <w:tcPr>
            <w:tcW w:w="962" w:type="pct"/>
            <w:tcBorders>
              <w:top w:val="nil"/>
              <w:left w:val="nil"/>
              <w:bottom w:val="nil"/>
              <w:right w:val="single" w:sz="4" w:space="0" w:color="auto"/>
            </w:tcBorders>
            <w:vAlign w:val="center"/>
          </w:tcPr>
          <w:p w:rsidR="004C2E02" w:rsidRDefault="004C2E02">
            <w:pPr>
              <w:ind w:left="115"/>
              <w:rPr>
                <w:bCs/>
                <w:i/>
                <w:iCs/>
                <w:sz w:val="22"/>
                <w:szCs w:val="22"/>
                <w:lang w:val="en-US" w:eastAsia="da-DK"/>
              </w:rPr>
            </w:pPr>
          </w:p>
        </w:tc>
      </w:tr>
      <w:tr w:rsidR="004C2E02" w:rsidTr="004C2E02">
        <w:trPr>
          <w:trHeight w:val="284"/>
        </w:trPr>
        <w:tc>
          <w:tcPr>
            <w:tcW w:w="1082" w:type="pct"/>
            <w:tcBorders>
              <w:top w:val="nil"/>
              <w:left w:val="single" w:sz="4" w:space="0" w:color="auto"/>
              <w:bottom w:val="nil"/>
              <w:right w:val="nil"/>
            </w:tcBorders>
            <w:vAlign w:val="center"/>
            <w:hideMark/>
          </w:tcPr>
          <w:p w:rsidR="004C2E02" w:rsidRDefault="004C2E02">
            <w:pPr>
              <w:ind w:left="29"/>
              <w:rPr>
                <w:sz w:val="22"/>
                <w:szCs w:val="22"/>
                <w:lang w:val="en-US" w:eastAsia="da-DK"/>
              </w:rPr>
            </w:pPr>
            <w:r>
              <w:rPr>
                <w:sz w:val="22"/>
                <w:szCs w:val="22"/>
                <w:lang w:val="en-US" w:eastAsia="da-DK"/>
              </w:rPr>
              <w:t>% (95% CI)</w:t>
            </w:r>
          </w:p>
        </w:tc>
        <w:tc>
          <w:tcPr>
            <w:tcW w:w="933" w:type="pct"/>
            <w:tcBorders>
              <w:top w:val="nil"/>
              <w:left w:val="nil"/>
              <w:bottom w:val="nil"/>
              <w:right w:val="nil"/>
            </w:tcBorders>
            <w:vAlign w:val="center"/>
            <w:hideMark/>
          </w:tcPr>
          <w:p w:rsidR="004C2E02" w:rsidRDefault="004C2E02">
            <w:pPr>
              <w:tabs>
                <w:tab w:val="left" w:pos="464"/>
              </w:tabs>
              <w:ind w:left="67"/>
              <w:rPr>
                <w:sz w:val="22"/>
                <w:szCs w:val="22"/>
                <w:lang w:val="en-US" w:eastAsia="da-DK"/>
              </w:rPr>
            </w:pPr>
            <w:r>
              <w:rPr>
                <w:sz w:val="22"/>
                <w:szCs w:val="22"/>
                <w:lang w:val="en-US" w:eastAsia="da-DK"/>
              </w:rPr>
              <w:t>46,9 (42,9; 51,0)</w:t>
            </w:r>
          </w:p>
        </w:tc>
        <w:tc>
          <w:tcPr>
            <w:tcW w:w="1026" w:type="pct"/>
            <w:tcBorders>
              <w:top w:val="nil"/>
              <w:left w:val="nil"/>
              <w:bottom w:val="nil"/>
              <w:right w:val="nil"/>
            </w:tcBorders>
            <w:vAlign w:val="center"/>
            <w:hideMark/>
          </w:tcPr>
          <w:p w:rsidR="004C2E02" w:rsidRDefault="004C2E02">
            <w:pPr>
              <w:tabs>
                <w:tab w:val="left" w:pos="666"/>
              </w:tabs>
              <w:ind w:left="67"/>
              <w:rPr>
                <w:sz w:val="22"/>
                <w:szCs w:val="22"/>
                <w:lang w:val="en-US" w:eastAsia="da-DK"/>
              </w:rPr>
            </w:pPr>
            <w:r>
              <w:rPr>
                <w:sz w:val="22"/>
                <w:szCs w:val="22"/>
                <w:lang w:val="en-US" w:eastAsia="da-DK"/>
              </w:rPr>
              <w:t>38,7 (34,8; 42,8)</w:t>
            </w:r>
          </w:p>
        </w:tc>
        <w:tc>
          <w:tcPr>
            <w:tcW w:w="997" w:type="pct"/>
            <w:tcBorders>
              <w:top w:val="nil"/>
              <w:left w:val="nil"/>
              <w:bottom w:val="nil"/>
              <w:right w:val="nil"/>
            </w:tcBorders>
            <w:vAlign w:val="center"/>
            <w:hideMark/>
          </w:tcPr>
          <w:p w:rsidR="004C2E02" w:rsidRDefault="004C2E02">
            <w:pPr>
              <w:tabs>
                <w:tab w:val="left" w:pos="548"/>
              </w:tabs>
              <w:ind w:left="115"/>
              <w:rPr>
                <w:sz w:val="22"/>
                <w:szCs w:val="22"/>
                <w:lang w:val="en-US" w:eastAsia="da-DK"/>
              </w:rPr>
            </w:pPr>
            <w:r>
              <w:rPr>
                <w:sz w:val="22"/>
                <w:szCs w:val="22"/>
                <w:lang w:val="en-US" w:eastAsia="da-DK"/>
              </w:rPr>
              <w:t>59,3 (51,6; 66,7)</w:t>
            </w:r>
          </w:p>
        </w:tc>
        <w:tc>
          <w:tcPr>
            <w:tcW w:w="962" w:type="pct"/>
            <w:tcBorders>
              <w:top w:val="nil"/>
              <w:left w:val="nil"/>
              <w:bottom w:val="nil"/>
              <w:right w:val="single" w:sz="4" w:space="0" w:color="auto"/>
            </w:tcBorders>
            <w:vAlign w:val="center"/>
            <w:hideMark/>
          </w:tcPr>
          <w:p w:rsidR="004C2E02" w:rsidRDefault="004C2E02">
            <w:pPr>
              <w:tabs>
                <w:tab w:val="left" w:pos="670"/>
              </w:tabs>
              <w:ind w:left="115"/>
              <w:rPr>
                <w:sz w:val="22"/>
                <w:szCs w:val="22"/>
                <w:lang w:val="en-US" w:eastAsia="da-DK"/>
              </w:rPr>
            </w:pPr>
            <w:r>
              <w:rPr>
                <w:sz w:val="22"/>
                <w:szCs w:val="22"/>
                <w:lang w:val="en-US" w:eastAsia="da-DK"/>
              </w:rPr>
              <w:t>43,2 (35,8; 50,9)</w:t>
            </w:r>
          </w:p>
        </w:tc>
      </w:tr>
      <w:tr w:rsidR="004C2E02" w:rsidTr="004C2E02">
        <w:trPr>
          <w:trHeight w:val="284"/>
        </w:trPr>
        <w:tc>
          <w:tcPr>
            <w:tcW w:w="1082" w:type="pct"/>
            <w:tcBorders>
              <w:top w:val="nil"/>
              <w:left w:val="single" w:sz="4" w:space="0" w:color="auto"/>
              <w:bottom w:val="nil"/>
              <w:right w:val="nil"/>
            </w:tcBorders>
            <w:vAlign w:val="center"/>
            <w:hideMark/>
          </w:tcPr>
          <w:p w:rsidR="004C2E02" w:rsidRDefault="004C2E02">
            <w:pPr>
              <w:ind w:left="29"/>
              <w:rPr>
                <w:sz w:val="22"/>
                <w:szCs w:val="22"/>
                <w:lang w:val="en-US" w:eastAsia="da-DK"/>
              </w:rPr>
            </w:pPr>
            <w:r>
              <w:rPr>
                <w:sz w:val="22"/>
                <w:szCs w:val="22"/>
                <w:lang w:val="en-US" w:eastAsia="da-DK"/>
              </w:rPr>
              <w:t>p-</w:t>
            </w:r>
            <w:proofErr w:type="spellStart"/>
            <w:r>
              <w:rPr>
                <w:sz w:val="22"/>
                <w:szCs w:val="22"/>
                <w:lang w:val="en-US" w:eastAsia="da-DK"/>
              </w:rPr>
              <w:t>værdi</w:t>
            </w:r>
            <w:proofErr w:type="spellEnd"/>
          </w:p>
        </w:tc>
        <w:tc>
          <w:tcPr>
            <w:tcW w:w="1959" w:type="pct"/>
            <w:gridSpan w:val="2"/>
            <w:tcBorders>
              <w:top w:val="nil"/>
              <w:left w:val="nil"/>
              <w:bottom w:val="nil"/>
              <w:right w:val="nil"/>
            </w:tcBorders>
            <w:vAlign w:val="center"/>
            <w:hideMark/>
          </w:tcPr>
          <w:p w:rsidR="004C2E02" w:rsidRDefault="004C2E02">
            <w:pPr>
              <w:tabs>
                <w:tab w:val="left" w:pos="1563"/>
              </w:tabs>
              <w:ind w:left="67"/>
              <w:rPr>
                <w:sz w:val="22"/>
                <w:szCs w:val="22"/>
                <w:lang w:val="en-US" w:eastAsia="da-DK"/>
              </w:rPr>
            </w:pPr>
            <w:r>
              <w:rPr>
                <w:sz w:val="22"/>
                <w:szCs w:val="22"/>
                <w:lang w:val="en-US" w:eastAsia="da-DK"/>
              </w:rPr>
              <w:t>0,0038</w:t>
            </w:r>
          </w:p>
        </w:tc>
        <w:tc>
          <w:tcPr>
            <w:tcW w:w="1959" w:type="pct"/>
            <w:gridSpan w:val="2"/>
            <w:tcBorders>
              <w:top w:val="nil"/>
              <w:left w:val="nil"/>
              <w:bottom w:val="nil"/>
              <w:right w:val="single" w:sz="4" w:space="0" w:color="auto"/>
            </w:tcBorders>
            <w:vAlign w:val="center"/>
            <w:hideMark/>
          </w:tcPr>
          <w:p w:rsidR="004C2E02" w:rsidRDefault="004C2E02">
            <w:pPr>
              <w:tabs>
                <w:tab w:val="left" w:pos="1418"/>
              </w:tabs>
              <w:ind w:left="115"/>
              <w:rPr>
                <w:sz w:val="22"/>
                <w:szCs w:val="22"/>
                <w:lang w:val="en-US" w:eastAsia="da-DK"/>
              </w:rPr>
            </w:pPr>
            <w:r>
              <w:rPr>
                <w:sz w:val="22"/>
                <w:szCs w:val="22"/>
                <w:lang w:val="en-US" w:eastAsia="da-DK"/>
              </w:rPr>
              <w:t>0,0025</w:t>
            </w:r>
          </w:p>
        </w:tc>
      </w:tr>
      <w:tr w:rsidR="004C2E02" w:rsidTr="004C2E02">
        <w:trPr>
          <w:trHeight w:val="284"/>
        </w:trPr>
        <w:tc>
          <w:tcPr>
            <w:tcW w:w="1082" w:type="pct"/>
            <w:tcBorders>
              <w:top w:val="nil"/>
              <w:left w:val="single" w:sz="4" w:space="0" w:color="auto"/>
              <w:bottom w:val="nil"/>
              <w:right w:val="nil"/>
            </w:tcBorders>
            <w:vAlign w:val="center"/>
            <w:hideMark/>
          </w:tcPr>
          <w:p w:rsidR="004C2E02" w:rsidRDefault="004C2E02">
            <w:pPr>
              <w:ind w:left="29"/>
              <w:rPr>
                <w:bCs/>
                <w:i/>
                <w:iCs/>
                <w:sz w:val="22"/>
                <w:szCs w:val="22"/>
                <w:lang w:val="en-US" w:eastAsia="da-DK"/>
              </w:rPr>
            </w:pPr>
            <w:r>
              <w:rPr>
                <w:bCs/>
                <w:i/>
                <w:iCs/>
                <w:sz w:val="22"/>
                <w:szCs w:val="22"/>
                <w:lang w:val="en-US" w:eastAsia="da-DK"/>
              </w:rPr>
              <w:t>PFS</w:t>
            </w:r>
          </w:p>
        </w:tc>
        <w:tc>
          <w:tcPr>
            <w:tcW w:w="933" w:type="pct"/>
            <w:tcBorders>
              <w:top w:val="nil"/>
              <w:left w:val="nil"/>
              <w:bottom w:val="nil"/>
              <w:right w:val="nil"/>
            </w:tcBorders>
            <w:vAlign w:val="center"/>
          </w:tcPr>
          <w:p w:rsidR="004C2E02" w:rsidRDefault="004C2E02">
            <w:pPr>
              <w:ind w:left="67"/>
              <w:rPr>
                <w:sz w:val="22"/>
                <w:szCs w:val="22"/>
                <w:lang w:val="en-US" w:eastAsia="da-DK"/>
              </w:rPr>
            </w:pPr>
          </w:p>
        </w:tc>
        <w:tc>
          <w:tcPr>
            <w:tcW w:w="1026" w:type="pct"/>
            <w:tcBorders>
              <w:top w:val="nil"/>
              <w:left w:val="nil"/>
              <w:bottom w:val="nil"/>
              <w:right w:val="nil"/>
            </w:tcBorders>
            <w:vAlign w:val="center"/>
          </w:tcPr>
          <w:p w:rsidR="004C2E02" w:rsidRDefault="004C2E02">
            <w:pPr>
              <w:ind w:left="67"/>
              <w:rPr>
                <w:sz w:val="22"/>
                <w:szCs w:val="22"/>
                <w:lang w:val="en-US" w:eastAsia="da-DK"/>
              </w:rPr>
            </w:pPr>
          </w:p>
        </w:tc>
        <w:tc>
          <w:tcPr>
            <w:tcW w:w="997" w:type="pct"/>
            <w:tcBorders>
              <w:top w:val="nil"/>
              <w:left w:val="nil"/>
              <w:bottom w:val="nil"/>
              <w:right w:val="nil"/>
            </w:tcBorders>
            <w:vAlign w:val="center"/>
          </w:tcPr>
          <w:p w:rsidR="004C2E02" w:rsidRDefault="004C2E02">
            <w:pPr>
              <w:ind w:left="115"/>
              <w:rPr>
                <w:sz w:val="22"/>
                <w:szCs w:val="22"/>
                <w:lang w:val="en-US" w:eastAsia="da-DK"/>
              </w:rPr>
            </w:pPr>
          </w:p>
        </w:tc>
        <w:tc>
          <w:tcPr>
            <w:tcW w:w="962" w:type="pct"/>
            <w:tcBorders>
              <w:top w:val="nil"/>
              <w:left w:val="nil"/>
              <w:bottom w:val="nil"/>
              <w:right w:val="single" w:sz="4" w:space="0" w:color="auto"/>
            </w:tcBorders>
            <w:vAlign w:val="center"/>
          </w:tcPr>
          <w:p w:rsidR="004C2E02" w:rsidRDefault="004C2E02">
            <w:pPr>
              <w:ind w:left="115"/>
              <w:rPr>
                <w:sz w:val="22"/>
                <w:szCs w:val="22"/>
                <w:lang w:val="en-US" w:eastAsia="da-DK"/>
              </w:rPr>
            </w:pPr>
          </w:p>
        </w:tc>
      </w:tr>
      <w:tr w:rsidR="004C2E02" w:rsidTr="004C2E02">
        <w:trPr>
          <w:trHeight w:val="284"/>
        </w:trPr>
        <w:tc>
          <w:tcPr>
            <w:tcW w:w="1082" w:type="pct"/>
            <w:tcBorders>
              <w:top w:val="nil"/>
              <w:left w:val="single" w:sz="4" w:space="0" w:color="auto"/>
              <w:bottom w:val="nil"/>
              <w:right w:val="nil"/>
            </w:tcBorders>
            <w:vAlign w:val="center"/>
            <w:hideMark/>
          </w:tcPr>
          <w:p w:rsidR="004C2E02" w:rsidRDefault="004C2E02">
            <w:pPr>
              <w:ind w:left="29"/>
              <w:rPr>
                <w:sz w:val="22"/>
                <w:szCs w:val="22"/>
                <w:lang w:val="en-US" w:eastAsia="da-DK"/>
              </w:rPr>
            </w:pPr>
            <w:proofErr w:type="spellStart"/>
            <w:r>
              <w:rPr>
                <w:sz w:val="22"/>
                <w:szCs w:val="22"/>
                <w:lang w:val="en-US" w:eastAsia="da-DK"/>
              </w:rPr>
              <w:t>Risikorate</w:t>
            </w:r>
            <w:proofErr w:type="spellEnd"/>
            <w:r>
              <w:rPr>
                <w:sz w:val="22"/>
                <w:szCs w:val="22"/>
                <w:lang w:val="en-US" w:eastAsia="da-DK"/>
              </w:rPr>
              <w:t xml:space="preserve"> (95 % CI)</w:t>
            </w:r>
          </w:p>
        </w:tc>
        <w:tc>
          <w:tcPr>
            <w:tcW w:w="1959" w:type="pct"/>
            <w:gridSpan w:val="2"/>
            <w:tcBorders>
              <w:top w:val="nil"/>
              <w:left w:val="nil"/>
              <w:bottom w:val="nil"/>
              <w:right w:val="nil"/>
            </w:tcBorders>
            <w:vAlign w:val="center"/>
            <w:hideMark/>
          </w:tcPr>
          <w:p w:rsidR="004C2E02" w:rsidRDefault="004C2E02">
            <w:pPr>
              <w:tabs>
                <w:tab w:val="left" w:pos="972"/>
              </w:tabs>
              <w:ind w:left="67"/>
              <w:rPr>
                <w:sz w:val="22"/>
                <w:szCs w:val="22"/>
                <w:lang w:val="en-US" w:eastAsia="da-DK"/>
              </w:rPr>
            </w:pPr>
            <w:r>
              <w:rPr>
                <w:sz w:val="22"/>
                <w:szCs w:val="22"/>
                <w:lang w:val="en-US" w:eastAsia="da-DK"/>
              </w:rPr>
              <w:t>0,85 (0,726; 0,998)</w:t>
            </w:r>
          </w:p>
        </w:tc>
        <w:tc>
          <w:tcPr>
            <w:tcW w:w="1959" w:type="pct"/>
            <w:gridSpan w:val="2"/>
            <w:tcBorders>
              <w:top w:val="nil"/>
              <w:left w:val="nil"/>
              <w:bottom w:val="nil"/>
              <w:right w:val="single" w:sz="4" w:space="0" w:color="auto"/>
            </w:tcBorders>
            <w:vAlign w:val="center"/>
            <w:hideMark/>
          </w:tcPr>
          <w:p w:rsidR="004C2E02" w:rsidRDefault="004C2E02">
            <w:pPr>
              <w:tabs>
                <w:tab w:val="left" w:pos="972"/>
              </w:tabs>
              <w:ind w:left="115"/>
              <w:rPr>
                <w:sz w:val="22"/>
                <w:szCs w:val="22"/>
                <w:lang w:val="en-US" w:eastAsia="da-DK"/>
              </w:rPr>
            </w:pPr>
            <w:r>
              <w:rPr>
                <w:sz w:val="22"/>
                <w:szCs w:val="22"/>
                <w:lang w:val="en-US" w:eastAsia="da-DK"/>
              </w:rPr>
              <w:t>0,68 (0,501; 0,934)</w:t>
            </w:r>
          </w:p>
        </w:tc>
      </w:tr>
      <w:tr w:rsidR="004C2E02" w:rsidTr="004C2E02">
        <w:trPr>
          <w:trHeight w:val="284"/>
        </w:trPr>
        <w:tc>
          <w:tcPr>
            <w:tcW w:w="1082" w:type="pct"/>
            <w:tcBorders>
              <w:top w:val="nil"/>
              <w:left w:val="single" w:sz="4" w:space="0" w:color="auto"/>
              <w:bottom w:val="single" w:sz="4" w:space="0" w:color="auto"/>
              <w:right w:val="nil"/>
            </w:tcBorders>
            <w:vAlign w:val="center"/>
            <w:hideMark/>
          </w:tcPr>
          <w:p w:rsidR="004C2E02" w:rsidRDefault="004C2E02">
            <w:pPr>
              <w:ind w:left="29"/>
              <w:rPr>
                <w:sz w:val="22"/>
                <w:szCs w:val="22"/>
                <w:lang w:val="en-US" w:eastAsia="da-DK"/>
              </w:rPr>
            </w:pPr>
            <w:r>
              <w:rPr>
                <w:sz w:val="22"/>
                <w:szCs w:val="22"/>
                <w:lang w:val="en-US" w:eastAsia="da-DK"/>
              </w:rPr>
              <w:t>p-</w:t>
            </w:r>
            <w:proofErr w:type="spellStart"/>
            <w:r>
              <w:rPr>
                <w:sz w:val="22"/>
                <w:szCs w:val="22"/>
                <w:lang w:val="en-US" w:eastAsia="da-DK"/>
              </w:rPr>
              <w:t>værdi</w:t>
            </w:r>
            <w:proofErr w:type="spellEnd"/>
          </w:p>
        </w:tc>
        <w:tc>
          <w:tcPr>
            <w:tcW w:w="1959" w:type="pct"/>
            <w:gridSpan w:val="2"/>
            <w:tcBorders>
              <w:top w:val="nil"/>
              <w:left w:val="nil"/>
              <w:bottom w:val="single" w:sz="4" w:space="0" w:color="auto"/>
              <w:right w:val="nil"/>
            </w:tcBorders>
            <w:vAlign w:val="center"/>
            <w:hideMark/>
          </w:tcPr>
          <w:p w:rsidR="004C2E02" w:rsidRDefault="004C2E02">
            <w:pPr>
              <w:tabs>
                <w:tab w:val="left" w:pos="1512"/>
              </w:tabs>
              <w:ind w:left="67"/>
              <w:rPr>
                <w:sz w:val="22"/>
                <w:szCs w:val="22"/>
                <w:lang w:val="en-US" w:eastAsia="da-DK"/>
              </w:rPr>
            </w:pPr>
            <w:r>
              <w:rPr>
                <w:sz w:val="22"/>
                <w:szCs w:val="22"/>
                <w:lang w:val="en-US" w:eastAsia="da-DK"/>
              </w:rPr>
              <w:t>0,0479</w:t>
            </w:r>
          </w:p>
        </w:tc>
        <w:tc>
          <w:tcPr>
            <w:tcW w:w="1959" w:type="pct"/>
            <w:gridSpan w:val="2"/>
            <w:tcBorders>
              <w:top w:val="nil"/>
              <w:left w:val="nil"/>
              <w:bottom w:val="single" w:sz="4" w:space="0" w:color="auto"/>
              <w:right w:val="single" w:sz="4" w:space="0" w:color="auto"/>
            </w:tcBorders>
            <w:vAlign w:val="center"/>
            <w:hideMark/>
          </w:tcPr>
          <w:p w:rsidR="004C2E02" w:rsidRDefault="004C2E02">
            <w:pPr>
              <w:tabs>
                <w:tab w:val="left" w:pos="1332"/>
              </w:tabs>
              <w:ind w:left="115"/>
              <w:rPr>
                <w:sz w:val="22"/>
                <w:szCs w:val="22"/>
                <w:lang w:val="en-US" w:eastAsia="da-DK"/>
              </w:rPr>
            </w:pPr>
            <w:r>
              <w:rPr>
                <w:sz w:val="22"/>
                <w:szCs w:val="22"/>
                <w:lang w:val="en-US" w:eastAsia="da-DK"/>
              </w:rPr>
              <w:t>0,0167</w:t>
            </w:r>
          </w:p>
        </w:tc>
      </w:tr>
    </w:tbl>
    <w:p w:rsidR="004C2E02" w:rsidRDefault="004C2E02" w:rsidP="004C2E02">
      <w:pPr>
        <w:rPr>
          <w:sz w:val="20"/>
          <w:lang w:eastAsia="da-DK"/>
        </w:rPr>
      </w:pPr>
      <w:r>
        <w:rPr>
          <w:sz w:val="20"/>
          <w:lang w:eastAsia="da-DK"/>
        </w:rPr>
        <w:t xml:space="preserve">CI = konfidensinterval </w:t>
      </w:r>
      <w:r>
        <w:rPr>
          <w:i/>
          <w:sz w:val="20"/>
          <w:lang w:eastAsia="da-DK"/>
        </w:rPr>
        <w:t>(</w:t>
      </w:r>
      <w:proofErr w:type="spellStart"/>
      <w:r>
        <w:rPr>
          <w:i/>
          <w:sz w:val="20"/>
          <w:lang w:eastAsia="da-DK"/>
        </w:rPr>
        <w:t>Confidence</w:t>
      </w:r>
      <w:proofErr w:type="spellEnd"/>
      <w:r>
        <w:rPr>
          <w:i/>
          <w:sz w:val="20"/>
          <w:lang w:eastAsia="da-DK"/>
        </w:rPr>
        <w:t xml:space="preserve"> Interval)</w:t>
      </w:r>
      <w:r>
        <w:rPr>
          <w:sz w:val="20"/>
          <w:lang w:eastAsia="da-DK"/>
        </w:rPr>
        <w:t xml:space="preserve">, FOLFIRI = </w:t>
      </w:r>
      <w:proofErr w:type="spellStart"/>
      <w:r>
        <w:rPr>
          <w:sz w:val="20"/>
          <w:lang w:eastAsia="da-DK"/>
        </w:rPr>
        <w:t>irinotecan</w:t>
      </w:r>
      <w:proofErr w:type="spellEnd"/>
      <w:r>
        <w:rPr>
          <w:sz w:val="20"/>
          <w:lang w:eastAsia="da-DK"/>
        </w:rPr>
        <w:t xml:space="preserve"> + 5-FU/FA-infusion, ORR = Objektiv responsrate (</w:t>
      </w:r>
      <w:proofErr w:type="spellStart"/>
      <w:r>
        <w:rPr>
          <w:i/>
          <w:sz w:val="20"/>
          <w:lang w:eastAsia="da-DK"/>
        </w:rPr>
        <w:t>Objective</w:t>
      </w:r>
      <w:proofErr w:type="spellEnd"/>
      <w:r>
        <w:rPr>
          <w:i/>
          <w:sz w:val="20"/>
          <w:lang w:eastAsia="da-DK"/>
        </w:rPr>
        <w:t xml:space="preserve"> Response Rate</w:t>
      </w:r>
      <w:r>
        <w:rPr>
          <w:sz w:val="20"/>
          <w:lang w:eastAsia="da-DK"/>
        </w:rPr>
        <w:t xml:space="preserve"> (patienter med komplet respons eller delvis respons)), PFS = progressionsfri overlevelse </w:t>
      </w:r>
      <w:r>
        <w:rPr>
          <w:i/>
          <w:sz w:val="20"/>
          <w:lang w:eastAsia="da-DK"/>
        </w:rPr>
        <w:t>(Progression-</w:t>
      </w:r>
      <w:proofErr w:type="spellStart"/>
      <w:r>
        <w:rPr>
          <w:i/>
          <w:sz w:val="20"/>
          <w:lang w:eastAsia="da-DK"/>
        </w:rPr>
        <w:t>Free</w:t>
      </w:r>
      <w:proofErr w:type="spellEnd"/>
      <w:r>
        <w:rPr>
          <w:i/>
          <w:sz w:val="20"/>
          <w:lang w:eastAsia="da-DK"/>
        </w:rPr>
        <w:t xml:space="preserve"> </w:t>
      </w:r>
      <w:proofErr w:type="spellStart"/>
      <w:r>
        <w:rPr>
          <w:i/>
          <w:sz w:val="20"/>
          <w:lang w:eastAsia="da-DK"/>
        </w:rPr>
        <w:t>Survival</w:t>
      </w:r>
      <w:proofErr w:type="spellEnd"/>
      <w:r>
        <w:rPr>
          <w:i/>
          <w:sz w:val="20"/>
          <w:lang w:eastAsia="da-DK"/>
        </w:rPr>
        <w:t xml:space="preserve"> time)</w:t>
      </w:r>
      <w:r>
        <w:rPr>
          <w:sz w:val="20"/>
          <w:lang w:eastAsia="da-DK"/>
        </w:rPr>
        <w:t xml:space="preserve"> </w:t>
      </w:r>
    </w:p>
    <w:p w:rsidR="004C2E02" w:rsidRDefault="004C2E02" w:rsidP="004C2E02">
      <w:pPr>
        <w:rPr>
          <w:b/>
          <w:bCs/>
          <w:sz w:val="22"/>
          <w:szCs w:val="22"/>
          <w:lang w:eastAsia="da-DK"/>
        </w:rPr>
      </w:pPr>
    </w:p>
    <w:p w:rsidR="004C2E02" w:rsidRPr="00C71C28" w:rsidRDefault="004C2E02" w:rsidP="00C71C28">
      <w:pPr>
        <w:autoSpaceDE w:val="0"/>
        <w:autoSpaceDN w:val="0"/>
        <w:adjustRightInd w:val="0"/>
        <w:ind w:left="851"/>
        <w:rPr>
          <w:sz w:val="24"/>
          <w:szCs w:val="24"/>
          <w:u w:val="single"/>
          <w:lang w:eastAsia="da-DK"/>
        </w:rPr>
      </w:pPr>
      <w:r w:rsidRPr="00C71C28">
        <w:rPr>
          <w:sz w:val="24"/>
          <w:szCs w:val="24"/>
          <w:u w:val="single"/>
          <w:lang w:eastAsia="da-DK"/>
        </w:rPr>
        <w:t xml:space="preserve">I kombinationsterapi med </w:t>
      </w:r>
      <w:proofErr w:type="spellStart"/>
      <w:r w:rsidRPr="00C71C28">
        <w:rPr>
          <w:sz w:val="24"/>
          <w:szCs w:val="24"/>
          <w:u w:val="single"/>
          <w:lang w:eastAsia="da-DK"/>
        </w:rPr>
        <w:t>capecitabin</w:t>
      </w:r>
      <w:proofErr w:type="spellEnd"/>
    </w:p>
    <w:p w:rsidR="004C2E02" w:rsidRPr="00C71C28" w:rsidRDefault="004C2E02" w:rsidP="00C71C28">
      <w:pPr>
        <w:ind w:left="851"/>
        <w:rPr>
          <w:sz w:val="24"/>
          <w:szCs w:val="24"/>
          <w:lang w:eastAsia="da-DK"/>
        </w:rPr>
      </w:pPr>
      <w:r w:rsidRPr="00C71C28">
        <w:rPr>
          <w:sz w:val="24"/>
          <w:szCs w:val="24"/>
          <w:lang w:eastAsia="da-DK"/>
        </w:rPr>
        <w:t xml:space="preserve">Data fra et randomiseret, kontrolleret fase-III-forsøg (CAIRO) understøtter anvendelsen af </w:t>
      </w:r>
      <w:proofErr w:type="spellStart"/>
      <w:r w:rsidRPr="00C71C28">
        <w:rPr>
          <w:sz w:val="24"/>
          <w:szCs w:val="24"/>
          <w:lang w:eastAsia="da-DK"/>
        </w:rPr>
        <w:t>capecitabin</w:t>
      </w:r>
      <w:proofErr w:type="spellEnd"/>
      <w:r w:rsidRPr="00C71C28">
        <w:rPr>
          <w:sz w:val="24"/>
          <w:szCs w:val="24"/>
          <w:lang w:eastAsia="da-DK"/>
        </w:rPr>
        <w:t xml:space="preserve"> med en initialdosis på 1000 mg/m</w:t>
      </w:r>
      <w:r w:rsidRPr="00C71C28">
        <w:rPr>
          <w:sz w:val="24"/>
          <w:szCs w:val="24"/>
          <w:vertAlign w:val="superscript"/>
          <w:lang w:eastAsia="da-DK"/>
        </w:rPr>
        <w:t>2</w:t>
      </w:r>
      <w:r w:rsidRPr="00C71C28">
        <w:rPr>
          <w:sz w:val="24"/>
          <w:szCs w:val="24"/>
          <w:lang w:eastAsia="da-DK"/>
        </w:rPr>
        <w:t xml:space="preserve"> i 2 uger hver 3. uge i kombination med </w:t>
      </w:r>
      <w:proofErr w:type="spellStart"/>
      <w:r w:rsidRPr="00C71C28">
        <w:rPr>
          <w:sz w:val="24"/>
          <w:szCs w:val="24"/>
          <w:lang w:eastAsia="da-DK"/>
        </w:rPr>
        <w:t>irinotecan</w:t>
      </w:r>
      <w:proofErr w:type="spellEnd"/>
      <w:r w:rsidRPr="00C71C28">
        <w:rPr>
          <w:sz w:val="24"/>
          <w:szCs w:val="24"/>
          <w:lang w:eastAsia="da-DK"/>
        </w:rPr>
        <w:t xml:space="preserve"> som førstevalgsbehandling af patienter med metastatisk </w:t>
      </w:r>
      <w:proofErr w:type="spellStart"/>
      <w:r w:rsidRPr="00C71C28">
        <w:rPr>
          <w:sz w:val="24"/>
          <w:szCs w:val="24"/>
          <w:lang w:eastAsia="da-DK"/>
        </w:rPr>
        <w:t>colorektal</w:t>
      </w:r>
      <w:proofErr w:type="spellEnd"/>
      <w:r w:rsidRPr="00C71C28">
        <w:rPr>
          <w:sz w:val="24"/>
          <w:szCs w:val="24"/>
          <w:lang w:eastAsia="da-DK"/>
        </w:rPr>
        <w:t xml:space="preserve"> cancer. 820 patienter blev randomiseret til at få enten sekventiel behandling (n = 410) eller kombina</w:t>
      </w:r>
      <w:r w:rsidRPr="00C71C28">
        <w:rPr>
          <w:sz w:val="24"/>
          <w:szCs w:val="24"/>
          <w:lang w:eastAsia="da-DK"/>
        </w:rPr>
        <w:softHyphen/>
        <w:t xml:space="preserve">tionsbehandling (n = 410). Den sekventielle behandling bestod af førstevalgsbehandling med </w:t>
      </w:r>
      <w:proofErr w:type="spellStart"/>
      <w:r w:rsidRPr="00C71C28">
        <w:rPr>
          <w:sz w:val="24"/>
          <w:szCs w:val="24"/>
          <w:lang w:eastAsia="da-DK"/>
        </w:rPr>
        <w:t>capecitabin</w:t>
      </w:r>
      <w:proofErr w:type="spellEnd"/>
      <w:r w:rsidRPr="00C71C28">
        <w:rPr>
          <w:sz w:val="24"/>
          <w:szCs w:val="24"/>
          <w:lang w:eastAsia="da-DK"/>
        </w:rPr>
        <w:t xml:space="preserve"> (1250 mg/m</w:t>
      </w:r>
      <w:r w:rsidRPr="00C71C28">
        <w:rPr>
          <w:sz w:val="24"/>
          <w:szCs w:val="24"/>
          <w:vertAlign w:val="superscript"/>
          <w:lang w:eastAsia="da-DK"/>
        </w:rPr>
        <w:t>2</w:t>
      </w:r>
      <w:r w:rsidRPr="00C71C28">
        <w:rPr>
          <w:sz w:val="24"/>
          <w:szCs w:val="24"/>
          <w:lang w:eastAsia="da-DK"/>
        </w:rPr>
        <w:t xml:space="preserve"> 2 gange dagligt i 14 dage), 2. </w:t>
      </w:r>
      <w:proofErr w:type="spellStart"/>
      <w:r w:rsidRPr="00C71C28">
        <w:rPr>
          <w:sz w:val="24"/>
          <w:szCs w:val="24"/>
          <w:lang w:eastAsia="da-DK"/>
        </w:rPr>
        <w:t>valgsbehandling</w:t>
      </w:r>
      <w:proofErr w:type="spellEnd"/>
      <w:r w:rsidRPr="00C71C28">
        <w:rPr>
          <w:sz w:val="24"/>
          <w:szCs w:val="24"/>
          <w:lang w:eastAsia="da-DK"/>
        </w:rPr>
        <w:t xml:space="preserve"> med </w:t>
      </w:r>
      <w:proofErr w:type="spellStart"/>
      <w:r w:rsidRPr="00C71C28">
        <w:rPr>
          <w:sz w:val="24"/>
          <w:szCs w:val="24"/>
          <w:lang w:eastAsia="da-DK"/>
        </w:rPr>
        <w:t>irinotecan</w:t>
      </w:r>
      <w:proofErr w:type="spellEnd"/>
      <w:r w:rsidRPr="00C71C28">
        <w:rPr>
          <w:sz w:val="24"/>
          <w:szCs w:val="24"/>
          <w:lang w:eastAsia="da-DK"/>
        </w:rPr>
        <w:t xml:space="preserve"> (350 mg/m</w:t>
      </w:r>
      <w:r w:rsidRPr="00C71C28">
        <w:rPr>
          <w:sz w:val="24"/>
          <w:szCs w:val="24"/>
          <w:vertAlign w:val="superscript"/>
          <w:lang w:eastAsia="da-DK"/>
        </w:rPr>
        <w:t>2</w:t>
      </w:r>
      <w:r w:rsidRPr="00C71C28">
        <w:rPr>
          <w:sz w:val="24"/>
          <w:szCs w:val="24"/>
          <w:lang w:eastAsia="da-DK"/>
        </w:rPr>
        <w:t xml:space="preserve"> på dag 1) og 3. </w:t>
      </w:r>
      <w:proofErr w:type="spellStart"/>
      <w:r w:rsidRPr="00C71C28">
        <w:rPr>
          <w:sz w:val="24"/>
          <w:szCs w:val="24"/>
          <w:lang w:eastAsia="da-DK"/>
        </w:rPr>
        <w:t>valgsbehandling</w:t>
      </w:r>
      <w:proofErr w:type="spellEnd"/>
      <w:r w:rsidRPr="00C71C28">
        <w:rPr>
          <w:sz w:val="24"/>
          <w:szCs w:val="24"/>
          <w:lang w:eastAsia="da-DK"/>
        </w:rPr>
        <w:t xml:space="preserve"> en kombination af </w:t>
      </w:r>
      <w:proofErr w:type="spellStart"/>
      <w:r w:rsidRPr="00C71C28">
        <w:rPr>
          <w:sz w:val="24"/>
          <w:szCs w:val="24"/>
          <w:lang w:eastAsia="da-DK"/>
        </w:rPr>
        <w:t>capecitain</w:t>
      </w:r>
      <w:proofErr w:type="spellEnd"/>
      <w:r w:rsidRPr="00C71C28">
        <w:rPr>
          <w:sz w:val="24"/>
          <w:szCs w:val="24"/>
          <w:lang w:eastAsia="da-DK"/>
        </w:rPr>
        <w:t xml:space="preserve"> (1000 mg/m</w:t>
      </w:r>
      <w:r w:rsidRPr="00C71C28">
        <w:rPr>
          <w:sz w:val="24"/>
          <w:szCs w:val="24"/>
          <w:vertAlign w:val="superscript"/>
          <w:lang w:eastAsia="da-DK"/>
        </w:rPr>
        <w:t>2</w:t>
      </w:r>
      <w:r w:rsidRPr="00C71C28">
        <w:rPr>
          <w:sz w:val="24"/>
          <w:szCs w:val="24"/>
          <w:lang w:eastAsia="da-DK"/>
        </w:rPr>
        <w:t xml:space="preserve"> 2 gange dagligt i 14 dage) med </w:t>
      </w:r>
      <w:proofErr w:type="spellStart"/>
      <w:r w:rsidRPr="00C71C28">
        <w:rPr>
          <w:sz w:val="24"/>
          <w:szCs w:val="24"/>
          <w:lang w:eastAsia="da-DK"/>
        </w:rPr>
        <w:t>oxaliplatin</w:t>
      </w:r>
      <w:proofErr w:type="spellEnd"/>
      <w:r w:rsidRPr="00C71C28">
        <w:rPr>
          <w:sz w:val="24"/>
          <w:szCs w:val="24"/>
          <w:lang w:eastAsia="da-DK"/>
        </w:rPr>
        <w:t xml:space="preserve"> (130 mg/m</w:t>
      </w:r>
      <w:r w:rsidRPr="00C71C28">
        <w:rPr>
          <w:sz w:val="24"/>
          <w:szCs w:val="24"/>
          <w:vertAlign w:val="superscript"/>
          <w:lang w:eastAsia="da-DK"/>
        </w:rPr>
        <w:t>2</w:t>
      </w:r>
      <w:r w:rsidRPr="00C71C28">
        <w:rPr>
          <w:sz w:val="24"/>
          <w:szCs w:val="24"/>
          <w:lang w:eastAsia="da-DK"/>
        </w:rPr>
        <w:t xml:space="preserve"> på dag 1). Kombinationsbehandlingen bestod af førstevalgsbehandling med </w:t>
      </w:r>
      <w:proofErr w:type="spellStart"/>
      <w:r w:rsidRPr="00C71C28">
        <w:rPr>
          <w:sz w:val="24"/>
          <w:szCs w:val="24"/>
          <w:lang w:eastAsia="da-DK"/>
        </w:rPr>
        <w:t>capecitabin</w:t>
      </w:r>
      <w:proofErr w:type="spellEnd"/>
      <w:r w:rsidRPr="00C71C28">
        <w:rPr>
          <w:sz w:val="24"/>
          <w:szCs w:val="24"/>
          <w:lang w:eastAsia="da-DK"/>
        </w:rPr>
        <w:t xml:space="preserve"> (1000 mg/m</w:t>
      </w:r>
      <w:r w:rsidRPr="00C71C28">
        <w:rPr>
          <w:sz w:val="24"/>
          <w:szCs w:val="24"/>
          <w:vertAlign w:val="superscript"/>
          <w:lang w:eastAsia="da-DK"/>
        </w:rPr>
        <w:t>2</w:t>
      </w:r>
      <w:r w:rsidRPr="00C71C28">
        <w:rPr>
          <w:sz w:val="24"/>
          <w:szCs w:val="24"/>
          <w:lang w:eastAsia="da-DK"/>
        </w:rPr>
        <w:t xml:space="preserve"> 2 gange dagligt i 14 dage) kombineret med </w:t>
      </w:r>
      <w:proofErr w:type="spellStart"/>
      <w:r w:rsidRPr="00C71C28">
        <w:rPr>
          <w:sz w:val="24"/>
          <w:szCs w:val="24"/>
          <w:lang w:eastAsia="da-DK"/>
        </w:rPr>
        <w:t>irinotecan</w:t>
      </w:r>
      <w:proofErr w:type="spellEnd"/>
      <w:r w:rsidRPr="00C71C28">
        <w:rPr>
          <w:sz w:val="24"/>
          <w:szCs w:val="24"/>
          <w:lang w:eastAsia="da-DK"/>
        </w:rPr>
        <w:t xml:space="preserve"> (250 mg/m</w:t>
      </w:r>
      <w:r w:rsidRPr="00C71C28">
        <w:rPr>
          <w:sz w:val="24"/>
          <w:szCs w:val="24"/>
          <w:vertAlign w:val="superscript"/>
          <w:lang w:eastAsia="da-DK"/>
        </w:rPr>
        <w:t>2</w:t>
      </w:r>
      <w:r w:rsidRPr="00C71C28">
        <w:rPr>
          <w:sz w:val="24"/>
          <w:szCs w:val="24"/>
          <w:lang w:eastAsia="da-DK"/>
        </w:rPr>
        <w:t xml:space="preserve"> på dag 1) (XELIRI) og 2. </w:t>
      </w:r>
      <w:proofErr w:type="spellStart"/>
      <w:r w:rsidRPr="00C71C28">
        <w:rPr>
          <w:sz w:val="24"/>
          <w:szCs w:val="24"/>
          <w:lang w:eastAsia="da-DK"/>
        </w:rPr>
        <w:t>valgsbehandling</w:t>
      </w:r>
      <w:proofErr w:type="spellEnd"/>
      <w:r w:rsidRPr="00C71C28">
        <w:rPr>
          <w:sz w:val="24"/>
          <w:szCs w:val="24"/>
          <w:lang w:eastAsia="da-DK"/>
        </w:rPr>
        <w:t xml:space="preserve"> med </w:t>
      </w:r>
      <w:proofErr w:type="spellStart"/>
      <w:r w:rsidRPr="00C71C28">
        <w:rPr>
          <w:sz w:val="24"/>
          <w:szCs w:val="24"/>
          <w:lang w:eastAsia="da-DK"/>
        </w:rPr>
        <w:t>capecitabin</w:t>
      </w:r>
      <w:proofErr w:type="spellEnd"/>
      <w:r w:rsidRPr="00C71C28">
        <w:rPr>
          <w:sz w:val="24"/>
          <w:szCs w:val="24"/>
          <w:lang w:eastAsia="da-DK"/>
        </w:rPr>
        <w:t xml:space="preserve"> (1000 mg/m</w:t>
      </w:r>
      <w:r w:rsidRPr="00C71C28">
        <w:rPr>
          <w:sz w:val="24"/>
          <w:szCs w:val="24"/>
          <w:vertAlign w:val="superscript"/>
          <w:lang w:eastAsia="da-DK"/>
        </w:rPr>
        <w:t>2</w:t>
      </w:r>
      <w:r w:rsidRPr="00C71C28">
        <w:rPr>
          <w:sz w:val="24"/>
          <w:szCs w:val="24"/>
          <w:lang w:eastAsia="da-DK"/>
        </w:rPr>
        <w:t xml:space="preserve"> 2 gange dagligt i 14 dage) plus </w:t>
      </w:r>
      <w:proofErr w:type="spellStart"/>
      <w:r w:rsidRPr="00C71C28">
        <w:rPr>
          <w:sz w:val="24"/>
          <w:szCs w:val="24"/>
          <w:lang w:eastAsia="da-DK"/>
        </w:rPr>
        <w:t>oxaliplatin</w:t>
      </w:r>
      <w:proofErr w:type="spellEnd"/>
      <w:r w:rsidRPr="00C71C28">
        <w:rPr>
          <w:sz w:val="24"/>
          <w:szCs w:val="24"/>
          <w:lang w:eastAsia="da-DK"/>
        </w:rPr>
        <w:t xml:space="preserve"> (130 mg/m</w:t>
      </w:r>
      <w:r w:rsidRPr="00C71C28">
        <w:rPr>
          <w:sz w:val="24"/>
          <w:szCs w:val="24"/>
          <w:vertAlign w:val="superscript"/>
          <w:lang w:eastAsia="da-DK"/>
        </w:rPr>
        <w:t>2</w:t>
      </w:r>
      <w:r w:rsidRPr="00C71C28">
        <w:rPr>
          <w:sz w:val="24"/>
          <w:szCs w:val="24"/>
          <w:lang w:eastAsia="da-DK"/>
        </w:rPr>
        <w:t xml:space="preserve"> på dag 1). Alle behandlingsserier blev administreret med 3 ugers interval. I førstevalgsbehandlingen var den </w:t>
      </w:r>
      <w:proofErr w:type="spellStart"/>
      <w:r w:rsidRPr="00C71C28">
        <w:rPr>
          <w:sz w:val="24"/>
          <w:szCs w:val="24"/>
          <w:lang w:eastAsia="da-DK"/>
        </w:rPr>
        <w:t>mediane</w:t>
      </w:r>
      <w:proofErr w:type="spellEnd"/>
      <w:r w:rsidRPr="00C71C28">
        <w:rPr>
          <w:sz w:val="24"/>
          <w:szCs w:val="24"/>
          <w:lang w:eastAsia="da-DK"/>
        </w:rPr>
        <w:t xml:space="preserve"> progressionsfri overlevelse i intent-to-</w:t>
      </w:r>
      <w:proofErr w:type="spellStart"/>
      <w:r w:rsidRPr="00C71C28">
        <w:rPr>
          <w:sz w:val="24"/>
          <w:szCs w:val="24"/>
          <w:lang w:eastAsia="da-DK"/>
        </w:rPr>
        <w:t>treat</w:t>
      </w:r>
      <w:proofErr w:type="spellEnd"/>
      <w:r w:rsidRPr="00C71C28">
        <w:rPr>
          <w:sz w:val="24"/>
          <w:szCs w:val="24"/>
          <w:lang w:eastAsia="da-DK"/>
        </w:rPr>
        <w:t xml:space="preserve">-populationen 5,8 måneder (95 % konfidensinterval 5,1-6,2 måneder) for </w:t>
      </w:r>
      <w:proofErr w:type="spellStart"/>
      <w:r w:rsidRPr="00C71C28">
        <w:rPr>
          <w:sz w:val="24"/>
          <w:szCs w:val="24"/>
          <w:lang w:eastAsia="da-DK"/>
        </w:rPr>
        <w:t>capecitabin</w:t>
      </w:r>
      <w:proofErr w:type="spellEnd"/>
      <w:r w:rsidRPr="00C71C28">
        <w:rPr>
          <w:sz w:val="24"/>
          <w:szCs w:val="24"/>
          <w:lang w:eastAsia="da-DK"/>
        </w:rPr>
        <w:t xml:space="preserve"> monoterapi og 7,8 måneder (95 % konfidensinterval 7,0-8,3 måneder) for XELIRI (p=0,0002).</w:t>
      </w:r>
    </w:p>
    <w:p w:rsidR="004C2E02" w:rsidRPr="00C71C28" w:rsidRDefault="004C2E02" w:rsidP="00C71C28">
      <w:pPr>
        <w:ind w:left="851"/>
        <w:rPr>
          <w:sz w:val="24"/>
          <w:szCs w:val="24"/>
          <w:lang w:eastAsia="da-DK"/>
        </w:rPr>
      </w:pPr>
    </w:p>
    <w:p w:rsidR="004C2E02" w:rsidRPr="00C71C28" w:rsidRDefault="004C2E02" w:rsidP="00C71C28">
      <w:pPr>
        <w:ind w:left="851"/>
        <w:rPr>
          <w:sz w:val="24"/>
          <w:szCs w:val="24"/>
          <w:lang w:eastAsia="da-DK"/>
        </w:rPr>
      </w:pPr>
      <w:r w:rsidRPr="00C71C28">
        <w:rPr>
          <w:sz w:val="24"/>
          <w:szCs w:val="24"/>
          <w:lang w:eastAsia="da-DK"/>
        </w:rPr>
        <w:t xml:space="preserve">Data fra en </w:t>
      </w:r>
      <w:proofErr w:type="spellStart"/>
      <w:r w:rsidRPr="00C71C28">
        <w:rPr>
          <w:sz w:val="24"/>
          <w:szCs w:val="24"/>
          <w:lang w:eastAsia="da-DK"/>
        </w:rPr>
        <w:t>interimanalyse</w:t>
      </w:r>
      <w:proofErr w:type="spellEnd"/>
      <w:r w:rsidRPr="00C71C28">
        <w:rPr>
          <w:sz w:val="24"/>
          <w:szCs w:val="24"/>
          <w:lang w:eastAsia="da-DK"/>
        </w:rPr>
        <w:t xml:space="preserve"> af et randomiseret, kontrolleret fase-II-multicenterforsøg (AIO KRK 0604) understøtter anvendelsen af </w:t>
      </w:r>
      <w:proofErr w:type="spellStart"/>
      <w:r w:rsidRPr="00C71C28">
        <w:rPr>
          <w:sz w:val="24"/>
          <w:szCs w:val="24"/>
          <w:lang w:eastAsia="da-DK"/>
        </w:rPr>
        <w:t>capecitabin</w:t>
      </w:r>
      <w:proofErr w:type="spellEnd"/>
      <w:r w:rsidRPr="00C71C28">
        <w:rPr>
          <w:sz w:val="24"/>
          <w:szCs w:val="24"/>
          <w:lang w:eastAsia="da-DK"/>
        </w:rPr>
        <w:t xml:space="preserve"> ved en initial dosis på 800 mg/m2 i 2 uger hver 3. uge i kombination med </w:t>
      </w:r>
      <w:proofErr w:type="spellStart"/>
      <w:r w:rsidRPr="00C71C28">
        <w:rPr>
          <w:sz w:val="24"/>
          <w:szCs w:val="24"/>
          <w:lang w:eastAsia="da-DK"/>
        </w:rPr>
        <w:t>irinotecan</w:t>
      </w:r>
      <w:proofErr w:type="spellEnd"/>
      <w:r w:rsidRPr="00C71C28">
        <w:rPr>
          <w:sz w:val="24"/>
          <w:szCs w:val="24"/>
          <w:lang w:eastAsia="da-DK"/>
        </w:rPr>
        <w:t xml:space="preserve"> og </w:t>
      </w:r>
      <w:proofErr w:type="spellStart"/>
      <w:r w:rsidRPr="00C71C28">
        <w:rPr>
          <w:sz w:val="24"/>
          <w:szCs w:val="24"/>
          <w:lang w:eastAsia="da-DK"/>
        </w:rPr>
        <w:t>bevacizumab</w:t>
      </w:r>
      <w:proofErr w:type="spellEnd"/>
      <w:r w:rsidRPr="00C71C28">
        <w:rPr>
          <w:sz w:val="24"/>
          <w:szCs w:val="24"/>
          <w:lang w:eastAsia="da-DK"/>
        </w:rPr>
        <w:t xml:space="preserve"> som førstevalgsbehandling af patienter med metastatisk </w:t>
      </w:r>
      <w:proofErr w:type="spellStart"/>
      <w:r w:rsidRPr="00C71C28">
        <w:rPr>
          <w:sz w:val="24"/>
          <w:szCs w:val="24"/>
          <w:lang w:eastAsia="da-DK"/>
        </w:rPr>
        <w:t>colorektalcancer</w:t>
      </w:r>
      <w:proofErr w:type="spellEnd"/>
      <w:r w:rsidRPr="00C71C28">
        <w:rPr>
          <w:sz w:val="24"/>
          <w:szCs w:val="24"/>
          <w:lang w:eastAsia="da-DK"/>
        </w:rPr>
        <w:t xml:space="preserve">. 115 patienter blev randomiseret til behandling med </w:t>
      </w:r>
      <w:proofErr w:type="spellStart"/>
      <w:r w:rsidRPr="00C71C28">
        <w:rPr>
          <w:sz w:val="24"/>
          <w:szCs w:val="24"/>
          <w:lang w:eastAsia="da-DK"/>
        </w:rPr>
        <w:t>capecitabin</w:t>
      </w:r>
      <w:proofErr w:type="spellEnd"/>
      <w:r w:rsidRPr="00C71C28">
        <w:rPr>
          <w:sz w:val="24"/>
          <w:szCs w:val="24"/>
          <w:lang w:eastAsia="da-DK"/>
        </w:rPr>
        <w:t xml:space="preserve"> kombineret med </w:t>
      </w:r>
      <w:proofErr w:type="spellStart"/>
      <w:r w:rsidRPr="00C71C28">
        <w:rPr>
          <w:sz w:val="24"/>
          <w:szCs w:val="24"/>
          <w:lang w:eastAsia="da-DK"/>
        </w:rPr>
        <w:t>irinotecan</w:t>
      </w:r>
      <w:proofErr w:type="spellEnd"/>
      <w:r w:rsidRPr="00C71C28">
        <w:rPr>
          <w:sz w:val="24"/>
          <w:szCs w:val="24"/>
          <w:lang w:eastAsia="da-DK"/>
        </w:rPr>
        <w:t xml:space="preserve"> (XELIRI) og </w:t>
      </w:r>
      <w:proofErr w:type="spellStart"/>
      <w:r w:rsidRPr="00C71C28">
        <w:rPr>
          <w:sz w:val="24"/>
          <w:szCs w:val="24"/>
          <w:lang w:eastAsia="da-DK"/>
        </w:rPr>
        <w:t>bevacizumab</w:t>
      </w:r>
      <w:proofErr w:type="spellEnd"/>
      <w:r w:rsidRPr="00C71C28">
        <w:rPr>
          <w:sz w:val="24"/>
          <w:szCs w:val="24"/>
          <w:lang w:eastAsia="da-DK"/>
        </w:rPr>
        <w:t xml:space="preserve">: </w:t>
      </w:r>
      <w:proofErr w:type="spellStart"/>
      <w:r w:rsidRPr="00C71C28">
        <w:rPr>
          <w:sz w:val="24"/>
          <w:szCs w:val="24"/>
          <w:lang w:eastAsia="da-DK"/>
        </w:rPr>
        <w:t>capecitabin</w:t>
      </w:r>
      <w:proofErr w:type="spellEnd"/>
      <w:r w:rsidRPr="00C71C28">
        <w:rPr>
          <w:sz w:val="24"/>
          <w:szCs w:val="24"/>
          <w:lang w:eastAsia="da-DK"/>
        </w:rPr>
        <w:t xml:space="preserve"> (800 mg/m2 2 gange daglig i 2 uger efterfulgt af 7 dages pause), </w:t>
      </w:r>
      <w:proofErr w:type="spellStart"/>
      <w:r w:rsidRPr="00C71C28">
        <w:rPr>
          <w:sz w:val="24"/>
          <w:szCs w:val="24"/>
          <w:lang w:eastAsia="da-DK"/>
        </w:rPr>
        <w:t>irinotecan</w:t>
      </w:r>
      <w:proofErr w:type="spellEnd"/>
      <w:r w:rsidRPr="00C71C28">
        <w:rPr>
          <w:sz w:val="24"/>
          <w:szCs w:val="24"/>
          <w:lang w:eastAsia="da-DK"/>
        </w:rPr>
        <w:t xml:space="preserve"> (200 mg/m2 som en 30 minutters infusion på dag 1 hver 3. uge) og </w:t>
      </w:r>
      <w:proofErr w:type="spellStart"/>
      <w:r w:rsidRPr="00C71C28">
        <w:rPr>
          <w:sz w:val="24"/>
          <w:szCs w:val="24"/>
          <w:lang w:eastAsia="da-DK"/>
        </w:rPr>
        <w:t>bevacizumab</w:t>
      </w:r>
      <w:proofErr w:type="spellEnd"/>
      <w:r w:rsidRPr="00C71C28">
        <w:rPr>
          <w:sz w:val="24"/>
          <w:szCs w:val="24"/>
          <w:lang w:eastAsia="da-DK"/>
        </w:rPr>
        <w:t xml:space="preserve"> (7,5 mg/kg som en 30-90 minutters infusion på dag 1 hver 3. uge). I alt blev 118 patienter randomiseret til behandling med </w:t>
      </w:r>
      <w:proofErr w:type="spellStart"/>
      <w:r w:rsidRPr="00C71C28">
        <w:rPr>
          <w:sz w:val="24"/>
          <w:szCs w:val="24"/>
          <w:lang w:eastAsia="da-DK"/>
        </w:rPr>
        <w:t>capecitabin</w:t>
      </w:r>
      <w:proofErr w:type="spellEnd"/>
      <w:r w:rsidRPr="00C71C28">
        <w:rPr>
          <w:sz w:val="24"/>
          <w:szCs w:val="24"/>
          <w:lang w:eastAsia="da-DK"/>
        </w:rPr>
        <w:t xml:space="preserve"> kombineret med </w:t>
      </w:r>
      <w:proofErr w:type="spellStart"/>
      <w:r w:rsidRPr="00C71C28">
        <w:rPr>
          <w:sz w:val="24"/>
          <w:szCs w:val="24"/>
          <w:lang w:eastAsia="da-DK"/>
        </w:rPr>
        <w:t>oxaliplatin</w:t>
      </w:r>
      <w:proofErr w:type="spellEnd"/>
      <w:r w:rsidRPr="00C71C28">
        <w:rPr>
          <w:sz w:val="24"/>
          <w:szCs w:val="24"/>
          <w:lang w:eastAsia="da-DK"/>
        </w:rPr>
        <w:t xml:space="preserve"> plus </w:t>
      </w:r>
      <w:proofErr w:type="spellStart"/>
      <w:r w:rsidRPr="00C71C28">
        <w:rPr>
          <w:sz w:val="24"/>
          <w:szCs w:val="24"/>
          <w:lang w:eastAsia="da-DK"/>
        </w:rPr>
        <w:t>bevacizumab</w:t>
      </w:r>
      <w:proofErr w:type="spellEnd"/>
      <w:r w:rsidRPr="00C71C28">
        <w:rPr>
          <w:sz w:val="24"/>
          <w:szCs w:val="24"/>
          <w:lang w:eastAsia="da-DK"/>
        </w:rPr>
        <w:t xml:space="preserve">; </w:t>
      </w:r>
      <w:proofErr w:type="spellStart"/>
      <w:r w:rsidRPr="00C71C28">
        <w:rPr>
          <w:sz w:val="24"/>
          <w:szCs w:val="24"/>
          <w:lang w:eastAsia="da-DK"/>
        </w:rPr>
        <w:t>capecitabin</w:t>
      </w:r>
      <w:proofErr w:type="spellEnd"/>
      <w:r w:rsidRPr="00C71C28">
        <w:rPr>
          <w:sz w:val="24"/>
          <w:szCs w:val="24"/>
          <w:lang w:eastAsia="da-DK"/>
        </w:rPr>
        <w:t xml:space="preserve"> (1000 mg/m2 2 gange dagligt i 2 uger efterfulgt af 7 dages pause), </w:t>
      </w:r>
      <w:proofErr w:type="spellStart"/>
      <w:r w:rsidRPr="00C71C28">
        <w:rPr>
          <w:sz w:val="24"/>
          <w:szCs w:val="24"/>
          <w:lang w:eastAsia="da-DK"/>
        </w:rPr>
        <w:t>oxaliplatin</w:t>
      </w:r>
      <w:proofErr w:type="spellEnd"/>
      <w:r w:rsidRPr="00C71C28">
        <w:rPr>
          <w:sz w:val="24"/>
          <w:szCs w:val="24"/>
          <w:lang w:eastAsia="da-DK"/>
        </w:rPr>
        <w:t xml:space="preserve"> (130 mg/m2 som en 2 timers infusion på dag 1 hver 3. uge) og </w:t>
      </w:r>
      <w:proofErr w:type="spellStart"/>
      <w:r w:rsidRPr="00C71C28">
        <w:rPr>
          <w:sz w:val="24"/>
          <w:szCs w:val="24"/>
          <w:lang w:eastAsia="da-DK"/>
        </w:rPr>
        <w:t>bevacizumab</w:t>
      </w:r>
      <w:proofErr w:type="spellEnd"/>
      <w:r w:rsidRPr="00C71C28">
        <w:rPr>
          <w:sz w:val="24"/>
          <w:szCs w:val="24"/>
          <w:lang w:eastAsia="da-DK"/>
        </w:rPr>
        <w:t xml:space="preserve"> (7,5 mg/kg som en 30-90 minutters infusion på dag 1 hver 3. uge). Den </w:t>
      </w:r>
      <w:r w:rsidRPr="00C71C28">
        <w:rPr>
          <w:sz w:val="24"/>
          <w:szCs w:val="24"/>
          <w:lang w:eastAsia="da-DK"/>
        </w:rPr>
        <w:lastRenderedPageBreak/>
        <w:t>progressionsfri overlevelse efter 6 måneder i intent-to-</w:t>
      </w:r>
      <w:proofErr w:type="spellStart"/>
      <w:r w:rsidRPr="00C71C28">
        <w:rPr>
          <w:sz w:val="24"/>
          <w:szCs w:val="24"/>
          <w:lang w:eastAsia="da-DK"/>
        </w:rPr>
        <w:t>treat</w:t>
      </w:r>
      <w:proofErr w:type="spellEnd"/>
      <w:r w:rsidRPr="00C71C28">
        <w:rPr>
          <w:sz w:val="24"/>
          <w:szCs w:val="24"/>
          <w:lang w:eastAsia="da-DK"/>
        </w:rPr>
        <w:t xml:space="preserve">-populationen var 80 % (XELIRI + </w:t>
      </w:r>
      <w:proofErr w:type="spellStart"/>
      <w:r w:rsidRPr="00C71C28">
        <w:rPr>
          <w:sz w:val="24"/>
          <w:szCs w:val="24"/>
          <w:lang w:eastAsia="da-DK"/>
        </w:rPr>
        <w:t>bevacizumab</w:t>
      </w:r>
      <w:proofErr w:type="spellEnd"/>
      <w:r w:rsidRPr="00C71C28">
        <w:rPr>
          <w:sz w:val="24"/>
          <w:szCs w:val="24"/>
          <w:lang w:eastAsia="da-DK"/>
        </w:rPr>
        <w:t xml:space="preserve">) versus 74 % (XELOX + </w:t>
      </w:r>
      <w:proofErr w:type="spellStart"/>
      <w:r w:rsidRPr="00C71C28">
        <w:rPr>
          <w:sz w:val="24"/>
          <w:szCs w:val="24"/>
          <w:lang w:eastAsia="da-DK"/>
        </w:rPr>
        <w:t>bevacizumab</w:t>
      </w:r>
      <w:proofErr w:type="spellEnd"/>
      <w:r w:rsidRPr="00C71C28">
        <w:rPr>
          <w:sz w:val="24"/>
          <w:szCs w:val="24"/>
          <w:lang w:eastAsia="da-DK"/>
        </w:rPr>
        <w:t>).</w:t>
      </w:r>
    </w:p>
    <w:p w:rsidR="004C2E02" w:rsidRPr="00C71C28" w:rsidRDefault="004C2E02" w:rsidP="00C71C28">
      <w:pPr>
        <w:ind w:left="851"/>
        <w:rPr>
          <w:sz w:val="24"/>
          <w:szCs w:val="24"/>
          <w:lang w:eastAsia="da-DK"/>
        </w:rPr>
      </w:pPr>
      <w:r w:rsidRPr="00C71C28">
        <w:rPr>
          <w:sz w:val="24"/>
          <w:szCs w:val="24"/>
          <w:lang w:eastAsia="da-DK"/>
        </w:rPr>
        <w:t xml:space="preserve">Den samlede responsrate (komplet respons + partiel respons) var 45 % (XELOX + </w:t>
      </w:r>
      <w:proofErr w:type="spellStart"/>
      <w:r w:rsidRPr="00C71C28">
        <w:rPr>
          <w:sz w:val="24"/>
          <w:szCs w:val="24"/>
          <w:lang w:eastAsia="da-DK"/>
        </w:rPr>
        <w:t>bevacizumab</w:t>
      </w:r>
      <w:proofErr w:type="spellEnd"/>
      <w:r w:rsidRPr="00C71C28">
        <w:rPr>
          <w:sz w:val="24"/>
          <w:szCs w:val="24"/>
          <w:lang w:eastAsia="da-DK"/>
        </w:rPr>
        <w:t xml:space="preserve">) versus 47 % (XELIRI + </w:t>
      </w:r>
      <w:proofErr w:type="spellStart"/>
      <w:r w:rsidRPr="00C71C28">
        <w:rPr>
          <w:sz w:val="24"/>
          <w:szCs w:val="24"/>
          <w:lang w:eastAsia="da-DK"/>
        </w:rPr>
        <w:t>bevacizumab</w:t>
      </w:r>
      <w:proofErr w:type="spellEnd"/>
      <w:r w:rsidRPr="00C71C28">
        <w:rPr>
          <w:sz w:val="24"/>
          <w:szCs w:val="24"/>
          <w:lang w:eastAsia="da-DK"/>
        </w:rPr>
        <w:t xml:space="preserve">). </w:t>
      </w:r>
    </w:p>
    <w:p w:rsidR="004C2E02" w:rsidRPr="00C71C28" w:rsidRDefault="004C2E02" w:rsidP="00C71C28">
      <w:pPr>
        <w:ind w:left="851"/>
        <w:rPr>
          <w:b/>
          <w:sz w:val="24"/>
          <w:szCs w:val="24"/>
          <w:u w:val="single"/>
          <w:lang w:eastAsia="da-DK"/>
        </w:rPr>
      </w:pPr>
    </w:p>
    <w:p w:rsidR="004C2E02" w:rsidRPr="00C71C28" w:rsidRDefault="004C2E02" w:rsidP="00236DCF">
      <w:pPr>
        <w:keepNext/>
        <w:ind w:left="851"/>
        <w:rPr>
          <w:sz w:val="24"/>
          <w:szCs w:val="24"/>
          <w:u w:val="single"/>
          <w:lang w:eastAsia="da-DK"/>
        </w:rPr>
      </w:pPr>
      <w:r w:rsidRPr="00C71C28">
        <w:rPr>
          <w:sz w:val="24"/>
          <w:szCs w:val="24"/>
          <w:u w:val="single"/>
          <w:lang w:eastAsia="da-DK"/>
        </w:rPr>
        <w:t xml:space="preserve">I monoterapi ved 2. </w:t>
      </w:r>
      <w:proofErr w:type="spellStart"/>
      <w:r w:rsidRPr="00C71C28">
        <w:rPr>
          <w:sz w:val="24"/>
          <w:szCs w:val="24"/>
          <w:u w:val="single"/>
          <w:lang w:eastAsia="da-DK"/>
        </w:rPr>
        <w:t>valgsbehandling</w:t>
      </w:r>
      <w:proofErr w:type="spellEnd"/>
      <w:r w:rsidRPr="00C71C28">
        <w:rPr>
          <w:sz w:val="24"/>
          <w:szCs w:val="24"/>
          <w:u w:val="single"/>
          <w:lang w:eastAsia="da-DK"/>
        </w:rPr>
        <w:t xml:space="preserve"> af metastatisk </w:t>
      </w:r>
      <w:proofErr w:type="spellStart"/>
      <w:r w:rsidRPr="00C71C28">
        <w:rPr>
          <w:sz w:val="24"/>
          <w:szCs w:val="24"/>
          <w:u w:val="single"/>
          <w:lang w:eastAsia="da-DK"/>
        </w:rPr>
        <w:t>colorektal</w:t>
      </w:r>
      <w:proofErr w:type="spellEnd"/>
      <w:r w:rsidRPr="00C71C28">
        <w:rPr>
          <w:sz w:val="24"/>
          <w:szCs w:val="24"/>
          <w:u w:val="single"/>
          <w:lang w:eastAsia="da-DK"/>
        </w:rPr>
        <w:t xml:space="preserve"> </w:t>
      </w:r>
      <w:proofErr w:type="spellStart"/>
      <w:r w:rsidRPr="00C71C28">
        <w:rPr>
          <w:sz w:val="24"/>
          <w:szCs w:val="24"/>
          <w:u w:val="single"/>
          <w:lang w:eastAsia="da-DK"/>
        </w:rPr>
        <w:t>carcinoma</w:t>
      </w:r>
      <w:proofErr w:type="spellEnd"/>
    </w:p>
    <w:p w:rsidR="004C2E02" w:rsidRPr="00C71C28" w:rsidRDefault="004C2E02" w:rsidP="00C71C28">
      <w:pPr>
        <w:ind w:left="851"/>
        <w:rPr>
          <w:sz w:val="24"/>
          <w:szCs w:val="24"/>
          <w:lang w:eastAsia="da-DK"/>
        </w:rPr>
      </w:pPr>
      <w:r w:rsidRPr="00C71C28">
        <w:rPr>
          <w:sz w:val="24"/>
          <w:szCs w:val="24"/>
          <w:lang w:eastAsia="da-DK"/>
        </w:rPr>
        <w:t xml:space="preserve">Kliniske fase-II/III-forsøg blev i doseringsregimet på 3-uger udført på mere end 980 patienter med </w:t>
      </w:r>
      <w:proofErr w:type="spellStart"/>
      <w:r w:rsidRPr="00C71C28">
        <w:rPr>
          <w:sz w:val="24"/>
          <w:szCs w:val="24"/>
          <w:lang w:eastAsia="da-DK"/>
        </w:rPr>
        <w:t>metastisk</w:t>
      </w:r>
      <w:proofErr w:type="spellEnd"/>
      <w:r w:rsidRPr="00C71C28">
        <w:rPr>
          <w:sz w:val="24"/>
          <w:szCs w:val="24"/>
          <w:lang w:eastAsia="da-DK"/>
        </w:rPr>
        <w:t xml:space="preserve"> </w:t>
      </w:r>
      <w:proofErr w:type="spellStart"/>
      <w:r w:rsidRPr="00C71C28">
        <w:rPr>
          <w:sz w:val="24"/>
          <w:szCs w:val="24"/>
          <w:lang w:eastAsia="da-DK"/>
        </w:rPr>
        <w:t>colorektal</w:t>
      </w:r>
      <w:proofErr w:type="spellEnd"/>
      <w:r w:rsidRPr="00C71C28">
        <w:rPr>
          <w:sz w:val="24"/>
          <w:szCs w:val="24"/>
          <w:lang w:eastAsia="da-DK"/>
        </w:rPr>
        <w:t xml:space="preserve"> cancer, som ikke oplevede effekt af tidligere 5-FU behandling. Effekten af </w:t>
      </w:r>
      <w:proofErr w:type="spellStart"/>
      <w:r w:rsidRPr="00C71C28">
        <w:rPr>
          <w:sz w:val="24"/>
          <w:szCs w:val="24"/>
          <w:lang w:eastAsia="da-DK"/>
        </w:rPr>
        <w:t>irinotecan</w:t>
      </w:r>
      <w:proofErr w:type="spellEnd"/>
      <w:r w:rsidRPr="00C71C28">
        <w:rPr>
          <w:sz w:val="24"/>
          <w:szCs w:val="24"/>
          <w:lang w:eastAsia="da-DK"/>
        </w:rPr>
        <w:t xml:space="preserve"> blev vurderet hos 765 patienter med dokumenteret progression under 5-FU ved forsøgets start.</w:t>
      </w:r>
    </w:p>
    <w:p w:rsidR="004C2E02" w:rsidRDefault="004C2E02" w:rsidP="004C2E02">
      <w:pPr>
        <w:ind w:left="851"/>
        <w:rPr>
          <w:sz w:val="22"/>
          <w:szCs w:val="22"/>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417"/>
        <w:gridCol w:w="1517"/>
        <w:gridCol w:w="1313"/>
        <w:gridCol w:w="1275"/>
        <w:gridCol w:w="992"/>
        <w:gridCol w:w="1275"/>
      </w:tblGrid>
      <w:tr w:rsidR="004C2E02" w:rsidTr="004C2E02">
        <w:tc>
          <w:tcPr>
            <w:tcW w:w="955" w:type="pct"/>
            <w:tcBorders>
              <w:top w:val="single" w:sz="4" w:space="0" w:color="auto"/>
              <w:left w:val="single" w:sz="4" w:space="0" w:color="auto"/>
              <w:bottom w:val="single" w:sz="4" w:space="0" w:color="auto"/>
              <w:right w:val="single" w:sz="4" w:space="0" w:color="auto"/>
            </w:tcBorders>
          </w:tcPr>
          <w:p w:rsidR="004C2E02" w:rsidRDefault="004C2E02">
            <w:pPr>
              <w:ind w:left="29"/>
              <w:rPr>
                <w:sz w:val="22"/>
                <w:szCs w:val="22"/>
                <w:lang w:eastAsia="da-DK"/>
              </w:rPr>
            </w:pPr>
          </w:p>
        </w:tc>
        <w:tc>
          <w:tcPr>
            <w:tcW w:w="4045" w:type="pct"/>
            <w:gridSpan w:val="6"/>
            <w:tcBorders>
              <w:top w:val="single" w:sz="4" w:space="0" w:color="auto"/>
              <w:left w:val="single" w:sz="4" w:space="0" w:color="auto"/>
              <w:bottom w:val="single" w:sz="4" w:space="0" w:color="auto"/>
              <w:right w:val="single" w:sz="4" w:space="0" w:color="auto"/>
            </w:tcBorders>
          </w:tcPr>
          <w:p w:rsidR="004C2E02" w:rsidRDefault="004C2E02">
            <w:pPr>
              <w:ind w:left="34"/>
              <w:rPr>
                <w:b/>
                <w:bCs/>
                <w:sz w:val="22"/>
                <w:szCs w:val="22"/>
                <w:lang w:eastAsia="da-DK"/>
              </w:rPr>
            </w:pPr>
          </w:p>
          <w:p w:rsidR="004C2E02" w:rsidRDefault="004C2E02">
            <w:pPr>
              <w:ind w:left="34"/>
              <w:rPr>
                <w:i/>
                <w:iCs/>
                <w:sz w:val="22"/>
                <w:szCs w:val="22"/>
                <w:lang w:eastAsia="da-DK"/>
              </w:rPr>
            </w:pPr>
            <w:r>
              <w:rPr>
                <w:i/>
                <w:iCs/>
                <w:sz w:val="22"/>
                <w:szCs w:val="22"/>
                <w:lang w:eastAsia="da-DK"/>
              </w:rPr>
              <w:t>Fase III</w:t>
            </w:r>
          </w:p>
        </w:tc>
      </w:tr>
      <w:tr w:rsidR="004C2E02" w:rsidTr="004C2E02">
        <w:tc>
          <w:tcPr>
            <w:tcW w:w="955" w:type="pct"/>
            <w:tcBorders>
              <w:top w:val="single" w:sz="4" w:space="0" w:color="auto"/>
              <w:left w:val="single" w:sz="4" w:space="0" w:color="auto"/>
              <w:bottom w:val="single" w:sz="4" w:space="0" w:color="auto"/>
              <w:right w:val="single" w:sz="4" w:space="0" w:color="auto"/>
            </w:tcBorders>
          </w:tcPr>
          <w:p w:rsidR="004C2E02" w:rsidRDefault="004C2E02">
            <w:pPr>
              <w:ind w:left="29"/>
              <w:rPr>
                <w:sz w:val="22"/>
                <w:szCs w:val="22"/>
                <w:lang w:eastAsia="da-DK"/>
              </w:rPr>
            </w:pPr>
          </w:p>
        </w:tc>
        <w:tc>
          <w:tcPr>
            <w:tcW w:w="2206" w:type="pct"/>
            <w:gridSpan w:val="3"/>
            <w:tcBorders>
              <w:top w:val="single" w:sz="4" w:space="0" w:color="auto"/>
              <w:left w:val="single" w:sz="4" w:space="0" w:color="auto"/>
              <w:bottom w:val="single" w:sz="4" w:space="0" w:color="auto"/>
              <w:right w:val="single" w:sz="4" w:space="0" w:color="auto"/>
            </w:tcBorders>
          </w:tcPr>
          <w:p w:rsidR="004C2E02" w:rsidRDefault="004C2E02">
            <w:pPr>
              <w:ind w:left="34"/>
              <w:rPr>
                <w:b/>
                <w:bCs/>
                <w:sz w:val="22"/>
                <w:szCs w:val="22"/>
                <w:lang w:eastAsia="da-DK"/>
              </w:rPr>
            </w:pPr>
          </w:p>
          <w:p w:rsidR="004C2E02" w:rsidRDefault="004C2E02">
            <w:pPr>
              <w:ind w:left="34"/>
              <w:rPr>
                <w:bCs/>
                <w:sz w:val="22"/>
                <w:szCs w:val="22"/>
                <w:lang w:eastAsia="da-DK"/>
              </w:rPr>
            </w:pPr>
            <w:proofErr w:type="spellStart"/>
            <w:r>
              <w:rPr>
                <w:bCs/>
                <w:sz w:val="22"/>
                <w:szCs w:val="22"/>
                <w:lang w:eastAsia="da-DK"/>
              </w:rPr>
              <w:t>Irinotecan</w:t>
            </w:r>
            <w:proofErr w:type="spellEnd"/>
            <w:r>
              <w:rPr>
                <w:bCs/>
                <w:sz w:val="22"/>
                <w:szCs w:val="22"/>
                <w:lang w:eastAsia="da-DK"/>
              </w:rPr>
              <w:t xml:space="preserve"> </w:t>
            </w:r>
            <w:proofErr w:type="spellStart"/>
            <w:r>
              <w:rPr>
                <w:bCs/>
                <w:sz w:val="22"/>
                <w:szCs w:val="22"/>
                <w:lang w:eastAsia="da-DK"/>
              </w:rPr>
              <w:t>vs</w:t>
            </w:r>
            <w:proofErr w:type="spellEnd"/>
            <w:r>
              <w:rPr>
                <w:bCs/>
                <w:sz w:val="22"/>
                <w:szCs w:val="22"/>
                <w:lang w:eastAsia="da-DK"/>
              </w:rPr>
              <w:t xml:space="preserve"> understøttende behandling</w:t>
            </w:r>
          </w:p>
          <w:p w:rsidR="004C2E02" w:rsidRDefault="004C2E02">
            <w:pPr>
              <w:ind w:left="34"/>
              <w:rPr>
                <w:b/>
                <w:bCs/>
                <w:sz w:val="22"/>
                <w:szCs w:val="22"/>
                <w:lang w:eastAsia="da-DK"/>
              </w:rPr>
            </w:pPr>
          </w:p>
        </w:tc>
        <w:tc>
          <w:tcPr>
            <w:tcW w:w="1838" w:type="pct"/>
            <w:gridSpan w:val="3"/>
            <w:tcBorders>
              <w:top w:val="single" w:sz="4" w:space="0" w:color="auto"/>
              <w:left w:val="single" w:sz="4" w:space="0" w:color="auto"/>
              <w:bottom w:val="single" w:sz="4" w:space="0" w:color="auto"/>
              <w:right w:val="single" w:sz="4" w:space="0" w:color="auto"/>
            </w:tcBorders>
          </w:tcPr>
          <w:p w:rsidR="004C2E02" w:rsidRDefault="004C2E02">
            <w:pPr>
              <w:ind w:left="34"/>
              <w:rPr>
                <w:b/>
                <w:bCs/>
                <w:sz w:val="22"/>
                <w:szCs w:val="22"/>
                <w:lang w:eastAsia="da-DK"/>
              </w:rPr>
            </w:pPr>
          </w:p>
          <w:p w:rsidR="004C2E02" w:rsidRDefault="004C2E02">
            <w:pPr>
              <w:ind w:left="34"/>
              <w:rPr>
                <w:bCs/>
                <w:sz w:val="22"/>
                <w:szCs w:val="22"/>
                <w:lang w:eastAsia="da-DK"/>
              </w:rPr>
            </w:pPr>
            <w:proofErr w:type="spellStart"/>
            <w:r>
              <w:rPr>
                <w:bCs/>
                <w:sz w:val="22"/>
                <w:szCs w:val="22"/>
                <w:lang w:eastAsia="da-DK"/>
              </w:rPr>
              <w:t>Irinotecan</w:t>
            </w:r>
            <w:proofErr w:type="spellEnd"/>
            <w:r>
              <w:rPr>
                <w:bCs/>
                <w:sz w:val="22"/>
                <w:szCs w:val="22"/>
                <w:lang w:eastAsia="da-DK"/>
              </w:rPr>
              <w:t xml:space="preserve"> </w:t>
            </w:r>
            <w:proofErr w:type="spellStart"/>
            <w:r>
              <w:rPr>
                <w:bCs/>
                <w:sz w:val="22"/>
                <w:szCs w:val="22"/>
                <w:lang w:eastAsia="da-DK"/>
              </w:rPr>
              <w:t>vs</w:t>
            </w:r>
            <w:proofErr w:type="spellEnd"/>
            <w:r>
              <w:rPr>
                <w:bCs/>
                <w:sz w:val="22"/>
                <w:szCs w:val="22"/>
                <w:lang w:eastAsia="da-DK"/>
              </w:rPr>
              <w:t xml:space="preserve"> 5FU</w:t>
            </w:r>
          </w:p>
          <w:p w:rsidR="004C2E02" w:rsidRDefault="004C2E02">
            <w:pPr>
              <w:ind w:left="34"/>
              <w:rPr>
                <w:b/>
                <w:bCs/>
                <w:sz w:val="22"/>
                <w:szCs w:val="22"/>
                <w:lang w:eastAsia="da-DK"/>
              </w:rPr>
            </w:pPr>
          </w:p>
        </w:tc>
      </w:tr>
      <w:tr w:rsidR="004C2E02" w:rsidTr="004C2E02">
        <w:tc>
          <w:tcPr>
            <w:tcW w:w="955" w:type="pct"/>
            <w:tcBorders>
              <w:top w:val="single" w:sz="4" w:space="0" w:color="auto"/>
              <w:left w:val="single" w:sz="4" w:space="0" w:color="auto"/>
              <w:bottom w:val="single" w:sz="4" w:space="0" w:color="auto"/>
              <w:right w:val="single" w:sz="4" w:space="0" w:color="auto"/>
            </w:tcBorders>
          </w:tcPr>
          <w:p w:rsidR="004C2E02" w:rsidRDefault="004C2E02">
            <w:pPr>
              <w:ind w:left="29"/>
              <w:rPr>
                <w:sz w:val="22"/>
                <w:szCs w:val="22"/>
                <w:lang w:eastAsia="da-DK"/>
              </w:rPr>
            </w:pPr>
          </w:p>
        </w:tc>
        <w:tc>
          <w:tcPr>
            <w:tcW w:w="736" w:type="pct"/>
            <w:tcBorders>
              <w:top w:val="single" w:sz="4" w:space="0" w:color="auto"/>
              <w:left w:val="single" w:sz="4" w:space="0" w:color="auto"/>
              <w:bottom w:val="single" w:sz="4" w:space="0" w:color="auto"/>
              <w:right w:val="single" w:sz="4" w:space="0" w:color="auto"/>
            </w:tcBorders>
          </w:tcPr>
          <w:p w:rsidR="004C2E02" w:rsidRDefault="004C2E02">
            <w:pPr>
              <w:ind w:left="34"/>
              <w:rPr>
                <w:iCs/>
                <w:sz w:val="22"/>
                <w:szCs w:val="22"/>
                <w:lang w:eastAsia="da-DK"/>
              </w:rPr>
            </w:pPr>
            <w:proofErr w:type="spellStart"/>
            <w:r>
              <w:rPr>
                <w:iCs/>
                <w:sz w:val="22"/>
                <w:szCs w:val="22"/>
                <w:lang w:eastAsia="da-DK"/>
              </w:rPr>
              <w:t>Irinotecan</w:t>
            </w:r>
            <w:proofErr w:type="spellEnd"/>
          </w:p>
          <w:p w:rsidR="004C2E02" w:rsidRDefault="004C2E02">
            <w:pPr>
              <w:ind w:left="34"/>
              <w:rPr>
                <w:iCs/>
                <w:sz w:val="22"/>
                <w:szCs w:val="22"/>
                <w:lang w:eastAsia="da-DK"/>
              </w:rPr>
            </w:pPr>
          </w:p>
          <w:p w:rsidR="004C2E02" w:rsidRDefault="004C2E02">
            <w:pPr>
              <w:ind w:left="34"/>
              <w:rPr>
                <w:iCs/>
                <w:sz w:val="22"/>
                <w:szCs w:val="22"/>
                <w:lang w:eastAsia="da-DK"/>
              </w:rPr>
            </w:pPr>
          </w:p>
          <w:p w:rsidR="004C2E02" w:rsidRDefault="004C2E02">
            <w:pPr>
              <w:ind w:left="34"/>
              <w:rPr>
                <w:iCs/>
                <w:sz w:val="22"/>
                <w:szCs w:val="22"/>
                <w:lang w:eastAsia="da-DK"/>
              </w:rPr>
            </w:pPr>
          </w:p>
          <w:p w:rsidR="004C2E02" w:rsidRDefault="004C2E02">
            <w:pPr>
              <w:ind w:left="34"/>
              <w:rPr>
                <w:sz w:val="22"/>
                <w:szCs w:val="22"/>
                <w:lang w:eastAsia="da-DK"/>
              </w:rPr>
            </w:pPr>
            <w:r>
              <w:rPr>
                <w:iCs/>
                <w:sz w:val="22"/>
                <w:szCs w:val="22"/>
                <w:lang w:eastAsia="da-DK"/>
              </w:rPr>
              <w:t>n=183</w:t>
            </w:r>
          </w:p>
        </w:tc>
        <w:tc>
          <w:tcPr>
            <w:tcW w:w="788" w:type="pct"/>
            <w:tcBorders>
              <w:top w:val="single" w:sz="4" w:space="0" w:color="auto"/>
              <w:left w:val="single" w:sz="4" w:space="0" w:color="auto"/>
              <w:bottom w:val="single" w:sz="4" w:space="0" w:color="auto"/>
              <w:right w:val="single" w:sz="4" w:space="0" w:color="auto"/>
            </w:tcBorders>
          </w:tcPr>
          <w:p w:rsidR="004C2E02" w:rsidRDefault="004C2E02">
            <w:pPr>
              <w:ind w:left="34"/>
              <w:rPr>
                <w:iCs/>
                <w:sz w:val="22"/>
                <w:szCs w:val="22"/>
                <w:lang w:eastAsia="da-DK"/>
              </w:rPr>
            </w:pPr>
            <w:proofErr w:type="spellStart"/>
            <w:r>
              <w:rPr>
                <w:iCs/>
                <w:sz w:val="22"/>
                <w:szCs w:val="22"/>
                <w:lang w:eastAsia="da-DK"/>
              </w:rPr>
              <w:t>Understøt-tende</w:t>
            </w:r>
            <w:proofErr w:type="spellEnd"/>
            <w:r>
              <w:rPr>
                <w:iCs/>
                <w:sz w:val="22"/>
                <w:szCs w:val="22"/>
                <w:lang w:eastAsia="da-DK"/>
              </w:rPr>
              <w:t xml:space="preserve"> behandling</w:t>
            </w:r>
          </w:p>
          <w:p w:rsidR="004C2E02" w:rsidRDefault="004C2E02">
            <w:pPr>
              <w:ind w:left="34"/>
              <w:rPr>
                <w:iCs/>
                <w:sz w:val="22"/>
                <w:szCs w:val="22"/>
                <w:lang w:eastAsia="da-DK"/>
              </w:rPr>
            </w:pPr>
          </w:p>
          <w:p w:rsidR="004C2E02" w:rsidRDefault="004C2E02">
            <w:pPr>
              <w:ind w:left="34"/>
              <w:rPr>
                <w:sz w:val="22"/>
                <w:szCs w:val="22"/>
                <w:lang w:eastAsia="da-DK"/>
              </w:rPr>
            </w:pPr>
            <w:r>
              <w:rPr>
                <w:iCs/>
                <w:sz w:val="22"/>
                <w:szCs w:val="22"/>
                <w:lang w:eastAsia="da-DK"/>
              </w:rPr>
              <w:t>n=90</w:t>
            </w:r>
          </w:p>
        </w:tc>
        <w:tc>
          <w:tcPr>
            <w:tcW w:w="682" w:type="pct"/>
            <w:tcBorders>
              <w:top w:val="single" w:sz="4" w:space="0" w:color="auto"/>
              <w:left w:val="single" w:sz="4" w:space="0" w:color="auto"/>
              <w:bottom w:val="single" w:sz="4" w:space="0" w:color="auto"/>
              <w:right w:val="single" w:sz="4" w:space="0" w:color="auto"/>
            </w:tcBorders>
          </w:tcPr>
          <w:p w:rsidR="004C2E02" w:rsidRDefault="004C2E02">
            <w:pPr>
              <w:ind w:left="34"/>
              <w:rPr>
                <w:iCs/>
                <w:sz w:val="22"/>
                <w:szCs w:val="22"/>
                <w:lang w:eastAsia="da-DK"/>
              </w:rPr>
            </w:pPr>
          </w:p>
          <w:p w:rsidR="004C2E02" w:rsidRDefault="004C2E02">
            <w:pPr>
              <w:ind w:left="34"/>
              <w:rPr>
                <w:iCs/>
                <w:sz w:val="22"/>
                <w:szCs w:val="22"/>
                <w:lang w:eastAsia="da-DK"/>
              </w:rPr>
            </w:pPr>
          </w:p>
          <w:p w:rsidR="004C2E02" w:rsidRDefault="004C2E02">
            <w:pPr>
              <w:ind w:left="34"/>
              <w:rPr>
                <w:sz w:val="22"/>
                <w:szCs w:val="22"/>
                <w:lang w:eastAsia="da-DK"/>
              </w:rPr>
            </w:pPr>
            <w:r>
              <w:rPr>
                <w:iCs/>
                <w:sz w:val="22"/>
                <w:szCs w:val="22"/>
                <w:lang w:eastAsia="da-DK"/>
              </w:rPr>
              <w:t>p værdier</w:t>
            </w:r>
          </w:p>
        </w:tc>
        <w:tc>
          <w:tcPr>
            <w:tcW w:w="662" w:type="pct"/>
            <w:tcBorders>
              <w:top w:val="single" w:sz="4" w:space="0" w:color="auto"/>
              <w:left w:val="single" w:sz="4" w:space="0" w:color="auto"/>
              <w:bottom w:val="single" w:sz="4" w:space="0" w:color="auto"/>
              <w:right w:val="single" w:sz="4" w:space="0" w:color="auto"/>
            </w:tcBorders>
          </w:tcPr>
          <w:p w:rsidR="004C2E02" w:rsidRDefault="004C2E02">
            <w:pPr>
              <w:ind w:left="34"/>
              <w:rPr>
                <w:iCs/>
                <w:sz w:val="22"/>
                <w:szCs w:val="22"/>
                <w:lang w:eastAsia="da-DK"/>
              </w:rPr>
            </w:pPr>
            <w:proofErr w:type="spellStart"/>
            <w:r>
              <w:rPr>
                <w:iCs/>
                <w:sz w:val="22"/>
                <w:szCs w:val="22"/>
                <w:lang w:eastAsia="da-DK"/>
              </w:rPr>
              <w:t>Irinotecan</w:t>
            </w:r>
            <w:proofErr w:type="spellEnd"/>
          </w:p>
          <w:p w:rsidR="004C2E02" w:rsidRDefault="004C2E02">
            <w:pPr>
              <w:ind w:left="34"/>
              <w:rPr>
                <w:iCs/>
                <w:sz w:val="22"/>
                <w:szCs w:val="22"/>
                <w:lang w:eastAsia="da-DK"/>
              </w:rPr>
            </w:pPr>
          </w:p>
          <w:p w:rsidR="004C2E02" w:rsidRDefault="004C2E02">
            <w:pPr>
              <w:ind w:left="34"/>
              <w:rPr>
                <w:iCs/>
                <w:sz w:val="22"/>
                <w:szCs w:val="22"/>
                <w:lang w:eastAsia="da-DK"/>
              </w:rPr>
            </w:pPr>
          </w:p>
          <w:p w:rsidR="004C2E02" w:rsidRDefault="004C2E02">
            <w:pPr>
              <w:ind w:left="34"/>
              <w:rPr>
                <w:iCs/>
                <w:sz w:val="22"/>
                <w:szCs w:val="22"/>
                <w:lang w:eastAsia="da-DK"/>
              </w:rPr>
            </w:pPr>
          </w:p>
          <w:p w:rsidR="004C2E02" w:rsidRDefault="004C2E02">
            <w:pPr>
              <w:ind w:left="34"/>
              <w:rPr>
                <w:sz w:val="22"/>
                <w:szCs w:val="22"/>
                <w:lang w:eastAsia="da-DK"/>
              </w:rPr>
            </w:pPr>
            <w:r>
              <w:rPr>
                <w:iCs/>
                <w:sz w:val="22"/>
                <w:szCs w:val="22"/>
                <w:lang w:eastAsia="da-DK"/>
              </w:rPr>
              <w:t>n=127</w:t>
            </w:r>
          </w:p>
        </w:tc>
        <w:tc>
          <w:tcPr>
            <w:tcW w:w="515" w:type="pct"/>
            <w:tcBorders>
              <w:top w:val="single" w:sz="4" w:space="0" w:color="auto"/>
              <w:left w:val="single" w:sz="4" w:space="0" w:color="auto"/>
              <w:bottom w:val="single" w:sz="4" w:space="0" w:color="auto"/>
              <w:right w:val="single" w:sz="4" w:space="0" w:color="auto"/>
            </w:tcBorders>
          </w:tcPr>
          <w:p w:rsidR="004C2E02" w:rsidRDefault="004C2E02">
            <w:pPr>
              <w:ind w:left="34"/>
              <w:rPr>
                <w:iCs/>
                <w:sz w:val="22"/>
                <w:szCs w:val="22"/>
                <w:lang w:eastAsia="da-DK"/>
              </w:rPr>
            </w:pPr>
            <w:r>
              <w:rPr>
                <w:iCs/>
                <w:sz w:val="22"/>
                <w:szCs w:val="22"/>
                <w:lang w:eastAsia="da-DK"/>
              </w:rPr>
              <w:t>5FU</w:t>
            </w:r>
          </w:p>
          <w:p w:rsidR="004C2E02" w:rsidRDefault="004C2E02">
            <w:pPr>
              <w:ind w:left="34"/>
              <w:rPr>
                <w:iCs/>
                <w:sz w:val="22"/>
                <w:szCs w:val="22"/>
                <w:lang w:eastAsia="da-DK"/>
              </w:rPr>
            </w:pPr>
          </w:p>
          <w:p w:rsidR="004C2E02" w:rsidRDefault="004C2E02">
            <w:pPr>
              <w:ind w:left="34"/>
              <w:rPr>
                <w:iCs/>
                <w:sz w:val="22"/>
                <w:szCs w:val="22"/>
                <w:lang w:eastAsia="da-DK"/>
              </w:rPr>
            </w:pPr>
          </w:p>
          <w:p w:rsidR="004C2E02" w:rsidRDefault="004C2E02">
            <w:pPr>
              <w:ind w:left="34"/>
              <w:rPr>
                <w:iCs/>
                <w:sz w:val="22"/>
                <w:szCs w:val="22"/>
                <w:lang w:eastAsia="da-DK"/>
              </w:rPr>
            </w:pPr>
          </w:p>
          <w:p w:rsidR="004C2E02" w:rsidRDefault="004C2E02">
            <w:pPr>
              <w:ind w:left="34"/>
              <w:rPr>
                <w:sz w:val="22"/>
                <w:szCs w:val="22"/>
                <w:lang w:eastAsia="da-DK"/>
              </w:rPr>
            </w:pPr>
            <w:r>
              <w:rPr>
                <w:iCs/>
                <w:sz w:val="22"/>
                <w:szCs w:val="22"/>
                <w:lang w:eastAsia="da-DK"/>
              </w:rPr>
              <w:t>n=129</w:t>
            </w:r>
          </w:p>
        </w:tc>
        <w:tc>
          <w:tcPr>
            <w:tcW w:w="662" w:type="pct"/>
            <w:tcBorders>
              <w:top w:val="single" w:sz="4" w:space="0" w:color="auto"/>
              <w:left w:val="single" w:sz="4" w:space="0" w:color="auto"/>
              <w:bottom w:val="single" w:sz="4" w:space="0" w:color="auto"/>
              <w:right w:val="single" w:sz="4" w:space="0" w:color="auto"/>
            </w:tcBorders>
          </w:tcPr>
          <w:p w:rsidR="004C2E02" w:rsidRDefault="004C2E02">
            <w:pPr>
              <w:ind w:left="34"/>
              <w:rPr>
                <w:iCs/>
                <w:sz w:val="22"/>
                <w:szCs w:val="22"/>
                <w:lang w:eastAsia="da-DK"/>
              </w:rPr>
            </w:pPr>
          </w:p>
          <w:p w:rsidR="004C2E02" w:rsidRDefault="004C2E02">
            <w:pPr>
              <w:ind w:left="34"/>
              <w:rPr>
                <w:iCs/>
                <w:sz w:val="22"/>
                <w:szCs w:val="22"/>
                <w:lang w:eastAsia="da-DK"/>
              </w:rPr>
            </w:pPr>
          </w:p>
          <w:p w:rsidR="004C2E02" w:rsidRDefault="004C2E02">
            <w:pPr>
              <w:ind w:left="34"/>
              <w:rPr>
                <w:sz w:val="22"/>
                <w:szCs w:val="22"/>
                <w:lang w:eastAsia="da-DK"/>
              </w:rPr>
            </w:pPr>
            <w:r>
              <w:rPr>
                <w:iCs/>
                <w:sz w:val="22"/>
                <w:szCs w:val="22"/>
                <w:lang w:eastAsia="da-DK"/>
              </w:rPr>
              <w:t>p værdier</w:t>
            </w:r>
          </w:p>
        </w:tc>
      </w:tr>
      <w:tr w:rsidR="004C2E02" w:rsidTr="004C2E02">
        <w:tc>
          <w:tcPr>
            <w:tcW w:w="955" w:type="pct"/>
            <w:tcBorders>
              <w:top w:val="single" w:sz="4" w:space="0" w:color="auto"/>
              <w:left w:val="single" w:sz="4" w:space="0" w:color="auto"/>
              <w:bottom w:val="single" w:sz="4" w:space="0" w:color="auto"/>
              <w:right w:val="single" w:sz="4" w:space="0" w:color="auto"/>
            </w:tcBorders>
            <w:hideMark/>
          </w:tcPr>
          <w:p w:rsidR="004C2E02" w:rsidRDefault="004C2E02">
            <w:pPr>
              <w:ind w:left="29"/>
              <w:rPr>
                <w:sz w:val="22"/>
                <w:szCs w:val="22"/>
                <w:lang w:eastAsia="da-DK"/>
              </w:rPr>
            </w:pPr>
            <w:r>
              <w:rPr>
                <w:sz w:val="22"/>
                <w:szCs w:val="22"/>
                <w:lang w:eastAsia="da-DK"/>
              </w:rPr>
              <w:t>Progressionsfri overlevelse ved 6 mdr. (%)</w:t>
            </w:r>
          </w:p>
        </w:tc>
        <w:tc>
          <w:tcPr>
            <w:tcW w:w="736"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NA</w:t>
            </w:r>
          </w:p>
        </w:tc>
        <w:tc>
          <w:tcPr>
            <w:tcW w:w="788"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NA</w:t>
            </w:r>
          </w:p>
        </w:tc>
        <w:tc>
          <w:tcPr>
            <w:tcW w:w="682"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tc>
        <w:tc>
          <w:tcPr>
            <w:tcW w:w="662"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33,5</w:t>
            </w:r>
            <w:r>
              <w:rPr>
                <w:sz w:val="22"/>
                <w:szCs w:val="22"/>
                <w:vertAlign w:val="superscript"/>
                <w:lang w:eastAsia="da-DK"/>
              </w:rPr>
              <w:t>*)</w:t>
            </w:r>
          </w:p>
          <w:p w:rsidR="004C2E02" w:rsidRDefault="004C2E02">
            <w:pPr>
              <w:ind w:left="34"/>
              <w:rPr>
                <w:sz w:val="22"/>
                <w:szCs w:val="22"/>
                <w:lang w:eastAsia="da-DK"/>
              </w:rPr>
            </w:pPr>
          </w:p>
        </w:tc>
        <w:tc>
          <w:tcPr>
            <w:tcW w:w="515"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26,7</w:t>
            </w:r>
          </w:p>
        </w:tc>
        <w:tc>
          <w:tcPr>
            <w:tcW w:w="662"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p=0,03</w:t>
            </w:r>
          </w:p>
        </w:tc>
      </w:tr>
      <w:tr w:rsidR="004C2E02" w:rsidTr="004C2E02">
        <w:tc>
          <w:tcPr>
            <w:tcW w:w="955" w:type="pct"/>
            <w:tcBorders>
              <w:top w:val="single" w:sz="4" w:space="0" w:color="auto"/>
              <w:left w:val="single" w:sz="4" w:space="0" w:color="auto"/>
              <w:bottom w:val="single" w:sz="4" w:space="0" w:color="auto"/>
              <w:right w:val="single" w:sz="4" w:space="0" w:color="auto"/>
            </w:tcBorders>
            <w:hideMark/>
          </w:tcPr>
          <w:p w:rsidR="004C2E02" w:rsidRDefault="004C2E02">
            <w:pPr>
              <w:ind w:left="29"/>
              <w:rPr>
                <w:sz w:val="22"/>
                <w:szCs w:val="22"/>
                <w:lang w:eastAsia="da-DK"/>
              </w:rPr>
            </w:pPr>
            <w:r>
              <w:rPr>
                <w:sz w:val="22"/>
                <w:szCs w:val="22"/>
                <w:lang w:eastAsia="da-DK"/>
              </w:rPr>
              <w:t>Overlevelse ved 12 mdr. (%)</w:t>
            </w:r>
          </w:p>
        </w:tc>
        <w:tc>
          <w:tcPr>
            <w:tcW w:w="736"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36,2</w:t>
            </w:r>
            <w:r>
              <w:rPr>
                <w:sz w:val="22"/>
                <w:szCs w:val="22"/>
                <w:vertAlign w:val="superscript"/>
                <w:lang w:eastAsia="da-DK"/>
              </w:rPr>
              <w:t>*)</w:t>
            </w:r>
            <w:r>
              <w:rPr>
                <w:sz w:val="22"/>
                <w:szCs w:val="22"/>
                <w:lang w:eastAsia="da-DK"/>
              </w:rPr>
              <w:t xml:space="preserve"> </w:t>
            </w:r>
          </w:p>
          <w:p w:rsidR="004C2E02" w:rsidRDefault="004C2E02">
            <w:pPr>
              <w:ind w:left="34"/>
              <w:rPr>
                <w:sz w:val="22"/>
                <w:szCs w:val="22"/>
                <w:lang w:eastAsia="da-DK"/>
              </w:rPr>
            </w:pPr>
          </w:p>
        </w:tc>
        <w:tc>
          <w:tcPr>
            <w:tcW w:w="788"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13,8</w:t>
            </w:r>
          </w:p>
        </w:tc>
        <w:tc>
          <w:tcPr>
            <w:tcW w:w="682"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p=0,0001</w:t>
            </w:r>
          </w:p>
        </w:tc>
        <w:tc>
          <w:tcPr>
            <w:tcW w:w="662"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44,8</w:t>
            </w:r>
            <w:r>
              <w:rPr>
                <w:sz w:val="22"/>
                <w:szCs w:val="22"/>
                <w:vertAlign w:val="superscript"/>
                <w:lang w:eastAsia="da-DK"/>
              </w:rPr>
              <w:t>*)</w:t>
            </w:r>
            <w:r>
              <w:rPr>
                <w:sz w:val="22"/>
                <w:szCs w:val="22"/>
                <w:lang w:eastAsia="da-DK"/>
              </w:rPr>
              <w:t xml:space="preserve"> </w:t>
            </w:r>
          </w:p>
          <w:p w:rsidR="004C2E02" w:rsidRDefault="004C2E02">
            <w:pPr>
              <w:ind w:left="34"/>
              <w:rPr>
                <w:sz w:val="22"/>
                <w:szCs w:val="22"/>
                <w:lang w:eastAsia="da-DK"/>
              </w:rPr>
            </w:pPr>
          </w:p>
        </w:tc>
        <w:tc>
          <w:tcPr>
            <w:tcW w:w="515"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32,4</w:t>
            </w:r>
          </w:p>
        </w:tc>
        <w:tc>
          <w:tcPr>
            <w:tcW w:w="662"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p=0,0351</w:t>
            </w:r>
          </w:p>
        </w:tc>
      </w:tr>
      <w:tr w:rsidR="004C2E02" w:rsidTr="004C2E02">
        <w:tc>
          <w:tcPr>
            <w:tcW w:w="955" w:type="pct"/>
            <w:tcBorders>
              <w:top w:val="single" w:sz="4" w:space="0" w:color="auto"/>
              <w:left w:val="single" w:sz="4" w:space="0" w:color="auto"/>
              <w:bottom w:val="single" w:sz="4" w:space="0" w:color="auto"/>
              <w:right w:val="single" w:sz="4" w:space="0" w:color="auto"/>
            </w:tcBorders>
            <w:hideMark/>
          </w:tcPr>
          <w:p w:rsidR="004C2E02" w:rsidRDefault="004C2E02">
            <w:pPr>
              <w:ind w:left="29"/>
              <w:rPr>
                <w:sz w:val="22"/>
                <w:szCs w:val="22"/>
                <w:lang w:eastAsia="da-DK"/>
              </w:rPr>
            </w:pPr>
            <w:r>
              <w:rPr>
                <w:sz w:val="22"/>
                <w:szCs w:val="22"/>
                <w:lang w:eastAsia="da-DK"/>
              </w:rPr>
              <w:t>Median overlevelse (mdr.)</w:t>
            </w:r>
          </w:p>
        </w:tc>
        <w:tc>
          <w:tcPr>
            <w:tcW w:w="736"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9,2</w:t>
            </w:r>
            <w:r>
              <w:rPr>
                <w:sz w:val="22"/>
                <w:szCs w:val="22"/>
                <w:vertAlign w:val="superscript"/>
                <w:lang w:eastAsia="da-DK"/>
              </w:rPr>
              <w:t>*)</w:t>
            </w:r>
          </w:p>
          <w:p w:rsidR="004C2E02" w:rsidRDefault="004C2E02">
            <w:pPr>
              <w:ind w:left="34"/>
              <w:rPr>
                <w:sz w:val="22"/>
                <w:szCs w:val="22"/>
                <w:lang w:eastAsia="da-DK"/>
              </w:rPr>
            </w:pPr>
          </w:p>
        </w:tc>
        <w:tc>
          <w:tcPr>
            <w:tcW w:w="788"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6,5</w:t>
            </w:r>
          </w:p>
        </w:tc>
        <w:tc>
          <w:tcPr>
            <w:tcW w:w="682"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p=0,0001</w:t>
            </w:r>
          </w:p>
        </w:tc>
        <w:tc>
          <w:tcPr>
            <w:tcW w:w="662"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10,8</w:t>
            </w:r>
            <w:r>
              <w:rPr>
                <w:sz w:val="22"/>
                <w:szCs w:val="22"/>
                <w:vertAlign w:val="superscript"/>
                <w:lang w:eastAsia="da-DK"/>
              </w:rPr>
              <w:t>*)</w:t>
            </w:r>
          </w:p>
          <w:p w:rsidR="004C2E02" w:rsidRDefault="004C2E02">
            <w:pPr>
              <w:ind w:left="34"/>
              <w:rPr>
                <w:sz w:val="22"/>
                <w:szCs w:val="22"/>
                <w:lang w:eastAsia="da-DK"/>
              </w:rPr>
            </w:pPr>
          </w:p>
        </w:tc>
        <w:tc>
          <w:tcPr>
            <w:tcW w:w="515"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8,5</w:t>
            </w:r>
          </w:p>
        </w:tc>
        <w:tc>
          <w:tcPr>
            <w:tcW w:w="662" w:type="pct"/>
            <w:tcBorders>
              <w:top w:val="single" w:sz="4" w:space="0" w:color="auto"/>
              <w:left w:val="single" w:sz="4" w:space="0" w:color="auto"/>
              <w:bottom w:val="single" w:sz="4" w:space="0" w:color="auto"/>
              <w:right w:val="single" w:sz="4" w:space="0" w:color="auto"/>
            </w:tcBorders>
          </w:tcPr>
          <w:p w:rsidR="004C2E02" w:rsidRDefault="004C2E02">
            <w:pPr>
              <w:ind w:left="34"/>
              <w:rPr>
                <w:sz w:val="22"/>
                <w:szCs w:val="22"/>
                <w:lang w:eastAsia="da-DK"/>
              </w:rPr>
            </w:pPr>
          </w:p>
          <w:p w:rsidR="004C2E02" w:rsidRDefault="004C2E02">
            <w:pPr>
              <w:ind w:left="34"/>
              <w:rPr>
                <w:sz w:val="22"/>
                <w:szCs w:val="22"/>
                <w:lang w:eastAsia="da-DK"/>
              </w:rPr>
            </w:pPr>
            <w:r>
              <w:rPr>
                <w:sz w:val="22"/>
                <w:szCs w:val="22"/>
                <w:lang w:eastAsia="da-DK"/>
              </w:rPr>
              <w:t>p=0,0351</w:t>
            </w:r>
          </w:p>
        </w:tc>
      </w:tr>
    </w:tbl>
    <w:p w:rsidR="004C2E02" w:rsidRDefault="004C2E02" w:rsidP="004C2E02">
      <w:pPr>
        <w:rPr>
          <w:sz w:val="20"/>
          <w:lang w:eastAsia="da-DK"/>
        </w:rPr>
      </w:pPr>
      <w:r>
        <w:rPr>
          <w:sz w:val="20"/>
          <w:lang w:eastAsia="da-DK"/>
        </w:rPr>
        <w:t>NA: Ikke tilgængelige oplysninger</w:t>
      </w:r>
    </w:p>
    <w:p w:rsidR="004C2E02" w:rsidRDefault="004C2E02" w:rsidP="004C2E02">
      <w:pPr>
        <w:rPr>
          <w:sz w:val="20"/>
          <w:lang w:eastAsia="da-DK"/>
        </w:rPr>
      </w:pPr>
      <w:r>
        <w:rPr>
          <w:sz w:val="20"/>
          <w:lang w:eastAsia="da-DK"/>
        </w:rPr>
        <w:t>*): Statistisk signifikant</w:t>
      </w:r>
    </w:p>
    <w:p w:rsidR="004C2E02" w:rsidRDefault="004C2E02" w:rsidP="004C2E02">
      <w:pPr>
        <w:ind w:left="851"/>
        <w:rPr>
          <w:sz w:val="22"/>
          <w:szCs w:val="22"/>
          <w:lang w:val="en-US" w:eastAsia="da-DK"/>
        </w:rPr>
      </w:pPr>
    </w:p>
    <w:p w:rsidR="004C2E02" w:rsidRPr="00C71C28" w:rsidRDefault="004C2E02" w:rsidP="00C71C28">
      <w:pPr>
        <w:ind w:left="851"/>
        <w:rPr>
          <w:sz w:val="24"/>
          <w:szCs w:val="24"/>
          <w:lang w:eastAsia="da-DK"/>
        </w:rPr>
      </w:pPr>
      <w:r w:rsidRPr="00C71C28">
        <w:rPr>
          <w:sz w:val="24"/>
          <w:szCs w:val="24"/>
          <w:lang w:eastAsia="da-DK"/>
        </w:rPr>
        <w:t>I fase-II-forsøgene, der blev udført på 455 patienter i doseringsregimet på 3-uger, var den progressionsfrie overlevelse ved 6 måneder 30 % og median-overlevelsen 9 måneder. Mediantid til progression var 18 uger.</w:t>
      </w:r>
    </w:p>
    <w:p w:rsidR="004C2E02" w:rsidRPr="00C71C28" w:rsidRDefault="004C2E02" w:rsidP="00C71C28">
      <w:pPr>
        <w:ind w:left="851"/>
        <w:rPr>
          <w:sz w:val="24"/>
          <w:szCs w:val="24"/>
          <w:lang w:eastAsia="da-DK"/>
        </w:rPr>
      </w:pPr>
    </w:p>
    <w:p w:rsidR="004C2E02" w:rsidRPr="00C71C28" w:rsidRDefault="004C2E02" w:rsidP="00C71C28">
      <w:pPr>
        <w:ind w:left="851"/>
        <w:rPr>
          <w:sz w:val="24"/>
          <w:szCs w:val="24"/>
          <w:lang w:eastAsia="da-DK"/>
        </w:rPr>
      </w:pPr>
      <w:r w:rsidRPr="00C71C28">
        <w:rPr>
          <w:sz w:val="24"/>
          <w:szCs w:val="24"/>
          <w:lang w:eastAsia="da-DK"/>
        </w:rPr>
        <w:t>Derudover er der gennemført ikke-sammenlignende fase-II-forsøg på 304 patienter i et ugentligt behandlingsregime med en dosis på 125 mg/m² i form af en intravenøs infusion over 90 minutter i 4 på hinanden følgende uger efterfulgt af 2 ugers pause. I disse forsøg var mediantid til progression 17 uger og median-overlevelse 10 måneder. Der blev observeret en lignende sikkerhedsprofil i det ugentlige behandlingsregime hos 193 patienter, der startede med en dosis på 125 mg/m², sammenlignet med doseringsregimet på 3-uger. Mediantiden for start af den første flydende afføring var dag 11.</w:t>
      </w:r>
    </w:p>
    <w:p w:rsidR="004C2E02" w:rsidRPr="00C71C28" w:rsidRDefault="004C2E02" w:rsidP="00C71C28">
      <w:pPr>
        <w:ind w:left="851"/>
        <w:rPr>
          <w:b/>
          <w:sz w:val="24"/>
          <w:szCs w:val="24"/>
          <w:u w:val="single"/>
          <w:lang w:eastAsia="da-DK"/>
        </w:rPr>
      </w:pPr>
    </w:p>
    <w:p w:rsidR="004C2E02" w:rsidRPr="00C71C28" w:rsidRDefault="004C2E02" w:rsidP="00C71C28">
      <w:pPr>
        <w:ind w:left="851"/>
        <w:rPr>
          <w:i/>
          <w:sz w:val="24"/>
          <w:szCs w:val="24"/>
          <w:u w:val="single"/>
          <w:lang w:eastAsia="da-DK"/>
        </w:rPr>
      </w:pPr>
      <w:r w:rsidRPr="00C71C28">
        <w:rPr>
          <w:i/>
          <w:sz w:val="24"/>
          <w:szCs w:val="24"/>
          <w:lang w:eastAsia="da-DK"/>
        </w:rPr>
        <w:t xml:space="preserve">I kombination med </w:t>
      </w:r>
      <w:proofErr w:type="spellStart"/>
      <w:r w:rsidRPr="00C71C28">
        <w:rPr>
          <w:i/>
          <w:sz w:val="24"/>
          <w:szCs w:val="24"/>
          <w:lang w:eastAsia="da-DK"/>
        </w:rPr>
        <w:t>cetuximab</w:t>
      </w:r>
      <w:proofErr w:type="spellEnd"/>
      <w:r w:rsidRPr="00C71C28">
        <w:rPr>
          <w:i/>
          <w:sz w:val="24"/>
          <w:szCs w:val="24"/>
          <w:lang w:eastAsia="da-DK"/>
        </w:rPr>
        <w:t xml:space="preserve"> efter svigt af </w:t>
      </w:r>
      <w:proofErr w:type="spellStart"/>
      <w:r w:rsidRPr="00C71C28">
        <w:rPr>
          <w:i/>
          <w:sz w:val="24"/>
          <w:szCs w:val="24"/>
          <w:lang w:eastAsia="da-DK"/>
        </w:rPr>
        <w:t>cytotoksisk</w:t>
      </w:r>
      <w:proofErr w:type="spellEnd"/>
      <w:r w:rsidRPr="00C71C28">
        <w:rPr>
          <w:i/>
          <w:sz w:val="24"/>
          <w:szCs w:val="24"/>
          <w:lang w:eastAsia="da-DK"/>
        </w:rPr>
        <w:t xml:space="preserve"> behandling med </w:t>
      </w:r>
      <w:proofErr w:type="spellStart"/>
      <w:r w:rsidRPr="00C71C28">
        <w:rPr>
          <w:i/>
          <w:sz w:val="24"/>
          <w:szCs w:val="24"/>
          <w:lang w:eastAsia="da-DK"/>
        </w:rPr>
        <w:t>irinotecan</w:t>
      </w:r>
      <w:proofErr w:type="spellEnd"/>
      <w:r w:rsidRPr="00C71C28">
        <w:rPr>
          <w:i/>
          <w:sz w:val="24"/>
          <w:szCs w:val="24"/>
          <w:lang w:eastAsia="da-DK"/>
        </w:rPr>
        <w:t>:</w:t>
      </w:r>
      <w:r w:rsidRPr="00C71C28">
        <w:rPr>
          <w:i/>
          <w:sz w:val="24"/>
          <w:szCs w:val="24"/>
          <w:u w:val="single"/>
          <w:lang w:eastAsia="da-DK"/>
        </w:rPr>
        <w:t xml:space="preserve"> </w:t>
      </w:r>
    </w:p>
    <w:p w:rsidR="004C2E02" w:rsidRPr="00C71C28" w:rsidRDefault="004C2E02" w:rsidP="00C71C28">
      <w:pPr>
        <w:ind w:left="851"/>
        <w:rPr>
          <w:sz w:val="24"/>
          <w:szCs w:val="24"/>
          <w:lang w:eastAsia="da-DK"/>
        </w:rPr>
      </w:pPr>
      <w:r w:rsidRPr="00C71C28">
        <w:rPr>
          <w:color w:val="000000"/>
          <w:sz w:val="24"/>
          <w:szCs w:val="24"/>
          <w:lang w:eastAsia="da-DK"/>
        </w:rPr>
        <w:t xml:space="preserve">Effekten af </w:t>
      </w:r>
      <w:proofErr w:type="spellStart"/>
      <w:r w:rsidRPr="00C71C28">
        <w:rPr>
          <w:color w:val="000000"/>
          <w:sz w:val="24"/>
          <w:szCs w:val="24"/>
          <w:lang w:eastAsia="da-DK"/>
        </w:rPr>
        <w:t>kombinationbehandling</w:t>
      </w:r>
      <w:proofErr w:type="spellEnd"/>
      <w:r w:rsidRPr="00C71C28">
        <w:rPr>
          <w:color w:val="000000"/>
          <w:sz w:val="24"/>
          <w:szCs w:val="24"/>
          <w:lang w:eastAsia="da-DK"/>
        </w:rPr>
        <w:t xml:space="preserve"> med </w:t>
      </w:r>
      <w:proofErr w:type="spellStart"/>
      <w:r w:rsidRPr="00C71C28">
        <w:rPr>
          <w:color w:val="000000"/>
          <w:sz w:val="24"/>
          <w:szCs w:val="24"/>
          <w:lang w:eastAsia="da-DK"/>
        </w:rPr>
        <w:t>cetuximab</w:t>
      </w:r>
      <w:proofErr w:type="spellEnd"/>
      <w:r w:rsidRPr="00C71C28">
        <w:rPr>
          <w:color w:val="000000"/>
          <w:sz w:val="24"/>
          <w:szCs w:val="24"/>
          <w:lang w:eastAsia="da-DK"/>
        </w:rPr>
        <w:t xml:space="preserve"> og </w:t>
      </w:r>
      <w:proofErr w:type="spellStart"/>
      <w:r w:rsidRPr="00C71C28">
        <w:rPr>
          <w:color w:val="000000"/>
          <w:sz w:val="24"/>
          <w:szCs w:val="24"/>
          <w:lang w:eastAsia="da-DK"/>
        </w:rPr>
        <w:t>irinotecan</w:t>
      </w:r>
      <w:proofErr w:type="spellEnd"/>
      <w:r w:rsidRPr="00C71C28">
        <w:rPr>
          <w:color w:val="000000"/>
          <w:sz w:val="24"/>
          <w:szCs w:val="24"/>
          <w:lang w:eastAsia="da-DK"/>
        </w:rPr>
        <w:t xml:space="preserve"> er blevet undersøgt i 2 kliniske forsøg. I alt 356 patienter med metastatisk </w:t>
      </w:r>
      <w:proofErr w:type="spellStart"/>
      <w:r w:rsidRPr="00C71C28">
        <w:rPr>
          <w:color w:val="000000"/>
          <w:sz w:val="24"/>
          <w:szCs w:val="24"/>
          <w:lang w:eastAsia="da-DK"/>
        </w:rPr>
        <w:t>colorektal</w:t>
      </w:r>
      <w:proofErr w:type="spellEnd"/>
      <w:r w:rsidRPr="00C71C28">
        <w:rPr>
          <w:color w:val="000000"/>
          <w:sz w:val="24"/>
          <w:szCs w:val="24"/>
          <w:lang w:eastAsia="da-DK"/>
        </w:rPr>
        <w:t xml:space="preserve"> cancer, som udviser </w:t>
      </w:r>
      <w:proofErr w:type="spellStart"/>
      <w:r w:rsidRPr="00C71C28">
        <w:rPr>
          <w:color w:val="000000"/>
          <w:sz w:val="24"/>
          <w:szCs w:val="24"/>
          <w:lang w:eastAsia="da-DK"/>
        </w:rPr>
        <w:t>epidermale</w:t>
      </w:r>
      <w:proofErr w:type="spellEnd"/>
      <w:r w:rsidRPr="00C71C28">
        <w:rPr>
          <w:color w:val="000000"/>
          <w:sz w:val="24"/>
          <w:szCs w:val="24"/>
          <w:lang w:eastAsia="da-DK"/>
        </w:rPr>
        <w:t xml:space="preserve"> vækstfaktorreceptorer (EGFR), og som kort tid forinden havde fået en virkningsløs </w:t>
      </w:r>
      <w:proofErr w:type="spellStart"/>
      <w:r w:rsidRPr="00C71C28">
        <w:rPr>
          <w:color w:val="000000"/>
          <w:sz w:val="24"/>
          <w:szCs w:val="24"/>
          <w:lang w:eastAsia="da-DK"/>
        </w:rPr>
        <w:t>cytotoksisk</w:t>
      </w:r>
      <w:proofErr w:type="spellEnd"/>
      <w:r w:rsidRPr="00C71C28">
        <w:rPr>
          <w:color w:val="000000"/>
          <w:sz w:val="24"/>
          <w:szCs w:val="24"/>
          <w:lang w:eastAsia="da-DK"/>
        </w:rPr>
        <w:t xml:space="preserve"> behandling med </w:t>
      </w:r>
      <w:proofErr w:type="spellStart"/>
      <w:r w:rsidRPr="00C71C28">
        <w:rPr>
          <w:color w:val="000000"/>
          <w:sz w:val="24"/>
          <w:szCs w:val="24"/>
          <w:lang w:eastAsia="da-DK"/>
        </w:rPr>
        <w:t>irinotecan</w:t>
      </w:r>
      <w:proofErr w:type="spellEnd"/>
      <w:r w:rsidRPr="00C71C28">
        <w:rPr>
          <w:color w:val="000000"/>
          <w:sz w:val="24"/>
          <w:szCs w:val="24"/>
          <w:lang w:eastAsia="da-DK"/>
        </w:rPr>
        <w:t xml:space="preserve">, og som havde en minimum </w:t>
      </w:r>
      <w:proofErr w:type="spellStart"/>
      <w:r w:rsidRPr="00C71C28">
        <w:rPr>
          <w:color w:val="000000"/>
          <w:sz w:val="24"/>
          <w:szCs w:val="24"/>
          <w:lang w:eastAsia="da-DK"/>
        </w:rPr>
        <w:t>Karnofsky</w:t>
      </w:r>
      <w:proofErr w:type="spellEnd"/>
      <w:r w:rsidRPr="00C71C28">
        <w:rPr>
          <w:color w:val="000000"/>
          <w:sz w:val="24"/>
          <w:szCs w:val="24"/>
          <w:lang w:eastAsia="da-DK"/>
        </w:rPr>
        <w:t xml:space="preserve">-performance-status på 60, men hvor størstedelen havde en </w:t>
      </w:r>
      <w:proofErr w:type="spellStart"/>
      <w:r w:rsidRPr="00C71C28">
        <w:rPr>
          <w:color w:val="000000"/>
          <w:sz w:val="24"/>
          <w:szCs w:val="24"/>
          <w:lang w:eastAsia="da-DK"/>
        </w:rPr>
        <w:t>Karnofsky</w:t>
      </w:r>
      <w:proofErr w:type="spellEnd"/>
      <w:r w:rsidRPr="00C71C28">
        <w:rPr>
          <w:color w:val="000000"/>
          <w:sz w:val="24"/>
          <w:szCs w:val="24"/>
          <w:lang w:eastAsia="da-DK"/>
        </w:rPr>
        <w:t>-performance-status på ≥ 80, blev sat i kombinations</w:t>
      </w:r>
      <w:r w:rsidRPr="00C71C28">
        <w:rPr>
          <w:color w:val="000000"/>
          <w:sz w:val="24"/>
          <w:szCs w:val="24"/>
          <w:lang w:eastAsia="da-DK"/>
        </w:rPr>
        <w:softHyphen/>
        <w:t>behandling.</w:t>
      </w:r>
      <w:r w:rsidRPr="00C71C28">
        <w:rPr>
          <w:sz w:val="24"/>
          <w:szCs w:val="24"/>
          <w:lang w:eastAsia="da-DK"/>
        </w:rPr>
        <w:t xml:space="preserve"> </w:t>
      </w:r>
    </w:p>
    <w:p w:rsidR="004C2E02" w:rsidRPr="00C71C28" w:rsidRDefault="004C2E02" w:rsidP="00C71C28">
      <w:pPr>
        <w:ind w:left="851"/>
        <w:rPr>
          <w:sz w:val="24"/>
          <w:szCs w:val="24"/>
          <w:lang w:eastAsia="da-DK"/>
        </w:rPr>
      </w:pPr>
    </w:p>
    <w:p w:rsidR="004C2E02" w:rsidRPr="00C71C28" w:rsidRDefault="004C2E02" w:rsidP="00C71C28">
      <w:pPr>
        <w:ind w:left="851"/>
        <w:rPr>
          <w:sz w:val="24"/>
          <w:szCs w:val="24"/>
          <w:lang w:eastAsia="da-DK"/>
        </w:rPr>
      </w:pPr>
      <w:r w:rsidRPr="00C71C28">
        <w:rPr>
          <w:color w:val="000000"/>
          <w:sz w:val="24"/>
          <w:szCs w:val="24"/>
          <w:lang w:eastAsia="da-DK"/>
        </w:rPr>
        <w:lastRenderedPageBreak/>
        <w:t xml:space="preserve">EMR 62 202-007: Dette randomiserede forsøg sammenlignede kombinationen af </w:t>
      </w:r>
      <w:proofErr w:type="spellStart"/>
      <w:r w:rsidRPr="00C71C28">
        <w:rPr>
          <w:color w:val="000000"/>
          <w:sz w:val="24"/>
          <w:szCs w:val="24"/>
          <w:lang w:eastAsia="da-DK"/>
        </w:rPr>
        <w:t>cetuximab</w:t>
      </w:r>
      <w:proofErr w:type="spellEnd"/>
      <w:r w:rsidRPr="00C71C28">
        <w:rPr>
          <w:color w:val="000000"/>
          <w:sz w:val="24"/>
          <w:szCs w:val="24"/>
          <w:lang w:eastAsia="da-DK"/>
        </w:rPr>
        <w:t xml:space="preserve"> og </w:t>
      </w:r>
      <w:proofErr w:type="spellStart"/>
      <w:r w:rsidRPr="00C71C28">
        <w:rPr>
          <w:color w:val="000000"/>
          <w:sz w:val="24"/>
          <w:szCs w:val="24"/>
          <w:lang w:eastAsia="da-DK"/>
        </w:rPr>
        <w:t>irinotecan</w:t>
      </w:r>
      <w:proofErr w:type="spellEnd"/>
      <w:r w:rsidRPr="00C71C28">
        <w:rPr>
          <w:color w:val="000000"/>
          <w:sz w:val="24"/>
          <w:szCs w:val="24"/>
          <w:lang w:eastAsia="da-DK"/>
        </w:rPr>
        <w:t xml:space="preserve"> (218 patienter) med </w:t>
      </w:r>
      <w:proofErr w:type="spellStart"/>
      <w:r w:rsidRPr="00C71C28">
        <w:rPr>
          <w:color w:val="000000"/>
          <w:sz w:val="24"/>
          <w:szCs w:val="24"/>
          <w:lang w:eastAsia="da-DK"/>
        </w:rPr>
        <w:t>cetuximab</w:t>
      </w:r>
      <w:proofErr w:type="spellEnd"/>
      <w:r w:rsidRPr="00C71C28">
        <w:rPr>
          <w:color w:val="000000"/>
          <w:sz w:val="24"/>
          <w:szCs w:val="24"/>
          <w:lang w:eastAsia="da-DK"/>
        </w:rPr>
        <w:t xml:space="preserve"> som monoterapi (111 patienter)</w:t>
      </w:r>
      <w:r w:rsidRPr="00C71C28">
        <w:rPr>
          <w:sz w:val="24"/>
          <w:szCs w:val="24"/>
          <w:lang w:eastAsia="da-DK"/>
        </w:rPr>
        <w:t>.</w:t>
      </w:r>
    </w:p>
    <w:p w:rsidR="004C2E02" w:rsidRPr="00C71C28" w:rsidRDefault="004C2E02" w:rsidP="00C71C28">
      <w:pPr>
        <w:ind w:left="851"/>
        <w:rPr>
          <w:sz w:val="24"/>
          <w:szCs w:val="24"/>
          <w:lang w:eastAsia="da-DK"/>
        </w:rPr>
      </w:pPr>
    </w:p>
    <w:p w:rsidR="004C2E02" w:rsidRPr="00C71C28" w:rsidRDefault="004C2E02" w:rsidP="00C71C28">
      <w:pPr>
        <w:ind w:left="851"/>
        <w:rPr>
          <w:sz w:val="24"/>
          <w:szCs w:val="24"/>
          <w:lang w:eastAsia="da-DK"/>
        </w:rPr>
      </w:pPr>
      <w:r w:rsidRPr="00C71C28">
        <w:rPr>
          <w:color w:val="000000"/>
          <w:sz w:val="24"/>
          <w:szCs w:val="24"/>
          <w:lang w:eastAsia="da-DK"/>
        </w:rPr>
        <w:t>IMCL CP02-9923: Dette åbne forsøg med en arm, undersøgte kombinations</w:t>
      </w:r>
      <w:r w:rsidRPr="00C71C28">
        <w:rPr>
          <w:color w:val="000000"/>
          <w:sz w:val="24"/>
          <w:szCs w:val="24"/>
          <w:lang w:eastAsia="da-DK"/>
        </w:rPr>
        <w:softHyphen/>
        <w:t>behandling hos 138 patienter</w:t>
      </w:r>
      <w:r w:rsidRPr="00C71C28">
        <w:rPr>
          <w:sz w:val="24"/>
          <w:szCs w:val="24"/>
          <w:lang w:eastAsia="da-DK"/>
        </w:rPr>
        <w:t>.</w:t>
      </w:r>
    </w:p>
    <w:p w:rsidR="004C2E02" w:rsidRPr="00C71C28" w:rsidRDefault="004C2E02" w:rsidP="00C71C28">
      <w:pPr>
        <w:ind w:left="851"/>
        <w:rPr>
          <w:sz w:val="24"/>
          <w:szCs w:val="24"/>
          <w:lang w:eastAsia="da-DK"/>
        </w:rPr>
      </w:pPr>
    </w:p>
    <w:p w:rsidR="004C2E02" w:rsidRPr="00C71C28" w:rsidRDefault="004C2E02" w:rsidP="00C71C28">
      <w:pPr>
        <w:ind w:left="851"/>
        <w:rPr>
          <w:sz w:val="24"/>
          <w:szCs w:val="24"/>
          <w:lang w:eastAsia="da-DK"/>
        </w:rPr>
      </w:pPr>
      <w:r w:rsidRPr="00C71C28">
        <w:rPr>
          <w:color w:val="000000"/>
          <w:sz w:val="24"/>
          <w:szCs w:val="24"/>
          <w:lang w:eastAsia="da-DK"/>
        </w:rPr>
        <w:t>Effektdata fra disse forsøg ses i nedenstående tabel</w:t>
      </w:r>
      <w:r w:rsidRPr="00C71C28">
        <w:rPr>
          <w:sz w:val="24"/>
          <w:szCs w:val="24"/>
          <w:lang w:eastAsia="da-DK"/>
        </w:rPr>
        <w:t>:</w:t>
      </w:r>
    </w:p>
    <w:p w:rsidR="004C2E02" w:rsidRDefault="004C2E02" w:rsidP="004C2E02">
      <w:pPr>
        <w:pStyle w:val="Normalindrykning"/>
        <w:spacing w:after="0"/>
        <w:ind w:left="0"/>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578"/>
        <w:gridCol w:w="936"/>
        <w:gridCol w:w="974"/>
        <w:gridCol w:w="845"/>
        <w:gridCol w:w="1053"/>
        <w:gridCol w:w="893"/>
        <w:gridCol w:w="982"/>
        <w:gridCol w:w="951"/>
        <w:gridCol w:w="1373"/>
      </w:tblGrid>
      <w:tr w:rsidR="004C2E02" w:rsidTr="004C2E02">
        <w:trPr>
          <w:jc w:val="center"/>
        </w:trPr>
        <w:tc>
          <w:tcPr>
            <w:tcW w:w="541"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Forsøg</w:t>
            </w:r>
          </w:p>
        </w:tc>
        <w:tc>
          <w:tcPr>
            <w:tcW w:w="300"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N</w:t>
            </w:r>
          </w:p>
        </w:tc>
        <w:tc>
          <w:tcPr>
            <w:tcW w:w="992" w:type="pct"/>
            <w:gridSpan w:val="2"/>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ORR</w:t>
            </w:r>
          </w:p>
        </w:tc>
        <w:tc>
          <w:tcPr>
            <w:tcW w:w="986" w:type="pct"/>
            <w:gridSpan w:val="2"/>
            <w:tcBorders>
              <w:top w:val="single" w:sz="4" w:space="0" w:color="auto"/>
              <w:left w:val="single" w:sz="4" w:space="0" w:color="auto"/>
              <w:bottom w:val="single" w:sz="4" w:space="0" w:color="auto"/>
              <w:right w:val="single" w:sz="4" w:space="0" w:color="auto"/>
            </w:tcBorders>
            <w:hideMark/>
          </w:tcPr>
          <w:p w:rsidR="004C2E02" w:rsidRDefault="004C2E02">
            <w:pPr>
              <w:rPr>
                <w:bCs/>
                <w:sz w:val="22"/>
                <w:szCs w:val="22"/>
              </w:rPr>
            </w:pPr>
            <w:r>
              <w:rPr>
                <w:bCs/>
                <w:sz w:val="22"/>
                <w:szCs w:val="22"/>
              </w:rPr>
              <w:t>DCR</w:t>
            </w:r>
          </w:p>
        </w:tc>
        <w:tc>
          <w:tcPr>
            <w:tcW w:w="974" w:type="pct"/>
            <w:gridSpan w:val="2"/>
            <w:tcBorders>
              <w:top w:val="single" w:sz="4" w:space="0" w:color="auto"/>
              <w:left w:val="single" w:sz="4" w:space="0" w:color="auto"/>
              <w:bottom w:val="single" w:sz="4" w:space="0" w:color="auto"/>
              <w:right w:val="single" w:sz="4" w:space="0" w:color="auto"/>
            </w:tcBorders>
            <w:hideMark/>
          </w:tcPr>
          <w:p w:rsidR="004C2E02" w:rsidRDefault="004C2E02">
            <w:pPr>
              <w:autoSpaceDE w:val="0"/>
              <w:autoSpaceDN w:val="0"/>
              <w:adjustRightInd w:val="0"/>
              <w:rPr>
                <w:bCs/>
                <w:sz w:val="22"/>
                <w:szCs w:val="22"/>
              </w:rPr>
            </w:pPr>
            <w:r>
              <w:rPr>
                <w:bCs/>
                <w:sz w:val="22"/>
                <w:szCs w:val="22"/>
              </w:rPr>
              <w:t>PFS (måneder)</w:t>
            </w:r>
          </w:p>
        </w:tc>
        <w:tc>
          <w:tcPr>
            <w:tcW w:w="1208" w:type="pct"/>
            <w:gridSpan w:val="2"/>
            <w:tcBorders>
              <w:top w:val="single" w:sz="4" w:space="0" w:color="auto"/>
              <w:left w:val="single" w:sz="4" w:space="0" w:color="auto"/>
              <w:bottom w:val="single" w:sz="4" w:space="0" w:color="auto"/>
              <w:right w:val="single" w:sz="4" w:space="0" w:color="auto"/>
            </w:tcBorders>
            <w:hideMark/>
          </w:tcPr>
          <w:p w:rsidR="004C2E02" w:rsidRDefault="004C2E02">
            <w:pPr>
              <w:autoSpaceDE w:val="0"/>
              <w:autoSpaceDN w:val="0"/>
              <w:adjustRightInd w:val="0"/>
              <w:rPr>
                <w:bCs/>
                <w:sz w:val="22"/>
                <w:szCs w:val="22"/>
              </w:rPr>
            </w:pPr>
            <w:r>
              <w:rPr>
                <w:bCs/>
                <w:sz w:val="22"/>
                <w:szCs w:val="22"/>
              </w:rPr>
              <w:t>OS (måneder)</w:t>
            </w:r>
          </w:p>
        </w:tc>
      </w:tr>
      <w:tr w:rsidR="004C2E02" w:rsidTr="004C2E02">
        <w:trPr>
          <w:jc w:val="center"/>
        </w:trPr>
        <w:tc>
          <w:tcPr>
            <w:tcW w:w="541" w:type="pct"/>
            <w:tcBorders>
              <w:top w:val="single" w:sz="4" w:space="0" w:color="auto"/>
              <w:left w:val="single" w:sz="4" w:space="0" w:color="auto"/>
              <w:bottom w:val="single" w:sz="4" w:space="0" w:color="auto"/>
              <w:right w:val="single" w:sz="4" w:space="0" w:color="auto"/>
            </w:tcBorders>
          </w:tcPr>
          <w:p w:rsidR="004C2E02" w:rsidRDefault="004C2E02">
            <w:pPr>
              <w:rPr>
                <w:sz w:val="22"/>
                <w:szCs w:val="22"/>
              </w:rPr>
            </w:pPr>
          </w:p>
        </w:tc>
        <w:tc>
          <w:tcPr>
            <w:tcW w:w="300" w:type="pct"/>
            <w:tcBorders>
              <w:top w:val="single" w:sz="4" w:space="0" w:color="auto"/>
              <w:left w:val="single" w:sz="4" w:space="0" w:color="auto"/>
              <w:bottom w:val="single" w:sz="4" w:space="0" w:color="auto"/>
              <w:right w:val="single" w:sz="4" w:space="0" w:color="auto"/>
            </w:tcBorders>
          </w:tcPr>
          <w:p w:rsidR="004C2E02" w:rsidRDefault="004C2E02">
            <w:pPr>
              <w:rPr>
                <w:sz w:val="22"/>
                <w:szCs w:val="22"/>
              </w:rPr>
            </w:pPr>
          </w:p>
        </w:tc>
        <w:tc>
          <w:tcPr>
            <w:tcW w:w="486"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n (%)</w:t>
            </w:r>
          </w:p>
        </w:tc>
        <w:tc>
          <w:tcPr>
            <w:tcW w:w="506"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95 % CI</w:t>
            </w:r>
          </w:p>
        </w:tc>
        <w:tc>
          <w:tcPr>
            <w:tcW w:w="439"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n (%)</w:t>
            </w:r>
          </w:p>
        </w:tc>
        <w:tc>
          <w:tcPr>
            <w:tcW w:w="547"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95 % CI</w:t>
            </w:r>
          </w:p>
        </w:tc>
        <w:tc>
          <w:tcPr>
            <w:tcW w:w="46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Median</w:t>
            </w:r>
          </w:p>
        </w:tc>
        <w:tc>
          <w:tcPr>
            <w:tcW w:w="510"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95 % CI</w:t>
            </w:r>
          </w:p>
        </w:tc>
        <w:tc>
          <w:tcPr>
            <w:tcW w:w="49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Median</w:t>
            </w:r>
          </w:p>
        </w:tc>
        <w:tc>
          <w:tcPr>
            <w:tcW w:w="71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bCs/>
                <w:sz w:val="22"/>
                <w:szCs w:val="22"/>
              </w:rPr>
              <w:t>95 % CI</w:t>
            </w:r>
          </w:p>
        </w:tc>
      </w:tr>
      <w:tr w:rsidR="004C2E02" w:rsidTr="004C2E02">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rsidR="004C2E02" w:rsidRDefault="004C2E02">
            <w:pPr>
              <w:autoSpaceDE w:val="0"/>
              <w:autoSpaceDN w:val="0"/>
              <w:adjustRightInd w:val="0"/>
              <w:rPr>
                <w:sz w:val="22"/>
                <w:szCs w:val="22"/>
              </w:rPr>
            </w:pPr>
            <w:proofErr w:type="spellStart"/>
            <w:r>
              <w:rPr>
                <w:bCs/>
                <w:sz w:val="22"/>
                <w:szCs w:val="22"/>
              </w:rPr>
              <w:t>Cetuximab</w:t>
            </w:r>
            <w:proofErr w:type="spellEnd"/>
            <w:r>
              <w:rPr>
                <w:bCs/>
                <w:sz w:val="22"/>
                <w:szCs w:val="22"/>
              </w:rPr>
              <w:t xml:space="preserve"> + </w:t>
            </w:r>
            <w:proofErr w:type="spellStart"/>
            <w:r>
              <w:rPr>
                <w:bCs/>
                <w:sz w:val="22"/>
                <w:szCs w:val="22"/>
              </w:rPr>
              <w:t>irinotecan</w:t>
            </w:r>
            <w:proofErr w:type="spellEnd"/>
          </w:p>
        </w:tc>
      </w:tr>
      <w:tr w:rsidR="004C2E02" w:rsidTr="004C2E02">
        <w:trPr>
          <w:jc w:val="center"/>
        </w:trPr>
        <w:tc>
          <w:tcPr>
            <w:tcW w:w="541"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EMR 62 202-007</w:t>
            </w:r>
          </w:p>
        </w:tc>
        <w:tc>
          <w:tcPr>
            <w:tcW w:w="300"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218</w:t>
            </w:r>
          </w:p>
        </w:tc>
        <w:tc>
          <w:tcPr>
            <w:tcW w:w="486"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50 (22,9)</w:t>
            </w:r>
          </w:p>
        </w:tc>
        <w:tc>
          <w:tcPr>
            <w:tcW w:w="506"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17,5; 29,1</w:t>
            </w:r>
          </w:p>
        </w:tc>
        <w:tc>
          <w:tcPr>
            <w:tcW w:w="439"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121 (55,5)</w:t>
            </w:r>
          </w:p>
        </w:tc>
        <w:tc>
          <w:tcPr>
            <w:tcW w:w="547"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48,6; 62,2</w:t>
            </w:r>
          </w:p>
        </w:tc>
        <w:tc>
          <w:tcPr>
            <w:tcW w:w="46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4,1</w:t>
            </w:r>
          </w:p>
        </w:tc>
        <w:tc>
          <w:tcPr>
            <w:tcW w:w="510"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2,8; 4,3</w:t>
            </w:r>
          </w:p>
        </w:tc>
        <w:tc>
          <w:tcPr>
            <w:tcW w:w="49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8,6</w:t>
            </w:r>
          </w:p>
        </w:tc>
        <w:tc>
          <w:tcPr>
            <w:tcW w:w="71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7,6; 9,6</w:t>
            </w:r>
          </w:p>
        </w:tc>
      </w:tr>
      <w:tr w:rsidR="004C2E02" w:rsidTr="004C2E02">
        <w:trPr>
          <w:jc w:val="center"/>
        </w:trPr>
        <w:tc>
          <w:tcPr>
            <w:tcW w:w="541"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IMCL CP02-9923</w:t>
            </w:r>
          </w:p>
        </w:tc>
        <w:tc>
          <w:tcPr>
            <w:tcW w:w="300"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138</w:t>
            </w:r>
          </w:p>
        </w:tc>
        <w:tc>
          <w:tcPr>
            <w:tcW w:w="486"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21 (15,2)</w:t>
            </w:r>
          </w:p>
        </w:tc>
        <w:tc>
          <w:tcPr>
            <w:tcW w:w="506"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9,7; 22,3</w:t>
            </w:r>
          </w:p>
        </w:tc>
        <w:tc>
          <w:tcPr>
            <w:tcW w:w="439"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84 (60,9)</w:t>
            </w:r>
          </w:p>
        </w:tc>
        <w:tc>
          <w:tcPr>
            <w:tcW w:w="547"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52,2; 69,1</w:t>
            </w:r>
          </w:p>
        </w:tc>
        <w:tc>
          <w:tcPr>
            <w:tcW w:w="46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2,9</w:t>
            </w:r>
          </w:p>
        </w:tc>
        <w:tc>
          <w:tcPr>
            <w:tcW w:w="510"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2,6; 4,1</w:t>
            </w:r>
          </w:p>
        </w:tc>
        <w:tc>
          <w:tcPr>
            <w:tcW w:w="49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8,4</w:t>
            </w:r>
          </w:p>
        </w:tc>
        <w:tc>
          <w:tcPr>
            <w:tcW w:w="71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7,2; 10,3</w:t>
            </w:r>
          </w:p>
        </w:tc>
      </w:tr>
      <w:tr w:rsidR="004C2E02" w:rsidTr="004C2E02">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rsidR="004C2E02" w:rsidRDefault="004C2E02">
            <w:pPr>
              <w:pStyle w:val="xCover2"/>
              <w:overflowPunct/>
              <w:autoSpaceDE/>
              <w:adjustRightInd/>
              <w:spacing w:before="0"/>
              <w:rPr>
                <w:rFonts w:ascii="Times New Roman" w:hAnsi="Times New Roman"/>
                <w:b w:val="0"/>
                <w:bCs/>
                <w:sz w:val="22"/>
                <w:szCs w:val="22"/>
                <w:lang w:val="da-DK"/>
              </w:rPr>
            </w:pPr>
            <w:proofErr w:type="spellStart"/>
            <w:r>
              <w:rPr>
                <w:rFonts w:ascii="Times New Roman" w:hAnsi="Times New Roman"/>
                <w:b w:val="0"/>
                <w:bCs/>
                <w:sz w:val="22"/>
                <w:szCs w:val="22"/>
                <w:lang w:val="da-DK"/>
              </w:rPr>
              <w:t>Cetuximab</w:t>
            </w:r>
            <w:proofErr w:type="spellEnd"/>
          </w:p>
        </w:tc>
      </w:tr>
      <w:tr w:rsidR="004C2E02" w:rsidTr="004C2E02">
        <w:trPr>
          <w:jc w:val="center"/>
        </w:trPr>
        <w:tc>
          <w:tcPr>
            <w:tcW w:w="541"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EMR 62 202-007</w:t>
            </w:r>
          </w:p>
        </w:tc>
        <w:tc>
          <w:tcPr>
            <w:tcW w:w="300"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111</w:t>
            </w:r>
          </w:p>
        </w:tc>
        <w:tc>
          <w:tcPr>
            <w:tcW w:w="486"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12 (10,8)</w:t>
            </w:r>
          </w:p>
        </w:tc>
        <w:tc>
          <w:tcPr>
            <w:tcW w:w="506"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5,7; 18,1</w:t>
            </w:r>
          </w:p>
        </w:tc>
        <w:tc>
          <w:tcPr>
            <w:tcW w:w="439"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36 (32,4)</w:t>
            </w:r>
          </w:p>
        </w:tc>
        <w:tc>
          <w:tcPr>
            <w:tcW w:w="547"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23,9; 42,0</w:t>
            </w:r>
          </w:p>
        </w:tc>
        <w:tc>
          <w:tcPr>
            <w:tcW w:w="46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1,5</w:t>
            </w:r>
          </w:p>
        </w:tc>
        <w:tc>
          <w:tcPr>
            <w:tcW w:w="510"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1,4; 2,0</w:t>
            </w:r>
          </w:p>
        </w:tc>
        <w:tc>
          <w:tcPr>
            <w:tcW w:w="49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6,9</w:t>
            </w:r>
          </w:p>
        </w:tc>
        <w:tc>
          <w:tcPr>
            <w:tcW w:w="714" w:type="pct"/>
            <w:tcBorders>
              <w:top w:val="single" w:sz="4" w:space="0" w:color="auto"/>
              <w:left w:val="single" w:sz="4" w:space="0" w:color="auto"/>
              <w:bottom w:val="single" w:sz="4" w:space="0" w:color="auto"/>
              <w:right w:val="single" w:sz="4" w:space="0" w:color="auto"/>
            </w:tcBorders>
            <w:hideMark/>
          </w:tcPr>
          <w:p w:rsidR="004C2E02" w:rsidRDefault="004C2E02">
            <w:pPr>
              <w:rPr>
                <w:sz w:val="22"/>
                <w:szCs w:val="22"/>
              </w:rPr>
            </w:pPr>
            <w:r>
              <w:rPr>
                <w:sz w:val="22"/>
                <w:szCs w:val="22"/>
              </w:rPr>
              <w:t>5,6; 9,1</w:t>
            </w:r>
          </w:p>
        </w:tc>
      </w:tr>
    </w:tbl>
    <w:p w:rsidR="004C2E02" w:rsidRDefault="004C2E02" w:rsidP="004C2E02">
      <w:pPr>
        <w:pStyle w:val="Normalindrykning"/>
        <w:spacing w:after="0"/>
        <w:ind w:left="0"/>
        <w:rPr>
          <w:szCs w:val="22"/>
        </w:rPr>
      </w:pPr>
    </w:p>
    <w:p w:rsidR="004C2E02" w:rsidRDefault="004C2E02" w:rsidP="004C2E02">
      <w:pPr>
        <w:rPr>
          <w:sz w:val="20"/>
          <w:lang w:eastAsia="da-DK"/>
        </w:rPr>
      </w:pPr>
      <w:r>
        <w:rPr>
          <w:sz w:val="20"/>
          <w:lang w:eastAsia="da-DK"/>
        </w:rPr>
        <w:t>CI = Konfidensinterval (</w:t>
      </w:r>
      <w:proofErr w:type="spellStart"/>
      <w:r>
        <w:rPr>
          <w:i/>
          <w:sz w:val="20"/>
          <w:lang w:eastAsia="da-DK"/>
        </w:rPr>
        <w:t>Confidence</w:t>
      </w:r>
      <w:proofErr w:type="spellEnd"/>
      <w:r>
        <w:rPr>
          <w:i/>
          <w:sz w:val="20"/>
          <w:lang w:eastAsia="da-DK"/>
        </w:rPr>
        <w:t xml:space="preserve"> </w:t>
      </w:r>
      <w:proofErr w:type="spellStart"/>
      <w:r>
        <w:rPr>
          <w:i/>
          <w:sz w:val="20"/>
          <w:lang w:eastAsia="da-DK"/>
        </w:rPr>
        <w:t>Iinterval</w:t>
      </w:r>
      <w:proofErr w:type="spellEnd"/>
      <w:r>
        <w:rPr>
          <w:i/>
          <w:sz w:val="20"/>
          <w:lang w:eastAsia="da-DK"/>
        </w:rPr>
        <w:t>)</w:t>
      </w:r>
      <w:r>
        <w:rPr>
          <w:sz w:val="20"/>
          <w:lang w:eastAsia="da-DK"/>
        </w:rPr>
        <w:t>, DCR = Sygdomskontrolrate (</w:t>
      </w:r>
      <w:proofErr w:type="spellStart"/>
      <w:r>
        <w:rPr>
          <w:i/>
          <w:sz w:val="20"/>
          <w:lang w:eastAsia="da-DK"/>
        </w:rPr>
        <w:t>Disease</w:t>
      </w:r>
      <w:proofErr w:type="spellEnd"/>
      <w:r>
        <w:rPr>
          <w:i/>
          <w:sz w:val="20"/>
          <w:lang w:eastAsia="da-DK"/>
        </w:rPr>
        <w:t xml:space="preserve"> Control Rate</w:t>
      </w:r>
      <w:r>
        <w:rPr>
          <w:sz w:val="20"/>
          <w:lang w:eastAsia="da-DK"/>
        </w:rPr>
        <w:t xml:space="preserve"> (patienter med komplet respons, delvis respons eller stabil sygdom i mindst 6 uger)), ORR = Objektiv responsrate (</w:t>
      </w:r>
      <w:proofErr w:type="spellStart"/>
      <w:r>
        <w:rPr>
          <w:i/>
          <w:sz w:val="20"/>
          <w:lang w:eastAsia="da-DK"/>
        </w:rPr>
        <w:t>Objective</w:t>
      </w:r>
      <w:proofErr w:type="spellEnd"/>
      <w:r>
        <w:rPr>
          <w:i/>
          <w:sz w:val="20"/>
          <w:lang w:eastAsia="da-DK"/>
        </w:rPr>
        <w:t xml:space="preserve"> Response Rate</w:t>
      </w:r>
      <w:r>
        <w:rPr>
          <w:sz w:val="20"/>
          <w:lang w:eastAsia="da-DK"/>
        </w:rPr>
        <w:t xml:space="preserve"> (patienter med komplet respons eller delvis respons)), OS = Samlet overlevelse (</w:t>
      </w:r>
      <w:r>
        <w:rPr>
          <w:i/>
          <w:sz w:val="20"/>
          <w:lang w:eastAsia="da-DK"/>
        </w:rPr>
        <w:t xml:space="preserve">Overall </w:t>
      </w:r>
      <w:proofErr w:type="spellStart"/>
      <w:r>
        <w:rPr>
          <w:i/>
          <w:sz w:val="20"/>
          <w:lang w:eastAsia="da-DK"/>
        </w:rPr>
        <w:t>Survival</w:t>
      </w:r>
      <w:proofErr w:type="spellEnd"/>
      <w:r>
        <w:rPr>
          <w:i/>
          <w:sz w:val="20"/>
          <w:lang w:eastAsia="da-DK"/>
        </w:rPr>
        <w:t xml:space="preserve"> time)</w:t>
      </w:r>
      <w:r>
        <w:rPr>
          <w:sz w:val="20"/>
          <w:lang w:eastAsia="da-DK"/>
        </w:rPr>
        <w:t>, PFS = Progressionsfri overlevelse (</w:t>
      </w:r>
      <w:r>
        <w:rPr>
          <w:i/>
          <w:sz w:val="20"/>
          <w:lang w:eastAsia="da-DK"/>
        </w:rPr>
        <w:t>Progression-</w:t>
      </w:r>
      <w:proofErr w:type="spellStart"/>
      <w:r>
        <w:rPr>
          <w:i/>
          <w:sz w:val="20"/>
          <w:lang w:eastAsia="da-DK"/>
        </w:rPr>
        <w:t>Free</w:t>
      </w:r>
      <w:proofErr w:type="spellEnd"/>
      <w:r>
        <w:rPr>
          <w:i/>
          <w:sz w:val="20"/>
          <w:lang w:eastAsia="da-DK"/>
        </w:rPr>
        <w:t xml:space="preserve"> </w:t>
      </w:r>
      <w:proofErr w:type="spellStart"/>
      <w:r>
        <w:rPr>
          <w:i/>
          <w:sz w:val="20"/>
          <w:lang w:eastAsia="da-DK"/>
        </w:rPr>
        <w:t>Survival</w:t>
      </w:r>
      <w:proofErr w:type="spellEnd"/>
      <w:r>
        <w:rPr>
          <w:i/>
          <w:sz w:val="20"/>
          <w:lang w:eastAsia="da-DK"/>
        </w:rPr>
        <w:t>)</w:t>
      </w:r>
      <w:r>
        <w:rPr>
          <w:sz w:val="20"/>
          <w:lang w:eastAsia="da-DK"/>
        </w:rPr>
        <w:t xml:space="preserve"> </w:t>
      </w:r>
    </w:p>
    <w:p w:rsidR="004C2E02" w:rsidRDefault="004C2E02" w:rsidP="004C2E02">
      <w:pPr>
        <w:rPr>
          <w:sz w:val="22"/>
          <w:szCs w:val="22"/>
          <w:lang w:eastAsia="da-DK"/>
        </w:rPr>
      </w:pPr>
    </w:p>
    <w:p w:rsidR="004C2E02" w:rsidRPr="00C71C28" w:rsidRDefault="004C2E02" w:rsidP="00C71C28">
      <w:pPr>
        <w:ind w:left="851"/>
        <w:rPr>
          <w:sz w:val="24"/>
          <w:szCs w:val="24"/>
          <w:lang w:eastAsia="da-DK"/>
        </w:rPr>
      </w:pPr>
      <w:r w:rsidRPr="00C71C28">
        <w:rPr>
          <w:sz w:val="24"/>
          <w:szCs w:val="24"/>
          <w:lang w:eastAsia="da-DK"/>
        </w:rPr>
        <w:t xml:space="preserve">Effekten af kombinationsbehandling af </w:t>
      </w:r>
      <w:proofErr w:type="spellStart"/>
      <w:r w:rsidRPr="00C71C28">
        <w:rPr>
          <w:sz w:val="24"/>
          <w:szCs w:val="24"/>
          <w:lang w:eastAsia="da-DK"/>
        </w:rPr>
        <w:t>cetuximab</w:t>
      </w:r>
      <w:proofErr w:type="spellEnd"/>
      <w:r w:rsidRPr="00C71C28">
        <w:rPr>
          <w:sz w:val="24"/>
          <w:szCs w:val="24"/>
          <w:lang w:eastAsia="da-DK"/>
        </w:rPr>
        <w:t xml:space="preserve"> og </w:t>
      </w:r>
      <w:proofErr w:type="spellStart"/>
      <w:r w:rsidRPr="00C71C28">
        <w:rPr>
          <w:sz w:val="24"/>
          <w:szCs w:val="24"/>
          <w:lang w:eastAsia="da-DK"/>
        </w:rPr>
        <w:t>irinotecan</w:t>
      </w:r>
      <w:proofErr w:type="spellEnd"/>
      <w:r w:rsidRPr="00C71C28">
        <w:rPr>
          <w:sz w:val="24"/>
          <w:szCs w:val="24"/>
          <w:lang w:eastAsia="da-DK"/>
        </w:rPr>
        <w:t xml:space="preserve"> oversteg effekten af </w:t>
      </w:r>
      <w:proofErr w:type="spellStart"/>
      <w:r w:rsidRPr="00C71C28">
        <w:rPr>
          <w:sz w:val="24"/>
          <w:szCs w:val="24"/>
          <w:lang w:eastAsia="da-DK"/>
        </w:rPr>
        <w:t>cetuximab</w:t>
      </w:r>
      <w:proofErr w:type="spellEnd"/>
      <w:r w:rsidRPr="00C71C28">
        <w:rPr>
          <w:sz w:val="24"/>
          <w:szCs w:val="24"/>
          <w:lang w:eastAsia="da-DK"/>
        </w:rPr>
        <w:t xml:space="preserve"> som monoterapi, hvad angår objektiv responsrate (ORR), sygdomskontrolrate (DCR), og progressionsfri overlevelse (PFS). I det randomiserede forsøg ses ingen effekt på den samlede overlevelse (risikorate 0,91; p = 0,48).</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71C28" w:rsidRPr="00C71C28" w:rsidRDefault="00C71C28" w:rsidP="00C71C28">
      <w:pPr>
        <w:ind w:left="851"/>
        <w:rPr>
          <w:b/>
          <w:sz w:val="24"/>
          <w:szCs w:val="24"/>
        </w:rPr>
      </w:pPr>
    </w:p>
    <w:p w:rsidR="00C71C28" w:rsidRPr="00C71C28" w:rsidRDefault="00C71C28" w:rsidP="00C71C28">
      <w:pPr>
        <w:pStyle w:val="Normalindrykning"/>
        <w:spacing w:after="0"/>
        <w:ind w:left="851"/>
        <w:rPr>
          <w:sz w:val="24"/>
          <w:szCs w:val="24"/>
        </w:rPr>
      </w:pPr>
      <w:proofErr w:type="spellStart"/>
      <w:r w:rsidRPr="00C71C28">
        <w:rPr>
          <w:sz w:val="24"/>
          <w:szCs w:val="24"/>
        </w:rPr>
        <w:t>Absorbtion</w:t>
      </w:r>
      <w:proofErr w:type="spellEnd"/>
    </w:p>
    <w:p w:rsidR="00C71C28" w:rsidRPr="00C71C28" w:rsidRDefault="00C71C28" w:rsidP="00C71C28">
      <w:pPr>
        <w:pStyle w:val="Normalindrykning"/>
        <w:spacing w:after="0"/>
        <w:ind w:left="851"/>
        <w:rPr>
          <w:sz w:val="24"/>
          <w:szCs w:val="24"/>
        </w:rPr>
      </w:pPr>
      <w:r w:rsidRPr="00C71C28">
        <w:rPr>
          <w:sz w:val="24"/>
          <w:szCs w:val="24"/>
        </w:rPr>
        <w:t xml:space="preserve">Ved infusionens afslutning med den anbefalede dosis på 350 mg/m2 var </w:t>
      </w:r>
      <w:proofErr w:type="spellStart"/>
      <w:r w:rsidRPr="00C71C28">
        <w:rPr>
          <w:sz w:val="24"/>
          <w:szCs w:val="24"/>
        </w:rPr>
        <w:t>irinotecans</w:t>
      </w:r>
      <w:proofErr w:type="spellEnd"/>
      <w:r w:rsidRPr="00C71C28">
        <w:rPr>
          <w:sz w:val="24"/>
          <w:szCs w:val="24"/>
        </w:rPr>
        <w:t xml:space="preserve"> gennemsnitlige maksimale plasmakoncentration og SN-38 henholdsvis 7,7 µg/ml og 56</w:t>
      </w:r>
      <w:r w:rsidR="00236DCF">
        <w:rPr>
          <w:sz w:val="24"/>
          <w:szCs w:val="24"/>
        </w:rPr>
        <w:t> </w:t>
      </w:r>
      <w:proofErr w:type="spellStart"/>
      <w:r w:rsidRPr="00C71C28">
        <w:rPr>
          <w:sz w:val="24"/>
          <w:szCs w:val="24"/>
        </w:rPr>
        <w:t>ng</w:t>
      </w:r>
      <w:proofErr w:type="spellEnd"/>
      <w:r w:rsidRPr="00C71C28">
        <w:rPr>
          <w:sz w:val="24"/>
          <w:szCs w:val="24"/>
        </w:rPr>
        <w:t xml:space="preserve">/ml og det gennemsnitlige areal under kurven (AUC) var henholdsvis 34µg.t/ml og 451 </w:t>
      </w:r>
      <w:proofErr w:type="spellStart"/>
      <w:r w:rsidRPr="00C71C28">
        <w:rPr>
          <w:sz w:val="24"/>
          <w:szCs w:val="24"/>
        </w:rPr>
        <w:t>ng</w:t>
      </w:r>
      <w:proofErr w:type="spellEnd"/>
      <w:r w:rsidRPr="00C71C28">
        <w:rPr>
          <w:sz w:val="24"/>
          <w:szCs w:val="24"/>
        </w:rPr>
        <w:t xml:space="preserve">/t/ml. Der er generelt observeret store inter-individuelle variationer i de </w:t>
      </w:r>
      <w:proofErr w:type="spellStart"/>
      <w:r w:rsidRPr="00C71C28">
        <w:rPr>
          <w:sz w:val="24"/>
          <w:szCs w:val="24"/>
        </w:rPr>
        <w:t>farmakokinetiske</w:t>
      </w:r>
      <w:proofErr w:type="spellEnd"/>
      <w:r w:rsidRPr="00C71C28">
        <w:rPr>
          <w:sz w:val="24"/>
          <w:szCs w:val="24"/>
        </w:rPr>
        <w:t xml:space="preserve"> parametre for SN-38.</w:t>
      </w:r>
    </w:p>
    <w:p w:rsidR="00C71C28" w:rsidRPr="00C71C28" w:rsidRDefault="00C71C28" w:rsidP="00C71C28">
      <w:pPr>
        <w:pStyle w:val="Normalindrykning"/>
        <w:spacing w:after="0"/>
        <w:ind w:left="851"/>
        <w:rPr>
          <w:sz w:val="24"/>
          <w:szCs w:val="24"/>
        </w:rPr>
      </w:pPr>
    </w:p>
    <w:p w:rsidR="00C71C28" w:rsidRPr="00C71C28" w:rsidRDefault="00C71C28" w:rsidP="00C71C28">
      <w:pPr>
        <w:tabs>
          <w:tab w:val="left" w:pos="851"/>
        </w:tabs>
        <w:ind w:left="851"/>
        <w:rPr>
          <w:sz w:val="24"/>
          <w:szCs w:val="24"/>
          <w:u w:val="single"/>
        </w:rPr>
      </w:pPr>
      <w:r w:rsidRPr="00C71C28">
        <w:rPr>
          <w:sz w:val="24"/>
          <w:szCs w:val="24"/>
          <w:u w:val="single"/>
        </w:rPr>
        <w:t>Fordeling</w:t>
      </w:r>
    </w:p>
    <w:p w:rsidR="00C71C28" w:rsidRPr="00C71C28" w:rsidRDefault="00C71C28" w:rsidP="00C71C28">
      <w:pPr>
        <w:pStyle w:val="Normalindrykning"/>
        <w:spacing w:after="0"/>
        <w:ind w:left="851"/>
        <w:rPr>
          <w:sz w:val="24"/>
          <w:szCs w:val="24"/>
        </w:rPr>
      </w:pPr>
      <w:r w:rsidRPr="00C71C28">
        <w:rPr>
          <w:sz w:val="24"/>
          <w:szCs w:val="24"/>
        </w:rPr>
        <w:t>Fase I-forsøget hos 60 patienter med et dosisregime på 30 minutters intravenøs infusion af 100 til 750 mg/m</w:t>
      </w:r>
      <w:r w:rsidRPr="00C71C28">
        <w:rPr>
          <w:sz w:val="24"/>
          <w:szCs w:val="24"/>
          <w:vertAlign w:val="superscript"/>
        </w:rPr>
        <w:t>2</w:t>
      </w:r>
      <w:r w:rsidRPr="00C71C28">
        <w:rPr>
          <w:sz w:val="24"/>
          <w:szCs w:val="24"/>
        </w:rPr>
        <w:t xml:space="preserve"> hver tredje uge, fordelingsvolumen ved </w:t>
      </w:r>
      <w:proofErr w:type="spellStart"/>
      <w:r w:rsidRPr="00C71C28">
        <w:rPr>
          <w:sz w:val="24"/>
          <w:szCs w:val="24"/>
        </w:rPr>
        <w:t>steady</w:t>
      </w:r>
      <w:proofErr w:type="spellEnd"/>
      <w:r w:rsidRPr="00C71C28">
        <w:rPr>
          <w:sz w:val="24"/>
          <w:szCs w:val="24"/>
        </w:rPr>
        <w:t xml:space="preserve"> </w:t>
      </w:r>
      <w:proofErr w:type="spellStart"/>
      <w:r w:rsidRPr="00C71C28">
        <w:rPr>
          <w:sz w:val="24"/>
          <w:szCs w:val="24"/>
        </w:rPr>
        <w:t>sate</w:t>
      </w:r>
      <w:proofErr w:type="spellEnd"/>
      <w:r w:rsidRPr="00C71C28">
        <w:rPr>
          <w:sz w:val="24"/>
          <w:szCs w:val="24"/>
        </w:rPr>
        <w:t xml:space="preserve"> (</w:t>
      </w:r>
      <w:proofErr w:type="spellStart"/>
      <w:r w:rsidRPr="00C71C28">
        <w:rPr>
          <w:sz w:val="24"/>
          <w:szCs w:val="24"/>
        </w:rPr>
        <w:t>Vss</w:t>
      </w:r>
      <w:proofErr w:type="spellEnd"/>
      <w:r w:rsidRPr="00C71C28">
        <w:rPr>
          <w:sz w:val="24"/>
          <w:szCs w:val="24"/>
        </w:rPr>
        <w:t>): 157 L/m</w:t>
      </w:r>
      <w:r w:rsidRPr="00C71C28">
        <w:rPr>
          <w:sz w:val="24"/>
          <w:szCs w:val="24"/>
          <w:vertAlign w:val="superscript"/>
        </w:rPr>
        <w:t>2</w:t>
      </w:r>
      <w:r w:rsidRPr="00C71C28">
        <w:rPr>
          <w:sz w:val="24"/>
          <w:szCs w:val="24"/>
        </w:rPr>
        <w:t>.</w:t>
      </w:r>
    </w:p>
    <w:p w:rsidR="00C71C28" w:rsidRPr="00C71C28" w:rsidRDefault="00C71C28" w:rsidP="00C71C28">
      <w:pPr>
        <w:pStyle w:val="Normalindrykning"/>
        <w:spacing w:after="0"/>
        <w:ind w:left="851"/>
        <w:rPr>
          <w:sz w:val="24"/>
          <w:szCs w:val="24"/>
        </w:rPr>
      </w:pPr>
      <w:r w:rsidRPr="00C71C28">
        <w:rPr>
          <w:sz w:val="24"/>
          <w:szCs w:val="24"/>
        </w:rPr>
        <w:t xml:space="preserve">In </w:t>
      </w:r>
      <w:proofErr w:type="spellStart"/>
      <w:r w:rsidRPr="00C71C28">
        <w:rPr>
          <w:sz w:val="24"/>
          <w:szCs w:val="24"/>
        </w:rPr>
        <w:t>vitro</w:t>
      </w:r>
      <w:proofErr w:type="spellEnd"/>
      <w:r w:rsidRPr="00C71C28">
        <w:rPr>
          <w:sz w:val="24"/>
          <w:szCs w:val="24"/>
        </w:rPr>
        <w:t xml:space="preserve"> er plasmaproteinbindingen for </w:t>
      </w:r>
      <w:proofErr w:type="spellStart"/>
      <w:r w:rsidRPr="00C71C28">
        <w:rPr>
          <w:sz w:val="24"/>
          <w:szCs w:val="24"/>
        </w:rPr>
        <w:t>irinotecan</w:t>
      </w:r>
      <w:proofErr w:type="spellEnd"/>
      <w:r w:rsidRPr="00C71C28">
        <w:rPr>
          <w:sz w:val="24"/>
          <w:szCs w:val="24"/>
        </w:rPr>
        <w:t xml:space="preserve"> og SN-38 henholdsvis 65 % og 95 %. </w:t>
      </w:r>
    </w:p>
    <w:p w:rsidR="00C71C28" w:rsidRPr="00C71C28" w:rsidRDefault="00C71C28" w:rsidP="00C71C28">
      <w:pPr>
        <w:pStyle w:val="Normalindrykning"/>
        <w:spacing w:after="0"/>
        <w:ind w:left="851"/>
        <w:rPr>
          <w:sz w:val="24"/>
          <w:szCs w:val="24"/>
        </w:rPr>
      </w:pPr>
    </w:p>
    <w:p w:rsidR="00C71C28" w:rsidRPr="00C71C28" w:rsidRDefault="00C71C28" w:rsidP="00C71C28">
      <w:pPr>
        <w:pStyle w:val="Normalindrykning"/>
        <w:spacing w:after="0"/>
        <w:ind w:left="851"/>
        <w:rPr>
          <w:sz w:val="24"/>
          <w:szCs w:val="24"/>
        </w:rPr>
      </w:pPr>
      <w:r w:rsidRPr="00C71C28">
        <w:rPr>
          <w:sz w:val="24"/>
          <w:szCs w:val="24"/>
          <w:u w:val="single"/>
        </w:rPr>
        <w:t>Biotransformation</w:t>
      </w:r>
    </w:p>
    <w:p w:rsidR="00C71C28" w:rsidRPr="00C71C28" w:rsidRDefault="00C71C28" w:rsidP="00C71C28">
      <w:pPr>
        <w:pStyle w:val="Normalindrykning"/>
        <w:spacing w:after="0"/>
        <w:ind w:left="851"/>
        <w:rPr>
          <w:sz w:val="24"/>
          <w:szCs w:val="24"/>
        </w:rPr>
      </w:pPr>
      <w:r w:rsidRPr="00C71C28">
        <w:rPr>
          <w:sz w:val="24"/>
          <w:szCs w:val="24"/>
        </w:rPr>
        <w:t xml:space="preserve">Massebalance- og </w:t>
      </w:r>
      <w:proofErr w:type="spellStart"/>
      <w:r w:rsidRPr="00C71C28">
        <w:rPr>
          <w:sz w:val="24"/>
          <w:szCs w:val="24"/>
        </w:rPr>
        <w:t>metaboliseringsforsøg</w:t>
      </w:r>
      <w:proofErr w:type="spellEnd"/>
      <w:r w:rsidRPr="00C71C28">
        <w:rPr>
          <w:sz w:val="24"/>
          <w:szCs w:val="24"/>
        </w:rPr>
        <w:t xml:space="preserve"> med 14C-mærket lægemiddel viste, at mere end 50 % af en intravenøst administreret dosis af </w:t>
      </w:r>
      <w:proofErr w:type="spellStart"/>
      <w:r w:rsidRPr="00C71C28">
        <w:rPr>
          <w:sz w:val="24"/>
          <w:szCs w:val="24"/>
        </w:rPr>
        <w:t>irinotecan</w:t>
      </w:r>
      <w:proofErr w:type="spellEnd"/>
      <w:r w:rsidRPr="00C71C28">
        <w:rPr>
          <w:sz w:val="24"/>
          <w:szCs w:val="24"/>
        </w:rPr>
        <w:t xml:space="preserve"> udskilles som </w:t>
      </w:r>
      <w:proofErr w:type="spellStart"/>
      <w:r w:rsidRPr="00C71C28">
        <w:rPr>
          <w:sz w:val="24"/>
          <w:szCs w:val="24"/>
        </w:rPr>
        <w:t>uomdannet</w:t>
      </w:r>
      <w:proofErr w:type="spellEnd"/>
      <w:r w:rsidRPr="00C71C28">
        <w:rPr>
          <w:sz w:val="24"/>
          <w:szCs w:val="24"/>
        </w:rPr>
        <w:t xml:space="preserve"> lægemiddel, med 33 % i fæces hovedsagelig via galden og 22 % i urinen. </w:t>
      </w:r>
    </w:p>
    <w:p w:rsidR="00C71C28" w:rsidRPr="00C71C28" w:rsidRDefault="00C71C28" w:rsidP="00C71C28">
      <w:pPr>
        <w:pStyle w:val="Normalindrykning"/>
        <w:spacing w:after="0"/>
        <w:ind w:left="851"/>
        <w:rPr>
          <w:sz w:val="24"/>
          <w:szCs w:val="24"/>
        </w:rPr>
      </w:pPr>
    </w:p>
    <w:p w:rsidR="00C71C28" w:rsidRPr="00C71C28" w:rsidRDefault="00C71C28" w:rsidP="00C71C28">
      <w:pPr>
        <w:pStyle w:val="Normalindrykning"/>
        <w:spacing w:after="0"/>
        <w:ind w:left="851"/>
        <w:rPr>
          <w:sz w:val="24"/>
          <w:szCs w:val="24"/>
          <w:u w:val="single"/>
        </w:rPr>
      </w:pPr>
      <w:r w:rsidRPr="00C71C28">
        <w:rPr>
          <w:sz w:val="24"/>
          <w:szCs w:val="24"/>
          <w:u w:val="single"/>
        </w:rPr>
        <w:t xml:space="preserve">To metaboliske </w:t>
      </w:r>
      <w:proofErr w:type="spellStart"/>
      <w:r w:rsidRPr="00C71C28">
        <w:rPr>
          <w:sz w:val="24"/>
          <w:szCs w:val="24"/>
          <w:u w:val="single"/>
        </w:rPr>
        <w:t>pathways</w:t>
      </w:r>
      <w:proofErr w:type="spellEnd"/>
      <w:r w:rsidRPr="00C71C28">
        <w:rPr>
          <w:sz w:val="24"/>
          <w:szCs w:val="24"/>
          <w:u w:val="single"/>
        </w:rPr>
        <w:t xml:space="preserve"> tegner sig for mindst 12 % af dosis</w:t>
      </w:r>
    </w:p>
    <w:p w:rsidR="00C71C28" w:rsidRPr="00C71C28" w:rsidRDefault="00C71C28" w:rsidP="00C71C28">
      <w:pPr>
        <w:pStyle w:val="Normalindrykning"/>
        <w:numPr>
          <w:ilvl w:val="0"/>
          <w:numId w:val="19"/>
        </w:numPr>
        <w:tabs>
          <w:tab w:val="clear" w:pos="1080"/>
        </w:tabs>
        <w:spacing w:after="0"/>
        <w:ind w:left="1134" w:hanging="283"/>
        <w:rPr>
          <w:sz w:val="24"/>
          <w:szCs w:val="24"/>
        </w:rPr>
      </w:pPr>
      <w:r w:rsidRPr="00C71C28">
        <w:rPr>
          <w:sz w:val="24"/>
          <w:szCs w:val="24"/>
        </w:rPr>
        <w:t xml:space="preserve">Hydrolyse ved hjælp af </w:t>
      </w:r>
      <w:proofErr w:type="spellStart"/>
      <w:r w:rsidRPr="00C71C28">
        <w:rPr>
          <w:sz w:val="24"/>
          <w:szCs w:val="24"/>
        </w:rPr>
        <w:t>carboxylesterase</w:t>
      </w:r>
      <w:proofErr w:type="spellEnd"/>
      <w:r w:rsidRPr="00C71C28">
        <w:rPr>
          <w:sz w:val="24"/>
          <w:szCs w:val="24"/>
        </w:rPr>
        <w:t xml:space="preserve"> til den aktive metabolit SN-38. SN-38 elimineres hovedsagelig ved </w:t>
      </w:r>
      <w:proofErr w:type="spellStart"/>
      <w:r w:rsidRPr="00C71C28">
        <w:rPr>
          <w:sz w:val="24"/>
          <w:szCs w:val="24"/>
        </w:rPr>
        <w:t>glucuronidering</w:t>
      </w:r>
      <w:proofErr w:type="spellEnd"/>
      <w:r w:rsidRPr="00C71C28">
        <w:rPr>
          <w:sz w:val="24"/>
          <w:szCs w:val="24"/>
        </w:rPr>
        <w:t xml:space="preserve"> og yderligere ved galde og </w:t>
      </w:r>
      <w:proofErr w:type="spellStart"/>
      <w:r w:rsidRPr="00C71C28">
        <w:rPr>
          <w:sz w:val="24"/>
          <w:szCs w:val="24"/>
        </w:rPr>
        <w:t>renal</w:t>
      </w:r>
      <w:proofErr w:type="spellEnd"/>
      <w:r w:rsidRPr="00C71C28">
        <w:rPr>
          <w:sz w:val="24"/>
          <w:szCs w:val="24"/>
        </w:rPr>
        <w:t xml:space="preserve"> </w:t>
      </w:r>
      <w:r w:rsidRPr="00C71C28">
        <w:rPr>
          <w:sz w:val="24"/>
          <w:szCs w:val="24"/>
        </w:rPr>
        <w:lastRenderedPageBreak/>
        <w:t xml:space="preserve">udskillelse (mindre end 0,5 % af </w:t>
      </w:r>
      <w:proofErr w:type="spellStart"/>
      <w:r w:rsidRPr="00C71C28">
        <w:rPr>
          <w:sz w:val="24"/>
          <w:szCs w:val="24"/>
        </w:rPr>
        <w:t>irinotecan</w:t>
      </w:r>
      <w:proofErr w:type="spellEnd"/>
      <w:r w:rsidRPr="00C71C28">
        <w:rPr>
          <w:sz w:val="24"/>
          <w:szCs w:val="24"/>
        </w:rPr>
        <w:t xml:space="preserve">-dosis). SN-38 </w:t>
      </w:r>
      <w:proofErr w:type="spellStart"/>
      <w:r w:rsidRPr="00C71C28">
        <w:rPr>
          <w:sz w:val="24"/>
          <w:szCs w:val="24"/>
        </w:rPr>
        <w:t>glucuronid</w:t>
      </w:r>
      <w:proofErr w:type="spellEnd"/>
      <w:r w:rsidRPr="00C71C28">
        <w:rPr>
          <w:sz w:val="24"/>
          <w:szCs w:val="24"/>
        </w:rPr>
        <w:t xml:space="preserve"> hydrolyseres sandsynligvis efterfølgende </w:t>
      </w:r>
      <w:proofErr w:type="spellStart"/>
      <w:r w:rsidRPr="00C71C28">
        <w:rPr>
          <w:sz w:val="24"/>
          <w:szCs w:val="24"/>
        </w:rPr>
        <w:t>intestinalt</w:t>
      </w:r>
      <w:proofErr w:type="spellEnd"/>
      <w:r w:rsidRPr="00C71C28">
        <w:rPr>
          <w:sz w:val="24"/>
          <w:szCs w:val="24"/>
        </w:rPr>
        <w:t xml:space="preserve">. </w:t>
      </w:r>
    </w:p>
    <w:p w:rsidR="00C71C28" w:rsidRPr="00C71C28" w:rsidRDefault="00C71C28" w:rsidP="00C71C28">
      <w:pPr>
        <w:pStyle w:val="Normalindrykning"/>
        <w:numPr>
          <w:ilvl w:val="0"/>
          <w:numId w:val="19"/>
        </w:numPr>
        <w:tabs>
          <w:tab w:val="clear" w:pos="1080"/>
        </w:tabs>
        <w:spacing w:after="0"/>
        <w:ind w:left="1134" w:hanging="283"/>
        <w:rPr>
          <w:sz w:val="24"/>
          <w:szCs w:val="24"/>
        </w:rPr>
      </w:pPr>
      <w:proofErr w:type="spellStart"/>
      <w:r w:rsidRPr="00C71C28">
        <w:rPr>
          <w:sz w:val="24"/>
          <w:szCs w:val="24"/>
        </w:rPr>
        <w:t>Cytochrom</w:t>
      </w:r>
      <w:proofErr w:type="spellEnd"/>
      <w:r w:rsidRPr="00C71C28">
        <w:rPr>
          <w:sz w:val="24"/>
          <w:szCs w:val="24"/>
        </w:rPr>
        <w:t xml:space="preserve"> P450 3A enzymafhængige oxidationer resulterende i en åbning af den ydre </w:t>
      </w:r>
      <w:proofErr w:type="spellStart"/>
      <w:r w:rsidRPr="00C71C28">
        <w:rPr>
          <w:sz w:val="24"/>
          <w:szCs w:val="24"/>
        </w:rPr>
        <w:t>piperidin</w:t>
      </w:r>
      <w:proofErr w:type="spellEnd"/>
      <w:r w:rsidRPr="00C71C28">
        <w:rPr>
          <w:sz w:val="24"/>
          <w:szCs w:val="24"/>
        </w:rPr>
        <w:t>-ring med dannelse af APC (</w:t>
      </w:r>
      <w:proofErr w:type="spellStart"/>
      <w:r w:rsidRPr="00C71C28">
        <w:rPr>
          <w:sz w:val="24"/>
          <w:szCs w:val="24"/>
        </w:rPr>
        <w:t>aminopentansyrederivat</w:t>
      </w:r>
      <w:proofErr w:type="spellEnd"/>
      <w:r w:rsidRPr="00C71C28">
        <w:rPr>
          <w:sz w:val="24"/>
          <w:szCs w:val="24"/>
        </w:rPr>
        <w:t>) og NPC (</w:t>
      </w:r>
      <w:proofErr w:type="gramStart"/>
      <w:r w:rsidRPr="00C71C28">
        <w:rPr>
          <w:sz w:val="24"/>
          <w:szCs w:val="24"/>
        </w:rPr>
        <w:t>primær aminderivat</w:t>
      </w:r>
      <w:proofErr w:type="gramEnd"/>
      <w:r w:rsidRPr="00C71C28">
        <w:rPr>
          <w:sz w:val="24"/>
          <w:szCs w:val="24"/>
        </w:rPr>
        <w:t xml:space="preserve">) (se pkt. 4.5). </w:t>
      </w:r>
    </w:p>
    <w:p w:rsidR="00C71C28" w:rsidRPr="00C71C28" w:rsidRDefault="00C71C28" w:rsidP="00C71C28">
      <w:pPr>
        <w:pStyle w:val="Normalindrykning"/>
        <w:spacing w:after="0"/>
        <w:ind w:left="851"/>
        <w:rPr>
          <w:sz w:val="24"/>
          <w:szCs w:val="24"/>
        </w:rPr>
      </w:pPr>
    </w:p>
    <w:p w:rsidR="00C71C28" w:rsidRPr="00C71C28" w:rsidRDefault="00C71C28" w:rsidP="00C71C28">
      <w:pPr>
        <w:pStyle w:val="Normalindrykning"/>
        <w:spacing w:after="0"/>
        <w:ind w:left="851"/>
        <w:rPr>
          <w:sz w:val="24"/>
          <w:szCs w:val="24"/>
        </w:rPr>
      </w:pPr>
      <w:proofErr w:type="spellStart"/>
      <w:r w:rsidRPr="00C71C28">
        <w:rPr>
          <w:sz w:val="24"/>
          <w:szCs w:val="24"/>
        </w:rPr>
        <w:t>Uomdannet</w:t>
      </w:r>
      <w:proofErr w:type="spellEnd"/>
      <w:r w:rsidRPr="00C71C28">
        <w:rPr>
          <w:sz w:val="24"/>
          <w:szCs w:val="24"/>
        </w:rPr>
        <w:t xml:space="preserve"> </w:t>
      </w:r>
      <w:proofErr w:type="spellStart"/>
      <w:r w:rsidRPr="00C71C28">
        <w:rPr>
          <w:sz w:val="24"/>
          <w:szCs w:val="24"/>
        </w:rPr>
        <w:t>irinotecan</w:t>
      </w:r>
      <w:proofErr w:type="spellEnd"/>
      <w:r w:rsidRPr="00C71C28">
        <w:rPr>
          <w:sz w:val="24"/>
          <w:szCs w:val="24"/>
        </w:rPr>
        <w:t xml:space="preserve"> udgør den største del i plasma, fulgt af APC, SN-38 </w:t>
      </w:r>
      <w:proofErr w:type="spellStart"/>
      <w:r w:rsidRPr="00C71C28">
        <w:rPr>
          <w:sz w:val="24"/>
          <w:szCs w:val="24"/>
        </w:rPr>
        <w:t>glucorunid</w:t>
      </w:r>
      <w:proofErr w:type="spellEnd"/>
      <w:r w:rsidRPr="00C71C28">
        <w:rPr>
          <w:sz w:val="24"/>
          <w:szCs w:val="24"/>
        </w:rPr>
        <w:t xml:space="preserve"> og SN-38. Kun SN-38 har signifikant </w:t>
      </w:r>
      <w:proofErr w:type="spellStart"/>
      <w:r w:rsidRPr="00C71C28">
        <w:rPr>
          <w:sz w:val="24"/>
          <w:szCs w:val="24"/>
        </w:rPr>
        <w:t>cytotoksisk</w:t>
      </w:r>
      <w:proofErr w:type="spellEnd"/>
      <w:r w:rsidRPr="00C71C28">
        <w:rPr>
          <w:sz w:val="24"/>
          <w:szCs w:val="24"/>
        </w:rPr>
        <w:t xml:space="preserve"> aktivitet.</w:t>
      </w:r>
    </w:p>
    <w:p w:rsidR="00C71C28" w:rsidRPr="00C71C28" w:rsidRDefault="00C71C28" w:rsidP="00C71C28">
      <w:pPr>
        <w:pStyle w:val="Normalindrykning"/>
        <w:spacing w:after="0"/>
        <w:ind w:left="851"/>
        <w:rPr>
          <w:sz w:val="24"/>
          <w:szCs w:val="24"/>
        </w:rPr>
      </w:pPr>
    </w:p>
    <w:p w:rsidR="00C71C28" w:rsidRPr="00C71C28" w:rsidRDefault="00C71C28" w:rsidP="00C71C28">
      <w:pPr>
        <w:tabs>
          <w:tab w:val="left" w:pos="851"/>
        </w:tabs>
        <w:ind w:left="851"/>
        <w:rPr>
          <w:sz w:val="24"/>
          <w:szCs w:val="24"/>
          <w:u w:val="single"/>
        </w:rPr>
      </w:pPr>
      <w:r w:rsidRPr="00C71C28">
        <w:rPr>
          <w:sz w:val="24"/>
          <w:szCs w:val="24"/>
          <w:u w:val="single"/>
        </w:rPr>
        <w:t>Elimination</w:t>
      </w:r>
    </w:p>
    <w:p w:rsidR="00C71C28" w:rsidRPr="00C71C28" w:rsidRDefault="00C71C28" w:rsidP="00C71C28">
      <w:pPr>
        <w:pStyle w:val="Normalindrykning"/>
        <w:spacing w:after="0"/>
        <w:ind w:left="851"/>
        <w:rPr>
          <w:sz w:val="24"/>
          <w:szCs w:val="24"/>
        </w:rPr>
      </w:pPr>
      <w:r w:rsidRPr="00C71C28">
        <w:rPr>
          <w:sz w:val="24"/>
          <w:szCs w:val="24"/>
        </w:rPr>
        <w:t xml:space="preserve">I et fase I-forsøg med 60 patienter, der blev behandlet med et regime med 30-minutters intravenøs infusion af 100-750 mg/m² hver 3.uge, viste </w:t>
      </w:r>
      <w:proofErr w:type="spellStart"/>
      <w:r w:rsidRPr="00C71C28">
        <w:rPr>
          <w:sz w:val="24"/>
          <w:szCs w:val="24"/>
        </w:rPr>
        <w:t>irinotecan</w:t>
      </w:r>
      <w:proofErr w:type="spellEnd"/>
      <w:r w:rsidRPr="00C71C28">
        <w:rPr>
          <w:sz w:val="24"/>
          <w:szCs w:val="24"/>
        </w:rPr>
        <w:t xml:space="preserve"> en </w:t>
      </w:r>
      <w:proofErr w:type="spellStart"/>
      <w:r w:rsidRPr="00C71C28">
        <w:rPr>
          <w:sz w:val="24"/>
          <w:szCs w:val="24"/>
        </w:rPr>
        <w:t>bifasisk</w:t>
      </w:r>
      <w:proofErr w:type="spellEnd"/>
      <w:r w:rsidRPr="00C71C28">
        <w:rPr>
          <w:sz w:val="24"/>
          <w:szCs w:val="24"/>
        </w:rPr>
        <w:t xml:space="preserve"> eller </w:t>
      </w:r>
      <w:proofErr w:type="spellStart"/>
      <w:r w:rsidRPr="00C71C28">
        <w:rPr>
          <w:sz w:val="24"/>
          <w:szCs w:val="24"/>
        </w:rPr>
        <w:t>trifasisk</w:t>
      </w:r>
      <w:proofErr w:type="spellEnd"/>
      <w:r w:rsidRPr="00C71C28">
        <w:rPr>
          <w:sz w:val="24"/>
          <w:szCs w:val="24"/>
        </w:rPr>
        <w:t xml:space="preserve"> eliminationsprofil. Gennemsnitlig plasma-</w:t>
      </w:r>
      <w:proofErr w:type="spellStart"/>
      <w:r w:rsidRPr="00C71C28">
        <w:rPr>
          <w:sz w:val="24"/>
          <w:szCs w:val="24"/>
        </w:rPr>
        <w:t>clearance</w:t>
      </w:r>
      <w:proofErr w:type="spellEnd"/>
      <w:r w:rsidRPr="00C71C28">
        <w:rPr>
          <w:sz w:val="24"/>
          <w:szCs w:val="24"/>
        </w:rPr>
        <w:t xml:space="preserve"> var 15 l/t/m². Den gennemsnitlige plasmahalveringstid ved den første fase af den </w:t>
      </w:r>
      <w:proofErr w:type="spellStart"/>
      <w:r w:rsidRPr="00C71C28">
        <w:rPr>
          <w:sz w:val="24"/>
          <w:szCs w:val="24"/>
        </w:rPr>
        <w:t>trifasiske</w:t>
      </w:r>
      <w:proofErr w:type="spellEnd"/>
      <w:r w:rsidRPr="00C71C28">
        <w:rPr>
          <w:sz w:val="24"/>
          <w:szCs w:val="24"/>
        </w:rPr>
        <w:t xml:space="preserve"> model var 12 minutter, ved den anden fase 2,5 timer, og ved afsluttende fase 14,2 timer. SN-38 viste en </w:t>
      </w:r>
      <w:proofErr w:type="spellStart"/>
      <w:r w:rsidRPr="00C71C28">
        <w:rPr>
          <w:sz w:val="24"/>
          <w:szCs w:val="24"/>
        </w:rPr>
        <w:t>bifasisk</w:t>
      </w:r>
      <w:proofErr w:type="spellEnd"/>
      <w:r w:rsidRPr="00C71C28">
        <w:rPr>
          <w:sz w:val="24"/>
          <w:szCs w:val="24"/>
        </w:rPr>
        <w:t xml:space="preserve"> eliminationsprofil med en gennemsnitlig terminal eliminationshalveringstid på 13,8 timer.</w:t>
      </w:r>
    </w:p>
    <w:p w:rsidR="00C71C28" w:rsidRPr="00C71C28" w:rsidRDefault="00C71C28" w:rsidP="00C71C28">
      <w:pPr>
        <w:pStyle w:val="Normalindrykning"/>
        <w:spacing w:after="0"/>
        <w:ind w:left="851"/>
        <w:rPr>
          <w:sz w:val="24"/>
          <w:szCs w:val="24"/>
        </w:rPr>
      </w:pPr>
    </w:p>
    <w:p w:rsidR="00C71C28" w:rsidRPr="00C71C28" w:rsidRDefault="00C71C28" w:rsidP="00C71C28">
      <w:pPr>
        <w:pStyle w:val="Normalindrykning"/>
        <w:spacing w:after="0"/>
        <w:ind w:left="851"/>
        <w:rPr>
          <w:sz w:val="24"/>
          <w:szCs w:val="24"/>
        </w:rPr>
      </w:pPr>
      <w:proofErr w:type="spellStart"/>
      <w:r w:rsidRPr="00C71C28">
        <w:rPr>
          <w:sz w:val="24"/>
          <w:szCs w:val="24"/>
        </w:rPr>
        <w:t>Irinotecan-clearance</w:t>
      </w:r>
      <w:proofErr w:type="spellEnd"/>
      <w:r w:rsidRPr="00C71C28">
        <w:rPr>
          <w:sz w:val="24"/>
          <w:szCs w:val="24"/>
        </w:rPr>
        <w:t xml:space="preserve"> nedsættes med ca. 40 % hos patienter med </w:t>
      </w:r>
      <w:proofErr w:type="spellStart"/>
      <w:r w:rsidRPr="00C71C28">
        <w:rPr>
          <w:sz w:val="24"/>
          <w:szCs w:val="24"/>
        </w:rPr>
        <w:t>bilirubinæmi</w:t>
      </w:r>
      <w:proofErr w:type="spellEnd"/>
      <w:r w:rsidRPr="00C71C28">
        <w:rPr>
          <w:sz w:val="24"/>
          <w:szCs w:val="24"/>
        </w:rPr>
        <w:t xml:space="preserve"> mellem 1,5 og 3 gange den øvre normalgrænse. Hos disse patienter giver en 200 mg/m</w:t>
      </w:r>
      <w:r w:rsidRPr="00C71C28">
        <w:rPr>
          <w:sz w:val="24"/>
          <w:szCs w:val="24"/>
          <w:vertAlign w:val="superscript"/>
        </w:rPr>
        <w:t>2</w:t>
      </w:r>
      <w:r w:rsidRPr="00C71C28">
        <w:rPr>
          <w:sz w:val="24"/>
          <w:szCs w:val="24"/>
        </w:rPr>
        <w:t xml:space="preserve"> </w:t>
      </w:r>
      <w:proofErr w:type="spellStart"/>
      <w:r w:rsidRPr="00C71C28">
        <w:rPr>
          <w:sz w:val="24"/>
          <w:szCs w:val="24"/>
        </w:rPr>
        <w:t>irinotecan</w:t>
      </w:r>
      <w:proofErr w:type="spellEnd"/>
      <w:r w:rsidRPr="00C71C28">
        <w:rPr>
          <w:sz w:val="24"/>
          <w:szCs w:val="24"/>
        </w:rPr>
        <w:t xml:space="preserve">-dosis en </w:t>
      </w:r>
      <w:proofErr w:type="gramStart"/>
      <w:r w:rsidRPr="00C71C28">
        <w:rPr>
          <w:sz w:val="24"/>
          <w:szCs w:val="24"/>
        </w:rPr>
        <w:t>plasma lægemiddelpåvirkning</w:t>
      </w:r>
      <w:proofErr w:type="gramEnd"/>
      <w:r w:rsidRPr="00C71C28">
        <w:rPr>
          <w:sz w:val="24"/>
          <w:szCs w:val="24"/>
        </w:rPr>
        <w:t xml:space="preserve"> sammenlignelig med den, der ses ved 350mg/m2 hos cancerpatienter med normale leverparametre.</w:t>
      </w:r>
    </w:p>
    <w:p w:rsidR="00C71C28" w:rsidRPr="00C71C28" w:rsidRDefault="00C71C28" w:rsidP="00C71C28">
      <w:pPr>
        <w:pStyle w:val="Normalindrykning"/>
        <w:spacing w:after="0"/>
        <w:ind w:left="851"/>
        <w:rPr>
          <w:sz w:val="24"/>
          <w:szCs w:val="24"/>
        </w:rPr>
      </w:pPr>
    </w:p>
    <w:p w:rsidR="00C71C28" w:rsidRPr="00C71C28" w:rsidRDefault="00C71C28" w:rsidP="00DF5ED3">
      <w:pPr>
        <w:keepNext/>
        <w:tabs>
          <w:tab w:val="left" w:pos="851"/>
        </w:tabs>
        <w:ind w:left="851"/>
        <w:rPr>
          <w:sz w:val="24"/>
          <w:szCs w:val="24"/>
          <w:u w:val="single"/>
        </w:rPr>
      </w:pPr>
      <w:r w:rsidRPr="00C71C28">
        <w:rPr>
          <w:sz w:val="24"/>
          <w:szCs w:val="24"/>
          <w:u w:val="single"/>
        </w:rPr>
        <w:t>Linearitet</w:t>
      </w:r>
    </w:p>
    <w:p w:rsidR="00C71C28" w:rsidRPr="00C71C28" w:rsidRDefault="00C71C28" w:rsidP="00C71C28">
      <w:pPr>
        <w:tabs>
          <w:tab w:val="left" w:pos="851"/>
        </w:tabs>
        <w:ind w:left="851"/>
        <w:rPr>
          <w:sz w:val="24"/>
          <w:szCs w:val="24"/>
        </w:rPr>
      </w:pPr>
      <w:r w:rsidRPr="00C71C28">
        <w:rPr>
          <w:sz w:val="24"/>
          <w:szCs w:val="24"/>
        </w:rPr>
        <w:t xml:space="preserve">Der er blevet gennemført en </w:t>
      </w:r>
      <w:proofErr w:type="spellStart"/>
      <w:r w:rsidRPr="00C71C28">
        <w:rPr>
          <w:sz w:val="24"/>
          <w:szCs w:val="24"/>
        </w:rPr>
        <w:t>populationsfarmakokinetisk</w:t>
      </w:r>
      <w:proofErr w:type="spellEnd"/>
      <w:r w:rsidRPr="00C71C28">
        <w:rPr>
          <w:sz w:val="24"/>
          <w:szCs w:val="24"/>
        </w:rPr>
        <w:t xml:space="preserve"> analyse af </w:t>
      </w:r>
      <w:proofErr w:type="spellStart"/>
      <w:r w:rsidRPr="00C71C28">
        <w:rPr>
          <w:sz w:val="24"/>
          <w:szCs w:val="24"/>
        </w:rPr>
        <w:t>irinotecan</w:t>
      </w:r>
      <w:proofErr w:type="spellEnd"/>
      <w:r w:rsidRPr="00C71C28">
        <w:rPr>
          <w:sz w:val="24"/>
          <w:szCs w:val="24"/>
        </w:rPr>
        <w:t xml:space="preserve"> hos 148 patienter med </w:t>
      </w:r>
      <w:proofErr w:type="spellStart"/>
      <w:r w:rsidRPr="00C71C28">
        <w:rPr>
          <w:sz w:val="24"/>
          <w:szCs w:val="24"/>
        </w:rPr>
        <w:t>metasterende</w:t>
      </w:r>
      <w:proofErr w:type="spellEnd"/>
      <w:r w:rsidRPr="00C71C28">
        <w:rPr>
          <w:sz w:val="24"/>
          <w:szCs w:val="24"/>
        </w:rPr>
        <w:t xml:space="preserve"> </w:t>
      </w:r>
      <w:proofErr w:type="spellStart"/>
      <w:r w:rsidRPr="00C71C28">
        <w:rPr>
          <w:sz w:val="24"/>
          <w:szCs w:val="24"/>
        </w:rPr>
        <w:t>kolorektalkræft</w:t>
      </w:r>
      <w:proofErr w:type="spellEnd"/>
      <w:r w:rsidRPr="00C71C28">
        <w:rPr>
          <w:sz w:val="24"/>
          <w:szCs w:val="24"/>
        </w:rPr>
        <w:t xml:space="preserve">, der blev behandlet efter forskellige behandlingsregimer og med forskellige doser i fase II-forsøg. </w:t>
      </w:r>
      <w:proofErr w:type="spellStart"/>
      <w:r w:rsidRPr="00C71C28">
        <w:rPr>
          <w:sz w:val="24"/>
          <w:szCs w:val="24"/>
        </w:rPr>
        <w:t>Farmakokinetiske</w:t>
      </w:r>
      <w:proofErr w:type="spellEnd"/>
      <w:r w:rsidRPr="00C71C28">
        <w:rPr>
          <w:sz w:val="24"/>
          <w:szCs w:val="24"/>
        </w:rPr>
        <w:t xml:space="preserve"> parametre vurderet i forhold til en 3-compartment-model var lig dem, der blev observeret i fase I-forsøg. Alle forsøg har vist, at eksponering over for </w:t>
      </w:r>
      <w:proofErr w:type="spellStart"/>
      <w:r w:rsidRPr="00C71C28">
        <w:rPr>
          <w:sz w:val="24"/>
          <w:szCs w:val="24"/>
        </w:rPr>
        <w:t>irinotecan</w:t>
      </w:r>
      <w:proofErr w:type="spellEnd"/>
      <w:r w:rsidRPr="00C71C28">
        <w:rPr>
          <w:sz w:val="24"/>
          <w:szCs w:val="24"/>
        </w:rPr>
        <w:t xml:space="preserve"> (CPT-11) og SN-38 øges proportionalt med dosis; farmakokinetikken er uafhængig af antallet af tidligere cyklusser og behandlingsregime. </w:t>
      </w:r>
    </w:p>
    <w:p w:rsidR="00C71C28" w:rsidRPr="00C71C28" w:rsidRDefault="00C71C28" w:rsidP="00C71C28">
      <w:pPr>
        <w:tabs>
          <w:tab w:val="left" w:pos="851"/>
        </w:tabs>
        <w:ind w:left="851"/>
        <w:rPr>
          <w:sz w:val="24"/>
          <w:szCs w:val="24"/>
        </w:rPr>
      </w:pPr>
    </w:p>
    <w:p w:rsidR="00C71C28" w:rsidRPr="00C71C28" w:rsidRDefault="00C71C28" w:rsidP="00C71C28">
      <w:pPr>
        <w:ind w:left="851"/>
        <w:rPr>
          <w:iCs/>
          <w:sz w:val="24"/>
          <w:szCs w:val="24"/>
          <w:u w:val="single"/>
        </w:rPr>
      </w:pPr>
      <w:proofErr w:type="spellStart"/>
      <w:r w:rsidRPr="00C71C28">
        <w:rPr>
          <w:bCs/>
          <w:iCs/>
          <w:sz w:val="24"/>
          <w:szCs w:val="24"/>
          <w:u w:val="single"/>
        </w:rPr>
        <w:t>Farmakokinetiske</w:t>
      </w:r>
      <w:proofErr w:type="spellEnd"/>
      <w:r w:rsidRPr="00C71C28">
        <w:rPr>
          <w:bCs/>
          <w:iCs/>
          <w:sz w:val="24"/>
          <w:szCs w:val="24"/>
          <w:u w:val="single"/>
        </w:rPr>
        <w:t>/</w:t>
      </w:r>
      <w:proofErr w:type="spellStart"/>
      <w:r w:rsidRPr="00C71C28">
        <w:rPr>
          <w:bCs/>
          <w:iCs/>
          <w:sz w:val="24"/>
          <w:szCs w:val="24"/>
          <w:u w:val="single"/>
        </w:rPr>
        <w:t>farmakodymamiske</w:t>
      </w:r>
      <w:proofErr w:type="spellEnd"/>
      <w:r w:rsidRPr="00C71C28">
        <w:rPr>
          <w:bCs/>
          <w:iCs/>
          <w:sz w:val="24"/>
          <w:szCs w:val="24"/>
          <w:u w:val="single"/>
        </w:rPr>
        <w:t xml:space="preserve"> sammenhænge</w:t>
      </w:r>
    </w:p>
    <w:p w:rsidR="00C71C28" w:rsidRDefault="00C71C28" w:rsidP="00C71C28">
      <w:pPr>
        <w:pStyle w:val="Normalindrykning"/>
        <w:spacing w:after="0"/>
        <w:ind w:left="851"/>
        <w:rPr>
          <w:sz w:val="24"/>
          <w:szCs w:val="24"/>
        </w:rPr>
      </w:pPr>
      <w:r w:rsidRPr="00C71C28">
        <w:rPr>
          <w:sz w:val="24"/>
          <w:szCs w:val="24"/>
        </w:rPr>
        <w:t xml:space="preserve">Intensiteten af de vigtigste toksiske virkninger ved indgift af </w:t>
      </w:r>
      <w:proofErr w:type="spellStart"/>
      <w:r w:rsidRPr="00C71C28">
        <w:rPr>
          <w:sz w:val="24"/>
          <w:szCs w:val="24"/>
        </w:rPr>
        <w:t>irinotecan</w:t>
      </w:r>
      <w:proofErr w:type="spellEnd"/>
      <w:r w:rsidRPr="00C71C28">
        <w:rPr>
          <w:sz w:val="24"/>
          <w:szCs w:val="24"/>
        </w:rPr>
        <w:t xml:space="preserve"> (fx </w:t>
      </w:r>
      <w:proofErr w:type="spellStart"/>
      <w:r w:rsidRPr="00C71C28">
        <w:rPr>
          <w:sz w:val="24"/>
          <w:szCs w:val="24"/>
        </w:rPr>
        <w:t>leukoneutropeni</w:t>
      </w:r>
      <w:proofErr w:type="spellEnd"/>
      <w:r w:rsidRPr="00C71C28">
        <w:rPr>
          <w:sz w:val="24"/>
          <w:szCs w:val="24"/>
        </w:rPr>
        <w:t xml:space="preserve"> og diarré) er knyttet til eksponering (AUC) til moderstoffet og metabolitten SN-38. Der blev observeret signifikant sammenhæng mellem hæmatologisk toksicitet (fald i hvide blodlegemer og </w:t>
      </w:r>
      <w:proofErr w:type="spellStart"/>
      <w:r w:rsidRPr="00C71C28">
        <w:rPr>
          <w:sz w:val="24"/>
          <w:szCs w:val="24"/>
        </w:rPr>
        <w:t>neutrofil</w:t>
      </w:r>
      <w:proofErr w:type="spellEnd"/>
      <w:r w:rsidRPr="00C71C28">
        <w:rPr>
          <w:sz w:val="24"/>
          <w:szCs w:val="24"/>
        </w:rPr>
        <w:t xml:space="preserve"> ved nadir) eller diarréens voldsomhed og de målte AUC-værdier af </w:t>
      </w:r>
      <w:proofErr w:type="spellStart"/>
      <w:r w:rsidRPr="00C71C28">
        <w:rPr>
          <w:sz w:val="24"/>
          <w:szCs w:val="24"/>
        </w:rPr>
        <w:t>irinotecan</w:t>
      </w:r>
      <w:proofErr w:type="spellEnd"/>
      <w:r w:rsidRPr="00C71C28">
        <w:rPr>
          <w:sz w:val="24"/>
          <w:szCs w:val="24"/>
        </w:rPr>
        <w:t xml:space="preserve"> og metabolitten SN-38 i monoterapi.</w:t>
      </w:r>
    </w:p>
    <w:p w:rsidR="00CB5916" w:rsidRDefault="00CB5916" w:rsidP="00C71C28">
      <w:pPr>
        <w:pStyle w:val="Normalindrykning"/>
        <w:spacing w:after="0"/>
        <w:ind w:left="851"/>
        <w:rPr>
          <w:sz w:val="24"/>
          <w:szCs w:val="24"/>
        </w:rPr>
      </w:pPr>
    </w:p>
    <w:p w:rsidR="00B60920" w:rsidRPr="006C685C" w:rsidRDefault="00B60920" w:rsidP="00B60920">
      <w:pPr>
        <w:ind w:left="851"/>
        <w:rPr>
          <w:sz w:val="24"/>
          <w:szCs w:val="24"/>
          <w:u w:val="single"/>
          <w:lang w:eastAsia="da-DK"/>
        </w:rPr>
      </w:pPr>
      <w:r w:rsidRPr="006C685C">
        <w:rPr>
          <w:sz w:val="24"/>
          <w:szCs w:val="24"/>
          <w:u w:val="single"/>
          <w:lang w:eastAsia="da-DK"/>
        </w:rPr>
        <w:t>Patienter med reduceret UGT1A1</w:t>
      </w:r>
      <w:r>
        <w:rPr>
          <w:sz w:val="24"/>
          <w:szCs w:val="24"/>
          <w:u w:val="single"/>
          <w:lang w:eastAsia="da-DK"/>
        </w:rPr>
        <w:t>-</w:t>
      </w:r>
      <w:r w:rsidRPr="006C685C">
        <w:rPr>
          <w:sz w:val="24"/>
          <w:szCs w:val="24"/>
          <w:u w:val="single"/>
          <w:lang w:eastAsia="da-DK"/>
        </w:rPr>
        <w:t>aktivitet</w:t>
      </w:r>
    </w:p>
    <w:p w:rsidR="00B60920" w:rsidRPr="00E85743" w:rsidRDefault="00B60920" w:rsidP="00B60920">
      <w:pPr>
        <w:tabs>
          <w:tab w:val="left" w:pos="851"/>
        </w:tabs>
        <w:ind w:left="851"/>
        <w:rPr>
          <w:sz w:val="24"/>
          <w:szCs w:val="24"/>
        </w:rPr>
      </w:pPr>
      <w:proofErr w:type="spellStart"/>
      <w:r w:rsidRPr="006C685C">
        <w:rPr>
          <w:sz w:val="24"/>
          <w:szCs w:val="24"/>
          <w:lang w:eastAsia="da-DK"/>
        </w:rPr>
        <w:t>Uridin</w:t>
      </w:r>
      <w:proofErr w:type="spellEnd"/>
      <w:r w:rsidRPr="006C685C">
        <w:rPr>
          <w:sz w:val="24"/>
          <w:szCs w:val="24"/>
          <w:lang w:eastAsia="da-DK"/>
        </w:rPr>
        <w:t>-</w:t>
      </w:r>
      <w:proofErr w:type="spellStart"/>
      <w:r w:rsidRPr="006C685C">
        <w:rPr>
          <w:sz w:val="24"/>
          <w:szCs w:val="24"/>
          <w:lang w:eastAsia="da-DK"/>
        </w:rPr>
        <w:t>diphosphat</w:t>
      </w:r>
      <w:proofErr w:type="spellEnd"/>
      <w:r w:rsidRPr="006C685C">
        <w:rPr>
          <w:sz w:val="24"/>
          <w:szCs w:val="24"/>
          <w:lang w:eastAsia="da-DK"/>
        </w:rPr>
        <w:t>-</w:t>
      </w:r>
      <w:proofErr w:type="spellStart"/>
      <w:r w:rsidRPr="006C685C">
        <w:rPr>
          <w:sz w:val="24"/>
          <w:szCs w:val="24"/>
          <w:lang w:eastAsia="da-DK"/>
        </w:rPr>
        <w:t>glucuronosyl</w:t>
      </w:r>
      <w:proofErr w:type="spellEnd"/>
      <w:r w:rsidRPr="006C685C">
        <w:rPr>
          <w:sz w:val="24"/>
          <w:szCs w:val="24"/>
          <w:lang w:eastAsia="da-DK"/>
        </w:rPr>
        <w:t xml:space="preserve">-transferase 1A1 (UGT1A1) er involveret i den metaboliske </w:t>
      </w:r>
      <w:proofErr w:type="spellStart"/>
      <w:r w:rsidRPr="006C685C">
        <w:rPr>
          <w:sz w:val="24"/>
          <w:szCs w:val="24"/>
          <w:lang w:eastAsia="da-DK"/>
        </w:rPr>
        <w:t>deaktivering</w:t>
      </w:r>
      <w:proofErr w:type="spellEnd"/>
      <w:r w:rsidRPr="006C685C">
        <w:rPr>
          <w:sz w:val="24"/>
          <w:szCs w:val="24"/>
          <w:lang w:eastAsia="da-DK"/>
        </w:rPr>
        <w:t xml:space="preserve"> af SN-38 </w:t>
      </w:r>
      <w:proofErr w:type="spellStart"/>
      <w:r w:rsidRPr="006C685C">
        <w:rPr>
          <w:sz w:val="24"/>
          <w:szCs w:val="24"/>
          <w:lang w:eastAsia="da-DK"/>
        </w:rPr>
        <w:t>glucuronid</w:t>
      </w:r>
      <w:proofErr w:type="spellEnd"/>
      <w:r w:rsidRPr="006C685C">
        <w:rPr>
          <w:sz w:val="24"/>
          <w:szCs w:val="24"/>
          <w:lang w:eastAsia="da-DK"/>
        </w:rPr>
        <w:t xml:space="preserve"> (SN-38G). UGT1A1-genet er i høj grad polymorft, førende til forskellige metaboliske evner, der varierer fra individ til individ. </w:t>
      </w:r>
      <w:r w:rsidRPr="00E85743">
        <w:rPr>
          <w:sz w:val="24"/>
          <w:szCs w:val="24"/>
        </w:rPr>
        <w:t xml:space="preserve">De mest velkarakteriserede UGT1A1 genetiske varianter er UGT1A1* 28 og UGT1A1* 6. Disse varianter og andre medfødte fejl i UGT1A1-ekspression (såsom Gilberts syndrom og </w:t>
      </w:r>
      <w:proofErr w:type="spellStart"/>
      <w:r w:rsidRPr="00E85743">
        <w:rPr>
          <w:sz w:val="24"/>
          <w:szCs w:val="24"/>
        </w:rPr>
        <w:t>Crigler-Najjar</w:t>
      </w:r>
      <w:proofErr w:type="spellEnd"/>
      <w:r w:rsidRPr="00E85743">
        <w:rPr>
          <w:sz w:val="24"/>
          <w:szCs w:val="24"/>
        </w:rPr>
        <w:t>) er forbundet med reduceret aktivitet af dette enzym.</w:t>
      </w:r>
    </w:p>
    <w:p w:rsidR="00B60920" w:rsidRPr="006C685C" w:rsidRDefault="00B60920" w:rsidP="00B60920">
      <w:pPr>
        <w:ind w:left="851"/>
        <w:rPr>
          <w:sz w:val="24"/>
          <w:szCs w:val="24"/>
          <w:lang w:eastAsia="da-DK"/>
        </w:rPr>
      </w:pPr>
    </w:p>
    <w:p w:rsidR="00B60920" w:rsidRPr="00C71C28" w:rsidRDefault="00B60920" w:rsidP="00B60920">
      <w:pPr>
        <w:pStyle w:val="Normalindrykning"/>
        <w:spacing w:after="0"/>
        <w:ind w:left="851"/>
        <w:rPr>
          <w:sz w:val="24"/>
          <w:szCs w:val="24"/>
        </w:rPr>
      </w:pPr>
      <w:r w:rsidRPr="006C685C">
        <w:rPr>
          <w:sz w:val="24"/>
          <w:szCs w:val="24"/>
        </w:rPr>
        <w:t xml:space="preserve">Patienter med ringe </w:t>
      </w:r>
      <w:r w:rsidRPr="00E85743">
        <w:rPr>
          <w:sz w:val="24"/>
          <w:szCs w:val="24"/>
        </w:rPr>
        <w:t>UGT1A1-metaboliseringsevne</w:t>
      </w:r>
      <w:r w:rsidRPr="006C685C">
        <w:rPr>
          <w:sz w:val="24"/>
          <w:szCs w:val="24"/>
        </w:rPr>
        <w:t xml:space="preserve">, </w:t>
      </w:r>
      <w:r w:rsidRPr="00E85743">
        <w:rPr>
          <w:sz w:val="24"/>
          <w:szCs w:val="24"/>
        </w:rPr>
        <w:t>fx</w:t>
      </w:r>
      <w:r w:rsidRPr="006C685C">
        <w:rPr>
          <w:sz w:val="24"/>
          <w:szCs w:val="24"/>
        </w:rPr>
        <w:t xml:space="preserve"> </w:t>
      </w:r>
      <w:proofErr w:type="spellStart"/>
      <w:r w:rsidRPr="006C685C">
        <w:rPr>
          <w:sz w:val="24"/>
          <w:szCs w:val="24"/>
        </w:rPr>
        <w:t>homozygote</w:t>
      </w:r>
      <w:proofErr w:type="spellEnd"/>
      <w:r w:rsidRPr="006C685C">
        <w:rPr>
          <w:sz w:val="24"/>
          <w:szCs w:val="24"/>
        </w:rPr>
        <w:t xml:space="preserve"> for UGT1A1*28 eller *6 varianter), har øget risiko for </w:t>
      </w:r>
      <w:r w:rsidRPr="00E85743">
        <w:rPr>
          <w:sz w:val="24"/>
          <w:szCs w:val="24"/>
        </w:rPr>
        <w:t xml:space="preserve">alvorlige bivirkninger såsom </w:t>
      </w:r>
      <w:r w:rsidRPr="006C685C">
        <w:rPr>
          <w:sz w:val="24"/>
          <w:szCs w:val="24"/>
        </w:rPr>
        <w:t xml:space="preserve">svær </w:t>
      </w:r>
      <w:proofErr w:type="spellStart"/>
      <w:r w:rsidRPr="006C685C">
        <w:rPr>
          <w:sz w:val="24"/>
          <w:szCs w:val="24"/>
        </w:rPr>
        <w:t>neutropeni</w:t>
      </w:r>
      <w:proofErr w:type="spellEnd"/>
      <w:r w:rsidRPr="006C685C">
        <w:rPr>
          <w:sz w:val="24"/>
          <w:szCs w:val="24"/>
        </w:rPr>
        <w:t xml:space="preserve"> og diarré efter behandling med </w:t>
      </w:r>
      <w:proofErr w:type="spellStart"/>
      <w:r w:rsidRPr="006C685C">
        <w:rPr>
          <w:sz w:val="24"/>
          <w:szCs w:val="24"/>
        </w:rPr>
        <w:t>irinotecan</w:t>
      </w:r>
      <w:proofErr w:type="spellEnd"/>
      <w:r w:rsidRPr="00E85743">
        <w:rPr>
          <w:sz w:val="24"/>
          <w:szCs w:val="24"/>
        </w:rPr>
        <w:t xml:space="preserve"> som følge af </w:t>
      </w:r>
      <w:r w:rsidRPr="00E85743">
        <w:rPr>
          <w:sz w:val="24"/>
          <w:szCs w:val="24"/>
          <w:lang w:eastAsia="en-US"/>
        </w:rPr>
        <w:t>SN-38-akkumulering</w:t>
      </w:r>
      <w:r w:rsidRPr="006C685C">
        <w:rPr>
          <w:sz w:val="24"/>
          <w:szCs w:val="24"/>
        </w:rPr>
        <w:t xml:space="preserve">. </w:t>
      </w:r>
      <w:r w:rsidRPr="00E85743">
        <w:rPr>
          <w:sz w:val="24"/>
          <w:szCs w:val="24"/>
          <w:lang w:eastAsia="en-US"/>
        </w:rPr>
        <w:t>Ifølge data fra flere metaanalyser er risikoen højere for patienter</w:t>
      </w:r>
      <w:r w:rsidRPr="006C685C">
        <w:rPr>
          <w:sz w:val="24"/>
          <w:szCs w:val="24"/>
        </w:rPr>
        <w:t xml:space="preserve">, som får doser &gt;180 mg/m² </w:t>
      </w:r>
      <w:r w:rsidRPr="00E85743">
        <w:rPr>
          <w:sz w:val="24"/>
          <w:szCs w:val="24"/>
        </w:rPr>
        <w:t xml:space="preserve">(se pkt. 4.4). </w:t>
      </w:r>
      <w:r w:rsidRPr="00E85743">
        <w:rPr>
          <w:sz w:val="24"/>
          <w:szCs w:val="24"/>
          <w:lang w:eastAsia="en-US"/>
        </w:rPr>
        <w:t xml:space="preserve">For at identificere patienter med øget risiko for svær </w:t>
      </w:r>
      <w:proofErr w:type="spellStart"/>
      <w:r w:rsidRPr="00E85743">
        <w:rPr>
          <w:sz w:val="24"/>
          <w:szCs w:val="24"/>
          <w:lang w:eastAsia="en-US"/>
        </w:rPr>
        <w:t>neutropeni</w:t>
      </w:r>
      <w:proofErr w:type="spellEnd"/>
      <w:r w:rsidRPr="00E85743">
        <w:rPr>
          <w:sz w:val="24"/>
          <w:szCs w:val="24"/>
          <w:lang w:eastAsia="en-US"/>
        </w:rPr>
        <w:t xml:space="preserve"> og diarré kan UGT1A1-</w:t>
      </w:r>
      <w:r w:rsidRPr="00E85743">
        <w:rPr>
          <w:sz w:val="24"/>
          <w:szCs w:val="24"/>
          <w:lang w:eastAsia="en-US"/>
        </w:rPr>
        <w:lastRenderedPageBreak/>
        <w:t>genotypebestemmelse anvendes. Homozygot UGT1A1* 28 forekommer med en hyppighed på 8-20 % i den europæiske, afrikanske, nærøstlige og latinamerikanske befolkning. *6-varianten er næsten fraværende i disse populationer. I den østasiatiske befolkning er hyppigheden af *28/*28 omkring 1-4 %, 3-8 % for *6/*28 og 2-6 % for *6/*6. I den central- og sydasiatiske befolkning er hyppigheden af *28/*28 omkring 17 %, 4 % for *6/*28 og 0,2 % for *6/*6.</w:t>
      </w:r>
    </w:p>
    <w:p w:rsidR="002F45B1" w:rsidRPr="00C84483" w:rsidRDefault="002F45B1" w:rsidP="00C71C28">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5.3</w:t>
      </w:r>
      <w:r w:rsidRPr="00C84483">
        <w:rPr>
          <w:b/>
          <w:sz w:val="24"/>
          <w:szCs w:val="24"/>
        </w:rPr>
        <w:tab/>
      </w:r>
      <w:r w:rsidR="002B1FA6">
        <w:rPr>
          <w:b/>
          <w:sz w:val="24"/>
          <w:szCs w:val="24"/>
        </w:rPr>
        <w:t>Non-</w:t>
      </w:r>
      <w:r w:rsidRPr="00C84483">
        <w:rPr>
          <w:b/>
          <w:sz w:val="24"/>
          <w:szCs w:val="24"/>
        </w:rPr>
        <w:t>kliniske sikkerhedsdata</w:t>
      </w:r>
    </w:p>
    <w:p w:rsidR="002F45B1" w:rsidRPr="00225951" w:rsidRDefault="002F45B1" w:rsidP="002F45B1">
      <w:pPr>
        <w:ind w:left="851"/>
        <w:rPr>
          <w:sz w:val="24"/>
          <w:szCs w:val="24"/>
          <w:lang w:eastAsia="da-DK"/>
        </w:rPr>
      </w:pPr>
      <w:proofErr w:type="spellStart"/>
      <w:r w:rsidRPr="00225951">
        <w:rPr>
          <w:sz w:val="24"/>
          <w:szCs w:val="24"/>
          <w:lang w:eastAsia="da-DK"/>
        </w:rPr>
        <w:t>Irinotecan</w:t>
      </w:r>
      <w:proofErr w:type="spellEnd"/>
      <w:r w:rsidRPr="00225951">
        <w:rPr>
          <w:sz w:val="24"/>
          <w:szCs w:val="24"/>
          <w:lang w:eastAsia="da-DK"/>
        </w:rPr>
        <w:t xml:space="preserve"> og SN-38 har vist sig at være mutagene in </w:t>
      </w:r>
      <w:proofErr w:type="spellStart"/>
      <w:r w:rsidRPr="00225951">
        <w:rPr>
          <w:sz w:val="24"/>
          <w:szCs w:val="24"/>
          <w:lang w:eastAsia="da-DK"/>
        </w:rPr>
        <w:t>vitro</w:t>
      </w:r>
      <w:proofErr w:type="spellEnd"/>
      <w:r w:rsidRPr="00225951">
        <w:rPr>
          <w:sz w:val="24"/>
          <w:szCs w:val="24"/>
          <w:lang w:eastAsia="da-DK"/>
        </w:rPr>
        <w:t xml:space="preserve"> ved kromosom-</w:t>
      </w:r>
      <w:proofErr w:type="spellStart"/>
      <w:r w:rsidRPr="00225951">
        <w:rPr>
          <w:sz w:val="24"/>
          <w:szCs w:val="24"/>
          <w:lang w:eastAsia="da-DK"/>
        </w:rPr>
        <w:t>afvigningtest</w:t>
      </w:r>
      <w:proofErr w:type="spellEnd"/>
      <w:r w:rsidRPr="00225951">
        <w:rPr>
          <w:sz w:val="24"/>
          <w:szCs w:val="24"/>
          <w:lang w:eastAsia="da-DK"/>
        </w:rPr>
        <w:t xml:space="preserve"> på CHO-celler og </w:t>
      </w:r>
      <w:r w:rsidRPr="00225951">
        <w:rPr>
          <w:i/>
          <w:sz w:val="24"/>
          <w:szCs w:val="24"/>
          <w:lang w:eastAsia="da-DK"/>
        </w:rPr>
        <w:t xml:space="preserve">in </w:t>
      </w:r>
      <w:proofErr w:type="spellStart"/>
      <w:r w:rsidRPr="00225951">
        <w:rPr>
          <w:i/>
          <w:sz w:val="24"/>
          <w:szCs w:val="24"/>
          <w:lang w:eastAsia="da-DK"/>
        </w:rPr>
        <w:t>vivo</w:t>
      </w:r>
      <w:proofErr w:type="spellEnd"/>
      <w:r w:rsidRPr="00225951">
        <w:rPr>
          <w:sz w:val="24"/>
          <w:szCs w:val="24"/>
          <w:lang w:eastAsia="da-DK"/>
        </w:rPr>
        <w:t xml:space="preserve"> ved </w:t>
      </w:r>
      <w:proofErr w:type="spellStart"/>
      <w:r w:rsidRPr="00225951">
        <w:rPr>
          <w:sz w:val="24"/>
          <w:szCs w:val="24"/>
          <w:lang w:eastAsia="da-DK"/>
        </w:rPr>
        <w:t>mikronukleus</w:t>
      </w:r>
      <w:proofErr w:type="spellEnd"/>
      <w:r w:rsidRPr="00225951">
        <w:rPr>
          <w:sz w:val="24"/>
          <w:szCs w:val="24"/>
          <w:lang w:eastAsia="da-DK"/>
        </w:rPr>
        <w:t xml:space="preserve">-test på mus. </w:t>
      </w:r>
    </w:p>
    <w:p w:rsidR="002F45B1" w:rsidRPr="00225951" w:rsidRDefault="002F45B1" w:rsidP="002F45B1">
      <w:pPr>
        <w:ind w:left="851"/>
        <w:rPr>
          <w:sz w:val="24"/>
          <w:szCs w:val="24"/>
          <w:lang w:eastAsia="da-DK"/>
        </w:rPr>
      </w:pPr>
    </w:p>
    <w:p w:rsidR="002F45B1" w:rsidRPr="00225951" w:rsidRDefault="002F45B1" w:rsidP="002F45B1">
      <w:pPr>
        <w:ind w:left="851"/>
        <w:rPr>
          <w:sz w:val="24"/>
          <w:szCs w:val="24"/>
          <w:lang w:eastAsia="da-DK"/>
        </w:rPr>
      </w:pPr>
      <w:r w:rsidRPr="00225951">
        <w:rPr>
          <w:sz w:val="24"/>
          <w:szCs w:val="24"/>
          <w:lang w:eastAsia="da-DK"/>
        </w:rPr>
        <w:t xml:space="preserve">Derimod har mutagene egenskaber ikke kunnet påvises ved </w:t>
      </w:r>
      <w:proofErr w:type="spellStart"/>
      <w:r w:rsidRPr="00225951">
        <w:rPr>
          <w:sz w:val="24"/>
          <w:szCs w:val="24"/>
          <w:lang w:eastAsia="da-DK"/>
        </w:rPr>
        <w:t>Ames</w:t>
      </w:r>
      <w:proofErr w:type="spellEnd"/>
      <w:r w:rsidRPr="00225951">
        <w:rPr>
          <w:sz w:val="24"/>
          <w:szCs w:val="24"/>
          <w:lang w:eastAsia="da-DK"/>
        </w:rPr>
        <w:t>-test.</w:t>
      </w:r>
    </w:p>
    <w:p w:rsidR="002F45B1" w:rsidRPr="00225951" w:rsidRDefault="002F45B1" w:rsidP="002F45B1">
      <w:pPr>
        <w:ind w:left="851"/>
        <w:rPr>
          <w:sz w:val="24"/>
          <w:szCs w:val="24"/>
          <w:lang w:eastAsia="da-DK"/>
        </w:rPr>
      </w:pPr>
    </w:p>
    <w:p w:rsidR="002F45B1" w:rsidRPr="00225951" w:rsidRDefault="002F45B1" w:rsidP="002F45B1">
      <w:pPr>
        <w:ind w:left="851"/>
        <w:rPr>
          <w:sz w:val="24"/>
          <w:szCs w:val="24"/>
          <w:lang w:eastAsia="da-DK"/>
        </w:rPr>
      </w:pPr>
      <w:r w:rsidRPr="00225951">
        <w:rPr>
          <w:sz w:val="24"/>
          <w:szCs w:val="24"/>
          <w:lang w:eastAsia="da-DK"/>
        </w:rPr>
        <w:t>Hos rotter, der blev behandlet 1 gang ugentligt i 13 uger med op til 150 mg/m2 (hvilket er mindre end halvdelen af den anbefalede humane dosis), blev der ikke set behandlingsinducerede tumorer 91 uger efter behandlingsafslutning.</w:t>
      </w:r>
    </w:p>
    <w:p w:rsidR="002F45B1" w:rsidRPr="00225951" w:rsidRDefault="002F45B1" w:rsidP="002F45B1">
      <w:pPr>
        <w:ind w:left="851"/>
        <w:rPr>
          <w:sz w:val="24"/>
          <w:szCs w:val="24"/>
          <w:lang w:eastAsia="da-DK"/>
        </w:rPr>
      </w:pPr>
    </w:p>
    <w:p w:rsidR="002F45B1" w:rsidRPr="00225951" w:rsidRDefault="002F45B1" w:rsidP="002F45B1">
      <w:pPr>
        <w:ind w:left="851"/>
        <w:rPr>
          <w:sz w:val="24"/>
          <w:szCs w:val="24"/>
          <w:lang w:eastAsia="da-DK"/>
        </w:rPr>
      </w:pPr>
      <w:r w:rsidRPr="00225951">
        <w:rPr>
          <w:sz w:val="24"/>
          <w:szCs w:val="24"/>
          <w:lang w:eastAsia="da-DK"/>
        </w:rPr>
        <w:t xml:space="preserve">Toksicitetsforsøg med </w:t>
      </w:r>
      <w:proofErr w:type="spellStart"/>
      <w:r w:rsidRPr="00225951">
        <w:rPr>
          <w:sz w:val="24"/>
          <w:szCs w:val="24"/>
          <w:lang w:eastAsia="da-DK"/>
        </w:rPr>
        <w:t>irinotecan</w:t>
      </w:r>
      <w:proofErr w:type="spellEnd"/>
      <w:r w:rsidRPr="00225951">
        <w:rPr>
          <w:sz w:val="24"/>
          <w:szCs w:val="24"/>
          <w:lang w:eastAsia="da-DK"/>
        </w:rPr>
        <w:t xml:space="preserve"> efter enkelt eller gentagen administration er udført på mus, rotter og hunde. De væsentlige toksiske virkninger blev fundet i det </w:t>
      </w:r>
      <w:proofErr w:type="spellStart"/>
      <w:r w:rsidRPr="00225951">
        <w:rPr>
          <w:sz w:val="24"/>
          <w:szCs w:val="24"/>
          <w:lang w:eastAsia="da-DK"/>
        </w:rPr>
        <w:t>hæmatopoietiske</w:t>
      </w:r>
      <w:proofErr w:type="spellEnd"/>
      <w:r w:rsidRPr="00225951">
        <w:rPr>
          <w:sz w:val="24"/>
          <w:szCs w:val="24"/>
          <w:lang w:eastAsia="da-DK"/>
        </w:rPr>
        <w:t xml:space="preserve"> og lymfatiske system. Hos hunde blev der rapporteret om sent indsættende diarré i forbindelse med atrofi og </w:t>
      </w:r>
      <w:proofErr w:type="spellStart"/>
      <w:r w:rsidRPr="00225951">
        <w:rPr>
          <w:sz w:val="24"/>
          <w:szCs w:val="24"/>
          <w:lang w:eastAsia="da-DK"/>
        </w:rPr>
        <w:t>fokal</w:t>
      </w:r>
      <w:proofErr w:type="spellEnd"/>
      <w:r w:rsidRPr="00225951">
        <w:rPr>
          <w:sz w:val="24"/>
          <w:szCs w:val="24"/>
          <w:lang w:eastAsia="da-DK"/>
        </w:rPr>
        <w:t xml:space="preserve"> nekrose af </w:t>
      </w:r>
      <w:proofErr w:type="spellStart"/>
      <w:r w:rsidRPr="00225951">
        <w:rPr>
          <w:sz w:val="24"/>
          <w:szCs w:val="24"/>
          <w:lang w:eastAsia="da-DK"/>
        </w:rPr>
        <w:t>tarmmucosa</w:t>
      </w:r>
      <w:proofErr w:type="spellEnd"/>
      <w:r w:rsidRPr="00225951">
        <w:rPr>
          <w:sz w:val="24"/>
          <w:szCs w:val="24"/>
          <w:lang w:eastAsia="da-DK"/>
        </w:rPr>
        <w:t xml:space="preserve">. Der blev også observeret </w:t>
      </w:r>
      <w:proofErr w:type="spellStart"/>
      <w:r w:rsidRPr="00225951">
        <w:rPr>
          <w:sz w:val="24"/>
          <w:szCs w:val="24"/>
          <w:lang w:eastAsia="da-DK"/>
        </w:rPr>
        <w:t>alopeci</w:t>
      </w:r>
      <w:proofErr w:type="spellEnd"/>
      <w:r w:rsidRPr="00225951">
        <w:rPr>
          <w:sz w:val="24"/>
          <w:szCs w:val="24"/>
          <w:lang w:eastAsia="da-DK"/>
        </w:rPr>
        <w:t xml:space="preserve"> hos hunde.</w:t>
      </w:r>
    </w:p>
    <w:p w:rsidR="002F45B1" w:rsidRPr="00225951" w:rsidRDefault="002F45B1" w:rsidP="002F45B1">
      <w:pPr>
        <w:ind w:left="851"/>
        <w:rPr>
          <w:sz w:val="24"/>
          <w:szCs w:val="24"/>
          <w:lang w:eastAsia="da-DK"/>
        </w:rPr>
      </w:pPr>
    </w:p>
    <w:p w:rsidR="002F45B1" w:rsidRPr="00225951" w:rsidRDefault="002F45B1" w:rsidP="002F45B1">
      <w:pPr>
        <w:ind w:left="851"/>
        <w:rPr>
          <w:b/>
          <w:bCs/>
          <w:sz w:val="24"/>
          <w:szCs w:val="24"/>
          <w:lang w:eastAsia="da-DK"/>
        </w:rPr>
      </w:pPr>
      <w:r w:rsidRPr="00225951">
        <w:rPr>
          <w:sz w:val="24"/>
          <w:szCs w:val="24"/>
          <w:lang w:eastAsia="da-DK"/>
        </w:rPr>
        <w:t>Sværhedsgraden af disse fund var dosisafhængig og reversibel.</w:t>
      </w:r>
    </w:p>
    <w:p w:rsidR="002F45B1" w:rsidRPr="00225951" w:rsidRDefault="002F45B1" w:rsidP="002F45B1">
      <w:pPr>
        <w:ind w:left="851"/>
        <w:rPr>
          <w:sz w:val="24"/>
          <w:szCs w:val="24"/>
          <w:u w:val="single"/>
          <w:lang w:eastAsia="da-DK"/>
        </w:rPr>
      </w:pPr>
    </w:p>
    <w:p w:rsidR="002F45B1" w:rsidRPr="00225951" w:rsidRDefault="002F45B1" w:rsidP="002F45B1">
      <w:pPr>
        <w:ind w:left="851"/>
        <w:rPr>
          <w:sz w:val="24"/>
          <w:szCs w:val="24"/>
          <w:u w:val="single"/>
          <w:lang w:eastAsia="da-DK"/>
        </w:rPr>
      </w:pPr>
      <w:r w:rsidRPr="00225951">
        <w:rPr>
          <w:sz w:val="24"/>
          <w:szCs w:val="24"/>
          <w:u w:val="single"/>
          <w:lang w:eastAsia="da-DK"/>
        </w:rPr>
        <w:t>Reproduktion</w:t>
      </w:r>
    </w:p>
    <w:p w:rsidR="002F45B1" w:rsidRPr="00225951" w:rsidRDefault="002F45B1" w:rsidP="002F45B1">
      <w:pPr>
        <w:ind w:left="851"/>
        <w:rPr>
          <w:sz w:val="24"/>
          <w:szCs w:val="24"/>
          <w:lang w:eastAsia="da-DK"/>
        </w:rPr>
      </w:pPr>
      <w:proofErr w:type="spellStart"/>
      <w:r w:rsidRPr="00225951">
        <w:rPr>
          <w:sz w:val="24"/>
          <w:szCs w:val="24"/>
          <w:lang w:eastAsia="da-DK"/>
        </w:rPr>
        <w:t>Irinotecan</w:t>
      </w:r>
      <w:proofErr w:type="spellEnd"/>
      <w:r w:rsidRPr="00225951">
        <w:rPr>
          <w:sz w:val="24"/>
          <w:szCs w:val="24"/>
          <w:lang w:eastAsia="da-DK"/>
        </w:rPr>
        <w:t xml:space="preserve"> viste </w:t>
      </w:r>
      <w:proofErr w:type="spellStart"/>
      <w:r w:rsidRPr="00225951">
        <w:rPr>
          <w:sz w:val="24"/>
          <w:szCs w:val="24"/>
          <w:lang w:eastAsia="da-DK"/>
        </w:rPr>
        <w:t>teratogen</w:t>
      </w:r>
      <w:proofErr w:type="spellEnd"/>
      <w:r w:rsidRPr="00225951">
        <w:rPr>
          <w:sz w:val="24"/>
          <w:szCs w:val="24"/>
          <w:lang w:eastAsia="da-DK"/>
        </w:rPr>
        <w:t xml:space="preserve"> effekt hos rotter og kaniner ved doser under den humane terapeutiske dosis.</w:t>
      </w:r>
    </w:p>
    <w:p w:rsidR="002F45B1" w:rsidRPr="00C84483" w:rsidRDefault="002F45B1" w:rsidP="002F45B1">
      <w:pPr>
        <w:ind w:left="851"/>
        <w:rPr>
          <w:sz w:val="24"/>
          <w:szCs w:val="24"/>
          <w:lang w:eastAsia="da-DK"/>
        </w:rPr>
      </w:pPr>
      <w:r w:rsidRPr="00225951">
        <w:rPr>
          <w:sz w:val="24"/>
          <w:szCs w:val="24"/>
          <w:lang w:eastAsia="da-DK"/>
        </w:rPr>
        <w:t xml:space="preserve">Behandlede rotters nyfødte unger, som havde ydre </w:t>
      </w:r>
      <w:proofErr w:type="spellStart"/>
      <w:r w:rsidRPr="00225951">
        <w:rPr>
          <w:sz w:val="24"/>
          <w:szCs w:val="24"/>
          <w:lang w:eastAsia="da-DK"/>
        </w:rPr>
        <w:t>abnormaliteter</w:t>
      </w:r>
      <w:proofErr w:type="spellEnd"/>
      <w:r w:rsidRPr="00225951">
        <w:rPr>
          <w:sz w:val="24"/>
          <w:szCs w:val="24"/>
          <w:lang w:eastAsia="da-DK"/>
        </w:rPr>
        <w:t xml:space="preserve">, viste nedsat fertilitet. Det fandt man ikke hos morfologisk normale unger. Hos drægtige rotter så man fald i placentaens vægt og i fosterets levedygtighed og stigning i adfærdsmæssige </w:t>
      </w:r>
      <w:proofErr w:type="spellStart"/>
      <w:r w:rsidRPr="00225951">
        <w:rPr>
          <w:sz w:val="24"/>
          <w:szCs w:val="24"/>
          <w:lang w:eastAsia="da-DK"/>
        </w:rPr>
        <w:t>abnormaliteter</w:t>
      </w:r>
      <w:proofErr w:type="spellEnd"/>
      <w:r w:rsidRPr="00225951">
        <w:rPr>
          <w:sz w:val="24"/>
          <w:szCs w:val="24"/>
          <w:lang w:eastAsia="da-DK"/>
        </w:rPr>
        <w:t>.</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F45B1" w:rsidRPr="00BA09F1"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6.1</w:t>
      </w:r>
      <w:r w:rsidRPr="00C84483">
        <w:rPr>
          <w:b/>
          <w:sz w:val="24"/>
          <w:szCs w:val="24"/>
        </w:rPr>
        <w:tab/>
        <w:t>Hjælpestoffer</w:t>
      </w:r>
    </w:p>
    <w:p w:rsidR="002F45B1" w:rsidRPr="00502688" w:rsidRDefault="002F45B1" w:rsidP="002F45B1">
      <w:pPr>
        <w:pStyle w:val="Normalindrykning"/>
        <w:spacing w:after="0"/>
        <w:ind w:left="851"/>
        <w:rPr>
          <w:sz w:val="24"/>
          <w:szCs w:val="24"/>
        </w:rPr>
      </w:pPr>
      <w:r w:rsidRPr="00502688">
        <w:rPr>
          <w:sz w:val="24"/>
          <w:szCs w:val="24"/>
        </w:rPr>
        <w:t>Sorbitol (E420)</w:t>
      </w:r>
    </w:p>
    <w:p w:rsidR="002F45B1" w:rsidRPr="00502688" w:rsidRDefault="002F45B1" w:rsidP="002F45B1">
      <w:pPr>
        <w:pStyle w:val="Normalindrykning"/>
        <w:spacing w:after="0"/>
        <w:ind w:left="851"/>
        <w:rPr>
          <w:sz w:val="24"/>
          <w:szCs w:val="24"/>
        </w:rPr>
      </w:pPr>
      <w:r w:rsidRPr="00502688">
        <w:rPr>
          <w:sz w:val="24"/>
          <w:szCs w:val="24"/>
        </w:rPr>
        <w:t>Mælkesyre</w:t>
      </w:r>
    </w:p>
    <w:p w:rsidR="002F45B1" w:rsidRPr="00502688" w:rsidRDefault="002F45B1" w:rsidP="002F45B1">
      <w:pPr>
        <w:pStyle w:val="Normalindrykning"/>
        <w:spacing w:after="0"/>
        <w:ind w:left="851"/>
        <w:rPr>
          <w:sz w:val="24"/>
          <w:szCs w:val="24"/>
        </w:rPr>
      </w:pPr>
      <w:r w:rsidRPr="00502688">
        <w:rPr>
          <w:sz w:val="24"/>
          <w:szCs w:val="24"/>
        </w:rPr>
        <w:t>Natriumhydroxid (til pH-justering)</w:t>
      </w:r>
    </w:p>
    <w:p w:rsidR="002F45B1" w:rsidRPr="00502688" w:rsidRDefault="002F45B1" w:rsidP="002F45B1">
      <w:pPr>
        <w:pStyle w:val="Normalindrykning"/>
        <w:spacing w:after="0"/>
        <w:ind w:left="851"/>
        <w:rPr>
          <w:sz w:val="24"/>
          <w:szCs w:val="24"/>
        </w:rPr>
      </w:pPr>
      <w:r w:rsidRPr="00502688">
        <w:rPr>
          <w:sz w:val="24"/>
          <w:szCs w:val="24"/>
        </w:rPr>
        <w:t>Saltsyre (til pH-justering)</w:t>
      </w:r>
    </w:p>
    <w:p w:rsidR="002F45B1" w:rsidRPr="00C84483" w:rsidRDefault="002F45B1" w:rsidP="002F45B1">
      <w:pPr>
        <w:pStyle w:val="Normalindrykning"/>
        <w:spacing w:after="0"/>
        <w:ind w:left="851"/>
        <w:rPr>
          <w:sz w:val="24"/>
          <w:szCs w:val="24"/>
        </w:rPr>
      </w:pPr>
      <w:r w:rsidRPr="00502688">
        <w:rPr>
          <w:sz w:val="24"/>
          <w:szCs w:val="24"/>
        </w:rPr>
        <w:t>Vand til injektionsvæsker</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6.2</w:t>
      </w:r>
      <w:r w:rsidRPr="00C84483">
        <w:rPr>
          <w:b/>
          <w:sz w:val="24"/>
          <w:szCs w:val="24"/>
        </w:rPr>
        <w:tab/>
        <w:t>Uforligeligheder</w:t>
      </w:r>
    </w:p>
    <w:p w:rsidR="002F45B1" w:rsidRDefault="002F45B1" w:rsidP="002F45B1">
      <w:pPr>
        <w:pStyle w:val="Normalindrykning"/>
        <w:spacing w:after="0"/>
        <w:ind w:left="851"/>
        <w:rPr>
          <w:sz w:val="24"/>
          <w:szCs w:val="24"/>
        </w:rPr>
      </w:pPr>
      <w:r w:rsidRPr="00502688">
        <w:rPr>
          <w:sz w:val="24"/>
          <w:szCs w:val="24"/>
        </w:rPr>
        <w:t>Dette lægemiddel må ikke anvendes samtidig med andre lægemidler med undtagelse af de</w:t>
      </w:r>
      <w:r>
        <w:rPr>
          <w:sz w:val="24"/>
          <w:szCs w:val="24"/>
        </w:rPr>
        <w:t>m</w:t>
      </w:r>
      <w:r w:rsidRPr="00502688">
        <w:rPr>
          <w:sz w:val="24"/>
          <w:szCs w:val="24"/>
        </w:rPr>
        <w:t>, der er nævnt i pkt. 6.6 (se også pkt. 4.2)</w:t>
      </w:r>
      <w:r>
        <w:rPr>
          <w:sz w:val="24"/>
          <w:szCs w:val="24"/>
        </w:rPr>
        <w:t>.</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6.3</w:t>
      </w:r>
      <w:r w:rsidRPr="00C84483">
        <w:rPr>
          <w:b/>
          <w:sz w:val="24"/>
          <w:szCs w:val="24"/>
        </w:rPr>
        <w:tab/>
        <w:t>Opbevaringstid</w:t>
      </w:r>
    </w:p>
    <w:p w:rsidR="002F45B1" w:rsidRPr="00502688" w:rsidRDefault="002F45B1" w:rsidP="002F45B1">
      <w:pPr>
        <w:pStyle w:val="Normalindrykning"/>
        <w:spacing w:after="0"/>
        <w:ind w:left="851"/>
        <w:rPr>
          <w:sz w:val="24"/>
          <w:szCs w:val="24"/>
        </w:rPr>
      </w:pPr>
      <w:r>
        <w:rPr>
          <w:sz w:val="24"/>
          <w:szCs w:val="24"/>
        </w:rPr>
        <w:t>U</w:t>
      </w:r>
      <w:r w:rsidRPr="00502688">
        <w:rPr>
          <w:sz w:val="24"/>
          <w:szCs w:val="24"/>
        </w:rPr>
        <w:t>​åbne</w:t>
      </w:r>
      <w:r>
        <w:rPr>
          <w:sz w:val="24"/>
          <w:szCs w:val="24"/>
        </w:rPr>
        <w:t>t: 3</w:t>
      </w:r>
      <w:r w:rsidRPr="00502688">
        <w:rPr>
          <w:sz w:val="24"/>
          <w:szCs w:val="24"/>
        </w:rPr>
        <w:t xml:space="preserve"> år.</w:t>
      </w:r>
    </w:p>
    <w:p w:rsidR="002F45B1" w:rsidRPr="00502688" w:rsidRDefault="002F45B1" w:rsidP="002F45B1">
      <w:pPr>
        <w:pStyle w:val="Normalindrykning"/>
        <w:spacing w:after="0"/>
        <w:ind w:left="851"/>
        <w:rPr>
          <w:sz w:val="24"/>
          <w:szCs w:val="24"/>
        </w:rPr>
      </w:pPr>
    </w:p>
    <w:p w:rsidR="002F45B1" w:rsidRPr="00502688" w:rsidRDefault="002F45B1" w:rsidP="002F45B1">
      <w:pPr>
        <w:pStyle w:val="Normalindrykning"/>
        <w:spacing w:after="0"/>
        <w:ind w:left="851"/>
        <w:rPr>
          <w:sz w:val="24"/>
          <w:szCs w:val="24"/>
        </w:rPr>
      </w:pPr>
      <w:proofErr w:type="spellStart"/>
      <w:r w:rsidRPr="00502688">
        <w:rPr>
          <w:sz w:val="24"/>
          <w:szCs w:val="24"/>
        </w:rPr>
        <w:lastRenderedPageBreak/>
        <w:t>Irinotecanopløsning</w:t>
      </w:r>
      <w:proofErr w:type="spellEnd"/>
      <w:r w:rsidRPr="00502688">
        <w:rPr>
          <w:sz w:val="24"/>
          <w:szCs w:val="24"/>
        </w:rPr>
        <w:t xml:space="preserve"> er fysisk og kemisk stabil med infusionsvæsker (0,9 % (vægt/volumen) </w:t>
      </w:r>
      <w:proofErr w:type="spellStart"/>
      <w:r w:rsidRPr="00502688">
        <w:rPr>
          <w:sz w:val="24"/>
          <w:szCs w:val="24"/>
        </w:rPr>
        <w:t>natriumchloridopløsning</w:t>
      </w:r>
      <w:proofErr w:type="spellEnd"/>
      <w:r w:rsidRPr="00502688">
        <w:rPr>
          <w:sz w:val="24"/>
          <w:szCs w:val="24"/>
        </w:rPr>
        <w:t xml:space="preserve"> og 5 % (vægt/volumen) </w:t>
      </w:r>
      <w:proofErr w:type="spellStart"/>
      <w:r w:rsidRPr="00502688">
        <w:rPr>
          <w:sz w:val="24"/>
          <w:szCs w:val="24"/>
        </w:rPr>
        <w:t>glucoseopløsning</w:t>
      </w:r>
      <w:proofErr w:type="spellEnd"/>
      <w:r w:rsidRPr="00502688">
        <w:rPr>
          <w:sz w:val="24"/>
          <w:szCs w:val="24"/>
        </w:rPr>
        <w:t>) i op til 28 dage ved opbevaring i LDPE- eller PVC-beholdere ved 5 °C eller ved 25 °C og beskyttet mod lys. Ved lyspåvirkning er der påvist fysisk-kemisk stabilitet i op til 3 dage.</w:t>
      </w:r>
    </w:p>
    <w:p w:rsidR="002F45B1" w:rsidRPr="00C84483" w:rsidRDefault="002F45B1" w:rsidP="002F45B1">
      <w:pPr>
        <w:pStyle w:val="Normalindrykning"/>
        <w:spacing w:after="0"/>
        <w:ind w:left="851"/>
        <w:rPr>
          <w:sz w:val="24"/>
          <w:szCs w:val="24"/>
        </w:rPr>
      </w:pPr>
      <w:r w:rsidRPr="00502688">
        <w:rPr>
          <w:sz w:val="24"/>
          <w:szCs w:val="24"/>
        </w:rPr>
        <w:t>Fra et mikrobiologisk synspunkt bør den fortyndede opløsning anvendes straks. Hvis præparatet ikke anvendes straks, er brugsopbevaringstider og -forhold før anvendelse brugerens ansvar. Det bør sædvanligvis ikke opbevares længere end 24 timer ved 2-8 °C, med mindre fortynding har fundet sted under kontrollerede og validerede aseptiske forhold.</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F45B1" w:rsidRPr="00DA1C52" w:rsidRDefault="002F45B1" w:rsidP="002F45B1">
      <w:pPr>
        <w:ind w:left="851"/>
        <w:rPr>
          <w:sz w:val="24"/>
          <w:szCs w:val="24"/>
          <w:lang w:eastAsia="da-DK"/>
        </w:rPr>
      </w:pPr>
      <w:r w:rsidRPr="00DA1C52">
        <w:rPr>
          <w:sz w:val="24"/>
          <w:szCs w:val="24"/>
          <w:lang w:eastAsia="da-DK"/>
        </w:rPr>
        <w:t xml:space="preserve">Opbevar hætteglasset i originalemballagen for at beskytte mod lys. </w:t>
      </w:r>
    </w:p>
    <w:p w:rsidR="002F45B1" w:rsidRPr="00DA1C52" w:rsidRDefault="002F45B1" w:rsidP="002F45B1">
      <w:pPr>
        <w:ind w:left="851"/>
        <w:rPr>
          <w:sz w:val="24"/>
          <w:szCs w:val="24"/>
          <w:lang w:eastAsia="da-DK"/>
        </w:rPr>
      </w:pPr>
      <w:r w:rsidRPr="00DA1C52">
        <w:rPr>
          <w:sz w:val="24"/>
          <w:szCs w:val="24"/>
          <w:lang w:eastAsia="da-DK"/>
        </w:rPr>
        <w:t>Må ikke nedfryses.</w:t>
      </w:r>
    </w:p>
    <w:p w:rsidR="002F45B1" w:rsidRPr="00DA1C52" w:rsidRDefault="002F45B1" w:rsidP="002F45B1">
      <w:pPr>
        <w:ind w:left="851"/>
        <w:rPr>
          <w:sz w:val="24"/>
          <w:szCs w:val="24"/>
          <w:lang w:eastAsia="da-DK"/>
        </w:rPr>
      </w:pPr>
    </w:p>
    <w:p w:rsidR="002F45B1" w:rsidRPr="00C84483" w:rsidRDefault="002F45B1" w:rsidP="002F45B1">
      <w:pPr>
        <w:ind w:left="851"/>
        <w:rPr>
          <w:sz w:val="24"/>
          <w:szCs w:val="24"/>
          <w:lang w:eastAsia="da-DK"/>
        </w:rPr>
      </w:pPr>
      <w:r w:rsidRPr="00DA1C52">
        <w:rPr>
          <w:sz w:val="24"/>
          <w:szCs w:val="24"/>
          <w:lang w:eastAsia="da-DK"/>
        </w:rPr>
        <w:t>Opbevaringsforhold for det fortyndede lægemiddel, se pkt. 6.3.</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166BA" w:rsidRDefault="008166BA" w:rsidP="002F45B1">
      <w:pPr>
        <w:shd w:val="clear" w:color="auto" w:fill="FFFFFF"/>
        <w:ind w:left="851"/>
        <w:rPr>
          <w:sz w:val="24"/>
          <w:szCs w:val="24"/>
          <w:shd w:val="clear" w:color="000000" w:fill="auto"/>
          <w:lang w:eastAsia="da-DK"/>
        </w:rPr>
      </w:pPr>
    </w:p>
    <w:p w:rsidR="008166BA" w:rsidRPr="00DD2141" w:rsidRDefault="008166BA" w:rsidP="008166BA">
      <w:pPr>
        <w:shd w:val="clear" w:color="auto" w:fill="FFFFFF"/>
        <w:ind w:left="851"/>
        <w:rPr>
          <w:rStyle w:val="goohl1"/>
          <w:sz w:val="24"/>
          <w:szCs w:val="24"/>
          <w:shd w:val="clear" w:color="auto" w:fill="FFFFFF"/>
        </w:rPr>
      </w:pPr>
      <w:r w:rsidRPr="00DD2141">
        <w:rPr>
          <w:rStyle w:val="goohl1"/>
          <w:sz w:val="24"/>
          <w:szCs w:val="24"/>
          <w:shd w:val="clear" w:color="auto" w:fill="FFFFFF"/>
        </w:rPr>
        <w:t>2 ml:</w:t>
      </w:r>
    </w:p>
    <w:p w:rsidR="008166BA" w:rsidRDefault="008166BA" w:rsidP="008166BA">
      <w:pPr>
        <w:shd w:val="clear" w:color="auto" w:fill="FFFFFF"/>
        <w:ind w:left="851"/>
        <w:rPr>
          <w:lang w:eastAsia="da-DK"/>
        </w:rPr>
      </w:pPr>
      <w:r>
        <w:rPr>
          <w:rStyle w:val="goohl1"/>
          <w:sz w:val="24"/>
          <w:szCs w:val="24"/>
          <w:shd w:val="clear" w:color="auto" w:fill="FFFFFF"/>
        </w:rPr>
        <w:t xml:space="preserve">Koncentratet til infusionsvæske, opløsning, er påfyldt 5 ml ravfarvede hætteglas af type I, lukket med en </w:t>
      </w:r>
      <w:r>
        <w:rPr>
          <w:sz w:val="24"/>
          <w:szCs w:val="24"/>
          <w:lang w:eastAsia="da-DK"/>
        </w:rPr>
        <w:t xml:space="preserve">grå </w:t>
      </w:r>
      <w:proofErr w:type="spellStart"/>
      <w:r>
        <w:rPr>
          <w:sz w:val="24"/>
          <w:szCs w:val="24"/>
          <w:lang w:eastAsia="da-DK"/>
        </w:rPr>
        <w:t>chlorobutylgummiprop</w:t>
      </w:r>
      <w:proofErr w:type="spellEnd"/>
      <w:r>
        <w:rPr>
          <w:sz w:val="24"/>
          <w:szCs w:val="24"/>
          <w:lang w:eastAsia="da-DK"/>
        </w:rPr>
        <w:t xml:space="preserve"> og orange flip-</w:t>
      </w:r>
      <w:proofErr w:type="spellStart"/>
      <w:r>
        <w:rPr>
          <w:sz w:val="24"/>
          <w:szCs w:val="24"/>
          <w:lang w:eastAsia="da-DK"/>
        </w:rPr>
        <w:t>off</w:t>
      </w:r>
      <w:proofErr w:type="spellEnd"/>
      <w:r>
        <w:rPr>
          <w:sz w:val="24"/>
          <w:szCs w:val="24"/>
          <w:lang w:eastAsia="da-DK"/>
        </w:rPr>
        <w:t>-aluminiumsforsegling.</w:t>
      </w:r>
    </w:p>
    <w:p w:rsidR="008166BA" w:rsidRDefault="008166BA" w:rsidP="008166BA">
      <w:pPr>
        <w:shd w:val="clear" w:color="auto" w:fill="FFFFFF"/>
        <w:ind w:left="851"/>
        <w:rPr>
          <w:sz w:val="24"/>
          <w:szCs w:val="24"/>
          <w:lang w:eastAsia="da-DK"/>
        </w:rPr>
      </w:pPr>
    </w:p>
    <w:p w:rsidR="008166BA" w:rsidRDefault="008166BA" w:rsidP="00DF5ED3">
      <w:pPr>
        <w:keepNext/>
        <w:shd w:val="clear" w:color="auto" w:fill="FFFFFF"/>
        <w:ind w:left="851"/>
        <w:rPr>
          <w:sz w:val="24"/>
          <w:szCs w:val="24"/>
          <w:lang w:eastAsia="da-DK"/>
        </w:rPr>
      </w:pPr>
      <w:r>
        <w:rPr>
          <w:sz w:val="24"/>
          <w:szCs w:val="24"/>
          <w:lang w:eastAsia="da-DK"/>
        </w:rPr>
        <w:t>5 ml:</w:t>
      </w:r>
    </w:p>
    <w:p w:rsidR="008166BA" w:rsidRDefault="008166BA" w:rsidP="008166BA">
      <w:pPr>
        <w:shd w:val="clear" w:color="auto" w:fill="FFFFFF"/>
        <w:ind w:left="851"/>
        <w:rPr>
          <w:sz w:val="24"/>
          <w:szCs w:val="24"/>
          <w:lang w:eastAsia="da-DK"/>
        </w:rPr>
      </w:pPr>
      <w:r>
        <w:rPr>
          <w:rStyle w:val="goohl1"/>
          <w:sz w:val="24"/>
          <w:szCs w:val="24"/>
          <w:shd w:val="clear" w:color="auto" w:fill="FFFFFF"/>
        </w:rPr>
        <w:t xml:space="preserve">Koncentratet til infusionsvæske, opløsning, er påfyldt 5 ml ravfarvede hætteglas af type I, lukket med en </w:t>
      </w:r>
      <w:r>
        <w:rPr>
          <w:sz w:val="24"/>
          <w:szCs w:val="24"/>
          <w:lang w:eastAsia="da-DK"/>
        </w:rPr>
        <w:t xml:space="preserve">grå </w:t>
      </w:r>
      <w:proofErr w:type="spellStart"/>
      <w:r>
        <w:rPr>
          <w:sz w:val="24"/>
          <w:szCs w:val="24"/>
          <w:lang w:eastAsia="da-DK"/>
        </w:rPr>
        <w:t>chlorobutylgummiprop</w:t>
      </w:r>
      <w:proofErr w:type="spellEnd"/>
      <w:r>
        <w:rPr>
          <w:sz w:val="24"/>
          <w:szCs w:val="24"/>
          <w:lang w:eastAsia="da-DK"/>
        </w:rPr>
        <w:t xml:space="preserve"> og rød flip-</w:t>
      </w:r>
      <w:proofErr w:type="spellStart"/>
      <w:r>
        <w:rPr>
          <w:sz w:val="24"/>
          <w:szCs w:val="24"/>
          <w:lang w:eastAsia="da-DK"/>
        </w:rPr>
        <w:t>off</w:t>
      </w:r>
      <w:proofErr w:type="spellEnd"/>
      <w:r>
        <w:rPr>
          <w:sz w:val="24"/>
          <w:szCs w:val="24"/>
          <w:lang w:eastAsia="da-DK"/>
        </w:rPr>
        <w:t>-aluminiumsforsegling.</w:t>
      </w:r>
    </w:p>
    <w:p w:rsidR="008166BA" w:rsidRDefault="008166BA" w:rsidP="008166BA">
      <w:pPr>
        <w:shd w:val="clear" w:color="auto" w:fill="FFFFFF"/>
        <w:ind w:left="851"/>
        <w:rPr>
          <w:sz w:val="24"/>
          <w:szCs w:val="24"/>
          <w:lang w:eastAsia="da-DK"/>
        </w:rPr>
      </w:pPr>
    </w:p>
    <w:p w:rsidR="008166BA" w:rsidRDefault="008166BA" w:rsidP="008166BA">
      <w:pPr>
        <w:shd w:val="clear" w:color="auto" w:fill="FFFFFF"/>
        <w:ind w:left="851"/>
        <w:rPr>
          <w:sz w:val="24"/>
          <w:szCs w:val="24"/>
          <w:lang w:eastAsia="da-DK"/>
        </w:rPr>
      </w:pPr>
      <w:r>
        <w:rPr>
          <w:sz w:val="24"/>
          <w:szCs w:val="24"/>
          <w:lang w:eastAsia="da-DK"/>
        </w:rPr>
        <w:t>15 ml:</w:t>
      </w:r>
    </w:p>
    <w:p w:rsidR="008166BA" w:rsidRDefault="008166BA" w:rsidP="008166BA">
      <w:pPr>
        <w:shd w:val="clear" w:color="auto" w:fill="FFFFFF"/>
        <w:ind w:left="851"/>
        <w:rPr>
          <w:sz w:val="24"/>
          <w:szCs w:val="24"/>
          <w:lang w:eastAsia="da-DK"/>
        </w:rPr>
      </w:pPr>
      <w:r>
        <w:rPr>
          <w:rStyle w:val="goohl1"/>
          <w:sz w:val="24"/>
          <w:szCs w:val="24"/>
          <w:shd w:val="clear" w:color="auto" w:fill="FFFFFF"/>
        </w:rPr>
        <w:t xml:space="preserve">Koncentratet til infusionsvæske, opløsning, er påfyldt 20 ml ravfarvede hætteglas af type I, lukket med en </w:t>
      </w:r>
      <w:r>
        <w:rPr>
          <w:sz w:val="24"/>
          <w:szCs w:val="24"/>
          <w:lang w:eastAsia="da-DK"/>
        </w:rPr>
        <w:t xml:space="preserve">grå </w:t>
      </w:r>
      <w:proofErr w:type="spellStart"/>
      <w:r>
        <w:rPr>
          <w:sz w:val="24"/>
          <w:szCs w:val="24"/>
          <w:lang w:eastAsia="da-DK"/>
        </w:rPr>
        <w:t>chlorobutylgummiprop</w:t>
      </w:r>
      <w:proofErr w:type="spellEnd"/>
      <w:r>
        <w:rPr>
          <w:sz w:val="24"/>
          <w:szCs w:val="24"/>
          <w:lang w:eastAsia="da-DK"/>
        </w:rPr>
        <w:t xml:space="preserve"> og orange flip-</w:t>
      </w:r>
      <w:proofErr w:type="spellStart"/>
      <w:r>
        <w:rPr>
          <w:sz w:val="24"/>
          <w:szCs w:val="24"/>
          <w:lang w:eastAsia="da-DK"/>
        </w:rPr>
        <w:t>off</w:t>
      </w:r>
      <w:proofErr w:type="spellEnd"/>
      <w:r>
        <w:rPr>
          <w:sz w:val="24"/>
          <w:szCs w:val="24"/>
          <w:lang w:eastAsia="da-DK"/>
        </w:rPr>
        <w:t>-aluminiumsforsegling.</w:t>
      </w:r>
    </w:p>
    <w:p w:rsidR="008166BA" w:rsidRPr="00DD2141" w:rsidRDefault="008166BA" w:rsidP="008166BA">
      <w:pPr>
        <w:shd w:val="clear" w:color="auto" w:fill="FFFFFF"/>
        <w:ind w:left="851"/>
        <w:rPr>
          <w:sz w:val="24"/>
          <w:szCs w:val="24"/>
          <w:lang w:eastAsia="da-DK"/>
        </w:rPr>
      </w:pPr>
    </w:p>
    <w:p w:rsidR="008166BA" w:rsidRDefault="008166BA" w:rsidP="008166BA">
      <w:pPr>
        <w:shd w:val="clear" w:color="auto" w:fill="FFFFFF"/>
        <w:ind w:left="851"/>
        <w:rPr>
          <w:sz w:val="24"/>
          <w:szCs w:val="24"/>
          <w:lang w:eastAsia="da-DK"/>
        </w:rPr>
      </w:pPr>
      <w:r>
        <w:rPr>
          <w:sz w:val="24"/>
          <w:szCs w:val="24"/>
          <w:lang w:eastAsia="da-DK"/>
        </w:rPr>
        <w:t>25 ml:</w:t>
      </w:r>
    </w:p>
    <w:p w:rsidR="008166BA" w:rsidRDefault="008166BA" w:rsidP="008166BA">
      <w:pPr>
        <w:shd w:val="clear" w:color="auto" w:fill="FFFFFF"/>
        <w:ind w:left="851"/>
        <w:rPr>
          <w:sz w:val="24"/>
          <w:szCs w:val="24"/>
          <w:lang w:eastAsia="da-DK"/>
        </w:rPr>
      </w:pPr>
      <w:r>
        <w:rPr>
          <w:rStyle w:val="goohl1"/>
          <w:sz w:val="24"/>
          <w:szCs w:val="24"/>
          <w:shd w:val="clear" w:color="auto" w:fill="FFFFFF"/>
        </w:rPr>
        <w:t xml:space="preserve">Koncentratet til infusionsvæske, opløsning, er påfyldt 30 ml ravfarvede hætteglas af type I, lukket med en </w:t>
      </w:r>
      <w:r>
        <w:rPr>
          <w:sz w:val="24"/>
          <w:szCs w:val="24"/>
          <w:lang w:eastAsia="da-DK"/>
        </w:rPr>
        <w:t xml:space="preserve">grå </w:t>
      </w:r>
      <w:proofErr w:type="spellStart"/>
      <w:r>
        <w:rPr>
          <w:sz w:val="24"/>
          <w:szCs w:val="24"/>
          <w:lang w:eastAsia="da-DK"/>
        </w:rPr>
        <w:t>chlorobutylgummiprop</w:t>
      </w:r>
      <w:proofErr w:type="spellEnd"/>
      <w:r>
        <w:rPr>
          <w:sz w:val="24"/>
          <w:szCs w:val="24"/>
          <w:lang w:eastAsia="da-DK"/>
        </w:rPr>
        <w:t xml:space="preserve"> og orange flip-</w:t>
      </w:r>
      <w:proofErr w:type="spellStart"/>
      <w:r>
        <w:rPr>
          <w:sz w:val="24"/>
          <w:szCs w:val="24"/>
          <w:lang w:eastAsia="da-DK"/>
        </w:rPr>
        <w:t>off</w:t>
      </w:r>
      <w:proofErr w:type="spellEnd"/>
      <w:r>
        <w:rPr>
          <w:sz w:val="24"/>
          <w:szCs w:val="24"/>
          <w:lang w:eastAsia="da-DK"/>
        </w:rPr>
        <w:t>-aluminiumsforsegling.</w:t>
      </w:r>
    </w:p>
    <w:p w:rsidR="008166BA" w:rsidRPr="00DD2141" w:rsidRDefault="008166BA" w:rsidP="008166BA">
      <w:pPr>
        <w:shd w:val="clear" w:color="auto" w:fill="FFFFFF"/>
        <w:ind w:left="851"/>
        <w:rPr>
          <w:rStyle w:val="goohl1"/>
          <w:shd w:val="clear" w:color="auto" w:fill="FFFFFF"/>
        </w:rPr>
      </w:pPr>
    </w:p>
    <w:p w:rsidR="008166BA" w:rsidRDefault="008166BA" w:rsidP="008166BA">
      <w:pPr>
        <w:shd w:val="clear" w:color="auto" w:fill="FFFFFF"/>
        <w:ind w:left="851"/>
        <w:rPr>
          <w:rStyle w:val="goohl1"/>
          <w:sz w:val="24"/>
          <w:szCs w:val="24"/>
          <w:shd w:val="clear" w:color="auto" w:fill="FFFFFF"/>
        </w:rPr>
      </w:pPr>
      <w:r>
        <w:rPr>
          <w:rStyle w:val="goohl1"/>
          <w:sz w:val="24"/>
          <w:szCs w:val="24"/>
          <w:shd w:val="clear" w:color="auto" w:fill="FFFFFF"/>
        </w:rPr>
        <w:t>50 ml:</w:t>
      </w:r>
    </w:p>
    <w:p w:rsidR="008166BA" w:rsidRDefault="008166BA" w:rsidP="008166BA">
      <w:pPr>
        <w:shd w:val="clear" w:color="auto" w:fill="FFFFFF"/>
        <w:ind w:left="851"/>
        <w:rPr>
          <w:rStyle w:val="goohl1"/>
          <w:sz w:val="24"/>
          <w:szCs w:val="24"/>
          <w:shd w:val="clear" w:color="auto" w:fill="FFFFFF"/>
        </w:rPr>
      </w:pPr>
      <w:r>
        <w:rPr>
          <w:rStyle w:val="goohl1"/>
          <w:sz w:val="24"/>
          <w:szCs w:val="24"/>
          <w:shd w:val="clear" w:color="auto" w:fill="FFFFFF"/>
        </w:rPr>
        <w:t>K</w:t>
      </w:r>
      <w:r>
        <w:rPr>
          <w:sz w:val="24"/>
          <w:szCs w:val="24"/>
          <w:shd w:val="clear" w:color="auto" w:fill="FFFFFF"/>
        </w:rPr>
        <w:t>oncentratet til infusionsvæske, opløsning, er påfyldt</w:t>
      </w:r>
      <w:r>
        <w:rPr>
          <w:rStyle w:val="goohl1"/>
          <w:sz w:val="24"/>
          <w:szCs w:val="24"/>
          <w:shd w:val="clear" w:color="auto" w:fill="FFFFFF"/>
        </w:rPr>
        <w:t xml:space="preserve"> 50 ml ravfarvede hætteglas af USP-type I, lukket med en grå </w:t>
      </w:r>
      <w:proofErr w:type="spellStart"/>
      <w:r>
        <w:rPr>
          <w:rStyle w:val="goohl1"/>
          <w:sz w:val="24"/>
          <w:szCs w:val="24"/>
          <w:shd w:val="clear" w:color="auto" w:fill="FFFFFF"/>
        </w:rPr>
        <w:t>westar</w:t>
      </w:r>
      <w:proofErr w:type="spellEnd"/>
      <w:r>
        <w:rPr>
          <w:rStyle w:val="goohl1"/>
          <w:sz w:val="24"/>
          <w:szCs w:val="24"/>
          <w:shd w:val="clear" w:color="auto" w:fill="FFFFFF"/>
        </w:rPr>
        <w:t>-silikonegummiprop 1 og orange flip-</w:t>
      </w:r>
      <w:proofErr w:type="spellStart"/>
      <w:r>
        <w:rPr>
          <w:rStyle w:val="goohl1"/>
          <w:sz w:val="24"/>
          <w:szCs w:val="24"/>
          <w:shd w:val="clear" w:color="auto" w:fill="FFFFFF"/>
        </w:rPr>
        <w:t>off</w:t>
      </w:r>
      <w:proofErr w:type="spellEnd"/>
      <w:r>
        <w:rPr>
          <w:rStyle w:val="goohl1"/>
          <w:sz w:val="24"/>
          <w:szCs w:val="24"/>
          <w:shd w:val="clear" w:color="auto" w:fill="FFFFFF"/>
        </w:rPr>
        <w:t>-aluminiumsforsegling.</w:t>
      </w:r>
    </w:p>
    <w:p w:rsidR="008166BA" w:rsidRDefault="008166BA" w:rsidP="008166BA">
      <w:pPr>
        <w:shd w:val="clear" w:color="auto" w:fill="FFFFFF"/>
        <w:ind w:left="851"/>
        <w:rPr>
          <w:lang w:eastAsia="da-DK"/>
        </w:rPr>
      </w:pPr>
    </w:p>
    <w:p w:rsidR="008166BA" w:rsidRPr="00DD2141" w:rsidRDefault="008166BA" w:rsidP="008166BA">
      <w:pPr>
        <w:shd w:val="clear" w:color="auto" w:fill="FFFFFF"/>
        <w:ind w:left="851"/>
        <w:rPr>
          <w:sz w:val="24"/>
          <w:szCs w:val="24"/>
          <w:lang w:eastAsia="da-DK"/>
        </w:rPr>
      </w:pPr>
      <w:r w:rsidRPr="00DD2141">
        <w:rPr>
          <w:sz w:val="24"/>
          <w:szCs w:val="24"/>
          <w:lang w:eastAsia="da-DK"/>
        </w:rPr>
        <w:t>Pakningsstørrelser:</w:t>
      </w:r>
    </w:p>
    <w:p w:rsidR="008166BA" w:rsidRPr="00DD2141" w:rsidRDefault="008166BA" w:rsidP="008166BA">
      <w:pPr>
        <w:shd w:val="clear" w:color="auto" w:fill="FFFFFF"/>
        <w:ind w:left="851"/>
        <w:rPr>
          <w:sz w:val="24"/>
          <w:szCs w:val="24"/>
          <w:lang w:eastAsia="da-DK"/>
        </w:rPr>
      </w:pPr>
      <w:r w:rsidRPr="00DD2141">
        <w:rPr>
          <w:sz w:val="24"/>
          <w:szCs w:val="24"/>
          <w:lang w:eastAsia="da-DK"/>
        </w:rPr>
        <w:t>2 ml</w:t>
      </w:r>
    </w:p>
    <w:p w:rsidR="008166BA" w:rsidRPr="00DD2141" w:rsidRDefault="008166BA" w:rsidP="008166BA">
      <w:pPr>
        <w:shd w:val="clear" w:color="auto" w:fill="FFFFFF"/>
        <w:ind w:left="851"/>
        <w:rPr>
          <w:sz w:val="24"/>
          <w:szCs w:val="24"/>
          <w:lang w:eastAsia="da-DK"/>
        </w:rPr>
      </w:pPr>
      <w:r w:rsidRPr="00DD2141">
        <w:rPr>
          <w:sz w:val="24"/>
          <w:szCs w:val="24"/>
          <w:lang w:eastAsia="da-DK"/>
        </w:rPr>
        <w:t xml:space="preserve">5 ml </w:t>
      </w:r>
    </w:p>
    <w:p w:rsidR="008166BA" w:rsidRPr="00DD2141" w:rsidRDefault="008166BA" w:rsidP="008166BA">
      <w:pPr>
        <w:shd w:val="clear" w:color="auto" w:fill="FFFFFF"/>
        <w:ind w:left="851"/>
        <w:rPr>
          <w:sz w:val="24"/>
          <w:szCs w:val="24"/>
          <w:lang w:eastAsia="da-DK"/>
        </w:rPr>
      </w:pPr>
      <w:r w:rsidRPr="00DD2141">
        <w:rPr>
          <w:sz w:val="24"/>
          <w:szCs w:val="24"/>
          <w:lang w:eastAsia="da-DK"/>
        </w:rPr>
        <w:t>15 ml</w:t>
      </w:r>
    </w:p>
    <w:p w:rsidR="008166BA" w:rsidRPr="00DD2141" w:rsidRDefault="008166BA" w:rsidP="008166BA">
      <w:pPr>
        <w:shd w:val="clear" w:color="auto" w:fill="FFFFFF"/>
        <w:ind w:left="851"/>
        <w:rPr>
          <w:sz w:val="24"/>
          <w:szCs w:val="24"/>
          <w:lang w:eastAsia="da-DK"/>
        </w:rPr>
      </w:pPr>
      <w:r w:rsidRPr="00DD2141">
        <w:rPr>
          <w:sz w:val="24"/>
          <w:szCs w:val="24"/>
          <w:lang w:eastAsia="da-DK"/>
        </w:rPr>
        <w:t>25 ml</w:t>
      </w:r>
    </w:p>
    <w:p w:rsidR="008166BA" w:rsidRPr="00DD2141" w:rsidRDefault="008166BA" w:rsidP="008166BA">
      <w:pPr>
        <w:shd w:val="clear" w:color="auto" w:fill="FFFFFF"/>
        <w:ind w:left="851"/>
        <w:rPr>
          <w:sz w:val="24"/>
          <w:szCs w:val="24"/>
          <w:lang w:eastAsia="da-DK"/>
        </w:rPr>
      </w:pPr>
      <w:r w:rsidRPr="00DD2141">
        <w:rPr>
          <w:sz w:val="24"/>
          <w:szCs w:val="24"/>
          <w:lang w:eastAsia="da-DK"/>
        </w:rPr>
        <w:t>50 ml</w:t>
      </w:r>
    </w:p>
    <w:p w:rsidR="002F45B1" w:rsidRDefault="002F45B1" w:rsidP="002F45B1">
      <w:pPr>
        <w:shd w:val="clear" w:color="auto" w:fill="FFFFFF"/>
        <w:autoSpaceDE w:val="0"/>
        <w:autoSpaceDN w:val="0"/>
        <w:adjustRightInd w:val="0"/>
        <w:ind w:left="851"/>
        <w:rPr>
          <w:sz w:val="24"/>
          <w:szCs w:val="24"/>
          <w:shd w:val="clear" w:color="000000" w:fill="auto"/>
          <w:lang w:eastAsia="da-DK"/>
        </w:rPr>
      </w:pPr>
    </w:p>
    <w:p w:rsidR="002F45B1" w:rsidRPr="009925CE" w:rsidRDefault="002F45B1" w:rsidP="002F45B1">
      <w:pPr>
        <w:shd w:val="clear" w:color="auto" w:fill="FFFFFF"/>
        <w:autoSpaceDE w:val="0"/>
        <w:autoSpaceDN w:val="0"/>
        <w:adjustRightInd w:val="0"/>
        <w:ind w:left="851"/>
        <w:rPr>
          <w:sz w:val="24"/>
          <w:szCs w:val="24"/>
          <w:shd w:val="clear" w:color="000000" w:fill="auto"/>
          <w:lang w:eastAsia="da-DK"/>
        </w:rPr>
      </w:pPr>
      <w:r w:rsidRPr="005A4945">
        <w:rPr>
          <w:sz w:val="24"/>
          <w:szCs w:val="24"/>
          <w:shd w:val="clear" w:color="000000" w:fill="auto"/>
          <w:lang w:eastAsia="da-DK"/>
        </w:rPr>
        <w:t>Ikke alle pakningsstørrelser er nødvendigvis markedsført.</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B1FA6">
        <w:rPr>
          <w:b/>
          <w:sz w:val="24"/>
          <w:szCs w:val="24"/>
        </w:rPr>
        <w:t>bortskaffelse</w:t>
      </w:r>
      <w:r w:rsidRPr="00C84483">
        <w:rPr>
          <w:b/>
          <w:sz w:val="24"/>
          <w:szCs w:val="24"/>
        </w:rPr>
        <w:t xml:space="preserve"> og anden håndtering</w:t>
      </w:r>
    </w:p>
    <w:p w:rsidR="002F45B1" w:rsidRPr="00CD3164" w:rsidRDefault="002F45B1" w:rsidP="002F45B1">
      <w:pPr>
        <w:shd w:val="clear" w:color="auto" w:fill="FFFFFF"/>
        <w:ind w:left="851"/>
        <w:rPr>
          <w:color w:val="000000"/>
          <w:sz w:val="24"/>
          <w:szCs w:val="24"/>
          <w:lang w:eastAsia="da-DK"/>
        </w:rPr>
      </w:pPr>
      <w:r w:rsidRPr="00CD3164">
        <w:rPr>
          <w:color w:val="000000"/>
          <w:sz w:val="24"/>
          <w:szCs w:val="24"/>
          <w:lang w:eastAsia="da-DK"/>
        </w:rPr>
        <w:t xml:space="preserve">Som ved andre </w:t>
      </w:r>
      <w:proofErr w:type="spellStart"/>
      <w:r w:rsidRPr="00CD3164">
        <w:rPr>
          <w:color w:val="000000"/>
          <w:sz w:val="24"/>
          <w:szCs w:val="24"/>
          <w:lang w:eastAsia="da-DK"/>
        </w:rPr>
        <w:t>antineoplastiske</w:t>
      </w:r>
      <w:proofErr w:type="spellEnd"/>
      <w:r w:rsidRPr="00CD3164">
        <w:rPr>
          <w:color w:val="000000"/>
          <w:sz w:val="24"/>
          <w:szCs w:val="24"/>
          <w:lang w:eastAsia="da-DK"/>
        </w:rPr>
        <w:t xml:space="preserve"> midler bør </w:t>
      </w:r>
      <w:proofErr w:type="spellStart"/>
      <w:r w:rsidRPr="00CD3164">
        <w:rPr>
          <w:color w:val="000000"/>
          <w:sz w:val="24"/>
          <w:szCs w:val="24"/>
          <w:lang w:eastAsia="da-DK"/>
        </w:rPr>
        <w:t>irinotecan</w:t>
      </w:r>
      <w:proofErr w:type="spellEnd"/>
      <w:r w:rsidRPr="00CD3164">
        <w:rPr>
          <w:color w:val="000000"/>
          <w:sz w:val="24"/>
          <w:szCs w:val="24"/>
          <w:lang w:eastAsia="da-DK"/>
        </w:rPr>
        <w:t>-injektioner klargøres og håndteres med forsigtighed. Særligt sikkerhedskabinet bør benyttes ligesom beskyttelseshandsker og -kittel. Findes der ikke e</w:t>
      </w:r>
      <w:r>
        <w:rPr>
          <w:color w:val="000000"/>
          <w:sz w:val="24"/>
          <w:szCs w:val="24"/>
          <w:lang w:eastAsia="da-DK"/>
        </w:rPr>
        <w:t>n</w:t>
      </w:r>
      <w:r w:rsidRPr="00CD3164">
        <w:rPr>
          <w:color w:val="000000"/>
          <w:sz w:val="24"/>
          <w:szCs w:val="24"/>
          <w:lang w:eastAsia="da-DK"/>
        </w:rPr>
        <w:t xml:space="preserve"> særlig sikkerhedskabine, skal der benyttes maske og briller.</w:t>
      </w:r>
    </w:p>
    <w:p w:rsidR="002F45B1" w:rsidRPr="00CD3164" w:rsidRDefault="002F45B1" w:rsidP="002F45B1">
      <w:pPr>
        <w:shd w:val="clear" w:color="auto" w:fill="FFFFFF"/>
        <w:ind w:left="851"/>
        <w:rPr>
          <w:color w:val="000000"/>
          <w:sz w:val="24"/>
          <w:szCs w:val="24"/>
          <w:lang w:eastAsia="da-DK"/>
        </w:rPr>
      </w:pPr>
    </w:p>
    <w:p w:rsidR="002F45B1" w:rsidRPr="00CD3164" w:rsidRDefault="002F45B1" w:rsidP="002F45B1">
      <w:pPr>
        <w:shd w:val="clear" w:color="auto" w:fill="FFFFFF"/>
        <w:ind w:left="851"/>
        <w:rPr>
          <w:color w:val="000000"/>
          <w:sz w:val="24"/>
          <w:szCs w:val="24"/>
          <w:lang w:eastAsia="da-DK"/>
        </w:rPr>
      </w:pPr>
      <w:r w:rsidRPr="00CD3164">
        <w:rPr>
          <w:color w:val="000000"/>
          <w:sz w:val="24"/>
          <w:szCs w:val="24"/>
          <w:lang w:eastAsia="da-DK"/>
        </w:rPr>
        <w:t xml:space="preserve">Hvis </w:t>
      </w:r>
      <w:proofErr w:type="spellStart"/>
      <w:r>
        <w:rPr>
          <w:color w:val="000000"/>
          <w:sz w:val="24"/>
          <w:szCs w:val="24"/>
          <w:lang w:eastAsia="da-DK"/>
        </w:rPr>
        <w:t>i</w:t>
      </w:r>
      <w:r w:rsidRPr="00CD3164">
        <w:rPr>
          <w:color w:val="000000"/>
          <w:sz w:val="24"/>
          <w:szCs w:val="24"/>
          <w:lang w:eastAsia="da-DK"/>
        </w:rPr>
        <w:t>rinotecan</w:t>
      </w:r>
      <w:proofErr w:type="spellEnd"/>
      <w:r w:rsidRPr="00CD3164">
        <w:rPr>
          <w:color w:val="000000"/>
          <w:sz w:val="24"/>
          <w:szCs w:val="24"/>
          <w:lang w:eastAsia="da-DK"/>
        </w:rPr>
        <w:t>-opløsningen eller infusionsvæsken skulle komme i kontakt med huden, så vaskes der omgående og g</w:t>
      </w:r>
      <w:r>
        <w:rPr>
          <w:color w:val="000000"/>
          <w:sz w:val="24"/>
          <w:szCs w:val="24"/>
          <w:lang w:eastAsia="da-DK"/>
        </w:rPr>
        <w:t xml:space="preserve">rundigt med sæbe og vand. Hvis </w:t>
      </w:r>
      <w:proofErr w:type="spellStart"/>
      <w:r>
        <w:rPr>
          <w:color w:val="000000"/>
          <w:sz w:val="24"/>
          <w:szCs w:val="24"/>
          <w:lang w:eastAsia="da-DK"/>
        </w:rPr>
        <w:t>i</w:t>
      </w:r>
      <w:r w:rsidRPr="00CD3164">
        <w:rPr>
          <w:color w:val="000000"/>
          <w:sz w:val="24"/>
          <w:szCs w:val="24"/>
          <w:lang w:eastAsia="da-DK"/>
        </w:rPr>
        <w:t>rinotecan</w:t>
      </w:r>
      <w:proofErr w:type="spellEnd"/>
      <w:r w:rsidRPr="00CD3164">
        <w:rPr>
          <w:color w:val="000000"/>
          <w:sz w:val="24"/>
          <w:szCs w:val="24"/>
          <w:lang w:eastAsia="da-DK"/>
        </w:rPr>
        <w:t xml:space="preserve">-opløsningen eller infusionsvæsken skulle komme i kontakt med slimhinder, så vaskes der omgående med vand. </w:t>
      </w:r>
    </w:p>
    <w:p w:rsidR="002F45B1" w:rsidRPr="00CD3164" w:rsidRDefault="002F45B1" w:rsidP="002F45B1">
      <w:pPr>
        <w:shd w:val="clear" w:color="auto" w:fill="FFFFFF"/>
        <w:ind w:left="851"/>
        <w:rPr>
          <w:color w:val="000000"/>
          <w:sz w:val="24"/>
          <w:szCs w:val="24"/>
          <w:lang w:eastAsia="da-DK"/>
        </w:rPr>
      </w:pPr>
    </w:p>
    <w:p w:rsidR="002F45B1" w:rsidRPr="00CD3164" w:rsidRDefault="002F45B1" w:rsidP="002F45B1">
      <w:pPr>
        <w:shd w:val="clear" w:color="auto" w:fill="FFFFFF"/>
        <w:ind w:left="851"/>
        <w:rPr>
          <w:color w:val="000000"/>
          <w:sz w:val="24"/>
          <w:szCs w:val="24"/>
          <w:u w:val="single"/>
          <w:lang w:eastAsia="da-DK"/>
        </w:rPr>
      </w:pPr>
      <w:r w:rsidRPr="00CD3164">
        <w:rPr>
          <w:bCs/>
          <w:color w:val="000000"/>
          <w:sz w:val="24"/>
          <w:szCs w:val="24"/>
          <w:u w:val="single"/>
          <w:lang w:eastAsia="da-DK"/>
        </w:rPr>
        <w:t>Kla</w:t>
      </w:r>
      <w:r>
        <w:rPr>
          <w:bCs/>
          <w:color w:val="000000"/>
          <w:sz w:val="24"/>
          <w:szCs w:val="24"/>
          <w:u w:val="single"/>
          <w:lang w:eastAsia="da-DK"/>
        </w:rPr>
        <w:t>rgøring til intravenøs infusion</w:t>
      </w:r>
    </w:p>
    <w:p w:rsidR="002F45B1" w:rsidRPr="00CD3164" w:rsidRDefault="002F45B1" w:rsidP="002F45B1">
      <w:pPr>
        <w:shd w:val="clear" w:color="auto" w:fill="FFFFFF"/>
        <w:ind w:left="851"/>
        <w:rPr>
          <w:color w:val="000000"/>
          <w:sz w:val="24"/>
          <w:szCs w:val="24"/>
          <w:lang w:eastAsia="da-DK"/>
        </w:rPr>
      </w:pPr>
      <w:r w:rsidRPr="00CD3164">
        <w:rPr>
          <w:color w:val="000000"/>
          <w:sz w:val="24"/>
          <w:szCs w:val="24"/>
          <w:lang w:eastAsia="da-DK"/>
        </w:rPr>
        <w:t xml:space="preserve">Som med alle andre </w:t>
      </w:r>
      <w:proofErr w:type="spellStart"/>
      <w:r w:rsidRPr="00CD3164">
        <w:rPr>
          <w:color w:val="000000"/>
          <w:sz w:val="24"/>
          <w:szCs w:val="24"/>
          <w:lang w:eastAsia="da-DK"/>
        </w:rPr>
        <w:t>injicérbare</w:t>
      </w:r>
      <w:proofErr w:type="spellEnd"/>
      <w:r w:rsidRPr="00CD3164">
        <w:rPr>
          <w:color w:val="000000"/>
          <w:sz w:val="24"/>
          <w:szCs w:val="24"/>
          <w:lang w:eastAsia="da-DK"/>
        </w:rPr>
        <w:t xml:space="preserve"> lægemidler skal </w:t>
      </w:r>
      <w:proofErr w:type="spellStart"/>
      <w:r w:rsidRPr="00CD3164">
        <w:rPr>
          <w:color w:val="000000"/>
          <w:sz w:val="24"/>
          <w:szCs w:val="24"/>
          <w:lang w:eastAsia="da-DK"/>
        </w:rPr>
        <w:t>irinotecan</w:t>
      </w:r>
      <w:proofErr w:type="spellEnd"/>
      <w:r w:rsidRPr="00CD3164">
        <w:rPr>
          <w:color w:val="000000"/>
          <w:sz w:val="24"/>
          <w:szCs w:val="24"/>
          <w:lang w:eastAsia="da-DK"/>
        </w:rPr>
        <w:t xml:space="preserve">-opløsning klargøres aseptisk (se pkt. 6.3). </w:t>
      </w:r>
    </w:p>
    <w:p w:rsidR="002F45B1" w:rsidRPr="00CD3164" w:rsidRDefault="002F45B1" w:rsidP="002F45B1">
      <w:pPr>
        <w:shd w:val="clear" w:color="auto" w:fill="FFFFFF"/>
        <w:ind w:left="851"/>
        <w:rPr>
          <w:color w:val="000000"/>
          <w:sz w:val="24"/>
          <w:szCs w:val="24"/>
          <w:lang w:eastAsia="da-DK"/>
        </w:rPr>
      </w:pPr>
    </w:p>
    <w:p w:rsidR="002F45B1" w:rsidRPr="00CD3164" w:rsidRDefault="002F45B1" w:rsidP="002F45B1">
      <w:pPr>
        <w:shd w:val="clear" w:color="auto" w:fill="FFFFFF"/>
        <w:ind w:left="851"/>
        <w:rPr>
          <w:color w:val="000000"/>
          <w:sz w:val="24"/>
          <w:szCs w:val="24"/>
          <w:lang w:eastAsia="da-DK"/>
        </w:rPr>
      </w:pPr>
      <w:r w:rsidRPr="00CD3164">
        <w:rPr>
          <w:color w:val="000000"/>
          <w:sz w:val="24"/>
          <w:szCs w:val="24"/>
          <w:lang w:eastAsia="da-DK"/>
        </w:rPr>
        <w:t xml:space="preserve">Hvis der observeres noget bundfald i hætteglasset eller efter fortynding, skal produktet kasseres iht. standardprocedure for </w:t>
      </w:r>
      <w:proofErr w:type="spellStart"/>
      <w:r w:rsidRPr="00CD3164">
        <w:rPr>
          <w:color w:val="000000"/>
          <w:sz w:val="24"/>
          <w:szCs w:val="24"/>
          <w:lang w:eastAsia="da-DK"/>
        </w:rPr>
        <w:t>cytotoksiske</w:t>
      </w:r>
      <w:proofErr w:type="spellEnd"/>
      <w:r w:rsidRPr="00CD3164">
        <w:rPr>
          <w:color w:val="000000"/>
          <w:sz w:val="24"/>
          <w:szCs w:val="24"/>
          <w:lang w:eastAsia="da-DK"/>
        </w:rPr>
        <w:t xml:space="preserve"> midler. </w:t>
      </w:r>
    </w:p>
    <w:p w:rsidR="002F45B1" w:rsidRPr="00CD3164" w:rsidRDefault="002F45B1" w:rsidP="002F45B1">
      <w:pPr>
        <w:shd w:val="clear" w:color="auto" w:fill="FFFFFF"/>
        <w:ind w:left="851"/>
        <w:rPr>
          <w:color w:val="000000"/>
          <w:sz w:val="24"/>
          <w:szCs w:val="24"/>
          <w:lang w:eastAsia="da-DK"/>
        </w:rPr>
      </w:pPr>
    </w:p>
    <w:p w:rsidR="002F45B1" w:rsidRPr="00CD3164" w:rsidRDefault="002F45B1" w:rsidP="002F45B1">
      <w:pPr>
        <w:shd w:val="clear" w:color="auto" w:fill="FFFFFF"/>
        <w:ind w:left="851"/>
        <w:rPr>
          <w:color w:val="000000"/>
          <w:sz w:val="24"/>
          <w:szCs w:val="24"/>
          <w:lang w:eastAsia="da-DK"/>
        </w:rPr>
      </w:pPr>
      <w:r w:rsidRPr="00CD3164">
        <w:rPr>
          <w:color w:val="000000"/>
          <w:sz w:val="24"/>
          <w:szCs w:val="24"/>
          <w:lang w:eastAsia="da-DK"/>
        </w:rPr>
        <w:t xml:space="preserve">På aseptisk vis udtages den nødvendige mængde </w:t>
      </w:r>
      <w:proofErr w:type="spellStart"/>
      <w:r w:rsidRPr="00CD3164">
        <w:rPr>
          <w:color w:val="000000"/>
          <w:sz w:val="24"/>
          <w:szCs w:val="24"/>
          <w:lang w:eastAsia="da-DK"/>
        </w:rPr>
        <w:t>irinotecan</w:t>
      </w:r>
      <w:proofErr w:type="spellEnd"/>
      <w:r w:rsidRPr="00CD3164">
        <w:rPr>
          <w:color w:val="000000"/>
          <w:sz w:val="24"/>
          <w:szCs w:val="24"/>
          <w:lang w:eastAsia="da-DK"/>
        </w:rPr>
        <w:t>-opløsning fra hætteglasset med en kalibreret injektionssprøjte og injiceres i en 250 ml infusionspose eller -flaske med enten 0,9 % natrium-</w:t>
      </w:r>
      <w:proofErr w:type="spellStart"/>
      <w:r w:rsidRPr="00CD3164">
        <w:rPr>
          <w:color w:val="000000"/>
          <w:sz w:val="24"/>
          <w:szCs w:val="24"/>
          <w:lang w:eastAsia="da-DK"/>
        </w:rPr>
        <w:t>chlorid</w:t>
      </w:r>
      <w:proofErr w:type="spellEnd"/>
      <w:r w:rsidRPr="00CD3164">
        <w:rPr>
          <w:color w:val="000000"/>
          <w:sz w:val="24"/>
          <w:szCs w:val="24"/>
          <w:lang w:eastAsia="da-DK"/>
        </w:rPr>
        <w:t xml:space="preserve"> opløsning eller 5 % glukose-opløsning. Infusionen bør derefter blandes grundigt ved manuel rotation.</w:t>
      </w:r>
    </w:p>
    <w:p w:rsidR="002F45B1" w:rsidRPr="00CD3164" w:rsidRDefault="002F45B1" w:rsidP="002F45B1">
      <w:pPr>
        <w:shd w:val="clear" w:color="auto" w:fill="FFFFFF"/>
        <w:ind w:left="851"/>
        <w:rPr>
          <w:b/>
          <w:bCs/>
          <w:color w:val="000000"/>
          <w:sz w:val="24"/>
          <w:szCs w:val="24"/>
          <w:lang w:eastAsia="da-DK"/>
        </w:rPr>
      </w:pPr>
    </w:p>
    <w:p w:rsidR="002F45B1" w:rsidRPr="00CD3164" w:rsidRDefault="002F45B1" w:rsidP="002F45B1">
      <w:pPr>
        <w:shd w:val="clear" w:color="auto" w:fill="FFFFFF"/>
        <w:ind w:left="851"/>
        <w:rPr>
          <w:color w:val="000000"/>
          <w:sz w:val="24"/>
          <w:szCs w:val="24"/>
          <w:lang w:eastAsia="da-DK"/>
        </w:rPr>
      </w:pPr>
      <w:r>
        <w:rPr>
          <w:bCs/>
          <w:color w:val="000000"/>
          <w:sz w:val="24"/>
          <w:szCs w:val="24"/>
          <w:u w:val="single"/>
          <w:lang w:eastAsia="da-DK"/>
        </w:rPr>
        <w:t>Bortskaffelse</w:t>
      </w:r>
    </w:p>
    <w:p w:rsidR="002F45B1" w:rsidRPr="00CD3164" w:rsidRDefault="002F45B1" w:rsidP="002F45B1">
      <w:pPr>
        <w:shd w:val="clear" w:color="auto" w:fill="FFFFFF"/>
        <w:ind w:left="851"/>
        <w:rPr>
          <w:color w:val="000000"/>
          <w:sz w:val="24"/>
          <w:szCs w:val="24"/>
          <w:lang w:eastAsia="da-DK"/>
        </w:rPr>
      </w:pPr>
      <w:r w:rsidRPr="00CD3164">
        <w:rPr>
          <w:sz w:val="24"/>
          <w:szCs w:val="24"/>
          <w:lang w:eastAsia="da-DK"/>
        </w:rPr>
        <w:t>Kun til engangsbrug.</w:t>
      </w:r>
    </w:p>
    <w:p w:rsidR="002F45B1" w:rsidRPr="004D32E1" w:rsidRDefault="002F45B1" w:rsidP="002F45B1">
      <w:pPr>
        <w:ind w:left="851"/>
        <w:rPr>
          <w:b/>
          <w:sz w:val="24"/>
          <w:szCs w:val="24"/>
          <w:lang w:eastAsia="da-DK"/>
        </w:rPr>
      </w:pPr>
      <w:r w:rsidRPr="00CD3164">
        <w:rPr>
          <w:sz w:val="24"/>
          <w:szCs w:val="24"/>
          <w:lang w:eastAsia="da-DK"/>
        </w:rPr>
        <w:t xml:space="preserve">Alle materialer, der har været anvendt til fortynding og administration, skal bortskaffes i henhold til hospitalets standardprocedurer for håndtering af </w:t>
      </w:r>
      <w:proofErr w:type="spellStart"/>
      <w:r w:rsidRPr="00CD3164">
        <w:rPr>
          <w:sz w:val="24"/>
          <w:szCs w:val="24"/>
          <w:lang w:eastAsia="da-DK"/>
        </w:rPr>
        <w:t>cytostatika</w:t>
      </w:r>
      <w:proofErr w:type="spellEnd"/>
      <w:r w:rsidRPr="00CD3164">
        <w:rPr>
          <w:sz w:val="24"/>
          <w:szCs w:val="24"/>
          <w:lang w:eastAsia="da-DK"/>
        </w:rPr>
        <w:t>.</w:t>
      </w:r>
    </w:p>
    <w:p w:rsidR="002F45B1" w:rsidRPr="00C84483" w:rsidRDefault="002F45B1" w:rsidP="002F45B1">
      <w:pPr>
        <w:tabs>
          <w:tab w:val="left" w:pos="851"/>
        </w:tabs>
        <w:ind w:left="851"/>
        <w:jc w:val="both"/>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F45B1" w:rsidRPr="00656E67" w:rsidRDefault="002F45B1" w:rsidP="002F45B1">
      <w:pPr>
        <w:tabs>
          <w:tab w:val="num" w:pos="1404"/>
        </w:tabs>
        <w:ind w:left="851"/>
        <w:rPr>
          <w:sz w:val="24"/>
          <w:szCs w:val="24"/>
          <w:lang w:eastAsia="da-DK"/>
        </w:rPr>
      </w:pPr>
      <w:proofErr w:type="spellStart"/>
      <w:r w:rsidRPr="00656E67">
        <w:rPr>
          <w:sz w:val="24"/>
          <w:szCs w:val="24"/>
          <w:lang w:eastAsia="da-DK"/>
        </w:rPr>
        <w:t>Accord</w:t>
      </w:r>
      <w:proofErr w:type="spellEnd"/>
      <w:r w:rsidRPr="00656E67">
        <w:rPr>
          <w:sz w:val="24"/>
          <w:szCs w:val="24"/>
          <w:lang w:eastAsia="da-DK"/>
        </w:rPr>
        <w:t xml:space="preserve"> Healthcare B.V.</w:t>
      </w:r>
    </w:p>
    <w:p w:rsidR="002F45B1" w:rsidRPr="00656E67" w:rsidRDefault="002F45B1" w:rsidP="002F45B1">
      <w:pPr>
        <w:tabs>
          <w:tab w:val="num" w:pos="1404"/>
        </w:tabs>
        <w:ind w:left="851"/>
        <w:rPr>
          <w:sz w:val="24"/>
          <w:szCs w:val="24"/>
          <w:lang w:eastAsia="da-DK"/>
        </w:rPr>
      </w:pPr>
      <w:proofErr w:type="spellStart"/>
      <w:r w:rsidRPr="00656E67">
        <w:rPr>
          <w:sz w:val="24"/>
          <w:szCs w:val="24"/>
          <w:lang w:eastAsia="da-DK"/>
        </w:rPr>
        <w:t>Winthontlaan</w:t>
      </w:r>
      <w:proofErr w:type="spellEnd"/>
      <w:r w:rsidRPr="00656E67">
        <w:rPr>
          <w:sz w:val="24"/>
          <w:szCs w:val="24"/>
          <w:lang w:eastAsia="da-DK"/>
        </w:rPr>
        <w:t xml:space="preserve"> 200</w:t>
      </w:r>
    </w:p>
    <w:p w:rsidR="002F45B1" w:rsidRPr="00656E67" w:rsidRDefault="002F45B1" w:rsidP="002F45B1">
      <w:pPr>
        <w:tabs>
          <w:tab w:val="num" w:pos="1404"/>
        </w:tabs>
        <w:ind w:left="851"/>
        <w:rPr>
          <w:sz w:val="24"/>
          <w:szCs w:val="24"/>
          <w:lang w:eastAsia="da-DK"/>
        </w:rPr>
      </w:pPr>
      <w:r w:rsidRPr="00656E67">
        <w:rPr>
          <w:sz w:val="24"/>
          <w:szCs w:val="24"/>
          <w:lang w:eastAsia="da-DK"/>
        </w:rPr>
        <w:t>3526 KV Utrecht</w:t>
      </w:r>
    </w:p>
    <w:p w:rsidR="002F45B1" w:rsidRPr="00CD3164" w:rsidRDefault="002F45B1" w:rsidP="002F45B1">
      <w:pPr>
        <w:tabs>
          <w:tab w:val="num" w:pos="1404"/>
        </w:tabs>
        <w:ind w:left="851"/>
        <w:rPr>
          <w:sz w:val="24"/>
          <w:szCs w:val="24"/>
          <w:lang w:eastAsia="da-DK"/>
        </w:rPr>
      </w:pPr>
      <w:r>
        <w:rPr>
          <w:sz w:val="24"/>
          <w:szCs w:val="24"/>
          <w:lang w:eastAsia="da-DK"/>
        </w:rPr>
        <w:t>Holland</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B1FA6">
        <w:rPr>
          <w:b/>
          <w:sz w:val="24"/>
          <w:szCs w:val="24"/>
        </w:rPr>
        <w:t>-</w:t>
      </w:r>
      <w:r w:rsidRPr="00C84483">
        <w:rPr>
          <w:b/>
          <w:sz w:val="24"/>
          <w:szCs w:val="24"/>
        </w:rPr>
        <w:t>NUMRE)</w:t>
      </w:r>
    </w:p>
    <w:p w:rsidR="002F45B1" w:rsidRPr="00C84483" w:rsidRDefault="002F45B1" w:rsidP="002F45B1">
      <w:pPr>
        <w:tabs>
          <w:tab w:val="left" w:pos="851"/>
        </w:tabs>
        <w:ind w:left="851"/>
        <w:rPr>
          <w:sz w:val="24"/>
          <w:szCs w:val="24"/>
        </w:rPr>
      </w:pPr>
      <w:r>
        <w:rPr>
          <w:sz w:val="24"/>
          <w:szCs w:val="24"/>
        </w:rPr>
        <w:t>55866</w:t>
      </w:r>
    </w:p>
    <w:p w:rsidR="002F45B1" w:rsidRPr="00C84483" w:rsidRDefault="002F45B1" w:rsidP="002F45B1">
      <w:pPr>
        <w:tabs>
          <w:tab w:val="left" w:pos="851"/>
        </w:tabs>
        <w:ind w:left="851"/>
        <w:jc w:val="both"/>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F45B1" w:rsidRPr="00C84483" w:rsidRDefault="002F45B1" w:rsidP="002F45B1">
      <w:pPr>
        <w:tabs>
          <w:tab w:val="left" w:pos="851"/>
        </w:tabs>
        <w:ind w:left="851"/>
        <w:rPr>
          <w:sz w:val="24"/>
          <w:szCs w:val="24"/>
        </w:rPr>
      </w:pPr>
      <w:r>
        <w:rPr>
          <w:sz w:val="24"/>
          <w:szCs w:val="24"/>
        </w:rPr>
        <w:t>29. juni 2016</w:t>
      </w:r>
    </w:p>
    <w:p w:rsidR="002F45B1" w:rsidRPr="00C84483" w:rsidRDefault="002F45B1" w:rsidP="002F45B1">
      <w:pPr>
        <w:tabs>
          <w:tab w:val="left" w:pos="851"/>
        </w:tabs>
        <w:ind w:left="851"/>
        <w:rPr>
          <w:sz w:val="24"/>
          <w:szCs w:val="24"/>
        </w:rPr>
      </w:pPr>
    </w:p>
    <w:p w:rsidR="002F45B1" w:rsidRPr="00C84483" w:rsidRDefault="002F45B1" w:rsidP="002F45B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F45B1" w:rsidRPr="00B51EFB" w:rsidRDefault="00873CD3" w:rsidP="002B1FA6">
      <w:pPr>
        <w:ind w:firstLine="851"/>
      </w:pPr>
      <w:r>
        <w:rPr>
          <w:sz w:val="24"/>
          <w:szCs w:val="24"/>
        </w:rPr>
        <w:t>23. januar 2024</w:t>
      </w:r>
    </w:p>
    <w:p w:rsidR="002F45B1" w:rsidRPr="005C7815" w:rsidRDefault="002F45B1" w:rsidP="002F45B1"/>
    <w:p w:rsidR="009260DE" w:rsidRPr="002F45B1" w:rsidRDefault="009260DE" w:rsidP="002F45B1"/>
    <w:sectPr w:rsidR="009260DE" w:rsidRPr="002F45B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CD3" w:rsidRDefault="00873CD3">
      <w:r>
        <w:separator/>
      </w:r>
    </w:p>
  </w:endnote>
  <w:endnote w:type="continuationSeparator" w:id="0">
    <w:p w:rsidR="00873CD3" w:rsidRDefault="0087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CD3" w:rsidRDefault="00873CD3">
    <w:pPr>
      <w:pStyle w:val="Sidefod"/>
      <w:pBdr>
        <w:bottom w:val="single" w:sz="6" w:space="1" w:color="auto"/>
      </w:pBdr>
    </w:pPr>
  </w:p>
  <w:p w:rsidR="00873CD3" w:rsidRDefault="00873CD3" w:rsidP="00C42586">
    <w:pPr>
      <w:pStyle w:val="Sidefod"/>
      <w:tabs>
        <w:tab w:val="clear" w:pos="4819"/>
        <w:tab w:val="left" w:pos="8505"/>
      </w:tabs>
      <w:rPr>
        <w:i/>
        <w:sz w:val="18"/>
        <w:szCs w:val="18"/>
      </w:rPr>
    </w:pPr>
  </w:p>
  <w:p w:rsidR="00873CD3" w:rsidRPr="00B373D7" w:rsidRDefault="00873CD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Irinotecan Accord, koncentrat til infusionsvæske, opløsning 20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CD3" w:rsidRDefault="00873CD3">
      <w:r>
        <w:separator/>
      </w:r>
    </w:p>
  </w:footnote>
  <w:footnote w:type="continuationSeparator" w:id="0">
    <w:p w:rsidR="00873CD3" w:rsidRDefault="0087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3EB"/>
    <w:multiLevelType w:val="hybridMultilevel"/>
    <w:tmpl w:val="8C10CD64"/>
    <w:lvl w:ilvl="0" w:tplc="5A5CF712">
      <w:start w:val="1"/>
      <w:numFmt w:val="bullet"/>
      <w:lvlText w:val="-"/>
      <w:lvlJc w:val="left"/>
      <w:pPr>
        <w:tabs>
          <w:tab w:val="num" w:pos="1080"/>
        </w:tabs>
        <w:ind w:left="1080" w:hanging="360"/>
      </w:pPr>
      <w:rPr>
        <w:rFonts w:ascii="Courier New" w:hAnsi="Courier New"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966512"/>
    <w:multiLevelType w:val="hybridMultilevel"/>
    <w:tmpl w:val="F9666F6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4E74E6"/>
    <w:multiLevelType w:val="hybridMultilevel"/>
    <w:tmpl w:val="F6B083BE"/>
    <w:lvl w:ilvl="0" w:tplc="DA7429A8">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6676880"/>
    <w:multiLevelType w:val="hybridMultilevel"/>
    <w:tmpl w:val="ACCC89AC"/>
    <w:lvl w:ilvl="0" w:tplc="DA7429A8">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7CB52BB"/>
    <w:multiLevelType w:val="hybridMultilevel"/>
    <w:tmpl w:val="2B3C1270"/>
    <w:lvl w:ilvl="0" w:tplc="5A5CF712">
      <w:start w:val="1"/>
      <w:numFmt w:val="bullet"/>
      <w:lvlText w:val="-"/>
      <w:lvlJc w:val="left"/>
      <w:pPr>
        <w:tabs>
          <w:tab w:val="num" w:pos="1080"/>
        </w:tabs>
        <w:ind w:left="1080" w:hanging="360"/>
      </w:pPr>
      <w:rPr>
        <w:rFonts w:ascii="Courier New" w:hAnsi="Courier New"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3FB6A90"/>
    <w:multiLevelType w:val="hybridMultilevel"/>
    <w:tmpl w:val="E750A594"/>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85F506B"/>
    <w:multiLevelType w:val="hybridMultilevel"/>
    <w:tmpl w:val="AE1CD2DC"/>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CA5847"/>
    <w:multiLevelType w:val="hybridMultilevel"/>
    <w:tmpl w:val="DEB6962A"/>
    <w:lvl w:ilvl="0" w:tplc="DA7429A8">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75D2D16"/>
    <w:multiLevelType w:val="hybridMultilevel"/>
    <w:tmpl w:val="DE2E1886"/>
    <w:lvl w:ilvl="0" w:tplc="DA7429A8">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BD90AEB"/>
    <w:multiLevelType w:val="hybridMultilevel"/>
    <w:tmpl w:val="75048142"/>
    <w:lvl w:ilvl="0" w:tplc="FFFFFFFF">
      <w:start w:val="4"/>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3"/>
  </w:num>
  <w:num w:numId="9">
    <w:abstractNumId w:val="9"/>
  </w:num>
  <w:num w:numId="10">
    <w:abstractNumId w:val="1"/>
  </w:num>
  <w:num w:numId="11">
    <w:abstractNumId w:val="17"/>
  </w:num>
  <w:num w:numId="12">
    <w:abstractNumId w:val="16"/>
  </w:num>
  <w:num w:numId="13">
    <w:abstractNumId w:val="9"/>
  </w:num>
  <w:num w:numId="14">
    <w:abstractNumId w:val="4"/>
  </w:num>
  <w:num w:numId="15">
    <w:abstractNumId w:val="12"/>
  </w:num>
  <w:num w:numId="16">
    <w:abstractNumId w:val="3"/>
  </w:num>
  <w:num w:numId="17">
    <w:abstractNumId w:val="7"/>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B1"/>
    <w:rsid w:val="000259B9"/>
    <w:rsid w:val="00041491"/>
    <w:rsid w:val="00050D16"/>
    <w:rsid w:val="00074F2A"/>
    <w:rsid w:val="000934DB"/>
    <w:rsid w:val="000A1CA8"/>
    <w:rsid w:val="000A466B"/>
    <w:rsid w:val="000B058C"/>
    <w:rsid w:val="000B0AD0"/>
    <w:rsid w:val="000C558A"/>
    <w:rsid w:val="000E4EE6"/>
    <w:rsid w:val="001454E2"/>
    <w:rsid w:val="00167F6A"/>
    <w:rsid w:val="001B2928"/>
    <w:rsid w:val="001C4262"/>
    <w:rsid w:val="00206CE8"/>
    <w:rsid w:val="0021526C"/>
    <w:rsid w:val="00236DCF"/>
    <w:rsid w:val="00283A2B"/>
    <w:rsid w:val="002B1FA6"/>
    <w:rsid w:val="002B30AD"/>
    <w:rsid w:val="002C2C01"/>
    <w:rsid w:val="002F45B1"/>
    <w:rsid w:val="00357B78"/>
    <w:rsid w:val="003A29AE"/>
    <w:rsid w:val="003A32D7"/>
    <w:rsid w:val="003A5C83"/>
    <w:rsid w:val="003B4074"/>
    <w:rsid w:val="003C769A"/>
    <w:rsid w:val="003E58A7"/>
    <w:rsid w:val="003F1838"/>
    <w:rsid w:val="0045746C"/>
    <w:rsid w:val="0049104B"/>
    <w:rsid w:val="004B3643"/>
    <w:rsid w:val="004C2E02"/>
    <w:rsid w:val="004E3B12"/>
    <w:rsid w:val="004F2856"/>
    <w:rsid w:val="005049E4"/>
    <w:rsid w:val="00532310"/>
    <w:rsid w:val="00560ECC"/>
    <w:rsid w:val="00565F0F"/>
    <w:rsid w:val="00594A86"/>
    <w:rsid w:val="00596D86"/>
    <w:rsid w:val="005F30F0"/>
    <w:rsid w:val="00637F5A"/>
    <w:rsid w:val="006478E7"/>
    <w:rsid w:val="006560B1"/>
    <w:rsid w:val="00656E67"/>
    <w:rsid w:val="006756DD"/>
    <w:rsid w:val="006C25B7"/>
    <w:rsid w:val="0073431D"/>
    <w:rsid w:val="00737275"/>
    <w:rsid w:val="00740EEC"/>
    <w:rsid w:val="0078011A"/>
    <w:rsid w:val="00782AF4"/>
    <w:rsid w:val="00790EE7"/>
    <w:rsid w:val="007B6649"/>
    <w:rsid w:val="0081546F"/>
    <w:rsid w:val="008166BA"/>
    <w:rsid w:val="0082576E"/>
    <w:rsid w:val="00873CD3"/>
    <w:rsid w:val="00907F75"/>
    <w:rsid w:val="009260DE"/>
    <w:rsid w:val="0093258A"/>
    <w:rsid w:val="00941E1F"/>
    <w:rsid w:val="00980D61"/>
    <w:rsid w:val="00990AA5"/>
    <w:rsid w:val="009B5F77"/>
    <w:rsid w:val="009C7BA3"/>
    <w:rsid w:val="009D1F5A"/>
    <w:rsid w:val="00B003BF"/>
    <w:rsid w:val="00B2251E"/>
    <w:rsid w:val="00B27B77"/>
    <w:rsid w:val="00B373D7"/>
    <w:rsid w:val="00B40B17"/>
    <w:rsid w:val="00B60920"/>
    <w:rsid w:val="00BC7381"/>
    <w:rsid w:val="00C36276"/>
    <w:rsid w:val="00C42586"/>
    <w:rsid w:val="00C60CCD"/>
    <w:rsid w:val="00C71C28"/>
    <w:rsid w:val="00C84483"/>
    <w:rsid w:val="00C95551"/>
    <w:rsid w:val="00CB20D7"/>
    <w:rsid w:val="00CB5916"/>
    <w:rsid w:val="00D020B0"/>
    <w:rsid w:val="00D11748"/>
    <w:rsid w:val="00D366CF"/>
    <w:rsid w:val="00D429C9"/>
    <w:rsid w:val="00DA68D9"/>
    <w:rsid w:val="00DD2141"/>
    <w:rsid w:val="00DF5ED3"/>
    <w:rsid w:val="00E108AA"/>
    <w:rsid w:val="00E31812"/>
    <w:rsid w:val="00E3749A"/>
    <w:rsid w:val="00E7437F"/>
    <w:rsid w:val="00E865B8"/>
    <w:rsid w:val="00EC0B9B"/>
    <w:rsid w:val="00ED5E9F"/>
    <w:rsid w:val="00EF11DC"/>
    <w:rsid w:val="00F26C6A"/>
    <w:rsid w:val="00F66D4F"/>
    <w:rsid w:val="00F93ABF"/>
    <w:rsid w:val="00FB6D01"/>
    <w:rsid w:val="00FF6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122EA"/>
  <w15:chartTrackingRefBased/>
  <w15:docId w15:val="{64F4F464-1754-4BFA-A1EC-1EDB4B61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FA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indrykning"/>
    <w:link w:val="Overskrift2Tegn"/>
    <w:uiPriority w:val="9"/>
    <w:qFormat/>
    <w:rsid w:val="002F45B1"/>
    <w:pPr>
      <w:keepNext/>
      <w:spacing w:before="240" w:after="60"/>
      <w:outlineLvl w:val="1"/>
    </w:pPr>
    <w:rPr>
      <w:b/>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2F45B1"/>
    <w:rPr>
      <w:b/>
      <w:sz w:val="24"/>
    </w:rPr>
  </w:style>
  <w:style w:type="character" w:styleId="Pladsholdertekst">
    <w:name w:val="Placeholder Text"/>
    <w:basedOn w:val="Standardskrifttypeiafsnit"/>
    <w:uiPriority w:val="99"/>
    <w:semiHidden/>
    <w:rsid w:val="002F45B1"/>
    <w:rPr>
      <w:color w:val="808080"/>
    </w:rPr>
  </w:style>
  <w:style w:type="paragraph" w:styleId="Brdtekst3">
    <w:name w:val="Body Text 3"/>
    <w:basedOn w:val="Normal"/>
    <w:link w:val="Brdtekst3Tegn"/>
    <w:uiPriority w:val="99"/>
    <w:rsid w:val="002F45B1"/>
    <w:pPr>
      <w:jc w:val="both"/>
    </w:pPr>
    <w:rPr>
      <w:rFonts w:ascii="Arial" w:hAnsi="Arial" w:cs="Arial"/>
      <w:sz w:val="24"/>
      <w:lang w:eastAsia="da-DK"/>
    </w:rPr>
  </w:style>
  <w:style w:type="character" w:customStyle="1" w:styleId="Brdtekst3Tegn">
    <w:name w:val="Brødtekst 3 Tegn"/>
    <w:basedOn w:val="Standardskrifttypeiafsnit"/>
    <w:link w:val="Brdtekst3"/>
    <w:uiPriority w:val="99"/>
    <w:rsid w:val="002F45B1"/>
    <w:rPr>
      <w:rFonts w:ascii="Arial" w:hAnsi="Arial" w:cs="Arial"/>
      <w:sz w:val="24"/>
    </w:rPr>
  </w:style>
  <w:style w:type="paragraph" w:styleId="Normalindrykning">
    <w:name w:val="Normal Indent"/>
    <w:basedOn w:val="Normal"/>
    <w:uiPriority w:val="99"/>
    <w:rsid w:val="002F45B1"/>
    <w:pPr>
      <w:spacing w:after="120"/>
      <w:ind w:left="720"/>
    </w:pPr>
    <w:rPr>
      <w:sz w:val="22"/>
      <w:lang w:eastAsia="da-DK"/>
    </w:rPr>
  </w:style>
  <w:style w:type="paragraph" w:styleId="Listeafsnit">
    <w:name w:val="List Paragraph"/>
    <w:basedOn w:val="Normal"/>
    <w:uiPriority w:val="34"/>
    <w:qFormat/>
    <w:rsid w:val="002F45B1"/>
    <w:pPr>
      <w:ind w:left="720"/>
    </w:pPr>
    <w:rPr>
      <w:sz w:val="24"/>
      <w:szCs w:val="24"/>
      <w:lang w:eastAsia="da-DK"/>
    </w:rPr>
  </w:style>
  <w:style w:type="character" w:styleId="Hyperlink">
    <w:name w:val="Hyperlink"/>
    <w:basedOn w:val="Standardskrifttypeiafsnit"/>
    <w:uiPriority w:val="99"/>
    <w:rsid w:val="002F45B1"/>
    <w:rPr>
      <w:color w:val="0000FF"/>
      <w:u w:val="single"/>
      <w:lang w:val="da-DK" w:eastAsia="da-DK"/>
    </w:rPr>
  </w:style>
  <w:style w:type="paragraph" w:styleId="NormalWeb">
    <w:name w:val="Normal (Web)"/>
    <w:basedOn w:val="Normal"/>
    <w:uiPriority w:val="99"/>
    <w:rsid w:val="002F45B1"/>
    <w:pPr>
      <w:spacing w:before="100" w:beforeAutospacing="1" w:after="100" w:afterAutospacing="1"/>
    </w:pPr>
    <w:rPr>
      <w:sz w:val="24"/>
      <w:szCs w:val="24"/>
      <w:lang w:eastAsia="da-DK"/>
    </w:rPr>
  </w:style>
  <w:style w:type="paragraph" w:customStyle="1" w:styleId="xCover2">
    <w:name w:val="xCover 2"/>
    <w:rsid w:val="002F45B1"/>
    <w:pPr>
      <w:overflowPunct w:val="0"/>
      <w:autoSpaceDE w:val="0"/>
      <w:autoSpaceDN w:val="0"/>
      <w:adjustRightInd w:val="0"/>
      <w:spacing w:before="120"/>
      <w:textAlignment w:val="baseline"/>
    </w:pPr>
    <w:rPr>
      <w:rFonts w:ascii="Arial" w:hAnsi="Arial"/>
      <w:b/>
      <w:lang w:val="en-US" w:eastAsia="en-US"/>
    </w:rPr>
  </w:style>
  <w:style w:type="character" w:customStyle="1" w:styleId="goohl1">
    <w:name w:val="goohl1"/>
    <w:basedOn w:val="Standardskrifttypeiafsnit"/>
    <w:rsid w:val="002F45B1"/>
    <w:rPr>
      <w:rFonts w:cs="Times New Roman"/>
    </w:rPr>
  </w:style>
  <w:style w:type="paragraph" w:styleId="Slutnotetekst">
    <w:name w:val="endnote text"/>
    <w:basedOn w:val="Normal"/>
    <w:link w:val="SlutnotetekstTegn"/>
    <w:uiPriority w:val="99"/>
    <w:semiHidden/>
    <w:rsid w:val="002F45B1"/>
    <w:pPr>
      <w:tabs>
        <w:tab w:val="left" w:pos="567"/>
      </w:tabs>
    </w:pPr>
    <w:rPr>
      <w:sz w:val="22"/>
      <w:lang w:eastAsia="da-DK"/>
    </w:rPr>
  </w:style>
  <w:style w:type="character" w:customStyle="1" w:styleId="SlutnotetekstTegn">
    <w:name w:val="Slutnotetekst Tegn"/>
    <w:basedOn w:val="Standardskrifttypeiafsnit"/>
    <w:link w:val="Slutnotetekst"/>
    <w:uiPriority w:val="99"/>
    <w:semiHidden/>
    <w:rsid w:val="002F45B1"/>
    <w:rPr>
      <w:sz w:val="22"/>
    </w:rPr>
  </w:style>
  <w:style w:type="character" w:styleId="Fremhv">
    <w:name w:val="Emphasis"/>
    <w:uiPriority w:val="20"/>
    <w:qFormat/>
    <w:rsid w:val="00873CD3"/>
    <w:rPr>
      <w:b/>
      <w:bCs/>
      <w:i w:val="0"/>
      <w:iCs w:val="0"/>
    </w:rPr>
  </w:style>
  <w:style w:type="character" w:customStyle="1" w:styleId="st1">
    <w:name w:val="st1"/>
    <w:rsid w:val="0087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463">
      <w:bodyDiv w:val="1"/>
      <w:marLeft w:val="0"/>
      <w:marRight w:val="0"/>
      <w:marTop w:val="0"/>
      <w:marBottom w:val="0"/>
      <w:divBdr>
        <w:top w:val="none" w:sz="0" w:space="0" w:color="auto"/>
        <w:left w:val="none" w:sz="0" w:space="0" w:color="auto"/>
        <w:bottom w:val="none" w:sz="0" w:space="0" w:color="auto"/>
        <w:right w:val="none" w:sz="0" w:space="0" w:color="auto"/>
      </w:divBdr>
    </w:div>
    <w:div w:id="99839347">
      <w:bodyDiv w:val="1"/>
      <w:marLeft w:val="0"/>
      <w:marRight w:val="0"/>
      <w:marTop w:val="0"/>
      <w:marBottom w:val="0"/>
      <w:divBdr>
        <w:top w:val="none" w:sz="0" w:space="0" w:color="auto"/>
        <w:left w:val="none" w:sz="0" w:space="0" w:color="auto"/>
        <w:bottom w:val="none" w:sz="0" w:space="0" w:color="auto"/>
        <w:right w:val="none" w:sz="0" w:space="0" w:color="auto"/>
      </w:divBdr>
    </w:div>
    <w:div w:id="103307951">
      <w:bodyDiv w:val="1"/>
      <w:marLeft w:val="0"/>
      <w:marRight w:val="0"/>
      <w:marTop w:val="0"/>
      <w:marBottom w:val="0"/>
      <w:divBdr>
        <w:top w:val="none" w:sz="0" w:space="0" w:color="auto"/>
        <w:left w:val="none" w:sz="0" w:space="0" w:color="auto"/>
        <w:bottom w:val="none" w:sz="0" w:space="0" w:color="auto"/>
        <w:right w:val="none" w:sz="0" w:space="0" w:color="auto"/>
      </w:divBdr>
    </w:div>
    <w:div w:id="1164880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6646524">
      <w:bodyDiv w:val="1"/>
      <w:marLeft w:val="0"/>
      <w:marRight w:val="0"/>
      <w:marTop w:val="0"/>
      <w:marBottom w:val="0"/>
      <w:divBdr>
        <w:top w:val="none" w:sz="0" w:space="0" w:color="auto"/>
        <w:left w:val="none" w:sz="0" w:space="0" w:color="auto"/>
        <w:bottom w:val="none" w:sz="0" w:space="0" w:color="auto"/>
        <w:right w:val="none" w:sz="0" w:space="0" w:color="auto"/>
      </w:divBdr>
    </w:div>
    <w:div w:id="535461289">
      <w:bodyDiv w:val="1"/>
      <w:marLeft w:val="0"/>
      <w:marRight w:val="0"/>
      <w:marTop w:val="0"/>
      <w:marBottom w:val="0"/>
      <w:divBdr>
        <w:top w:val="none" w:sz="0" w:space="0" w:color="auto"/>
        <w:left w:val="none" w:sz="0" w:space="0" w:color="auto"/>
        <w:bottom w:val="none" w:sz="0" w:space="0" w:color="auto"/>
        <w:right w:val="none" w:sz="0" w:space="0" w:color="auto"/>
      </w:divBdr>
    </w:div>
    <w:div w:id="640237032">
      <w:bodyDiv w:val="1"/>
      <w:marLeft w:val="0"/>
      <w:marRight w:val="0"/>
      <w:marTop w:val="0"/>
      <w:marBottom w:val="0"/>
      <w:divBdr>
        <w:top w:val="none" w:sz="0" w:space="0" w:color="auto"/>
        <w:left w:val="none" w:sz="0" w:space="0" w:color="auto"/>
        <w:bottom w:val="none" w:sz="0" w:space="0" w:color="auto"/>
        <w:right w:val="none" w:sz="0" w:space="0" w:color="auto"/>
      </w:divBdr>
    </w:div>
    <w:div w:id="669596969">
      <w:bodyDiv w:val="1"/>
      <w:marLeft w:val="0"/>
      <w:marRight w:val="0"/>
      <w:marTop w:val="0"/>
      <w:marBottom w:val="0"/>
      <w:divBdr>
        <w:top w:val="none" w:sz="0" w:space="0" w:color="auto"/>
        <w:left w:val="none" w:sz="0" w:space="0" w:color="auto"/>
        <w:bottom w:val="none" w:sz="0" w:space="0" w:color="auto"/>
        <w:right w:val="none" w:sz="0" w:space="0" w:color="auto"/>
      </w:divBdr>
    </w:div>
    <w:div w:id="792790975">
      <w:bodyDiv w:val="1"/>
      <w:marLeft w:val="0"/>
      <w:marRight w:val="0"/>
      <w:marTop w:val="0"/>
      <w:marBottom w:val="0"/>
      <w:divBdr>
        <w:top w:val="none" w:sz="0" w:space="0" w:color="auto"/>
        <w:left w:val="none" w:sz="0" w:space="0" w:color="auto"/>
        <w:bottom w:val="none" w:sz="0" w:space="0" w:color="auto"/>
        <w:right w:val="none" w:sz="0" w:space="0" w:color="auto"/>
      </w:divBdr>
    </w:div>
    <w:div w:id="1053189402">
      <w:bodyDiv w:val="1"/>
      <w:marLeft w:val="0"/>
      <w:marRight w:val="0"/>
      <w:marTop w:val="0"/>
      <w:marBottom w:val="0"/>
      <w:divBdr>
        <w:top w:val="none" w:sz="0" w:space="0" w:color="auto"/>
        <w:left w:val="none" w:sz="0" w:space="0" w:color="auto"/>
        <w:bottom w:val="none" w:sz="0" w:space="0" w:color="auto"/>
        <w:right w:val="none" w:sz="0" w:space="0" w:color="auto"/>
      </w:divBdr>
    </w:div>
    <w:div w:id="1101416248">
      <w:bodyDiv w:val="1"/>
      <w:marLeft w:val="0"/>
      <w:marRight w:val="0"/>
      <w:marTop w:val="0"/>
      <w:marBottom w:val="0"/>
      <w:divBdr>
        <w:top w:val="none" w:sz="0" w:space="0" w:color="auto"/>
        <w:left w:val="none" w:sz="0" w:space="0" w:color="auto"/>
        <w:bottom w:val="none" w:sz="0" w:space="0" w:color="auto"/>
        <w:right w:val="none" w:sz="0" w:space="0" w:color="auto"/>
      </w:divBdr>
    </w:div>
    <w:div w:id="1449011137">
      <w:bodyDiv w:val="1"/>
      <w:marLeft w:val="0"/>
      <w:marRight w:val="0"/>
      <w:marTop w:val="0"/>
      <w:marBottom w:val="0"/>
      <w:divBdr>
        <w:top w:val="none" w:sz="0" w:space="0" w:color="auto"/>
        <w:left w:val="none" w:sz="0" w:space="0" w:color="auto"/>
        <w:bottom w:val="none" w:sz="0" w:space="0" w:color="auto"/>
        <w:right w:val="none" w:sz="0" w:space="0" w:color="auto"/>
      </w:divBdr>
    </w:div>
    <w:div w:id="1760523213">
      <w:bodyDiv w:val="1"/>
      <w:marLeft w:val="0"/>
      <w:marRight w:val="0"/>
      <w:marTop w:val="0"/>
      <w:marBottom w:val="0"/>
      <w:divBdr>
        <w:top w:val="none" w:sz="0" w:space="0" w:color="auto"/>
        <w:left w:val="none" w:sz="0" w:space="0" w:color="auto"/>
        <w:bottom w:val="none" w:sz="0" w:space="0" w:color="auto"/>
        <w:right w:val="none" w:sz="0" w:space="0" w:color="auto"/>
      </w:divBdr>
    </w:div>
    <w:div w:id="1835141194">
      <w:bodyDiv w:val="1"/>
      <w:marLeft w:val="0"/>
      <w:marRight w:val="0"/>
      <w:marTop w:val="0"/>
      <w:marBottom w:val="0"/>
      <w:divBdr>
        <w:top w:val="none" w:sz="0" w:space="0" w:color="auto"/>
        <w:left w:val="none" w:sz="0" w:space="0" w:color="auto"/>
        <w:bottom w:val="none" w:sz="0" w:space="0" w:color="auto"/>
        <w:right w:val="none" w:sz="0" w:space="0" w:color="auto"/>
      </w:divBdr>
    </w:div>
    <w:div w:id="2005467857">
      <w:bodyDiv w:val="1"/>
      <w:marLeft w:val="0"/>
      <w:marRight w:val="0"/>
      <w:marTop w:val="0"/>
      <w:marBottom w:val="0"/>
      <w:divBdr>
        <w:top w:val="none" w:sz="0" w:space="0" w:color="auto"/>
        <w:left w:val="none" w:sz="0" w:space="0" w:color="auto"/>
        <w:bottom w:val="none" w:sz="0" w:space="0" w:color="auto"/>
        <w:right w:val="none" w:sz="0" w:space="0" w:color="auto"/>
      </w:divBdr>
    </w:div>
    <w:div w:id="2087342944">
      <w:bodyDiv w:val="1"/>
      <w:marLeft w:val="0"/>
      <w:marRight w:val="0"/>
      <w:marTop w:val="0"/>
      <w:marBottom w:val="0"/>
      <w:divBdr>
        <w:top w:val="none" w:sz="0" w:space="0" w:color="auto"/>
        <w:left w:val="none" w:sz="0" w:space="0" w:color="auto"/>
        <w:bottom w:val="none" w:sz="0" w:space="0" w:color="auto"/>
        <w:right w:val="none" w:sz="0" w:space="0" w:color="auto"/>
      </w:divBdr>
    </w:div>
    <w:div w:id="2130126719">
      <w:bodyDiv w:val="1"/>
      <w:marLeft w:val="0"/>
      <w:marRight w:val="0"/>
      <w:marTop w:val="0"/>
      <w:marBottom w:val="0"/>
      <w:divBdr>
        <w:top w:val="none" w:sz="0" w:space="0" w:color="auto"/>
        <w:left w:val="none" w:sz="0" w:space="0" w:color="auto"/>
        <w:bottom w:val="none" w:sz="0" w:space="0" w:color="auto"/>
        <w:right w:val="none" w:sz="0" w:space="0" w:color="auto"/>
      </w:divBdr>
    </w:div>
    <w:div w:id="2130278989">
      <w:bodyDiv w:val="1"/>
      <w:marLeft w:val="0"/>
      <w:marRight w:val="0"/>
      <w:marTop w:val="0"/>
      <w:marBottom w:val="0"/>
      <w:divBdr>
        <w:top w:val="none" w:sz="0" w:space="0" w:color="auto"/>
        <w:left w:val="none" w:sz="0" w:space="0" w:color="auto"/>
        <w:bottom w:val="none" w:sz="0" w:space="0" w:color="auto"/>
        <w:right w:val="none" w:sz="0" w:space="0" w:color="auto"/>
      </w:divBdr>
    </w:div>
    <w:div w:id="21464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8549</Words>
  <Characters>55405</Characters>
  <Application>Microsoft Office Word</Application>
  <DocSecurity>0</DocSecurity>
  <Lines>461</Lines>
  <Paragraphs>127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2023073185_x000d_
SPC opdat. pkt. 4.1, 4.2, 4.4, 4.8, 5.1, 5.2</dc:description>
  <cp:lastModifiedBy>Marianne Ott Jensen</cp:lastModifiedBy>
  <cp:revision>4</cp:revision>
  <cp:lastPrinted>2021-03-22T10:40:00Z</cp:lastPrinted>
  <dcterms:created xsi:type="dcterms:W3CDTF">2024-01-19T12:38:00Z</dcterms:created>
  <dcterms:modified xsi:type="dcterms:W3CDTF">2024-01-19T12:50:00Z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