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E7226" w14:textId="3D6EB39D" w:rsidR="009260DE" w:rsidRPr="007475F3" w:rsidRDefault="0021526C" w:rsidP="009260DE">
      <w:pPr>
        <w:rPr>
          <w:sz w:val="24"/>
          <w:szCs w:val="24"/>
        </w:rPr>
      </w:pPr>
      <w:r w:rsidRPr="007475F3">
        <w:rPr>
          <w:noProof/>
          <w:sz w:val="24"/>
          <w:szCs w:val="24"/>
          <w:lang w:eastAsia="da-DK"/>
        </w:rPr>
        <w:drawing>
          <wp:anchor distT="0" distB="0" distL="114300" distR="114300" simplePos="0" relativeHeight="251658240" behindDoc="0" locked="0" layoutInCell="1" allowOverlap="1" wp14:anchorId="239C042E" wp14:editId="33590C1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A10382" w:rsidRPr="007475F3">
        <w:rPr>
          <w:sz w:val="24"/>
          <w:szCs w:val="24"/>
        </w:rPr>
        <w:t xml:space="preserve"> </w:t>
      </w:r>
      <w:r w:rsidR="00C60CCD" w:rsidRPr="007475F3">
        <w:rPr>
          <w:sz w:val="24"/>
          <w:szCs w:val="24"/>
        </w:rPr>
        <w:br w:type="textWrapping" w:clear="all"/>
      </w:r>
    </w:p>
    <w:p w14:paraId="7A1CD831" w14:textId="12F621A6" w:rsidR="009260DE" w:rsidRPr="007475F3" w:rsidRDefault="009260DE" w:rsidP="009260DE">
      <w:pPr>
        <w:pStyle w:val="Titel"/>
        <w:tabs>
          <w:tab w:val="right" w:pos="9356"/>
        </w:tabs>
        <w:jc w:val="left"/>
        <w:rPr>
          <w:b w:val="0"/>
          <w:szCs w:val="24"/>
          <w:lang w:eastAsia="en-US"/>
        </w:rPr>
      </w:pPr>
      <w:r w:rsidRPr="007475F3">
        <w:rPr>
          <w:b w:val="0"/>
          <w:szCs w:val="24"/>
          <w:lang w:eastAsia="en-US"/>
        </w:rPr>
        <w:tab/>
      </w:r>
      <w:r w:rsidR="009D565D">
        <w:rPr>
          <w:szCs w:val="24"/>
        </w:rPr>
        <w:t>11</w:t>
      </w:r>
      <w:r w:rsidR="00625E52" w:rsidRPr="007475F3">
        <w:rPr>
          <w:szCs w:val="24"/>
        </w:rPr>
        <w:t xml:space="preserve">. </w:t>
      </w:r>
      <w:r w:rsidR="009D565D">
        <w:rPr>
          <w:szCs w:val="24"/>
        </w:rPr>
        <w:t>juni</w:t>
      </w:r>
      <w:r w:rsidR="00625E52" w:rsidRPr="007475F3">
        <w:rPr>
          <w:szCs w:val="24"/>
        </w:rPr>
        <w:t xml:space="preserve"> 202</w:t>
      </w:r>
      <w:r w:rsidR="009D565D">
        <w:rPr>
          <w:szCs w:val="24"/>
        </w:rPr>
        <w:t>4</w:t>
      </w:r>
    </w:p>
    <w:p w14:paraId="3F9ED745" w14:textId="3BBE0683" w:rsidR="009260DE" w:rsidRPr="007475F3" w:rsidRDefault="009260DE" w:rsidP="009260DE">
      <w:pPr>
        <w:pStyle w:val="Titel"/>
        <w:tabs>
          <w:tab w:val="left" w:pos="8222"/>
        </w:tabs>
        <w:jc w:val="left"/>
        <w:rPr>
          <w:b w:val="0"/>
          <w:szCs w:val="24"/>
        </w:rPr>
      </w:pPr>
    </w:p>
    <w:p w14:paraId="0783BA0F" w14:textId="77777777" w:rsidR="009260DE" w:rsidRPr="007475F3" w:rsidRDefault="009260DE" w:rsidP="009260DE">
      <w:pPr>
        <w:pStyle w:val="Titel"/>
        <w:jc w:val="left"/>
        <w:rPr>
          <w:b w:val="0"/>
          <w:szCs w:val="24"/>
        </w:rPr>
      </w:pPr>
    </w:p>
    <w:p w14:paraId="63857749" w14:textId="77777777" w:rsidR="009260DE" w:rsidRPr="007475F3" w:rsidRDefault="009260DE" w:rsidP="009260DE">
      <w:pPr>
        <w:jc w:val="center"/>
        <w:rPr>
          <w:b/>
          <w:sz w:val="24"/>
          <w:szCs w:val="24"/>
        </w:rPr>
      </w:pPr>
      <w:r w:rsidRPr="007475F3">
        <w:rPr>
          <w:b/>
          <w:sz w:val="24"/>
          <w:szCs w:val="24"/>
        </w:rPr>
        <w:t>PRODUKTRESUMÉ</w:t>
      </w:r>
    </w:p>
    <w:p w14:paraId="123E214F" w14:textId="77777777" w:rsidR="009260DE" w:rsidRPr="007475F3" w:rsidRDefault="009260DE" w:rsidP="009260DE">
      <w:pPr>
        <w:jc w:val="center"/>
        <w:rPr>
          <w:b/>
          <w:sz w:val="24"/>
          <w:szCs w:val="24"/>
        </w:rPr>
      </w:pPr>
    </w:p>
    <w:p w14:paraId="74909BDA" w14:textId="3B971B4B" w:rsidR="009260DE" w:rsidRPr="007475F3" w:rsidRDefault="00C44F8B" w:rsidP="00C44F8B">
      <w:pPr>
        <w:tabs>
          <w:tab w:val="left" w:pos="405"/>
          <w:tab w:val="center" w:pos="4819"/>
        </w:tabs>
        <w:rPr>
          <w:b/>
          <w:sz w:val="24"/>
          <w:szCs w:val="24"/>
        </w:rPr>
      </w:pPr>
      <w:r w:rsidRPr="007475F3">
        <w:rPr>
          <w:b/>
          <w:sz w:val="24"/>
          <w:szCs w:val="24"/>
        </w:rPr>
        <w:tab/>
      </w:r>
      <w:r w:rsidRPr="007475F3">
        <w:rPr>
          <w:b/>
          <w:sz w:val="24"/>
          <w:szCs w:val="24"/>
        </w:rPr>
        <w:tab/>
      </w:r>
      <w:r w:rsidR="009260DE" w:rsidRPr="007475F3">
        <w:rPr>
          <w:b/>
          <w:sz w:val="24"/>
          <w:szCs w:val="24"/>
        </w:rPr>
        <w:t>for</w:t>
      </w:r>
    </w:p>
    <w:p w14:paraId="6AB7F753" w14:textId="77777777" w:rsidR="000B058C" w:rsidRPr="007475F3" w:rsidRDefault="000B058C" w:rsidP="009260DE">
      <w:pPr>
        <w:jc w:val="center"/>
        <w:rPr>
          <w:b/>
          <w:sz w:val="24"/>
          <w:szCs w:val="24"/>
        </w:rPr>
      </w:pPr>
    </w:p>
    <w:p w14:paraId="2E98122E" w14:textId="4D8A9AB3" w:rsidR="009260DE" w:rsidRPr="007475F3" w:rsidRDefault="00F51F2C" w:rsidP="009260DE">
      <w:pPr>
        <w:jc w:val="center"/>
        <w:rPr>
          <w:b/>
          <w:sz w:val="24"/>
          <w:szCs w:val="24"/>
        </w:rPr>
      </w:pPr>
      <w:proofErr w:type="spellStart"/>
      <w:r w:rsidRPr="007475F3">
        <w:rPr>
          <w:b/>
          <w:sz w:val="24"/>
          <w:szCs w:val="24"/>
        </w:rPr>
        <w:t>Irinotecan</w:t>
      </w:r>
      <w:proofErr w:type="spellEnd"/>
      <w:r w:rsidRPr="007475F3">
        <w:rPr>
          <w:b/>
          <w:sz w:val="24"/>
          <w:szCs w:val="24"/>
        </w:rPr>
        <w:t xml:space="preserve"> "Sun", </w:t>
      </w:r>
      <w:r w:rsidR="006910F7" w:rsidRPr="007475F3">
        <w:rPr>
          <w:b/>
          <w:sz w:val="24"/>
          <w:szCs w:val="24"/>
        </w:rPr>
        <w:t>infusionsvæske, opløsning</w:t>
      </w:r>
    </w:p>
    <w:p w14:paraId="1AFE3F30" w14:textId="77777777" w:rsidR="009260DE" w:rsidRPr="007475F3" w:rsidRDefault="009260DE" w:rsidP="009260DE">
      <w:pPr>
        <w:jc w:val="both"/>
        <w:rPr>
          <w:sz w:val="24"/>
          <w:szCs w:val="24"/>
        </w:rPr>
      </w:pPr>
    </w:p>
    <w:p w14:paraId="26CACB10" w14:textId="77777777" w:rsidR="009260DE" w:rsidRPr="007475F3" w:rsidRDefault="009260DE" w:rsidP="009260DE">
      <w:pPr>
        <w:jc w:val="both"/>
        <w:rPr>
          <w:sz w:val="24"/>
          <w:szCs w:val="24"/>
        </w:rPr>
      </w:pPr>
    </w:p>
    <w:p w14:paraId="4CDCE83F" w14:textId="77777777" w:rsidR="009260DE" w:rsidRPr="007475F3" w:rsidRDefault="009260DE" w:rsidP="009260DE">
      <w:pPr>
        <w:tabs>
          <w:tab w:val="left" w:pos="851"/>
        </w:tabs>
        <w:ind w:left="851" w:hanging="851"/>
        <w:rPr>
          <w:b/>
          <w:sz w:val="24"/>
          <w:szCs w:val="24"/>
        </w:rPr>
      </w:pPr>
      <w:r w:rsidRPr="007475F3">
        <w:rPr>
          <w:b/>
          <w:sz w:val="24"/>
          <w:szCs w:val="24"/>
        </w:rPr>
        <w:t>0.</w:t>
      </w:r>
      <w:r w:rsidRPr="007475F3">
        <w:rPr>
          <w:b/>
          <w:sz w:val="24"/>
          <w:szCs w:val="24"/>
        </w:rPr>
        <w:tab/>
        <w:t>D.SP.NR.</w:t>
      </w:r>
    </w:p>
    <w:p w14:paraId="51C6A502" w14:textId="50E30629" w:rsidR="009260DE" w:rsidRPr="007475F3" w:rsidRDefault="006910F7" w:rsidP="009260DE">
      <w:pPr>
        <w:tabs>
          <w:tab w:val="left" w:pos="851"/>
        </w:tabs>
        <w:ind w:left="851"/>
        <w:rPr>
          <w:sz w:val="24"/>
          <w:szCs w:val="24"/>
        </w:rPr>
      </w:pPr>
      <w:r w:rsidRPr="007475F3">
        <w:rPr>
          <w:sz w:val="24"/>
          <w:szCs w:val="24"/>
        </w:rPr>
        <w:t>32346</w:t>
      </w:r>
    </w:p>
    <w:p w14:paraId="4CB51BB0" w14:textId="77777777" w:rsidR="009260DE" w:rsidRPr="007475F3" w:rsidRDefault="009260DE" w:rsidP="009260DE">
      <w:pPr>
        <w:tabs>
          <w:tab w:val="left" w:pos="851"/>
        </w:tabs>
        <w:ind w:left="851"/>
        <w:rPr>
          <w:sz w:val="24"/>
          <w:szCs w:val="24"/>
        </w:rPr>
      </w:pPr>
    </w:p>
    <w:p w14:paraId="5AF4003C" w14:textId="77777777" w:rsidR="009260DE" w:rsidRPr="007475F3" w:rsidRDefault="009260DE" w:rsidP="009260DE">
      <w:pPr>
        <w:tabs>
          <w:tab w:val="left" w:pos="851"/>
        </w:tabs>
        <w:ind w:left="851" w:hanging="851"/>
        <w:rPr>
          <w:b/>
          <w:sz w:val="24"/>
          <w:szCs w:val="24"/>
        </w:rPr>
      </w:pPr>
      <w:r w:rsidRPr="007475F3">
        <w:rPr>
          <w:b/>
          <w:sz w:val="24"/>
          <w:szCs w:val="24"/>
        </w:rPr>
        <w:t>1.</w:t>
      </w:r>
      <w:r w:rsidRPr="007475F3">
        <w:rPr>
          <w:b/>
          <w:sz w:val="24"/>
          <w:szCs w:val="24"/>
        </w:rPr>
        <w:tab/>
        <w:t>LÆGEMIDLETS NAVN</w:t>
      </w:r>
    </w:p>
    <w:p w14:paraId="5DB9DAB5" w14:textId="059C12D9" w:rsidR="009260DE" w:rsidRPr="007475F3" w:rsidRDefault="006910F7" w:rsidP="009260DE">
      <w:pPr>
        <w:tabs>
          <w:tab w:val="left" w:pos="851"/>
        </w:tabs>
        <w:ind w:left="851"/>
        <w:rPr>
          <w:sz w:val="24"/>
          <w:szCs w:val="24"/>
        </w:rPr>
      </w:pPr>
      <w:proofErr w:type="spellStart"/>
      <w:r w:rsidRPr="007475F3">
        <w:rPr>
          <w:sz w:val="24"/>
          <w:szCs w:val="24"/>
        </w:rPr>
        <w:t>Irinotecan</w:t>
      </w:r>
      <w:proofErr w:type="spellEnd"/>
      <w:r w:rsidRPr="007475F3">
        <w:rPr>
          <w:sz w:val="24"/>
          <w:szCs w:val="24"/>
        </w:rPr>
        <w:t xml:space="preserve"> "Sun"</w:t>
      </w:r>
    </w:p>
    <w:p w14:paraId="3E083496" w14:textId="77777777" w:rsidR="009260DE" w:rsidRPr="007475F3" w:rsidRDefault="009260DE" w:rsidP="009260DE">
      <w:pPr>
        <w:tabs>
          <w:tab w:val="left" w:pos="851"/>
        </w:tabs>
        <w:ind w:left="851"/>
        <w:rPr>
          <w:sz w:val="24"/>
          <w:szCs w:val="24"/>
        </w:rPr>
      </w:pPr>
    </w:p>
    <w:p w14:paraId="5BD6285F" w14:textId="77777777" w:rsidR="009260DE" w:rsidRPr="007475F3" w:rsidRDefault="009260DE" w:rsidP="009260DE">
      <w:pPr>
        <w:tabs>
          <w:tab w:val="left" w:pos="851"/>
        </w:tabs>
        <w:ind w:left="851" w:hanging="851"/>
        <w:rPr>
          <w:b/>
          <w:sz w:val="24"/>
          <w:szCs w:val="24"/>
        </w:rPr>
      </w:pPr>
      <w:r w:rsidRPr="007475F3">
        <w:rPr>
          <w:b/>
          <w:sz w:val="24"/>
          <w:szCs w:val="24"/>
        </w:rPr>
        <w:t>2.</w:t>
      </w:r>
      <w:r w:rsidRPr="007475F3">
        <w:rPr>
          <w:b/>
          <w:sz w:val="24"/>
          <w:szCs w:val="24"/>
        </w:rPr>
        <w:tab/>
        <w:t>KVALITATIV OG KVANTITATIV SAMMENSÆTNING</w:t>
      </w:r>
    </w:p>
    <w:p w14:paraId="3DA3DF77" w14:textId="77777777" w:rsidR="00A504E0" w:rsidRPr="007475F3" w:rsidRDefault="00A504E0" w:rsidP="00A504E0">
      <w:pPr>
        <w:autoSpaceDE w:val="0"/>
        <w:autoSpaceDN w:val="0"/>
        <w:adjustRightInd w:val="0"/>
        <w:ind w:left="851"/>
        <w:rPr>
          <w:sz w:val="22"/>
        </w:rPr>
      </w:pPr>
      <w:r w:rsidRPr="007475F3">
        <w:t xml:space="preserve">Hver infusionspose på 180 ml indeholder 270 mg </w:t>
      </w:r>
      <w:proofErr w:type="spellStart"/>
      <w:r w:rsidRPr="007475F3">
        <w:t>irinotecanhydrochloridtrihydrat</w:t>
      </w:r>
      <w:proofErr w:type="spellEnd"/>
      <w:r w:rsidRPr="007475F3">
        <w:t xml:space="preserve"> (svarende til 234 mg </w:t>
      </w:r>
      <w:proofErr w:type="spellStart"/>
      <w:r w:rsidRPr="007475F3">
        <w:t>irinotecan</w:t>
      </w:r>
      <w:proofErr w:type="spellEnd"/>
      <w:r w:rsidRPr="007475F3">
        <w:t xml:space="preserve">). </w:t>
      </w:r>
    </w:p>
    <w:p w14:paraId="52C0A063" w14:textId="77777777" w:rsidR="00A504E0" w:rsidRPr="007475F3" w:rsidRDefault="00A504E0" w:rsidP="00A504E0">
      <w:pPr>
        <w:autoSpaceDE w:val="0"/>
        <w:autoSpaceDN w:val="0"/>
        <w:adjustRightInd w:val="0"/>
        <w:ind w:left="851"/>
      </w:pPr>
      <w:r w:rsidRPr="007475F3">
        <w:t xml:space="preserve">En ml af infusionsvæsken, opløsning, indeholder 1,5 mg </w:t>
      </w:r>
      <w:proofErr w:type="spellStart"/>
      <w:r w:rsidRPr="007475F3">
        <w:t>irinotecanhydrochloridtrihydrat</w:t>
      </w:r>
      <w:proofErr w:type="spellEnd"/>
      <w:r w:rsidRPr="007475F3">
        <w:t xml:space="preserve"> (svarende til 1,3 mg/ml </w:t>
      </w:r>
      <w:proofErr w:type="spellStart"/>
      <w:r w:rsidRPr="007475F3">
        <w:t>irinotecan</w:t>
      </w:r>
      <w:proofErr w:type="spellEnd"/>
      <w:r w:rsidRPr="007475F3">
        <w:t>).</w:t>
      </w:r>
    </w:p>
    <w:p w14:paraId="42D5CCBB" w14:textId="77777777" w:rsidR="00A504E0" w:rsidRPr="007475F3" w:rsidRDefault="00A504E0" w:rsidP="00A504E0">
      <w:pPr>
        <w:autoSpaceDE w:val="0"/>
        <w:autoSpaceDN w:val="0"/>
        <w:adjustRightInd w:val="0"/>
        <w:ind w:left="851"/>
      </w:pPr>
    </w:p>
    <w:p w14:paraId="1F1C08D0" w14:textId="77777777" w:rsidR="00A504E0" w:rsidRPr="007475F3" w:rsidRDefault="00A504E0" w:rsidP="00A504E0">
      <w:pPr>
        <w:autoSpaceDE w:val="0"/>
        <w:autoSpaceDN w:val="0"/>
        <w:adjustRightInd w:val="0"/>
        <w:ind w:left="851"/>
      </w:pPr>
      <w:r w:rsidRPr="007475F3">
        <w:t>Hjælpestof med kendt effekt:</w:t>
      </w:r>
    </w:p>
    <w:p w14:paraId="118AD61A" w14:textId="77777777" w:rsidR="00A504E0" w:rsidRPr="007475F3" w:rsidRDefault="00A504E0" w:rsidP="00A504E0">
      <w:pPr>
        <w:autoSpaceDE w:val="0"/>
        <w:autoSpaceDN w:val="0"/>
        <w:adjustRightInd w:val="0"/>
        <w:ind w:left="851"/>
      </w:pPr>
      <w:r w:rsidRPr="007475F3">
        <w:t>Hver infusionspose på 180 ml indeholder 10,346 mg natrium. En ml af infusionsvæsken, opløsning, indeholder 0,06 mg natrium. En infusionspose indeholder 8325 mg glukose og 607,5 mg sorbitol (E420).</w:t>
      </w:r>
    </w:p>
    <w:p w14:paraId="16446250" w14:textId="77777777" w:rsidR="00A504E0" w:rsidRPr="007475F3" w:rsidRDefault="00A504E0" w:rsidP="00A504E0">
      <w:pPr>
        <w:autoSpaceDE w:val="0"/>
        <w:autoSpaceDN w:val="0"/>
        <w:adjustRightInd w:val="0"/>
        <w:ind w:left="851"/>
      </w:pPr>
    </w:p>
    <w:p w14:paraId="587C59BF" w14:textId="77777777" w:rsidR="00A504E0" w:rsidRPr="007475F3" w:rsidRDefault="00A504E0" w:rsidP="00A504E0">
      <w:pPr>
        <w:autoSpaceDE w:val="0"/>
        <w:autoSpaceDN w:val="0"/>
        <w:adjustRightInd w:val="0"/>
        <w:ind w:left="851"/>
      </w:pPr>
      <w:r w:rsidRPr="007475F3">
        <w:t xml:space="preserve">Hver infusionspose på 200 ml indeholder 300 mg </w:t>
      </w:r>
      <w:proofErr w:type="spellStart"/>
      <w:r w:rsidRPr="007475F3">
        <w:t>irinotecanhydrochloridtrihydrat</w:t>
      </w:r>
      <w:proofErr w:type="spellEnd"/>
      <w:r w:rsidRPr="007475F3">
        <w:t xml:space="preserve"> (svarende til 260 mg </w:t>
      </w:r>
      <w:proofErr w:type="spellStart"/>
      <w:r w:rsidRPr="007475F3">
        <w:t>irinotecan</w:t>
      </w:r>
      <w:proofErr w:type="spellEnd"/>
      <w:r w:rsidRPr="007475F3">
        <w:t>).</w:t>
      </w:r>
    </w:p>
    <w:p w14:paraId="358BE78D" w14:textId="77777777" w:rsidR="00A504E0" w:rsidRPr="007475F3" w:rsidRDefault="00A504E0" w:rsidP="00A504E0">
      <w:pPr>
        <w:autoSpaceDE w:val="0"/>
        <w:autoSpaceDN w:val="0"/>
        <w:adjustRightInd w:val="0"/>
        <w:ind w:left="851"/>
      </w:pPr>
      <w:r w:rsidRPr="007475F3">
        <w:t xml:space="preserve">En ml af infusionsvæsken, opløsning, indeholder 1,5 mg </w:t>
      </w:r>
      <w:proofErr w:type="spellStart"/>
      <w:r w:rsidRPr="007475F3">
        <w:t>irinotecanhydrochloridtrihydrat</w:t>
      </w:r>
      <w:proofErr w:type="spellEnd"/>
      <w:r w:rsidRPr="007475F3">
        <w:t xml:space="preserve"> (svarende til 1,3 mg/ml </w:t>
      </w:r>
      <w:proofErr w:type="spellStart"/>
      <w:r w:rsidRPr="007475F3">
        <w:t>irinotecan</w:t>
      </w:r>
      <w:proofErr w:type="spellEnd"/>
      <w:r w:rsidRPr="007475F3">
        <w:t>).</w:t>
      </w:r>
    </w:p>
    <w:p w14:paraId="533EED07" w14:textId="77777777" w:rsidR="00A504E0" w:rsidRPr="007475F3" w:rsidRDefault="00A504E0" w:rsidP="00A504E0">
      <w:pPr>
        <w:autoSpaceDE w:val="0"/>
        <w:autoSpaceDN w:val="0"/>
        <w:adjustRightInd w:val="0"/>
        <w:ind w:left="851"/>
      </w:pPr>
    </w:p>
    <w:p w14:paraId="30181975" w14:textId="77777777" w:rsidR="00A504E0" w:rsidRPr="007475F3" w:rsidRDefault="00A504E0" w:rsidP="00A504E0">
      <w:pPr>
        <w:autoSpaceDE w:val="0"/>
        <w:autoSpaceDN w:val="0"/>
        <w:adjustRightInd w:val="0"/>
        <w:ind w:left="851"/>
      </w:pPr>
      <w:r w:rsidRPr="007475F3">
        <w:t>Hjælpestof med kendt effekt:</w:t>
      </w:r>
    </w:p>
    <w:p w14:paraId="27957745" w14:textId="77777777" w:rsidR="00A504E0" w:rsidRPr="007475F3" w:rsidRDefault="00A504E0" w:rsidP="00A504E0">
      <w:pPr>
        <w:autoSpaceDE w:val="0"/>
        <w:autoSpaceDN w:val="0"/>
        <w:adjustRightInd w:val="0"/>
        <w:ind w:left="851"/>
      </w:pPr>
      <w:r w:rsidRPr="007475F3">
        <w:t>Hver infusionspose på 200 ml indeholder 11,496 mg natrium. En ml af infusionsvæsken, opløsning, indeholder 0,06 mg natrium. En infusionspose indeholder 9250 mg glukose og 675 mg sorbitol (E420).</w:t>
      </w:r>
    </w:p>
    <w:p w14:paraId="2C0D5CC5" w14:textId="77777777" w:rsidR="00A504E0" w:rsidRPr="007475F3" w:rsidRDefault="00A504E0" w:rsidP="00A504E0">
      <w:pPr>
        <w:autoSpaceDE w:val="0"/>
        <w:autoSpaceDN w:val="0"/>
        <w:adjustRightInd w:val="0"/>
        <w:ind w:left="851"/>
      </w:pPr>
    </w:p>
    <w:p w14:paraId="17ACCF14" w14:textId="77777777" w:rsidR="00A504E0" w:rsidRPr="007475F3" w:rsidRDefault="00A504E0" w:rsidP="00A504E0">
      <w:pPr>
        <w:autoSpaceDE w:val="0"/>
        <w:autoSpaceDN w:val="0"/>
        <w:adjustRightInd w:val="0"/>
        <w:ind w:left="851"/>
      </w:pPr>
      <w:r w:rsidRPr="007475F3">
        <w:t xml:space="preserve">Hver infusionspose på 220 ml indeholder 330 mg </w:t>
      </w:r>
      <w:proofErr w:type="spellStart"/>
      <w:r w:rsidRPr="007475F3">
        <w:t>irinotecanhydrochloridtrihydrat</w:t>
      </w:r>
      <w:proofErr w:type="spellEnd"/>
      <w:r w:rsidRPr="007475F3">
        <w:t xml:space="preserve"> (svarende til 286 mg </w:t>
      </w:r>
      <w:proofErr w:type="spellStart"/>
      <w:r w:rsidRPr="007475F3">
        <w:t>irinotecan</w:t>
      </w:r>
      <w:proofErr w:type="spellEnd"/>
      <w:r w:rsidRPr="007475F3">
        <w:t>).</w:t>
      </w:r>
    </w:p>
    <w:p w14:paraId="5B91001D" w14:textId="77777777" w:rsidR="00A504E0" w:rsidRPr="007475F3" w:rsidRDefault="00A504E0" w:rsidP="00A504E0">
      <w:pPr>
        <w:autoSpaceDE w:val="0"/>
        <w:autoSpaceDN w:val="0"/>
        <w:adjustRightInd w:val="0"/>
        <w:ind w:left="851"/>
      </w:pPr>
      <w:r w:rsidRPr="007475F3">
        <w:t xml:space="preserve">En ml af infusionsvæsken, opløsning, indeholder 1,5 mg </w:t>
      </w:r>
      <w:proofErr w:type="spellStart"/>
      <w:r w:rsidRPr="007475F3">
        <w:t>irinotecanhydrochloridtrihydrat</w:t>
      </w:r>
      <w:proofErr w:type="spellEnd"/>
      <w:r w:rsidRPr="007475F3">
        <w:t xml:space="preserve"> (svarende til 1,3 mg/ml </w:t>
      </w:r>
      <w:proofErr w:type="spellStart"/>
      <w:r w:rsidRPr="007475F3">
        <w:t>irinotecan</w:t>
      </w:r>
      <w:proofErr w:type="spellEnd"/>
      <w:r w:rsidRPr="007475F3">
        <w:t>).</w:t>
      </w:r>
    </w:p>
    <w:p w14:paraId="64BE4E2C" w14:textId="77777777" w:rsidR="00A504E0" w:rsidRPr="007475F3" w:rsidRDefault="00A504E0" w:rsidP="00A504E0">
      <w:pPr>
        <w:autoSpaceDE w:val="0"/>
        <w:autoSpaceDN w:val="0"/>
        <w:adjustRightInd w:val="0"/>
        <w:ind w:left="851"/>
      </w:pPr>
    </w:p>
    <w:p w14:paraId="73C9CE90" w14:textId="77777777" w:rsidR="00A504E0" w:rsidRPr="007475F3" w:rsidRDefault="00A504E0" w:rsidP="00A504E0">
      <w:pPr>
        <w:autoSpaceDE w:val="0"/>
        <w:autoSpaceDN w:val="0"/>
        <w:adjustRightInd w:val="0"/>
        <w:ind w:left="851"/>
      </w:pPr>
      <w:r w:rsidRPr="007475F3">
        <w:t>Hjælpestof med kendt effekt:</w:t>
      </w:r>
    </w:p>
    <w:p w14:paraId="20066FB0" w14:textId="77777777" w:rsidR="00A504E0" w:rsidRPr="007475F3" w:rsidRDefault="00A504E0" w:rsidP="00A504E0">
      <w:pPr>
        <w:autoSpaceDE w:val="0"/>
        <w:autoSpaceDN w:val="0"/>
        <w:adjustRightInd w:val="0"/>
        <w:ind w:left="851"/>
      </w:pPr>
      <w:r w:rsidRPr="007475F3">
        <w:t>Hver infusionspose på 220 ml indeholder 12,640 mg natrium. En ml af infusionsvæsken, opløsning, indeholder 0,06 mg natrium. En infusionspose indeholder 10,175 mg glukose og 742,5 mg sorbitol (E420).</w:t>
      </w:r>
    </w:p>
    <w:p w14:paraId="31F772B4" w14:textId="77777777" w:rsidR="00A504E0" w:rsidRPr="007475F3" w:rsidRDefault="00A504E0" w:rsidP="00A504E0">
      <w:pPr>
        <w:autoSpaceDE w:val="0"/>
        <w:autoSpaceDN w:val="0"/>
        <w:adjustRightInd w:val="0"/>
        <w:ind w:left="851"/>
      </w:pPr>
    </w:p>
    <w:p w14:paraId="7CF82CF8" w14:textId="77777777" w:rsidR="00A504E0" w:rsidRPr="007475F3" w:rsidRDefault="00A504E0" w:rsidP="00A504E0">
      <w:pPr>
        <w:autoSpaceDE w:val="0"/>
        <w:autoSpaceDN w:val="0"/>
        <w:adjustRightInd w:val="0"/>
        <w:ind w:left="851"/>
      </w:pPr>
      <w:r w:rsidRPr="007475F3">
        <w:lastRenderedPageBreak/>
        <w:t xml:space="preserve">Hver infusionspose på 240 ml indeholder 360 mg </w:t>
      </w:r>
      <w:proofErr w:type="spellStart"/>
      <w:r w:rsidRPr="007475F3">
        <w:t>irinotecanhydrochloridtrihydrat</w:t>
      </w:r>
      <w:proofErr w:type="spellEnd"/>
      <w:r w:rsidRPr="007475F3">
        <w:t xml:space="preserve"> (svarende til 312 mg </w:t>
      </w:r>
      <w:proofErr w:type="spellStart"/>
      <w:r w:rsidRPr="007475F3">
        <w:t>irinotecan</w:t>
      </w:r>
      <w:proofErr w:type="spellEnd"/>
      <w:r w:rsidRPr="007475F3">
        <w:t>).</w:t>
      </w:r>
    </w:p>
    <w:p w14:paraId="57E20E2B" w14:textId="77777777" w:rsidR="00A504E0" w:rsidRPr="007475F3" w:rsidRDefault="00A504E0" w:rsidP="00A504E0">
      <w:pPr>
        <w:autoSpaceDE w:val="0"/>
        <w:autoSpaceDN w:val="0"/>
        <w:adjustRightInd w:val="0"/>
        <w:ind w:left="851"/>
      </w:pPr>
      <w:r w:rsidRPr="007475F3">
        <w:t xml:space="preserve">En ml af infusionsvæsken, opløsning, indeholder 1,5 mg </w:t>
      </w:r>
      <w:proofErr w:type="spellStart"/>
      <w:r w:rsidRPr="007475F3">
        <w:t>irinotecanhydrochloridtrihydrat</w:t>
      </w:r>
      <w:proofErr w:type="spellEnd"/>
      <w:r w:rsidRPr="007475F3">
        <w:t xml:space="preserve"> (svarende til 1,3 mg/ml </w:t>
      </w:r>
      <w:proofErr w:type="spellStart"/>
      <w:r w:rsidRPr="007475F3">
        <w:t>irinotecan</w:t>
      </w:r>
      <w:proofErr w:type="spellEnd"/>
      <w:r w:rsidRPr="007475F3">
        <w:t>).</w:t>
      </w:r>
    </w:p>
    <w:p w14:paraId="16466D00" w14:textId="77777777" w:rsidR="00A504E0" w:rsidRPr="007475F3" w:rsidRDefault="00A504E0" w:rsidP="00A504E0">
      <w:pPr>
        <w:autoSpaceDE w:val="0"/>
        <w:autoSpaceDN w:val="0"/>
        <w:adjustRightInd w:val="0"/>
        <w:ind w:left="851"/>
      </w:pPr>
    </w:p>
    <w:p w14:paraId="26D069A0" w14:textId="77777777" w:rsidR="00A504E0" w:rsidRPr="007475F3" w:rsidRDefault="00A504E0" w:rsidP="00A504E0">
      <w:pPr>
        <w:autoSpaceDE w:val="0"/>
        <w:autoSpaceDN w:val="0"/>
        <w:adjustRightInd w:val="0"/>
        <w:ind w:left="851"/>
      </w:pPr>
      <w:r w:rsidRPr="007475F3">
        <w:t>Hjælpestof med kendt effekt:</w:t>
      </w:r>
    </w:p>
    <w:p w14:paraId="2470E3B0" w14:textId="77777777" w:rsidR="00A504E0" w:rsidRPr="007475F3" w:rsidRDefault="00A504E0" w:rsidP="00A504E0">
      <w:pPr>
        <w:autoSpaceDE w:val="0"/>
        <w:autoSpaceDN w:val="0"/>
        <w:adjustRightInd w:val="0"/>
        <w:ind w:left="851"/>
      </w:pPr>
      <w:r w:rsidRPr="007475F3">
        <w:t>Hver infusionspose på 240 ml indeholder 13,795 mg natrium. En ml af infusionsvæsken, opløsning, indeholder 0,06 mg natrium. En infusionspose indeholder 11,100 mg glukose og 810 mg sorbitol (E420).</w:t>
      </w:r>
    </w:p>
    <w:p w14:paraId="45770342" w14:textId="77777777" w:rsidR="00A126E3" w:rsidRPr="007475F3" w:rsidRDefault="00A126E3" w:rsidP="00C223FE">
      <w:pPr>
        <w:autoSpaceDE w:val="0"/>
        <w:autoSpaceDN w:val="0"/>
        <w:adjustRightInd w:val="0"/>
        <w:ind w:left="851"/>
        <w:rPr>
          <w:sz w:val="24"/>
          <w:szCs w:val="24"/>
        </w:rPr>
      </w:pPr>
    </w:p>
    <w:p w14:paraId="01C4DA37" w14:textId="77777777" w:rsidR="00A126E3" w:rsidRPr="007475F3" w:rsidRDefault="00A126E3" w:rsidP="00C223FE">
      <w:pPr>
        <w:autoSpaceDE w:val="0"/>
        <w:autoSpaceDN w:val="0"/>
        <w:adjustRightInd w:val="0"/>
        <w:ind w:left="851"/>
        <w:rPr>
          <w:sz w:val="24"/>
          <w:szCs w:val="24"/>
        </w:rPr>
      </w:pPr>
      <w:r w:rsidRPr="007475F3">
        <w:rPr>
          <w:sz w:val="24"/>
          <w:szCs w:val="24"/>
        </w:rPr>
        <w:t>Alle hjælpestoffer er anført under pkt. 6.1.</w:t>
      </w:r>
    </w:p>
    <w:p w14:paraId="08726DE8" w14:textId="77777777" w:rsidR="009260DE" w:rsidRPr="007475F3" w:rsidRDefault="009260DE" w:rsidP="009260DE">
      <w:pPr>
        <w:tabs>
          <w:tab w:val="left" w:pos="851"/>
        </w:tabs>
        <w:ind w:left="851"/>
        <w:rPr>
          <w:sz w:val="24"/>
          <w:szCs w:val="24"/>
        </w:rPr>
      </w:pPr>
    </w:p>
    <w:p w14:paraId="28EF0213" w14:textId="77777777" w:rsidR="009260DE" w:rsidRPr="007475F3" w:rsidRDefault="009260DE" w:rsidP="009260DE">
      <w:pPr>
        <w:tabs>
          <w:tab w:val="left" w:pos="851"/>
        </w:tabs>
        <w:ind w:left="851" w:hanging="851"/>
        <w:rPr>
          <w:b/>
          <w:sz w:val="24"/>
          <w:szCs w:val="24"/>
        </w:rPr>
      </w:pPr>
      <w:r w:rsidRPr="007475F3">
        <w:rPr>
          <w:b/>
          <w:sz w:val="24"/>
          <w:szCs w:val="24"/>
        </w:rPr>
        <w:t>3.</w:t>
      </w:r>
      <w:r w:rsidRPr="007475F3">
        <w:rPr>
          <w:b/>
          <w:sz w:val="24"/>
          <w:szCs w:val="24"/>
        </w:rPr>
        <w:tab/>
        <w:t>LÆGEMIDDELFORM</w:t>
      </w:r>
    </w:p>
    <w:p w14:paraId="55205592" w14:textId="672C6B94" w:rsidR="00253EB6" w:rsidRPr="007475F3" w:rsidRDefault="00253EB6" w:rsidP="00C223FE">
      <w:pPr>
        <w:autoSpaceDE w:val="0"/>
        <w:autoSpaceDN w:val="0"/>
        <w:adjustRightInd w:val="0"/>
        <w:ind w:left="851"/>
        <w:rPr>
          <w:sz w:val="24"/>
          <w:szCs w:val="24"/>
        </w:rPr>
      </w:pPr>
      <w:r w:rsidRPr="007475F3">
        <w:rPr>
          <w:sz w:val="24"/>
          <w:szCs w:val="24"/>
        </w:rPr>
        <w:t>Infusionsvæske, opløsning</w:t>
      </w:r>
    </w:p>
    <w:p w14:paraId="547FA133" w14:textId="77777777" w:rsidR="00253EB6" w:rsidRPr="007475F3" w:rsidRDefault="00253EB6" w:rsidP="00C223FE">
      <w:pPr>
        <w:autoSpaceDE w:val="0"/>
        <w:autoSpaceDN w:val="0"/>
        <w:adjustRightInd w:val="0"/>
        <w:ind w:left="851"/>
        <w:rPr>
          <w:sz w:val="24"/>
          <w:szCs w:val="24"/>
        </w:rPr>
      </w:pPr>
    </w:p>
    <w:p w14:paraId="3F57FD9D" w14:textId="77777777" w:rsidR="00253EB6" w:rsidRPr="007475F3" w:rsidRDefault="00253EB6" w:rsidP="00C223FE">
      <w:pPr>
        <w:autoSpaceDE w:val="0"/>
        <w:autoSpaceDN w:val="0"/>
        <w:adjustRightInd w:val="0"/>
        <w:ind w:left="851"/>
        <w:rPr>
          <w:sz w:val="24"/>
          <w:szCs w:val="24"/>
        </w:rPr>
      </w:pPr>
      <w:r w:rsidRPr="007475F3">
        <w:rPr>
          <w:sz w:val="24"/>
          <w:szCs w:val="24"/>
        </w:rPr>
        <w:t xml:space="preserve">En lysegul til gul, klar opløsning, der er fri for synlige partikler, med en pH-værdi på 3,0 til 3,8, og en </w:t>
      </w:r>
      <w:proofErr w:type="spellStart"/>
      <w:r w:rsidRPr="007475F3">
        <w:rPr>
          <w:sz w:val="24"/>
          <w:szCs w:val="24"/>
        </w:rPr>
        <w:t>osmolalitet</w:t>
      </w:r>
      <w:proofErr w:type="spellEnd"/>
      <w:r w:rsidRPr="007475F3">
        <w:rPr>
          <w:sz w:val="24"/>
          <w:szCs w:val="24"/>
        </w:rPr>
        <w:t xml:space="preserve"> mellem 250 til 350 </w:t>
      </w:r>
      <w:proofErr w:type="spellStart"/>
      <w:r w:rsidRPr="007475F3">
        <w:rPr>
          <w:sz w:val="24"/>
          <w:szCs w:val="24"/>
        </w:rPr>
        <w:t>mOsmol</w:t>
      </w:r>
      <w:proofErr w:type="spellEnd"/>
      <w:r w:rsidRPr="007475F3">
        <w:rPr>
          <w:sz w:val="24"/>
          <w:szCs w:val="24"/>
        </w:rPr>
        <w:t>/kg.</w:t>
      </w:r>
    </w:p>
    <w:p w14:paraId="55BCDCA0" w14:textId="77777777" w:rsidR="009260DE" w:rsidRPr="007475F3" w:rsidRDefault="009260DE" w:rsidP="009260DE">
      <w:pPr>
        <w:tabs>
          <w:tab w:val="left" w:pos="851"/>
        </w:tabs>
        <w:ind w:left="851"/>
        <w:rPr>
          <w:sz w:val="24"/>
          <w:szCs w:val="24"/>
        </w:rPr>
      </w:pPr>
    </w:p>
    <w:p w14:paraId="4968B7B9" w14:textId="77777777" w:rsidR="009260DE" w:rsidRPr="007475F3" w:rsidRDefault="009260DE" w:rsidP="009260DE">
      <w:pPr>
        <w:tabs>
          <w:tab w:val="left" w:pos="851"/>
        </w:tabs>
        <w:ind w:left="851"/>
        <w:rPr>
          <w:sz w:val="24"/>
          <w:szCs w:val="24"/>
        </w:rPr>
      </w:pPr>
    </w:p>
    <w:p w14:paraId="515D06A1" w14:textId="77777777" w:rsidR="009260DE" w:rsidRPr="007475F3" w:rsidRDefault="009260DE" w:rsidP="009260DE">
      <w:pPr>
        <w:tabs>
          <w:tab w:val="left" w:pos="851"/>
        </w:tabs>
        <w:ind w:left="851" w:hanging="851"/>
        <w:rPr>
          <w:b/>
          <w:sz w:val="24"/>
          <w:szCs w:val="24"/>
        </w:rPr>
      </w:pPr>
      <w:r w:rsidRPr="007475F3">
        <w:rPr>
          <w:b/>
          <w:sz w:val="24"/>
          <w:szCs w:val="24"/>
        </w:rPr>
        <w:t>4.</w:t>
      </w:r>
      <w:r w:rsidRPr="007475F3">
        <w:rPr>
          <w:b/>
          <w:sz w:val="24"/>
          <w:szCs w:val="24"/>
        </w:rPr>
        <w:tab/>
        <w:t>KLINISKE OPLYSNINGER</w:t>
      </w:r>
    </w:p>
    <w:p w14:paraId="78D420D5" w14:textId="77777777" w:rsidR="009260DE" w:rsidRPr="007475F3" w:rsidRDefault="009260DE" w:rsidP="009260DE">
      <w:pPr>
        <w:tabs>
          <w:tab w:val="left" w:pos="851"/>
        </w:tabs>
        <w:ind w:left="851"/>
        <w:rPr>
          <w:b/>
          <w:sz w:val="24"/>
          <w:szCs w:val="24"/>
        </w:rPr>
      </w:pPr>
    </w:p>
    <w:p w14:paraId="7CFC7D1E" w14:textId="77777777" w:rsidR="009260DE" w:rsidRPr="007475F3" w:rsidRDefault="009260DE" w:rsidP="009260DE">
      <w:pPr>
        <w:tabs>
          <w:tab w:val="left" w:pos="851"/>
        </w:tabs>
        <w:ind w:left="851" w:hanging="851"/>
        <w:rPr>
          <w:b/>
          <w:sz w:val="24"/>
          <w:szCs w:val="24"/>
          <w:u w:val="single"/>
        </w:rPr>
      </w:pPr>
      <w:r w:rsidRPr="007475F3">
        <w:rPr>
          <w:b/>
          <w:sz w:val="24"/>
          <w:szCs w:val="24"/>
        </w:rPr>
        <w:t>4.1</w:t>
      </w:r>
      <w:r w:rsidRPr="007475F3">
        <w:rPr>
          <w:b/>
          <w:sz w:val="24"/>
          <w:szCs w:val="24"/>
        </w:rPr>
        <w:tab/>
        <w:t>Terapeutiske indikationer</w:t>
      </w:r>
    </w:p>
    <w:p w14:paraId="3A63624F" w14:textId="77777777" w:rsidR="00A504E0" w:rsidRPr="007475F3" w:rsidRDefault="00A504E0" w:rsidP="00A504E0">
      <w:pPr>
        <w:autoSpaceDE w:val="0"/>
        <w:autoSpaceDN w:val="0"/>
        <w:adjustRightInd w:val="0"/>
        <w:ind w:left="851"/>
        <w:rPr>
          <w:sz w:val="22"/>
        </w:rPr>
      </w:pPr>
      <w:proofErr w:type="spellStart"/>
      <w:r w:rsidRPr="007475F3">
        <w:t>Irinotecan</w:t>
      </w:r>
      <w:proofErr w:type="spellEnd"/>
      <w:r w:rsidRPr="007475F3">
        <w:t xml:space="preserve"> er indiceret til behandling af patienter med fremskreden </w:t>
      </w:r>
      <w:proofErr w:type="spellStart"/>
      <w:r w:rsidRPr="007475F3">
        <w:t>colorektal</w:t>
      </w:r>
      <w:proofErr w:type="spellEnd"/>
      <w:r w:rsidRPr="007475F3">
        <w:t xml:space="preserve"> cancer</w:t>
      </w:r>
    </w:p>
    <w:p w14:paraId="11BF3E1A" w14:textId="77777777" w:rsidR="00A504E0" w:rsidRPr="007475F3" w:rsidRDefault="00A504E0" w:rsidP="00A504E0">
      <w:pPr>
        <w:autoSpaceDE w:val="0"/>
        <w:autoSpaceDN w:val="0"/>
        <w:adjustRightInd w:val="0"/>
        <w:ind w:left="1418" w:hanging="567"/>
      </w:pPr>
      <w:r w:rsidRPr="007475F3">
        <w:t>-</w:t>
      </w:r>
      <w:r w:rsidRPr="007475F3">
        <w:tab/>
        <w:t xml:space="preserve">i kombination med 5-fluorouracil og </w:t>
      </w:r>
      <w:proofErr w:type="spellStart"/>
      <w:r w:rsidRPr="007475F3">
        <w:t>folininsyre</w:t>
      </w:r>
      <w:proofErr w:type="spellEnd"/>
      <w:r w:rsidRPr="007475F3">
        <w:t xml:space="preserve"> hos patienter uden tidligere kemoterapi for fremskreden sygdom</w:t>
      </w:r>
    </w:p>
    <w:p w14:paraId="70BE3745" w14:textId="77777777" w:rsidR="00A504E0" w:rsidRPr="007475F3" w:rsidRDefault="00A504E0" w:rsidP="00A504E0">
      <w:pPr>
        <w:autoSpaceDE w:val="0"/>
        <w:autoSpaceDN w:val="0"/>
        <w:adjustRightInd w:val="0"/>
        <w:ind w:left="1418" w:hanging="567"/>
      </w:pPr>
      <w:r w:rsidRPr="007475F3">
        <w:t>-</w:t>
      </w:r>
      <w:r w:rsidRPr="007475F3">
        <w:tab/>
        <w:t xml:space="preserve">som et enkeltstof til patienter, der tidligere har fået et behandlingsregime med 5-fluorouracil uden resultat. </w:t>
      </w:r>
    </w:p>
    <w:p w14:paraId="74A771AC" w14:textId="77777777" w:rsidR="00792FF9" w:rsidRPr="007475F3" w:rsidRDefault="00792FF9" w:rsidP="00792FF9">
      <w:pPr>
        <w:autoSpaceDE w:val="0"/>
        <w:autoSpaceDN w:val="0"/>
        <w:adjustRightInd w:val="0"/>
        <w:rPr>
          <w:sz w:val="24"/>
          <w:szCs w:val="24"/>
        </w:rPr>
      </w:pPr>
    </w:p>
    <w:p w14:paraId="56C0D7F5" w14:textId="77777777" w:rsidR="00792FF9" w:rsidRPr="007475F3" w:rsidRDefault="00792FF9" w:rsidP="00D247F8">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i kombination med </w:t>
      </w:r>
      <w:proofErr w:type="spellStart"/>
      <w:r w:rsidRPr="007475F3">
        <w:rPr>
          <w:sz w:val="24"/>
          <w:szCs w:val="24"/>
        </w:rPr>
        <w:t>cetuximab</w:t>
      </w:r>
      <w:proofErr w:type="spellEnd"/>
      <w:r w:rsidRPr="007475F3">
        <w:rPr>
          <w:sz w:val="24"/>
          <w:szCs w:val="24"/>
        </w:rPr>
        <w:t xml:space="preserve"> er indiceret til behandling af patienter med metastatisk </w:t>
      </w:r>
      <w:proofErr w:type="spellStart"/>
      <w:r w:rsidRPr="007475F3">
        <w:rPr>
          <w:sz w:val="24"/>
          <w:szCs w:val="24"/>
        </w:rPr>
        <w:t>colorektal</w:t>
      </w:r>
      <w:proofErr w:type="spellEnd"/>
      <w:r w:rsidRPr="007475F3">
        <w:rPr>
          <w:sz w:val="24"/>
          <w:szCs w:val="24"/>
        </w:rPr>
        <w:t xml:space="preserve"> cancer af RAS-vildtypen, som udviser </w:t>
      </w:r>
      <w:proofErr w:type="spellStart"/>
      <w:r w:rsidRPr="007475F3">
        <w:rPr>
          <w:sz w:val="24"/>
          <w:szCs w:val="24"/>
        </w:rPr>
        <w:t>epidermal</w:t>
      </w:r>
      <w:proofErr w:type="spellEnd"/>
      <w:r w:rsidRPr="007475F3">
        <w:rPr>
          <w:sz w:val="24"/>
          <w:szCs w:val="24"/>
        </w:rPr>
        <w:t xml:space="preserve"> vækstfaktorreceptor (EGFR), som ikke tidligere havde fået behandling for metastatisk sygdom eller efter virkningsløs </w:t>
      </w:r>
      <w:proofErr w:type="spellStart"/>
      <w:r w:rsidRPr="007475F3">
        <w:rPr>
          <w:sz w:val="24"/>
          <w:szCs w:val="24"/>
        </w:rPr>
        <w:t>cytotoksisk</w:t>
      </w:r>
      <w:proofErr w:type="spellEnd"/>
      <w:r w:rsidRPr="007475F3">
        <w:rPr>
          <w:sz w:val="24"/>
          <w:szCs w:val="24"/>
        </w:rPr>
        <w:t xml:space="preserve"> behandling med </w:t>
      </w:r>
      <w:proofErr w:type="spellStart"/>
      <w:r w:rsidRPr="007475F3">
        <w:rPr>
          <w:sz w:val="24"/>
          <w:szCs w:val="24"/>
        </w:rPr>
        <w:t>irinotecan</w:t>
      </w:r>
      <w:proofErr w:type="spellEnd"/>
      <w:r w:rsidRPr="007475F3">
        <w:rPr>
          <w:sz w:val="24"/>
          <w:szCs w:val="24"/>
        </w:rPr>
        <w:t xml:space="preserve"> (se venligst 5.1).</w:t>
      </w:r>
    </w:p>
    <w:p w14:paraId="3F29B13D" w14:textId="77777777" w:rsidR="00792FF9" w:rsidRPr="007475F3" w:rsidRDefault="00792FF9" w:rsidP="00D247F8">
      <w:pPr>
        <w:autoSpaceDE w:val="0"/>
        <w:autoSpaceDN w:val="0"/>
        <w:adjustRightInd w:val="0"/>
        <w:ind w:left="851"/>
        <w:rPr>
          <w:sz w:val="24"/>
          <w:szCs w:val="24"/>
        </w:rPr>
      </w:pPr>
    </w:p>
    <w:p w14:paraId="3D8145D4" w14:textId="77777777" w:rsidR="00792FF9" w:rsidRPr="007475F3" w:rsidRDefault="00792FF9" w:rsidP="00D247F8">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i kombination med 5-fluorouracil, </w:t>
      </w:r>
      <w:proofErr w:type="spellStart"/>
      <w:r w:rsidRPr="007475F3">
        <w:rPr>
          <w:sz w:val="24"/>
          <w:szCs w:val="24"/>
        </w:rPr>
        <w:t>folininsyre</w:t>
      </w:r>
      <w:proofErr w:type="spellEnd"/>
      <w:r w:rsidRPr="007475F3">
        <w:rPr>
          <w:sz w:val="24"/>
          <w:szCs w:val="24"/>
        </w:rPr>
        <w:t xml:space="preserve"> og </w:t>
      </w:r>
      <w:proofErr w:type="spellStart"/>
      <w:r w:rsidRPr="007475F3">
        <w:rPr>
          <w:sz w:val="24"/>
          <w:szCs w:val="24"/>
        </w:rPr>
        <w:t>bevacizumab</w:t>
      </w:r>
      <w:proofErr w:type="spellEnd"/>
      <w:r w:rsidRPr="007475F3">
        <w:rPr>
          <w:sz w:val="24"/>
          <w:szCs w:val="24"/>
        </w:rPr>
        <w:t xml:space="preserve"> er indiceret til førstevalgsbehandling af patienter med metastatisk karcinom i </w:t>
      </w:r>
      <w:proofErr w:type="spellStart"/>
      <w:r w:rsidRPr="007475F3">
        <w:rPr>
          <w:sz w:val="24"/>
          <w:szCs w:val="24"/>
        </w:rPr>
        <w:t>colon</w:t>
      </w:r>
      <w:proofErr w:type="spellEnd"/>
      <w:r w:rsidRPr="007475F3">
        <w:rPr>
          <w:sz w:val="24"/>
          <w:szCs w:val="24"/>
        </w:rPr>
        <w:t xml:space="preserve"> eller </w:t>
      </w:r>
      <w:proofErr w:type="spellStart"/>
      <w:r w:rsidRPr="007475F3">
        <w:rPr>
          <w:sz w:val="24"/>
          <w:szCs w:val="24"/>
        </w:rPr>
        <w:t>rectum</w:t>
      </w:r>
      <w:proofErr w:type="spellEnd"/>
      <w:r w:rsidRPr="007475F3">
        <w:rPr>
          <w:sz w:val="24"/>
          <w:szCs w:val="24"/>
        </w:rPr>
        <w:t>.</w:t>
      </w:r>
    </w:p>
    <w:p w14:paraId="2360B999" w14:textId="77777777" w:rsidR="00792FF9" w:rsidRPr="007475F3" w:rsidRDefault="00792FF9" w:rsidP="00D247F8">
      <w:pPr>
        <w:autoSpaceDE w:val="0"/>
        <w:autoSpaceDN w:val="0"/>
        <w:adjustRightInd w:val="0"/>
        <w:ind w:left="851"/>
        <w:rPr>
          <w:sz w:val="24"/>
          <w:szCs w:val="24"/>
        </w:rPr>
      </w:pPr>
    </w:p>
    <w:p w14:paraId="50BCE56B" w14:textId="77777777" w:rsidR="00792FF9" w:rsidRPr="007475F3" w:rsidRDefault="00792FF9" w:rsidP="00D247F8">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i kombination med </w:t>
      </w:r>
      <w:proofErr w:type="spellStart"/>
      <w:r w:rsidRPr="007475F3">
        <w:rPr>
          <w:sz w:val="24"/>
          <w:szCs w:val="24"/>
        </w:rPr>
        <w:t>capecitabin</w:t>
      </w:r>
      <w:proofErr w:type="spellEnd"/>
      <w:r w:rsidRPr="007475F3">
        <w:rPr>
          <w:sz w:val="24"/>
          <w:szCs w:val="24"/>
        </w:rPr>
        <w:t xml:space="preserve"> med eller uden </w:t>
      </w:r>
      <w:proofErr w:type="spellStart"/>
      <w:r w:rsidRPr="007475F3">
        <w:rPr>
          <w:sz w:val="24"/>
          <w:szCs w:val="24"/>
        </w:rPr>
        <w:t>bevacizumab</w:t>
      </w:r>
      <w:proofErr w:type="spellEnd"/>
      <w:r w:rsidRPr="007475F3">
        <w:rPr>
          <w:sz w:val="24"/>
          <w:szCs w:val="24"/>
        </w:rPr>
        <w:t xml:space="preserve"> er indiceret til førstevalgsbehandling af patienter med metastatisk </w:t>
      </w:r>
      <w:proofErr w:type="spellStart"/>
      <w:r w:rsidRPr="007475F3">
        <w:rPr>
          <w:sz w:val="24"/>
          <w:szCs w:val="24"/>
        </w:rPr>
        <w:t>colorektal</w:t>
      </w:r>
      <w:proofErr w:type="spellEnd"/>
      <w:r w:rsidRPr="007475F3">
        <w:rPr>
          <w:sz w:val="24"/>
          <w:szCs w:val="24"/>
        </w:rPr>
        <w:t xml:space="preserve"> karcinom.</w:t>
      </w:r>
    </w:p>
    <w:p w14:paraId="554610C8" w14:textId="77777777" w:rsidR="009260DE" w:rsidRPr="007475F3" w:rsidRDefault="009260DE" w:rsidP="009260DE">
      <w:pPr>
        <w:tabs>
          <w:tab w:val="left" w:pos="851"/>
        </w:tabs>
        <w:ind w:left="851"/>
        <w:rPr>
          <w:sz w:val="24"/>
          <w:szCs w:val="24"/>
        </w:rPr>
      </w:pPr>
    </w:p>
    <w:p w14:paraId="7BFE9A1A" w14:textId="0BF21C62" w:rsidR="009260DE" w:rsidRPr="007475F3" w:rsidRDefault="009260DE" w:rsidP="009260DE">
      <w:pPr>
        <w:tabs>
          <w:tab w:val="left" w:pos="851"/>
        </w:tabs>
        <w:ind w:left="851" w:hanging="851"/>
        <w:rPr>
          <w:b/>
          <w:sz w:val="24"/>
          <w:szCs w:val="24"/>
        </w:rPr>
      </w:pPr>
      <w:r w:rsidRPr="007475F3">
        <w:rPr>
          <w:b/>
          <w:sz w:val="24"/>
          <w:szCs w:val="24"/>
        </w:rPr>
        <w:t>4.2</w:t>
      </w:r>
      <w:r w:rsidRPr="007475F3">
        <w:rPr>
          <w:b/>
          <w:sz w:val="24"/>
          <w:szCs w:val="24"/>
        </w:rPr>
        <w:tab/>
        <w:t xml:space="preserve">Dosering og </w:t>
      </w:r>
      <w:r w:rsidR="00C17868">
        <w:rPr>
          <w:b/>
          <w:sz w:val="24"/>
          <w:szCs w:val="24"/>
        </w:rPr>
        <w:t>administration</w:t>
      </w:r>
    </w:p>
    <w:p w14:paraId="2A26DC77" w14:textId="77777777" w:rsidR="00792FF9" w:rsidRPr="007475F3" w:rsidRDefault="00792FF9" w:rsidP="00D247F8">
      <w:pPr>
        <w:autoSpaceDE w:val="0"/>
        <w:autoSpaceDN w:val="0"/>
        <w:adjustRightInd w:val="0"/>
        <w:ind w:left="851"/>
        <w:rPr>
          <w:sz w:val="24"/>
          <w:szCs w:val="24"/>
        </w:rPr>
      </w:pPr>
      <w:r w:rsidRPr="007475F3">
        <w:rPr>
          <w:sz w:val="24"/>
          <w:szCs w:val="24"/>
        </w:rPr>
        <w:t xml:space="preserve">Kun til voksne. </w:t>
      </w:r>
    </w:p>
    <w:p w14:paraId="2FE4820B" w14:textId="77777777" w:rsidR="00792FF9" w:rsidRPr="007475F3" w:rsidRDefault="00792FF9" w:rsidP="00D247F8">
      <w:pPr>
        <w:autoSpaceDE w:val="0"/>
        <w:autoSpaceDN w:val="0"/>
        <w:adjustRightInd w:val="0"/>
        <w:ind w:left="851"/>
        <w:rPr>
          <w:sz w:val="24"/>
          <w:szCs w:val="24"/>
        </w:rPr>
      </w:pPr>
    </w:p>
    <w:p w14:paraId="6C5DBE67" w14:textId="77777777" w:rsidR="00792FF9" w:rsidRPr="007475F3" w:rsidRDefault="00792FF9" w:rsidP="00D247F8">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må kun ordineres af en læge, der er uddannet i brugen af kemoterapi mod cancer.</w:t>
      </w:r>
    </w:p>
    <w:p w14:paraId="635E7086" w14:textId="77777777" w:rsidR="00792FF9" w:rsidRPr="007475F3" w:rsidRDefault="00792FF9" w:rsidP="00D247F8">
      <w:pPr>
        <w:autoSpaceDE w:val="0"/>
        <w:autoSpaceDN w:val="0"/>
        <w:adjustRightInd w:val="0"/>
        <w:ind w:left="851"/>
        <w:rPr>
          <w:sz w:val="24"/>
          <w:szCs w:val="24"/>
        </w:rPr>
      </w:pPr>
    </w:p>
    <w:p w14:paraId="390FAF4E" w14:textId="3E2C1470" w:rsidR="00792FF9" w:rsidRPr="007475F3" w:rsidRDefault="00792FF9" w:rsidP="00D247F8">
      <w:pPr>
        <w:autoSpaceDE w:val="0"/>
        <w:autoSpaceDN w:val="0"/>
        <w:adjustRightInd w:val="0"/>
        <w:ind w:left="851"/>
        <w:rPr>
          <w:sz w:val="24"/>
          <w:szCs w:val="24"/>
        </w:rPr>
      </w:pPr>
      <w:r w:rsidRPr="007475F3">
        <w:rPr>
          <w:sz w:val="24"/>
          <w:szCs w:val="24"/>
        </w:rPr>
        <w:t xml:space="preserve">Infusionsposer med </w:t>
      </w:r>
      <w:proofErr w:type="spellStart"/>
      <w:r w:rsidR="001635E7" w:rsidRPr="007475F3">
        <w:rPr>
          <w:sz w:val="24"/>
          <w:szCs w:val="24"/>
        </w:rPr>
        <w:t>Irinotecan</w:t>
      </w:r>
      <w:proofErr w:type="spellEnd"/>
      <w:r w:rsidR="001635E7" w:rsidRPr="007475F3">
        <w:rPr>
          <w:sz w:val="24"/>
          <w:szCs w:val="24"/>
        </w:rPr>
        <w:t xml:space="preserve"> "Sun"</w:t>
      </w:r>
      <w:r w:rsidRPr="007475F3">
        <w:rPr>
          <w:sz w:val="24"/>
          <w:szCs w:val="24"/>
        </w:rPr>
        <w:t xml:space="preserve"> 1,5 mg/ml infusionsvæske, opløsning tillader levering af opløsning på 180 ml/200 ml/220 ml/240 ml (svarende til henholdsvis 270 mg/300 mg/330 mg/360 mg).</w:t>
      </w:r>
    </w:p>
    <w:p w14:paraId="29C50905" w14:textId="77777777" w:rsidR="00792FF9" w:rsidRPr="007475F3" w:rsidRDefault="00792FF9" w:rsidP="00D247F8">
      <w:pPr>
        <w:autoSpaceDE w:val="0"/>
        <w:autoSpaceDN w:val="0"/>
        <w:adjustRightInd w:val="0"/>
        <w:ind w:left="851"/>
        <w:rPr>
          <w:sz w:val="24"/>
          <w:szCs w:val="24"/>
        </w:rPr>
      </w:pPr>
    </w:p>
    <w:p w14:paraId="06F7DBD0" w14:textId="77777777" w:rsidR="00792FF9" w:rsidRPr="007475F3" w:rsidRDefault="00792FF9" w:rsidP="00D247F8">
      <w:pPr>
        <w:autoSpaceDE w:val="0"/>
        <w:autoSpaceDN w:val="0"/>
        <w:adjustRightInd w:val="0"/>
        <w:ind w:left="851"/>
        <w:rPr>
          <w:sz w:val="24"/>
          <w:szCs w:val="24"/>
        </w:rPr>
      </w:pPr>
      <w:r w:rsidRPr="007475F3">
        <w:rPr>
          <w:sz w:val="24"/>
          <w:szCs w:val="24"/>
        </w:rPr>
        <w:t xml:space="preserve">Hvis den nødvendige dosis ikke kan opnås med de tilgængelige præsentationer, så anbefales brug af et alternativt </w:t>
      </w:r>
      <w:proofErr w:type="spellStart"/>
      <w:r w:rsidRPr="007475F3">
        <w:rPr>
          <w:sz w:val="24"/>
          <w:szCs w:val="24"/>
        </w:rPr>
        <w:t>irinotecan</w:t>
      </w:r>
      <w:proofErr w:type="spellEnd"/>
      <w:r w:rsidRPr="007475F3">
        <w:rPr>
          <w:sz w:val="24"/>
          <w:szCs w:val="24"/>
        </w:rPr>
        <w:t xml:space="preserve">-produkt, herunder </w:t>
      </w:r>
      <w:proofErr w:type="spellStart"/>
      <w:r w:rsidRPr="007475F3">
        <w:rPr>
          <w:sz w:val="24"/>
          <w:szCs w:val="24"/>
        </w:rPr>
        <w:t>irinotecan</w:t>
      </w:r>
      <w:proofErr w:type="spellEnd"/>
      <w:r w:rsidRPr="007475F3">
        <w:rPr>
          <w:sz w:val="24"/>
          <w:szCs w:val="24"/>
        </w:rPr>
        <w:t xml:space="preserve"> som koncentrat til infusionsvæske, opløsning.</w:t>
      </w:r>
    </w:p>
    <w:p w14:paraId="6DB8699D" w14:textId="77777777" w:rsidR="00792FF9" w:rsidRPr="007475F3" w:rsidRDefault="00792FF9" w:rsidP="00D247F8">
      <w:pPr>
        <w:autoSpaceDE w:val="0"/>
        <w:autoSpaceDN w:val="0"/>
        <w:adjustRightInd w:val="0"/>
        <w:ind w:left="851"/>
        <w:rPr>
          <w:bCs/>
          <w:sz w:val="24"/>
          <w:szCs w:val="24"/>
          <w:u w:val="single"/>
        </w:rPr>
      </w:pPr>
    </w:p>
    <w:p w14:paraId="56B8AEEF" w14:textId="77777777" w:rsidR="00792FF9" w:rsidRPr="007475F3" w:rsidRDefault="00792FF9" w:rsidP="00D247F8">
      <w:pPr>
        <w:autoSpaceDE w:val="0"/>
        <w:autoSpaceDN w:val="0"/>
        <w:adjustRightInd w:val="0"/>
        <w:ind w:left="851"/>
        <w:rPr>
          <w:sz w:val="24"/>
          <w:szCs w:val="24"/>
          <w:u w:val="single"/>
        </w:rPr>
      </w:pPr>
      <w:r w:rsidRPr="007475F3">
        <w:rPr>
          <w:sz w:val="24"/>
          <w:szCs w:val="24"/>
          <w:u w:val="single"/>
        </w:rPr>
        <w:t>Dosering</w:t>
      </w:r>
    </w:p>
    <w:p w14:paraId="061BED41" w14:textId="328F3A80" w:rsidR="00792FF9" w:rsidRPr="007475F3" w:rsidRDefault="00792FF9" w:rsidP="00D247F8">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-doser, nævnt i dette produktresumé, refererer til milligram </w:t>
      </w:r>
      <w:proofErr w:type="spellStart"/>
      <w:r w:rsidRPr="007475F3">
        <w:rPr>
          <w:sz w:val="24"/>
          <w:szCs w:val="24"/>
        </w:rPr>
        <w:t>irinotecanhydro</w:t>
      </w:r>
      <w:r w:rsidR="00CD79CC" w:rsidRPr="007475F3">
        <w:rPr>
          <w:sz w:val="24"/>
          <w:szCs w:val="24"/>
        </w:rPr>
        <w:softHyphen/>
      </w:r>
      <w:r w:rsidRPr="007475F3">
        <w:rPr>
          <w:sz w:val="24"/>
          <w:szCs w:val="24"/>
        </w:rPr>
        <w:t>chlorid</w:t>
      </w:r>
      <w:r w:rsidR="00CD79CC" w:rsidRPr="007475F3">
        <w:rPr>
          <w:sz w:val="24"/>
          <w:szCs w:val="24"/>
        </w:rPr>
        <w:softHyphen/>
      </w:r>
      <w:r w:rsidRPr="007475F3">
        <w:rPr>
          <w:sz w:val="24"/>
          <w:szCs w:val="24"/>
        </w:rPr>
        <w:t>trihydrat</w:t>
      </w:r>
      <w:proofErr w:type="spellEnd"/>
      <w:r w:rsidRPr="007475F3">
        <w:rPr>
          <w:sz w:val="24"/>
          <w:szCs w:val="24"/>
        </w:rPr>
        <w:t>.</w:t>
      </w:r>
    </w:p>
    <w:p w14:paraId="786995B3" w14:textId="77777777" w:rsidR="00792FF9" w:rsidRPr="007475F3" w:rsidRDefault="00792FF9" w:rsidP="00D247F8">
      <w:pPr>
        <w:autoSpaceDE w:val="0"/>
        <w:autoSpaceDN w:val="0"/>
        <w:adjustRightInd w:val="0"/>
        <w:ind w:left="851"/>
        <w:rPr>
          <w:sz w:val="24"/>
          <w:szCs w:val="24"/>
        </w:rPr>
      </w:pPr>
    </w:p>
    <w:p w14:paraId="05A0F1FC" w14:textId="77777777" w:rsidR="00792FF9" w:rsidRPr="007475F3" w:rsidRDefault="00792FF9" w:rsidP="00D247F8">
      <w:pPr>
        <w:autoSpaceDE w:val="0"/>
        <w:autoSpaceDN w:val="0"/>
        <w:adjustRightInd w:val="0"/>
        <w:ind w:left="851"/>
        <w:rPr>
          <w:i/>
          <w:sz w:val="24"/>
          <w:szCs w:val="24"/>
        </w:rPr>
      </w:pPr>
      <w:r w:rsidRPr="007475F3">
        <w:rPr>
          <w:i/>
          <w:iCs/>
          <w:sz w:val="24"/>
          <w:szCs w:val="24"/>
        </w:rPr>
        <w:t>I monoterapi (til tidligere behandlet patient)</w:t>
      </w:r>
    </w:p>
    <w:p w14:paraId="0A701110" w14:textId="77777777" w:rsidR="00792FF9" w:rsidRPr="007475F3" w:rsidRDefault="00792FF9" w:rsidP="00D247F8">
      <w:pPr>
        <w:autoSpaceDE w:val="0"/>
        <w:autoSpaceDN w:val="0"/>
        <w:adjustRightInd w:val="0"/>
        <w:ind w:left="851"/>
        <w:rPr>
          <w:sz w:val="24"/>
          <w:szCs w:val="24"/>
        </w:rPr>
      </w:pPr>
      <w:r w:rsidRPr="007475F3">
        <w:rPr>
          <w:sz w:val="24"/>
          <w:szCs w:val="24"/>
        </w:rPr>
        <w:t xml:space="preserve">Den anbefalede dosis af </w:t>
      </w:r>
      <w:proofErr w:type="spellStart"/>
      <w:r w:rsidRPr="007475F3">
        <w:rPr>
          <w:sz w:val="24"/>
          <w:szCs w:val="24"/>
        </w:rPr>
        <w:t>irinotecan</w:t>
      </w:r>
      <w:proofErr w:type="spellEnd"/>
      <w:r w:rsidRPr="007475F3">
        <w:rPr>
          <w:sz w:val="24"/>
          <w:szCs w:val="24"/>
        </w:rPr>
        <w:t xml:space="preserve"> er 350 mg/m</w:t>
      </w:r>
      <w:r w:rsidRPr="007475F3">
        <w:rPr>
          <w:sz w:val="24"/>
          <w:szCs w:val="24"/>
          <w:vertAlign w:val="superscript"/>
        </w:rPr>
        <w:t>2</w:t>
      </w:r>
      <w:r w:rsidRPr="007475F3">
        <w:rPr>
          <w:sz w:val="24"/>
          <w:szCs w:val="24"/>
        </w:rPr>
        <w:t xml:space="preserve"> administreret som en intravenøs infusion over en 30- til 90-minutters periode hver tredje uge (se pkt. 4.4 og 6.6).</w:t>
      </w:r>
    </w:p>
    <w:p w14:paraId="084B555A" w14:textId="77777777" w:rsidR="00792FF9" w:rsidRPr="007475F3" w:rsidRDefault="00792FF9" w:rsidP="00D247F8">
      <w:pPr>
        <w:autoSpaceDE w:val="0"/>
        <w:autoSpaceDN w:val="0"/>
        <w:adjustRightInd w:val="0"/>
        <w:ind w:left="851"/>
        <w:rPr>
          <w:sz w:val="24"/>
          <w:szCs w:val="24"/>
          <w:u w:val="single"/>
        </w:rPr>
      </w:pPr>
    </w:p>
    <w:p w14:paraId="4D161C8F" w14:textId="77777777" w:rsidR="00792FF9" w:rsidRPr="007475F3" w:rsidRDefault="00792FF9" w:rsidP="00D247F8">
      <w:pPr>
        <w:autoSpaceDE w:val="0"/>
        <w:autoSpaceDN w:val="0"/>
        <w:adjustRightInd w:val="0"/>
        <w:ind w:left="851"/>
        <w:rPr>
          <w:i/>
          <w:sz w:val="24"/>
          <w:szCs w:val="24"/>
        </w:rPr>
      </w:pPr>
      <w:r w:rsidRPr="007475F3">
        <w:rPr>
          <w:i/>
          <w:iCs/>
          <w:sz w:val="24"/>
          <w:szCs w:val="24"/>
        </w:rPr>
        <w:t>I kombinationsterapi (til tidligere ubehandlet patient)</w:t>
      </w:r>
    </w:p>
    <w:p w14:paraId="645282FF" w14:textId="77777777" w:rsidR="00792FF9" w:rsidRPr="007475F3" w:rsidRDefault="00792FF9" w:rsidP="00D247F8">
      <w:pPr>
        <w:autoSpaceDE w:val="0"/>
        <w:autoSpaceDN w:val="0"/>
        <w:adjustRightInd w:val="0"/>
        <w:ind w:left="851"/>
        <w:rPr>
          <w:sz w:val="24"/>
          <w:szCs w:val="24"/>
        </w:rPr>
      </w:pPr>
      <w:r w:rsidRPr="007475F3">
        <w:rPr>
          <w:sz w:val="24"/>
          <w:szCs w:val="24"/>
        </w:rPr>
        <w:t xml:space="preserve">Sikkerhed og virkning af </w:t>
      </w:r>
      <w:proofErr w:type="spellStart"/>
      <w:r w:rsidRPr="007475F3">
        <w:rPr>
          <w:sz w:val="24"/>
          <w:szCs w:val="24"/>
        </w:rPr>
        <w:t>irinotecan</w:t>
      </w:r>
      <w:proofErr w:type="spellEnd"/>
      <w:r w:rsidRPr="007475F3">
        <w:rPr>
          <w:sz w:val="24"/>
          <w:szCs w:val="24"/>
        </w:rPr>
        <w:t xml:space="preserve"> i kombination med 5-fluorouracil (5-FU) og </w:t>
      </w:r>
      <w:proofErr w:type="spellStart"/>
      <w:r w:rsidRPr="007475F3">
        <w:rPr>
          <w:sz w:val="24"/>
          <w:szCs w:val="24"/>
        </w:rPr>
        <w:t>folininsyre</w:t>
      </w:r>
      <w:proofErr w:type="spellEnd"/>
      <w:r w:rsidRPr="007475F3">
        <w:rPr>
          <w:sz w:val="24"/>
          <w:szCs w:val="24"/>
        </w:rPr>
        <w:t xml:space="preserve"> (FA) er blevet vurderet med følgende tidsplan (se pkt. 5.1).</w:t>
      </w:r>
    </w:p>
    <w:p w14:paraId="4C7863CD" w14:textId="77777777" w:rsidR="00792FF9" w:rsidRPr="007475F3" w:rsidRDefault="00792FF9" w:rsidP="00D247F8">
      <w:pPr>
        <w:autoSpaceDE w:val="0"/>
        <w:autoSpaceDN w:val="0"/>
        <w:adjustRightInd w:val="0"/>
        <w:ind w:left="851"/>
        <w:rPr>
          <w:sz w:val="24"/>
          <w:szCs w:val="24"/>
        </w:rPr>
      </w:pPr>
    </w:p>
    <w:p w14:paraId="41999048" w14:textId="77777777" w:rsidR="00792FF9" w:rsidRPr="007475F3" w:rsidRDefault="00792FF9" w:rsidP="00D247F8">
      <w:pPr>
        <w:autoSpaceDE w:val="0"/>
        <w:autoSpaceDN w:val="0"/>
        <w:adjustRightInd w:val="0"/>
        <w:ind w:left="851"/>
        <w:rPr>
          <w:i/>
          <w:sz w:val="24"/>
          <w:szCs w:val="24"/>
        </w:rPr>
      </w:pPr>
      <w:proofErr w:type="spellStart"/>
      <w:r w:rsidRPr="007475F3">
        <w:rPr>
          <w:i/>
          <w:iCs/>
          <w:sz w:val="24"/>
          <w:szCs w:val="24"/>
        </w:rPr>
        <w:t>Irinotecan</w:t>
      </w:r>
      <w:proofErr w:type="spellEnd"/>
      <w:r w:rsidRPr="007475F3">
        <w:rPr>
          <w:i/>
          <w:iCs/>
          <w:sz w:val="24"/>
          <w:szCs w:val="24"/>
        </w:rPr>
        <w:t xml:space="preserve"> plus 5FU/FA i hver 2. uges tidsplan</w:t>
      </w:r>
    </w:p>
    <w:p w14:paraId="3B40E7B5" w14:textId="77777777" w:rsidR="00792FF9" w:rsidRPr="007475F3" w:rsidRDefault="00792FF9" w:rsidP="00D247F8">
      <w:pPr>
        <w:autoSpaceDE w:val="0"/>
        <w:autoSpaceDN w:val="0"/>
        <w:adjustRightInd w:val="0"/>
        <w:ind w:left="851"/>
        <w:rPr>
          <w:sz w:val="24"/>
          <w:szCs w:val="24"/>
        </w:rPr>
      </w:pPr>
      <w:r w:rsidRPr="007475F3">
        <w:rPr>
          <w:sz w:val="24"/>
          <w:szCs w:val="24"/>
        </w:rPr>
        <w:t xml:space="preserve">Den anbefalede dosis af </w:t>
      </w:r>
      <w:proofErr w:type="spellStart"/>
      <w:r w:rsidRPr="007475F3">
        <w:rPr>
          <w:sz w:val="24"/>
          <w:szCs w:val="24"/>
        </w:rPr>
        <w:t>irinotecan</w:t>
      </w:r>
      <w:proofErr w:type="spellEnd"/>
      <w:r w:rsidRPr="007475F3">
        <w:rPr>
          <w:sz w:val="24"/>
          <w:szCs w:val="24"/>
        </w:rPr>
        <w:t xml:space="preserve"> er 180 mg/m</w:t>
      </w:r>
      <w:r w:rsidRPr="007475F3">
        <w:rPr>
          <w:sz w:val="24"/>
          <w:szCs w:val="24"/>
          <w:vertAlign w:val="superscript"/>
        </w:rPr>
        <w:t>2</w:t>
      </w:r>
      <w:r w:rsidRPr="007475F3">
        <w:rPr>
          <w:sz w:val="24"/>
          <w:szCs w:val="24"/>
        </w:rPr>
        <w:t xml:space="preserve"> administreret en gang hver 2. uge som en intravenøs infusion over en 30- til 90-minutters periode, efterfulgt af infusion med </w:t>
      </w:r>
      <w:proofErr w:type="spellStart"/>
      <w:r w:rsidRPr="007475F3">
        <w:rPr>
          <w:sz w:val="24"/>
          <w:szCs w:val="24"/>
        </w:rPr>
        <w:t>folininsyre</w:t>
      </w:r>
      <w:proofErr w:type="spellEnd"/>
      <w:r w:rsidRPr="007475F3">
        <w:rPr>
          <w:sz w:val="24"/>
          <w:szCs w:val="24"/>
        </w:rPr>
        <w:t xml:space="preserve"> og 5-fluorouracil.</w:t>
      </w:r>
    </w:p>
    <w:p w14:paraId="4405E485" w14:textId="77777777" w:rsidR="00792FF9" w:rsidRPr="007475F3" w:rsidRDefault="00792FF9" w:rsidP="00D247F8">
      <w:pPr>
        <w:autoSpaceDE w:val="0"/>
        <w:autoSpaceDN w:val="0"/>
        <w:adjustRightInd w:val="0"/>
        <w:ind w:left="851"/>
        <w:rPr>
          <w:sz w:val="24"/>
          <w:szCs w:val="24"/>
        </w:rPr>
      </w:pPr>
    </w:p>
    <w:p w14:paraId="311C8D05" w14:textId="3BC3FC38" w:rsidR="00792FF9" w:rsidRPr="007475F3" w:rsidRDefault="00792FF9" w:rsidP="00D247F8">
      <w:pPr>
        <w:autoSpaceDE w:val="0"/>
        <w:autoSpaceDN w:val="0"/>
        <w:adjustRightInd w:val="0"/>
        <w:ind w:left="851"/>
        <w:rPr>
          <w:sz w:val="24"/>
          <w:szCs w:val="24"/>
        </w:rPr>
      </w:pPr>
      <w:r w:rsidRPr="007475F3">
        <w:rPr>
          <w:sz w:val="24"/>
          <w:szCs w:val="24"/>
        </w:rPr>
        <w:t xml:space="preserve">For dosering og administration af samtidig </w:t>
      </w:r>
      <w:proofErr w:type="spellStart"/>
      <w:r w:rsidRPr="007475F3">
        <w:rPr>
          <w:sz w:val="24"/>
          <w:szCs w:val="24"/>
        </w:rPr>
        <w:t>cetuximab</w:t>
      </w:r>
      <w:proofErr w:type="spellEnd"/>
      <w:r w:rsidRPr="007475F3">
        <w:rPr>
          <w:sz w:val="24"/>
          <w:szCs w:val="24"/>
        </w:rPr>
        <w:t xml:space="preserve"> henvises der til produkt</w:t>
      </w:r>
      <w:r w:rsidR="00CD79CC" w:rsidRPr="007475F3">
        <w:rPr>
          <w:sz w:val="24"/>
          <w:szCs w:val="24"/>
        </w:rPr>
        <w:softHyphen/>
      </w:r>
      <w:r w:rsidRPr="007475F3">
        <w:rPr>
          <w:sz w:val="24"/>
          <w:szCs w:val="24"/>
        </w:rPr>
        <w:t xml:space="preserve">informationen for dette lægemiddel. Normalt anvendes den samme dosis af </w:t>
      </w:r>
      <w:proofErr w:type="spellStart"/>
      <w:r w:rsidRPr="007475F3">
        <w:rPr>
          <w:sz w:val="24"/>
          <w:szCs w:val="24"/>
        </w:rPr>
        <w:t>irinotecan</w:t>
      </w:r>
      <w:proofErr w:type="spellEnd"/>
      <w:r w:rsidRPr="007475F3">
        <w:rPr>
          <w:sz w:val="24"/>
          <w:szCs w:val="24"/>
        </w:rPr>
        <w:t xml:space="preserve">, som indgivet i de sidste cyklusser af den tidligere </w:t>
      </w:r>
      <w:proofErr w:type="spellStart"/>
      <w:r w:rsidRPr="007475F3">
        <w:rPr>
          <w:sz w:val="24"/>
          <w:szCs w:val="24"/>
        </w:rPr>
        <w:t>irinotecan</w:t>
      </w:r>
      <w:proofErr w:type="spellEnd"/>
      <w:r w:rsidRPr="007475F3">
        <w:rPr>
          <w:sz w:val="24"/>
          <w:szCs w:val="24"/>
        </w:rPr>
        <w:t xml:space="preserve">-behandling. </w:t>
      </w:r>
      <w:proofErr w:type="spellStart"/>
      <w:r w:rsidRPr="007475F3">
        <w:rPr>
          <w:sz w:val="24"/>
          <w:szCs w:val="24"/>
        </w:rPr>
        <w:t>Irinotecan</w:t>
      </w:r>
      <w:proofErr w:type="spellEnd"/>
      <w:r w:rsidRPr="007475F3">
        <w:rPr>
          <w:sz w:val="24"/>
          <w:szCs w:val="24"/>
        </w:rPr>
        <w:t xml:space="preserve"> må ikke indgives tidligere end 1 time efter afslutningen af </w:t>
      </w:r>
      <w:proofErr w:type="spellStart"/>
      <w:r w:rsidRPr="007475F3">
        <w:rPr>
          <w:sz w:val="24"/>
          <w:szCs w:val="24"/>
        </w:rPr>
        <w:t>cetuximab</w:t>
      </w:r>
      <w:proofErr w:type="spellEnd"/>
      <w:r w:rsidRPr="007475F3">
        <w:rPr>
          <w:sz w:val="24"/>
          <w:szCs w:val="24"/>
        </w:rPr>
        <w:t>-infusion.</w:t>
      </w:r>
    </w:p>
    <w:p w14:paraId="2F5AD654" w14:textId="77777777" w:rsidR="00792FF9" w:rsidRPr="007475F3" w:rsidRDefault="00792FF9" w:rsidP="00D247F8">
      <w:pPr>
        <w:autoSpaceDE w:val="0"/>
        <w:autoSpaceDN w:val="0"/>
        <w:adjustRightInd w:val="0"/>
        <w:ind w:left="851"/>
        <w:rPr>
          <w:sz w:val="24"/>
          <w:szCs w:val="24"/>
        </w:rPr>
      </w:pPr>
    </w:p>
    <w:p w14:paraId="4ADD225E" w14:textId="77777777" w:rsidR="00792FF9" w:rsidRPr="007475F3" w:rsidRDefault="00792FF9" w:rsidP="00D247F8">
      <w:pPr>
        <w:autoSpaceDE w:val="0"/>
        <w:autoSpaceDN w:val="0"/>
        <w:adjustRightInd w:val="0"/>
        <w:ind w:left="851"/>
        <w:rPr>
          <w:sz w:val="24"/>
          <w:szCs w:val="24"/>
        </w:rPr>
      </w:pPr>
      <w:r w:rsidRPr="007475F3">
        <w:rPr>
          <w:sz w:val="24"/>
          <w:szCs w:val="24"/>
        </w:rPr>
        <w:t xml:space="preserve">For dosering og administration af </w:t>
      </w:r>
      <w:proofErr w:type="spellStart"/>
      <w:r w:rsidRPr="007475F3">
        <w:rPr>
          <w:sz w:val="24"/>
          <w:szCs w:val="24"/>
        </w:rPr>
        <w:t>bevacizumab</w:t>
      </w:r>
      <w:proofErr w:type="spellEnd"/>
      <w:r w:rsidRPr="007475F3">
        <w:rPr>
          <w:sz w:val="24"/>
          <w:szCs w:val="24"/>
        </w:rPr>
        <w:t xml:space="preserve"> henvises der til produktresuméet for </w:t>
      </w:r>
      <w:proofErr w:type="spellStart"/>
      <w:r w:rsidRPr="007475F3">
        <w:rPr>
          <w:sz w:val="24"/>
          <w:szCs w:val="24"/>
        </w:rPr>
        <w:t>bevacizumab</w:t>
      </w:r>
      <w:proofErr w:type="spellEnd"/>
      <w:r w:rsidRPr="007475F3">
        <w:rPr>
          <w:sz w:val="24"/>
          <w:szCs w:val="24"/>
        </w:rPr>
        <w:t>.</w:t>
      </w:r>
    </w:p>
    <w:p w14:paraId="207C3F6D" w14:textId="77777777" w:rsidR="00792FF9" w:rsidRPr="007475F3" w:rsidRDefault="00792FF9" w:rsidP="00D247F8">
      <w:pPr>
        <w:autoSpaceDE w:val="0"/>
        <w:autoSpaceDN w:val="0"/>
        <w:adjustRightInd w:val="0"/>
        <w:ind w:left="851"/>
        <w:rPr>
          <w:sz w:val="24"/>
          <w:szCs w:val="24"/>
        </w:rPr>
      </w:pPr>
    </w:p>
    <w:p w14:paraId="5999F2D1" w14:textId="77777777" w:rsidR="00792FF9" w:rsidRPr="007475F3" w:rsidRDefault="00792FF9" w:rsidP="00D247F8">
      <w:pPr>
        <w:autoSpaceDE w:val="0"/>
        <w:autoSpaceDN w:val="0"/>
        <w:adjustRightInd w:val="0"/>
        <w:ind w:left="851"/>
        <w:rPr>
          <w:sz w:val="24"/>
          <w:szCs w:val="24"/>
        </w:rPr>
      </w:pPr>
      <w:r w:rsidRPr="007475F3">
        <w:rPr>
          <w:sz w:val="24"/>
          <w:szCs w:val="24"/>
        </w:rPr>
        <w:t xml:space="preserve">For dosering og administration af </w:t>
      </w:r>
      <w:proofErr w:type="spellStart"/>
      <w:r w:rsidRPr="007475F3">
        <w:rPr>
          <w:sz w:val="24"/>
          <w:szCs w:val="24"/>
        </w:rPr>
        <w:t>capecitabin</w:t>
      </w:r>
      <w:proofErr w:type="spellEnd"/>
      <w:r w:rsidRPr="007475F3">
        <w:rPr>
          <w:sz w:val="24"/>
          <w:szCs w:val="24"/>
        </w:rPr>
        <w:t xml:space="preserve">-kombination henvises der til pkt. 5.1 og til de relevante punkter i produktresuméet for </w:t>
      </w:r>
      <w:proofErr w:type="spellStart"/>
      <w:r w:rsidRPr="007475F3">
        <w:rPr>
          <w:sz w:val="24"/>
          <w:szCs w:val="24"/>
        </w:rPr>
        <w:t>capecitabin</w:t>
      </w:r>
      <w:proofErr w:type="spellEnd"/>
      <w:r w:rsidRPr="007475F3">
        <w:rPr>
          <w:sz w:val="24"/>
          <w:szCs w:val="24"/>
        </w:rPr>
        <w:t>.</w:t>
      </w:r>
    </w:p>
    <w:p w14:paraId="02051AF0" w14:textId="77777777" w:rsidR="00792FF9" w:rsidRPr="007475F3" w:rsidRDefault="00792FF9" w:rsidP="00D247F8">
      <w:pPr>
        <w:ind w:left="851"/>
        <w:rPr>
          <w:bCs/>
          <w:sz w:val="24"/>
          <w:szCs w:val="24"/>
        </w:rPr>
      </w:pPr>
    </w:p>
    <w:p w14:paraId="5BD2E5D6" w14:textId="77777777" w:rsidR="007475F3" w:rsidRPr="007475F3" w:rsidRDefault="007475F3" w:rsidP="007475F3">
      <w:pPr>
        <w:ind w:left="851"/>
        <w:rPr>
          <w:bCs/>
          <w:sz w:val="22"/>
          <w:u w:val="single"/>
        </w:rPr>
      </w:pPr>
      <w:r w:rsidRPr="007475F3">
        <w:rPr>
          <w:u w:val="single"/>
        </w:rPr>
        <w:t>Dosisjusteringer</w:t>
      </w:r>
    </w:p>
    <w:p w14:paraId="44C82D4A" w14:textId="77777777" w:rsidR="007475F3" w:rsidRPr="007475F3" w:rsidRDefault="007475F3" w:rsidP="007475F3">
      <w:pPr>
        <w:autoSpaceDE w:val="0"/>
        <w:autoSpaceDN w:val="0"/>
        <w:adjustRightInd w:val="0"/>
        <w:ind w:left="851"/>
      </w:pPr>
      <w:proofErr w:type="spellStart"/>
      <w:r w:rsidRPr="007475F3">
        <w:t>Irinotecan</w:t>
      </w:r>
      <w:proofErr w:type="spellEnd"/>
      <w:r w:rsidRPr="007475F3">
        <w:t xml:space="preserve"> bør indgives efter passende restitution af alle utilsigtede hændelser til grad 0 eller 1 NCI-CTC-graden (National Cancer Institute Common </w:t>
      </w:r>
      <w:proofErr w:type="spellStart"/>
      <w:r w:rsidRPr="007475F3">
        <w:t>Toxicity</w:t>
      </w:r>
      <w:proofErr w:type="spellEnd"/>
      <w:r w:rsidRPr="007475F3">
        <w:t xml:space="preserve"> </w:t>
      </w:r>
      <w:proofErr w:type="spellStart"/>
      <w:r w:rsidRPr="007475F3">
        <w:t>Criteria</w:t>
      </w:r>
      <w:proofErr w:type="spellEnd"/>
      <w:r w:rsidRPr="007475F3">
        <w:t>), og når behandlingsrelateret diarré er fuldt afhjulpet.</w:t>
      </w:r>
    </w:p>
    <w:p w14:paraId="4E7E54F6" w14:textId="77777777" w:rsidR="007475F3" w:rsidRPr="007475F3" w:rsidRDefault="007475F3" w:rsidP="007475F3">
      <w:pPr>
        <w:autoSpaceDE w:val="0"/>
        <w:autoSpaceDN w:val="0"/>
        <w:adjustRightInd w:val="0"/>
        <w:ind w:left="851"/>
      </w:pPr>
    </w:p>
    <w:p w14:paraId="5F8E3C7A" w14:textId="77777777" w:rsidR="007475F3" w:rsidRPr="007475F3" w:rsidRDefault="007475F3" w:rsidP="007475F3">
      <w:pPr>
        <w:autoSpaceDE w:val="0"/>
        <w:autoSpaceDN w:val="0"/>
        <w:adjustRightInd w:val="0"/>
        <w:ind w:left="851"/>
      </w:pPr>
      <w:r w:rsidRPr="007475F3">
        <w:t xml:space="preserve">I starten af en efterfølgende infusion af behandlingen bør dosen af </w:t>
      </w:r>
      <w:proofErr w:type="spellStart"/>
      <w:r w:rsidRPr="007475F3">
        <w:t>irinotecan</w:t>
      </w:r>
      <w:proofErr w:type="spellEnd"/>
      <w:r w:rsidRPr="007475F3">
        <w:t xml:space="preserve"> og 5FU, når det er relevant, nedsættes i henhold til den alvorligste grad af bivirkninger, observeret i den tidligere infusion. Behandlingen bør forsinkes med 1 til 2 uger for at kunne restituere fra behandlingsrelaterede bivirkninger.</w:t>
      </w:r>
    </w:p>
    <w:p w14:paraId="6EB30FBA" w14:textId="77777777" w:rsidR="007475F3" w:rsidRPr="007475F3" w:rsidRDefault="007475F3" w:rsidP="007475F3">
      <w:pPr>
        <w:autoSpaceDE w:val="0"/>
        <w:autoSpaceDN w:val="0"/>
        <w:adjustRightInd w:val="0"/>
        <w:ind w:left="851"/>
      </w:pPr>
    </w:p>
    <w:p w14:paraId="666F32A0" w14:textId="77777777" w:rsidR="007475F3" w:rsidRPr="007475F3" w:rsidRDefault="007475F3" w:rsidP="007475F3">
      <w:pPr>
        <w:autoSpaceDE w:val="0"/>
        <w:autoSpaceDN w:val="0"/>
        <w:adjustRightInd w:val="0"/>
        <w:ind w:left="851"/>
      </w:pPr>
      <w:r w:rsidRPr="007475F3">
        <w:t xml:space="preserve">Med følgende bivirkninger bør anvendes en dosisreduktion på 15 til 20 % for </w:t>
      </w:r>
      <w:proofErr w:type="spellStart"/>
      <w:r w:rsidRPr="007475F3">
        <w:t>irinotecan</w:t>
      </w:r>
      <w:proofErr w:type="spellEnd"/>
      <w:r w:rsidRPr="007475F3">
        <w:t xml:space="preserve"> og/eller 5FU, når relevant</w:t>
      </w:r>
    </w:p>
    <w:p w14:paraId="52F61F3B" w14:textId="77777777" w:rsidR="007475F3" w:rsidRPr="007475F3" w:rsidRDefault="007475F3" w:rsidP="007475F3">
      <w:pPr>
        <w:autoSpaceDE w:val="0"/>
        <w:autoSpaceDN w:val="0"/>
        <w:adjustRightInd w:val="0"/>
        <w:ind w:left="1418" w:hanging="567"/>
      </w:pPr>
      <w:r w:rsidRPr="007475F3">
        <w:t>-</w:t>
      </w:r>
      <w:r w:rsidRPr="007475F3">
        <w:tab/>
        <w:t>hæmatologisk toksicitet (</w:t>
      </w:r>
      <w:proofErr w:type="spellStart"/>
      <w:r w:rsidRPr="007475F3">
        <w:t>neutropeni</w:t>
      </w:r>
      <w:proofErr w:type="spellEnd"/>
      <w:r w:rsidRPr="007475F3">
        <w:t xml:space="preserve"> grad 4, febril </w:t>
      </w:r>
      <w:proofErr w:type="spellStart"/>
      <w:r w:rsidRPr="007475F3">
        <w:t>neutropeni</w:t>
      </w:r>
      <w:proofErr w:type="spellEnd"/>
      <w:r w:rsidRPr="007475F3">
        <w:t xml:space="preserve"> (</w:t>
      </w:r>
      <w:proofErr w:type="spellStart"/>
      <w:r w:rsidRPr="007475F3">
        <w:t>neutropeni</w:t>
      </w:r>
      <w:proofErr w:type="spellEnd"/>
      <w:r w:rsidRPr="007475F3">
        <w:t xml:space="preserve"> grad 3-4 og feber grad 2-4), </w:t>
      </w:r>
      <w:proofErr w:type="spellStart"/>
      <w:r w:rsidRPr="007475F3">
        <w:t>trombocytopeni</w:t>
      </w:r>
      <w:proofErr w:type="spellEnd"/>
      <w:r w:rsidRPr="007475F3">
        <w:t xml:space="preserve"> og </w:t>
      </w:r>
      <w:proofErr w:type="spellStart"/>
      <w:r w:rsidRPr="007475F3">
        <w:t>leukopeni</w:t>
      </w:r>
      <w:proofErr w:type="spellEnd"/>
      <w:r w:rsidRPr="007475F3">
        <w:t xml:space="preserve"> (grad 4))</w:t>
      </w:r>
    </w:p>
    <w:p w14:paraId="471904FB" w14:textId="77777777" w:rsidR="007475F3" w:rsidRPr="007475F3" w:rsidRDefault="007475F3" w:rsidP="007475F3">
      <w:pPr>
        <w:autoSpaceDE w:val="0"/>
        <w:autoSpaceDN w:val="0"/>
        <w:adjustRightInd w:val="0"/>
        <w:ind w:left="1418" w:hanging="567"/>
      </w:pPr>
      <w:r w:rsidRPr="007475F3">
        <w:t>-</w:t>
      </w:r>
      <w:r w:rsidRPr="007475F3">
        <w:tab/>
        <w:t>ikke-hæmatologisk toksicitet (grad 3-4).</w:t>
      </w:r>
    </w:p>
    <w:p w14:paraId="25E0F644" w14:textId="77777777" w:rsidR="007475F3" w:rsidRPr="007475F3" w:rsidRDefault="007475F3" w:rsidP="007475F3">
      <w:pPr>
        <w:autoSpaceDE w:val="0"/>
        <w:autoSpaceDN w:val="0"/>
        <w:adjustRightInd w:val="0"/>
        <w:ind w:left="851"/>
      </w:pPr>
    </w:p>
    <w:p w14:paraId="42544374" w14:textId="77777777" w:rsidR="007475F3" w:rsidRPr="007475F3" w:rsidRDefault="007475F3" w:rsidP="007475F3">
      <w:pPr>
        <w:autoSpaceDE w:val="0"/>
        <w:autoSpaceDN w:val="0"/>
        <w:adjustRightInd w:val="0"/>
        <w:ind w:left="851"/>
      </w:pPr>
      <w:r w:rsidRPr="007475F3">
        <w:t xml:space="preserve">Anbefalinger til dosisændringer af </w:t>
      </w:r>
      <w:proofErr w:type="spellStart"/>
      <w:r w:rsidRPr="007475F3">
        <w:t>cetuximab</w:t>
      </w:r>
      <w:proofErr w:type="spellEnd"/>
      <w:r w:rsidRPr="007475F3">
        <w:t xml:space="preserve">, når det indgives i kombination med </w:t>
      </w:r>
      <w:proofErr w:type="spellStart"/>
      <w:r w:rsidRPr="007475F3">
        <w:t>irinotecan</w:t>
      </w:r>
      <w:proofErr w:type="spellEnd"/>
      <w:r w:rsidRPr="007475F3">
        <w:t>, skal følges i henhold til produktinformationen for dette lægemiddel.</w:t>
      </w:r>
    </w:p>
    <w:p w14:paraId="35AC8E2F" w14:textId="77777777" w:rsidR="007475F3" w:rsidRPr="007475F3" w:rsidRDefault="007475F3" w:rsidP="007475F3">
      <w:pPr>
        <w:autoSpaceDE w:val="0"/>
        <w:autoSpaceDN w:val="0"/>
        <w:adjustRightInd w:val="0"/>
        <w:ind w:left="851"/>
      </w:pPr>
    </w:p>
    <w:p w14:paraId="37D78122" w14:textId="77777777" w:rsidR="007475F3" w:rsidRPr="007475F3" w:rsidRDefault="007475F3" w:rsidP="007475F3">
      <w:pPr>
        <w:autoSpaceDE w:val="0"/>
        <w:autoSpaceDN w:val="0"/>
        <w:adjustRightInd w:val="0"/>
        <w:ind w:left="851"/>
      </w:pPr>
      <w:r w:rsidRPr="007475F3">
        <w:t xml:space="preserve">I kombination med </w:t>
      </w:r>
      <w:proofErr w:type="spellStart"/>
      <w:r w:rsidRPr="007475F3">
        <w:t>capecitabin</w:t>
      </w:r>
      <w:proofErr w:type="spellEnd"/>
      <w:r w:rsidRPr="007475F3">
        <w:t xml:space="preserve"> til patienter på 65 år eller derover anbefales en reduktion af startdosis af </w:t>
      </w:r>
      <w:proofErr w:type="spellStart"/>
      <w:r w:rsidRPr="007475F3">
        <w:t>capecitabin</w:t>
      </w:r>
      <w:proofErr w:type="spellEnd"/>
      <w:r w:rsidRPr="007475F3">
        <w:t xml:space="preserve"> til 800 mg/m</w:t>
      </w:r>
      <w:r w:rsidRPr="007475F3">
        <w:rPr>
          <w:vertAlign w:val="superscript"/>
        </w:rPr>
        <w:t xml:space="preserve">2 </w:t>
      </w:r>
      <w:r w:rsidRPr="007475F3">
        <w:t xml:space="preserve">to gange dagligt i henhold til </w:t>
      </w:r>
      <w:proofErr w:type="spellStart"/>
      <w:r w:rsidRPr="007475F3">
        <w:t>capecitabins</w:t>
      </w:r>
      <w:proofErr w:type="spellEnd"/>
      <w:r w:rsidRPr="007475F3">
        <w:t xml:space="preserve"> produktresumé. Se også anbefalingerne for dosisændringer i kombinationsregimet i </w:t>
      </w:r>
      <w:proofErr w:type="spellStart"/>
      <w:r w:rsidRPr="007475F3">
        <w:t>capecitabins</w:t>
      </w:r>
      <w:proofErr w:type="spellEnd"/>
      <w:r w:rsidRPr="007475F3">
        <w:t xml:space="preserve"> produktresumé.</w:t>
      </w:r>
    </w:p>
    <w:p w14:paraId="6181C9F2" w14:textId="77777777" w:rsidR="007475F3" w:rsidRPr="007475F3" w:rsidRDefault="007475F3" w:rsidP="007475F3">
      <w:pPr>
        <w:autoSpaceDE w:val="0"/>
        <w:autoSpaceDN w:val="0"/>
        <w:adjustRightInd w:val="0"/>
        <w:ind w:left="851"/>
      </w:pPr>
    </w:p>
    <w:p w14:paraId="4B2D2586" w14:textId="77777777" w:rsidR="007475F3" w:rsidRPr="007475F3" w:rsidRDefault="007475F3" w:rsidP="007475F3">
      <w:pPr>
        <w:autoSpaceDE w:val="0"/>
        <w:autoSpaceDN w:val="0"/>
        <w:adjustRightInd w:val="0"/>
        <w:ind w:left="851"/>
        <w:rPr>
          <w:bCs/>
          <w:u w:val="single"/>
        </w:rPr>
      </w:pPr>
      <w:r w:rsidRPr="007475F3">
        <w:rPr>
          <w:u w:val="single"/>
        </w:rPr>
        <w:t>Behandlingsvarighed</w:t>
      </w:r>
    </w:p>
    <w:p w14:paraId="1E057301" w14:textId="77777777" w:rsidR="007475F3" w:rsidRPr="007475F3" w:rsidRDefault="007475F3" w:rsidP="007475F3">
      <w:pPr>
        <w:autoSpaceDE w:val="0"/>
        <w:autoSpaceDN w:val="0"/>
        <w:adjustRightInd w:val="0"/>
        <w:ind w:left="851"/>
      </w:pPr>
      <w:r w:rsidRPr="007475F3">
        <w:t xml:space="preserve">Behandling med </w:t>
      </w:r>
      <w:proofErr w:type="spellStart"/>
      <w:r w:rsidRPr="007475F3">
        <w:t>irinotecan</w:t>
      </w:r>
      <w:proofErr w:type="spellEnd"/>
      <w:r w:rsidRPr="007475F3">
        <w:t xml:space="preserve"> bør fortsættes, indtil der er en objektiv progression af sygdommen eller en uacceptabel toksicitet.</w:t>
      </w:r>
    </w:p>
    <w:p w14:paraId="5219A15D" w14:textId="77777777" w:rsidR="007475F3" w:rsidRPr="007475F3" w:rsidRDefault="007475F3" w:rsidP="007475F3">
      <w:pPr>
        <w:autoSpaceDE w:val="0"/>
        <w:autoSpaceDN w:val="0"/>
        <w:adjustRightInd w:val="0"/>
        <w:ind w:left="851"/>
      </w:pPr>
    </w:p>
    <w:p w14:paraId="3C5048DF" w14:textId="77777777" w:rsidR="007475F3" w:rsidRPr="007475F3" w:rsidRDefault="007475F3" w:rsidP="007475F3">
      <w:pPr>
        <w:autoSpaceDE w:val="0"/>
        <w:autoSpaceDN w:val="0"/>
        <w:adjustRightInd w:val="0"/>
        <w:ind w:left="851"/>
        <w:rPr>
          <w:bCs/>
          <w:u w:val="single"/>
        </w:rPr>
      </w:pPr>
      <w:r w:rsidRPr="007475F3">
        <w:rPr>
          <w:u w:val="single"/>
        </w:rPr>
        <w:t>Særlige patientgrupper</w:t>
      </w:r>
    </w:p>
    <w:p w14:paraId="6F0875EA" w14:textId="77777777" w:rsidR="007475F3" w:rsidRPr="007475F3" w:rsidRDefault="007475F3" w:rsidP="007475F3">
      <w:pPr>
        <w:autoSpaceDE w:val="0"/>
        <w:autoSpaceDN w:val="0"/>
        <w:adjustRightInd w:val="0"/>
        <w:ind w:left="851"/>
        <w:rPr>
          <w:i/>
        </w:rPr>
      </w:pPr>
      <w:r w:rsidRPr="007475F3">
        <w:rPr>
          <w:i/>
          <w:iCs/>
        </w:rPr>
        <w:t>Patienter med nedsat leverfunktion</w:t>
      </w:r>
    </w:p>
    <w:p w14:paraId="32A08938" w14:textId="77777777" w:rsidR="007475F3" w:rsidRPr="007475F3" w:rsidRDefault="007475F3" w:rsidP="007475F3">
      <w:pPr>
        <w:autoSpaceDE w:val="0"/>
        <w:autoSpaceDN w:val="0"/>
        <w:adjustRightInd w:val="0"/>
        <w:ind w:left="851"/>
      </w:pPr>
      <w:r w:rsidRPr="007475F3">
        <w:t>I monoterapi</w:t>
      </w:r>
    </w:p>
    <w:p w14:paraId="53BD02E2" w14:textId="77777777" w:rsidR="007475F3" w:rsidRPr="007475F3" w:rsidRDefault="007475F3" w:rsidP="007475F3">
      <w:pPr>
        <w:autoSpaceDE w:val="0"/>
        <w:autoSpaceDN w:val="0"/>
        <w:adjustRightInd w:val="0"/>
        <w:ind w:left="851"/>
      </w:pPr>
      <w:r w:rsidRPr="007475F3">
        <w:t xml:space="preserve">Blodbilirubinniveauer (op til 3 gange den øvre grænse af normalområdet (UNL)) hos patienter med performance status ≤ 2 bør bestemme startdosen af </w:t>
      </w:r>
      <w:proofErr w:type="spellStart"/>
      <w:r w:rsidRPr="007475F3">
        <w:t>irinotecan</w:t>
      </w:r>
      <w:proofErr w:type="spellEnd"/>
      <w:r w:rsidRPr="007475F3">
        <w:t xml:space="preserve">. Hos disse patienter med </w:t>
      </w:r>
      <w:proofErr w:type="spellStart"/>
      <w:r w:rsidRPr="007475F3">
        <w:t>hyperbilirubinæmi</w:t>
      </w:r>
      <w:proofErr w:type="spellEnd"/>
      <w:r w:rsidRPr="007475F3">
        <w:t xml:space="preserve"> og </w:t>
      </w:r>
      <w:proofErr w:type="spellStart"/>
      <w:r w:rsidRPr="007475F3">
        <w:t>protrombintid</w:t>
      </w:r>
      <w:proofErr w:type="spellEnd"/>
      <w:r w:rsidRPr="007475F3">
        <w:t xml:space="preserve"> større end 50 %, er </w:t>
      </w:r>
      <w:proofErr w:type="spellStart"/>
      <w:r w:rsidRPr="007475F3">
        <w:t>clearance</w:t>
      </w:r>
      <w:proofErr w:type="spellEnd"/>
      <w:r w:rsidRPr="007475F3">
        <w:t xml:space="preserve"> af </w:t>
      </w:r>
      <w:proofErr w:type="spellStart"/>
      <w:r w:rsidRPr="007475F3">
        <w:t>irinotecan</w:t>
      </w:r>
      <w:proofErr w:type="spellEnd"/>
      <w:r w:rsidRPr="007475F3">
        <w:t xml:space="preserve"> nedsat (se pkt. 5.2), og dermed øges risikoen for hæmatologisk toksicitet. Således bør ugentlig monitorering af komplette blodtal i denne patientgruppe gennemføres.</w:t>
      </w:r>
    </w:p>
    <w:p w14:paraId="15247444" w14:textId="77777777" w:rsidR="007475F3" w:rsidRPr="007475F3" w:rsidRDefault="007475F3" w:rsidP="007475F3">
      <w:pPr>
        <w:autoSpaceDE w:val="0"/>
        <w:autoSpaceDN w:val="0"/>
        <w:adjustRightInd w:val="0"/>
        <w:ind w:left="851"/>
      </w:pPr>
    </w:p>
    <w:p w14:paraId="328D1837" w14:textId="77777777" w:rsidR="007475F3" w:rsidRPr="007475F3" w:rsidRDefault="007475F3" w:rsidP="007475F3">
      <w:pPr>
        <w:autoSpaceDE w:val="0"/>
        <w:autoSpaceDN w:val="0"/>
        <w:adjustRightInd w:val="0"/>
        <w:ind w:left="1418" w:hanging="567"/>
      </w:pPr>
      <w:r w:rsidRPr="007475F3">
        <w:t>-</w:t>
      </w:r>
      <w:r w:rsidRPr="007475F3">
        <w:tab/>
        <w:t xml:space="preserve">Hos patienter med bilirubin op til 1,5 gange ULN er den anbefalede dosis af </w:t>
      </w:r>
      <w:proofErr w:type="spellStart"/>
      <w:r w:rsidRPr="007475F3">
        <w:t>irinotecan</w:t>
      </w:r>
      <w:proofErr w:type="spellEnd"/>
      <w:r w:rsidRPr="007475F3">
        <w:t xml:space="preserve"> 350 mg/m2</w:t>
      </w:r>
    </w:p>
    <w:p w14:paraId="69E6C2B4" w14:textId="77777777" w:rsidR="007475F3" w:rsidRPr="007475F3" w:rsidRDefault="007475F3" w:rsidP="007475F3">
      <w:pPr>
        <w:autoSpaceDE w:val="0"/>
        <w:autoSpaceDN w:val="0"/>
        <w:adjustRightInd w:val="0"/>
        <w:ind w:left="1418" w:hanging="567"/>
      </w:pPr>
      <w:r w:rsidRPr="007475F3">
        <w:t>-</w:t>
      </w:r>
      <w:r w:rsidRPr="007475F3">
        <w:tab/>
        <w:t xml:space="preserve">Hos patienter med bilirubin fra 1,5 til 3 gange ULN er den anbefalede dosis af </w:t>
      </w:r>
      <w:proofErr w:type="spellStart"/>
      <w:r w:rsidRPr="007475F3">
        <w:t>irinotecan</w:t>
      </w:r>
      <w:proofErr w:type="spellEnd"/>
      <w:r w:rsidRPr="007475F3">
        <w:t xml:space="preserve"> 200 mg/m2</w:t>
      </w:r>
    </w:p>
    <w:p w14:paraId="54C87398" w14:textId="77777777" w:rsidR="007475F3" w:rsidRPr="007475F3" w:rsidRDefault="007475F3" w:rsidP="007475F3">
      <w:pPr>
        <w:autoSpaceDE w:val="0"/>
        <w:autoSpaceDN w:val="0"/>
        <w:adjustRightInd w:val="0"/>
        <w:ind w:left="1418" w:hanging="567"/>
      </w:pPr>
      <w:r w:rsidRPr="007475F3">
        <w:t>-</w:t>
      </w:r>
      <w:r w:rsidRPr="007475F3">
        <w:tab/>
        <w:t xml:space="preserve">Patienter med bilirubin ud over 3 gange ULN bør ikke behandles med </w:t>
      </w:r>
      <w:proofErr w:type="spellStart"/>
      <w:r w:rsidRPr="007475F3">
        <w:t>irinotecan</w:t>
      </w:r>
      <w:proofErr w:type="spellEnd"/>
      <w:r w:rsidRPr="007475F3">
        <w:t xml:space="preserve"> (se pkt. 4.3 og pkt. 4.4).</w:t>
      </w:r>
    </w:p>
    <w:p w14:paraId="29075FE4" w14:textId="77777777" w:rsidR="007475F3" w:rsidRPr="007475F3" w:rsidRDefault="007475F3" w:rsidP="007475F3">
      <w:pPr>
        <w:autoSpaceDE w:val="0"/>
        <w:autoSpaceDN w:val="0"/>
        <w:adjustRightInd w:val="0"/>
        <w:ind w:left="851"/>
      </w:pPr>
    </w:p>
    <w:p w14:paraId="1AF68738" w14:textId="77777777" w:rsidR="007475F3" w:rsidRPr="007475F3" w:rsidRDefault="007475F3" w:rsidP="007475F3">
      <w:pPr>
        <w:autoSpaceDE w:val="0"/>
        <w:autoSpaceDN w:val="0"/>
        <w:adjustRightInd w:val="0"/>
        <w:ind w:left="851"/>
      </w:pPr>
      <w:r w:rsidRPr="007475F3">
        <w:t xml:space="preserve">Der foreligger ingen data for patienter med nedsat leverfunktion, behandlet med </w:t>
      </w:r>
      <w:proofErr w:type="spellStart"/>
      <w:r w:rsidRPr="007475F3">
        <w:t>irinotecan</w:t>
      </w:r>
      <w:proofErr w:type="spellEnd"/>
      <w:r w:rsidRPr="007475F3">
        <w:t xml:space="preserve"> i kombination.</w:t>
      </w:r>
    </w:p>
    <w:p w14:paraId="7EAE3D91" w14:textId="77777777" w:rsidR="007475F3" w:rsidRPr="007475F3" w:rsidRDefault="007475F3" w:rsidP="007475F3">
      <w:pPr>
        <w:autoSpaceDE w:val="0"/>
        <w:autoSpaceDN w:val="0"/>
        <w:adjustRightInd w:val="0"/>
        <w:ind w:left="851"/>
      </w:pPr>
    </w:p>
    <w:p w14:paraId="7D7CD5CA" w14:textId="77777777" w:rsidR="007475F3" w:rsidRPr="007475F3" w:rsidRDefault="007475F3" w:rsidP="007475F3">
      <w:pPr>
        <w:autoSpaceDE w:val="0"/>
        <w:autoSpaceDN w:val="0"/>
        <w:adjustRightInd w:val="0"/>
        <w:ind w:left="851"/>
      </w:pPr>
    </w:p>
    <w:p w14:paraId="392298CD" w14:textId="77777777" w:rsidR="007475F3" w:rsidRPr="007475F3" w:rsidRDefault="007475F3" w:rsidP="007475F3">
      <w:pPr>
        <w:autoSpaceDE w:val="0"/>
        <w:autoSpaceDN w:val="0"/>
        <w:adjustRightInd w:val="0"/>
        <w:ind w:left="851"/>
        <w:rPr>
          <w:i/>
        </w:rPr>
      </w:pPr>
      <w:r w:rsidRPr="007475F3">
        <w:rPr>
          <w:i/>
        </w:rPr>
        <w:t>Patienter med nedsat nyrefunktion</w:t>
      </w:r>
    </w:p>
    <w:p w14:paraId="7F4CB208" w14:textId="77777777" w:rsidR="007475F3" w:rsidRPr="007475F3" w:rsidRDefault="007475F3" w:rsidP="007475F3">
      <w:pPr>
        <w:autoSpaceDE w:val="0"/>
        <w:autoSpaceDN w:val="0"/>
        <w:adjustRightInd w:val="0"/>
        <w:ind w:left="851"/>
      </w:pPr>
      <w:proofErr w:type="spellStart"/>
      <w:r w:rsidRPr="007475F3">
        <w:t>Irinotecan</w:t>
      </w:r>
      <w:proofErr w:type="spellEnd"/>
      <w:r w:rsidRPr="007475F3">
        <w:t xml:space="preserve"> anbefales ikke til patienter med nedsat nyrefunktion, da undersøgelser i denne patientgruppe ikke er blevet udført. (se pkt. 4.4 og pkt. 5.2).</w:t>
      </w:r>
    </w:p>
    <w:p w14:paraId="3C56DAA3" w14:textId="77777777" w:rsidR="007475F3" w:rsidRPr="007475F3" w:rsidRDefault="007475F3" w:rsidP="007475F3">
      <w:pPr>
        <w:autoSpaceDE w:val="0"/>
        <w:autoSpaceDN w:val="0"/>
        <w:adjustRightInd w:val="0"/>
        <w:ind w:left="851"/>
      </w:pPr>
    </w:p>
    <w:p w14:paraId="6B0E7142" w14:textId="77777777" w:rsidR="007475F3" w:rsidRPr="007475F3" w:rsidRDefault="007475F3" w:rsidP="007475F3">
      <w:pPr>
        <w:autoSpaceDE w:val="0"/>
        <w:autoSpaceDN w:val="0"/>
        <w:adjustRightInd w:val="0"/>
        <w:ind w:left="851"/>
        <w:rPr>
          <w:i/>
        </w:rPr>
      </w:pPr>
      <w:r w:rsidRPr="007475F3">
        <w:rPr>
          <w:i/>
          <w:iCs/>
        </w:rPr>
        <w:t>Ældre</w:t>
      </w:r>
    </w:p>
    <w:p w14:paraId="241BED36" w14:textId="77777777" w:rsidR="007475F3" w:rsidRPr="007475F3" w:rsidRDefault="007475F3" w:rsidP="007475F3">
      <w:pPr>
        <w:autoSpaceDE w:val="0"/>
        <w:autoSpaceDN w:val="0"/>
        <w:adjustRightInd w:val="0"/>
        <w:ind w:left="851"/>
      </w:pPr>
      <w:r w:rsidRPr="007475F3">
        <w:t xml:space="preserve">Ingen specifikke </w:t>
      </w:r>
      <w:proofErr w:type="spellStart"/>
      <w:r w:rsidRPr="007475F3">
        <w:t>farmakokinetiske</w:t>
      </w:r>
      <w:proofErr w:type="spellEnd"/>
      <w:r w:rsidRPr="007475F3">
        <w:t xml:space="preserve"> undersøgelser er blevet udført hos ældre patienter. Imidlertid bør dosen vælges omhyggeligt i denne patientgruppe på grund af deres større hyppighed af nedsatte biologiske funktioner. Denne patientgruppe kræver mere intens overvågning (se pkt. 4.4).</w:t>
      </w:r>
    </w:p>
    <w:p w14:paraId="5E67EA63" w14:textId="77777777" w:rsidR="007475F3" w:rsidRPr="007475F3" w:rsidRDefault="007475F3" w:rsidP="007475F3">
      <w:pPr>
        <w:autoSpaceDE w:val="0"/>
        <w:autoSpaceDN w:val="0"/>
        <w:adjustRightInd w:val="0"/>
        <w:ind w:left="851"/>
      </w:pPr>
    </w:p>
    <w:p w14:paraId="5397B387" w14:textId="77777777" w:rsidR="007475F3" w:rsidRPr="007475F3" w:rsidRDefault="007475F3" w:rsidP="007475F3">
      <w:pPr>
        <w:autoSpaceDE w:val="0"/>
        <w:autoSpaceDN w:val="0"/>
        <w:adjustRightInd w:val="0"/>
        <w:ind w:left="851"/>
        <w:rPr>
          <w:i/>
        </w:rPr>
      </w:pPr>
      <w:r w:rsidRPr="007475F3">
        <w:rPr>
          <w:i/>
          <w:iCs/>
        </w:rPr>
        <w:t>Pædiatrisk population</w:t>
      </w:r>
    </w:p>
    <w:p w14:paraId="7DCF1A88" w14:textId="77777777" w:rsidR="007475F3" w:rsidRPr="007475F3" w:rsidRDefault="007475F3" w:rsidP="007475F3">
      <w:pPr>
        <w:autoSpaceDE w:val="0"/>
        <w:autoSpaceDN w:val="0"/>
        <w:adjustRightInd w:val="0"/>
        <w:ind w:left="851"/>
      </w:pPr>
      <w:r w:rsidRPr="007475F3">
        <w:t xml:space="preserve">Sikkerhed og effekt af </w:t>
      </w:r>
      <w:proofErr w:type="spellStart"/>
      <w:r w:rsidRPr="007475F3">
        <w:t>irinotecan</w:t>
      </w:r>
      <w:proofErr w:type="spellEnd"/>
      <w:r w:rsidRPr="007475F3">
        <w:t xml:space="preserve"> til børn er endnu ikke fastlagt. Der foreligger ingen data.</w:t>
      </w:r>
    </w:p>
    <w:p w14:paraId="0D39C11B" w14:textId="77777777" w:rsidR="007475F3" w:rsidRPr="007475F3" w:rsidRDefault="007475F3" w:rsidP="007475F3">
      <w:pPr>
        <w:autoSpaceDE w:val="0"/>
        <w:autoSpaceDN w:val="0"/>
        <w:adjustRightInd w:val="0"/>
        <w:ind w:left="851"/>
      </w:pPr>
    </w:p>
    <w:p w14:paraId="7BB1D949" w14:textId="77777777" w:rsidR="007475F3" w:rsidRPr="007475F3" w:rsidRDefault="007475F3" w:rsidP="007475F3">
      <w:pPr>
        <w:autoSpaceDE w:val="0"/>
        <w:autoSpaceDN w:val="0"/>
        <w:adjustRightInd w:val="0"/>
        <w:ind w:left="851"/>
        <w:rPr>
          <w:u w:val="single"/>
        </w:rPr>
      </w:pPr>
      <w:r w:rsidRPr="007475F3">
        <w:rPr>
          <w:u w:val="single"/>
        </w:rPr>
        <w:t>Administration</w:t>
      </w:r>
    </w:p>
    <w:p w14:paraId="70E9B35D" w14:textId="77777777" w:rsidR="007475F3" w:rsidRPr="007475F3" w:rsidRDefault="007475F3" w:rsidP="007475F3">
      <w:pPr>
        <w:autoSpaceDE w:val="0"/>
        <w:autoSpaceDN w:val="0"/>
        <w:adjustRightInd w:val="0"/>
        <w:ind w:left="851"/>
      </w:pPr>
      <w:proofErr w:type="spellStart"/>
      <w:r w:rsidRPr="007475F3">
        <w:t>Irinotecan</w:t>
      </w:r>
      <w:proofErr w:type="spellEnd"/>
      <w:r w:rsidRPr="007475F3">
        <w:t xml:space="preserve"> SUN-infusionsvæske, opløsning, er kun til intravenøs anvendelse. Det skal </w:t>
      </w:r>
      <w:proofErr w:type="spellStart"/>
      <w:r w:rsidRPr="007475F3">
        <w:t>infunderes</w:t>
      </w:r>
      <w:proofErr w:type="spellEnd"/>
      <w:r w:rsidRPr="007475F3">
        <w:t xml:space="preserve"> i en perifer eller central vene. Opløsningen kan indgives direkte til patienten uden yderligere forberedelse. </w:t>
      </w:r>
    </w:p>
    <w:p w14:paraId="5092DBB6" w14:textId="77777777" w:rsidR="007475F3" w:rsidRPr="007475F3" w:rsidRDefault="007475F3" w:rsidP="007475F3">
      <w:pPr>
        <w:autoSpaceDE w:val="0"/>
        <w:autoSpaceDN w:val="0"/>
        <w:adjustRightInd w:val="0"/>
        <w:ind w:left="851"/>
      </w:pPr>
      <w:r w:rsidRPr="007475F3">
        <w:t>Kun til engangsbrug.</w:t>
      </w:r>
    </w:p>
    <w:p w14:paraId="27AC91FC" w14:textId="77777777" w:rsidR="009260DE" w:rsidRPr="007475F3" w:rsidRDefault="009260DE" w:rsidP="009260DE">
      <w:pPr>
        <w:tabs>
          <w:tab w:val="left" w:pos="851"/>
        </w:tabs>
        <w:ind w:left="851"/>
        <w:rPr>
          <w:sz w:val="24"/>
          <w:szCs w:val="24"/>
        </w:rPr>
      </w:pPr>
    </w:p>
    <w:p w14:paraId="22694930" w14:textId="77777777" w:rsidR="009260DE" w:rsidRPr="007475F3" w:rsidRDefault="009260DE" w:rsidP="009260DE">
      <w:pPr>
        <w:tabs>
          <w:tab w:val="left" w:pos="851"/>
        </w:tabs>
        <w:ind w:left="851" w:hanging="851"/>
        <w:rPr>
          <w:b/>
          <w:sz w:val="24"/>
          <w:szCs w:val="24"/>
        </w:rPr>
      </w:pPr>
      <w:r w:rsidRPr="007475F3">
        <w:rPr>
          <w:b/>
          <w:sz w:val="24"/>
          <w:szCs w:val="24"/>
        </w:rPr>
        <w:t>4.3</w:t>
      </w:r>
      <w:r w:rsidRPr="007475F3">
        <w:rPr>
          <w:b/>
          <w:sz w:val="24"/>
          <w:szCs w:val="24"/>
        </w:rPr>
        <w:tab/>
        <w:t>Kontraindikationer</w:t>
      </w:r>
    </w:p>
    <w:p w14:paraId="664590E6" w14:textId="77777777" w:rsidR="00792FF9" w:rsidRPr="007475F3" w:rsidRDefault="00792FF9" w:rsidP="007132DF">
      <w:pPr>
        <w:autoSpaceDE w:val="0"/>
        <w:autoSpaceDN w:val="0"/>
        <w:adjustRightInd w:val="0"/>
        <w:ind w:left="851"/>
        <w:rPr>
          <w:sz w:val="24"/>
          <w:szCs w:val="24"/>
        </w:rPr>
      </w:pPr>
      <w:r w:rsidRPr="007475F3">
        <w:rPr>
          <w:sz w:val="24"/>
          <w:szCs w:val="24"/>
        </w:rPr>
        <w:t>kronisk inflammatorisk tarmsygdom og/eller tarmobstruktion (se pkt. 4.4)</w:t>
      </w:r>
    </w:p>
    <w:p w14:paraId="15D4BAF2" w14:textId="11B9A9EA"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overfølsomhed over for det aktive stof eller over for et eller flere af hjælpestofferne anført i pkt. 6.1</w:t>
      </w:r>
    </w:p>
    <w:p w14:paraId="1D14A544" w14:textId="31B28F37"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amning (se pkt. 4.6.)</w:t>
      </w:r>
    </w:p>
    <w:p w14:paraId="3C14E2E4" w14:textId="085083D0"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bilirubin &gt;3 gange den øvre grænse af normalområdet (se pkt. 4.4)</w:t>
      </w:r>
    </w:p>
    <w:p w14:paraId="08511FB8" w14:textId="43CAAF36"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alvorligt knoglemarvssvigt</w:t>
      </w:r>
    </w:p>
    <w:p w14:paraId="2B3A95FC" w14:textId="76533E2E"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proofErr w:type="gramStart"/>
      <w:r w:rsidRPr="007475F3">
        <w:rPr>
          <w:rFonts w:ascii="Times New Roman" w:hAnsi="Times New Roman"/>
          <w:sz w:val="24"/>
          <w:szCs w:val="24"/>
          <w:lang w:val="da-DK"/>
        </w:rPr>
        <w:t>WHO performance</w:t>
      </w:r>
      <w:proofErr w:type="gramEnd"/>
      <w:r w:rsidRPr="007475F3">
        <w:rPr>
          <w:rFonts w:ascii="Times New Roman" w:hAnsi="Times New Roman"/>
          <w:sz w:val="24"/>
          <w:szCs w:val="24"/>
          <w:lang w:val="da-DK"/>
        </w:rPr>
        <w:t xml:space="preserve"> status &gt;2</w:t>
      </w:r>
    </w:p>
    <w:p w14:paraId="0198AA9C" w14:textId="2BA5F13D"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 xml:space="preserve">samtidig brug med St John's </w:t>
      </w:r>
      <w:proofErr w:type="spellStart"/>
      <w:r w:rsidRPr="007475F3">
        <w:rPr>
          <w:rFonts w:ascii="Times New Roman" w:hAnsi="Times New Roman"/>
          <w:sz w:val="24"/>
          <w:szCs w:val="24"/>
          <w:lang w:val="da-DK"/>
        </w:rPr>
        <w:t>Wort</w:t>
      </w:r>
      <w:proofErr w:type="spellEnd"/>
      <w:r w:rsidRPr="007475F3">
        <w:rPr>
          <w:rFonts w:ascii="Times New Roman" w:hAnsi="Times New Roman"/>
          <w:sz w:val="24"/>
          <w:szCs w:val="24"/>
          <w:lang w:val="da-DK"/>
        </w:rPr>
        <w:t xml:space="preserve"> (perikon) (se pkt. 4.5)</w:t>
      </w:r>
    </w:p>
    <w:p w14:paraId="58D5CFC7" w14:textId="0F79538F" w:rsidR="00792FF9" w:rsidRPr="007475F3" w:rsidRDefault="00792FF9" w:rsidP="00A87E95">
      <w:pPr>
        <w:pStyle w:val="Listeafsnit"/>
        <w:numPr>
          <w:ilvl w:val="0"/>
          <w:numId w:val="14"/>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lastRenderedPageBreak/>
        <w:t>levende, svækkede vacciner (se pkt. 4.5).</w:t>
      </w:r>
    </w:p>
    <w:p w14:paraId="1D90EC79" w14:textId="77777777" w:rsidR="00792FF9" w:rsidRPr="007475F3" w:rsidRDefault="00792FF9" w:rsidP="00792FF9">
      <w:pPr>
        <w:autoSpaceDE w:val="0"/>
        <w:autoSpaceDN w:val="0"/>
        <w:adjustRightInd w:val="0"/>
        <w:rPr>
          <w:sz w:val="24"/>
          <w:szCs w:val="24"/>
        </w:rPr>
      </w:pPr>
    </w:p>
    <w:p w14:paraId="5BCCA177" w14:textId="77777777" w:rsidR="00792FF9" w:rsidRPr="007475F3" w:rsidRDefault="00792FF9" w:rsidP="00A87E95">
      <w:pPr>
        <w:autoSpaceDE w:val="0"/>
        <w:autoSpaceDN w:val="0"/>
        <w:adjustRightInd w:val="0"/>
        <w:ind w:left="851"/>
        <w:rPr>
          <w:sz w:val="24"/>
          <w:szCs w:val="24"/>
        </w:rPr>
      </w:pPr>
      <w:r w:rsidRPr="007475F3">
        <w:rPr>
          <w:sz w:val="24"/>
          <w:szCs w:val="24"/>
        </w:rPr>
        <w:t xml:space="preserve">For yderligere kontraindikationer for </w:t>
      </w:r>
      <w:proofErr w:type="spellStart"/>
      <w:r w:rsidRPr="007475F3">
        <w:rPr>
          <w:sz w:val="24"/>
          <w:szCs w:val="24"/>
        </w:rPr>
        <w:t>cetuximab</w:t>
      </w:r>
      <w:proofErr w:type="spellEnd"/>
      <w:r w:rsidRPr="007475F3">
        <w:rPr>
          <w:sz w:val="24"/>
          <w:szCs w:val="24"/>
        </w:rPr>
        <w:t xml:space="preserve"> eller </w:t>
      </w:r>
      <w:proofErr w:type="spellStart"/>
      <w:r w:rsidRPr="007475F3">
        <w:rPr>
          <w:sz w:val="24"/>
          <w:szCs w:val="24"/>
        </w:rPr>
        <w:t>bevacizumab</w:t>
      </w:r>
      <w:proofErr w:type="spellEnd"/>
      <w:r w:rsidRPr="007475F3">
        <w:rPr>
          <w:sz w:val="24"/>
          <w:szCs w:val="24"/>
        </w:rPr>
        <w:t xml:space="preserve"> eller </w:t>
      </w:r>
      <w:proofErr w:type="spellStart"/>
      <w:r w:rsidRPr="007475F3">
        <w:rPr>
          <w:sz w:val="24"/>
          <w:szCs w:val="24"/>
        </w:rPr>
        <w:t>capecitabin</w:t>
      </w:r>
      <w:proofErr w:type="spellEnd"/>
      <w:r w:rsidRPr="007475F3">
        <w:rPr>
          <w:sz w:val="24"/>
          <w:szCs w:val="24"/>
        </w:rPr>
        <w:t xml:space="preserve"> henvises der til produktinformationen for disse lægemidler.</w:t>
      </w:r>
    </w:p>
    <w:p w14:paraId="20E16D5B" w14:textId="77777777" w:rsidR="009260DE" w:rsidRPr="007475F3" w:rsidRDefault="009260DE" w:rsidP="009260DE">
      <w:pPr>
        <w:tabs>
          <w:tab w:val="left" w:pos="851"/>
        </w:tabs>
        <w:ind w:left="851"/>
        <w:rPr>
          <w:sz w:val="24"/>
          <w:szCs w:val="24"/>
        </w:rPr>
      </w:pPr>
    </w:p>
    <w:p w14:paraId="032D044B" w14:textId="77777777" w:rsidR="009260DE" w:rsidRPr="007475F3" w:rsidRDefault="009260DE" w:rsidP="009260DE">
      <w:pPr>
        <w:tabs>
          <w:tab w:val="left" w:pos="851"/>
        </w:tabs>
        <w:ind w:left="851" w:hanging="851"/>
        <w:rPr>
          <w:b/>
          <w:sz w:val="24"/>
          <w:szCs w:val="24"/>
        </w:rPr>
      </w:pPr>
      <w:r w:rsidRPr="007475F3">
        <w:rPr>
          <w:b/>
          <w:sz w:val="24"/>
          <w:szCs w:val="24"/>
        </w:rPr>
        <w:t>4.4</w:t>
      </w:r>
      <w:r w:rsidRPr="007475F3">
        <w:rPr>
          <w:b/>
          <w:sz w:val="24"/>
          <w:szCs w:val="24"/>
        </w:rPr>
        <w:tab/>
        <w:t>Særlige advarsler og forsigtighedsregler vedrørende brugen</w:t>
      </w:r>
    </w:p>
    <w:p w14:paraId="7BABBCE0" w14:textId="77777777" w:rsidR="00792FF9" w:rsidRPr="007475F3" w:rsidRDefault="00792FF9" w:rsidP="00792FF9">
      <w:pPr>
        <w:tabs>
          <w:tab w:val="left" w:pos="567"/>
        </w:tabs>
        <w:autoSpaceDE w:val="0"/>
        <w:autoSpaceDN w:val="0"/>
        <w:adjustRightInd w:val="0"/>
        <w:rPr>
          <w:bCs/>
          <w:sz w:val="24"/>
          <w:szCs w:val="24"/>
        </w:rPr>
      </w:pPr>
    </w:p>
    <w:p w14:paraId="0679CC1F" w14:textId="77777777" w:rsidR="00792FF9" w:rsidRPr="007475F3" w:rsidRDefault="00792FF9" w:rsidP="00A87E95">
      <w:pPr>
        <w:pBdr>
          <w:top w:val="single" w:sz="4" w:space="1" w:color="auto"/>
          <w:left w:val="single" w:sz="4" w:space="4" w:color="auto"/>
          <w:bottom w:val="single" w:sz="4" w:space="1" w:color="auto"/>
          <w:right w:val="single" w:sz="4" w:space="4" w:color="auto"/>
        </w:pBdr>
        <w:autoSpaceDE w:val="0"/>
        <w:autoSpaceDN w:val="0"/>
        <w:adjustRightInd w:val="0"/>
        <w:ind w:left="851"/>
        <w:rPr>
          <w:bCs/>
          <w:sz w:val="24"/>
          <w:szCs w:val="24"/>
        </w:rPr>
      </w:pPr>
      <w:r w:rsidRPr="007475F3">
        <w:rPr>
          <w:sz w:val="24"/>
          <w:szCs w:val="24"/>
        </w:rPr>
        <w:t xml:space="preserve">Brugen af </w:t>
      </w:r>
      <w:proofErr w:type="spellStart"/>
      <w:r w:rsidRPr="007475F3">
        <w:rPr>
          <w:sz w:val="24"/>
          <w:szCs w:val="24"/>
        </w:rPr>
        <w:t>irinotecan</w:t>
      </w:r>
      <w:proofErr w:type="spellEnd"/>
      <w:r w:rsidRPr="007475F3">
        <w:rPr>
          <w:sz w:val="24"/>
          <w:szCs w:val="24"/>
        </w:rPr>
        <w:t xml:space="preserve"> bør begrænses til afdelinger, der er specialiseret i administration af </w:t>
      </w:r>
      <w:proofErr w:type="spellStart"/>
      <w:r w:rsidRPr="007475F3">
        <w:rPr>
          <w:sz w:val="24"/>
          <w:szCs w:val="24"/>
        </w:rPr>
        <w:t>cytotoksisk</w:t>
      </w:r>
      <w:proofErr w:type="spellEnd"/>
      <w:r w:rsidRPr="007475F3">
        <w:rPr>
          <w:sz w:val="24"/>
          <w:szCs w:val="24"/>
        </w:rPr>
        <w:t xml:space="preserve"> kemoterapi, og det bør kun administreres under overvågning af en læge, der er uddannet i brugen af kemoterapi mod cancer.</w:t>
      </w:r>
    </w:p>
    <w:p w14:paraId="099886B9" w14:textId="77777777" w:rsidR="00792FF9" w:rsidRPr="007475F3" w:rsidRDefault="00792FF9" w:rsidP="00792FF9">
      <w:pPr>
        <w:autoSpaceDE w:val="0"/>
        <w:autoSpaceDN w:val="0"/>
        <w:adjustRightInd w:val="0"/>
        <w:rPr>
          <w:sz w:val="24"/>
          <w:szCs w:val="24"/>
        </w:rPr>
      </w:pPr>
    </w:p>
    <w:p w14:paraId="4EFCA15A" w14:textId="77777777" w:rsidR="007475F3" w:rsidRPr="007475F3" w:rsidRDefault="007475F3" w:rsidP="007475F3">
      <w:pPr>
        <w:autoSpaceDE w:val="0"/>
        <w:autoSpaceDN w:val="0"/>
        <w:adjustRightInd w:val="0"/>
        <w:ind w:left="851"/>
        <w:rPr>
          <w:sz w:val="22"/>
        </w:rPr>
      </w:pPr>
      <w:r w:rsidRPr="007475F3">
        <w:t xml:space="preserve">I betragtning af arten og forekomsten af bivirkninger vil </w:t>
      </w:r>
      <w:proofErr w:type="spellStart"/>
      <w:r w:rsidRPr="007475F3">
        <w:t>irinotecan</w:t>
      </w:r>
      <w:proofErr w:type="spellEnd"/>
      <w:r w:rsidRPr="007475F3">
        <w:t xml:space="preserve"> kun ordineres i de følgende tilfælde efter, de forventede fordele er vægtet mod de mulige terapeutiske risici</w:t>
      </w:r>
    </w:p>
    <w:p w14:paraId="4CC6CFCA" w14:textId="77777777" w:rsidR="007475F3" w:rsidRPr="007475F3" w:rsidRDefault="007475F3" w:rsidP="007475F3">
      <w:pPr>
        <w:tabs>
          <w:tab w:val="left" w:pos="567"/>
        </w:tabs>
        <w:autoSpaceDE w:val="0"/>
        <w:autoSpaceDN w:val="0"/>
        <w:adjustRightInd w:val="0"/>
        <w:ind w:left="851"/>
      </w:pPr>
      <w:r w:rsidRPr="007475F3">
        <w:t>-</w:t>
      </w:r>
      <w:r w:rsidRPr="007475F3">
        <w:tab/>
        <w:t xml:space="preserve">hos patienter med en risikofaktor, især dem med en </w:t>
      </w:r>
      <w:proofErr w:type="gramStart"/>
      <w:r w:rsidRPr="007475F3">
        <w:t>WHO performance</w:t>
      </w:r>
      <w:proofErr w:type="gramEnd"/>
      <w:r w:rsidRPr="007475F3">
        <w:t xml:space="preserve"> status = 2</w:t>
      </w:r>
    </w:p>
    <w:p w14:paraId="021E46E9" w14:textId="77777777" w:rsidR="007475F3" w:rsidRPr="007475F3" w:rsidRDefault="007475F3" w:rsidP="007475F3">
      <w:pPr>
        <w:tabs>
          <w:tab w:val="left" w:pos="567"/>
        </w:tabs>
        <w:autoSpaceDE w:val="0"/>
        <w:autoSpaceDN w:val="0"/>
        <w:adjustRightInd w:val="0"/>
        <w:ind w:left="1418" w:hanging="567"/>
      </w:pPr>
      <w:r w:rsidRPr="007475F3">
        <w:t>-</w:t>
      </w:r>
      <w:r w:rsidRPr="007475F3">
        <w:tab/>
        <w:t>i de få sjældne tilfælde, hvor patienter anses for usandsynligt at følge retningslinjerne for håndtering af bivirkninger (behov for øjeblikkelig og langvarig behandling mod diarré kombineret med højt væskeindtag ved indtræden af forsinket diarré). Strengt hospitalsopsyn anbefales for disse patienter.</w:t>
      </w:r>
    </w:p>
    <w:p w14:paraId="5E9319E8" w14:textId="77777777" w:rsidR="007475F3" w:rsidRPr="007475F3" w:rsidRDefault="007475F3" w:rsidP="007475F3">
      <w:pPr>
        <w:autoSpaceDE w:val="0"/>
        <w:autoSpaceDN w:val="0"/>
        <w:adjustRightInd w:val="0"/>
        <w:ind w:left="851"/>
      </w:pPr>
    </w:p>
    <w:p w14:paraId="4C55BB24" w14:textId="77777777" w:rsidR="007475F3" w:rsidRPr="007475F3" w:rsidRDefault="007475F3" w:rsidP="007475F3">
      <w:pPr>
        <w:autoSpaceDE w:val="0"/>
        <w:autoSpaceDN w:val="0"/>
        <w:adjustRightInd w:val="0"/>
        <w:ind w:left="851"/>
      </w:pPr>
      <w:r w:rsidRPr="007475F3">
        <w:t xml:space="preserve">Når </w:t>
      </w:r>
      <w:proofErr w:type="spellStart"/>
      <w:r w:rsidRPr="007475F3">
        <w:t>irinotecan</w:t>
      </w:r>
      <w:proofErr w:type="spellEnd"/>
      <w:r w:rsidRPr="007475F3">
        <w:t xml:space="preserve"> anvendes i monoterapi, ordineres det normalt med skema for dosering hver 3. uge. Imidlertid kan skema for ugentlig dosering (se pkt. 5) overvejes hos patienter, som kan have brug for en tættere opfølgning, eller som er i særlig risiko for svær </w:t>
      </w:r>
      <w:proofErr w:type="spellStart"/>
      <w:r w:rsidRPr="007475F3">
        <w:t>neutropeni</w:t>
      </w:r>
      <w:proofErr w:type="spellEnd"/>
      <w:r w:rsidRPr="007475F3">
        <w:t>.</w:t>
      </w:r>
    </w:p>
    <w:p w14:paraId="0FF9271A" w14:textId="77777777" w:rsidR="007475F3" w:rsidRPr="007475F3" w:rsidRDefault="007475F3" w:rsidP="007475F3">
      <w:pPr>
        <w:autoSpaceDE w:val="0"/>
        <w:autoSpaceDN w:val="0"/>
        <w:adjustRightInd w:val="0"/>
        <w:ind w:left="851"/>
      </w:pPr>
    </w:p>
    <w:p w14:paraId="645DCDCF" w14:textId="77777777" w:rsidR="007475F3" w:rsidRPr="007475F3" w:rsidRDefault="007475F3" w:rsidP="007475F3">
      <w:pPr>
        <w:autoSpaceDE w:val="0"/>
        <w:autoSpaceDN w:val="0"/>
        <w:adjustRightInd w:val="0"/>
        <w:ind w:left="851"/>
        <w:rPr>
          <w:bCs/>
          <w:u w:val="single"/>
        </w:rPr>
      </w:pPr>
      <w:r w:rsidRPr="007475F3">
        <w:rPr>
          <w:u w:val="single"/>
        </w:rPr>
        <w:t>Sent indsættende diarré</w:t>
      </w:r>
    </w:p>
    <w:p w14:paraId="7DAD7555" w14:textId="77777777" w:rsidR="007475F3" w:rsidRPr="007475F3" w:rsidRDefault="007475F3" w:rsidP="007475F3">
      <w:pPr>
        <w:autoSpaceDE w:val="0"/>
        <w:autoSpaceDN w:val="0"/>
        <w:adjustRightInd w:val="0"/>
        <w:ind w:left="851"/>
      </w:pPr>
      <w:r w:rsidRPr="007475F3">
        <w:t xml:space="preserve">Patienterne skal gøres opmærksom på risikoen for sent indsættende diarré, der forekommer mere end 24 timer efter indgivelse af </w:t>
      </w:r>
      <w:proofErr w:type="spellStart"/>
      <w:r w:rsidRPr="007475F3">
        <w:t>irinotecan</w:t>
      </w:r>
      <w:proofErr w:type="spellEnd"/>
      <w:r w:rsidRPr="007475F3">
        <w:t xml:space="preserve">, og når som helst, før den næste cyklus. I monoterapi var mediantiden for indtræden af den første flydende afføring på dag 5 efter infusion af </w:t>
      </w:r>
      <w:proofErr w:type="spellStart"/>
      <w:r w:rsidRPr="007475F3">
        <w:t>irinotecan</w:t>
      </w:r>
      <w:proofErr w:type="spellEnd"/>
      <w:r w:rsidRPr="007475F3">
        <w:t>. Patienter skal hurtigt informere deres læge om dens opståen og omgående starte passende behandling.</w:t>
      </w:r>
    </w:p>
    <w:p w14:paraId="027B36BE" w14:textId="77777777" w:rsidR="007475F3" w:rsidRPr="007475F3" w:rsidRDefault="007475F3" w:rsidP="007475F3">
      <w:pPr>
        <w:autoSpaceDE w:val="0"/>
        <w:autoSpaceDN w:val="0"/>
        <w:adjustRightInd w:val="0"/>
        <w:ind w:left="851"/>
      </w:pPr>
    </w:p>
    <w:p w14:paraId="4BEFCA0D" w14:textId="77777777" w:rsidR="007475F3" w:rsidRPr="007475F3" w:rsidRDefault="007475F3" w:rsidP="007475F3">
      <w:pPr>
        <w:autoSpaceDE w:val="0"/>
        <w:autoSpaceDN w:val="0"/>
        <w:adjustRightInd w:val="0"/>
        <w:ind w:left="851"/>
      </w:pPr>
      <w:r w:rsidRPr="007475F3">
        <w:t xml:space="preserve">Patienter, som har øget risiko for diarré, er patienter, som tidligere har fået </w:t>
      </w:r>
      <w:proofErr w:type="spellStart"/>
      <w:r w:rsidRPr="007475F3">
        <w:t>abdominal</w:t>
      </w:r>
      <w:proofErr w:type="spellEnd"/>
      <w:r w:rsidRPr="007475F3">
        <w:t xml:space="preserve">/bækken-strålebehandling, patienter med </w:t>
      </w:r>
      <w:proofErr w:type="spellStart"/>
      <w:r w:rsidRPr="007475F3">
        <w:t>hyperleukocytose</w:t>
      </w:r>
      <w:proofErr w:type="spellEnd"/>
      <w:r w:rsidRPr="007475F3">
        <w:t xml:space="preserve"> ved behandlingens start, patienter med performance status ≥ 2 samt kvindelige patienter. Diarré kan blive livstruende, hvis korrekt behandling ikke påbegyndes, specielt hvis patienten samtidig har </w:t>
      </w:r>
      <w:proofErr w:type="spellStart"/>
      <w:r w:rsidRPr="007475F3">
        <w:t>neutropeni</w:t>
      </w:r>
      <w:proofErr w:type="spellEnd"/>
      <w:r w:rsidRPr="007475F3">
        <w:t>.</w:t>
      </w:r>
    </w:p>
    <w:p w14:paraId="492722F3" w14:textId="77777777" w:rsidR="007475F3" w:rsidRPr="007475F3" w:rsidRDefault="007475F3" w:rsidP="007475F3">
      <w:pPr>
        <w:autoSpaceDE w:val="0"/>
        <w:autoSpaceDN w:val="0"/>
        <w:adjustRightInd w:val="0"/>
        <w:ind w:left="851"/>
      </w:pPr>
    </w:p>
    <w:p w14:paraId="7D74A708" w14:textId="77777777" w:rsidR="007475F3" w:rsidRPr="007475F3" w:rsidRDefault="007475F3" w:rsidP="007475F3">
      <w:pPr>
        <w:autoSpaceDE w:val="0"/>
        <w:autoSpaceDN w:val="0"/>
        <w:adjustRightInd w:val="0"/>
        <w:ind w:left="851"/>
      </w:pPr>
      <w:r w:rsidRPr="007475F3">
        <w:t xml:space="preserve">Så snart den første flydende afføring optræder, bør patienten påbegynde indtagelsen af store mængder væske, indeholdende elektrolytter, og tilstrækkelig obstiperende terapi skal straks påbegyndes. Denne obstiperende behandling skal ordineres af den afdeling, hvor </w:t>
      </w:r>
      <w:proofErr w:type="spellStart"/>
      <w:r w:rsidRPr="007475F3">
        <w:t>irinotecan</w:t>
      </w:r>
      <w:proofErr w:type="spellEnd"/>
      <w:r w:rsidRPr="007475F3">
        <w:t xml:space="preserve"> er blevet administreret. Ved udskrivning fra hospitalet skal den ordinerede medicin udleveres til patienten, så den obstiperende behandling kan påbegyndes, så snart diarréen opstår. Patienter skal desuden informere den behandlende læge eller afdeling, når/hvis diarré opstår.</w:t>
      </w:r>
    </w:p>
    <w:p w14:paraId="7F38C72D" w14:textId="77777777" w:rsidR="007475F3" w:rsidRPr="007475F3" w:rsidRDefault="007475F3" w:rsidP="007475F3">
      <w:pPr>
        <w:autoSpaceDE w:val="0"/>
        <w:autoSpaceDN w:val="0"/>
        <w:adjustRightInd w:val="0"/>
        <w:ind w:left="851"/>
      </w:pPr>
    </w:p>
    <w:p w14:paraId="403E117E" w14:textId="77777777" w:rsidR="007475F3" w:rsidRPr="007475F3" w:rsidRDefault="007475F3" w:rsidP="007475F3">
      <w:pPr>
        <w:autoSpaceDE w:val="0"/>
        <w:autoSpaceDN w:val="0"/>
        <w:adjustRightInd w:val="0"/>
        <w:ind w:left="851"/>
      </w:pPr>
      <w:r w:rsidRPr="007475F3">
        <w:t xml:space="preserve">Den aktuelle anbefalede obstiperende behandling består af høje doser af </w:t>
      </w:r>
      <w:proofErr w:type="spellStart"/>
      <w:r w:rsidRPr="007475F3">
        <w:t>loperamid</w:t>
      </w:r>
      <w:proofErr w:type="spellEnd"/>
      <w:r w:rsidRPr="007475F3">
        <w:t xml:space="preserve"> (4 mg som første dosis og derefter 2 mg hver 2. time). Denne behandling bør fortsætte i 12 timer efter den sidste flydende afføring, og behandlingen bør ikke ændres. </w:t>
      </w:r>
      <w:proofErr w:type="spellStart"/>
      <w:r w:rsidRPr="007475F3">
        <w:t>Loperamid</w:t>
      </w:r>
      <w:proofErr w:type="spellEnd"/>
      <w:r w:rsidRPr="007475F3">
        <w:t xml:space="preserve"> må under ingen omstændigheder administreres i mere end 48 timer i træk i denne dosering på grund af risikoen for paralytisk </w:t>
      </w:r>
      <w:proofErr w:type="spellStart"/>
      <w:r w:rsidRPr="007475F3">
        <w:t>ileus</w:t>
      </w:r>
      <w:proofErr w:type="spellEnd"/>
      <w:r w:rsidRPr="007475F3">
        <w:t xml:space="preserve"> og skal gives i mindst 12 timer.</w:t>
      </w:r>
    </w:p>
    <w:p w14:paraId="2831EA43" w14:textId="77777777" w:rsidR="007475F3" w:rsidRPr="007475F3" w:rsidRDefault="007475F3" w:rsidP="007475F3">
      <w:pPr>
        <w:autoSpaceDE w:val="0"/>
        <w:autoSpaceDN w:val="0"/>
        <w:adjustRightInd w:val="0"/>
        <w:ind w:left="851"/>
      </w:pPr>
    </w:p>
    <w:p w14:paraId="1DF4DDDD" w14:textId="77777777" w:rsidR="007475F3" w:rsidRPr="007475F3" w:rsidRDefault="007475F3" w:rsidP="007475F3">
      <w:pPr>
        <w:autoSpaceDE w:val="0"/>
        <w:autoSpaceDN w:val="0"/>
        <w:adjustRightInd w:val="0"/>
        <w:ind w:left="851"/>
      </w:pPr>
      <w:r w:rsidRPr="007475F3">
        <w:t xml:space="preserve">Når der samtidig med diarréen opstår alvorlig </w:t>
      </w:r>
      <w:proofErr w:type="spellStart"/>
      <w:r w:rsidRPr="007475F3">
        <w:t>neutropeni</w:t>
      </w:r>
      <w:proofErr w:type="spellEnd"/>
      <w:r w:rsidRPr="007475F3">
        <w:t xml:space="preserve"> (</w:t>
      </w:r>
      <w:proofErr w:type="spellStart"/>
      <w:r w:rsidRPr="007475F3">
        <w:t>neutrofiltal</w:t>
      </w:r>
      <w:proofErr w:type="spellEnd"/>
      <w:r w:rsidRPr="007475F3">
        <w:t xml:space="preserve"> &lt;500 celler/mm</w:t>
      </w:r>
      <w:r w:rsidRPr="007475F3">
        <w:rPr>
          <w:vertAlign w:val="superscript"/>
        </w:rPr>
        <w:t>3</w:t>
      </w:r>
      <w:r w:rsidRPr="007475F3">
        <w:t>), skal der gives profylaktiske bredspektrede antibiotika i tilslutning til den obstiperende behandling.</w:t>
      </w:r>
    </w:p>
    <w:p w14:paraId="55F032BD" w14:textId="77777777" w:rsidR="007475F3" w:rsidRPr="007475F3" w:rsidRDefault="007475F3" w:rsidP="007475F3">
      <w:pPr>
        <w:autoSpaceDE w:val="0"/>
        <w:autoSpaceDN w:val="0"/>
        <w:adjustRightInd w:val="0"/>
        <w:ind w:left="851"/>
      </w:pPr>
    </w:p>
    <w:p w14:paraId="7AD75320" w14:textId="77777777" w:rsidR="007475F3" w:rsidRPr="007475F3" w:rsidRDefault="007475F3" w:rsidP="007475F3">
      <w:pPr>
        <w:autoSpaceDE w:val="0"/>
        <w:autoSpaceDN w:val="0"/>
        <w:adjustRightInd w:val="0"/>
        <w:ind w:left="851"/>
      </w:pPr>
      <w:r w:rsidRPr="007475F3">
        <w:t>I tilslutning til antibiotikabehandling anbefales det i følgende tilfælde at indlægge patienten for at kontrollere diarréen:</w:t>
      </w:r>
    </w:p>
    <w:p w14:paraId="319CE3FE" w14:textId="77777777" w:rsidR="007475F3" w:rsidRPr="007475F3" w:rsidRDefault="007475F3" w:rsidP="007475F3">
      <w:pPr>
        <w:tabs>
          <w:tab w:val="left" w:pos="567"/>
        </w:tabs>
        <w:autoSpaceDE w:val="0"/>
        <w:autoSpaceDN w:val="0"/>
        <w:adjustRightInd w:val="0"/>
        <w:ind w:left="851"/>
      </w:pPr>
      <w:r w:rsidRPr="007475F3">
        <w:lastRenderedPageBreak/>
        <w:t>-</w:t>
      </w:r>
      <w:r w:rsidRPr="007475F3">
        <w:tab/>
        <w:t>diarré i forbindelse med feber</w:t>
      </w:r>
    </w:p>
    <w:p w14:paraId="6AE35A5E" w14:textId="77777777" w:rsidR="007475F3" w:rsidRPr="007475F3" w:rsidRDefault="007475F3" w:rsidP="007475F3">
      <w:pPr>
        <w:tabs>
          <w:tab w:val="left" w:pos="567"/>
        </w:tabs>
        <w:autoSpaceDE w:val="0"/>
        <w:autoSpaceDN w:val="0"/>
        <w:adjustRightInd w:val="0"/>
        <w:ind w:left="851"/>
      </w:pPr>
      <w:r w:rsidRPr="007475F3">
        <w:t>-</w:t>
      </w:r>
      <w:r w:rsidRPr="007475F3">
        <w:tab/>
        <w:t>alvorlig diarré (som kræver intravenøs hydrering)</w:t>
      </w:r>
    </w:p>
    <w:p w14:paraId="2F0EB2D9" w14:textId="77777777" w:rsidR="007475F3" w:rsidRPr="007475F3" w:rsidRDefault="007475F3" w:rsidP="007475F3">
      <w:pPr>
        <w:tabs>
          <w:tab w:val="left" w:pos="567"/>
        </w:tabs>
        <w:autoSpaceDE w:val="0"/>
        <w:autoSpaceDN w:val="0"/>
        <w:adjustRightInd w:val="0"/>
        <w:ind w:left="851"/>
      </w:pPr>
      <w:r w:rsidRPr="007475F3">
        <w:t>-</w:t>
      </w:r>
      <w:r w:rsidRPr="007475F3">
        <w:tab/>
        <w:t xml:space="preserve">diarré, der varer i mere end 48 timer efter påbegyndelse af højdosis </w:t>
      </w:r>
      <w:proofErr w:type="spellStart"/>
      <w:r w:rsidRPr="007475F3">
        <w:t>loperamidbehandling</w:t>
      </w:r>
      <w:proofErr w:type="spellEnd"/>
      <w:r w:rsidRPr="007475F3">
        <w:t>.</w:t>
      </w:r>
    </w:p>
    <w:p w14:paraId="61EFFB7B" w14:textId="77777777" w:rsidR="007475F3" w:rsidRPr="007475F3" w:rsidRDefault="007475F3" w:rsidP="007475F3">
      <w:pPr>
        <w:autoSpaceDE w:val="0"/>
        <w:autoSpaceDN w:val="0"/>
        <w:adjustRightInd w:val="0"/>
        <w:ind w:left="851"/>
      </w:pPr>
    </w:p>
    <w:p w14:paraId="4E8F96EB" w14:textId="77777777" w:rsidR="007475F3" w:rsidRPr="007475F3" w:rsidRDefault="007475F3" w:rsidP="007475F3">
      <w:pPr>
        <w:autoSpaceDE w:val="0"/>
        <w:autoSpaceDN w:val="0"/>
        <w:adjustRightInd w:val="0"/>
        <w:ind w:left="851"/>
      </w:pPr>
      <w:proofErr w:type="spellStart"/>
      <w:r w:rsidRPr="007475F3">
        <w:t>Loperamid</w:t>
      </w:r>
      <w:proofErr w:type="spellEnd"/>
      <w:r w:rsidRPr="007475F3">
        <w:t xml:space="preserve"> bør ikke gives profylaktisk, selv ikke hvor patienten har haft sent indsættende diarré med de tidligere behandlingscyklusser.</w:t>
      </w:r>
    </w:p>
    <w:p w14:paraId="759D8B29" w14:textId="77777777" w:rsidR="007475F3" w:rsidRPr="007475F3" w:rsidRDefault="007475F3" w:rsidP="007475F3">
      <w:pPr>
        <w:autoSpaceDE w:val="0"/>
        <w:autoSpaceDN w:val="0"/>
        <w:adjustRightInd w:val="0"/>
        <w:ind w:left="851"/>
      </w:pPr>
    </w:p>
    <w:p w14:paraId="37F0A346" w14:textId="77777777" w:rsidR="007475F3" w:rsidRPr="007475F3" w:rsidRDefault="007475F3" w:rsidP="007475F3">
      <w:pPr>
        <w:autoSpaceDE w:val="0"/>
        <w:autoSpaceDN w:val="0"/>
        <w:adjustRightInd w:val="0"/>
        <w:ind w:left="851"/>
      </w:pPr>
      <w:r w:rsidRPr="007475F3">
        <w:t>Hos patienter, som har haft svær diarré, anbefales en dosisreduktion i de efterfølgende behandlingscyklusser (se pkt. 4.2).</w:t>
      </w:r>
    </w:p>
    <w:p w14:paraId="25B4862E" w14:textId="77777777" w:rsidR="007475F3" w:rsidRPr="007475F3" w:rsidRDefault="007475F3" w:rsidP="007475F3">
      <w:pPr>
        <w:autoSpaceDE w:val="0"/>
        <w:autoSpaceDN w:val="0"/>
        <w:adjustRightInd w:val="0"/>
        <w:ind w:left="851"/>
        <w:rPr>
          <w:u w:val="single"/>
        </w:rPr>
      </w:pPr>
    </w:p>
    <w:p w14:paraId="198C4CB5" w14:textId="77777777" w:rsidR="007475F3" w:rsidRPr="007475F3" w:rsidRDefault="007475F3" w:rsidP="007475F3">
      <w:pPr>
        <w:autoSpaceDE w:val="0"/>
        <w:autoSpaceDN w:val="0"/>
        <w:adjustRightInd w:val="0"/>
        <w:ind w:left="851"/>
        <w:rPr>
          <w:u w:val="single"/>
        </w:rPr>
      </w:pPr>
      <w:r w:rsidRPr="007475F3">
        <w:rPr>
          <w:u w:val="single"/>
        </w:rPr>
        <w:t>Patienter with reduceret UGT1A1-aktivitet</w:t>
      </w:r>
    </w:p>
    <w:p w14:paraId="366785DC" w14:textId="77777777" w:rsidR="007475F3" w:rsidRPr="007475F3" w:rsidRDefault="007475F3" w:rsidP="007475F3">
      <w:pPr>
        <w:autoSpaceDE w:val="0"/>
        <w:autoSpaceDN w:val="0"/>
        <w:adjustRightInd w:val="0"/>
        <w:ind w:left="851"/>
      </w:pPr>
      <w:r w:rsidRPr="007475F3">
        <w:t xml:space="preserve">Patienter, der er dårlige UGT1A1-metabolisatorer, såsom patienter med Gilberts syndrom (f.eks. </w:t>
      </w:r>
      <w:proofErr w:type="spellStart"/>
      <w:r w:rsidRPr="007475F3">
        <w:t>homozygote</w:t>
      </w:r>
      <w:proofErr w:type="spellEnd"/>
      <w:r w:rsidRPr="007475F3">
        <w:t xml:space="preserve"> for varianterne UGT1A1*28 eller UGT1A1*6) har øget risiko for svær </w:t>
      </w:r>
      <w:proofErr w:type="spellStart"/>
      <w:r w:rsidRPr="007475F3">
        <w:t>neutropeni</w:t>
      </w:r>
      <w:proofErr w:type="spellEnd"/>
      <w:r w:rsidRPr="007475F3">
        <w:t xml:space="preserve"> eller diarré efter behandling med </w:t>
      </w:r>
      <w:proofErr w:type="spellStart"/>
      <w:r w:rsidRPr="007475F3">
        <w:t>irinotecan</w:t>
      </w:r>
      <w:proofErr w:type="spellEnd"/>
      <w:r w:rsidRPr="007475F3">
        <w:t xml:space="preserve">. Denne risiko øges i henhold til dosisniveauet af </w:t>
      </w:r>
      <w:proofErr w:type="spellStart"/>
      <w:r w:rsidRPr="007475F3">
        <w:t>irinotecan</w:t>
      </w:r>
      <w:proofErr w:type="spellEnd"/>
      <w:r w:rsidRPr="007475F3">
        <w:t>.</w:t>
      </w:r>
    </w:p>
    <w:p w14:paraId="3C87150D" w14:textId="77777777" w:rsidR="007475F3" w:rsidRPr="007475F3" w:rsidRDefault="007475F3" w:rsidP="007475F3">
      <w:pPr>
        <w:autoSpaceDE w:val="0"/>
        <w:autoSpaceDN w:val="0"/>
        <w:adjustRightInd w:val="0"/>
        <w:ind w:left="851"/>
      </w:pPr>
    </w:p>
    <w:p w14:paraId="253F5C2E" w14:textId="77777777" w:rsidR="007475F3" w:rsidRPr="007475F3" w:rsidRDefault="007475F3" w:rsidP="007475F3">
      <w:pPr>
        <w:autoSpaceDE w:val="0"/>
        <w:autoSpaceDN w:val="0"/>
        <w:adjustRightInd w:val="0"/>
        <w:ind w:left="851"/>
      </w:pPr>
      <w:r w:rsidRPr="007475F3">
        <w:t xml:space="preserve">Selvom der ikke er fastsat en præcis dosisreduktion af startdosis, bør en reduceret startdosis af </w:t>
      </w:r>
      <w:proofErr w:type="spellStart"/>
      <w:r w:rsidRPr="007475F3">
        <w:t>irinotecan</w:t>
      </w:r>
      <w:proofErr w:type="spellEnd"/>
      <w:r w:rsidRPr="007475F3">
        <w:t xml:space="preserve"> overvejes til patienter, der er dårligere UGT1A1-metabolisatorer, især patienter, som får doser &gt; 180 mg/m</w:t>
      </w:r>
      <w:r w:rsidRPr="007475F3">
        <w:rPr>
          <w:vertAlign w:val="superscript"/>
        </w:rPr>
        <w:t>2</w:t>
      </w:r>
      <w:r w:rsidRPr="007475F3">
        <w:t xml:space="preserve"> eller svage patienter. Der bør tages hensyn til gældende kliniske retningslinjer for dosisanbefalinger til denne patientpopulation. Efterfølgende doser kan øges baseret på patientens individuelle tolerance over for behandlingen.</w:t>
      </w:r>
    </w:p>
    <w:p w14:paraId="0AC01CFE" w14:textId="77777777" w:rsidR="007475F3" w:rsidRPr="007475F3" w:rsidRDefault="007475F3" w:rsidP="007475F3">
      <w:pPr>
        <w:autoSpaceDE w:val="0"/>
        <w:autoSpaceDN w:val="0"/>
        <w:adjustRightInd w:val="0"/>
        <w:ind w:left="851"/>
      </w:pPr>
    </w:p>
    <w:p w14:paraId="0724EC4E" w14:textId="77777777" w:rsidR="007475F3" w:rsidRPr="007475F3" w:rsidRDefault="007475F3" w:rsidP="007475F3">
      <w:pPr>
        <w:autoSpaceDE w:val="0"/>
        <w:autoSpaceDN w:val="0"/>
        <w:adjustRightInd w:val="0"/>
        <w:ind w:left="851"/>
        <w:rPr>
          <w:highlight w:val="yellow"/>
          <w:u w:val="single"/>
        </w:rPr>
      </w:pPr>
      <w:r w:rsidRPr="007475F3">
        <w:t xml:space="preserve">Der kan anvendes UGT1A1-genotypebestemmelse til at identificere patienter med øget risiko for svær </w:t>
      </w:r>
      <w:proofErr w:type="spellStart"/>
      <w:r w:rsidRPr="007475F3">
        <w:t>neutropeni</w:t>
      </w:r>
      <w:proofErr w:type="spellEnd"/>
      <w:r w:rsidRPr="007475F3">
        <w:t xml:space="preserve"> og diarré, men det kliniske udbytte af genotypebestemmelse før behandlingen er dog usikkert, da UCT1A1-polymorfi ikke tager højde for den fulde toksicitet fra </w:t>
      </w:r>
      <w:proofErr w:type="spellStart"/>
      <w:r w:rsidRPr="007475F3">
        <w:t>irinotecan</w:t>
      </w:r>
      <w:proofErr w:type="spellEnd"/>
      <w:r w:rsidRPr="007475F3">
        <w:t>-behandling (se pkt. 5.2).</w:t>
      </w:r>
    </w:p>
    <w:p w14:paraId="2E8A305F" w14:textId="77777777" w:rsidR="007475F3" w:rsidRPr="007475F3" w:rsidRDefault="007475F3" w:rsidP="007475F3">
      <w:pPr>
        <w:autoSpaceDE w:val="0"/>
        <w:autoSpaceDN w:val="0"/>
        <w:adjustRightInd w:val="0"/>
        <w:ind w:left="851"/>
      </w:pPr>
    </w:p>
    <w:p w14:paraId="066E83A8" w14:textId="77777777" w:rsidR="007475F3" w:rsidRPr="007475F3" w:rsidRDefault="007475F3" w:rsidP="007475F3">
      <w:pPr>
        <w:autoSpaceDE w:val="0"/>
        <w:autoSpaceDN w:val="0"/>
        <w:adjustRightInd w:val="0"/>
        <w:ind w:left="851"/>
        <w:rPr>
          <w:bCs/>
          <w:u w:val="single"/>
        </w:rPr>
      </w:pPr>
      <w:r w:rsidRPr="007475F3">
        <w:rPr>
          <w:u w:val="single"/>
        </w:rPr>
        <w:t>Hæmatologi</w:t>
      </w:r>
    </w:p>
    <w:p w14:paraId="58BD8106" w14:textId="77777777" w:rsidR="007475F3" w:rsidRPr="007475F3" w:rsidRDefault="007475F3" w:rsidP="007475F3">
      <w:pPr>
        <w:autoSpaceDE w:val="0"/>
        <w:autoSpaceDN w:val="0"/>
        <w:adjustRightInd w:val="0"/>
        <w:ind w:left="851"/>
      </w:pPr>
      <w:r w:rsidRPr="007475F3">
        <w:t xml:space="preserve">I kliniske undersøgelser har hyppigheden af NCI </w:t>
      </w:r>
      <w:proofErr w:type="gramStart"/>
      <w:r w:rsidRPr="007475F3">
        <w:t>CTC grad</w:t>
      </w:r>
      <w:proofErr w:type="gramEnd"/>
      <w:r w:rsidRPr="007475F3">
        <w:t xml:space="preserve"> 3 og 4 </w:t>
      </w:r>
      <w:proofErr w:type="spellStart"/>
      <w:r w:rsidRPr="007475F3">
        <w:t>neutropeni</w:t>
      </w:r>
      <w:proofErr w:type="spellEnd"/>
      <w:r w:rsidRPr="007475F3">
        <w:t xml:space="preserve"> været signifikant højere hos patienter, der tidligere fik bækken/</w:t>
      </w:r>
      <w:proofErr w:type="spellStart"/>
      <w:r w:rsidRPr="007475F3">
        <w:t>abdominal</w:t>
      </w:r>
      <w:proofErr w:type="spellEnd"/>
      <w:r w:rsidRPr="007475F3">
        <w:t xml:space="preserve">-strålebehandling end hos dem, der ikke havde modtaget en sådan strålebehandling. Patienter med </w:t>
      </w:r>
      <w:proofErr w:type="gramStart"/>
      <w:r w:rsidRPr="007475F3">
        <w:t>total</w:t>
      </w:r>
      <w:proofErr w:type="gramEnd"/>
      <w:r w:rsidRPr="007475F3">
        <w:t xml:space="preserve"> serum-bilirubinniveauer på 1,0 mg/dl eller højere ved baseline havde også en signifikant højere risiko for at få grad 3 eller 4 </w:t>
      </w:r>
      <w:proofErr w:type="spellStart"/>
      <w:r w:rsidRPr="007475F3">
        <w:t>neutropeni</w:t>
      </w:r>
      <w:proofErr w:type="spellEnd"/>
      <w:r w:rsidRPr="007475F3">
        <w:t xml:space="preserve"> efter første behandling end dem med bilirubinniveauer, der var mindre end 1,0 mg/dl.</w:t>
      </w:r>
    </w:p>
    <w:p w14:paraId="790B9779" w14:textId="77777777" w:rsidR="007475F3" w:rsidRPr="007475F3" w:rsidRDefault="007475F3" w:rsidP="007475F3">
      <w:pPr>
        <w:autoSpaceDE w:val="0"/>
        <w:autoSpaceDN w:val="0"/>
        <w:adjustRightInd w:val="0"/>
        <w:ind w:left="851"/>
      </w:pPr>
    </w:p>
    <w:p w14:paraId="4CBEE40F" w14:textId="77777777" w:rsidR="007475F3" w:rsidRPr="007475F3" w:rsidRDefault="007475F3" w:rsidP="007475F3">
      <w:pPr>
        <w:autoSpaceDE w:val="0"/>
        <w:autoSpaceDN w:val="0"/>
        <w:adjustRightInd w:val="0"/>
        <w:ind w:left="851"/>
      </w:pPr>
      <w:r w:rsidRPr="007475F3">
        <w:t xml:space="preserve">Ugentlig overvågning af komplet blodlegemetal anbefales under behandlingen med </w:t>
      </w:r>
      <w:proofErr w:type="spellStart"/>
      <w:r w:rsidRPr="007475F3">
        <w:t>irinotecan</w:t>
      </w:r>
      <w:proofErr w:type="spellEnd"/>
      <w:r w:rsidRPr="007475F3">
        <w:t xml:space="preserve">. Patienterne skal informeres om risikoen for </w:t>
      </w:r>
      <w:proofErr w:type="spellStart"/>
      <w:r w:rsidRPr="007475F3">
        <w:t>neutropeni</w:t>
      </w:r>
      <w:proofErr w:type="spellEnd"/>
      <w:r w:rsidRPr="007475F3">
        <w:t xml:space="preserve"> og betydningen af feber. Febril </w:t>
      </w:r>
      <w:proofErr w:type="spellStart"/>
      <w:r w:rsidRPr="007475F3">
        <w:t>neutropeni</w:t>
      </w:r>
      <w:proofErr w:type="spellEnd"/>
      <w:r w:rsidRPr="007475F3">
        <w:t xml:space="preserve"> (temperatur &gt;38 °C og </w:t>
      </w:r>
      <w:proofErr w:type="spellStart"/>
      <w:r w:rsidRPr="007475F3">
        <w:t>neutrofiltal</w:t>
      </w:r>
      <w:proofErr w:type="spellEnd"/>
      <w:r w:rsidRPr="007475F3">
        <w:t xml:space="preserve"> ≤1.000 celler/mm</w:t>
      </w:r>
      <w:r w:rsidRPr="007475F3">
        <w:rPr>
          <w:vertAlign w:val="superscript"/>
        </w:rPr>
        <w:t>3</w:t>
      </w:r>
      <w:r w:rsidRPr="007475F3">
        <w:t>) skal omgående behandles på hospitalet med bredspektrede intravenøse antibiotika.</w:t>
      </w:r>
    </w:p>
    <w:p w14:paraId="523FEAE4" w14:textId="77777777" w:rsidR="007475F3" w:rsidRPr="007475F3" w:rsidRDefault="007475F3" w:rsidP="007475F3">
      <w:pPr>
        <w:autoSpaceDE w:val="0"/>
        <w:autoSpaceDN w:val="0"/>
        <w:adjustRightInd w:val="0"/>
        <w:ind w:left="851"/>
      </w:pPr>
    </w:p>
    <w:p w14:paraId="792305B1" w14:textId="77777777" w:rsidR="007475F3" w:rsidRPr="007475F3" w:rsidRDefault="007475F3" w:rsidP="007475F3">
      <w:pPr>
        <w:autoSpaceDE w:val="0"/>
        <w:autoSpaceDN w:val="0"/>
        <w:adjustRightInd w:val="0"/>
        <w:ind w:left="851"/>
      </w:pPr>
      <w:r w:rsidRPr="007475F3">
        <w:t>Hos patienter, der har oplevet alvorlige hæmatologiske bivirkninger, anbefales en dosisreduktion til efterfølgende administration (se pkt. 4.2).</w:t>
      </w:r>
    </w:p>
    <w:p w14:paraId="4F9E4179" w14:textId="77777777" w:rsidR="007475F3" w:rsidRPr="007475F3" w:rsidRDefault="007475F3" w:rsidP="007475F3">
      <w:pPr>
        <w:autoSpaceDE w:val="0"/>
        <w:autoSpaceDN w:val="0"/>
        <w:adjustRightInd w:val="0"/>
        <w:ind w:left="851"/>
      </w:pPr>
    </w:p>
    <w:p w14:paraId="0542A7A3" w14:textId="77777777" w:rsidR="007475F3" w:rsidRPr="007475F3" w:rsidRDefault="007475F3" w:rsidP="007475F3">
      <w:pPr>
        <w:autoSpaceDE w:val="0"/>
        <w:autoSpaceDN w:val="0"/>
        <w:adjustRightInd w:val="0"/>
        <w:ind w:left="851"/>
      </w:pPr>
      <w:r w:rsidRPr="007475F3">
        <w:t>Der er en øget risiko for infektioner og hæmatologisk toksicitet hos patienter med svær diarré. Hos patienter med svær diarré skal der foretages komplet blodlegemetælling.</w:t>
      </w:r>
    </w:p>
    <w:p w14:paraId="6925C22C" w14:textId="77777777" w:rsidR="007475F3" w:rsidRPr="007475F3" w:rsidRDefault="007475F3" w:rsidP="007475F3">
      <w:pPr>
        <w:autoSpaceDE w:val="0"/>
        <w:autoSpaceDN w:val="0"/>
        <w:adjustRightInd w:val="0"/>
        <w:ind w:left="851"/>
      </w:pPr>
    </w:p>
    <w:p w14:paraId="68970765" w14:textId="77777777" w:rsidR="007475F3" w:rsidRPr="007475F3" w:rsidRDefault="007475F3" w:rsidP="007475F3">
      <w:pPr>
        <w:autoSpaceDE w:val="0"/>
        <w:autoSpaceDN w:val="0"/>
        <w:adjustRightInd w:val="0"/>
        <w:ind w:left="851"/>
        <w:rPr>
          <w:bCs/>
          <w:u w:val="single"/>
        </w:rPr>
      </w:pPr>
      <w:r w:rsidRPr="007475F3">
        <w:rPr>
          <w:u w:val="single"/>
        </w:rPr>
        <w:t>Nedsat leverfunktion</w:t>
      </w:r>
    </w:p>
    <w:p w14:paraId="05039FBC" w14:textId="77777777" w:rsidR="007475F3" w:rsidRPr="007475F3" w:rsidRDefault="007475F3" w:rsidP="007475F3">
      <w:pPr>
        <w:autoSpaceDE w:val="0"/>
        <w:autoSpaceDN w:val="0"/>
        <w:adjustRightInd w:val="0"/>
        <w:ind w:left="851"/>
      </w:pPr>
      <w:r w:rsidRPr="007475F3">
        <w:t>Leverfunktionsundersøgelser skal udføres før behandlingens påbegyndelse og før hver behandlingscyklus.</w:t>
      </w:r>
    </w:p>
    <w:p w14:paraId="7713B44E" w14:textId="77777777" w:rsidR="007475F3" w:rsidRPr="007475F3" w:rsidRDefault="007475F3" w:rsidP="007475F3">
      <w:pPr>
        <w:autoSpaceDE w:val="0"/>
        <w:autoSpaceDN w:val="0"/>
        <w:adjustRightInd w:val="0"/>
        <w:ind w:left="851"/>
      </w:pPr>
    </w:p>
    <w:p w14:paraId="49F8F957" w14:textId="77777777" w:rsidR="007475F3" w:rsidRPr="007475F3" w:rsidRDefault="007475F3" w:rsidP="007475F3">
      <w:pPr>
        <w:autoSpaceDE w:val="0"/>
        <w:autoSpaceDN w:val="0"/>
        <w:adjustRightInd w:val="0"/>
        <w:ind w:left="851"/>
      </w:pPr>
      <w:r w:rsidRPr="007475F3">
        <w:t xml:space="preserve">Der skal foretages ugentlig komplet blodtælling hos patienter med bilirubin fra 1,5 til 3 gange ULN på grund af nedsat </w:t>
      </w:r>
      <w:proofErr w:type="spellStart"/>
      <w:r w:rsidRPr="007475F3">
        <w:t>clearance</w:t>
      </w:r>
      <w:proofErr w:type="spellEnd"/>
      <w:r w:rsidRPr="007475F3">
        <w:t xml:space="preserve"> af </w:t>
      </w:r>
      <w:proofErr w:type="spellStart"/>
      <w:r w:rsidRPr="007475F3">
        <w:t>irinotecan</w:t>
      </w:r>
      <w:proofErr w:type="spellEnd"/>
      <w:r w:rsidRPr="007475F3">
        <w:t xml:space="preserve"> (se pkt. 5.2), og dermed forøget risiko for </w:t>
      </w:r>
      <w:proofErr w:type="spellStart"/>
      <w:r w:rsidRPr="007475F3">
        <w:t>hæmotoksicitet</w:t>
      </w:r>
      <w:proofErr w:type="spellEnd"/>
      <w:r w:rsidRPr="007475F3">
        <w:t xml:space="preserve"> hos denne patientgruppe. For patienter med bilirubin &gt;3 gange ULN (se pkt. 4.3).</w:t>
      </w:r>
    </w:p>
    <w:p w14:paraId="6F8252BF" w14:textId="77777777" w:rsidR="007475F3" w:rsidRPr="007475F3" w:rsidRDefault="007475F3" w:rsidP="007475F3">
      <w:pPr>
        <w:autoSpaceDE w:val="0"/>
        <w:autoSpaceDN w:val="0"/>
        <w:adjustRightInd w:val="0"/>
        <w:ind w:left="851"/>
      </w:pPr>
    </w:p>
    <w:p w14:paraId="75AD68E9" w14:textId="77777777" w:rsidR="007475F3" w:rsidRPr="007475F3" w:rsidRDefault="007475F3" w:rsidP="007475F3">
      <w:pPr>
        <w:autoSpaceDE w:val="0"/>
        <w:autoSpaceDN w:val="0"/>
        <w:adjustRightInd w:val="0"/>
        <w:ind w:left="851"/>
        <w:rPr>
          <w:bCs/>
          <w:u w:val="single"/>
        </w:rPr>
      </w:pPr>
      <w:r w:rsidRPr="007475F3">
        <w:rPr>
          <w:u w:val="single"/>
        </w:rPr>
        <w:t>Kvalme og opkastning</w:t>
      </w:r>
    </w:p>
    <w:p w14:paraId="189EB8D8" w14:textId="77777777" w:rsidR="007475F3" w:rsidRPr="007475F3" w:rsidRDefault="007475F3" w:rsidP="007475F3">
      <w:pPr>
        <w:autoSpaceDE w:val="0"/>
        <w:autoSpaceDN w:val="0"/>
        <w:adjustRightInd w:val="0"/>
        <w:ind w:left="851"/>
      </w:pPr>
      <w:r w:rsidRPr="007475F3">
        <w:t xml:space="preserve">En profylaktisk behandling med </w:t>
      </w:r>
      <w:proofErr w:type="spellStart"/>
      <w:r w:rsidRPr="007475F3">
        <w:t>antiemetika</w:t>
      </w:r>
      <w:proofErr w:type="spellEnd"/>
      <w:r w:rsidRPr="007475F3">
        <w:t xml:space="preserve"> anbefales før hver behandling med </w:t>
      </w:r>
      <w:proofErr w:type="spellStart"/>
      <w:r w:rsidRPr="007475F3">
        <w:t>irinotecan</w:t>
      </w:r>
      <w:proofErr w:type="spellEnd"/>
      <w:r w:rsidRPr="007475F3">
        <w:t>. Kvalme og opkastning er blevet observeret hyppigt. Patienter med opkastning associeret med sent indsættende diarré bør indlægges så hurtigt som muligt med henblik på behandling.</w:t>
      </w:r>
    </w:p>
    <w:p w14:paraId="1C25F63C" w14:textId="77777777" w:rsidR="007475F3" w:rsidRPr="007475F3" w:rsidRDefault="007475F3" w:rsidP="007475F3">
      <w:pPr>
        <w:autoSpaceDE w:val="0"/>
        <w:autoSpaceDN w:val="0"/>
        <w:adjustRightInd w:val="0"/>
        <w:ind w:left="851"/>
      </w:pPr>
    </w:p>
    <w:p w14:paraId="77642560" w14:textId="77777777" w:rsidR="007475F3" w:rsidRPr="007475F3" w:rsidRDefault="007475F3" w:rsidP="007475F3">
      <w:pPr>
        <w:autoSpaceDE w:val="0"/>
        <w:autoSpaceDN w:val="0"/>
        <w:adjustRightInd w:val="0"/>
        <w:ind w:left="851"/>
        <w:rPr>
          <w:bCs/>
          <w:u w:val="single"/>
        </w:rPr>
      </w:pPr>
      <w:r w:rsidRPr="007475F3">
        <w:rPr>
          <w:u w:val="single"/>
        </w:rPr>
        <w:t xml:space="preserve">Akut </w:t>
      </w:r>
      <w:proofErr w:type="spellStart"/>
      <w:r w:rsidRPr="007475F3">
        <w:rPr>
          <w:u w:val="single"/>
        </w:rPr>
        <w:t>kolinergt</w:t>
      </w:r>
      <w:proofErr w:type="spellEnd"/>
      <w:r w:rsidRPr="007475F3">
        <w:rPr>
          <w:u w:val="single"/>
        </w:rPr>
        <w:t xml:space="preserve"> syndrom</w:t>
      </w:r>
    </w:p>
    <w:p w14:paraId="57FABBF3" w14:textId="77777777" w:rsidR="007475F3" w:rsidRPr="007475F3" w:rsidRDefault="007475F3" w:rsidP="007475F3">
      <w:pPr>
        <w:autoSpaceDE w:val="0"/>
        <w:autoSpaceDN w:val="0"/>
        <w:adjustRightInd w:val="0"/>
        <w:ind w:left="851"/>
      </w:pPr>
      <w:r w:rsidRPr="007475F3">
        <w:t xml:space="preserve">Hvis der opstår akut </w:t>
      </w:r>
      <w:proofErr w:type="spellStart"/>
      <w:r w:rsidRPr="007475F3">
        <w:t>kolinergt</w:t>
      </w:r>
      <w:proofErr w:type="spellEnd"/>
      <w:r w:rsidRPr="007475F3">
        <w:t xml:space="preserve"> syndrom (defineret som tidligt indsættende diarré og visse andre symptomer, såsom </w:t>
      </w:r>
      <w:proofErr w:type="spellStart"/>
      <w:r w:rsidRPr="007475F3">
        <w:t>perspiration</w:t>
      </w:r>
      <w:proofErr w:type="spellEnd"/>
      <w:r w:rsidRPr="007475F3">
        <w:t xml:space="preserve">, </w:t>
      </w:r>
      <w:proofErr w:type="spellStart"/>
      <w:r w:rsidRPr="007475F3">
        <w:t>abdominalkramper</w:t>
      </w:r>
      <w:proofErr w:type="spellEnd"/>
      <w:r w:rsidRPr="007475F3">
        <w:t xml:space="preserve">, </w:t>
      </w:r>
      <w:proofErr w:type="spellStart"/>
      <w:r w:rsidRPr="007475F3">
        <w:t>myosis</w:t>
      </w:r>
      <w:proofErr w:type="spellEnd"/>
      <w:r w:rsidRPr="007475F3">
        <w:t xml:space="preserve"> og spytafsondring), bør der gives atropinsulfat (0,25 mg subkutant), medmindre dette er klinisk kontraindiceret (se pkt. 4.8).</w:t>
      </w:r>
    </w:p>
    <w:p w14:paraId="49093EA8" w14:textId="77777777" w:rsidR="007475F3" w:rsidRPr="007475F3" w:rsidRDefault="007475F3" w:rsidP="007475F3">
      <w:pPr>
        <w:autoSpaceDE w:val="0"/>
        <w:autoSpaceDN w:val="0"/>
        <w:adjustRightInd w:val="0"/>
        <w:ind w:left="851"/>
      </w:pPr>
    </w:p>
    <w:p w14:paraId="02B583A8" w14:textId="77777777" w:rsidR="007475F3" w:rsidRPr="007475F3" w:rsidRDefault="007475F3" w:rsidP="007475F3">
      <w:pPr>
        <w:autoSpaceDE w:val="0"/>
        <w:autoSpaceDN w:val="0"/>
        <w:adjustRightInd w:val="0"/>
        <w:ind w:left="851"/>
      </w:pPr>
      <w:r w:rsidRPr="007475F3">
        <w:t xml:space="preserve">Disse symptomer, der kan observeres under eller kort efter infusion af </w:t>
      </w:r>
      <w:proofErr w:type="spellStart"/>
      <w:r w:rsidRPr="007475F3">
        <w:t>irinotecan</w:t>
      </w:r>
      <w:proofErr w:type="spellEnd"/>
      <w:r w:rsidRPr="007475F3">
        <w:t xml:space="preserve">, menes at være relateret til </w:t>
      </w:r>
      <w:proofErr w:type="spellStart"/>
      <w:r w:rsidRPr="007475F3">
        <w:t>anticholinesteraseaktivitet</w:t>
      </w:r>
      <w:proofErr w:type="spellEnd"/>
      <w:r w:rsidRPr="007475F3">
        <w:t xml:space="preserve"> af </w:t>
      </w:r>
      <w:proofErr w:type="spellStart"/>
      <w:r w:rsidRPr="007475F3">
        <w:t>irinotecan</w:t>
      </w:r>
      <w:proofErr w:type="spellEnd"/>
      <w:r w:rsidRPr="007475F3">
        <w:t xml:space="preserve">-stamforbindelsen, og forventes at forekomme hyppigere med højere </w:t>
      </w:r>
      <w:proofErr w:type="spellStart"/>
      <w:r w:rsidRPr="007475F3">
        <w:t>irinotecan</w:t>
      </w:r>
      <w:proofErr w:type="spellEnd"/>
      <w:r w:rsidRPr="007475F3">
        <w:t>-doser.</w:t>
      </w:r>
    </w:p>
    <w:p w14:paraId="08888898" w14:textId="77777777" w:rsidR="007475F3" w:rsidRPr="007475F3" w:rsidRDefault="007475F3" w:rsidP="007475F3">
      <w:pPr>
        <w:autoSpaceDE w:val="0"/>
        <w:autoSpaceDN w:val="0"/>
        <w:adjustRightInd w:val="0"/>
        <w:ind w:left="851"/>
      </w:pPr>
    </w:p>
    <w:p w14:paraId="78ECEA69" w14:textId="77777777" w:rsidR="007475F3" w:rsidRPr="007475F3" w:rsidRDefault="007475F3" w:rsidP="007475F3">
      <w:pPr>
        <w:autoSpaceDE w:val="0"/>
        <w:autoSpaceDN w:val="0"/>
        <w:adjustRightInd w:val="0"/>
        <w:ind w:left="851"/>
      </w:pPr>
      <w:r w:rsidRPr="007475F3">
        <w:t xml:space="preserve">Der bør udvises forsigtighed hos patienter med astma. Hos patienter med tidligere akut eller alvorligt </w:t>
      </w:r>
      <w:proofErr w:type="spellStart"/>
      <w:r w:rsidRPr="007475F3">
        <w:t>kolinergt</w:t>
      </w:r>
      <w:proofErr w:type="spellEnd"/>
      <w:r w:rsidRPr="007475F3">
        <w:t xml:space="preserve"> syndrom, anbefales det at give profylaktisk atropinsulfat med efterfølgende doser af </w:t>
      </w:r>
      <w:proofErr w:type="spellStart"/>
      <w:r w:rsidRPr="007475F3">
        <w:t>irinotecan</w:t>
      </w:r>
      <w:proofErr w:type="spellEnd"/>
      <w:r w:rsidRPr="007475F3">
        <w:t>.</w:t>
      </w:r>
    </w:p>
    <w:p w14:paraId="33E9C203" w14:textId="77777777" w:rsidR="007475F3" w:rsidRPr="007475F3" w:rsidRDefault="007475F3" w:rsidP="007475F3">
      <w:pPr>
        <w:autoSpaceDE w:val="0"/>
        <w:autoSpaceDN w:val="0"/>
        <w:adjustRightInd w:val="0"/>
        <w:ind w:left="851"/>
      </w:pPr>
    </w:p>
    <w:p w14:paraId="29C4ABCE" w14:textId="77777777" w:rsidR="007475F3" w:rsidRPr="007475F3" w:rsidRDefault="007475F3" w:rsidP="007475F3">
      <w:pPr>
        <w:autoSpaceDE w:val="0"/>
        <w:autoSpaceDN w:val="0"/>
        <w:adjustRightInd w:val="0"/>
        <w:ind w:left="851"/>
        <w:rPr>
          <w:bCs/>
          <w:u w:val="single"/>
        </w:rPr>
      </w:pPr>
      <w:r w:rsidRPr="007475F3">
        <w:rPr>
          <w:u w:val="single"/>
        </w:rPr>
        <w:t>Respiratoriske sygdomme</w:t>
      </w:r>
    </w:p>
    <w:p w14:paraId="78FFD8F2" w14:textId="77777777" w:rsidR="007475F3" w:rsidRPr="007475F3" w:rsidRDefault="007475F3" w:rsidP="007475F3">
      <w:pPr>
        <w:autoSpaceDE w:val="0"/>
        <w:autoSpaceDN w:val="0"/>
        <w:adjustRightInd w:val="0"/>
        <w:ind w:left="851"/>
      </w:pPr>
      <w:proofErr w:type="spellStart"/>
      <w:r w:rsidRPr="007475F3">
        <w:t>Interstitiel</w:t>
      </w:r>
      <w:proofErr w:type="spellEnd"/>
      <w:r w:rsidRPr="007475F3">
        <w:t xml:space="preserve"> lungesygdom, der er repræsenteret ved </w:t>
      </w:r>
      <w:proofErr w:type="spellStart"/>
      <w:r w:rsidRPr="007475F3">
        <w:t>lungeinfiltrater</w:t>
      </w:r>
      <w:proofErr w:type="spellEnd"/>
      <w:r w:rsidRPr="007475F3">
        <w:t xml:space="preserve">, er ikke almindeligt forekommende under behandling med </w:t>
      </w:r>
      <w:proofErr w:type="spellStart"/>
      <w:r w:rsidRPr="007475F3">
        <w:t>irinotecan</w:t>
      </w:r>
      <w:proofErr w:type="spellEnd"/>
      <w:r w:rsidRPr="007475F3">
        <w:t xml:space="preserve">. </w:t>
      </w:r>
      <w:proofErr w:type="spellStart"/>
      <w:r w:rsidRPr="007475F3">
        <w:t>Interstitiel</w:t>
      </w:r>
      <w:proofErr w:type="spellEnd"/>
      <w:r w:rsidRPr="007475F3">
        <w:t xml:space="preserve"> lungesygdom kan have dødelig udgang. Risikofaktorer, der muligvis er relateret til udviklingen af </w:t>
      </w:r>
      <w:proofErr w:type="spellStart"/>
      <w:r w:rsidRPr="007475F3">
        <w:t>interstitiel</w:t>
      </w:r>
      <w:proofErr w:type="spellEnd"/>
      <w:r w:rsidRPr="007475F3">
        <w:t xml:space="preserve"> lungesygdom, omfatter anvendelsen af </w:t>
      </w:r>
      <w:proofErr w:type="spellStart"/>
      <w:r w:rsidRPr="007475F3">
        <w:t>pneumotoksiske</w:t>
      </w:r>
      <w:proofErr w:type="spellEnd"/>
      <w:r w:rsidRPr="007475F3">
        <w:t xml:space="preserve"> lægemidler, strålebehandling og kolonistimulerende faktorer. Patienter med risikofaktorer bør overvåges nøje for respiratoriske symptomer inden og under behandlingen med </w:t>
      </w:r>
      <w:proofErr w:type="spellStart"/>
      <w:r w:rsidRPr="007475F3">
        <w:t>irinotecan</w:t>
      </w:r>
      <w:proofErr w:type="spellEnd"/>
      <w:r w:rsidRPr="007475F3">
        <w:t>.</w:t>
      </w:r>
    </w:p>
    <w:p w14:paraId="0A32B753" w14:textId="77777777" w:rsidR="007475F3" w:rsidRPr="007475F3" w:rsidRDefault="007475F3" w:rsidP="007475F3">
      <w:pPr>
        <w:autoSpaceDE w:val="0"/>
        <w:autoSpaceDN w:val="0"/>
        <w:adjustRightInd w:val="0"/>
        <w:ind w:left="851"/>
      </w:pPr>
    </w:p>
    <w:p w14:paraId="56AFA4EC" w14:textId="77777777" w:rsidR="007475F3" w:rsidRPr="007475F3" w:rsidRDefault="007475F3" w:rsidP="007475F3">
      <w:pPr>
        <w:autoSpaceDE w:val="0"/>
        <w:autoSpaceDN w:val="0"/>
        <w:adjustRightInd w:val="0"/>
        <w:ind w:left="851"/>
        <w:rPr>
          <w:bCs/>
          <w:u w:val="single"/>
        </w:rPr>
      </w:pPr>
      <w:proofErr w:type="spellStart"/>
      <w:r w:rsidRPr="007475F3">
        <w:rPr>
          <w:u w:val="single"/>
        </w:rPr>
        <w:t>Ekstravasation</w:t>
      </w:r>
      <w:proofErr w:type="spellEnd"/>
    </w:p>
    <w:p w14:paraId="2B56CD4C" w14:textId="77777777" w:rsidR="007475F3" w:rsidRPr="007475F3" w:rsidRDefault="007475F3" w:rsidP="007475F3">
      <w:pPr>
        <w:autoSpaceDE w:val="0"/>
        <w:autoSpaceDN w:val="0"/>
        <w:adjustRightInd w:val="0"/>
        <w:ind w:left="851"/>
      </w:pPr>
      <w:r w:rsidRPr="007475F3">
        <w:t xml:space="preserve">Selvom </w:t>
      </w:r>
      <w:proofErr w:type="spellStart"/>
      <w:r w:rsidRPr="007475F3">
        <w:t>irinotecan</w:t>
      </w:r>
      <w:proofErr w:type="spellEnd"/>
      <w:r w:rsidRPr="007475F3">
        <w:t xml:space="preserve"> ikke er en kendt </w:t>
      </w:r>
      <w:proofErr w:type="spellStart"/>
      <w:r w:rsidRPr="007475F3">
        <w:t>vesicant</w:t>
      </w:r>
      <w:proofErr w:type="spellEnd"/>
      <w:r w:rsidRPr="007475F3">
        <w:t xml:space="preserve">, skal man sørge for at undgå </w:t>
      </w:r>
      <w:proofErr w:type="spellStart"/>
      <w:r w:rsidRPr="007475F3">
        <w:t>ekstravasation</w:t>
      </w:r>
      <w:proofErr w:type="spellEnd"/>
      <w:r w:rsidRPr="007475F3">
        <w:t xml:space="preserve">, og infusionsstedet bør overvåges for tegn på inflammation. Hvis </w:t>
      </w:r>
      <w:proofErr w:type="spellStart"/>
      <w:r w:rsidRPr="007475F3">
        <w:t>ekstravasation</w:t>
      </w:r>
      <w:proofErr w:type="spellEnd"/>
      <w:r w:rsidRPr="007475F3">
        <w:t xml:space="preserve"> opstår, anbefales det at skylle stedet og komme is på.</w:t>
      </w:r>
    </w:p>
    <w:p w14:paraId="3C0EB51A" w14:textId="77777777" w:rsidR="007475F3" w:rsidRPr="007475F3" w:rsidRDefault="007475F3" w:rsidP="007475F3">
      <w:pPr>
        <w:autoSpaceDE w:val="0"/>
        <w:autoSpaceDN w:val="0"/>
        <w:adjustRightInd w:val="0"/>
        <w:ind w:left="851"/>
      </w:pPr>
    </w:p>
    <w:p w14:paraId="1B466DC8" w14:textId="77777777" w:rsidR="007475F3" w:rsidRPr="007475F3" w:rsidRDefault="007475F3" w:rsidP="007475F3">
      <w:pPr>
        <w:autoSpaceDE w:val="0"/>
        <w:autoSpaceDN w:val="0"/>
        <w:adjustRightInd w:val="0"/>
        <w:ind w:left="851"/>
        <w:rPr>
          <w:bCs/>
          <w:u w:val="single"/>
        </w:rPr>
      </w:pPr>
      <w:r w:rsidRPr="007475F3">
        <w:rPr>
          <w:u w:val="single"/>
        </w:rPr>
        <w:t>Ældre</w:t>
      </w:r>
    </w:p>
    <w:p w14:paraId="77EE4222" w14:textId="77777777" w:rsidR="007475F3" w:rsidRPr="007475F3" w:rsidRDefault="007475F3" w:rsidP="007475F3">
      <w:pPr>
        <w:autoSpaceDE w:val="0"/>
        <w:autoSpaceDN w:val="0"/>
        <w:adjustRightInd w:val="0"/>
        <w:ind w:left="851"/>
      </w:pPr>
      <w:r w:rsidRPr="007475F3">
        <w:t xml:space="preserve">På grund af øget hyppighed af nedsatte biologiske funktioner, specielt leverfunktionen, hos ældre patienter, bør der udvises forsigtighed ved dosering af </w:t>
      </w:r>
      <w:proofErr w:type="spellStart"/>
      <w:r w:rsidRPr="007475F3">
        <w:t>irinotecan</w:t>
      </w:r>
      <w:proofErr w:type="spellEnd"/>
      <w:r w:rsidRPr="007475F3">
        <w:t xml:space="preserve"> i denne patientgruppe (se pkt. 4.2).</w:t>
      </w:r>
    </w:p>
    <w:p w14:paraId="0A6C0033" w14:textId="77777777" w:rsidR="007475F3" w:rsidRPr="007475F3" w:rsidRDefault="007475F3" w:rsidP="007475F3">
      <w:pPr>
        <w:autoSpaceDE w:val="0"/>
        <w:autoSpaceDN w:val="0"/>
        <w:adjustRightInd w:val="0"/>
        <w:ind w:left="851"/>
      </w:pPr>
    </w:p>
    <w:p w14:paraId="6C506317" w14:textId="77777777" w:rsidR="007475F3" w:rsidRPr="007475F3" w:rsidRDefault="007475F3" w:rsidP="007475F3">
      <w:pPr>
        <w:autoSpaceDE w:val="0"/>
        <w:autoSpaceDN w:val="0"/>
        <w:adjustRightInd w:val="0"/>
        <w:ind w:left="851"/>
        <w:rPr>
          <w:bCs/>
          <w:u w:val="single"/>
        </w:rPr>
      </w:pPr>
      <w:r w:rsidRPr="007475F3">
        <w:rPr>
          <w:u w:val="single"/>
        </w:rPr>
        <w:t>Kronisk inflammatorisk tarmsygdom og/eller tarmobstruktion</w:t>
      </w:r>
    </w:p>
    <w:p w14:paraId="62F65CE5" w14:textId="77777777" w:rsidR="007475F3" w:rsidRPr="007475F3" w:rsidRDefault="007475F3" w:rsidP="007475F3">
      <w:pPr>
        <w:autoSpaceDE w:val="0"/>
        <w:autoSpaceDN w:val="0"/>
        <w:adjustRightInd w:val="0"/>
        <w:ind w:left="851"/>
      </w:pPr>
      <w:r w:rsidRPr="007475F3">
        <w:t xml:space="preserve">Patienter må ikke behandles med </w:t>
      </w:r>
      <w:proofErr w:type="spellStart"/>
      <w:r w:rsidRPr="007475F3">
        <w:t>irinotecan</w:t>
      </w:r>
      <w:proofErr w:type="spellEnd"/>
      <w:r w:rsidRPr="007475F3">
        <w:t>, før normal tarmpassage er opnået (se pkt. 4.3).</w:t>
      </w:r>
    </w:p>
    <w:p w14:paraId="20569AA1" w14:textId="77777777" w:rsidR="007475F3" w:rsidRPr="007475F3" w:rsidRDefault="007475F3" w:rsidP="007475F3">
      <w:pPr>
        <w:autoSpaceDE w:val="0"/>
        <w:autoSpaceDN w:val="0"/>
        <w:adjustRightInd w:val="0"/>
        <w:ind w:left="851"/>
      </w:pPr>
    </w:p>
    <w:p w14:paraId="3576D95F" w14:textId="77777777" w:rsidR="007475F3" w:rsidRPr="007475F3" w:rsidRDefault="007475F3" w:rsidP="007475F3">
      <w:pPr>
        <w:autoSpaceDE w:val="0"/>
        <w:autoSpaceDN w:val="0"/>
        <w:adjustRightInd w:val="0"/>
        <w:ind w:left="851"/>
        <w:rPr>
          <w:bCs/>
          <w:u w:val="single"/>
        </w:rPr>
      </w:pPr>
      <w:r w:rsidRPr="007475F3">
        <w:rPr>
          <w:u w:val="single"/>
        </w:rPr>
        <w:t>Nyrefunktion</w:t>
      </w:r>
    </w:p>
    <w:p w14:paraId="2B7DE4E9" w14:textId="77777777" w:rsidR="007475F3" w:rsidRPr="007475F3" w:rsidRDefault="007475F3" w:rsidP="007475F3">
      <w:pPr>
        <w:autoSpaceDE w:val="0"/>
        <w:autoSpaceDN w:val="0"/>
        <w:adjustRightInd w:val="0"/>
        <w:ind w:left="851"/>
      </w:pPr>
      <w:r w:rsidRPr="007475F3">
        <w:t xml:space="preserve">Der er observeret stigninger i </w:t>
      </w:r>
      <w:proofErr w:type="spellStart"/>
      <w:r w:rsidRPr="007475F3">
        <w:t>serumkreatinin</w:t>
      </w:r>
      <w:proofErr w:type="spellEnd"/>
      <w:r w:rsidRPr="007475F3">
        <w:t xml:space="preserve"> eller blodurinkvælstof. Der har været tilfælde af akut nyresvigt. Disse hændelser er generelt blevet tilskrevet infektionskomplikationer eller dehydrering i forbindelse med kvalme, opkastning eller diarré. Der er også rapporteret om sjældne tilfælde af nedsat nyrefunktion på grund af tumorlysesyndrom.</w:t>
      </w:r>
    </w:p>
    <w:p w14:paraId="17C3787E" w14:textId="77777777" w:rsidR="007475F3" w:rsidRPr="007475F3" w:rsidRDefault="007475F3" w:rsidP="007475F3">
      <w:pPr>
        <w:autoSpaceDE w:val="0"/>
        <w:autoSpaceDN w:val="0"/>
        <w:adjustRightInd w:val="0"/>
        <w:ind w:left="851"/>
      </w:pPr>
    </w:p>
    <w:p w14:paraId="40F235F1" w14:textId="77777777" w:rsidR="007475F3" w:rsidRPr="007475F3" w:rsidRDefault="007475F3" w:rsidP="007475F3">
      <w:pPr>
        <w:autoSpaceDE w:val="0"/>
        <w:autoSpaceDN w:val="0"/>
        <w:adjustRightInd w:val="0"/>
        <w:ind w:left="851"/>
        <w:rPr>
          <w:bCs/>
          <w:u w:val="single"/>
        </w:rPr>
      </w:pPr>
      <w:r w:rsidRPr="007475F3">
        <w:rPr>
          <w:u w:val="single"/>
        </w:rPr>
        <w:t>Strålebehandling</w:t>
      </w:r>
    </w:p>
    <w:p w14:paraId="270C32EC" w14:textId="77777777" w:rsidR="007475F3" w:rsidRPr="007475F3" w:rsidRDefault="007475F3" w:rsidP="007475F3">
      <w:pPr>
        <w:autoSpaceDE w:val="0"/>
        <w:autoSpaceDN w:val="0"/>
        <w:adjustRightInd w:val="0"/>
        <w:ind w:left="851"/>
      </w:pPr>
      <w:r w:rsidRPr="007475F3">
        <w:t>Patienter, der tidligere har modtaget bækken-/</w:t>
      </w:r>
      <w:proofErr w:type="spellStart"/>
      <w:r w:rsidRPr="007475F3">
        <w:t>abdominalbestråling</w:t>
      </w:r>
      <w:proofErr w:type="spellEnd"/>
      <w:r w:rsidRPr="007475F3">
        <w:t xml:space="preserve"> har øget risiko for </w:t>
      </w:r>
      <w:proofErr w:type="spellStart"/>
      <w:r w:rsidRPr="007475F3">
        <w:t>myelosuppression</w:t>
      </w:r>
      <w:proofErr w:type="spellEnd"/>
      <w:r w:rsidRPr="007475F3">
        <w:t xml:space="preserve"> efter administration af </w:t>
      </w:r>
      <w:proofErr w:type="spellStart"/>
      <w:r w:rsidRPr="007475F3">
        <w:t>irinotecan</w:t>
      </w:r>
      <w:proofErr w:type="spellEnd"/>
      <w:r w:rsidRPr="007475F3">
        <w:t xml:space="preserve">. Læger bør udvise forsigtighed ved behandling af patienter med omfattende forudgående bestråling (f.eks. &gt;25 % af knoglemarv bestrålet og inden for 6 uger før behandlingsstart med </w:t>
      </w:r>
      <w:proofErr w:type="spellStart"/>
      <w:r w:rsidRPr="007475F3">
        <w:t>irinotecan</w:t>
      </w:r>
      <w:proofErr w:type="spellEnd"/>
      <w:r w:rsidRPr="007475F3">
        <w:t>). Dosisjustering kan være gældende for denne patientgruppe (se pkt. 4.2).</w:t>
      </w:r>
    </w:p>
    <w:p w14:paraId="1A0A4F72" w14:textId="77777777" w:rsidR="007475F3" w:rsidRPr="007475F3" w:rsidRDefault="007475F3" w:rsidP="007475F3">
      <w:pPr>
        <w:autoSpaceDE w:val="0"/>
        <w:autoSpaceDN w:val="0"/>
        <w:adjustRightInd w:val="0"/>
        <w:ind w:left="851"/>
      </w:pPr>
    </w:p>
    <w:p w14:paraId="18967560" w14:textId="77777777" w:rsidR="007475F3" w:rsidRPr="007475F3" w:rsidRDefault="007475F3" w:rsidP="009D565D">
      <w:pPr>
        <w:keepNext/>
        <w:autoSpaceDE w:val="0"/>
        <w:autoSpaceDN w:val="0"/>
        <w:adjustRightInd w:val="0"/>
        <w:ind w:left="851"/>
        <w:rPr>
          <w:bCs/>
          <w:u w:val="single"/>
        </w:rPr>
      </w:pPr>
      <w:r w:rsidRPr="007475F3">
        <w:rPr>
          <w:u w:val="single"/>
        </w:rPr>
        <w:lastRenderedPageBreak/>
        <w:t>Hjertesygdomme</w:t>
      </w:r>
    </w:p>
    <w:p w14:paraId="5F2196C0" w14:textId="77777777" w:rsidR="007475F3" w:rsidRPr="007475F3" w:rsidRDefault="007475F3" w:rsidP="009D565D">
      <w:pPr>
        <w:keepNext/>
        <w:autoSpaceDE w:val="0"/>
        <w:autoSpaceDN w:val="0"/>
        <w:adjustRightInd w:val="0"/>
        <w:ind w:left="851"/>
      </w:pPr>
      <w:r w:rsidRPr="007475F3">
        <w:t xml:space="preserve">Der er observeret hændelser med </w:t>
      </w:r>
      <w:proofErr w:type="spellStart"/>
      <w:r w:rsidRPr="007475F3">
        <w:t>myokardieiskæmi</w:t>
      </w:r>
      <w:proofErr w:type="spellEnd"/>
      <w:r w:rsidRPr="007475F3">
        <w:t xml:space="preserve"> efter </w:t>
      </w:r>
      <w:proofErr w:type="spellStart"/>
      <w:r w:rsidRPr="007475F3">
        <w:t>irinotecanbehandling</w:t>
      </w:r>
      <w:proofErr w:type="spellEnd"/>
      <w:r w:rsidRPr="007475F3">
        <w:t xml:space="preserve"> overvejende hos patienter med underliggende hjertesygdom, andre kendte risikofaktorer for hjertesygdom eller tidligere </w:t>
      </w:r>
      <w:proofErr w:type="spellStart"/>
      <w:r w:rsidRPr="007475F3">
        <w:t>cytotoksisk</w:t>
      </w:r>
      <w:proofErr w:type="spellEnd"/>
      <w:r w:rsidRPr="007475F3">
        <w:t xml:space="preserve"> kemoterapi (se pkt. 4.8).</w:t>
      </w:r>
    </w:p>
    <w:p w14:paraId="26A12A67" w14:textId="77777777" w:rsidR="007475F3" w:rsidRPr="007475F3" w:rsidRDefault="007475F3" w:rsidP="007475F3">
      <w:pPr>
        <w:autoSpaceDE w:val="0"/>
        <w:autoSpaceDN w:val="0"/>
        <w:adjustRightInd w:val="0"/>
        <w:ind w:left="851"/>
      </w:pPr>
    </w:p>
    <w:p w14:paraId="0FE4856A" w14:textId="77777777" w:rsidR="007475F3" w:rsidRPr="007475F3" w:rsidRDefault="007475F3" w:rsidP="007475F3">
      <w:pPr>
        <w:autoSpaceDE w:val="0"/>
        <w:autoSpaceDN w:val="0"/>
        <w:adjustRightInd w:val="0"/>
        <w:ind w:left="851"/>
      </w:pPr>
      <w:r w:rsidRPr="007475F3">
        <w:t xml:space="preserve">Derfor bør patienter med kendte risikofaktorer overvåges nøje, og der bør træffes foranstaltninger for at forsøge at minimere samtlige påvirkelige risikofaktorer (såsom rygning, hypertension og </w:t>
      </w:r>
      <w:proofErr w:type="spellStart"/>
      <w:r w:rsidRPr="007475F3">
        <w:t>hyperlipidæmi</w:t>
      </w:r>
      <w:proofErr w:type="spellEnd"/>
      <w:r w:rsidRPr="007475F3">
        <w:t>).</w:t>
      </w:r>
    </w:p>
    <w:p w14:paraId="4CDEFEBC" w14:textId="77777777" w:rsidR="007475F3" w:rsidRPr="007475F3" w:rsidRDefault="007475F3" w:rsidP="007475F3">
      <w:pPr>
        <w:autoSpaceDE w:val="0"/>
        <w:autoSpaceDN w:val="0"/>
        <w:adjustRightInd w:val="0"/>
        <w:ind w:left="851"/>
      </w:pPr>
    </w:p>
    <w:p w14:paraId="21DF5A39" w14:textId="77777777" w:rsidR="007475F3" w:rsidRPr="007475F3" w:rsidRDefault="007475F3" w:rsidP="007475F3">
      <w:pPr>
        <w:autoSpaceDE w:val="0"/>
        <w:autoSpaceDN w:val="0"/>
        <w:adjustRightInd w:val="0"/>
        <w:ind w:left="851"/>
        <w:rPr>
          <w:bCs/>
          <w:u w:val="single"/>
        </w:rPr>
      </w:pPr>
      <w:proofErr w:type="spellStart"/>
      <w:r w:rsidRPr="007475F3">
        <w:rPr>
          <w:u w:val="single"/>
        </w:rPr>
        <w:t>Vaskulære</w:t>
      </w:r>
      <w:proofErr w:type="spellEnd"/>
      <w:r w:rsidRPr="007475F3">
        <w:rPr>
          <w:u w:val="single"/>
        </w:rPr>
        <w:t xml:space="preserve"> sygdomme</w:t>
      </w:r>
    </w:p>
    <w:p w14:paraId="10951414" w14:textId="77777777" w:rsidR="007475F3" w:rsidRPr="007475F3" w:rsidRDefault="007475F3" w:rsidP="007475F3">
      <w:pPr>
        <w:autoSpaceDE w:val="0"/>
        <w:autoSpaceDN w:val="0"/>
        <w:adjustRightInd w:val="0"/>
        <w:ind w:left="851"/>
      </w:pPr>
      <w:proofErr w:type="spellStart"/>
      <w:r w:rsidRPr="007475F3">
        <w:t>Irinotecan</w:t>
      </w:r>
      <w:proofErr w:type="spellEnd"/>
      <w:r w:rsidRPr="007475F3">
        <w:t xml:space="preserve"> er sjældent forbundet med </w:t>
      </w:r>
      <w:proofErr w:type="spellStart"/>
      <w:r w:rsidRPr="007475F3">
        <w:t>tromboemboliske</w:t>
      </w:r>
      <w:proofErr w:type="spellEnd"/>
      <w:r w:rsidRPr="007475F3">
        <w:t xml:space="preserve"> hændelser (</w:t>
      </w:r>
      <w:proofErr w:type="spellStart"/>
      <w:r w:rsidRPr="007475F3">
        <w:t>lungeemboli</w:t>
      </w:r>
      <w:proofErr w:type="spellEnd"/>
      <w:r w:rsidRPr="007475F3">
        <w:t xml:space="preserve">, venøs trombose og arteriel </w:t>
      </w:r>
      <w:proofErr w:type="spellStart"/>
      <w:r w:rsidRPr="007475F3">
        <w:t>tromboemboli</w:t>
      </w:r>
      <w:proofErr w:type="spellEnd"/>
      <w:r w:rsidRPr="007475F3">
        <w:t xml:space="preserve">) hos patienter med flere risikofaktorer ud over det underliggende </w:t>
      </w:r>
      <w:proofErr w:type="spellStart"/>
      <w:r w:rsidRPr="007475F3">
        <w:t>neoplasma</w:t>
      </w:r>
      <w:proofErr w:type="spellEnd"/>
      <w:r w:rsidRPr="007475F3">
        <w:t>.</w:t>
      </w:r>
    </w:p>
    <w:p w14:paraId="422FEECD" w14:textId="77777777" w:rsidR="007475F3" w:rsidRPr="007475F3" w:rsidRDefault="007475F3" w:rsidP="007475F3">
      <w:pPr>
        <w:autoSpaceDE w:val="0"/>
        <w:autoSpaceDN w:val="0"/>
        <w:adjustRightInd w:val="0"/>
        <w:ind w:left="851"/>
      </w:pPr>
    </w:p>
    <w:p w14:paraId="43E8F667" w14:textId="77777777" w:rsidR="007475F3" w:rsidRPr="007475F3" w:rsidRDefault="007475F3" w:rsidP="007475F3">
      <w:pPr>
        <w:autoSpaceDE w:val="0"/>
        <w:autoSpaceDN w:val="0"/>
        <w:adjustRightInd w:val="0"/>
        <w:ind w:left="851"/>
        <w:rPr>
          <w:u w:val="single"/>
        </w:rPr>
      </w:pPr>
      <w:r w:rsidRPr="007475F3">
        <w:rPr>
          <w:u w:val="single"/>
        </w:rPr>
        <w:t>Andre</w:t>
      </w:r>
    </w:p>
    <w:p w14:paraId="41BF7727" w14:textId="77777777" w:rsidR="009D565D" w:rsidRDefault="009D565D" w:rsidP="009D565D">
      <w:pPr>
        <w:autoSpaceDE w:val="0"/>
        <w:autoSpaceDN w:val="0"/>
        <w:adjustRightInd w:val="0"/>
        <w:ind w:left="851"/>
        <w:rPr>
          <w:sz w:val="22"/>
        </w:rPr>
      </w:pPr>
      <w:r>
        <w:t xml:space="preserve">Samtidig administration af </w:t>
      </w:r>
      <w:proofErr w:type="spellStart"/>
      <w:r>
        <w:t>irinotecan</w:t>
      </w:r>
      <w:proofErr w:type="spellEnd"/>
      <w:r>
        <w:t xml:space="preserve"> med en stærk hæmmer (f.eks. </w:t>
      </w:r>
      <w:proofErr w:type="spellStart"/>
      <w:r>
        <w:t>ketoconazol</w:t>
      </w:r>
      <w:proofErr w:type="spellEnd"/>
      <w:r>
        <w:t xml:space="preserve">) eller inducer (f.eks. </w:t>
      </w:r>
      <w:proofErr w:type="spellStart"/>
      <w:r>
        <w:t>rifampicin</w:t>
      </w:r>
      <w:proofErr w:type="spellEnd"/>
      <w:r>
        <w:t xml:space="preserve">, </w:t>
      </w:r>
      <w:proofErr w:type="spellStart"/>
      <w:r>
        <w:t>carbamazepin</w:t>
      </w:r>
      <w:proofErr w:type="spellEnd"/>
      <w:r>
        <w:t xml:space="preserve">, </w:t>
      </w:r>
      <w:proofErr w:type="spellStart"/>
      <w:r>
        <w:t>phenobarbital</w:t>
      </w:r>
      <w:proofErr w:type="spellEnd"/>
      <w:r>
        <w:t xml:space="preserve">, </w:t>
      </w:r>
      <w:proofErr w:type="spellStart"/>
      <w:r>
        <w:t>phenytoin</w:t>
      </w:r>
      <w:proofErr w:type="spellEnd"/>
      <w:r>
        <w:t xml:space="preserve">, </w:t>
      </w:r>
      <w:proofErr w:type="spellStart"/>
      <w:r>
        <w:t>apalutamid</w:t>
      </w:r>
      <w:proofErr w:type="spellEnd"/>
      <w:r>
        <w:t xml:space="preserve">) af CYP3A4 kan ændre </w:t>
      </w:r>
      <w:proofErr w:type="spellStart"/>
      <w:r>
        <w:t>metaboliseringen</w:t>
      </w:r>
      <w:proofErr w:type="spellEnd"/>
      <w:r>
        <w:t xml:space="preserve"> af </w:t>
      </w:r>
      <w:proofErr w:type="spellStart"/>
      <w:r>
        <w:t>irinotecan</w:t>
      </w:r>
      <w:proofErr w:type="spellEnd"/>
      <w:r>
        <w:t xml:space="preserve"> og bør undgås (se pkt. 4.5).</w:t>
      </w:r>
    </w:p>
    <w:p w14:paraId="694AE031" w14:textId="77777777" w:rsidR="009D565D" w:rsidRDefault="009D565D" w:rsidP="009D565D">
      <w:pPr>
        <w:autoSpaceDE w:val="0"/>
        <w:autoSpaceDN w:val="0"/>
        <w:adjustRightInd w:val="0"/>
      </w:pPr>
    </w:p>
    <w:p w14:paraId="7887AD83" w14:textId="77777777" w:rsidR="009D565D" w:rsidRDefault="009D565D" w:rsidP="009D565D">
      <w:pPr>
        <w:autoSpaceDE w:val="0"/>
        <w:autoSpaceDN w:val="0"/>
        <w:adjustRightInd w:val="0"/>
        <w:ind w:left="851"/>
        <w:rPr>
          <w:lang w:val="nl-NL"/>
        </w:rPr>
      </w:pPr>
      <w:r>
        <w:t xml:space="preserve">Sjældne tilfælde af nyreinsufficiens, hypotension eller kredsløbssvigt er observeret hos patienter, der har været dehydreret i forbindelse med diarré og/eller opkastning eller sepsis. </w:t>
      </w:r>
    </w:p>
    <w:p w14:paraId="08186225" w14:textId="77777777" w:rsidR="009D565D" w:rsidRDefault="009D565D" w:rsidP="009D565D">
      <w:pPr>
        <w:autoSpaceDE w:val="0"/>
        <w:autoSpaceDN w:val="0"/>
        <w:adjustRightInd w:val="0"/>
      </w:pPr>
    </w:p>
    <w:p w14:paraId="2A79DA1E" w14:textId="77777777" w:rsidR="009D565D" w:rsidRDefault="009D565D" w:rsidP="009D565D">
      <w:pPr>
        <w:autoSpaceDE w:val="0"/>
        <w:autoSpaceDN w:val="0"/>
        <w:adjustRightInd w:val="0"/>
        <w:ind w:firstLine="851"/>
        <w:rPr>
          <w:rFonts w:ascii="Calibri" w:hAnsi="Calibri"/>
          <w:u w:val="single"/>
        </w:rPr>
      </w:pPr>
      <w:r>
        <w:rPr>
          <w:u w:val="single"/>
        </w:rPr>
        <w:t>Prævention hos kvinder i den fødedygtige alder/mænd</w:t>
      </w:r>
    </w:p>
    <w:p w14:paraId="1FB17EFA" w14:textId="77777777" w:rsidR="009D565D" w:rsidRDefault="009D565D" w:rsidP="009D565D">
      <w:pPr>
        <w:autoSpaceDE w:val="0"/>
        <w:autoSpaceDN w:val="0"/>
        <w:adjustRightInd w:val="0"/>
        <w:ind w:left="851"/>
      </w:pPr>
      <w:r>
        <w:t xml:space="preserve">På grund af potentialet for genotoksicitet, skal fertile kvindelige patienter rådgives om at benytte højeffektiv prævention under behandlingen og i 6 måneder efter den sidste dosis </w:t>
      </w:r>
      <w:proofErr w:type="spellStart"/>
      <w:r>
        <w:t>irinotecan</w:t>
      </w:r>
      <w:proofErr w:type="spellEnd"/>
      <w:r>
        <w:t>.</w:t>
      </w:r>
    </w:p>
    <w:p w14:paraId="7760FAA2" w14:textId="77777777" w:rsidR="009D565D" w:rsidRDefault="009D565D" w:rsidP="009D565D">
      <w:pPr>
        <w:autoSpaceDE w:val="0"/>
        <w:autoSpaceDN w:val="0"/>
        <w:adjustRightInd w:val="0"/>
        <w:rPr>
          <w:lang w:val="nl-NL"/>
        </w:rPr>
      </w:pPr>
    </w:p>
    <w:p w14:paraId="5E7C136F" w14:textId="77777777" w:rsidR="009D565D" w:rsidRDefault="009D565D" w:rsidP="009D565D">
      <w:pPr>
        <w:autoSpaceDE w:val="0"/>
        <w:autoSpaceDN w:val="0"/>
        <w:adjustRightInd w:val="0"/>
        <w:ind w:left="851"/>
      </w:pPr>
      <w:r>
        <w:t xml:space="preserve">På grund af potentialet for genotoksicitet, skal mandlige patienter med fertile kvindelige partnere rådgives om at benytte effektiv prævention under behandlingen og i 3 måneder efter den sidste dosis </w:t>
      </w:r>
      <w:proofErr w:type="spellStart"/>
      <w:r>
        <w:t>irinotecan</w:t>
      </w:r>
      <w:proofErr w:type="spellEnd"/>
      <w:r>
        <w:t xml:space="preserve"> (se pkt. 4.6).</w:t>
      </w:r>
    </w:p>
    <w:p w14:paraId="59026975" w14:textId="77777777" w:rsidR="009D565D" w:rsidRDefault="009D565D" w:rsidP="009D565D">
      <w:pPr>
        <w:autoSpaceDE w:val="0"/>
        <w:autoSpaceDN w:val="0"/>
        <w:adjustRightInd w:val="0"/>
      </w:pPr>
    </w:p>
    <w:p w14:paraId="4C948911" w14:textId="77777777" w:rsidR="009D565D" w:rsidRDefault="009D565D" w:rsidP="009D565D">
      <w:pPr>
        <w:autoSpaceDE w:val="0"/>
        <w:autoSpaceDN w:val="0"/>
        <w:adjustRightInd w:val="0"/>
        <w:ind w:firstLine="851"/>
        <w:rPr>
          <w:rFonts w:ascii="Calibri" w:hAnsi="Calibri"/>
          <w:u w:val="single"/>
        </w:rPr>
      </w:pPr>
      <w:r>
        <w:rPr>
          <w:u w:val="single"/>
        </w:rPr>
        <w:t>Amning</w:t>
      </w:r>
    </w:p>
    <w:p w14:paraId="795B29AA" w14:textId="77777777" w:rsidR="009D565D" w:rsidRDefault="009D565D" w:rsidP="009D565D">
      <w:pPr>
        <w:autoSpaceDE w:val="0"/>
        <w:autoSpaceDN w:val="0"/>
        <w:adjustRightInd w:val="0"/>
        <w:ind w:left="851"/>
      </w:pPr>
      <w:r>
        <w:t xml:space="preserve">På grund af risikoen for bivirkninger hos ammende spædbørn, skal amning seponeres under behandlingen med </w:t>
      </w:r>
      <w:proofErr w:type="spellStart"/>
      <w:r>
        <w:t>irinotecan</w:t>
      </w:r>
      <w:proofErr w:type="spellEnd"/>
      <w:r>
        <w:t xml:space="preserve"> (se pkt. 4.3 og 4.6).</w:t>
      </w:r>
    </w:p>
    <w:p w14:paraId="395A4C74" w14:textId="77777777" w:rsidR="009D565D" w:rsidRDefault="009D565D" w:rsidP="009D565D">
      <w:pPr>
        <w:autoSpaceDE w:val="0"/>
        <w:autoSpaceDN w:val="0"/>
        <w:adjustRightInd w:val="0"/>
        <w:rPr>
          <w:u w:val="single"/>
          <w:lang w:val="nl-NL"/>
        </w:rPr>
      </w:pPr>
    </w:p>
    <w:p w14:paraId="5833D4FB" w14:textId="77777777" w:rsidR="009D565D" w:rsidRDefault="009D565D" w:rsidP="009D565D">
      <w:pPr>
        <w:autoSpaceDE w:val="0"/>
        <w:autoSpaceDN w:val="0"/>
        <w:adjustRightInd w:val="0"/>
        <w:ind w:firstLine="851"/>
        <w:rPr>
          <w:u w:val="single"/>
        </w:rPr>
      </w:pPr>
      <w:r>
        <w:rPr>
          <w:u w:val="single"/>
        </w:rPr>
        <w:t>Sorbitol</w:t>
      </w:r>
    </w:p>
    <w:p w14:paraId="577E8F07" w14:textId="77777777" w:rsidR="009D565D" w:rsidRDefault="009D565D" w:rsidP="009D565D">
      <w:pPr>
        <w:autoSpaceDE w:val="0"/>
        <w:autoSpaceDN w:val="0"/>
        <w:adjustRightInd w:val="0"/>
        <w:ind w:left="851"/>
      </w:pPr>
      <w:r>
        <w:t xml:space="preserve">Dette lægemiddel indeholder sorbitol (se pkt. 2). Sorbitol er en kilde til fruktose. Patienter med arvelig </w:t>
      </w:r>
      <w:proofErr w:type="spellStart"/>
      <w:r>
        <w:t>fruktoseintolerans</w:t>
      </w:r>
      <w:proofErr w:type="spellEnd"/>
      <w:r>
        <w:t xml:space="preserve"> (HFI) må ikke få dette lægemiddel, medmindre det er strengt nødvendigt. </w:t>
      </w:r>
    </w:p>
    <w:p w14:paraId="2D41E453" w14:textId="77777777" w:rsidR="009D565D" w:rsidRDefault="009D565D" w:rsidP="009D565D">
      <w:pPr>
        <w:autoSpaceDE w:val="0"/>
        <w:autoSpaceDN w:val="0"/>
        <w:adjustRightInd w:val="0"/>
      </w:pPr>
    </w:p>
    <w:p w14:paraId="53E10364" w14:textId="77777777" w:rsidR="009D565D" w:rsidRDefault="009D565D" w:rsidP="009D565D">
      <w:pPr>
        <w:autoSpaceDE w:val="0"/>
        <w:autoSpaceDN w:val="0"/>
        <w:adjustRightInd w:val="0"/>
        <w:ind w:left="851"/>
      </w:pPr>
      <w:r>
        <w:t>Lægemidler (indeholdende sorbitol/fruktose) givet intravenøst kan være livstruende og være kontraindicerede for denne population, og bør ikke administreres, medmindre der er et overvældende klinisk behov, og der ikke findes andet alternativ.</w:t>
      </w:r>
    </w:p>
    <w:p w14:paraId="7A4BF8DA" w14:textId="77777777" w:rsidR="009D565D" w:rsidRDefault="009D565D" w:rsidP="009D565D">
      <w:pPr>
        <w:autoSpaceDE w:val="0"/>
        <w:autoSpaceDN w:val="0"/>
        <w:adjustRightInd w:val="0"/>
      </w:pPr>
    </w:p>
    <w:p w14:paraId="4F96C81E" w14:textId="77777777" w:rsidR="009D565D" w:rsidRDefault="009D565D" w:rsidP="009D565D">
      <w:pPr>
        <w:autoSpaceDE w:val="0"/>
        <w:autoSpaceDN w:val="0"/>
        <w:adjustRightInd w:val="0"/>
        <w:ind w:left="851"/>
        <w:rPr>
          <w:lang w:val="nl-NL"/>
        </w:rPr>
      </w:pPr>
      <w:r>
        <w:t>Der skal skrives en detaljeret anamnese med hensyn til HFI-symptomer for hver patient, inden de får dette lægemiddel.</w:t>
      </w:r>
    </w:p>
    <w:p w14:paraId="668809BA" w14:textId="77777777" w:rsidR="009D565D" w:rsidRDefault="009D565D" w:rsidP="009D565D">
      <w:pPr>
        <w:autoSpaceDE w:val="0"/>
        <w:autoSpaceDN w:val="0"/>
        <w:adjustRightInd w:val="0"/>
        <w:rPr>
          <w:u w:val="single"/>
        </w:rPr>
      </w:pPr>
    </w:p>
    <w:p w14:paraId="0BEA14D1" w14:textId="77777777" w:rsidR="009D565D" w:rsidRDefault="009D565D" w:rsidP="009D565D">
      <w:pPr>
        <w:autoSpaceDE w:val="0"/>
        <w:autoSpaceDN w:val="0"/>
        <w:adjustRightInd w:val="0"/>
        <w:ind w:firstLine="851"/>
        <w:rPr>
          <w:u w:val="single"/>
        </w:rPr>
      </w:pPr>
      <w:r>
        <w:rPr>
          <w:u w:val="single"/>
        </w:rPr>
        <w:t>Natrium</w:t>
      </w:r>
    </w:p>
    <w:p w14:paraId="2E2D4D26" w14:textId="77777777" w:rsidR="009D565D" w:rsidRDefault="009D565D" w:rsidP="009D565D">
      <w:pPr>
        <w:autoSpaceDE w:val="0"/>
        <w:autoSpaceDN w:val="0"/>
        <w:adjustRightInd w:val="0"/>
        <w:ind w:left="851"/>
      </w:pPr>
      <w:r>
        <w:t>Dette lægemiddel indeholder mindre end 1 mmol natrium (23 mg) pr. dosis, det vil sige, at det i det væsentlige er "natriumfrit".</w:t>
      </w:r>
    </w:p>
    <w:p w14:paraId="375C5828" w14:textId="77777777" w:rsidR="009260DE" w:rsidRPr="007475F3" w:rsidRDefault="009260DE" w:rsidP="009260DE">
      <w:pPr>
        <w:tabs>
          <w:tab w:val="left" w:pos="851"/>
        </w:tabs>
        <w:ind w:left="851"/>
        <w:rPr>
          <w:sz w:val="24"/>
          <w:szCs w:val="24"/>
        </w:rPr>
      </w:pPr>
    </w:p>
    <w:p w14:paraId="6CAED085" w14:textId="77777777" w:rsidR="009260DE" w:rsidRPr="007475F3" w:rsidRDefault="009260DE" w:rsidP="009D565D">
      <w:pPr>
        <w:keepNext/>
        <w:tabs>
          <w:tab w:val="left" w:pos="851"/>
        </w:tabs>
        <w:ind w:left="851" w:hanging="851"/>
        <w:rPr>
          <w:b/>
          <w:sz w:val="24"/>
          <w:szCs w:val="24"/>
        </w:rPr>
      </w:pPr>
      <w:r w:rsidRPr="007475F3">
        <w:rPr>
          <w:b/>
          <w:sz w:val="24"/>
          <w:szCs w:val="24"/>
        </w:rPr>
        <w:lastRenderedPageBreak/>
        <w:t>4.5</w:t>
      </w:r>
      <w:r w:rsidRPr="007475F3">
        <w:rPr>
          <w:b/>
          <w:sz w:val="24"/>
          <w:szCs w:val="24"/>
        </w:rPr>
        <w:tab/>
        <w:t>Interaktion med andre lægemidler og andre former for interaktion</w:t>
      </w:r>
    </w:p>
    <w:p w14:paraId="61256D41" w14:textId="77777777" w:rsidR="00792FF9" w:rsidRPr="007475F3" w:rsidRDefault="00792FF9" w:rsidP="009D565D">
      <w:pPr>
        <w:keepNext/>
        <w:autoSpaceDE w:val="0"/>
        <w:autoSpaceDN w:val="0"/>
        <w:adjustRightInd w:val="0"/>
        <w:rPr>
          <w:bCs/>
          <w:sz w:val="24"/>
          <w:szCs w:val="24"/>
        </w:rPr>
      </w:pPr>
    </w:p>
    <w:p w14:paraId="4BE4DB45" w14:textId="77777777" w:rsidR="007475F3" w:rsidRPr="007475F3" w:rsidRDefault="007475F3" w:rsidP="009D565D">
      <w:pPr>
        <w:keepNext/>
        <w:autoSpaceDE w:val="0"/>
        <w:autoSpaceDN w:val="0"/>
        <w:adjustRightInd w:val="0"/>
        <w:ind w:left="851"/>
        <w:rPr>
          <w:iCs/>
          <w:sz w:val="22"/>
          <w:u w:val="single"/>
        </w:rPr>
      </w:pPr>
      <w:r w:rsidRPr="007475F3">
        <w:rPr>
          <w:u w:val="single"/>
        </w:rPr>
        <w:t>Samtidig brug kontraindiceret (se pkt. 4.3)</w:t>
      </w:r>
    </w:p>
    <w:p w14:paraId="25BCC561" w14:textId="77777777" w:rsidR="007475F3" w:rsidRPr="007475F3" w:rsidRDefault="007475F3" w:rsidP="007475F3">
      <w:pPr>
        <w:numPr>
          <w:ilvl w:val="0"/>
          <w:numId w:val="26"/>
        </w:numPr>
        <w:tabs>
          <w:tab w:val="left" w:pos="567"/>
        </w:tabs>
        <w:autoSpaceDE w:val="0"/>
        <w:autoSpaceDN w:val="0"/>
        <w:adjustRightInd w:val="0"/>
        <w:ind w:left="1418" w:hanging="567"/>
      </w:pPr>
      <w:r w:rsidRPr="007475F3">
        <w:t xml:space="preserve">St. John's </w:t>
      </w:r>
      <w:proofErr w:type="spellStart"/>
      <w:r w:rsidRPr="007475F3">
        <w:t>Wort</w:t>
      </w:r>
      <w:proofErr w:type="spellEnd"/>
      <w:r w:rsidRPr="007475F3">
        <w:t xml:space="preserve"> (perikon): </w:t>
      </w:r>
    </w:p>
    <w:p w14:paraId="55ECCF83" w14:textId="77777777" w:rsidR="007475F3" w:rsidRPr="007475F3" w:rsidRDefault="007475F3" w:rsidP="007475F3">
      <w:pPr>
        <w:tabs>
          <w:tab w:val="left" w:pos="567"/>
        </w:tabs>
        <w:autoSpaceDE w:val="0"/>
        <w:autoSpaceDN w:val="0"/>
        <w:adjustRightInd w:val="0"/>
        <w:ind w:left="1418" w:hanging="567"/>
        <w:rPr>
          <w:bCs/>
        </w:rPr>
      </w:pPr>
      <w:r w:rsidRPr="007475F3">
        <w:rPr>
          <w:b/>
          <w:bCs/>
        </w:rPr>
        <w:tab/>
      </w:r>
      <w:r w:rsidRPr="007475F3">
        <w:rPr>
          <w:bCs/>
        </w:rPr>
        <w:t xml:space="preserve">fald i </w:t>
      </w:r>
      <w:proofErr w:type="spellStart"/>
      <w:r w:rsidRPr="007475F3">
        <w:rPr>
          <w:bCs/>
        </w:rPr>
        <w:t>irinotecans</w:t>
      </w:r>
      <w:proofErr w:type="spellEnd"/>
      <w:r w:rsidRPr="007475F3">
        <w:rPr>
          <w:bCs/>
        </w:rPr>
        <w:t xml:space="preserve"> aktive metabolit, SN-38, plasmaniveauer. I en lille </w:t>
      </w:r>
      <w:proofErr w:type="spellStart"/>
      <w:r w:rsidRPr="007475F3">
        <w:rPr>
          <w:bCs/>
        </w:rPr>
        <w:t>farmakokinetisk</w:t>
      </w:r>
      <w:proofErr w:type="spellEnd"/>
      <w:r w:rsidRPr="007475F3">
        <w:rPr>
          <w:bCs/>
        </w:rPr>
        <w:t xml:space="preserve"> undersøgelse (n=5), hvor </w:t>
      </w:r>
      <w:proofErr w:type="spellStart"/>
      <w:r w:rsidRPr="007475F3">
        <w:rPr>
          <w:bCs/>
        </w:rPr>
        <w:t>irinotecan</w:t>
      </w:r>
      <w:proofErr w:type="spellEnd"/>
      <w:r w:rsidRPr="007475F3">
        <w:rPr>
          <w:bCs/>
        </w:rPr>
        <w:t xml:space="preserve"> 350 mg/m2 blev givet sammen med 900 mg St. John's </w:t>
      </w:r>
      <w:proofErr w:type="spellStart"/>
      <w:r w:rsidRPr="007475F3">
        <w:rPr>
          <w:bCs/>
        </w:rPr>
        <w:t>Wort</w:t>
      </w:r>
      <w:proofErr w:type="spellEnd"/>
      <w:r w:rsidRPr="007475F3">
        <w:rPr>
          <w:bCs/>
        </w:rPr>
        <w:t xml:space="preserve"> (perikon) (</w:t>
      </w:r>
      <w:proofErr w:type="spellStart"/>
      <w:r w:rsidRPr="007475F3">
        <w:rPr>
          <w:bCs/>
        </w:rPr>
        <w:t>Hypericum</w:t>
      </w:r>
      <w:proofErr w:type="spellEnd"/>
      <w:r w:rsidRPr="007475F3">
        <w:rPr>
          <w:bCs/>
        </w:rPr>
        <w:t xml:space="preserve"> </w:t>
      </w:r>
      <w:proofErr w:type="spellStart"/>
      <w:r w:rsidRPr="007475F3">
        <w:rPr>
          <w:bCs/>
        </w:rPr>
        <w:t>perforatum</w:t>
      </w:r>
      <w:proofErr w:type="spellEnd"/>
      <w:r w:rsidRPr="007475F3">
        <w:rPr>
          <w:bCs/>
        </w:rPr>
        <w:t xml:space="preserve">), blev der observeret et fald på 42 % i plasmakoncentrationerne for </w:t>
      </w:r>
      <w:proofErr w:type="spellStart"/>
      <w:r w:rsidRPr="007475F3">
        <w:rPr>
          <w:bCs/>
        </w:rPr>
        <w:t>irinotecans</w:t>
      </w:r>
      <w:proofErr w:type="spellEnd"/>
      <w:r w:rsidRPr="007475F3">
        <w:rPr>
          <w:bCs/>
        </w:rPr>
        <w:t xml:space="preserve"> aktive metabolit, SN-38. St. John's </w:t>
      </w:r>
      <w:proofErr w:type="spellStart"/>
      <w:r w:rsidRPr="007475F3">
        <w:rPr>
          <w:bCs/>
        </w:rPr>
        <w:t>Wort</w:t>
      </w:r>
      <w:proofErr w:type="spellEnd"/>
      <w:r w:rsidRPr="007475F3">
        <w:rPr>
          <w:bCs/>
        </w:rPr>
        <w:t xml:space="preserve"> (perikon) bør således ikke administreres sammen med </w:t>
      </w:r>
      <w:proofErr w:type="spellStart"/>
      <w:r w:rsidRPr="007475F3">
        <w:rPr>
          <w:bCs/>
        </w:rPr>
        <w:t>irinotecan</w:t>
      </w:r>
      <w:proofErr w:type="spellEnd"/>
      <w:r w:rsidRPr="007475F3">
        <w:rPr>
          <w:bCs/>
        </w:rPr>
        <w:t>.</w:t>
      </w:r>
    </w:p>
    <w:p w14:paraId="78E1B40C" w14:textId="77777777" w:rsidR="007475F3" w:rsidRPr="007475F3" w:rsidRDefault="007475F3" w:rsidP="007475F3">
      <w:pPr>
        <w:numPr>
          <w:ilvl w:val="0"/>
          <w:numId w:val="26"/>
        </w:numPr>
        <w:tabs>
          <w:tab w:val="left" w:pos="567"/>
        </w:tabs>
        <w:autoSpaceDE w:val="0"/>
        <w:autoSpaceDN w:val="0"/>
        <w:adjustRightInd w:val="0"/>
        <w:ind w:left="1418" w:hanging="567"/>
      </w:pPr>
      <w:r w:rsidRPr="007475F3">
        <w:t xml:space="preserve">Levende, svækkede vacciner (f.eks. vaccine mod gul feber): </w:t>
      </w:r>
    </w:p>
    <w:p w14:paraId="05C519F0" w14:textId="77777777" w:rsidR="007475F3" w:rsidRPr="007475F3" w:rsidRDefault="007475F3" w:rsidP="007475F3">
      <w:pPr>
        <w:tabs>
          <w:tab w:val="left" w:pos="567"/>
        </w:tabs>
        <w:autoSpaceDE w:val="0"/>
        <w:autoSpaceDN w:val="0"/>
        <w:adjustRightInd w:val="0"/>
        <w:ind w:left="1418" w:hanging="567"/>
        <w:rPr>
          <w:bCs/>
        </w:rPr>
      </w:pPr>
      <w:r w:rsidRPr="007475F3">
        <w:rPr>
          <w:b/>
          <w:bCs/>
        </w:rPr>
        <w:tab/>
      </w:r>
      <w:r w:rsidRPr="007475F3">
        <w:rPr>
          <w:bCs/>
        </w:rPr>
        <w:t xml:space="preserve">risiko for generaliseret reaktion på vacciner, muligvis med dødelig udgang. Samtidig brug er kontraindiceret under behandling med </w:t>
      </w:r>
      <w:proofErr w:type="spellStart"/>
      <w:r w:rsidRPr="007475F3">
        <w:rPr>
          <w:bCs/>
        </w:rPr>
        <w:t>irinotecan</w:t>
      </w:r>
      <w:proofErr w:type="spellEnd"/>
      <w:r w:rsidRPr="007475F3">
        <w:rPr>
          <w:bCs/>
        </w:rPr>
        <w:t xml:space="preserve"> og i 6 måneder efter ophør af kemoterapi. Dræbte eller inaktiverede vacciner kan administreres; dog kan reaktionen på sådanne vacciner være formindsket.</w:t>
      </w:r>
    </w:p>
    <w:p w14:paraId="7580BD1D" w14:textId="77777777" w:rsidR="007475F3" w:rsidRPr="007475F3" w:rsidRDefault="007475F3" w:rsidP="007475F3">
      <w:pPr>
        <w:tabs>
          <w:tab w:val="left" w:pos="567"/>
        </w:tabs>
        <w:autoSpaceDE w:val="0"/>
        <w:autoSpaceDN w:val="0"/>
        <w:adjustRightInd w:val="0"/>
        <w:ind w:left="851"/>
      </w:pPr>
    </w:p>
    <w:p w14:paraId="66E3F2D3" w14:textId="77777777" w:rsidR="007475F3" w:rsidRPr="007475F3" w:rsidRDefault="007475F3" w:rsidP="007475F3">
      <w:pPr>
        <w:tabs>
          <w:tab w:val="left" w:pos="567"/>
        </w:tabs>
        <w:autoSpaceDE w:val="0"/>
        <w:autoSpaceDN w:val="0"/>
        <w:adjustRightInd w:val="0"/>
        <w:ind w:left="851"/>
        <w:rPr>
          <w:u w:val="single"/>
        </w:rPr>
      </w:pPr>
      <w:r w:rsidRPr="007475F3">
        <w:rPr>
          <w:u w:val="single"/>
        </w:rPr>
        <w:t>Samtidig brug frarådes (se pkt. 4.4)</w:t>
      </w:r>
    </w:p>
    <w:p w14:paraId="51E77B11" w14:textId="77777777" w:rsidR="007475F3" w:rsidRPr="007475F3" w:rsidRDefault="007475F3" w:rsidP="007475F3">
      <w:pPr>
        <w:tabs>
          <w:tab w:val="left" w:pos="567"/>
        </w:tabs>
        <w:autoSpaceDE w:val="0"/>
        <w:autoSpaceDN w:val="0"/>
        <w:adjustRightInd w:val="0"/>
        <w:ind w:left="851"/>
        <w:rPr>
          <w:bCs/>
        </w:rPr>
      </w:pPr>
      <w:r w:rsidRPr="007475F3">
        <w:t xml:space="preserve">Samtidig administration af </w:t>
      </w:r>
      <w:proofErr w:type="spellStart"/>
      <w:r w:rsidRPr="007475F3">
        <w:t>irinotecan</w:t>
      </w:r>
      <w:proofErr w:type="spellEnd"/>
      <w:r w:rsidRPr="007475F3">
        <w:t xml:space="preserve"> med stærke </w:t>
      </w:r>
      <w:proofErr w:type="spellStart"/>
      <w:r w:rsidRPr="007475F3">
        <w:t>hæmmere</w:t>
      </w:r>
      <w:proofErr w:type="spellEnd"/>
      <w:r w:rsidRPr="007475F3">
        <w:t xml:space="preserve"> eller inducere af </w:t>
      </w:r>
      <w:proofErr w:type="spellStart"/>
      <w:r w:rsidRPr="007475F3">
        <w:t>cytochrom</w:t>
      </w:r>
      <w:proofErr w:type="spellEnd"/>
      <w:r w:rsidRPr="007475F3">
        <w:t xml:space="preserve"> P450 3A4 (CYP3A4) kan ændre metabolismen af </w:t>
      </w:r>
      <w:proofErr w:type="spellStart"/>
      <w:r w:rsidRPr="007475F3">
        <w:t>irinotecan</w:t>
      </w:r>
      <w:proofErr w:type="spellEnd"/>
      <w:r w:rsidRPr="007475F3">
        <w:t xml:space="preserve"> og bør derfor undgås (se pkt. 4.4):</w:t>
      </w:r>
    </w:p>
    <w:p w14:paraId="38692307" w14:textId="77777777" w:rsidR="007475F3" w:rsidRPr="007475F3" w:rsidRDefault="007475F3" w:rsidP="007475F3">
      <w:pPr>
        <w:tabs>
          <w:tab w:val="left" w:pos="567"/>
        </w:tabs>
        <w:autoSpaceDE w:val="0"/>
        <w:autoSpaceDN w:val="0"/>
        <w:adjustRightInd w:val="0"/>
        <w:ind w:left="1418" w:hanging="567"/>
        <w:rPr>
          <w:bCs/>
        </w:rPr>
      </w:pPr>
      <w:r w:rsidRPr="007475F3">
        <w:rPr>
          <w:bCs/>
        </w:rPr>
        <w:t>-</w:t>
      </w:r>
      <w:r w:rsidRPr="007475F3">
        <w:rPr>
          <w:bCs/>
        </w:rPr>
        <w:tab/>
        <w:t xml:space="preserve">Stærke CYP3A4- og/eller UGT1A1-inducerende lægemidler: (f.eks. </w:t>
      </w:r>
      <w:proofErr w:type="spellStart"/>
      <w:r w:rsidRPr="007475F3">
        <w:rPr>
          <w:bCs/>
        </w:rPr>
        <w:t>rifampicin</w:t>
      </w:r>
      <w:proofErr w:type="spellEnd"/>
      <w:r w:rsidRPr="007475F3">
        <w:rPr>
          <w:bCs/>
        </w:rPr>
        <w:t xml:space="preserve">, </w:t>
      </w:r>
      <w:proofErr w:type="spellStart"/>
      <w:r w:rsidRPr="007475F3">
        <w:rPr>
          <w:bCs/>
        </w:rPr>
        <w:t>carbamazepin</w:t>
      </w:r>
      <w:proofErr w:type="spellEnd"/>
      <w:r w:rsidRPr="007475F3">
        <w:rPr>
          <w:bCs/>
        </w:rPr>
        <w:t xml:space="preserve">, </w:t>
      </w:r>
      <w:proofErr w:type="spellStart"/>
      <w:r w:rsidRPr="007475F3">
        <w:rPr>
          <w:bCs/>
        </w:rPr>
        <w:t>phenobarbital</w:t>
      </w:r>
      <w:proofErr w:type="spellEnd"/>
      <w:r w:rsidRPr="007475F3">
        <w:rPr>
          <w:bCs/>
        </w:rPr>
        <w:t xml:space="preserve">, </w:t>
      </w:r>
      <w:proofErr w:type="spellStart"/>
      <w:r w:rsidRPr="007475F3">
        <w:rPr>
          <w:bCs/>
        </w:rPr>
        <w:t>phenytoin</w:t>
      </w:r>
      <w:proofErr w:type="spellEnd"/>
      <w:r w:rsidRPr="007475F3">
        <w:rPr>
          <w:bCs/>
        </w:rPr>
        <w:t xml:space="preserve">, eller </w:t>
      </w:r>
      <w:proofErr w:type="spellStart"/>
      <w:r w:rsidRPr="007475F3">
        <w:rPr>
          <w:bCs/>
        </w:rPr>
        <w:t>apalutamid</w:t>
      </w:r>
      <w:proofErr w:type="spellEnd"/>
      <w:r w:rsidRPr="007475F3">
        <w:rPr>
          <w:bCs/>
        </w:rPr>
        <w:t xml:space="preserve">): </w:t>
      </w:r>
    </w:p>
    <w:p w14:paraId="347193F1" w14:textId="77777777" w:rsidR="007475F3" w:rsidRPr="007475F3" w:rsidRDefault="007475F3" w:rsidP="007475F3">
      <w:pPr>
        <w:tabs>
          <w:tab w:val="left" w:pos="567"/>
        </w:tabs>
        <w:autoSpaceDE w:val="0"/>
        <w:autoSpaceDN w:val="0"/>
        <w:adjustRightInd w:val="0"/>
        <w:ind w:left="1418" w:hanging="567"/>
        <w:rPr>
          <w:bCs/>
        </w:rPr>
      </w:pPr>
      <w:r w:rsidRPr="007475F3">
        <w:rPr>
          <w:bCs/>
        </w:rPr>
        <w:tab/>
        <w:t xml:space="preserve">risiko for reduceret eksposition for </w:t>
      </w:r>
      <w:proofErr w:type="spellStart"/>
      <w:r w:rsidRPr="007475F3">
        <w:rPr>
          <w:bCs/>
        </w:rPr>
        <w:t>irinotecan</w:t>
      </w:r>
      <w:proofErr w:type="spellEnd"/>
      <w:r w:rsidRPr="007475F3">
        <w:rPr>
          <w:bCs/>
        </w:rPr>
        <w:t xml:space="preserve">, SN-38 og SN-38 </w:t>
      </w:r>
      <w:proofErr w:type="spellStart"/>
      <w:r w:rsidRPr="007475F3">
        <w:rPr>
          <w:bCs/>
        </w:rPr>
        <w:t>glucuronid</w:t>
      </w:r>
      <w:proofErr w:type="spellEnd"/>
      <w:r w:rsidRPr="007475F3">
        <w:rPr>
          <w:bCs/>
        </w:rPr>
        <w:t xml:space="preserve"> og reduceret </w:t>
      </w:r>
      <w:proofErr w:type="spellStart"/>
      <w:r w:rsidRPr="007475F3">
        <w:rPr>
          <w:bCs/>
        </w:rPr>
        <w:t>farmakodynamisk</w:t>
      </w:r>
      <w:proofErr w:type="spellEnd"/>
      <w:r w:rsidRPr="007475F3">
        <w:rPr>
          <w:bCs/>
        </w:rPr>
        <w:t xml:space="preserve"> virkning. Adskillige undersøgelser har vist, at samtidig administration af CYP3A4-inducerende </w:t>
      </w:r>
      <w:proofErr w:type="spellStart"/>
      <w:r w:rsidRPr="007475F3">
        <w:rPr>
          <w:bCs/>
        </w:rPr>
        <w:t>antikonvulsive</w:t>
      </w:r>
      <w:proofErr w:type="spellEnd"/>
      <w:r w:rsidRPr="007475F3">
        <w:rPr>
          <w:bCs/>
        </w:rPr>
        <w:t xml:space="preserve"> lægemidler medfører reduceret eksposition for </w:t>
      </w:r>
      <w:proofErr w:type="spellStart"/>
      <w:r w:rsidRPr="007475F3">
        <w:rPr>
          <w:bCs/>
        </w:rPr>
        <w:t>irinotecan</w:t>
      </w:r>
      <w:proofErr w:type="spellEnd"/>
      <w:r w:rsidRPr="007475F3">
        <w:rPr>
          <w:bCs/>
        </w:rPr>
        <w:t xml:space="preserve">, SN-38 og SN-38 </w:t>
      </w:r>
      <w:proofErr w:type="spellStart"/>
      <w:r w:rsidRPr="007475F3">
        <w:rPr>
          <w:bCs/>
        </w:rPr>
        <w:t>glucuronid</w:t>
      </w:r>
      <w:proofErr w:type="spellEnd"/>
      <w:r w:rsidRPr="007475F3">
        <w:rPr>
          <w:bCs/>
        </w:rPr>
        <w:t xml:space="preserve"> og reduceret </w:t>
      </w:r>
      <w:proofErr w:type="spellStart"/>
      <w:r w:rsidRPr="007475F3">
        <w:rPr>
          <w:bCs/>
        </w:rPr>
        <w:t>farmakodynamisk</w:t>
      </w:r>
      <w:proofErr w:type="spellEnd"/>
      <w:r w:rsidRPr="007475F3">
        <w:rPr>
          <w:bCs/>
        </w:rPr>
        <w:t xml:space="preserve"> virkning. Virkningen af sådanne </w:t>
      </w:r>
      <w:proofErr w:type="spellStart"/>
      <w:r w:rsidRPr="007475F3">
        <w:rPr>
          <w:bCs/>
        </w:rPr>
        <w:t>antikonvulsive</w:t>
      </w:r>
      <w:proofErr w:type="spellEnd"/>
      <w:r w:rsidRPr="007475F3">
        <w:rPr>
          <w:bCs/>
        </w:rPr>
        <w:t xml:space="preserve"> lægemidler blev påvist ved et fald i AUC for SN-38 og SN-38G med 50 % eller mere. I tillæg til induktion af </w:t>
      </w:r>
      <w:proofErr w:type="spellStart"/>
      <w:r w:rsidRPr="007475F3">
        <w:rPr>
          <w:bCs/>
        </w:rPr>
        <w:t>cytokrom</w:t>
      </w:r>
      <w:proofErr w:type="spellEnd"/>
      <w:r w:rsidRPr="007475F3">
        <w:rPr>
          <w:bCs/>
        </w:rPr>
        <w:t xml:space="preserve"> CYP3A4-enzymer kan forøget </w:t>
      </w:r>
      <w:proofErr w:type="spellStart"/>
      <w:r w:rsidRPr="007475F3">
        <w:rPr>
          <w:bCs/>
        </w:rPr>
        <w:t>glucuronidation</w:t>
      </w:r>
      <w:proofErr w:type="spellEnd"/>
      <w:r w:rsidRPr="007475F3">
        <w:rPr>
          <w:bCs/>
        </w:rPr>
        <w:t xml:space="preserve"> og forøget </w:t>
      </w:r>
      <w:proofErr w:type="spellStart"/>
      <w:r w:rsidRPr="007475F3">
        <w:rPr>
          <w:bCs/>
        </w:rPr>
        <w:t>galdeekskretion</w:t>
      </w:r>
      <w:proofErr w:type="spellEnd"/>
      <w:r w:rsidRPr="007475F3">
        <w:rPr>
          <w:bCs/>
        </w:rPr>
        <w:t xml:space="preserve"> spille en rolle for reduktion af eksposition for </w:t>
      </w:r>
      <w:proofErr w:type="spellStart"/>
      <w:r w:rsidRPr="007475F3">
        <w:rPr>
          <w:bCs/>
        </w:rPr>
        <w:t>irinotecan</w:t>
      </w:r>
      <w:proofErr w:type="spellEnd"/>
      <w:r w:rsidRPr="007475F3">
        <w:rPr>
          <w:bCs/>
        </w:rPr>
        <w:t xml:space="preserve"> og dets metabolitter. -Derudover med </w:t>
      </w:r>
      <w:proofErr w:type="spellStart"/>
      <w:r w:rsidRPr="007475F3">
        <w:rPr>
          <w:bCs/>
        </w:rPr>
        <w:t>phenytoin</w:t>
      </w:r>
      <w:proofErr w:type="spellEnd"/>
      <w:r w:rsidRPr="007475F3">
        <w:rPr>
          <w:bCs/>
        </w:rPr>
        <w:t xml:space="preserve">: risiko for en forværring af de kramper, der opstår på grund af </w:t>
      </w:r>
      <w:proofErr w:type="spellStart"/>
      <w:r w:rsidRPr="007475F3">
        <w:rPr>
          <w:bCs/>
        </w:rPr>
        <w:t>cytotoksiske</w:t>
      </w:r>
      <w:proofErr w:type="spellEnd"/>
      <w:r w:rsidRPr="007475F3">
        <w:rPr>
          <w:bCs/>
        </w:rPr>
        <w:t xml:space="preserve"> lægemidlers nedsættelse af absorptionen af </w:t>
      </w:r>
      <w:proofErr w:type="spellStart"/>
      <w:r w:rsidRPr="007475F3">
        <w:rPr>
          <w:bCs/>
        </w:rPr>
        <w:t>phenytoin</w:t>
      </w:r>
      <w:proofErr w:type="spellEnd"/>
      <w:r w:rsidRPr="007475F3">
        <w:rPr>
          <w:bCs/>
        </w:rPr>
        <w:t xml:space="preserve"> ved fordøjelse.</w:t>
      </w:r>
    </w:p>
    <w:p w14:paraId="04455A93" w14:textId="77777777" w:rsidR="007475F3" w:rsidRPr="007475F3" w:rsidRDefault="007475F3" w:rsidP="007475F3">
      <w:pPr>
        <w:tabs>
          <w:tab w:val="left" w:pos="567"/>
        </w:tabs>
        <w:autoSpaceDE w:val="0"/>
        <w:autoSpaceDN w:val="0"/>
        <w:adjustRightInd w:val="0"/>
        <w:ind w:left="1418" w:hanging="567"/>
        <w:rPr>
          <w:bCs/>
        </w:rPr>
      </w:pPr>
      <w:r w:rsidRPr="007475F3">
        <w:rPr>
          <w:bCs/>
        </w:rPr>
        <w:t>-</w:t>
      </w:r>
      <w:r w:rsidRPr="007475F3">
        <w:rPr>
          <w:bCs/>
        </w:rPr>
        <w:tab/>
        <w:t xml:space="preserve">Stærke CYP3A4-hæmmere: (f.eks. </w:t>
      </w:r>
      <w:proofErr w:type="spellStart"/>
      <w:r w:rsidRPr="007475F3">
        <w:rPr>
          <w:bCs/>
        </w:rPr>
        <w:t>ketoconazol</w:t>
      </w:r>
      <w:proofErr w:type="spellEnd"/>
      <w:r w:rsidRPr="007475F3">
        <w:rPr>
          <w:bCs/>
        </w:rPr>
        <w:t xml:space="preserve">, </w:t>
      </w:r>
      <w:proofErr w:type="spellStart"/>
      <w:r w:rsidRPr="007475F3">
        <w:rPr>
          <w:bCs/>
        </w:rPr>
        <w:t>itraconazol</w:t>
      </w:r>
      <w:proofErr w:type="spellEnd"/>
      <w:r w:rsidRPr="007475F3">
        <w:rPr>
          <w:bCs/>
        </w:rPr>
        <w:t xml:space="preserve">, </w:t>
      </w:r>
      <w:proofErr w:type="spellStart"/>
      <w:r w:rsidRPr="007475F3">
        <w:rPr>
          <w:bCs/>
        </w:rPr>
        <w:t>voriconazol</w:t>
      </w:r>
      <w:proofErr w:type="spellEnd"/>
      <w:r w:rsidRPr="007475F3">
        <w:rPr>
          <w:bCs/>
        </w:rPr>
        <w:t xml:space="preserve">, </w:t>
      </w:r>
      <w:proofErr w:type="spellStart"/>
      <w:r w:rsidRPr="007475F3">
        <w:rPr>
          <w:bCs/>
        </w:rPr>
        <w:t>posaconazol</w:t>
      </w:r>
      <w:proofErr w:type="spellEnd"/>
      <w:r w:rsidRPr="007475F3">
        <w:rPr>
          <w:bCs/>
        </w:rPr>
        <w:t xml:space="preserve">, </w:t>
      </w:r>
      <w:proofErr w:type="spellStart"/>
      <w:r w:rsidRPr="007475F3">
        <w:rPr>
          <w:bCs/>
        </w:rPr>
        <w:t>protease-hæmmere</w:t>
      </w:r>
      <w:proofErr w:type="spellEnd"/>
      <w:r w:rsidRPr="007475F3">
        <w:rPr>
          <w:bCs/>
        </w:rPr>
        <w:t xml:space="preserve">, </w:t>
      </w:r>
      <w:proofErr w:type="spellStart"/>
      <w:r w:rsidRPr="007475F3">
        <w:rPr>
          <w:bCs/>
        </w:rPr>
        <w:t>clarithromycin</w:t>
      </w:r>
      <w:proofErr w:type="spellEnd"/>
      <w:r w:rsidRPr="007475F3">
        <w:rPr>
          <w:bCs/>
        </w:rPr>
        <w:t xml:space="preserve">, </w:t>
      </w:r>
      <w:proofErr w:type="spellStart"/>
      <w:r w:rsidRPr="007475F3">
        <w:rPr>
          <w:bCs/>
        </w:rPr>
        <w:t>erythromycin</w:t>
      </w:r>
      <w:proofErr w:type="spellEnd"/>
      <w:r w:rsidRPr="007475F3">
        <w:rPr>
          <w:bCs/>
        </w:rPr>
        <w:t xml:space="preserve">, </w:t>
      </w:r>
      <w:proofErr w:type="spellStart"/>
      <w:r w:rsidRPr="007475F3">
        <w:rPr>
          <w:bCs/>
        </w:rPr>
        <w:t>telithromycin</w:t>
      </w:r>
      <w:proofErr w:type="spellEnd"/>
      <w:r w:rsidRPr="007475F3">
        <w:rPr>
          <w:bCs/>
        </w:rPr>
        <w:t>):</w:t>
      </w:r>
    </w:p>
    <w:p w14:paraId="73B05A98" w14:textId="77777777" w:rsidR="007475F3" w:rsidRPr="007475F3" w:rsidRDefault="007475F3" w:rsidP="007475F3">
      <w:pPr>
        <w:tabs>
          <w:tab w:val="left" w:pos="567"/>
        </w:tabs>
        <w:autoSpaceDE w:val="0"/>
        <w:autoSpaceDN w:val="0"/>
        <w:adjustRightInd w:val="0"/>
        <w:ind w:left="1418" w:hanging="567"/>
        <w:rPr>
          <w:bCs/>
        </w:rPr>
      </w:pPr>
      <w:r w:rsidRPr="007475F3">
        <w:rPr>
          <w:bCs/>
        </w:rPr>
        <w:tab/>
        <w:t xml:space="preserve">en undersøgelse har vist, at samtidig administration af </w:t>
      </w:r>
      <w:proofErr w:type="spellStart"/>
      <w:r w:rsidRPr="007475F3">
        <w:rPr>
          <w:bCs/>
        </w:rPr>
        <w:t>ketoconazol</w:t>
      </w:r>
      <w:proofErr w:type="spellEnd"/>
      <w:r w:rsidRPr="007475F3">
        <w:rPr>
          <w:bCs/>
        </w:rPr>
        <w:t xml:space="preserve"> resulterede i et fald i AUC for APC på 87 % og en øgning af AUC for SN-38 på 109 % sammenlignet med </w:t>
      </w:r>
      <w:proofErr w:type="spellStart"/>
      <w:r w:rsidRPr="007475F3">
        <w:rPr>
          <w:bCs/>
        </w:rPr>
        <w:t>irinotecan</w:t>
      </w:r>
      <w:proofErr w:type="spellEnd"/>
      <w:r w:rsidRPr="007475F3">
        <w:rPr>
          <w:bCs/>
        </w:rPr>
        <w:t xml:space="preserve"> som enkeltstof.</w:t>
      </w:r>
    </w:p>
    <w:p w14:paraId="4F9064F7" w14:textId="77777777" w:rsidR="007475F3" w:rsidRPr="007475F3" w:rsidRDefault="007475F3" w:rsidP="007475F3">
      <w:pPr>
        <w:tabs>
          <w:tab w:val="left" w:pos="567"/>
        </w:tabs>
        <w:autoSpaceDE w:val="0"/>
        <w:autoSpaceDN w:val="0"/>
        <w:adjustRightInd w:val="0"/>
        <w:ind w:left="1418" w:hanging="567"/>
        <w:rPr>
          <w:bCs/>
        </w:rPr>
      </w:pPr>
      <w:r w:rsidRPr="007475F3">
        <w:rPr>
          <w:bCs/>
        </w:rPr>
        <w:t>-</w:t>
      </w:r>
      <w:r w:rsidRPr="007475F3">
        <w:rPr>
          <w:bCs/>
        </w:rPr>
        <w:tab/>
        <w:t xml:space="preserve">UGT1A1-hæmmere: (f.eks. </w:t>
      </w:r>
      <w:proofErr w:type="spellStart"/>
      <w:r w:rsidRPr="007475F3">
        <w:rPr>
          <w:bCs/>
        </w:rPr>
        <w:t>atazanavir</w:t>
      </w:r>
      <w:proofErr w:type="spellEnd"/>
      <w:r w:rsidRPr="007475F3">
        <w:rPr>
          <w:bCs/>
        </w:rPr>
        <w:t xml:space="preserve">, </w:t>
      </w:r>
      <w:proofErr w:type="spellStart"/>
      <w:r w:rsidRPr="007475F3">
        <w:rPr>
          <w:bCs/>
        </w:rPr>
        <w:t>ketoconazol</w:t>
      </w:r>
      <w:proofErr w:type="spellEnd"/>
      <w:r w:rsidRPr="007475F3">
        <w:rPr>
          <w:bCs/>
        </w:rPr>
        <w:t xml:space="preserve">, </w:t>
      </w:r>
      <w:proofErr w:type="spellStart"/>
      <w:r w:rsidRPr="007475F3">
        <w:rPr>
          <w:bCs/>
        </w:rPr>
        <w:t>regorafenib</w:t>
      </w:r>
      <w:proofErr w:type="spellEnd"/>
      <w:r w:rsidRPr="007475F3">
        <w:rPr>
          <w:bCs/>
        </w:rPr>
        <w:t>):</w:t>
      </w:r>
    </w:p>
    <w:p w14:paraId="717E395C" w14:textId="77777777" w:rsidR="007475F3" w:rsidRPr="007475F3" w:rsidRDefault="007475F3" w:rsidP="007475F3">
      <w:pPr>
        <w:tabs>
          <w:tab w:val="left" w:pos="567"/>
        </w:tabs>
        <w:autoSpaceDE w:val="0"/>
        <w:autoSpaceDN w:val="0"/>
        <w:adjustRightInd w:val="0"/>
        <w:ind w:left="1418" w:hanging="567"/>
        <w:rPr>
          <w:bCs/>
        </w:rPr>
      </w:pPr>
      <w:r w:rsidRPr="007475F3">
        <w:rPr>
          <w:bCs/>
        </w:rPr>
        <w:tab/>
        <w:t xml:space="preserve">risiko for at øge systemisk eksponering for SN-38, </w:t>
      </w:r>
      <w:proofErr w:type="spellStart"/>
      <w:r w:rsidRPr="007475F3">
        <w:rPr>
          <w:bCs/>
        </w:rPr>
        <w:t>irinotecans</w:t>
      </w:r>
      <w:proofErr w:type="spellEnd"/>
      <w:r w:rsidRPr="007475F3">
        <w:rPr>
          <w:bCs/>
        </w:rPr>
        <w:t xml:space="preserve"> aktive metabolit. Læger skal tage højde for dette, hvis kombinationen er uundgåelig.</w:t>
      </w:r>
    </w:p>
    <w:p w14:paraId="126B7244" w14:textId="77777777" w:rsidR="007475F3" w:rsidRPr="007475F3" w:rsidRDefault="007475F3" w:rsidP="007475F3">
      <w:pPr>
        <w:tabs>
          <w:tab w:val="left" w:pos="567"/>
        </w:tabs>
        <w:autoSpaceDE w:val="0"/>
        <w:autoSpaceDN w:val="0"/>
        <w:adjustRightInd w:val="0"/>
        <w:ind w:left="1418" w:hanging="567"/>
        <w:rPr>
          <w:bCs/>
        </w:rPr>
      </w:pPr>
      <w:r w:rsidRPr="007475F3">
        <w:rPr>
          <w:bCs/>
        </w:rPr>
        <w:t>-</w:t>
      </w:r>
      <w:r w:rsidRPr="007475F3">
        <w:rPr>
          <w:bCs/>
        </w:rPr>
        <w:tab/>
        <w:t xml:space="preserve">Andre CYP3A4-hæmmere: (f.eks. </w:t>
      </w:r>
      <w:proofErr w:type="spellStart"/>
      <w:r w:rsidRPr="007475F3">
        <w:rPr>
          <w:bCs/>
        </w:rPr>
        <w:t>crizotinib</w:t>
      </w:r>
      <w:proofErr w:type="spellEnd"/>
      <w:r w:rsidRPr="007475F3">
        <w:rPr>
          <w:bCs/>
        </w:rPr>
        <w:t xml:space="preserve">, </w:t>
      </w:r>
      <w:proofErr w:type="spellStart"/>
      <w:r w:rsidRPr="007475F3">
        <w:rPr>
          <w:bCs/>
        </w:rPr>
        <w:t>idelalisib</w:t>
      </w:r>
      <w:proofErr w:type="spellEnd"/>
      <w:r w:rsidRPr="007475F3">
        <w:rPr>
          <w:bCs/>
        </w:rPr>
        <w:t>):</w:t>
      </w:r>
    </w:p>
    <w:p w14:paraId="3F0B4749" w14:textId="77777777" w:rsidR="007475F3" w:rsidRPr="007475F3" w:rsidRDefault="007475F3" w:rsidP="007475F3">
      <w:pPr>
        <w:tabs>
          <w:tab w:val="left" w:pos="567"/>
        </w:tabs>
        <w:autoSpaceDE w:val="0"/>
        <w:autoSpaceDN w:val="0"/>
        <w:adjustRightInd w:val="0"/>
        <w:ind w:left="1418" w:hanging="567"/>
        <w:rPr>
          <w:bCs/>
        </w:rPr>
      </w:pPr>
      <w:r w:rsidRPr="007475F3">
        <w:rPr>
          <w:bCs/>
        </w:rPr>
        <w:tab/>
        <w:t xml:space="preserve">risiko for øget </w:t>
      </w:r>
      <w:proofErr w:type="spellStart"/>
      <w:r w:rsidRPr="007475F3">
        <w:rPr>
          <w:bCs/>
        </w:rPr>
        <w:t>irinotecan</w:t>
      </w:r>
      <w:proofErr w:type="spellEnd"/>
      <w:r w:rsidRPr="007475F3">
        <w:rPr>
          <w:bCs/>
        </w:rPr>
        <w:t xml:space="preserve">-toksicitet pga. et fald i metabolismen af </w:t>
      </w:r>
      <w:proofErr w:type="spellStart"/>
      <w:r w:rsidRPr="007475F3">
        <w:rPr>
          <w:bCs/>
        </w:rPr>
        <w:t>irinotecan</w:t>
      </w:r>
      <w:proofErr w:type="spellEnd"/>
      <w:r w:rsidRPr="007475F3">
        <w:rPr>
          <w:bCs/>
        </w:rPr>
        <w:t xml:space="preserve"> med </w:t>
      </w:r>
      <w:proofErr w:type="spellStart"/>
      <w:r w:rsidRPr="007475F3">
        <w:rPr>
          <w:bCs/>
        </w:rPr>
        <w:t>crizotinib</w:t>
      </w:r>
      <w:proofErr w:type="spellEnd"/>
      <w:r w:rsidRPr="007475F3">
        <w:rPr>
          <w:bCs/>
        </w:rPr>
        <w:t xml:space="preserve"> eller </w:t>
      </w:r>
      <w:proofErr w:type="spellStart"/>
      <w:r w:rsidRPr="007475F3">
        <w:rPr>
          <w:bCs/>
        </w:rPr>
        <w:t>idelalisib</w:t>
      </w:r>
      <w:proofErr w:type="spellEnd"/>
      <w:r w:rsidRPr="007475F3">
        <w:rPr>
          <w:bCs/>
        </w:rPr>
        <w:t>.</w:t>
      </w:r>
    </w:p>
    <w:p w14:paraId="2EBA9848" w14:textId="77777777" w:rsidR="007475F3" w:rsidRPr="007475F3" w:rsidRDefault="007475F3" w:rsidP="007475F3">
      <w:pPr>
        <w:autoSpaceDE w:val="0"/>
        <w:autoSpaceDN w:val="0"/>
        <w:adjustRightInd w:val="0"/>
        <w:ind w:left="851"/>
        <w:rPr>
          <w:b/>
          <w:bCs/>
        </w:rPr>
      </w:pPr>
    </w:p>
    <w:p w14:paraId="4770D70D" w14:textId="77777777" w:rsidR="007475F3" w:rsidRPr="007475F3" w:rsidRDefault="007475F3" w:rsidP="007475F3">
      <w:pPr>
        <w:autoSpaceDE w:val="0"/>
        <w:autoSpaceDN w:val="0"/>
        <w:adjustRightInd w:val="0"/>
        <w:ind w:left="851"/>
        <w:rPr>
          <w:bCs/>
          <w:u w:val="single"/>
        </w:rPr>
      </w:pPr>
      <w:r w:rsidRPr="007475F3">
        <w:rPr>
          <w:u w:val="single"/>
        </w:rPr>
        <w:t>Forsigtighed ved brug</w:t>
      </w:r>
    </w:p>
    <w:p w14:paraId="4EF6DFD8" w14:textId="77777777" w:rsidR="007475F3" w:rsidRPr="007475F3" w:rsidRDefault="007475F3" w:rsidP="007475F3">
      <w:pPr>
        <w:tabs>
          <w:tab w:val="left" w:pos="567"/>
        </w:tabs>
        <w:autoSpaceDE w:val="0"/>
        <w:autoSpaceDN w:val="0"/>
        <w:adjustRightInd w:val="0"/>
        <w:ind w:left="851"/>
        <w:rPr>
          <w:bCs/>
        </w:rPr>
      </w:pPr>
      <w:r w:rsidRPr="007475F3">
        <w:t>-</w:t>
      </w:r>
      <w:r w:rsidRPr="007475F3">
        <w:tab/>
        <w:t>Vitamin K antagonister:</w:t>
      </w:r>
    </w:p>
    <w:p w14:paraId="6FF63E4D" w14:textId="77777777" w:rsidR="007475F3" w:rsidRPr="007475F3" w:rsidRDefault="007475F3" w:rsidP="007475F3">
      <w:pPr>
        <w:autoSpaceDE w:val="0"/>
        <w:autoSpaceDN w:val="0"/>
        <w:adjustRightInd w:val="0"/>
        <w:ind w:left="1418"/>
        <w:rPr>
          <w:bCs/>
        </w:rPr>
      </w:pPr>
      <w:r w:rsidRPr="007475F3">
        <w:t xml:space="preserve">øget risiko for blødning og </w:t>
      </w:r>
      <w:proofErr w:type="spellStart"/>
      <w:r w:rsidRPr="007475F3">
        <w:t>trombotiske</w:t>
      </w:r>
      <w:proofErr w:type="spellEnd"/>
      <w:r w:rsidRPr="007475F3">
        <w:t xml:space="preserve"> hændelser ved tumorale sygdomme. En øget monitoreringshyppighed af INR (International </w:t>
      </w:r>
      <w:proofErr w:type="spellStart"/>
      <w:r w:rsidRPr="007475F3">
        <w:t>Normalised</w:t>
      </w:r>
      <w:proofErr w:type="spellEnd"/>
      <w:r w:rsidRPr="007475F3">
        <w:t xml:space="preserve"> Ratio) er påkrævet, hvis vitamin K antagonister er indiceret.</w:t>
      </w:r>
    </w:p>
    <w:p w14:paraId="54C11232" w14:textId="77777777" w:rsidR="007475F3" w:rsidRPr="007475F3" w:rsidRDefault="007475F3" w:rsidP="007475F3">
      <w:pPr>
        <w:autoSpaceDE w:val="0"/>
        <w:autoSpaceDN w:val="0"/>
        <w:adjustRightInd w:val="0"/>
        <w:ind w:left="851"/>
        <w:rPr>
          <w:b/>
          <w:bCs/>
        </w:rPr>
      </w:pPr>
    </w:p>
    <w:p w14:paraId="0DE3FCAE" w14:textId="77777777" w:rsidR="007475F3" w:rsidRPr="007475F3" w:rsidRDefault="007475F3" w:rsidP="007475F3">
      <w:pPr>
        <w:autoSpaceDE w:val="0"/>
        <w:autoSpaceDN w:val="0"/>
        <w:adjustRightInd w:val="0"/>
        <w:ind w:left="851"/>
        <w:rPr>
          <w:bCs/>
          <w:u w:val="single"/>
        </w:rPr>
      </w:pPr>
      <w:r w:rsidRPr="007475F3">
        <w:rPr>
          <w:u w:val="single"/>
        </w:rPr>
        <w:t>Samtidig anvendelse, som bør overvejes</w:t>
      </w:r>
    </w:p>
    <w:p w14:paraId="7E6163FE" w14:textId="77777777" w:rsidR="007475F3" w:rsidRPr="007475F3" w:rsidRDefault="007475F3" w:rsidP="007475F3">
      <w:pPr>
        <w:tabs>
          <w:tab w:val="left" w:pos="567"/>
        </w:tabs>
        <w:autoSpaceDE w:val="0"/>
        <w:autoSpaceDN w:val="0"/>
        <w:adjustRightInd w:val="0"/>
        <w:ind w:left="851"/>
        <w:rPr>
          <w:bCs/>
        </w:rPr>
      </w:pPr>
      <w:r w:rsidRPr="007475F3">
        <w:t>-</w:t>
      </w:r>
      <w:r w:rsidRPr="007475F3">
        <w:tab/>
        <w:t xml:space="preserve">Immunsupprimerende lægemidler (f.eks. </w:t>
      </w:r>
      <w:proofErr w:type="spellStart"/>
      <w:r w:rsidRPr="007475F3">
        <w:t>ciclosporin</w:t>
      </w:r>
      <w:proofErr w:type="spellEnd"/>
      <w:r w:rsidRPr="007475F3">
        <w:t xml:space="preserve">, </w:t>
      </w:r>
      <w:proofErr w:type="spellStart"/>
      <w:r w:rsidRPr="007475F3">
        <w:t>tacrolimus</w:t>
      </w:r>
      <w:proofErr w:type="spellEnd"/>
      <w:r w:rsidRPr="007475F3">
        <w:t xml:space="preserve">): </w:t>
      </w:r>
    </w:p>
    <w:p w14:paraId="7945FDBB" w14:textId="77777777" w:rsidR="007475F3" w:rsidRPr="007475F3" w:rsidRDefault="007475F3" w:rsidP="007475F3">
      <w:pPr>
        <w:autoSpaceDE w:val="0"/>
        <w:autoSpaceDN w:val="0"/>
        <w:adjustRightInd w:val="0"/>
        <w:ind w:left="1844" w:hanging="426"/>
        <w:rPr>
          <w:bCs/>
        </w:rPr>
      </w:pPr>
      <w:r w:rsidRPr="007475F3">
        <w:t xml:space="preserve">kraftig immunsuppression med risiko for </w:t>
      </w:r>
      <w:proofErr w:type="spellStart"/>
      <w:r w:rsidRPr="007475F3">
        <w:t>lymfoproliferativ</w:t>
      </w:r>
      <w:proofErr w:type="spellEnd"/>
      <w:r w:rsidRPr="007475F3">
        <w:t xml:space="preserve"> sygdom.</w:t>
      </w:r>
    </w:p>
    <w:p w14:paraId="0D23F5E2" w14:textId="77777777" w:rsidR="007475F3" w:rsidRPr="007475F3" w:rsidRDefault="007475F3" w:rsidP="007475F3">
      <w:pPr>
        <w:tabs>
          <w:tab w:val="left" w:pos="567"/>
        </w:tabs>
        <w:autoSpaceDE w:val="0"/>
        <w:autoSpaceDN w:val="0"/>
        <w:adjustRightInd w:val="0"/>
        <w:ind w:left="851"/>
      </w:pPr>
      <w:r w:rsidRPr="007475F3">
        <w:t>-</w:t>
      </w:r>
      <w:r w:rsidRPr="007475F3">
        <w:tab/>
      </w:r>
      <w:proofErr w:type="spellStart"/>
      <w:r w:rsidRPr="007475F3">
        <w:t>Neuromuskulært</w:t>
      </w:r>
      <w:proofErr w:type="spellEnd"/>
      <w:r w:rsidRPr="007475F3">
        <w:t xml:space="preserve"> blokerende lægemidler:</w:t>
      </w:r>
    </w:p>
    <w:p w14:paraId="379C97D3" w14:textId="77777777" w:rsidR="007475F3" w:rsidRPr="007475F3" w:rsidRDefault="007475F3" w:rsidP="007475F3">
      <w:pPr>
        <w:tabs>
          <w:tab w:val="left" w:pos="567"/>
        </w:tabs>
        <w:autoSpaceDE w:val="0"/>
        <w:autoSpaceDN w:val="0"/>
        <w:adjustRightInd w:val="0"/>
        <w:ind w:left="1418" w:hanging="567"/>
        <w:rPr>
          <w:bCs/>
        </w:rPr>
      </w:pPr>
      <w:r w:rsidRPr="007475F3">
        <w:rPr>
          <w:bCs/>
        </w:rPr>
        <w:lastRenderedPageBreak/>
        <w:tab/>
        <w:t xml:space="preserve">det kan ikke udelukkes, at der er interaktion mellem </w:t>
      </w:r>
      <w:proofErr w:type="spellStart"/>
      <w:r w:rsidRPr="007475F3">
        <w:rPr>
          <w:bCs/>
        </w:rPr>
        <w:t>irinotecan</w:t>
      </w:r>
      <w:proofErr w:type="spellEnd"/>
      <w:r w:rsidRPr="007475F3">
        <w:rPr>
          <w:bCs/>
        </w:rPr>
        <w:t xml:space="preserve"> og </w:t>
      </w:r>
      <w:proofErr w:type="spellStart"/>
      <w:r w:rsidRPr="007475F3">
        <w:rPr>
          <w:bCs/>
        </w:rPr>
        <w:t>neuromuskulært</w:t>
      </w:r>
      <w:proofErr w:type="spellEnd"/>
      <w:r w:rsidRPr="007475F3">
        <w:rPr>
          <w:bCs/>
        </w:rPr>
        <w:t xml:space="preserve"> blokerende stoffer. Idet </w:t>
      </w:r>
      <w:proofErr w:type="spellStart"/>
      <w:r w:rsidRPr="007475F3">
        <w:rPr>
          <w:bCs/>
        </w:rPr>
        <w:t>irinotecan</w:t>
      </w:r>
      <w:proofErr w:type="spellEnd"/>
      <w:r w:rsidRPr="007475F3">
        <w:rPr>
          <w:bCs/>
        </w:rPr>
        <w:t xml:space="preserve"> har </w:t>
      </w:r>
      <w:proofErr w:type="spellStart"/>
      <w:r w:rsidRPr="007475F3">
        <w:rPr>
          <w:bCs/>
        </w:rPr>
        <w:t>anticholinesteraseaktivitet</w:t>
      </w:r>
      <w:proofErr w:type="spellEnd"/>
      <w:r w:rsidRPr="007475F3">
        <w:rPr>
          <w:bCs/>
        </w:rPr>
        <w:t xml:space="preserve">, kan lægemidler med </w:t>
      </w:r>
      <w:proofErr w:type="spellStart"/>
      <w:r w:rsidRPr="007475F3">
        <w:rPr>
          <w:bCs/>
        </w:rPr>
        <w:t>anticholinesteraseaktivitet</w:t>
      </w:r>
      <w:proofErr w:type="spellEnd"/>
      <w:r w:rsidRPr="007475F3">
        <w:rPr>
          <w:bCs/>
        </w:rPr>
        <w:t xml:space="preserve"> forlænge den </w:t>
      </w:r>
      <w:proofErr w:type="spellStart"/>
      <w:r w:rsidRPr="007475F3">
        <w:rPr>
          <w:bCs/>
        </w:rPr>
        <w:t>neuromuskulært</w:t>
      </w:r>
      <w:proofErr w:type="spellEnd"/>
      <w:r w:rsidRPr="007475F3">
        <w:rPr>
          <w:bCs/>
        </w:rPr>
        <w:t xml:space="preserve"> blokerende virkning af </w:t>
      </w:r>
      <w:proofErr w:type="spellStart"/>
      <w:r w:rsidRPr="007475F3">
        <w:rPr>
          <w:bCs/>
        </w:rPr>
        <w:t>suxamethonium</w:t>
      </w:r>
      <w:proofErr w:type="spellEnd"/>
      <w:r w:rsidRPr="007475F3">
        <w:rPr>
          <w:bCs/>
        </w:rPr>
        <w:t xml:space="preserve">, og den </w:t>
      </w:r>
      <w:proofErr w:type="spellStart"/>
      <w:r w:rsidRPr="007475F3">
        <w:rPr>
          <w:bCs/>
        </w:rPr>
        <w:t>neuromuskulære</w:t>
      </w:r>
      <w:proofErr w:type="spellEnd"/>
      <w:r w:rsidRPr="007475F3">
        <w:rPr>
          <w:bCs/>
        </w:rPr>
        <w:t xml:space="preserve"> blokade af non-</w:t>
      </w:r>
      <w:proofErr w:type="spellStart"/>
      <w:r w:rsidRPr="007475F3">
        <w:rPr>
          <w:bCs/>
        </w:rPr>
        <w:t>depolariserende</w:t>
      </w:r>
      <w:proofErr w:type="spellEnd"/>
      <w:r w:rsidRPr="007475F3">
        <w:rPr>
          <w:bCs/>
        </w:rPr>
        <w:t xml:space="preserve"> stoffer kan modvirkes.</w:t>
      </w:r>
    </w:p>
    <w:p w14:paraId="0D794063" w14:textId="77777777" w:rsidR="007475F3" w:rsidRPr="007475F3" w:rsidRDefault="007475F3" w:rsidP="007475F3">
      <w:pPr>
        <w:autoSpaceDE w:val="0"/>
        <w:autoSpaceDN w:val="0"/>
        <w:adjustRightInd w:val="0"/>
        <w:ind w:left="851"/>
        <w:rPr>
          <w:b/>
          <w:bCs/>
        </w:rPr>
      </w:pPr>
    </w:p>
    <w:p w14:paraId="7FA7DB6B" w14:textId="77777777" w:rsidR="007475F3" w:rsidRPr="007475F3" w:rsidRDefault="007475F3" w:rsidP="007475F3">
      <w:pPr>
        <w:autoSpaceDE w:val="0"/>
        <w:autoSpaceDN w:val="0"/>
        <w:adjustRightInd w:val="0"/>
        <w:ind w:left="851"/>
        <w:rPr>
          <w:bCs/>
          <w:u w:val="single"/>
        </w:rPr>
      </w:pPr>
      <w:r w:rsidRPr="007475F3">
        <w:rPr>
          <w:u w:val="single"/>
        </w:rPr>
        <w:t>Andre kombinationer</w:t>
      </w:r>
    </w:p>
    <w:p w14:paraId="6599A6AF" w14:textId="77777777" w:rsidR="007475F3" w:rsidRPr="007475F3" w:rsidRDefault="007475F3" w:rsidP="007475F3">
      <w:pPr>
        <w:tabs>
          <w:tab w:val="left" w:pos="567"/>
        </w:tabs>
        <w:autoSpaceDE w:val="0"/>
        <w:autoSpaceDN w:val="0"/>
        <w:adjustRightInd w:val="0"/>
        <w:ind w:left="851"/>
        <w:rPr>
          <w:bCs/>
        </w:rPr>
      </w:pPr>
      <w:r w:rsidRPr="007475F3">
        <w:t>-</w:t>
      </w:r>
      <w:r w:rsidRPr="007475F3">
        <w:tab/>
        <w:t>5-fluorouracil/</w:t>
      </w:r>
      <w:proofErr w:type="spellStart"/>
      <w:r w:rsidRPr="007475F3">
        <w:t>folininsyre</w:t>
      </w:r>
      <w:proofErr w:type="spellEnd"/>
      <w:r w:rsidRPr="007475F3">
        <w:t xml:space="preserve">: </w:t>
      </w:r>
    </w:p>
    <w:p w14:paraId="529C6981" w14:textId="77777777" w:rsidR="007475F3" w:rsidRPr="007475F3" w:rsidRDefault="007475F3" w:rsidP="007475F3">
      <w:pPr>
        <w:tabs>
          <w:tab w:val="left" w:pos="567"/>
        </w:tabs>
        <w:autoSpaceDE w:val="0"/>
        <w:autoSpaceDN w:val="0"/>
        <w:adjustRightInd w:val="0"/>
        <w:ind w:left="1418"/>
        <w:rPr>
          <w:bCs/>
        </w:rPr>
      </w:pPr>
      <w:r w:rsidRPr="007475F3">
        <w:t>samtidig administration af 5-fluorouracil/</w:t>
      </w:r>
      <w:proofErr w:type="spellStart"/>
      <w:r w:rsidRPr="007475F3">
        <w:t>folininsyre</w:t>
      </w:r>
      <w:proofErr w:type="spellEnd"/>
      <w:r w:rsidRPr="007475F3">
        <w:t xml:space="preserve"> i kombinationsbehandling ændrer ikke </w:t>
      </w:r>
      <w:proofErr w:type="spellStart"/>
      <w:r w:rsidRPr="007475F3">
        <w:t>irinotecans</w:t>
      </w:r>
      <w:proofErr w:type="spellEnd"/>
      <w:r w:rsidRPr="007475F3">
        <w:t xml:space="preserve"> farmakokinetik.</w:t>
      </w:r>
    </w:p>
    <w:p w14:paraId="55886336" w14:textId="77777777" w:rsidR="007475F3" w:rsidRPr="007475F3" w:rsidRDefault="007475F3" w:rsidP="007475F3">
      <w:pPr>
        <w:tabs>
          <w:tab w:val="left" w:pos="567"/>
        </w:tabs>
        <w:autoSpaceDE w:val="0"/>
        <w:autoSpaceDN w:val="0"/>
        <w:adjustRightInd w:val="0"/>
        <w:ind w:left="851"/>
        <w:rPr>
          <w:bCs/>
        </w:rPr>
      </w:pPr>
      <w:r w:rsidRPr="007475F3">
        <w:rPr>
          <w:b/>
          <w:bCs/>
        </w:rPr>
        <w:t>-</w:t>
      </w:r>
      <w:r w:rsidRPr="007475F3">
        <w:tab/>
      </w:r>
      <w:proofErr w:type="spellStart"/>
      <w:r w:rsidRPr="007475F3">
        <w:t>Bevacizumab</w:t>
      </w:r>
      <w:proofErr w:type="spellEnd"/>
      <w:r w:rsidRPr="007475F3">
        <w:t>:</w:t>
      </w:r>
    </w:p>
    <w:p w14:paraId="6C52F74A" w14:textId="77777777" w:rsidR="007475F3" w:rsidRPr="007475F3" w:rsidRDefault="007475F3" w:rsidP="007475F3">
      <w:pPr>
        <w:tabs>
          <w:tab w:val="left" w:pos="567"/>
        </w:tabs>
        <w:autoSpaceDE w:val="0"/>
        <w:autoSpaceDN w:val="0"/>
        <w:adjustRightInd w:val="0"/>
        <w:ind w:left="1418"/>
        <w:rPr>
          <w:bCs/>
        </w:rPr>
      </w:pPr>
      <w:r w:rsidRPr="007475F3">
        <w:t xml:space="preserve">resultaterne fra et specifikt interaktionsforsøg viste ingen signifikant effekt af </w:t>
      </w:r>
      <w:proofErr w:type="spellStart"/>
      <w:r w:rsidRPr="007475F3">
        <w:t>bevacizumab</w:t>
      </w:r>
      <w:proofErr w:type="spellEnd"/>
      <w:r w:rsidRPr="007475F3">
        <w:t xml:space="preserve"> på farmakokinetikken af </w:t>
      </w:r>
      <w:proofErr w:type="spellStart"/>
      <w:r w:rsidRPr="007475F3">
        <w:t>irinotecan</w:t>
      </w:r>
      <w:proofErr w:type="spellEnd"/>
      <w:r w:rsidRPr="007475F3">
        <w:t xml:space="preserve"> og dets aktive metabolit SN-38. Dette udelukker dog ikke nogen form for øget toksicitet på grund af de farmakologiske egenskaber.</w:t>
      </w:r>
    </w:p>
    <w:p w14:paraId="45E5C892" w14:textId="77777777" w:rsidR="007475F3" w:rsidRPr="007475F3" w:rsidRDefault="007475F3" w:rsidP="007475F3">
      <w:pPr>
        <w:tabs>
          <w:tab w:val="left" w:pos="567"/>
        </w:tabs>
        <w:autoSpaceDE w:val="0"/>
        <w:autoSpaceDN w:val="0"/>
        <w:adjustRightInd w:val="0"/>
        <w:ind w:left="851"/>
        <w:rPr>
          <w:bCs/>
        </w:rPr>
      </w:pPr>
      <w:r w:rsidRPr="007475F3">
        <w:t>-</w:t>
      </w:r>
      <w:r w:rsidRPr="007475F3">
        <w:tab/>
      </w:r>
      <w:proofErr w:type="spellStart"/>
      <w:r w:rsidRPr="007475F3">
        <w:t>Cetuximab</w:t>
      </w:r>
      <w:proofErr w:type="spellEnd"/>
      <w:r w:rsidRPr="007475F3">
        <w:t>:</w:t>
      </w:r>
    </w:p>
    <w:p w14:paraId="1B4C5817" w14:textId="77777777" w:rsidR="007475F3" w:rsidRPr="007475F3" w:rsidRDefault="007475F3" w:rsidP="007475F3">
      <w:pPr>
        <w:tabs>
          <w:tab w:val="left" w:pos="567"/>
        </w:tabs>
        <w:autoSpaceDE w:val="0"/>
        <w:autoSpaceDN w:val="0"/>
        <w:adjustRightInd w:val="0"/>
        <w:ind w:left="1418"/>
      </w:pPr>
      <w:r w:rsidRPr="007475F3">
        <w:t xml:space="preserve">der foreligger ikke bevis for, at sikkerhedsprofilen for </w:t>
      </w:r>
      <w:proofErr w:type="spellStart"/>
      <w:r w:rsidRPr="007475F3">
        <w:t>irinotecan</w:t>
      </w:r>
      <w:proofErr w:type="spellEnd"/>
      <w:r w:rsidRPr="007475F3">
        <w:t xml:space="preserve"> påvirkes af </w:t>
      </w:r>
      <w:proofErr w:type="spellStart"/>
      <w:r w:rsidRPr="007475F3">
        <w:t>cetuximab</w:t>
      </w:r>
      <w:proofErr w:type="spellEnd"/>
      <w:r w:rsidRPr="007475F3">
        <w:t xml:space="preserve"> eller vice versa.</w:t>
      </w:r>
    </w:p>
    <w:p w14:paraId="5ADC3608" w14:textId="77777777" w:rsidR="007475F3" w:rsidRPr="007475F3" w:rsidRDefault="007475F3" w:rsidP="007475F3">
      <w:pPr>
        <w:numPr>
          <w:ilvl w:val="0"/>
          <w:numId w:val="26"/>
        </w:numPr>
        <w:tabs>
          <w:tab w:val="left" w:pos="567"/>
        </w:tabs>
        <w:autoSpaceDE w:val="0"/>
        <w:autoSpaceDN w:val="0"/>
        <w:adjustRightInd w:val="0"/>
        <w:ind w:left="1418" w:hanging="567"/>
        <w:rPr>
          <w:bCs/>
        </w:rPr>
      </w:pPr>
      <w:proofErr w:type="spellStart"/>
      <w:r w:rsidRPr="007475F3">
        <w:rPr>
          <w:bCs/>
        </w:rPr>
        <w:t>Antineoplastiske</w:t>
      </w:r>
      <w:proofErr w:type="spellEnd"/>
      <w:r w:rsidRPr="007475F3">
        <w:rPr>
          <w:bCs/>
        </w:rPr>
        <w:t xml:space="preserve"> midler (herunder </w:t>
      </w:r>
      <w:proofErr w:type="spellStart"/>
      <w:r w:rsidRPr="007475F3">
        <w:rPr>
          <w:bCs/>
        </w:rPr>
        <w:t>flucytosin</w:t>
      </w:r>
      <w:proofErr w:type="spellEnd"/>
      <w:r w:rsidRPr="007475F3">
        <w:rPr>
          <w:bCs/>
        </w:rPr>
        <w:t xml:space="preserve"> som </w:t>
      </w:r>
      <w:proofErr w:type="gramStart"/>
      <w:r w:rsidRPr="007475F3">
        <w:rPr>
          <w:bCs/>
        </w:rPr>
        <w:t>et prodrug</w:t>
      </w:r>
      <w:proofErr w:type="gramEnd"/>
      <w:r w:rsidRPr="007475F3">
        <w:rPr>
          <w:bCs/>
        </w:rPr>
        <w:t xml:space="preserve"> til 5-fluorouracil):</w:t>
      </w:r>
    </w:p>
    <w:p w14:paraId="4D11BC47" w14:textId="77777777" w:rsidR="007475F3" w:rsidRPr="007475F3" w:rsidRDefault="007475F3" w:rsidP="007475F3">
      <w:pPr>
        <w:tabs>
          <w:tab w:val="left" w:pos="567"/>
        </w:tabs>
        <w:autoSpaceDE w:val="0"/>
        <w:autoSpaceDN w:val="0"/>
        <w:adjustRightInd w:val="0"/>
        <w:ind w:left="1418"/>
        <w:rPr>
          <w:bCs/>
        </w:rPr>
      </w:pPr>
      <w:r w:rsidRPr="007475F3">
        <w:rPr>
          <w:bCs/>
        </w:rPr>
        <w:t xml:space="preserve">bivirkninger ved </w:t>
      </w:r>
      <w:proofErr w:type="spellStart"/>
      <w:r w:rsidRPr="007475F3">
        <w:rPr>
          <w:bCs/>
        </w:rPr>
        <w:t>irinotecan</w:t>
      </w:r>
      <w:proofErr w:type="spellEnd"/>
      <w:r w:rsidRPr="007475F3">
        <w:rPr>
          <w:bCs/>
        </w:rPr>
        <w:t xml:space="preserve">, som f.eks. </w:t>
      </w:r>
      <w:proofErr w:type="spellStart"/>
      <w:r w:rsidRPr="007475F3">
        <w:rPr>
          <w:bCs/>
        </w:rPr>
        <w:t>myelosuppression</w:t>
      </w:r>
      <w:proofErr w:type="spellEnd"/>
      <w:r w:rsidRPr="007475F3">
        <w:rPr>
          <w:bCs/>
        </w:rPr>
        <w:t xml:space="preserve">, kan forværres af andre </w:t>
      </w:r>
      <w:proofErr w:type="spellStart"/>
      <w:r w:rsidRPr="007475F3">
        <w:rPr>
          <w:bCs/>
        </w:rPr>
        <w:t>antineoplastiske</w:t>
      </w:r>
      <w:proofErr w:type="spellEnd"/>
      <w:r w:rsidRPr="007475F3">
        <w:rPr>
          <w:bCs/>
        </w:rPr>
        <w:t xml:space="preserve"> midler, der har en tilsvarende bivirkningsprofil.</w:t>
      </w:r>
    </w:p>
    <w:p w14:paraId="695A1E3E" w14:textId="77777777" w:rsidR="009260DE" w:rsidRPr="007475F3" w:rsidRDefault="009260DE" w:rsidP="009260DE">
      <w:pPr>
        <w:tabs>
          <w:tab w:val="left" w:pos="851"/>
        </w:tabs>
        <w:ind w:left="851"/>
        <w:rPr>
          <w:sz w:val="24"/>
          <w:szCs w:val="24"/>
        </w:rPr>
      </w:pPr>
    </w:p>
    <w:p w14:paraId="414725DD" w14:textId="57AB7C49" w:rsidR="009260DE" w:rsidRPr="007475F3" w:rsidRDefault="009260DE" w:rsidP="009260DE">
      <w:pPr>
        <w:tabs>
          <w:tab w:val="left" w:pos="851"/>
        </w:tabs>
        <w:ind w:left="851" w:hanging="851"/>
        <w:rPr>
          <w:b/>
          <w:sz w:val="24"/>
          <w:szCs w:val="24"/>
        </w:rPr>
      </w:pPr>
      <w:r w:rsidRPr="007475F3">
        <w:rPr>
          <w:b/>
          <w:sz w:val="24"/>
          <w:szCs w:val="24"/>
        </w:rPr>
        <w:t>4.6</w:t>
      </w:r>
      <w:r w:rsidRPr="007475F3">
        <w:rPr>
          <w:b/>
          <w:sz w:val="24"/>
          <w:szCs w:val="24"/>
        </w:rPr>
        <w:tab/>
      </w:r>
      <w:r w:rsidR="00C17868">
        <w:rPr>
          <w:b/>
          <w:sz w:val="24"/>
          <w:szCs w:val="24"/>
        </w:rPr>
        <w:t>Fertilitet, g</w:t>
      </w:r>
      <w:r w:rsidRPr="007475F3">
        <w:rPr>
          <w:b/>
          <w:sz w:val="24"/>
          <w:szCs w:val="24"/>
        </w:rPr>
        <w:t>raviditet og amning</w:t>
      </w:r>
    </w:p>
    <w:p w14:paraId="5CFF2ECC" w14:textId="77777777" w:rsidR="00792FF9" w:rsidRPr="007475F3" w:rsidRDefault="00792FF9" w:rsidP="00F42A29">
      <w:pPr>
        <w:autoSpaceDE w:val="0"/>
        <w:autoSpaceDN w:val="0"/>
        <w:adjustRightInd w:val="0"/>
        <w:ind w:left="851"/>
        <w:rPr>
          <w:sz w:val="24"/>
          <w:szCs w:val="24"/>
          <w:u w:val="single"/>
        </w:rPr>
      </w:pPr>
      <w:r w:rsidRPr="007475F3">
        <w:rPr>
          <w:sz w:val="24"/>
          <w:szCs w:val="24"/>
          <w:u w:val="single"/>
        </w:rPr>
        <w:t>Kvinder i den fødedygtige alder/Prævention hos kvinder og mænd</w:t>
      </w:r>
    </w:p>
    <w:p w14:paraId="6E68B817" w14:textId="77777777" w:rsidR="009D565D" w:rsidRDefault="009D565D" w:rsidP="009D565D">
      <w:pPr>
        <w:autoSpaceDE w:val="0"/>
        <w:autoSpaceDN w:val="0"/>
        <w:adjustRightInd w:val="0"/>
        <w:ind w:left="851"/>
        <w:rPr>
          <w:sz w:val="22"/>
        </w:rPr>
      </w:pPr>
      <w:r>
        <w:t xml:space="preserve">På grund af potentialet for genotoksicitet, skal fertile kvindelige patienter rådgives om at benytte højeffektiv prævention under behandlingen og i 6 måneder efter den sidste dosis </w:t>
      </w:r>
      <w:proofErr w:type="spellStart"/>
      <w:r>
        <w:t>irinotecan</w:t>
      </w:r>
      <w:proofErr w:type="spellEnd"/>
      <w:r>
        <w:t xml:space="preserve"> (se pkt. 4.4).</w:t>
      </w:r>
    </w:p>
    <w:p w14:paraId="426B43D0" w14:textId="77777777" w:rsidR="009D565D" w:rsidRDefault="009D565D" w:rsidP="009D565D">
      <w:pPr>
        <w:autoSpaceDE w:val="0"/>
        <w:autoSpaceDN w:val="0"/>
        <w:adjustRightInd w:val="0"/>
      </w:pPr>
    </w:p>
    <w:p w14:paraId="29635F58" w14:textId="28156D56" w:rsidR="00792FF9" w:rsidRPr="007475F3" w:rsidRDefault="009D565D" w:rsidP="009D565D">
      <w:pPr>
        <w:autoSpaceDE w:val="0"/>
        <w:autoSpaceDN w:val="0"/>
        <w:adjustRightInd w:val="0"/>
        <w:ind w:left="851"/>
        <w:rPr>
          <w:sz w:val="24"/>
          <w:szCs w:val="24"/>
        </w:rPr>
      </w:pPr>
      <w:r>
        <w:t xml:space="preserve">På grund af potentialet for genotoksicitet, skal mandlige patienter med fertile kvindelige partnere rådgives om at benytte effektiv prævention under behandlingen og i 3 måneder efter den sidste dosis </w:t>
      </w:r>
      <w:proofErr w:type="spellStart"/>
      <w:r>
        <w:t>irinotecan</w:t>
      </w:r>
      <w:proofErr w:type="spellEnd"/>
      <w:r>
        <w:t xml:space="preserve"> (se pkt. 4.4).</w:t>
      </w:r>
    </w:p>
    <w:p w14:paraId="644D8204" w14:textId="77777777" w:rsidR="00792FF9" w:rsidRPr="007475F3" w:rsidRDefault="00792FF9" w:rsidP="00F42A29">
      <w:pPr>
        <w:autoSpaceDE w:val="0"/>
        <w:autoSpaceDN w:val="0"/>
        <w:adjustRightInd w:val="0"/>
        <w:ind w:left="851"/>
        <w:rPr>
          <w:sz w:val="24"/>
          <w:szCs w:val="24"/>
          <w:u w:val="single"/>
        </w:rPr>
      </w:pPr>
      <w:r w:rsidRPr="007475F3">
        <w:rPr>
          <w:sz w:val="24"/>
          <w:szCs w:val="24"/>
          <w:u w:val="single"/>
        </w:rPr>
        <w:t>Graviditet</w:t>
      </w:r>
    </w:p>
    <w:p w14:paraId="0C81C57F" w14:textId="77777777" w:rsidR="00792FF9" w:rsidRPr="007475F3" w:rsidRDefault="00792FF9" w:rsidP="00F42A29">
      <w:pPr>
        <w:autoSpaceDE w:val="0"/>
        <w:autoSpaceDN w:val="0"/>
        <w:adjustRightInd w:val="0"/>
        <w:ind w:left="851"/>
        <w:rPr>
          <w:sz w:val="24"/>
          <w:szCs w:val="24"/>
        </w:rPr>
      </w:pPr>
      <w:r w:rsidRPr="007475F3">
        <w:rPr>
          <w:sz w:val="24"/>
          <w:szCs w:val="24"/>
        </w:rPr>
        <w:t xml:space="preserve">Der foreligger ingen informationer om behandling med </w:t>
      </w:r>
      <w:proofErr w:type="spellStart"/>
      <w:r w:rsidRPr="007475F3">
        <w:rPr>
          <w:sz w:val="24"/>
          <w:szCs w:val="24"/>
        </w:rPr>
        <w:t>irinotecan</w:t>
      </w:r>
      <w:proofErr w:type="spellEnd"/>
      <w:r w:rsidRPr="007475F3">
        <w:rPr>
          <w:sz w:val="24"/>
          <w:szCs w:val="24"/>
        </w:rPr>
        <w:t xml:space="preserve"> hos gravide kvinder. </w:t>
      </w:r>
      <w:proofErr w:type="spellStart"/>
      <w:r w:rsidRPr="007475F3">
        <w:rPr>
          <w:sz w:val="24"/>
          <w:szCs w:val="24"/>
        </w:rPr>
        <w:t>Irinotecan</w:t>
      </w:r>
      <w:proofErr w:type="spellEnd"/>
      <w:r w:rsidRPr="007475F3">
        <w:rPr>
          <w:sz w:val="24"/>
          <w:szCs w:val="24"/>
        </w:rPr>
        <w:t xml:space="preserve"> har vist sig at være embryotoksisk og </w:t>
      </w:r>
      <w:proofErr w:type="spellStart"/>
      <w:r w:rsidRPr="007475F3">
        <w:rPr>
          <w:sz w:val="24"/>
          <w:szCs w:val="24"/>
        </w:rPr>
        <w:t>teratogent</w:t>
      </w:r>
      <w:proofErr w:type="spellEnd"/>
      <w:r w:rsidRPr="007475F3">
        <w:rPr>
          <w:sz w:val="24"/>
          <w:szCs w:val="24"/>
        </w:rPr>
        <w:t xml:space="preserve"> hos dyr. På baggrund af resultater fra dyreforsøg og </w:t>
      </w:r>
      <w:proofErr w:type="spellStart"/>
      <w:r w:rsidRPr="007475F3">
        <w:rPr>
          <w:sz w:val="24"/>
          <w:szCs w:val="24"/>
        </w:rPr>
        <w:t>irinotecans</w:t>
      </w:r>
      <w:proofErr w:type="spellEnd"/>
      <w:r w:rsidRPr="007475F3">
        <w:rPr>
          <w:sz w:val="24"/>
          <w:szCs w:val="24"/>
        </w:rPr>
        <w:t xml:space="preserve"> virkningsmekanisme bør </w:t>
      </w:r>
      <w:proofErr w:type="spellStart"/>
      <w:r w:rsidRPr="007475F3">
        <w:rPr>
          <w:sz w:val="24"/>
          <w:szCs w:val="24"/>
        </w:rPr>
        <w:t>irinotecan</w:t>
      </w:r>
      <w:proofErr w:type="spellEnd"/>
      <w:r w:rsidRPr="007475F3">
        <w:rPr>
          <w:sz w:val="24"/>
          <w:szCs w:val="24"/>
        </w:rPr>
        <w:t xml:space="preserve"> kun anvendes på tvingende indikation til gravide.</w:t>
      </w:r>
    </w:p>
    <w:p w14:paraId="69825E25" w14:textId="77777777" w:rsidR="00792FF9" w:rsidRPr="007475F3" w:rsidRDefault="00792FF9" w:rsidP="00F42A29">
      <w:pPr>
        <w:autoSpaceDE w:val="0"/>
        <w:autoSpaceDN w:val="0"/>
        <w:adjustRightInd w:val="0"/>
        <w:ind w:left="851"/>
        <w:rPr>
          <w:sz w:val="24"/>
          <w:szCs w:val="24"/>
        </w:rPr>
      </w:pPr>
    </w:p>
    <w:p w14:paraId="49629672" w14:textId="77777777" w:rsidR="00792FF9" w:rsidRPr="007475F3" w:rsidRDefault="00792FF9" w:rsidP="00F42A29">
      <w:pPr>
        <w:autoSpaceDE w:val="0"/>
        <w:autoSpaceDN w:val="0"/>
        <w:adjustRightInd w:val="0"/>
        <w:ind w:left="851"/>
        <w:rPr>
          <w:sz w:val="24"/>
          <w:szCs w:val="24"/>
          <w:u w:val="single"/>
        </w:rPr>
      </w:pPr>
      <w:r w:rsidRPr="007475F3">
        <w:rPr>
          <w:sz w:val="24"/>
          <w:szCs w:val="24"/>
          <w:u w:val="single"/>
        </w:rPr>
        <w:t>Amning</w:t>
      </w:r>
    </w:p>
    <w:p w14:paraId="6632678E" w14:textId="12670D4F" w:rsidR="00792FF9" w:rsidRPr="007475F3" w:rsidRDefault="00792FF9" w:rsidP="00F42A29">
      <w:pPr>
        <w:autoSpaceDE w:val="0"/>
        <w:autoSpaceDN w:val="0"/>
        <w:adjustRightInd w:val="0"/>
        <w:ind w:left="851"/>
        <w:rPr>
          <w:sz w:val="24"/>
          <w:szCs w:val="24"/>
        </w:rPr>
      </w:pPr>
      <w:r w:rsidRPr="007475F3">
        <w:rPr>
          <w:sz w:val="24"/>
          <w:szCs w:val="24"/>
        </w:rPr>
        <w:t xml:space="preserve">14C-irinotecan er fundet i mælk hos diegivende rotter. Det er uvist, om </w:t>
      </w:r>
      <w:proofErr w:type="spellStart"/>
      <w:r w:rsidRPr="007475F3">
        <w:rPr>
          <w:sz w:val="24"/>
          <w:szCs w:val="24"/>
        </w:rPr>
        <w:t>irinotecan</w:t>
      </w:r>
      <w:proofErr w:type="spellEnd"/>
      <w:r w:rsidRPr="007475F3">
        <w:rPr>
          <w:sz w:val="24"/>
          <w:szCs w:val="24"/>
        </w:rPr>
        <w:t xml:space="preserve"> udskilles i modermælken hos mennesker. Som følge af den potentielle risiko for bivirkninger hos det ammede barn, bør amning derfor ophøre under behandling med </w:t>
      </w:r>
      <w:proofErr w:type="spellStart"/>
      <w:r w:rsidRPr="007475F3">
        <w:rPr>
          <w:sz w:val="24"/>
          <w:szCs w:val="24"/>
        </w:rPr>
        <w:t>irinotecan</w:t>
      </w:r>
      <w:proofErr w:type="spellEnd"/>
      <w:r w:rsidRPr="007475F3">
        <w:rPr>
          <w:sz w:val="24"/>
          <w:szCs w:val="24"/>
        </w:rPr>
        <w:t xml:space="preserve"> (se pkt. 4.3</w:t>
      </w:r>
      <w:r w:rsidR="00E50E97">
        <w:rPr>
          <w:sz w:val="24"/>
          <w:szCs w:val="24"/>
        </w:rPr>
        <w:t xml:space="preserve"> og 4.4</w:t>
      </w:r>
      <w:bookmarkStart w:id="0" w:name="_GoBack"/>
      <w:bookmarkEnd w:id="0"/>
      <w:r w:rsidRPr="007475F3">
        <w:rPr>
          <w:sz w:val="24"/>
          <w:szCs w:val="24"/>
        </w:rPr>
        <w:t>).</w:t>
      </w:r>
    </w:p>
    <w:p w14:paraId="36BBB21D" w14:textId="77777777" w:rsidR="00792FF9" w:rsidRPr="007475F3" w:rsidRDefault="00792FF9" w:rsidP="00F42A29">
      <w:pPr>
        <w:autoSpaceDE w:val="0"/>
        <w:autoSpaceDN w:val="0"/>
        <w:adjustRightInd w:val="0"/>
        <w:ind w:left="851"/>
        <w:rPr>
          <w:sz w:val="24"/>
          <w:szCs w:val="24"/>
        </w:rPr>
      </w:pPr>
    </w:p>
    <w:p w14:paraId="59ACE238" w14:textId="77777777" w:rsidR="00792FF9" w:rsidRPr="007475F3" w:rsidRDefault="00792FF9" w:rsidP="00F42A29">
      <w:pPr>
        <w:autoSpaceDE w:val="0"/>
        <w:autoSpaceDN w:val="0"/>
        <w:adjustRightInd w:val="0"/>
        <w:ind w:left="851"/>
        <w:rPr>
          <w:sz w:val="24"/>
          <w:szCs w:val="24"/>
          <w:u w:val="single"/>
        </w:rPr>
      </w:pPr>
      <w:r w:rsidRPr="007475F3">
        <w:rPr>
          <w:sz w:val="24"/>
          <w:szCs w:val="24"/>
          <w:u w:val="single"/>
        </w:rPr>
        <w:t>Fertilitet</w:t>
      </w:r>
    </w:p>
    <w:p w14:paraId="586F5675" w14:textId="543BD20A" w:rsidR="00792FF9" w:rsidRPr="009D565D" w:rsidRDefault="00792FF9" w:rsidP="009D565D">
      <w:pPr>
        <w:autoSpaceDE w:val="0"/>
        <w:autoSpaceDN w:val="0"/>
        <w:adjustRightInd w:val="0"/>
        <w:ind w:left="851"/>
        <w:rPr>
          <w:sz w:val="22"/>
        </w:rPr>
      </w:pPr>
      <w:r w:rsidRPr="007475F3">
        <w:rPr>
          <w:sz w:val="24"/>
          <w:szCs w:val="24"/>
        </w:rPr>
        <w:t xml:space="preserve">Der findes ingen data på mennesker vedrørende </w:t>
      </w:r>
      <w:proofErr w:type="spellStart"/>
      <w:r w:rsidRPr="007475F3">
        <w:rPr>
          <w:sz w:val="24"/>
          <w:szCs w:val="24"/>
        </w:rPr>
        <w:t>irinotecans</w:t>
      </w:r>
      <w:proofErr w:type="spellEnd"/>
      <w:r w:rsidRPr="007475F3">
        <w:rPr>
          <w:sz w:val="24"/>
          <w:szCs w:val="24"/>
        </w:rPr>
        <w:t xml:space="preserve"> virkning på fertilitet. Hos dyr er </w:t>
      </w:r>
      <w:proofErr w:type="spellStart"/>
      <w:r w:rsidRPr="007475F3">
        <w:rPr>
          <w:sz w:val="24"/>
          <w:szCs w:val="24"/>
        </w:rPr>
        <w:t>irinotecans</w:t>
      </w:r>
      <w:proofErr w:type="spellEnd"/>
      <w:r w:rsidRPr="007475F3">
        <w:rPr>
          <w:sz w:val="24"/>
          <w:szCs w:val="24"/>
        </w:rPr>
        <w:t xml:space="preserve"> negative virkninger på fertilitet hos afkommet dokumenteret (se pkt. </w:t>
      </w:r>
      <w:r w:rsidR="009D565D">
        <w:rPr>
          <w:sz w:val="24"/>
          <w:szCs w:val="24"/>
        </w:rPr>
        <w:t>5</w:t>
      </w:r>
      <w:r w:rsidRPr="007475F3">
        <w:rPr>
          <w:sz w:val="24"/>
          <w:szCs w:val="24"/>
        </w:rPr>
        <w:t>.3</w:t>
      </w:r>
      <w:r w:rsidR="009D565D">
        <w:rPr>
          <w:sz w:val="24"/>
          <w:szCs w:val="24"/>
        </w:rPr>
        <w:t>).</w:t>
      </w:r>
      <w:r w:rsidR="009D565D">
        <w:t xml:space="preserve"> </w:t>
      </w:r>
      <w:r w:rsidR="009D565D">
        <w:rPr>
          <w:b/>
        </w:rPr>
        <w:t xml:space="preserve">Inden påbegyndelse af </w:t>
      </w:r>
      <w:proofErr w:type="spellStart"/>
      <w:r w:rsidR="009D565D">
        <w:rPr>
          <w:b/>
        </w:rPr>
        <w:t>irinotecan</w:t>
      </w:r>
      <w:proofErr w:type="spellEnd"/>
      <w:r w:rsidR="009D565D">
        <w:rPr>
          <w:b/>
        </w:rPr>
        <w:t xml:space="preserve"> skal det overvejes at rådgive patienten om præservering af kønsceller.</w:t>
      </w:r>
    </w:p>
    <w:p w14:paraId="2C9726C5" w14:textId="77777777" w:rsidR="009260DE" w:rsidRPr="007475F3" w:rsidRDefault="009260DE" w:rsidP="009260DE">
      <w:pPr>
        <w:tabs>
          <w:tab w:val="left" w:pos="851"/>
        </w:tabs>
        <w:ind w:left="851"/>
        <w:rPr>
          <w:sz w:val="24"/>
          <w:szCs w:val="24"/>
        </w:rPr>
      </w:pPr>
    </w:p>
    <w:p w14:paraId="3DB711D5" w14:textId="44B1B632" w:rsidR="009260DE" w:rsidRPr="007475F3" w:rsidRDefault="009260DE" w:rsidP="009260DE">
      <w:pPr>
        <w:tabs>
          <w:tab w:val="left" w:pos="851"/>
        </w:tabs>
        <w:ind w:left="851" w:hanging="851"/>
        <w:rPr>
          <w:b/>
          <w:sz w:val="24"/>
          <w:szCs w:val="24"/>
        </w:rPr>
      </w:pPr>
      <w:r w:rsidRPr="007475F3">
        <w:rPr>
          <w:b/>
          <w:sz w:val="24"/>
          <w:szCs w:val="24"/>
        </w:rPr>
        <w:t>4.7</w:t>
      </w:r>
      <w:r w:rsidRPr="007475F3">
        <w:rPr>
          <w:b/>
          <w:sz w:val="24"/>
          <w:szCs w:val="24"/>
        </w:rPr>
        <w:tab/>
        <w:t xml:space="preserve">Virkning på evnen til at føre motorkøretøj </w:t>
      </w:r>
      <w:r w:rsidR="00C17868">
        <w:rPr>
          <w:b/>
          <w:sz w:val="24"/>
          <w:szCs w:val="24"/>
        </w:rPr>
        <w:t>og</w:t>
      </w:r>
      <w:r w:rsidRPr="007475F3">
        <w:rPr>
          <w:b/>
          <w:sz w:val="24"/>
          <w:szCs w:val="24"/>
        </w:rPr>
        <w:t xml:space="preserve"> betjene maskiner</w:t>
      </w:r>
    </w:p>
    <w:p w14:paraId="305D7871" w14:textId="77777777" w:rsidR="00A331CB" w:rsidRPr="007475F3" w:rsidRDefault="00E1552D" w:rsidP="00F42A29">
      <w:pPr>
        <w:autoSpaceDE w:val="0"/>
        <w:autoSpaceDN w:val="0"/>
        <w:adjustRightInd w:val="0"/>
        <w:ind w:left="851"/>
        <w:rPr>
          <w:sz w:val="24"/>
          <w:szCs w:val="24"/>
        </w:rPr>
      </w:pPr>
      <w:r w:rsidRPr="007475F3">
        <w:rPr>
          <w:sz w:val="24"/>
          <w:szCs w:val="24"/>
        </w:rPr>
        <w:t>Ikke mærkning</w:t>
      </w:r>
      <w:r w:rsidR="00A331CB" w:rsidRPr="007475F3">
        <w:rPr>
          <w:sz w:val="24"/>
          <w:szCs w:val="24"/>
        </w:rPr>
        <w:t>.</w:t>
      </w:r>
    </w:p>
    <w:p w14:paraId="27773CB6" w14:textId="416DE7AC" w:rsidR="00792FF9" w:rsidRPr="007475F3" w:rsidRDefault="00792FF9" w:rsidP="00F42A29">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har moderat indflydelse på evnen til at køre bil og betjene maskiner. Patienterne skal advares om risiko for svimmelhed eller synsforstyrrelser, som kan opstå indtil 24 </w:t>
      </w:r>
      <w:r w:rsidRPr="007475F3">
        <w:rPr>
          <w:sz w:val="24"/>
          <w:szCs w:val="24"/>
        </w:rPr>
        <w:lastRenderedPageBreak/>
        <w:t xml:space="preserve">timer efter infusion af </w:t>
      </w:r>
      <w:proofErr w:type="spellStart"/>
      <w:r w:rsidRPr="007475F3">
        <w:rPr>
          <w:sz w:val="24"/>
          <w:szCs w:val="24"/>
        </w:rPr>
        <w:t>irinotecan</w:t>
      </w:r>
      <w:proofErr w:type="spellEnd"/>
      <w:r w:rsidRPr="007475F3">
        <w:rPr>
          <w:sz w:val="24"/>
          <w:szCs w:val="24"/>
        </w:rPr>
        <w:t>, og det tilrådes at undlade at køre bil og betjene maskiner, hvis disse symptomer opstår.</w:t>
      </w:r>
    </w:p>
    <w:p w14:paraId="6A8CC3C4" w14:textId="77777777" w:rsidR="009260DE" w:rsidRPr="007475F3" w:rsidRDefault="009260DE" w:rsidP="009260DE">
      <w:pPr>
        <w:tabs>
          <w:tab w:val="left" w:pos="851"/>
        </w:tabs>
        <w:ind w:left="851"/>
        <w:rPr>
          <w:sz w:val="24"/>
          <w:szCs w:val="24"/>
        </w:rPr>
      </w:pPr>
    </w:p>
    <w:p w14:paraId="353F1404" w14:textId="77777777" w:rsidR="009260DE" w:rsidRPr="007475F3" w:rsidRDefault="009260DE" w:rsidP="009260DE">
      <w:pPr>
        <w:tabs>
          <w:tab w:val="left" w:pos="851"/>
        </w:tabs>
        <w:ind w:left="851" w:hanging="851"/>
        <w:rPr>
          <w:b/>
          <w:sz w:val="24"/>
          <w:szCs w:val="24"/>
        </w:rPr>
      </w:pPr>
      <w:r w:rsidRPr="007475F3">
        <w:rPr>
          <w:b/>
          <w:sz w:val="24"/>
          <w:szCs w:val="24"/>
        </w:rPr>
        <w:t>4.8</w:t>
      </w:r>
      <w:r w:rsidRPr="007475F3">
        <w:rPr>
          <w:b/>
          <w:sz w:val="24"/>
          <w:szCs w:val="24"/>
        </w:rPr>
        <w:tab/>
        <w:t>Bivirkninger</w:t>
      </w:r>
    </w:p>
    <w:p w14:paraId="516B923F" w14:textId="77777777" w:rsidR="00071AD0" w:rsidRPr="007475F3" w:rsidRDefault="00071AD0" w:rsidP="00F42A29">
      <w:pPr>
        <w:autoSpaceDE w:val="0"/>
        <w:autoSpaceDN w:val="0"/>
        <w:adjustRightInd w:val="0"/>
        <w:ind w:left="851"/>
        <w:rPr>
          <w:sz w:val="24"/>
          <w:szCs w:val="24"/>
          <w:u w:val="single"/>
        </w:rPr>
      </w:pPr>
    </w:p>
    <w:p w14:paraId="3D33AEFC" w14:textId="4204E901" w:rsidR="00792FF9" w:rsidRPr="007475F3" w:rsidRDefault="00792FF9" w:rsidP="00F42A29">
      <w:pPr>
        <w:autoSpaceDE w:val="0"/>
        <w:autoSpaceDN w:val="0"/>
        <w:adjustRightInd w:val="0"/>
        <w:ind w:left="851"/>
        <w:rPr>
          <w:bCs/>
          <w:sz w:val="24"/>
          <w:szCs w:val="24"/>
          <w:u w:val="single"/>
        </w:rPr>
      </w:pPr>
      <w:r w:rsidRPr="007475F3">
        <w:rPr>
          <w:sz w:val="24"/>
          <w:szCs w:val="24"/>
          <w:u w:val="single"/>
        </w:rPr>
        <w:t>Kliniske forsøg</w:t>
      </w:r>
    </w:p>
    <w:p w14:paraId="02CCCB86" w14:textId="77777777" w:rsidR="00792FF9" w:rsidRPr="007475F3" w:rsidRDefault="00792FF9" w:rsidP="00F42A29">
      <w:pPr>
        <w:autoSpaceDE w:val="0"/>
        <w:autoSpaceDN w:val="0"/>
        <w:adjustRightInd w:val="0"/>
        <w:ind w:left="851"/>
        <w:rPr>
          <w:sz w:val="24"/>
          <w:szCs w:val="24"/>
        </w:rPr>
      </w:pPr>
      <w:r w:rsidRPr="007475F3">
        <w:rPr>
          <w:sz w:val="24"/>
          <w:szCs w:val="24"/>
        </w:rPr>
        <w:t xml:space="preserve">Bivirkninger er i vidt omfang indsamlet fra kliniske undersøgelser af metastatisk </w:t>
      </w:r>
      <w:proofErr w:type="spellStart"/>
      <w:r w:rsidRPr="007475F3">
        <w:rPr>
          <w:sz w:val="24"/>
          <w:szCs w:val="24"/>
        </w:rPr>
        <w:t>colorektal</w:t>
      </w:r>
      <w:proofErr w:type="spellEnd"/>
      <w:r w:rsidRPr="007475F3">
        <w:rPr>
          <w:sz w:val="24"/>
          <w:szCs w:val="24"/>
        </w:rPr>
        <w:t xml:space="preserve"> cancer; hyppigheder er angivet nedenfor. Bivirkninger for andre indikationer forventes at være tilsvarende dem, som ses for </w:t>
      </w:r>
      <w:proofErr w:type="spellStart"/>
      <w:r w:rsidRPr="007475F3">
        <w:rPr>
          <w:sz w:val="24"/>
          <w:szCs w:val="24"/>
        </w:rPr>
        <w:t>colorektal</w:t>
      </w:r>
      <w:proofErr w:type="spellEnd"/>
      <w:r w:rsidRPr="007475F3">
        <w:rPr>
          <w:sz w:val="24"/>
          <w:szCs w:val="24"/>
        </w:rPr>
        <w:t xml:space="preserve"> cancer.</w:t>
      </w:r>
    </w:p>
    <w:p w14:paraId="05A87C38" w14:textId="77777777" w:rsidR="00792FF9" w:rsidRPr="007475F3" w:rsidRDefault="00792FF9" w:rsidP="00F42A29">
      <w:pPr>
        <w:autoSpaceDE w:val="0"/>
        <w:autoSpaceDN w:val="0"/>
        <w:adjustRightInd w:val="0"/>
        <w:ind w:left="851"/>
        <w:rPr>
          <w:sz w:val="24"/>
          <w:szCs w:val="24"/>
        </w:rPr>
      </w:pPr>
    </w:p>
    <w:p w14:paraId="2BB22E17" w14:textId="77777777" w:rsidR="00792FF9" w:rsidRPr="007475F3" w:rsidRDefault="00792FF9" w:rsidP="00F42A29">
      <w:pPr>
        <w:autoSpaceDE w:val="0"/>
        <w:autoSpaceDN w:val="0"/>
        <w:adjustRightInd w:val="0"/>
        <w:ind w:left="851"/>
        <w:rPr>
          <w:sz w:val="24"/>
          <w:szCs w:val="24"/>
        </w:rPr>
      </w:pPr>
      <w:r w:rsidRPr="007475F3">
        <w:rPr>
          <w:sz w:val="24"/>
          <w:szCs w:val="24"/>
        </w:rPr>
        <w:t xml:space="preserve">De hyppigste (≥1/10) dosis-begrænsende bivirkninger af </w:t>
      </w:r>
      <w:proofErr w:type="spellStart"/>
      <w:r w:rsidRPr="007475F3">
        <w:rPr>
          <w:sz w:val="24"/>
          <w:szCs w:val="24"/>
        </w:rPr>
        <w:t>irinotecan</w:t>
      </w:r>
      <w:proofErr w:type="spellEnd"/>
      <w:r w:rsidRPr="007475F3">
        <w:rPr>
          <w:sz w:val="24"/>
          <w:szCs w:val="24"/>
        </w:rPr>
        <w:t xml:space="preserve"> er sent indsættende diarré (opstår mere end 24 timer efter administration) og sygdom i blodet inkl. </w:t>
      </w:r>
      <w:proofErr w:type="spellStart"/>
      <w:r w:rsidRPr="007475F3">
        <w:rPr>
          <w:sz w:val="24"/>
          <w:szCs w:val="24"/>
        </w:rPr>
        <w:t>neutropeni</w:t>
      </w:r>
      <w:proofErr w:type="spellEnd"/>
      <w:r w:rsidRPr="007475F3">
        <w:rPr>
          <w:sz w:val="24"/>
          <w:szCs w:val="24"/>
        </w:rPr>
        <w:t xml:space="preserve">, anæmi og </w:t>
      </w:r>
      <w:proofErr w:type="spellStart"/>
      <w:r w:rsidRPr="007475F3">
        <w:rPr>
          <w:sz w:val="24"/>
          <w:szCs w:val="24"/>
        </w:rPr>
        <w:t>trombocytopeni</w:t>
      </w:r>
      <w:proofErr w:type="spellEnd"/>
      <w:r w:rsidRPr="007475F3">
        <w:rPr>
          <w:sz w:val="24"/>
          <w:szCs w:val="24"/>
        </w:rPr>
        <w:t>.</w:t>
      </w:r>
    </w:p>
    <w:p w14:paraId="6D9EE63C" w14:textId="77777777" w:rsidR="00792FF9" w:rsidRPr="007475F3" w:rsidRDefault="00792FF9" w:rsidP="00F42A29">
      <w:pPr>
        <w:autoSpaceDE w:val="0"/>
        <w:autoSpaceDN w:val="0"/>
        <w:adjustRightInd w:val="0"/>
        <w:ind w:left="851"/>
        <w:rPr>
          <w:sz w:val="24"/>
          <w:szCs w:val="24"/>
        </w:rPr>
      </w:pPr>
    </w:p>
    <w:p w14:paraId="03F37E1B" w14:textId="77777777" w:rsidR="00792FF9" w:rsidRPr="007475F3" w:rsidRDefault="00792FF9" w:rsidP="00F42A29">
      <w:pPr>
        <w:autoSpaceDE w:val="0"/>
        <w:autoSpaceDN w:val="0"/>
        <w:adjustRightInd w:val="0"/>
        <w:ind w:left="851"/>
        <w:rPr>
          <w:sz w:val="24"/>
          <w:szCs w:val="24"/>
        </w:rPr>
      </w:pPr>
      <w:proofErr w:type="spellStart"/>
      <w:r w:rsidRPr="007475F3">
        <w:rPr>
          <w:sz w:val="24"/>
          <w:szCs w:val="24"/>
        </w:rPr>
        <w:t>Neutropeni</w:t>
      </w:r>
      <w:proofErr w:type="spellEnd"/>
      <w:r w:rsidRPr="007475F3">
        <w:rPr>
          <w:sz w:val="24"/>
          <w:szCs w:val="24"/>
        </w:rPr>
        <w:t xml:space="preserve"> er en dosisbegrænsende toksisk virkning. </w:t>
      </w:r>
      <w:proofErr w:type="spellStart"/>
      <w:r w:rsidRPr="007475F3">
        <w:rPr>
          <w:sz w:val="24"/>
          <w:szCs w:val="24"/>
        </w:rPr>
        <w:t>Neutropeni</w:t>
      </w:r>
      <w:proofErr w:type="spellEnd"/>
      <w:r w:rsidRPr="007475F3">
        <w:rPr>
          <w:sz w:val="24"/>
          <w:szCs w:val="24"/>
        </w:rPr>
        <w:t xml:space="preserve"> er reversibel og ikke kumulativ. Mediantid til nadir var 8 dage, uanset om behandlingen gives som mono- eller kombinationsterapi.</w:t>
      </w:r>
    </w:p>
    <w:p w14:paraId="2F3975B3" w14:textId="77777777" w:rsidR="00792FF9" w:rsidRPr="007475F3" w:rsidRDefault="00792FF9" w:rsidP="00F42A29">
      <w:pPr>
        <w:autoSpaceDE w:val="0"/>
        <w:autoSpaceDN w:val="0"/>
        <w:adjustRightInd w:val="0"/>
        <w:ind w:left="851"/>
        <w:rPr>
          <w:sz w:val="24"/>
          <w:szCs w:val="24"/>
        </w:rPr>
      </w:pPr>
    </w:p>
    <w:p w14:paraId="4A652E17" w14:textId="77777777" w:rsidR="00792FF9" w:rsidRPr="007475F3" w:rsidRDefault="00792FF9" w:rsidP="00F42A29">
      <w:pPr>
        <w:autoSpaceDE w:val="0"/>
        <w:autoSpaceDN w:val="0"/>
        <w:adjustRightInd w:val="0"/>
        <w:ind w:left="851"/>
        <w:rPr>
          <w:sz w:val="24"/>
          <w:szCs w:val="24"/>
        </w:rPr>
      </w:pPr>
      <w:r w:rsidRPr="007475F3">
        <w:rPr>
          <w:sz w:val="24"/>
          <w:szCs w:val="24"/>
        </w:rPr>
        <w:t xml:space="preserve">Meget almindelige tilfælde af alvorligt, forbigående akut </w:t>
      </w:r>
      <w:proofErr w:type="spellStart"/>
      <w:r w:rsidRPr="007475F3">
        <w:rPr>
          <w:sz w:val="24"/>
          <w:szCs w:val="24"/>
        </w:rPr>
        <w:t>kolinergt</w:t>
      </w:r>
      <w:proofErr w:type="spellEnd"/>
      <w:r w:rsidRPr="007475F3">
        <w:rPr>
          <w:sz w:val="24"/>
          <w:szCs w:val="24"/>
        </w:rPr>
        <w:t xml:space="preserve"> syndrom er set.</w:t>
      </w:r>
    </w:p>
    <w:p w14:paraId="26A60EEF" w14:textId="77777777" w:rsidR="00792FF9" w:rsidRPr="007475F3" w:rsidRDefault="00792FF9" w:rsidP="00F42A29">
      <w:pPr>
        <w:autoSpaceDE w:val="0"/>
        <w:autoSpaceDN w:val="0"/>
        <w:adjustRightInd w:val="0"/>
        <w:ind w:left="851"/>
        <w:rPr>
          <w:sz w:val="24"/>
          <w:szCs w:val="24"/>
        </w:rPr>
      </w:pPr>
    </w:p>
    <w:p w14:paraId="4B97B3DA" w14:textId="77777777" w:rsidR="00792FF9" w:rsidRPr="007475F3" w:rsidRDefault="00792FF9" w:rsidP="00F42A29">
      <w:pPr>
        <w:autoSpaceDE w:val="0"/>
        <w:autoSpaceDN w:val="0"/>
        <w:adjustRightInd w:val="0"/>
        <w:ind w:left="851"/>
        <w:rPr>
          <w:sz w:val="24"/>
          <w:szCs w:val="24"/>
        </w:rPr>
      </w:pPr>
      <w:r w:rsidRPr="007475F3">
        <w:rPr>
          <w:sz w:val="24"/>
          <w:szCs w:val="24"/>
        </w:rPr>
        <w:t xml:space="preserve">Hovedsymptomerne defineres som tidligt indsættende diarré og et symptombillede karakteriseret ved </w:t>
      </w:r>
      <w:proofErr w:type="spellStart"/>
      <w:r w:rsidRPr="007475F3">
        <w:rPr>
          <w:sz w:val="24"/>
          <w:szCs w:val="24"/>
        </w:rPr>
        <w:t>abdominalsmerter</w:t>
      </w:r>
      <w:proofErr w:type="spellEnd"/>
      <w:r w:rsidRPr="007475F3">
        <w:rPr>
          <w:sz w:val="24"/>
          <w:szCs w:val="24"/>
        </w:rPr>
        <w:t xml:space="preserve">, svedudbrud, </w:t>
      </w:r>
      <w:proofErr w:type="spellStart"/>
      <w:r w:rsidRPr="007475F3">
        <w:rPr>
          <w:sz w:val="24"/>
          <w:szCs w:val="24"/>
        </w:rPr>
        <w:t>miosis</w:t>
      </w:r>
      <w:proofErr w:type="spellEnd"/>
      <w:r w:rsidRPr="007475F3">
        <w:rPr>
          <w:sz w:val="24"/>
          <w:szCs w:val="24"/>
        </w:rPr>
        <w:t xml:space="preserve">, og øget spytflåd, der opstår under eller indenfor de første 24 timer efter infusion af </w:t>
      </w:r>
      <w:proofErr w:type="spellStart"/>
      <w:r w:rsidRPr="007475F3">
        <w:rPr>
          <w:sz w:val="24"/>
          <w:szCs w:val="24"/>
        </w:rPr>
        <w:t>irinotecan</w:t>
      </w:r>
      <w:proofErr w:type="spellEnd"/>
      <w:r w:rsidRPr="007475F3">
        <w:rPr>
          <w:sz w:val="24"/>
          <w:szCs w:val="24"/>
        </w:rPr>
        <w:t>. Disse symptomer forsvinder efter atropinadministration (se pkt. 4.4).</w:t>
      </w:r>
    </w:p>
    <w:p w14:paraId="15DB818C" w14:textId="77777777" w:rsidR="00792FF9" w:rsidRPr="007475F3" w:rsidRDefault="00792FF9" w:rsidP="00F42A29">
      <w:pPr>
        <w:autoSpaceDE w:val="0"/>
        <w:autoSpaceDN w:val="0"/>
        <w:adjustRightInd w:val="0"/>
        <w:ind w:left="851"/>
        <w:rPr>
          <w:sz w:val="24"/>
          <w:szCs w:val="24"/>
        </w:rPr>
      </w:pPr>
    </w:p>
    <w:p w14:paraId="2105990D" w14:textId="77777777" w:rsidR="00792FF9" w:rsidRPr="007475F3" w:rsidRDefault="00792FF9" w:rsidP="00F42A29">
      <w:pPr>
        <w:autoSpaceDE w:val="0"/>
        <w:autoSpaceDN w:val="0"/>
        <w:adjustRightInd w:val="0"/>
        <w:ind w:left="851"/>
        <w:rPr>
          <w:i/>
          <w:sz w:val="24"/>
          <w:szCs w:val="24"/>
        </w:rPr>
      </w:pPr>
      <w:r w:rsidRPr="007475F3">
        <w:rPr>
          <w:i/>
          <w:iCs/>
          <w:sz w:val="24"/>
          <w:szCs w:val="24"/>
        </w:rPr>
        <w:t>Monoterapi</w:t>
      </w:r>
    </w:p>
    <w:p w14:paraId="6ECD3C3F" w14:textId="5C7D2DF7" w:rsidR="00792FF9" w:rsidRPr="007475F3" w:rsidRDefault="00792FF9" w:rsidP="00F42A29">
      <w:pPr>
        <w:autoSpaceDE w:val="0"/>
        <w:autoSpaceDN w:val="0"/>
        <w:adjustRightInd w:val="0"/>
        <w:ind w:left="851"/>
        <w:rPr>
          <w:sz w:val="24"/>
          <w:szCs w:val="24"/>
        </w:rPr>
      </w:pPr>
      <w:r w:rsidRPr="007475F3">
        <w:rPr>
          <w:sz w:val="24"/>
          <w:szCs w:val="24"/>
        </w:rPr>
        <w:t xml:space="preserve">Følgende bivirkninger med mulig eller sandsynlig relation til administration af </w:t>
      </w:r>
      <w:proofErr w:type="spellStart"/>
      <w:r w:rsidRPr="007475F3">
        <w:rPr>
          <w:sz w:val="24"/>
          <w:szCs w:val="24"/>
        </w:rPr>
        <w:t>irinotecan</w:t>
      </w:r>
      <w:proofErr w:type="spellEnd"/>
      <w:r w:rsidRPr="007475F3">
        <w:rPr>
          <w:sz w:val="24"/>
          <w:szCs w:val="24"/>
        </w:rPr>
        <w:t xml:space="preserve"> er rapporteret hos 765 patienter ved den anbefalede dosis på 350 mg/m</w:t>
      </w:r>
      <w:r w:rsidRPr="007475F3">
        <w:rPr>
          <w:sz w:val="24"/>
          <w:szCs w:val="24"/>
          <w:vertAlign w:val="superscript"/>
        </w:rPr>
        <w:t>2</w:t>
      </w:r>
      <w:r w:rsidRPr="007475F3">
        <w:rPr>
          <w:sz w:val="24"/>
          <w:szCs w:val="24"/>
        </w:rPr>
        <w:t xml:space="preserve"> i monoterapi. Inden for hver frekvensgruppe er bivirkningerne opstillet efter faldende alvorlighed. Hyppighed er defineret som: meget almindelig (≥1/10), almindelig (≥1/100 til &lt;1/10), ikke almindelig (≥1/1.000 til &lt;1/100), sjælden (≥1/10.000 til &lt;1/1.000) og meget sjælden (&lt;1/10.000).</w:t>
      </w:r>
    </w:p>
    <w:p w14:paraId="528D2363" w14:textId="77777777" w:rsidR="00792FF9" w:rsidRPr="007475F3" w:rsidRDefault="00792FF9" w:rsidP="00792FF9">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7"/>
        <w:gridCol w:w="3205"/>
      </w:tblGrid>
      <w:tr w:rsidR="00792FF9" w:rsidRPr="007475F3" w14:paraId="33A49E70" w14:textId="77777777" w:rsidTr="00F42A29">
        <w:trPr>
          <w:trHeight w:val="301"/>
        </w:trPr>
        <w:tc>
          <w:tcPr>
            <w:tcW w:w="5000" w:type="pct"/>
            <w:gridSpan w:val="3"/>
            <w:tcBorders>
              <w:top w:val="single" w:sz="12" w:space="0" w:color="auto"/>
              <w:left w:val="single" w:sz="12" w:space="0" w:color="auto"/>
              <w:bottom w:val="single" w:sz="12" w:space="0" w:color="auto"/>
              <w:right w:val="single" w:sz="4" w:space="0" w:color="auto"/>
            </w:tcBorders>
            <w:hideMark/>
          </w:tcPr>
          <w:p w14:paraId="0B937964" w14:textId="77777777" w:rsidR="00792FF9" w:rsidRPr="007475F3" w:rsidRDefault="00792FF9">
            <w:pPr>
              <w:autoSpaceDE w:val="0"/>
              <w:autoSpaceDN w:val="0"/>
              <w:adjustRightInd w:val="0"/>
              <w:rPr>
                <w:sz w:val="24"/>
                <w:szCs w:val="24"/>
              </w:rPr>
            </w:pPr>
            <w:r w:rsidRPr="007475F3">
              <w:rPr>
                <w:b/>
                <w:bCs/>
                <w:sz w:val="24"/>
                <w:szCs w:val="24"/>
              </w:rPr>
              <w:t xml:space="preserve">Bivirkninger rapporteret med </w:t>
            </w:r>
            <w:proofErr w:type="spellStart"/>
            <w:r w:rsidRPr="007475F3">
              <w:rPr>
                <w:b/>
                <w:bCs/>
                <w:sz w:val="24"/>
                <w:szCs w:val="24"/>
              </w:rPr>
              <w:t>irinotecan</w:t>
            </w:r>
            <w:proofErr w:type="spellEnd"/>
            <w:r w:rsidRPr="007475F3">
              <w:rPr>
                <w:b/>
                <w:bCs/>
                <w:sz w:val="24"/>
                <w:szCs w:val="24"/>
              </w:rPr>
              <w:t xml:space="preserve"> ved monoterapi (350 mg/m</w:t>
            </w:r>
            <w:r w:rsidRPr="007475F3">
              <w:rPr>
                <w:b/>
                <w:bCs/>
                <w:sz w:val="24"/>
                <w:szCs w:val="24"/>
                <w:vertAlign w:val="superscript"/>
              </w:rPr>
              <w:t>2</w:t>
            </w:r>
            <w:r w:rsidRPr="007475F3">
              <w:rPr>
                <w:b/>
                <w:bCs/>
                <w:sz w:val="24"/>
                <w:szCs w:val="24"/>
              </w:rPr>
              <w:t xml:space="preserve"> hver 3. uge)</w:t>
            </w:r>
          </w:p>
        </w:tc>
      </w:tr>
      <w:tr w:rsidR="00792FF9" w:rsidRPr="007475F3" w14:paraId="25663A84"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4D5EEF80" w14:textId="77777777" w:rsidR="00792FF9" w:rsidRPr="007475F3" w:rsidRDefault="00792FF9">
            <w:pPr>
              <w:autoSpaceDE w:val="0"/>
              <w:autoSpaceDN w:val="0"/>
              <w:adjustRightInd w:val="0"/>
              <w:rPr>
                <w:sz w:val="24"/>
                <w:szCs w:val="24"/>
              </w:rPr>
            </w:pPr>
            <w:proofErr w:type="spellStart"/>
            <w:r w:rsidRPr="007475F3">
              <w:rPr>
                <w:b/>
                <w:bCs/>
                <w:sz w:val="24"/>
                <w:szCs w:val="24"/>
              </w:rPr>
              <w:t>MedDRA</w:t>
            </w:r>
            <w:proofErr w:type="spellEnd"/>
            <w:r w:rsidRPr="007475F3">
              <w:rPr>
                <w:b/>
                <w:bCs/>
                <w:sz w:val="24"/>
                <w:szCs w:val="24"/>
              </w:rPr>
              <w:t>-systemorganklasse</w:t>
            </w:r>
          </w:p>
        </w:tc>
        <w:tc>
          <w:tcPr>
            <w:tcW w:w="1667" w:type="pct"/>
            <w:tcBorders>
              <w:top w:val="single" w:sz="12" w:space="0" w:color="auto"/>
              <w:left w:val="single" w:sz="12" w:space="0" w:color="auto"/>
              <w:bottom w:val="single" w:sz="12" w:space="0" w:color="auto"/>
              <w:right w:val="single" w:sz="12" w:space="0" w:color="auto"/>
            </w:tcBorders>
            <w:hideMark/>
          </w:tcPr>
          <w:p w14:paraId="4E16DFE9" w14:textId="77777777" w:rsidR="00792FF9" w:rsidRPr="007475F3" w:rsidRDefault="00792FF9">
            <w:pPr>
              <w:autoSpaceDE w:val="0"/>
              <w:autoSpaceDN w:val="0"/>
              <w:adjustRightInd w:val="0"/>
              <w:rPr>
                <w:sz w:val="24"/>
                <w:szCs w:val="24"/>
              </w:rPr>
            </w:pPr>
            <w:r w:rsidRPr="007475F3">
              <w:rPr>
                <w:b/>
                <w:bCs/>
                <w:sz w:val="24"/>
                <w:szCs w:val="24"/>
              </w:rPr>
              <w:t>Frekvenskategori</w:t>
            </w:r>
          </w:p>
        </w:tc>
        <w:tc>
          <w:tcPr>
            <w:tcW w:w="1667" w:type="pct"/>
            <w:tcBorders>
              <w:top w:val="single" w:sz="12" w:space="0" w:color="auto"/>
              <w:left w:val="single" w:sz="12" w:space="0" w:color="auto"/>
              <w:bottom w:val="single" w:sz="12" w:space="0" w:color="auto"/>
              <w:right w:val="single" w:sz="12" w:space="0" w:color="auto"/>
            </w:tcBorders>
            <w:hideMark/>
          </w:tcPr>
          <w:p w14:paraId="5E98C263" w14:textId="77777777" w:rsidR="00792FF9" w:rsidRPr="007475F3" w:rsidRDefault="00792FF9">
            <w:pPr>
              <w:autoSpaceDE w:val="0"/>
              <w:autoSpaceDN w:val="0"/>
              <w:adjustRightInd w:val="0"/>
              <w:rPr>
                <w:sz w:val="24"/>
                <w:szCs w:val="24"/>
              </w:rPr>
            </w:pPr>
            <w:r w:rsidRPr="007475F3">
              <w:rPr>
                <w:b/>
                <w:bCs/>
                <w:sz w:val="24"/>
                <w:szCs w:val="24"/>
              </w:rPr>
              <w:t>Foretrukken term</w:t>
            </w:r>
          </w:p>
        </w:tc>
      </w:tr>
      <w:tr w:rsidR="00792FF9" w:rsidRPr="007475F3" w14:paraId="7A69ED29"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5DDF98AB" w14:textId="77777777" w:rsidR="00792FF9" w:rsidRPr="007475F3" w:rsidRDefault="00792FF9">
            <w:pPr>
              <w:autoSpaceDE w:val="0"/>
              <w:autoSpaceDN w:val="0"/>
              <w:adjustRightInd w:val="0"/>
              <w:rPr>
                <w:sz w:val="24"/>
                <w:szCs w:val="24"/>
              </w:rPr>
            </w:pPr>
            <w:r w:rsidRPr="007475F3">
              <w:rPr>
                <w:sz w:val="24"/>
                <w:szCs w:val="24"/>
              </w:rPr>
              <w:t>Infektioner og parasitære sygdomme</w:t>
            </w:r>
          </w:p>
        </w:tc>
        <w:tc>
          <w:tcPr>
            <w:tcW w:w="1667" w:type="pct"/>
            <w:tcBorders>
              <w:top w:val="single" w:sz="12" w:space="0" w:color="auto"/>
              <w:left w:val="single" w:sz="12" w:space="0" w:color="auto"/>
              <w:bottom w:val="single" w:sz="12" w:space="0" w:color="auto"/>
              <w:right w:val="single" w:sz="12" w:space="0" w:color="auto"/>
            </w:tcBorders>
            <w:hideMark/>
          </w:tcPr>
          <w:p w14:paraId="65F0B33B"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5E18D9D7" w14:textId="77777777" w:rsidR="00792FF9" w:rsidRPr="007475F3" w:rsidRDefault="00792FF9">
            <w:pPr>
              <w:autoSpaceDE w:val="0"/>
              <w:autoSpaceDN w:val="0"/>
              <w:adjustRightInd w:val="0"/>
              <w:rPr>
                <w:sz w:val="24"/>
                <w:szCs w:val="24"/>
              </w:rPr>
            </w:pPr>
            <w:r w:rsidRPr="007475F3">
              <w:rPr>
                <w:sz w:val="24"/>
                <w:szCs w:val="24"/>
              </w:rPr>
              <w:t>Infektion</w:t>
            </w:r>
          </w:p>
        </w:tc>
      </w:tr>
      <w:tr w:rsidR="00792FF9" w:rsidRPr="007475F3" w14:paraId="486175C9" w14:textId="77777777" w:rsidTr="00F42A29">
        <w:trPr>
          <w:trHeight w:val="283"/>
        </w:trPr>
        <w:tc>
          <w:tcPr>
            <w:tcW w:w="1667" w:type="pct"/>
            <w:vMerge w:val="restart"/>
            <w:tcBorders>
              <w:top w:val="single" w:sz="12" w:space="0" w:color="auto"/>
              <w:left w:val="single" w:sz="12" w:space="0" w:color="auto"/>
              <w:bottom w:val="single" w:sz="12" w:space="0" w:color="auto"/>
              <w:right w:val="single" w:sz="12" w:space="0" w:color="auto"/>
            </w:tcBorders>
            <w:hideMark/>
          </w:tcPr>
          <w:p w14:paraId="4CBC38DA" w14:textId="77777777" w:rsidR="00792FF9" w:rsidRPr="007475F3" w:rsidRDefault="00792FF9">
            <w:pPr>
              <w:autoSpaceDE w:val="0"/>
              <w:autoSpaceDN w:val="0"/>
              <w:adjustRightInd w:val="0"/>
              <w:rPr>
                <w:sz w:val="24"/>
                <w:szCs w:val="24"/>
              </w:rPr>
            </w:pPr>
            <w:r w:rsidRPr="007475F3">
              <w:rPr>
                <w:sz w:val="24"/>
                <w:szCs w:val="24"/>
              </w:rPr>
              <w:t>Blod og lymfesystem</w:t>
            </w:r>
          </w:p>
        </w:tc>
        <w:tc>
          <w:tcPr>
            <w:tcW w:w="1667" w:type="pct"/>
            <w:tcBorders>
              <w:top w:val="single" w:sz="12" w:space="0" w:color="auto"/>
              <w:left w:val="single" w:sz="12" w:space="0" w:color="auto"/>
              <w:bottom w:val="single" w:sz="12" w:space="0" w:color="auto"/>
              <w:right w:val="single" w:sz="12" w:space="0" w:color="auto"/>
            </w:tcBorders>
            <w:hideMark/>
          </w:tcPr>
          <w:p w14:paraId="6BDDDFE1"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39E2AF07" w14:textId="77777777" w:rsidR="00792FF9" w:rsidRPr="007475F3" w:rsidRDefault="00792FF9">
            <w:pPr>
              <w:autoSpaceDE w:val="0"/>
              <w:autoSpaceDN w:val="0"/>
              <w:adjustRightInd w:val="0"/>
              <w:rPr>
                <w:sz w:val="24"/>
                <w:szCs w:val="24"/>
              </w:rPr>
            </w:pPr>
            <w:proofErr w:type="spellStart"/>
            <w:r w:rsidRPr="007475F3">
              <w:rPr>
                <w:sz w:val="24"/>
                <w:szCs w:val="24"/>
              </w:rPr>
              <w:t>Neutropeni</w:t>
            </w:r>
            <w:proofErr w:type="spellEnd"/>
          </w:p>
        </w:tc>
      </w:tr>
      <w:tr w:rsidR="00792FF9" w:rsidRPr="007475F3" w14:paraId="3ED673FF" w14:textId="77777777" w:rsidTr="00F42A29">
        <w:trPr>
          <w:trHeight w:val="263"/>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5DF07C7B"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6DE45A11"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6C6020C7" w14:textId="77777777" w:rsidR="00792FF9" w:rsidRPr="007475F3" w:rsidRDefault="00792FF9">
            <w:pPr>
              <w:autoSpaceDE w:val="0"/>
              <w:autoSpaceDN w:val="0"/>
              <w:adjustRightInd w:val="0"/>
              <w:rPr>
                <w:sz w:val="24"/>
                <w:szCs w:val="24"/>
              </w:rPr>
            </w:pPr>
            <w:r w:rsidRPr="007475F3">
              <w:rPr>
                <w:sz w:val="24"/>
                <w:szCs w:val="24"/>
              </w:rPr>
              <w:t>Anæmi</w:t>
            </w:r>
          </w:p>
        </w:tc>
      </w:tr>
      <w:tr w:rsidR="00792FF9" w:rsidRPr="007475F3" w14:paraId="34B604F7" w14:textId="77777777" w:rsidTr="00F42A29">
        <w:trPr>
          <w:trHeight w:val="125"/>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442CC14C"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04005B47"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1CBA5E07" w14:textId="77777777" w:rsidR="00792FF9" w:rsidRPr="007475F3" w:rsidRDefault="00792FF9">
            <w:pPr>
              <w:autoSpaceDE w:val="0"/>
              <w:autoSpaceDN w:val="0"/>
              <w:adjustRightInd w:val="0"/>
              <w:rPr>
                <w:sz w:val="24"/>
                <w:szCs w:val="24"/>
              </w:rPr>
            </w:pPr>
            <w:proofErr w:type="spellStart"/>
            <w:r w:rsidRPr="007475F3">
              <w:rPr>
                <w:sz w:val="24"/>
                <w:szCs w:val="24"/>
              </w:rPr>
              <w:t>Trombocytopeni</w:t>
            </w:r>
            <w:proofErr w:type="spellEnd"/>
          </w:p>
        </w:tc>
      </w:tr>
      <w:tr w:rsidR="00792FF9" w:rsidRPr="007475F3" w14:paraId="44FC8F2D" w14:textId="77777777" w:rsidTr="00F42A29">
        <w:trPr>
          <w:trHeight w:val="124"/>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45E94A14"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21CBACA5"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1DAB0571" w14:textId="77777777" w:rsidR="00792FF9" w:rsidRPr="007475F3" w:rsidRDefault="00792FF9">
            <w:pPr>
              <w:autoSpaceDE w:val="0"/>
              <w:autoSpaceDN w:val="0"/>
              <w:adjustRightInd w:val="0"/>
              <w:rPr>
                <w:sz w:val="24"/>
                <w:szCs w:val="24"/>
              </w:rPr>
            </w:pPr>
            <w:r w:rsidRPr="007475F3">
              <w:rPr>
                <w:sz w:val="24"/>
                <w:szCs w:val="24"/>
              </w:rPr>
              <w:t xml:space="preserve">Febril </w:t>
            </w:r>
            <w:proofErr w:type="spellStart"/>
            <w:r w:rsidRPr="007475F3">
              <w:rPr>
                <w:sz w:val="24"/>
                <w:szCs w:val="24"/>
              </w:rPr>
              <w:t>neutropeni</w:t>
            </w:r>
            <w:proofErr w:type="spellEnd"/>
          </w:p>
        </w:tc>
      </w:tr>
      <w:tr w:rsidR="00792FF9" w:rsidRPr="007475F3" w14:paraId="6F206012"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280D83FF" w14:textId="77777777" w:rsidR="00792FF9" w:rsidRPr="007475F3" w:rsidRDefault="00792FF9">
            <w:pPr>
              <w:autoSpaceDE w:val="0"/>
              <w:autoSpaceDN w:val="0"/>
              <w:adjustRightInd w:val="0"/>
              <w:rPr>
                <w:sz w:val="24"/>
                <w:szCs w:val="24"/>
              </w:rPr>
            </w:pPr>
            <w:r w:rsidRPr="007475F3">
              <w:rPr>
                <w:sz w:val="24"/>
                <w:szCs w:val="24"/>
              </w:rPr>
              <w:t>Metabolisme og ernæring</w:t>
            </w:r>
          </w:p>
        </w:tc>
        <w:tc>
          <w:tcPr>
            <w:tcW w:w="1667" w:type="pct"/>
            <w:tcBorders>
              <w:top w:val="single" w:sz="12" w:space="0" w:color="auto"/>
              <w:left w:val="single" w:sz="12" w:space="0" w:color="auto"/>
              <w:bottom w:val="single" w:sz="12" w:space="0" w:color="auto"/>
              <w:right w:val="single" w:sz="12" w:space="0" w:color="auto"/>
            </w:tcBorders>
            <w:hideMark/>
          </w:tcPr>
          <w:p w14:paraId="298D8E87"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36A1900F" w14:textId="77777777" w:rsidR="00792FF9" w:rsidRPr="007475F3" w:rsidRDefault="00792FF9">
            <w:pPr>
              <w:autoSpaceDE w:val="0"/>
              <w:autoSpaceDN w:val="0"/>
              <w:adjustRightInd w:val="0"/>
              <w:rPr>
                <w:sz w:val="24"/>
                <w:szCs w:val="24"/>
              </w:rPr>
            </w:pPr>
            <w:r w:rsidRPr="007475F3">
              <w:rPr>
                <w:sz w:val="24"/>
                <w:szCs w:val="24"/>
              </w:rPr>
              <w:t>Nedsat appetit</w:t>
            </w:r>
          </w:p>
        </w:tc>
      </w:tr>
      <w:tr w:rsidR="00792FF9" w:rsidRPr="007475F3" w14:paraId="6165F99D"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48127D76" w14:textId="77777777" w:rsidR="00792FF9" w:rsidRPr="007475F3" w:rsidRDefault="00792FF9">
            <w:pPr>
              <w:autoSpaceDE w:val="0"/>
              <w:autoSpaceDN w:val="0"/>
              <w:adjustRightInd w:val="0"/>
              <w:rPr>
                <w:sz w:val="24"/>
                <w:szCs w:val="24"/>
              </w:rPr>
            </w:pPr>
            <w:r w:rsidRPr="007475F3">
              <w:rPr>
                <w:sz w:val="24"/>
                <w:szCs w:val="24"/>
              </w:rPr>
              <w:t>Nervesystemet</w:t>
            </w:r>
          </w:p>
        </w:tc>
        <w:tc>
          <w:tcPr>
            <w:tcW w:w="1667" w:type="pct"/>
            <w:tcBorders>
              <w:top w:val="single" w:sz="12" w:space="0" w:color="auto"/>
              <w:left w:val="single" w:sz="12" w:space="0" w:color="auto"/>
              <w:bottom w:val="single" w:sz="12" w:space="0" w:color="auto"/>
              <w:right w:val="single" w:sz="12" w:space="0" w:color="auto"/>
            </w:tcBorders>
            <w:hideMark/>
          </w:tcPr>
          <w:p w14:paraId="0863F981"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7E6770F9" w14:textId="77777777" w:rsidR="00792FF9" w:rsidRPr="007475F3" w:rsidRDefault="00792FF9">
            <w:pPr>
              <w:autoSpaceDE w:val="0"/>
              <w:autoSpaceDN w:val="0"/>
              <w:adjustRightInd w:val="0"/>
              <w:rPr>
                <w:sz w:val="24"/>
                <w:szCs w:val="24"/>
              </w:rPr>
            </w:pPr>
            <w:proofErr w:type="spellStart"/>
            <w:r w:rsidRPr="007475F3">
              <w:rPr>
                <w:sz w:val="24"/>
                <w:szCs w:val="24"/>
              </w:rPr>
              <w:t>Kolinergt</w:t>
            </w:r>
            <w:proofErr w:type="spellEnd"/>
            <w:r w:rsidRPr="007475F3">
              <w:rPr>
                <w:sz w:val="24"/>
                <w:szCs w:val="24"/>
              </w:rPr>
              <w:t xml:space="preserve"> syndrom</w:t>
            </w:r>
          </w:p>
        </w:tc>
      </w:tr>
      <w:tr w:rsidR="00792FF9" w:rsidRPr="007475F3" w14:paraId="04BC1331" w14:textId="77777777" w:rsidTr="00F42A29">
        <w:trPr>
          <w:trHeight w:val="50"/>
        </w:trPr>
        <w:tc>
          <w:tcPr>
            <w:tcW w:w="1667" w:type="pct"/>
            <w:vMerge w:val="restart"/>
            <w:tcBorders>
              <w:top w:val="single" w:sz="12" w:space="0" w:color="auto"/>
              <w:left w:val="single" w:sz="12" w:space="0" w:color="auto"/>
              <w:bottom w:val="single" w:sz="12" w:space="0" w:color="auto"/>
              <w:right w:val="single" w:sz="12" w:space="0" w:color="auto"/>
            </w:tcBorders>
            <w:hideMark/>
          </w:tcPr>
          <w:p w14:paraId="2025F14D" w14:textId="77777777" w:rsidR="00792FF9" w:rsidRPr="007475F3" w:rsidRDefault="00792FF9">
            <w:pPr>
              <w:autoSpaceDE w:val="0"/>
              <w:autoSpaceDN w:val="0"/>
              <w:adjustRightInd w:val="0"/>
              <w:rPr>
                <w:sz w:val="24"/>
                <w:szCs w:val="24"/>
              </w:rPr>
            </w:pPr>
            <w:proofErr w:type="spellStart"/>
            <w:r w:rsidRPr="007475F3">
              <w:rPr>
                <w:sz w:val="24"/>
                <w:szCs w:val="24"/>
              </w:rPr>
              <w:t>Gastrointestinale</w:t>
            </w:r>
            <w:proofErr w:type="spellEnd"/>
            <w:r w:rsidRPr="007475F3">
              <w:rPr>
                <w:sz w:val="24"/>
                <w:szCs w:val="24"/>
              </w:rPr>
              <w:t xml:space="preserve"> sygdomme</w:t>
            </w:r>
          </w:p>
        </w:tc>
        <w:tc>
          <w:tcPr>
            <w:tcW w:w="1667" w:type="pct"/>
            <w:tcBorders>
              <w:top w:val="single" w:sz="12" w:space="0" w:color="auto"/>
              <w:left w:val="single" w:sz="12" w:space="0" w:color="auto"/>
              <w:bottom w:val="single" w:sz="12" w:space="0" w:color="auto"/>
              <w:right w:val="single" w:sz="12" w:space="0" w:color="auto"/>
            </w:tcBorders>
            <w:hideMark/>
          </w:tcPr>
          <w:p w14:paraId="6AA6D4B6"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1D3B3DBC" w14:textId="77777777" w:rsidR="00792FF9" w:rsidRPr="007475F3" w:rsidRDefault="00792FF9">
            <w:pPr>
              <w:autoSpaceDE w:val="0"/>
              <w:autoSpaceDN w:val="0"/>
              <w:adjustRightInd w:val="0"/>
              <w:rPr>
                <w:sz w:val="24"/>
                <w:szCs w:val="24"/>
              </w:rPr>
            </w:pPr>
            <w:r w:rsidRPr="007475F3">
              <w:rPr>
                <w:sz w:val="24"/>
                <w:szCs w:val="24"/>
              </w:rPr>
              <w:t>Diarré</w:t>
            </w:r>
          </w:p>
        </w:tc>
      </w:tr>
      <w:tr w:rsidR="00792FF9" w:rsidRPr="007475F3" w14:paraId="4A7412A3" w14:textId="77777777" w:rsidTr="00F42A29">
        <w:trPr>
          <w:trHeight w:val="48"/>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3E38F3A0"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29E71D23"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2255A3A7" w14:textId="77777777" w:rsidR="00792FF9" w:rsidRPr="007475F3" w:rsidRDefault="00792FF9">
            <w:pPr>
              <w:autoSpaceDE w:val="0"/>
              <w:autoSpaceDN w:val="0"/>
              <w:adjustRightInd w:val="0"/>
              <w:rPr>
                <w:sz w:val="24"/>
                <w:szCs w:val="24"/>
              </w:rPr>
            </w:pPr>
            <w:r w:rsidRPr="007475F3">
              <w:rPr>
                <w:sz w:val="24"/>
                <w:szCs w:val="24"/>
              </w:rPr>
              <w:t>Opkastning</w:t>
            </w:r>
          </w:p>
        </w:tc>
      </w:tr>
      <w:tr w:rsidR="00792FF9" w:rsidRPr="007475F3" w14:paraId="50FA1ED8" w14:textId="77777777" w:rsidTr="00F42A29">
        <w:trPr>
          <w:trHeight w:val="48"/>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61FBD04E"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1473190E"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1E94E3F6" w14:textId="77777777" w:rsidR="00792FF9" w:rsidRPr="007475F3" w:rsidRDefault="00792FF9">
            <w:pPr>
              <w:autoSpaceDE w:val="0"/>
              <w:autoSpaceDN w:val="0"/>
              <w:adjustRightInd w:val="0"/>
              <w:rPr>
                <w:sz w:val="24"/>
                <w:szCs w:val="24"/>
              </w:rPr>
            </w:pPr>
            <w:r w:rsidRPr="007475F3">
              <w:rPr>
                <w:sz w:val="24"/>
                <w:szCs w:val="24"/>
              </w:rPr>
              <w:t>Kvalme</w:t>
            </w:r>
          </w:p>
        </w:tc>
      </w:tr>
      <w:tr w:rsidR="00792FF9" w:rsidRPr="007475F3" w14:paraId="6F7EE452"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267E3370"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528829E6"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4CBC5111" w14:textId="77777777" w:rsidR="00792FF9" w:rsidRPr="007475F3" w:rsidRDefault="00792FF9">
            <w:pPr>
              <w:autoSpaceDE w:val="0"/>
              <w:autoSpaceDN w:val="0"/>
              <w:adjustRightInd w:val="0"/>
              <w:rPr>
                <w:sz w:val="24"/>
                <w:szCs w:val="24"/>
              </w:rPr>
            </w:pPr>
            <w:r w:rsidRPr="007475F3">
              <w:rPr>
                <w:sz w:val="24"/>
                <w:szCs w:val="24"/>
              </w:rPr>
              <w:t>Mavesmerter</w:t>
            </w:r>
          </w:p>
        </w:tc>
      </w:tr>
      <w:tr w:rsidR="00792FF9" w:rsidRPr="007475F3" w14:paraId="59B0D0F6"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720A143F"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07B7BBD6"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2EADB977" w14:textId="77777777" w:rsidR="00792FF9" w:rsidRPr="007475F3" w:rsidRDefault="00792FF9">
            <w:pPr>
              <w:autoSpaceDE w:val="0"/>
              <w:autoSpaceDN w:val="0"/>
              <w:adjustRightInd w:val="0"/>
              <w:rPr>
                <w:sz w:val="24"/>
                <w:szCs w:val="24"/>
              </w:rPr>
            </w:pPr>
            <w:r w:rsidRPr="007475F3">
              <w:rPr>
                <w:sz w:val="24"/>
                <w:szCs w:val="24"/>
              </w:rPr>
              <w:t>Forstoppelse</w:t>
            </w:r>
          </w:p>
        </w:tc>
      </w:tr>
      <w:tr w:rsidR="00792FF9" w:rsidRPr="007475F3" w14:paraId="2690F80B"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6F4D5930" w14:textId="77777777" w:rsidR="00792FF9" w:rsidRPr="007475F3" w:rsidRDefault="00792FF9">
            <w:pPr>
              <w:autoSpaceDE w:val="0"/>
              <w:autoSpaceDN w:val="0"/>
              <w:adjustRightInd w:val="0"/>
              <w:rPr>
                <w:sz w:val="24"/>
                <w:szCs w:val="24"/>
              </w:rPr>
            </w:pPr>
            <w:r w:rsidRPr="007475F3">
              <w:rPr>
                <w:sz w:val="24"/>
                <w:szCs w:val="24"/>
              </w:rPr>
              <w:t>Hud og subkutane væv</w:t>
            </w:r>
          </w:p>
        </w:tc>
        <w:tc>
          <w:tcPr>
            <w:tcW w:w="1667" w:type="pct"/>
            <w:tcBorders>
              <w:top w:val="single" w:sz="12" w:space="0" w:color="auto"/>
              <w:left w:val="single" w:sz="12" w:space="0" w:color="auto"/>
              <w:bottom w:val="single" w:sz="12" w:space="0" w:color="auto"/>
              <w:right w:val="single" w:sz="12" w:space="0" w:color="auto"/>
            </w:tcBorders>
            <w:hideMark/>
          </w:tcPr>
          <w:p w14:paraId="05636EE4"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52A1DC65" w14:textId="77777777" w:rsidR="00792FF9" w:rsidRPr="007475F3" w:rsidRDefault="00792FF9">
            <w:pPr>
              <w:autoSpaceDE w:val="0"/>
              <w:autoSpaceDN w:val="0"/>
              <w:adjustRightInd w:val="0"/>
              <w:rPr>
                <w:sz w:val="24"/>
                <w:szCs w:val="24"/>
              </w:rPr>
            </w:pPr>
            <w:proofErr w:type="spellStart"/>
            <w:r w:rsidRPr="007475F3">
              <w:rPr>
                <w:sz w:val="24"/>
                <w:szCs w:val="24"/>
              </w:rPr>
              <w:t>Alopeci</w:t>
            </w:r>
            <w:proofErr w:type="spellEnd"/>
            <w:r w:rsidRPr="007475F3">
              <w:rPr>
                <w:sz w:val="24"/>
                <w:szCs w:val="24"/>
              </w:rPr>
              <w:t xml:space="preserve"> (reversibel)</w:t>
            </w:r>
          </w:p>
        </w:tc>
      </w:tr>
      <w:tr w:rsidR="00792FF9" w:rsidRPr="007475F3" w14:paraId="5B3F031C" w14:textId="77777777" w:rsidTr="00F42A29">
        <w:trPr>
          <w:trHeight w:val="130"/>
        </w:trPr>
        <w:tc>
          <w:tcPr>
            <w:tcW w:w="1667" w:type="pct"/>
            <w:vMerge w:val="restart"/>
            <w:tcBorders>
              <w:top w:val="single" w:sz="12" w:space="0" w:color="auto"/>
              <w:left w:val="single" w:sz="12" w:space="0" w:color="auto"/>
              <w:bottom w:val="single" w:sz="12" w:space="0" w:color="auto"/>
              <w:right w:val="single" w:sz="12" w:space="0" w:color="auto"/>
            </w:tcBorders>
            <w:hideMark/>
          </w:tcPr>
          <w:p w14:paraId="2288804F" w14:textId="77777777" w:rsidR="00792FF9" w:rsidRPr="007475F3" w:rsidRDefault="00792FF9">
            <w:pPr>
              <w:autoSpaceDE w:val="0"/>
              <w:autoSpaceDN w:val="0"/>
              <w:adjustRightInd w:val="0"/>
              <w:rPr>
                <w:sz w:val="24"/>
                <w:szCs w:val="24"/>
              </w:rPr>
            </w:pPr>
            <w:r w:rsidRPr="007475F3">
              <w:rPr>
                <w:sz w:val="24"/>
                <w:szCs w:val="24"/>
              </w:rPr>
              <w:lastRenderedPageBreak/>
              <w:t>Almene symptomer og reaktioner på administrationsstedet</w:t>
            </w:r>
          </w:p>
        </w:tc>
        <w:tc>
          <w:tcPr>
            <w:tcW w:w="1667" w:type="pct"/>
            <w:tcBorders>
              <w:top w:val="single" w:sz="12" w:space="0" w:color="auto"/>
              <w:left w:val="single" w:sz="12" w:space="0" w:color="auto"/>
              <w:bottom w:val="single" w:sz="12" w:space="0" w:color="auto"/>
              <w:right w:val="single" w:sz="12" w:space="0" w:color="auto"/>
            </w:tcBorders>
            <w:hideMark/>
          </w:tcPr>
          <w:p w14:paraId="69AF2705"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7F78E03A" w14:textId="77777777" w:rsidR="00792FF9" w:rsidRPr="007475F3" w:rsidRDefault="00792FF9">
            <w:pPr>
              <w:autoSpaceDE w:val="0"/>
              <w:autoSpaceDN w:val="0"/>
              <w:adjustRightInd w:val="0"/>
              <w:rPr>
                <w:sz w:val="24"/>
                <w:szCs w:val="24"/>
              </w:rPr>
            </w:pPr>
            <w:r w:rsidRPr="007475F3">
              <w:rPr>
                <w:sz w:val="24"/>
                <w:szCs w:val="24"/>
              </w:rPr>
              <w:t>Slimhindeinflammation</w:t>
            </w:r>
          </w:p>
        </w:tc>
      </w:tr>
      <w:tr w:rsidR="00792FF9" w:rsidRPr="007475F3" w14:paraId="7C5E3282" w14:textId="77777777" w:rsidTr="00F42A29">
        <w:trPr>
          <w:trHeight w:val="129"/>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1B6734B2"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615D5D3D"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55CEDF6D" w14:textId="77777777" w:rsidR="00792FF9" w:rsidRPr="007475F3" w:rsidRDefault="00792FF9">
            <w:pPr>
              <w:autoSpaceDE w:val="0"/>
              <w:autoSpaceDN w:val="0"/>
              <w:adjustRightInd w:val="0"/>
              <w:rPr>
                <w:sz w:val="24"/>
                <w:szCs w:val="24"/>
              </w:rPr>
            </w:pPr>
            <w:proofErr w:type="spellStart"/>
            <w:r w:rsidRPr="007475F3">
              <w:rPr>
                <w:sz w:val="24"/>
                <w:szCs w:val="24"/>
              </w:rPr>
              <w:t>Pyreksi</w:t>
            </w:r>
            <w:proofErr w:type="spellEnd"/>
          </w:p>
        </w:tc>
      </w:tr>
      <w:tr w:rsidR="00792FF9" w:rsidRPr="007475F3" w14:paraId="0A6DCD66" w14:textId="77777777" w:rsidTr="00F42A29">
        <w:trPr>
          <w:trHeight w:val="129"/>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44C4A43B"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46DD40C7"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4" w:space="0" w:color="auto"/>
            </w:tcBorders>
            <w:hideMark/>
          </w:tcPr>
          <w:p w14:paraId="310AE7DD" w14:textId="77777777" w:rsidR="00792FF9" w:rsidRPr="007475F3" w:rsidRDefault="00792FF9">
            <w:pPr>
              <w:autoSpaceDE w:val="0"/>
              <w:autoSpaceDN w:val="0"/>
              <w:adjustRightInd w:val="0"/>
              <w:rPr>
                <w:sz w:val="24"/>
                <w:szCs w:val="24"/>
              </w:rPr>
            </w:pPr>
            <w:r w:rsidRPr="007475F3">
              <w:rPr>
                <w:sz w:val="24"/>
                <w:szCs w:val="24"/>
              </w:rPr>
              <w:t>Asteni</w:t>
            </w:r>
          </w:p>
        </w:tc>
      </w:tr>
      <w:tr w:rsidR="00792FF9" w:rsidRPr="007475F3" w14:paraId="4C38A2D0" w14:textId="77777777" w:rsidTr="00F42A29">
        <w:trPr>
          <w:trHeight w:val="66"/>
        </w:trPr>
        <w:tc>
          <w:tcPr>
            <w:tcW w:w="1667" w:type="pct"/>
            <w:vMerge w:val="restart"/>
            <w:tcBorders>
              <w:top w:val="single" w:sz="12" w:space="0" w:color="auto"/>
              <w:left w:val="single" w:sz="12" w:space="0" w:color="auto"/>
              <w:bottom w:val="single" w:sz="12" w:space="0" w:color="auto"/>
              <w:right w:val="single" w:sz="12" w:space="0" w:color="auto"/>
            </w:tcBorders>
            <w:hideMark/>
          </w:tcPr>
          <w:p w14:paraId="316D79CD" w14:textId="77777777" w:rsidR="00792FF9" w:rsidRPr="007475F3" w:rsidRDefault="00792FF9">
            <w:pPr>
              <w:autoSpaceDE w:val="0"/>
              <w:autoSpaceDN w:val="0"/>
              <w:adjustRightInd w:val="0"/>
              <w:rPr>
                <w:sz w:val="24"/>
                <w:szCs w:val="24"/>
              </w:rPr>
            </w:pPr>
            <w:r w:rsidRPr="007475F3">
              <w:rPr>
                <w:sz w:val="24"/>
                <w:szCs w:val="24"/>
              </w:rPr>
              <w:t>Undersøgelser</w:t>
            </w:r>
          </w:p>
        </w:tc>
        <w:tc>
          <w:tcPr>
            <w:tcW w:w="1667" w:type="pct"/>
            <w:tcBorders>
              <w:top w:val="single" w:sz="12" w:space="0" w:color="auto"/>
              <w:left w:val="single" w:sz="12" w:space="0" w:color="auto"/>
              <w:bottom w:val="single" w:sz="4" w:space="0" w:color="auto"/>
              <w:right w:val="single" w:sz="12" w:space="0" w:color="auto"/>
            </w:tcBorders>
            <w:hideMark/>
          </w:tcPr>
          <w:p w14:paraId="4FE68CB5"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5AB0D06C" w14:textId="77777777" w:rsidR="00792FF9" w:rsidRPr="007475F3" w:rsidRDefault="00792FF9">
            <w:pPr>
              <w:autoSpaceDE w:val="0"/>
              <w:autoSpaceDN w:val="0"/>
              <w:adjustRightInd w:val="0"/>
              <w:rPr>
                <w:sz w:val="24"/>
                <w:szCs w:val="24"/>
              </w:rPr>
            </w:pPr>
            <w:proofErr w:type="spellStart"/>
            <w:r w:rsidRPr="007475F3">
              <w:rPr>
                <w:sz w:val="24"/>
                <w:szCs w:val="24"/>
              </w:rPr>
              <w:t>Blodkreatinin</w:t>
            </w:r>
            <w:proofErr w:type="spellEnd"/>
            <w:r w:rsidRPr="007475F3">
              <w:rPr>
                <w:sz w:val="24"/>
                <w:szCs w:val="24"/>
              </w:rPr>
              <w:t xml:space="preserve"> øget</w:t>
            </w:r>
          </w:p>
        </w:tc>
      </w:tr>
      <w:tr w:rsidR="00792FF9" w:rsidRPr="007475F3" w14:paraId="71AD4A2D" w14:textId="77777777" w:rsidTr="00F42A29">
        <w:trPr>
          <w:trHeight w:val="64"/>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33CAEEC3" w14:textId="77777777" w:rsidR="00792FF9" w:rsidRPr="007475F3" w:rsidRDefault="00792FF9">
            <w:pPr>
              <w:rPr>
                <w:sz w:val="24"/>
                <w:szCs w:val="24"/>
              </w:rPr>
            </w:pPr>
          </w:p>
        </w:tc>
        <w:tc>
          <w:tcPr>
            <w:tcW w:w="1667" w:type="pct"/>
            <w:tcBorders>
              <w:top w:val="single" w:sz="12" w:space="0" w:color="auto"/>
              <w:left w:val="single" w:sz="12" w:space="0" w:color="auto"/>
              <w:bottom w:val="single" w:sz="4" w:space="0" w:color="auto"/>
              <w:right w:val="single" w:sz="12" w:space="0" w:color="auto"/>
            </w:tcBorders>
            <w:hideMark/>
          </w:tcPr>
          <w:p w14:paraId="0B368995"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4648CB55" w14:textId="77777777" w:rsidR="00792FF9" w:rsidRPr="007475F3" w:rsidRDefault="00792FF9">
            <w:pPr>
              <w:autoSpaceDE w:val="0"/>
              <w:autoSpaceDN w:val="0"/>
              <w:adjustRightInd w:val="0"/>
              <w:rPr>
                <w:sz w:val="24"/>
                <w:szCs w:val="24"/>
              </w:rPr>
            </w:pPr>
            <w:proofErr w:type="spellStart"/>
            <w:r w:rsidRPr="007475F3">
              <w:rPr>
                <w:sz w:val="24"/>
                <w:szCs w:val="24"/>
              </w:rPr>
              <w:t>Transaminaser</w:t>
            </w:r>
            <w:proofErr w:type="spellEnd"/>
            <w:r w:rsidRPr="007475F3">
              <w:rPr>
                <w:sz w:val="24"/>
                <w:szCs w:val="24"/>
              </w:rPr>
              <w:t xml:space="preserve"> øget (ALT og AST)</w:t>
            </w:r>
          </w:p>
        </w:tc>
      </w:tr>
      <w:tr w:rsidR="00792FF9" w:rsidRPr="007475F3" w14:paraId="0292C318"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2003996F"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4521FF2E"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444768F8" w14:textId="77777777" w:rsidR="00792FF9" w:rsidRPr="007475F3" w:rsidRDefault="00792FF9">
            <w:pPr>
              <w:autoSpaceDE w:val="0"/>
              <w:autoSpaceDN w:val="0"/>
              <w:adjustRightInd w:val="0"/>
              <w:rPr>
                <w:sz w:val="24"/>
                <w:szCs w:val="24"/>
              </w:rPr>
            </w:pPr>
            <w:r w:rsidRPr="007475F3">
              <w:rPr>
                <w:sz w:val="24"/>
                <w:szCs w:val="24"/>
              </w:rPr>
              <w:t>Bilirubin i blodet øget</w:t>
            </w:r>
          </w:p>
        </w:tc>
      </w:tr>
      <w:tr w:rsidR="00792FF9" w:rsidRPr="007475F3" w14:paraId="1CE92894"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535330C1"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39824F6E"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4" w:space="0" w:color="auto"/>
            </w:tcBorders>
            <w:hideMark/>
          </w:tcPr>
          <w:p w14:paraId="572E0E58" w14:textId="77777777" w:rsidR="00792FF9" w:rsidRPr="007475F3" w:rsidRDefault="00792FF9">
            <w:pPr>
              <w:autoSpaceDE w:val="0"/>
              <w:autoSpaceDN w:val="0"/>
              <w:adjustRightInd w:val="0"/>
              <w:rPr>
                <w:sz w:val="24"/>
                <w:szCs w:val="24"/>
              </w:rPr>
            </w:pPr>
            <w:r w:rsidRPr="007475F3">
              <w:rPr>
                <w:sz w:val="24"/>
                <w:szCs w:val="24"/>
              </w:rPr>
              <w:t>Alkalisk fosfatase i blodet øget</w:t>
            </w:r>
          </w:p>
        </w:tc>
      </w:tr>
    </w:tbl>
    <w:p w14:paraId="4310F30E" w14:textId="77777777" w:rsidR="00792FF9" w:rsidRPr="007475F3" w:rsidRDefault="00792FF9" w:rsidP="00792FF9">
      <w:pPr>
        <w:autoSpaceDE w:val="0"/>
        <w:autoSpaceDN w:val="0"/>
        <w:adjustRightInd w:val="0"/>
        <w:rPr>
          <w:sz w:val="24"/>
          <w:szCs w:val="24"/>
        </w:rPr>
      </w:pPr>
    </w:p>
    <w:p w14:paraId="51F9BE9C" w14:textId="77777777" w:rsidR="00792FF9" w:rsidRPr="007475F3" w:rsidRDefault="00792FF9" w:rsidP="00F42A29">
      <w:pPr>
        <w:autoSpaceDE w:val="0"/>
        <w:autoSpaceDN w:val="0"/>
        <w:adjustRightInd w:val="0"/>
        <w:ind w:left="851"/>
        <w:rPr>
          <w:bCs/>
          <w:i/>
          <w:sz w:val="24"/>
          <w:szCs w:val="24"/>
        </w:rPr>
      </w:pPr>
      <w:r w:rsidRPr="007475F3">
        <w:rPr>
          <w:i/>
          <w:iCs/>
          <w:sz w:val="24"/>
          <w:szCs w:val="24"/>
        </w:rPr>
        <w:t>Beskrivelse af udvalgte bivirkninger (monoterapi)</w:t>
      </w:r>
    </w:p>
    <w:p w14:paraId="75123A5D"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alvorlig diarré blev observeret hos 20 % af patienterne, der fulgte anbefalingerne for kontrol af diarréen. Af de </w:t>
      </w:r>
      <w:proofErr w:type="spellStart"/>
      <w:r w:rsidRPr="007475F3">
        <w:rPr>
          <w:rFonts w:ascii="Times New Roman" w:hAnsi="Times New Roman"/>
          <w:bCs/>
          <w:sz w:val="24"/>
          <w:szCs w:val="24"/>
          <w:lang w:val="da-DK"/>
        </w:rPr>
        <w:t>evaluerbare</w:t>
      </w:r>
      <w:proofErr w:type="spellEnd"/>
      <w:r w:rsidRPr="007475F3">
        <w:rPr>
          <w:rFonts w:ascii="Times New Roman" w:hAnsi="Times New Roman"/>
          <w:bCs/>
          <w:sz w:val="24"/>
          <w:szCs w:val="24"/>
          <w:lang w:val="da-DK"/>
        </w:rPr>
        <w:t xml:space="preserve"> cyklusser opstod alvorlig diarré hos 14 %. Median-tid til indtræden af den første flydende afføring var 5 dage efter infusion af </w:t>
      </w:r>
      <w:proofErr w:type="spellStart"/>
      <w:r w:rsidRPr="007475F3">
        <w:rPr>
          <w:rFonts w:ascii="Times New Roman" w:hAnsi="Times New Roman"/>
          <w:bCs/>
          <w:sz w:val="24"/>
          <w:szCs w:val="24"/>
          <w:lang w:val="da-DK"/>
        </w:rPr>
        <w:t>irinotecan</w:t>
      </w:r>
      <w:proofErr w:type="spellEnd"/>
      <w:r w:rsidRPr="007475F3">
        <w:rPr>
          <w:rFonts w:ascii="Times New Roman" w:hAnsi="Times New Roman"/>
          <w:bCs/>
          <w:sz w:val="24"/>
          <w:szCs w:val="24"/>
          <w:lang w:val="da-DK"/>
        </w:rPr>
        <w:t>.</w:t>
      </w:r>
    </w:p>
    <w:p w14:paraId="5755FDDE"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kvalme og opkastning var alvorlig hos ca. 10 % af patienterne, der blev behandlet med </w:t>
      </w:r>
      <w:proofErr w:type="spellStart"/>
      <w:r w:rsidRPr="007475F3">
        <w:rPr>
          <w:rFonts w:ascii="Times New Roman" w:hAnsi="Times New Roman"/>
          <w:bCs/>
          <w:sz w:val="24"/>
          <w:szCs w:val="24"/>
          <w:lang w:val="da-DK"/>
        </w:rPr>
        <w:t>antiemetika</w:t>
      </w:r>
      <w:proofErr w:type="spellEnd"/>
      <w:r w:rsidRPr="007475F3">
        <w:rPr>
          <w:rFonts w:ascii="Times New Roman" w:hAnsi="Times New Roman"/>
          <w:bCs/>
          <w:sz w:val="24"/>
          <w:szCs w:val="24"/>
          <w:lang w:val="da-DK"/>
        </w:rPr>
        <w:t>.</w:t>
      </w:r>
    </w:p>
    <w:p w14:paraId="18F8FFB3"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forstoppelse blev observeret hos mindre end 10 % af patienterne.</w:t>
      </w:r>
    </w:p>
    <w:p w14:paraId="23762589"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neutropeni</w:t>
      </w:r>
      <w:proofErr w:type="spellEnd"/>
      <w:r w:rsidRPr="007475F3">
        <w:rPr>
          <w:rFonts w:ascii="Times New Roman" w:hAnsi="Times New Roman"/>
          <w:bCs/>
          <w:sz w:val="24"/>
          <w:szCs w:val="24"/>
          <w:lang w:val="da-DK"/>
        </w:rPr>
        <w:t xml:space="preserve"> blev observeret hos 78,7 % af patienterne, og var alvorlig (</w:t>
      </w:r>
      <w:proofErr w:type="spellStart"/>
      <w:r w:rsidRPr="007475F3">
        <w:rPr>
          <w:rFonts w:ascii="Times New Roman" w:hAnsi="Times New Roman"/>
          <w:bCs/>
          <w:sz w:val="24"/>
          <w:szCs w:val="24"/>
          <w:lang w:val="da-DK"/>
        </w:rPr>
        <w:t>neutrofiltal</w:t>
      </w:r>
      <w:proofErr w:type="spellEnd"/>
      <w:r w:rsidRPr="007475F3">
        <w:rPr>
          <w:rFonts w:ascii="Times New Roman" w:hAnsi="Times New Roman"/>
          <w:bCs/>
          <w:sz w:val="24"/>
          <w:szCs w:val="24"/>
          <w:lang w:val="da-DK"/>
        </w:rPr>
        <w:t xml:space="preserve"> &lt;500 celler/mm</w:t>
      </w:r>
      <w:r w:rsidRPr="007475F3">
        <w:rPr>
          <w:rFonts w:ascii="Times New Roman" w:hAnsi="Times New Roman"/>
          <w:bCs/>
          <w:sz w:val="24"/>
          <w:szCs w:val="24"/>
          <w:vertAlign w:val="superscript"/>
          <w:lang w:val="da-DK"/>
        </w:rPr>
        <w:t>3</w:t>
      </w:r>
      <w:r w:rsidRPr="007475F3">
        <w:rPr>
          <w:rFonts w:ascii="Times New Roman" w:hAnsi="Times New Roman"/>
          <w:bCs/>
          <w:sz w:val="24"/>
          <w:szCs w:val="24"/>
          <w:lang w:val="da-DK"/>
        </w:rPr>
        <w:t xml:space="preserve">) hos 22,6 % af patienterne. Af de evaluerede cyklusser havde 18 % et </w:t>
      </w:r>
      <w:proofErr w:type="spellStart"/>
      <w:r w:rsidRPr="007475F3">
        <w:rPr>
          <w:rFonts w:ascii="Times New Roman" w:hAnsi="Times New Roman"/>
          <w:bCs/>
          <w:sz w:val="24"/>
          <w:szCs w:val="24"/>
          <w:lang w:val="da-DK"/>
        </w:rPr>
        <w:t>neutrofiltal</w:t>
      </w:r>
      <w:proofErr w:type="spellEnd"/>
      <w:r w:rsidRPr="007475F3">
        <w:rPr>
          <w:rFonts w:ascii="Times New Roman" w:hAnsi="Times New Roman"/>
          <w:bCs/>
          <w:sz w:val="24"/>
          <w:szCs w:val="24"/>
          <w:lang w:val="da-DK"/>
        </w:rPr>
        <w:t xml:space="preserve"> på under 1.000 celler/mm</w:t>
      </w:r>
      <w:r w:rsidRPr="007475F3">
        <w:rPr>
          <w:rFonts w:ascii="Times New Roman" w:hAnsi="Times New Roman"/>
          <w:bCs/>
          <w:sz w:val="24"/>
          <w:szCs w:val="24"/>
          <w:vertAlign w:val="superscript"/>
          <w:lang w:val="da-DK"/>
        </w:rPr>
        <w:t>3</w:t>
      </w:r>
      <w:r w:rsidRPr="007475F3">
        <w:rPr>
          <w:rFonts w:ascii="Times New Roman" w:hAnsi="Times New Roman"/>
          <w:bCs/>
          <w:sz w:val="24"/>
          <w:szCs w:val="24"/>
          <w:lang w:val="da-DK"/>
        </w:rPr>
        <w:t xml:space="preserve"> inklusiv 7,6 % med et </w:t>
      </w:r>
      <w:proofErr w:type="spellStart"/>
      <w:r w:rsidRPr="007475F3">
        <w:rPr>
          <w:rFonts w:ascii="Times New Roman" w:hAnsi="Times New Roman"/>
          <w:bCs/>
          <w:sz w:val="24"/>
          <w:szCs w:val="24"/>
          <w:lang w:val="da-DK"/>
        </w:rPr>
        <w:t>neutrofiltal</w:t>
      </w:r>
      <w:proofErr w:type="spellEnd"/>
      <w:r w:rsidRPr="007475F3">
        <w:rPr>
          <w:rFonts w:ascii="Times New Roman" w:hAnsi="Times New Roman"/>
          <w:bCs/>
          <w:sz w:val="24"/>
          <w:szCs w:val="24"/>
          <w:lang w:val="da-DK"/>
        </w:rPr>
        <w:t xml:space="preserve"> &lt;500 celler/mm</w:t>
      </w:r>
      <w:r w:rsidRPr="007475F3">
        <w:rPr>
          <w:rFonts w:ascii="Times New Roman" w:hAnsi="Times New Roman"/>
          <w:bCs/>
          <w:sz w:val="24"/>
          <w:szCs w:val="24"/>
          <w:vertAlign w:val="superscript"/>
          <w:lang w:val="da-DK"/>
        </w:rPr>
        <w:t>3</w:t>
      </w:r>
      <w:r w:rsidRPr="007475F3">
        <w:rPr>
          <w:rFonts w:ascii="Times New Roman" w:hAnsi="Times New Roman"/>
          <w:bCs/>
          <w:sz w:val="24"/>
          <w:szCs w:val="24"/>
          <w:lang w:val="da-DK"/>
        </w:rPr>
        <w:t>). Fuldstændig restitution opnåedes normalt på dag 22.</w:t>
      </w:r>
    </w:p>
    <w:p w14:paraId="068AB265"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febril </w:t>
      </w:r>
      <w:proofErr w:type="spellStart"/>
      <w:r w:rsidRPr="007475F3">
        <w:rPr>
          <w:rFonts w:ascii="Times New Roman" w:hAnsi="Times New Roman"/>
          <w:bCs/>
          <w:sz w:val="24"/>
          <w:szCs w:val="24"/>
          <w:lang w:val="da-DK"/>
        </w:rPr>
        <w:t>neutropeni</w:t>
      </w:r>
      <w:proofErr w:type="spellEnd"/>
      <w:r w:rsidRPr="007475F3">
        <w:rPr>
          <w:rFonts w:ascii="Times New Roman" w:hAnsi="Times New Roman"/>
          <w:bCs/>
          <w:sz w:val="24"/>
          <w:szCs w:val="24"/>
          <w:lang w:val="da-DK"/>
        </w:rPr>
        <w:t xml:space="preserve"> blev rapporteret hos 6,2 % af patienterne og i 1,7 % af cyklusserne.</w:t>
      </w:r>
    </w:p>
    <w:p w14:paraId="11EA73F5"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infektioner opstod hos 10,3 % af patienterne (2,5 % af cyklusser) og var forbundet med alvorlig </w:t>
      </w:r>
      <w:proofErr w:type="spellStart"/>
      <w:r w:rsidRPr="007475F3">
        <w:rPr>
          <w:rFonts w:ascii="Times New Roman" w:hAnsi="Times New Roman"/>
          <w:bCs/>
          <w:sz w:val="24"/>
          <w:szCs w:val="24"/>
          <w:lang w:val="da-DK"/>
        </w:rPr>
        <w:t>neutropeni</w:t>
      </w:r>
      <w:proofErr w:type="spellEnd"/>
      <w:r w:rsidRPr="007475F3">
        <w:rPr>
          <w:rFonts w:ascii="Times New Roman" w:hAnsi="Times New Roman"/>
          <w:bCs/>
          <w:sz w:val="24"/>
          <w:szCs w:val="24"/>
          <w:lang w:val="da-DK"/>
        </w:rPr>
        <w:t xml:space="preserve"> hos ca. 5,3 % af patienterne (1,1 % af cyklusser) og resulterede i 2 dødsfald.</w:t>
      </w:r>
    </w:p>
    <w:p w14:paraId="6A6F385F"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anæmi blev rapporteret hos ca. 58,7 % af patienterne (8 % med hæmoglobin &lt;8 g/dl og 0,9 % med hæmoglobin &lt;6,5 g/dl).</w:t>
      </w:r>
    </w:p>
    <w:p w14:paraId="47D28175"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trombocytopeni</w:t>
      </w:r>
      <w:proofErr w:type="spellEnd"/>
      <w:r w:rsidRPr="007475F3">
        <w:rPr>
          <w:rFonts w:ascii="Times New Roman" w:hAnsi="Times New Roman"/>
          <w:bCs/>
          <w:sz w:val="24"/>
          <w:szCs w:val="24"/>
          <w:lang w:val="da-DK"/>
        </w:rPr>
        <w:t xml:space="preserve"> (&lt;100.000 celler/mm</w:t>
      </w:r>
      <w:r w:rsidRPr="007475F3">
        <w:rPr>
          <w:rFonts w:ascii="Times New Roman" w:hAnsi="Times New Roman"/>
          <w:bCs/>
          <w:sz w:val="24"/>
          <w:szCs w:val="24"/>
          <w:vertAlign w:val="superscript"/>
          <w:lang w:val="da-DK"/>
        </w:rPr>
        <w:t>3</w:t>
      </w:r>
      <w:r w:rsidRPr="007475F3">
        <w:rPr>
          <w:rFonts w:ascii="Times New Roman" w:hAnsi="Times New Roman"/>
          <w:bCs/>
          <w:sz w:val="24"/>
          <w:szCs w:val="24"/>
          <w:lang w:val="da-DK"/>
        </w:rPr>
        <w:t>) blev observeret hos 7,4 % af patienterne og 1,8 % af cyklusserne med 0,9 % blodpladetal ≤50,000 celler/mm</w:t>
      </w:r>
      <w:r w:rsidRPr="007475F3">
        <w:rPr>
          <w:rFonts w:ascii="Times New Roman" w:hAnsi="Times New Roman"/>
          <w:bCs/>
          <w:sz w:val="24"/>
          <w:szCs w:val="24"/>
          <w:vertAlign w:val="superscript"/>
          <w:lang w:val="da-DK"/>
        </w:rPr>
        <w:t>3</w:t>
      </w:r>
      <w:r w:rsidRPr="007475F3">
        <w:rPr>
          <w:rFonts w:ascii="Times New Roman" w:hAnsi="Times New Roman"/>
          <w:bCs/>
          <w:sz w:val="24"/>
          <w:szCs w:val="24"/>
          <w:lang w:val="da-DK"/>
        </w:rPr>
        <w:t xml:space="preserve"> og 0,2 % af cyklusserne. Næsten alle patienter opnåede restitution på dag 22.</w:t>
      </w:r>
    </w:p>
    <w:p w14:paraId="71BD4363"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akut </w:t>
      </w:r>
      <w:proofErr w:type="spellStart"/>
      <w:r w:rsidRPr="007475F3">
        <w:rPr>
          <w:rFonts w:ascii="Times New Roman" w:hAnsi="Times New Roman"/>
          <w:bCs/>
          <w:sz w:val="24"/>
          <w:szCs w:val="24"/>
          <w:lang w:val="da-DK"/>
        </w:rPr>
        <w:t>kolinergt</w:t>
      </w:r>
      <w:proofErr w:type="spellEnd"/>
      <w:r w:rsidRPr="007475F3">
        <w:rPr>
          <w:rFonts w:ascii="Times New Roman" w:hAnsi="Times New Roman"/>
          <w:bCs/>
          <w:sz w:val="24"/>
          <w:szCs w:val="24"/>
          <w:lang w:val="da-DK"/>
        </w:rPr>
        <w:t xml:space="preserve"> syndrom: Alvorligt forbigående akut </w:t>
      </w:r>
      <w:proofErr w:type="spellStart"/>
      <w:r w:rsidRPr="007475F3">
        <w:rPr>
          <w:rFonts w:ascii="Times New Roman" w:hAnsi="Times New Roman"/>
          <w:bCs/>
          <w:sz w:val="24"/>
          <w:szCs w:val="24"/>
          <w:lang w:val="da-DK"/>
        </w:rPr>
        <w:t>kolinergt</w:t>
      </w:r>
      <w:proofErr w:type="spellEnd"/>
      <w:r w:rsidRPr="007475F3">
        <w:rPr>
          <w:rFonts w:ascii="Times New Roman" w:hAnsi="Times New Roman"/>
          <w:bCs/>
          <w:sz w:val="24"/>
          <w:szCs w:val="24"/>
          <w:lang w:val="da-DK"/>
        </w:rPr>
        <w:t xml:space="preserve"> syndrom blev observeret hos 9 % af patienterne behandlet i monoterapi</w:t>
      </w:r>
    </w:p>
    <w:p w14:paraId="04CF1DA9"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asteni var alvorlig hos mindre end 10 % af patienterne behandlet i monoterapi. Den kausale sammenhæng med </w:t>
      </w:r>
      <w:proofErr w:type="spellStart"/>
      <w:r w:rsidRPr="007475F3">
        <w:rPr>
          <w:rFonts w:ascii="Times New Roman" w:hAnsi="Times New Roman"/>
          <w:bCs/>
          <w:sz w:val="24"/>
          <w:szCs w:val="24"/>
          <w:lang w:val="da-DK"/>
        </w:rPr>
        <w:t>irinotecan</w:t>
      </w:r>
      <w:proofErr w:type="spellEnd"/>
      <w:r w:rsidRPr="007475F3">
        <w:rPr>
          <w:rFonts w:ascii="Times New Roman" w:hAnsi="Times New Roman"/>
          <w:bCs/>
          <w:sz w:val="24"/>
          <w:szCs w:val="24"/>
          <w:lang w:val="da-DK"/>
        </w:rPr>
        <w:t xml:space="preserve"> er ikke klart fastlagt. </w:t>
      </w:r>
    </w:p>
    <w:p w14:paraId="18B19711"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pyreksi</w:t>
      </w:r>
      <w:proofErr w:type="spellEnd"/>
      <w:r w:rsidRPr="007475F3">
        <w:rPr>
          <w:rFonts w:ascii="Times New Roman" w:hAnsi="Times New Roman"/>
          <w:bCs/>
          <w:sz w:val="24"/>
          <w:szCs w:val="24"/>
          <w:lang w:val="da-DK"/>
        </w:rPr>
        <w:t xml:space="preserve"> uden infektion og uden samtidig alvorlig </w:t>
      </w:r>
      <w:proofErr w:type="spellStart"/>
      <w:r w:rsidRPr="007475F3">
        <w:rPr>
          <w:rFonts w:ascii="Times New Roman" w:hAnsi="Times New Roman"/>
          <w:bCs/>
          <w:sz w:val="24"/>
          <w:szCs w:val="24"/>
          <w:lang w:val="da-DK"/>
        </w:rPr>
        <w:t>neutropeni</w:t>
      </w:r>
      <w:proofErr w:type="spellEnd"/>
      <w:r w:rsidRPr="007475F3">
        <w:rPr>
          <w:rFonts w:ascii="Times New Roman" w:hAnsi="Times New Roman"/>
          <w:bCs/>
          <w:sz w:val="24"/>
          <w:szCs w:val="24"/>
          <w:lang w:val="da-DK"/>
        </w:rPr>
        <w:t xml:space="preserve"> opstod hos 12 % af patienterne i monoterapi.</w:t>
      </w:r>
    </w:p>
    <w:p w14:paraId="6FFD2344"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Laboratorieundersøgelser: Forbigående og milde til moderate stigninger i serumværdier for </w:t>
      </w:r>
      <w:proofErr w:type="spellStart"/>
      <w:r w:rsidRPr="007475F3">
        <w:rPr>
          <w:rFonts w:ascii="Times New Roman" w:hAnsi="Times New Roman"/>
          <w:bCs/>
          <w:sz w:val="24"/>
          <w:szCs w:val="24"/>
          <w:lang w:val="da-DK"/>
        </w:rPr>
        <w:t>transaminase</w:t>
      </w:r>
      <w:proofErr w:type="spellEnd"/>
      <w:r w:rsidRPr="007475F3">
        <w:rPr>
          <w:rFonts w:ascii="Times New Roman" w:hAnsi="Times New Roman"/>
          <w:bCs/>
          <w:sz w:val="24"/>
          <w:szCs w:val="24"/>
          <w:lang w:val="da-DK"/>
        </w:rPr>
        <w:t xml:space="preserve">, alkalisk fosfatase eller bilirubin blev observeret hos henholdsvis 9,2 %, 8,1 % og 1,8 % af patienterne uden fremskredne levermetastaser. Forbigående og milde til moderate stigninger i serumværdier for </w:t>
      </w:r>
      <w:proofErr w:type="spellStart"/>
      <w:r w:rsidRPr="007475F3">
        <w:rPr>
          <w:rFonts w:ascii="Times New Roman" w:hAnsi="Times New Roman"/>
          <w:bCs/>
          <w:sz w:val="24"/>
          <w:szCs w:val="24"/>
          <w:lang w:val="da-DK"/>
        </w:rPr>
        <w:t>kreatinin</w:t>
      </w:r>
      <w:proofErr w:type="spellEnd"/>
      <w:r w:rsidRPr="007475F3">
        <w:rPr>
          <w:rFonts w:ascii="Times New Roman" w:hAnsi="Times New Roman"/>
          <w:bCs/>
          <w:sz w:val="24"/>
          <w:szCs w:val="24"/>
          <w:lang w:val="da-DK"/>
        </w:rPr>
        <w:t xml:space="preserve"> er observeret hos 7,3 % af patienterne.</w:t>
      </w:r>
    </w:p>
    <w:p w14:paraId="5D3EDB77" w14:textId="77777777" w:rsidR="00792FF9" w:rsidRPr="007475F3" w:rsidRDefault="00792FF9" w:rsidP="00792FF9">
      <w:pPr>
        <w:autoSpaceDE w:val="0"/>
        <w:autoSpaceDN w:val="0"/>
        <w:adjustRightInd w:val="0"/>
        <w:rPr>
          <w:sz w:val="24"/>
          <w:szCs w:val="24"/>
        </w:rPr>
      </w:pPr>
    </w:p>
    <w:p w14:paraId="4F76567F" w14:textId="77777777" w:rsidR="00792FF9" w:rsidRPr="007475F3" w:rsidRDefault="00792FF9" w:rsidP="00F42A29">
      <w:pPr>
        <w:autoSpaceDE w:val="0"/>
        <w:autoSpaceDN w:val="0"/>
        <w:adjustRightInd w:val="0"/>
        <w:ind w:left="851"/>
        <w:rPr>
          <w:i/>
          <w:sz w:val="24"/>
          <w:szCs w:val="24"/>
        </w:rPr>
      </w:pPr>
      <w:r w:rsidRPr="007475F3">
        <w:rPr>
          <w:i/>
          <w:iCs/>
          <w:sz w:val="24"/>
          <w:szCs w:val="24"/>
        </w:rPr>
        <w:t>Kombinationsterapi</w:t>
      </w:r>
    </w:p>
    <w:p w14:paraId="09E1200E" w14:textId="77777777" w:rsidR="00792FF9" w:rsidRPr="007475F3" w:rsidRDefault="00792FF9" w:rsidP="00F42A29">
      <w:pPr>
        <w:autoSpaceDE w:val="0"/>
        <w:autoSpaceDN w:val="0"/>
        <w:adjustRightInd w:val="0"/>
        <w:ind w:left="851"/>
        <w:rPr>
          <w:sz w:val="24"/>
          <w:szCs w:val="24"/>
        </w:rPr>
      </w:pPr>
      <w:r w:rsidRPr="007475F3">
        <w:rPr>
          <w:sz w:val="24"/>
          <w:szCs w:val="24"/>
        </w:rPr>
        <w:t xml:space="preserve">Bivirkninger beskrevet i dette afsnit gælder kun for </w:t>
      </w:r>
      <w:proofErr w:type="spellStart"/>
      <w:r w:rsidRPr="007475F3">
        <w:rPr>
          <w:sz w:val="24"/>
          <w:szCs w:val="24"/>
        </w:rPr>
        <w:t>irinotecan</w:t>
      </w:r>
      <w:proofErr w:type="spellEnd"/>
      <w:r w:rsidRPr="007475F3">
        <w:rPr>
          <w:sz w:val="24"/>
          <w:szCs w:val="24"/>
        </w:rPr>
        <w:t xml:space="preserve">. </w:t>
      </w:r>
    </w:p>
    <w:p w14:paraId="1C976B5E" w14:textId="77777777" w:rsidR="00792FF9" w:rsidRPr="007475F3" w:rsidRDefault="00792FF9" w:rsidP="00F42A29">
      <w:pPr>
        <w:autoSpaceDE w:val="0"/>
        <w:autoSpaceDN w:val="0"/>
        <w:adjustRightInd w:val="0"/>
        <w:ind w:left="851"/>
        <w:rPr>
          <w:sz w:val="24"/>
          <w:szCs w:val="24"/>
        </w:rPr>
      </w:pPr>
    </w:p>
    <w:p w14:paraId="77FEA40D" w14:textId="77777777" w:rsidR="00792FF9" w:rsidRPr="007475F3" w:rsidRDefault="00792FF9" w:rsidP="00F42A29">
      <w:pPr>
        <w:autoSpaceDE w:val="0"/>
        <w:autoSpaceDN w:val="0"/>
        <w:adjustRightInd w:val="0"/>
        <w:ind w:left="851"/>
        <w:rPr>
          <w:sz w:val="24"/>
          <w:szCs w:val="24"/>
        </w:rPr>
      </w:pPr>
      <w:r w:rsidRPr="007475F3">
        <w:rPr>
          <w:sz w:val="24"/>
          <w:szCs w:val="24"/>
        </w:rPr>
        <w:t xml:space="preserve">Der foreligger ikke bevis for, at sikkerhedsprofilen for </w:t>
      </w:r>
      <w:proofErr w:type="spellStart"/>
      <w:r w:rsidRPr="007475F3">
        <w:rPr>
          <w:sz w:val="24"/>
          <w:szCs w:val="24"/>
        </w:rPr>
        <w:t>irinotecan</w:t>
      </w:r>
      <w:proofErr w:type="spellEnd"/>
      <w:r w:rsidRPr="007475F3">
        <w:rPr>
          <w:sz w:val="24"/>
          <w:szCs w:val="24"/>
        </w:rPr>
        <w:t xml:space="preserve"> påvirkes af </w:t>
      </w:r>
      <w:proofErr w:type="spellStart"/>
      <w:r w:rsidRPr="007475F3">
        <w:rPr>
          <w:sz w:val="24"/>
          <w:szCs w:val="24"/>
        </w:rPr>
        <w:t>cetuximab</w:t>
      </w:r>
      <w:proofErr w:type="spellEnd"/>
      <w:r w:rsidRPr="007475F3">
        <w:rPr>
          <w:sz w:val="24"/>
          <w:szCs w:val="24"/>
        </w:rPr>
        <w:t xml:space="preserve"> eller </w:t>
      </w:r>
      <w:r w:rsidRPr="007475F3">
        <w:rPr>
          <w:i/>
          <w:iCs/>
          <w:sz w:val="24"/>
          <w:szCs w:val="24"/>
        </w:rPr>
        <w:t>vice versa</w:t>
      </w:r>
      <w:r w:rsidRPr="007475F3">
        <w:rPr>
          <w:sz w:val="24"/>
          <w:szCs w:val="24"/>
        </w:rPr>
        <w:t xml:space="preserve">. I kombination med </w:t>
      </w:r>
      <w:proofErr w:type="spellStart"/>
      <w:r w:rsidRPr="007475F3">
        <w:rPr>
          <w:sz w:val="24"/>
          <w:szCs w:val="24"/>
        </w:rPr>
        <w:t>cetuximab</w:t>
      </w:r>
      <w:proofErr w:type="spellEnd"/>
      <w:r w:rsidRPr="007475F3">
        <w:rPr>
          <w:sz w:val="24"/>
          <w:szCs w:val="24"/>
        </w:rPr>
        <w:t xml:space="preserve"> svarede de yderligere rapporterede bivirkninger til dem, der kunne forventes ved behandling med </w:t>
      </w:r>
      <w:proofErr w:type="spellStart"/>
      <w:r w:rsidRPr="007475F3">
        <w:rPr>
          <w:sz w:val="24"/>
          <w:szCs w:val="24"/>
        </w:rPr>
        <w:t>cetuximab</w:t>
      </w:r>
      <w:proofErr w:type="spellEnd"/>
      <w:r w:rsidRPr="007475F3">
        <w:rPr>
          <w:sz w:val="24"/>
          <w:szCs w:val="24"/>
        </w:rPr>
        <w:t xml:space="preserve"> (f.eks. </w:t>
      </w:r>
      <w:proofErr w:type="spellStart"/>
      <w:r w:rsidRPr="007475F3">
        <w:rPr>
          <w:sz w:val="24"/>
          <w:szCs w:val="24"/>
        </w:rPr>
        <w:t>akneformet</w:t>
      </w:r>
      <w:proofErr w:type="spellEnd"/>
      <w:r w:rsidRPr="007475F3">
        <w:rPr>
          <w:sz w:val="24"/>
          <w:szCs w:val="24"/>
        </w:rPr>
        <w:t xml:space="preserve"> </w:t>
      </w:r>
      <w:proofErr w:type="spellStart"/>
      <w:r w:rsidRPr="007475F3">
        <w:rPr>
          <w:sz w:val="24"/>
          <w:szCs w:val="24"/>
        </w:rPr>
        <w:t>dermatitis</w:t>
      </w:r>
      <w:proofErr w:type="spellEnd"/>
      <w:r w:rsidRPr="007475F3">
        <w:rPr>
          <w:sz w:val="24"/>
          <w:szCs w:val="24"/>
        </w:rPr>
        <w:t xml:space="preserve"> 88 %). Med hensyn til bivirkninger for </w:t>
      </w:r>
      <w:proofErr w:type="spellStart"/>
      <w:r w:rsidRPr="007475F3">
        <w:rPr>
          <w:sz w:val="24"/>
          <w:szCs w:val="24"/>
        </w:rPr>
        <w:t>irinotecan</w:t>
      </w:r>
      <w:proofErr w:type="spellEnd"/>
      <w:r w:rsidRPr="007475F3">
        <w:rPr>
          <w:sz w:val="24"/>
          <w:szCs w:val="24"/>
        </w:rPr>
        <w:t xml:space="preserve"> i kombination med </w:t>
      </w:r>
      <w:proofErr w:type="spellStart"/>
      <w:r w:rsidRPr="007475F3">
        <w:rPr>
          <w:sz w:val="24"/>
          <w:szCs w:val="24"/>
        </w:rPr>
        <w:t>cetuximab</w:t>
      </w:r>
      <w:proofErr w:type="spellEnd"/>
      <w:r w:rsidRPr="007475F3">
        <w:rPr>
          <w:sz w:val="24"/>
          <w:szCs w:val="24"/>
        </w:rPr>
        <w:t>, henvises også til deres respektive produktresuméer.</w:t>
      </w:r>
    </w:p>
    <w:p w14:paraId="7EE87BAF" w14:textId="77777777" w:rsidR="00792FF9" w:rsidRPr="007475F3" w:rsidRDefault="00792FF9" w:rsidP="00F42A29">
      <w:pPr>
        <w:autoSpaceDE w:val="0"/>
        <w:autoSpaceDN w:val="0"/>
        <w:adjustRightInd w:val="0"/>
        <w:ind w:left="851"/>
        <w:rPr>
          <w:sz w:val="24"/>
          <w:szCs w:val="24"/>
        </w:rPr>
      </w:pPr>
    </w:p>
    <w:p w14:paraId="37DDD73E" w14:textId="77777777" w:rsidR="00792FF9" w:rsidRPr="007475F3" w:rsidRDefault="00792FF9" w:rsidP="00F42A29">
      <w:pPr>
        <w:autoSpaceDE w:val="0"/>
        <w:autoSpaceDN w:val="0"/>
        <w:adjustRightInd w:val="0"/>
        <w:ind w:left="851"/>
        <w:rPr>
          <w:sz w:val="24"/>
          <w:szCs w:val="24"/>
        </w:rPr>
      </w:pPr>
      <w:r w:rsidRPr="007475F3">
        <w:rPr>
          <w:sz w:val="24"/>
          <w:szCs w:val="24"/>
        </w:rPr>
        <w:t xml:space="preserve">Bivirkninger rapporteret hos patienter i behandling med </w:t>
      </w:r>
      <w:proofErr w:type="spellStart"/>
      <w:r w:rsidRPr="007475F3">
        <w:rPr>
          <w:sz w:val="24"/>
          <w:szCs w:val="24"/>
        </w:rPr>
        <w:t>capecitabin</w:t>
      </w:r>
      <w:proofErr w:type="spellEnd"/>
      <w:r w:rsidRPr="007475F3">
        <w:rPr>
          <w:sz w:val="24"/>
          <w:szCs w:val="24"/>
        </w:rPr>
        <w:t xml:space="preserve"> i kombination med </w:t>
      </w:r>
      <w:proofErr w:type="spellStart"/>
      <w:r w:rsidRPr="007475F3">
        <w:rPr>
          <w:sz w:val="24"/>
          <w:szCs w:val="24"/>
        </w:rPr>
        <w:t>irinotecan</w:t>
      </w:r>
      <w:proofErr w:type="spellEnd"/>
      <w:r w:rsidRPr="007475F3">
        <w:rPr>
          <w:sz w:val="24"/>
          <w:szCs w:val="24"/>
        </w:rPr>
        <w:t xml:space="preserve"> omfatter ud over dem, der ses ved </w:t>
      </w:r>
      <w:proofErr w:type="spellStart"/>
      <w:r w:rsidRPr="007475F3">
        <w:rPr>
          <w:sz w:val="24"/>
          <w:szCs w:val="24"/>
        </w:rPr>
        <w:t>capecitabin</w:t>
      </w:r>
      <w:proofErr w:type="spellEnd"/>
      <w:r w:rsidRPr="007475F3">
        <w:rPr>
          <w:sz w:val="24"/>
          <w:szCs w:val="24"/>
        </w:rPr>
        <w:t xml:space="preserve"> monoterapi, eller som ses hyppigere sammenlignet med </w:t>
      </w:r>
      <w:proofErr w:type="spellStart"/>
      <w:r w:rsidRPr="007475F3">
        <w:rPr>
          <w:sz w:val="24"/>
          <w:szCs w:val="24"/>
        </w:rPr>
        <w:t>capecitabin</w:t>
      </w:r>
      <w:proofErr w:type="spellEnd"/>
      <w:r w:rsidRPr="007475F3">
        <w:rPr>
          <w:sz w:val="24"/>
          <w:szCs w:val="24"/>
        </w:rPr>
        <w:t xml:space="preserve"> monoterapi, omfatter: </w:t>
      </w:r>
      <w:r w:rsidRPr="007475F3">
        <w:rPr>
          <w:i/>
          <w:iCs/>
          <w:sz w:val="24"/>
          <w:szCs w:val="24"/>
        </w:rPr>
        <w:t>Meget almindelig, alle grader bivirkninger</w:t>
      </w:r>
      <w:r w:rsidRPr="007475F3">
        <w:rPr>
          <w:sz w:val="24"/>
          <w:szCs w:val="24"/>
        </w:rPr>
        <w:t>: trombose/</w:t>
      </w:r>
      <w:proofErr w:type="spellStart"/>
      <w:r w:rsidRPr="007475F3">
        <w:rPr>
          <w:sz w:val="24"/>
          <w:szCs w:val="24"/>
        </w:rPr>
        <w:t>embolisme</w:t>
      </w:r>
      <w:proofErr w:type="spellEnd"/>
      <w:r w:rsidRPr="007475F3">
        <w:rPr>
          <w:sz w:val="24"/>
          <w:szCs w:val="24"/>
        </w:rPr>
        <w:t xml:space="preserve">; </w:t>
      </w:r>
      <w:r w:rsidRPr="007475F3">
        <w:rPr>
          <w:i/>
          <w:iCs/>
          <w:sz w:val="24"/>
          <w:szCs w:val="24"/>
        </w:rPr>
        <w:t>Almindelig, alle grader bivirkninger</w:t>
      </w:r>
      <w:r w:rsidRPr="007475F3">
        <w:rPr>
          <w:sz w:val="24"/>
          <w:szCs w:val="24"/>
        </w:rPr>
        <w:t xml:space="preserve">: overfølsomhedsreaktioner, </w:t>
      </w:r>
      <w:proofErr w:type="spellStart"/>
      <w:r w:rsidRPr="007475F3">
        <w:rPr>
          <w:sz w:val="24"/>
          <w:szCs w:val="24"/>
        </w:rPr>
        <w:t>myokardiel</w:t>
      </w:r>
      <w:proofErr w:type="spellEnd"/>
      <w:r w:rsidRPr="007475F3">
        <w:rPr>
          <w:sz w:val="24"/>
          <w:szCs w:val="24"/>
        </w:rPr>
        <w:t xml:space="preserve"> iskæmi/infarkt; </w:t>
      </w:r>
      <w:r w:rsidRPr="007475F3">
        <w:rPr>
          <w:i/>
          <w:iCs/>
          <w:sz w:val="24"/>
          <w:szCs w:val="24"/>
        </w:rPr>
        <w:t>Almindelig, grad 3-4 bivirkninger</w:t>
      </w:r>
      <w:r w:rsidRPr="007475F3">
        <w:rPr>
          <w:sz w:val="24"/>
          <w:szCs w:val="24"/>
        </w:rPr>
        <w:t xml:space="preserve">: febril </w:t>
      </w:r>
      <w:proofErr w:type="spellStart"/>
      <w:r w:rsidRPr="007475F3">
        <w:rPr>
          <w:sz w:val="24"/>
          <w:szCs w:val="24"/>
        </w:rPr>
        <w:t>neutropeni</w:t>
      </w:r>
      <w:proofErr w:type="spellEnd"/>
      <w:r w:rsidRPr="007475F3">
        <w:rPr>
          <w:sz w:val="24"/>
          <w:szCs w:val="24"/>
        </w:rPr>
        <w:t xml:space="preserve">. For fyldestgørende information om bivirkninger for </w:t>
      </w:r>
      <w:proofErr w:type="spellStart"/>
      <w:r w:rsidRPr="007475F3">
        <w:rPr>
          <w:sz w:val="24"/>
          <w:szCs w:val="24"/>
        </w:rPr>
        <w:t>capecitabin</w:t>
      </w:r>
      <w:proofErr w:type="spellEnd"/>
      <w:r w:rsidRPr="007475F3">
        <w:rPr>
          <w:sz w:val="24"/>
          <w:szCs w:val="24"/>
        </w:rPr>
        <w:t xml:space="preserve"> henvises til produktresuméet for </w:t>
      </w:r>
      <w:proofErr w:type="spellStart"/>
      <w:r w:rsidRPr="007475F3">
        <w:rPr>
          <w:sz w:val="24"/>
          <w:szCs w:val="24"/>
        </w:rPr>
        <w:t>capecitabin</w:t>
      </w:r>
      <w:proofErr w:type="spellEnd"/>
      <w:r w:rsidRPr="007475F3">
        <w:rPr>
          <w:sz w:val="24"/>
          <w:szCs w:val="24"/>
        </w:rPr>
        <w:t>.</w:t>
      </w:r>
    </w:p>
    <w:p w14:paraId="54974A4D" w14:textId="77777777" w:rsidR="00792FF9" w:rsidRPr="007475F3" w:rsidRDefault="00792FF9" w:rsidP="00F42A29">
      <w:pPr>
        <w:autoSpaceDE w:val="0"/>
        <w:autoSpaceDN w:val="0"/>
        <w:adjustRightInd w:val="0"/>
        <w:ind w:left="851"/>
        <w:rPr>
          <w:sz w:val="24"/>
          <w:szCs w:val="24"/>
        </w:rPr>
      </w:pPr>
    </w:p>
    <w:p w14:paraId="4B0A5193" w14:textId="77777777" w:rsidR="00792FF9" w:rsidRPr="007475F3" w:rsidRDefault="00792FF9" w:rsidP="00F42A29">
      <w:pPr>
        <w:autoSpaceDE w:val="0"/>
        <w:autoSpaceDN w:val="0"/>
        <w:adjustRightInd w:val="0"/>
        <w:ind w:left="851"/>
        <w:rPr>
          <w:sz w:val="24"/>
          <w:szCs w:val="24"/>
        </w:rPr>
      </w:pPr>
      <w:r w:rsidRPr="007475F3">
        <w:rPr>
          <w:sz w:val="24"/>
          <w:szCs w:val="24"/>
        </w:rPr>
        <w:t xml:space="preserve">Grad 3-4 bivirkninger rapporteret hos patienter i behandling med </w:t>
      </w:r>
      <w:proofErr w:type="spellStart"/>
      <w:r w:rsidRPr="007475F3">
        <w:rPr>
          <w:sz w:val="24"/>
          <w:szCs w:val="24"/>
        </w:rPr>
        <w:t>capecitabin</w:t>
      </w:r>
      <w:proofErr w:type="spellEnd"/>
      <w:r w:rsidRPr="007475F3">
        <w:rPr>
          <w:sz w:val="24"/>
          <w:szCs w:val="24"/>
        </w:rPr>
        <w:t xml:space="preserve"> i kombination med </w:t>
      </w:r>
      <w:proofErr w:type="spellStart"/>
      <w:r w:rsidRPr="007475F3">
        <w:rPr>
          <w:sz w:val="24"/>
          <w:szCs w:val="24"/>
        </w:rPr>
        <w:t>irinotecan</w:t>
      </w:r>
      <w:proofErr w:type="spellEnd"/>
      <w:r w:rsidRPr="007475F3">
        <w:rPr>
          <w:sz w:val="24"/>
          <w:szCs w:val="24"/>
        </w:rPr>
        <w:t xml:space="preserve"> og </w:t>
      </w:r>
      <w:proofErr w:type="spellStart"/>
      <w:r w:rsidRPr="007475F3">
        <w:rPr>
          <w:sz w:val="24"/>
          <w:szCs w:val="24"/>
        </w:rPr>
        <w:t>bevacizumab</w:t>
      </w:r>
      <w:proofErr w:type="spellEnd"/>
      <w:r w:rsidRPr="007475F3">
        <w:rPr>
          <w:sz w:val="24"/>
          <w:szCs w:val="24"/>
        </w:rPr>
        <w:t xml:space="preserve"> omfatter ud over dem, der ses ved </w:t>
      </w:r>
      <w:proofErr w:type="spellStart"/>
      <w:r w:rsidRPr="007475F3">
        <w:rPr>
          <w:sz w:val="24"/>
          <w:szCs w:val="24"/>
        </w:rPr>
        <w:t>capecitabin</w:t>
      </w:r>
      <w:proofErr w:type="spellEnd"/>
      <w:r w:rsidRPr="007475F3">
        <w:rPr>
          <w:sz w:val="24"/>
          <w:szCs w:val="24"/>
        </w:rPr>
        <w:t xml:space="preserve"> monoterapi, eller som ses hyppigere sammenlignet med </w:t>
      </w:r>
      <w:proofErr w:type="spellStart"/>
      <w:r w:rsidRPr="007475F3">
        <w:rPr>
          <w:sz w:val="24"/>
          <w:szCs w:val="24"/>
        </w:rPr>
        <w:t>capecitabin</w:t>
      </w:r>
      <w:proofErr w:type="spellEnd"/>
      <w:r w:rsidRPr="007475F3">
        <w:rPr>
          <w:sz w:val="24"/>
          <w:szCs w:val="24"/>
        </w:rPr>
        <w:t xml:space="preserve"> monoterapi: </w:t>
      </w:r>
      <w:r w:rsidRPr="007475F3">
        <w:rPr>
          <w:i/>
          <w:iCs/>
          <w:sz w:val="24"/>
          <w:szCs w:val="24"/>
        </w:rPr>
        <w:t>Almindelig, grad 3 og grad 4 bivirkninger:</w:t>
      </w:r>
      <w:r w:rsidRPr="007475F3">
        <w:rPr>
          <w:sz w:val="24"/>
          <w:szCs w:val="24"/>
        </w:rPr>
        <w:t xml:space="preserve"> </w:t>
      </w:r>
      <w:proofErr w:type="spellStart"/>
      <w:r w:rsidRPr="007475F3">
        <w:rPr>
          <w:sz w:val="24"/>
          <w:szCs w:val="24"/>
        </w:rPr>
        <w:t>neutropeni</w:t>
      </w:r>
      <w:proofErr w:type="spellEnd"/>
      <w:r w:rsidRPr="007475F3">
        <w:rPr>
          <w:sz w:val="24"/>
          <w:szCs w:val="24"/>
        </w:rPr>
        <w:t>, trombose/</w:t>
      </w:r>
      <w:proofErr w:type="spellStart"/>
      <w:r w:rsidRPr="007475F3">
        <w:rPr>
          <w:sz w:val="24"/>
          <w:szCs w:val="24"/>
        </w:rPr>
        <w:t>embolisme</w:t>
      </w:r>
      <w:proofErr w:type="spellEnd"/>
      <w:r w:rsidRPr="007475F3">
        <w:rPr>
          <w:sz w:val="24"/>
          <w:szCs w:val="24"/>
        </w:rPr>
        <w:t xml:space="preserve">, hypertension og </w:t>
      </w:r>
      <w:proofErr w:type="spellStart"/>
      <w:r w:rsidRPr="007475F3">
        <w:rPr>
          <w:sz w:val="24"/>
          <w:szCs w:val="24"/>
        </w:rPr>
        <w:t>myokardiel</w:t>
      </w:r>
      <w:proofErr w:type="spellEnd"/>
      <w:r w:rsidRPr="007475F3">
        <w:rPr>
          <w:sz w:val="24"/>
          <w:szCs w:val="24"/>
        </w:rPr>
        <w:t xml:space="preserve"> iskæmi/infarkt. For fyldestgørende information om bivirkninger for </w:t>
      </w:r>
      <w:proofErr w:type="spellStart"/>
      <w:r w:rsidRPr="007475F3">
        <w:rPr>
          <w:sz w:val="24"/>
          <w:szCs w:val="24"/>
        </w:rPr>
        <w:t>capecitabin</w:t>
      </w:r>
      <w:proofErr w:type="spellEnd"/>
      <w:r w:rsidRPr="007475F3">
        <w:rPr>
          <w:sz w:val="24"/>
          <w:szCs w:val="24"/>
        </w:rPr>
        <w:t xml:space="preserve"> og </w:t>
      </w:r>
      <w:proofErr w:type="spellStart"/>
      <w:r w:rsidRPr="007475F3">
        <w:rPr>
          <w:sz w:val="24"/>
          <w:szCs w:val="24"/>
        </w:rPr>
        <w:t>bevacizumab</w:t>
      </w:r>
      <w:proofErr w:type="spellEnd"/>
      <w:r w:rsidRPr="007475F3">
        <w:rPr>
          <w:sz w:val="24"/>
          <w:szCs w:val="24"/>
        </w:rPr>
        <w:t xml:space="preserve"> henvises til produktresuméet for </w:t>
      </w:r>
      <w:proofErr w:type="spellStart"/>
      <w:r w:rsidRPr="007475F3">
        <w:rPr>
          <w:sz w:val="24"/>
          <w:szCs w:val="24"/>
        </w:rPr>
        <w:t>capecitabin</w:t>
      </w:r>
      <w:proofErr w:type="spellEnd"/>
      <w:r w:rsidRPr="007475F3">
        <w:rPr>
          <w:sz w:val="24"/>
          <w:szCs w:val="24"/>
        </w:rPr>
        <w:t xml:space="preserve"> og </w:t>
      </w:r>
      <w:proofErr w:type="spellStart"/>
      <w:r w:rsidRPr="007475F3">
        <w:rPr>
          <w:sz w:val="24"/>
          <w:szCs w:val="24"/>
        </w:rPr>
        <w:t>bevacizumab</w:t>
      </w:r>
      <w:proofErr w:type="spellEnd"/>
      <w:r w:rsidRPr="007475F3">
        <w:rPr>
          <w:sz w:val="24"/>
          <w:szCs w:val="24"/>
        </w:rPr>
        <w:t>.</w:t>
      </w:r>
    </w:p>
    <w:p w14:paraId="65E859EE" w14:textId="77777777" w:rsidR="00792FF9" w:rsidRPr="007475F3" w:rsidRDefault="00792FF9" w:rsidP="00F42A29">
      <w:pPr>
        <w:autoSpaceDE w:val="0"/>
        <w:autoSpaceDN w:val="0"/>
        <w:adjustRightInd w:val="0"/>
        <w:ind w:left="851"/>
        <w:rPr>
          <w:sz w:val="24"/>
          <w:szCs w:val="24"/>
        </w:rPr>
      </w:pPr>
    </w:p>
    <w:p w14:paraId="1DCEDE06" w14:textId="77777777" w:rsidR="00792FF9" w:rsidRPr="007475F3" w:rsidRDefault="00792FF9" w:rsidP="00F42A29">
      <w:pPr>
        <w:autoSpaceDE w:val="0"/>
        <w:autoSpaceDN w:val="0"/>
        <w:adjustRightInd w:val="0"/>
        <w:ind w:left="851"/>
        <w:rPr>
          <w:sz w:val="24"/>
          <w:szCs w:val="24"/>
        </w:rPr>
      </w:pPr>
      <w:r w:rsidRPr="007475F3">
        <w:rPr>
          <w:sz w:val="24"/>
          <w:szCs w:val="24"/>
        </w:rPr>
        <w:t xml:space="preserve">Grad 3 hypertension var den vigtigste betydelige risiko, der var involveret ved tilføjelse af </w:t>
      </w:r>
      <w:proofErr w:type="spellStart"/>
      <w:r w:rsidRPr="007475F3">
        <w:rPr>
          <w:sz w:val="24"/>
          <w:szCs w:val="24"/>
        </w:rPr>
        <w:t>bevacizumab</w:t>
      </w:r>
      <w:proofErr w:type="spellEnd"/>
      <w:r w:rsidRPr="007475F3">
        <w:rPr>
          <w:sz w:val="24"/>
          <w:szCs w:val="24"/>
        </w:rPr>
        <w:t xml:space="preserve"> til </w:t>
      </w:r>
      <w:proofErr w:type="spellStart"/>
      <w:r w:rsidRPr="007475F3">
        <w:rPr>
          <w:sz w:val="24"/>
          <w:szCs w:val="24"/>
        </w:rPr>
        <w:t>bolus</w:t>
      </w:r>
      <w:proofErr w:type="spellEnd"/>
      <w:r w:rsidRPr="007475F3">
        <w:rPr>
          <w:sz w:val="24"/>
          <w:szCs w:val="24"/>
        </w:rPr>
        <w:t xml:space="preserve"> </w:t>
      </w:r>
      <w:proofErr w:type="spellStart"/>
      <w:r w:rsidRPr="007475F3">
        <w:rPr>
          <w:sz w:val="24"/>
          <w:szCs w:val="24"/>
        </w:rPr>
        <w:t>irinotecan</w:t>
      </w:r>
      <w:proofErr w:type="spellEnd"/>
      <w:r w:rsidRPr="007475F3">
        <w:rPr>
          <w:sz w:val="24"/>
          <w:szCs w:val="24"/>
        </w:rPr>
        <w:t xml:space="preserve">/5-FU/FA. Derudover var der en lille stigning i grad 3/4 kemoterapi-bivirkningerne diarré og </w:t>
      </w:r>
      <w:proofErr w:type="spellStart"/>
      <w:r w:rsidRPr="007475F3">
        <w:rPr>
          <w:sz w:val="24"/>
          <w:szCs w:val="24"/>
        </w:rPr>
        <w:t>leukopeni</w:t>
      </w:r>
      <w:proofErr w:type="spellEnd"/>
      <w:r w:rsidRPr="007475F3">
        <w:rPr>
          <w:sz w:val="24"/>
          <w:szCs w:val="24"/>
        </w:rPr>
        <w:t xml:space="preserve"> med dette regime sammenlignet med patienter, der fik </w:t>
      </w:r>
      <w:proofErr w:type="spellStart"/>
      <w:r w:rsidRPr="007475F3">
        <w:rPr>
          <w:sz w:val="24"/>
          <w:szCs w:val="24"/>
        </w:rPr>
        <w:t>bolus</w:t>
      </w:r>
      <w:proofErr w:type="spellEnd"/>
      <w:r w:rsidRPr="007475F3">
        <w:rPr>
          <w:sz w:val="24"/>
          <w:szCs w:val="24"/>
        </w:rPr>
        <w:t xml:space="preserve"> </w:t>
      </w:r>
      <w:proofErr w:type="spellStart"/>
      <w:r w:rsidRPr="007475F3">
        <w:rPr>
          <w:sz w:val="24"/>
          <w:szCs w:val="24"/>
        </w:rPr>
        <w:t>irinotecan</w:t>
      </w:r>
      <w:proofErr w:type="spellEnd"/>
      <w:r w:rsidRPr="007475F3">
        <w:rPr>
          <w:sz w:val="24"/>
          <w:szCs w:val="24"/>
        </w:rPr>
        <w:t xml:space="preserve">/5-FU/FA alene. For øvrig information om bivirkninger i kombination med </w:t>
      </w:r>
      <w:proofErr w:type="spellStart"/>
      <w:r w:rsidRPr="007475F3">
        <w:rPr>
          <w:sz w:val="24"/>
          <w:szCs w:val="24"/>
        </w:rPr>
        <w:t>bevacizumab</w:t>
      </w:r>
      <w:proofErr w:type="spellEnd"/>
      <w:r w:rsidRPr="007475F3">
        <w:rPr>
          <w:sz w:val="24"/>
          <w:szCs w:val="24"/>
        </w:rPr>
        <w:t xml:space="preserve"> henvises til produktresuméet for </w:t>
      </w:r>
      <w:proofErr w:type="spellStart"/>
      <w:r w:rsidRPr="007475F3">
        <w:rPr>
          <w:sz w:val="24"/>
          <w:szCs w:val="24"/>
        </w:rPr>
        <w:t>bevacizumab</w:t>
      </w:r>
      <w:proofErr w:type="spellEnd"/>
      <w:r w:rsidRPr="007475F3">
        <w:rPr>
          <w:sz w:val="24"/>
          <w:szCs w:val="24"/>
        </w:rPr>
        <w:t>.</w:t>
      </w:r>
    </w:p>
    <w:p w14:paraId="24284880" w14:textId="77777777" w:rsidR="00792FF9" w:rsidRPr="007475F3" w:rsidRDefault="00792FF9" w:rsidP="00F42A29">
      <w:pPr>
        <w:autoSpaceDE w:val="0"/>
        <w:autoSpaceDN w:val="0"/>
        <w:adjustRightInd w:val="0"/>
        <w:ind w:left="851"/>
        <w:rPr>
          <w:sz w:val="24"/>
          <w:szCs w:val="24"/>
        </w:rPr>
      </w:pPr>
    </w:p>
    <w:p w14:paraId="38721272" w14:textId="77777777" w:rsidR="00792FF9" w:rsidRPr="007475F3" w:rsidRDefault="00792FF9" w:rsidP="00F42A29">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er blevet undersøgt i kombination med 5-FU og FA for metastatisk </w:t>
      </w:r>
      <w:proofErr w:type="spellStart"/>
      <w:r w:rsidRPr="007475F3">
        <w:rPr>
          <w:sz w:val="24"/>
          <w:szCs w:val="24"/>
        </w:rPr>
        <w:t>colorektal</w:t>
      </w:r>
      <w:proofErr w:type="spellEnd"/>
      <w:r w:rsidRPr="007475F3">
        <w:rPr>
          <w:sz w:val="24"/>
          <w:szCs w:val="24"/>
        </w:rPr>
        <w:t xml:space="preserve"> cancer.</w:t>
      </w:r>
    </w:p>
    <w:p w14:paraId="0B3A5EE2" w14:textId="77777777" w:rsidR="00792FF9" w:rsidRPr="007475F3" w:rsidRDefault="00792FF9" w:rsidP="00F42A29">
      <w:pPr>
        <w:autoSpaceDE w:val="0"/>
        <w:autoSpaceDN w:val="0"/>
        <w:adjustRightInd w:val="0"/>
        <w:ind w:left="851"/>
        <w:rPr>
          <w:sz w:val="24"/>
          <w:szCs w:val="24"/>
        </w:rPr>
      </w:pPr>
    </w:p>
    <w:p w14:paraId="5956B1CE" w14:textId="77777777" w:rsidR="00792FF9" w:rsidRPr="007475F3" w:rsidRDefault="00792FF9" w:rsidP="00F42A29">
      <w:pPr>
        <w:autoSpaceDE w:val="0"/>
        <w:autoSpaceDN w:val="0"/>
        <w:adjustRightInd w:val="0"/>
        <w:ind w:left="851"/>
        <w:rPr>
          <w:sz w:val="24"/>
          <w:szCs w:val="24"/>
        </w:rPr>
      </w:pPr>
      <w:r w:rsidRPr="007475F3">
        <w:rPr>
          <w:sz w:val="24"/>
          <w:szCs w:val="24"/>
        </w:rPr>
        <w:t xml:space="preserve">Sikkerhedsdata for bivirkninger fra kliniske undersøgelser viser meget almindeligt observeret </w:t>
      </w:r>
      <w:proofErr w:type="gramStart"/>
      <w:r w:rsidRPr="007475F3">
        <w:rPr>
          <w:sz w:val="24"/>
          <w:szCs w:val="24"/>
        </w:rPr>
        <w:t>NCI grad</w:t>
      </w:r>
      <w:proofErr w:type="gramEnd"/>
      <w:r w:rsidRPr="007475F3">
        <w:rPr>
          <w:sz w:val="24"/>
          <w:szCs w:val="24"/>
        </w:rPr>
        <w:t xml:space="preserve"> 3 eller 4, mulige eller sandsynlige bivirkninger, der relaterer til blod og lymfesystem, </w:t>
      </w:r>
      <w:proofErr w:type="spellStart"/>
      <w:r w:rsidRPr="007475F3">
        <w:rPr>
          <w:sz w:val="24"/>
          <w:szCs w:val="24"/>
        </w:rPr>
        <w:t>gastrointestinale</w:t>
      </w:r>
      <w:proofErr w:type="spellEnd"/>
      <w:r w:rsidRPr="007475F3">
        <w:rPr>
          <w:sz w:val="24"/>
          <w:szCs w:val="24"/>
        </w:rPr>
        <w:t xml:space="preserve"> sygdomme, og hud og subkutane væv for </w:t>
      </w:r>
      <w:proofErr w:type="spellStart"/>
      <w:r w:rsidRPr="007475F3">
        <w:rPr>
          <w:sz w:val="24"/>
          <w:szCs w:val="24"/>
        </w:rPr>
        <w:t>MedDRA</w:t>
      </w:r>
      <w:proofErr w:type="spellEnd"/>
      <w:r w:rsidRPr="007475F3">
        <w:rPr>
          <w:sz w:val="24"/>
          <w:szCs w:val="24"/>
        </w:rPr>
        <w:t>-systemorganklasser.</w:t>
      </w:r>
    </w:p>
    <w:p w14:paraId="6DF02465" w14:textId="77777777" w:rsidR="00792FF9" w:rsidRPr="007475F3" w:rsidRDefault="00792FF9" w:rsidP="00F42A29">
      <w:pPr>
        <w:autoSpaceDE w:val="0"/>
        <w:autoSpaceDN w:val="0"/>
        <w:adjustRightInd w:val="0"/>
        <w:ind w:left="851"/>
        <w:rPr>
          <w:sz w:val="24"/>
          <w:szCs w:val="24"/>
        </w:rPr>
      </w:pPr>
    </w:p>
    <w:p w14:paraId="30B11A7F" w14:textId="2EA72692" w:rsidR="00792FF9" w:rsidRPr="007475F3" w:rsidRDefault="00792FF9" w:rsidP="00F42A29">
      <w:pPr>
        <w:ind w:left="851"/>
        <w:rPr>
          <w:sz w:val="24"/>
          <w:szCs w:val="24"/>
        </w:rPr>
      </w:pPr>
      <w:r w:rsidRPr="007475F3">
        <w:rPr>
          <w:sz w:val="24"/>
          <w:szCs w:val="24"/>
        </w:rPr>
        <w:t xml:space="preserve">Følgende bivirkninger med mulig eller sandsynlig relation til administration af </w:t>
      </w:r>
      <w:proofErr w:type="spellStart"/>
      <w:r w:rsidRPr="007475F3">
        <w:rPr>
          <w:sz w:val="24"/>
          <w:szCs w:val="24"/>
        </w:rPr>
        <w:t>irinotecan</w:t>
      </w:r>
      <w:proofErr w:type="spellEnd"/>
      <w:r w:rsidRPr="007475F3">
        <w:rPr>
          <w:sz w:val="24"/>
          <w:szCs w:val="24"/>
        </w:rPr>
        <w:t xml:space="preserve"> er blevet rapporteret fra 145 patienter behandlet med </w:t>
      </w:r>
      <w:proofErr w:type="spellStart"/>
      <w:r w:rsidRPr="007475F3">
        <w:rPr>
          <w:sz w:val="24"/>
          <w:szCs w:val="24"/>
        </w:rPr>
        <w:t>irinotecan</w:t>
      </w:r>
      <w:proofErr w:type="spellEnd"/>
      <w:r w:rsidRPr="007475F3">
        <w:rPr>
          <w:sz w:val="24"/>
          <w:szCs w:val="24"/>
        </w:rPr>
        <w:t xml:space="preserve"> i kombination med 5FU/FA i hver 2. uge ved den anbefalede dosis på 180 mg/m</w:t>
      </w:r>
      <w:r w:rsidRPr="007475F3">
        <w:rPr>
          <w:sz w:val="24"/>
          <w:szCs w:val="24"/>
          <w:vertAlign w:val="superscript"/>
        </w:rPr>
        <w:t>2</w:t>
      </w:r>
      <w:r w:rsidRPr="007475F3">
        <w:rPr>
          <w:sz w:val="24"/>
          <w:szCs w:val="24"/>
        </w:rPr>
        <w:t>.</w:t>
      </w:r>
    </w:p>
    <w:p w14:paraId="5D7F77B8" w14:textId="77777777" w:rsidR="00F42A29" w:rsidRPr="007475F3" w:rsidRDefault="00F42A29" w:rsidP="00F42A29">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03"/>
        <w:gridCol w:w="3201"/>
      </w:tblGrid>
      <w:tr w:rsidR="00792FF9" w:rsidRPr="007475F3" w14:paraId="121BF31E" w14:textId="77777777" w:rsidTr="00F42A29">
        <w:tc>
          <w:tcPr>
            <w:tcW w:w="5000" w:type="pct"/>
            <w:gridSpan w:val="3"/>
            <w:tcBorders>
              <w:top w:val="single" w:sz="12" w:space="0" w:color="auto"/>
              <w:left w:val="single" w:sz="12" w:space="0" w:color="auto"/>
              <w:bottom w:val="single" w:sz="4" w:space="0" w:color="auto"/>
              <w:right w:val="single" w:sz="12" w:space="0" w:color="auto"/>
            </w:tcBorders>
            <w:hideMark/>
          </w:tcPr>
          <w:p w14:paraId="155251E1" w14:textId="77777777" w:rsidR="00792FF9" w:rsidRPr="007475F3" w:rsidRDefault="00792FF9">
            <w:pPr>
              <w:autoSpaceDE w:val="0"/>
              <w:autoSpaceDN w:val="0"/>
              <w:adjustRightInd w:val="0"/>
              <w:rPr>
                <w:sz w:val="24"/>
                <w:szCs w:val="24"/>
              </w:rPr>
            </w:pPr>
            <w:r w:rsidRPr="007475F3">
              <w:rPr>
                <w:b/>
                <w:bCs/>
                <w:sz w:val="24"/>
                <w:szCs w:val="24"/>
              </w:rPr>
              <w:t xml:space="preserve">Bivirkninger rapporteret med </w:t>
            </w:r>
            <w:proofErr w:type="spellStart"/>
            <w:r w:rsidRPr="007475F3">
              <w:rPr>
                <w:b/>
                <w:bCs/>
                <w:sz w:val="24"/>
                <w:szCs w:val="24"/>
              </w:rPr>
              <w:t>irinotecan</w:t>
            </w:r>
            <w:proofErr w:type="spellEnd"/>
            <w:r w:rsidRPr="007475F3">
              <w:rPr>
                <w:b/>
                <w:bCs/>
                <w:sz w:val="24"/>
                <w:szCs w:val="24"/>
              </w:rPr>
              <w:t xml:space="preserve"> ved kombinationsterapi (180 mg/m</w:t>
            </w:r>
            <w:r w:rsidRPr="007475F3">
              <w:rPr>
                <w:b/>
                <w:bCs/>
                <w:sz w:val="24"/>
                <w:szCs w:val="24"/>
                <w:vertAlign w:val="superscript"/>
              </w:rPr>
              <w:t>2</w:t>
            </w:r>
            <w:r w:rsidRPr="007475F3">
              <w:rPr>
                <w:b/>
                <w:bCs/>
                <w:sz w:val="24"/>
                <w:szCs w:val="24"/>
              </w:rPr>
              <w:t xml:space="preserve"> hver 2. uge)</w:t>
            </w:r>
          </w:p>
        </w:tc>
      </w:tr>
      <w:tr w:rsidR="00792FF9" w:rsidRPr="007475F3" w14:paraId="32FBFA12"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554A7939" w14:textId="77777777" w:rsidR="00792FF9" w:rsidRPr="007475F3" w:rsidRDefault="00792FF9">
            <w:pPr>
              <w:autoSpaceDE w:val="0"/>
              <w:autoSpaceDN w:val="0"/>
              <w:adjustRightInd w:val="0"/>
              <w:rPr>
                <w:sz w:val="24"/>
                <w:szCs w:val="24"/>
              </w:rPr>
            </w:pPr>
            <w:proofErr w:type="spellStart"/>
            <w:r w:rsidRPr="007475F3">
              <w:rPr>
                <w:b/>
                <w:bCs/>
                <w:sz w:val="24"/>
                <w:szCs w:val="24"/>
              </w:rPr>
              <w:t>MedDRA</w:t>
            </w:r>
            <w:proofErr w:type="spellEnd"/>
            <w:r w:rsidRPr="007475F3">
              <w:rPr>
                <w:b/>
                <w:bCs/>
                <w:sz w:val="24"/>
                <w:szCs w:val="24"/>
              </w:rPr>
              <w:t>-systemorganklasse</w:t>
            </w:r>
          </w:p>
        </w:tc>
        <w:tc>
          <w:tcPr>
            <w:tcW w:w="1667" w:type="pct"/>
            <w:tcBorders>
              <w:top w:val="single" w:sz="12" w:space="0" w:color="auto"/>
              <w:left w:val="single" w:sz="12" w:space="0" w:color="auto"/>
              <w:bottom w:val="single" w:sz="12" w:space="0" w:color="auto"/>
              <w:right w:val="single" w:sz="12" w:space="0" w:color="auto"/>
            </w:tcBorders>
            <w:hideMark/>
          </w:tcPr>
          <w:p w14:paraId="251969CF" w14:textId="77777777" w:rsidR="00792FF9" w:rsidRPr="007475F3" w:rsidRDefault="00792FF9">
            <w:pPr>
              <w:autoSpaceDE w:val="0"/>
              <w:autoSpaceDN w:val="0"/>
              <w:adjustRightInd w:val="0"/>
              <w:rPr>
                <w:sz w:val="24"/>
                <w:szCs w:val="24"/>
              </w:rPr>
            </w:pPr>
            <w:r w:rsidRPr="007475F3">
              <w:rPr>
                <w:b/>
                <w:bCs/>
                <w:sz w:val="24"/>
                <w:szCs w:val="24"/>
              </w:rPr>
              <w:t>Frekvenskategori</w:t>
            </w:r>
          </w:p>
        </w:tc>
        <w:tc>
          <w:tcPr>
            <w:tcW w:w="1667" w:type="pct"/>
            <w:tcBorders>
              <w:top w:val="single" w:sz="12" w:space="0" w:color="auto"/>
              <w:left w:val="single" w:sz="12" w:space="0" w:color="auto"/>
              <w:bottom w:val="single" w:sz="12" w:space="0" w:color="auto"/>
              <w:right w:val="single" w:sz="12" w:space="0" w:color="auto"/>
            </w:tcBorders>
            <w:hideMark/>
          </w:tcPr>
          <w:p w14:paraId="5AFCE577" w14:textId="77777777" w:rsidR="00792FF9" w:rsidRPr="007475F3" w:rsidRDefault="00792FF9">
            <w:pPr>
              <w:autoSpaceDE w:val="0"/>
              <w:autoSpaceDN w:val="0"/>
              <w:adjustRightInd w:val="0"/>
              <w:rPr>
                <w:sz w:val="24"/>
                <w:szCs w:val="24"/>
              </w:rPr>
            </w:pPr>
            <w:r w:rsidRPr="007475F3">
              <w:rPr>
                <w:b/>
                <w:bCs/>
                <w:sz w:val="24"/>
                <w:szCs w:val="24"/>
              </w:rPr>
              <w:t>Foretrukken term</w:t>
            </w:r>
          </w:p>
        </w:tc>
      </w:tr>
      <w:tr w:rsidR="00792FF9" w:rsidRPr="007475F3" w14:paraId="4E61686F"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07B55757" w14:textId="77777777" w:rsidR="00792FF9" w:rsidRPr="007475F3" w:rsidRDefault="00792FF9">
            <w:pPr>
              <w:autoSpaceDE w:val="0"/>
              <w:autoSpaceDN w:val="0"/>
              <w:adjustRightInd w:val="0"/>
              <w:rPr>
                <w:sz w:val="24"/>
                <w:szCs w:val="24"/>
              </w:rPr>
            </w:pPr>
            <w:r w:rsidRPr="007475F3">
              <w:rPr>
                <w:sz w:val="24"/>
                <w:szCs w:val="24"/>
              </w:rPr>
              <w:t>Infektioner og parasitære sygdomme</w:t>
            </w:r>
          </w:p>
        </w:tc>
        <w:tc>
          <w:tcPr>
            <w:tcW w:w="1667" w:type="pct"/>
            <w:tcBorders>
              <w:top w:val="single" w:sz="12" w:space="0" w:color="auto"/>
              <w:left w:val="single" w:sz="12" w:space="0" w:color="auto"/>
              <w:bottom w:val="single" w:sz="12" w:space="0" w:color="auto"/>
              <w:right w:val="single" w:sz="12" w:space="0" w:color="auto"/>
            </w:tcBorders>
            <w:hideMark/>
          </w:tcPr>
          <w:p w14:paraId="52E44D11"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1B6D6250" w14:textId="77777777" w:rsidR="00792FF9" w:rsidRPr="007475F3" w:rsidRDefault="00792FF9">
            <w:pPr>
              <w:autoSpaceDE w:val="0"/>
              <w:autoSpaceDN w:val="0"/>
              <w:adjustRightInd w:val="0"/>
              <w:rPr>
                <w:sz w:val="24"/>
                <w:szCs w:val="24"/>
              </w:rPr>
            </w:pPr>
            <w:r w:rsidRPr="007475F3">
              <w:rPr>
                <w:sz w:val="24"/>
                <w:szCs w:val="24"/>
              </w:rPr>
              <w:t>Infektion</w:t>
            </w:r>
          </w:p>
        </w:tc>
      </w:tr>
      <w:tr w:rsidR="00792FF9" w:rsidRPr="007475F3" w14:paraId="1DAF5B98" w14:textId="77777777" w:rsidTr="00F42A29">
        <w:trPr>
          <w:trHeight w:val="97"/>
        </w:trPr>
        <w:tc>
          <w:tcPr>
            <w:tcW w:w="1667" w:type="pct"/>
            <w:vMerge w:val="restart"/>
            <w:tcBorders>
              <w:top w:val="single" w:sz="12" w:space="0" w:color="auto"/>
              <w:left w:val="single" w:sz="12" w:space="0" w:color="auto"/>
              <w:bottom w:val="single" w:sz="12" w:space="0" w:color="auto"/>
              <w:right w:val="single" w:sz="12" w:space="0" w:color="auto"/>
            </w:tcBorders>
            <w:hideMark/>
          </w:tcPr>
          <w:p w14:paraId="09F04E35" w14:textId="77777777" w:rsidR="00792FF9" w:rsidRPr="007475F3" w:rsidRDefault="00792FF9">
            <w:pPr>
              <w:autoSpaceDE w:val="0"/>
              <w:autoSpaceDN w:val="0"/>
              <w:adjustRightInd w:val="0"/>
              <w:rPr>
                <w:sz w:val="24"/>
                <w:szCs w:val="24"/>
              </w:rPr>
            </w:pPr>
            <w:r w:rsidRPr="007475F3">
              <w:rPr>
                <w:sz w:val="24"/>
                <w:szCs w:val="24"/>
              </w:rPr>
              <w:t>Blod og lymfesystem</w:t>
            </w:r>
          </w:p>
        </w:tc>
        <w:tc>
          <w:tcPr>
            <w:tcW w:w="1667" w:type="pct"/>
            <w:tcBorders>
              <w:top w:val="single" w:sz="12" w:space="0" w:color="auto"/>
              <w:left w:val="single" w:sz="12" w:space="0" w:color="auto"/>
              <w:bottom w:val="single" w:sz="12" w:space="0" w:color="auto"/>
              <w:right w:val="single" w:sz="12" w:space="0" w:color="auto"/>
            </w:tcBorders>
            <w:hideMark/>
          </w:tcPr>
          <w:p w14:paraId="62F4FF99"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6BFE8132" w14:textId="77777777" w:rsidR="00792FF9" w:rsidRPr="007475F3" w:rsidRDefault="00792FF9">
            <w:pPr>
              <w:autoSpaceDE w:val="0"/>
              <w:autoSpaceDN w:val="0"/>
              <w:adjustRightInd w:val="0"/>
              <w:rPr>
                <w:sz w:val="24"/>
                <w:szCs w:val="24"/>
              </w:rPr>
            </w:pPr>
            <w:proofErr w:type="spellStart"/>
            <w:r w:rsidRPr="007475F3">
              <w:rPr>
                <w:sz w:val="24"/>
                <w:szCs w:val="24"/>
              </w:rPr>
              <w:t>Trombocytopeni</w:t>
            </w:r>
            <w:proofErr w:type="spellEnd"/>
          </w:p>
        </w:tc>
      </w:tr>
      <w:tr w:rsidR="00792FF9" w:rsidRPr="007475F3" w14:paraId="6F819EB1"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6B599694"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66F2AD17"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06E738FB" w14:textId="77777777" w:rsidR="00792FF9" w:rsidRPr="007475F3" w:rsidRDefault="00792FF9">
            <w:pPr>
              <w:autoSpaceDE w:val="0"/>
              <w:autoSpaceDN w:val="0"/>
              <w:adjustRightInd w:val="0"/>
              <w:rPr>
                <w:sz w:val="24"/>
                <w:szCs w:val="24"/>
              </w:rPr>
            </w:pPr>
            <w:proofErr w:type="spellStart"/>
            <w:r w:rsidRPr="007475F3">
              <w:rPr>
                <w:sz w:val="24"/>
                <w:szCs w:val="24"/>
              </w:rPr>
              <w:t>Neutropeni</w:t>
            </w:r>
            <w:proofErr w:type="spellEnd"/>
          </w:p>
        </w:tc>
      </w:tr>
      <w:tr w:rsidR="00792FF9" w:rsidRPr="007475F3" w14:paraId="1261857D"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5AB1DE44"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74A8BB2E"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0821C3CF" w14:textId="77777777" w:rsidR="00792FF9" w:rsidRPr="007475F3" w:rsidRDefault="00792FF9">
            <w:pPr>
              <w:autoSpaceDE w:val="0"/>
              <w:autoSpaceDN w:val="0"/>
              <w:adjustRightInd w:val="0"/>
              <w:rPr>
                <w:sz w:val="24"/>
                <w:szCs w:val="24"/>
              </w:rPr>
            </w:pPr>
            <w:r w:rsidRPr="007475F3">
              <w:rPr>
                <w:sz w:val="24"/>
                <w:szCs w:val="24"/>
              </w:rPr>
              <w:t>Anæmi</w:t>
            </w:r>
          </w:p>
        </w:tc>
      </w:tr>
      <w:tr w:rsidR="00792FF9" w:rsidRPr="007475F3" w14:paraId="6176CBC0"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424AC31C"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492BD393"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31609667" w14:textId="77777777" w:rsidR="00792FF9" w:rsidRPr="007475F3" w:rsidRDefault="00792FF9">
            <w:pPr>
              <w:autoSpaceDE w:val="0"/>
              <w:autoSpaceDN w:val="0"/>
              <w:adjustRightInd w:val="0"/>
              <w:rPr>
                <w:sz w:val="24"/>
                <w:szCs w:val="24"/>
              </w:rPr>
            </w:pPr>
            <w:r w:rsidRPr="007475F3">
              <w:rPr>
                <w:sz w:val="24"/>
                <w:szCs w:val="24"/>
              </w:rPr>
              <w:t xml:space="preserve">Febril </w:t>
            </w:r>
            <w:proofErr w:type="spellStart"/>
            <w:r w:rsidRPr="007475F3">
              <w:rPr>
                <w:sz w:val="24"/>
                <w:szCs w:val="24"/>
              </w:rPr>
              <w:t>neutropeni</w:t>
            </w:r>
            <w:proofErr w:type="spellEnd"/>
          </w:p>
        </w:tc>
      </w:tr>
      <w:tr w:rsidR="00792FF9" w:rsidRPr="007475F3" w14:paraId="436B03B8"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257378E4" w14:textId="77777777" w:rsidR="00792FF9" w:rsidRPr="007475F3" w:rsidRDefault="00792FF9">
            <w:pPr>
              <w:autoSpaceDE w:val="0"/>
              <w:autoSpaceDN w:val="0"/>
              <w:adjustRightInd w:val="0"/>
              <w:rPr>
                <w:sz w:val="24"/>
                <w:szCs w:val="24"/>
              </w:rPr>
            </w:pPr>
            <w:r w:rsidRPr="007475F3">
              <w:rPr>
                <w:sz w:val="24"/>
                <w:szCs w:val="24"/>
              </w:rPr>
              <w:t>Metabolisme og ernæring</w:t>
            </w:r>
          </w:p>
        </w:tc>
        <w:tc>
          <w:tcPr>
            <w:tcW w:w="1667" w:type="pct"/>
            <w:tcBorders>
              <w:top w:val="single" w:sz="12" w:space="0" w:color="auto"/>
              <w:left w:val="single" w:sz="12" w:space="0" w:color="auto"/>
              <w:bottom w:val="single" w:sz="12" w:space="0" w:color="auto"/>
              <w:right w:val="single" w:sz="12" w:space="0" w:color="auto"/>
            </w:tcBorders>
            <w:hideMark/>
          </w:tcPr>
          <w:p w14:paraId="59F18B22"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22737C0F" w14:textId="77777777" w:rsidR="00792FF9" w:rsidRPr="007475F3" w:rsidRDefault="00792FF9">
            <w:pPr>
              <w:autoSpaceDE w:val="0"/>
              <w:autoSpaceDN w:val="0"/>
              <w:adjustRightInd w:val="0"/>
              <w:rPr>
                <w:sz w:val="24"/>
                <w:szCs w:val="24"/>
              </w:rPr>
            </w:pPr>
            <w:r w:rsidRPr="007475F3">
              <w:rPr>
                <w:sz w:val="24"/>
                <w:szCs w:val="24"/>
              </w:rPr>
              <w:t>Nedsat appetit</w:t>
            </w:r>
          </w:p>
        </w:tc>
      </w:tr>
      <w:tr w:rsidR="00792FF9" w:rsidRPr="007475F3" w14:paraId="6B9880AC"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7B7A937D" w14:textId="77777777" w:rsidR="00792FF9" w:rsidRPr="007475F3" w:rsidRDefault="00792FF9">
            <w:pPr>
              <w:autoSpaceDE w:val="0"/>
              <w:autoSpaceDN w:val="0"/>
              <w:adjustRightInd w:val="0"/>
              <w:rPr>
                <w:sz w:val="24"/>
                <w:szCs w:val="24"/>
              </w:rPr>
            </w:pPr>
            <w:r w:rsidRPr="007475F3">
              <w:rPr>
                <w:sz w:val="24"/>
                <w:szCs w:val="24"/>
              </w:rPr>
              <w:t>Nervesystemet</w:t>
            </w:r>
          </w:p>
        </w:tc>
        <w:tc>
          <w:tcPr>
            <w:tcW w:w="1667" w:type="pct"/>
            <w:tcBorders>
              <w:top w:val="single" w:sz="12" w:space="0" w:color="auto"/>
              <w:left w:val="single" w:sz="12" w:space="0" w:color="auto"/>
              <w:bottom w:val="single" w:sz="12" w:space="0" w:color="auto"/>
              <w:right w:val="single" w:sz="12" w:space="0" w:color="auto"/>
            </w:tcBorders>
            <w:hideMark/>
          </w:tcPr>
          <w:p w14:paraId="287926F6"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4AD86B48" w14:textId="77777777" w:rsidR="00792FF9" w:rsidRPr="007475F3" w:rsidRDefault="00792FF9">
            <w:pPr>
              <w:autoSpaceDE w:val="0"/>
              <w:autoSpaceDN w:val="0"/>
              <w:adjustRightInd w:val="0"/>
              <w:rPr>
                <w:sz w:val="24"/>
                <w:szCs w:val="24"/>
              </w:rPr>
            </w:pPr>
            <w:proofErr w:type="spellStart"/>
            <w:r w:rsidRPr="007475F3">
              <w:rPr>
                <w:sz w:val="24"/>
                <w:szCs w:val="24"/>
              </w:rPr>
              <w:t>Kolinergt</w:t>
            </w:r>
            <w:proofErr w:type="spellEnd"/>
            <w:r w:rsidRPr="007475F3">
              <w:rPr>
                <w:sz w:val="24"/>
                <w:szCs w:val="24"/>
              </w:rPr>
              <w:t xml:space="preserve"> syndrom</w:t>
            </w:r>
          </w:p>
        </w:tc>
      </w:tr>
      <w:tr w:rsidR="00792FF9" w:rsidRPr="007475F3" w14:paraId="3CB82F55" w14:textId="77777777" w:rsidTr="00F42A29">
        <w:trPr>
          <w:trHeight w:val="50"/>
        </w:trPr>
        <w:tc>
          <w:tcPr>
            <w:tcW w:w="1667" w:type="pct"/>
            <w:vMerge w:val="restart"/>
            <w:tcBorders>
              <w:top w:val="single" w:sz="12" w:space="0" w:color="auto"/>
              <w:left w:val="single" w:sz="12" w:space="0" w:color="auto"/>
              <w:bottom w:val="single" w:sz="12" w:space="0" w:color="auto"/>
              <w:right w:val="single" w:sz="12" w:space="0" w:color="auto"/>
            </w:tcBorders>
            <w:hideMark/>
          </w:tcPr>
          <w:p w14:paraId="548D2651" w14:textId="77777777" w:rsidR="00792FF9" w:rsidRPr="007475F3" w:rsidRDefault="00792FF9">
            <w:pPr>
              <w:autoSpaceDE w:val="0"/>
              <w:autoSpaceDN w:val="0"/>
              <w:adjustRightInd w:val="0"/>
              <w:rPr>
                <w:sz w:val="24"/>
                <w:szCs w:val="24"/>
              </w:rPr>
            </w:pPr>
            <w:proofErr w:type="spellStart"/>
            <w:r w:rsidRPr="007475F3">
              <w:rPr>
                <w:sz w:val="24"/>
                <w:szCs w:val="24"/>
              </w:rPr>
              <w:t>Gastrointestinale</w:t>
            </w:r>
            <w:proofErr w:type="spellEnd"/>
            <w:r w:rsidRPr="007475F3">
              <w:rPr>
                <w:sz w:val="24"/>
                <w:szCs w:val="24"/>
              </w:rPr>
              <w:t xml:space="preserve"> sygdomme</w:t>
            </w:r>
          </w:p>
        </w:tc>
        <w:tc>
          <w:tcPr>
            <w:tcW w:w="1667" w:type="pct"/>
            <w:tcBorders>
              <w:top w:val="single" w:sz="12" w:space="0" w:color="auto"/>
              <w:left w:val="single" w:sz="12" w:space="0" w:color="auto"/>
              <w:bottom w:val="single" w:sz="12" w:space="0" w:color="auto"/>
              <w:right w:val="single" w:sz="12" w:space="0" w:color="auto"/>
            </w:tcBorders>
            <w:hideMark/>
          </w:tcPr>
          <w:p w14:paraId="4603D78E"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1C712C2B" w14:textId="77777777" w:rsidR="00792FF9" w:rsidRPr="007475F3" w:rsidRDefault="00792FF9">
            <w:pPr>
              <w:autoSpaceDE w:val="0"/>
              <w:autoSpaceDN w:val="0"/>
              <w:adjustRightInd w:val="0"/>
              <w:rPr>
                <w:sz w:val="24"/>
                <w:szCs w:val="24"/>
              </w:rPr>
            </w:pPr>
            <w:r w:rsidRPr="007475F3">
              <w:rPr>
                <w:sz w:val="24"/>
                <w:szCs w:val="24"/>
              </w:rPr>
              <w:t>Diarré</w:t>
            </w:r>
          </w:p>
        </w:tc>
      </w:tr>
      <w:tr w:rsidR="00792FF9" w:rsidRPr="007475F3" w14:paraId="3AF846C2" w14:textId="77777777" w:rsidTr="00F42A29">
        <w:trPr>
          <w:trHeight w:val="48"/>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00FCB530"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79BF95BA"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45DFEF9D" w14:textId="77777777" w:rsidR="00792FF9" w:rsidRPr="007475F3" w:rsidRDefault="00792FF9">
            <w:pPr>
              <w:autoSpaceDE w:val="0"/>
              <w:autoSpaceDN w:val="0"/>
              <w:adjustRightInd w:val="0"/>
              <w:rPr>
                <w:sz w:val="24"/>
                <w:szCs w:val="24"/>
              </w:rPr>
            </w:pPr>
            <w:r w:rsidRPr="007475F3">
              <w:rPr>
                <w:sz w:val="24"/>
                <w:szCs w:val="24"/>
              </w:rPr>
              <w:t>Opkastning</w:t>
            </w:r>
          </w:p>
        </w:tc>
      </w:tr>
      <w:tr w:rsidR="00792FF9" w:rsidRPr="007475F3" w14:paraId="1429C991" w14:textId="77777777" w:rsidTr="00F42A29">
        <w:trPr>
          <w:trHeight w:val="48"/>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61BF4974"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0271E433"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664C3212" w14:textId="77777777" w:rsidR="00792FF9" w:rsidRPr="007475F3" w:rsidRDefault="00792FF9">
            <w:pPr>
              <w:autoSpaceDE w:val="0"/>
              <w:autoSpaceDN w:val="0"/>
              <w:adjustRightInd w:val="0"/>
              <w:rPr>
                <w:sz w:val="24"/>
                <w:szCs w:val="24"/>
              </w:rPr>
            </w:pPr>
            <w:r w:rsidRPr="007475F3">
              <w:rPr>
                <w:sz w:val="24"/>
                <w:szCs w:val="24"/>
              </w:rPr>
              <w:t>Kvalme</w:t>
            </w:r>
          </w:p>
        </w:tc>
      </w:tr>
      <w:tr w:rsidR="00792FF9" w:rsidRPr="007475F3" w14:paraId="08BEC79B"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22266ECF"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3775B857"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3A2DC3D6" w14:textId="77777777" w:rsidR="00792FF9" w:rsidRPr="007475F3" w:rsidRDefault="00792FF9">
            <w:pPr>
              <w:autoSpaceDE w:val="0"/>
              <w:autoSpaceDN w:val="0"/>
              <w:adjustRightInd w:val="0"/>
              <w:rPr>
                <w:sz w:val="24"/>
                <w:szCs w:val="24"/>
              </w:rPr>
            </w:pPr>
            <w:r w:rsidRPr="007475F3">
              <w:rPr>
                <w:sz w:val="24"/>
                <w:szCs w:val="24"/>
              </w:rPr>
              <w:t>Mavesmerter</w:t>
            </w:r>
          </w:p>
        </w:tc>
      </w:tr>
      <w:tr w:rsidR="00792FF9" w:rsidRPr="007475F3" w14:paraId="55937B24" w14:textId="77777777" w:rsidTr="00F42A29">
        <w:trPr>
          <w:trHeight w:val="97"/>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19FC3723"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7BDC0B89"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43B36E19" w14:textId="77777777" w:rsidR="00792FF9" w:rsidRPr="007475F3" w:rsidRDefault="00792FF9">
            <w:pPr>
              <w:autoSpaceDE w:val="0"/>
              <w:autoSpaceDN w:val="0"/>
              <w:adjustRightInd w:val="0"/>
              <w:rPr>
                <w:sz w:val="24"/>
                <w:szCs w:val="24"/>
              </w:rPr>
            </w:pPr>
            <w:r w:rsidRPr="007475F3">
              <w:rPr>
                <w:sz w:val="24"/>
                <w:szCs w:val="24"/>
              </w:rPr>
              <w:t>Forstoppelse</w:t>
            </w:r>
          </w:p>
        </w:tc>
      </w:tr>
      <w:tr w:rsidR="00792FF9" w:rsidRPr="007475F3" w14:paraId="79EED7F4" w14:textId="77777777" w:rsidTr="00F42A29">
        <w:tc>
          <w:tcPr>
            <w:tcW w:w="1667" w:type="pct"/>
            <w:tcBorders>
              <w:top w:val="single" w:sz="12" w:space="0" w:color="auto"/>
              <w:left w:val="single" w:sz="12" w:space="0" w:color="auto"/>
              <w:bottom w:val="single" w:sz="12" w:space="0" w:color="auto"/>
              <w:right w:val="single" w:sz="12" w:space="0" w:color="auto"/>
            </w:tcBorders>
            <w:hideMark/>
          </w:tcPr>
          <w:p w14:paraId="15E7E78D" w14:textId="77777777" w:rsidR="00792FF9" w:rsidRPr="007475F3" w:rsidRDefault="00792FF9">
            <w:pPr>
              <w:autoSpaceDE w:val="0"/>
              <w:autoSpaceDN w:val="0"/>
              <w:adjustRightInd w:val="0"/>
              <w:rPr>
                <w:sz w:val="24"/>
                <w:szCs w:val="24"/>
              </w:rPr>
            </w:pPr>
            <w:r w:rsidRPr="007475F3">
              <w:rPr>
                <w:sz w:val="24"/>
                <w:szCs w:val="24"/>
              </w:rPr>
              <w:lastRenderedPageBreak/>
              <w:t>Hud og subkutane væv</w:t>
            </w:r>
          </w:p>
        </w:tc>
        <w:tc>
          <w:tcPr>
            <w:tcW w:w="1667" w:type="pct"/>
            <w:tcBorders>
              <w:top w:val="single" w:sz="12" w:space="0" w:color="auto"/>
              <w:left w:val="single" w:sz="12" w:space="0" w:color="auto"/>
              <w:bottom w:val="single" w:sz="12" w:space="0" w:color="auto"/>
              <w:right w:val="single" w:sz="12" w:space="0" w:color="auto"/>
            </w:tcBorders>
            <w:hideMark/>
          </w:tcPr>
          <w:p w14:paraId="7CAACD08"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3F88B0AE" w14:textId="77777777" w:rsidR="00792FF9" w:rsidRPr="007475F3" w:rsidRDefault="00792FF9">
            <w:pPr>
              <w:autoSpaceDE w:val="0"/>
              <w:autoSpaceDN w:val="0"/>
              <w:adjustRightInd w:val="0"/>
              <w:rPr>
                <w:sz w:val="24"/>
                <w:szCs w:val="24"/>
              </w:rPr>
            </w:pPr>
            <w:proofErr w:type="spellStart"/>
            <w:r w:rsidRPr="007475F3">
              <w:rPr>
                <w:sz w:val="24"/>
                <w:szCs w:val="24"/>
              </w:rPr>
              <w:t>Alopeci</w:t>
            </w:r>
            <w:proofErr w:type="spellEnd"/>
            <w:r w:rsidRPr="007475F3">
              <w:rPr>
                <w:sz w:val="24"/>
                <w:szCs w:val="24"/>
              </w:rPr>
              <w:t xml:space="preserve"> (reversibel)</w:t>
            </w:r>
          </w:p>
        </w:tc>
      </w:tr>
      <w:tr w:rsidR="00792FF9" w:rsidRPr="007475F3" w14:paraId="413AA000" w14:textId="77777777" w:rsidTr="00F42A29">
        <w:trPr>
          <w:trHeight w:val="130"/>
        </w:trPr>
        <w:tc>
          <w:tcPr>
            <w:tcW w:w="1667" w:type="pct"/>
            <w:vMerge w:val="restart"/>
            <w:tcBorders>
              <w:top w:val="single" w:sz="12" w:space="0" w:color="auto"/>
              <w:left w:val="single" w:sz="12" w:space="0" w:color="auto"/>
              <w:bottom w:val="single" w:sz="12" w:space="0" w:color="auto"/>
              <w:right w:val="single" w:sz="12" w:space="0" w:color="auto"/>
            </w:tcBorders>
            <w:hideMark/>
          </w:tcPr>
          <w:p w14:paraId="5ADF9630" w14:textId="77777777" w:rsidR="00792FF9" w:rsidRPr="007475F3" w:rsidRDefault="00792FF9">
            <w:pPr>
              <w:autoSpaceDE w:val="0"/>
              <w:autoSpaceDN w:val="0"/>
              <w:adjustRightInd w:val="0"/>
              <w:rPr>
                <w:sz w:val="24"/>
                <w:szCs w:val="24"/>
              </w:rPr>
            </w:pPr>
            <w:r w:rsidRPr="007475F3">
              <w:rPr>
                <w:sz w:val="24"/>
                <w:szCs w:val="24"/>
              </w:rPr>
              <w:t>Almene symptomer og reaktioner på administrationsstedet</w:t>
            </w:r>
          </w:p>
        </w:tc>
        <w:tc>
          <w:tcPr>
            <w:tcW w:w="1667" w:type="pct"/>
            <w:tcBorders>
              <w:top w:val="single" w:sz="12" w:space="0" w:color="auto"/>
              <w:left w:val="single" w:sz="12" w:space="0" w:color="auto"/>
              <w:bottom w:val="single" w:sz="12" w:space="0" w:color="auto"/>
              <w:right w:val="single" w:sz="12" w:space="0" w:color="auto"/>
            </w:tcBorders>
            <w:hideMark/>
          </w:tcPr>
          <w:p w14:paraId="4E9194AA"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420126CF" w14:textId="77777777" w:rsidR="00792FF9" w:rsidRPr="007475F3" w:rsidRDefault="00792FF9">
            <w:pPr>
              <w:autoSpaceDE w:val="0"/>
              <w:autoSpaceDN w:val="0"/>
              <w:adjustRightInd w:val="0"/>
              <w:rPr>
                <w:sz w:val="24"/>
                <w:szCs w:val="24"/>
              </w:rPr>
            </w:pPr>
            <w:r w:rsidRPr="007475F3">
              <w:rPr>
                <w:sz w:val="24"/>
                <w:szCs w:val="24"/>
              </w:rPr>
              <w:t>Slimhindeinflammation</w:t>
            </w:r>
          </w:p>
        </w:tc>
      </w:tr>
      <w:tr w:rsidR="00792FF9" w:rsidRPr="007475F3" w14:paraId="11C84320" w14:textId="77777777" w:rsidTr="00F42A29">
        <w:trPr>
          <w:trHeight w:val="129"/>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011900D0"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3740D2C0"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4CE1E984" w14:textId="77777777" w:rsidR="00792FF9" w:rsidRPr="007475F3" w:rsidRDefault="00792FF9">
            <w:pPr>
              <w:autoSpaceDE w:val="0"/>
              <w:autoSpaceDN w:val="0"/>
              <w:adjustRightInd w:val="0"/>
              <w:rPr>
                <w:sz w:val="24"/>
                <w:szCs w:val="24"/>
              </w:rPr>
            </w:pPr>
            <w:r w:rsidRPr="007475F3">
              <w:rPr>
                <w:sz w:val="24"/>
                <w:szCs w:val="24"/>
              </w:rPr>
              <w:t>Asteni</w:t>
            </w:r>
          </w:p>
        </w:tc>
      </w:tr>
      <w:tr w:rsidR="00792FF9" w:rsidRPr="007475F3" w14:paraId="3B688E59" w14:textId="77777777" w:rsidTr="00F42A29">
        <w:trPr>
          <w:trHeight w:val="129"/>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4AC3D1C1"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5552BC9E" w14:textId="77777777" w:rsidR="00792FF9" w:rsidRPr="007475F3" w:rsidRDefault="00792FF9">
            <w:pPr>
              <w:autoSpaceDE w:val="0"/>
              <w:autoSpaceDN w:val="0"/>
              <w:adjustRightInd w:val="0"/>
              <w:rPr>
                <w:sz w:val="24"/>
                <w:szCs w:val="24"/>
              </w:rPr>
            </w:pPr>
            <w:r w:rsidRPr="007475F3">
              <w:rPr>
                <w:sz w:val="24"/>
                <w:szCs w:val="24"/>
              </w:rPr>
              <w:t>Almindelig</w:t>
            </w:r>
          </w:p>
        </w:tc>
        <w:tc>
          <w:tcPr>
            <w:tcW w:w="1667" w:type="pct"/>
            <w:tcBorders>
              <w:top w:val="single" w:sz="12" w:space="0" w:color="auto"/>
              <w:left w:val="single" w:sz="12" w:space="0" w:color="auto"/>
              <w:bottom w:val="single" w:sz="12" w:space="0" w:color="auto"/>
              <w:right w:val="single" w:sz="12" w:space="0" w:color="auto"/>
            </w:tcBorders>
            <w:hideMark/>
          </w:tcPr>
          <w:p w14:paraId="621ADBA1" w14:textId="77777777" w:rsidR="00792FF9" w:rsidRPr="007475F3" w:rsidRDefault="00792FF9">
            <w:pPr>
              <w:autoSpaceDE w:val="0"/>
              <w:autoSpaceDN w:val="0"/>
              <w:adjustRightInd w:val="0"/>
              <w:rPr>
                <w:sz w:val="24"/>
                <w:szCs w:val="24"/>
              </w:rPr>
            </w:pPr>
            <w:proofErr w:type="spellStart"/>
            <w:r w:rsidRPr="007475F3">
              <w:rPr>
                <w:sz w:val="24"/>
                <w:szCs w:val="24"/>
              </w:rPr>
              <w:t>Pyreksi</w:t>
            </w:r>
            <w:proofErr w:type="spellEnd"/>
          </w:p>
        </w:tc>
      </w:tr>
      <w:tr w:rsidR="00792FF9" w:rsidRPr="007475F3" w14:paraId="20859600" w14:textId="77777777" w:rsidTr="00F42A29">
        <w:trPr>
          <w:trHeight w:val="66"/>
        </w:trPr>
        <w:tc>
          <w:tcPr>
            <w:tcW w:w="1667" w:type="pct"/>
            <w:vMerge w:val="restart"/>
            <w:tcBorders>
              <w:top w:val="single" w:sz="12" w:space="0" w:color="auto"/>
              <w:left w:val="single" w:sz="12" w:space="0" w:color="auto"/>
              <w:bottom w:val="single" w:sz="12" w:space="0" w:color="auto"/>
              <w:right w:val="single" w:sz="12" w:space="0" w:color="auto"/>
            </w:tcBorders>
            <w:hideMark/>
          </w:tcPr>
          <w:p w14:paraId="3529C486" w14:textId="77777777" w:rsidR="00792FF9" w:rsidRPr="007475F3" w:rsidRDefault="00792FF9">
            <w:pPr>
              <w:autoSpaceDE w:val="0"/>
              <w:autoSpaceDN w:val="0"/>
              <w:adjustRightInd w:val="0"/>
              <w:rPr>
                <w:sz w:val="24"/>
                <w:szCs w:val="24"/>
              </w:rPr>
            </w:pPr>
            <w:r w:rsidRPr="007475F3">
              <w:rPr>
                <w:sz w:val="24"/>
                <w:szCs w:val="24"/>
              </w:rPr>
              <w:t>Undersøgelser</w:t>
            </w:r>
          </w:p>
        </w:tc>
        <w:tc>
          <w:tcPr>
            <w:tcW w:w="1667" w:type="pct"/>
            <w:tcBorders>
              <w:top w:val="single" w:sz="12" w:space="0" w:color="auto"/>
              <w:left w:val="single" w:sz="12" w:space="0" w:color="auto"/>
              <w:bottom w:val="single" w:sz="12" w:space="0" w:color="auto"/>
              <w:right w:val="single" w:sz="12" w:space="0" w:color="auto"/>
            </w:tcBorders>
            <w:hideMark/>
          </w:tcPr>
          <w:p w14:paraId="1E651A81"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27B687D4" w14:textId="77777777" w:rsidR="00792FF9" w:rsidRPr="007475F3" w:rsidRDefault="00792FF9">
            <w:pPr>
              <w:autoSpaceDE w:val="0"/>
              <w:autoSpaceDN w:val="0"/>
              <w:adjustRightInd w:val="0"/>
              <w:rPr>
                <w:sz w:val="24"/>
                <w:szCs w:val="24"/>
              </w:rPr>
            </w:pPr>
            <w:proofErr w:type="spellStart"/>
            <w:r w:rsidRPr="007475F3">
              <w:rPr>
                <w:sz w:val="24"/>
                <w:szCs w:val="24"/>
              </w:rPr>
              <w:t>Transaminaser</w:t>
            </w:r>
            <w:proofErr w:type="spellEnd"/>
            <w:r w:rsidRPr="007475F3">
              <w:rPr>
                <w:sz w:val="24"/>
                <w:szCs w:val="24"/>
              </w:rPr>
              <w:t xml:space="preserve"> øget (ALT og AST)</w:t>
            </w:r>
          </w:p>
        </w:tc>
      </w:tr>
      <w:tr w:rsidR="00792FF9" w:rsidRPr="007475F3" w14:paraId="492C26B5" w14:textId="77777777" w:rsidTr="00F42A29">
        <w:trPr>
          <w:trHeight w:val="64"/>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3FD84A81"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double" w:sz="4" w:space="0" w:color="auto"/>
            </w:tcBorders>
            <w:hideMark/>
          </w:tcPr>
          <w:p w14:paraId="67AEFBCC"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double" w:sz="4" w:space="0" w:color="auto"/>
              <w:bottom w:val="single" w:sz="12" w:space="0" w:color="auto"/>
              <w:right w:val="single" w:sz="12" w:space="0" w:color="auto"/>
            </w:tcBorders>
            <w:hideMark/>
          </w:tcPr>
          <w:p w14:paraId="3EFE9F25" w14:textId="77777777" w:rsidR="00792FF9" w:rsidRPr="007475F3" w:rsidRDefault="00792FF9">
            <w:pPr>
              <w:autoSpaceDE w:val="0"/>
              <w:autoSpaceDN w:val="0"/>
              <w:adjustRightInd w:val="0"/>
              <w:rPr>
                <w:sz w:val="24"/>
                <w:szCs w:val="24"/>
              </w:rPr>
            </w:pPr>
            <w:r w:rsidRPr="007475F3">
              <w:rPr>
                <w:sz w:val="24"/>
                <w:szCs w:val="24"/>
              </w:rPr>
              <w:t>Bilirubin i blodet øget</w:t>
            </w:r>
          </w:p>
        </w:tc>
      </w:tr>
      <w:tr w:rsidR="00792FF9" w:rsidRPr="007475F3" w14:paraId="03647EBC" w14:textId="77777777" w:rsidTr="00F42A29">
        <w:trPr>
          <w:trHeight w:val="64"/>
        </w:trPr>
        <w:tc>
          <w:tcPr>
            <w:tcW w:w="1667" w:type="pct"/>
            <w:vMerge/>
            <w:tcBorders>
              <w:top w:val="single" w:sz="12" w:space="0" w:color="auto"/>
              <w:left w:val="single" w:sz="12" w:space="0" w:color="auto"/>
              <w:bottom w:val="single" w:sz="12" w:space="0" w:color="auto"/>
              <w:right w:val="single" w:sz="12" w:space="0" w:color="auto"/>
            </w:tcBorders>
            <w:vAlign w:val="center"/>
            <w:hideMark/>
          </w:tcPr>
          <w:p w14:paraId="3DD5C68B" w14:textId="77777777" w:rsidR="00792FF9" w:rsidRPr="007475F3" w:rsidRDefault="00792FF9">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4D2EA5B3" w14:textId="77777777" w:rsidR="00792FF9" w:rsidRPr="007475F3" w:rsidRDefault="00792FF9">
            <w:pPr>
              <w:autoSpaceDE w:val="0"/>
              <w:autoSpaceDN w:val="0"/>
              <w:adjustRightInd w:val="0"/>
              <w:rPr>
                <w:sz w:val="24"/>
                <w:szCs w:val="24"/>
              </w:rPr>
            </w:pPr>
            <w:r w:rsidRPr="007475F3">
              <w:rPr>
                <w:sz w:val="24"/>
                <w:szCs w:val="24"/>
              </w:rPr>
              <w:t>Meget almindelig</w:t>
            </w:r>
          </w:p>
        </w:tc>
        <w:tc>
          <w:tcPr>
            <w:tcW w:w="1667" w:type="pct"/>
            <w:tcBorders>
              <w:top w:val="single" w:sz="12" w:space="0" w:color="auto"/>
              <w:left w:val="single" w:sz="12" w:space="0" w:color="auto"/>
              <w:bottom w:val="single" w:sz="12" w:space="0" w:color="auto"/>
              <w:right w:val="single" w:sz="12" w:space="0" w:color="auto"/>
            </w:tcBorders>
            <w:hideMark/>
          </w:tcPr>
          <w:p w14:paraId="1197B0C0" w14:textId="77777777" w:rsidR="00792FF9" w:rsidRPr="007475F3" w:rsidRDefault="00792FF9">
            <w:pPr>
              <w:autoSpaceDE w:val="0"/>
              <w:autoSpaceDN w:val="0"/>
              <w:adjustRightInd w:val="0"/>
              <w:rPr>
                <w:sz w:val="24"/>
                <w:szCs w:val="24"/>
              </w:rPr>
            </w:pPr>
            <w:r w:rsidRPr="007475F3">
              <w:rPr>
                <w:sz w:val="24"/>
                <w:szCs w:val="24"/>
              </w:rPr>
              <w:t>Alkalisk fosfatase i blodet øget</w:t>
            </w:r>
          </w:p>
        </w:tc>
      </w:tr>
    </w:tbl>
    <w:p w14:paraId="76910BA3" w14:textId="77777777" w:rsidR="00792FF9" w:rsidRPr="007475F3" w:rsidRDefault="00792FF9" w:rsidP="00792FF9">
      <w:pPr>
        <w:autoSpaceDE w:val="0"/>
        <w:autoSpaceDN w:val="0"/>
        <w:adjustRightInd w:val="0"/>
        <w:rPr>
          <w:sz w:val="24"/>
          <w:szCs w:val="24"/>
        </w:rPr>
      </w:pPr>
    </w:p>
    <w:p w14:paraId="6691B408" w14:textId="77777777" w:rsidR="00792FF9" w:rsidRPr="007475F3" w:rsidRDefault="00792FF9" w:rsidP="00F42A29">
      <w:pPr>
        <w:autoSpaceDE w:val="0"/>
        <w:autoSpaceDN w:val="0"/>
        <w:adjustRightInd w:val="0"/>
        <w:ind w:left="851"/>
        <w:rPr>
          <w:bCs/>
          <w:i/>
          <w:sz w:val="24"/>
          <w:szCs w:val="24"/>
        </w:rPr>
      </w:pPr>
      <w:r w:rsidRPr="007475F3">
        <w:rPr>
          <w:i/>
          <w:iCs/>
          <w:sz w:val="24"/>
          <w:szCs w:val="24"/>
        </w:rPr>
        <w:t>Beskrivelse af udvalgte bivirkninger (kombinationsterapi)</w:t>
      </w:r>
    </w:p>
    <w:p w14:paraId="7EB483EC" w14:textId="63BFFB98" w:rsidR="00792FF9" w:rsidRPr="007475F3" w:rsidRDefault="00A331CB"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A</w:t>
      </w:r>
      <w:r w:rsidR="00792FF9" w:rsidRPr="007475F3">
        <w:rPr>
          <w:rFonts w:ascii="Times New Roman" w:hAnsi="Times New Roman"/>
          <w:bCs/>
          <w:sz w:val="24"/>
          <w:szCs w:val="24"/>
          <w:lang w:val="da-DK"/>
        </w:rPr>
        <w:t xml:space="preserve">lvorlig diarré ses hos 13,1 % af patienterne, der følger anbefalingerne for kontrol af diarré. Af de </w:t>
      </w:r>
      <w:proofErr w:type="spellStart"/>
      <w:r w:rsidR="00792FF9" w:rsidRPr="007475F3">
        <w:rPr>
          <w:rFonts w:ascii="Times New Roman" w:hAnsi="Times New Roman"/>
          <w:bCs/>
          <w:sz w:val="24"/>
          <w:szCs w:val="24"/>
          <w:lang w:val="da-DK"/>
        </w:rPr>
        <w:t>evaluerbare</w:t>
      </w:r>
      <w:proofErr w:type="spellEnd"/>
      <w:r w:rsidR="00792FF9" w:rsidRPr="007475F3">
        <w:rPr>
          <w:rFonts w:ascii="Times New Roman" w:hAnsi="Times New Roman"/>
          <w:bCs/>
          <w:sz w:val="24"/>
          <w:szCs w:val="24"/>
          <w:lang w:val="da-DK"/>
        </w:rPr>
        <w:t xml:space="preserve"> cyklusser opstod alvorlig diarré hos 3,9 %</w:t>
      </w:r>
    </w:p>
    <w:p w14:paraId="6E35FFF3" w14:textId="30045DCB"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D</w:t>
      </w:r>
      <w:r w:rsidR="00792FF9" w:rsidRPr="007475F3">
        <w:rPr>
          <w:rFonts w:ascii="Times New Roman" w:hAnsi="Times New Roman"/>
          <w:bCs/>
          <w:sz w:val="24"/>
          <w:szCs w:val="24"/>
          <w:lang w:val="da-DK"/>
        </w:rPr>
        <w:t xml:space="preserve">er ses en lavere </w:t>
      </w:r>
      <w:proofErr w:type="spellStart"/>
      <w:r w:rsidR="00792FF9" w:rsidRPr="007475F3">
        <w:rPr>
          <w:rFonts w:ascii="Times New Roman" w:hAnsi="Times New Roman"/>
          <w:bCs/>
          <w:sz w:val="24"/>
          <w:szCs w:val="24"/>
          <w:lang w:val="da-DK"/>
        </w:rPr>
        <w:t>incidens</w:t>
      </w:r>
      <w:proofErr w:type="spellEnd"/>
      <w:r w:rsidR="00792FF9" w:rsidRPr="007475F3">
        <w:rPr>
          <w:rFonts w:ascii="Times New Roman" w:hAnsi="Times New Roman"/>
          <w:bCs/>
          <w:sz w:val="24"/>
          <w:szCs w:val="24"/>
          <w:lang w:val="da-DK"/>
        </w:rPr>
        <w:t xml:space="preserve"> af alvorlig kvalme og opkastning (hos henholdsvis 2,1 % og 2,8 % af patienterne)</w:t>
      </w:r>
    </w:p>
    <w:p w14:paraId="28A8FA00" w14:textId="354F00BE"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F</w:t>
      </w:r>
      <w:r w:rsidR="00792FF9" w:rsidRPr="007475F3">
        <w:rPr>
          <w:rFonts w:ascii="Times New Roman" w:hAnsi="Times New Roman"/>
          <w:bCs/>
          <w:sz w:val="24"/>
          <w:szCs w:val="24"/>
          <w:lang w:val="da-DK"/>
        </w:rPr>
        <w:t xml:space="preserve">orstoppelse relateret til </w:t>
      </w:r>
      <w:proofErr w:type="spellStart"/>
      <w:r w:rsidR="00792FF9" w:rsidRPr="007475F3">
        <w:rPr>
          <w:rFonts w:ascii="Times New Roman" w:hAnsi="Times New Roman"/>
          <w:bCs/>
          <w:sz w:val="24"/>
          <w:szCs w:val="24"/>
          <w:lang w:val="da-DK"/>
        </w:rPr>
        <w:t>irinotecan</w:t>
      </w:r>
      <w:proofErr w:type="spellEnd"/>
      <w:r w:rsidR="00792FF9" w:rsidRPr="007475F3">
        <w:rPr>
          <w:rFonts w:ascii="Times New Roman" w:hAnsi="Times New Roman"/>
          <w:bCs/>
          <w:sz w:val="24"/>
          <w:szCs w:val="24"/>
          <w:lang w:val="da-DK"/>
        </w:rPr>
        <w:t xml:space="preserve"> og </w:t>
      </w:r>
      <w:proofErr w:type="spellStart"/>
      <w:r w:rsidR="00792FF9" w:rsidRPr="007475F3">
        <w:rPr>
          <w:rFonts w:ascii="Times New Roman" w:hAnsi="Times New Roman"/>
          <w:bCs/>
          <w:sz w:val="24"/>
          <w:szCs w:val="24"/>
          <w:lang w:val="da-DK"/>
        </w:rPr>
        <w:t>loperamid</w:t>
      </w:r>
      <w:proofErr w:type="spellEnd"/>
      <w:r w:rsidR="00792FF9" w:rsidRPr="007475F3">
        <w:rPr>
          <w:rFonts w:ascii="Times New Roman" w:hAnsi="Times New Roman"/>
          <w:bCs/>
          <w:sz w:val="24"/>
          <w:szCs w:val="24"/>
          <w:lang w:val="da-DK"/>
        </w:rPr>
        <w:t xml:space="preserve"> er blevet observeret hos 3,4 % af patienterne</w:t>
      </w:r>
    </w:p>
    <w:p w14:paraId="758B9B0D" w14:textId="484726C3"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N</w:t>
      </w:r>
      <w:r w:rsidR="00792FF9" w:rsidRPr="007475F3">
        <w:rPr>
          <w:rFonts w:ascii="Times New Roman" w:hAnsi="Times New Roman"/>
          <w:bCs/>
          <w:sz w:val="24"/>
          <w:szCs w:val="24"/>
          <w:lang w:val="da-DK"/>
        </w:rPr>
        <w:t>eutropeni</w:t>
      </w:r>
      <w:proofErr w:type="spellEnd"/>
      <w:r w:rsidR="00792FF9" w:rsidRPr="007475F3">
        <w:rPr>
          <w:rFonts w:ascii="Times New Roman" w:hAnsi="Times New Roman"/>
          <w:bCs/>
          <w:sz w:val="24"/>
          <w:szCs w:val="24"/>
          <w:lang w:val="da-DK"/>
        </w:rPr>
        <w:t xml:space="preserve"> blev observeret hos 82,5 % af patienterne, og var alvorlig (</w:t>
      </w:r>
      <w:proofErr w:type="spellStart"/>
      <w:r w:rsidR="00792FF9" w:rsidRPr="007475F3">
        <w:rPr>
          <w:rFonts w:ascii="Times New Roman" w:hAnsi="Times New Roman"/>
          <w:bCs/>
          <w:sz w:val="24"/>
          <w:szCs w:val="24"/>
          <w:lang w:val="da-DK"/>
        </w:rPr>
        <w:t>neutrofiltal</w:t>
      </w:r>
      <w:proofErr w:type="spellEnd"/>
      <w:r w:rsidR="00792FF9" w:rsidRPr="007475F3">
        <w:rPr>
          <w:rFonts w:ascii="Times New Roman" w:hAnsi="Times New Roman"/>
          <w:bCs/>
          <w:sz w:val="24"/>
          <w:szCs w:val="24"/>
          <w:lang w:val="da-DK"/>
        </w:rPr>
        <w:t xml:space="preserve"> &lt;500 celler/mm</w:t>
      </w:r>
      <w:r w:rsidR="00792FF9" w:rsidRPr="007475F3">
        <w:rPr>
          <w:rFonts w:ascii="Times New Roman" w:hAnsi="Times New Roman"/>
          <w:bCs/>
          <w:sz w:val="24"/>
          <w:szCs w:val="24"/>
          <w:vertAlign w:val="superscript"/>
          <w:lang w:val="da-DK"/>
        </w:rPr>
        <w:t>3</w:t>
      </w:r>
      <w:r w:rsidR="00792FF9" w:rsidRPr="007475F3">
        <w:rPr>
          <w:rFonts w:ascii="Times New Roman" w:hAnsi="Times New Roman"/>
          <w:bCs/>
          <w:sz w:val="24"/>
          <w:szCs w:val="24"/>
          <w:lang w:val="da-DK"/>
        </w:rPr>
        <w:t xml:space="preserve">) hos 9,8 % af patienterne. Af de evaluerede cyklusser havde 67,3 % et </w:t>
      </w:r>
      <w:proofErr w:type="spellStart"/>
      <w:r w:rsidR="00792FF9" w:rsidRPr="007475F3">
        <w:rPr>
          <w:rFonts w:ascii="Times New Roman" w:hAnsi="Times New Roman"/>
          <w:bCs/>
          <w:sz w:val="24"/>
          <w:szCs w:val="24"/>
          <w:lang w:val="da-DK"/>
        </w:rPr>
        <w:t>neutrofiltal</w:t>
      </w:r>
      <w:proofErr w:type="spellEnd"/>
      <w:r w:rsidR="00792FF9" w:rsidRPr="007475F3">
        <w:rPr>
          <w:rFonts w:ascii="Times New Roman" w:hAnsi="Times New Roman"/>
          <w:bCs/>
          <w:sz w:val="24"/>
          <w:szCs w:val="24"/>
          <w:lang w:val="da-DK"/>
        </w:rPr>
        <w:t xml:space="preserve"> på under 1.000 celler/mm</w:t>
      </w:r>
      <w:r w:rsidR="00792FF9" w:rsidRPr="007475F3">
        <w:rPr>
          <w:rFonts w:ascii="Times New Roman" w:hAnsi="Times New Roman"/>
          <w:bCs/>
          <w:sz w:val="24"/>
          <w:szCs w:val="24"/>
          <w:vertAlign w:val="superscript"/>
          <w:lang w:val="da-DK"/>
        </w:rPr>
        <w:t>3</w:t>
      </w:r>
      <w:r w:rsidR="00792FF9" w:rsidRPr="007475F3">
        <w:rPr>
          <w:rFonts w:ascii="Times New Roman" w:hAnsi="Times New Roman"/>
          <w:bCs/>
          <w:sz w:val="24"/>
          <w:szCs w:val="24"/>
          <w:lang w:val="da-DK"/>
        </w:rPr>
        <w:t xml:space="preserve"> inklusiv 2,7 % med et </w:t>
      </w:r>
      <w:proofErr w:type="spellStart"/>
      <w:r w:rsidR="00792FF9" w:rsidRPr="007475F3">
        <w:rPr>
          <w:rFonts w:ascii="Times New Roman" w:hAnsi="Times New Roman"/>
          <w:bCs/>
          <w:sz w:val="24"/>
          <w:szCs w:val="24"/>
          <w:lang w:val="da-DK"/>
        </w:rPr>
        <w:t>neutrofiltal</w:t>
      </w:r>
      <w:proofErr w:type="spellEnd"/>
      <w:r w:rsidR="00792FF9" w:rsidRPr="007475F3">
        <w:rPr>
          <w:rFonts w:ascii="Times New Roman" w:hAnsi="Times New Roman"/>
          <w:bCs/>
          <w:sz w:val="24"/>
          <w:szCs w:val="24"/>
          <w:lang w:val="da-DK"/>
        </w:rPr>
        <w:t xml:space="preserve"> &lt;500 celler/mm</w:t>
      </w:r>
      <w:r w:rsidR="00792FF9" w:rsidRPr="007475F3">
        <w:rPr>
          <w:rFonts w:ascii="Times New Roman" w:hAnsi="Times New Roman"/>
          <w:bCs/>
          <w:sz w:val="24"/>
          <w:szCs w:val="24"/>
          <w:vertAlign w:val="superscript"/>
          <w:lang w:val="da-DK"/>
        </w:rPr>
        <w:t>3</w:t>
      </w:r>
      <w:r w:rsidR="00792FF9" w:rsidRPr="007475F3">
        <w:rPr>
          <w:rFonts w:ascii="Times New Roman" w:hAnsi="Times New Roman"/>
          <w:bCs/>
          <w:sz w:val="24"/>
          <w:szCs w:val="24"/>
          <w:lang w:val="da-DK"/>
        </w:rPr>
        <w:t>). Fuldstændig restitution blev normalt opnået inden for 7-8 dage</w:t>
      </w:r>
    </w:p>
    <w:p w14:paraId="07C845C0" w14:textId="56DB7DD7"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F</w:t>
      </w:r>
      <w:r w:rsidR="00792FF9" w:rsidRPr="007475F3">
        <w:rPr>
          <w:rFonts w:ascii="Times New Roman" w:hAnsi="Times New Roman"/>
          <w:bCs/>
          <w:sz w:val="24"/>
          <w:szCs w:val="24"/>
          <w:lang w:val="da-DK"/>
        </w:rPr>
        <w:t xml:space="preserve">ebril </w:t>
      </w:r>
      <w:proofErr w:type="spellStart"/>
      <w:r w:rsidR="00792FF9" w:rsidRPr="007475F3">
        <w:rPr>
          <w:rFonts w:ascii="Times New Roman" w:hAnsi="Times New Roman"/>
          <w:bCs/>
          <w:sz w:val="24"/>
          <w:szCs w:val="24"/>
          <w:lang w:val="da-DK"/>
        </w:rPr>
        <w:t>neutropeni</w:t>
      </w:r>
      <w:proofErr w:type="spellEnd"/>
      <w:r w:rsidR="00792FF9" w:rsidRPr="007475F3">
        <w:rPr>
          <w:rFonts w:ascii="Times New Roman" w:hAnsi="Times New Roman"/>
          <w:bCs/>
          <w:sz w:val="24"/>
          <w:szCs w:val="24"/>
          <w:lang w:val="da-DK"/>
        </w:rPr>
        <w:t xml:space="preserve"> blev rapporteret hos 3,4 % af patienterne og i 0,9 % af cyklusserne</w:t>
      </w:r>
    </w:p>
    <w:p w14:paraId="29288C53" w14:textId="2FDBF7BD"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I</w:t>
      </w:r>
      <w:r w:rsidR="00792FF9" w:rsidRPr="007475F3">
        <w:rPr>
          <w:rFonts w:ascii="Times New Roman" w:hAnsi="Times New Roman"/>
          <w:bCs/>
          <w:sz w:val="24"/>
          <w:szCs w:val="24"/>
          <w:lang w:val="da-DK"/>
        </w:rPr>
        <w:t xml:space="preserve">nfektioner opstod hos ca. 2 % af patienterne (0,5 % af cyklusser) og var forbundet med alvorlig </w:t>
      </w:r>
      <w:proofErr w:type="spellStart"/>
      <w:r w:rsidR="00792FF9" w:rsidRPr="007475F3">
        <w:rPr>
          <w:rFonts w:ascii="Times New Roman" w:hAnsi="Times New Roman"/>
          <w:bCs/>
          <w:sz w:val="24"/>
          <w:szCs w:val="24"/>
          <w:lang w:val="da-DK"/>
        </w:rPr>
        <w:t>neutropeni</w:t>
      </w:r>
      <w:proofErr w:type="spellEnd"/>
      <w:r w:rsidR="00792FF9" w:rsidRPr="007475F3">
        <w:rPr>
          <w:rFonts w:ascii="Times New Roman" w:hAnsi="Times New Roman"/>
          <w:bCs/>
          <w:sz w:val="24"/>
          <w:szCs w:val="24"/>
          <w:lang w:val="da-DK"/>
        </w:rPr>
        <w:t xml:space="preserve"> hos ca. 2,1 % af patienterne (0,5 % af cyklusser) og resulterede i 1 dødsfald.</w:t>
      </w:r>
    </w:p>
    <w:p w14:paraId="139C2120" w14:textId="53519D59"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A</w:t>
      </w:r>
      <w:r w:rsidR="00792FF9" w:rsidRPr="007475F3">
        <w:rPr>
          <w:rFonts w:ascii="Times New Roman" w:hAnsi="Times New Roman"/>
          <w:bCs/>
          <w:sz w:val="24"/>
          <w:szCs w:val="24"/>
          <w:lang w:val="da-DK"/>
        </w:rPr>
        <w:t>næmi blev rapporteret hos ca. 97,2 % af patienterne (2,1 % med hæmoglobin &lt;8 g/dl)</w:t>
      </w:r>
    </w:p>
    <w:p w14:paraId="67AF7B59" w14:textId="298B326E"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T</w:t>
      </w:r>
      <w:r w:rsidR="00792FF9" w:rsidRPr="007475F3">
        <w:rPr>
          <w:rFonts w:ascii="Times New Roman" w:hAnsi="Times New Roman"/>
          <w:bCs/>
          <w:sz w:val="24"/>
          <w:szCs w:val="24"/>
          <w:lang w:val="da-DK"/>
        </w:rPr>
        <w:t>rombocytopeni</w:t>
      </w:r>
      <w:proofErr w:type="spellEnd"/>
      <w:r w:rsidR="00792FF9" w:rsidRPr="007475F3">
        <w:rPr>
          <w:rFonts w:ascii="Times New Roman" w:hAnsi="Times New Roman"/>
          <w:bCs/>
          <w:sz w:val="24"/>
          <w:szCs w:val="24"/>
          <w:lang w:val="da-DK"/>
        </w:rPr>
        <w:t xml:space="preserve"> (&lt;100.000 celler/mm</w:t>
      </w:r>
      <w:r w:rsidR="00792FF9" w:rsidRPr="007475F3">
        <w:rPr>
          <w:rFonts w:ascii="Times New Roman" w:hAnsi="Times New Roman"/>
          <w:bCs/>
          <w:sz w:val="24"/>
          <w:szCs w:val="24"/>
          <w:vertAlign w:val="superscript"/>
          <w:lang w:val="da-DK"/>
        </w:rPr>
        <w:t>3</w:t>
      </w:r>
      <w:r w:rsidR="00792FF9" w:rsidRPr="007475F3">
        <w:rPr>
          <w:rFonts w:ascii="Times New Roman" w:hAnsi="Times New Roman"/>
          <w:bCs/>
          <w:sz w:val="24"/>
          <w:szCs w:val="24"/>
          <w:lang w:val="da-DK"/>
        </w:rPr>
        <w:t xml:space="preserve">) blev observeret hos 32,6 % af patienterne og 21,8 % af cyklusserne. Ingen alvorlig </w:t>
      </w:r>
      <w:proofErr w:type="spellStart"/>
      <w:r w:rsidR="00792FF9" w:rsidRPr="007475F3">
        <w:rPr>
          <w:rFonts w:ascii="Times New Roman" w:hAnsi="Times New Roman"/>
          <w:bCs/>
          <w:sz w:val="24"/>
          <w:szCs w:val="24"/>
          <w:lang w:val="da-DK"/>
        </w:rPr>
        <w:t>trombocytopeni</w:t>
      </w:r>
      <w:proofErr w:type="spellEnd"/>
      <w:r w:rsidR="00792FF9" w:rsidRPr="007475F3">
        <w:rPr>
          <w:rFonts w:ascii="Times New Roman" w:hAnsi="Times New Roman"/>
          <w:bCs/>
          <w:sz w:val="24"/>
          <w:szCs w:val="24"/>
          <w:lang w:val="da-DK"/>
        </w:rPr>
        <w:t xml:space="preserve"> (&lt;50.000 celler/mm</w:t>
      </w:r>
      <w:r w:rsidR="00792FF9" w:rsidRPr="007475F3">
        <w:rPr>
          <w:rFonts w:ascii="Times New Roman" w:hAnsi="Times New Roman"/>
          <w:bCs/>
          <w:sz w:val="24"/>
          <w:szCs w:val="24"/>
          <w:vertAlign w:val="superscript"/>
          <w:lang w:val="da-DK"/>
        </w:rPr>
        <w:t>3</w:t>
      </w:r>
      <w:r w:rsidR="00792FF9" w:rsidRPr="007475F3">
        <w:rPr>
          <w:rFonts w:ascii="Times New Roman" w:hAnsi="Times New Roman"/>
          <w:bCs/>
          <w:sz w:val="24"/>
          <w:szCs w:val="24"/>
          <w:lang w:val="da-DK"/>
        </w:rPr>
        <w:t>) er blevet observeret</w:t>
      </w:r>
    </w:p>
    <w:p w14:paraId="521C0469" w14:textId="7B55DECD"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A</w:t>
      </w:r>
      <w:r w:rsidR="00792FF9" w:rsidRPr="007475F3">
        <w:rPr>
          <w:rFonts w:ascii="Times New Roman" w:hAnsi="Times New Roman"/>
          <w:bCs/>
          <w:sz w:val="24"/>
          <w:szCs w:val="24"/>
          <w:lang w:val="da-DK"/>
        </w:rPr>
        <w:t xml:space="preserve">kut </w:t>
      </w:r>
      <w:proofErr w:type="spellStart"/>
      <w:r w:rsidR="00792FF9" w:rsidRPr="007475F3">
        <w:rPr>
          <w:rFonts w:ascii="Times New Roman" w:hAnsi="Times New Roman"/>
          <w:bCs/>
          <w:sz w:val="24"/>
          <w:szCs w:val="24"/>
          <w:lang w:val="da-DK"/>
        </w:rPr>
        <w:t>kolinergt</w:t>
      </w:r>
      <w:proofErr w:type="spellEnd"/>
      <w:r w:rsidR="00792FF9" w:rsidRPr="007475F3">
        <w:rPr>
          <w:rFonts w:ascii="Times New Roman" w:hAnsi="Times New Roman"/>
          <w:bCs/>
          <w:sz w:val="24"/>
          <w:szCs w:val="24"/>
          <w:lang w:val="da-DK"/>
        </w:rPr>
        <w:t xml:space="preserve"> syndrom</w:t>
      </w:r>
    </w:p>
    <w:p w14:paraId="17E20C62"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 xml:space="preserve">Svært forbigående akut </w:t>
      </w:r>
      <w:proofErr w:type="spellStart"/>
      <w:r w:rsidRPr="007475F3">
        <w:rPr>
          <w:rFonts w:ascii="Times New Roman" w:hAnsi="Times New Roman"/>
          <w:bCs/>
          <w:sz w:val="24"/>
          <w:szCs w:val="24"/>
          <w:lang w:val="da-DK"/>
        </w:rPr>
        <w:t>kolinergt</w:t>
      </w:r>
      <w:proofErr w:type="spellEnd"/>
      <w:r w:rsidRPr="007475F3">
        <w:rPr>
          <w:rFonts w:ascii="Times New Roman" w:hAnsi="Times New Roman"/>
          <w:bCs/>
          <w:sz w:val="24"/>
          <w:szCs w:val="24"/>
          <w:lang w:val="da-DK"/>
        </w:rPr>
        <w:t xml:space="preserve"> syndrom blev observeret hos 1,4 % af patienterne behandlet i kombinationsterapi</w:t>
      </w:r>
    </w:p>
    <w:p w14:paraId="5601D614" w14:textId="560894D1"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A</w:t>
      </w:r>
      <w:r w:rsidR="00792FF9" w:rsidRPr="007475F3">
        <w:rPr>
          <w:rFonts w:ascii="Times New Roman" w:hAnsi="Times New Roman"/>
          <w:bCs/>
          <w:sz w:val="24"/>
          <w:szCs w:val="24"/>
          <w:lang w:val="da-DK"/>
        </w:rPr>
        <w:t xml:space="preserve">steni var alvorlig hos 6,2 % af patienterne behandlet i kombinationsterapi. Den kausale sammenhæng med </w:t>
      </w:r>
      <w:proofErr w:type="spellStart"/>
      <w:r w:rsidR="00792FF9" w:rsidRPr="007475F3">
        <w:rPr>
          <w:rFonts w:ascii="Times New Roman" w:hAnsi="Times New Roman"/>
          <w:bCs/>
          <w:sz w:val="24"/>
          <w:szCs w:val="24"/>
          <w:lang w:val="da-DK"/>
        </w:rPr>
        <w:t>irinotecan</w:t>
      </w:r>
      <w:proofErr w:type="spellEnd"/>
      <w:r w:rsidR="00792FF9" w:rsidRPr="007475F3">
        <w:rPr>
          <w:rFonts w:ascii="Times New Roman" w:hAnsi="Times New Roman"/>
          <w:bCs/>
          <w:sz w:val="24"/>
          <w:szCs w:val="24"/>
          <w:lang w:val="da-DK"/>
        </w:rPr>
        <w:t xml:space="preserve"> er ikke klart fastlagt</w:t>
      </w:r>
    </w:p>
    <w:p w14:paraId="1F7EAC3D" w14:textId="56F6DF9B"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proofErr w:type="spellStart"/>
      <w:r w:rsidRPr="007475F3">
        <w:rPr>
          <w:rFonts w:ascii="Times New Roman" w:hAnsi="Times New Roman"/>
          <w:bCs/>
          <w:sz w:val="24"/>
          <w:szCs w:val="24"/>
          <w:lang w:val="da-DK"/>
        </w:rPr>
        <w:t>P</w:t>
      </w:r>
      <w:r w:rsidR="00792FF9" w:rsidRPr="007475F3">
        <w:rPr>
          <w:rFonts w:ascii="Times New Roman" w:hAnsi="Times New Roman"/>
          <w:bCs/>
          <w:sz w:val="24"/>
          <w:szCs w:val="24"/>
          <w:lang w:val="da-DK"/>
        </w:rPr>
        <w:t>yreksi</w:t>
      </w:r>
      <w:proofErr w:type="spellEnd"/>
      <w:r w:rsidR="00792FF9" w:rsidRPr="007475F3">
        <w:rPr>
          <w:rFonts w:ascii="Times New Roman" w:hAnsi="Times New Roman"/>
          <w:bCs/>
          <w:sz w:val="24"/>
          <w:szCs w:val="24"/>
          <w:lang w:val="da-DK"/>
        </w:rPr>
        <w:t xml:space="preserve"> uden infektion og uden samtidig alvorlig </w:t>
      </w:r>
      <w:proofErr w:type="spellStart"/>
      <w:r w:rsidR="00792FF9" w:rsidRPr="007475F3">
        <w:rPr>
          <w:rFonts w:ascii="Times New Roman" w:hAnsi="Times New Roman"/>
          <w:bCs/>
          <w:sz w:val="24"/>
          <w:szCs w:val="24"/>
          <w:lang w:val="da-DK"/>
        </w:rPr>
        <w:t>neutropeni</w:t>
      </w:r>
      <w:proofErr w:type="spellEnd"/>
      <w:r w:rsidR="00792FF9" w:rsidRPr="007475F3">
        <w:rPr>
          <w:rFonts w:ascii="Times New Roman" w:hAnsi="Times New Roman"/>
          <w:bCs/>
          <w:sz w:val="24"/>
          <w:szCs w:val="24"/>
          <w:lang w:val="da-DK"/>
        </w:rPr>
        <w:t xml:space="preserve"> opstod hos 6,2 % af patienterne i kombinationsterapi</w:t>
      </w:r>
    </w:p>
    <w:p w14:paraId="59A25402"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Laboratorieundersøgelser</w:t>
      </w:r>
    </w:p>
    <w:p w14:paraId="437DC53D" w14:textId="77777777" w:rsidR="00792FF9" w:rsidRPr="007475F3" w:rsidRDefault="00792FF9"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Forbigående serumniveauer (grad 1 og 2) af enten SGPT, SGOT, alkalisk fosfatase eller bilirubin er observeret hos henholdsvis 15 %, 11 %, 11 % og 10 % af patienterne, skønt der ikke var observeret fremskredne levermetastaser. Forbigående grad 3 blev observeret hos henholdsvis 0 %, 0 %, 0 % og 1 % af patienterne. Ingen grad 4 blev observeret</w:t>
      </w:r>
    </w:p>
    <w:p w14:paraId="4B04A04F" w14:textId="402A611F"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S</w:t>
      </w:r>
      <w:r w:rsidR="00792FF9" w:rsidRPr="007475F3">
        <w:rPr>
          <w:rFonts w:ascii="Times New Roman" w:hAnsi="Times New Roman"/>
          <w:bCs/>
          <w:sz w:val="24"/>
          <w:szCs w:val="24"/>
          <w:lang w:val="da-DK"/>
        </w:rPr>
        <w:t xml:space="preserve">tigninger i amylase og/eller </w:t>
      </w:r>
      <w:proofErr w:type="spellStart"/>
      <w:r w:rsidR="00792FF9" w:rsidRPr="007475F3">
        <w:rPr>
          <w:rFonts w:ascii="Times New Roman" w:hAnsi="Times New Roman"/>
          <w:bCs/>
          <w:sz w:val="24"/>
          <w:szCs w:val="24"/>
          <w:lang w:val="da-DK"/>
        </w:rPr>
        <w:t>lipase</w:t>
      </w:r>
      <w:proofErr w:type="spellEnd"/>
      <w:r w:rsidR="00792FF9" w:rsidRPr="007475F3">
        <w:rPr>
          <w:rFonts w:ascii="Times New Roman" w:hAnsi="Times New Roman"/>
          <w:bCs/>
          <w:sz w:val="24"/>
          <w:szCs w:val="24"/>
          <w:lang w:val="da-DK"/>
        </w:rPr>
        <w:t xml:space="preserve"> er meget sjældent rapporteret</w:t>
      </w:r>
    </w:p>
    <w:p w14:paraId="0B86C6CD" w14:textId="10E17D60" w:rsidR="00792FF9" w:rsidRPr="007475F3" w:rsidRDefault="00FF6A9D" w:rsidP="00F42A29">
      <w:pPr>
        <w:pStyle w:val="Listeafsnit"/>
        <w:numPr>
          <w:ilvl w:val="0"/>
          <w:numId w:val="6"/>
        </w:numPr>
        <w:autoSpaceDE w:val="0"/>
        <w:autoSpaceDN w:val="0"/>
        <w:adjustRightInd w:val="0"/>
        <w:spacing w:after="0" w:line="240" w:lineRule="auto"/>
        <w:ind w:left="1276" w:hanging="425"/>
        <w:rPr>
          <w:rFonts w:ascii="Times New Roman" w:hAnsi="Times New Roman"/>
          <w:bCs/>
          <w:sz w:val="24"/>
          <w:szCs w:val="24"/>
          <w:lang w:val="da-DK"/>
        </w:rPr>
      </w:pPr>
      <w:r w:rsidRPr="007475F3">
        <w:rPr>
          <w:rFonts w:ascii="Times New Roman" w:hAnsi="Times New Roman"/>
          <w:bCs/>
          <w:sz w:val="24"/>
          <w:szCs w:val="24"/>
          <w:lang w:val="da-DK"/>
        </w:rPr>
        <w:t>D</w:t>
      </w:r>
      <w:r w:rsidR="00792FF9" w:rsidRPr="007475F3">
        <w:rPr>
          <w:rFonts w:ascii="Times New Roman" w:hAnsi="Times New Roman"/>
          <w:bCs/>
          <w:sz w:val="24"/>
          <w:szCs w:val="24"/>
          <w:lang w:val="da-DK"/>
        </w:rPr>
        <w:t xml:space="preserve">er er rapporteret om sjældne tilfælde af </w:t>
      </w:r>
      <w:proofErr w:type="spellStart"/>
      <w:r w:rsidR="00792FF9" w:rsidRPr="007475F3">
        <w:rPr>
          <w:rFonts w:ascii="Times New Roman" w:hAnsi="Times New Roman"/>
          <w:bCs/>
          <w:sz w:val="24"/>
          <w:szCs w:val="24"/>
          <w:lang w:val="da-DK"/>
        </w:rPr>
        <w:t>hypokaliæmi</w:t>
      </w:r>
      <w:proofErr w:type="spellEnd"/>
      <w:r w:rsidR="00792FF9" w:rsidRPr="007475F3">
        <w:rPr>
          <w:rFonts w:ascii="Times New Roman" w:hAnsi="Times New Roman"/>
          <w:bCs/>
          <w:sz w:val="24"/>
          <w:szCs w:val="24"/>
          <w:lang w:val="da-DK"/>
        </w:rPr>
        <w:t xml:space="preserve"> og </w:t>
      </w:r>
      <w:proofErr w:type="spellStart"/>
      <w:r w:rsidR="00792FF9" w:rsidRPr="007475F3">
        <w:rPr>
          <w:rFonts w:ascii="Times New Roman" w:hAnsi="Times New Roman"/>
          <w:bCs/>
          <w:sz w:val="24"/>
          <w:szCs w:val="24"/>
          <w:lang w:val="da-DK"/>
        </w:rPr>
        <w:t>hyponatriæmi</w:t>
      </w:r>
      <w:proofErr w:type="spellEnd"/>
      <w:r w:rsidR="00792FF9" w:rsidRPr="007475F3">
        <w:rPr>
          <w:rFonts w:ascii="Times New Roman" w:hAnsi="Times New Roman"/>
          <w:bCs/>
          <w:sz w:val="24"/>
          <w:szCs w:val="24"/>
          <w:lang w:val="da-DK"/>
        </w:rPr>
        <w:t>, oftest relateret til diarré og opkastning.</w:t>
      </w:r>
    </w:p>
    <w:p w14:paraId="4C85609E" w14:textId="77777777" w:rsidR="00792FF9" w:rsidRPr="007475F3" w:rsidRDefault="00792FF9" w:rsidP="00792FF9">
      <w:pPr>
        <w:autoSpaceDE w:val="0"/>
        <w:autoSpaceDN w:val="0"/>
        <w:adjustRightInd w:val="0"/>
        <w:rPr>
          <w:sz w:val="24"/>
          <w:szCs w:val="24"/>
        </w:rPr>
      </w:pPr>
    </w:p>
    <w:p w14:paraId="33D86571" w14:textId="77777777" w:rsidR="00792FF9" w:rsidRPr="007475F3" w:rsidRDefault="00792FF9" w:rsidP="00F42A29">
      <w:pPr>
        <w:autoSpaceDE w:val="0"/>
        <w:autoSpaceDN w:val="0"/>
        <w:adjustRightInd w:val="0"/>
        <w:ind w:left="851"/>
        <w:rPr>
          <w:bCs/>
          <w:sz w:val="24"/>
          <w:szCs w:val="24"/>
          <w:u w:val="single"/>
        </w:rPr>
      </w:pPr>
      <w:r w:rsidRPr="007475F3">
        <w:rPr>
          <w:sz w:val="24"/>
          <w:szCs w:val="24"/>
          <w:u w:val="single"/>
        </w:rPr>
        <w:t xml:space="preserve">Andre bivirkninger rapporteret i kliniske studier med det ugentlige regime for </w:t>
      </w:r>
      <w:proofErr w:type="spellStart"/>
      <w:r w:rsidRPr="007475F3">
        <w:rPr>
          <w:sz w:val="24"/>
          <w:szCs w:val="24"/>
          <w:u w:val="single"/>
        </w:rPr>
        <w:t>irinotecan</w:t>
      </w:r>
      <w:proofErr w:type="spellEnd"/>
    </w:p>
    <w:p w14:paraId="2FDEB765" w14:textId="135F62A8" w:rsidR="008F7215" w:rsidRPr="007475F3" w:rsidRDefault="00792FF9" w:rsidP="009D565D">
      <w:pPr>
        <w:autoSpaceDE w:val="0"/>
        <w:autoSpaceDN w:val="0"/>
        <w:adjustRightInd w:val="0"/>
        <w:ind w:left="851"/>
        <w:rPr>
          <w:sz w:val="24"/>
          <w:szCs w:val="24"/>
        </w:rPr>
      </w:pPr>
      <w:r w:rsidRPr="007475F3">
        <w:rPr>
          <w:sz w:val="24"/>
          <w:szCs w:val="24"/>
        </w:rPr>
        <w:t xml:space="preserve">Følgende yderligere produktrelaterede bivirkninger er rapporteret i kliniske forsøg med </w:t>
      </w:r>
      <w:proofErr w:type="spellStart"/>
      <w:r w:rsidRPr="007475F3">
        <w:rPr>
          <w:sz w:val="24"/>
          <w:szCs w:val="24"/>
        </w:rPr>
        <w:t>irinotecan</w:t>
      </w:r>
      <w:proofErr w:type="spellEnd"/>
      <w:r w:rsidRPr="007475F3">
        <w:rPr>
          <w:sz w:val="24"/>
          <w:szCs w:val="24"/>
        </w:rPr>
        <w:t xml:space="preserve">: smerte, sepsis, </w:t>
      </w:r>
      <w:proofErr w:type="spellStart"/>
      <w:r w:rsidRPr="007475F3">
        <w:rPr>
          <w:sz w:val="24"/>
          <w:szCs w:val="24"/>
        </w:rPr>
        <w:t>anorektale</w:t>
      </w:r>
      <w:proofErr w:type="spellEnd"/>
      <w:r w:rsidRPr="007475F3">
        <w:rPr>
          <w:sz w:val="24"/>
          <w:szCs w:val="24"/>
        </w:rPr>
        <w:t xml:space="preserve"> lidelser, GI-</w:t>
      </w:r>
      <w:proofErr w:type="spellStart"/>
      <w:r w:rsidRPr="007475F3">
        <w:rPr>
          <w:sz w:val="24"/>
          <w:szCs w:val="24"/>
        </w:rPr>
        <w:t>candida</w:t>
      </w:r>
      <w:proofErr w:type="spellEnd"/>
      <w:r w:rsidRPr="007475F3">
        <w:rPr>
          <w:sz w:val="24"/>
          <w:szCs w:val="24"/>
        </w:rPr>
        <w:t xml:space="preserve"> infektion, </w:t>
      </w:r>
      <w:proofErr w:type="spellStart"/>
      <w:r w:rsidRPr="007475F3">
        <w:rPr>
          <w:sz w:val="24"/>
          <w:szCs w:val="24"/>
        </w:rPr>
        <w:t>hypomagnesiæmi</w:t>
      </w:r>
      <w:proofErr w:type="spellEnd"/>
      <w:r w:rsidRPr="007475F3">
        <w:rPr>
          <w:sz w:val="24"/>
          <w:szCs w:val="24"/>
        </w:rPr>
        <w:t xml:space="preserve">, </w:t>
      </w:r>
      <w:r w:rsidRPr="007475F3">
        <w:rPr>
          <w:sz w:val="24"/>
          <w:szCs w:val="24"/>
        </w:rPr>
        <w:lastRenderedPageBreak/>
        <w:t>udslæt, hudsymptomer, gangforstyrrelser, forvirring, hovedpine, synkope, rødmen, bradykardi, urinvejsinfektion, brystsmerter, forhøjet gamma-</w:t>
      </w:r>
      <w:proofErr w:type="spellStart"/>
      <w:r w:rsidRPr="007475F3">
        <w:rPr>
          <w:sz w:val="24"/>
          <w:szCs w:val="24"/>
        </w:rPr>
        <w:t>glutamyltransferase</w:t>
      </w:r>
      <w:proofErr w:type="spellEnd"/>
      <w:r w:rsidRPr="007475F3">
        <w:rPr>
          <w:sz w:val="24"/>
          <w:szCs w:val="24"/>
        </w:rPr>
        <w:t xml:space="preserve">, </w:t>
      </w:r>
      <w:proofErr w:type="spellStart"/>
      <w:r w:rsidRPr="007475F3">
        <w:rPr>
          <w:sz w:val="24"/>
          <w:szCs w:val="24"/>
        </w:rPr>
        <w:t>ekstravasation</w:t>
      </w:r>
      <w:proofErr w:type="spellEnd"/>
      <w:r w:rsidRPr="007475F3">
        <w:rPr>
          <w:sz w:val="24"/>
          <w:szCs w:val="24"/>
        </w:rPr>
        <w:t xml:space="preserve"> og tumor- lysesyndrom, hjerte-kar sygdomme (angina pectoris, hjertestop, myokardieinfarkt, </w:t>
      </w:r>
      <w:proofErr w:type="spellStart"/>
      <w:r w:rsidRPr="007475F3">
        <w:rPr>
          <w:sz w:val="24"/>
          <w:szCs w:val="24"/>
        </w:rPr>
        <w:t>myokardieiskæmi</w:t>
      </w:r>
      <w:proofErr w:type="spellEnd"/>
      <w:r w:rsidRPr="007475F3">
        <w:rPr>
          <w:sz w:val="24"/>
          <w:szCs w:val="24"/>
        </w:rPr>
        <w:t xml:space="preserve">, perifer </w:t>
      </w:r>
      <w:proofErr w:type="spellStart"/>
      <w:r w:rsidRPr="007475F3">
        <w:rPr>
          <w:sz w:val="24"/>
          <w:szCs w:val="24"/>
        </w:rPr>
        <w:t>vaskulær</w:t>
      </w:r>
      <w:proofErr w:type="spellEnd"/>
      <w:r w:rsidRPr="007475F3">
        <w:rPr>
          <w:sz w:val="24"/>
          <w:szCs w:val="24"/>
        </w:rPr>
        <w:t xml:space="preserve"> sygdom, </w:t>
      </w:r>
      <w:proofErr w:type="spellStart"/>
      <w:r w:rsidRPr="007475F3">
        <w:rPr>
          <w:sz w:val="24"/>
          <w:szCs w:val="24"/>
        </w:rPr>
        <w:t>vaskulære</w:t>
      </w:r>
      <w:proofErr w:type="spellEnd"/>
      <w:r w:rsidRPr="007475F3">
        <w:rPr>
          <w:sz w:val="24"/>
          <w:szCs w:val="24"/>
        </w:rPr>
        <w:t xml:space="preserve"> lidelser), og </w:t>
      </w:r>
      <w:proofErr w:type="spellStart"/>
      <w:r w:rsidRPr="007475F3">
        <w:rPr>
          <w:sz w:val="24"/>
          <w:szCs w:val="24"/>
        </w:rPr>
        <w:t>tromboemboliske</w:t>
      </w:r>
      <w:proofErr w:type="spellEnd"/>
      <w:r w:rsidRPr="007475F3">
        <w:rPr>
          <w:sz w:val="24"/>
          <w:szCs w:val="24"/>
        </w:rPr>
        <w:t xml:space="preserve"> komplikationer (arteriel trombose, cerebralt infarkt, </w:t>
      </w:r>
      <w:proofErr w:type="spellStart"/>
      <w:r w:rsidRPr="007475F3">
        <w:rPr>
          <w:sz w:val="24"/>
          <w:szCs w:val="24"/>
        </w:rPr>
        <w:t>cerebrovaskulære</w:t>
      </w:r>
      <w:proofErr w:type="spellEnd"/>
      <w:r w:rsidRPr="007475F3">
        <w:rPr>
          <w:sz w:val="24"/>
          <w:szCs w:val="24"/>
        </w:rPr>
        <w:t xml:space="preserve"> hændelser, dyb venetrombose, perifer </w:t>
      </w:r>
      <w:proofErr w:type="spellStart"/>
      <w:r w:rsidRPr="007475F3">
        <w:rPr>
          <w:sz w:val="24"/>
          <w:szCs w:val="24"/>
        </w:rPr>
        <w:t>emboli</w:t>
      </w:r>
      <w:proofErr w:type="spellEnd"/>
      <w:r w:rsidRPr="007475F3">
        <w:rPr>
          <w:sz w:val="24"/>
          <w:szCs w:val="24"/>
        </w:rPr>
        <w:t xml:space="preserve">, </w:t>
      </w:r>
      <w:proofErr w:type="spellStart"/>
      <w:r w:rsidRPr="007475F3">
        <w:rPr>
          <w:sz w:val="24"/>
          <w:szCs w:val="24"/>
        </w:rPr>
        <w:t>lungeemboli</w:t>
      </w:r>
      <w:proofErr w:type="spellEnd"/>
      <w:r w:rsidRPr="007475F3">
        <w:rPr>
          <w:sz w:val="24"/>
          <w:szCs w:val="24"/>
        </w:rPr>
        <w:t xml:space="preserve">, </w:t>
      </w:r>
      <w:proofErr w:type="spellStart"/>
      <w:r w:rsidRPr="007475F3">
        <w:rPr>
          <w:sz w:val="24"/>
          <w:szCs w:val="24"/>
        </w:rPr>
        <w:t>thromboflebitis</w:t>
      </w:r>
      <w:proofErr w:type="spellEnd"/>
      <w:r w:rsidRPr="007475F3">
        <w:rPr>
          <w:sz w:val="24"/>
          <w:szCs w:val="24"/>
        </w:rPr>
        <w:t>, trombose og pludselig død) (se pkt. 4.4.).</w:t>
      </w:r>
    </w:p>
    <w:p w14:paraId="4DFB7F00" w14:textId="77777777" w:rsidR="00792FF9" w:rsidRPr="007475F3" w:rsidRDefault="00792FF9" w:rsidP="00F42A29">
      <w:pPr>
        <w:autoSpaceDE w:val="0"/>
        <w:autoSpaceDN w:val="0"/>
        <w:adjustRightInd w:val="0"/>
        <w:ind w:left="851"/>
        <w:rPr>
          <w:sz w:val="24"/>
          <w:szCs w:val="24"/>
        </w:rPr>
      </w:pPr>
    </w:p>
    <w:p w14:paraId="0E2E62EE" w14:textId="77777777" w:rsidR="00792FF9" w:rsidRPr="007475F3" w:rsidRDefault="00792FF9" w:rsidP="00F42A29">
      <w:pPr>
        <w:autoSpaceDE w:val="0"/>
        <w:autoSpaceDN w:val="0"/>
        <w:adjustRightInd w:val="0"/>
        <w:ind w:left="851"/>
        <w:rPr>
          <w:bCs/>
          <w:sz w:val="24"/>
          <w:szCs w:val="24"/>
          <w:u w:val="single"/>
        </w:rPr>
      </w:pPr>
      <w:r w:rsidRPr="007475F3">
        <w:rPr>
          <w:sz w:val="24"/>
          <w:szCs w:val="24"/>
          <w:u w:val="single"/>
        </w:rPr>
        <w:t>Overvågning efter markedsføring</w:t>
      </w:r>
    </w:p>
    <w:p w14:paraId="2495F1A5" w14:textId="77777777" w:rsidR="00792FF9" w:rsidRPr="007475F3" w:rsidRDefault="00792FF9" w:rsidP="00F42A29">
      <w:pPr>
        <w:autoSpaceDE w:val="0"/>
        <w:autoSpaceDN w:val="0"/>
        <w:adjustRightInd w:val="0"/>
        <w:ind w:left="851"/>
        <w:rPr>
          <w:sz w:val="24"/>
          <w:szCs w:val="24"/>
        </w:rPr>
      </w:pPr>
      <w:r w:rsidRPr="007475F3">
        <w:rPr>
          <w:sz w:val="24"/>
          <w:szCs w:val="24"/>
        </w:rPr>
        <w:t>Frekvenser fra overvågning efter marketing er ikke kendt (kan ikke estimeres ud fra tilgængelige data).</w:t>
      </w:r>
    </w:p>
    <w:p w14:paraId="27640EB9" w14:textId="77777777" w:rsidR="00792FF9" w:rsidRPr="007475F3" w:rsidRDefault="00792FF9" w:rsidP="00792FF9">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4"/>
      </w:tblGrid>
      <w:tr w:rsidR="00792FF9" w:rsidRPr="007475F3" w14:paraId="1EBE9EA4"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4495A97F" w14:textId="77777777" w:rsidR="00792FF9" w:rsidRPr="007475F3" w:rsidRDefault="00792FF9">
            <w:pPr>
              <w:autoSpaceDE w:val="0"/>
              <w:autoSpaceDN w:val="0"/>
              <w:adjustRightInd w:val="0"/>
              <w:rPr>
                <w:sz w:val="24"/>
                <w:szCs w:val="24"/>
              </w:rPr>
            </w:pPr>
            <w:proofErr w:type="spellStart"/>
            <w:r w:rsidRPr="007475F3">
              <w:rPr>
                <w:b/>
                <w:bCs/>
                <w:sz w:val="24"/>
                <w:szCs w:val="24"/>
              </w:rPr>
              <w:t>MedDRA</w:t>
            </w:r>
            <w:proofErr w:type="spellEnd"/>
            <w:r w:rsidRPr="007475F3">
              <w:rPr>
                <w:b/>
                <w:bCs/>
                <w:sz w:val="24"/>
                <w:szCs w:val="24"/>
              </w:rPr>
              <w:t>-systemorganklasse</w:t>
            </w:r>
          </w:p>
        </w:tc>
        <w:tc>
          <w:tcPr>
            <w:tcW w:w="2500" w:type="pct"/>
            <w:tcBorders>
              <w:top w:val="single" w:sz="12" w:space="0" w:color="auto"/>
              <w:left w:val="single" w:sz="12" w:space="0" w:color="auto"/>
              <w:bottom w:val="single" w:sz="12" w:space="0" w:color="auto"/>
              <w:right w:val="single" w:sz="12" w:space="0" w:color="auto"/>
            </w:tcBorders>
            <w:hideMark/>
          </w:tcPr>
          <w:p w14:paraId="3C944241" w14:textId="77777777" w:rsidR="00792FF9" w:rsidRPr="007475F3" w:rsidRDefault="00792FF9">
            <w:pPr>
              <w:autoSpaceDE w:val="0"/>
              <w:autoSpaceDN w:val="0"/>
              <w:adjustRightInd w:val="0"/>
              <w:rPr>
                <w:sz w:val="24"/>
                <w:szCs w:val="24"/>
              </w:rPr>
            </w:pPr>
            <w:r w:rsidRPr="007475F3">
              <w:rPr>
                <w:b/>
                <w:bCs/>
                <w:sz w:val="24"/>
                <w:szCs w:val="24"/>
              </w:rPr>
              <w:t>Foretrukken term</w:t>
            </w:r>
          </w:p>
        </w:tc>
      </w:tr>
      <w:tr w:rsidR="00792FF9" w:rsidRPr="007475F3" w14:paraId="222597C3"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11D8CA0E" w14:textId="77777777" w:rsidR="00792FF9" w:rsidRPr="007475F3" w:rsidRDefault="00792FF9">
            <w:pPr>
              <w:autoSpaceDE w:val="0"/>
              <w:autoSpaceDN w:val="0"/>
              <w:adjustRightInd w:val="0"/>
              <w:rPr>
                <w:sz w:val="24"/>
                <w:szCs w:val="24"/>
              </w:rPr>
            </w:pPr>
            <w:r w:rsidRPr="007475F3">
              <w:rPr>
                <w:sz w:val="24"/>
                <w:szCs w:val="24"/>
              </w:rPr>
              <w:t>Infektioner og parasitære sygdomme</w:t>
            </w:r>
          </w:p>
        </w:tc>
        <w:tc>
          <w:tcPr>
            <w:tcW w:w="2500" w:type="pct"/>
            <w:tcBorders>
              <w:top w:val="single" w:sz="12" w:space="0" w:color="auto"/>
              <w:left w:val="single" w:sz="12" w:space="0" w:color="auto"/>
              <w:bottom w:val="single" w:sz="12" w:space="0" w:color="auto"/>
              <w:right w:val="single" w:sz="12" w:space="0" w:color="auto"/>
            </w:tcBorders>
            <w:hideMark/>
          </w:tcPr>
          <w:p w14:paraId="44CC31B5"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Pseudomembranøs</w:t>
            </w:r>
            <w:proofErr w:type="spellEnd"/>
            <w:r w:rsidRPr="007475F3">
              <w:rPr>
                <w:sz w:val="24"/>
                <w:szCs w:val="24"/>
              </w:rPr>
              <w:t xml:space="preserve"> colitis hvoraf den ene er blevet dokumenteret bakteriologisk (</w:t>
            </w:r>
            <w:proofErr w:type="spellStart"/>
            <w:r w:rsidRPr="007475F3">
              <w:rPr>
                <w:sz w:val="24"/>
                <w:szCs w:val="24"/>
              </w:rPr>
              <w:t>Clostridium</w:t>
            </w:r>
            <w:proofErr w:type="spellEnd"/>
            <w:r w:rsidRPr="007475F3">
              <w:rPr>
                <w:sz w:val="24"/>
                <w:szCs w:val="24"/>
              </w:rPr>
              <w:t xml:space="preserve"> difficile)</w:t>
            </w:r>
          </w:p>
          <w:p w14:paraId="689BD68D"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Sepsis</w:t>
            </w:r>
          </w:p>
          <w:p w14:paraId="3D82CB58"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Svampeinfektioner*</w:t>
            </w:r>
          </w:p>
          <w:p w14:paraId="5DBFCCED"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Virusinfektioner†</w:t>
            </w:r>
          </w:p>
        </w:tc>
      </w:tr>
      <w:tr w:rsidR="00792FF9" w:rsidRPr="007475F3" w14:paraId="29A0CDFE"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173BCA64" w14:textId="77777777" w:rsidR="00792FF9" w:rsidRPr="007475F3" w:rsidRDefault="00792FF9">
            <w:pPr>
              <w:autoSpaceDE w:val="0"/>
              <w:autoSpaceDN w:val="0"/>
              <w:adjustRightInd w:val="0"/>
              <w:rPr>
                <w:sz w:val="24"/>
                <w:szCs w:val="24"/>
              </w:rPr>
            </w:pPr>
            <w:r w:rsidRPr="007475F3">
              <w:rPr>
                <w:sz w:val="24"/>
                <w:szCs w:val="24"/>
              </w:rPr>
              <w:t>Blod og lymfesystem</w:t>
            </w:r>
          </w:p>
        </w:tc>
        <w:tc>
          <w:tcPr>
            <w:tcW w:w="2500" w:type="pct"/>
            <w:tcBorders>
              <w:top w:val="single" w:sz="12" w:space="0" w:color="auto"/>
              <w:left w:val="single" w:sz="12" w:space="0" w:color="auto"/>
              <w:bottom w:val="single" w:sz="12" w:space="0" w:color="auto"/>
              <w:right w:val="single" w:sz="12" w:space="0" w:color="auto"/>
            </w:tcBorders>
            <w:hideMark/>
          </w:tcPr>
          <w:p w14:paraId="6BD01ACB"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Thrombocytopeni</w:t>
            </w:r>
            <w:proofErr w:type="spellEnd"/>
            <w:r w:rsidRPr="007475F3">
              <w:rPr>
                <w:sz w:val="24"/>
                <w:szCs w:val="24"/>
              </w:rPr>
              <w:t xml:space="preserve"> med </w:t>
            </w:r>
            <w:proofErr w:type="spellStart"/>
            <w:r w:rsidRPr="007475F3">
              <w:rPr>
                <w:sz w:val="24"/>
                <w:szCs w:val="24"/>
              </w:rPr>
              <w:t>thrombocytantistoffer</w:t>
            </w:r>
            <w:proofErr w:type="spellEnd"/>
          </w:p>
        </w:tc>
      </w:tr>
      <w:tr w:rsidR="00792FF9" w:rsidRPr="007475F3" w14:paraId="589BB5E5"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190B40A6" w14:textId="77777777" w:rsidR="00792FF9" w:rsidRPr="007475F3" w:rsidRDefault="00792FF9">
            <w:pPr>
              <w:autoSpaceDE w:val="0"/>
              <w:autoSpaceDN w:val="0"/>
              <w:adjustRightInd w:val="0"/>
              <w:rPr>
                <w:sz w:val="24"/>
                <w:szCs w:val="24"/>
              </w:rPr>
            </w:pPr>
            <w:r w:rsidRPr="007475F3">
              <w:rPr>
                <w:sz w:val="24"/>
                <w:szCs w:val="24"/>
              </w:rPr>
              <w:t>Immunsystemet</w:t>
            </w:r>
          </w:p>
        </w:tc>
        <w:tc>
          <w:tcPr>
            <w:tcW w:w="2500" w:type="pct"/>
            <w:tcBorders>
              <w:top w:val="single" w:sz="12" w:space="0" w:color="auto"/>
              <w:left w:val="single" w:sz="12" w:space="0" w:color="auto"/>
              <w:bottom w:val="single" w:sz="12" w:space="0" w:color="auto"/>
              <w:right w:val="single" w:sz="12" w:space="0" w:color="auto"/>
            </w:tcBorders>
            <w:hideMark/>
          </w:tcPr>
          <w:p w14:paraId="5FBBDCB2"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Overfølsomhed </w:t>
            </w:r>
          </w:p>
          <w:p w14:paraId="450E81F0"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Anafylaktisk</w:t>
            </w:r>
            <w:proofErr w:type="spellEnd"/>
            <w:r w:rsidRPr="007475F3">
              <w:rPr>
                <w:sz w:val="24"/>
                <w:szCs w:val="24"/>
              </w:rPr>
              <w:t xml:space="preserve"> reaktion</w:t>
            </w:r>
          </w:p>
        </w:tc>
      </w:tr>
      <w:tr w:rsidR="00792FF9" w:rsidRPr="007475F3" w14:paraId="3ECA8928"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689DE6A2" w14:textId="77777777" w:rsidR="00792FF9" w:rsidRPr="007475F3" w:rsidRDefault="00792FF9">
            <w:pPr>
              <w:autoSpaceDE w:val="0"/>
              <w:autoSpaceDN w:val="0"/>
              <w:adjustRightInd w:val="0"/>
              <w:rPr>
                <w:sz w:val="24"/>
                <w:szCs w:val="24"/>
              </w:rPr>
            </w:pPr>
            <w:r w:rsidRPr="007475F3">
              <w:rPr>
                <w:sz w:val="24"/>
                <w:szCs w:val="24"/>
              </w:rPr>
              <w:t>Metabolisme og ernæring</w:t>
            </w:r>
          </w:p>
        </w:tc>
        <w:tc>
          <w:tcPr>
            <w:tcW w:w="2500" w:type="pct"/>
            <w:tcBorders>
              <w:top w:val="single" w:sz="12" w:space="0" w:color="auto"/>
              <w:left w:val="single" w:sz="12" w:space="0" w:color="auto"/>
              <w:bottom w:val="single" w:sz="12" w:space="0" w:color="auto"/>
              <w:right w:val="single" w:sz="12" w:space="0" w:color="auto"/>
            </w:tcBorders>
            <w:hideMark/>
          </w:tcPr>
          <w:p w14:paraId="0CA5C9E5"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Dehydrering (på grund af diarré og opkastning)</w:t>
            </w:r>
          </w:p>
          <w:p w14:paraId="4F3EFF07"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Hypovolæmi</w:t>
            </w:r>
            <w:proofErr w:type="spellEnd"/>
          </w:p>
        </w:tc>
      </w:tr>
      <w:tr w:rsidR="00792FF9" w:rsidRPr="007475F3" w14:paraId="01B727CC"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7AFCA6A8" w14:textId="77777777" w:rsidR="00792FF9" w:rsidRPr="007475F3" w:rsidRDefault="00792FF9">
            <w:pPr>
              <w:autoSpaceDE w:val="0"/>
              <w:autoSpaceDN w:val="0"/>
              <w:adjustRightInd w:val="0"/>
              <w:rPr>
                <w:sz w:val="24"/>
                <w:szCs w:val="24"/>
              </w:rPr>
            </w:pPr>
            <w:r w:rsidRPr="007475F3">
              <w:rPr>
                <w:sz w:val="24"/>
                <w:szCs w:val="24"/>
              </w:rPr>
              <w:t>Nervesystemet</w:t>
            </w:r>
          </w:p>
        </w:tc>
        <w:tc>
          <w:tcPr>
            <w:tcW w:w="2500" w:type="pct"/>
            <w:tcBorders>
              <w:top w:val="single" w:sz="12" w:space="0" w:color="auto"/>
              <w:left w:val="single" w:sz="12" w:space="0" w:color="auto"/>
              <w:bottom w:val="single" w:sz="12" w:space="0" w:color="auto"/>
              <w:right w:val="single" w:sz="12" w:space="0" w:color="auto"/>
            </w:tcBorders>
            <w:hideMark/>
          </w:tcPr>
          <w:p w14:paraId="49928726"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Generelt forbigående taleforstyrrelser, i nogle tilfælde blev hændelsen tilskrevet </w:t>
            </w:r>
            <w:proofErr w:type="spellStart"/>
            <w:r w:rsidRPr="007475F3">
              <w:rPr>
                <w:sz w:val="24"/>
                <w:szCs w:val="24"/>
              </w:rPr>
              <w:t>kolinergt</w:t>
            </w:r>
            <w:proofErr w:type="spellEnd"/>
            <w:r w:rsidRPr="007475F3">
              <w:rPr>
                <w:sz w:val="24"/>
                <w:szCs w:val="24"/>
              </w:rPr>
              <w:t xml:space="preserve"> syndrom under eller kort efter infusion af </w:t>
            </w:r>
            <w:proofErr w:type="spellStart"/>
            <w:r w:rsidRPr="007475F3">
              <w:rPr>
                <w:sz w:val="24"/>
                <w:szCs w:val="24"/>
              </w:rPr>
              <w:t>irinotecan</w:t>
            </w:r>
            <w:proofErr w:type="spellEnd"/>
          </w:p>
          <w:p w14:paraId="15578A0F"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Paræstesi</w:t>
            </w:r>
            <w:proofErr w:type="spellEnd"/>
          </w:p>
          <w:p w14:paraId="5A581F57"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Ufrivillige muskelsammentrækninger</w:t>
            </w:r>
          </w:p>
        </w:tc>
      </w:tr>
      <w:tr w:rsidR="00792FF9" w:rsidRPr="007475F3" w14:paraId="69542CB4" w14:textId="77777777" w:rsidTr="008D3349">
        <w:tc>
          <w:tcPr>
            <w:tcW w:w="2500" w:type="pct"/>
            <w:tcBorders>
              <w:top w:val="single" w:sz="12" w:space="0" w:color="auto"/>
              <w:left w:val="single" w:sz="12" w:space="0" w:color="auto"/>
              <w:bottom w:val="nil"/>
              <w:right w:val="single" w:sz="12" w:space="0" w:color="auto"/>
            </w:tcBorders>
            <w:hideMark/>
          </w:tcPr>
          <w:p w14:paraId="6A7E72C1" w14:textId="77777777" w:rsidR="00792FF9" w:rsidRPr="007475F3" w:rsidRDefault="00792FF9">
            <w:pPr>
              <w:autoSpaceDE w:val="0"/>
              <w:autoSpaceDN w:val="0"/>
              <w:adjustRightInd w:val="0"/>
              <w:rPr>
                <w:sz w:val="24"/>
                <w:szCs w:val="24"/>
              </w:rPr>
            </w:pPr>
            <w:r w:rsidRPr="007475F3">
              <w:rPr>
                <w:sz w:val="24"/>
                <w:szCs w:val="24"/>
              </w:rPr>
              <w:t>Hjertesygdomme</w:t>
            </w:r>
          </w:p>
        </w:tc>
        <w:tc>
          <w:tcPr>
            <w:tcW w:w="2500" w:type="pct"/>
            <w:tcBorders>
              <w:top w:val="single" w:sz="12" w:space="0" w:color="auto"/>
              <w:left w:val="single" w:sz="12" w:space="0" w:color="auto"/>
              <w:bottom w:val="nil"/>
              <w:right w:val="single" w:sz="12" w:space="0" w:color="auto"/>
            </w:tcBorders>
            <w:hideMark/>
          </w:tcPr>
          <w:p w14:paraId="1005586B"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Hypertension (under eller efter infusion)</w:t>
            </w:r>
          </w:p>
          <w:p w14:paraId="381DC67B"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Hjertekredsløbssvigt‡</w:t>
            </w:r>
          </w:p>
        </w:tc>
      </w:tr>
      <w:tr w:rsidR="00792FF9" w:rsidRPr="007475F3" w14:paraId="37CFF1A8" w14:textId="77777777" w:rsidTr="008D3349">
        <w:tc>
          <w:tcPr>
            <w:tcW w:w="2500" w:type="pct"/>
            <w:tcBorders>
              <w:top w:val="single" w:sz="12" w:space="0" w:color="auto"/>
              <w:left w:val="single" w:sz="12" w:space="0" w:color="auto"/>
              <w:bottom w:val="nil"/>
              <w:right w:val="single" w:sz="12" w:space="0" w:color="auto"/>
            </w:tcBorders>
            <w:hideMark/>
          </w:tcPr>
          <w:p w14:paraId="5D43F54B" w14:textId="77777777" w:rsidR="00792FF9" w:rsidRPr="007475F3" w:rsidRDefault="00792FF9">
            <w:pPr>
              <w:autoSpaceDE w:val="0"/>
              <w:autoSpaceDN w:val="0"/>
              <w:adjustRightInd w:val="0"/>
              <w:rPr>
                <w:sz w:val="24"/>
                <w:szCs w:val="24"/>
              </w:rPr>
            </w:pPr>
            <w:proofErr w:type="spellStart"/>
            <w:r w:rsidRPr="007475F3">
              <w:rPr>
                <w:sz w:val="24"/>
                <w:szCs w:val="24"/>
              </w:rPr>
              <w:t>Vaskulære</w:t>
            </w:r>
            <w:proofErr w:type="spellEnd"/>
            <w:r w:rsidRPr="007475F3">
              <w:rPr>
                <w:sz w:val="24"/>
                <w:szCs w:val="24"/>
              </w:rPr>
              <w:t xml:space="preserve"> sygdomme</w:t>
            </w:r>
          </w:p>
        </w:tc>
        <w:tc>
          <w:tcPr>
            <w:tcW w:w="2500" w:type="pct"/>
            <w:tcBorders>
              <w:top w:val="single" w:sz="12" w:space="0" w:color="auto"/>
              <w:left w:val="single" w:sz="12" w:space="0" w:color="auto"/>
              <w:bottom w:val="nil"/>
              <w:right w:val="single" w:sz="12" w:space="0" w:color="auto"/>
            </w:tcBorders>
            <w:hideMark/>
          </w:tcPr>
          <w:p w14:paraId="13261A69"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Hypotension‡</w:t>
            </w:r>
          </w:p>
        </w:tc>
      </w:tr>
      <w:tr w:rsidR="00792FF9" w:rsidRPr="007475F3" w14:paraId="5564ED4A"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411C9A51" w14:textId="28CAC2BE" w:rsidR="00792FF9" w:rsidRPr="007475F3" w:rsidRDefault="00792FF9" w:rsidP="00DB0B21">
            <w:pPr>
              <w:autoSpaceDE w:val="0"/>
              <w:autoSpaceDN w:val="0"/>
              <w:adjustRightInd w:val="0"/>
              <w:rPr>
                <w:sz w:val="24"/>
                <w:szCs w:val="24"/>
              </w:rPr>
            </w:pPr>
            <w:r w:rsidRPr="007475F3">
              <w:rPr>
                <w:sz w:val="24"/>
                <w:szCs w:val="24"/>
              </w:rPr>
              <w:t xml:space="preserve">Luftveje, thorax og </w:t>
            </w:r>
            <w:proofErr w:type="spellStart"/>
            <w:r w:rsidRPr="007475F3">
              <w:rPr>
                <w:sz w:val="24"/>
                <w:szCs w:val="24"/>
              </w:rPr>
              <w:t>mediastinum</w:t>
            </w:r>
            <w:proofErr w:type="spellEnd"/>
            <w:r w:rsidR="00DB0B21" w:rsidRPr="007475F3">
              <w:rPr>
                <w:sz w:val="24"/>
                <w:szCs w:val="24"/>
              </w:rPr>
              <w:t xml:space="preserve"> </w:t>
            </w:r>
            <w:r w:rsidRPr="007475F3">
              <w:rPr>
                <w:sz w:val="24"/>
                <w:szCs w:val="24"/>
              </w:rPr>
              <w:t>sygdomme</w:t>
            </w:r>
          </w:p>
        </w:tc>
        <w:tc>
          <w:tcPr>
            <w:tcW w:w="2500" w:type="pct"/>
            <w:tcBorders>
              <w:top w:val="single" w:sz="12" w:space="0" w:color="auto"/>
              <w:left w:val="single" w:sz="12" w:space="0" w:color="auto"/>
              <w:bottom w:val="single" w:sz="12" w:space="0" w:color="auto"/>
              <w:right w:val="single" w:sz="12" w:space="0" w:color="auto"/>
            </w:tcBorders>
            <w:hideMark/>
          </w:tcPr>
          <w:p w14:paraId="0158E71A"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Interstitiel</w:t>
            </w:r>
            <w:proofErr w:type="spellEnd"/>
            <w:r w:rsidRPr="007475F3">
              <w:rPr>
                <w:sz w:val="24"/>
                <w:szCs w:val="24"/>
              </w:rPr>
              <w:t xml:space="preserve"> lungesygdom, der viser sig som </w:t>
            </w:r>
            <w:proofErr w:type="spellStart"/>
            <w:r w:rsidRPr="007475F3">
              <w:rPr>
                <w:sz w:val="24"/>
                <w:szCs w:val="24"/>
              </w:rPr>
              <w:t>lungeinfiltrater</w:t>
            </w:r>
            <w:proofErr w:type="spellEnd"/>
            <w:r w:rsidRPr="007475F3">
              <w:rPr>
                <w:sz w:val="24"/>
                <w:szCs w:val="24"/>
              </w:rPr>
              <w:t xml:space="preserve">, er ikke almindelig under </w:t>
            </w:r>
            <w:proofErr w:type="spellStart"/>
            <w:r w:rsidRPr="007475F3">
              <w:rPr>
                <w:sz w:val="24"/>
                <w:szCs w:val="24"/>
              </w:rPr>
              <w:t>irinotecan</w:t>
            </w:r>
            <w:proofErr w:type="spellEnd"/>
            <w:r w:rsidRPr="007475F3">
              <w:rPr>
                <w:sz w:val="24"/>
                <w:szCs w:val="24"/>
              </w:rPr>
              <w:t xml:space="preserve"> behandlingen; tidlige tegn såsom dyspnø er blevet rapporteret (se pkt. 4.4).</w:t>
            </w:r>
          </w:p>
          <w:p w14:paraId="4AA68379"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Dyspnø (se pkt. 4.4)</w:t>
            </w:r>
          </w:p>
          <w:p w14:paraId="710E872E"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Hikke</w:t>
            </w:r>
          </w:p>
        </w:tc>
      </w:tr>
      <w:tr w:rsidR="00792FF9" w:rsidRPr="007475F3" w14:paraId="1B69080C"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1BF01A35" w14:textId="77777777" w:rsidR="00792FF9" w:rsidRPr="007475F3" w:rsidRDefault="00792FF9">
            <w:pPr>
              <w:autoSpaceDE w:val="0"/>
              <w:autoSpaceDN w:val="0"/>
              <w:adjustRightInd w:val="0"/>
              <w:rPr>
                <w:sz w:val="24"/>
                <w:szCs w:val="24"/>
              </w:rPr>
            </w:pPr>
            <w:proofErr w:type="spellStart"/>
            <w:r w:rsidRPr="007475F3">
              <w:rPr>
                <w:sz w:val="24"/>
                <w:szCs w:val="24"/>
              </w:rPr>
              <w:t>Gastrointestinale</w:t>
            </w:r>
            <w:proofErr w:type="spellEnd"/>
            <w:r w:rsidRPr="007475F3">
              <w:rPr>
                <w:sz w:val="24"/>
                <w:szCs w:val="24"/>
              </w:rPr>
              <w:t xml:space="preserve"> sygdomme</w:t>
            </w:r>
          </w:p>
        </w:tc>
        <w:tc>
          <w:tcPr>
            <w:tcW w:w="2500" w:type="pct"/>
            <w:tcBorders>
              <w:top w:val="single" w:sz="12" w:space="0" w:color="auto"/>
              <w:left w:val="single" w:sz="12" w:space="0" w:color="auto"/>
              <w:bottom w:val="single" w:sz="12" w:space="0" w:color="auto"/>
              <w:right w:val="single" w:sz="12" w:space="0" w:color="auto"/>
            </w:tcBorders>
            <w:hideMark/>
          </w:tcPr>
          <w:p w14:paraId="652A336D"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Intestinal</w:t>
            </w:r>
            <w:proofErr w:type="spellEnd"/>
            <w:r w:rsidRPr="007475F3">
              <w:rPr>
                <w:sz w:val="24"/>
                <w:szCs w:val="24"/>
              </w:rPr>
              <w:t xml:space="preserve"> obstruktion</w:t>
            </w:r>
          </w:p>
          <w:p w14:paraId="1F03C413"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Ileus</w:t>
            </w:r>
            <w:proofErr w:type="spellEnd"/>
            <w:r w:rsidRPr="007475F3">
              <w:rPr>
                <w:sz w:val="24"/>
                <w:szCs w:val="24"/>
              </w:rPr>
              <w:t xml:space="preserve">: tilfælde af </w:t>
            </w:r>
            <w:proofErr w:type="spellStart"/>
            <w:r w:rsidRPr="007475F3">
              <w:rPr>
                <w:sz w:val="24"/>
                <w:szCs w:val="24"/>
              </w:rPr>
              <w:t>ileus</w:t>
            </w:r>
            <w:proofErr w:type="spellEnd"/>
            <w:r w:rsidRPr="007475F3">
              <w:rPr>
                <w:sz w:val="24"/>
                <w:szCs w:val="24"/>
              </w:rPr>
              <w:t xml:space="preserve"> uden forudgående colitis er også blevet rapporteret</w:t>
            </w:r>
          </w:p>
          <w:p w14:paraId="6E85E0D2"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Megacolon</w:t>
            </w:r>
            <w:proofErr w:type="spellEnd"/>
          </w:p>
          <w:p w14:paraId="210EC2EA"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Gastrointestinal</w:t>
            </w:r>
            <w:proofErr w:type="spellEnd"/>
            <w:r w:rsidRPr="007475F3">
              <w:rPr>
                <w:sz w:val="24"/>
                <w:szCs w:val="24"/>
              </w:rPr>
              <w:t xml:space="preserve"> blødning</w:t>
            </w:r>
          </w:p>
          <w:p w14:paraId="4E5850C4"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lastRenderedPageBreak/>
              <w:t xml:space="preserve">Colitis; i nogle tilfælde var colitis kompliceret af </w:t>
            </w:r>
            <w:proofErr w:type="spellStart"/>
            <w:r w:rsidRPr="007475F3">
              <w:rPr>
                <w:sz w:val="24"/>
                <w:szCs w:val="24"/>
              </w:rPr>
              <w:t>ulceration</w:t>
            </w:r>
            <w:proofErr w:type="spellEnd"/>
            <w:r w:rsidRPr="007475F3">
              <w:rPr>
                <w:sz w:val="24"/>
                <w:szCs w:val="24"/>
              </w:rPr>
              <w:t xml:space="preserve">, blødning, </w:t>
            </w:r>
            <w:proofErr w:type="spellStart"/>
            <w:r w:rsidRPr="007475F3">
              <w:rPr>
                <w:sz w:val="24"/>
                <w:szCs w:val="24"/>
              </w:rPr>
              <w:t>ileus</w:t>
            </w:r>
            <w:proofErr w:type="spellEnd"/>
            <w:r w:rsidRPr="007475F3">
              <w:rPr>
                <w:sz w:val="24"/>
                <w:szCs w:val="24"/>
              </w:rPr>
              <w:t xml:space="preserve"> eller infektion.</w:t>
            </w:r>
          </w:p>
          <w:p w14:paraId="2D1F4D2A"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Typhlitis</w:t>
            </w:r>
            <w:proofErr w:type="spellEnd"/>
          </w:p>
          <w:p w14:paraId="24E0158F"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Iskæmisk colitis </w:t>
            </w:r>
          </w:p>
          <w:p w14:paraId="43A7C57F"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Colitis </w:t>
            </w:r>
            <w:proofErr w:type="spellStart"/>
            <w:r w:rsidRPr="007475F3">
              <w:rPr>
                <w:sz w:val="24"/>
                <w:szCs w:val="24"/>
              </w:rPr>
              <w:t>ulcerosa</w:t>
            </w:r>
            <w:proofErr w:type="spellEnd"/>
            <w:r w:rsidRPr="007475F3">
              <w:rPr>
                <w:sz w:val="24"/>
                <w:szCs w:val="24"/>
              </w:rPr>
              <w:t xml:space="preserve"> </w:t>
            </w:r>
          </w:p>
          <w:p w14:paraId="16507BF8"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Symptomatisk eller </w:t>
            </w:r>
            <w:proofErr w:type="gramStart"/>
            <w:r w:rsidRPr="007475F3">
              <w:rPr>
                <w:sz w:val="24"/>
                <w:szCs w:val="24"/>
              </w:rPr>
              <w:t>asymptomatisk</w:t>
            </w:r>
            <w:proofErr w:type="gramEnd"/>
            <w:r w:rsidRPr="007475F3">
              <w:rPr>
                <w:sz w:val="24"/>
                <w:szCs w:val="24"/>
              </w:rPr>
              <w:t xml:space="preserve"> bugspytkirtelenzymer forhøjet</w:t>
            </w:r>
          </w:p>
          <w:p w14:paraId="28B0A2FA"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Tarmperforation</w:t>
            </w:r>
          </w:p>
        </w:tc>
      </w:tr>
      <w:tr w:rsidR="00792FF9" w:rsidRPr="007475F3" w14:paraId="5CB57531"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276662D1" w14:textId="77777777" w:rsidR="00792FF9" w:rsidRPr="007475F3" w:rsidRDefault="00792FF9">
            <w:pPr>
              <w:autoSpaceDE w:val="0"/>
              <w:autoSpaceDN w:val="0"/>
              <w:adjustRightInd w:val="0"/>
              <w:rPr>
                <w:sz w:val="24"/>
                <w:szCs w:val="24"/>
              </w:rPr>
            </w:pPr>
            <w:r w:rsidRPr="007475F3">
              <w:rPr>
                <w:sz w:val="24"/>
                <w:szCs w:val="24"/>
              </w:rPr>
              <w:lastRenderedPageBreak/>
              <w:t>Lever og galdeveje</w:t>
            </w:r>
          </w:p>
        </w:tc>
        <w:tc>
          <w:tcPr>
            <w:tcW w:w="2500" w:type="pct"/>
            <w:tcBorders>
              <w:top w:val="single" w:sz="12" w:space="0" w:color="auto"/>
              <w:left w:val="single" w:sz="12" w:space="0" w:color="auto"/>
              <w:bottom w:val="single" w:sz="12" w:space="0" w:color="auto"/>
              <w:right w:val="single" w:sz="12" w:space="0" w:color="auto"/>
            </w:tcBorders>
            <w:hideMark/>
          </w:tcPr>
          <w:p w14:paraId="1DE9B715"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Steatohepatitis</w:t>
            </w:r>
            <w:proofErr w:type="spellEnd"/>
          </w:p>
          <w:p w14:paraId="2A215B39"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Hepatisk</w:t>
            </w:r>
            <w:proofErr w:type="spellEnd"/>
            <w:r w:rsidRPr="007475F3">
              <w:rPr>
                <w:sz w:val="24"/>
                <w:szCs w:val="24"/>
              </w:rPr>
              <w:t xml:space="preserve"> </w:t>
            </w:r>
            <w:proofErr w:type="spellStart"/>
            <w:r w:rsidRPr="007475F3">
              <w:rPr>
                <w:sz w:val="24"/>
                <w:szCs w:val="24"/>
              </w:rPr>
              <w:t>steatose</w:t>
            </w:r>
            <w:proofErr w:type="spellEnd"/>
          </w:p>
        </w:tc>
      </w:tr>
      <w:tr w:rsidR="00792FF9" w:rsidRPr="007475F3" w14:paraId="7CF0C1CB"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385DD0B0" w14:textId="77777777" w:rsidR="00792FF9" w:rsidRPr="007475F3" w:rsidRDefault="00792FF9">
            <w:pPr>
              <w:autoSpaceDE w:val="0"/>
              <w:autoSpaceDN w:val="0"/>
              <w:adjustRightInd w:val="0"/>
              <w:rPr>
                <w:sz w:val="24"/>
                <w:szCs w:val="24"/>
              </w:rPr>
            </w:pPr>
            <w:r w:rsidRPr="007475F3">
              <w:rPr>
                <w:sz w:val="24"/>
                <w:szCs w:val="24"/>
              </w:rPr>
              <w:t>Hud og subkutane væv</w:t>
            </w:r>
          </w:p>
        </w:tc>
        <w:tc>
          <w:tcPr>
            <w:tcW w:w="2500" w:type="pct"/>
            <w:tcBorders>
              <w:top w:val="single" w:sz="12" w:space="0" w:color="auto"/>
              <w:left w:val="single" w:sz="12" w:space="0" w:color="auto"/>
              <w:bottom w:val="single" w:sz="12" w:space="0" w:color="auto"/>
              <w:right w:val="single" w:sz="12" w:space="0" w:color="auto"/>
            </w:tcBorders>
            <w:hideMark/>
          </w:tcPr>
          <w:p w14:paraId="021BBB65"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Hudreaktioner</w:t>
            </w:r>
          </w:p>
        </w:tc>
      </w:tr>
      <w:tr w:rsidR="00792FF9" w:rsidRPr="007475F3" w14:paraId="56640C9D"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3B477A1E" w14:textId="77777777" w:rsidR="00792FF9" w:rsidRPr="007475F3" w:rsidRDefault="00792FF9">
            <w:pPr>
              <w:autoSpaceDE w:val="0"/>
              <w:autoSpaceDN w:val="0"/>
              <w:adjustRightInd w:val="0"/>
              <w:rPr>
                <w:sz w:val="24"/>
                <w:szCs w:val="24"/>
              </w:rPr>
            </w:pPr>
            <w:r w:rsidRPr="007475F3">
              <w:rPr>
                <w:sz w:val="24"/>
                <w:szCs w:val="24"/>
              </w:rPr>
              <w:t>Knogler, led, muskler og bindevæv</w:t>
            </w:r>
          </w:p>
        </w:tc>
        <w:tc>
          <w:tcPr>
            <w:tcW w:w="2500" w:type="pct"/>
            <w:tcBorders>
              <w:top w:val="single" w:sz="12" w:space="0" w:color="auto"/>
              <w:left w:val="single" w:sz="12" w:space="0" w:color="auto"/>
              <w:bottom w:val="single" w:sz="12" w:space="0" w:color="auto"/>
              <w:right w:val="single" w:sz="12" w:space="0" w:color="auto"/>
            </w:tcBorders>
            <w:hideMark/>
          </w:tcPr>
          <w:p w14:paraId="4024948F"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Kramper</w:t>
            </w:r>
          </w:p>
        </w:tc>
      </w:tr>
      <w:tr w:rsidR="00792FF9" w:rsidRPr="007475F3" w14:paraId="7FE975AB"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5744B4A2" w14:textId="77777777" w:rsidR="00792FF9" w:rsidRPr="007475F3" w:rsidRDefault="00792FF9">
            <w:pPr>
              <w:autoSpaceDE w:val="0"/>
              <w:autoSpaceDN w:val="0"/>
              <w:adjustRightInd w:val="0"/>
              <w:rPr>
                <w:sz w:val="24"/>
                <w:szCs w:val="24"/>
              </w:rPr>
            </w:pPr>
            <w:r w:rsidRPr="007475F3">
              <w:rPr>
                <w:sz w:val="24"/>
                <w:szCs w:val="24"/>
              </w:rPr>
              <w:t>Nyrer og urinveje</w:t>
            </w:r>
          </w:p>
        </w:tc>
        <w:tc>
          <w:tcPr>
            <w:tcW w:w="2500" w:type="pct"/>
            <w:tcBorders>
              <w:top w:val="single" w:sz="12" w:space="0" w:color="auto"/>
              <w:left w:val="single" w:sz="12" w:space="0" w:color="auto"/>
              <w:bottom w:val="single" w:sz="12" w:space="0" w:color="auto"/>
              <w:right w:val="single" w:sz="12" w:space="0" w:color="auto"/>
            </w:tcBorders>
            <w:hideMark/>
          </w:tcPr>
          <w:p w14:paraId="01D27D47" w14:textId="12D967A8"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Nedsat nyrefunktion og akut nyresvigt generelt hos patienter, som er blevet inficereret og/eller har væskemangel grundet svær </w:t>
            </w:r>
            <w:proofErr w:type="spellStart"/>
            <w:r w:rsidRPr="007475F3">
              <w:rPr>
                <w:sz w:val="24"/>
                <w:szCs w:val="24"/>
              </w:rPr>
              <w:t>gastrointestinal</w:t>
            </w:r>
            <w:proofErr w:type="spellEnd"/>
            <w:r w:rsidRPr="007475F3">
              <w:rPr>
                <w:sz w:val="24"/>
                <w:szCs w:val="24"/>
              </w:rPr>
              <w:t xml:space="preserve"> toksicitet‡</w:t>
            </w:r>
          </w:p>
          <w:p w14:paraId="031CB8C8"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Nyreinsufficiens‡</w:t>
            </w:r>
          </w:p>
        </w:tc>
      </w:tr>
      <w:tr w:rsidR="00792FF9" w:rsidRPr="007475F3" w14:paraId="0006B4B7"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3A542DFB" w14:textId="77777777" w:rsidR="00792FF9" w:rsidRPr="007475F3" w:rsidRDefault="00792FF9">
            <w:pPr>
              <w:autoSpaceDE w:val="0"/>
              <w:autoSpaceDN w:val="0"/>
              <w:adjustRightInd w:val="0"/>
              <w:rPr>
                <w:sz w:val="24"/>
                <w:szCs w:val="24"/>
              </w:rPr>
            </w:pPr>
            <w:r w:rsidRPr="007475F3">
              <w:rPr>
                <w:sz w:val="24"/>
                <w:szCs w:val="24"/>
              </w:rPr>
              <w:t>Almene symptomer og reaktioner på administrationsstedet</w:t>
            </w:r>
          </w:p>
        </w:tc>
        <w:tc>
          <w:tcPr>
            <w:tcW w:w="2500" w:type="pct"/>
            <w:tcBorders>
              <w:top w:val="single" w:sz="12" w:space="0" w:color="auto"/>
              <w:left w:val="single" w:sz="12" w:space="0" w:color="auto"/>
              <w:bottom w:val="single" w:sz="12" w:space="0" w:color="auto"/>
              <w:right w:val="single" w:sz="12" w:space="0" w:color="auto"/>
            </w:tcBorders>
            <w:hideMark/>
          </w:tcPr>
          <w:p w14:paraId="4A74DB1D"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Reaktioner ved infusionsstedet</w:t>
            </w:r>
          </w:p>
        </w:tc>
      </w:tr>
      <w:tr w:rsidR="00792FF9" w:rsidRPr="007475F3" w14:paraId="292A9F6F" w14:textId="77777777" w:rsidTr="008D3349">
        <w:tc>
          <w:tcPr>
            <w:tcW w:w="2500" w:type="pct"/>
            <w:tcBorders>
              <w:top w:val="single" w:sz="12" w:space="0" w:color="auto"/>
              <w:left w:val="single" w:sz="12" w:space="0" w:color="auto"/>
              <w:bottom w:val="single" w:sz="12" w:space="0" w:color="auto"/>
              <w:right w:val="single" w:sz="12" w:space="0" w:color="auto"/>
            </w:tcBorders>
            <w:hideMark/>
          </w:tcPr>
          <w:p w14:paraId="1C4F8768" w14:textId="77777777" w:rsidR="00792FF9" w:rsidRPr="007475F3" w:rsidRDefault="00792FF9">
            <w:pPr>
              <w:autoSpaceDE w:val="0"/>
              <w:autoSpaceDN w:val="0"/>
              <w:adjustRightInd w:val="0"/>
              <w:rPr>
                <w:sz w:val="24"/>
                <w:szCs w:val="24"/>
              </w:rPr>
            </w:pPr>
            <w:r w:rsidRPr="007475F3">
              <w:rPr>
                <w:sz w:val="24"/>
                <w:szCs w:val="24"/>
              </w:rPr>
              <w:t>Undersøgelser</w:t>
            </w:r>
          </w:p>
        </w:tc>
        <w:tc>
          <w:tcPr>
            <w:tcW w:w="2500" w:type="pct"/>
            <w:tcBorders>
              <w:top w:val="single" w:sz="12" w:space="0" w:color="auto"/>
              <w:left w:val="single" w:sz="12" w:space="0" w:color="auto"/>
              <w:bottom w:val="single" w:sz="12" w:space="0" w:color="auto"/>
              <w:right w:val="single" w:sz="12" w:space="0" w:color="auto"/>
            </w:tcBorders>
            <w:hideMark/>
          </w:tcPr>
          <w:p w14:paraId="320A59BB"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Forhøjet amylase</w:t>
            </w:r>
          </w:p>
          <w:p w14:paraId="52211DD8"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Forøget </w:t>
            </w:r>
            <w:proofErr w:type="spellStart"/>
            <w:r w:rsidRPr="007475F3">
              <w:rPr>
                <w:sz w:val="24"/>
                <w:szCs w:val="24"/>
              </w:rPr>
              <w:t>lipase</w:t>
            </w:r>
            <w:proofErr w:type="spellEnd"/>
          </w:p>
          <w:p w14:paraId="5B82C92D"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Hypokaliæmi</w:t>
            </w:r>
            <w:proofErr w:type="spellEnd"/>
          </w:p>
          <w:p w14:paraId="436C97CB" w14:textId="77777777" w:rsidR="00792FF9" w:rsidRPr="007475F3" w:rsidRDefault="00792FF9" w:rsidP="00792FF9">
            <w:pPr>
              <w:numPr>
                <w:ilvl w:val="0"/>
                <w:numId w:val="7"/>
              </w:numPr>
              <w:autoSpaceDE w:val="0"/>
              <w:autoSpaceDN w:val="0"/>
              <w:adjustRightInd w:val="0"/>
              <w:ind w:hanging="408"/>
              <w:rPr>
                <w:sz w:val="24"/>
                <w:szCs w:val="24"/>
              </w:rPr>
            </w:pPr>
            <w:proofErr w:type="spellStart"/>
            <w:r w:rsidRPr="007475F3">
              <w:rPr>
                <w:sz w:val="24"/>
                <w:szCs w:val="24"/>
              </w:rPr>
              <w:t>Hyponatriæmi</w:t>
            </w:r>
            <w:proofErr w:type="spellEnd"/>
            <w:r w:rsidRPr="007475F3">
              <w:rPr>
                <w:sz w:val="24"/>
                <w:szCs w:val="24"/>
              </w:rPr>
              <w:t xml:space="preserve"> mest relateret til diarré og opkastning</w:t>
            </w:r>
          </w:p>
          <w:p w14:paraId="3808156C" w14:textId="77777777" w:rsidR="00792FF9" w:rsidRPr="007475F3" w:rsidRDefault="00792FF9" w:rsidP="00792FF9">
            <w:pPr>
              <w:numPr>
                <w:ilvl w:val="0"/>
                <w:numId w:val="7"/>
              </w:numPr>
              <w:autoSpaceDE w:val="0"/>
              <w:autoSpaceDN w:val="0"/>
              <w:adjustRightInd w:val="0"/>
              <w:ind w:hanging="408"/>
              <w:rPr>
                <w:sz w:val="24"/>
                <w:szCs w:val="24"/>
              </w:rPr>
            </w:pPr>
            <w:r w:rsidRPr="007475F3">
              <w:rPr>
                <w:sz w:val="24"/>
                <w:szCs w:val="24"/>
              </w:rPr>
              <w:t xml:space="preserve">Forøgede </w:t>
            </w:r>
            <w:proofErr w:type="spellStart"/>
            <w:r w:rsidRPr="007475F3">
              <w:rPr>
                <w:sz w:val="24"/>
                <w:szCs w:val="24"/>
              </w:rPr>
              <w:t>transaminaser</w:t>
            </w:r>
            <w:proofErr w:type="spellEnd"/>
            <w:r w:rsidRPr="007475F3">
              <w:rPr>
                <w:sz w:val="24"/>
                <w:szCs w:val="24"/>
              </w:rPr>
              <w:t xml:space="preserve"> (dvs. ASAT og ALAT) er blevet rapporteret meget sjældent, hvor der ikke er progressive levermetastaser</w:t>
            </w:r>
          </w:p>
        </w:tc>
      </w:tr>
      <w:tr w:rsidR="00792FF9" w:rsidRPr="007475F3" w14:paraId="4D3F56D0" w14:textId="77777777" w:rsidTr="008D3349">
        <w:tc>
          <w:tcPr>
            <w:tcW w:w="5000" w:type="pct"/>
            <w:gridSpan w:val="2"/>
            <w:tcBorders>
              <w:top w:val="single" w:sz="12" w:space="0" w:color="auto"/>
              <w:left w:val="single" w:sz="12" w:space="0" w:color="auto"/>
              <w:bottom w:val="single" w:sz="12" w:space="0" w:color="auto"/>
              <w:right w:val="single" w:sz="12" w:space="0" w:color="auto"/>
            </w:tcBorders>
            <w:hideMark/>
          </w:tcPr>
          <w:p w14:paraId="63333EF0" w14:textId="77777777" w:rsidR="00792FF9" w:rsidRPr="007475F3" w:rsidRDefault="00792FF9">
            <w:pPr>
              <w:autoSpaceDE w:val="0"/>
              <w:autoSpaceDN w:val="0"/>
              <w:adjustRightInd w:val="0"/>
              <w:rPr>
                <w:sz w:val="24"/>
                <w:szCs w:val="24"/>
              </w:rPr>
            </w:pPr>
            <w:r w:rsidRPr="007475F3">
              <w:rPr>
                <w:sz w:val="24"/>
                <w:szCs w:val="24"/>
                <w:vertAlign w:val="superscript"/>
              </w:rPr>
              <w:t>*</w:t>
            </w:r>
            <w:r w:rsidRPr="007475F3">
              <w:rPr>
                <w:sz w:val="24"/>
                <w:szCs w:val="24"/>
              </w:rPr>
              <w:t xml:space="preserve"> f.eks. </w:t>
            </w:r>
            <w:proofErr w:type="spellStart"/>
            <w:r w:rsidRPr="007475F3">
              <w:rPr>
                <w:sz w:val="24"/>
                <w:szCs w:val="24"/>
              </w:rPr>
              <w:t>Pneumocystis</w:t>
            </w:r>
            <w:proofErr w:type="spellEnd"/>
            <w:r w:rsidRPr="007475F3">
              <w:rPr>
                <w:sz w:val="24"/>
                <w:szCs w:val="24"/>
              </w:rPr>
              <w:t xml:space="preserve"> </w:t>
            </w:r>
            <w:proofErr w:type="spellStart"/>
            <w:r w:rsidRPr="007475F3">
              <w:rPr>
                <w:sz w:val="24"/>
                <w:szCs w:val="24"/>
              </w:rPr>
              <w:t>jiroveci</w:t>
            </w:r>
            <w:proofErr w:type="spellEnd"/>
            <w:r w:rsidRPr="007475F3">
              <w:rPr>
                <w:sz w:val="24"/>
                <w:szCs w:val="24"/>
              </w:rPr>
              <w:t xml:space="preserve"> pneumoni, </w:t>
            </w:r>
            <w:proofErr w:type="spellStart"/>
            <w:r w:rsidRPr="007475F3">
              <w:rPr>
                <w:sz w:val="24"/>
                <w:szCs w:val="24"/>
              </w:rPr>
              <w:t>bronkopulmonal</w:t>
            </w:r>
            <w:proofErr w:type="spellEnd"/>
            <w:r w:rsidRPr="007475F3">
              <w:rPr>
                <w:sz w:val="24"/>
                <w:szCs w:val="24"/>
              </w:rPr>
              <w:t xml:space="preserve"> </w:t>
            </w:r>
            <w:proofErr w:type="spellStart"/>
            <w:r w:rsidRPr="007475F3">
              <w:rPr>
                <w:sz w:val="24"/>
                <w:szCs w:val="24"/>
              </w:rPr>
              <w:t>aspergillose</w:t>
            </w:r>
            <w:proofErr w:type="spellEnd"/>
            <w:r w:rsidRPr="007475F3">
              <w:rPr>
                <w:sz w:val="24"/>
                <w:szCs w:val="24"/>
              </w:rPr>
              <w:t xml:space="preserve">, systemisk </w:t>
            </w:r>
            <w:proofErr w:type="spellStart"/>
            <w:r w:rsidRPr="007475F3">
              <w:rPr>
                <w:sz w:val="24"/>
                <w:szCs w:val="24"/>
              </w:rPr>
              <w:t>candida</w:t>
            </w:r>
            <w:proofErr w:type="spellEnd"/>
            <w:r w:rsidRPr="007475F3">
              <w:rPr>
                <w:sz w:val="24"/>
                <w:szCs w:val="24"/>
              </w:rPr>
              <w:t>.</w:t>
            </w:r>
          </w:p>
          <w:p w14:paraId="40026051" w14:textId="77777777" w:rsidR="00792FF9" w:rsidRPr="007475F3" w:rsidRDefault="00792FF9">
            <w:pPr>
              <w:autoSpaceDE w:val="0"/>
              <w:autoSpaceDN w:val="0"/>
              <w:adjustRightInd w:val="0"/>
              <w:rPr>
                <w:sz w:val="24"/>
                <w:szCs w:val="24"/>
              </w:rPr>
            </w:pPr>
            <w:r w:rsidRPr="007475F3">
              <w:rPr>
                <w:sz w:val="24"/>
                <w:szCs w:val="24"/>
                <w:vertAlign w:val="superscript"/>
              </w:rPr>
              <w:t>†</w:t>
            </w:r>
            <w:r w:rsidRPr="007475F3">
              <w:rPr>
                <w:sz w:val="24"/>
                <w:szCs w:val="24"/>
              </w:rPr>
              <w:t xml:space="preserve"> f.eks. Herpes </w:t>
            </w:r>
            <w:proofErr w:type="spellStart"/>
            <w:r w:rsidRPr="007475F3">
              <w:rPr>
                <w:sz w:val="24"/>
                <w:szCs w:val="24"/>
              </w:rPr>
              <w:t>zoster</w:t>
            </w:r>
            <w:proofErr w:type="spellEnd"/>
            <w:r w:rsidRPr="007475F3">
              <w:rPr>
                <w:sz w:val="24"/>
                <w:szCs w:val="24"/>
              </w:rPr>
              <w:t xml:space="preserve">, influenza, hepatitis B reaktivering, </w:t>
            </w:r>
            <w:proofErr w:type="spellStart"/>
            <w:r w:rsidRPr="007475F3">
              <w:rPr>
                <w:sz w:val="24"/>
                <w:szCs w:val="24"/>
              </w:rPr>
              <w:t>cytomegalovirus</w:t>
            </w:r>
            <w:proofErr w:type="spellEnd"/>
            <w:r w:rsidRPr="007475F3">
              <w:rPr>
                <w:sz w:val="24"/>
                <w:szCs w:val="24"/>
              </w:rPr>
              <w:t xml:space="preserve"> colitis.</w:t>
            </w:r>
          </w:p>
          <w:p w14:paraId="3635E92E" w14:textId="77777777" w:rsidR="00792FF9" w:rsidRPr="007475F3" w:rsidRDefault="00792FF9">
            <w:pPr>
              <w:autoSpaceDE w:val="0"/>
              <w:autoSpaceDN w:val="0"/>
              <w:adjustRightInd w:val="0"/>
              <w:rPr>
                <w:sz w:val="24"/>
                <w:szCs w:val="24"/>
              </w:rPr>
            </w:pPr>
            <w:r w:rsidRPr="007475F3">
              <w:rPr>
                <w:sz w:val="24"/>
                <w:szCs w:val="24"/>
              </w:rPr>
              <w:t>‡Sjældne tilfælde af nyreinsufficiens, hypotension eller hjertesvigt er blevet observeret hos patienter, som har oplevet episoder med dehydrering associeret med diarré og/eller opkastning eller sepsis.</w:t>
            </w:r>
          </w:p>
        </w:tc>
      </w:tr>
    </w:tbl>
    <w:p w14:paraId="11F23FE2" w14:textId="77777777" w:rsidR="00792FF9" w:rsidRPr="007475F3" w:rsidRDefault="00792FF9" w:rsidP="00792FF9">
      <w:pPr>
        <w:autoSpaceDE w:val="0"/>
        <w:autoSpaceDN w:val="0"/>
        <w:adjustRightInd w:val="0"/>
        <w:rPr>
          <w:bCs/>
          <w:sz w:val="24"/>
          <w:szCs w:val="24"/>
        </w:rPr>
      </w:pPr>
    </w:p>
    <w:p w14:paraId="2D58AA49" w14:textId="77777777" w:rsidR="008D3349" w:rsidRPr="007475F3" w:rsidRDefault="008D3349" w:rsidP="008D3349">
      <w:pPr>
        <w:autoSpaceDE w:val="0"/>
        <w:autoSpaceDN w:val="0"/>
        <w:ind w:left="851"/>
        <w:rPr>
          <w:sz w:val="24"/>
          <w:szCs w:val="24"/>
          <w:u w:val="single"/>
        </w:rPr>
      </w:pPr>
      <w:r w:rsidRPr="007475F3">
        <w:rPr>
          <w:sz w:val="24"/>
          <w:szCs w:val="24"/>
          <w:u w:val="single"/>
        </w:rPr>
        <w:t>Indberetning af formodede bivirkninger</w:t>
      </w:r>
    </w:p>
    <w:p w14:paraId="3D898E15" w14:textId="77777777" w:rsidR="008D3349" w:rsidRPr="007475F3" w:rsidRDefault="008D3349" w:rsidP="008D3349">
      <w:pPr>
        <w:ind w:left="851"/>
        <w:rPr>
          <w:sz w:val="24"/>
          <w:szCs w:val="24"/>
        </w:rPr>
      </w:pPr>
      <w:r w:rsidRPr="007475F3">
        <w:rPr>
          <w:sz w:val="24"/>
          <w:szCs w:val="24"/>
        </w:rPr>
        <w:t>Når lægemidlet er godkendt, er indberetning af formodede bivirkninger vigtig. Det muliggør løbende overvågning af benefit/</w:t>
      </w:r>
      <w:proofErr w:type="spellStart"/>
      <w:r w:rsidRPr="007475F3">
        <w:rPr>
          <w:sz w:val="24"/>
          <w:szCs w:val="24"/>
        </w:rPr>
        <w:t>risk</w:t>
      </w:r>
      <w:proofErr w:type="spellEnd"/>
      <w:r w:rsidRPr="007475F3">
        <w:rPr>
          <w:sz w:val="24"/>
          <w:szCs w:val="24"/>
        </w:rPr>
        <w:t>-forholdet for lægemidlet. Sundhedspersoner anmodes om at indberette alle formodede bivirkninger via:</w:t>
      </w:r>
    </w:p>
    <w:p w14:paraId="611C941E" w14:textId="77777777" w:rsidR="008D3349" w:rsidRPr="007475F3" w:rsidRDefault="008D3349" w:rsidP="008D3349">
      <w:pPr>
        <w:tabs>
          <w:tab w:val="left" w:pos="2440"/>
        </w:tabs>
        <w:ind w:left="851"/>
        <w:rPr>
          <w:sz w:val="24"/>
          <w:szCs w:val="24"/>
        </w:rPr>
      </w:pPr>
    </w:p>
    <w:p w14:paraId="206B3099" w14:textId="77777777" w:rsidR="008D3349" w:rsidRPr="007475F3" w:rsidRDefault="008D3349" w:rsidP="008D3349">
      <w:pPr>
        <w:ind w:left="851"/>
        <w:rPr>
          <w:sz w:val="24"/>
          <w:szCs w:val="24"/>
        </w:rPr>
      </w:pPr>
      <w:r w:rsidRPr="007475F3">
        <w:rPr>
          <w:sz w:val="24"/>
          <w:szCs w:val="24"/>
        </w:rPr>
        <w:t>Lægemiddelstyrelsen</w:t>
      </w:r>
    </w:p>
    <w:p w14:paraId="4B340E0F" w14:textId="77777777" w:rsidR="008D3349" w:rsidRPr="007475F3" w:rsidRDefault="008D3349" w:rsidP="008D3349">
      <w:pPr>
        <w:ind w:left="851"/>
        <w:rPr>
          <w:sz w:val="24"/>
          <w:szCs w:val="24"/>
        </w:rPr>
      </w:pPr>
      <w:r w:rsidRPr="007475F3">
        <w:rPr>
          <w:sz w:val="24"/>
          <w:szCs w:val="24"/>
        </w:rPr>
        <w:t>Axel Heides Gade 1</w:t>
      </w:r>
    </w:p>
    <w:p w14:paraId="270C434C" w14:textId="77777777" w:rsidR="008D3349" w:rsidRPr="007475F3" w:rsidRDefault="008D3349" w:rsidP="008D3349">
      <w:pPr>
        <w:ind w:left="851"/>
        <w:rPr>
          <w:sz w:val="24"/>
          <w:szCs w:val="24"/>
        </w:rPr>
      </w:pPr>
      <w:r w:rsidRPr="007475F3">
        <w:rPr>
          <w:sz w:val="24"/>
          <w:szCs w:val="24"/>
        </w:rPr>
        <w:t>DK-2300 København S</w:t>
      </w:r>
    </w:p>
    <w:p w14:paraId="1C7E7907" w14:textId="77777777" w:rsidR="008D3349" w:rsidRPr="007475F3" w:rsidRDefault="008D3349" w:rsidP="008D3349">
      <w:pPr>
        <w:ind w:left="851"/>
        <w:rPr>
          <w:sz w:val="24"/>
          <w:szCs w:val="24"/>
        </w:rPr>
      </w:pPr>
      <w:r w:rsidRPr="007475F3">
        <w:rPr>
          <w:sz w:val="24"/>
          <w:szCs w:val="24"/>
        </w:rPr>
        <w:t xml:space="preserve">Websted: </w:t>
      </w:r>
      <w:hyperlink r:id="rId8" w:history="1">
        <w:r w:rsidRPr="007475F3">
          <w:rPr>
            <w:rStyle w:val="Hyperlink"/>
            <w:sz w:val="24"/>
            <w:szCs w:val="24"/>
          </w:rPr>
          <w:t>www.meldenbivirkning.dk</w:t>
        </w:r>
      </w:hyperlink>
    </w:p>
    <w:p w14:paraId="36F930B7" w14:textId="77777777" w:rsidR="009260DE" w:rsidRPr="007475F3" w:rsidRDefault="009260DE" w:rsidP="009260DE">
      <w:pPr>
        <w:pStyle w:val="Sidehoved"/>
        <w:tabs>
          <w:tab w:val="left" w:pos="851"/>
        </w:tabs>
        <w:ind w:left="851"/>
        <w:rPr>
          <w:szCs w:val="24"/>
        </w:rPr>
      </w:pPr>
    </w:p>
    <w:p w14:paraId="10CEBE91" w14:textId="77777777" w:rsidR="009260DE" w:rsidRPr="007475F3" w:rsidRDefault="009260DE" w:rsidP="009260DE">
      <w:pPr>
        <w:tabs>
          <w:tab w:val="left" w:pos="851"/>
        </w:tabs>
        <w:ind w:left="851" w:hanging="851"/>
        <w:rPr>
          <w:b/>
          <w:sz w:val="24"/>
          <w:szCs w:val="24"/>
        </w:rPr>
      </w:pPr>
      <w:r w:rsidRPr="007475F3">
        <w:rPr>
          <w:b/>
          <w:sz w:val="24"/>
          <w:szCs w:val="24"/>
        </w:rPr>
        <w:t>4.9</w:t>
      </w:r>
      <w:r w:rsidRPr="007475F3">
        <w:rPr>
          <w:b/>
          <w:sz w:val="24"/>
          <w:szCs w:val="24"/>
        </w:rPr>
        <w:tab/>
        <w:t>Overdosering</w:t>
      </w:r>
    </w:p>
    <w:p w14:paraId="11E8AA8A" w14:textId="77777777" w:rsidR="00DB0B21" w:rsidRPr="007475F3" w:rsidRDefault="00DB0B21" w:rsidP="008D3349">
      <w:pPr>
        <w:autoSpaceDE w:val="0"/>
        <w:autoSpaceDN w:val="0"/>
        <w:adjustRightInd w:val="0"/>
        <w:ind w:left="851"/>
        <w:rPr>
          <w:sz w:val="24"/>
          <w:szCs w:val="24"/>
          <w:u w:val="single"/>
        </w:rPr>
      </w:pPr>
    </w:p>
    <w:p w14:paraId="293485DF" w14:textId="059DCDB1" w:rsidR="00792FF9" w:rsidRPr="007475F3" w:rsidRDefault="00792FF9" w:rsidP="008D3349">
      <w:pPr>
        <w:autoSpaceDE w:val="0"/>
        <w:autoSpaceDN w:val="0"/>
        <w:adjustRightInd w:val="0"/>
        <w:ind w:left="851"/>
        <w:rPr>
          <w:bCs/>
          <w:sz w:val="24"/>
          <w:szCs w:val="24"/>
          <w:u w:val="single"/>
        </w:rPr>
      </w:pPr>
      <w:r w:rsidRPr="007475F3">
        <w:rPr>
          <w:sz w:val="24"/>
          <w:szCs w:val="24"/>
          <w:u w:val="single"/>
        </w:rPr>
        <w:t>Symptomer</w:t>
      </w:r>
    </w:p>
    <w:p w14:paraId="5F007E19" w14:textId="77777777" w:rsidR="00792FF9" w:rsidRPr="007475F3" w:rsidRDefault="00792FF9" w:rsidP="008D3349">
      <w:pPr>
        <w:autoSpaceDE w:val="0"/>
        <w:autoSpaceDN w:val="0"/>
        <w:adjustRightInd w:val="0"/>
        <w:ind w:left="851"/>
        <w:rPr>
          <w:sz w:val="24"/>
          <w:szCs w:val="24"/>
        </w:rPr>
      </w:pPr>
      <w:r w:rsidRPr="007475F3">
        <w:rPr>
          <w:sz w:val="24"/>
          <w:szCs w:val="24"/>
        </w:rPr>
        <w:lastRenderedPageBreak/>
        <w:t xml:space="preserve">Der har været rapporteret tilfælde af overdosering i doser op til ca. to gange den anbefalede dosis, hvilket kan være fatalt. De mest signifikante bivirkninger, der er rapporteret, har været svær </w:t>
      </w:r>
      <w:proofErr w:type="spellStart"/>
      <w:r w:rsidRPr="007475F3">
        <w:rPr>
          <w:sz w:val="24"/>
          <w:szCs w:val="24"/>
        </w:rPr>
        <w:t>neutropeni</w:t>
      </w:r>
      <w:proofErr w:type="spellEnd"/>
      <w:r w:rsidRPr="007475F3">
        <w:rPr>
          <w:sz w:val="24"/>
          <w:szCs w:val="24"/>
        </w:rPr>
        <w:t xml:space="preserve"> og svær diarré.</w:t>
      </w:r>
    </w:p>
    <w:p w14:paraId="30F266DD" w14:textId="77777777" w:rsidR="00792FF9" w:rsidRPr="007475F3" w:rsidRDefault="00792FF9" w:rsidP="008D3349">
      <w:pPr>
        <w:autoSpaceDE w:val="0"/>
        <w:autoSpaceDN w:val="0"/>
        <w:adjustRightInd w:val="0"/>
        <w:ind w:left="851"/>
        <w:rPr>
          <w:sz w:val="24"/>
          <w:szCs w:val="24"/>
        </w:rPr>
      </w:pPr>
    </w:p>
    <w:p w14:paraId="5E6107B2" w14:textId="77777777" w:rsidR="00792FF9" w:rsidRPr="007475F3" w:rsidRDefault="00792FF9" w:rsidP="008D3349">
      <w:pPr>
        <w:autoSpaceDE w:val="0"/>
        <w:autoSpaceDN w:val="0"/>
        <w:adjustRightInd w:val="0"/>
        <w:ind w:left="851"/>
        <w:rPr>
          <w:sz w:val="24"/>
          <w:szCs w:val="24"/>
          <w:u w:val="single"/>
        </w:rPr>
      </w:pPr>
      <w:r w:rsidRPr="007475F3">
        <w:rPr>
          <w:sz w:val="24"/>
          <w:szCs w:val="24"/>
          <w:u w:val="single"/>
        </w:rPr>
        <w:t>Behandling</w:t>
      </w:r>
    </w:p>
    <w:p w14:paraId="282BBD3B" w14:textId="586BC75C" w:rsidR="00847DD4" w:rsidRPr="007475F3" w:rsidRDefault="00792FF9" w:rsidP="009D565D">
      <w:pPr>
        <w:autoSpaceDE w:val="0"/>
        <w:autoSpaceDN w:val="0"/>
        <w:adjustRightInd w:val="0"/>
        <w:ind w:left="851"/>
        <w:rPr>
          <w:sz w:val="24"/>
          <w:szCs w:val="24"/>
        </w:rPr>
      </w:pPr>
      <w:r w:rsidRPr="007475F3">
        <w:rPr>
          <w:sz w:val="24"/>
          <w:szCs w:val="24"/>
        </w:rPr>
        <w:t xml:space="preserve">Der findes ingen kendt </w:t>
      </w:r>
      <w:proofErr w:type="spellStart"/>
      <w:r w:rsidRPr="007475F3">
        <w:rPr>
          <w:sz w:val="24"/>
          <w:szCs w:val="24"/>
        </w:rPr>
        <w:t>antidot</w:t>
      </w:r>
      <w:proofErr w:type="spellEnd"/>
      <w:r w:rsidRPr="007475F3">
        <w:rPr>
          <w:sz w:val="24"/>
          <w:szCs w:val="24"/>
        </w:rPr>
        <w:t xml:space="preserve"> for </w:t>
      </w:r>
      <w:proofErr w:type="spellStart"/>
      <w:r w:rsidRPr="007475F3">
        <w:rPr>
          <w:sz w:val="24"/>
          <w:szCs w:val="24"/>
        </w:rPr>
        <w:t>irinotecan</w:t>
      </w:r>
      <w:proofErr w:type="spellEnd"/>
      <w:r w:rsidRPr="007475F3">
        <w:rPr>
          <w:sz w:val="24"/>
          <w:szCs w:val="24"/>
        </w:rPr>
        <w:t>. Maksimal understøttende behandling bør iværksættes for at undgå dehydrering på grund af diarré og for at behandle eventuelle infektionskomplikationer.</w:t>
      </w:r>
    </w:p>
    <w:p w14:paraId="3EA3031B" w14:textId="77777777" w:rsidR="009260DE" w:rsidRPr="007475F3" w:rsidRDefault="009260DE" w:rsidP="009260DE">
      <w:pPr>
        <w:tabs>
          <w:tab w:val="left" w:pos="851"/>
        </w:tabs>
        <w:ind w:left="851"/>
        <w:rPr>
          <w:sz w:val="24"/>
          <w:szCs w:val="24"/>
        </w:rPr>
      </w:pPr>
    </w:p>
    <w:p w14:paraId="31075182" w14:textId="77777777" w:rsidR="009260DE" w:rsidRPr="007475F3" w:rsidRDefault="009260DE" w:rsidP="009260DE">
      <w:pPr>
        <w:tabs>
          <w:tab w:val="left" w:pos="851"/>
        </w:tabs>
        <w:ind w:left="851" w:hanging="851"/>
        <w:rPr>
          <w:b/>
          <w:sz w:val="24"/>
          <w:szCs w:val="24"/>
        </w:rPr>
      </w:pPr>
      <w:r w:rsidRPr="007475F3">
        <w:rPr>
          <w:b/>
          <w:sz w:val="24"/>
          <w:szCs w:val="24"/>
        </w:rPr>
        <w:t>4.10</w:t>
      </w:r>
      <w:r w:rsidRPr="007475F3">
        <w:rPr>
          <w:b/>
          <w:sz w:val="24"/>
          <w:szCs w:val="24"/>
        </w:rPr>
        <w:tab/>
        <w:t>Udlevering</w:t>
      </w:r>
    </w:p>
    <w:p w14:paraId="00CEB03D" w14:textId="44207692" w:rsidR="009260DE" w:rsidRPr="007475F3" w:rsidRDefault="00CE2E6B" w:rsidP="009260DE">
      <w:pPr>
        <w:tabs>
          <w:tab w:val="left" w:pos="851"/>
        </w:tabs>
        <w:ind w:left="851"/>
        <w:rPr>
          <w:sz w:val="24"/>
          <w:szCs w:val="24"/>
        </w:rPr>
      </w:pPr>
      <w:r w:rsidRPr="007475F3">
        <w:rPr>
          <w:sz w:val="24"/>
          <w:szCs w:val="24"/>
        </w:rPr>
        <w:t>BEGR - kun til sygehuse</w:t>
      </w:r>
    </w:p>
    <w:p w14:paraId="144BB6A1" w14:textId="77777777" w:rsidR="009260DE" w:rsidRPr="007475F3" w:rsidRDefault="009260DE" w:rsidP="009260DE">
      <w:pPr>
        <w:tabs>
          <w:tab w:val="left" w:pos="851"/>
        </w:tabs>
        <w:ind w:left="851"/>
        <w:rPr>
          <w:sz w:val="24"/>
          <w:szCs w:val="24"/>
        </w:rPr>
      </w:pPr>
    </w:p>
    <w:p w14:paraId="37AA073F" w14:textId="77777777" w:rsidR="009260DE" w:rsidRPr="007475F3" w:rsidRDefault="009260DE" w:rsidP="009260DE">
      <w:pPr>
        <w:tabs>
          <w:tab w:val="left" w:pos="851"/>
        </w:tabs>
        <w:ind w:left="851"/>
        <w:rPr>
          <w:sz w:val="24"/>
          <w:szCs w:val="24"/>
        </w:rPr>
      </w:pPr>
    </w:p>
    <w:p w14:paraId="10E4C92E" w14:textId="77777777" w:rsidR="009260DE" w:rsidRPr="007475F3" w:rsidRDefault="009260DE" w:rsidP="009260DE">
      <w:pPr>
        <w:tabs>
          <w:tab w:val="left" w:pos="851"/>
        </w:tabs>
        <w:ind w:left="851" w:hanging="851"/>
        <w:rPr>
          <w:b/>
          <w:sz w:val="24"/>
          <w:szCs w:val="24"/>
        </w:rPr>
      </w:pPr>
      <w:r w:rsidRPr="007475F3">
        <w:rPr>
          <w:b/>
          <w:sz w:val="24"/>
          <w:szCs w:val="24"/>
        </w:rPr>
        <w:t>5.</w:t>
      </w:r>
      <w:r w:rsidRPr="007475F3">
        <w:rPr>
          <w:b/>
          <w:sz w:val="24"/>
          <w:szCs w:val="24"/>
        </w:rPr>
        <w:tab/>
        <w:t>FARMAKOLOGISKE EGENSKABER</w:t>
      </w:r>
    </w:p>
    <w:p w14:paraId="69818F4A" w14:textId="77777777" w:rsidR="009260DE" w:rsidRPr="007475F3" w:rsidRDefault="009260DE" w:rsidP="007475F3">
      <w:pPr>
        <w:tabs>
          <w:tab w:val="left" w:pos="851"/>
        </w:tabs>
        <w:rPr>
          <w:sz w:val="24"/>
          <w:szCs w:val="24"/>
        </w:rPr>
      </w:pPr>
    </w:p>
    <w:p w14:paraId="2A62F76E" w14:textId="77777777" w:rsidR="009260DE" w:rsidRPr="007475F3" w:rsidRDefault="009260DE" w:rsidP="009260DE">
      <w:pPr>
        <w:tabs>
          <w:tab w:val="num" w:pos="851"/>
        </w:tabs>
        <w:ind w:left="851" w:hanging="851"/>
        <w:rPr>
          <w:b/>
          <w:sz w:val="24"/>
          <w:szCs w:val="24"/>
        </w:rPr>
      </w:pPr>
      <w:r w:rsidRPr="007475F3">
        <w:rPr>
          <w:b/>
          <w:sz w:val="24"/>
          <w:szCs w:val="24"/>
        </w:rPr>
        <w:t>5.1</w:t>
      </w:r>
      <w:r w:rsidRPr="007475F3">
        <w:rPr>
          <w:b/>
          <w:sz w:val="24"/>
          <w:szCs w:val="24"/>
        </w:rPr>
        <w:tab/>
      </w:r>
      <w:proofErr w:type="spellStart"/>
      <w:r w:rsidRPr="007475F3">
        <w:rPr>
          <w:b/>
          <w:sz w:val="24"/>
          <w:szCs w:val="24"/>
        </w:rPr>
        <w:t>Farmakodynamiske</w:t>
      </w:r>
      <w:proofErr w:type="spellEnd"/>
      <w:r w:rsidRPr="007475F3">
        <w:rPr>
          <w:b/>
          <w:sz w:val="24"/>
          <w:szCs w:val="24"/>
        </w:rPr>
        <w:t xml:space="preserve"> egenskaber</w:t>
      </w:r>
    </w:p>
    <w:p w14:paraId="7AA6A469" w14:textId="5673BDFD" w:rsidR="007475F3" w:rsidRPr="007475F3" w:rsidRDefault="007475F3" w:rsidP="007475F3">
      <w:pPr>
        <w:autoSpaceDE w:val="0"/>
        <w:autoSpaceDN w:val="0"/>
        <w:adjustRightInd w:val="0"/>
        <w:ind w:left="851"/>
        <w:rPr>
          <w:sz w:val="24"/>
          <w:szCs w:val="24"/>
        </w:rPr>
      </w:pPr>
      <w:proofErr w:type="spellStart"/>
      <w:r>
        <w:t>Farmakoterapeutisk</w:t>
      </w:r>
      <w:proofErr w:type="spellEnd"/>
      <w:r>
        <w:t xml:space="preserve"> klassifikation: </w:t>
      </w:r>
      <w:proofErr w:type="spellStart"/>
      <w:r w:rsidRPr="007475F3">
        <w:rPr>
          <w:sz w:val="24"/>
          <w:szCs w:val="24"/>
        </w:rPr>
        <w:t>Cytostatisk</w:t>
      </w:r>
      <w:proofErr w:type="spellEnd"/>
      <w:r w:rsidRPr="007475F3">
        <w:rPr>
          <w:sz w:val="24"/>
          <w:szCs w:val="24"/>
        </w:rPr>
        <w:t xml:space="preserve"> </w:t>
      </w:r>
      <w:proofErr w:type="spellStart"/>
      <w:r w:rsidRPr="007475F3">
        <w:rPr>
          <w:sz w:val="24"/>
          <w:szCs w:val="24"/>
        </w:rPr>
        <w:t>topoisomerase</w:t>
      </w:r>
      <w:proofErr w:type="spellEnd"/>
      <w:r w:rsidRPr="007475F3">
        <w:rPr>
          <w:sz w:val="24"/>
          <w:szCs w:val="24"/>
        </w:rPr>
        <w:t xml:space="preserve"> I-hæmmer.</w:t>
      </w:r>
      <w:r w:rsidRPr="007475F3">
        <w:t xml:space="preserve"> ATC-kode: L01CE02.</w:t>
      </w:r>
    </w:p>
    <w:p w14:paraId="14BD5626" w14:textId="77777777" w:rsidR="00DB0B21" w:rsidRPr="007475F3" w:rsidRDefault="00DB0B21" w:rsidP="00C02BD5">
      <w:pPr>
        <w:autoSpaceDE w:val="0"/>
        <w:autoSpaceDN w:val="0"/>
        <w:adjustRightInd w:val="0"/>
        <w:ind w:left="851"/>
        <w:rPr>
          <w:sz w:val="24"/>
          <w:szCs w:val="24"/>
          <w:u w:val="single"/>
        </w:rPr>
      </w:pPr>
    </w:p>
    <w:p w14:paraId="00F6A22B" w14:textId="25E31C31" w:rsidR="003237D1" w:rsidRPr="007475F3" w:rsidRDefault="003237D1" w:rsidP="00C02BD5">
      <w:pPr>
        <w:autoSpaceDE w:val="0"/>
        <w:autoSpaceDN w:val="0"/>
        <w:adjustRightInd w:val="0"/>
        <w:ind w:left="851"/>
        <w:rPr>
          <w:sz w:val="24"/>
          <w:szCs w:val="24"/>
          <w:u w:val="single"/>
        </w:rPr>
      </w:pPr>
      <w:r w:rsidRPr="007475F3">
        <w:rPr>
          <w:sz w:val="24"/>
          <w:szCs w:val="24"/>
          <w:u w:val="single"/>
        </w:rPr>
        <w:t>Virkningsmekanisme</w:t>
      </w:r>
    </w:p>
    <w:p w14:paraId="10B7FFED" w14:textId="77777777" w:rsidR="003237D1" w:rsidRPr="007475F3" w:rsidRDefault="003237D1" w:rsidP="00C02BD5">
      <w:pPr>
        <w:autoSpaceDE w:val="0"/>
        <w:autoSpaceDN w:val="0"/>
        <w:adjustRightInd w:val="0"/>
        <w:ind w:left="851"/>
        <w:rPr>
          <w:sz w:val="24"/>
          <w:szCs w:val="24"/>
          <w:u w:val="single"/>
        </w:rPr>
      </w:pPr>
    </w:p>
    <w:p w14:paraId="7DE1D254" w14:textId="77777777" w:rsidR="003237D1" w:rsidRPr="007475F3" w:rsidRDefault="003237D1" w:rsidP="00C02BD5">
      <w:pPr>
        <w:autoSpaceDE w:val="0"/>
        <w:autoSpaceDN w:val="0"/>
        <w:adjustRightInd w:val="0"/>
        <w:ind w:left="851"/>
        <w:rPr>
          <w:bCs/>
          <w:sz w:val="24"/>
          <w:szCs w:val="24"/>
          <w:u w:val="single"/>
        </w:rPr>
      </w:pPr>
      <w:r w:rsidRPr="007475F3">
        <w:rPr>
          <w:sz w:val="24"/>
          <w:szCs w:val="24"/>
          <w:u w:val="single"/>
        </w:rPr>
        <w:t>Eksperimentelle data</w:t>
      </w:r>
    </w:p>
    <w:p w14:paraId="5B4EE4CD" w14:textId="77777777" w:rsidR="003237D1" w:rsidRPr="007475F3" w:rsidRDefault="003237D1" w:rsidP="00C02BD5">
      <w:pPr>
        <w:autoSpaceDE w:val="0"/>
        <w:autoSpaceDN w:val="0"/>
        <w:adjustRightInd w:val="0"/>
        <w:ind w:left="851"/>
        <w:rPr>
          <w:sz w:val="24"/>
          <w:szCs w:val="24"/>
        </w:rPr>
      </w:pPr>
      <w:proofErr w:type="spellStart"/>
      <w:r w:rsidRPr="007475F3">
        <w:rPr>
          <w:sz w:val="24"/>
          <w:szCs w:val="24"/>
        </w:rPr>
        <w:t>Irinotecan</w:t>
      </w:r>
      <w:proofErr w:type="spellEnd"/>
      <w:r w:rsidRPr="007475F3">
        <w:rPr>
          <w:sz w:val="24"/>
          <w:szCs w:val="24"/>
        </w:rPr>
        <w:t xml:space="preserve"> er et semisyntetisk derivat af </w:t>
      </w:r>
      <w:proofErr w:type="spellStart"/>
      <w:r w:rsidRPr="007475F3">
        <w:rPr>
          <w:sz w:val="24"/>
          <w:szCs w:val="24"/>
        </w:rPr>
        <w:t>camptothecin</w:t>
      </w:r>
      <w:proofErr w:type="spellEnd"/>
      <w:r w:rsidRPr="007475F3">
        <w:rPr>
          <w:sz w:val="24"/>
          <w:szCs w:val="24"/>
        </w:rPr>
        <w:t xml:space="preserve">. Det er et </w:t>
      </w:r>
      <w:proofErr w:type="spellStart"/>
      <w:r w:rsidRPr="007475F3">
        <w:rPr>
          <w:sz w:val="24"/>
          <w:szCs w:val="24"/>
        </w:rPr>
        <w:t>antineoplastisk</w:t>
      </w:r>
      <w:proofErr w:type="spellEnd"/>
      <w:r w:rsidRPr="007475F3">
        <w:rPr>
          <w:sz w:val="24"/>
          <w:szCs w:val="24"/>
        </w:rPr>
        <w:t xml:space="preserve"> stof, der reagerer som en specifik hæmmer af DNA-</w:t>
      </w:r>
      <w:proofErr w:type="spellStart"/>
      <w:r w:rsidRPr="007475F3">
        <w:rPr>
          <w:sz w:val="24"/>
          <w:szCs w:val="24"/>
        </w:rPr>
        <w:t>topoisomerase</w:t>
      </w:r>
      <w:proofErr w:type="spellEnd"/>
      <w:r w:rsidRPr="007475F3">
        <w:rPr>
          <w:sz w:val="24"/>
          <w:szCs w:val="24"/>
        </w:rPr>
        <w:t xml:space="preserve"> I. Det </w:t>
      </w:r>
      <w:proofErr w:type="spellStart"/>
      <w:r w:rsidRPr="007475F3">
        <w:rPr>
          <w:sz w:val="24"/>
          <w:szCs w:val="24"/>
        </w:rPr>
        <w:t>metaboliseres</w:t>
      </w:r>
      <w:proofErr w:type="spellEnd"/>
      <w:r w:rsidRPr="007475F3">
        <w:rPr>
          <w:sz w:val="24"/>
          <w:szCs w:val="24"/>
        </w:rPr>
        <w:t xml:space="preserve"> af </w:t>
      </w:r>
      <w:proofErr w:type="spellStart"/>
      <w:r w:rsidRPr="007475F3">
        <w:rPr>
          <w:sz w:val="24"/>
          <w:szCs w:val="24"/>
        </w:rPr>
        <w:t>carboxylesterase</w:t>
      </w:r>
      <w:proofErr w:type="spellEnd"/>
      <w:r w:rsidRPr="007475F3">
        <w:rPr>
          <w:sz w:val="24"/>
          <w:szCs w:val="24"/>
        </w:rPr>
        <w:t xml:space="preserve"> i de fleste væv til SN-38, som har vist sig mere aktivt end </w:t>
      </w:r>
      <w:proofErr w:type="spellStart"/>
      <w:r w:rsidRPr="007475F3">
        <w:rPr>
          <w:sz w:val="24"/>
          <w:szCs w:val="24"/>
        </w:rPr>
        <w:t>irinotecan</w:t>
      </w:r>
      <w:proofErr w:type="spellEnd"/>
      <w:r w:rsidRPr="007475F3">
        <w:rPr>
          <w:sz w:val="24"/>
          <w:szCs w:val="24"/>
        </w:rPr>
        <w:t xml:space="preserve"> i oprenset </w:t>
      </w:r>
      <w:proofErr w:type="spellStart"/>
      <w:r w:rsidRPr="007475F3">
        <w:rPr>
          <w:sz w:val="24"/>
          <w:szCs w:val="24"/>
        </w:rPr>
        <w:t>topoisomerase</w:t>
      </w:r>
      <w:proofErr w:type="spellEnd"/>
      <w:r w:rsidRPr="007475F3">
        <w:rPr>
          <w:sz w:val="24"/>
          <w:szCs w:val="24"/>
        </w:rPr>
        <w:t xml:space="preserve"> I og mere </w:t>
      </w:r>
      <w:proofErr w:type="spellStart"/>
      <w:r w:rsidRPr="007475F3">
        <w:rPr>
          <w:sz w:val="24"/>
          <w:szCs w:val="24"/>
        </w:rPr>
        <w:t>cytotoksisk</w:t>
      </w:r>
      <w:proofErr w:type="spellEnd"/>
      <w:r w:rsidRPr="007475F3">
        <w:rPr>
          <w:sz w:val="24"/>
          <w:szCs w:val="24"/>
        </w:rPr>
        <w:t xml:space="preserve"> end </w:t>
      </w:r>
      <w:proofErr w:type="spellStart"/>
      <w:r w:rsidRPr="007475F3">
        <w:rPr>
          <w:sz w:val="24"/>
          <w:szCs w:val="24"/>
        </w:rPr>
        <w:t>irinotecan</w:t>
      </w:r>
      <w:proofErr w:type="spellEnd"/>
      <w:r w:rsidRPr="007475F3">
        <w:rPr>
          <w:sz w:val="24"/>
          <w:szCs w:val="24"/>
        </w:rPr>
        <w:t xml:space="preserve"> over for flere </w:t>
      </w:r>
      <w:proofErr w:type="spellStart"/>
      <w:r w:rsidRPr="007475F3">
        <w:rPr>
          <w:sz w:val="24"/>
          <w:szCs w:val="24"/>
        </w:rPr>
        <w:t>murine</w:t>
      </w:r>
      <w:proofErr w:type="spellEnd"/>
      <w:r w:rsidRPr="007475F3">
        <w:rPr>
          <w:sz w:val="24"/>
          <w:szCs w:val="24"/>
        </w:rPr>
        <w:t xml:space="preserve"> og humane tumorcellelinjer. Hæmning af DNA-</w:t>
      </w:r>
      <w:proofErr w:type="spellStart"/>
      <w:r w:rsidRPr="007475F3">
        <w:rPr>
          <w:sz w:val="24"/>
          <w:szCs w:val="24"/>
        </w:rPr>
        <w:t>topoisomerase</w:t>
      </w:r>
      <w:proofErr w:type="spellEnd"/>
      <w:r w:rsidRPr="007475F3">
        <w:rPr>
          <w:sz w:val="24"/>
          <w:szCs w:val="24"/>
        </w:rPr>
        <w:t xml:space="preserve"> I med </w:t>
      </w:r>
      <w:proofErr w:type="spellStart"/>
      <w:r w:rsidRPr="007475F3">
        <w:rPr>
          <w:sz w:val="24"/>
          <w:szCs w:val="24"/>
        </w:rPr>
        <w:t>irinotecan</w:t>
      </w:r>
      <w:proofErr w:type="spellEnd"/>
      <w:r w:rsidRPr="007475F3">
        <w:rPr>
          <w:sz w:val="24"/>
          <w:szCs w:val="24"/>
        </w:rPr>
        <w:t xml:space="preserve"> eller SN-38 fremkalder enkeltstrengede DNA-brud, der blokerer replikationsgaflen, og således er årsag til stoffets </w:t>
      </w:r>
      <w:proofErr w:type="spellStart"/>
      <w:r w:rsidRPr="007475F3">
        <w:rPr>
          <w:sz w:val="24"/>
          <w:szCs w:val="24"/>
        </w:rPr>
        <w:t>cytotoksiske</w:t>
      </w:r>
      <w:proofErr w:type="spellEnd"/>
      <w:r w:rsidRPr="007475F3">
        <w:rPr>
          <w:sz w:val="24"/>
          <w:szCs w:val="24"/>
        </w:rPr>
        <w:t xml:space="preserve"> effekt. Denne </w:t>
      </w:r>
      <w:proofErr w:type="spellStart"/>
      <w:r w:rsidRPr="007475F3">
        <w:rPr>
          <w:sz w:val="24"/>
          <w:szCs w:val="24"/>
        </w:rPr>
        <w:t>cytotoksiske</w:t>
      </w:r>
      <w:proofErr w:type="spellEnd"/>
      <w:r w:rsidRPr="007475F3">
        <w:rPr>
          <w:sz w:val="24"/>
          <w:szCs w:val="24"/>
        </w:rPr>
        <w:t xml:space="preserve"> aktivitet er tidsafhængig og specifik for S-fasen.</w:t>
      </w:r>
    </w:p>
    <w:p w14:paraId="7CAC6D80" w14:textId="77777777" w:rsidR="003237D1" w:rsidRPr="007475F3" w:rsidRDefault="003237D1" w:rsidP="00C02BD5">
      <w:pPr>
        <w:autoSpaceDE w:val="0"/>
        <w:autoSpaceDN w:val="0"/>
        <w:adjustRightInd w:val="0"/>
        <w:ind w:left="851"/>
        <w:rPr>
          <w:sz w:val="24"/>
          <w:szCs w:val="24"/>
        </w:rPr>
      </w:pPr>
    </w:p>
    <w:p w14:paraId="7DF1D051" w14:textId="77777777" w:rsidR="003237D1" w:rsidRPr="007475F3" w:rsidRDefault="003237D1" w:rsidP="00C02BD5">
      <w:pPr>
        <w:autoSpaceDE w:val="0"/>
        <w:autoSpaceDN w:val="0"/>
        <w:adjustRightInd w:val="0"/>
        <w:ind w:left="851"/>
        <w:rPr>
          <w:sz w:val="24"/>
          <w:szCs w:val="24"/>
        </w:rPr>
      </w:pPr>
      <w:r w:rsidRPr="007475F3">
        <w:rPr>
          <w:i/>
          <w:iCs/>
          <w:sz w:val="24"/>
          <w:szCs w:val="24"/>
        </w:rPr>
        <w:t xml:space="preserve">In </w:t>
      </w:r>
      <w:proofErr w:type="spellStart"/>
      <w:r w:rsidRPr="007475F3">
        <w:rPr>
          <w:i/>
          <w:iCs/>
          <w:sz w:val="24"/>
          <w:szCs w:val="24"/>
        </w:rPr>
        <w:t>vitro</w:t>
      </w:r>
      <w:proofErr w:type="spellEnd"/>
      <w:r w:rsidRPr="007475F3">
        <w:rPr>
          <w:i/>
          <w:iCs/>
          <w:sz w:val="24"/>
          <w:szCs w:val="24"/>
        </w:rPr>
        <w:t xml:space="preserve"> </w:t>
      </w:r>
      <w:r w:rsidRPr="007475F3">
        <w:rPr>
          <w:sz w:val="24"/>
          <w:szCs w:val="24"/>
        </w:rPr>
        <w:t xml:space="preserve">viste </w:t>
      </w:r>
      <w:proofErr w:type="spellStart"/>
      <w:r w:rsidRPr="007475F3">
        <w:rPr>
          <w:sz w:val="24"/>
          <w:szCs w:val="24"/>
        </w:rPr>
        <w:t>irinotecan</w:t>
      </w:r>
      <w:proofErr w:type="spellEnd"/>
      <w:r w:rsidRPr="007475F3">
        <w:rPr>
          <w:sz w:val="24"/>
          <w:szCs w:val="24"/>
        </w:rPr>
        <w:t xml:space="preserve"> og SN-38 sig ikke i betydende grad at blive genkendt af P-</w:t>
      </w:r>
      <w:proofErr w:type="spellStart"/>
      <w:r w:rsidRPr="007475F3">
        <w:rPr>
          <w:sz w:val="24"/>
          <w:szCs w:val="24"/>
        </w:rPr>
        <w:t>glykoprotein</w:t>
      </w:r>
      <w:proofErr w:type="spellEnd"/>
      <w:r w:rsidRPr="007475F3">
        <w:rPr>
          <w:sz w:val="24"/>
          <w:szCs w:val="24"/>
        </w:rPr>
        <w:t xml:space="preserve"> MDR og udviser </w:t>
      </w:r>
      <w:proofErr w:type="spellStart"/>
      <w:r w:rsidRPr="007475F3">
        <w:rPr>
          <w:sz w:val="24"/>
          <w:szCs w:val="24"/>
        </w:rPr>
        <w:t>cytotoksisk</w:t>
      </w:r>
      <w:proofErr w:type="spellEnd"/>
      <w:r w:rsidRPr="007475F3">
        <w:rPr>
          <w:sz w:val="24"/>
          <w:szCs w:val="24"/>
        </w:rPr>
        <w:t xml:space="preserve"> aktivitet over for </w:t>
      </w:r>
      <w:proofErr w:type="spellStart"/>
      <w:r w:rsidRPr="007475F3">
        <w:rPr>
          <w:sz w:val="24"/>
          <w:szCs w:val="24"/>
        </w:rPr>
        <w:t>doxorubicin</w:t>
      </w:r>
      <w:proofErr w:type="spellEnd"/>
      <w:r w:rsidRPr="007475F3">
        <w:rPr>
          <w:sz w:val="24"/>
          <w:szCs w:val="24"/>
        </w:rPr>
        <w:t xml:space="preserve"> og </w:t>
      </w:r>
      <w:proofErr w:type="spellStart"/>
      <w:r w:rsidRPr="007475F3">
        <w:rPr>
          <w:sz w:val="24"/>
          <w:szCs w:val="24"/>
        </w:rPr>
        <w:t>vinblastin</w:t>
      </w:r>
      <w:proofErr w:type="spellEnd"/>
      <w:r w:rsidRPr="007475F3">
        <w:rPr>
          <w:sz w:val="24"/>
          <w:szCs w:val="24"/>
        </w:rPr>
        <w:t>-resistente cellelinjer.</w:t>
      </w:r>
    </w:p>
    <w:p w14:paraId="40D1A757" w14:textId="77777777" w:rsidR="003237D1" w:rsidRPr="007475F3" w:rsidRDefault="003237D1" w:rsidP="00C02BD5">
      <w:pPr>
        <w:autoSpaceDE w:val="0"/>
        <w:autoSpaceDN w:val="0"/>
        <w:adjustRightInd w:val="0"/>
        <w:ind w:left="851"/>
        <w:rPr>
          <w:sz w:val="24"/>
          <w:szCs w:val="24"/>
        </w:rPr>
      </w:pPr>
    </w:p>
    <w:p w14:paraId="460D8E72" w14:textId="77777777" w:rsidR="003237D1" w:rsidRPr="007475F3" w:rsidRDefault="003237D1" w:rsidP="00C02BD5">
      <w:pPr>
        <w:autoSpaceDE w:val="0"/>
        <w:autoSpaceDN w:val="0"/>
        <w:adjustRightInd w:val="0"/>
        <w:ind w:left="851"/>
        <w:rPr>
          <w:sz w:val="24"/>
          <w:szCs w:val="24"/>
        </w:rPr>
      </w:pPr>
      <w:r w:rsidRPr="007475F3">
        <w:rPr>
          <w:sz w:val="24"/>
          <w:szCs w:val="24"/>
        </w:rPr>
        <w:t xml:space="preserve">Desuden har </w:t>
      </w:r>
      <w:proofErr w:type="spellStart"/>
      <w:r w:rsidRPr="007475F3">
        <w:rPr>
          <w:sz w:val="24"/>
          <w:szCs w:val="24"/>
        </w:rPr>
        <w:t>irinotecan</w:t>
      </w:r>
      <w:proofErr w:type="spellEnd"/>
      <w:r w:rsidRPr="007475F3">
        <w:rPr>
          <w:sz w:val="24"/>
          <w:szCs w:val="24"/>
        </w:rPr>
        <w:t xml:space="preserve"> bred </w:t>
      </w:r>
      <w:proofErr w:type="spellStart"/>
      <w:r w:rsidRPr="007475F3">
        <w:rPr>
          <w:sz w:val="24"/>
          <w:szCs w:val="24"/>
        </w:rPr>
        <w:t>antitumoraktivitet</w:t>
      </w:r>
      <w:proofErr w:type="spellEnd"/>
      <w:r w:rsidRPr="007475F3">
        <w:rPr>
          <w:sz w:val="24"/>
          <w:szCs w:val="24"/>
        </w:rPr>
        <w:t xml:space="preserve"> </w:t>
      </w:r>
      <w:r w:rsidRPr="007475F3">
        <w:rPr>
          <w:i/>
          <w:iCs/>
          <w:sz w:val="24"/>
          <w:szCs w:val="24"/>
        </w:rPr>
        <w:t xml:space="preserve">in </w:t>
      </w:r>
      <w:proofErr w:type="spellStart"/>
      <w:r w:rsidRPr="007475F3">
        <w:rPr>
          <w:i/>
          <w:iCs/>
          <w:sz w:val="24"/>
          <w:szCs w:val="24"/>
        </w:rPr>
        <w:t>vivo</w:t>
      </w:r>
      <w:proofErr w:type="spellEnd"/>
      <w:r w:rsidRPr="007475F3">
        <w:rPr>
          <w:i/>
          <w:iCs/>
          <w:sz w:val="24"/>
          <w:szCs w:val="24"/>
        </w:rPr>
        <w:t xml:space="preserve"> </w:t>
      </w:r>
      <w:r w:rsidRPr="007475F3">
        <w:rPr>
          <w:sz w:val="24"/>
          <w:szCs w:val="24"/>
        </w:rPr>
        <w:t xml:space="preserve">overfor </w:t>
      </w:r>
      <w:proofErr w:type="spellStart"/>
      <w:r w:rsidRPr="007475F3">
        <w:rPr>
          <w:sz w:val="24"/>
          <w:szCs w:val="24"/>
        </w:rPr>
        <w:t>murine</w:t>
      </w:r>
      <w:proofErr w:type="spellEnd"/>
      <w:r w:rsidRPr="007475F3">
        <w:rPr>
          <w:sz w:val="24"/>
          <w:szCs w:val="24"/>
        </w:rPr>
        <w:t xml:space="preserve"> tumormodeller (P03 </w:t>
      </w:r>
      <w:proofErr w:type="spellStart"/>
      <w:r w:rsidRPr="007475F3">
        <w:rPr>
          <w:sz w:val="24"/>
          <w:szCs w:val="24"/>
        </w:rPr>
        <w:t>duktalt</w:t>
      </w:r>
      <w:proofErr w:type="spellEnd"/>
      <w:r w:rsidRPr="007475F3">
        <w:rPr>
          <w:sz w:val="24"/>
          <w:szCs w:val="24"/>
        </w:rPr>
        <w:t xml:space="preserve"> pancreas-</w:t>
      </w:r>
      <w:proofErr w:type="spellStart"/>
      <w:r w:rsidRPr="007475F3">
        <w:rPr>
          <w:sz w:val="24"/>
          <w:szCs w:val="24"/>
        </w:rPr>
        <w:t>adenocarcinom</w:t>
      </w:r>
      <w:proofErr w:type="spellEnd"/>
      <w:r w:rsidRPr="007475F3">
        <w:rPr>
          <w:sz w:val="24"/>
          <w:szCs w:val="24"/>
        </w:rPr>
        <w:t xml:space="preserve">, MA16/C </w:t>
      </w:r>
      <w:proofErr w:type="spellStart"/>
      <w:r w:rsidRPr="007475F3">
        <w:rPr>
          <w:sz w:val="24"/>
          <w:szCs w:val="24"/>
        </w:rPr>
        <w:t>adenocarcinoma</w:t>
      </w:r>
      <w:proofErr w:type="spellEnd"/>
      <w:r w:rsidRPr="007475F3">
        <w:rPr>
          <w:sz w:val="24"/>
          <w:szCs w:val="24"/>
        </w:rPr>
        <w:t xml:space="preserve"> mammae, C38 og C51 </w:t>
      </w:r>
      <w:proofErr w:type="spellStart"/>
      <w:r w:rsidRPr="007475F3">
        <w:rPr>
          <w:sz w:val="24"/>
          <w:szCs w:val="24"/>
        </w:rPr>
        <w:t>adenocarcinoma</w:t>
      </w:r>
      <w:proofErr w:type="spellEnd"/>
      <w:r w:rsidRPr="007475F3">
        <w:rPr>
          <w:sz w:val="24"/>
          <w:szCs w:val="24"/>
        </w:rPr>
        <w:t xml:space="preserve"> coli) og mod humane </w:t>
      </w:r>
      <w:proofErr w:type="spellStart"/>
      <w:r w:rsidRPr="007475F3">
        <w:rPr>
          <w:sz w:val="24"/>
          <w:szCs w:val="24"/>
        </w:rPr>
        <w:t>xenografts</w:t>
      </w:r>
      <w:proofErr w:type="spellEnd"/>
      <w:r w:rsidRPr="007475F3">
        <w:rPr>
          <w:sz w:val="24"/>
          <w:szCs w:val="24"/>
        </w:rPr>
        <w:t xml:space="preserve"> (Co-4 </w:t>
      </w:r>
      <w:proofErr w:type="spellStart"/>
      <w:r w:rsidRPr="007475F3">
        <w:rPr>
          <w:sz w:val="24"/>
          <w:szCs w:val="24"/>
        </w:rPr>
        <w:t>adenocarcinoma</w:t>
      </w:r>
      <w:proofErr w:type="spellEnd"/>
      <w:r w:rsidRPr="007475F3">
        <w:rPr>
          <w:sz w:val="24"/>
          <w:szCs w:val="24"/>
        </w:rPr>
        <w:t xml:space="preserve"> coli, Mx-1 </w:t>
      </w:r>
      <w:proofErr w:type="spellStart"/>
      <w:r w:rsidRPr="007475F3">
        <w:rPr>
          <w:sz w:val="24"/>
          <w:szCs w:val="24"/>
        </w:rPr>
        <w:t>adenocarcinoma</w:t>
      </w:r>
      <w:proofErr w:type="spellEnd"/>
      <w:r w:rsidRPr="007475F3">
        <w:rPr>
          <w:sz w:val="24"/>
          <w:szCs w:val="24"/>
        </w:rPr>
        <w:t xml:space="preserve"> mammae, ST-15 og SC-16 gastrisk </w:t>
      </w:r>
      <w:proofErr w:type="spellStart"/>
      <w:r w:rsidRPr="007475F3">
        <w:rPr>
          <w:sz w:val="24"/>
          <w:szCs w:val="24"/>
        </w:rPr>
        <w:t>adenocarcinoma</w:t>
      </w:r>
      <w:proofErr w:type="spellEnd"/>
      <w:r w:rsidRPr="007475F3">
        <w:rPr>
          <w:sz w:val="24"/>
          <w:szCs w:val="24"/>
        </w:rPr>
        <w:t xml:space="preserve">). </w:t>
      </w:r>
      <w:proofErr w:type="spellStart"/>
      <w:r w:rsidRPr="007475F3">
        <w:rPr>
          <w:sz w:val="24"/>
          <w:szCs w:val="24"/>
        </w:rPr>
        <w:t>Irinotecan</w:t>
      </w:r>
      <w:proofErr w:type="spellEnd"/>
      <w:r w:rsidRPr="007475F3">
        <w:rPr>
          <w:sz w:val="24"/>
          <w:szCs w:val="24"/>
        </w:rPr>
        <w:t xml:space="preserve"> er også aktivt mod tumorer, der udtrykker P-</w:t>
      </w:r>
      <w:proofErr w:type="spellStart"/>
      <w:r w:rsidRPr="007475F3">
        <w:rPr>
          <w:sz w:val="24"/>
          <w:szCs w:val="24"/>
        </w:rPr>
        <w:t>glykoproteinet</w:t>
      </w:r>
      <w:proofErr w:type="spellEnd"/>
      <w:r w:rsidRPr="007475F3">
        <w:rPr>
          <w:sz w:val="24"/>
          <w:szCs w:val="24"/>
        </w:rPr>
        <w:t xml:space="preserve"> MDR (</w:t>
      </w:r>
      <w:proofErr w:type="spellStart"/>
      <w:r w:rsidRPr="007475F3">
        <w:rPr>
          <w:sz w:val="24"/>
          <w:szCs w:val="24"/>
        </w:rPr>
        <w:t>vincristin</w:t>
      </w:r>
      <w:proofErr w:type="spellEnd"/>
      <w:r w:rsidRPr="007475F3">
        <w:rPr>
          <w:sz w:val="24"/>
          <w:szCs w:val="24"/>
        </w:rPr>
        <w:t xml:space="preserve">- og </w:t>
      </w:r>
      <w:proofErr w:type="spellStart"/>
      <w:r w:rsidRPr="007475F3">
        <w:rPr>
          <w:sz w:val="24"/>
          <w:szCs w:val="24"/>
        </w:rPr>
        <w:t>doxorubicin</w:t>
      </w:r>
      <w:proofErr w:type="spellEnd"/>
      <w:r w:rsidRPr="007475F3">
        <w:rPr>
          <w:sz w:val="24"/>
          <w:szCs w:val="24"/>
        </w:rPr>
        <w:t xml:space="preserve">-resistente P388 </w:t>
      </w:r>
      <w:proofErr w:type="spellStart"/>
      <w:r w:rsidRPr="007475F3">
        <w:rPr>
          <w:sz w:val="24"/>
          <w:szCs w:val="24"/>
        </w:rPr>
        <w:t>leukæmier</w:t>
      </w:r>
      <w:proofErr w:type="spellEnd"/>
      <w:r w:rsidRPr="007475F3">
        <w:rPr>
          <w:sz w:val="24"/>
          <w:szCs w:val="24"/>
        </w:rPr>
        <w:t>).</w:t>
      </w:r>
    </w:p>
    <w:p w14:paraId="111E7D17" w14:textId="77777777" w:rsidR="003237D1" w:rsidRPr="007475F3" w:rsidRDefault="003237D1" w:rsidP="00C02BD5">
      <w:pPr>
        <w:autoSpaceDE w:val="0"/>
        <w:autoSpaceDN w:val="0"/>
        <w:adjustRightInd w:val="0"/>
        <w:ind w:left="851"/>
        <w:rPr>
          <w:sz w:val="24"/>
          <w:szCs w:val="24"/>
        </w:rPr>
      </w:pPr>
    </w:p>
    <w:p w14:paraId="59B18E61" w14:textId="77777777" w:rsidR="003237D1" w:rsidRPr="007475F3" w:rsidRDefault="003237D1" w:rsidP="00C02BD5">
      <w:pPr>
        <w:autoSpaceDE w:val="0"/>
        <w:autoSpaceDN w:val="0"/>
        <w:adjustRightInd w:val="0"/>
        <w:ind w:left="851"/>
        <w:rPr>
          <w:sz w:val="24"/>
          <w:szCs w:val="24"/>
        </w:rPr>
      </w:pPr>
      <w:r w:rsidRPr="007475F3">
        <w:rPr>
          <w:sz w:val="24"/>
          <w:szCs w:val="24"/>
        </w:rPr>
        <w:t xml:space="preserve">Foruden </w:t>
      </w:r>
      <w:proofErr w:type="spellStart"/>
      <w:r w:rsidRPr="007475F3">
        <w:rPr>
          <w:sz w:val="24"/>
          <w:szCs w:val="24"/>
        </w:rPr>
        <w:t>irinotecans</w:t>
      </w:r>
      <w:proofErr w:type="spellEnd"/>
      <w:r w:rsidRPr="007475F3">
        <w:rPr>
          <w:sz w:val="24"/>
          <w:szCs w:val="24"/>
        </w:rPr>
        <w:t xml:space="preserve"> </w:t>
      </w:r>
      <w:proofErr w:type="spellStart"/>
      <w:r w:rsidRPr="007475F3">
        <w:rPr>
          <w:sz w:val="24"/>
          <w:szCs w:val="24"/>
        </w:rPr>
        <w:t>antitumoraktivitet</w:t>
      </w:r>
      <w:proofErr w:type="spellEnd"/>
      <w:r w:rsidRPr="007475F3">
        <w:rPr>
          <w:sz w:val="24"/>
          <w:szCs w:val="24"/>
        </w:rPr>
        <w:t xml:space="preserve"> er den mest relevante farmakologiske effekt dets hæmning af </w:t>
      </w:r>
      <w:proofErr w:type="spellStart"/>
      <w:r w:rsidRPr="007475F3">
        <w:rPr>
          <w:sz w:val="24"/>
          <w:szCs w:val="24"/>
        </w:rPr>
        <w:t>acetylcholinesterase</w:t>
      </w:r>
      <w:proofErr w:type="spellEnd"/>
      <w:r w:rsidRPr="007475F3">
        <w:rPr>
          <w:sz w:val="24"/>
          <w:szCs w:val="24"/>
        </w:rPr>
        <w:t>.</w:t>
      </w:r>
    </w:p>
    <w:p w14:paraId="0BB013D5" w14:textId="77777777" w:rsidR="003237D1" w:rsidRPr="007475F3" w:rsidRDefault="003237D1" w:rsidP="00C02BD5">
      <w:pPr>
        <w:autoSpaceDE w:val="0"/>
        <w:autoSpaceDN w:val="0"/>
        <w:adjustRightInd w:val="0"/>
        <w:ind w:left="851"/>
        <w:rPr>
          <w:sz w:val="24"/>
          <w:szCs w:val="24"/>
        </w:rPr>
      </w:pPr>
    </w:p>
    <w:p w14:paraId="7CF577C4" w14:textId="77777777" w:rsidR="003237D1" w:rsidRPr="007475F3" w:rsidRDefault="003237D1" w:rsidP="00C02BD5">
      <w:pPr>
        <w:autoSpaceDE w:val="0"/>
        <w:autoSpaceDN w:val="0"/>
        <w:adjustRightInd w:val="0"/>
        <w:ind w:left="851"/>
        <w:rPr>
          <w:bCs/>
          <w:sz w:val="24"/>
          <w:szCs w:val="24"/>
          <w:u w:val="single"/>
        </w:rPr>
      </w:pPr>
      <w:r w:rsidRPr="007475F3">
        <w:rPr>
          <w:sz w:val="24"/>
          <w:szCs w:val="24"/>
          <w:u w:val="single"/>
        </w:rPr>
        <w:t>Kliniske data</w:t>
      </w:r>
    </w:p>
    <w:p w14:paraId="70008C8B" w14:textId="77777777" w:rsidR="003237D1" w:rsidRPr="007475F3" w:rsidRDefault="003237D1" w:rsidP="00C02BD5">
      <w:pPr>
        <w:autoSpaceDE w:val="0"/>
        <w:autoSpaceDN w:val="0"/>
        <w:adjustRightInd w:val="0"/>
        <w:ind w:left="851"/>
        <w:rPr>
          <w:bCs/>
          <w:i/>
          <w:sz w:val="24"/>
          <w:szCs w:val="24"/>
        </w:rPr>
      </w:pPr>
      <w:r w:rsidRPr="007475F3">
        <w:rPr>
          <w:i/>
          <w:iCs/>
          <w:sz w:val="24"/>
          <w:szCs w:val="24"/>
        </w:rPr>
        <w:t xml:space="preserve">I kombinationsterapi ved førstevalgsbehandling af metastatisk </w:t>
      </w:r>
      <w:proofErr w:type="spellStart"/>
      <w:r w:rsidRPr="007475F3">
        <w:rPr>
          <w:i/>
          <w:iCs/>
          <w:sz w:val="24"/>
          <w:szCs w:val="24"/>
        </w:rPr>
        <w:t>colorektal</w:t>
      </w:r>
      <w:proofErr w:type="spellEnd"/>
      <w:r w:rsidRPr="007475F3">
        <w:rPr>
          <w:i/>
          <w:iCs/>
          <w:sz w:val="24"/>
          <w:szCs w:val="24"/>
        </w:rPr>
        <w:t xml:space="preserve"> </w:t>
      </w:r>
      <w:proofErr w:type="spellStart"/>
      <w:r w:rsidRPr="007475F3">
        <w:rPr>
          <w:i/>
          <w:iCs/>
          <w:sz w:val="24"/>
          <w:szCs w:val="24"/>
        </w:rPr>
        <w:t>carcinoma</w:t>
      </w:r>
      <w:proofErr w:type="spellEnd"/>
    </w:p>
    <w:p w14:paraId="601C9187" w14:textId="77777777" w:rsidR="003237D1" w:rsidRPr="007475F3" w:rsidRDefault="003237D1" w:rsidP="00C02BD5">
      <w:pPr>
        <w:autoSpaceDE w:val="0"/>
        <w:autoSpaceDN w:val="0"/>
        <w:adjustRightInd w:val="0"/>
        <w:ind w:left="851"/>
        <w:rPr>
          <w:bCs/>
          <w:i/>
          <w:sz w:val="24"/>
          <w:szCs w:val="24"/>
        </w:rPr>
      </w:pPr>
      <w:r w:rsidRPr="007475F3">
        <w:rPr>
          <w:i/>
          <w:iCs/>
          <w:sz w:val="24"/>
          <w:szCs w:val="24"/>
        </w:rPr>
        <w:t xml:space="preserve">I kombinationsterapi med </w:t>
      </w:r>
      <w:proofErr w:type="spellStart"/>
      <w:r w:rsidRPr="007475F3">
        <w:rPr>
          <w:i/>
          <w:iCs/>
          <w:sz w:val="24"/>
          <w:szCs w:val="24"/>
        </w:rPr>
        <w:t>folininsyre</w:t>
      </w:r>
      <w:proofErr w:type="spellEnd"/>
      <w:r w:rsidRPr="007475F3">
        <w:rPr>
          <w:i/>
          <w:iCs/>
          <w:sz w:val="24"/>
          <w:szCs w:val="24"/>
        </w:rPr>
        <w:t xml:space="preserve"> og 5-fluorouracil</w:t>
      </w:r>
    </w:p>
    <w:p w14:paraId="4307CA93" w14:textId="77777777" w:rsidR="003237D1" w:rsidRPr="007475F3" w:rsidRDefault="003237D1" w:rsidP="00C02BD5">
      <w:pPr>
        <w:autoSpaceDE w:val="0"/>
        <w:autoSpaceDN w:val="0"/>
        <w:adjustRightInd w:val="0"/>
        <w:ind w:left="851"/>
        <w:rPr>
          <w:sz w:val="24"/>
          <w:szCs w:val="24"/>
        </w:rPr>
      </w:pPr>
      <w:r w:rsidRPr="007475F3">
        <w:rPr>
          <w:sz w:val="24"/>
          <w:szCs w:val="24"/>
        </w:rPr>
        <w:t xml:space="preserve">I et fase-III forsøg indgik 385 tidligere ubehandlede patienter med metastatisk </w:t>
      </w:r>
      <w:proofErr w:type="spellStart"/>
      <w:r w:rsidRPr="007475F3">
        <w:rPr>
          <w:sz w:val="24"/>
          <w:szCs w:val="24"/>
        </w:rPr>
        <w:t>colorektal</w:t>
      </w:r>
      <w:proofErr w:type="spellEnd"/>
      <w:r w:rsidRPr="007475F3">
        <w:rPr>
          <w:sz w:val="24"/>
          <w:szCs w:val="24"/>
        </w:rPr>
        <w:t xml:space="preserve"> cancer, der blev behandlet enten hver 2. uge (se pkt. 4.2) eller med ugentligt behandlingsregime. I regimet med behandling hver 2. uge blev der på dag 1 givet en dosis </w:t>
      </w:r>
      <w:proofErr w:type="spellStart"/>
      <w:r w:rsidRPr="007475F3">
        <w:rPr>
          <w:sz w:val="24"/>
          <w:szCs w:val="24"/>
        </w:rPr>
        <w:lastRenderedPageBreak/>
        <w:t>irinotecan</w:t>
      </w:r>
      <w:proofErr w:type="spellEnd"/>
      <w:r w:rsidRPr="007475F3">
        <w:rPr>
          <w:sz w:val="24"/>
          <w:szCs w:val="24"/>
        </w:rPr>
        <w:t xml:space="preserve"> på 180 mg/m</w:t>
      </w:r>
      <w:r w:rsidRPr="007475F3">
        <w:rPr>
          <w:sz w:val="24"/>
          <w:szCs w:val="24"/>
          <w:vertAlign w:val="superscript"/>
        </w:rPr>
        <w:t>2</w:t>
      </w:r>
      <w:r w:rsidRPr="007475F3">
        <w:rPr>
          <w:sz w:val="24"/>
          <w:szCs w:val="24"/>
        </w:rPr>
        <w:t xml:space="preserve"> hver 2. uge efterfulgt af en infusion med </w:t>
      </w:r>
      <w:proofErr w:type="spellStart"/>
      <w:r w:rsidRPr="007475F3">
        <w:rPr>
          <w:sz w:val="24"/>
          <w:szCs w:val="24"/>
        </w:rPr>
        <w:t>folininsyre</w:t>
      </w:r>
      <w:proofErr w:type="spellEnd"/>
      <w:r w:rsidRPr="007475F3">
        <w:rPr>
          <w:sz w:val="24"/>
          <w:szCs w:val="24"/>
        </w:rPr>
        <w:t xml:space="preserve"> (200 mg/m</w:t>
      </w:r>
      <w:r w:rsidRPr="007475F3">
        <w:rPr>
          <w:sz w:val="24"/>
          <w:szCs w:val="24"/>
          <w:vertAlign w:val="superscript"/>
        </w:rPr>
        <w:t>2</w:t>
      </w:r>
      <w:r w:rsidRPr="007475F3">
        <w:rPr>
          <w:sz w:val="24"/>
          <w:szCs w:val="24"/>
        </w:rPr>
        <w:t xml:space="preserve"> givet som en 2-timers intravenøs infusion) og 5-fluorouracil (400 mg/m</w:t>
      </w:r>
      <w:r w:rsidRPr="007475F3">
        <w:rPr>
          <w:sz w:val="24"/>
          <w:szCs w:val="24"/>
          <w:vertAlign w:val="superscript"/>
        </w:rPr>
        <w:t>2</w:t>
      </w:r>
      <w:r w:rsidRPr="007475F3">
        <w:rPr>
          <w:sz w:val="24"/>
          <w:szCs w:val="24"/>
        </w:rPr>
        <w:t xml:space="preserve"> som en intravenøs </w:t>
      </w:r>
      <w:proofErr w:type="spellStart"/>
      <w:r w:rsidRPr="007475F3">
        <w:rPr>
          <w:sz w:val="24"/>
          <w:szCs w:val="24"/>
        </w:rPr>
        <w:t>bolus</w:t>
      </w:r>
      <w:proofErr w:type="spellEnd"/>
      <w:r w:rsidRPr="007475F3">
        <w:rPr>
          <w:sz w:val="24"/>
          <w:szCs w:val="24"/>
        </w:rPr>
        <w:t>, efterfulgt af 600 mg/m</w:t>
      </w:r>
      <w:r w:rsidRPr="007475F3">
        <w:rPr>
          <w:sz w:val="24"/>
          <w:szCs w:val="24"/>
          <w:vertAlign w:val="superscript"/>
        </w:rPr>
        <w:t>2</w:t>
      </w:r>
      <w:r w:rsidRPr="007475F3">
        <w:rPr>
          <w:sz w:val="24"/>
          <w:szCs w:val="24"/>
        </w:rPr>
        <w:t xml:space="preserve"> som en 22-timers intravenøs infusion). På dag 2 blev der givet </w:t>
      </w:r>
      <w:proofErr w:type="spellStart"/>
      <w:r w:rsidRPr="007475F3">
        <w:rPr>
          <w:sz w:val="24"/>
          <w:szCs w:val="24"/>
        </w:rPr>
        <w:t>folininsyre</w:t>
      </w:r>
      <w:proofErr w:type="spellEnd"/>
      <w:r w:rsidRPr="007475F3">
        <w:rPr>
          <w:sz w:val="24"/>
          <w:szCs w:val="24"/>
        </w:rPr>
        <w:t xml:space="preserve"> og 5-fluorouracil med samme doser og intervaller. I det ugentlige regime blev der givet </w:t>
      </w:r>
      <w:proofErr w:type="spellStart"/>
      <w:r w:rsidRPr="007475F3">
        <w:rPr>
          <w:sz w:val="24"/>
          <w:szCs w:val="24"/>
        </w:rPr>
        <w:t>irinotecan</w:t>
      </w:r>
      <w:proofErr w:type="spellEnd"/>
      <w:r w:rsidRPr="007475F3">
        <w:rPr>
          <w:sz w:val="24"/>
          <w:szCs w:val="24"/>
        </w:rPr>
        <w:t xml:space="preserve"> med en dosis på 80 mg/m</w:t>
      </w:r>
      <w:r w:rsidRPr="007475F3">
        <w:rPr>
          <w:sz w:val="24"/>
          <w:szCs w:val="24"/>
          <w:vertAlign w:val="superscript"/>
        </w:rPr>
        <w:t>2</w:t>
      </w:r>
      <w:r w:rsidRPr="007475F3">
        <w:rPr>
          <w:sz w:val="24"/>
          <w:szCs w:val="24"/>
        </w:rPr>
        <w:t xml:space="preserve"> efterfulgt af en infusion med </w:t>
      </w:r>
      <w:proofErr w:type="spellStart"/>
      <w:r w:rsidRPr="007475F3">
        <w:rPr>
          <w:sz w:val="24"/>
          <w:szCs w:val="24"/>
        </w:rPr>
        <w:t>folininsyre</w:t>
      </w:r>
      <w:proofErr w:type="spellEnd"/>
      <w:r w:rsidRPr="007475F3">
        <w:rPr>
          <w:sz w:val="24"/>
          <w:szCs w:val="24"/>
        </w:rPr>
        <w:t xml:space="preserve"> (500 mg/m</w:t>
      </w:r>
      <w:r w:rsidRPr="007475F3">
        <w:rPr>
          <w:sz w:val="24"/>
          <w:szCs w:val="24"/>
          <w:vertAlign w:val="superscript"/>
        </w:rPr>
        <w:t>2</w:t>
      </w:r>
      <w:r w:rsidRPr="007475F3">
        <w:rPr>
          <w:sz w:val="24"/>
          <w:szCs w:val="24"/>
        </w:rPr>
        <w:t xml:space="preserve"> som en 2-timers intravenøs infusion) og derefter af 5-fluorouracil (2.300 mg/m</w:t>
      </w:r>
      <w:r w:rsidRPr="007475F3">
        <w:rPr>
          <w:sz w:val="24"/>
          <w:szCs w:val="24"/>
          <w:vertAlign w:val="superscript"/>
        </w:rPr>
        <w:t>2</w:t>
      </w:r>
      <w:r w:rsidRPr="007475F3">
        <w:rPr>
          <w:sz w:val="24"/>
          <w:szCs w:val="24"/>
        </w:rPr>
        <w:t xml:space="preserve"> som en 24-timers intravenøs infusion) i 6 uger.</w:t>
      </w:r>
    </w:p>
    <w:p w14:paraId="1CF33DC6" w14:textId="77777777" w:rsidR="003237D1" w:rsidRPr="007475F3" w:rsidRDefault="003237D1" w:rsidP="00C02BD5">
      <w:pPr>
        <w:autoSpaceDE w:val="0"/>
        <w:autoSpaceDN w:val="0"/>
        <w:adjustRightInd w:val="0"/>
        <w:ind w:left="851"/>
        <w:rPr>
          <w:sz w:val="24"/>
          <w:szCs w:val="24"/>
        </w:rPr>
      </w:pPr>
    </w:p>
    <w:p w14:paraId="3A959CA3" w14:textId="77777777" w:rsidR="003237D1" w:rsidRPr="007475F3" w:rsidRDefault="003237D1" w:rsidP="00C02BD5">
      <w:pPr>
        <w:autoSpaceDE w:val="0"/>
        <w:autoSpaceDN w:val="0"/>
        <w:adjustRightInd w:val="0"/>
        <w:ind w:left="851"/>
        <w:rPr>
          <w:sz w:val="24"/>
          <w:szCs w:val="24"/>
        </w:rPr>
      </w:pPr>
      <w:r w:rsidRPr="007475F3">
        <w:rPr>
          <w:sz w:val="24"/>
          <w:szCs w:val="24"/>
        </w:rPr>
        <w:t xml:space="preserve">Effekten af </w:t>
      </w:r>
      <w:proofErr w:type="spellStart"/>
      <w:r w:rsidRPr="007475F3">
        <w:rPr>
          <w:sz w:val="24"/>
          <w:szCs w:val="24"/>
        </w:rPr>
        <w:t>irinotecan</w:t>
      </w:r>
      <w:proofErr w:type="spellEnd"/>
      <w:r w:rsidRPr="007475F3">
        <w:rPr>
          <w:sz w:val="24"/>
          <w:szCs w:val="24"/>
        </w:rPr>
        <w:t xml:space="preserve"> ved kombinationsterapi med de to ovennævnte regimer blev vurderet hos 198 behandlede patienter:</w:t>
      </w:r>
    </w:p>
    <w:p w14:paraId="18A6EC8A" w14:textId="77777777" w:rsidR="003237D1" w:rsidRPr="007475F3" w:rsidRDefault="003237D1" w:rsidP="003237D1">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1201"/>
        <w:gridCol w:w="1205"/>
        <w:gridCol w:w="1201"/>
        <w:gridCol w:w="1201"/>
        <w:gridCol w:w="1201"/>
        <w:gridCol w:w="1199"/>
      </w:tblGrid>
      <w:tr w:rsidR="003237D1" w:rsidRPr="007475F3" w14:paraId="366F178F" w14:textId="77777777" w:rsidTr="00C02BD5">
        <w:tc>
          <w:tcPr>
            <w:tcW w:w="1249" w:type="pct"/>
            <w:tcBorders>
              <w:top w:val="single" w:sz="12" w:space="0" w:color="auto"/>
              <w:left w:val="single" w:sz="12" w:space="0" w:color="auto"/>
              <w:bottom w:val="single" w:sz="12" w:space="0" w:color="auto"/>
              <w:right w:val="single" w:sz="12" w:space="0" w:color="auto"/>
            </w:tcBorders>
          </w:tcPr>
          <w:p w14:paraId="56CD1D02" w14:textId="77777777" w:rsidR="003237D1" w:rsidRPr="007475F3" w:rsidRDefault="003237D1">
            <w:pPr>
              <w:autoSpaceDE w:val="0"/>
              <w:autoSpaceDN w:val="0"/>
              <w:adjustRightInd w:val="0"/>
              <w:rPr>
                <w:sz w:val="24"/>
                <w:szCs w:val="24"/>
              </w:rPr>
            </w:pPr>
          </w:p>
        </w:tc>
        <w:tc>
          <w:tcPr>
            <w:tcW w:w="1252" w:type="pct"/>
            <w:gridSpan w:val="2"/>
            <w:tcBorders>
              <w:top w:val="single" w:sz="12" w:space="0" w:color="auto"/>
              <w:left w:val="single" w:sz="12" w:space="0" w:color="auto"/>
              <w:bottom w:val="single" w:sz="4" w:space="0" w:color="auto"/>
              <w:right w:val="single" w:sz="12" w:space="0" w:color="auto"/>
            </w:tcBorders>
            <w:hideMark/>
          </w:tcPr>
          <w:p w14:paraId="15DEBC62" w14:textId="77777777" w:rsidR="003237D1" w:rsidRPr="007475F3" w:rsidRDefault="003237D1">
            <w:pPr>
              <w:autoSpaceDE w:val="0"/>
              <w:autoSpaceDN w:val="0"/>
              <w:adjustRightInd w:val="0"/>
              <w:rPr>
                <w:sz w:val="24"/>
                <w:szCs w:val="24"/>
              </w:rPr>
            </w:pPr>
            <w:r w:rsidRPr="007475F3">
              <w:rPr>
                <w:sz w:val="24"/>
                <w:szCs w:val="24"/>
              </w:rPr>
              <w:t>Kombinerede regimer</w:t>
            </w:r>
          </w:p>
          <w:p w14:paraId="1CEDA93C" w14:textId="77777777" w:rsidR="003237D1" w:rsidRPr="007475F3" w:rsidRDefault="003237D1">
            <w:pPr>
              <w:autoSpaceDE w:val="0"/>
              <w:autoSpaceDN w:val="0"/>
              <w:adjustRightInd w:val="0"/>
              <w:rPr>
                <w:sz w:val="24"/>
                <w:szCs w:val="24"/>
              </w:rPr>
            </w:pPr>
            <w:r w:rsidRPr="007475F3">
              <w:rPr>
                <w:sz w:val="24"/>
                <w:szCs w:val="24"/>
              </w:rPr>
              <w:t>(n=198)</w:t>
            </w:r>
          </w:p>
        </w:tc>
        <w:tc>
          <w:tcPr>
            <w:tcW w:w="1249" w:type="pct"/>
            <w:gridSpan w:val="2"/>
            <w:tcBorders>
              <w:top w:val="single" w:sz="12" w:space="0" w:color="auto"/>
              <w:left w:val="single" w:sz="12" w:space="0" w:color="auto"/>
              <w:bottom w:val="single" w:sz="4" w:space="0" w:color="auto"/>
              <w:right w:val="single" w:sz="12" w:space="0" w:color="auto"/>
            </w:tcBorders>
            <w:hideMark/>
          </w:tcPr>
          <w:p w14:paraId="64822E06" w14:textId="77777777" w:rsidR="003237D1" w:rsidRPr="007475F3" w:rsidRDefault="003237D1">
            <w:pPr>
              <w:autoSpaceDE w:val="0"/>
              <w:autoSpaceDN w:val="0"/>
              <w:adjustRightInd w:val="0"/>
              <w:rPr>
                <w:sz w:val="24"/>
                <w:szCs w:val="24"/>
              </w:rPr>
            </w:pPr>
            <w:r w:rsidRPr="007475F3">
              <w:rPr>
                <w:sz w:val="24"/>
                <w:szCs w:val="24"/>
              </w:rPr>
              <w:t>Ugentligt behandling</w:t>
            </w:r>
          </w:p>
          <w:p w14:paraId="712C841A" w14:textId="77777777" w:rsidR="003237D1" w:rsidRPr="007475F3" w:rsidRDefault="003237D1">
            <w:pPr>
              <w:autoSpaceDE w:val="0"/>
              <w:autoSpaceDN w:val="0"/>
              <w:adjustRightInd w:val="0"/>
              <w:rPr>
                <w:sz w:val="24"/>
                <w:szCs w:val="24"/>
              </w:rPr>
            </w:pPr>
            <w:r w:rsidRPr="007475F3">
              <w:rPr>
                <w:sz w:val="24"/>
                <w:szCs w:val="24"/>
              </w:rPr>
              <w:t>(n=50)</w:t>
            </w:r>
          </w:p>
        </w:tc>
        <w:tc>
          <w:tcPr>
            <w:tcW w:w="1249" w:type="pct"/>
            <w:gridSpan w:val="2"/>
            <w:tcBorders>
              <w:top w:val="single" w:sz="12" w:space="0" w:color="auto"/>
              <w:left w:val="single" w:sz="12" w:space="0" w:color="auto"/>
              <w:bottom w:val="single" w:sz="4" w:space="0" w:color="auto"/>
              <w:right w:val="single" w:sz="12" w:space="0" w:color="auto"/>
            </w:tcBorders>
            <w:hideMark/>
          </w:tcPr>
          <w:p w14:paraId="53D4D72D" w14:textId="77777777" w:rsidR="003237D1" w:rsidRPr="007475F3" w:rsidRDefault="003237D1">
            <w:pPr>
              <w:autoSpaceDE w:val="0"/>
              <w:autoSpaceDN w:val="0"/>
              <w:adjustRightInd w:val="0"/>
              <w:rPr>
                <w:sz w:val="24"/>
                <w:szCs w:val="24"/>
              </w:rPr>
            </w:pPr>
            <w:r w:rsidRPr="007475F3">
              <w:rPr>
                <w:sz w:val="24"/>
                <w:szCs w:val="24"/>
              </w:rPr>
              <w:t>Behandling hver 2. uge</w:t>
            </w:r>
          </w:p>
          <w:p w14:paraId="274FAB65" w14:textId="77777777" w:rsidR="003237D1" w:rsidRPr="007475F3" w:rsidRDefault="003237D1">
            <w:pPr>
              <w:autoSpaceDE w:val="0"/>
              <w:autoSpaceDN w:val="0"/>
              <w:adjustRightInd w:val="0"/>
              <w:rPr>
                <w:sz w:val="24"/>
                <w:szCs w:val="24"/>
              </w:rPr>
            </w:pPr>
            <w:r w:rsidRPr="007475F3">
              <w:rPr>
                <w:sz w:val="24"/>
                <w:szCs w:val="24"/>
              </w:rPr>
              <w:t>(n=148)</w:t>
            </w:r>
          </w:p>
        </w:tc>
      </w:tr>
      <w:tr w:rsidR="003237D1" w:rsidRPr="007475F3" w14:paraId="10A2BCDC" w14:textId="77777777" w:rsidTr="00C02BD5">
        <w:tc>
          <w:tcPr>
            <w:tcW w:w="1249" w:type="pct"/>
            <w:tcBorders>
              <w:top w:val="single" w:sz="12" w:space="0" w:color="auto"/>
              <w:left w:val="single" w:sz="12" w:space="0" w:color="auto"/>
              <w:bottom w:val="single" w:sz="12" w:space="0" w:color="auto"/>
              <w:right w:val="single" w:sz="12" w:space="0" w:color="auto"/>
            </w:tcBorders>
          </w:tcPr>
          <w:p w14:paraId="5EE7A8EE" w14:textId="77777777" w:rsidR="003237D1" w:rsidRPr="007475F3" w:rsidRDefault="003237D1">
            <w:pPr>
              <w:autoSpaceDE w:val="0"/>
              <w:autoSpaceDN w:val="0"/>
              <w:adjustRightInd w:val="0"/>
              <w:rPr>
                <w:sz w:val="24"/>
                <w:szCs w:val="24"/>
              </w:rPr>
            </w:pPr>
          </w:p>
        </w:tc>
        <w:tc>
          <w:tcPr>
            <w:tcW w:w="625" w:type="pct"/>
            <w:tcBorders>
              <w:top w:val="single" w:sz="12" w:space="0" w:color="auto"/>
              <w:left w:val="single" w:sz="12" w:space="0" w:color="auto"/>
              <w:bottom w:val="single" w:sz="12" w:space="0" w:color="auto"/>
              <w:right w:val="single" w:sz="12" w:space="0" w:color="auto"/>
            </w:tcBorders>
            <w:hideMark/>
          </w:tcPr>
          <w:p w14:paraId="7848A672"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p>
          <w:p w14:paraId="16266A83" w14:textId="77777777" w:rsidR="003237D1" w:rsidRPr="007475F3" w:rsidRDefault="003237D1">
            <w:pPr>
              <w:autoSpaceDE w:val="0"/>
              <w:autoSpaceDN w:val="0"/>
              <w:adjustRightInd w:val="0"/>
              <w:rPr>
                <w:sz w:val="24"/>
                <w:szCs w:val="24"/>
              </w:rPr>
            </w:pPr>
            <w:r w:rsidRPr="007475F3">
              <w:rPr>
                <w:sz w:val="24"/>
                <w:szCs w:val="24"/>
              </w:rPr>
              <w:t>+5FU/FA</w:t>
            </w:r>
          </w:p>
        </w:tc>
        <w:tc>
          <w:tcPr>
            <w:tcW w:w="627" w:type="pct"/>
            <w:tcBorders>
              <w:top w:val="single" w:sz="12" w:space="0" w:color="auto"/>
              <w:left w:val="single" w:sz="12" w:space="0" w:color="auto"/>
              <w:bottom w:val="single" w:sz="12" w:space="0" w:color="auto"/>
              <w:right w:val="single" w:sz="12" w:space="0" w:color="auto"/>
            </w:tcBorders>
            <w:hideMark/>
          </w:tcPr>
          <w:p w14:paraId="5AD0EA3F" w14:textId="77777777" w:rsidR="003237D1" w:rsidRPr="007475F3" w:rsidRDefault="003237D1">
            <w:pPr>
              <w:autoSpaceDE w:val="0"/>
              <w:autoSpaceDN w:val="0"/>
              <w:adjustRightInd w:val="0"/>
              <w:rPr>
                <w:sz w:val="24"/>
                <w:szCs w:val="24"/>
              </w:rPr>
            </w:pPr>
            <w:r w:rsidRPr="007475F3">
              <w:rPr>
                <w:sz w:val="24"/>
                <w:szCs w:val="24"/>
              </w:rPr>
              <w:t>5FU/FA</w:t>
            </w:r>
          </w:p>
        </w:tc>
        <w:tc>
          <w:tcPr>
            <w:tcW w:w="625" w:type="pct"/>
            <w:tcBorders>
              <w:top w:val="single" w:sz="12" w:space="0" w:color="auto"/>
              <w:left w:val="single" w:sz="12" w:space="0" w:color="auto"/>
              <w:bottom w:val="single" w:sz="12" w:space="0" w:color="auto"/>
              <w:right w:val="single" w:sz="12" w:space="0" w:color="auto"/>
            </w:tcBorders>
            <w:hideMark/>
          </w:tcPr>
          <w:p w14:paraId="1BB757BE"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p>
          <w:p w14:paraId="63ADDA3B" w14:textId="77777777" w:rsidR="003237D1" w:rsidRPr="007475F3" w:rsidRDefault="003237D1">
            <w:pPr>
              <w:autoSpaceDE w:val="0"/>
              <w:autoSpaceDN w:val="0"/>
              <w:adjustRightInd w:val="0"/>
              <w:rPr>
                <w:sz w:val="24"/>
                <w:szCs w:val="24"/>
              </w:rPr>
            </w:pPr>
            <w:r w:rsidRPr="007475F3">
              <w:rPr>
                <w:sz w:val="24"/>
                <w:szCs w:val="24"/>
              </w:rPr>
              <w:t>+5FU/FA</w:t>
            </w:r>
          </w:p>
        </w:tc>
        <w:tc>
          <w:tcPr>
            <w:tcW w:w="625" w:type="pct"/>
            <w:tcBorders>
              <w:top w:val="single" w:sz="12" w:space="0" w:color="auto"/>
              <w:left w:val="single" w:sz="12" w:space="0" w:color="auto"/>
              <w:bottom w:val="single" w:sz="12" w:space="0" w:color="auto"/>
              <w:right w:val="single" w:sz="12" w:space="0" w:color="auto"/>
            </w:tcBorders>
            <w:hideMark/>
          </w:tcPr>
          <w:p w14:paraId="1F99EAD8" w14:textId="77777777" w:rsidR="003237D1" w:rsidRPr="007475F3" w:rsidRDefault="003237D1">
            <w:pPr>
              <w:autoSpaceDE w:val="0"/>
              <w:autoSpaceDN w:val="0"/>
              <w:adjustRightInd w:val="0"/>
              <w:rPr>
                <w:sz w:val="24"/>
                <w:szCs w:val="24"/>
              </w:rPr>
            </w:pPr>
            <w:r w:rsidRPr="007475F3">
              <w:rPr>
                <w:sz w:val="24"/>
                <w:szCs w:val="24"/>
              </w:rPr>
              <w:t>5FU/FA</w:t>
            </w:r>
          </w:p>
        </w:tc>
        <w:tc>
          <w:tcPr>
            <w:tcW w:w="625" w:type="pct"/>
            <w:tcBorders>
              <w:top w:val="single" w:sz="12" w:space="0" w:color="auto"/>
              <w:left w:val="single" w:sz="12" w:space="0" w:color="auto"/>
              <w:bottom w:val="single" w:sz="12" w:space="0" w:color="auto"/>
              <w:right w:val="single" w:sz="12" w:space="0" w:color="auto"/>
            </w:tcBorders>
            <w:hideMark/>
          </w:tcPr>
          <w:p w14:paraId="6ED31909"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p>
          <w:p w14:paraId="337473CB" w14:textId="77777777" w:rsidR="003237D1" w:rsidRPr="007475F3" w:rsidRDefault="003237D1">
            <w:pPr>
              <w:autoSpaceDE w:val="0"/>
              <w:autoSpaceDN w:val="0"/>
              <w:adjustRightInd w:val="0"/>
              <w:rPr>
                <w:sz w:val="24"/>
                <w:szCs w:val="24"/>
              </w:rPr>
            </w:pPr>
            <w:r w:rsidRPr="007475F3">
              <w:rPr>
                <w:sz w:val="24"/>
                <w:szCs w:val="24"/>
              </w:rPr>
              <w:t>+5FU/FA</w:t>
            </w:r>
          </w:p>
        </w:tc>
        <w:tc>
          <w:tcPr>
            <w:tcW w:w="625" w:type="pct"/>
            <w:tcBorders>
              <w:top w:val="single" w:sz="12" w:space="0" w:color="auto"/>
              <w:left w:val="single" w:sz="12" w:space="0" w:color="auto"/>
              <w:bottom w:val="single" w:sz="12" w:space="0" w:color="auto"/>
              <w:right w:val="single" w:sz="12" w:space="0" w:color="auto"/>
            </w:tcBorders>
            <w:hideMark/>
          </w:tcPr>
          <w:p w14:paraId="158B0099" w14:textId="77777777" w:rsidR="003237D1" w:rsidRPr="007475F3" w:rsidRDefault="003237D1">
            <w:pPr>
              <w:autoSpaceDE w:val="0"/>
              <w:autoSpaceDN w:val="0"/>
              <w:adjustRightInd w:val="0"/>
              <w:rPr>
                <w:sz w:val="24"/>
                <w:szCs w:val="24"/>
              </w:rPr>
            </w:pPr>
            <w:r w:rsidRPr="007475F3">
              <w:rPr>
                <w:sz w:val="24"/>
                <w:szCs w:val="24"/>
              </w:rPr>
              <w:t>5FU/FA</w:t>
            </w:r>
          </w:p>
        </w:tc>
      </w:tr>
      <w:tr w:rsidR="003237D1" w:rsidRPr="007475F3" w14:paraId="40A75E55"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4E33FE24" w14:textId="77777777" w:rsidR="003237D1" w:rsidRPr="007475F3" w:rsidRDefault="003237D1">
            <w:pPr>
              <w:autoSpaceDE w:val="0"/>
              <w:autoSpaceDN w:val="0"/>
              <w:adjustRightInd w:val="0"/>
              <w:rPr>
                <w:sz w:val="24"/>
                <w:szCs w:val="24"/>
              </w:rPr>
            </w:pPr>
            <w:r w:rsidRPr="007475F3">
              <w:rPr>
                <w:sz w:val="24"/>
                <w:szCs w:val="24"/>
              </w:rPr>
              <w:t>Responsrate (%)</w:t>
            </w:r>
          </w:p>
        </w:tc>
        <w:tc>
          <w:tcPr>
            <w:tcW w:w="625" w:type="pct"/>
            <w:tcBorders>
              <w:top w:val="single" w:sz="12" w:space="0" w:color="auto"/>
              <w:left w:val="single" w:sz="12" w:space="0" w:color="auto"/>
              <w:bottom w:val="single" w:sz="12" w:space="0" w:color="auto"/>
              <w:right w:val="single" w:sz="12" w:space="0" w:color="auto"/>
            </w:tcBorders>
            <w:hideMark/>
          </w:tcPr>
          <w:p w14:paraId="3BA98A16" w14:textId="77777777" w:rsidR="003237D1" w:rsidRPr="007475F3" w:rsidRDefault="003237D1">
            <w:pPr>
              <w:autoSpaceDE w:val="0"/>
              <w:autoSpaceDN w:val="0"/>
              <w:adjustRightInd w:val="0"/>
              <w:rPr>
                <w:sz w:val="24"/>
                <w:szCs w:val="24"/>
              </w:rPr>
            </w:pPr>
            <w:r w:rsidRPr="007475F3">
              <w:rPr>
                <w:sz w:val="24"/>
                <w:szCs w:val="24"/>
              </w:rPr>
              <w:t>40,8 *</w:t>
            </w:r>
          </w:p>
        </w:tc>
        <w:tc>
          <w:tcPr>
            <w:tcW w:w="627" w:type="pct"/>
            <w:tcBorders>
              <w:top w:val="single" w:sz="12" w:space="0" w:color="auto"/>
              <w:left w:val="single" w:sz="12" w:space="0" w:color="auto"/>
              <w:bottom w:val="single" w:sz="12" w:space="0" w:color="auto"/>
              <w:right w:val="single" w:sz="12" w:space="0" w:color="auto"/>
            </w:tcBorders>
            <w:hideMark/>
          </w:tcPr>
          <w:p w14:paraId="7223541E" w14:textId="77777777" w:rsidR="003237D1" w:rsidRPr="007475F3" w:rsidRDefault="003237D1">
            <w:pPr>
              <w:autoSpaceDE w:val="0"/>
              <w:autoSpaceDN w:val="0"/>
              <w:adjustRightInd w:val="0"/>
              <w:rPr>
                <w:sz w:val="24"/>
                <w:szCs w:val="24"/>
              </w:rPr>
            </w:pPr>
            <w:r w:rsidRPr="007475F3">
              <w:rPr>
                <w:sz w:val="24"/>
                <w:szCs w:val="24"/>
              </w:rPr>
              <w:t>23,1 *</w:t>
            </w:r>
          </w:p>
        </w:tc>
        <w:tc>
          <w:tcPr>
            <w:tcW w:w="625" w:type="pct"/>
            <w:tcBorders>
              <w:top w:val="single" w:sz="12" w:space="0" w:color="auto"/>
              <w:left w:val="single" w:sz="12" w:space="0" w:color="auto"/>
              <w:bottom w:val="single" w:sz="12" w:space="0" w:color="auto"/>
              <w:right w:val="single" w:sz="4" w:space="0" w:color="auto"/>
            </w:tcBorders>
            <w:hideMark/>
          </w:tcPr>
          <w:p w14:paraId="505EF2D7" w14:textId="77777777" w:rsidR="003237D1" w:rsidRPr="007475F3" w:rsidRDefault="003237D1">
            <w:pPr>
              <w:autoSpaceDE w:val="0"/>
              <w:autoSpaceDN w:val="0"/>
              <w:adjustRightInd w:val="0"/>
              <w:rPr>
                <w:sz w:val="24"/>
                <w:szCs w:val="24"/>
              </w:rPr>
            </w:pPr>
            <w:r w:rsidRPr="007475F3">
              <w:rPr>
                <w:sz w:val="24"/>
                <w:szCs w:val="24"/>
              </w:rPr>
              <w:t>51,2 *</w:t>
            </w:r>
          </w:p>
        </w:tc>
        <w:tc>
          <w:tcPr>
            <w:tcW w:w="625" w:type="pct"/>
            <w:tcBorders>
              <w:top w:val="single" w:sz="12" w:space="0" w:color="auto"/>
              <w:left w:val="single" w:sz="4" w:space="0" w:color="auto"/>
              <w:bottom w:val="single" w:sz="12" w:space="0" w:color="auto"/>
              <w:right w:val="single" w:sz="12" w:space="0" w:color="auto"/>
            </w:tcBorders>
            <w:hideMark/>
          </w:tcPr>
          <w:p w14:paraId="65970A54" w14:textId="77777777" w:rsidR="003237D1" w:rsidRPr="007475F3" w:rsidRDefault="003237D1">
            <w:pPr>
              <w:autoSpaceDE w:val="0"/>
              <w:autoSpaceDN w:val="0"/>
              <w:adjustRightInd w:val="0"/>
              <w:rPr>
                <w:sz w:val="24"/>
                <w:szCs w:val="24"/>
              </w:rPr>
            </w:pPr>
            <w:r w:rsidRPr="007475F3">
              <w:rPr>
                <w:sz w:val="24"/>
                <w:szCs w:val="24"/>
              </w:rPr>
              <w:t>28,6 *</w:t>
            </w:r>
          </w:p>
        </w:tc>
        <w:tc>
          <w:tcPr>
            <w:tcW w:w="625" w:type="pct"/>
            <w:tcBorders>
              <w:top w:val="single" w:sz="12" w:space="0" w:color="auto"/>
              <w:left w:val="single" w:sz="12" w:space="0" w:color="auto"/>
              <w:bottom w:val="single" w:sz="12" w:space="0" w:color="auto"/>
              <w:right w:val="single" w:sz="12" w:space="0" w:color="auto"/>
            </w:tcBorders>
            <w:hideMark/>
          </w:tcPr>
          <w:p w14:paraId="6E742BC1" w14:textId="77777777" w:rsidR="003237D1" w:rsidRPr="007475F3" w:rsidRDefault="003237D1">
            <w:pPr>
              <w:autoSpaceDE w:val="0"/>
              <w:autoSpaceDN w:val="0"/>
              <w:adjustRightInd w:val="0"/>
              <w:rPr>
                <w:sz w:val="24"/>
                <w:szCs w:val="24"/>
              </w:rPr>
            </w:pPr>
            <w:r w:rsidRPr="007475F3">
              <w:rPr>
                <w:sz w:val="24"/>
                <w:szCs w:val="24"/>
              </w:rPr>
              <w:t>37,5*</w:t>
            </w:r>
          </w:p>
        </w:tc>
        <w:tc>
          <w:tcPr>
            <w:tcW w:w="625" w:type="pct"/>
            <w:tcBorders>
              <w:top w:val="single" w:sz="12" w:space="0" w:color="auto"/>
              <w:left w:val="single" w:sz="12" w:space="0" w:color="auto"/>
              <w:bottom w:val="single" w:sz="12" w:space="0" w:color="auto"/>
              <w:right w:val="single" w:sz="12" w:space="0" w:color="auto"/>
            </w:tcBorders>
            <w:hideMark/>
          </w:tcPr>
          <w:p w14:paraId="79BF72E3" w14:textId="77777777" w:rsidR="003237D1" w:rsidRPr="007475F3" w:rsidRDefault="003237D1">
            <w:pPr>
              <w:autoSpaceDE w:val="0"/>
              <w:autoSpaceDN w:val="0"/>
              <w:adjustRightInd w:val="0"/>
              <w:rPr>
                <w:sz w:val="24"/>
                <w:szCs w:val="24"/>
              </w:rPr>
            </w:pPr>
            <w:r w:rsidRPr="007475F3">
              <w:rPr>
                <w:sz w:val="24"/>
                <w:szCs w:val="24"/>
              </w:rPr>
              <w:t>21,6*</w:t>
            </w:r>
          </w:p>
        </w:tc>
      </w:tr>
      <w:tr w:rsidR="003237D1" w:rsidRPr="007475F3" w14:paraId="41A9682E"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6FDAC40F"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625" w:type="pct"/>
            <w:tcBorders>
              <w:top w:val="single" w:sz="12" w:space="0" w:color="auto"/>
              <w:left w:val="single" w:sz="12" w:space="0" w:color="auto"/>
              <w:bottom w:val="single" w:sz="12" w:space="0" w:color="auto"/>
              <w:right w:val="single" w:sz="12" w:space="0" w:color="auto"/>
            </w:tcBorders>
            <w:hideMark/>
          </w:tcPr>
          <w:p w14:paraId="36A063D8" w14:textId="77777777" w:rsidR="003237D1" w:rsidRPr="007475F3" w:rsidRDefault="003237D1">
            <w:pPr>
              <w:autoSpaceDE w:val="0"/>
              <w:autoSpaceDN w:val="0"/>
              <w:adjustRightInd w:val="0"/>
              <w:rPr>
                <w:sz w:val="24"/>
                <w:szCs w:val="24"/>
              </w:rPr>
            </w:pPr>
            <w:r w:rsidRPr="007475F3">
              <w:rPr>
                <w:sz w:val="24"/>
                <w:szCs w:val="24"/>
              </w:rPr>
              <w:t>p&lt;0,001</w:t>
            </w:r>
          </w:p>
        </w:tc>
        <w:tc>
          <w:tcPr>
            <w:tcW w:w="627" w:type="pct"/>
            <w:tcBorders>
              <w:top w:val="single" w:sz="12" w:space="0" w:color="auto"/>
              <w:left w:val="single" w:sz="12" w:space="0" w:color="auto"/>
              <w:bottom w:val="single" w:sz="12" w:space="0" w:color="auto"/>
              <w:right w:val="single" w:sz="12" w:space="0" w:color="auto"/>
            </w:tcBorders>
          </w:tcPr>
          <w:p w14:paraId="42231AA1" w14:textId="77777777" w:rsidR="003237D1" w:rsidRPr="007475F3" w:rsidRDefault="003237D1">
            <w:pPr>
              <w:autoSpaceDE w:val="0"/>
              <w:autoSpaceDN w:val="0"/>
              <w:adjustRightInd w:val="0"/>
              <w:rPr>
                <w:sz w:val="24"/>
                <w:szCs w:val="24"/>
              </w:rPr>
            </w:pPr>
          </w:p>
        </w:tc>
        <w:tc>
          <w:tcPr>
            <w:tcW w:w="1249" w:type="pct"/>
            <w:gridSpan w:val="2"/>
            <w:tcBorders>
              <w:top w:val="single" w:sz="12" w:space="0" w:color="auto"/>
              <w:left w:val="single" w:sz="12" w:space="0" w:color="auto"/>
              <w:bottom w:val="single" w:sz="12" w:space="0" w:color="auto"/>
              <w:right w:val="single" w:sz="12" w:space="0" w:color="auto"/>
            </w:tcBorders>
            <w:hideMark/>
          </w:tcPr>
          <w:p w14:paraId="57C15F10" w14:textId="77777777" w:rsidR="003237D1" w:rsidRPr="007475F3" w:rsidRDefault="003237D1">
            <w:pPr>
              <w:autoSpaceDE w:val="0"/>
              <w:autoSpaceDN w:val="0"/>
              <w:adjustRightInd w:val="0"/>
              <w:rPr>
                <w:sz w:val="24"/>
                <w:szCs w:val="24"/>
              </w:rPr>
            </w:pPr>
            <w:r w:rsidRPr="007475F3">
              <w:rPr>
                <w:sz w:val="24"/>
                <w:szCs w:val="24"/>
              </w:rPr>
              <w:t>p= 0,045</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3068DB14" w14:textId="77777777" w:rsidR="003237D1" w:rsidRPr="007475F3" w:rsidRDefault="003237D1">
            <w:pPr>
              <w:autoSpaceDE w:val="0"/>
              <w:autoSpaceDN w:val="0"/>
              <w:adjustRightInd w:val="0"/>
              <w:rPr>
                <w:sz w:val="24"/>
                <w:szCs w:val="24"/>
              </w:rPr>
            </w:pPr>
            <w:r w:rsidRPr="007475F3">
              <w:rPr>
                <w:sz w:val="24"/>
                <w:szCs w:val="24"/>
              </w:rPr>
              <w:t>p= 0,005</w:t>
            </w:r>
          </w:p>
        </w:tc>
      </w:tr>
      <w:tr w:rsidR="003237D1" w:rsidRPr="007475F3" w14:paraId="3831AAF2"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1B0E855B" w14:textId="77777777" w:rsidR="003237D1" w:rsidRPr="007475F3" w:rsidRDefault="003237D1">
            <w:pPr>
              <w:autoSpaceDE w:val="0"/>
              <w:autoSpaceDN w:val="0"/>
              <w:adjustRightInd w:val="0"/>
              <w:rPr>
                <w:sz w:val="24"/>
                <w:szCs w:val="24"/>
              </w:rPr>
            </w:pPr>
            <w:r w:rsidRPr="007475F3">
              <w:rPr>
                <w:sz w:val="24"/>
                <w:szCs w:val="24"/>
              </w:rPr>
              <w:t>Mediantid til progression (måneder)</w:t>
            </w:r>
          </w:p>
        </w:tc>
        <w:tc>
          <w:tcPr>
            <w:tcW w:w="625" w:type="pct"/>
            <w:tcBorders>
              <w:top w:val="single" w:sz="12" w:space="0" w:color="auto"/>
              <w:left w:val="single" w:sz="12" w:space="0" w:color="auto"/>
              <w:bottom w:val="single" w:sz="12" w:space="0" w:color="auto"/>
              <w:right w:val="single" w:sz="12" w:space="0" w:color="auto"/>
            </w:tcBorders>
            <w:hideMark/>
          </w:tcPr>
          <w:p w14:paraId="171EA2F7" w14:textId="77777777" w:rsidR="003237D1" w:rsidRPr="007475F3" w:rsidRDefault="003237D1">
            <w:pPr>
              <w:autoSpaceDE w:val="0"/>
              <w:autoSpaceDN w:val="0"/>
              <w:adjustRightInd w:val="0"/>
              <w:rPr>
                <w:sz w:val="24"/>
                <w:szCs w:val="24"/>
              </w:rPr>
            </w:pPr>
            <w:r w:rsidRPr="007475F3">
              <w:rPr>
                <w:sz w:val="24"/>
                <w:szCs w:val="24"/>
              </w:rPr>
              <w:t>6,7</w:t>
            </w:r>
          </w:p>
        </w:tc>
        <w:tc>
          <w:tcPr>
            <w:tcW w:w="627" w:type="pct"/>
            <w:tcBorders>
              <w:top w:val="single" w:sz="12" w:space="0" w:color="auto"/>
              <w:left w:val="single" w:sz="12" w:space="0" w:color="auto"/>
              <w:bottom w:val="single" w:sz="12" w:space="0" w:color="auto"/>
              <w:right w:val="single" w:sz="12" w:space="0" w:color="auto"/>
            </w:tcBorders>
            <w:hideMark/>
          </w:tcPr>
          <w:p w14:paraId="0D5EAC55" w14:textId="77777777" w:rsidR="003237D1" w:rsidRPr="007475F3" w:rsidRDefault="003237D1">
            <w:pPr>
              <w:autoSpaceDE w:val="0"/>
              <w:autoSpaceDN w:val="0"/>
              <w:adjustRightInd w:val="0"/>
              <w:rPr>
                <w:sz w:val="24"/>
                <w:szCs w:val="24"/>
              </w:rPr>
            </w:pPr>
            <w:r w:rsidRPr="007475F3">
              <w:rPr>
                <w:sz w:val="24"/>
                <w:szCs w:val="24"/>
              </w:rPr>
              <w:t>4,4</w:t>
            </w:r>
          </w:p>
        </w:tc>
        <w:tc>
          <w:tcPr>
            <w:tcW w:w="625" w:type="pct"/>
            <w:tcBorders>
              <w:top w:val="single" w:sz="12" w:space="0" w:color="auto"/>
              <w:left w:val="single" w:sz="12" w:space="0" w:color="auto"/>
              <w:bottom w:val="single" w:sz="12" w:space="0" w:color="auto"/>
              <w:right w:val="single" w:sz="12" w:space="0" w:color="auto"/>
            </w:tcBorders>
            <w:hideMark/>
          </w:tcPr>
          <w:p w14:paraId="0406011D" w14:textId="77777777" w:rsidR="003237D1" w:rsidRPr="007475F3" w:rsidRDefault="003237D1">
            <w:pPr>
              <w:autoSpaceDE w:val="0"/>
              <w:autoSpaceDN w:val="0"/>
              <w:adjustRightInd w:val="0"/>
              <w:rPr>
                <w:sz w:val="24"/>
                <w:szCs w:val="24"/>
              </w:rPr>
            </w:pPr>
            <w:r w:rsidRPr="007475F3">
              <w:rPr>
                <w:sz w:val="24"/>
                <w:szCs w:val="24"/>
              </w:rPr>
              <w:t>7,2</w:t>
            </w:r>
          </w:p>
        </w:tc>
        <w:tc>
          <w:tcPr>
            <w:tcW w:w="625" w:type="pct"/>
            <w:tcBorders>
              <w:top w:val="single" w:sz="12" w:space="0" w:color="auto"/>
              <w:left w:val="single" w:sz="12" w:space="0" w:color="auto"/>
              <w:bottom w:val="single" w:sz="12" w:space="0" w:color="auto"/>
              <w:right w:val="single" w:sz="12" w:space="0" w:color="auto"/>
            </w:tcBorders>
            <w:hideMark/>
          </w:tcPr>
          <w:p w14:paraId="75656CE7" w14:textId="77777777" w:rsidR="003237D1" w:rsidRPr="007475F3" w:rsidRDefault="003237D1">
            <w:pPr>
              <w:autoSpaceDE w:val="0"/>
              <w:autoSpaceDN w:val="0"/>
              <w:adjustRightInd w:val="0"/>
              <w:rPr>
                <w:sz w:val="24"/>
                <w:szCs w:val="24"/>
              </w:rPr>
            </w:pPr>
            <w:r w:rsidRPr="007475F3">
              <w:rPr>
                <w:sz w:val="24"/>
                <w:szCs w:val="24"/>
              </w:rPr>
              <w:t>6,5</w:t>
            </w:r>
          </w:p>
        </w:tc>
        <w:tc>
          <w:tcPr>
            <w:tcW w:w="625" w:type="pct"/>
            <w:tcBorders>
              <w:top w:val="single" w:sz="12" w:space="0" w:color="auto"/>
              <w:left w:val="single" w:sz="12" w:space="0" w:color="auto"/>
              <w:bottom w:val="single" w:sz="12" w:space="0" w:color="auto"/>
              <w:right w:val="single" w:sz="12" w:space="0" w:color="auto"/>
            </w:tcBorders>
            <w:hideMark/>
          </w:tcPr>
          <w:p w14:paraId="4F0FE309" w14:textId="77777777" w:rsidR="003237D1" w:rsidRPr="007475F3" w:rsidRDefault="003237D1">
            <w:pPr>
              <w:autoSpaceDE w:val="0"/>
              <w:autoSpaceDN w:val="0"/>
              <w:adjustRightInd w:val="0"/>
              <w:rPr>
                <w:sz w:val="24"/>
                <w:szCs w:val="24"/>
              </w:rPr>
            </w:pPr>
            <w:r w:rsidRPr="007475F3">
              <w:rPr>
                <w:sz w:val="24"/>
                <w:szCs w:val="24"/>
              </w:rPr>
              <w:t>6,5</w:t>
            </w:r>
          </w:p>
        </w:tc>
        <w:tc>
          <w:tcPr>
            <w:tcW w:w="625" w:type="pct"/>
            <w:tcBorders>
              <w:top w:val="single" w:sz="12" w:space="0" w:color="auto"/>
              <w:left w:val="single" w:sz="12" w:space="0" w:color="auto"/>
              <w:bottom w:val="single" w:sz="12" w:space="0" w:color="auto"/>
              <w:right w:val="single" w:sz="12" w:space="0" w:color="auto"/>
            </w:tcBorders>
            <w:hideMark/>
          </w:tcPr>
          <w:p w14:paraId="2F85B9B2" w14:textId="77777777" w:rsidR="003237D1" w:rsidRPr="007475F3" w:rsidRDefault="003237D1">
            <w:pPr>
              <w:autoSpaceDE w:val="0"/>
              <w:autoSpaceDN w:val="0"/>
              <w:adjustRightInd w:val="0"/>
              <w:rPr>
                <w:sz w:val="24"/>
                <w:szCs w:val="24"/>
              </w:rPr>
            </w:pPr>
            <w:r w:rsidRPr="007475F3">
              <w:rPr>
                <w:sz w:val="24"/>
                <w:szCs w:val="24"/>
              </w:rPr>
              <w:t>3,7</w:t>
            </w:r>
          </w:p>
        </w:tc>
      </w:tr>
      <w:tr w:rsidR="003237D1" w:rsidRPr="007475F3" w14:paraId="1B7F851C"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6477D21D"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252" w:type="pct"/>
            <w:gridSpan w:val="2"/>
            <w:tcBorders>
              <w:top w:val="single" w:sz="12" w:space="0" w:color="auto"/>
              <w:left w:val="single" w:sz="12" w:space="0" w:color="auto"/>
              <w:bottom w:val="single" w:sz="12" w:space="0" w:color="auto"/>
              <w:right w:val="single" w:sz="12" w:space="0" w:color="auto"/>
            </w:tcBorders>
            <w:hideMark/>
          </w:tcPr>
          <w:p w14:paraId="63C49852" w14:textId="77777777" w:rsidR="003237D1" w:rsidRPr="007475F3" w:rsidRDefault="003237D1">
            <w:pPr>
              <w:autoSpaceDE w:val="0"/>
              <w:autoSpaceDN w:val="0"/>
              <w:adjustRightInd w:val="0"/>
              <w:rPr>
                <w:sz w:val="24"/>
                <w:szCs w:val="24"/>
              </w:rPr>
            </w:pPr>
            <w:r w:rsidRPr="007475F3">
              <w:rPr>
                <w:sz w:val="24"/>
                <w:szCs w:val="24"/>
              </w:rPr>
              <w:t>p&lt;0,001</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08147050" w14:textId="77777777" w:rsidR="003237D1" w:rsidRPr="007475F3" w:rsidRDefault="003237D1">
            <w:pPr>
              <w:autoSpaceDE w:val="0"/>
              <w:autoSpaceDN w:val="0"/>
              <w:adjustRightInd w:val="0"/>
              <w:rPr>
                <w:sz w:val="24"/>
                <w:szCs w:val="24"/>
              </w:rPr>
            </w:pPr>
            <w:r w:rsidRPr="007475F3">
              <w:rPr>
                <w:sz w:val="24"/>
                <w:szCs w:val="24"/>
              </w:rPr>
              <w:t>NS</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13255D78" w14:textId="77777777" w:rsidR="003237D1" w:rsidRPr="007475F3" w:rsidRDefault="003237D1">
            <w:pPr>
              <w:autoSpaceDE w:val="0"/>
              <w:autoSpaceDN w:val="0"/>
              <w:adjustRightInd w:val="0"/>
              <w:rPr>
                <w:sz w:val="24"/>
                <w:szCs w:val="24"/>
              </w:rPr>
            </w:pPr>
            <w:r w:rsidRPr="007475F3">
              <w:rPr>
                <w:sz w:val="24"/>
                <w:szCs w:val="24"/>
              </w:rPr>
              <w:t>p=0,001</w:t>
            </w:r>
          </w:p>
        </w:tc>
      </w:tr>
      <w:tr w:rsidR="003237D1" w:rsidRPr="007475F3" w14:paraId="0D9D53BE"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062245B6" w14:textId="77777777" w:rsidR="003237D1" w:rsidRPr="007475F3" w:rsidRDefault="003237D1">
            <w:pPr>
              <w:autoSpaceDE w:val="0"/>
              <w:autoSpaceDN w:val="0"/>
              <w:adjustRightInd w:val="0"/>
              <w:rPr>
                <w:sz w:val="24"/>
                <w:szCs w:val="24"/>
              </w:rPr>
            </w:pPr>
            <w:r w:rsidRPr="007475F3">
              <w:rPr>
                <w:sz w:val="24"/>
                <w:szCs w:val="24"/>
              </w:rPr>
              <w:t>Medianvarighed af respons (måneder)</w:t>
            </w:r>
          </w:p>
        </w:tc>
        <w:tc>
          <w:tcPr>
            <w:tcW w:w="625" w:type="pct"/>
            <w:tcBorders>
              <w:top w:val="single" w:sz="12" w:space="0" w:color="auto"/>
              <w:left w:val="single" w:sz="12" w:space="0" w:color="auto"/>
              <w:bottom w:val="single" w:sz="12" w:space="0" w:color="auto"/>
              <w:right w:val="single" w:sz="12" w:space="0" w:color="auto"/>
            </w:tcBorders>
            <w:hideMark/>
          </w:tcPr>
          <w:p w14:paraId="6BD915FB" w14:textId="77777777" w:rsidR="003237D1" w:rsidRPr="007475F3" w:rsidRDefault="003237D1">
            <w:pPr>
              <w:autoSpaceDE w:val="0"/>
              <w:autoSpaceDN w:val="0"/>
              <w:adjustRightInd w:val="0"/>
              <w:rPr>
                <w:sz w:val="24"/>
                <w:szCs w:val="24"/>
              </w:rPr>
            </w:pPr>
            <w:r w:rsidRPr="007475F3">
              <w:rPr>
                <w:sz w:val="24"/>
                <w:szCs w:val="24"/>
              </w:rPr>
              <w:t>9,3</w:t>
            </w:r>
          </w:p>
        </w:tc>
        <w:tc>
          <w:tcPr>
            <w:tcW w:w="627" w:type="pct"/>
            <w:tcBorders>
              <w:top w:val="single" w:sz="12" w:space="0" w:color="auto"/>
              <w:left w:val="single" w:sz="12" w:space="0" w:color="auto"/>
              <w:bottom w:val="single" w:sz="12" w:space="0" w:color="auto"/>
              <w:right w:val="single" w:sz="12" w:space="0" w:color="auto"/>
            </w:tcBorders>
            <w:hideMark/>
          </w:tcPr>
          <w:p w14:paraId="022D273D" w14:textId="77777777" w:rsidR="003237D1" w:rsidRPr="007475F3" w:rsidRDefault="003237D1">
            <w:pPr>
              <w:autoSpaceDE w:val="0"/>
              <w:autoSpaceDN w:val="0"/>
              <w:adjustRightInd w:val="0"/>
              <w:rPr>
                <w:sz w:val="24"/>
                <w:szCs w:val="24"/>
              </w:rPr>
            </w:pPr>
            <w:r w:rsidRPr="007475F3">
              <w:rPr>
                <w:sz w:val="24"/>
                <w:szCs w:val="24"/>
              </w:rPr>
              <w:t>8,8</w:t>
            </w:r>
          </w:p>
        </w:tc>
        <w:tc>
          <w:tcPr>
            <w:tcW w:w="625" w:type="pct"/>
            <w:tcBorders>
              <w:top w:val="single" w:sz="12" w:space="0" w:color="auto"/>
              <w:left w:val="single" w:sz="12" w:space="0" w:color="auto"/>
              <w:bottom w:val="single" w:sz="12" w:space="0" w:color="auto"/>
              <w:right w:val="single" w:sz="12" w:space="0" w:color="auto"/>
            </w:tcBorders>
            <w:hideMark/>
          </w:tcPr>
          <w:p w14:paraId="1946F5C0" w14:textId="77777777" w:rsidR="003237D1" w:rsidRPr="007475F3" w:rsidRDefault="003237D1">
            <w:pPr>
              <w:autoSpaceDE w:val="0"/>
              <w:autoSpaceDN w:val="0"/>
              <w:adjustRightInd w:val="0"/>
              <w:rPr>
                <w:sz w:val="24"/>
                <w:szCs w:val="24"/>
              </w:rPr>
            </w:pPr>
            <w:r w:rsidRPr="007475F3">
              <w:rPr>
                <w:sz w:val="24"/>
                <w:szCs w:val="24"/>
              </w:rPr>
              <w:t>8,9</w:t>
            </w:r>
          </w:p>
        </w:tc>
        <w:tc>
          <w:tcPr>
            <w:tcW w:w="625" w:type="pct"/>
            <w:tcBorders>
              <w:top w:val="single" w:sz="12" w:space="0" w:color="auto"/>
              <w:left w:val="single" w:sz="12" w:space="0" w:color="auto"/>
              <w:bottom w:val="single" w:sz="12" w:space="0" w:color="auto"/>
              <w:right w:val="single" w:sz="12" w:space="0" w:color="auto"/>
            </w:tcBorders>
            <w:hideMark/>
          </w:tcPr>
          <w:p w14:paraId="524E8F22" w14:textId="77777777" w:rsidR="003237D1" w:rsidRPr="007475F3" w:rsidRDefault="003237D1">
            <w:pPr>
              <w:autoSpaceDE w:val="0"/>
              <w:autoSpaceDN w:val="0"/>
              <w:adjustRightInd w:val="0"/>
              <w:rPr>
                <w:sz w:val="24"/>
                <w:szCs w:val="24"/>
              </w:rPr>
            </w:pPr>
            <w:r w:rsidRPr="007475F3">
              <w:rPr>
                <w:sz w:val="24"/>
                <w:szCs w:val="24"/>
              </w:rPr>
              <w:t>6,7</w:t>
            </w:r>
          </w:p>
        </w:tc>
        <w:tc>
          <w:tcPr>
            <w:tcW w:w="625" w:type="pct"/>
            <w:tcBorders>
              <w:top w:val="single" w:sz="12" w:space="0" w:color="auto"/>
              <w:left w:val="single" w:sz="12" w:space="0" w:color="auto"/>
              <w:bottom w:val="single" w:sz="12" w:space="0" w:color="auto"/>
              <w:right w:val="single" w:sz="12" w:space="0" w:color="auto"/>
            </w:tcBorders>
            <w:hideMark/>
          </w:tcPr>
          <w:p w14:paraId="2AD5E7AA" w14:textId="77777777" w:rsidR="003237D1" w:rsidRPr="007475F3" w:rsidRDefault="003237D1">
            <w:pPr>
              <w:autoSpaceDE w:val="0"/>
              <w:autoSpaceDN w:val="0"/>
              <w:adjustRightInd w:val="0"/>
              <w:rPr>
                <w:sz w:val="24"/>
                <w:szCs w:val="24"/>
              </w:rPr>
            </w:pPr>
            <w:r w:rsidRPr="007475F3">
              <w:rPr>
                <w:sz w:val="24"/>
                <w:szCs w:val="24"/>
              </w:rPr>
              <w:t>9,3</w:t>
            </w:r>
          </w:p>
        </w:tc>
        <w:tc>
          <w:tcPr>
            <w:tcW w:w="625" w:type="pct"/>
            <w:tcBorders>
              <w:top w:val="single" w:sz="12" w:space="0" w:color="auto"/>
              <w:left w:val="single" w:sz="12" w:space="0" w:color="auto"/>
              <w:bottom w:val="single" w:sz="12" w:space="0" w:color="auto"/>
              <w:right w:val="single" w:sz="12" w:space="0" w:color="auto"/>
            </w:tcBorders>
            <w:hideMark/>
          </w:tcPr>
          <w:p w14:paraId="6B253634" w14:textId="77777777" w:rsidR="003237D1" w:rsidRPr="007475F3" w:rsidRDefault="003237D1">
            <w:pPr>
              <w:autoSpaceDE w:val="0"/>
              <w:autoSpaceDN w:val="0"/>
              <w:adjustRightInd w:val="0"/>
              <w:rPr>
                <w:sz w:val="24"/>
                <w:szCs w:val="24"/>
              </w:rPr>
            </w:pPr>
            <w:r w:rsidRPr="007475F3">
              <w:rPr>
                <w:sz w:val="24"/>
                <w:szCs w:val="24"/>
              </w:rPr>
              <w:t>9,5</w:t>
            </w:r>
          </w:p>
        </w:tc>
      </w:tr>
      <w:tr w:rsidR="003237D1" w:rsidRPr="007475F3" w14:paraId="0AFD12A1"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67A25465"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252" w:type="pct"/>
            <w:gridSpan w:val="2"/>
            <w:tcBorders>
              <w:top w:val="single" w:sz="12" w:space="0" w:color="auto"/>
              <w:left w:val="single" w:sz="12" w:space="0" w:color="auto"/>
              <w:bottom w:val="single" w:sz="12" w:space="0" w:color="auto"/>
              <w:right w:val="single" w:sz="12" w:space="0" w:color="auto"/>
            </w:tcBorders>
            <w:hideMark/>
          </w:tcPr>
          <w:p w14:paraId="598CA59E" w14:textId="77777777" w:rsidR="003237D1" w:rsidRPr="007475F3" w:rsidRDefault="003237D1">
            <w:pPr>
              <w:autoSpaceDE w:val="0"/>
              <w:autoSpaceDN w:val="0"/>
              <w:adjustRightInd w:val="0"/>
              <w:rPr>
                <w:sz w:val="24"/>
                <w:szCs w:val="24"/>
              </w:rPr>
            </w:pPr>
            <w:r w:rsidRPr="007475F3">
              <w:rPr>
                <w:sz w:val="24"/>
                <w:szCs w:val="24"/>
              </w:rPr>
              <w:t>NS</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03BA9311" w14:textId="77777777" w:rsidR="003237D1" w:rsidRPr="007475F3" w:rsidRDefault="003237D1">
            <w:pPr>
              <w:autoSpaceDE w:val="0"/>
              <w:autoSpaceDN w:val="0"/>
              <w:adjustRightInd w:val="0"/>
              <w:rPr>
                <w:sz w:val="24"/>
                <w:szCs w:val="24"/>
              </w:rPr>
            </w:pPr>
            <w:r w:rsidRPr="007475F3">
              <w:rPr>
                <w:sz w:val="24"/>
                <w:szCs w:val="24"/>
              </w:rPr>
              <w:t>p=0,043</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27A89F89" w14:textId="77777777" w:rsidR="003237D1" w:rsidRPr="007475F3" w:rsidRDefault="003237D1">
            <w:pPr>
              <w:autoSpaceDE w:val="0"/>
              <w:autoSpaceDN w:val="0"/>
              <w:adjustRightInd w:val="0"/>
              <w:rPr>
                <w:sz w:val="24"/>
                <w:szCs w:val="24"/>
              </w:rPr>
            </w:pPr>
            <w:r w:rsidRPr="007475F3">
              <w:rPr>
                <w:sz w:val="24"/>
                <w:szCs w:val="24"/>
              </w:rPr>
              <w:t>NS</w:t>
            </w:r>
          </w:p>
        </w:tc>
      </w:tr>
      <w:tr w:rsidR="003237D1" w:rsidRPr="007475F3" w14:paraId="3546FB0E"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29C06562" w14:textId="77777777" w:rsidR="003237D1" w:rsidRPr="007475F3" w:rsidRDefault="003237D1">
            <w:pPr>
              <w:autoSpaceDE w:val="0"/>
              <w:autoSpaceDN w:val="0"/>
              <w:adjustRightInd w:val="0"/>
              <w:rPr>
                <w:sz w:val="24"/>
                <w:szCs w:val="24"/>
              </w:rPr>
            </w:pPr>
            <w:r w:rsidRPr="007475F3">
              <w:rPr>
                <w:sz w:val="24"/>
                <w:szCs w:val="24"/>
              </w:rPr>
              <w:t>Medianvarighed af respons og stabilisering (måneder)</w:t>
            </w:r>
          </w:p>
        </w:tc>
        <w:tc>
          <w:tcPr>
            <w:tcW w:w="625" w:type="pct"/>
            <w:tcBorders>
              <w:top w:val="single" w:sz="12" w:space="0" w:color="auto"/>
              <w:left w:val="single" w:sz="12" w:space="0" w:color="auto"/>
              <w:bottom w:val="single" w:sz="12" w:space="0" w:color="auto"/>
              <w:right w:val="single" w:sz="12" w:space="0" w:color="auto"/>
            </w:tcBorders>
            <w:hideMark/>
          </w:tcPr>
          <w:p w14:paraId="54FE3199" w14:textId="77777777" w:rsidR="003237D1" w:rsidRPr="007475F3" w:rsidRDefault="003237D1">
            <w:pPr>
              <w:autoSpaceDE w:val="0"/>
              <w:autoSpaceDN w:val="0"/>
              <w:adjustRightInd w:val="0"/>
              <w:rPr>
                <w:sz w:val="24"/>
                <w:szCs w:val="24"/>
              </w:rPr>
            </w:pPr>
            <w:r w:rsidRPr="007475F3">
              <w:rPr>
                <w:sz w:val="24"/>
                <w:szCs w:val="24"/>
              </w:rPr>
              <w:t>8,6</w:t>
            </w:r>
          </w:p>
        </w:tc>
        <w:tc>
          <w:tcPr>
            <w:tcW w:w="627" w:type="pct"/>
            <w:tcBorders>
              <w:top w:val="single" w:sz="12" w:space="0" w:color="auto"/>
              <w:left w:val="single" w:sz="12" w:space="0" w:color="auto"/>
              <w:bottom w:val="single" w:sz="12" w:space="0" w:color="auto"/>
              <w:right w:val="single" w:sz="12" w:space="0" w:color="auto"/>
            </w:tcBorders>
            <w:hideMark/>
          </w:tcPr>
          <w:p w14:paraId="36C1A1FC" w14:textId="77777777" w:rsidR="003237D1" w:rsidRPr="007475F3" w:rsidRDefault="003237D1">
            <w:pPr>
              <w:autoSpaceDE w:val="0"/>
              <w:autoSpaceDN w:val="0"/>
              <w:adjustRightInd w:val="0"/>
              <w:rPr>
                <w:sz w:val="24"/>
                <w:szCs w:val="24"/>
              </w:rPr>
            </w:pPr>
            <w:r w:rsidRPr="007475F3">
              <w:rPr>
                <w:sz w:val="24"/>
                <w:szCs w:val="24"/>
              </w:rPr>
              <w:t>6,2</w:t>
            </w:r>
          </w:p>
        </w:tc>
        <w:tc>
          <w:tcPr>
            <w:tcW w:w="625" w:type="pct"/>
            <w:tcBorders>
              <w:top w:val="single" w:sz="12" w:space="0" w:color="auto"/>
              <w:left w:val="single" w:sz="12" w:space="0" w:color="auto"/>
              <w:bottom w:val="single" w:sz="12" w:space="0" w:color="auto"/>
              <w:right w:val="single" w:sz="12" w:space="0" w:color="auto"/>
            </w:tcBorders>
            <w:hideMark/>
          </w:tcPr>
          <w:p w14:paraId="3D700D80" w14:textId="77777777" w:rsidR="003237D1" w:rsidRPr="007475F3" w:rsidRDefault="003237D1">
            <w:pPr>
              <w:autoSpaceDE w:val="0"/>
              <w:autoSpaceDN w:val="0"/>
              <w:adjustRightInd w:val="0"/>
              <w:rPr>
                <w:sz w:val="24"/>
                <w:szCs w:val="24"/>
              </w:rPr>
            </w:pPr>
            <w:r w:rsidRPr="007475F3">
              <w:rPr>
                <w:sz w:val="24"/>
                <w:szCs w:val="24"/>
              </w:rPr>
              <w:t>8,3</w:t>
            </w:r>
          </w:p>
        </w:tc>
        <w:tc>
          <w:tcPr>
            <w:tcW w:w="625" w:type="pct"/>
            <w:tcBorders>
              <w:top w:val="single" w:sz="12" w:space="0" w:color="auto"/>
              <w:left w:val="single" w:sz="12" w:space="0" w:color="auto"/>
              <w:bottom w:val="single" w:sz="12" w:space="0" w:color="auto"/>
              <w:right w:val="single" w:sz="12" w:space="0" w:color="auto"/>
            </w:tcBorders>
            <w:hideMark/>
          </w:tcPr>
          <w:p w14:paraId="0EC2AFE2" w14:textId="77777777" w:rsidR="003237D1" w:rsidRPr="007475F3" w:rsidRDefault="003237D1">
            <w:pPr>
              <w:autoSpaceDE w:val="0"/>
              <w:autoSpaceDN w:val="0"/>
              <w:adjustRightInd w:val="0"/>
              <w:rPr>
                <w:sz w:val="24"/>
                <w:szCs w:val="24"/>
              </w:rPr>
            </w:pPr>
            <w:r w:rsidRPr="007475F3">
              <w:rPr>
                <w:sz w:val="24"/>
                <w:szCs w:val="24"/>
              </w:rPr>
              <w:t>6,7</w:t>
            </w:r>
          </w:p>
        </w:tc>
        <w:tc>
          <w:tcPr>
            <w:tcW w:w="625" w:type="pct"/>
            <w:tcBorders>
              <w:top w:val="single" w:sz="12" w:space="0" w:color="auto"/>
              <w:left w:val="single" w:sz="12" w:space="0" w:color="auto"/>
              <w:bottom w:val="single" w:sz="12" w:space="0" w:color="auto"/>
              <w:right w:val="single" w:sz="12" w:space="0" w:color="auto"/>
            </w:tcBorders>
            <w:hideMark/>
          </w:tcPr>
          <w:p w14:paraId="5DE23669" w14:textId="77777777" w:rsidR="003237D1" w:rsidRPr="007475F3" w:rsidRDefault="003237D1">
            <w:pPr>
              <w:autoSpaceDE w:val="0"/>
              <w:autoSpaceDN w:val="0"/>
              <w:adjustRightInd w:val="0"/>
              <w:rPr>
                <w:sz w:val="24"/>
                <w:szCs w:val="24"/>
              </w:rPr>
            </w:pPr>
            <w:r w:rsidRPr="007475F3">
              <w:rPr>
                <w:sz w:val="24"/>
                <w:szCs w:val="24"/>
              </w:rPr>
              <w:t>8,5</w:t>
            </w:r>
          </w:p>
        </w:tc>
        <w:tc>
          <w:tcPr>
            <w:tcW w:w="625" w:type="pct"/>
            <w:tcBorders>
              <w:top w:val="single" w:sz="12" w:space="0" w:color="auto"/>
              <w:left w:val="single" w:sz="12" w:space="0" w:color="auto"/>
              <w:bottom w:val="single" w:sz="12" w:space="0" w:color="auto"/>
              <w:right w:val="single" w:sz="12" w:space="0" w:color="auto"/>
            </w:tcBorders>
            <w:hideMark/>
          </w:tcPr>
          <w:p w14:paraId="4A4E34A8" w14:textId="77777777" w:rsidR="003237D1" w:rsidRPr="007475F3" w:rsidRDefault="003237D1">
            <w:pPr>
              <w:autoSpaceDE w:val="0"/>
              <w:autoSpaceDN w:val="0"/>
              <w:adjustRightInd w:val="0"/>
              <w:rPr>
                <w:sz w:val="24"/>
                <w:szCs w:val="24"/>
              </w:rPr>
            </w:pPr>
            <w:r w:rsidRPr="007475F3">
              <w:rPr>
                <w:sz w:val="24"/>
                <w:szCs w:val="24"/>
              </w:rPr>
              <w:t>5,6</w:t>
            </w:r>
          </w:p>
        </w:tc>
      </w:tr>
      <w:tr w:rsidR="003237D1" w:rsidRPr="007475F3" w14:paraId="0BA00724" w14:textId="77777777" w:rsidTr="00C02BD5">
        <w:tc>
          <w:tcPr>
            <w:tcW w:w="1249" w:type="pct"/>
            <w:tcBorders>
              <w:top w:val="single" w:sz="12" w:space="0" w:color="auto"/>
              <w:left w:val="single" w:sz="12" w:space="0" w:color="auto"/>
              <w:bottom w:val="single" w:sz="12" w:space="0" w:color="auto"/>
              <w:right w:val="single" w:sz="4" w:space="0" w:color="auto"/>
            </w:tcBorders>
            <w:hideMark/>
          </w:tcPr>
          <w:p w14:paraId="7F1A22BF"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252" w:type="pct"/>
            <w:gridSpan w:val="2"/>
            <w:tcBorders>
              <w:top w:val="single" w:sz="12" w:space="0" w:color="auto"/>
              <w:left w:val="single" w:sz="4" w:space="0" w:color="auto"/>
              <w:bottom w:val="single" w:sz="12" w:space="0" w:color="auto"/>
              <w:right w:val="single" w:sz="12" w:space="0" w:color="auto"/>
            </w:tcBorders>
            <w:hideMark/>
          </w:tcPr>
          <w:p w14:paraId="28B3F159" w14:textId="77777777" w:rsidR="003237D1" w:rsidRPr="007475F3" w:rsidRDefault="003237D1">
            <w:pPr>
              <w:autoSpaceDE w:val="0"/>
              <w:autoSpaceDN w:val="0"/>
              <w:adjustRightInd w:val="0"/>
              <w:rPr>
                <w:sz w:val="24"/>
                <w:szCs w:val="24"/>
              </w:rPr>
            </w:pPr>
            <w:r w:rsidRPr="007475F3">
              <w:rPr>
                <w:sz w:val="24"/>
                <w:szCs w:val="24"/>
              </w:rPr>
              <w:t>p&lt;0,001</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1A3EB5D5" w14:textId="77777777" w:rsidR="003237D1" w:rsidRPr="007475F3" w:rsidRDefault="003237D1">
            <w:pPr>
              <w:autoSpaceDE w:val="0"/>
              <w:autoSpaceDN w:val="0"/>
              <w:adjustRightInd w:val="0"/>
              <w:rPr>
                <w:sz w:val="24"/>
                <w:szCs w:val="24"/>
              </w:rPr>
            </w:pPr>
            <w:r w:rsidRPr="007475F3">
              <w:rPr>
                <w:sz w:val="24"/>
                <w:szCs w:val="24"/>
              </w:rPr>
              <w:t>NS</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72D25F54" w14:textId="77777777" w:rsidR="003237D1" w:rsidRPr="007475F3" w:rsidRDefault="003237D1">
            <w:pPr>
              <w:autoSpaceDE w:val="0"/>
              <w:autoSpaceDN w:val="0"/>
              <w:adjustRightInd w:val="0"/>
              <w:rPr>
                <w:sz w:val="24"/>
                <w:szCs w:val="24"/>
              </w:rPr>
            </w:pPr>
            <w:r w:rsidRPr="007475F3">
              <w:rPr>
                <w:sz w:val="24"/>
                <w:szCs w:val="24"/>
              </w:rPr>
              <w:t>p=0,003</w:t>
            </w:r>
          </w:p>
        </w:tc>
      </w:tr>
      <w:tr w:rsidR="003237D1" w:rsidRPr="007475F3" w14:paraId="2BBDAA3F"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153E99AB" w14:textId="77777777" w:rsidR="003237D1" w:rsidRPr="007475F3" w:rsidRDefault="003237D1">
            <w:pPr>
              <w:autoSpaceDE w:val="0"/>
              <w:autoSpaceDN w:val="0"/>
              <w:adjustRightInd w:val="0"/>
              <w:rPr>
                <w:sz w:val="24"/>
                <w:szCs w:val="24"/>
              </w:rPr>
            </w:pPr>
            <w:r w:rsidRPr="007475F3">
              <w:rPr>
                <w:sz w:val="24"/>
                <w:szCs w:val="24"/>
              </w:rPr>
              <w:t>Mediantid til behandlingssvigt (måneder)</w:t>
            </w:r>
          </w:p>
        </w:tc>
        <w:tc>
          <w:tcPr>
            <w:tcW w:w="625" w:type="pct"/>
            <w:tcBorders>
              <w:top w:val="single" w:sz="12" w:space="0" w:color="auto"/>
              <w:left w:val="single" w:sz="12" w:space="0" w:color="auto"/>
              <w:bottom w:val="single" w:sz="12" w:space="0" w:color="auto"/>
              <w:right w:val="single" w:sz="12" w:space="0" w:color="auto"/>
            </w:tcBorders>
            <w:hideMark/>
          </w:tcPr>
          <w:p w14:paraId="1D99E155" w14:textId="77777777" w:rsidR="003237D1" w:rsidRPr="007475F3" w:rsidRDefault="003237D1">
            <w:pPr>
              <w:autoSpaceDE w:val="0"/>
              <w:autoSpaceDN w:val="0"/>
              <w:adjustRightInd w:val="0"/>
              <w:rPr>
                <w:sz w:val="24"/>
                <w:szCs w:val="24"/>
              </w:rPr>
            </w:pPr>
            <w:r w:rsidRPr="007475F3">
              <w:rPr>
                <w:sz w:val="24"/>
                <w:szCs w:val="24"/>
              </w:rPr>
              <w:t>5,3</w:t>
            </w:r>
          </w:p>
        </w:tc>
        <w:tc>
          <w:tcPr>
            <w:tcW w:w="627" w:type="pct"/>
            <w:tcBorders>
              <w:top w:val="single" w:sz="12" w:space="0" w:color="auto"/>
              <w:left w:val="single" w:sz="12" w:space="0" w:color="auto"/>
              <w:bottom w:val="single" w:sz="12" w:space="0" w:color="auto"/>
              <w:right w:val="single" w:sz="12" w:space="0" w:color="auto"/>
            </w:tcBorders>
            <w:hideMark/>
          </w:tcPr>
          <w:p w14:paraId="336633CD" w14:textId="77777777" w:rsidR="003237D1" w:rsidRPr="007475F3" w:rsidRDefault="003237D1">
            <w:pPr>
              <w:autoSpaceDE w:val="0"/>
              <w:autoSpaceDN w:val="0"/>
              <w:adjustRightInd w:val="0"/>
              <w:rPr>
                <w:sz w:val="24"/>
                <w:szCs w:val="24"/>
              </w:rPr>
            </w:pPr>
            <w:r w:rsidRPr="007475F3">
              <w:rPr>
                <w:sz w:val="24"/>
                <w:szCs w:val="24"/>
              </w:rPr>
              <w:t>3,8</w:t>
            </w:r>
          </w:p>
        </w:tc>
        <w:tc>
          <w:tcPr>
            <w:tcW w:w="625" w:type="pct"/>
            <w:tcBorders>
              <w:top w:val="single" w:sz="12" w:space="0" w:color="auto"/>
              <w:left w:val="single" w:sz="12" w:space="0" w:color="auto"/>
              <w:bottom w:val="single" w:sz="12" w:space="0" w:color="auto"/>
              <w:right w:val="single" w:sz="12" w:space="0" w:color="auto"/>
            </w:tcBorders>
            <w:hideMark/>
          </w:tcPr>
          <w:p w14:paraId="72DE029B" w14:textId="77777777" w:rsidR="003237D1" w:rsidRPr="007475F3" w:rsidRDefault="003237D1">
            <w:pPr>
              <w:autoSpaceDE w:val="0"/>
              <w:autoSpaceDN w:val="0"/>
              <w:adjustRightInd w:val="0"/>
              <w:rPr>
                <w:sz w:val="24"/>
                <w:szCs w:val="24"/>
              </w:rPr>
            </w:pPr>
            <w:r w:rsidRPr="007475F3">
              <w:rPr>
                <w:sz w:val="24"/>
                <w:szCs w:val="24"/>
              </w:rPr>
              <w:t>5,4</w:t>
            </w:r>
          </w:p>
        </w:tc>
        <w:tc>
          <w:tcPr>
            <w:tcW w:w="625" w:type="pct"/>
            <w:tcBorders>
              <w:top w:val="single" w:sz="12" w:space="0" w:color="auto"/>
              <w:left w:val="single" w:sz="12" w:space="0" w:color="auto"/>
              <w:bottom w:val="single" w:sz="12" w:space="0" w:color="auto"/>
              <w:right w:val="single" w:sz="12" w:space="0" w:color="auto"/>
            </w:tcBorders>
            <w:hideMark/>
          </w:tcPr>
          <w:p w14:paraId="4A16EAEB" w14:textId="77777777" w:rsidR="003237D1" w:rsidRPr="007475F3" w:rsidRDefault="003237D1">
            <w:pPr>
              <w:autoSpaceDE w:val="0"/>
              <w:autoSpaceDN w:val="0"/>
              <w:adjustRightInd w:val="0"/>
              <w:rPr>
                <w:sz w:val="24"/>
                <w:szCs w:val="24"/>
              </w:rPr>
            </w:pPr>
            <w:r w:rsidRPr="007475F3">
              <w:rPr>
                <w:sz w:val="24"/>
                <w:szCs w:val="24"/>
              </w:rPr>
              <w:t>5,0</w:t>
            </w:r>
          </w:p>
        </w:tc>
        <w:tc>
          <w:tcPr>
            <w:tcW w:w="625" w:type="pct"/>
            <w:tcBorders>
              <w:top w:val="single" w:sz="12" w:space="0" w:color="auto"/>
              <w:left w:val="single" w:sz="12" w:space="0" w:color="auto"/>
              <w:bottom w:val="single" w:sz="12" w:space="0" w:color="auto"/>
              <w:right w:val="single" w:sz="12" w:space="0" w:color="auto"/>
            </w:tcBorders>
            <w:hideMark/>
          </w:tcPr>
          <w:p w14:paraId="6C3F27E3" w14:textId="77777777" w:rsidR="003237D1" w:rsidRPr="007475F3" w:rsidRDefault="003237D1">
            <w:pPr>
              <w:autoSpaceDE w:val="0"/>
              <w:autoSpaceDN w:val="0"/>
              <w:adjustRightInd w:val="0"/>
              <w:rPr>
                <w:sz w:val="24"/>
                <w:szCs w:val="24"/>
              </w:rPr>
            </w:pPr>
            <w:r w:rsidRPr="007475F3">
              <w:rPr>
                <w:sz w:val="24"/>
                <w:szCs w:val="24"/>
              </w:rPr>
              <w:t>5,1</w:t>
            </w:r>
          </w:p>
        </w:tc>
        <w:tc>
          <w:tcPr>
            <w:tcW w:w="625" w:type="pct"/>
            <w:tcBorders>
              <w:top w:val="single" w:sz="12" w:space="0" w:color="auto"/>
              <w:left w:val="single" w:sz="12" w:space="0" w:color="auto"/>
              <w:bottom w:val="single" w:sz="12" w:space="0" w:color="auto"/>
              <w:right w:val="single" w:sz="12" w:space="0" w:color="auto"/>
            </w:tcBorders>
            <w:hideMark/>
          </w:tcPr>
          <w:p w14:paraId="4DEA2C98" w14:textId="77777777" w:rsidR="003237D1" w:rsidRPr="007475F3" w:rsidRDefault="003237D1">
            <w:pPr>
              <w:autoSpaceDE w:val="0"/>
              <w:autoSpaceDN w:val="0"/>
              <w:adjustRightInd w:val="0"/>
              <w:rPr>
                <w:sz w:val="24"/>
                <w:szCs w:val="24"/>
              </w:rPr>
            </w:pPr>
            <w:r w:rsidRPr="007475F3">
              <w:rPr>
                <w:sz w:val="24"/>
                <w:szCs w:val="24"/>
              </w:rPr>
              <w:t>3,0</w:t>
            </w:r>
          </w:p>
        </w:tc>
      </w:tr>
      <w:tr w:rsidR="003237D1" w:rsidRPr="007475F3" w14:paraId="70BD5F6C"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2639035D"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252" w:type="pct"/>
            <w:gridSpan w:val="2"/>
            <w:tcBorders>
              <w:top w:val="single" w:sz="12" w:space="0" w:color="auto"/>
              <w:left w:val="single" w:sz="12" w:space="0" w:color="auto"/>
              <w:bottom w:val="single" w:sz="12" w:space="0" w:color="auto"/>
              <w:right w:val="single" w:sz="12" w:space="0" w:color="auto"/>
            </w:tcBorders>
            <w:hideMark/>
          </w:tcPr>
          <w:p w14:paraId="7442BD68" w14:textId="77777777" w:rsidR="003237D1" w:rsidRPr="007475F3" w:rsidRDefault="003237D1">
            <w:pPr>
              <w:autoSpaceDE w:val="0"/>
              <w:autoSpaceDN w:val="0"/>
              <w:adjustRightInd w:val="0"/>
              <w:rPr>
                <w:sz w:val="24"/>
                <w:szCs w:val="24"/>
              </w:rPr>
            </w:pPr>
            <w:r w:rsidRPr="007475F3">
              <w:rPr>
                <w:sz w:val="24"/>
                <w:szCs w:val="24"/>
              </w:rPr>
              <w:t>p=0,0014</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3F692895" w14:textId="77777777" w:rsidR="003237D1" w:rsidRPr="007475F3" w:rsidRDefault="003237D1">
            <w:pPr>
              <w:autoSpaceDE w:val="0"/>
              <w:autoSpaceDN w:val="0"/>
              <w:adjustRightInd w:val="0"/>
              <w:rPr>
                <w:sz w:val="24"/>
                <w:szCs w:val="24"/>
              </w:rPr>
            </w:pPr>
            <w:r w:rsidRPr="007475F3">
              <w:rPr>
                <w:sz w:val="24"/>
                <w:szCs w:val="24"/>
              </w:rPr>
              <w:t>NS</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4046A1E3" w14:textId="77777777" w:rsidR="003237D1" w:rsidRPr="007475F3" w:rsidRDefault="003237D1">
            <w:pPr>
              <w:autoSpaceDE w:val="0"/>
              <w:autoSpaceDN w:val="0"/>
              <w:adjustRightInd w:val="0"/>
              <w:rPr>
                <w:sz w:val="24"/>
                <w:szCs w:val="24"/>
              </w:rPr>
            </w:pPr>
            <w:r w:rsidRPr="007475F3">
              <w:rPr>
                <w:sz w:val="24"/>
                <w:szCs w:val="24"/>
              </w:rPr>
              <w:t>p&lt;0,001</w:t>
            </w:r>
          </w:p>
        </w:tc>
      </w:tr>
      <w:tr w:rsidR="003237D1" w:rsidRPr="007475F3" w14:paraId="01531F85"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2C02A9E5" w14:textId="77777777" w:rsidR="003237D1" w:rsidRPr="007475F3" w:rsidRDefault="003237D1">
            <w:pPr>
              <w:autoSpaceDE w:val="0"/>
              <w:autoSpaceDN w:val="0"/>
              <w:adjustRightInd w:val="0"/>
              <w:rPr>
                <w:sz w:val="24"/>
                <w:szCs w:val="24"/>
              </w:rPr>
            </w:pPr>
            <w:r w:rsidRPr="007475F3">
              <w:rPr>
                <w:sz w:val="24"/>
                <w:szCs w:val="24"/>
              </w:rPr>
              <w:t>Median overlevelse (måneder)</w:t>
            </w:r>
          </w:p>
        </w:tc>
        <w:tc>
          <w:tcPr>
            <w:tcW w:w="625" w:type="pct"/>
            <w:tcBorders>
              <w:top w:val="single" w:sz="12" w:space="0" w:color="auto"/>
              <w:left w:val="single" w:sz="12" w:space="0" w:color="auto"/>
              <w:bottom w:val="single" w:sz="12" w:space="0" w:color="auto"/>
              <w:right w:val="single" w:sz="12" w:space="0" w:color="auto"/>
            </w:tcBorders>
            <w:hideMark/>
          </w:tcPr>
          <w:p w14:paraId="7D3C932D" w14:textId="77777777" w:rsidR="003237D1" w:rsidRPr="007475F3" w:rsidRDefault="003237D1">
            <w:pPr>
              <w:autoSpaceDE w:val="0"/>
              <w:autoSpaceDN w:val="0"/>
              <w:adjustRightInd w:val="0"/>
              <w:rPr>
                <w:sz w:val="24"/>
                <w:szCs w:val="24"/>
              </w:rPr>
            </w:pPr>
            <w:r w:rsidRPr="007475F3">
              <w:rPr>
                <w:sz w:val="24"/>
                <w:szCs w:val="24"/>
              </w:rPr>
              <w:t>16,8</w:t>
            </w:r>
          </w:p>
        </w:tc>
        <w:tc>
          <w:tcPr>
            <w:tcW w:w="627" w:type="pct"/>
            <w:tcBorders>
              <w:top w:val="single" w:sz="12" w:space="0" w:color="auto"/>
              <w:left w:val="single" w:sz="12" w:space="0" w:color="auto"/>
              <w:bottom w:val="single" w:sz="12" w:space="0" w:color="auto"/>
              <w:right w:val="single" w:sz="12" w:space="0" w:color="auto"/>
            </w:tcBorders>
            <w:hideMark/>
          </w:tcPr>
          <w:p w14:paraId="17E70F26" w14:textId="77777777" w:rsidR="003237D1" w:rsidRPr="007475F3" w:rsidRDefault="003237D1">
            <w:pPr>
              <w:autoSpaceDE w:val="0"/>
              <w:autoSpaceDN w:val="0"/>
              <w:adjustRightInd w:val="0"/>
              <w:rPr>
                <w:sz w:val="24"/>
                <w:szCs w:val="24"/>
              </w:rPr>
            </w:pPr>
            <w:r w:rsidRPr="007475F3">
              <w:rPr>
                <w:sz w:val="24"/>
                <w:szCs w:val="24"/>
              </w:rPr>
              <w:t>14,0</w:t>
            </w:r>
          </w:p>
        </w:tc>
        <w:tc>
          <w:tcPr>
            <w:tcW w:w="625" w:type="pct"/>
            <w:tcBorders>
              <w:top w:val="single" w:sz="12" w:space="0" w:color="auto"/>
              <w:left w:val="single" w:sz="12" w:space="0" w:color="auto"/>
              <w:bottom w:val="single" w:sz="12" w:space="0" w:color="auto"/>
              <w:right w:val="single" w:sz="12" w:space="0" w:color="auto"/>
            </w:tcBorders>
            <w:hideMark/>
          </w:tcPr>
          <w:p w14:paraId="163CEA91" w14:textId="77777777" w:rsidR="003237D1" w:rsidRPr="007475F3" w:rsidRDefault="003237D1">
            <w:pPr>
              <w:autoSpaceDE w:val="0"/>
              <w:autoSpaceDN w:val="0"/>
              <w:adjustRightInd w:val="0"/>
              <w:rPr>
                <w:sz w:val="24"/>
                <w:szCs w:val="24"/>
              </w:rPr>
            </w:pPr>
            <w:r w:rsidRPr="007475F3">
              <w:rPr>
                <w:sz w:val="24"/>
                <w:szCs w:val="24"/>
              </w:rPr>
              <w:t>19,2</w:t>
            </w:r>
          </w:p>
        </w:tc>
        <w:tc>
          <w:tcPr>
            <w:tcW w:w="625" w:type="pct"/>
            <w:tcBorders>
              <w:top w:val="single" w:sz="12" w:space="0" w:color="auto"/>
              <w:left w:val="single" w:sz="12" w:space="0" w:color="auto"/>
              <w:bottom w:val="single" w:sz="12" w:space="0" w:color="auto"/>
              <w:right w:val="single" w:sz="12" w:space="0" w:color="auto"/>
            </w:tcBorders>
            <w:hideMark/>
          </w:tcPr>
          <w:p w14:paraId="39FF7446" w14:textId="77777777" w:rsidR="003237D1" w:rsidRPr="007475F3" w:rsidRDefault="003237D1">
            <w:pPr>
              <w:autoSpaceDE w:val="0"/>
              <w:autoSpaceDN w:val="0"/>
              <w:adjustRightInd w:val="0"/>
              <w:rPr>
                <w:sz w:val="24"/>
                <w:szCs w:val="24"/>
              </w:rPr>
            </w:pPr>
            <w:r w:rsidRPr="007475F3">
              <w:rPr>
                <w:sz w:val="24"/>
                <w:szCs w:val="24"/>
              </w:rPr>
              <w:t>14,1</w:t>
            </w:r>
          </w:p>
        </w:tc>
        <w:tc>
          <w:tcPr>
            <w:tcW w:w="625" w:type="pct"/>
            <w:tcBorders>
              <w:top w:val="single" w:sz="12" w:space="0" w:color="auto"/>
              <w:left w:val="single" w:sz="12" w:space="0" w:color="auto"/>
              <w:bottom w:val="single" w:sz="12" w:space="0" w:color="auto"/>
              <w:right w:val="single" w:sz="12" w:space="0" w:color="auto"/>
            </w:tcBorders>
            <w:hideMark/>
          </w:tcPr>
          <w:p w14:paraId="181C72BB" w14:textId="77777777" w:rsidR="003237D1" w:rsidRPr="007475F3" w:rsidRDefault="003237D1">
            <w:pPr>
              <w:autoSpaceDE w:val="0"/>
              <w:autoSpaceDN w:val="0"/>
              <w:adjustRightInd w:val="0"/>
              <w:rPr>
                <w:sz w:val="24"/>
                <w:szCs w:val="24"/>
              </w:rPr>
            </w:pPr>
            <w:r w:rsidRPr="007475F3">
              <w:rPr>
                <w:sz w:val="24"/>
                <w:szCs w:val="24"/>
              </w:rPr>
              <w:t>15,6</w:t>
            </w:r>
          </w:p>
        </w:tc>
        <w:tc>
          <w:tcPr>
            <w:tcW w:w="625" w:type="pct"/>
            <w:tcBorders>
              <w:top w:val="single" w:sz="12" w:space="0" w:color="auto"/>
              <w:left w:val="single" w:sz="12" w:space="0" w:color="auto"/>
              <w:bottom w:val="single" w:sz="12" w:space="0" w:color="auto"/>
              <w:right w:val="single" w:sz="12" w:space="0" w:color="auto"/>
            </w:tcBorders>
            <w:hideMark/>
          </w:tcPr>
          <w:p w14:paraId="166A267C" w14:textId="77777777" w:rsidR="003237D1" w:rsidRPr="007475F3" w:rsidRDefault="003237D1">
            <w:pPr>
              <w:autoSpaceDE w:val="0"/>
              <w:autoSpaceDN w:val="0"/>
              <w:adjustRightInd w:val="0"/>
              <w:rPr>
                <w:sz w:val="24"/>
                <w:szCs w:val="24"/>
              </w:rPr>
            </w:pPr>
            <w:r w:rsidRPr="007475F3">
              <w:rPr>
                <w:sz w:val="24"/>
                <w:szCs w:val="24"/>
              </w:rPr>
              <w:t>13,0</w:t>
            </w:r>
          </w:p>
        </w:tc>
      </w:tr>
      <w:tr w:rsidR="003237D1" w:rsidRPr="007475F3" w14:paraId="2577B0E3" w14:textId="77777777" w:rsidTr="00C02BD5">
        <w:tc>
          <w:tcPr>
            <w:tcW w:w="1249" w:type="pct"/>
            <w:tcBorders>
              <w:top w:val="single" w:sz="12" w:space="0" w:color="auto"/>
              <w:left w:val="single" w:sz="12" w:space="0" w:color="auto"/>
              <w:bottom w:val="single" w:sz="12" w:space="0" w:color="auto"/>
              <w:right w:val="single" w:sz="12" w:space="0" w:color="auto"/>
            </w:tcBorders>
            <w:hideMark/>
          </w:tcPr>
          <w:p w14:paraId="6CECD4D4"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252" w:type="pct"/>
            <w:gridSpan w:val="2"/>
            <w:tcBorders>
              <w:top w:val="single" w:sz="12" w:space="0" w:color="auto"/>
              <w:left w:val="single" w:sz="12" w:space="0" w:color="auto"/>
              <w:bottom w:val="single" w:sz="12" w:space="0" w:color="auto"/>
              <w:right w:val="single" w:sz="12" w:space="0" w:color="auto"/>
            </w:tcBorders>
            <w:hideMark/>
          </w:tcPr>
          <w:p w14:paraId="54ADCCF7" w14:textId="77777777" w:rsidR="003237D1" w:rsidRPr="007475F3" w:rsidRDefault="003237D1">
            <w:pPr>
              <w:autoSpaceDE w:val="0"/>
              <w:autoSpaceDN w:val="0"/>
              <w:adjustRightInd w:val="0"/>
              <w:rPr>
                <w:sz w:val="24"/>
                <w:szCs w:val="24"/>
              </w:rPr>
            </w:pPr>
            <w:r w:rsidRPr="007475F3">
              <w:rPr>
                <w:sz w:val="24"/>
                <w:szCs w:val="24"/>
              </w:rPr>
              <w:t>p=0,028</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2A9D002A" w14:textId="77777777" w:rsidR="003237D1" w:rsidRPr="007475F3" w:rsidRDefault="003237D1">
            <w:pPr>
              <w:autoSpaceDE w:val="0"/>
              <w:autoSpaceDN w:val="0"/>
              <w:adjustRightInd w:val="0"/>
              <w:rPr>
                <w:sz w:val="24"/>
                <w:szCs w:val="24"/>
              </w:rPr>
            </w:pPr>
            <w:r w:rsidRPr="007475F3">
              <w:rPr>
                <w:sz w:val="24"/>
                <w:szCs w:val="24"/>
              </w:rPr>
              <w:t>NS</w:t>
            </w:r>
          </w:p>
        </w:tc>
        <w:tc>
          <w:tcPr>
            <w:tcW w:w="1249" w:type="pct"/>
            <w:gridSpan w:val="2"/>
            <w:tcBorders>
              <w:top w:val="single" w:sz="12" w:space="0" w:color="auto"/>
              <w:left w:val="single" w:sz="12" w:space="0" w:color="auto"/>
              <w:bottom w:val="single" w:sz="12" w:space="0" w:color="auto"/>
              <w:right w:val="single" w:sz="12" w:space="0" w:color="auto"/>
            </w:tcBorders>
            <w:hideMark/>
          </w:tcPr>
          <w:p w14:paraId="641C1C54" w14:textId="77777777" w:rsidR="003237D1" w:rsidRPr="007475F3" w:rsidRDefault="003237D1">
            <w:pPr>
              <w:autoSpaceDE w:val="0"/>
              <w:autoSpaceDN w:val="0"/>
              <w:adjustRightInd w:val="0"/>
              <w:rPr>
                <w:sz w:val="24"/>
                <w:szCs w:val="24"/>
              </w:rPr>
            </w:pPr>
            <w:r w:rsidRPr="007475F3">
              <w:rPr>
                <w:sz w:val="24"/>
                <w:szCs w:val="24"/>
              </w:rPr>
              <w:t>p=0,041</w:t>
            </w:r>
          </w:p>
        </w:tc>
      </w:tr>
    </w:tbl>
    <w:p w14:paraId="7BC9BD4B" w14:textId="77777777" w:rsidR="003237D1" w:rsidRPr="007475F3" w:rsidRDefault="003237D1" w:rsidP="003237D1">
      <w:pPr>
        <w:autoSpaceDE w:val="0"/>
        <w:autoSpaceDN w:val="0"/>
        <w:adjustRightInd w:val="0"/>
        <w:rPr>
          <w:sz w:val="24"/>
          <w:szCs w:val="24"/>
        </w:rPr>
      </w:pPr>
      <w:r w:rsidRPr="007475F3">
        <w:rPr>
          <w:sz w:val="24"/>
          <w:szCs w:val="24"/>
        </w:rPr>
        <w:t>5FU: 5-fluorouracil</w:t>
      </w:r>
    </w:p>
    <w:p w14:paraId="056FD55E" w14:textId="77777777" w:rsidR="003237D1" w:rsidRPr="007475F3" w:rsidRDefault="003237D1" w:rsidP="003237D1">
      <w:pPr>
        <w:autoSpaceDE w:val="0"/>
        <w:autoSpaceDN w:val="0"/>
        <w:adjustRightInd w:val="0"/>
        <w:rPr>
          <w:sz w:val="24"/>
          <w:szCs w:val="24"/>
        </w:rPr>
      </w:pPr>
      <w:r w:rsidRPr="007475F3">
        <w:rPr>
          <w:sz w:val="24"/>
          <w:szCs w:val="24"/>
        </w:rPr>
        <w:t xml:space="preserve">FA: </w:t>
      </w:r>
      <w:proofErr w:type="spellStart"/>
      <w:r w:rsidRPr="007475F3">
        <w:rPr>
          <w:sz w:val="24"/>
          <w:szCs w:val="24"/>
        </w:rPr>
        <w:t>folininsyre</w:t>
      </w:r>
      <w:proofErr w:type="spellEnd"/>
    </w:p>
    <w:p w14:paraId="2E593903" w14:textId="77777777" w:rsidR="003237D1" w:rsidRPr="007475F3" w:rsidRDefault="003237D1" w:rsidP="003237D1">
      <w:pPr>
        <w:autoSpaceDE w:val="0"/>
        <w:autoSpaceDN w:val="0"/>
        <w:adjustRightInd w:val="0"/>
        <w:rPr>
          <w:sz w:val="24"/>
          <w:szCs w:val="24"/>
        </w:rPr>
      </w:pPr>
      <w:r w:rsidRPr="007475F3">
        <w:rPr>
          <w:sz w:val="24"/>
          <w:szCs w:val="24"/>
        </w:rPr>
        <w:t>NS: Ikke signifikant</w:t>
      </w:r>
    </w:p>
    <w:p w14:paraId="2FECF4F8" w14:textId="77777777" w:rsidR="003237D1" w:rsidRPr="007475F3" w:rsidRDefault="003237D1" w:rsidP="003237D1">
      <w:pPr>
        <w:autoSpaceDE w:val="0"/>
        <w:autoSpaceDN w:val="0"/>
        <w:adjustRightInd w:val="0"/>
        <w:rPr>
          <w:sz w:val="24"/>
          <w:szCs w:val="24"/>
        </w:rPr>
      </w:pPr>
      <w:r w:rsidRPr="007475F3">
        <w:rPr>
          <w:sz w:val="24"/>
          <w:szCs w:val="24"/>
        </w:rPr>
        <w:t>*: I henhold til populationsanalyse i protokol</w:t>
      </w:r>
    </w:p>
    <w:p w14:paraId="307E8F82" w14:textId="77777777" w:rsidR="003237D1" w:rsidRPr="007475F3" w:rsidRDefault="003237D1" w:rsidP="003237D1">
      <w:pPr>
        <w:autoSpaceDE w:val="0"/>
        <w:autoSpaceDN w:val="0"/>
        <w:adjustRightInd w:val="0"/>
        <w:rPr>
          <w:sz w:val="24"/>
          <w:szCs w:val="24"/>
        </w:rPr>
      </w:pPr>
    </w:p>
    <w:p w14:paraId="025437A9" w14:textId="77777777" w:rsidR="003237D1" w:rsidRPr="007475F3" w:rsidRDefault="003237D1" w:rsidP="00C02BD5">
      <w:pPr>
        <w:autoSpaceDE w:val="0"/>
        <w:autoSpaceDN w:val="0"/>
        <w:adjustRightInd w:val="0"/>
        <w:ind w:left="851"/>
        <w:rPr>
          <w:sz w:val="24"/>
          <w:szCs w:val="24"/>
        </w:rPr>
      </w:pPr>
      <w:r w:rsidRPr="007475F3">
        <w:rPr>
          <w:sz w:val="24"/>
          <w:szCs w:val="24"/>
        </w:rPr>
        <w:t xml:space="preserve">I det ugentlige regime var forekomsten af svær diarré 44,4 % hos de patienter, der blev behandlet med </w:t>
      </w:r>
      <w:proofErr w:type="spellStart"/>
      <w:r w:rsidRPr="007475F3">
        <w:rPr>
          <w:sz w:val="24"/>
          <w:szCs w:val="24"/>
        </w:rPr>
        <w:t>irinotecan</w:t>
      </w:r>
      <w:proofErr w:type="spellEnd"/>
      <w:r w:rsidRPr="007475F3">
        <w:rPr>
          <w:sz w:val="24"/>
          <w:szCs w:val="24"/>
        </w:rPr>
        <w:t xml:space="preserve"> i kombination med 5FU/FA, og 25,6 % hos de patienter, der blev behandlet med 5FU/FA alene. Forekomsten af svær </w:t>
      </w:r>
      <w:proofErr w:type="spellStart"/>
      <w:r w:rsidRPr="007475F3">
        <w:rPr>
          <w:sz w:val="24"/>
          <w:szCs w:val="24"/>
        </w:rPr>
        <w:t>neutropeni</w:t>
      </w:r>
      <w:proofErr w:type="spellEnd"/>
      <w:r w:rsidRPr="007475F3">
        <w:rPr>
          <w:sz w:val="24"/>
          <w:szCs w:val="24"/>
        </w:rPr>
        <w:t xml:space="preserve"> (</w:t>
      </w:r>
      <w:proofErr w:type="spellStart"/>
      <w:r w:rsidRPr="007475F3">
        <w:rPr>
          <w:sz w:val="24"/>
          <w:szCs w:val="24"/>
        </w:rPr>
        <w:t>neutrofiltal</w:t>
      </w:r>
      <w:proofErr w:type="spellEnd"/>
      <w:r w:rsidRPr="007475F3">
        <w:rPr>
          <w:sz w:val="24"/>
          <w:szCs w:val="24"/>
        </w:rPr>
        <w:t xml:space="preserve"> &lt;500 celler/mm</w:t>
      </w:r>
      <w:r w:rsidRPr="007475F3">
        <w:rPr>
          <w:sz w:val="24"/>
          <w:szCs w:val="24"/>
          <w:vertAlign w:val="superscript"/>
        </w:rPr>
        <w:t>3</w:t>
      </w:r>
      <w:r w:rsidRPr="007475F3">
        <w:rPr>
          <w:sz w:val="24"/>
          <w:szCs w:val="24"/>
        </w:rPr>
        <w:t xml:space="preserve">) var 5,8 % hos patienter behandlet med </w:t>
      </w:r>
      <w:proofErr w:type="spellStart"/>
      <w:r w:rsidRPr="007475F3">
        <w:rPr>
          <w:sz w:val="24"/>
          <w:szCs w:val="24"/>
        </w:rPr>
        <w:t>irinotecan</w:t>
      </w:r>
      <w:proofErr w:type="spellEnd"/>
      <w:r w:rsidRPr="007475F3">
        <w:rPr>
          <w:sz w:val="24"/>
          <w:szCs w:val="24"/>
        </w:rPr>
        <w:t xml:space="preserve"> i kombination med 5FU/FA og 2,4 % hos patienter behandlet med 5FU/FA alene.</w:t>
      </w:r>
    </w:p>
    <w:p w14:paraId="73E8022B" w14:textId="77777777" w:rsidR="003237D1" w:rsidRPr="007475F3" w:rsidRDefault="003237D1" w:rsidP="00C02BD5">
      <w:pPr>
        <w:autoSpaceDE w:val="0"/>
        <w:autoSpaceDN w:val="0"/>
        <w:adjustRightInd w:val="0"/>
        <w:ind w:left="851"/>
        <w:rPr>
          <w:sz w:val="24"/>
          <w:szCs w:val="24"/>
        </w:rPr>
      </w:pPr>
    </w:p>
    <w:p w14:paraId="26A8192C" w14:textId="77777777" w:rsidR="003237D1" w:rsidRPr="007475F3" w:rsidRDefault="003237D1" w:rsidP="00C02BD5">
      <w:pPr>
        <w:autoSpaceDE w:val="0"/>
        <w:autoSpaceDN w:val="0"/>
        <w:adjustRightInd w:val="0"/>
        <w:ind w:left="851"/>
        <w:rPr>
          <w:sz w:val="24"/>
          <w:szCs w:val="24"/>
        </w:rPr>
      </w:pPr>
      <w:r w:rsidRPr="007475F3">
        <w:rPr>
          <w:sz w:val="24"/>
          <w:szCs w:val="24"/>
        </w:rPr>
        <w:t xml:space="preserve">Desuden var mediantiden til definitiv forværring af performance status signifikant længere i gruppen, der fik </w:t>
      </w:r>
      <w:proofErr w:type="spellStart"/>
      <w:r w:rsidRPr="007475F3">
        <w:rPr>
          <w:sz w:val="24"/>
          <w:szCs w:val="24"/>
        </w:rPr>
        <w:t>irinotecan</w:t>
      </w:r>
      <w:proofErr w:type="spellEnd"/>
      <w:r w:rsidRPr="007475F3">
        <w:rPr>
          <w:sz w:val="24"/>
          <w:szCs w:val="24"/>
        </w:rPr>
        <w:t xml:space="preserve"> i kombination med 5FU/FA, end i gruppen, der fik 5FU/FA alene (p=0,046).</w:t>
      </w:r>
    </w:p>
    <w:p w14:paraId="19DA669B" w14:textId="77777777" w:rsidR="003237D1" w:rsidRPr="007475F3" w:rsidRDefault="003237D1" w:rsidP="00C02BD5">
      <w:pPr>
        <w:autoSpaceDE w:val="0"/>
        <w:autoSpaceDN w:val="0"/>
        <w:adjustRightInd w:val="0"/>
        <w:ind w:left="851"/>
        <w:rPr>
          <w:sz w:val="24"/>
          <w:szCs w:val="24"/>
        </w:rPr>
      </w:pPr>
    </w:p>
    <w:p w14:paraId="6A9F15EF" w14:textId="77777777" w:rsidR="003237D1" w:rsidRPr="007475F3" w:rsidRDefault="003237D1" w:rsidP="00C02BD5">
      <w:pPr>
        <w:autoSpaceDE w:val="0"/>
        <w:autoSpaceDN w:val="0"/>
        <w:adjustRightInd w:val="0"/>
        <w:ind w:left="851"/>
        <w:rPr>
          <w:sz w:val="24"/>
          <w:szCs w:val="24"/>
        </w:rPr>
      </w:pPr>
      <w:r w:rsidRPr="007475F3">
        <w:rPr>
          <w:sz w:val="24"/>
          <w:szCs w:val="24"/>
        </w:rPr>
        <w:t xml:space="preserve">Livskvaliteten i denne fase III-undersøgelse blev vurderet med </w:t>
      </w:r>
      <w:proofErr w:type="spellStart"/>
      <w:r w:rsidRPr="007475F3">
        <w:rPr>
          <w:sz w:val="24"/>
          <w:szCs w:val="24"/>
        </w:rPr>
        <w:t>EORTC's</w:t>
      </w:r>
      <w:proofErr w:type="spellEnd"/>
      <w:r w:rsidRPr="007475F3">
        <w:rPr>
          <w:sz w:val="24"/>
          <w:szCs w:val="24"/>
        </w:rPr>
        <w:t xml:space="preserve"> spørgeskema QLQ-C30. Tiden til definitiv forværring fandt hele tiden senere sted i </w:t>
      </w:r>
      <w:proofErr w:type="spellStart"/>
      <w:r w:rsidRPr="007475F3">
        <w:rPr>
          <w:sz w:val="24"/>
          <w:szCs w:val="24"/>
        </w:rPr>
        <w:t>irinotecan</w:t>
      </w:r>
      <w:proofErr w:type="spellEnd"/>
      <w:r w:rsidRPr="007475F3">
        <w:rPr>
          <w:sz w:val="24"/>
          <w:szCs w:val="24"/>
        </w:rPr>
        <w:t xml:space="preserve">-grupperne. Udviklingen i total helbredstilstand og livskvalitet var lidt bedre i grupperne, der fik </w:t>
      </w:r>
      <w:proofErr w:type="spellStart"/>
      <w:r w:rsidRPr="007475F3">
        <w:rPr>
          <w:sz w:val="24"/>
          <w:szCs w:val="24"/>
        </w:rPr>
        <w:t>irinotecan</w:t>
      </w:r>
      <w:proofErr w:type="spellEnd"/>
      <w:r w:rsidRPr="007475F3">
        <w:rPr>
          <w:sz w:val="24"/>
          <w:szCs w:val="24"/>
        </w:rPr>
        <w:t xml:space="preserve"> som kombinationsbehandling, men dog ikke signifikant. Dette viser, at effekten med </w:t>
      </w:r>
      <w:proofErr w:type="spellStart"/>
      <w:r w:rsidRPr="007475F3">
        <w:rPr>
          <w:sz w:val="24"/>
          <w:szCs w:val="24"/>
        </w:rPr>
        <w:t>irinotecan</w:t>
      </w:r>
      <w:proofErr w:type="spellEnd"/>
      <w:r w:rsidRPr="007475F3">
        <w:rPr>
          <w:sz w:val="24"/>
          <w:szCs w:val="24"/>
        </w:rPr>
        <w:t xml:space="preserve"> i kombinationsbehandling kan opnås, uden at det påvirker livskvaliteten.</w:t>
      </w:r>
    </w:p>
    <w:p w14:paraId="7419528E" w14:textId="77777777" w:rsidR="003237D1" w:rsidRPr="007475F3" w:rsidRDefault="003237D1" w:rsidP="00C02BD5">
      <w:pPr>
        <w:autoSpaceDE w:val="0"/>
        <w:autoSpaceDN w:val="0"/>
        <w:adjustRightInd w:val="0"/>
        <w:ind w:left="851"/>
        <w:rPr>
          <w:sz w:val="24"/>
          <w:szCs w:val="24"/>
        </w:rPr>
      </w:pPr>
    </w:p>
    <w:p w14:paraId="0A80FE89" w14:textId="77777777" w:rsidR="003237D1" w:rsidRPr="007475F3" w:rsidRDefault="003237D1" w:rsidP="00C02BD5">
      <w:pPr>
        <w:autoSpaceDE w:val="0"/>
        <w:autoSpaceDN w:val="0"/>
        <w:adjustRightInd w:val="0"/>
        <w:ind w:left="851"/>
        <w:rPr>
          <w:bCs/>
          <w:i/>
          <w:sz w:val="24"/>
          <w:szCs w:val="24"/>
        </w:rPr>
      </w:pPr>
      <w:r w:rsidRPr="007475F3">
        <w:rPr>
          <w:i/>
          <w:iCs/>
          <w:sz w:val="24"/>
          <w:szCs w:val="24"/>
        </w:rPr>
        <w:t xml:space="preserve">I kombinationsterapi med </w:t>
      </w:r>
      <w:proofErr w:type="spellStart"/>
      <w:r w:rsidRPr="007475F3">
        <w:rPr>
          <w:i/>
          <w:iCs/>
          <w:sz w:val="24"/>
          <w:szCs w:val="24"/>
        </w:rPr>
        <w:t>bevacizumab</w:t>
      </w:r>
      <w:proofErr w:type="spellEnd"/>
    </w:p>
    <w:p w14:paraId="11B18572" w14:textId="77777777" w:rsidR="003237D1" w:rsidRPr="007475F3" w:rsidRDefault="003237D1" w:rsidP="00C02BD5">
      <w:pPr>
        <w:autoSpaceDE w:val="0"/>
        <w:autoSpaceDN w:val="0"/>
        <w:adjustRightInd w:val="0"/>
        <w:ind w:left="851"/>
        <w:rPr>
          <w:sz w:val="24"/>
          <w:szCs w:val="24"/>
        </w:rPr>
      </w:pPr>
      <w:r w:rsidRPr="007475F3">
        <w:rPr>
          <w:sz w:val="24"/>
          <w:szCs w:val="24"/>
        </w:rPr>
        <w:t xml:space="preserve">Effekten af </w:t>
      </w:r>
      <w:proofErr w:type="spellStart"/>
      <w:r w:rsidRPr="007475F3">
        <w:rPr>
          <w:sz w:val="24"/>
          <w:szCs w:val="24"/>
        </w:rPr>
        <w:t>bevacizumab</w:t>
      </w:r>
      <w:proofErr w:type="spellEnd"/>
      <w:r w:rsidRPr="007475F3">
        <w:rPr>
          <w:sz w:val="24"/>
          <w:szCs w:val="24"/>
        </w:rPr>
        <w:t xml:space="preserve"> i kombinationsbehandling med </w:t>
      </w:r>
      <w:proofErr w:type="spellStart"/>
      <w:r w:rsidRPr="007475F3">
        <w:rPr>
          <w:sz w:val="24"/>
          <w:szCs w:val="24"/>
        </w:rPr>
        <w:t>irinotecan</w:t>
      </w:r>
      <w:proofErr w:type="spellEnd"/>
      <w:r w:rsidRPr="007475F3">
        <w:rPr>
          <w:sz w:val="24"/>
          <w:szCs w:val="24"/>
        </w:rPr>
        <w:t xml:space="preserve">/5FU/FA som førstevalgsbehandling af metastaserende </w:t>
      </w:r>
      <w:proofErr w:type="spellStart"/>
      <w:r w:rsidRPr="007475F3">
        <w:rPr>
          <w:sz w:val="24"/>
          <w:szCs w:val="24"/>
        </w:rPr>
        <w:t>carcinoma</w:t>
      </w:r>
      <w:proofErr w:type="spellEnd"/>
      <w:r w:rsidRPr="007475F3">
        <w:rPr>
          <w:sz w:val="24"/>
          <w:szCs w:val="24"/>
        </w:rPr>
        <w:t xml:space="preserve"> i </w:t>
      </w:r>
      <w:proofErr w:type="spellStart"/>
      <w:r w:rsidRPr="007475F3">
        <w:rPr>
          <w:sz w:val="24"/>
          <w:szCs w:val="24"/>
        </w:rPr>
        <w:t>colon</w:t>
      </w:r>
      <w:proofErr w:type="spellEnd"/>
      <w:r w:rsidRPr="007475F3">
        <w:rPr>
          <w:sz w:val="24"/>
          <w:szCs w:val="24"/>
        </w:rPr>
        <w:t xml:space="preserve"> eller </w:t>
      </w:r>
      <w:proofErr w:type="spellStart"/>
      <w:r w:rsidRPr="007475F3">
        <w:rPr>
          <w:sz w:val="24"/>
          <w:szCs w:val="24"/>
        </w:rPr>
        <w:t>rektum</w:t>
      </w:r>
      <w:proofErr w:type="spellEnd"/>
      <w:r w:rsidRPr="007475F3">
        <w:rPr>
          <w:sz w:val="24"/>
          <w:szCs w:val="24"/>
        </w:rPr>
        <w:t xml:space="preserve"> blev undersøgt i et randomiseret, dobbeltblindt, fase III-forsøg med aktiv kontrol (forsøg AVF2107g). Kombinationsbehandling med </w:t>
      </w:r>
      <w:proofErr w:type="spellStart"/>
      <w:r w:rsidRPr="007475F3">
        <w:rPr>
          <w:sz w:val="24"/>
          <w:szCs w:val="24"/>
        </w:rPr>
        <w:t>bevacizumab</w:t>
      </w:r>
      <w:proofErr w:type="spellEnd"/>
      <w:r w:rsidRPr="007475F3">
        <w:rPr>
          <w:sz w:val="24"/>
          <w:szCs w:val="24"/>
        </w:rPr>
        <w:t xml:space="preserve"> og </w:t>
      </w:r>
      <w:proofErr w:type="spellStart"/>
      <w:r w:rsidRPr="007475F3">
        <w:rPr>
          <w:sz w:val="24"/>
          <w:szCs w:val="24"/>
        </w:rPr>
        <w:t>irinotecan</w:t>
      </w:r>
      <w:proofErr w:type="spellEnd"/>
      <w:r w:rsidRPr="007475F3">
        <w:rPr>
          <w:sz w:val="24"/>
          <w:szCs w:val="24"/>
        </w:rPr>
        <w:t xml:space="preserve">/5FU/FA gav en signifikant stigning i samlet overlevelse. Den kliniske værdi, målt ved samlet overlevelse, blev set i alle præ-specificerede undergrupper af patienter, herunder grupper defineret ved alder, køn, performance-status, primær-tumorens placering, antal involverede organer og varighed af den metastatiske sygdom. Se også produktresuméet for </w:t>
      </w:r>
      <w:proofErr w:type="spellStart"/>
      <w:r w:rsidRPr="007475F3">
        <w:rPr>
          <w:sz w:val="24"/>
          <w:szCs w:val="24"/>
        </w:rPr>
        <w:t>bevacizumab</w:t>
      </w:r>
      <w:proofErr w:type="spellEnd"/>
      <w:r w:rsidRPr="007475F3">
        <w:rPr>
          <w:sz w:val="24"/>
          <w:szCs w:val="24"/>
        </w:rPr>
        <w:t>. Effektdata fra forsøg AVF2107g er sammenfattet i tabellen nedenfor.</w:t>
      </w:r>
    </w:p>
    <w:p w14:paraId="62591851" w14:textId="77777777" w:rsidR="003237D1" w:rsidRPr="007475F3" w:rsidRDefault="003237D1" w:rsidP="003237D1">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190"/>
        <w:gridCol w:w="13"/>
        <w:gridCol w:w="3201"/>
      </w:tblGrid>
      <w:tr w:rsidR="003237D1" w:rsidRPr="007475F3" w14:paraId="04E3034F" w14:textId="77777777" w:rsidTr="00C02BD5">
        <w:trPr>
          <w:trHeight w:val="481"/>
        </w:trPr>
        <w:tc>
          <w:tcPr>
            <w:tcW w:w="3327" w:type="pct"/>
            <w:gridSpan w:val="2"/>
            <w:tcBorders>
              <w:top w:val="single" w:sz="12" w:space="0" w:color="auto"/>
              <w:left w:val="single" w:sz="12" w:space="0" w:color="auto"/>
              <w:bottom w:val="single" w:sz="4" w:space="0" w:color="auto"/>
              <w:right w:val="nil"/>
            </w:tcBorders>
          </w:tcPr>
          <w:p w14:paraId="0F06B438" w14:textId="77777777" w:rsidR="003237D1" w:rsidRPr="00E90DBA" w:rsidRDefault="003237D1">
            <w:pPr>
              <w:autoSpaceDE w:val="0"/>
              <w:autoSpaceDN w:val="0"/>
              <w:adjustRightInd w:val="0"/>
              <w:jc w:val="center"/>
              <w:rPr>
                <w:b/>
                <w:bCs/>
                <w:sz w:val="24"/>
                <w:szCs w:val="24"/>
                <w:u w:val="single"/>
                <w:lang w:val="en-US"/>
              </w:rPr>
            </w:pPr>
            <w:r w:rsidRPr="00E90DBA">
              <w:rPr>
                <w:b/>
                <w:bCs/>
                <w:sz w:val="24"/>
                <w:szCs w:val="24"/>
                <w:u w:val="single"/>
                <w:lang w:val="en-US"/>
              </w:rPr>
              <w:t>AVF2107g</w:t>
            </w:r>
          </w:p>
          <w:p w14:paraId="0F3C8530" w14:textId="77777777" w:rsidR="003237D1" w:rsidRPr="00E90DBA" w:rsidRDefault="003237D1">
            <w:pPr>
              <w:autoSpaceDE w:val="0"/>
              <w:autoSpaceDN w:val="0"/>
              <w:adjustRightInd w:val="0"/>
              <w:jc w:val="center"/>
              <w:rPr>
                <w:b/>
                <w:bCs/>
                <w:sz w:val="24"/>
                <w:szCs w:val="24"/>
                <w:u w:val="single"/>
                <w:lang w:val="en-US"/>
              </w:rPr>
            </w:pPr>
          </w:p>
          <w:p w14:paraId="1FCE48CC" w14:textId="77777777" w:rsidR="003237D1" w:rsidRPr="00E90DBA" w:rsidRDefault="003237D1">
            <w:pPr>
              <w:autoSpaceDE w:val="0"/>
              <w:autoSpaceDN w:val="0"/>
              <w:adjustRightInd w:val="0"/>
              <w:jc w:val="center"/>
              <w:rPr>
                <w:b/>
                <w:bCs/>
                <w:sz w:val="24"/>
                <w:szCs w:val="24"/>
                <w:u w:val="single"/>
                <w:lang w:val="en-US"/>
              </w:rPr>
            </w:pPr>
            <w:r w:rsidRPr="00E90DBA">
              <w:rPr>
                <w:b/>
                <w:bCs/>
                <w:sz w:val="24"/>
                <w:szCs w:val="24"/>
                <w:u w:val="single"/>
                <w:lang w:val="en-US"/>
              </w:rPr>
              <w:t>Arm 1</w:t>
            </w:r>
          </w:p>
          <w:p w14:paraId="47CB8317" w14:textId="77777777" w:rsidR="003237D1" w:rsidRPr="00E90DBA" w:rsidRDefault="003237D1">
            <w:pPr>
              <w:autoSpaceDE w:val="0"/>
              <w:autoSpaceDN w:val="0"/>
              <w:adjustRightInd w:val="0"/>
              <w:jc w:val="center"/>
              <w:rPr>
                <w:b/>
                <w:bCs/>
                <w:sz w:val="24"/>
                <w:szCs w:val="24"/>
                <w:u w:val="single"/>
                <w:lang w:val="en-US"/>
              </w:rPr>
            </w:pPr>
          </w:p>
          <w:p w14:paraId="6570E00C" w14:textId="77777777" w:rsidR="003237D1" w:rsidRPr="00E90DBA" w:rsidRDefault="003237D1">
            <w:pPr>
              <w:autoSpaceDE w:val="0"/>
              <w:autoSpaceDN w:val="0"/>
              <w:adjustRightInd w:val="0"/>
              <w:jc w:val="center"/>
              <w:rPr>
                <w:b/>
                <w:bCs/>
                <w:sz w:val="24"/>
                <w:szCs w:val="24"/>
                <w:u w:val="single"/>
                <w:lang w:val="en-US"/>
              </w:rPr>
            </w:pPr>
            <w:r w:rsidRPr="00E90DBA">
              <w:rPr>
                <w:b/>
                <w:bCs/>
                <w:sz w:val="24"/>
                <w:szCs w:val="24"/>
                <w:u w:val="single"/>
                <w:lang w:val="en-US"/>
              </w:rPr>
              <w:t>irinotecan/5FU/FA + Placebo</w:t>
            </w:r>
          </w:p>
          <w:p w14:paraId="36500C45" w14:textId="77777777" w:rsidR="003237D1" w:rsidRPr="00E90DBA" w:rsidRDefault="003237D1">
            <w:pPr>
              <w:autoSpaceDE w:val="0"/>
              <w:autoSpaceDN w:val="0"/>
              <w:adjustRightInd w:val="0"/>
              <w:rPr>
                <w:sz w:val="24"/>
                <w:szCs w:val="24"/>
                <w:u w:val="single"/>
                <w:lang w:val="en-US"/>
              </w:rPr>
            </w:pPr>
          </w:p>
        </w:tc>
        <w:tc>
          <w:tcPr>
            <w:tcW w:w="1673" w:type="pct"/>
            <w:gridSpan w:val="2"/>
            <w:tcBorders>
              <w:top w:val="single" w:sz="12" w:space="0" w:color="auto"/>
              <w:left w:val="nil"/>
              <w:bottom w:val="single" w:sz="4" w:space="0" w:color="auto"/>
              <w:right w:val="single" w:sz="12" w:space="0" w:color="auto"/>
            </w:tcBorders>
          </w:tcPr>
          <w:p w14:paraId="37F379B9" w14:textId="77777777" w:rsidR="003237D1" w:rsidRPr="00E90DBA" w:rsidRDefault="003237D1">
            <w:pPr>
              <w:rPr>
                <w:sz w:val="24"/>
                <w:szCs w:val="24"/>
                <w:u w:val="single"/>
                <w:lang w:val="en-US"/>
              </w:rPr>
            </w:pPr>
          </w:p>
          <w:p w14:paraId="12919310" w14:textId="77777777" w:rsidR="003237D1" w:rsidRPr="00E90DBA" w:rsidRDefault="003237D1">
            <w:pPr>
              <w:autoSpaceDE w:val="0"/>
              <w:autoSpaceDN w:val="0"/>
              <w:adjustRightInd w:val="0"/>
              <w:rPr>
                <w:b/>
                <w:bCs/>
                <w:sz w:val="24"/>
                <w:szCs w:val="24"/>
                <w:u w:val="single"/>
                <w:lang w:val="en-US"/>
              </w:rPr>
            </w:pPr>
          </w:p>
          <w:p w14:paraId="75C39304" w14:textId="77777777" w:rsidR="003237D1" w:rsidRPr="007475F3" w:rsidRDefault="003237D1">
            <w:pPr>
              <w:autoSpaceDE w:val="0"/>
              <w:autoSpaceDN w:val="0"/>
              <w:adjustRightInd w:val="0"/>
              <w:rPr>
                <w:b/>
                <w:bCs/>
                <w:sz w:val="24"/>
                <w:szCs w:val="24"/>
                <w:u w:val="single"/>
              </w:rPr>
            </w:pPr>
            <w:r w:rsidRPr="007475F3">
              <w:rPr>
                <w:b/>
                <w:bCs/>
                <w:sz w:val="24"/>
                <w:szCs w:val="24"/>
                <w:u w:val="single"/>
              </w:rPr>
              <w:t>Arm 2</w:t>
            </w:r>
          </w:p>
          <w:p w14:paraId="6AEC0839" w14:textId="77777777" w:rsidR="003237D1" w:rsidRPr="007475F3" w:rsidRDefault="003237D1">
            <w:pPr>
              <w:rPr>
                <w:b/>
                <w:bCs/>
                <w:sz w:val="24"/>
                <w:szCs w:val="24"/>
                <w:u w:val="single"/>
              </w:rPr>
            </w:pPr>
          </w:p>
          <w:p w14:paraId="7C0451A3" w14:textId="77777777" w:rsidR="003237D1" w:rsidRPr="007475F3" w:rsidRDefault="003237D1">
            <w:pPr>
              <w:rPr>
                <w:sz w:val="24"/>
                <w:szCs w:val="24"/>
                <w:u w:val="single"/>
                <w:vertAlign w:val="superscript"/>
              </w:rPr>
            </w:pPr>
            <w:proofErr w:type="spellStart"/>
            <w:r w:rsidRPr="007475F3">
              <w:rPr>
                <w:b/>
                <w:bCs/>
                <w:sz w:val="24"/>
                <w:szCs w:val="24"/>
                <w:u w:val="single"/>
              </w:rPr>
              <w:t>irinotecan</w:t>
            </w:r>
            <w:proofErr w:type="spellEnd"/>
            <w:r w:rsidRPr="007475F3">
              <w:rPr>
                <w:b/>
                <w:bCs/>
                <w:sz w:val="24"/>
                <w:szCs w:val="24"/>
                <w:u w:val="single"/>
              </w:rPr>
              <w:t xml:space="preserve">/5FU/FA + </w:t>
            </w:r>
            <w:proofErr w:type="spellStart"/>
            <w:r w:rsidRPr="007475F3">
              <w:rPr>
                <w:b/>
                <w:bCs/>
                <w:sz w:val="24"/>
                <w:szCs w:val="24"/>
                <w:u w:val="single"/>
              </w:rPr>
              <w:t>bevacizumab</w:t>
            </w:r>
            <w:r w:rsidRPr="007475F3">
              <w:rPr>
                <w:b/>
                <w:bCs/>
                <w:sz w:val="24"/>
                <w:szCs w:val="24"/>
                <w:u w:val="single"/>
                <w:vertAlign w:val="superscript"/>
              </w:rPr>
              <w:t>a</w:t>
            </w:r>
            <w:proofErr w:type="spellEnd"/>
          </w:p>
          <w:p w14:paraId="4CBCDFD0" w14:textId="77777777" w:rsidR="003237D1" w:rsidRPr="007475F3" w:rsidRDefault="003237D1">
            <w:pPr>
              <w:autoSpaceDE w:val="0"/>
              <w:autoSpaceDN w:val="0"/>
              <w:adjustRightInd w:val="0"/>
              <w:rPr>
                <w:sz w:val="24"/>
                <w:szCs w:val="24"/>
                <w:u w:val="single"/>
              </w:rPr>
            </w:pPr>
          </w:p>
        </w:tc>
      </w:tr>
      <w:tr w:rsidR="003237D1" w:rsidRPr="007475F3" w14:paraId="1BB666B3" w14:textId="77777777" w:rsidTr="00C02BD5">
        <w:trPr>
          <w:trHeight w:val="373"/>
        </w:trPr>
        <w:tc>
          <w:tcPr>
            <w:tcW w:w="1667" w:type="pct"/>
            <w:tcBorders>
              <w:top w:val="single" w:sz="12" w:space="0" w:color="auto"/>
              <w:left w:val="single" w:sz="12" w:space="0" w:color="auto"/>
              <w:bottom w:val="single" w:sz="12" w:space="0" w:color="auto"/>
              <w:right w:val="single" w:sz="12" w:space="0" w:color="auto"/>
            </w:tcBorders>
            <w:hideMark/>
          </w:tcPr>
          <w:p w14:paraId="1402B1E3" w14:textId="77777777" w:rsidR="003237D1" w:rsidRPr="007475F3" w:rsidRDefault="003237D1">
            <w:pPr>
              <w:autoSpaceDE w:val="0"/>
              <w:autoSpaceDN w:val="0"/>
              <w:adjustRightInd w:val="0"/>
              <w:rPr>
                <w:sz w:val="24"/>
                <w:szCs w:val="24"/>
              </w:rPr>
            </w:pPr>
            <w:r w:rsidRPr="007475F3">
              <w:rPr>
                <w:sz w:val="24"/>
                <w:szCs w:val="24"/>
              </w:rPr>
              <w:t>Antal patienter</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466F102E" w14:textId="77777777" w:rsidR="003237D1" w:rsidRPr="007475F3" w:rsidRDefault="003237D1">
            <w:pPr>
              <w:autoSpaceDE w:val="0"/>
              <w:autoSpaceDN w:val="0"/>
              <w:adjustRightInd w:val="0"/>
              <w:rPr>
                <w:sz w:val="24"/>
                <w:szCs w:val="24"/>
              </w:rPr>
            </w:pPr>
            <w:r w:rsidRPr="007475F3">
              <w:rPr>
                <w:sz w:val="24"/>
                <w:szCs w:val="24"/>
              </w:rPr>
              <w:t>411</w:t>
            </w:r>
          </w:p>
        </w:tc>
        <w:tc>
          <w:tcPr>
            <w:tcW w:w="1667" w:type="pct"/>
            <w:tcBorders>
              <w:top w:val="single" w:sz="12" w:space="0" w:color="auto"/>
              <w:left w:val="single" w:sz="12" w:space="0" w:color="auto"/>
              <w:bottom w:val="single" w:sz="12" w:space="0" w:color="auto"/>
              <w:right w:val="single" w:sz="12" w:space="0" w:color="auto"/>
            </w:tcBorders>
            <w:hideMark/>
          </w:tcPr>
          <w:p w14:paraId="2DCC8FD3" w14:textId="77777777" w:rsidR="003237D1" w:rsidRPr="007475F3" w:rsidRDefault="003237D1">
            <w:pPr>
              <w:autoSpaceDE w:val="0"/>
              <w:autoSpaceDN w:val="0"/>
              <w:adjustRightInd w:val="0"/>
              <w:rPr>
                <w:sz w:val="24"/>
                <w:szCs w:val="24"/>
              </w:rPr>
            </w:pPr>
            <w:r w:rsidRPr="007475F3">
              <w:rPr>
                <w:sz w:val="24"/>
                <w:szCs w:val="24"/>
              </w:rPr>
              <w:t>402</w:t>
            </w:r>
          </w:p>
        </w:tc>
      </w:tr>
      <w:tr w:rsidR="003237D1" w:rsidRPr="007475F3" w14:paraId="7C0BEAF2" w14:textId="77777777" w:rsidTr="00C02BD5">
        <w:trPr>
          <w:trHeight w:val="346"/>
        </w:trPr>
        <w:tc>
          <w:tcPr>
            <w:tcW w:w="1667" w:type="pct"/>
            <w:tcBorders>
              <w:top w:val="single" w:sz="12" w:space="0" w:color="auto"/>
              <w:left w:val="single" w:sz="12" w:space="0" w:color="auto"/>
              <w:bottom w:val="single" w:sz="12" w:space="0" w:color="auto"/>
              <w:right w:val="single" w:sz="12" w:space="0" w:color="auto"/>
            </w:tcBorders>
            <w:hideMark/>
          </w:tcPr>
          <w:p w14:paraId="3F8E9AB9" w14:textId="77777777" w:rsidR="003237D1" w:rsidRPr="007475F3" w:rsidRDefault="003237D1">
            <w:pPr>
              <w:autoSpaceDE w:val="0"/>
              <w:autoSpaceDN w:val="0"/>
              <w:adjustRightInd w:val="0"/>
              <w:rPr>
                <w:sz w:val="24"/>
                <w:szCs w:val="24"/>
              </w:rPr>
            </w:pPr>
            <w:r w:rsidRPr="007475F3">
              <w:rPr>
                <w:sz w:val="24"/>
                <w:szCs w:val="24"/>
              </w:rPr>
              <w:t>Samlet overlevelse</w:t>
            </w:r>
          </w:p>
        </w:tc>
        <w:tc>
          <w:tcPr>
            <w:tcW w:w="1667" w:type="pct"/>
            <w:gridSpan w:val="2"/>
            <w:tcBorders>
              <w:top w:val="single" w:sz="12" w:space="0" w:color="auto"/>
              <w:left w:val="single" w:sz="12" w:space="0" w:color="auto"/>
              <w:bottom w:val="single" w:sz="12" w:space="0" w:color="auto"/>
              <w:right w:val="single" w:sz="12" w:space="0" w:color="auto"/>
            </w:tcBorders>
          </w:tcPr>
          <w:p w14:paraId="5CD27FCD"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14:paraId="127DB816" w14:textId="77777777" w:rsidR="003237D1" w:rsidRPr="007475F3" w:rsidRDefault="003237D1">
            <w:pPr>
              <w:autoSpaceDE w:val="0"/>
              <w:autoSpaceDN w:val="0"/>
              <w:adjustRightInd w:val="0"/>
              <w:rPr>
                <w:sz w:val="24"/>
                <w:szCs w:val="24"/>
              </w:rPr>
            </w:pPr>
          </w:p>
        </w:tc>
      </w:tr>
      <w:tr w:rsidR="003237D1" w:rsidRPr="007475F3" w14:paraId="2C9AEF42" w14:textId="77777777" w:rsidTr="00C02BD5">
        <w:trPr>
          <w:trHeight w:val="355"/>
        </w:trPr>
        <w:tc>
          <w:tcPr>
            <w:tcW w:w="1667" w:type="pct"/>
            <w:tcBorders>
              <w:top w:val="single" w:sz="12" w:space="0" w:color="auto"/>
              <w:left w:val="single" w:sz="12" w:space="0" w:color="auto"/>
              <w:bottom w:val="single" w:sz="12" w:space="0" w:color="auto"/>
              <w:right w:val="single" w:sz="12" w:space="0" w:color="auto"/>
            </w:tcBorders>
            <w:hideMark/>
          </w:tcPr>
          <w:p w14:paraId="704146A3" w14:textId="77777777" w:rsidR="003237D1" w:rsidRPr="007475F3" w:rsidRDefault="003237D1">
            <w:pPr>
              <w:autoSpaceDE w:val="0"/>
              <w:autoSpaceDN w:val="0"/>
              <w:adjustRightInd w:val="0"/>
              <w:rPr>
                <w:sz w:val="24"/>
                <w:szCs w:val="24"/>
              </w:rPr>
            </w:pPr>
            <w:r w:rsidRPr="007475F3">
              <w:rPr>
                <w:sz w:val="24"/>
                <w:szCs w:val="24"/>
              </w:rPr>
              <w:t>Mediantid (måneder)</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133FDDD1" w14:textId="77777777" w:rsidR="003237D1" w:rsidRPr="007475F3" w:rsidRDefault="003237D1">
            <w:pPr>
              <w:autoSpaceDE w:val="0"/>
              <w:autoSpaceDN w:val="0"/>
              <w:adjustRightInd w:val="0"/>
              <w:rPr>
                <w:sz w:val="24"/>
                <w:szCs w:val="24"/>
              </w:rPr>
            </w:pPr>
            <w:r w:rsidRPr="007475F3">
              <w:rPr>
                <w:sz w:val="24"/>
                <w:szCs w:val="24"/>
              </w:rPr>
              <w:t>15,6</w:t>
            </w:r>
          </w:p>
        </w:tc>
        <w:tc>
          <w:tcPr>
            <w:tcW w:w="1667" w:type="pct"/>
            <w:tcBorders>
              <w:top w:val="single" w:sz="12" w:space="0" w:color="auto"/>
              <w:left w:val="single" w:sz="12" w:space="0" w:color="auto"/>
              <w:bottom w:val="single" w:sz="12" w:space="0" w:color="auto"/>
              <w:right w:val="single" w:sz="12" w:space="0" w:color="auto"/>
            </w:tcBorders>
            <w:hideMark/>
          </w:tcPr>
          <w:p w14:paraId="142D657C" w14:textId="77777777" w:rsidR="003237D1" w:rsidRPr="007475F3" w:rsidRDefault="003237D1">
            <w:pPr>
              <w:autoSpaceDE w:val="0"/>
              <w:autoSpaceDN w:val="0"/>
              <w:adjustRightInd w:val="0"/>
              <w:rPr>
                <w:sz w:val="24"/>
                <w:szCs w:val="24"/>
              </w:rPr>
            </w:pPr>
            <w:r w:rsidRPr="007475F3">
              <w:rPr>
                <w:sz w:val="24"/>
                <w:szCs w:val="24"/>
              </w:rPr>
              <w:t>20,3</w:t>
            </w:r>
          </w:p>
        </w:tc>
      </w:tr>
      <w:tr w:rsidR="003237D1" w:rsidRPr="007475F3" w14:paraId="5CEBAD8B" w14:textId="77777777" w:rsidTr="00C02BD5">
        <w:trPr>
          <w:trHeight w:val="346"/>
        </w:trPr>
        <w:tc>
          <w:tcPr>
            <w:tcW w:w="1667" w:type="pct"/>
            <w:tcBorders>
              <w:top w:val="single" w:sz="12" w:space="0" w:color="auto"/>
              <w:left w:val="single" w:sz="12" w:space="0" w:color="auto"/>
              <w:bottom w:val="single" w:sz="12" w:space="0" w:color="auto"/>
              <w:right w:val="single" w:sz="12" w:space="0" w:color="auto"/>
            </w:tcBorders>
            <w:hideMark/>
          </w:tcPr>
          <w:p w14:paraId="4ED98D12" w14:textId="77777777" w:rsidR="003237D1" w:rsidRPr="007475F3" w:rsidRDefault="003237D1">
            <w:pPr>
              <w:autoSpaceDE w:val="0"/>
              <w:autoSpaceDN w:val="0"/>
              <w:adjustRightInd w:val="0"/>
              <w:rPr>
                <w:sz w:val="24"/>
                <w:szCs w:val="24"/>
              </w:rPr>
            </w:pPr>
            <w:r w:rsidRPr="007475F3">
              <w:rPr>
                <w:sz w:val="24"/>
                <w:szCs w:val="24"/>
              </w:rPr>
              <w:t>95 % konfidensinterval</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0B05BA11" w14:textId="77777777" w:rsidR="003237D1" w:rsidRPr="007475F3" w:rsidRDefault="003237D1">
            <w:pPr>
              <w:autoSpaceDE w:val="0"/>
              <w:autoSpaceDN w:val="0"/>
              <w:adjustRightInd w:val="0"/>
              <w:rPr>
                <w:sz w:val="24"/>
                <w:szCs w:val="24"/>
              </w:rPr>
            </w:pPr>
            <w:r w:rsidRPr="007475F3">
              <w:rPr>
                <w:sz w:val="24"/>
                <w:szCs w:val="24"/>
              </w:rPr>
              <w:t>14,29 – 16,99</w:t>
            </w:r>
          </w:p>
        </w:tc>
        <w:tc>
          <w:tcPr>
            <w:tcW w:w="1667" w:type="pct"/>
            <w:tcBorders>
              <w:top w:val="single" w:sz="12" w:space="0" w:color="auto"/>
              <w:left w:val="single" w:sz="12" w:space="0" w:color="auto"/>
              <w:bottom w:val="single" w:sz="12" w:space="0" w:color="auto"/>
              <w:right w:val="single" w:sz="12" w:space="0" w:color="auto"/>
            </w:tcBorders>
            <w:hideMark/>
          </w:tcPr>
          <w:p w14:paraId="75BFDF6F" w14:textId="77777777" w:rsidR="003237D1" w:rsidRPr="007475F3" w:rsidRDefault="003237D1">
            <w:pPr>
              <w:autoSpaceDE w:val="0"/>
              <w:autoSpaceDN w:val="0"/>
              <w:adjustRightInd w:val="0"/>
              <w:rPr>
                <w:sz w:val="24"/>
                <w:szCs w:val="24"/>
              </w:rPr>
            </w:pPr>
            <w:r w:rsidRPr="007475F3">
              <w:rPr>
                <w:sz w:val="24"/>
                <w:szCs w:val="24"/>
              </w:rPr>
              <w:t>18,46 – 24,18</w:t>
            </w:r>
          </w:p>
        </w:tc>
      </w:tr>
      <w:tr w:rsidR="003237D1" w:rsidRPr="007475F3" w14:paraId="348267E0" w14:textId="77777777" w:rsidTr="00C02BD5">
        <w:trPr>
          <w:trHeight w:val="355"/>
        </w:trPr>
        <w:tc>
          <w:tcPr>
            <w:tcW w:w="1667" w:type="pct"/>
            <w:tcBorders>
              <w:top w:val="single" w:sz="12" w:space="0" w:color="auto"/>
              <w:left w:val="single" w:sz="12" w:space="0" w:color="auto"/>
              <w:bottom w:val="single" w:sz="12" w:space="0" w:color="auto"/>
              <w:right w:val="single" w:sz="12" w:space="0" w:color="auto"/>
            </w:tcBorders>
            <w:hideMark/>
          </w:tcPr>
          <w:p w14:paraId="586D9007" w14:textId="77777777" w:rsidR="003237D1" w:rsidRPr="007475F3" w:rsidRDefault="003237D1">
            <w:pPr>
              <w:autoSpaceDE w:val="0"/>
              <w:autoSpaceDN w:val="0"/>
              <w:adjustRightInd w:val="0"/>
              <w:rPr>
                <w:sz w:val="24"/>
                <w:szCs w:val="24"/>
              </w:rPr>
            </w:pPr>
            <w:proofErr w:type="spellStart"/>
            <w:r w:rsidRPr="007475F3">
              <w:rPr>
                <w:sz w:val="24"/>
                <w:szCs w:val="24"/>
              </w:rPr>
              <w:t>Risikorate</w:t>
            </w:r>
            <w:r w:rsidRPr="007475F3">
              <w:rPr>
                <w:sz w:val="24"/>
                <w:szCs w:val="24"/>
                <w:vertAlign w:val="superscript"/>
              </w:rPr>
              <w:t>b</w:t>
            </w:r>
            <w:proofErr w:type="spellEnd"/>
          </w:p>
        </w:tc>
        <w:tc>
          <w:tcPr>
            <w:tcW w:w="1667" w:type="pct"/>
            <w:gridSpan w:val="2"/>
            <w:tcBorders>
              <w:top w:val="single" w:sz="12" w:space="0" w:color="auto"/>
              <w:left w:val="single" w:sz="12" w:space="0" w:color="auto"/>
              <w:bottom w:val="single" w:sz="12" w:space="0" w:color="auto"/>
              <w:right w:val="single" w:sz="12" w:space="0" w:color="auto"/>
            </w:tcBorders>
          </w:tcPr>
          <w:p w14:paraId="7E3B30E9"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3FD048B7" w14:textId="77777777" w:rsidR="003237D1" w:rsidRPr="007475F3" w:rsidRDefault="003237D1">
            <w:pPr>
              <w:autoSpaceDE w:val="0"/>
              <w:autoSpaceDN w:val="0"/>
              <w:adjustRightInd w:val="0"/>
              <w:rPr>
                <w:sz w:val="24"/>
                <w:szCs w:val="24"/>
              </w:rPr>
            </w:pPr>
            <w:r w:rsidRPr="007475F3">
              <w:rPr>
                <w:sz w:val="24"/>
                <w:szCs w:val="24"/>
              </w:rPr>
              <w:t>0,660</w:t>
            </w:r>
          </w:p>
        </w:tc>
      </w:tr>
      <w:tr w:rsidR="003237D1" w:rsidRPr="007475F3" w14:paraId="626B03E8" w14:textId="77777777" w:rsidTr="00C02BD5">
        <w:trPr>
          <w:trHeight w:val="346"/>
        </w:trPr>
        <w:tc>
          <w:tcPr>
            <w:tcW w:w="1667" w:type="pct"/>
            <w:tcBorders>
              <w:top w:val="single" w:sz="12" w:space="0" w:color="auto"/>
              <w:left w:val="single" w:sz="12" w:space="0" w:color="auto"/>
              <w:bottom w:val="single" w:sz="12" w:space="0" w:color="auto"/>
              <w:right w:val="single" w:sz="12" w:space="0" w:color="auto"/>
            </w:tcBorders>
            <w:hideMark/>
          </w:tcPr>
          <w:p w14:paraId="09D7DC96"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667" w:type="pct"/>
            <w:gridSpan w:val="2"/>
            <w:tcBorders>
              <w:top w:val="single" w:sz="12" w:space="0" w:color="auto"/>
              <w:left w:val="single" w:sz="12" w:space="0" w:color="auto"/>
              <w:bottom w:val="single" w:sz="12" w:space="0" w:color="auto"/>
              <w:right w:val="single" w:sz="12" w:space="0" w:color="auto"/>
            </w:tcBorders>
          </w:tcPr>
          <w:p w14:paraId="393622A9"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6CDC81C3" w14:textId="77777777" w:rsidR="003237D1" w:rsidRPr="007475F3" w:rsidRDefault="003237D1">
            <w:pPr>
              <w:autoSpaceDE w:val="0"/>
              <w:autoSpaceDN w:val="0"/>
              <w:adjustRightInd w:val="0"/>
              <w:rPr>
                <w:sz w:val="24"/>
                <w:szCs w:val="24"/>
              </w:rPr>
            </w:pPr>
            <w:r w:rsidRPr="007475F3">
              <w:rPr>
                <w:sz w:val="24"/>
                <w:szCs w:val="24"/>
              </w:rPr>
              <w:t>0,00004</w:t>
            </w:r>
          </w:p>
        </w:tc>
      </w:tr>
      <w:tr w:rsidR="003237D1" w:rsidRPr="007475F3" w14:paraId="1DC07396" w14:textId="77777777" w:rsidTr="00C02BD5">
        <w:trPr>
          <w:trHeight w:val="355"/>
        </w:trPr>
        <w:tc>
          <w:tcPr>
            <w:tcW w:w="1667" w:type="pct"/>
            <w:tcBorders>
              <w:top w:val="single" w:sz="12" w:space="0" w:color="auto"/>
              <w:left w:val="single" w:sz="12" w:space="0" w:color="auto"/>
              <w:bottom w:val="single" w:sz="12" w:space="0" w:color="auto"/>
              <w:right w:val="single" w:sz="12" w:space="0" w:color="auto"/>
            </w:tcBorders>
            <w:hideMark/>
          </w:tcPr>
          <w:p w14:paraId="3E81D50A" w14:textId="77777777" w:rsidR="003237D1" w:rsidRPr="007475F3" w:rsidRDefault="003237D1">
            <w:pPr>
              <w:autoSpaceDE w:val="0"/>
              <w:autoSpaceDN w:val="0"/>
              <w:adjustRightInd w:val="0"/>
              <w:rPr>
                <w:sz w:val="24"/>
                <w:szCs w:val="24"/>
              </w:rPr>
            </w:pPr>
            <w:r w:rsidRPr="007475F3">
              <w:rPr>
                <w:sz w:val="24"/>
                <w:szCs w:val="24"/>
              </w:rPr>
              <w:t>Progressionsfri overlevelse</w:t>
            </w:r>
          </w:p>
        </w:tc>
        <w:tc>
          <w:tcPr>
            <w:tcW w:w="1667" w:type="pct"/>
            <w:gridSpan w:val="2"/>
            <w:tcBorders>
              <w:top w:val="single" w:sz="12" w:space="0" w:color="auto"/>
              <w:left w:val="single" w:sz="12" w:space="0" w:color="auto"/>
              <w:bottom w:val="single" w:sz="12" w:space="0" w:color="auto"/>
              <w:right w:val="single" w:sz="12" w:space="0" w:color="auto"/>
            </w:tcBorders>
          </w:tcPr>
          <w:p w14:paraId="15D6C0D8"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14:paraId="6AB0DAA2" w14:textId="77777777" w:rsidR="003237D1" w:rsidRPr="007475F3" w:rsidRDefault="003237D1">
            <w:pPr>
              <w:autoSpaceDE w:val="0"/>
              <w:autoSpaceDN w:val="0"/>
              <w:adjustRightInd w:val="0"/>
              <w:rPr>
                <w:sz w:val="24"/>
                <w:szCs w:val="24"/>
              </w:rPr>
            </w:pPr>
          </w:p>
        </w:tc>
      </w:tr>
      <w:tr w:rsidR="003237D1" w:rsidRPr="007475F3" w14:paraId="700E5B43" w14:textId="77777777" w:rsidTr="00C02BD5">
        <w:trPr>
          <w:trHeight w:val="346"/>
        </w:trPr>
        <w:tc>
          <w:tcPr>
            <w:tcW w:w="1667" w:type="pct"/>
            <w:tcBorders>
              <w:top w:val="single" w:sz="12" w:space="0" w:color="auto"/>
              <w:left w:val="single" w:sz="12" w:space="0" w:color="auto"/>
              <w:bottom w:val="single" w:sz="12" w:space="0" w:color="auto"/>
              <w:right w:val="single" w:sz="12" w:space="0" w:color="auto"/>
            </w:tcBorders>
            <w:hideMark/>
          </w:tcPr>
          <w:p w14:paraId="7B1F0932" w14:textId="77777777" w:rsidR="003237D1" w:rsidRPr="007475F3" w:rsidRDefault="003237D1">
            <w:pPr>
              <w:autoSpaceDE w:val="0"/>
              <w:autoSpaceDN w:val="0"/>
              <w:adjustRightInd w:val="0"/>
              <w:rPr>
                <w:sz w:val="24"/>
                <w:szCs w:val="24"/>
              </w:rPr>
            </w:pPr>
            <w:r w:rsidRPr="007475F3">
              <w:rPr>
                <w:sz w:val="24"/>
                <w:szCs w:val="24"/>
              </w:rPr>
              <w:t>Mediantid (måneder)</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70B0BCD8" w14:textId="77777777" w:rsidR="003237D1" w:rsidRPr="007475F3" w:rsidRDefault="003237D1">
            <w:pPr>
              <w:autoSpaceDE w:val="0"/>
              <w:autoSpaceDN w:val="0"/>
              <w:adjustRightInd w:val="0"/>
              <w:rPr>
                <w:sz w:val="24"/>
                <w:szCs w:val="24"/>
              </w:rPr>
            </w:pPr>
            <w:r w:rsidRPr="007475F3">
              <w:rPr>
                <w:sz w:val="24"/>
                <w:szCs w:val="24"/>
              </w:rPr>
              <w:t>6,2</w:t>
            </w:r>
          </w:p>
        </w:tc>
        <w:tc>
          <w:tcPr>
            <w:tcW w:w="1667" w:type="pct"/>
            <w:tcBorders>
              <w:top w:val="single" w:sz="12" w:space="0" w:color="auto"/>
              <w:left w:val="single" w:sz="12" w:space="0" w:color="auto"/>
              <w:bottom w:val="single" w:sz="12" w:space="0" w:color="auto"/>
              <w:right w:val="single" w:sz="12" w:space="0" w:color="auto"/>
            </w:tcBorders>
            <w:hideMark/>
          </w:tcPr>
          <w:p w14:paraId="4749AA12" w14:textId="77777777" w:rsidR="003237D1" w:rsidRPr="007475F3" w:rsidRDefault="003237D1">
            <w:pPr>
              <w:autoSpaceDE w:val="0"/>
              <w:autoSpaceDN w:val="0"/>
              <w:adjustRightInd w:val="0"/>
              <w:rPr>
                <w:sz w:val="24"/>
                <w:szCs w:val="24"/>
              </w:rPr>
            </w:pPr>
            <w:r w:rsidRPr="007475F3">
              <w:rPr>
                <w:sz w:val="24"/>
                <w:szCs w:val="24"/>
              </w:rPr>
              <w:t>10,6</w:t>
            </w:r>
          </w:p>
        </w:tc>
      </w:tr>
      <w:tr w:rsidR="003237D1" w:rsidRPr="007475F3" w14:paraId="42CBBA02" w14:textId="77777777" w:rsidTr="00C02BD5">
        <w:trPr>
          <w:trHeight w:val="355"/>
        </w:trPr>
        <w:tc>
          <w:tcPr>
            <w:tcW w:w="1667" w:type="pct"/>
            <w:tcBorders>
              <w:top w:val="single" w:sz="12" w:space="0" w:color="auto"/>
              <w:left w:val="single" w:sz="12" w:space="0" w:color="auto"/>
              <w:bottom w:val="single" w:sz="12" w:space="0" w:color="auto"/>
              <w:right w:val="single" w:sz="12" w:space="0" w:color="auto"/>
            </w:tcBorders>
            <w:hideMark/>
          </w:tcPr>
          <w:p w14:paraId="71D01AAA" w14:textId="77777777" w:rsidR="003237D1" w:rsidRPr="007475F3" w:rsidRDefault="003237D1">
            <w:pPr>
              <w:autoSpaceDE w:val="0"/>
              <w:autoSpaceDN w:val="0"/>
              <w:adjustRightInd w:val="0"/>
              <w:rPr>
                <w:sz w:val="24"/>
                <w:szCs w:val="24"/>
              </w:rPr>
            </w:pPr>
            <w:r w:rsidRPr="007475F3">
              <w:rPr>
                <w:sz w:val="24"/>
                <w:szCs w:val="24"/>
              </w:rPr>
              <w:t>Risikorate</w:t>
            </w:r>
          </w:p>
        </w:tc>
        <w:tc>
          <w:tcPr>
            <w:tcW w:w="1667" w:type="pct"/>
            <w:gridSpan w:val="2"/>
            <w:tcBorders>
              <w:top w:val="single" w:sz="12" w:space="0" w:color="auto"/>
              <w:left w:val="single" w:sz="12" w:space="0" w:color="auto"/>
              <w:bottom w:val="single" w:sz="12" w:space="0" w:color="auto"/>
              <w:right w:val="single" w:sz="12" w:space="0" w:color="auto"/>
            </w:tcBorders>
          </w:tcPr>
          <w:p w14:paraId="579BD960"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10EF2E31" w14:textId="77777777" w:rsidR="003237D1" w:rsidRPr="007475F3" w:rsidRDefault="003237D1">
            <w:pPr>
              <w:autoSpaceDE w:val="0"/>
              <w:autoSpaceDN w:val="0"/>
              <w:adjustRightInd w:val="0"/>
              <w:rPr>
                <w:sz w:val="24"/>
                <w:szCs w:val="24"/>
              </w:rPr>
            </w:pPr>
            <w:r w:rsidRPr="007475F3">
              <w:rPr>
                <w:sz w:val="24"/>
                <w:szCs w:val="24"/>
              </w:rPr>
              <w:t>0,54</w:t>
            </w:r>
          </w:p>
        </w:tc>
      </w:tr>
      <w:tr w:rsidR="003237D1" w:rsidRPr="007475F3" w14:paraId="14DF0FDF"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1CABBF03"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667" w:type="pct"/>
            <w:gridSpan w:val="2"/>
            <w:tcBorders>
              <w:top w:val="single" w:sz="12" w:space="0" w:color="auto"/>
              <w:left w:val="single" w:sz="12" w:space="0" w:color="auto"/>
              <w:bottom w:val="single" w:sz="12" w:space="0" w:color="auto"/>
              <w:right w:val="single" w:sz="12" w:space="0" w:color="auto"/>
            </w:tcBorders>
          </w:tcPr>
          <w:p w14:paraId="03CB993B"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34C21652" w14:textId="77777777" w:rsidR="003237D1" w:rsidRPr="007475F3" w:rsidRDefault="003237D1">
            <w:pPr>
              <w:autoSpaceDE w:val="0"/>
              <w:autoSpaceDN w:val="0"/>
              <w:adjustRightInd w:val="0"/>
              <w:rPr>
                <w:sz w:val="24"/>
                <w:szCs w:val="24"/>
              </w:rPr>
            </w:pPr>
            <w:r w:rsidRPr="007475F3">
              <w:rPr>
                <w:sz w:val="24"/>
                <w:szCs w:val="24"/>
              </w:rPr>
              <w:t>&lt;0,0001</w:t>
            </w:r>
          </w:p>
        </w:tc>
      </w:tr>
      <w:tr w:rsidR="003237D1" w:rsidRPr="007475F3" w14:paraId="6ABF27AF"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4C70ADCF" w14:textId="77777777" w:rsidR="003237D1" w:rsidRPr="007475F3" w:rsidRDefault="003237D1">
            <w:pPr>
              <w:autoSpaceDE w:val="0"/>
              <w:autoSpaceDN w:val="0"/>
              <w:adjustRightInd w:val="0"/>
              <w:rPr>
                <w:sz w:val="24"/>
                <w:szCs w:val="24"/>
              </w:rPr>
            </w:pPr>
            <w:r w:rsidRPr="007475F3">
              <w:rPr>
                <w:sz w:val="24"/>
                <w:szCs w:val="24"/>
              </w:rPr>
              <w:t>Samlet responsrate</w:t>
            </w:r>
          </w:p>
        </w:tc>
        <w:tc>
          <w:tcPr>
            <w:tcW w:w="1667" w:type="pct"/>
            <w:gridSpan w:val="2"/>
            <w:tcBorders>
              <w:top w:val="single" w:sz="12" w:space="0" w:color="auto"/>
              <w:left w:val="single" w:sz="12" w:space="0" w:color="auto"/>
              <w:bottom w:val="single" w:sz="12" w:space="0" w:color="auto"/>
              <w:right w:val="single" w:sz="12" w:space="0" w:color="auto"/>
            </w:tcBorders>
          </w:tcPr>
          <w:p w14:paraId="19C8C933"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14:paraId="46DB6BB0" w14:textId="77777777" w:rsidR="003237D1" w:rsidRPr="007475F3" w:rsidRDefault="003237D1">
            <w:pPr>
              <w:autoSpaceDE w:val="0"/>
              <w:autoSpaceDN w:val="0"/>
              <w:adjustRightInd w:val="0"/>
              <w:rPr>
                <w:sz w:val="24"/>
                <w:szCs w:val="24"/>
              </w:rPr>
            </w:pPr>
          </w:p>
        </w:tc>
      </w:tr>
      <w:tr w:rsidR="003237D1" w:rsidRPr="007475F3" w14:paraId="74B70497"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4262623B" w14:textId="77777777" w:rsidR="003237D1" w:rsidRPr="007475F3" w:rsidRDefault="003237D1">
            <w:pPr>
              <w:autoSpaceDE w:val="0"/>
              <w:autoSpaceDN w:val="0"/>
              <w:adjustRightInd w:val="0"/>
              <w:rPr>
                <w:sz w:val="24"/>
                <w:szCs w:val="24"/>
              </w:rPr>
            </w:pPr>
            <w:r w:rsidRPr="007475F3">
              <w:rPr>
                <w:sz w:val="24"/>
                <w:szCs w:val="24"/>
              </w:rPr>
              <w:t>Rate (%)</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535F3C5C" w14:textId="77777777" w:rsidR="003237D1" w:rsidRPr="007475F3" w:rsidRDefault="003237D1">
            <w:pPr>
              <w:autoSpaceDE w:val="0"/>
              <w:autoSpaceDN w:val="0"/>
              <w:adjustRightInd w:val="0"/>
              <w:rPr>
                <w:sz w:val="24"/>
                <w:szCs w:val="24"/>
              </w:rPr>
            </w:pPr>
            <w:r w:rsidRPr="007475F3">
              <w:rPr>
                <w:sz w:val="24"/>
                <w:szCs w:val="24"/>
              </w:rPr>
              <w:t>34,8</w:t>
            </w:r>
          </w:p>
        </w:tc>
        <w:tc>
          <w:tcPr>
            <w:tcW w:w="1667" w:type="pct"/>
            <w:tcBorders>
              <w:top w:val="single" w:sz="12" w:space="0" w:color="auto"/>
              <w:left w:val="single" w:sz="12" w:space="0" w:color="auto"/>
              <w:bottom w:val="single" w:sz="12" w:space="0" w:color="auto"/>
              <w:right w:val="single" w:sz="12" w:space="0" w:color="auto"/>
            </w:tcBorders>
            <w:hideMark/>
          </w:tcPr>
          <w:p w14:paraId="079B87D7" w14:textId="77777777" w:rsidR="003237D1" w:rsidRPr="007475F3" w:rsidRDefault="003237D1">
            <w:pPr>
              <w:autoSpaceDE w:val="0"/>
              <w:autoSpaceDN w:val="0"/>
              <w:adjustRightInd w:val="0"/>
              <w:rPr>
                <w:sz w:val="24"/>
                <w:szCs w:val="24"/>
              </w:rPr>
            </w:pPr>
            <w:r w:rsidRPr="007475F3">
              <w:rPr>
                <w:sz w:val="24"/>
                <w:szCs w:val="24"/>
              </w:rPr>
              <w:t>44,8</w:t>
            </w:r>
          </w:p>
        </w:tc>
      </w:tr>
      <w:tr w:rsidR="003237D1" w:rsidRPr="007475F3" w14:paraId="61CD4D3C"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2C380B9E" w14:textId="77777777" w:rsidR="003237D1" w:rsidRPr="007475F3" w:rsidRDefault="003237D1">
            <w:pPr>
              <w:autoSpaceDE w:val="0"/>
              <w:autoSpaceDN w:val="0"/>
              <w:adjustRightInd w:val="0"/>
              <w:rPr>
                <w:sz w:val="24"/>
                <w:szCs w:val="24"/>
              </w:rPr>
            </w:pPr>
            <w:r w:rsidRPr="007475F3">
              <w:rPr>
                <w:sz w:val="24"/>
                <w:szCs w:val="24"/>
              </w:rPr>
              <w:t>95 % CI</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7D22827D" w14:textId="77777777" w:rsidR="003237D1" w:rsidRPr="007475F3" w:rsidRDefault="003237D1">
            <w:pPr>
              <w:autoSpaceDE w:val="0"/>
              <w:autoSpaceDN w:val="0"/>
              <w:adjustRightInd w:val="0"/>
              <w:rPr>
                <w:sz w:val="24"/>
                <w:szCs w:val="24"/>
              </w:rPr>
            </w:pPr>
            <w:r w:rsidRPr="007475F3">
              <w:rPr>
                <w:sz w:val="24"/>
                <w:szCs w:val="24"/>
              </w:rPr>
              <w:t>30,2 – 39,6</w:t>
            </w:r>
          </w:p>
        </w:tc>
        <w:tc>
          <w:tcPr>
            <w:tcW w:w="1667" w:type="pct"/>
            <w:tcBorders>
              <w:top w:val="single" w:sz="12" w:space="0" w:color="auto"/>
              <w:left w:val="single" w:sz="12" w:space="0" w:color="auto"/>
              <w:bottom w:val="single" w:sz="12" w:space="0" w:color="auto"/>
              <w:right w:val="single" w:sz="12" w:space="0" w:color="auto"/>
            </w:tcBorders>
            <w:hideMark/>
          </w:tcPr>
          <w:p w14:paraId="2FF4EA4D" w14:textId="77777777" w:rsidR="003237D1" w:rsidRPr="007475F3" w:rsidRDefault="003237D1">
            <w:pPr>
              <w:autoSpaceDE w:val="0"/>
              <w:autoSpaceDN w:val="0"/>
              <w:adjustRightInd w:val="0"/>
              <w:rPr>
                <w:sz w:val="24"/>
                <w:szCs w:val="24"/>
              </w:rPr>
            </w:pPr>
            <w:r w:rsidRPr="007475F3">
              <w:rPr>
                <w:sz w:val="24"/>
                <w:szCs w:val="24"/>
              </w:rPr>
              <w:t>39,9 – 49,8</w:t>
            </w:r>
          </w:p>
        </w:tc>
      </w:tr>
      <w:tr w:rsidR="003237D1" w:rsidRPr="007475F3" w14:paraId="40E72C7B"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1C18D8A8"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667" w:type="pct"/>
            <w:gridSpan w:val="2"/>
            <w:tcBorders>
              <w:top w:val="single" w:sz="12" w:space="0" w:color="auto"/>
              <w:left w:val="single" w:sz="12" w:space="0" w:color="auto"/>
              <w:bottom w:val="single" w:sz="12" w:space="0" w:color="auto"/>
              <w:right w:val="single" w:sz="12" w:space="0" w:color="auto"/>
            </w:tcBorders>
          </w:tcPr>
          <w:p w14:paraId="003C610E"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14:paraId="2763F628" w14:textId="77777777" w:rsidR="003237D1" w:rsidRPr="007475F3" w:rsidRDefault="003237D1">
            <w:pPr>
              <w:autoSpaceDE w:val="0"/>
              <w:autoSpaceDN w:val="0"/>
              <w:adjustRightInd w:val="0"/>
              <w:rPr>
                <w:sz w:val="24"/>
                <w:szCs w:val="24"/>
              </w:rPr>
            </w:pPr>
            <w:r w:rsidRPr="007475F3">
              <w:rPr>
                <w:sz w:val="24"/>
                <w:szCs w:val="24"/>
              </w:rPr>
              <w:t>0,0036</w:t>
            </w:r>
          </w:p>
        </w:tc>
      </w:tr>
      <w:tr w:rsidR="003237D1" w:rsidRPr="007475F3" w14:paraId="15A7E55B"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7FA24BA3" w14:textId="77777777" w:rsidR="003237D1" w:rsidRPr="007475F3" w:rsidRDefault="003237D1">
            <w:pPr>
              <w:autoSpaceDE w:val="0"/>
              <w:autoSpaceDN w:val="0"/>
              <w:adjustRightInd w:val="0"/>
              <w:rPr>
                <w:sz w:val="24"/>
                <w:szCs w:val="24"/>
              </w:rPr>
            </w:pPr>
            <w:r w:rsidRPr="007475F3">
              <w:rPr>
                <w:sz w:val="24"/>
                <w:szCs w:val="24"/>
              </w:rPr>
              <w:t>Varighed af respons</w:t>
            </w:r>
          </w:p>
        </w:tc>
        <w:tc>
          <w:tcPr>
            <w:tcW w:w="1667" w:type="pct"/>
            <w:gridSpan w:val="2"/>
            <w:tcBorders>
              <w:top w:val="single" w:sz="12" w:space="0" w:color="auto"/>
              <w:left w:val="single" w:sz="12" w:space="0" w:color="auto"/>
              <w:bottom w:val="single" w:sz="12" w:space="0" w:color="auto"/>
              <w:right w:val="single" w:sz="12" w:space="0" w:color="auto"/>
            </w:tcBorders>
          </w:tcPr>
          <w:p w14:paraId="103CAE12" w14:textId="77777777" w:rsidR="003237D1" w:rsidRPr="007475F3" w:rsidRDefault="003237D1">
            <w:pPr>
              <w:autoSpaceDE w:val="0"/>
              <w:autoSpaceDN w:val="0"/>
              <w:adjustRightInd w:val="0"/>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14:paraId="02EE93C7" w14:textId="77777777" w:rsidR="003237D1" w:rsidRPr="007475F3" w:rsidRDefault="003237D1">
            <w:pPr>
              <w:autoSpaceDE w:val="0"/>
              <w:autoSpaceDN w:val="0"/>
              <w:adjustRightInd w:val="0"/>
              <w:rPr>
                <w:sz w:val="24"/>
                <w:szCs w:val="24"/>
              </w:rPr>
            </w:pPr>
          </w:p>
        </w:tc>
      </w:tr>
      <w:tr w:rsidR="003237D1" w:rsidRPr="007475F3" w14:paraId="000D9170"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6516800B" w14:textId="77777777" w:rsidR="003237D1" w:rsidRPr="007475F3" w:rsidRDefault="003237D1">
            <w:pPr>
              <w:autoSpaceDE w:val="0"/>
              <w:autoSpaceDN w:val="0"/>
              <w:adjustRightInd w:val="0"/>
              <w:rPr>
                <w:sz w:val="24"/>
                <w:szCs w:val="24"/>
              </w:rPr>
            </w:pPr>
            <w:r w:rsidRPr="007475F3">
              <w:rPr>
                <w:sz w:val="24"/>
                <w:szCs w:val="24"/>
              </w:rPr>
              <w:t>Mediantid (måneder)</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2B3B0861" w14:textId="77777777" w:rsidR="003237D1" w:rsidRPr="007475F3" w:rsidRDefault="003237D1">
            <w:pPr>
              <w:autoSpaceDE w:val="0"/>
              <w:autoSpaceDN w:val="0"/>
              <w:adjustRightInd w:val="0"/>
              <w:rPr>
                <w:sz w:val="24"/>
                <w:szCs w:val="24"/>
              </w:rPr>
            </w:pPr>
            <w:r w:rsidRPr="007475F3">
              <w:rPr>
                <w:sz w:val="24"/>
                <w:szCs w:val="24"/>
              </w:rPr>
              <w:t>7,1</w:t>
            </w:r>
          </w:p>
        </w:tc>
        <w:tc>
          <w:tcPr>
            <w:tcW w:w="1667" w:type="pct"/>
            <w:tcBorders>
              <w:top w:val="single" w:sz="12" w:space="0" w:color="auto"/>
              <w:left w:val="single" w:sz="12" w:space="0" w:color="auto"/>
              <w:bottom w:val="single" w:sz="12" w:space="0" w:color="auto"/>
              <w:right w:val="single" w:sz="12" w:space="0" w:color="auto"/>
            </w:tcBorders>
            <w:hideMark/>
          </w:tcPr>
          <w:p w14:paraId="12BD37AD" w14:textId="77777777" w:rsidR="003237D1" w:rsidRPr="007475F3" w:rsidRDefault="003237D1">
            <w:pPr>
              <w:autoSpaceDE w:val="0"/>
              <w:autoSpaceDN w:val="0"/>
              <w:adjustRightInd w:val="0"/>
              <w:rPr>
                <w:sz w:val="24"/>
                <w:szCs w:val="24"/>
              </w:rPr>
            </w:pPr>
            <w:r w:rsidRPr="007475F3">
              <w:rPr>
                <w:sz w:val="24"/>
                <w:szCs w:val="24"/>
              </w:rPr>
              <w:t>10,4</w:t>
            </w:r>
          </w:p>
        </w:tc>
      </w:tr>
      <w:tr w:rsidR="003237D1" w:rsidRPr="007475F3" w14:paraId="17EA9E38" w14:textId="77777777" w:rsidTr="00C02BD5">
        <w:trPr>
          <w:trHeight w:val="436"/>
        </w:trPr>
        <w:tc>
          <w:tcPr>
            <w:tcW w:w="1667" w:type="pct"/>
            <w:tcBorders>
              <w:top w:val="single" w:sz="12" w:space="0" w:color="auto"/>
              <w:left w:val="single" w:sz="12" w:space="0" w:color="auto"/>
              <w:bottom w:val="single" w:sz="12" w:space="0" w:color="auto"/>
              <w:right w:val="single" w:sz="12" w:space="0" w:color="auto"/>
            </w:tcBorders>
            <w:hideMark/>
          </w:tcPr>
          <w:p w14:paraId="239121E6" w14:textId="77777777" w:rsidR="003237D1" w:rsidRPr="007475F3" w:rsidRDefault="003237D1">
            <w:pPr>
              <w:autoSpaceDE w:val="0"/>
              <w:autoSpaceDN w:val="0"/>
              <w:adjustRightInd w:val="0"/>
              <w:rPr>
                <w:sz w:val="24"/>
                <w:szCs w:val="24"/>
              </w:rPr>
            </w:pPr>
            <w:r w:rsidRPr="007475F3">
              <w:rPr>
                <w:sz w:val="24"/>
                <w:szCs w:val="24"/>
              </w:rPr>
              <w:lastRenderedPageBreak/>
              <w:t xml:space="preserve">25–75 </w:t>
            </w:r>
            <w:proofErr w:type="spellStart"/>
            <w:r w:rsidRPr="007475F3">
              <w:rPr>
                <w:sz w:val="24"/>
                <w:szCs w:val="24"/>
              </w:rPr>
              <w:t>percentil</w:t>
            </w:r>
            <w:proofErr w:type="spellEnd"/>
            <w:r w:rsidRPr="007475F3">
              <w:rPr>
                <w:sz w:val="24"/>
                <w:szCs w:val="24"/>
              </w:rPr>
              <w:t xml:space="preserve"> (måneder)</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11CE2E7B" w14:textId="77777777" w:rsidR="003237D1" w:rsidRPr="007475F3" w:rsidRDefault="003237D1">
            <w:pPr>
              <w:autoSpaceDE w:val="0"/>
              <w:autoSpaceDN w:val="0"/>
              <w:adjustRightInd w:val="0"/>
              <w:rPr>
                <w:sz w:val="24"/>
                <w:szCs w:val="24"/>
              </w:rPr>
            </w:pPr>
            <w:r w:rsidRPr="007475F3">
              <w:rPr>
                <w:sz w:val="24"/>
                <w:szCs w:val="24"/>
              </w:rPr>
              <w:t>4,7 – 11,8</w:t>
            </w:r>
          </w:p>
        </w:tc>
        <w:tc>
          <w:tcPr>
            <w:tcW w:w="1667" w:type="pct"/>
            <w:tcBorders>
              <w:top w:val="single" w:sz="12" w:space="0" w:color="auto"/>
              <w:left w:val="single" w:sz="12" w:space="0" w:color="auto"/>
              <w:bottom w:val="single" w:sz="12" w:space="0" w:color="auto"/>
              <w:right w:val="single" w:sz="12" w:space="0" w:color="auto"/>
            </w:tcBorders>
            <w:hideMark/>
          </w:tcPr>
          <w:p w14:paraId="2DD9CF18" w14:textId="77777777" w:rsidR="003237D1" w:rsidRPr="007475F3" w:rsidRDefault="003237D1">
            <w:pPr>
              <w:autoSpaceDE w:val="0"/>
              <w:autoSpaceDN w:val="0"/>
              <w:adjustRightInd w:val="0"/>
              <w:rPr>
                <w:sz w:val="24"/>
                <w:szCs w:val="24"/>
              </w:rPr>
            </w:pPr>
            <w:r w:rsidRPr="007475F3">
              <w:rPr>
                <w:sz w:val="24"/>
                <w:szCs w:val="24"/>
              </w:rPr>
              <w:t>6,7 – 15,0</w:t>
            </w:r>
          </w:p>
        </w:tc>
      </w:tr>
    </w:tbl>
    <w:p w14:paraId="1EC47D4C" w14:textId="77777777" w:rsidR="003237D1" w:rsidRPr="007475F3" w:rsidRDefault="003237D1" w:rsidP="003237D1">
      <w:pPr>
        <w:autoSpaceDE w:val="0"/>
        <w:autoSpaceDN w:val="0"/>
        <w:adjustRightInd w:val="0"/>
        <w:rPr>
          <w:sz w:val="24"/>
          <w:szCs w:val="24"/>
        </w:rPr>
      </w:pPr>
      <w:r w:rsidRPr="007475F3">
        <w:rPr>
          <w:sz w:val="24"/>
          <w:szCs w:val="24"/>
          <w:vertAlign w:val="superscript"/>
        </w:rPr>
        <w:t>a</w:t>
      </w:r>
      <w:r w:rsidRPr="007475F3">
        <w:rPr>
          <w:sz w:val="24"/>
          <w:szCs w:val="24"/>
        </w:rPr>
        <w:t>5 mg/kg hver anden uge.</w:t>
      </w:r>
    </w:p>
    <w:p w14:paraId="730793DD" w14:textId="77777777" w:rsidR="003237D1" w:rsidRPr="007475F3" w:rsidRDefault="003237D1" w:rsidP="003237D1">
      <w:pPr>
        <w:autoSpaceDE w:val="0"/>
        <w:autoSpaceDN w:val="0"/>
        <w:adjustRightInd w:val="0"/>
        <w:rPr>
          <w:sz w:val="24"/>
          <w:szCs w:val="24"/>
        </w:rPr>
      </w:pPr>
      <w:proofErr w:type="spellStart"/>
      <w:r w:rsidRPr="007475F3">
        <w:rPr>
          <w:sz w:val="24"/>
          <w:szCs w:val="24"/>
          <w:vertAlign w:val="superscript"/>
        </w:rPr>
        <w:t>b</w:t>
      </w:r>
      <w:r w:rsidRPr="007475F3">
        <w:rPr>
          <w:sz w:val="24"/>
          <w:szCs w:val="24"/>
        </w:rPr>
        <w:t>Relativ</w:t>
      </w:r>
      <w:proofErr w:type="spellEnd"/>
      <w:r w:rsidRPr="007475F3">
        <w:rPr>
          <w:sz w:val="24"/>
          <w:szCs w:val="24"/>
        </w:rPr>
        <w:t xml:space="preserve"> i forhold til kontrolarm.</w:t>
      </w:r>
    </w:p>
    <w:p w14:paraId="04C07B87" w14:textId="77777777" w:rsidR="003237D1" w:rsidRPr="007475F3" w:rsidRDefault="003237D1" w:rsidP="003237D1">
      <w:pPr>
        <w:autoSpaceDE w:val="0"/>
        <w:autoSpaceDN w:val="0"/>
        <w:adjustRightInd w:val="0"/>
        <w:rPr>
          <w:sz w:val="24"/>
          <w:szCs w:val="24"/>
        </w:rPr>
      </w:pPr>
    </w:p>
    <w:p w14:paraId="674F8F6E" w14:textId="77777777" w:rsidR="003237D1" w:rsidRPr="007475F3" w:rsidRDefault="003237D1" w:rsidP="00C02BD5">
      <w:pPr>
        <w:autoSpaceDE w:val="0"/>
        <w:autoSpaceDN w:val="0"/>
        <w:adjustRightInd w:val="0"/>
        <w:ind w:left="851"/>
        <w:rPr>
          <w:i/>
          <w:sz w:val="24"/>
          <w:szCs w:val="24"/>
        </w:rPr>
      </w:pPr>
      <w:r w:rsidRPr="007475F3">
        <w:rPr>
          <w:i/>
          <w:iCs/>
          <w:sz w:val="24"/>
          <w:szCs w:val="24"/>
        </w:rPr>
        <w:t xml:space="preserve">I kombinationsterapi med </w:t>
      </w:r>
      <w:proofErr w:type="spellStart"/>
      <w:r w:rsidRPr="007475F3">
        <w:rPr>
          <w:i/>
          <w:iCs/>
          <w:sz w:val="24"/>
          <w:szCs w:val="24"/>
        </w:rPr>
        <w:t>cetuximab</w:t>
      </w:r>
      <w:proofErr w:type="spellEnd"/>
    </w:p>
    <w:p w14:paraId="723E614C" w14:textId="77777777" w:rsidR="003237D1" w:rsidRPr="007475F3" w:rsidRDefault="003237D1" w:rsidP="00C02BD5">
      <w:pPr>
        <w:autoSpaceDE w:val="0"/>
        <w:autoSpaceDN w:val="0"/>
        <w:adjustRightInd w:val="0"/>
        <w:ind w:left="851"/>
        <w:rPr>
          <w:sz w:val="24"/>
          <w:szCs w:val="24"/>
        </w:rPr>
      </w:pPr>
      <w:r w:rsidRPr="007475F3">
        <w:rPr>
          <w:sz w:val="24"/>
          <w:szCs w:val="24"/>
        </w:rPr>
        <w:t xml:space="preserve">EMR 62 202-013: Dette randomiserede forsøg med patienter med metastatisk </w:t>
      </w:r>
      <w:proofErr w:type="spellStart"/>
      <w:r w:rsidRPr="007475F3">
        <w:rPr>
          <w:sz w:val="24"/>
          <w:szCs w:val="24"/>
        </w:rPr>
        <w:t>colorektal</w:t>
      </w:r>
      <w:proofErr w:type="spellEnd"/>
      <w:r w:rsidRPr="007475F3">
        <w:rPr>
          <w:sz w:val="24"/>
          <w:szCs w:val="24"/>
        </w:rPr>
        <w:t xml:space="preserve"> cancer, som ikke tidligere havde fået behandling for metastatisk sygdom, sammenlignede kombinationen af </w:t>
      </w:r>
      <w:proofErr w:type="spellStart"/>
      <w:r w:rsidRPr="007475F3">
        <w:rPr>
          <w:sz w:val="24"/>
          <w:szCs w:val="24"/>
        </w:rPr>
        <w:t>cetuximab</w:t>
      </w:r>
      <w:proofErr w:type="spellEnd"/>
      <w:r w:rsidRPr="007475F3">
        <w:rPr>
          <w:sz w:val="24"/>
          <w:szCs w:val="24"/>
        </w:rPr>
        <w:t xml:space="preserve"> og </w:t>
      </w:r>
      <w:proofErr w:type="spellStart"/>
      <w:r w:rsidRPr="007475F3">
        <w:rPr>
          <w:sz w:val="24"/>
          <w:szCs w:val="24"/>
        </w:rPr>
        <w:t>irinotecan</w:t>
      </w:r>
      <w:proofErr w:type="spellEnd"/>
      <w:r w:rsidRPr="007475F3">
        <w:rPr>
          <w:sz w:val="24"/>
          <w:szCs w:val="24"/>
        </w:rPr>
        <w:t xml:space="preserve"> plus 5-fluorouracil/</w:t>
      </w:r>
      <w:proofErr w:type="spellStart"/>
      <w:r w:rsidRPr="007475F3">
        <w:rPr>
          <w:sz w:val="24"/>
          <w:szCs w:val="24"/>
        </w:rPr>
        <w:t>folininsyre</w:t>
      </w:r>
      <w:proofErr w:type="spellEnd"/>
      <w:r w:rsidRPr="007475F3">
        <w:rPr>
          <w:sz w:val="24"/>
          <w:szCs w:val="24"/>
        </w:rPr>
        <w:t xml:space="preserve">-infusion (5-FU/FA) (599 patienter) med den samme kemoterapibehandling uden </w:t>
      </w:r>
      <w:proofErr w:type="spellStart"/>
      <w:r w:rsidRPr="007475F3">
        <w:rPr>
          <w:sz w:val="24"/>
          <w:szCs w:val="24"/>
        </w:rPr>
        <w:t>cetuximab</w:t>
      </w:r>
      <w:proofErr w:type="spellEnd"/>
      <w:r w:rsidRPr="007475F3">
        <w:rPr>
          <w:sz w:val="24"/>
          <w:szCs w:val="24"/>
        </w:rPr>
        <w:t xml:space="preserve"> (599 patienter). Andelen af patienter i patientpopulationen, som havde tumorer af KRAS-vildtypen og som kunne vurderes mht. KRAS-status, var 64 %.</w:t>
      </w:r>
    </w:p>
    <w:p w14:paraId="5E27A7DA" w14:textId="77777777" w:rsidR="003237D1" w:rsidRPr="007475F3" w:rsidRDefault="003237D1" w:rsidP="00C02BD5">
      <w:pPr>
        <w:autoSpaceDE w:val="0"/>
        <w:autoSpaceDN w:val="0"/>
        <w:adjustRightInd w:val="0"/>
        <w:ind w:left="851"/>
        <w:rPr>
          <w:sz w:val="24"/>
          <w:szCs w:val="24"/>
        </w:rPr>
      </w:pPr>
    </w:p>
    <w:p w14:paraId="325F5127" w14:textId="77777777" w:rsidR="003237D1" w:rsidRPr="007475F3" w:rsidRDefault="003237D1" w:rsidP="00C02BD5">
      <w:pPr>
        <w:autoSpaceDE w:val="0"/>
        <w:autoSpaceDN w:val="0"/>
        <w:adjustRightInd w:val="0"/>
        <w:ind w:left="851"/>
        <w:rPr>
          <w:sz w:val="24"/>
          <w:szCs w:val="24"/>
        </w:rPr>
      </w:pPr>
      <w:r w:rsidRPr="007475F3">
        <w:rPr>
          <w:sz w:val="24"/>
          <w:szCs w:val="24"/>
        </w:rPr>
        <w:t>Forsøgets effektdata er opsummeret i nedenstående tabel:</w:t>
      </w:r>
    </w:p>
    <w:p w14:paraId="0DB921C8" w14:textId="77777777" w:rsidR="003237D1" w:rsidRPr="007475F3" w:rsidRDefault="003237D1" w:rsidP="003237D1">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01"/>
        <w:gridCol w:w="1603"/>
        <w:gridCol w:w="1601"/>
        <w:gridCol w:w="1601"/>
      </w:tblGrid>
      <w:tr w:rsidR="003237D1" w:rsidRPr="007475F3" w14:paraId="566F8DFC" w14:textId="77777777" w:rsidTr="00C02BD5">
        <w:tc>
          <w:tcPr>
            <w:tcW w:w="1667" w:type="pct"/>
            <w:tcBorders>
              <w:top w:val="single" w:sz="12" w:space="0" w:color="auto"/>
              <w:left w:val="single" w:sz="12" w:space="0" w:color="auto"/>
              <w:bottom w:val="single" w:sz="12" w:space="0" w:color="auto"/>
              <w:right w:val="single" w:sz="12" w:space="0" w:color="auto"/>
            </w:tcBorders>
          </w:tcPr>
          <w:p w14:paraId="1251BC9E" w14:textId="77777777" w:rsidR="003237D1" w:rsidRPr="007475F3" w:rsidRDefault="003237D1">
            <w:pPr>
              <w:autoSpaceDE w:val="0"/>
              <w:autoSpaceDN w:val="0"/>
              <w:adjustRightInd w:val="0"/>
              <w:rPr>
                <w:sz w:val="24"/>
                <w:szCs w:val="24"/>
              </w:rPr>
            </w:pPr>
          </w:p>
        </w:tc>
        <w:tc>
          <w:tcPr>
            <w:tcW w:w="1667" w:type="pct"/>
            <w:gridSpan w:val="2"/>
            <w:tcBorders>
              <w:top w:val="single" w:sz="12" w:space="0" w:color="auto"/>
              <w:left w:val="single" w:sz="12" w:space="0" w:color="auto"/>
              <w:bottom w:val="single" w:sz="12" w:space="0" w:color="auto"/>
              <w:right w:val="single" w:sz="12" w:space="0" w:color="auto"/>
            </w:tcBorders>
            <w:hideMark/>
          </w:tcPr>
          <w:p w14:paraId="64BDAD66" w14:textId="77777777" w:rsidR="003237D1" w:rsidRPr="007475F3" w:rsidRDefault="003237D1">
            <w:pPr>
              <w:autoSpaceDE w:val="0"/>
              <w:autoSpaceDN w:val="0"/>
              <w:adjustRightInd w:val="0"/>
              <w:rPr>
                <w:sz w:val="24"/>
                <w:szCs w:val="24"/>
              </w:rPr>
            </w:pPr>
            <w:r w:rsidRPr="007475F3">
              <w:rPr>
                <w:b/>
                <w:bCs/>
                <w:sz w:val="24"/>
                <w:szCs w:val="24"/>
              </w:rPr>
              <w:t>Samlet population</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5BB1FE24" w14:textId="77777777" w:rsidR="003237D1" w:rsidRPr="007475F3" w:rsidRDefault="003237D1">
            <w:pPr>
              <w:autoSpaceDE w:val="0"/>
              <w:autoSpaceDN w:val="0"/>
              <w:adjustRightInd w:val="0"/>
              <w:rPr>
                <w:sz w:val="24"/>
                <w:szCs w:val="24"/>
              </w:rPr>
            </w:pPr>
            <w:r w:rsidRPr="007475F3">
              <w:rPr>
                <w:b/>
                <w:bCs/>
                <w:sz w:val="24"/>
                <w:szCs w:val="24"/>
              </w:rPr>
              <w:t>Population med KRAS-vildtypen</w:t>
            </w:r>
          </w:p>
        </w:tc>
      </w:tr>
      <w:tr w:rsidR="003237D1" w:rsidRPr="007475F3" w14:paraId="4D437112"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10A6CD66" w14:textId="77777777" w:rsidR="003237D1" w:rsidRPr="007475F3" w:rsidRDefault="003237D1">
            <w:pPr>
              <w:autoSpaceDE w:val="0"/>
              <w:autoSpaceDN w:val="0"/>
              <w:adjustRightInd w:val="0"/>
              <w:rPr>
                <w:sz w:val="24"/>
                <w:szCs w:val="24"/>
              </w:rPr>
            </w:pPr>
            <w:r w:rsidRPr="007475F3">
              <w:rPr>
                <w:b/>
                <w:bCs/>
                <w:sz w:val="24"/>
                <w:szCs w:val="24"/>
              </w:rPr>
              <w:t>Variabel/statistisk</w:t>
            </w:r>
          </w:p>
        </w:tc>
        <w:tc>
          <w:tcPr>
            <w:tcW w:w="833" w:type="pct"/>
            <w:tcBorders>
              <w:top w:val="single" w:sz="12" w:space="0" w:color="auto"/>
              <w:left w:val="single" w:sz="12" w:space="0" w:color="auto"/>
              <w:bottom w:val="single" w:sz="12" w:space="0" w:color="auto"/>
              <w:right w:val="single" w:sz="12" w:space="0" w:color="auto"/>
            </w:tcBorders>
            <w:hideMark/>
          </w:tcPr>
          <w:p w14:paraId="6A227527" w14:textId="77777777" w:rsidR="003237D1" w:rsidRPr="007475F3" w:rsidRDefault="003237D1">
            <w:pPr>
              <w:autoSpaceDE w:val="0"/>
              <w:autoSpaceDN w:val="0"/>
              <w:adjustRightInd w:val="0"/>
              <w:rPr>
                <w:b/>
                <w:bCs/>
                <w:sz w:val="24"/>
                <w:szCs w:val="24"/>
              </w:rPr>
            </w:pPr>
            <w:proofErr w:type="spellStart"/>
            <w:r w:rsidRPr="007475F3">
              <w:rPr>
                <w:b/>
                <w:bCs/>
                <w:sz w:val="24"/>
                <w:szCs w:val="24"/>
              </w:rPr>
              <w:t>Cetuximab</w:t>
            </w:r>
            <w:proofErr w:type="spellEnd"/>
            <w:r w:rsidRPr="007475F3">
              <w:rPr>
                <w:b/>
                <w:bCs/>
                <w:sz w:val="24"/>
                <w:szCs w:val="24"/>
              </w:rPr>
              <w:t xml:space="preserve"> plus</w:t>
            </w:r>
          </w:p>
          <w:p w14:paraId="46F554BA" w14:textId="77777777" w:rsidR="003237D1" w:rsidRPr="007475F3" w:rsidRDefault="003237D1">
            <w:pPr>
              <w:autoSpaceDE w:val="0"/>
              <w:autoSpaceDN w:val="0"/>
              <w:adjustRightInd w:val="0"/>
              <w:rPr>
                <w:b/>
                <w:bCs/>
                <w:sz w:val="24"/>
                <w:szCs w:val="24"/>
              </w:rPr>
            </w:pPr>
            <w:r w:rsidRPr="007475F3">
              <w:rPr>
                <w:b/>
                <w:bCs/>
                <w:sz w:val="24"/>
                <w:szCs w:val="24"/>
              </w:rPr>
              <w:t>FOLFIRI</w:t>
            </w:r>
          </w:p>
          <w:p w14:paraId="4CC02B34" w14:textId="77777777" w:rsidR="003237D1" w:rsidRPr="007475F3" w:rsidRDefault="003237D1">
            <w:pPr>
              <w:autoSpaceDE w:val="0"/>
              <w:autoSpaceDN w:val="0"/>
              <w:adjustRightInd w:val="0"/>
              <w:rPr>
                <w:sz w:val="24"/>
                <w:szCs w:val="24"/>
              </w:rPr>
            </w:pPr>
            <w:r w:rsidRPr="007475F3">
              <w:rPr>
                <w:b/>
                <w:bCs/>
                <w:sz w:val="24"/>
                <w:szCs w:val="24"/>
              </w:rPr>
              <w:t>(N=599)</w:t>
            </w:r>
          </w:p>
        </w:tc>
        <w:tc>
          <w:tcPr>
            <w:tcW w:w="833" w:type="pct"/>
            <w:tcBorders>
              <w:top w:val="single" w:sz="12" w:space="0" w:color="auto"/>
              <w:left w:val="single" w:sz="12" w:space="0" w:color="auto"/>
              <w:bottom w:val="single" w:sz="12" w:space="0" w:color="auto"/>
              <w:right w:val="single" w:sz="12" w:space="0" w:color="auto"/>
            </w:tcBorders>
            <w:hideMark/>
          </w:tcPr>
          <w:p w14:paraId="0346363F" w14:textId="77777777" w:rsidR="003237D1" w:rsidRPr="007475F3" w:rsidRDefault="003237D1">
            <w:pPr>
              <w:autoSpaceDE w:val="0"/>
              <w:autoSpaceDN w:val="0"/>
              <w:adjustRightInd w:val="0"/>
              <w:rPr>
                <w:b/>
                <w:bCs/>
                <w:sz w:val="24"/>
                <w:szCs w:val="24"/>
              </w:rPr>
            </w:pPr>
            <w:r w:rsidRPr="007475F3">
              <w:rPr>
                <w:b/>
                <w:bCs/>
                <w:sz w:val="24"/>
                <w:szCs w:val="24"/>
              </w:rPr>
              <w:t>FOLFIRI</w:t>
            </w:r>
          </w:p>
          <w:p w14:paraId="379BC5E3" w14:textId="77777777" w:rsidR="003237D1" w:rsidRPr="007475F3" w:rsidRDefault="003237D1">
            <w:pPr>
              <w:autoSpaceDE w:val="0"/>
              <w:autoSpaceDN w:val="0"/>
              <w:adjustRightInd w:val="0"/>
              <w:rPr>
                <w:sz w:val="24"/>
                <w:szCs w:val="24"/>
              </w:rPr>
            </w:pPr>
            <w:r w:rsidRPr="007475F3">
              <w:rPr>
                <w:b/>
                <w:bCs/>
                <w:sz w:val="24"/>
                <w:szCs w:val="24"/>
              </w:rPr>
              <w:t>(N=599)</w:t>
            </w:r>
          </w:p>
        </w:tc>
        <w:tc>
          <w:tcPr>
            <w:tcW w:w="833" w:type="pct"/>
            <w:tcBorders>
              <w:top w:val="single" w:sz="12" w:space="0" w:color="auto"/>
              <w:left w:val="single" w:sz="12" w:space="0" w:color="auto"/>
              <w:bottom w:val="single" w:sz="12" w:space="0" w:color="auto"/>
              <w:right w:val="single" w:sz="12" w:space="0" w:color="auto"/>
            </w:tcBorders>
            <w:hideMark/>
          </w:tcPr>
          <w:p w14:paraId="6E035561" w14:textId="77777777" w:rsidR="003237D1" w:rsidRPr="007475F3" w:rsidRDefault="003237D1">
            <w:pPr>
              <w:autoSpaceDE w:val="0"/>
              <w:autoSpaceDN w:val="0"/>
              <w:adjustRightInd w:val="0"/>
              <w:rPr>
                <w:b/>
                <w:bCs/>
                <w:sz w:val="24"/>
                <w:szCs w:val="24"/>
              </w:rPr>
            </w:pPr>
            <w:proofErr w:type="spellStart"/>
            <w:r w:rsidRPr="007475F3">
              <w:rPr>
                <w:b/>
                <w:bCs/>
                <w:sz w:val="24"/>
                <w:szCs w:val="24"/>
              </w:rPr>
              <w:t>Cetuximab</w:t>
            </w:r>
            <w:proofErr w:type="spellEnd"/>
            <w:r w:rsidRPr="007475F3">
              <w:rPr>
                <w:b/>
                <w:bCs/>
                <w:sz w:val="24"/>
                <w:szCs w:val="24"/>
              </w:rPr>
              <w:t xml:space="preserve"> plus</w:t>
            </w:r>
          </w:p>
          <w:p w14:paraId="10EF58C3" w14:textId="77777777" w:rsidR="003237D1" w:rsidRPr="007475F3" w:rsidRDefault="003237D1">
            <w:pPr>
              <w:autoSpaceDE w:val="0"/>
              <w:autoSpaceDN w:val="0"/>
              <w:adjustRightInd w:val="0"/>
              <w:rPr>
                <w:b/>
                <w:bCs/>
                <w:sz w:val="24"/>
                <w:szCs w:val="24"/>
              </w:rPr>
            </w:pPr>
            <w:r w:rsidRPr="007475F3">
              <w:rPr>
                <w:b/>
                <w:bCs/>
                <w:sz w:val="24"/>
                <w:szCs w:val="24"/>
              </w:rPr>
              <w:t>FOLFIRI</w:t>
            </w:r>
          </w:p>
          <w:p w14:paraId="492CE151" w14:textId="77777777" w:rsidR="003237D1" w:rsidRPr="007475F3" w:rsidRDefault="003237D1">
            <w:pPr>
              <w:autoSpaceDE w:val="0"/>
              <w:autoSpaceDN w:val="0"/>
              <w:adjustRightInd w:val="0"/>
              <w:rPr>
                <w:sz w:val="24"/>
                <w:szCs w:val="24"/>
              </w:rPr>
            </w:pPr>
            <w:r w:rsidRPr="007475F3">
              <w:rPr>
                <w:b/>
                <w:bCs/>
                <w:sz w:val="24"/>
                <w:szCs w:val="24"/>
              </w:rPr>
              <w:t>(N=172)</w:t>
            </w:r>
          </w:p>
        </w:tc>
        <w:tc>
          <w:tcPr>
            <w:tcW w:w="833" w:type="pct"/>
            <w:tcBorders>
              <w:top w:val="single" w:sz="12" w:space="0" w:color="auto"/>
              <w:left w:val="single" w:sz="12" w:space="0" w:color="auto"/>
              <w:bottom w:val="single" w:sz="12" w:space="0" w:color="auto"/>
              <w:right w:val="single" w:sz="12" w:space="0" w:color="auto"/>
            </w:tcBorders>
            <w:hideMark/>
          </w:tcPr>
          <w:p w14:paraId="59CCCE45" w14:textId="77777777" w:rsidR="003237D1" w:rsidRPr="007475F3" w:rsidRDefault="003237D1">
            <w:pPr>
              <w:autoSpaceDE w:val="0"/>
              <w:autoSpaceDN w:val="0"/>
              <w:adjustRightInd w:val="0"/>
              <w:rPr>
                <w:b/>
                <w:bCs/>
                <w:sz w:val="24"/>
                <w:szCs w:val="24"/>
              </w:rPr>
            </w:pPr>
            <w:r w:rsidRPr="007475F3">
              <w:rPr>
                <w:b/>
                <w:bCs/>
                <w:sz w:val="24"/>
                <w:szCs w:val="24"/>
              </w:rPr>
              <w:t>FOLFIRI</w:t>
            </w:r>
          </w:p>
          <w:p w14:paraId="211211D9" w14:textId="77777777" w:rsidR="003237D1" w:rsidRPr="007475F3" w:rsidRDefault="003237D1">
            <w:pPr>
              <w:autoSpaceDE w:val="0"/>
              <w:autoSpaceDN w:val="0"/>
              <w:adjustRightInd w:val="0"/>
              <w:rPr>
                <w:sz w:val="24"/>
                <w:szCs w:val="24"/>
              </w:rPr>
            </w:pPr>
            <w:r w:rsidRPr="007475F3">
              <w:rPr>
                <w:b/>
                <w:bCs/>
                <w:sz w:val="24"/>
                <w:szCs w:val="24"/>
              </w:rPr>
              <w:t>(N=176)</w:t>
            </w:r>
          </w:p>
        </w:tc>
      </w:tr>
      <w:tr w:rsidR="003237D1" w:rsidRPr="007475F3" w14:paraId="0B7CF537"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2F55A511" w14:textId="77777777" w:rsidR="003237D1" w:rsidRPr="007475F3" w:rsidRDefault="003237D1">
            <w:pPr>
              <w:autoSpaceDE w:val="0"/>
              <w:autoSpaceDN w:val="0"/>
              <w:adjustRightInd w:val="0"/>
              <w:rPr>
                <w:sz w:val="24"/>
                <w:szCs w:val="24"/>
              </w:rPr>
            </w:pPr>
            <w:r w:rsidRPr="007475F3">
              <w:rPr>
                <w:b/>
                <w:bCs/>
                <w:sz w:val="24"/>
                <w:szCs w:val="24"/>
              </w:rPr>
              <w:t>ORR</w:t>
            </w:r>
          </w:p>
        </w:tc>
        <w:tc>
          <w:tcPr>
            <w:tcW w:w="833" w:type="pct"/>
            <w:tcBorders>
              <w:top w:val="single" w:sz="12" w:space="0" w:color="auto"/>
              <w:left w:val="single" w:sz="12" w:space="0" w:color="auto"/>
              <w:bottom w:val="single" w:sz="12" w:space="0" w:color="auto"/>
              <w:right w:val="single" w:sz="12" w:space="0" w:color="auto"/>
            </w:tcBorders>
          </w:tcPr>
          <w:p w14:paraId="03AA5BBD"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398E1DFA"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1C20E221"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348FCB74" w14:textId="77777777" w:rsidR="003237D1" w:rsidRPr="007475F3" w:rsidRDefault="003237D1">
            <w:pPr>
              <w:autoSpaceDE w:val="0"/>
              <w:autoSpaceDN w:val="0"/>
              <w:adjustRightInd w:val="0"/>
              <w:rPr>
                <w:sz w:val="24"/>
                <w:szCs w:val="24"/>
              </w:rPr>
            </w:pPr>
          </w:p>
        </w:tc>
      </w:tr>
      <w:tr w:rsidR="003237D1" w:rsidRPr="007475F3" w14:paraId="3A1CAEDD"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53D7EAD0" w14:textId="77777777" w:rsidR="003237D1" w:rsidRPr="007475F3" w:rsidRDefault="003237D1">
            <w:pPr>
              <w:autoSpaceDE w:val="0"/>
              <w:autoSpaceDN w:val="0"/>
              <w:adjustRightInd w:val="0"/>
              <w:rPr>
                <w:sz w:val="24"/>
                <w:szCs w:val="24"/>
              </w:rPr>
            </w:pPr>
            <w:r w:rsidRPr="007475F3">
              <w:rPr>
                <w:sz w:val="24"/>
                <w:szCs w:val="24"/>
              </w:rPr>
              <w:t>% (95 % CI)</w:t>
            </w:r>
          </w:p>
        </w:tc>
        <w:tc>
          <w:tcPr>
            <w:tcW w:w="833" w:type="pct"/>
            <w:tcBorders>
              <w:top w:val="single" w:sz="12" w:space="0" w:color="auto"/>
              <w:left w:val="single" w:sz="12" w:space="0" w:color="auto"/>
              <w:bottom w:val="single" w:sz="12" w:space="0" w:color="auto"/>
              <w:right w:val="single" w:sz="12" w:space="0" w:color="auto"/>
            </w:tcBorders>
            <w:hideMark/>
          </w:tcPr>
          <w:p w14:paraId="1D58115F" w14:textId="77777777" w:rsidR="003237D1" w:rsidRPr="007475F3" w:rsidRDefault="003237D1">
            <w:pPr>
              <w:autoSpaceDE w:val="0"/>
              <w:autoSpaceDN w:val="0"/>
              <w:adjustRightInd w:val="0"/>
              <w:rPr>
                <w:sz w:val="24"/>
                <w:szCs w:val="24"/>
              </w:rPr>
            </w:pPr>
            <w:r w:rsidRPr="007475F3">
              <w:rPr>
                <w:sz w:val="24"/>
                <w:szCs w:val="24"/>
              </w:rPr>
              <w:t>46,9 (42,9; 51,0)</w:t>
            </w:r>
          </w:p>
        </w:tc>
        <w:tc>
          <w:tcPr>
            <w:tcW w:w="833" w:type="pct"/>
            <w:tcBorders>
              <w:top w:val="single" w:sz="12" w:space="0" w:color="auto"/>
              <w:left w:val="single" w:sz="12" w:space="0" w:color="auto"/>
              <w:bottom w:val="single" w:sz="12" w:space="0" w:color="auto"/>
              <w:right w:val="single" w:sz="12" w:space="0" w:color="auto"/>
            </w:tcBorders>
            <w:hideMark/>
          </w:tcPr>
          <w:p w14:paraId="569F1AE3" w14:textId="77777777" w:rsidR="003237D1" w:rsidRPr="007475F3" w:rsidRDefault="003237D1">
            <w:pPr>
              <w:autoSpaceDE w:val="0"/>
              <w:autoSpaceDN w:val="0"/>
              <w:adjustRightInd w:val="0"/>
              <w:rPr>
                <w:sz w:val="24"/>
                <w:szCs w:val="24"/>
              </w:rPr>
            </w:pPr>
            <w:r w:rsidRPr="007475F3">
              <w:rPr>
                <w:sz w:val="24"/>
                <w:szCs w:val="24"/>
              </w:rPr>
              <w:t>38,7 (34,8; 42,8)</w:t>
            </w:r>
          </w:p>
        </w:tc>
        <w:tc>
          <w:tcPr>
            <w:tcW w:w="833" w:type="pct"/>
            <w:tcBorders>
              <w:top w:val="single" w:sz="12" w:space="0" w:color="auto"/>
              <w:left w:val="single" w:sz="12" w:space="0" w:color="auto"/>
              <w:bottom w:val="single" w:sz="12" w:space="0" w:color="auto"/>
              <w:right w:val="single" w:sz="12" w:space="0" w:color="auto"/>
            </w:tcBorders>
            <w:hideMark/>
          </w:tcPr>
          <w:p w14:paraId="30D76B34" w14:textId="77777777" w:rsidR="003237D1" w:rsidRPr="007475F3" w:rsidRDefault="003237D1">
            <w:pPr>
              <w:autoSpaceDE w:val="0"/>
              <w:autoSpaceDN w:val="0"/>
              <w:adjustRightInd w:val="0"/>
              <w:rPr>
                <w:sz w:val="24"/>
                <w:szCs w:val="24"/>
              </w:rPr>
            </w:pPr>
            <w:r w:rsidRPr="007475F3">
              <w:rPr>
                <w:sz w:val="24"/>
                <w:szCs w:val="24"/>
              </w:rPr>
              <w:t>59,3 (51,6; 66,7)</w:t>
            </w:r>
          </w:p>
        </w:tc>
        <w:tc>
          <w:tcPr>
            <w:tcW w:w="833" w:type="pct"/>
            <w:tcBorders>
              <w:top w:val="single" w:sz="12" w:space="0" w:color="auto"/>
              <w:left w:val="single" w:sz="12" w:space="0" w:color="auto"/>
              <w:bottom w:val="single" w:sz="12" w:space="0" w:color="auto"/>
              <w:right w:val="single" w:sz="12" w:space="0" w:color="auto"/>
            </w:tcBorders>
            <w:hideMark/>
          </w:tcPr>
          <w:p w14:paraId="53388394" w14:textId="77777777" w:rsidR="003237D1" w:rsidRPr="007475F3" w:rsidRDefault="003237D1">
            <w:pPr>
              <w:autoSpaceDE w:val="0"/>
              <w:autoSpaceDN w:val="0"/>
              <w:adjustRightInd w:val="0"/>
              <w:rPr>
                <w:sz w:val="24"/>
                <w:szCs w:val="24"/>
              </w:rPr>
            </w:pPr>
            <w:r w:rsidRPr="007475F3">
              <w:rPr>
                <w:sz w:val="24"/>
                <w:szCs w:val="24"/>
              </w:rPr>
              <w:t>43,2 (35,8; 50,9)</w:t>
            </w:r>
          </w:p>
        </w:tc>
      </w:tr>
      <w:tr w:rsidR="003237D1" w:rsidRPr="007475F3" w14:paraId="5CBE7721"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796D35EA"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667" w:type="pct"/>
            <w:gridSpan w:val="2"/>
            <w:tcBorders>
              <w:top w:val="single" w:sz="4" w:space="0" w:color="auto"/>
              <w:left w:val="single" w:sz="12" w:space="0" w:color="auto"/>
              <w:bottom w:val="single" w:sz="4" w:space="0" w:color="auto"/>
              <w:right w:val="single" w:sz="12" w:space="0" w:color="auto"/>
            </w:tcBorders>
            <w:hideMark/>
          </w:tcPr>
          <w:p w14:paraId="6DBA45D8" w14:textId="77777777" w:rsidR="003237D1" w:rsidRPr="007475F3" w:rsidRDefault="003237D1">
            <w:pPr>
              <w:autoSpaceDE w:val="0"/>
              <w:autoSpaceDN w:val="0"/>
              <w:adjustRightInd w:val="0"/>
              <w:jc w:val="center"/>
              <w:rPr>
                <w:sz w:val="24"/>
                <w:szCs w:val="24"/>
              </w:rPr>
            </w:pPr>
            <w:r w:rsidRPr="007475F3">
              <w:rPr>
                <w:sz w:val="24"/>
                <w:szCs w:val="24"/>
              </w:rPr>
              <w:t>0,0038</w:t>
            </w:r>
          </w:p>
        </w:tc>
        <w:tc>
          <w:tcPr>
            <w:tcW w:w="1667" w:type="pct"/>
            <w:gridSpan w:val="2"/>
            <w:tcBorders>
              <w:top w:val="single" w:sz="4" w:space="0" w:color="auto"/>
              <w:left w:val="single" w:sz="12" w:space="0" w:color="auto"/>
              <w:bottom w:val="single" w:sz="4" w:space="0" w:color="auto"/>
              <w:right w:val="single" w:sz="12" w:space="0" w:color="auto"/>
            </w:tcBorders>
            <w:hideMark/>
          </w:tcPr>
          <w:p w14:paraId="1E1668C8" w14:textId="77777777" w:rsidR="003237D1" w:rsidRPr="007475F3" w:rsidRDefault="003237D1">
            <w:pPr>
              <w:autoSpaceDE w:val="0"/>
              <w:autoSpaceDN w:val="0"/>
              <w:adjustRightInd w:val="0"/>
              <w:jc w:val="center"/>
              <w:rPr>
                <w:sz w:val="24"/>
                <w:szCs w:val="24"/>
              </w:rPr>
            </w:pPr>
            <w:r w:rsidRPr="007475F3">
              <w:rPr>
                <w:sz w:val="24"/>
                <w:szCs w:val="24"/>
              </w:rPr>
              <w:t>0,0025</w:t>
            </w:r>
          </w:p>
        </w:tc>
      </w:tr>
      <w:tr w:rsidR="003237D1" w:rsidRPr="007475F3" w14:paraId="21B005BF"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11ED08DA" w14:textId="77777777" w:rsidR="003237D1" w:rsidRPr="007475F3" w:rsidRDefault="003237D1">
            <w:pPr>
              <w:autoSpaceDE w:val="0"/>
              <w:autoSpaceDN w:val="0"/>
              <w:adjustRightInd w:val="0"/>
              <w:rPr>
                <w:sz w:val="24"/>
                <w:szCs w:val="24"/>
              </w:rPr>
            </w:pPr>
            <w:r w:rsidRPr="007475F3">
              <w:rPr>
                <w:b/>
                <w:bCs/>
                <w:sz w:val="24"/>
                <w:szCs w:val="24"/>
              </w:rPr>
              <w:t>PFS</w:t>
            </w:r>
          </w:p>
        </w:tc>
        <w:tc>
          <w:tcPr>
            <w:tcW w:w="833" w:type="pct"/>
            <w:tcBorders>
              <w:top w:val="single" w:sz="12" w:space="0" w:color="auto"/>
              <w:left w:val="single" w:sz="12" w:space="0" w:color="auto"/>
              <w:bottom w:val="single" w:sz="12" w:space="0" w:color="auto"/>
              <w:right w:val="single" w:sz="12" w:space="0" w:color="auto"/>
            </w:tcBorders>
          </w:tcPr>
          <w:p w14:paraId="4D796132"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44929860"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46EC7337" w14:textId="77777777" w:rsidR="003237D1" w:rsidRPr="007475F3" w:rsidRDefault="003237D1">
            <w:pPr>
              <w:autoSpaceDE w:val="0"/>
              <w:autoSpaceDN w:val="0"/>
              <w:adjustRightInd w:val="0"/>
              <w:rPr>
                <w:sz w:val="24"/>
                <w:szCs w:val="24"/>
              </w:rPr>
            </w:pPr>
          </w:p>
        </w:tc>
        <w:tc>
          <w:tcPr>
            <w:tcW w:w="833" w:type="pct"/>
            <w:tcBorders>
              <w:top w:val="single" w:sz="12" w:space="0" w:color="auto"/>
              <w:left w:val="single" w:sz="12" w:space="0" w:color="auto"/>
              <w:bottom w:val="single" w:sz="12" w:space="0" w:color="auto"/>
              <w:right w:val="single" w:sz="12" w:space="0" w:color="auto"/>
            </w:tcBorders>
          </w:tcPr>
          <w:p w14:paraId="780CE4BC" w14:textId="77777777" w:rsidR="003237D1" w:rsidRPr="007475F3" w:rsidRDefault="003237D1">
            <w:pPr>
              <w:autoSpaceDE w:val="0"/>
              <w:autoSpaceDN w:val="0"/>
              <w:adjustRightInd w:val="0"/>
              <w:rPr>
                <w:sz w:val="24"/>
                <w:szCs w:val="24"/>
              </w:rPr>
            </w:pPr>
          </w:p>
        </w:tc>
      </w:tr>
      <w:tr w:rsidR="003237D1" w:rsidRPr="007475F3" w14:paraId="147F6B3C"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78D93731" w14:textId="77777777" w:rsidR="003237D1" w:rsidRPr="007475F3" w:rsidRDefault="003237D1">
            <w:pPr>
              <w:autoSpaceDE w:val="0"/>
              <w:autoSpaceDN w:val="0"/>
              <w:adjustRightInd w:val="0"/>
              <w:rPr>
                <w:sz w:val="24"/>
                <w:szCs w:val="24"/>
              </w:rPr>
            </w:pPr>
            <w:r w:rsidRPr="007475F3">
              <w:rPr>
                <w:sz w:val="24"/>
                <w:szCs w:val="24"/>
              </w:rPr>
              <w:t>Risikorate (95 % CI)</w:t>
            </w:r>
          </w:p>
        </w:tc>
        <w:tc>
          <w:tcPr>
            <w:tcW w:w="1667" w:type="pct"/>
            <w:gridSpan w:val="2"/>
            <w:tcBorders>
              <w:top w:val="single" w:sz="4" w:space="0" w:color="auto"/>
              <w:left w:val="single" w:sz="12" w:space="0" w:color="auto"/>
              <w:bottom w:val="single" w:sz="12" w:space="0" w:color="auto"/>
              <w:right w:val="single" w:sz="12" w:space="0" w:color="auto"/>
            </w:tcBorders>
            <w:hideMark/>
          </w:tcPr>
          <w:p w14:paraId="40274597" w14:textId="77777777" w:rsidR="003237D1" w:rsidRPr="007475F3" w:rsidRDefault="003237D1">
            <w:pPr>
              <w:autoSpaceDE w:val="0"/>
              <w:autoSpaceDN w:val="0"/>
              <w:adjustRightInd w:val="0"/>
              <w:jc w:val="center"/>
              <w:rPr>
                <w:sz w:val="24"/>
                <w:szCs w:val="24"/>
              </w:rPr>
            </w:pPr>
            <w:r w:rsidRPr="007475F3">
              <w:rPr>
                <w:sz w:val="24"/>
                <w:szCs w:val="24"/>
              </w:rPr>
              <w:t>0,85 (0,726; 0,998)</w:t>
            </w:r>
          </w:p>
        </w:tc>
        <w:tc>
          <w:tcPr>
            <w:tcW w:w="1667" w:type="pct"/>
            <w:gridSpan w:val="2"/>
            <w:tcBorders>
              <w:top w:val="single" w:sz="4" w:space="0" w:color="auto"/>
              <w:left w:val="single" w:sz="12" w:space="0" w:color="auto"/>
              <w:bottom w:val="single" w:sz="12" w:space="0" w:color="auto"/>
              <w:right w:val="single" w:sz="12" w:space="0" w:color="auto"/>
            </w:tcBorders>
            <w:hideMark/>
          </w:tcPr>
          <w:p w14:paraId="3DA5962F" w14:textId="77777777" w:rsidR="003237D1" w:rsidRPr="007475F3" w:rsidRDefault="003237D1">
            <w:pPr>
              <w:autoSpaceDE w:val="0"/>
              <w:autoSpaceDN w:val="0"/>
              <w:adjustRightInd w:val="0"/>
              <w:jc w:val="center"/>
              <w:rPr>
                <w:sz w:val="24"/>
                <w:szCs w:val="24"/>
              </w:rPr>
            </w:pPr>
            <w:r w:rsidRPr="007475F3">
              <w:rPr>
                <w:sz w:val="24"/>
                <w:szCs w:val="24"/>
              </w:rPr>
              <w:t>0,68 (0,501; 0,934)</w:t>
            </w:r>
          </w:p>
        </w:tc>
      </w:tr>
      <w:tr w:rsidR="003237D1" w:rsidRPr="007475F3" w14:paraId="3F1D97B2" w14:textId="77777777" w:rsidTr="00C02BD5">
        <w:tc>
          <w:tcPr>
            <w:tcW w:w="1667" w:type="pct"/>
            <w:tcBorders>
              <w:top w:val="single" w:sz="12" w:space="0" w:color="auto"/>
              <w:left w:val="single" w:sz="12" w:space="0" w:color="auto"/>
              <w:bottom w:val="single" w:sz="12" w:space="0" w:color="auto"/>
              <w:right w:val="single" w:sz="12" w:space="0" w:color="auto"/>
            </w:tcBorders>
            <w:hideMark/>
          </w:tcPr>
          <w:p w14:paraId="77418E52" w14:textId="77777777" w:rsidR="003237D1" w:rsidRPr="007475F3" w:rsidRDefault="003237D1">
            <w:pPr>
              <w:autoSpaceDE w:val="0"/>
              <w:autoSpaceDN w:val="0"/>
              <w:adjustRightInd w:val="0"/>
              <w:rPr>
                <w:sz w:val="24"/>
                <w:szCs w:val="24"/>
              </w:rPr>
            </w:pPr>
            <w:proofErr w:type="spellStart"/>
            <w:r w:rsidRPr="007475F3">
              <w:rPr>
                <w:sz w:val="24"/>
                <w:szCs w:val="24"/>
              </w:rPr>
              <w:t>p-værdi</w:t>
            </w:r>
            <w:proofErr w:type="spellEnd"/>
          </w:p>
        </w:tc>
        <w:tc>
          <w:tcPr>
            <w:tcW w:w="1667" w:type="pct"/>
            <w:gridSpan w:val="2"/>
            <w:tcBorders>
              <w:top w:val="single" w:sz="12" w:space="0" w:color="auto"/>
              <w:left w:val="single" w:sz="12" w:space="0" w:color="auto"/>
              <w:bottom w:val="single" w:sz="12" w:space="0" w:color="auto"/>
              <w:right w:val="single" w:sz="12" w:space="0" w:color="auto"/>
            </w:tcBorders>
            <w:hideMark/>
          </w:tcPr>
          <w:p w14:paraId="28FDE277" w14:textId="77777777" w:rsidR="003237D1" w:rsidRPr="007475F3" w:rsidRDefault="003237D1">
            <w:pPr>
              <w:autoSpaceDE w:val="0"/>
              <w:autoSpaceDN w:val="0"/>
              <w:adjustRightInd w:val="0"/>
              <w:jc w:val="center"/>
              <w:rPr>
                <w:sz w:val="24"/>
                <w:szCs w:val="24"/>
              </w:rPr>
            </w:pPr>
            <w:r w:rsidRPr="007475F3">
              <w:rPr>
                <w:sz w:val="24"/>
                <w:szCs w:val="24"/>
              </w:rPr>
              <w:t>0,0479</w:t>
            </w:r>
          </w:p>
        </w:tc>
        <w:tc>
          <w:tcPr>
            <w:tcW w:w="1667" w:type="pct"/>
            <w:gridSpan w:val="2"/>
            <w:tcBorders>
              <w:top w:val="single" w:sz="12" w:space="0" w:color="auto"/>
              <w:left w:val="single" w:sz="12" w:space="0" w:color="auto"/>
              <w:bottom w:val="single" w:sz="12" w:space="0" w:color="auto"/>
              <w:right w:val="single" w:sz="12" w:space="0" w:color="auto"/>
            </w:tcBorders>
            <w:hideMark/>
          </w:tcPr>
          <w:p w14:paraId="2EE5C0AE" w14:textId="77777777" w:rsidR="003237D1" w:rsidRPr="007475F3" w:rsidRDefault="003237D1">
            <w:pPr>
              <w:autoSpaceDE w:val="0"/>
              <w:autoSpaceDN w:val="0"/>
              <w:adjustRightInd w:val="0"/>
              <w:jc w:val="center"/>
              <w:rPr>
                <w:sz w:val="24"/>
                <w:szCs w:val="24"/>
              </w:rPr>
            </w:pPr>
            <w:r w:rsidRPr="007475F3">
              <w:rPr>
                <w:sz w:val="24"/>
                <w:szCs w:val="24"/>
              </w:rPr>
              <w:t>0,0167</w:t>
            </w:r>
          </w:p>
        </w:tc>
      </w:tr>
    </w:tbl>
    <w:p w14:paraId="6D516240" w14:textId="77777777" w:rsidR="003237D1" w:rsidRPr="007475F3" w:rsidRDefault="003237D1" w:rsidP="003237D1">
      <w:pPr>
        <w:autoSpaceDE w:val="0"/>
        <w:autoSpaceDN w:val="0"/>
        <w:adjustRightInd w:val="0"/>
        <w:rPr>
          <w:sz w:val="24"/>
          <w:szCs w:val="24"/>
        </w:rPr>
      </w:pPr>
      <w:r w:rsidRPr="007475F3">
        <w:rPr>
          <w:sz w:val="24"/>
          <w:szCs w:val="24"/>
        </w:rPr>
        <w:t>CI = konfidensinterval (</w:t>
      </w:r>
      <w:proofErr w:type="spellStart"/>
      <w:r w:rsidRPr="007475F3">
        <w:rPr>
          <w:sz w:val="24"/>
          <w:szCs w:val="24"/>
        </w:rPr>
        <w:t>Confidence</w:t>
      </w:r>
      <w:proofErr w:type="spellEnd"/>
      <w:r w:rsidRPr="007475F3">
        <w:rPr>
          <w:sz w:val="24"/>
          <w:szCs w:val="24"/>
        </w:rPr>
        <w:t xml:space="preserve"> Interval), FOLFIRI = </w:t>
      </w:r>
      <w:proofErr w:type="spellStart"/>
      <w:r w:rsidRPr="007475F3">
        <w:rPr>
          <w:sz w:val="24"/>
          <w:szCs w:val="24"/>
        </w:rPr>
        <w:t>irinotecan</w:t>
      </w:r>
      <w:proofErr w:type="spellEnd"/>
      <w:r w:rsidRPr="007475F3">
        <w:rPr>
          <w:sz w:val="24"/>
          <w:szCs w:val="24"/>
        </w:rPr>
        <w:t xml:space="preserve"> + 5-FU/FA-infusion, ORR = Objektiv responsrate (</w:t>
      </w:r>
      <w:proofErr w:type="spellStart"/>
      <w:r w:rsidRPr="007475F3">
        <w:rPr>
          <w:sz w:val="24"/>
          <w:szCs w:val="24"/>
        </w:rPr>
        <w:t>Objective</w:t>
      </w:r>
      <w:proofErr w:type="spellEnd"/>
      <w:r w:rsidRPr="007475F3">
        <w:rPr>
          <w:sz w:val="24"/>
          <w:szCs w:val="24"/>
        </w:rPr>
        <w:t xml:space="preserve"> Response Rate (patienter med komplet respons eller delvis respons)), PFS = progressionsfri overlevelse (Progression-</w:t>
      </w:r>
      <w:proofErr w:type="spellStart"/>
      <w:r w:rsidRPr="007475F3">
        <w:rPr>
          <w:sz w:val="24"/>
          <w:szCs w:val="24"/>
        </w:rPr>
        <w:t>Free</w:t>
      </w:r>
      <w:proofErr w:type="spellEnd"/>
      <w:r w:rsidRPr="007475F3">
        <w:rPr>
          <w:sz w:val="24"/>
          <w:szCs w:val="24"/>
        </w:rPr>
        <w:t xml:space="preserve"> </w:t>
      </w:r>
      <w:proofErr w:type="spellStart"/>
      <w:r w:rsidRPr="007475F3">
        <w:rPr>
          <w:sz w:val="24"/>
          <w:szCs w:val="24"/>
        </w:rPr>
        <w:t>Survival</w:t>
      </w:r>
      <w:proofErr w:type="spellEnd"/>
      <w:r w:rsidRPr="007475F3">
        <w:rPr>
          <w:sz w:val="24"/>
          <w:szCs w:val="24"/>
        </w:rPr>
        <w:t xml:space="preserve"> time)</w:t>
      </w:r>
    </w:p>
    <w:p w14:paraId="6633223D" w14:textId="77777777" w:rsidR="003237D1" w:rsidRPr="007475F3" w:rsidRDefault="003237D1" w:rsidP="003237D1">
      <w:pPr>
        <w:autoSpaceDE w:val="0"/>
        <w:autoSpaceDN w:val="0"/>
        <w:adjustRightInd w:val="0"/>
        <w:rPr>
          <w:sz w:val="24"/>
          <w:szCs w:val="24"/>
        </w:rPr>
      </w:pPr>
    </w:p>
    <w:p w14:paraId="52B57B11" w14:textId="77777777" w:rsidR="003237D1" w:rsidRPr="007475F3" w:rsidRDefault="003237D1" w:rsidP="00C02BD5">
      <w:pPr>
        <w:autoSpaceDE w:val="0"/>
        <w:autoSpaceDN w:val="0"/>
        <w:adjustRightInd w:val="0"/>
        <w:ind w:left="851"/>
        <w:rPr>
          <w:bCs/>
          <w:i/>
          <w:sz w:val="24"/>
          <w:szCs w:val="24"/>
        </w:rPr>
      </w:pPr>
      <w:r w:rsidRPr="007475F3">
        <w:rPr>
          <w:i/>
          <w:iCs/>
          <w:sz w:val="24"/>
          <w:szCs w:val="24"/>
        </w:rPr>
        <w:t xml:space="preserve">I kombinationsterapi med </w:t>
      </w:r>
      <w:proofErr w:type="spellStart"/>
      <w:r w:rsidRPr="007475F3">
        <w:rPr>
          <w:i/>
          <w:iCs/>
          <w:sz w:val="24"/>
          <w:szCs w:val="24"/>
        </w:rPr>
        <w:t>capecitabin</w:t>
      </w:r>
      <w:proofErr w:type="spellEnd"/>
    </w:p>
    <w:p w14:paraId="173F0D26" w14:textId="77777777" w:rsidR="003237D1" w:rsidRPr="007475F3" w:rsidRDefault="003237D1" w:rsidP="00C02BD5">
      <w:pPr>
        <w:autoSpaceDE w:val="0"/>
        <w:autoSpaceDN w:val="0"/>
        <w:adjustRightInd w:val="0"/>
        <w:ind w:left="851"/>
        <w:rPr>
          <w:sz w:val="24"/>
          <w:szCs w:val="24"/>
        </w:rPr>
      </w:pPr>
      <w:r w:rsidRPr="007475F3">
        <w:rPr>
          <w:sz w:val="24"/>
          <w:szCs w:val="24"/>
        </w:rPr>
        <w:t xml:space="preserve">Data fra et randomiseret, kontrolleret fase III-forsøg (CAIRO) understøtter anvendelsen af </w:t>
      </w:r>
      <w:proofErr w:type="spellStart"/>
      <w:r w:rsidRPr="007475F3">
        <w:rPr>
          <w:sz w:val="24"/>
          <w:szCs w:val="24"/>
        </w:rPr>
        <w:t>capecitabin</w:t>
      </w:r>
      <w:proofErr w:type="spellEnd"/>
      <w:r w:rsidRPr="007475F3">
        <w:rPr>
          <w:sz w:val="24"/>
          <w:szCs w:val="24"/>
        </w:rPr>
        <w:t xml:space="preserve"> med en initialdosis på 1000 mg/m</w:t>
      </w:r>
      <w:r w:rsidRPr="007475F3">
        <w:rPr>
          <w:sz w:val="24"/>
          <w:szCs w:val="24"/>
          <w:vertAlign w:val="superscript"/>
        </w:rPr>
        <w:t>2</w:t>
      </w:r>
      <w:r w:rsidRPr="007475F3">
        <w:rPr>
          <w:sz w:val="24"/>
          <w:szCs w:val="24"/>
        </w:rPr>
        <w:t xml:space="preserve"> i 2 uger hver 3. uge i kombination med </w:t>
      </w:r>
      <w:proofErr w:type="spellStart"/>
      <w:r w:rsidRPr="007475F3">
        <w:rPr>
          <w:sz w:val="24"/>
          <w:szCs w:val="24"/>
        </w:rPr>
        <w:t>irinotecan</w:t>
      </w:r>
      <w:proofErr w:type="spellEnd"/>
      <w:r w:rsidRPr="007475F3">
        <w:rPr>
          <w:sz w:val="24"/>
          <w:szCs w:val="24"/>
        </w:rPr>
        <w:t xml:space="preserve"> som førstevalgsbehandling af patienter med metastatisk </w:t>
      </w:r>
      <w:proofErr w:type="spellStart"/>
      <w:r w:rsidRPr="007475F3">
        <w:rPr>
          <w:sz w:val="24"/>
          <w:szCs w:val="24"/>
        </w:rPr>
        <w:t>colorektal</w:t>
      </w:r>
      <w:proofErr w:type="spellEnd"/>
      <w:r w:rsidRPr="007475F3">
        <w:rPr>
          <w:sz w:val="24"/>
          <w:szCs w:val="24"/>
        </w:rPr>
        <w:t xml:space="preserve"> cancer. Otte hundrede tyve (820) patienter blev randomiseret til at få enten sekventiel behandling (n = 410) eller kombinationsbehandling (n = 410). Den sekventielle behandling bestod af førstevalgsbehandling med </w:t>
      </w:r>
      <w:proofErr w:type="spellStart"/>
      <w:r w:rsidRPr="007475F3">
        <w:rPr>
          <w:sz w:val="24"/>
          <w:szCs w:val="24"/>
        </w:rPr>
        <w:t>capecitabin</w:t>
      </w:r>
      <w:proofErr w:type="spellEnd"/>
      <w:r w:rsidRPr="007475F3">
        <w:rPr>
          <w:sz w:val="24"/>
          <w:szCs w:val="24"/>
        </w:rPr>
        <w:t xml:space="preserve"> (1250 mg/m</w:t>
      </w:r>
      <w:r w:rsidRPr="007475F3">
        <w:rPr>
          <w:sz w:val="24"/>
          <w:szCs w:val="24"/>
          <w:vertAlign w:val="superscript"/>
        </w:rPr>
        <w:t>2</w:t>
      </w:r>
      <w:r w:rsidRPr="007475F3">
        <w:rPr>
          <w:sz w:val="24"/>
          <w:szCs w:val="24"/>
        </w:rPr>
        <w:t xml:space="preserve"> 2 gange dagligt i 14 dage), 2. </w:t>
      </w:r>
      <w:proofErr w:type="spellStart"/>
      <w:r w:rsidRPr="007475F3">
        <w:rPr>
          <w:sz w:val="24"/>
          <w:szCs w:val="24"/>
        </w:rPr>
        <w:t>valgsbehandling</w:t>
      </w:r>
      <w:proofErr w:type="spellEnd"/>
      <w:r w:rsidRPr="007475F3">
        <w:rPr>
          <w:sz w:val="24"/>
          <w:szCs w:val="24"/>
        </w:rPr>
        <w:t xml:space="preserve"> med </w:t>
      </w:r>
      <w:proofErr w:type="spellStart"/>
      <w:r w:rsidRPr="007475F3">
        <w:rPr>
          <w:sz w:val="24"/>
          <w:szCs w:val="24"/>
        </w:rPr>
        <w:t>irinotecan</w:t>
      </w:r>
      <w:proofErr w:type="spellEnd"/>
      <w:r w:rsidRPr="007475F3">
        <w:rPr>
          <w:sz w:val="24"/>
          <w:szCs w:val="24"/>
        </w:rPr>
        <w:t xml:space="preserve"> (350 mg/m</w:t>
      </w:r>
      <w:r w:rsidRPr="007475F3">
        <w:rPr>
          <w:sz w:val="24"/>
          <w:szCs w:val="24"/>
          <w:vertAlign w:val="superscript"/>
        </w:rPr>
        <w:t>2</w:t>
      </w:r>
      <w:r w:rsidRPr="007475F3">
        <w:rPr>
          <w:sz w:val="24"/>
          <w:szCs w:val="24"/>
        </w:rPr>
        <w:t xml:space="preserve"> på dag 1) og 3. </w:t>
      </w:r>
      <w:proofErr w:type="spellStart"/>
      <w:r w:rsidRPr="007475F3">
        <w:rPr>
          <w:sz w:val="24"/>
          <w:szCs w:val="24"/>
        </w:rPr>
        <w:t>valgsbehandling</w:t>
      </w:r>
      <w:proofErr w:type="spellEnd"/>
      <w:r w:rsidRPr="007475F3">
        <w:rPr>
          <w:sz w:val="24"/>
          <w:szCs w:val="24"/>
        </w:rPr>
        <w:t xml:space="preserve"> en kombination af </w:t>
      </w:r>
      <w:proofErr w:type="spellStart"/>
      <w:r w:rsidRPr="007475F3">
        <w:rPr>
          <w:sz w:val="24"/>
          <w:szCs w:val="24"/>
        </w:rPr>
        <w:t>capecitain</w:t>
      </w:r>
      <w:proofErr w:type="spellEnd"/>
      <w:r w:rsidRPr="007475F3">
        <w:rPr>
          <w:sz w:val="24"/>
          <w:szCs w:val="24"/>
        </w:rPr>
        <w:t xml:space="preserve"> (1000 mg/m</w:t>
      </w:r>
      <w:r w:rsidRPr="007475F3">
        <w:rPr>
          <w:sz w:val="24"/>
          <w:szCs w:val="24"/>
          <w:vertAlign w:val="superscript"/>
        </w:rPr>
        <w:t>2</w:t>
      </w:r>
      <w:r w:rsidRPr="007475F3">
        <w:rPr>
          <w:sz w:val="24"/>
          <w:szCs w:val="24"/>
        </w:rPr>
        <w:t xml:space="preserve"> 2 gange dagligt i 14 dage) med </w:t>
      </w:r>
      <w:proofErr w:type="spellStart"/>
      <w:r w:rsidRPr="007475F3">
        <w:rPr>
          <w:sz w:val="24"/>
          <w:szCs w:val="24"/>
        </w:rPr>
        <w:t>oxaliplatin</w:t>
      </w:r>
      <w:proofErr w:type="spellEnd"/>
      <w:r w:rsidRPr="007475F3">
        <w:rPr>
          <w:sz w:val="24"/>
          <w:szCs w:val="24"/>
        </w:rPr>
        <w:t xml:space="preserve"> (130 mg/m</w:t>
      </w:r>
      <w:r w:rsidRPr="007475F3">
        <w:rPr>
          <w:sz w:val="24"/>
          <w:szCs w:val="24"/>
          <w:vertAlign w:val="superscript"/>
        </w:rPr>
        <w:t>2</w:t>
      </w:r>
      <w:r w:rsidRPr="007475F3">
        <w:rPr>
          <w:sz w:val="24"/>
          <w:szCs w:val="24"/>
        </w:rPr>
        <w:t xml:space="preserve"> på dag 1). Kombinationsbehandlingen bestod af førstevalgsbehandling med </w:t>
      </w:r>
      <w:proofErr w:type="spellStart"/>
      <w:r w:rsidRPr="007475F3">
        <w:rPr>
          <w:sz w:val="24"/>
          <w:szCs w:val="24"/>
        </w:rPr>
        <w:t>capecitabin</w:t>
      </w:r>
      <w:proofErr w:type="spellEnd"/>
      <w:r w:rsidRPr="007475F3">
        <w:rPr>
          <w:sz w:val="24"/>
          <w:szCs w:val="24"/>
        </w:rPr>
        <w:t xml:space="preserve"> (1000 mg/m</w:t>
      </w:r>
      <w:r w:rsidRPr="007475F3">
        <w:rPr>
          <w:sz w:val="24"/>
          <w:szCs w:val="24"/>
          <w:vertAlign w:val="superscript"/>
        </w:rPr>
        <w:t>2</w:t>
      </w:r>
      <w:r w:rsidRPr="007475F3">
        <w:rPr>
          <w:sz w:val="24"/>
          <w:szCs w:val="24"/>
        </w:rPr>
        <w:t xml:space="preserve"> 2 gange dagligt i 14 dage) kombineret med </w:t>
      </w:r>
      <w:proofErr w:type="spellStart"/>
      <w:r w:rsidRPr="007475F3">
        <w:rPr>
          <w:sz w:val="24"/>
          <w:szCs w:val="24"/>
        </w:rPr>
        <w:t>irinotecan</w:t>
      </w:r>
      <w:proofErr w:type="spellEnd"/>
      <w:r w:rsidRPr="007475F3">
        <w:rPr>
          <w:sz w:val="24"/>
          <w:szCs w:val="24"/>
        </w:rPr>
        <w:t xml:space="preserve"> (250 mg/m</w:t>
      </w:r>
      <w:r w:rsidRPr="007475F3">
        <w:rPr>
          <w:sz w:val="24"/>
          <w:szCs w:val="24"/>
          <w:vertAlign w:val="superscript"/>
        </w:rPr>
        <w:t>2</w:t>
      </w:r>
      <w:r w:rsidRPr="007475F3">
        <w:rPr>
          <w:sz w:val="24"/>
          <w:szCs w:val="24"/>
        </w:rPr>
        <w:t xml:space="preserve"> på dag 1) (XELIRI) og 2. </w:t>
      </w:r>
      <w:proofErr w:type="spellStart"/>
      <w:r w:rsidRPr="007475F3">
        <w:rPr>
          <w:sz w:val="24"/>
          <w:szCs w:val="24"/>
        </w:rPr>
        <w:t>valgsbehandling</w:t>
      </w:r>
      <w:proofErr w:type="spellEnd"/>
      <w:r w:rsidRPr="007475F3">
        <w:rPr>
          <w:sz w:val="24"/>
          <w:szCs w:val="24"/>
        </w:rPr>
        <w:t xml:space="preserve"> med </w:t>
      </w:r>
      <w:proofErr w:type="spellStart"/>
      <w:r w:rsidRPr="007475F3">
        <w:rPr>
          <w:sz w:val="24"/>
          <w:szCs w:val="24"/>
        </w:rPr>
        <w:t>capecitabin</w:t>
      </w:r>
      <w:proofErr w:type="spellEnd"/>
      <w:r w:rsidRPr="007475F3">
        <w:rPr>
          <w:sz w:val="24"/>
          <w:szCs w:val="24"/>
        </w:rPr>
        <w:t xml:space="preserve"> (1000 mg/m</w:t>
      </w:r>
      <w:r w:rsidRPr="007475F3">
        <w:rPr>
          <w:sz w:val="24"/>
          <w:szCs w:val="24"/>
          <w:vertAlign w:val="superscript"/>
        </w:rPr>
        <w:t>2</w:t>
      </w:r>
      <w:r w:rsidRPr="007475F3">
        <w:rPr>
          <w:sz w:val="24"/>
          <w:szCs w:val="24"/>
        </w:rPr>
        <w:t xml:space="preserve"> 2 gange dagligt i 14 dage) + </w:t>
      </w:r>
      <w:proofErr w:type="spellStart"/>
      <w:r w:rsidRPr="007475F3">
        <w:rPr>
          <w:sz w:val="24"/>
          <w:szCs w:val="24"/>
        </w:rPr>
        <w:t>oxaliplatin</w:t>
      </w:r>
      <w:proofErr w:type="spellEnd"/>
      <w:r w:rsidRPr="007475F3">
        <w:rPr>
          <w:sz w:val="24"/>
          <w:szCs w:val="24"/>
        </w:rPr>
        <w:t xml:space="preserve"> (130 mg/m</w:t>
      </w:r>
      <w:r w:rsidRPr="007475F3">
        <w:rPr>
          <w:sz w:val="24"/>
          <w:szCs w:val="24"/>
          <w:vertAlign w:val="superscript"/>
        </w:rPr>
        <w:t>2</w:t>
      </w:r>
      <w:r w:rsidRPr="007475F3">
        <w:rPr>
          <w:sz w:val="24"/>
          <w:szCs w:val="24"/>
        </w:rPr>
        <w:t xml:space="preserve"> på dag 1). Alle behandlingscyklusser blev administreret med 3 ugers intervaller. I førstevalgsbehandlingen var den </w:t>
      </w:r>
      <w:proofErr w:type="spellStart"/>
      <w:r w:rsidRPr="007475F3">
        <w:rPr>
          <w:sz w:val="24"/>
          <w:szCs w:val="24"/>
        </w:rPr>
        <w:t>mediane</w:t>
      </w:r>
      <w:proofErr w:type="spellEnd"/>
      <w:r w:rsidRPr="007475F3">
        <w:rPr>
          <w:sz w:val="24"/>
          <w:szCs w:val="24"/>
        </w:rPr>
        <w:t xml:space="preserve"> progressionsfri overlevelse i intent-to-</w:t>
      </w:r>
      <w:proofErr w:type="spellStart"/>
      <w:r w:rsidRPr="007475F3">
        <w:rPr>
          <w:sz w:val="24"/>
          <w:szCs w:val="24"/>
        </w:rPr>
        <w:t>treat</w:t>
      </w:r>
      <w:proofErr w:type="spellEnd"/>
      <w:r w:rsidRPr="007475F3">
        <w:rPr>
          <w:sz w:val="24"/>
          <w:szCs w:val="24"/>
        </w:rPr>
        <w:t xml:space="preserve">-populationen 5,8 måneder (95 % CI, 5,1-6,2 måneder) for </w:t>
      </w:r>
      <w:proofErr w:type="spellStart"/>
      <w:r w:rsidRPr="007475F3">
        <w:rPr>
          <w:sz w:val="24"/>
          <w:szCs w:val="24"/>
        </w:rPr>
        <w:t>capecitabin</w:t>
      </w:r>
      <w:proofErr w:type="spellEnd"/>
      <w:r w:rsidRPr="007475F3">
        <w:rPr>
          <w:sz w:val="24"/>
          <w:szCs w:val="24"/>
        </w:rPr>
        <w:t xml:space="preserve"> monoterapi og 7,8 måneder (95 % CI, 7,0-8,3 måneder) for XELIRI (p=0,0002).</w:t>
      </w:r>
    </w:p>
    <w:p w14:paraId="68E839B4" w14:textId="77777777" w:rsidR="003237D1" w:rsidRPr="007475F3" w:rsidRDefault="003237D1" w:rsidP="00C02BD5">
      <w:pPr>
        <w:autoSpaceDE w:val="0"/>
        <w:autoSpaceDN w:val="0"/>
        <w:adjustRightInd w:val="0"/>
        <w:ind w:left="851"/>
        <w:rPr>
          <w:sz w:val="24"/>
          <w:szCs w:val="24"/>
        </w:rPr>
      </w:pPr>
    </w:p>
    <w:p w14:paraId="2FFA927F" w14:textId="22B562C7" w:rsidR="003237D1" w:rsidRPr="007475F3" w:rsidRDefault="003237D1" w:rsidP="00C02BD5">
      <w:pPr>
        <w:autoSpaceDE w:val="0"/>
        <w:autoSpaceDN w:val="0"/>
        <w:adjustRightInd w:val="0"/>
        <w:ind w:left="851"/>
        <w:rPr>
          <w:sz w:val="24"/>
          <w:szCs w:val="24"/>
        </w:rPr>
      </w:pPr>
      <w:r w:rsidRPr="007475F3">
        <w:rPr>
          <w:sz w:val="24"/>
          <w:szCs w:val="24"/>
        </w:rPr>
        <w:lastRenderedPageBreak/>
        <w:t xml:space="preserve">Data fra en </w:t>
      </w:r>
      <w:proofErr w:type="spellStart"/>
      <w:r w:rsidRPr="007475F3">
        <w:rPr>
          <w:sz w:val="24"/>
          <w:szCs w:val="24"/>
        </w:rPr>
        <w:t>interimanalyse</w:t>
      </w:r>
      <w:proofErr w:type="spellEnd"/>
      <w:r w:rsidRPr="007475F3">
        <w:rPr>
          <w:sz w:val="24"/>
          <w:szCs w:val="24"/>
        </w:rPr>
        <w:t xml:space="preserve"> af et randomiseret, kontrolleret fase II-multicenterforsøg (AIO KRK 0604) understøtter anvendelsen af </w:t>
      </w:r>
      <w:proofErr w:type="spellStart"/>
      <w:r w:rsidRPr="007475F3">
        <w:rPr>
          <w:sz w:val="24"/>
          <w:szCs w:val="24"/>
        </w:rPr>
        <w:t>capecitabin</w:t>
      </w:r>
      <w:proofErr w:type="spellEnd"/>
      <w:r w:rsidRPr="007475F3">
        <w:rPr>
          <w:sz w:val="24"/>
          <w:szCs w:val="24"/>
        </w:rPr>
        <w:t xml:space="preserve"> ved en initialdosis på 800 mg/m</w:t>
      </w:r>
      <w:r w:rsidRPr="007475F3">
        <w:rPr>
          <w:sz w:val="24"/>
          <w:szCs w:val="24"/>
          <w:vertAlign w:val="superscript"/>
        </w:rPr>
        <w:t>2</w:t>
      </w:r>
      <w:r w:rsidRPr="007475F3">
        <w:rPr>
          <w:sz w:val="24"/>
          <w:szCs w:val="24"/>
        </w:rPr>
        <w:t xml:space="preserve"> i 2 uger hver 3. uge i kombination med </w:t>
      </w:r>
      <w:proofErr w:type="spellStart"/>
      <w:r w:rsidRPr="007475F3">
        <w:rPr>
          <w:sz w:val="24"/>
          <w:szCs w:val="24"/>
        </w:rPr>
        <w:t>irinotecan</w:t>
      </w:r>
      <w:proofErr w:type="spellEnd"/>
      <w:r w:rsidRPr="007475F3">
        <w:rPr>
          <w:sz w:val="24"/>
          <w:szCs w:val="24"/>
        </w:rPr>
        <w:t xml:space="preserve"> og </w:t>
      </w:r>
      <w:proofErr w:type="spellStart"/>
      <w:r w:rsidRPr="007475F3">
        <w:rPr>
          <w:sz w:val="24"/>
          <w:szCs w:val="24"/>
        </w:rPr>
        <w:t>bevacizumab</w:t>
      </w:r>
      <w:proofErr w:type="spellEnd"/>
      <w:r w:rsidRPr="007475F3">
        <w:rPr>
          <w:sz w:val="24"/>
          <w:szCs w:val="24"/>
        </w:rPr>
        <w:t xml:space="preserve"> som førstevalgsbehandling af patienter med metastatisk </w:t>
      </w:r>
      <w:proofErr w:type="spellStart"/>
      <w:r w:rsidRPr="007475F3">
        <w:rPr>
          <w:sz w:val="24"/>
          <w:szCs w:val="24"/>
        </w:rPr>
        <w:t>colorektal</w:t>
      </w:r>
      <w:proofErr w:type="spellEnd"/>
      <w:r w:rsidRPr="007475F3">
        <w:rPr>
          <w:sz w:val="24"/>
          <w:szCs w:val="24"/>
        </w:rPr>
        <w:t xml:space="preserve"> cancer. Et hundrede femten (115) patienter blev randomiseret til behandling med </w:t>
      </w:r>
      <w:proofErr w:type="spellStart"/>
      <w:r w:rsidRPr="007475F3">
        <w:rPr>
          <w:sz w:val="24"/>
          <w:szCs w:val="24"/>
        </w:rPr>
        <w:t>capecitabin</w:t>
      </w:r>
      <w:proofErr w:type="spellEnd"/>
      <w:r w:rsidRPr="007475F3">
        <w:rPr>
          <w:sz w:val="24"/>
          <w:szCs w:val="24"/>
        </w:rPr>
        <w:t xml:space="preserve"> kombineret med </w:t>
      </w:r>
      <w:proofErr w:type="spellStart"/>
      <w:r w:rsidRPr="007475F3">
        <w:rPr>
          <w:sz w:val="24"/>
          <w:szCs w:val="24"/>
        </w:rPr>
        <w:t>irinotecan</w:t>
      </w:r>
      <w:proofErr w:type="spellEnd"/>
      <w:r w:rsidRPr="007475F3">
        <w:rPr>
          <w:sz w:val="24"/>
          <w:szCs w:val="24"/>
        </w:rPr>
        <w:t xml:space="preserve"> (XELIRI) og </w:t>
      </w:r>
      <w:proofErr w:type="spellStart"/>
      <w:r w:rsidRPr="007475F3">
        <w:rPr>
          <w:sz w:val="24"/>
          <w:szCs w:val="24"/>
        </w:rPr>
        <w:t>bevacizumab</w:t>
      </w:r>
      <w:proofErr w:type="spellEnd"/>
      <w:r w:rsidRPr="007475F3">
        <w:rPr>
          <w:sz w:val="24"/>
          <w:szCs w:val="24"/>
        </w:rPr>
        <w:t xml:space="preserve">: </w:t>
      </w:r>
      <w:proofErr w:type="spellStart"/>
      <w:r w:rsidRPr="007475F3">
        <w:rPr>
          <w:sz w:val="24"/>
          <w:szCs w:val="24"/>
        </w:rPr>
        <w:t>capecitabin</w:t>
      </w:r>
      <w:proofErr w:type="spellEnd"/>
      <w:r w:rsidRPr="007475F3">
        <w:rPr>
          <w:sz w:val="24"/>
          <w:szCs w:val="24"/>
        </w:rPr>
        <w:t xml:space="preserve"> (800 mg/m</w:t>
      </w:r>
      <w:r w:rsidRPr="007475F3">
        <w:rPr>
          <w:sz w:val="24"/>
          <w:szCs w:val="24"/>
          <w:vertAlign w:val="superscript"/>
        </w:rPr>
        <w:t>2</w:t>
      </w:r>
      <w:r w:rsidRPr="007475F3">
        <w:rPr>
          <w:sz w:val="24"/>
          <w:szCs w:val="24"/>
        </w:rPr>
        <w:t xml:space="preserve"> 2 gange dagligt i 2 uger efterfulgt af 7 dages pause), </w:t>
      </w:r>
      <w:proofErr w:type="spellStart"/>
      <w:r w:rsidRPr="007475F3">
        <w:rPr>
          <w:sz w:val="24"/>
          <w:szCs w:val="24"/>
        </w:rPr>
        <w:t>irinotecan</w:t>
      </w:r>
      <w:proofErr w:type="spellEnd"/>
      <w:r w:rsidRPr="007475F3">
        <w:rPr>
          <w:sz w:val="24"/>
          <w:szCs w:val="24"/>
        </w:rPr>
        <w:t xml:space="preserve"> (200 mg/m</w:t>
      </w:r>
      <w:r w:rsidRPr="007475F3">
        <w:rPr>
          <w:sz w:val="24"/>
          <w:szCs w:val="24"/>
          <w:vertAlign w:val="superscript"/>
        </w:rPr>
        <w:t>2</w:t>
      </w:r>
      <w:r w:rsidRPr="007475F3">
        <w:rPr>
          <w:sz w:val="24"/>
          <w:szCs w:val="24"/>
        </w:rPr>
        <w:t xml:space="preserve"> som en 30 minutters infusion på dag 1 hver 3. uge) og </w:t>
      </w:r>
      <w:proofErr w:type="spellStart"/>
      <w:r w:rsidRPr="007475F3">
        <w:rPr>
          <w:sz w:val="24"/>
          <w:szCs w:val="24"/>
        </w:rPr>
        <w:t>bevacizumab</w:t>
      </w:r>
      <w:proofErr w:type="spellEnd"/>
      <w:r w:rsidRPr="007475F3">
        <w:rPr>
          <w:sz w:val="24"/>
          <w:szCs w:val="24"/>
        </w:rPr>
        <w:t xml:space="preserve"> (7,5 mg/kg som en 30-90 minutters infusion på dag 1 hver 3. uge). I alt blev 118 patienter randomiseret til behandling med </w:t>
      </w:r>
      <w:proofErr w:type="spellStart"/>
      <w:r w:rsidRPr="007475F3">
        <w:rPr>
          <w:sz w:val="24"/>
          <w:szCs w:val="24"/>
        </w:rPr>
        <w:t>capecitabin</w:t>
      </w:r>
      <w:proofErr w:type="spellEnd"/>
      <w:r w:rsidRPr="007475F3">
        <w:rPr>
          <w:sz w:val="24"/>
          <w:szCs w:val="24"/>
        </w:rPr>
        <w:t xml:space="preserve"> kombineret med </w:t>
      </w:r>
      <w:proofErr w:type="spellStart"/>
      <w:r w:rsidRPr="007475F3">
        <w:rPr>
          <w:sz w:val="24"/>
          <w:szCs w:val="24"/>
        </w:rPr>
        <w:t>oxaliplatin</w:t>
      </w:r>
      <w:proofErr w:type="spellEnd"/>
      <w:r w:rsidRPr="007475F3">
        <w:rPr>
          <w:sz w:val="24"/>
          <w:szCs w:val="24"/>
        </w:rPr>
        <w:t xml:space="preserve"> + </w:t>
      </w:r>
      <w:proofErr w:type="spellStart"/>
      <w:r w:rsidRPr="007475F3">
        <w:rPr>
          <w:sz w:val="24"/>
          <w:szCs w:val="24"/>
        </w:rPr>
        <w:t>bevacizumab</w:t>
      </w:r>
      <w:proofErr w:type="spellEnd"/>
      <w:r w:rsidRPr="007475F3">
        <w:rPr>
          <w:sz w:val="24"/>
          <w:szCs w:val="24"/>
        </w:rPr>
        <w:t xml:space="preserve">; </w:t>
      </w:r>
      <w:proofErr w:type="spellStart"/>
      <w:r w:rsidRPr="007475F3">
        <w:rPr>
          <w:sz w:val="24"/>
          <w:szCs w:val="24"/>
        </w:rPr>
        <w:t>capecitabin</w:t>
      </w:r>
      <w:proofErr w:type="spellEnd"/>
      <w:r w:rsidRPr="007475F3">
        <w:rPr>
          <w:sz w:val="24"/>
          <w:szCs w:val="24"/>
        </w:rPr>
        <w:t xml:space="preserve"> (1000 mg/m</w:t>
      </w:r>
      <w:r w:rsidRPr="007475F3">
        <w:rPr>
          <w:sz w:val="24"/>
          <w:szCs w:val="24"/>
          <w:vertAlign w:val="superscript"/>
        </w:rPr>
        <w:t>2</w:t>
      </w:r>
      <w:r w:rsidRPr="007475F3">
        <w:rPr>
          <w:sz w:val="24"/>
          <w:szCs w:val="24"/>
        </w:rPr>
        <w:t xml:space="preserve"> 2 gange dagligt i 2 uger efterfulgt af 7 dages pause), </w:t>
      </w:r>
      <w:proofErr w:type="spellStart"/>
      <w:r w:rsidRPr="007475F3">
        <w:rPr>
          <w:sz w:val="24"/>
          <w:szCs w:val="24"/>
        </w:rPr>
        <w:t>oxaliplatin</w:t>
      </w:r>
      <w:proofErr w:type="spellEnd"/>
      <w:r w:rsidRPr="007475F3">
        <w:rPr>
          <w:sz w:val="24"/>
          <w:szCs w:val="24"/>
        </w:rPr>
        <w:t xml:space="preserve"> (130 mg/m</w:t>
      </w:r>
      <w:r w:rsidRPr="007475F3">
        <w:rPr>
          <w:sz w:val="24"/>
          <w:szCs w:val="24"/>
          <w:vertAlign w:val="superscript"/>
        </w:rPr>
        <w:t>2</w:t>
      </w:r>
      <w:r w:rsidRPr="007475F3">
        <w:rPr>
          <w:sz w:val="24"/>
          <w:szCs w:val="24"/>
        </w:rPr>
        <w:t xml:space="preserve"> som en 2 timers infusion på dag 1 hver 3. uge) og </w:t>
      </w:r>
      <w:proofErr w:type="spellStart"/>
      <w:r w:rsidRPr="007475F3">
        <w:rPr>
          <w:sz w:val="24"/>
          <w:szCs w:val="24"/>
        </w:rPr>
        <w:t>bevacizumab</w:t>
      </w:r>
      <w:proofErr w:type="spellEnd"/>
      <w:r w:rsidRPr="007475F3">
        <w:rPr>
          <w:sz w:val="24"/>
          <w:szCs w:val="24"/>
        </w:rPr>
        <w:t xml:space="preserve"> (7,5 mg/kg som en 30-90 minutters infusion på dag 1 hver 3. uge). Den progressionsfri overlevelse efter 6 måneder i intent-to-</w:t>
      </w:r>
      <w:proofErr w:type="spellStart"/>
      <w:r w:rsidRPr="007475F3">
        <w:rPr>
          <w:sz w:val="24"/>
          <w:szCs w:val="24"/>
        </w:rPr>
        <w:t>treat</w:t>
      </w:r>
      <w:proofErr w:type="spellEnd"/>
      <w:r w:rsidRPr="007475F3">
        <w:rPr>
          <w:sz w:val="24"/>
          <w:szCs w:val="24"/>
        </w:rPr>
        <w:t xml:space="preserve">-populationen var 80 % (XELIRI + </w:t>
      </w:r>
      <w:proofErr w:type="spellStart"/>
      <w:r w:rsidRPr="007475F3">
        <w:rPr>
          <w:sz w:val="24"/>
          <w:szCs w:val="24"/>
        </w:rPr>
        <w:t>bevacizumab</w:t>
      </w:r>
      <w:proofErr w:type="spellEnd"/>
      <w:r w:rsidRPr="007475F3">
        <w:rPr>
          <w:sz w:val="24"/>
          <w:szCs w:val="24"/>
        </w:rPr>
        <w:t>) versus 74</w:t>
      </w:r>
      <w:r w:rsidR="00B30A16" w:rsidRPr="007475F3">
        <w:rPr>
          <w:sz w:val="24"/>
          <w:szCs w:val="24"/>
        </w:rPr>
        <w:t> </w:t>
      </w:r>
      <w:r w:rsidRPr="007475F3">
        <w:rPr>
          <w:sz w:val="24"/>
          <w:szCs w:val="24"/>
        </w:rPr>
        <w:t xml:space="preserve">% (XELOX plus </w:t>
      </w:r>
      <w:proofErr w:type="spellStart"/>
      <w:r w:rsidRPr="007475F3">
        <w:rPr>
          <w:sz w:val="24"/>
          <w:szCs w:val="24"/>
        </w:rPr>
        <w:t>bevacizumab</w:t>
      </w:r>
      <w:proofErr w:type="spellEnd"/>
      <w:r w:rsidRPr="007475F3">
        <w:rPr>
          <w:sz w:val="24"/>
          <w:szCs w:val="24"/>
        </w:rPr>
        <w:t xml:space="preserve">) Den samlede responsrate (komplet respons plus partiel respons) var 45 % (XELOX + </w:t>
      </w:r>
      <w:proofErr w:type="spellStart"/>
      <w:r w:rsidRPr="007475F3">
        <w:rPr>
          <w:sz w:val="24"/>
          <w:szCs w:val="24"/>
        </w:rPr>
        <w:t>bevacizumab</w:t>
      </w:r>
      <w:proofErr w:type="spellEnd"/>
      <w:r w:rsidRPr="007475F3">
        <w:rPr>
          <w:sz w:val="24"/>
          <w:szCs w:val="24"/>
        </w:rPr>
        <w:t xml:space="preserve">) versus 47 % (XELIRI + </w:t>
      </w:r>
      <w:proofErr w:type="spellStart"/>
      <w:r w:rsidRPr="007475F3">
        <w:rPr>
          <w:sz w:val="24"/>
          <w:szCs w:val="24"/>
        </w:rPr>
        <w:t>bevacizumab</w:t>
      </w:r>
      <w:proofErr w:type="spellEnd"/>
      <w:r w:rsidRPr="007475F3">
        <w:rPr>
          <w:sz w:val="24"/>
          <w:szCs w:val="24"/>
        </w:rPr>
        <w:t>).</w:t>
      </w:r>
    </w:p>
    <w:p w14:paraId="3AD2DF63" w14:textId="77777777" w:rsidR="003237D1" w:rsidRPr="007475F3" w:rsidRDefault="003237D1" w:rsidP="00C02BD5">
      <w:pPr>
        <w:autoSpaceDE w:val="0"/>
        <w:autoSpaceDN w:val="0"/>
        <w:adjustRightInd w:val="0"/>
        <w:ind w:left="851"/>
        <w:rPr>
          <w:sz w:val="24"/>
          <w:szCs w:val="24"/>
        </w:rPr>
      </w:pPr>
    </w:p>
    <w:p w14:paraId="46D0BD38" w14:textId="77777777" w:rsidR="003237D1" w:rsidRPr="007475F3" w:rsidRDefault="003237D1" w:rsidP="00C02BD5">
      <w:pPr>
        <w:autoSpaceDE w:val="0"/>
        <w:autoSpaceDN w:val="0"/>
        <w:adjustRightInd w:val="0"/>
        <w:ind w:left="851"/>
        <w:rPr>
          <w:bCs/>
          <w:i/>
          <w:sz w:val="24"/>
          <w:szCs w:val="24"/>
        </w:rPr>
      </w:pPr>
      <w:r w:rsidRPr="007475F3">
        <w:rPr>
          <w:i/>
          <w:iCs/>
          <w:sz w:val="24"/>
          <w:szCs w:val="24"/>
        </w:rPr>
        <w:t xml:space="preserve">I monoterapi ved 2. </w:t>
      </w:r>
      <w:proofErr w:type="spellStart"/>
      <w:r w:rsidRPr="007475F3">
        <w:rPr>
          <w:i/>
          <w:iCs/>
          <w:sz w:val="24"/>
          <w:szCs w:val="24"/>
        </w:rPr>
        <w:t>valgsbehandling</w:t>
      </w:r>
      <w:proofErr w:type="spellEnd"/>
      <w:r w:rsidRPr="007475F3">
        <w:rPr>
          <w:i/>
          <w:iCs/>
          <w:sz w:val="24"/>
          <w:szCs w:val="24"/>
        </w:rPr>
        <w:t xml:space="preserve"> af metastatisk </w:t>
      </w:r>
      <w:proofErr w:type="spellStart"/>
      <w:r w:rsidRPr="007475F3">
        <w:rPr>
          <w:i/>
          <w:iCs/>
          <w:sz w:val="24"/>
          <w:szCs w:val="24"/>
        </w:rPr>
        <w:t>colorektal</w:t>
      </w:r>
      <w:proofErr w:type="spellEnd"/>
      <w:r w:rsidRPr="007475F3">
        <w:rPr>
          <w:i/>
          <w:iCs/>
          <w:sz w:val="24"/>
          <w:szCs w:val="24"/>
        </w:rPr>
        <w:t xml:space="preserve"> </w:t>
      </w:r>
      <w:proofErr w:type="spellStart"/>
      <w:r w:rsidRPr="007475F3">
        <w:rPr>
          <w:i/>
          <w:iCs/>
          <w:sz w:val="24"/>
          <w:szCs w:val="24"/>
        </w:rPr>
        <w:t>carcinoma</w:t>
      </w:r>
      <w:proofErr w:type="spellEnd"/>
    </w:p>
    <w:p w14:paraId="50F7E888" w14:textId="77777777" w:rsidR="003237D1" w:rsidRPr="007475F3" w:rsidRDefault="003237D1" w:rsidP="00C02BD5">
      <w:pPr>
        <w:autoSpaceDE w:val="0"/>
        <w:autoSpaceDN w:val="0"/>
        <w:adjustRightInd w:val="0"/>
        <w:ind w:left="851"/>
        <w:rPr>
          <w:sz w:val="24"/>
          <w:szCs w:val="24"/>
        </w:rPr>
      </w:pPr>
      <w:r w:rsidRPr="007475F3">
        <w:rPr>
          <w:sz w:val="24"/>
          <w:szCs w:val="24"/>
        </w:rPr>
        <w:t xml:space="preserve">Kliniske fase II/III-forsøg blev i doseringsregimet på 3 uger udført på mere end 980 patienter med metastatisk </w:t>
      </w:r>
      <w:proofErr w:type="spellStart"/>
      <w:r w:rsidRPr="007475F3">
        <w:rPr>
          <w:sz w:val="24"/>
          <w:szCs w:val="24"/>
        </w:rPr>
        <w:t>colorektal</w:t>
      </w:r>
      <w:proofErr w:type="spellEnd"/>
      <w:r w:rsidRPr="007475F3">
        <w:rPr>
          <w:sz w:val="24"/>
          <w:szCs w:val="24"/>
        </w:rPr>
        <w:t xml:space="preserve"> cancer, som ikke oplevede effekt af tidligere 5-FU-behandling. Effekten af </w:t>
      </w:r>
      <w:proofErr w:type="spellStart"/>
      <w:r w:rsidRPr="007475F3">
        <w:rPr>
          <w:sz w:val="24"/>
          <w:szCs w:val="24"/>
        </w:rPr>
        <w:t>irinotecan</w:t>
      </w:r>
      <w:proofErr w:type="spellEnd"/>
      <w:r w:rsidRPr="007475F3">
        <w:rPr>
          <w:sz w:val="24"/>
          <w:szCs w:val="24"/>
        </w:rPr>
        <w:t xml:space="preserve"> blev vurderet hos 765 patienter med dokumenteret progression under 5-FU ved forsøgets start.</w:t>
      </w:r>
    </w:p>
    <w:p w14:paraId="51A0856B" w14:textId="77777777" w:rsidR="003237D1" w:rsidRPr="007475F3" w:rsidRDefault="003237D1" w:rsidP="003237D1">
      <w:pPr>
        <w:autoSpaceDE w:val="0"/>
        <w:autoSpaceDN w:val="0"/>
        <w:adjustRightInd w:val="0"/>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80"/>
        <w:gridCol w:w="1176"/>
        <w:gridCol w:w="1658"/>
        <w:gridCol w:w="26"/>
        <w:gridCol w:w="1107"/>
        <w:gridCol w:w="1176"/>
        <w:gridCol w:w="853"/>
        <w:gridCol w:w="1132"/>
      </w:tblGrid>
      <w:tr w:rsidR="003237D1" w:rsidRPr="007475F3" w14:paraId="556B19B6" w14:textId="77777777" w:rsidTr="00C02BD5">
        <w:tc>
          <w:tcPr>
            <w:tcW w:w="1347" w:type="pct"/>
            <w:tcBorders>
              <w:top w:val="single" w:sz="12" w:space="0" w:color="auto"/>
              <w:left w:val="single" w:sz="12" w:space="0" w:color="auto"/>
              <w:bottom w:val="single" w:sz="12" w:space="0" w:color="auto"/>
              <w:right w:val="single" w:sz="12" w:space="0" w:color="auto"/>
            </w:tcBorders>
          </w:tcPr>
          <w:p w14:paraId="162B35D0" w14:textId="77777777" w:rsidR="003237D1" w:rsidRPr="007475F3" w:rsidRDefault="003237D1">
            <w:pPr>
              <w:autoSpaceDE w:val="0"/>
              <w:autoSpaceDN w:val="0"/>
              <w:adjustRightInd w:val="0"/>
              <w:rPr>
                <w:sz w:val="24"/>
                <w:szCs w:val="24"/>
              </w:rPr>
            </w:pPr>
          </w:p>
        </w:tc>
        <w:tc>
          <w:tcPr>
            <w:tcW w:w="3653" w:type="pct"/>
            <w:gridSpan w:val="7"/>
            <w:tcBorders>
              <w:top w:val="single" w:sz="12" w:space="0" w:color="auto"/>
              <w:left w:val="single" w:sz="12" w:space="0" w:color="auto"/>
              <w:bottom w:val="single" w:sz="12" w:space="0" w:color="auto"/>
              <w:right w:val="single" w:sz="12" w:space="0" w:color="auto"/>
            </w:tcBorders>
            <w:hideMark/>
          </w:tcPr>
          <w:p w14:paraId="12BC1B2C" w14:textId="77777777" w:rsidR="003237D1" w:rsidRPr="007475F3" w:rsidRDefault="003237D1">
            <w:pPr>
              <w:autoSpaceDE w:val="0"/>
              <w:autoSpaceDN w:val="0"/>
              <w:adjustRightInd w:val="0"/>
              <w:rPr>
                <w:sz w:val="24"/>
                <w:szCs w:val="24"/>
              </w:rPr>
            </w:pPr>
            <w:r w:rsidRPr="007475F3">
              <w:rPr>
                <w:sz w:val="24"/>
                <w:szCs w:val="24"/>
              </w:rPr>
              <w:t>Fase III</w:t>
            </w:r>
          </w:p>
        </w:tc>
      </w:tr>
      <w:tr w:rsidR="003237D1" w:rsidRPr="007475F3" w14:paraId="4BE1F958" w14:textId="77777777" w:rsidTr="00C02BD5">
        <w:tc>
          <w:tcPr>
            <w:tcW w:w="1347" w:type="pct"/>
            <w:tcBorders>
              <w:top w:val="single" w:sz="12" w:space="0" w:color="auto"/>
              <w:left w:val="single" w:sz="12" w:space="0" w:color="auto"/>
              <w:bottom w:val="single" w:sz="12" w:space="0" w:color="auto"/>
              <w:right w:val="single" w:sz="12" w:space="0" w:color="auto"/>
            </w:tcBorders>
          </w:tcPr>
          <w:p w14:paraId="08C633D6" w14:textId="77777777" w:rsidR="003237D1" w:rsidRPr="007475F3" w:rsidRDefault="003237D1">
            <w:pPr>
              <w:autoSpaceDE w:val="0"/>
              <w:autoSpaceDN w:val="0"/>
              <w:adjustRightInd w:val="0"/>
              <w:rPr>
                <w:sz w:val="24"/>
                <w:szCs w:val="24"/>
              </w:rPr>
            </w:pPr>
          </w:p>
        </w:tc>
        <w:tc>
          <w:tcPr>
            <w:tcW w:w="1993" w:type="pct"/>
            <w:gridSpan w:val="4"/>
            <w:tcBorders>
              <w:top w:val="single" w:sz="12" w:space="0" w:color="auto"/>
              <w:left w:val="single" w:sz="12" w:space="0" w:color="auto"/>
              <w:bottom w:val="single" w:sz="12" w:space="0" w:color="auto"/>
              <w:right w:val="single" w:sz="12" w:space="0" w:color="auto"/>
            </w:tcBorders>
            <w:hideMark/>
          </w:tcPr>
          <w:p w14:paraId="36BF4E9E"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r w:rsidRPr="007475F3">
              <w:rPr>
                <w:sz w:val="24"/>
                <w:szCs w:val="24"/>
              </w:rPr>
              <w:t xml:space="preserve"> vs. understøttende behandling</w:t>
            </w:r>
          </w:p>
        </w:tc>
        <w:tc>
          <w:tcPr>
            <w:tcW w:w="1661" w:type="pct"/>
            <w:gridSpan w:val="3"/>
            <w:tcBorders>
              <w:top w:val="single" w:sz="12" w:space="0" w:color="auto"/>
              <w:left w:val="single" w:sz="12" w:space="0" w:color="auto"/>
              <w:bottom w:val="single" w:sz="12" w:space="0" w:color="auto"/>
              <w:right w:val="single" w:sz="12" w:space="0" w:color="auto"/>
            </w:tcBorders>
            <w:hideMark/>
          </w:tcPr>
          <w:p w14:paraId="6437CDE0"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r w:rsidRPr="007475F3">
              <w:rPr>
                <w:sz w:val="24"/>
                <w:szCs w:val="24"/>
              </w:rPr>
              <w:t xml:space="preserve"> vs. 5FU</w:t>
            </w:r>
          </w:p>
        </w:tc>
      </w:tr>
      <w:tr w:rsidR="003237D1" w:rsidRPr="007475F3" w14:paraId="50615D10" w14:textId="77777777" w:rsidTr="00C02BD5">
        <w:tc>
          <w:tcPr>
            <w:tcW w:w="1347" w:type="pct"/>
            <w:tcBorders>
              <w:top w:val="single" w:sz="12" w:space="0" w:color="auto"/>
              <w:left w:val="single" w:sz="12" w:space="0" w:color="auto"/>
              <w:bottom w:val="single" w:sz="12" w:space="0" w:color="auto"/>
              <w:right w:val="single" w:sz="12" w:space="0" w:color="auto"/>
            </w:tcBorders>
          </w:tcPr>
          <w:p w14:paraId="37277F2F" w14:textId="77777777" w:rsidR="003237D1" w:rsidRPr="007475F3" w:rsidRDefault="003237D1">
            <w:pPr>
              <w:autoSpaceDE w:val="0"/>
              <w:autoSpaceDN w:val="0"/>
              <w:adjustRightInd w:val="0"/>
              <w:rPr>
                <w:sz w:val="24"/>
                <w:szCs w:val="24"/>
              </w:rPr>
            </w:pPr>
          </w:p>
        </w:tc>
        <w:tc>
          <w:tcPr>
            <w:tcW w:w="591" w:type="pct"/>
            <w:tcBorders>
              <w:top w:val="single" w:sz="12" w:space="0" w:color="auto"/>
              <w:left w:val="single" w:sz="12" w:space="0" w:color="auto"/>
              <w:bottom w:val="single" w:sz="12" w:space="0" w:color="auto"/>
              <w:right w:val="single" w:sz="12" w:space="0" w:color="auto"/>
            </w:tcBorders>
            <w:hideMark/>
          </w:tcPr>
          <w:p w14:paraId="0146FC3B"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r w:rsidRPr="007475F3">
              <w:rPr>
                <w:sz w:val="24"/>
                <w:szCs w:val="24"/>
              </w:rPr>
              <w:t xml:space="preserve"> n=183</w:t>
            </w:r>
          </w:p>
        </w:tc>
        <w:tc>
          <w:tcPr>
            <w:tcW w:w="845" w:type="pct"/>
            <w:gridSpan w:val="2"/>
            <w:tcBorders>
              <w:top w:val="single" w:sz="12" w:space="0" w:color="auto"/>
              <w:left w:val="single" w:sz="12" w:space="0" w:color="auto"/>
              <w:bottom w:val="single" w:sz="12" w:space="0" w:color="auto"/>
              <w:right w:val="single" w:sz="12" w:space="0" w:color="auto"/>
            </w:tcBorders>
            <w:hideMark/>
          </w:tcPr>
          <w:p w14:paraId="1B4701DB" w14:textId="77777777" w:rsidR="003237D1" w:rsidRPr="007475F3" w:rsidRDefault="003237D1">
            <w:pPr>
              <w:autoSpaceDE w:val="0"/>
              <w:autoSpaceDN w:val="0"/>
              <w:adjustRightInd w:val="0"/>
              <w:rPr>
                <w:sz w:val="24"/>
                <w:szCs w:val="24"/>
              </w:rPr>
            </w:pPr>
            <w:r w:rsidRPr="007475F3">
              <w:rPr>
                <w:sz w:val="24"/>
                <w:szCs w:val="24"/>
              </w:rPr>
              <w:t>Understøttende behandling n=90</w:t>
            </w:r>
          </w:p>
        </w:tc>
        <w:tc>
          <w:tcPr>
            <w:tcW w:w="556" w:type="pct"/>
            <w:tcBorders>
              <w:top w:val="single" w:sz="12" w:space="0" w:color="auto"/>
              <w:left w:val="single" w:sz="12" w:space="0" w:color="auto"/>
              <w:bottom w:val="single" w:sz="12" w:space="0" w:color="auto"/>
              <w:right w:val="single" w:sz="12" w:space="0" w:color="auto"/>
            </w:tcBorders>
            <w:hideMark/>
          </w:tcPr>
          <w:p w14:paraId="0E1EFEA9" w14:textId="77777777" w:rsidR="003237D1" w:rsidRPr="007475F3" w:rsidRDefault="003237D1">
            <w:pPr>
              <w:autoSpaceDE w:val="0"/>
              <w:autoSpaceDN w:val="0"/>
              <w:adjustRightInd w:val="0"/>
              <w:rPr>
                <w:sz w:val="24"/>
                <w:szCs w:val="24"/>
              </w:rPr>
            </w:pPr>
            <w:proofErr w:type="spellStart"/>
            <w:r w:rsidRPr="007475F3">
              <w:rPr>
                <w:sz w:val="24"/>
                <w:szCs w:val="24"/>
              </w:rPr>
              <w:t>p-værdier</w:t>
            </w:r>
            <w:proofErr w:type="spellEnd"/>
          </w:p>
        </w:tc>
        <w:tc>
          <w:tcPr>
            <w:tcW w:w="591" w:type="pct"/>
            <w:tcBorders>
              <w:top w:val="single" w:sz="12" w:space="0" w:color="auto"/>
              <w:left w:val="single" w:sz="12" w:space="0" w:color="auto"/>
              <w:bottom w:val="single" w:sz="12" w:space="0" w:color="auto"/>
              <w:right w:val="single" w:sz="12" w:space="0" w:color="auto"/>
            </w:tcBorders>
            <w:hideMark/>
          </w:tcPr>
          <w:p w14:paraId="561C5F0A" w14:textId="77777777" w:rsidR="003237D1" w:rsidRPr="007475F3" w:rsidRDefault="003237D1">
            <w:pPr>
              <w:autoSpaceDE w:val="0"/>
              <w:autoSpaceDN w:val="0"/>
              <w:adjustRightInd w:val="0"/>
              <w:rPr>
                <w:sz w:val="24"/>
                <w:szCs w:val="24"/>
              </w:rPr>
            </w:pPr>
            <w:proofErr w:type="spellStart"/>
            <w:r w:rsidRPr="007475F3">
              <w:rPr>
                <w:sz w:val="24"/>
                <w:szCs w:val="24"/>
              </w:rPr>
              <w:t>irinotecan</w:t>
            </w:r>
            <w:proofErr w:type="spellEnd"/>
            <w:r w:rsidRPr="007475F3">
              <w:rPr>
                <w:sz w:val="24"/>
                <w:szCs w:val="24"/>
              </w:rPr>
              <w:t xml:space="preserve"> n=127</w:t>
            </w:r>
          </w:p>
        </w:tc>
        <w:tc>
          <w:tcPr>
            <w:tcW w:w="500" w:type="pct"/>
            <w:tcBorders>
              <w:top w:val="single" w:sz="12" w:space="0" w:color="auto"/>
              <w:left w:val="single" w:sz="12" w:space="0" w:color="auto"/>
              <w:bottom w:val="single" w:sz="12" w:space="0" w:color="auto"/>
              <w:right w:val="single" w:sz="12" w:space="0" w:color="auto"/>
            </w:tcBorders>
            <w:hideMark/>
          </w:tcPr>
          <w:p w14:paraId="1976E953" w14:textId="77777777" w:rsidR="003237D1" w:rsidRPr="007475F3" w:rsidRDefault="003237D1">
            <w:pPr>
              <w:autoSpaceDE w:val="0"/>
              <w:autoSpaceDN w:val="0"/>
              <w:adjustRightInd w:val="0"/>
              <w:rPr>
                <w:sz w:val="24"/>
                <w:szCs w:val="24"/>
              </w:rPr>
            </w:pPr>
            <w:r w:rsidRPr="007475F3">
              <w:rPr>
                <w:sz w:val="24"/>
                <w:szCs w:val="24"/>
              </w:rPr>
              <w:t>5FU n=129</w:t>
            </w:r>
          </w:p>
        </w:tc>
        <w:tc>
          <w:tcPr>
            <w:tcW w:w="569" w:type="pct"/>
            <w:tcBorders>
              <w:top w:val="single" w:sz="12" w:space="0" w:color="auto"/>
              <w:left w:val="single" w:sz="12" w:space="0" w:color="auto"/>
              <w:bottom w:val="single" w:sz="12" w:space="0" w:color="auto"/>
              <w:right w:val="single" w:sz="12" w:space="0" w:color="auto"/>
            </w:tcBorders>
            <w:hideMark/>
          </w:tcPr>
          <w:p w14:paraId="01E1D97E" w14:textId="77777777" w:rsidR="003237D1" w:rsidRPr="007475F3" w:rsidRDefault="003237D1">
            <w:pPr>
              <w:autoSpaceDE w:val="0"/>
              <w:autoSpaceDN w:val="0"/>
              <w:adjustRightInd w:val="0"/>
              <w:rPr>
                <w:sz w:val="24"/>
                <w:szCs w:val="24"/>
              </w:rPr>
            </w:pPr>
            <w:proofErr w:type="spellStart"/>
            <w:r w:rsidRPr="007475F3">
              <w:rPr>
                <w:sz w:val="24"/>
                <w:szCs w:val="24"/>
              </w:rPr>
              <w:t>p-værdier</w:t>
            </w:r>
            <w:proofErr w:type="spellEnd"/>
          </w:p>
        </w:tc>
      </w:tr>
      <w:tr w:rsidR="003237D1" w:rsidRPr="007475F3" w14:paraId="223501A6" w14:textId="77777777" w:rsidTr="00C02BD5">
        <w:tc>
          <w:tcPr>
            <w:tcW w:w="1347" w:type="pct"/>
            <w:tcBorders>
              <w:top w:val="single" w:sz="12" w:space="0" w:color="auto"/>
              <w:left w:val="single" w:sz="12" w:space="0" w:color="auto"/>
              <w:bottom w:val="single" w:sz="12" w:space="0" w:color="auto"/>
              <w:right w:val="single" w:sz="12" w:space="0" w:color="auto"/>
            </w:tcBorders>
            <w:hideMark/>
          </w:tcPr>
          <w:p w14:paraId="423C01B0" w14:textId="77777777" w:rsidR="003237D1" w:rsidRPr="007475F3" w:rsidRDefault="003237D1">
            <w:pPr>
              <w:autoSpaceDE w:val="0"/>
              <w:autoSpaceDN w:val="0"/>
              <w:adjustRightInd w:val="0"/>
              <w:rPr>
                <w:sz w:val="24"/>
                <w:szCs w:val="24"/>
              </w:rPr>
            </w:pPr>
            <w:r w:rsidRPr="007475F3">
              <w:rPr>
                <w:sz w:val="24"/>
                <w:szCs w:val="24"/>
              </w:rPr>
              <w:t>Progressionsfri</w:t>
            </w:r>
          </w:p>
          <w:p w14:paraId="13198360" w14:textId="77777777" w:rsidR="003237D1" w:rsidRPr="007475F3" w:rsidRDefault="003237D1">
            <w:pPr>
              <w:autoSpaceDE w:val="0"/>
              <w:autoSpaceDN w:val="0"/>
              <w:adjustRightInd w:val="0"/>
              <w:rPr>
                <w:sz w:val="24"/>
                <w:szCs w:val="24"/>
              </w:rPr>
            </w:pPr>
            <w:r w:rsidRPr="007475F3">
              <w:rPr>
                <w:sz w:val="24"/>
                <w:szCs w:val="24"/>
              </w:rPr>
              <w:t>Overlevelse ved 6 mdr. (%)</w:t>
            </w:r>
          </w:p>
        </w:tc>
        <w:tc>
          <w:tcPr>
            <w:tcW w:w="591" w:type="pct"/>
            <w:tcBorders>
              <w:top w:val="single" w:sz="12" w:space="0" w:color="auto"/>
              <w:left w:val="single" w:sz="12" w:space="0" w:color="auto"/>
              <w:bottom w:val="single" w:sz="12" w:space="0" w:color="auto"/>
              <w:right w:val="single" w:sz="12" w:space="0" w:color="auto"/>
            </w:tcBorders>
            <w:hideMark/>
          </w:tcPr>
          <w:p w14:paraId="54D1A376" w14:textId="77777777" w:rsidR="003237D1" w:rsidRPr="007475F3" w:rsidRDefault="003237D1">
            <w:pPr>
              <w:autoSpaceDE w:val="0"/>
              <w:autoSpaceDN w:val="0"/>
              <w:adjustRightInd w:val="0"/>
              <w:rPr>
                <w:sz w:val="24"/>
                <w:szCs w:val="24"/>
              </w:rPr>
            </w:pPr>
            <w:r w:rsidRPr="007475F3">
              <w:rPr>
                <w:sz w:val="24"/>
                <w:szCs w:val="24"/>
              </w:rPr>
              <w:t>NA</w:t>
            </w:r>
          </w:p>
        </w:tc>
        <w:tc>
          <w:tcPr>
            <w:tcW w:w="832" w:type="pct"/>
            <w:tcBorders>
              <w:top w:val="single" w:sz="12" w:space="0" w:color="auto"/>
              <w:left w:val="single" w:sz="12" w:space="0" w:color="auto"/>
              <w:bottom w:val="single" w:sz="12" w:space="0" w:color="auto"/>
              <w:right w:val="single" w:sz="12" w:space="0" w:color="auto"/>
            </w:tcBorders>
            <w:hideMark/>
          </w:tcPr>
          <w:p w14:paraId="0978B871" w14:textId="77777777" w:rsidR="003237D1" w:rsidRPr="007475F3" w:rsidRDefault="003237D1">
            <w:pPr>
              <w:autoSpaceDE w:val="0"/>
              <w:autoSpaceDN w:val="0"/>
              <w:adjustRightInd w:val="0"/>
              <w:rPr>
                <w:sz w:val="24"/>
                <w:szCs w:val="24"/>
              </w:rPr>
            </w:pPr>
            <w:r w:rsidRPr="007475F3">
              <w:rPr>
                <w:sz w:val="24"/>
                <w:szCs w:val="24"/>
              </w:rPr>
              <w:t>NA</w:t>
            </w:r>
          </w:p>
        </w:tc>
        <w:tc>
          <w:tcPr>
            <w:tcW w:w="569" w:type="pct"/>
            <w:gridSpan w:val="2"/>
            <w:tcBorders>
              <w:top w:val="single" w:sz="12" w:space="0" w:color="auto"/>
              <w:left w:val="single" w:sz="12" w:space="0" w:color="auto"/>
              <w:bottom w:val="single" w:sz="12" w:space="0" w:color="auto"/>
              <w:right w:val="single" w:sz="12" w:space="0" w:color="auto"/>
            </w:tcBorders>
          </w:tcPr>
          <w:p w14:paraId="774880F8" w14:textId="77777777" w:rsidR="003237D1" w:rsidRPr="007475F3" w:rsidRDefault="003237D1">
            <w:pPr>
              <w:autoSpaceDE w:val="0"/>
              <w:autoSpaceDN w:val="0"/>
              <w:adjustRightInd w:val="0"/>
              <w:rPr>
                <w:sz w:val="24"/>
                <w:szCs w:val="24"/>
              </w:rPr>
            </w:pPr>
          </w:p>
        </w:tc>
        <w:tc>
          <w:tcPr>
            <w:tcW w:w="591" w:type="pct"/>
            <w:tcBorders>
              <w:top w:val="single" w:sz="12" w:space="0" w:color="auto"/>
              <w:left w:val="single" w:sz="12" w:space="0" w:color="auto"/>
              <w:bottom w:val="single" w:sz="12" w:space="0" w:color="auto"/>
              <w:right w:val="single" w:sz="12" w:space="0" w:color="auto"/>
            </w:tcBorders>
            <w:hideMark/>
          </w:tcPr>
          <w:p w14:paraId="33889398" w14:textId="77777777" w:rsidR="003237D1" w:rsidRPr="007475F3" w:rsidRDefault="003237D1">
            <w:pPr>
              <w:rPr>
                <w:sz w:val="24"/>
                <w:szCs w:val="24"/>
              </w:rPr>
            </w:pPr>
            <w:r w:rsidRPr="007475F3">
              <w:rPr>
                <w:sz w:val="24"/>
                <w:szCs w:val="24"/>
              </w:rPr>
              <w:t xml:space="preserve">33,5 * </w:t>
            </w:r>
          </w:p>
        </w:tc>
        <w:tc>
          <w:tcPr>
            <w:tcW w:w="500" w:type="pct"/>
            <w:tcBorders>
              <w:top w:val="single" w:sz="12" w:space="0" w:color="auto"/>
              <w:left w:val="single" w:sz="12" w:space="0" w:color="auto"/>
              <w:bottom w:val="single" w:sz="12" w:space="0" w:color="auto"/>
              <w:right w:val="single" w:sz="12" w:space="0" w:color="auto"/>
            </w:tcBorders>
            <w:hideMark/>
          </w:tcPr>
          <w:p w14:paraId="1992FE78" w14:textId="77777777" w:rsidR="003237D1" w:rsidRPr="007475F3" w:rsidRDefault="003237D1">
            <w:pPr>
              <w:rPr>
                <w:sz w:val="24"/>
                <w:szCs w:val="24"/>
              </w:rPr>
            </w:pPr>
            <w:r w:rsidRPr="007475F3">
              <w:rPr>
                <w:sz w:val="24"/>
                <w:szCs w:val="24"/>
              </w:rPr>
              <w:t xml:space="preserve">26,7 </w:t>
            </w:r>
          </w:p>
        </w:tc>
        <w:tc>
          <w:tcPr>
            <w:tcW w:w="569" w:type="pct"/>
            <w:tcBorders>
              <w:top w:val="single" w:sz="12" w:space="0" w:color="auto"/>
              <w:left w:val="single" w:sz="12" w:space="0" w:color="auto"/>
              <w:bottom w:val="single" w:sz="12" w:space="0" w:color="auto"/>
              <w:right w:val="single" w:sz="12" w:space="0" w:color="auto"/>
            </w:tcBorders>
            <w:hideMark/>
          </w:tcPr>
          <w:p w14:paraId="373909AD" w14:textId="77777777" w:rsidR="003237D1" w:rsidRPr="007475F3" w:rsidRDefault="003237D1">
            <w:pPr>
              <w:rPr>
                <w:sz w:val="24"/>
                <w:szCs w:val="24"/>
              </w:rPr>
            </w:pPr>
            <w:r w:rsidRPr="007475F3">
              <w:rPr>
                <w:sz w:val="24"/>
                <w:szCs w:val="24"/>
              </w:rPr>
              <w:t>p=0,03</w:t>
            </w:r>
          </w:p>
        </w:tc>
      </w:tr>
      <w:tr w:rsidR="003237D1" w:rsidRPr="007475F3" w14:paraId="52D35534" w14:textId="77777777" w:rsidTr="00C02BD5">
        <w:tc>
          <w:tcPr>
            <w:tcW w:w="1347" w:type="pct"/>
            <w:tcBorders>
              <w:top w:val="single" w:sz="12" w:space="0" w:color="auto"/>
              <w:left w:val="single" w:sz="12" w:space="0" w:color="auto"/>
              <w:bottom w:val="single" w:sz="12" w:space="0" w:color="auto"/>
              <w:right w:val="single" w:sz="12" w:space="0" w:color="auto"/>
            </w:tcBorders>
            <w:hideMark/>
          </w:tcPr>
          <w:p w14:paraId="668D01F0" w14:textId="77777777" w:rsidR="003237D1" w:rsidRPr="007475F3" w:rsidRDefault="003237D1">
            <w:pPr>
              <w:autoSpaceDE w:val="0"/>
              <w:autoSpaceDN w:val="0"/>
              <w:adjustRightInd w:val="0"/>
              <w:rPr>
                <w:sz w:val="24"/>
                <w:szCs w:val="24"/>
              </w:rPr>
            </w:pPr>
            <w:r w:rsidRPr="007475F3">
              <w:rPr>
                <w:sz w:val="24"/>
                <w:szCs w:val="24"/>
              </w:rPr>
              <w:t>Overlevelse ved 12 mdr. (%)</w:t>
            </w:r>
          </w:p>
        </w:tc>
        <w:tc>
          <w:tcPr>
            <w:tcW w:w="591" w:type="pct"/>
            <w:tcBorders>
              <w:top w:val="single" w:sz="12" w:space="0" w:color="auto"/>
              <w:left w:val="single" w:sz="12" w:space="0" w:color="auto"/>
              <w:bottom w:val="single" w:sz="12" w:space="0" w:color="auto"/>
              <w:right w:val="single" w:sz="12" w:space="0" w:color="auto"/>
            </w:tcBorders>
            <w:hideMark/>
          </w:tcPr>
          <w:p w14:paraId="4A903CB6" w14:textId="77777777" w:rsidR="003237D1" w:rsidRPr="007475F3" w:rsidRDefault="003237D1">
            <w:pPr>
              <w:autoSpaceDE w:val="0"/>
              <w:autoSpaceDN w:val="0"/>
              <w:adjustRightInd w:val="0"/>
              <w:rPr>
                <w:sz w:val="24"/>
                <w:szCs w:val="24"/>
              </w:rPr>
            </w:pPr>
            <w:r w:rsidRPr="007475F3">
              <w:rPr>
                <w:sz w:val="24"/>
                <w:szCs w:val="24"/>
              </w:rPr>
              <w:t>36,2 *</w:t>
            </w:r>
          </w:p>
        </w:tc>
        <w:tc>
          <w:tcPr>
            <w:tcW w:w="832" w:type="pct"/>
            <w:tcBorders>
              <w:top w:val="single" w:sz="12" w:space="0" w:color="auto"/>
              <w:left w:val="single" w:sz="12" w:space="0" w:color="auto"/>
              <w:bottom w:val="single" w:sz="12" w:space="0" w:color="auto"/>
              <w:right w:val="single" w:sz="12" w:space="0" w:color="auto"/>
            </w:tcBorders>
            <w:hideMark/>
          </w:tcPr>
          <w:p w14:paraId="1A75FADF" w14:textId="77777777" w:rsidR="003237D1" w:rsidRPr="007475F3" w:rsidRDefault="003237D1">
            <w:pPr>
              <w:autoSpaceDE w:val="0"/>
              <w:autoSpaceDN w:val="0"/>
              <w:adjustRightInd w:val="0"/>
              <w:rPr>
                <w:sz w:val="24"/>
                <w:szCs w:val="24"/>
              </w:rPr>
            </w:pPr>
            <w:r w:rsidRPr="007475F3">
              <w:rPr>
                <w:sz w:val="24"/>
                <w:szCs w:val="24"/>
              </w:rPr>
              <w:t xml:space="preserve">13,8 </w:t>
            </w:r>
          </w:p>
        </w:tc>
        <w:tc>
          <w:tcPr>
            <w:tcW w:w="569" w:type="pct"/>
            <w:gridSpan w:val="2"/>
            <w:tcBorders>
              <w:top w:val="single" w:sz="12" w:space="0" w:color="auto"/>
              <w:left w:val="single" w:sz="12" w:space="0" w:color="auto"/>
              <w:bottom w:val="single" w:sz="12" w:space="0" w:color="auto"/>
              <w:right w:val="single" w:sz="12" w:space="0" w:color="auto"/>
            </w:tcBorders>
            <w:hideMark/>
          </w:tcPr>
          <w:p w14:paraId="3B25EDF1" w14:textId="77777777" w:rsidR="003237D1" w:rsidRPr="007475F3" w:rsidRDefault="003237D1">
            <w:pPr>
              <w:autoSpaceDE w:val="0"/>
              <w:autoSpaceDN w:val="0"/>
              <w:adjustRightInd w:val="0"/>
              <w:rPr>
                <w:sz w:val="24"/>
                <w:szCs w:val="24"/>
              </w:rPr>
            </w:pPr>
            <w:r w:rsidRPr="007475F3">
              <w:rPr>
                <w:sz w:val="24"/>
                <w:szCs w:val="24"/>
              </w:rPr>
              <w:t>p=0,0001</w:t>
            </w:r>
          </w:p>
        </w:tc>
        <w:tc>
          <w:tcPr>
            <w:tcW w:w="591" w:type="pct"/>
            <w:tcBorders>
              <w:top w:val="single" w:sz="12" w:space="0" w:color="auto"/>
              <w:left w:val="single" w:sz="12" w:space="0" w:color="auto"/>
              <w:bottom w:val="single" w:sz="12" w:space="0" w:color="auto"/>
              <w:right w:val="single" w:sz="12" w:space="0" w:color="auto"/>
            </w:tcBorders>
            <w:hideMark/>
          </w:tcPr>
          <w:p w14:paraId="3926017B" w14:textId="77777777" w:rsidR="003237D1" w:rsidRPr="007475F3" w:rsidRDefault="003237D1">
            <w:pPr>
              <w:autoSpaceDE w:val="0"/>
              <w:autoSpaceDN w:val="0"/>
              <w:adjustRightInd w:val="0"/>
              <w:rPr>
                <w:sz w:val="24"/>
                <w:szCs w:val="24"/>
              </w:rPr>
            </w:pPr>
            <w:r w:rsidRPr="007475F3">
              <w:rPr>
                <w:sz w:val="24"/>
                <w:szCs w:val="24"/>
              </w:rPr>
              <w:t>44,8 *</w:t>
            </w:r>
          </w:p>
        </w:tc>
        <w:tc>
          <w:tcPr>
            <w:tcW w:w="500" w:type="pct"/>
            <w:tcBorders>
              <w:top w:val="single" w:sz="12" w:space="0" w:color="auto"/>
              <w:left w:val="single" w:sz="12" w:space="0" w:color="auto"/>
              <w:bottom w:val="single" w:sz="12" w:space="0" w:color="auto"/>
              <w:right w:val="single" w:sz="12" w:space="0" w:color="auto"/>
            </w:tcBorders>
            <w:hideMark/>
          </w:tcPr>
          <w:p w14:paraId="021397BD" w14:textId="77777777" w:rsidR="003237D1" w:rsidRPr="007475F3" w:rsidRDefault="003237D1">
            <w:pPr>
              <w:autoSpaceDE w:val="0"/>
              <w:autoSpaceDN w:val="0"/>
              <w:adjustRightInd w:val="0"/>
              <w:rPr>
                <w:sz w:val="24"/>
                <w:szCs w:val="24"/>
              </w:rPr>
            </w:pPr>
            <w:r w:rsidRPr="007475F3">
              <w:rPr>
                <w:sz w:val="24"/>
                <w:szCs w:val="24"/>
              </w:rPr>
              <w:t>32,4</w:t>
            </w:r>
          </w:p>
        </w:tc>
        <w:tc>
          <w:tcPr>
            <w:tcW w:w="569" w:type="pct"/>
            <w:tcBorders>
              <w:top w:val="single" w:sz="12" w:space="0" w:color="auto"/>
              <w:left w:val="single" w:sz="12" w:space="0" w:color="auto"/>
              <w:bottom w:val="single" w:sz="12" w:space="0" w:color="auto"/>
              <w:right w:val="single" w:sz="12" w:space="0" w:color="auto"/>
            </w:tcBorders>
            <w:hideMark/>
          </w:tcPr>
          <w:p w14:paraId="44B0EF26" w14:textId="77777777" w:rsidR="003237D1" w:rsidRPr="007475F3" w:rsidRDefault="003237D1">
            <w:pPr>
              <w:autoSpaceDE w:val="0"/>
              <w:autoSpaceDN w:val="0"/>
              <w:adjustRightInd w:val="0"/>
              <w:rPr>
                <w:sz w:val="24"/>
                <w:szCs w:val="24"/>
              </w:rPr>
            </w:pPr>
            <w:r w:rsidRPr="007475F3">
              <w:rPr>
                <w:sz w:val="24"/>
                <w:szCs w:val="24"/>
              </w:rPr>
              <w:t>p=0,0351</w:t>
            </w:r>
          </w:p>
        </w:tc>
      </w:tr>
      <w:tr w:rsidR="003237D1" w:rsidRPr="007475F3" w14:paraId="4F31EEA2" w14:textId="77777777" w:rsidTr="00C02BD5">
        <w:tc>
          <w:tcPr>
            <w:tcW w:w="1347" w:type="pct"/>
            <w:tcBorders>
              <w:top w:val="single" w:sz="12" w:space="0" w:color="auto"/>
              <w:left w:val="single" w:sz="12" w:space="0" w:color="auto"/>
              <w:bottom w:val="single" w:sz="12" w:space="0" w:color="auto"/>
              <w:right w:val="single" w:sz="12" w:space="0" w:color="auto"/>
            </w:tcBorders>
            <w:hideMark/>
          </w:tcPr>
          <w:p w14:paraId="107898EA" w14:textId="77777777" w:rsidR="003237D1" w:rsidRPr="007475F3" w:rsidRDefault="003237D1">
            <w:pPr>
              <w:autoSpaceDE w:val="0"/>
              <w:autoSpaceDN w:val="0"/>
              <w:adjustRightInd w:val="0"/>
              <w:rPr>
                <w:sz w:val="24"/>
                <w:szCs w:val="24"/>
              </w:rPr>
            </w:pPr>
            <w:r w:rsidRPr="007475F3">
              <w:rPr>
                <w:sz w:val="24"/>
                <w:szCs w:val="24"/>
              </w:rPr>
              <w:t>Median overlevelse (måneder)</w:t>
            </w:r>
          </w:p>
        </w:tc>
        <w:tc>
          <w:tcPr>
            <w:tcW w:w="591" w:type="pct"/>
            <w:tcBorders>
              <w:top w:val="single" w:sz="12" w:space="0" w:color="auto"/>
              <w:left w:val="single" w:sz="12" w:space="0" w:color="auto"/>
              <w:bottom w:val="single" w:sz="12" w:space="0" w:color="auto"/>
              <w:right w:val="single" w:sz="12" w:space="0" w:color="auto"/>
            </w:tcBorders>
            <w:hideMark/>
          </w:tcPr>
          <w:p w14:paraId="7D8F077F" w14:textId="77777777" w:rsidR="003237D1" w:rsidRPr="007475F3" w:rsidRDefault="003237D1">
            <w:pPr>
              <w:autoSpaceDE w:val="0"/>
              <w:autoSpaceDN w:val="0"/>
              <w:adjustRightInd w:val="0"/>
              <w:rPr>
                <w:sz w:val="24"/>
                <w:szCs w:val="24"/>
              </w:rPr>
            </w:pPr>
            <w:r w:rsidRPr="007475F3">
              <w:rPr>
                <w:sz w:val="24"/>
                <w:szCs w:val="24"/>
              </w:rPr>
              <w:t>9,2*</w:t>
            </w:r>
          </w:p>
        </w:tc>
        <w:tc>
          <w:tcPr>
            <w:tcW w:w="832" w:type="pct"/>
            <w:tcBorders>
              <w:top w:val="single" w:sz="12" w:space="0" w:color="auto"/>
              <w:left w:val="single" w:sz="12" w:space="0" w:color="auto"/>
              <w:bottom w:val="single" w:sz="12" w:space="0" w:color="auto"/>
              <w:right w:val="single" w:sz="12" w:space="0" w:color="auto"/>
            </w:tcBorders>
            <w:hideMark/>
          </w:tcPr>
          <w:p w14:paraId="731F7FB4" w14:textId="77777777" w:rsidR="003237D1" w:rsidRPr="007475F3" w:rsidRDefault="003237D1">
            <w:pPr>
              <w:autoSpaceDE w:val="0"/>
              <w:autoSpaceDN w:val="0"/>
              <w:adjustRightInd w:val="0"/>
              <w:rPr>
                <w:sz w:val="24"/>
                <w:szCs w:val="24"/>
              </w:rPr>
            </w:pPr>
            <w:r w:rsidRPr="007475F3">
              <w:rPr>
                <w:sz w:val="24"/>
                <w:szCs w:val="24"/>
              </w:rPr>
              <w:t>6,5</w:t>
            </w:r>
          </w:p>
        </w:tc>
        <w:tc>
          <w:tcPr>
            <w:tcW w:w="569" w:type="pct"/>
            <w:gridSpan w:val="2"/>
            <w:tcBorders>
              <w:top w:val="single" w:sz="12" w:space="0" w:color="auto"/>
              <w:left w:val="single" w:sz="12" w:space="0" w:color="auto"/>
              <w:bottom w:val="single" w:sz="12" w:space="0" w:color="auto"/>
              <w:right w:val="single" w:sz="12" w:space="0" w:color="auto"/>
            </w:tcBorders>
            <w:hideMark/>
          </w:tcPr>
          <w:p w14:paraId="1A73243D" w14:textId="77777777" w:rsidR="003237D1" w:rsidRPr="007475F3" w:rsidRDefault="003237D1">
            <w:pPr>
              <w:autoSpaceDE w:val="0"/>
              <w:autoSpaceDN w:val="0"/>
              <w:adjustRightInd w:val="0"/>
              <w:rPr>
                <w:sz w:val="24"/>
                <w:szCs w:val="24"/>
              </w:rPr>
            </w:pPr>
            <w:r w:rsidRPr="007475F3">
              <w:rPr>
                <w:sz w:val="24"/>
                <w:szCs w:val="24"/>
              </w:rPr>
              <w:t>p=0,0001</w:t>
            </w:r>
          </w:p>
        </w:tc>
        <w:tc>
          <w:tcPr>
            <w:tcW w:w="591" w:type="pct"/>
            <w:tcBorders>
              <w:top w:val="single" w:sz="12" w:space="0" w:color="auto"/>
              <w:left w:val="single" w:sz="12" w:space="0" w:color="auto"/>
              <w:bottom w:val="single" w:sz="12" w:space="0" w:color="auto"/>
              <w:right w:val="single" w:sz="12" w:space="0" w:color="auto"/>
            </w:tcBorders>
            <w:hideMark/>
          </w:tcPr>
          <w:p w14:paraId="4E41F7C6" w14:textId="77777777" w:rsidR="003237D1" w:rsidRPr="007475F3" w:rsidRDefault="003237D1">
            <w:pPr>
              <w:rPr>
                <w:sz w:val="24"/>
                <w:szCs w:val="24"/>
              </w:rPr>
            </w:pPr>
            <w:r w:rsidRPr="007475F3">
              <w:rPr>
                <w:sz w:val="24"/>
                <w:szCs w:val="24"/>
              </w:rPr>
              <w:t xml:space="preserve">10,8* </w:t>
            </w:r>
          </w:p>
        </w:tc>
        <w:tc>
          <w:tcPr>
            <w:tcW w:w="500" w:type="pct"/>
            <w:tcBorders>
              <w:top w:val="single" w:sz="12" w:space="0" w:color="auto"/>
              <w:left w:val="single" w:sz="12" w:space="0" w:color="auto"/>
              <w:bottom w:val="single" w:sz="12" w:space="0" w:color="auto"/>
              <w:right w:val="single" w:sz="12" w:space="0" w:color="auto"/>
            </w:tcBorders>
            <w:hideMark/>
          </w:tcPr>
          <w:p w14:paraId="53CB48EF" w14:textId="77777777" w:rsidR="003237D1" w:rsidRPr="007475F3" w:rsidRDefault="003237D1">
            <w:pPr>
              <w:rPr>
                <w:sz w:val="24"/>
                <w:szCs w:val="24"/>
              </w:rPr>
            </w:pPr>
            <w:r w:rsidRPr="007475F3">
              <w:rPr>
                <w:sz w:val="24"/>
                <w:szCs w:val="24"/>
              </w:rPr>
              <w:t xml:space="preserve">8,5 </w:t>
            </w:r>
          </w:p>
        </w:tc>
        <w:tc>
          <w:tcPr>
            <w:tcW w:w="569" w:type="pct"/>
            <w:tcBorders>
              <w:top w:val="single" w:sz="12" w:space="0" w:color="auto"/>
              <w:left w:val="single" w:sz="12" w:space="0" w:color="auto"/>
              <w:bottom w:val="single" w:sz="12" w:space="0" w:color="auto"/>
              <w:right w:val="single" w:sz="12" w:space="0" w:color="auto"/>
            </w:tcBorders>
            <w:hideMark/>
          </w:tcPr>
          <w:p w14:paraId="38B9E924" w14:textId="77777777" w:rsidR="003237D1" w:rsidRPr="007475F3" w:rsidRDefault="003237D1">
            <w:pPr>
              <w:rPr>
                <w:sz w:val="24"/>
                <w:szCs w:val="24"/>
              </w:rPr>
            </w:pPr>
            <w:r w:rsidRPr="007475F3">
              <w:rPr>
                <w:sz w:val="24"/>
                <w:szCs w:val="24"/>
              </w:rPr>
              <w:t>p=0,0351</w:t>
            </w:r>
          </w:p>
        </w:tc>
      </w:tr>
    </w:tbl>
    <w:p w14:paraId="499C8D8D" w14:textId="77777777" w:rsidR="003237D1" w:rsidRPr="007475F3" w:rsidRDefault="003237D1" w:rsidP="003237D1">
      <w:pPr>
        <w:autoSpaceDE w:val="0"/>
        <w:autoSpaceDN w:val="0"/>
        <w:adjustRightInd w:val="0"/>
        <w:rPr>
          <w:sz w:val="24"/>
          <w:szCs w:val="24"/>
        </w:rPr>
      </w:pPr>
      <w:r w:rsidRPr="007475F3">
        <w:rPr>
          <w:sz w:val="24"/>
          <w:szCs w:val="24"/>
        </w:rPr>
        <w:t>NA: Ikke tilgængelige oplysninger</w:t>
      </w:r>
    </w:p>
    <w:p w14:paraId="15EF25C1" w14:textId="77777777" w:rsidR="003237D1" w:rsidRPr="007475F3" w:rsidRDefault="003237D1" w:rsidP="003237D1">
      <w:pPr>
        <w:autoSpaceDE w:val="0"/>
        <w:autoSpaceDN w:val="0"/>
        <w:adjustRightInd w:val="0"/>
        <w:rPr>
          <w:sz w:val="24"/>
          <w:szCs w:val="24"/>
        </w:rPr>
      </w:pPr>
      <w:r w:rsidRPr="007475F3">
        <w:rPr>
          <w:sz w:val="24"/>
          <w:szCs w:val="24"/>
        </w:rPr>
        <w:t>*: Statistisk signifikant forskel</w:t>
      </w:r>
    </w:p>
    <w:p w14:paraId="12881430" w14:textId="77777777" w:rsidR="003237D1" w:rsidRPr="007475F3" w:rsidRDefault="003237D1" w:rsidP="003237D1">
      <w:pPr>
        <w:autoSpaceDE w:val="0"/>
        <w:autoSpaceDN w:val="0"/>
        <w:adjustRightInd w:val="0"/>
        <w:rPr>
          <w:sz w:val="24"/>
          <w:szCs w:val="24"/>
        </w:rPr>
      </w:pPr>
    </w:p>
    <w:p w14:paraId="097B3C53" w14:textId="77777777" w:rsidR="003237D1" w:rsidRPr="007475F3" w:rsidRDefault="003237D1" w:rsidP="00C02BD5">
      <w:pPr>
        <w:autoSpaceDE w:val="0"/>
        <w:autoSpaceDN w:val="0"/>
        <w:adjustRightInd w:val="0"/>
        <w:ind w:left="851"/>
        <w:rPr>
          <w:sz w:val="24"/>
          <w:szCs w:val="24"/>
        </w:rPr>
      </w:pPr>
      <w:r w:rsidRPr="007475F3">
        <w:rPr>
          <w:sz w:val="24"/>
          <w:szCs w:val="24"/>
        </w:rPr>
        <w:t>I fase II-forsøgene, der blev udført på 455 patienter i doseringsregimet på 3 uger, var den progressionsfrie overlevelse ved 6 måneder 30 % og median-overlevelsen 9 måneder. Mediantid til progression var 18 uger.</w:t>
      </w:r>
    </w:p>
    <w:p w14:paraId="57C5E92F" w14:textId="77777777" w:rsidR="003237D1" w:rsidRPr="007475F3" w:rsidRDefault="003237D1" w:rsidP="00C02BD5">
      <w:pPr>
        <w:autoSpaceDE w:val="0"/>
        <w:autoSpaceDN w:val="0"/>
        <w:adjustRightInd w:val="0"/>
        <w:ind w:left="851"/>
        <w:rPr>
          <w:sz w:val="24"/>
          <w:szCs w:val="24"/>
        </w:rPr>
      </w:pPr>
    </w:p>
    <w:p w14:paraId="5E8F9048" w14:textId="77777777" w:rsidR="003237D1" w:rsidRPr="007475F3" w:rsidRDefault="003237D1" w:rsidP="00C02BD5">
      <w:pPr>
        <w:autoSpaceDE w:val="0"/>
        <w:autoSpaceDN w:val="0"/>
        <w:adjustRightInd w:val="0"/>
        <w:ind w:left="851"/>
        <w:rPr>
          <w:rFonts w:eastAsia="34cvf"/>
          <w:sz w:val="24"/>
          <w:szCs w:val="24"/>
        </w:rPr>
      </w:pPr>
      <w:r w:rsidRPr="007475F3">
        <w:rPr>
          <w:rFonts w:eastAsia="34cvf"/>
          <w:sz w:val="24"/>
          <w:szCs w:val="24"/>
        </w:rPr>
        <w:t>Derudover er der gennemført ikke-sammenlignende fase II-forsøg på 304 patienter i et ugentligt behandlingsregime med en dosis på 125 mg/m</w:t>
      </w:r>
      <w:r w:rsidRPr="007475F3">
        <w:rPr>
          <w:rFonts w:eastAsia="34cvf"/>
          <w:sz w:val="24"/>
          <w:szCs w:val="24"/>
          <w:vertAlign w:val="superscript"/>
        </w:rPr>
        <w:t>2</w:t>
      </w:r>
      <w:r w:rsidRPr="007475F3">
        <w:rPr>
          <w:rFonts w:eastAsia="34cvf"/>
          <w:sz w:val="24"/>
          <w:szCs w:val="24"/>
        </w:rPr>
        <w:t xml:space="preserve"> i form af en intravenøs infusion over 90 minutter i 4 på hinanden følgende uger efterfulgt af 2 ugers pause. I disse forsøg var mediantid til progression 17 uger og median-overlevelse 10 måneder. Der blev observeret en lignende sikkerhedsprofil i det ugentlige behandlingsregime hos 193 patienter, der startede med en dosis på 125 mg/m</w:t>
      </w:r>
      <w:r w:rsidRPr="007475F3">
        <w:rPr>
          <w:rFonts w:eastAsia="34cvf"/>
          <w:sz w:val="24"/>
          <w:szCs w:val="24"/>
          <w:vertAlign w:val="superscript"/>
        </w:rPr>
        <w:t>2</w:t>
      </w:r>
      <w:r w:rsidRPr="007475F3">
        <w:rPr>
          <w:rFonts w:eastAsia="34cvf"/>
          <w:sz w:val="24"/>
          <w:szCs w:val="24"/>
        </w:rPr>
        <w:t>, sammenlignet med doseringsregimet hver 3. uge. Mediantiden for start af den første flydende afføring var dag 11.</w:t>
      </w:r>
    </w:p>
    <w:p w14:paraId="449EFCB0" w14:textId="77777777" w:rsidR="003237D1" w:rsidRPr="007475F3" w:rsidRDefault="003237D1" w:rsidP="00C02BD5">
      <w:pPr>
        <w:autoSpaceDE w:val="0"/>
        <w:autoSpaceDN w:val="0"/>
        <w:adjustRightInd w:val="0"/>
        <w:ind w:left="851"/>
        <w:rPr>
          <w:rFonts w:eastAsia="34cvf"/>
          <w:sz w:val="24"/>
          <w:szCs w:val="24"/>
        </w:rPr>
      </w:pPr>
    </w:p>
    <w:p w14:paraId="2250C04F" w14:textId="77777777" w:rsidR="003237D1" w:rsidRPr="007475F3" w:rsidRDefault="003237D1" w:rsidP="00C02BD5">
      <w:pPr>
        <w:autoSpaceDE w:val="0"/>
        <w:autoSpaceDN w:val="0"/>
        <w:adjustRightInd w:val="0"/>
        <w:ind w:left="851"/>
        <w:rPr>
          <w:rFonts w:eastAsia="Calibri"/>
          <w:bCs/>
          <w:i/>
          <w:sz w:val="24"/>
          <w:szCs w:val="24"/>
        </w:rPr>
      </w:pPr>
      <w:r w:rsidRPr="007475F3">
        <w:rPr>
          <w:i/>
          <w:iCs/>
          <w:sz w:val="24"/>
          <w:szCs w:val="24"/>
        </w:rPr>
        <w:t xml:space="preserve">I kombination med </w:t>
      </w:r>
      <w:proofErr w:type="spellStart"/>
      <w:r w:rsidRPr="007475F3">
        <w:rPr>
          <w:i/>
          <w:iCs/>
          <w:sz w:val="24"/>
          <w:szCs w:val="24"/>
        </w:rPr>
        <w:t>cetuximab</w:t>
      </w:r>
      <w:proofErr w:type="spellEnd"/>
      <w:r w:rsidRPr="007475F3">
        <w:rPr>
          <w:i/>
          <w:iCs/>
          <w:sz w:val="24"/>
          <w:szCs w:val="24"/>
        </w:rPr>
        <w:t xml:space="preserve"> efter svigt af </w:t>
      </w:r>
      <w:proofErr w:type="spellStart"/>
      <w:r w:rsidRPr="007475F3">
        <w:rPr>
          <w:i/>
          <w:iCs/>
          <w:sz w:val="24"/>
          <w:szCs w:val="24"/>
        </w:rPr>
        <w:t>cytotoksisk</w:t>
      </w:r>
      <w:proofErr w:type="spellEnd"/>
      <w:r w:rsidRPr="007475F3">
        <w:rPr>
          <w:i/>
          <w:iCs/>
          <w:sz w:val="24"/>
          <w:szCs w:val="24"/>
        </w:rPr>
        <w:t xml:space="preserve"> behandling med </w:t>
      </w:r>
      <w:proofErr w:type="spellStart"/>
      <w:r w:rsidRPr="007475F3">
        <w:rPr>
          <w:i/>
          <w:iCs/>
          <w:sz w:val="24"/>
          <w:szCs w:val="24"/>
        </w:rPr>
        <w:t>irinotecan</w:t>
      </w:r>
      <w:proofErr w:type="spellEnd"/>
      <w:r w:rsidRPr="007475F3">
        <w:rPr>
          <w:i/>
          <w:iCs/>
          <w:sz w:val="24"/>
          <w:szCs w:val="24"/>
        </w:rPr>
        <w:t>:</w:t>
      </w:r>
    </w:p>
    <w:p w14:paraId="0EEE5E69" w14:textId="77777777" w:rsidR="003237D1" w:rsidRPr="007475F3" w:rsidRDefault="003237D1" w:rsidP="00C02BD5">
      <w:pPr>
        <w:autoSpaceDE w:val="0"/>
        <w:autoSpaceDN w:val="0"/>
        <w:adjustRightInd w:val="0"/>
        <w:ind w:left="851"/>
        <w:rPr>
          <w:rFonts w:eastAsia="34cvf"/>
          <w:sz w:val="24"/>
          <w:szCs w:val="24"/>
        </w:rPr>
      </w:pPr>
      <w:r w:rsidRPr="007475F3">
        <w:rPr>
          <w:rFonts w:eastAsia="34cvf"/>
          <w:sz w:val="24"/>
          <w:szCs w:val="24"/>
        </w:rPr>
        <w:lastRenderedPageBreak/>
        <w:t xml:space="preserve">Effekten af kombinationsbehandling med </w:t>
      </w:r>
      <w:proofErr w:type="spellStart"/>
      <w:r w:rsidRPr="007475F3">
        <w:rPr>
          <w:rFonts w:eastAsia="34cvf"/>
          <w:sz w:val="24"/>
          <w:szCs w:val="24"/>
        </w:rPr>
        <w:t>cetuximab</w:t>
      </w:r>
      <w:proofErr w:type="spellEnd"/>
      <w:r w:rsidRPr="007475F3">
        <w:rPr>
          <w:rFonts w:eastAsia="34cvf"/>
          <w:sz w:val="24"/>
          <w:szCs w:val="24"/>
        </w:rPr>
        <w:t xml:space="preserve"> og </w:t>
      </w:r>
      <w:proofErr w:type="spellStart"/>
      <w:r w:rsidRPr="007475F3">
        <w:rPr>
          <w:rFonts w:eastAsia="34cvf"/>
          <w:sz w:val="24"/>
          <w:szCs w:val="24"/>
        </w:rPr>
        <w:t>irinotecan</w:t>
      </w:r>
      <w:proofErr w:type="spellEnd"/>
      <w:r w:rsidRPr="007475F3">
        <w:rPr>
          <w:rFonts w:eastAsia="34cvf"/>
          <w:sz w:val="24"/>
          <w:szCs w:val="24"/>
        </w:rPr>
        <w:t xml:space="preserve"> er blevet undersøgt i 2 kliniske forsøg. I alt 356 patienter med metastatisk </w:t>
      </w:r>
      <w:proofErr w:type="spellStart"/>
      <w:r w:rsidRPr="007475F3">
        <w:rPr>
          <w:rFonts w:eastAsia="34cvf"/>
          <w:sz w:val="24"/>
          <w:szCs w:val="24"/>
        </w:rPr>
        <w:t>colorektal</w:t>
      </w:r>
      <w:proofErr w:type="spellEnd"/>
      <w:r w:rsidRPr="007475F3">
        <w:rPr>
          <w:rFonts w:eastAsia="34cvf"/>
          <w:sz w:val="24"/>
          <w:szCs w:val="24"/>
        </w:rPr>
        <w:t xml:space="preserve"> cancer, som kort tid forinden havde fået en virkningsløs </w:t>
      </w:r>
      <w:proofErr w:type="spellStart"/>
      <w:r w:rsidRPr="007475F3">
        <w:rPr>
          <w:rFonts w:eastAsia="34cvf"/>
          <w:sz w:val="24"/>
          <w:szCs w:val="24"/>
        </w:rPr>
        <w:t>cytotoksisk</w:t>
      </w:r>
      <w:proofErr w:type="spellEnd"/>
      <w:r w:rsidRPr="007475F3">
        <w:rPr>
          <w:rFonts w:eastAsia="34cvf"/>
          <w:sz w:val="24"/>
          <w:szCs w:val="24"/>
        </w:rPr>
        <w:t xml:space="preserve"> behandling med </w:t>
      </w:r>
      <w:proofErr w:type="spellStart"/>
      <w:r w:rsidRPr="007475F3">
        <w:rPr>
          <w:rFonts w:eastAsia="34cvf"/>
          <w:sz w:val="24"/>
          <w:szCs w:val="24"/>
        </w:rPr>
        <w:t>irinotecan</w:t>
      </w:r>
      <w:proofErr w:type="spellEnd"/>
      <w:r w:rsidRPr="007475F3">
        <w:rPr>
          <w:rFonts w:eastAsia="34cvf"/>
          <w:sz w:val="24"/>
          <w:szCs w:val="24"/>
        </w:rPr>
        <w:t xml:space="preserve">, og som havde en minimum </w:t>
      </w:r>
      <w:proofErr w:type="spellStart"/>
      <w:r w:rsidRPr="007475F3">
        <w:rPr>
          <w:rFonts w:eastAsia="34cvf"/>
          <w:sz w:val="24"/>
          <w:szCs w:val="24"/>
        </w:rPr>
        <w:t>Karnofsky</w:t>
      </w:r>
      <w:proofErr w:type="spellEnd"/>
      <w:r w:rsidRPr="007475F3">
        <w:rPr>
          <w:rFonts w:eastAsia="34cvf"/>
          <w:sz w:val="24"/>
          <w:szCs w:val="24"/>
        </w:rPr>
        <w:t xml:space="preserve">-performance-status på 60, men hvor størstedelen havde en </w:t>
      </w:r>
      <w:proofErr w:type="spellStart"/>
      <w:r w:rsidRPr="007475F3">
        <w:rPr>
          <w:rFonts w:eastAsia="34cvf"/>
          <w:sz w:val="24"/>
          <w:szCs w:val="24"/>
        </w:rPr>
        <w:t>Karnofsky</w:t>
      </w:r>
      <w:proofErr w:type="spellEnd"/>
      <w:r w:rsidRPr="007475F3">
        <w:rPr>
          <w:rFonts w:eastAsia="34cvf"/>
          <w:sz w:val="24"/>
          <w:szCs w:val="24"/>
        </w:rPr>
        <w:t>-performance-status på ≥80, blev sat i kombinationsbehandling.</w:t>
      </w:r>
    </w:p>
    <w:p w14:paraId="69A88F19" w14:textId="77777777" w:rsidR="003237D1" w:rsidRPr="007475F3" w:rsidRDefault="003237D1" w:rsidP="00C02BD5">
      <w:pPr>
        <w:autoSpaceDE w:val="0"/>
        <w:autoSpaceDN w:val="0"/>
        <w:adjustRightInd w:val="0"/>
        <w:ind w:left="851"/>
        <w:rPr>
          <w:rFonts w:eastAsia="34cvf"/>
          <w:sz w:val="24"/>
          <w:szCs w:val="24"/>
        </w:rPr>
      </w:pPr>
    </w:p>
    <w:p w14:paraId="0286B1B0" w14:textId="77777777" w:rsidR="003237D1" w:rsidRPr="007475F3" w:rsidRDefault="003237D1" w:rsidP="00C02BD5">
      <w:pPr>
        <w:autoSpaceDE w:val="0"/>
        <w:autoSpaceDN w:val="0"/>
        <w:adjustRightInd w:val="0"/>
        <w:ind w:left="851"/>
        <w:rPr>
          <w:rFonts w:eastAsia="34cvf"/>
          <w:sz w:val="24"/>
          <w:szCs w:val="24"/>
        </w:rPr>
      </w:pPr>
      <w:r w:rsidRPr="007475F3">
        <w:rPr>
          <w:rFonts w:eastAsia="34cvf"/>
          <w:sz w:val="24"/>
          <w:szCs w:val="24"/>
        </w:rPr>
        <w:t xml:space="preserve">EMR 62 202-007: Dette randomiserede forsøg sammenlignede kombinationen af </w:t>
      </w:r>
      <w:proofErr w:type="spellStart"/>
      <w:r w:rsidRPr="007475F3">
        <w:rPr>
          <w:rFonts w:eastAsia="34cvf"/>
          <w:sz w:val="24"/>
          <w:szCs w:val="24"/>
        </w:rPr>
        <w:t>cetuximab</w:t>
      </w:r>
      <w:proofErr w:type="spellEnd"/>
      <w:r w:rsidRPr="007475F3">
        <w:rPr>
          <w:rFonts w:eastAsia="34cvf"/>
          <w:sz w:val="24"/>
          <w:szCs w:val="24"/>
        </w:rPr>
        <w:t xml:space="preserve"> og </w:t>
      </w:r>
      <w:proofErr w:type="spellStart"/>
      <w:r w:rsidRPr="007475F3">
        <w:rPr>
          <w:rFonts w:eastAsia="34cvf"/>
          <w:sz w:val="24"/>
          <w:szCs w:val="24"/>
        </w:rPr>
        <w:t>irinotecan</w:t>
      </w:r>
      <w:proofErr w:type="spellEnd"/>
      <w:r w:rsidRPr="007475F3">
        <w:rPr>
          <w:rFonts w:eastAsia="34cvf"/>
          <w:sz w:val="24"/>
          <w:szCs w:val="24"/>
        </w:rPr>
        <w:t xml:space="preserve"> (218 patienter) med </w:t>
      </w:r>
      <w:proofErr w:type="spellStart"/>
      <w:r w:rsidRPr="007475F3">
        <w:rPr>
          <w:rFonts w:eastAsia="34cvf"/>
          <w:sz w:val="24"/>
          <w:szCs w:val="24"/>
        </w:rPr>
        <w:t>cetuximab</w:t>
      </w:r>
      <w:proofErr w:type="spellEnd"/>
      <w:r w:rsidRPr="007475F3">
        <w:rPr>
          <w:rFonts w:eastAsia="34cvf"/>
          <w:sz w:val="24"/>
          <w:szCs w:val="24"/>
        </w:rPr>
        <w:t xml:space="preserve"> som monoterapi (111 patienter).</w:t>
      </w:r>
    </w:p>
    <w:p w14:paraId="045B6D3B" w14:textId="77777777" w:rsidR="003237D1" w:rsidRPr="007475F3" w:rsidRDefault="003237D1" w:rsidP="00C02BD5">
      <w:pPr>
        <w:autoSpaceDE w:val="0"/>
        <w:autoSpaceDN w:val="0"/>
        <w:adjustRightInd w:val="0"/>
        <w:ind w:left="851"/>
        <w:rPr>
          <w:rFonts w:eastAsia="34cvf"/>
          <w:sz w:val="24"/>
          <w:szCs w:val="24"/>
        </w:rPr>
      </w:pPr>
    </w:p>
    <w:p w14:paraId="427A1E11" w14:textId="77777777" w:rsidR="003237D1" w:rsidRPr="007475F3" w:rsidRDefault="003237D1" w:rsidP="00C02BD5">
      <w:pPr>
        <w:autoSpaceDE w:val="0"/>
        <w:autoSpaceDN w:val="0"/>
        <w:adjustRightInd w:val="0"/>
        <w:ind w:left="851"/>
        <w:rPr>
          <w:rFonts w:eastAsia="34cvf"/>
          <w:sz w:val="24"/>
          <w:szCs w:val="24"/>
        </w:rPr>
      </w:pPr>
      <w:r w:rsidRPr="007475F3">
        <w:rPr>
          <w:rFonts w:eastAsia="34cvf"/>
          <w:sz w:val="24"/>
          <w:szCs w:val="24"/>
        </w:rPr>
        <w:t>IMCL CP02-9923: Dette åbne forsøg med en arm undersøgte kombinationsterapi hos 138 patienter.</w:t>
      </w:r>
    </w:p>
    <w:p w14:paraId="61E05465" w14:textId="77777777" w:rsidR="003237D1" w:rsidRPr="007475F3" w:rsidRDefault="003237D1" w:rsidP="00C02BD5">
      <w:pPr>
        <w:autoSpaceDE w:val="0"/>
        <w:autoSpaceDN w:val="0"/>
        <w:adjustRightInd w:val="0"/>
        <w:ind w:left="851"/>
        <w:rPr>
          <w:rFonts w:eastAsia="34cvf"/>
          <w:sz w:val="24"/>
          <w:szCs w:val="24"/>
        </w:rPr>
      </w:pPr>
    </w:p>
    <w:p w14:paraId="76129CA0" w14:textId="77777777" w:rsidR="003237D1" w:rsidRPr="007475F3" w:rsidRDefault="003237D1" w:rsidP="00C02BD5">
      <w:pPr>
        <w:autoSpaceDE w:val="0"/>
        <w:autoSpaceDN w:val="0"/>
        <w:adjustRightInd w:val="0"/>
        <w:ind w:left="851"/>
        <w:rPr>
          <w:rFonts w:eastAsia="34cvf"/>
          <w:sz w:val="24"/>
          <w:szCs w:val="24"/>
        </w:rPr>
      </w:pPr>
      <w:r w:rsidRPr="007475F3">
        <w:rPr>
          <w:rFonts w:eastAsia="34cvf"/>
          <w:sz w:val="24"/>
          <w:szCs w:val="24"/>
        </w:rPr>
        <w:t>Effektdata fra disse forsøg ses i nedenstående tabel:</w:t>
      </w:r>
    </w:p>
    <w:p w14:paraId="430FA295" w14:textId="77777777" w:rsidR="003237D1" w:rsidRPr="007475F3" w:rsidRDefault="003237D1" w:rsidP="003237D1">
      <w:pPr>
        <w:autoSpaceDE w:val="0"/>
        <w:autoSpaceDN w:val="0"/>
        <w:adjustRightInd w:val="0"/>
        <w:rPr>
          <w:rFonts w:eastAsia="34cvf"/>
          <w:sz w:val="24"/>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2"/>
        <w:gridCol w:w="1425"/>
        <w:gridCol w:w="796"/>
        <w:gridCol w:w="760"/>
        <w:gridCol w:w="796"/>
        <w:gridCol w:w="760"/>
        <w:gridCol w:w="950"/>
        <w:gridCol w:w="755"/>
        <w:gridCol w:w="950"/>
        <w:gridCol w:w="756"/>
      </w:tblGrid>
      <w:tr w:rsidR="003237D1" w:rsidRPr="007475F3" w14:paraId="1E91B84C" w14:textId="77777777" w:rsidTr="003237D1">
        <w:trPr>
          <w:trHeight w:val="364"/>
        </w:trPr>
        <w:tc>
          <w:tcPr>
            <w:tcW w:w="1512" w:type="dxa"/>
            <w:tcBorders>
              <w:top w:val="single" w:sz="12" w:space="0" w:color="auto"/>
              <w:left w:val="single" w:sz="12" w:space="0" w:color="auto"/>
              <w:bottom w:val="single" w:sz="12" w:space="0" w:color="auto"/>
              <w:right w:val="single" w:sz="12" w:space="0" w:color="auto"/>
            </w:tcBorders>
            <w:hideMark/>
          </w:tcPr>
          <w:p w14:paraId="49DCFCBA" w14:textId="77777777" w:rsidR="003237D1" w:rsidRPr="007475F3" w:rsidRDefault="003237D1">
            <w:pPr>
              <w:rPr>
                <w:rFonts w:eastAsia="Calibri"/>
                <w:sz w:val="24"/>
                <w:szCs w:val="24"/>
              </w:rPr>
            </w:pPr>
            <w:r w:rsidRPr="007475F3">
              <w:rPr>
                <w:rFonts w:eastAsia="34cvf"/>
                <w:sz w:val="24"/>
                <w:szCs w:val="24"/>
              </w:rPr>
              <w:t>Forsøg</w:t>
            </w:r>
          </w:p>
        </w:tc>
        <w:tc>
          <w:tcPr>
            <w:tcW w:w="1425" w:type="dxa"/>
            <w:tcBorders>
              <w:top w:val="single" w:sz="12" w:space="0" w:color="auto"/>
              <w:left w:val="single" w:sz="12" w:space="0" w:color="auto"/>
              <w:bottom w:val="single" w:sz="12" w:space="0" w:color="auto"/>
              <w:right w:val="single" w:sz="12" w:space="0" w:color="auto"/>
            </w:tcBorders>
            <w:hideMark/>
          </w:tcPr>
          <w:p w14:paraId="3DD85A2A" w14:textId="77777777" w:rsidR="003237D1" w:rsidRPr="007475F3" w:rsidRDefault="003237D1">
            <w:pPr>
              <w:rPr>
                <w:sz w:val="24"/>
                <w:szCs w:val="24"/>
              </w:rPr>
            </w:pPr>
            <w:r w:rsidRPr="007475F3">
              <w:rPr>
                <w:rFonts w:eastAsia="34cvf"/>
                <w:sz w:val="24"/>
                <w:szCs w:val="24"/>
              </w:rPr>
              <w:t>N</w:t>
            </w:r>
          </w:p>
        </w:tc>
        <w:tc>
          <w:tcPr>
            <w:tcW w:w="1531" w:type="dxa"/>
            <w:gridSpan w:val="2"/>
            <w:tcBorders>
              <w:top w:val="single" w:sz="12" w:space="0" w:color="auto"/>
              <w:left w:val="single" w:sz="12" w:space="0" w:color="auto"/>
              <w:bottom w:val="single" w:sz="12" w:space="0" w:color="auto"/>
              <w:right w:val="single" w:sz="12" w:space="0" w:color="auto"/>
            </w:tcBorders>
            <w:hideMark/>
          </w:tcPr>
          <w:p w14:paraId="3007DAFF" w14:textId="77777777" w:rsidR="003237D1" w:rsidRPr="007475F3" w:rsidRDefault="003237D1">
            <w:pPr>
              <w:rPr>
                <w:sz w:val="24"/>
                <w:szCs w:val="24"/>
              </w:rPr>
            </w:pPr>
            <w:r w:rsidRPr="007475F3">
              <w:rPr>
                <w:rFonts w:eastAsia="34cvf"/>
                <w:sz w:val="24"/>
                <w:szCs w:val="24"/>
              </w:rPr>
              <w:t>ORR</w:t>
            </w:r>
          </w:p>
        </w:tc>
        <w:tc>
          <w:tcPr>
            <w:tcW w:w="1531" w:type="dxa"/>
            <w:gridSpan w:val="2"/>
            <w:tcBorders>
              <w:top w:val="single" w:sz="12" w:space="0" w:color="auto"/>
              <w:left w:val="single" w:sz="12" w:space="0" w:color="auto"/>
              <w:bottom w:val="single" w:sz="12" w:space="0" w:color="auto"/>
              <w:right w:val="single" w:sz="12" w:space="0" w:color="auto"/>
            </w:tcBorders>
            <w:hideMark/>
          </w:tcPr>
          <w:p w14:paraId="38692508" w14:textId="77777777" w:rsidR="003237D1" w:rsidRPr="007475F3" w:rsidRDefault="003237D1">
            <w:pPr>
              <w:rPr>
                <w:sz w:val="24"/>
                <w:szCs w:val="24"/>
              </w:rPr>
            </w:pPr>
            <w:r w:rsidRPr="007475F3">
              <w:rPr>
                <w:rFonts w:eastAsia="34cvf"/>
                <w:sz w:val="24"/>
                <w:szCs w:val="24"/>
              </w:rPr>
              <w:t xml:space="preserve">DCR </w:t>
            </w:r>
          </w:p>
        </w:tc>
        <w:tc>
          <w:tcPr>
            <w:tcW w:w="1644" w:type="dxa"/>
            <w:gridSpan w:val="2"/>
            <w:tcBorders>
              <w:top w:val="single" w:sz="12" w:space="0" w:color="auto"/>
              <w:left w:val="single" w:sz="12" w:space="0" w:color="auto"/>
              <w:bottom w:val="single" w:sz="12" w:space="0" w:color="auto"/>
              <w:right w:val="single" w:sz="12" w:space="0" w:color="auto"/>
            </w:tcBorders>
            <w:hideMark/>
          </w:tcPr>
          <w:p w14:paraId="34BE66D1" w14:textId="77777777" w:rsidR="003237D1" w:rsidRPr="007475F3" w:rsidRDefault="003237D1">
            <w:pPr>
              <w:rPr>
                <w:sz w:val="24"/>
                <w:szCs w:val="24"/>
              </w:rPr>
            </w:pPr>
            <w:r w:rsidRPr="007475F3">
              <w:rPr>
                <w:rFonts w:eastAsia="34cvf"/>
                <w:sz w:val="24"/>
                <w:szCs w:val="24"/>
              </w:rPr>
              <w:t>PFS (måneder)</w:t>
            </w:r>
          </w:p>
        </w:tc>
        <w:tc>
          <w:tcPr>
            <w:tcW w:w="1645" w:type="dxa"/>
            <w:gridSpan w:val="2"/>
            <w:tcBorders>
              <w:top w:val="single" w:sz="12" w:space="0" w:color="auto"/>
              <w:left w:val="single" w:sz="12" w:space="0" w:color="auto"/>
              <w:bottom w:val="single" w:sz="12" w:space="0" w:color="auto"/>
              <w:right w:val="single" w:sz="12" w:space="0" w:color="auto"/>
            </w:tcBorders>
            <w:hideMark/>
          </w:tcPr>
          <w:p w14:paraId="077B41A3" w14:textId="77777777" w:rsidR="003237D1" w:rsidRPr="007475F3" w:rsidRDefault="003237D1">
            <w:pPr>
              <w:rPr>
                <w:sz w:val="24"/>
                <w:szCs w:val="24"/>
              </w:rPr>
            </w:pPr>
            <w:r w:rsidRPr="007475F3">
              <w:rPr>
                <w:rFonts w:eastAsia="34cvf"/>
                <w:sz w:val="24"/>
                <w:szCs w:val="24"/>
              </w:rPr>
              <w:t>OS (måneder)</w:t>
            </w:r>
          </w:p>
        </w:tc>
      </w:tr>
      <w:tr w:rsidR="003237D1" w:rsidRPr="007475F3" w14:paraId="596321CD" w14:textId="77777777" w:rsidTr="003237D1">
        <w:trPr>
          <w:trHeight w:val="364"/>
        </w:trPr>
        <w:tc>
          <w:tcPr>
            <w:tcW w:w="1512" w:type="dxa"/>
            <w:tcBorders>
              <w:top w:val="single" w:sz="12" w:space="0" w:color="auto"/>
              <w:left w:val="single" w:sz="12" w:space="0" w:color="auto"/>
              <w:bottom w:val="single" w:sz="12" w:space="0" w:color="auto"/>
              <w:right w:val="single" w:sz="12" w:space="0" w:color="auto"/>
            </w:tcBorders>
          </w:tcPr>
          <w:p w14:paraId="57580A48" w14:textId="77777777" w:rsidR="003237D1" w:rsidRPr="007475F3" w:rsidRDefault="003237D1">
            <w:pPr>
              <w:rPr>
                <w:rFonts w:eastAsia="34cvf"/>
                <w:sz w:val="24"/>
                <w:szCs w:val="24"/>
              </w:rPr>
            </w:pPr>
          </w:p>
        </w:tc>
        <w:tc>
          <w:tcPr>
            <w:tcW w:w="1425" w:type="dxa"/>
            <w:tcBorders>
              <w:top w:val="single" w:sz="12" w:space="0" w:color="auto"/>
              <w:left w:val="single" w:sz="12" w:space="0" w:color="auto"/>
              <w:bottom w:val="single" w:sz="12" w:space="0" w:color="auto"/>
              <w:right w:val="single" w:sz="12" w:space="0" w:color="auto"/>
            </w:tcBorders>
          </w:tcPr>
          <w:p w14:paraId="678F61B7" w14:textId="77777777" w:rsidR="003237D1" w:rsidRPr="007475F3" w:rsidRDefault="003237D1">
            <w:pPr>
              <w:rPr>
                <w:rFonts w:eastAsia="34cvf"/>
                <w:sz w:val="24"/>
                <w:szCs w:val="24"/>
              </w:rPr>
            </w:pPr>
          </w:p>
        </w:tc>
        <w:tc>
          <w:tcPr>
            <w:tcW w:w="771" w:type="dxa"/>
            <w:tcBorders>
              <w:top w:val="single" w:sz="12" w:space="0" w:color="auto"/>
              <w:left w:val="single" w:sz="12" w:space="0" w:color="auto"/>
              <w:bottom w:val="single" w:sz="12" w:space="0" w:color="auto"/>
              <w:right w:val="single" w:sz="12" w:space="0" w:color="auto"/>
            </w:tcBorders>
            <w:hideMark/>
          </w:tcPr>
          <w:p w14:paraId="02A4A976" w14:textId="77777777" w:rsidR="003237D1" w:rsidRPr="007475F3" w:rsidRDefault="003237D1">
            <w:pPr>
              <w:rPr>
                <w:rFonts w:eastAsia="34cvf"/>
                <w:sz w:val="24"/>
                <w:szCs w:val="24"/>
              </w:rPr>
            </w:pPr>
            <w:r w:rsidRPr="007475F3">
              <w:rPr>
                <w:rFonts w:eastAsia="34cvf"/>
                <w:sz w:val="24"/>
                <w:szCs w:val="24"/>
              </w:rPr>
              <w:t>n (%)</w:t>
            </w:r>
          </w:p>
        </w:tc>
        <w:tc>
          <w:tcPr>
            <w:tcW w:w="760" w:type="dxa"/>
            <w:tcBorders>
              <w:top w:val="single" w:sz="12" w:space="0" w:color="auto"/>
              <w:left w:val="single" w:sz="12" w:space="0" w:color="auto"/>
              <w:bottom w:val="single" w:sz="12" w:space="0" w:color="auto"/>
              <w:right w:val="single" w:sz="12" w:space="0" w:color="auto"/>
            </w:tcBorders>
            <w:hideMark/>
          </w:tcPr>
          <w:p w14:paraId="0205D0A3" w14:textId="77777777" w:rsidR="003237D1" w:rsidRPr="007475F3" w:rsidRDefault="003237D1">
            <w:pPr>
              <w:rPr>
                <w:rFonts w:eastAsia="34cvf"/>
                <w:sz w:val="24"/>
                <w:szCs w:val="24"/>
              </w:rPr>
            </w:pPr>
            <w:r w:rsidRPr="007475F3">
              <w:rPr>
                <w:rFonts w:eastAsia="34cvf"/>
                <w:sz w:val="24"/>
                <w:szCs w:val="24"/>
              </w:rPr>
              <w:t>95 % CI</w:t>
            </w:r>
          </w:p>
        </w:tc>
        <w:tc>
          <w:tcPr>
            <w:tcW w:w="771" w:type="dxa"/>
            <w:tcBorders>
              <w:top w:val="single" w:sz="12" w:space="0" w:color="auto"/>
              <w:left w:val="single" w:sz="12" w:space="0" w:color="auto"/>
              <w:bottom w:val="single" w:sz="12" w:space="0" w:color="auto"/>
              <w:right w:val="single" w:sz="12" w:space="0" w:color="auto"/>
            </w:tcBorders>
            <w:hideMark/>
          </w:tcPr>
          <w:p w14:paraId="3421BC9C" w14:textId="77777777" w:rsidR="003237D1" w:rsidRPr="007475F3" w:rsidRDefault="003237D1">
            <w:pPr>
              <w:rPr>
                <w:rFonts w:eastAsia="34cvf"/>
                <w:sz w:val="24"/>
                <w:szCs w:val="24"/>
              </w:rPr>
            </w:pPr>
            <w:r w:rsidRPr="007475F3">
              <w:rPr>
                <w:rFonts w:eastAsia="34cvf"/>
                <w:sz w:val="24"/>
                <w:szCs w:val="24"/>
              </w:rPr>
              <w:t>n (%)</w:t>
            </w:r>
          </w:p>
        </w:tc>
        <w:tc>
          <w:tcPr>
            <w:tcW w:w="760" w:type="dxa"/>
            <w:tcBorders>
              <w:top w:val="single" w:sz="12" w:space="0" w:color="auto"/>
              <w:left w:val="single" w:sz="12" w:space="0" w:color="auto"/>
              <w:bottom w:val="single" w:sz="12" w:space="0" w:color="auto"/>
              <w:right w:val="single" w:sz="12" w:space="0" w:color="auto"/>
            </w:tcBorders>
            <w:hideMark/>
          </w:tcPr>
          <w:p w14:paraId="0D4D6A69" w14:textId="77777777" w:rsidR="003237D1" w:rsidRPr="007475F3" w:rsidRDefault="003237D1">
            <w:pPr>
              <w:rPr>
                <w:rFonts w:eastAsia="34cvf"/>
                <w:sz w:val="24"/>
                <w:szCs w:val="24"/>
              </w:rPr>
            </w:pPr>
            <w:r w:rsidRPr="007475F3">
              <w:rPr>
                <w:rFonts w:eastAsia="34cvf"/>
                <w:sz w:val="24"/>
                <w:szCs w:val="24"/>
              </w:rPr>
              <w:t>95 % CI</w:t>
            </w:r>
          </w:p>
        </w:tc>
        <w:tc>
          <w:tcPr>
            <w:tcW w:w="889" w:type="dxa"/>
            <w:tcBorders>
              <w:top w:val="single" w:sz="12" w:space="0" w:color="auto"/>
              <w:left w:val="single" w:sz="12" w:space="0" w:color="auto"/>
              <w:bottom w:val="single" w:sz="12" w:space="0" w:color="auto"/>
              <w:right w:val="single" w:sz="12" w:space="0" w:color="auto"/>
            </w:tcBorders>
            <w:hideMark/>
          </w:tcPr>
          <w:p w14:paraId="6DF803C0" w14:textId="77777777" w:rsidR="003237D1" w:rsidRPr="007475F3" w:rsidRDefault="003237D1">
            <w:pPr>
              <w:rPr>
                <w:rFonts w:eastAsia="34cvf"/>
                <w:sz w:val="24"/>
                <w:szCs w:val="24"/>
              </w:rPr>
            </w:pPr>
            <w:r w:rsidRPr="007475F3">
              <w:rPr>
                <w:rFonts w:eastAsia="34cvf"/>
                <w:sz w:val="24"/>
                <w:szCs w:val="24"/>
              </w:rPr>
              <w:t>Median</w:t>
            </w:r>
          </w:p>
        </w:tc>
        <w:tc>
          <w:tcPr>
            <w:tcW w:w="755" w:type="dxa"/>
            <w:tcBorders>
              <w:top w:val="single" w:sz="12" w:space="0" w:color="auto"/>
              <w:left w:val="single" w:sz="12" w:space="0" w:color="auto"/>
              <w:bottom w:val="single" w:sz="12" w:space="0" w:color="auto"/>
              <w:right w:val="single" w:sz="12" w:space="0" w:color="auto"/>
            </w:tcBorders>
            <w:hideMark/>
          </w:tcPr>
          <w:p w14:paraId="5EB4D323" w14:textId="77777777" w:rsidR="003237D1" w:rsidRPr="007475F3" w:rsidRDefault="003237D1">
            <w:pPr>
              <w:rPr>
                <w:rFonts w:eastAsia="34cvf"/>
                <w:sz w:val="24"/>
                <w:szCs w:val="24"/>
              </w:rPr>
            </w:pPr>
            <w:r w:rsidRPr="007475F3">
              <w:rPr>
                <w:rFonts w:eastAsia="34cvf"/>
                <w:sz w:val="24"/>
                <w:szCs w:val="24"/>
              </w:rPr>
              <w:t>95 % CI</w:t>
            </w:r>
          </w:p>
        </w:tc>
        <w:tc>
          <w:tcPr>
            <w:tcW w:w="889" w:type="dxa"/>
            <w:tcBorders>
              <w:top w:val="single" w:sz="12" w:space="0" w:color="auto"/>
              <w:left w:val="single" w:sz="12" w:space="0" w:color="auto"/>
              <w:bottom w:val="single" w:sz="12" w:space="0" w:color="auto"/>
              <w:right w:val="single" w:sz="12" w:space="0" w:color="auto"/>
            </w:tcBorders>
            <w:hideMark/>
          </w:tcPr>
          <w:p w14:paraId="5A14BF41" w14:textId="77777777" w:rsidR="003237D1" w:rsidRPr="007475F3" w:rsidRDefault="003237D1">
            <w:pPr>
              <w:rPr>
                <w:rFonts w:eastAsia="34cvf"/>
                <w:sz w:val="24"/>
                <w:szCs w:val="24"/>
              </w:rPr>
            </w:pPr>
            <w:r w:rsidRPr="007475F3">
              <w:rPr>
                <w:rFonts w:eastAsia="34cvf"/>
                <w:sz w:val="24"/>
                <w:szCs w:val="24"/>
              </w:rPr>
              <w:t>Median</w:t>
            </w:r>
          </w:p>
        </w:tc>
        <w:tc>
          <w:tcPr>
            <w:tcW w:w="756" w:type="dxa"/>
            <w:tcBorders>
              <w:top w:val="single" w:sz="12" w:space="0" w:color="auto"/>
              <w:left w:val="single" w:sz="12" w:space="0" w:color="auto"/>
              <w:bottom w:val="single" w:sz="12" w:space="0" w:color="auto"/>
              <w:right w:val="single" w:sz="12" w:space="0" w:color="auto"/>
            </w:tcBorders>
            <w:hideMark/>
          </w:tcPr>
          <w:p w14:paraId="68F9FCC6" w14:textId="77777777" w:rsidR="003237D1" w:rsidRPr="007475F3" w:rsidRDefault="003237D1">
            <w:pPr>
              <w:rPr>
                <w:rFonts w:eastAsia="34cvf"/>
                <w:sz w:val="24"/>
                <w:szCs w:val="24"/>
              </w:rPr>
            </w:pPr>
            <w:r w:rsidRPr="007475F3">
              <w:rPr>
                <w:rFonts w:eastAsia="34cvf"/>
                <w:sz w:val="24"/>
                <w:szCs w:val="24"/>
              </w:rPr>
              <w:t>95 % CI</w:t>
            </w:r>
          </w:p>
        </w:tc>
      </w:tr>
      <w:tr w:rsidR="003237D1" w:rsidRPr="007475F3" w14:paraId="1E2887D8" w14:textId="77777777" w:rsidTr="003237D1">
        <w:trPr>
          <w:trHeight w:val="364"/>
        </w:trPr>
        <w:tc>
          <w:tcPr>
            <w:tcW w:w="3708" w:type="dxa"/>
            <w:gridSpan w:val="3"/>
            <w:tcBorders>
              <w:top w:val="single" w:sz="12" w:space="0" w:color="auto"/>
              <w:left w:val="single" w:sz="12" w:space="0" w:color="auto"/>
              <w:bottom w:val="single" w:sz="12" w:space="0" w:color="auto"/>
              <w:right w:val="single" w:sz="12" w:space="0" w:color="auto"/>
            </w:tcBorders>
            <w:hideMark/>
          </w:tcPr>
          <w:p w14:paraId="4B14A890" w14:textId="77777777" w:rsidR="003237D1" w:rsidRPr="007475F3" w:rsidRDefault="003237D1">
            <w:pPr>
              <w:rPr>
                <w:rFonts w:eastAsia="34cvf"/>
                <w:sz w:val="24"/>
                <w:szCs w:val="24"/>
              </w:rPr>
            </w:pPr>
            <w:proofErr w:type="spellStart"/>
            <w:r w:rsidRPr="007475F3">
              <w:rPr>
                <w:rFonts w:eastAsia="34cvf"/>
                <w:sz w:val="24"/>
                <w:szCs w:val="24"/>
              </w:rPr>
              <w:t>Cetuximab</w:t>
            </w:r>
            <w:proofErr w:type="spellEnd"/>
            <w:r w:rsidRPr="007475F3">
              <w:rPr>
                <w:rFonts w:eastAsia="34cvf"/>
                <w:sz w:val="24"/>
                <w:szCs w:val="24"/>
              </w:rPr>
              <w:t xml:space="preserve"> + </w:t>
            </w:r>
            <w:proofErr w:type="spellStart"/>
            <w:r w:rsidRPr="007475F3">
              <w:rPr>
                <w:rFonts w:eastAsia="34cvf"/>
                <w:sz w:val="24"/>
                <w:szCs w:val="24"/>
              </w:rPr>
              <w:t>Irinotecan</w:t>
            </w:r>
            <w:proofErr w:type="spellEnd"/>
          </w:p>
        </w:tc>
        <w:tc>
          <w:tcPr>
            <w:tcW w:w="5580" w:type="dxa"/>
            <w:gridSpan w:val="7"/>
            <w:tcBorders>
              <w:top w:val="single" w:sz="12" w:space="0" w:color="auto"/>
              <w:left w:val="single" w:sz="12" w:space="0" w:color="auto"/>
              <w:bottom w:val="single" w:sz="12" w:space="0" w:color="auto"/>
              <w:right w:val="single" w:sz="12" w:space="0" w:color="auto"/>
            </w:tcBorders>
          </w:tcPr>
          <w:p w14:paraId="72937626" w14:textId="77777777" w:rsidR="003237D1" w:rsidRPr="007475F3" w:rsidRDefault="003237D1">
            <w:pPr>
              <w:rPr>
                <w:rFonts w:eastAsia="34cvf"/>
                <w:sz w:val="24"/>
                <w:szCs w:val="24"/>
              </w:rPr>
            </w:pPr>
          </w:p>
        </w:tc>
      </w:tr>
      <w:tr w:rsidR="003237D1" w:rsidRPr="007475F3" w14:paraId="62B078DB" w14:textId="77777777" w:rsidTr="003237D1">
        <w:trPr>
          <w:trHeight w:val="364"/>
        </w:trPr>
        <w:tc>
          <w:tcPr>
            <w:tcW w:w="1512" w:type="dxa"/>
            <w:tcBorders>
              <w:top w:val="single" w:sz="12" w:space="0" w:color="auto"/>
              <w:left w:val="single" w:sz="12" w:space="0" w:color="auto"/>
              <w:bottom w:val="single" w:sz="12" w:space="0" w:color="auto"/>
              <w:right w:val="single" w:sz="12" w:space="0" w:color="auto"/>
            </w:tcBorders>
            <w:hideMark/>
          </w:tcPr>
          <w:p w14:paraId="13F01CA6" w14:textId="77777777" w:rsidR="003237D1" w:rsidRPr="007475F3" w:rsidRDefault="003237D1">
            <w:pPr>
              <w:autoSpaceDE w:val="0"/>
              <w:autoSpaceDN w:val="0"/>
              <w:adjustRightInd w:val="0"/>
              <w:rPr>
                <w:rFonts w:eastAsia="34cvf"/>
                <w:sz w:val="24"/>
                <w:szCs w:val="24"/>
              </w:rPr>
            </w:pPr>
            <w:r w:rsidRPr="007475F3">
              <w:rPr>
                <w:rFonts w:eastAsia="34cvf"/>
                <w:sz w:val="24"/>
                <w:szCs w:val="24"/>
              </w:rPr>
              <w:t>EMR 62</w:t>
            </w:r>
          </w:p>
          <w:p w14:paraId="7D87C21A" w14:textId="77777777" w:rsidR="003237D1" w:rsidRPr="007475F3" w:rsidRDefault="003237D1">
            <w:pPr>
              <w:rPr>
                <w:rFonts w:eastAsia="34cvf"/>
                <w:sz w:val="24"/>
                <w:szCs w:val="24"/>
              </w:rPr>
            </w:pPr>
            <w:r w:rsidRPr="007475F3">
              <w:rPr>
                <w:rFonts w:eastAsia="34cvf"/>
                <w:sz w:val="24"/>
                <w:szCs w:val="24"/>
              </w:rPr>
              <w:t>202-007</w:t>
            </w:r>
          </w:p>
        </w:tc>
        <w:tc>
          <w:tcPr>
            <w:tcW w:w="1425" w:type="dxa"/>
            <w:tcBorders>
              <w:top w:val="single" w:sz="12" w:space="0" w:color="auto"/>
              <w:left w:val="single" w:sz="12" w:space="0" w:color="auto"/>
              <w:bottom w:val="single" w:sz="12" w:space="0" w:color="auto"/>
              <w:right w:val="single" w:sz="12" w:space="0" w:color="auto"/>
            </w:tcBorders>
            <w:hideMark/>
          </w:tcPr>
          <w:p w14:paraId="5C2E4951" w14:textId="77777777" w:rsidR="003237D1" w:rsidRPr="007475F3" w:rsidRDefault="003237D1">
            <w:pPr>
              <w:rPr>
                <w:rFonts w:eastAsia="34cvf"/>
                <w:sz w:val="24"/>
                <w:szCs w:val="24"/>
              </w:rPr>
            </w:pPr>
            <w:r w:rsidRPr="007475F3">
              <w:rPr>
                <w:rFonts w:eastAsia="34cvf"/>
                <w:sz w:val="24"/>
                <w:szCs w:val="24"/>
              </w:rPr>
              <w:t>218</w:t>
            </w:r>
          </w:p>
        </w:tc>
        <w:tc>
          <w:tcPr>
            <w:tcW w:w="771" w:type="dxa"/>
            <w:tcBorders>
              <w:top w:val="single" w:sz="12" w:space="0" w:color="auto"/>
              <w:left w:val="single" w:sz="12" w:space="0" w:color="auto"/>
              <w:bottom w:val="single" w:sz="12" w:space="0" w:color="auto"/>
              <w:right w:val="single" w:sz="12" w:space="0" w:color="auto"/>
            </w:tcBorders>
            <w:hideMark/>
          </w:tcPr>
          <w:p w14:paraId="76BF9B96" w14:textId="77777777" w:rsidR="003237D1" w:rsidRPr="007475F3" w:rsidRDefault="003237D1">
            <w:pPr>
              <w:rPr>
                <w:rFonts w:eastAsia="34cvf"/>
                <w:sz w:val="24"/>
                <w:szCs w:val="24"/>
              </w:rPr>
            </w:pPr>
            <w:r w:rsidRPr="007475F3">
              <w:rPr>
                <w:rFonts w:eastAsia="34cvf"/>
                <w:sz w:val="24"/>
                <w:szCs w:val="24"/>
              </w:rPr>
              <w:t>50 (22,9)</w:t>
            </w:r>
          </w:p>
        </w:tc>
        <w:tc>
          <w:tcPr>
            <w:tcW w:w="760" w:type="dxa"/>
            <w:tcBorders>
              <w:top w:val="single" w:sz="12" w:space="0" w:color="auto"/>
              <w:left w:val="single" w:sz="12" w:space="0" w:color="auto"/>
              <w:bottom w:val="single" w:sz="12" w:space="0" w:color="auto"/>
              <w:right w:val="single" w:sz="12" w:space="0" w:color="auto"/>
            </w:tcBorders>
            <w:hideMark/>
          </w:tcPr>
          <w:p w14:paraId="2FC0D0AA" w14:textId="77777777" w:rsidR="003237D1" w:rsidRPr="007475F3" w:rsidRDefault="003237D1">
            <w:pPr>
              <w:rPr>
                <w:rFonts w:eastAsia="34cvf"/>
                <w:sz w:val="24"/>
                <w:szCs w:val="24"/>
              </w:rPr>
            </w:pPr>
            <w:r w:rsidRPr="007475F3">
              <w:rPr>
                <w:rFonts w:eastAsia="34cvf"/>
                <w:sz w:val="24"/>
                <w:szCs w:val="24"/>
              </w:rPr>
              <w:t>17,5; 29,1</w:t>
            </w:r>
          </w:p>
        </w:tc>
        <w:tc>
          <w:tcPr>
            <w:tcW w:w="771" w:type="dxa"/>
            <w:tcBorders>
              <w:top w:val="single" w:sz="12" w:space="0" w:color="auto"/>
              <w:left w:val="single" w:sz="12" w:space="0" w:color="auto"/>
              <w:bottom w:val="single" w:sz="12" w:space="0" w:color="auto"/>
              <w:right w:val="single" w:sz="12" w:space="0" w:color="auto"/>
            </w:tcBorders>
            <w:hideMark/>
          </w:tcPr>
          <w:p w14:paraId="1311D750" w14:textId="77777777" w:rsidR="003237D1" w:rsidRPr="007475F3" w:rsidRDefault="003237D1">
            <w:pPr>
              <w:rPr>
                <w:rFonts w:eastAsia="34cvf"/>
                <w:sz w:val="24"/>
                <w:szCs w:val="24"/>
              </w:rPr>
            </w:pPr>
            <w:r w:rsidRPr="007475F3">
              <w:rPr>
                <w:rFonts w:eastAsia="34cvf"/>
                <w:sz w:val="24"/>
                <w:szCs w:val="24"/>
              </w:rPr>
              <w:t>121 (55,5)</w:t>
            </w:r>
          </w:p>
        </w:tc>
        <w:tc>
          <w:tcPr>
            <w:tcW w:w="760" w:type="dxa"/>
            <w:tcBorders>
              <w:top w:val="single" w:sz="12" w:space="0" w:color="auto"/>
              <w:left w:val="single" w:sz="12" w:space="0" w:color="auto"/>
              <w:bottom w:val="single" w:sz="12" w:space="0" w:color="auto"/>
              <w:right w:val="single" w:sz="12" w:space="0" w:color="auto"/>
            </w:tcBorders>
            <w:hideMark/>
          </w:tcPr>
          <w:p w14:paraId="2E7DCB77" w14:textId="77777777" w:rsidR="003237D1" w:rsidRPr="007475F3" w:rsidRDefault="003237D1">
            <w:pPr>
              <w:rPr>
                <w:rFonts w:eastAsia="34cvf"/>
                <w:sz w:val="24"/>
                <w:szCs w:val="24"/>
              </w:rPr>
            </w:pPr>
            <w:r w:rsidRPr="007475F3">
              <w:rPr>
                <w:rFonts w:eastAsia="34cvf"/>
                <w:sz w:val="24"/>
                <w:szCs w:val="24"/>
              </w:rPr>
              <w:t>48,6; 62,2</w:t>
            </w:r>
          </w:p>
        </w:tc>
        <w:tc>
          <w:tcPr>
            <w:tcW w:w="889" w:type="dxa"/>
            <w:tcBorders>
              <w:top w:val="single" w:sz="12" w:space="0" w:color="auto"/>
              <w:left w:val="single" w:sz="12" w:space="0" w:color="auto"/>
              <w:bottom w:val="single" w:sz="12" w:space="0" w:color="auto"/>
              <w:right w:val="single" w:sz="12" w:space="0" w:color="auto"/>
            </w:tcBorders>
            <w:hideMark/>
          </w:tcPr>
          <w:p w14:paraId="2AF35EF0" w14:textId="77777777" w:rsidR="003237D1" w:rsidRPr="007475F3" w:rsidRDefault="003237D1">
            <w:pPr>
              <w:rPr>
                <w:rFonts w:eastAsia="34cvf"/>
                <w:sz w:val="24"/>
                <w:szCs w:val="24"/>
              </w:rPr>
            </w:pPr>
            <w:r w:rsidRPr="007475F3">
              <w:rPr>
                <w:rFonts w:eastAsia="34cvf"/>
                <w:sz w:val="24"/>
                <w:szCs w:val="24"/>
              </w:rPr>
              <w:t>4,1</w:t>
            </w:r>
          </w:p>
        </w:tc>
        <w:tc>
          <w:tcPr>
            <w:tcW w:w="755" w:type="dxa"/>
            <w:tcBorders>
              <w:top w:val="single" w:sz="12" w:space="0" w:color="auto"/>
              <w:left w:val="single" w:sz="12" w:space="0" w:color="auto"/>
              <w:bottom w:val="single" w:sz="12" w:space="0" w:color="auto"/>
              <w:right w:val="single" w:sz="12" w:space="0" w:color="auto"/>
            </w:tcBorders>
            <w:hideMark/>
          </w:tcPr>
          <w:p w14:paraId="558DD455" w14:textId="77777777" w:rsidR="003237D1" w:rsidRPr="007475F3" w:rsidRDefault="003237D1">
            <w:pPr>
              <w:rPr>
                <w:rFonts w:eastAsia="34cvf"/>
                <w:sz w:val="24"/>
                <w:szCs w:val="24"/>
              </w:rPr>
            </w:pPr>
            <w:r w:rsidRPr="007475F3">
              <w:rPr>
                <w:rFonts w:eastAsia="34cvf"/>
                <w:sz w:val="24"/>
                <w:szCs w:val="24"/>
              </w:rPr>
              <w:t>2,8; 4,3</w:t>
            </w:r>
          </w:p>
        </w:tc>
        <w:tc>
          <w:tcPr>
            <w:tcW w:w="889" w:type="dxa"/>
            <w:tcBorders>
              <w:top w:val="single" w:sz="12" w:space="0" w:color="auto"/>
              <w:left w:val="single" w:sz="12" w:space="0" w:color="auto"/>
              <w:bottom w:val="single" w:sz="12" w:space="0" w:color="auto"/>
              <w:right w:val="single" w:sz="12" w:space="0" w:color="auto"/>
            </w:tcBorders>
            <w:hideMark/>
          </w:tcPr>
          <w:p w14:paraId="3D17B518" w14:textId="77777777" w:rsidR="003237D1" w:rsidRPr="007475F3" w:rsidRDefault="003237D1">
            <w:pPr>
              <w:rPr>
                <w:rFonts w:eastAsia="34cvf"/>
                <w:sz w:val="24"/>
                <w:szCs w:val="24"/>
              </w:rPr>
            </w:pPr>
            <w:r w:rsidRPr="007475F3">
              <w:rPr>
                <w:rFonts w:eastAsia="34cvf"/>
                <w:sz w:val="24"/>
                <w:szCs w:val="24"/>
              </w:rPr>
              <w:t>8,6</w:t>
            </w:r>
          </w:p>
        </w:tc>
        <w:tc>
          <w:tcPr>
            <w:tcW w:w="756" w:type="dxa"/>
            <w:tcBorders>
              <w:top w:val="single" w:sz="12" w:space="0" w:color="auto"/>
              <w:left w:val="single" w:sz="12" w:space="0" w:color="auto"/>
              <w:bottom w:val="single" w:sz="12" w:space="0" w:color="auto"/>
              <w:right w:val="single" w:sz="12" w:space="0" w:color="auto"/>
            </w:tcBorders>
            <w:hideMark/>
          </w:tcPr>
          <w:p w14:paraId="518B28FE" w14:textId="77777777" w:rsidR="003237D1" w:rsidRPr="007475F3" w:rsidRDefault="003237D1">
            <w:pPr>
              <w:rPr>
                <w:rFonts w:eastAsia="34cvf"/>
                <w:sz w:val="24"/>
                <w:szCs w:val="24"/>
              </w:rPr>
            </w:pPr>
            <w:r w:rsidRPr="007475F3">
              <w:rPr>
                <w:rFonts w:eastAsia="34cvf"/>
                <w:sz w:val="24"/>
                <w:szCs w:val="24"/>
              </w:rPr>
              <w:t>7,6; 9,6</w:t>
            </w:r>
          </w:p>
        </w:tc>
      </w:tr>
      <w:tr w:rsidR="003237D1" w:rsidRPr="007475F3" w14:paraId="7DDC3E2F" w14:textId="77777777" w:rsidTr="003237D1">
        <w:trPr>
          <w:trHeight w:val="364"/>
        </w:trPr>
        <w:tc>
          <w:tcPr>
            <w:tcW w:w="1512" w:type="dxa"/>
            <w:tcBorders>
              <w:top w:val="single" w:sz="12" w:space="0" w:color="auto"/>
              <w:left w:val="single" w:sz="12" w:space="0" w:color="auto"/>
              <w:bottom w:val="single" w:sz="12" w:space="0" w:color="auto"/>
              <w:right w:val="single" w:sz="12" w:space="0" w:color="auto"/>
            </w:tcBorders>
            <w:hideMark/>
          </w:tcPr>
          <w:p w14:paraId="27194892" w14:textId="77777777" w:rsidR="003237D1" w:rsidRPr="007475F3" w:rsidRDefault="003237D1">
            <w:pPr>
              <w:autoSpaceDE w:val="0"/>
              <w:autoSpaceDN w:val="0"/>
              <w:adjustRightInd w:val="0"/>
              <w:rPr>
                <w:rFonts w:eastAsia="34cvf"/>
                <w:sz w:val="24"/>
                <w:szCs w:val="24"/>
              </w:rPr>
            </w:pPr>
            <w:r w:rsidRPr="007475F3">
              <w:rPr>
                <w:rFonts w:eastAsia="34cvf"/>
                <w:sz w:val="24"/>
                <w:szCs w:val="24"/>
              </w:rPr>
              <w:t>IMCLCP02</w:t>
            </w:r>
          </w:p>
          <w:p w14:paraId="1001C8CE" w14:textId="77777777" w:rsidR="003237D1" w:rsidRPr="007475F3" w:rsidRDefault="003237D1">
            <w:pPr>
              <w:rPr>
                <w:rFonts w:eastAsia="34cvf"/>
                <w:sz w:val="24"/>
                <w:szCs w:val="24"/>
              </w:rPr>
            </w:pPr>
            <w:r w:rsidRPr="007475F3">
              <w:rPr>
                <w:rFonts w:eastAsia="34cvf"/>
                <w:sz w:val="24"/>
                <w:szCs w:val="24"/>
              </w:rPr>
              <w:t>-9923</w:t>
            </w:r>
          </w:p>
        </w:tc>
        <w:tc>
          <w:tcPr>
            <w:tcW w:w="1425" w:type="dxa"/>
            <w:tcBorders>
              <w:top w:val="single" w:sz="12" w:space="0" w:color="auto"/>
              <w:left w:val="single" w:sz="12" w:space="0" w:color="auto"/>
              <w:bottom w:val="single" w:sz="12" w:space="0" w:color="auto"/>
              <w:right w:val="single" w:sz="12" w:space="0" w:color="auto"/>
            </w:tcBorders>
            <w:hideMark/>
          </w:tcPr>
          <w:p w14:paraId="2F81506B" w14:textId="77777777" w:rsidR="003237D1" w:rsidRPr="007475F3" w:rsidRDefault="003237D1">
            <w:pPr>
              <w:rPr>
                <w:rFonts w:eastAsia="34cvf"/>
                <w:sz w:val="24"/>
                <w:szCs w:val="24"/>
              </w:rPr>
            </w:pPr>
            <w:r w:rsidRPr="007475F3">
              <w:rPr>
                <w:rFonts w:eastAsia="34cvf"/>
                <w:sz w:val="24"/>
                <w:szCs w:val="24"/>
              </w:rPr>
              <w:t>138</w:t>
            </w:r>
          </w:p>
        </w:tc>
        <w:tc>
          <w:tcPr>
            <w:tcW w:w="771" w:type="dxa"/>
            <w:tcBorders>
              <w:top w:val="single" w:sz="12" w:space="0" w:color="auto"/>
              <w:left w:val="single" w:sz="12" w:space="0" w:color="auto"/>
              <w:bottom w:val="single" w:sz="12" w:space="0" w:color="auto"/>
              <w:right w:val="single" w:sz="12" w:space="0" w:color="auto"/>
            </w:tcBorders>
            <w:hideMark/>
          </w:tcPr>
          <w:p w14:paraId="0EF6DA96" w14:textId="77777777" w:rsidR="003237D1" w:rsidRPr="007475F3" w:rsidRDefault="003237D1">
            <w:pPr>
              <w:rPr>
                <w:rFonts w:eastAsia="34cvf"/>
                <w:sz w:val="24"/>
                <w:szCs w:val="24"/>
              </w:rPr>
            </w:pPr>
            <w:r w:rsidRPr="007475F3">
              <w:rPr>
                <w:rFonts w:eastAsia="34cvf"/>
                <w:sz w:val="24"/>
                <w:szCs w:val="24"/>
              </w:rPr>
              <w:t>21 (15,2)</w:t>
            </w:r>
          </w:p>
        </w:tc>
        <w:tc>
          <w:tcPr>
            <w:tcW w:w="760" w:type="dxa"/>
            <w:tcBorders>
              <w:top w:val="single" w:sz="12" w:space="0" w:color="auto"/>
              <w:left w:val="single" w:sz="12" w:space="0" w:color="auto"/>
              <w:bottom w:val="single" w:sz="12" w:space="0" w:color="auto"/>
              <w:right w:val="single" w:sz="12" w:space="0" w:color="auto"/>
            </w:tcBorders>
            <w:hideMark/>
          </w:tcPr>
          <w:p w14:paraId="2F2C6B6F" w14:textId="77777777" w:rsidR="003237D1" w:rsidRPr="007475F3" w:rsidRDefault="003237D1">
            <w:pPr>
              <w:rPr>
                <w:rFonts w:eastAsia="34cvf"/>
                <w:sz w:val="24"/>
                <w:szCs w:val="24"/>
              </w:rPr>
            </w:pPr>
            <w:r w:rsidRPr="007475F3">
              <w:rPr>
                <w:rFonts w:eastAsia="34cvf"/>
                <w:sz w:val="24"/>
                <w:szCs w:val="24"/>
              </w:rPr>
              <w:t>9,7; 22,3</w:t>
            </w:r>
          </w:p>
        </w:tc>
        <w:tc>
          <w:tcPr>
            <w:tcW w:w="771" w:type="dxa"/>
            <w:tcBorders>
              <w:top w:val="single" w:sz="12" w:space="0" w:color="auto"/>
              <w:left w:val="single" w:sz="12" w:space="0" w:color="auto"/>
              <w:bottom w:val="single" w:sz="12" w:space="0" w:color="auto"/>
              <w:right w:val="single" w:sz="12" w:space="0" w:color="auto"/>
            </w:tcBorders>
            <w:hideMark/>
          </w:tcPr>
          <w:p w14:paraId="56224AFA" w14:textId="77777777" w:rsidR="003237D1" w:rsidRPr="007475F3" w:rsidRDefault="003237D1">
            <w:pPr>
              <w:rPr>
                <w:rFonts w:eastAsia="34cvf"/>
                <w:sz w:val="24"/>
                <w:szCs w:val="24"/>
              </w:rPr>
            </w:pPr>
            <w:r w:rsidRPr="007475F3">
              <w:rPr>
                <w:rFonts w:eastAsia="34cvf"/>
                <w:sz w:val="24"/>
                <w:szCs w:val="24"/>
              </w:rPr>
              <w:t>84 (60,9)</w:t>
            </w:r>
          </w:p>
        </w:tc>
        <w:tc>
          <w:tcPr>
            <w:tcW w:w="760" w:type="dxa"/>
            <w:tcBorders>
              <w:top w:val="single" w:sz="12" w:space="0" w:color="auto"/>
              <w:left w:val="single" w:sz="12" w:space="0" w:color="auto"/>
              <w:bottom w:val="single" w:sz="12" w:space="0" w:color="auto"/>
              <w:right w:val="single" w:sz="12" w:space="0" w:color="auto"/>
            </w:tcBorders>
            <w:hideMark/>
          </w:tcPr>
          <w:p w14:paraId="7CA347DC" w14:textId="77777777" w:rsidR="003237D1" w:rsidRPr="007475F3" w:rsidRDefault="003237D1">
            <w:pPr>
              <w:rPr>
                <w:rFonts w:eastAsia="34cvf"/>
                <w:sz w:val="24"/>
                <w:szCs w:val="24"/>
              </w:rPr>
            </w:pPr>
            <w:r w:rsidRPr="007475F3">
              <w:rPr>
                <w:rFonts w:eastAsia="34cvf"/>
                <w:sz w:val="24"/>
                <w:szCs w:val="24"/>
              </w:rPr>
              <w:t>52,2; 69,1</w:t>
            </w:r>
          </w:p>
        </w:tc>
        <w:tc>
          <w:tcPr>
            <w:tcW w:w="889" w:type="dxa"/>
            <w:tcBorders>
              <w:top w:val="single" w:sz="12" w:space="0" w:color="auto"/>
              <w:left w:val="single" w:sz="12" w:space="0" w:color="auto"/>
              <w:bottom w:val="single" w:sz="12" w:space="0" w:color="auto"/>
              <w:right w:val="single" w:sz="12" w:space="0" w:color="auto"/>
            </w:tcBorders>
            <w:hideMark/>
          </w:tcPr>
          <w:p w14:paraId="1F08CA78" w14:textId="77777777" w:rsidR="003237D1" w:rsidRPr="007475F3" w:rsidRDefault="003237D1">
            <w:pPr>
              <w:rPr>
                <w:rFonts w:eastAsia="34cvf"/>
                <w:sz w:val="24"/>
                <w:szCs w:val="24"/>
              </w:rPr>
            </w:pPr>
            <w:r w:rsidRPr="007475F3">
              <w:rPr>
                <w:rFonts w:eastAsia="34cvf"/>
                <w:sz w:val="24"/>
                <w:szCs w:val="24"/>
              </w:rPr>
              <w:t>2,9</w:t>
            </w:r>
          </w:p>
        </w:tc>
        <w:tc>
          <w:tcPr>
            <w:tcW w:w="755" w:type="dxa"/>
            <w:tcBorders>
              <w:top w:val="single" w:sz="12" w:space="0" w:color="auto"/>
              <w:left w:val="single" w:sz="12" w:space="0" w:color="auto"/>
              <w:bottom w:val="single" w:sz="12" w:space="0" w:color="auto"/>
              <w:right w:val="single" w:sz="12" w:space="0" w:color="auto"/>
            </w:tcBorders>
            <w:hideMark/>
          </w:tcPr>
          <w:p w14:paraId="2F4C27B3" w14:textId="77777777" w:rsidR="003237D1" w:rsidRPr="007475F3" w:rsidRDefault="003237D1">
            <w:pPr>
              <w:rPr>
                <w:rFonts w:eastAsia="34cvf"/>
                <w:sz w:val="24"/>
                <w:szCs w:val="24"/>
              </w:rPr>
            </w:pPr>
            <w:r w:rsidRPr="007475F3">
              <w:rPr>
                <w:rFonts w:eastAsia="34cvf"/>
                <w:sz w:val="24"/>
                <w:szCs w:val="24"/>
              </w:rPr>
              <w:t>2,6; 4,1</w:t>
            </w:r>
          </w:p>
        </w:tc>
        <w:tc>
          <w:tcPr>
            <w:tcW w:w="889" w:type="dxa"/>
            <w:tcBorders>
              <w:top w:val="single" w:sz="12" w:space="0" w:color="auto"/>
              <w:left w:val="single" w:sz="12" w:space="0" w:color="auto"/>
              <w:bottom w:val="single" w:sz="12" w:space="0" w:color="auto"/>
              <w:right w:val="single" w:sz="12" w:space="0" w:color="auto"/>
            </w:tcBorders>
            <w:hideMark/>
          </w:tcPr>
          <w:p w14:paraId="179BCA28" w14:textId="77777777" w:rsidR="003237D1" w:rsidRPr="007475F3" w:rsidRDefault="003237D1">
            <w:pPr>
              <w:rPr>
                <w:rFonts w:eastAsia="34cvf"/>
                <w:sz w:val="24"/>
                <w:szCs w:val="24"/>
              </w:rPr>
            </w:pPr>
            <w:r w:rsidRPr="007475F3">
              <w:rPr>
                <w:rFonts w:eastAsia="34cvf"/>
                <w:sz w:val="24"/>
                <w:szCs w:val="24"/>
              </w:rPr>
              <w:t>8,4</w:t>
            </w:r>
          </w:p>
        </w:tc>
        <w:tc>
          <w:tcPr>
            <w:tcW w:w="756" w:type="dxa"/>
            <w:tcBorders>
              <w:top w:val="single" w:sz="12" w:space="0" w:color="auto"/>
              <w:left w:val="single" w:sz="12" w:space="0" w:color="auto"/>
              <w:bottom w:val="single" w:sz="12" w:space="0" w:color="auto"/>
              <w:right w:val="single" w:sz="12" w:space="0" w:color="auto"/>
            </w:tcBorders>
            <w:hideMark/>
          </w:tcPr>
          <w:p w14:paraId="4EA728FD" w14:textId="77777777" w:rsidR="003237D1" w:rsidRPr="007475F3" w:rsidRDefault="003237D1">
            <w:pPr>
              <w:rPr>
                <w:rFonts w:eastAsia="34cvf"/>
                <w:sz w:val="24"/>
                <w:szCs w:val="24"/>
              </w:rPr>
            </w:pPr>
            <w:r w:rsidRPr="007475F3">
              <w:rPr>
                <w:rFonts w:eastAsia="34cvf"/>
                <w:sz w:val="24"/>
                <w:szCs w:val="24"/>
              </w:rPr>
              <w:t>7,2; 10,3</w:t>
            </w:r>
          </w:p>
        </w:tc>
      </w:tr>
      <w:tr w:rsidR="003237D1" w:rsidRPr="007475F3" w14:paraId="00F6E186" w14:textId="77777777" w:rsidTr="003237D1">
        <w:trPr>
          <w:trHeight w:val="364"/>
        </w:trPr>
        <w:tc>
          <w:tcPr>
            <w:tcW w:w="3708" w:type="dxa"/>
            <w:gridSpan w:val="3"/>
            <w:tcBorders>
              <w:top w:val="single" w:sz="12" w:space="0" w:color="auto"/>
              <w:left w:val="single" w:sz="12" w:space="0" w:color="auto"/>
              <w:bottom w:val="single" w:sz="12" w:space="0" w:color="auto"/>
              <w:right w:val="single" w:sz="12" w:space="0" w:color="auto"/>
            </w:tcBorders>
            <w:hideMark/>
          </w:tcPr>
          <w:p w14:paraId="054A8DD5" w14:textId="77777777" w:rsidR="003237D1" w:rsidRPr="007475F3" w:rsidRDefault="003237D1">
            <w:pPr>
              <w:rPr>
                <w:rFonts w:eastAsia="34cvf"/>
                <w:sz w:val="24"/>
                <w:szCs w:val="24"/>
              </w:rPr>
            </w:pPr>
            <w:proofErr w:type="spellStart"/>
            <w:r w:rsidRPr="007475F3">
              <w:rPr>
                <w:rFonts w:eastAsia="34cvf"/>
                <w:sz w:val="24"/>
                <w:szCs w:val="24"/>
              </w:rPr>
              <w:t>Cetuximab</w:t>
            </w:r>
            <w:proofErr w:type="spellEnd"/>
          </w:p>
        </w:tc>
        <w:tc>
          <w:tcPr>
            <w:tcW w:w="5580" w:type="dxa"/>
            <w:gridSpan w:val="7"/>
            <w:tcBorders>
              <w:top w:val="single" w:sz="12" w:space="0" w:color="auto"/>
              <w:left w:val="single" w:sz="12" w:space="0" w:color="auto"/>
              <w:bottom w:val="single" w:sz="12" w:space="0" w:color="auto"/>
              <w:right w:val="single" w:sz="12" w:space="0" w:color="auto"/>
            </w:tcBorders>
          </w:tcPr>
          <w:p w14:paraId="182FE87E" w14:textId="77777777" w:rsidR="003237D1" w:rsidRPr="007475F3" w:rsidRDefault="003237D1">
            <w:pPr>
              <w:rPr>
                <w:rFonts w:eastAsia="34cvf"/>
                <w:sz w:val="24"/>
                <w:szCs w:val="24"/>
              </w:rPr>
            </w:pPr>
          </w:p>
        </w:tc>
      </w:tr>
      <w:tr w:rsidR="003237D1" w:rsidRPr="007475F3" w14:paraId="71A2D6D8" w14:textId="77777777" w:rsidTr="003237D1">
        <w:trPr>
          <w:trHeight w:val="364"/>
        </w:trPr>
        <w:tc>
          <w:tcPr>
            <w:tcW w:w="1512" w:type="dxa"/>
            <w:tcBorders>
              <w:top w:val="single" w:sz="12" w:space="0" w:color="auto"/>
              <w:left w:val="single" w:sz="12" w:space="0" w:color="auto"/>
              <w:bottom w:val="single" w:sz="12" w:space="0" w:color="auto"/>
              <w:right w:val="single" w:sz="12" w:space="0" w:color="auto"/>
            </w:tcBorders>
            <w:hideMark/>
          </w:tcPr>
          <w:p w14:paraId="1A368A8E" w14:textId="77777777" w:rsidR="003237D1" w:rsidRPr="007475F3" w:rsidRDefault="003237D1">
            <w:pPr>
              <w:autoSpaceDE w:val="0"/>
              <w:autoSpaceDN w:val="0"/>
              <w:adjustRightInd w:val="0"/>
              <w:rPr>
                <w:rFonts w:eastAsia="34cvf"/>
                <w:sz w:val="24"/>
                <w:szCs w:val="24"/>
              </w:rPr>
            </w:pPr>
            <w:r w:rsidRPr="007475F3">
              <w:rPr>
                <w:rFonts w:eastAsia="34cvf"/>
                <w:sz w:val="24"/>
                <w:szCs w:val="24"/>
              </w:rPr>
              <w:t>EMR 62</w:t>
            </w:r>
          </w:p>
          <w:p w14:paraId="396E17E5" w14:textId="77777777" w:rsidR="003237D1" w:rsidRPr="007475F3" w:rsidRDefault="003237D1">
            <w:pPr>
              <w:rPr>
                <w:rFonts w:eastAsia="34cvf"/>
                <w:sz w:val="24"/>
                <w:szCs w:val="24"/>
              </w:rPr>
            </w:pPr>
            <w:r w:rsidRPr="007475F3">
              <w:rPr>
                <w:rFonts w:eastAsia="34cvf"/>
                <w:sz w:val="24"/>
                <w:szCs w:val="24"/>
              </w:rPr>
              <w:t>202-007</w:t>
            </w:r>
          </w:p>
        </w:tc>
        <w:tc>
          <w:tcPr>
            <w:tcW w:w="1425" w:type="dxa"/>
            <w:tcBorders>
              <w:top w:val="single" w:sz="12" w:space="0" w:color="auto"/>
              <w:left w:val="single" w:sz="12" w:space="0" w:color="auto"/>
              <w:bottom w:val="single" w:sz="12" w:space="0" w:color="auto"/>
              <w:right w:val="single" w:sz="12" w:space="0" w:color="auto"/>
            </w:tcBorders>
            <w:hideMark/>
          </w:tcPr>
          <w:p w14:paraId="4F9774E9" w14:textId="77777777" w:rsidR="003237D1" w:rsidRPr="007475F3" w:rsidRDefault="003237D1">
            <w:pPr>
              <w:rPr>
                <w:rFonts w:eastAsia="34cvf"/>
                <w:sz w:val="24"/>
                <w:szCs w:val="24"/>
              </w:rPr>
            </w:pPr>
            <w:r w:rsidRPr="007475F3">
              <w:rPr>
                <w:rFonts w:eastAsia="34cvf"/>
                <w:sz w:val="24"/>
                <w:szCs w:val="24"/>
              </w:rPr>
              <w:t>111</w:t>
            </w:r>
          </w:p>
        </w:tc>
        <w:tc>
          <w:tcPr>
            <w:tcW w:w="771" w:type="dxa"/>
            <w:tcBorders>
              <w:top w:val="single" w:sz="12" w:space="0" w:color="auto"/>
              <w:left w:val="single" w:sz="12" w:space="0" w:color="auto"/>
              <w:bottom w:val="single" w:sz="12" w:space="0" w:color="auto"/>
              <w:right w:val="single" w:sz="12" w:space="0" w:color="auto"/>
            </w:tcBorders>
            <w:hideMark/>
          </w:tcPr>
          <w:p w14:paraId="006CE02C" w14:textId="77777777" w:rsidR="003237D1" w:rsidRPr="007475F3" w:rsidRDefault="003237D1">
            <w:pPr>
              <w:rPr>
                <w:rFonts w:eastAsia="34cvf"/>
                <w:sz w:val="24"/>
                <w:szCs w:val="24"/>
              </w:rPr>
            </w:pPr>
            <w:r w:rsidRPr="007475F3">
              <w:rPr>
                <w:rFonts w:eastAsia="34cvf"/>
                <w:sz w:val="24"/>
                <w:szCs w:val="24"/>
              </w:rPr>
              <w:t>12 (10,8)</w:t>
            </w:r>
          </w:p>
        </w:tc>
        <w:tc>
          <w:tcPr>
            <w:tcW w:w="760" w:type="dxa"/>
            <w:tcBorders>
              <w:top w:val="single" w:sz="12" w:space="0" w:color="auto"/>
              <w:left w:val="single" w:sz="12" w:space="0" w:color="auto"/>
              <w:bottom w:val="single" w:sz="12" w:space="0" w:color="auto"/>
              <w:right w:val="single" w:sz="12" w:space="0" w:color="auto"/>
            </w:tcBorders>
            <w:hideMark/>
          </w:tcPr>
          <w:p w14:paraId="6BE09D12" w14:textId="77777777" w:rsidR="003237D1" w:rsidRPr="007475F3" w:rsidRDefault="003237D1">
            <w:pPr>
              <w:rPr>
                <w:rFonts w:eastAsia="34cvf"/>
                <w:sz w:val="24"/>
                <w:szCs w:val="24"/>
              </w:rPr>
            </w:pPr>
            <w:r w:rsidRPr="007475F3">
              <w:rPr>
                <w:rFonts w:eastAsia="34cvf"/>
                <w:sz w:val="24"/>
                <w:szCs w:val="24"/>
              </w:rPr>
              <w:t>5,7; 18,1</w:t>
            </w:r>
          </w:p>
        </w:tc>
        <w:tc>
          <w:tcPr>
            <w:tcW w:w="771" w:type="dxa"/>
            <w:tcBorders>
              <w:top w:val="single" w:sz="12" w:space="0" w:color="auto"/>
              <w:left w:val="single" w:sz="12" w:space="0" w:color="auto"/>
              <w:bottom w:val="single" w:sz="12" w:space="0" w:color="auto"/>
              <w:right w:val="single" w:sz="12" w:space="0" w:color="auto"/>
            </w:tcBorders>
            <w:hideMark/>
          </w:tcPr>
          <w:p w14:paraId="22F6B85F" w14:textId="77777777" w:rsidR="003237D1" w:rsidRPr="007475F3" w:rsidRDefault="003237D1">
            <w:pPr>
              <w:rPr>
                <w:rFonts w:eastAsia="34cvf"/>
                <w:sz w:val="24"/>
                <w:szCs w:val="24"/>
              </w:rPr>
            </w:pPr>
            <w:r w:rsidRPr="007475F3">
              <w:rPr>
                <w:rFonts w:eastAsia="34cvf"/>
                <w:sz w:val="24"/>
                <w:szCs w:val="24"/>
              </w:rPr>
              <w:t>36 (32,4)</w:t>
            </w:r>
          </w:p>
        </w:tc>
        <w:tc>
          <w:tcPr>
            <w:tcW w:w="760" w:type="dxa"/>
            <w:tcBorders>
              <w:top w:val="single" w:sz="12" w:space="0" w:color="auto"/>
              <w:left w:val="single" w:sz="12" w:space="0" w:color="auto"/>
              <w:bottom w:val="single" w:sz="12" w:space="0" w:color="auto"/>
              <w:right w:val="single" w:sz="12" w:space="0" w:color="auto"/>
            </w:tcBorders>
            <w:hideMark/>
          </w:tcPr>
          <w:p w14:paraId="6E0BEB0D" w14:textId="77777777" w:rsidR="003237D1" w:rsidRPr="007475F3" w:rsidRDefault="003237D1">
            <w:pPr>
              <w:rPr>
                <w:rFonts w:eastAsia="34cvf"/>
                <w:sz w:val="24"/>
                <w:szCs w:val="24"/>
              </w:rPr>
            </w:pPr>
            <w:r w:rsidRPr="007475F3">
              <w:rPr>
                <w:rFonts w:eastAsia="34cvf"/>
                <w:sz w:val="24"/>
                <w:szCs w:val="24"/>
              </w:rPr>
              <w:t>23,9; 42,0</w:t>
            </w:r>
          </w:p>
        </w:tc>
        <w:tc>
          <w:tcPr>
            <w:tcW w:w="889" w:type="dxa"/>
            <w:tcBorders>
              <w:top w:val="single" w:sz="12" w:space="0" w:color="auto"/>
              <w:left w:val="single" w:sz="12" w:space="0" w:color="auto"/>
              <w:bottom w:val="single" w:sz="12" w:space="0" w:color="auto"/>
              <w:right w:val="single" w:sz="12" w:space="0" w:color="auto"/>
            </w:tcBorders>
            <w:hideMark/>
          </w:tcPr>
          <w:p w14:paraId="5A454A0E" w14:textId="77777777" w:rsidR="003237D1" w:rsidRPr="007475F3" w:rsidRDefault="003237D1">
            <w:pPr>
              <w:rPr>
                <w:rFonts w:eastAsia="34cvf"/>
                <w:sz w:val="24"/>
                <w:szCs w:val="24"/>
              </w:rPr>
            </w:pPr>
            <w:r w:rsidRPr="007475F3">
              <w:rPr>
                <w:rFonts w:eastAsia="34cvf"/>
                <w:sz w:val="24"/>
                <w:szCs w:val="24"/>
              </w:rPr>
              <w:t>1,5</w:t>
            </w:r>
          </w:p>
        </w:tc>
        <w:tc>
          <w:tcPr>
            <w:tcW w:w="755" w:type="dxa"/>
            <w:tcBorders>
              <w:top w:val="single" w:sz="12" w:space="0" w:color="auto"/>
              <w:left w:val="single" w:sz="12" w:space="0" w:color="auto"/>
              <w:bottom w:val="single" w:sz="12" w:space="0" w:color="auto"/>
              <w:right w:val="single" w:sz="12" w:space="0" w:color="auto"/>
            </w:tcBorders>
            <w:hideMark/>
          </w:tcPr>
          <w:p w14:paraId="2F36F080" w14:textId="77777777" w:rsidR="003237D1" w:rsidRPr="007475F3" w:rsidRDefault="003237D1">
            <w:pPr>
              <w:rPr>
                <w:rFonts w:eastAsia="34cvf"/>
                <w:sz w:val="24"/>
                <w:szCs w:val="24"/>
              </w:rPr>
            </w:pPr>
            <w:r w:rsidRPr="007475F3">
              <w:rPr>
                <w:rFonts w:eastAsia="34cvf"/>
                <w:sz w:val="24"/>
                <w:szCs w:val="24"/>
              </w:rPr>
              <w:t>1,4; 2,0</w:t>
            </w:r>
          </w:p>
        </w:tc>
        <w:tc>
          <w:tcPr>
            <w:tcW w:w="889" w:type="dxa"/>
            <w:tcBorders>
              <w:top w:val="single" w:sz="12" w:space="0" w:color="auto"/>
              <w:left w:val="single" w:sz="12" w:space="0" w:color="auto"/>
              <w:bottom w:val="single" w:sz="12" w:space="0" w:color="auto"/>
              <w:right w:val="single" w:sz="12" w:space="0" w:color="auto"/>
            </w:tcBorders>
            <w:hideMark/>
          </w:tcPr>
          <w:p w14:paraId="69B52A2D" w14:textId="77777777" w:rsidR="003237D1" w:rsidRPr="007475F3" w:rsidRDefault="003237D1">
            <w:pPr>
              <w:rPr>
                <w:rFonts w:eastAsia="34cvf"/>
                <w:sz w:val="24"/>
                <w:szCs w:val="24"/>
              </w:rPr>
            </w:pPr>
            <w:r w:rsidRPr="007475F3">
              <w:rPr>
                <w:rFonts w:eastAsia="34cvf"/>
                <w:sz w:val="24"/>
                <w:szCs w:val="24"/>
              </w:rPr>
              <w:t>6,9</w:t>
            </w:r>
          </w:p>
        </w:tc>
        <w:tc>
          <w:tcPr>
            <w:tcW w:w="756" w:type="dxa"/>
            <w:tcBorders>
              <w:top w:val="single" w:sz="12" w:space="0" w:color="auto"/>
              <w:left w:val="single" w:sz="12" w:space="0" w:color="auto"/>
              <w:bottom w:val="single" w:sz="12" w:space="0" w:color="auto"/>
              <w:right w:val="single" w:sz="12" w:space="0" w:color="auto"/>
            </w:tcBorders>
            <w:hideMark/>
          </w:tcPr>
          <w:p w14:paraId="661FEBB8" w14:textId="77777777" w:rsidR="003237D1" w:rsidRPr="007475F3" w:rsidRDefault="003237D1">
            <w:pPr>
              <w:rPr>
                <w:rFonts w:eastAsia="34cvf"/>
                <w:sz w:val="24"/>
                <w:szCs w:val="24"/>
              </w:rPr>
            </w:pPr>
            <w:r w:rsidRPr="007475F3">
              <w:rPr>
                <w:rFonts w:eastAsia="34cvf"/>
                <w:sz w:val="24"/>
                <w:szCs w:val="24"/>
              </w:rPr>
              <w:t>5,6; 9,1</w:t>
            </w:r>
          </w:p>
        </w:tc>
      </w:tr>
    </w:tbl>
    <w:p w14:paraId="0F1916FB" w14:textId="77777777" w:rsidR="003237D1" w:rsidRPr="007475F3" w:rsidRDefault="003237D1" w:rsidP="003237D1">
      <w:pPr>
        <w:autoSpaceDE w:val="0"/>
        <w:autoSpaceDN w:val="0"/>
        <w:adjustRightInd w:val="0"/>
        <w:rPr>
          <w:rFonts w:eastAsia="34cvf"/>
          <w:sz w:val="24"/>
          <w:szCs w:val="24"/>
        </w:rPr>
      </w:pPr>
      <w:r w:rsidRPr="007475F3">
        <w:rPr>
          <w:rFonts w:eastAsia="34cvf"/>
          <w:sz w:val="24"/>
          <w:szCs w:val="24"/>
        </w:rPr>
        <w:t>CI = Konfidensinterval (</w:t>
      </w:r>
      <w:proofErr w:type="spellStart"/>
      <w:r w:rsidRPr="007475F3">
        <w:rPr>
          <w:rFonts w:eastAsia="34cvf"/>
          <w:sz w:val="24"/>
          <w:szCs w:val="24"/>
        </w:rPr>
        <w:t>Confidence</w:t>
      </w:r>
      <w:proofErr w:type="spellEnd"/>
      <w:r w:rsidRPr="007475F3">
        <w:rPr>
          <w:rFonts w:eastAsia="34cvf"/>
          <w:sz w:val="24"/>
          <w:szCs w:val="24"/>
        </w:rPr>
        <w:t xml:space="preserve"> interval), DCR = Sygdomskontrolrate (</w:t>
      </w:r>
      <w:proofErr w:type="spellStart"/>
      <w:r w:rsidRPr="007475F3">
        <w:rPr>
          <w:rFonts w:eastAsia="34cvf"/>
          <w:sz w:val="24"/>
          <w:szCs w:val="24"/>
        </w:rPr>
        <w:t>Disease</w:t>
      </w:r>
      <w:proofErr w:type="spellEnd"/>
      <w:r w:rsidRPr="007475F3">
        <w:rPr>
          <w:rFonts w:eastAsia="34cvf"/>
          <w:sz w:val="24"/>
          <w:szCs w:val="24"/>
        </w:rPr>
        <w:t xml:space="preserve"> Control Rate (patienter med komplet respons, delvis respons eller stabil sygdom i mindst 6 uger)), ORR = Objektiv responsrate (</w:t>
      </w:r>
      <w:proofErr w:type="spellStart"/>
      <w:r w:rsidRPr="007475F3">
        <w:rPr>
          <w:rFonts w:eastAsia="34cvf"/>
          <w:sz w:val="24"/>
          <w:szCs w:val="24"/>
        </w:rPr>
        <w:t>Objective</w:t>
      </w:r>
      <w:proofErr w:type="spellEnd"/>
      <w:r w:rsidRPr="007475F3">
        <w:rPr>
          <w:rFonts w:eastAsia="34cvf"/>
          <w:sz w:val="24"/>
          <w:szCs w:val="24"/>
        </w:rPr>
        <w:t xml:space="preserve"> Response Rate (patienter med komplet respons eller delvis respons)), OS = Samlet overlevelse (Overall </w:t>
      </w:r>
      <w:proofErr w:type="spellStart"/>
      <w:r w:rsidRPr="007475F3">
        <w:rPr>
          <w:rFonts w:eastAsia="34cvf"/>
          <w:sz w:val="24"/>
          <w:szCs w:val="24"/>
        </w:rPr>
        <w:t>Survival</w:t>
      </w:r>
      <w:proofErr w:type="spellEnd"/>
      <w:r w:rsidRPr="007475F3">
        <w:rPr>
          <w:rFonts w:eastAsia="34cvf"/>
          <w:sz w:val="24"/>
          <w:szCs w:val="24"/>
        </w:rPr>
        <w:t xml:space="preserve"> time), PFS = Progressionsfri overlevelse (Progression-</w:t>
      </w:r>
      <w:proofErr w:type="spellStart"/>
      <w:r w:rsidRPr="007475F3">
        <w:rPr>
          <w:rFonts w:eastAsia="34cvf"/>
          <w:sz w:val="24"/>
          <w:szCs w:val="24"/>
        </w:rPr>
        <w:t>Free</w:t>
      </w:r>
      <w:proofErr w:type="spellEnd"/>
      <w:r w:rsidRPr="007475F3">
        <w:rPr>
          <w:rFonts w:eastAsia="34cvf"/>
          <w:sz w:val="24"/>
          <w:szCs w:val="24"/>
        </w:rPr>
        <w:t xml:space="preserve"> </w:t>
      </w:r>
      <w:proofErr w:type="spellStart"/>
      <w:r w:rsidRPr="007475F3">
        <w:rPr>
          <w:rFonts w:eastAsia="34cvf"/>
          <w:sz w:val="24"/>
          <w:szCs w:val="24"/>
        </w:rPr>
        <w:t>Survival</w:t>
      </w:r>
      <w:proofErr w:type="spellEnd"/>
      <w:r w:rsidRPr="007475F3">
        <w:rPr>
          <w:rFonts w:eastAsia="34cvf"/>
          <w:sz w:val="24"/>
          <w:szCs w:val="24"/>
        </w:rPr>
        <w:t>)</w:t>
      </w:r>
    </w:p>
    <w:p w14:paraId="50934E0F" w14:textId="77777777" w:rsidR="003237D1" w:rsidRPr="007475F3" w:rsidRDefault="003237D1" w:rsidP="003237D1">
      <w:pPr>
        <w:autoSpaceDE w:val="0"/>
        <w:autoSpaceDN w:val="0"/>
        <w:adjustRightInd w:val="0"/>
        <w:rPr>
          <w:rFonts w:eastAsia="34cvf"/>
          <w:sz w:val="24"/>
          <w:szCs w:val="24"/>
        </w:rPr>
      </w:pPr>
    </w:p>
    <w:p w14:paraId="48616B17" w14:textId="77777777" w:rsidR="007475F3" w:rsidRDefault="007475F3" w:rsidP="007475F3">
      <w:pPr>
        <w:autoSpaceDE w:val="0"/>
        <w:autoSpaceDN w:val="0"/>
        <w:adjustRightInd w:val="0"/>
        <w:rPr>
          <w:rFonts w:eastAsia="34cvf"/>
          <w:sz w:val="22"/>
        </w:rPr>
      </w:pPr>
      <w:r>
        <w:rPr>
          <w:rFonts w:eastAsia="34cvf"/>
        </w:rPr>
        <w:t xml:space="preserve">Effekten af kombinationsbehandling af </w:t>
      </w:r>
      <w:proofErr w:type="spellStart"/>
      <w:r>
        <w:rPr>
          <w:rFonts w:eastAsia="34cvf"/>
        </w:rPr>
        <w:t>cetuximab</w:t>
      </w:r>
      <w:proofErr w:type="spellEnd"/>
      <w:r>
        <w:rPr>
          <w:rFonts w:eastAsia="34cvf"/>
        </w:rPr>
        <w:t xml:space="preserve"> og </w:t>
      </w:r>
      <w:proofErr w:type="spellStart"/>
      <w:r>
        <w:rPr>
          <w:rFonts w:eastAsia="34cvf"/>
        </w:rPr>
        <w:t>irinotecan</w:t>
      </w:r>
      <w:proofErr w:type="spellEnd"/>
      <w:r>
        <w:rPr>
          <w:rFonts w:eastAsia="34cvf"/>
        </w:rPr>
        <w:t xml:space="preserve"> oversteg effekten af </w:t>
      </w:r>
      <w:proofErr w:type="spellStart"/>
      <w:r>
        <w:rPr>
          <w:rFonts w:eastAsia="34cvf"/>
        </w:rPr>
        <w:t>cetuximab</w:t>
      </w:r>
      <w:proofErr w:type="spellEnd"/>
      <w:r>
        <w:rPr>
          <w:rFonts w:eastAsia="34cvf"/>
        </w:rPr>
        <w:t xml:space="preserve"> som monoterapi, hvad angår objektiv responsrate (ORR), sygdomskontrolrate (DCR), og progressionsfri overlevelse (PFS). I det randomiserede forsøg ses ingen effekt på den samlede overlevelse (risikorate 0,91; p = 0,48).</w:t>
      </w:r>
    </w:p>
    <w:p w14:paraId="6DF6B75F" w14:textId="77777777" w:rsidR="009260DE" w:rsidRPr="007475F3" w:rsidRDefault="009260DE" w:rsidP="007475F3">
      <w:pPr>
        <w:tabs>
          <w:tab w:val="left" w:pos="851"/>
        </w:tabs>
        <w:rPr>
          <w:sz w:val="24"/>
          <w:szCs w:val="24"/>
        </w:rPr>
      </w:pPr>
    </w:p>
    <w:p w14:paraId="2CE59B8B" w14:textId="77777777" w:rsidR="009260DE" w:rsidRPr="007475F3" w:rsidRDefault="009260DE" w:rsidP="009260DE">
      <w:pPr>
        <w:tabs>
          <w:tab w:val="left" w:pos="851"/>
        </w:tabs>
        <w:ind w:left="851" w:hanging="851"/>
        <w:rPr>
          <w:b/>
          <w:sz w:val="24"/>
          <w:szCs w:val="24"/>
        </w:rPr>
      </w:pPr>
      <w:r w:rsidRPr="007475F3">
        <w:rPr>
          <w:b/>
          <w:sz w:val="24"/>
          <w:szCs w:val="24"/>
        </w:rPr>
        <w:t>5.2</w:t>
      </w:r>
      <w:r w:rsidRPr="007475F3">
        <w:rPr>
          <w:b/>
          <w:sz w:val="24"/>
          <w:szCs w:val="24"/>
        </w:rPr>
        <w:tab/>
      </w:r>
      <w:proofErr w:type="spellStart"/>
      <w:r w:rsidRPr="007475F3">
        <w:rPr>
          <w:b/>
          <w:sz w:val="24"/>
          <w:szCs w:val="24"/>
        </w:rPr>
        <w:t>Farmakokinetiske</w:t>
      </w:r>
      <w:proofErr w:type="spellEnd"/>
      <w:r w:rsidRPr="007475F3">
        <w:rPr>
          <w:b/>
          <w:sz w:val="24"/>
          <w:szCs w:val="24"/>
        </w:rPr>
        <w:t xml:space="preserve"> egenskaber</w:t>
      </w:r>
    </w:p>
    <w:p w14:paraId="456A06D1" w14:textId="77777777" w:rsidR="000E2717" w:rsidRPr="007475F3" w:rsidRDefault="000E2717" w:rsidP="003C648F">
      <w:pPr>
        <w:autoSpaceDE w:val="0"/>
        <w:autoSpaceDN w:val="0"/>
        <w:adjustRightInd w:val="0"/>
        <w:ind w:left="851"/>
        <w:rPr>
          <w:rFonts w:eastAsia="34cvf"/>
          <w:sz w:val="24"/>
          <w:szCs w:val="24"/>
          <w:u w:val="single"/>
        </w:rPr>
      </w:pPr>
    </w:p>
    <w:p w14:paraId="11788C5C" w14:textId="6921814B" w:rsidR="003237D1" w:rsidRPr="007475F3" w:rsidRDefault="003237D1" w:rsidP="003C648F">
      <w:pPr>
        <w:autoSpaceDE w:val="0"/>
        <w:autoSpaceDN w:val="0"/>
        <w:adjustRightInd w:val="0"/>
        <w:ind w:left="851"/>
        <w:rPr>
          <w:rFonts w:eastAsia="34cvf"/>
          <w:bCs/>
          <w:sz w:val="24"/>
          <w:szCs w:val="24"/>
          <w:u w:val="single"/>
        </w:rPr>
      </w:pPr>
      <w:r w:rsidRPr="007475F3">
        <w:rPr>
          <w:rFonts w:eastAsia="34cvf"/>
          <w:sz w:val="24"/>
          <w:szCs w:val="24"/>
          <w:u w:val="single"/>
        </w:rPr>
        <w:t>Absorption</w:t>
      </w:r>
    </w:p>
    <w:p w14:paraId="58AD5766" w14:textId="77777777" w:rsidR="003237D1" w:rsidRPr="007475F3" w:rsidRDefault="003237D1" w:rsidP="003C648F">
      <w:pPr>
        <w:autoSpaceDE w:val="0"/>
        <w:autoSpaceDN w:val="0"/>
        <w:adjustRightInd w:val="0"/>
        <w:ind w:left="851"/>
        <w:rPr>
          <w:rFonts w:eastAsia="34cvf"/>
          <w:bCs/>
          <w:sz w:val="24"/>
          <w:szCs w:val="24"/>
        </w:rPr>
      </w:pPr>
      <w:r w:rsidRPr="007475F3">
        <w:rPr>
          <w:rFonts w:eastAsia="34cvf"/>
          <w:sz w:val="24"/>
          <w:szCs w:val="24"/>
        </w:rPr>
        <w:t xml:space="preserve">Ved slutning af infusionen med den anbefalede dosis på 350 mg/m² var de gennemsnitlige maksimale plasmakoncentrationer af </w:t>
      </w:r>
      <w:proofErr w:type="spellStart"/>
      <w:r w:rsidRPr="007475F3">
        <w:rPr>
          <w:rFonts w:eastAsia="34cvf"/>
          <w:sz w:val="24"/>
          <w:szCs w:val="24"/>
        </w:rPr>
        <w:t>irinotecan</w:t>
      </w:r>
      <w:proofErr w:type="spellEnd"/>
      <w:r w:rsidRPr="007475F3">
        <w:rPr>
          <w:rFonts w:eastAsia="34cvf"/>
          <w:sz w:val="24"/>
          <w:szCs w:val="24"/>
        </w:rPr>
        <w:t xml:space="preserve"> og SN-38 henholdsvis 7,7 µg/ml og 56 </w:t>
      </w:r>
      <w:proofErr w:type="spellStart"/>
      <w:r w:rsidRPr="007475F3">
        <w:rPr>
          <w:rFonts w:eastAsia="34cvf"/>
          <w:sz w:val="24"/>
          <w:szCs w:val="24"/>
        </w:rPr>
        <w:t>ng</w:t>
      </w:r>
      <w:proofErr w:type="spellEnd"/>
      <w:r w:rsidRPr="007475F3">
        <w:rPr>
          <w:rFonts w:eastAsia="34cvf"/>
          <w:sz w:val="24"/>
          <w:szCs w:val="24"/>
        </w:rPr>
        <w:t xml:space="preserve">/ml, og det gennemsnitlige areal under kurven (AUC) var henholdsvis 34 µg.t/ml og 451 ng.t/ml. Der er generelt observeret store </w:t>
      </w:r>
      <w:proofErr w:type="spellStart"/>
      <w:r w:rsidRPr="007475F3">
        <w:rPr>
          <w:rFonts w:eastAsia="34cvf"/>
          <w:sz w:val="24"/>
          <w:szCs w:val="24"/>
        </w:rPr>
        <w:t>interindividuelle</w:t>
      </w:r>
      <w:proofErr w:type="spellEnd"/>
      <w:r w:rsidRPr="007475F3">
        <w:rPr>
          <w:rFonts w:eastAsia="34cvf"/>
          <w:sz w:val="24"/>
          <w:szCs w:val="24"/>
        </w:rPr>
        <w:t xml:space="preserve"> variationer i de </w:t>
      </w:r>
      <w:proofErr w:type="spellStart"/>
      <w:r w:rsidRPr="007475F3">
        <w:rPr>
          <w:rFonts w:eastAsia="34cvf"/>
          <w:sz w:val="24"/>
          <w:szCs w:val="24"/>
        </w:rPr>
        <w:t>farmakokinetiske</w:t>
      </w:r>
      <w:proofErr w:type="spellEnd"/>
      <w:r w:rsidRPr="007475F3">
        <w:rPr>
          <w:rFonts w:eastAsia="34cvf"/>
          <w:sz w:val="24"/>
          <w:szCs w:val="24"/>
        </w:rPr>
        <w:t xml:space="preserve"> parametre for SN-38.</w:t>
      </w:r>
    </w:p>
    <w:p w14:paraId="0CFEC3D1" w14:textId="77777777" w:rsidR="003237D1" w:rsidRPr="007475F3" w:rsidRDefault="003237D1" w:rsidP="003C648F">
      <w:pPr>
        <w:autoSpaceDE w:val="0"/>
        <w:autoSpaceDN w:val="0"/>
        <w:adjustRightInd w:val="0"/>
        <w:ind w:left="851"/>
        <w:rPr>
          <w:rFonts w:eastAsia="34cvf"/>
          <w:bCs/>
          <w:sz w:val="24"/>
          <w:szCs w:val="24"/>
          <w:u w:val="single"/>
        </w:rPr>
      </w:pPr>
    </w:p>
    <w:p w14:paraId="24AAE1A6" w14:textId="77777777" w:rsidR="003237D1" w:rsidRPr="007475F3" w:rsidRDefault="003237D1" w:rsidP="003C648F">
      <w:pPr>
        <w:autoSpaceDE w:val="0"/>
        <w:autoSpaceDN w:val="0"/>
        <w:adjustRightInd w:val="0"/>
        <w:ind w:left="851"/>
        <w:rPr>
          <w:rFonts w:eastAsia="34cvf"/>
          <w:bCs/>
          <w:sz w:val="24"/>
          <w:szCs w:val="24"/>
          <w:u w:val="single"/>
        </w:rPr>
      </w:pPr>
      <w:r w:rsidRPr="007475F3">
        <w:rPr>
          <w:rFonts w:eastAsia="34cvf"/>
          <w:sz w:val="24"/>
          <w:szCs w:val="24"/>
          <w:u w:val="single"/>
        </w:rPr>
        <w:t>Fordeling</w:t>
      </w:r>
    </w:p>
    <w:p w14:paraId="4A9F6409" w14:textId="77777777" w:rsidR="003237D1" w:rsidRPr="007475F3" w:rsidRDefault="003237D1" w:rsidP="003C648F">
      <w:pPr>
        <w:autoSpaceDE w:val="0"/>
        <w:autoSpaceDN w:val="0"/>
        <w:adjustRightInd w:val="0"/>
        <w:ind w:left="851"/>
        <w:rPr>
          <w:rFonts w:eastAsia="34cvf"/>
          <w:bCs/>
          <w:sz w:val="24"/>
          <w:szCs w:val="24"/>
        </w:rPr>
      </w:pPr>
      <w:r w:rsidRPr="007475F3">
        <w:rPr>
          <w:rFonts w:eastAsia="34cvf"/>
          <w:sz w:val="24"/>
          <w:szCs w:val="24"/>
        </w:rPr>
        <w:t xml:space="preserve">I et fase-I-forsøg med 60 patienter med et dosisregime på 30 minutters intravenøs infusion på 100-750 mg/m² hver 3. uge, var fordelingsvolumenet ved </w:t>
      </w:r>
      <w:proofErr w:type="spellStart"/>
      <w:r w:rsidRPr="007475F3">
        <w:rPr>
          <w:rFonts w:eastAsia="34cvf"/>
          <w:sz w:val="24"/>
          <w:szCs w:val="24"/>
        </w:rPr>
        <w:t>steady</w:t>
      </w:r>
      <w:proofErr w:type="spellEnd"/>
      <w:r w:rsidRPr="007475F3">
        <w:rPr>
          <w:rFonts w:eastAsia="34cvf"/>
          <w:sz w:val="24"/>
          <w:szCs w:val="24"/>
        </w:rPr>
        <w:t xml:space="preserve"> </w:t>
      </w:r>
      <w:proofErr w:type="spellStart"/>
      <w:r w:rsidRPr="007475F3">
        <w:rPr>
          <w:rFonts w:eastAsia="34cvf"/>
          <w:sz w:val="24"/>
          <w:szCs w:val="24"/>
        </w:rPr>
        <w:t>state</w:t>
      </w:r>
      <w:proofErr w:type="spellEnd"/>
      <w:r w:rsidRPr="007475F3">
        <w:rPr>
          <w:rFonts w:eastAsia="34cvf"/>
          <w:sz w:val="24"/>
          <w:szCs w:val="24"/>
        </w:rPr>
        <w:t xml:space="preserve"> (</w:t>
      </w:r>
      <w:proofErr w:type="spellStart"/>
      <w:r w:rsidRPr="007475F3">
        <w:rPr>
          <w:rFonts w:eastAsia="34cvf"/>
          <w:sz w:val="24"/>
          <w:szCs w:val="24"/>
        </w:rPr>
        <w:t>Vss</w:t>
      </w:r>
      <w:proofErr w:type="spellEnd"/>
      <w:r w:rsidRPr="007475F3">
        <w:rPr>
          <w:rFonts w:eastAsia="34cvf"/>
          <w:sz w:val="24"/>
          <w:szCs w:val="24"/>
        </w:rPr>
        <w:t>): 157 l/m².</w:t>
      </w:r>
    </w:p>
    <w:p w14:paraId="5FCD9917" w14:textId="77777777" w:rsidR="003237D1" w:rsidRPr="007475F3" w:rsidRDefault="003237D1" w:rsidP="003C648F">
      <w:pPr>
        <w:autoSpaceDE w:val="0"/>
        <w:autoSpaceDN w:val="0"/>
        <w:adjustRightInd w:val="0"/>
        <w:ind w:left="851"/>
        <w:rPr>
          <w:rFonts w:eastAsia="34cvf"/>
          <w:bCs/>
          <w:sz w:val="24"/>
          <w:szCs w:val="24"/>
        </w:rPr>
      </w:pPr>
      <w:r w:rsidRPr="007475F3">
        <w:rPr>
          <w:rFonts w:eastAsia="34cvf"/>
          <w:i/>
          <w:iCs/>
          <w:sz w:val="24"/>
          <w:szCs w:val="24"/>
        </w:rPr>
        <w:t xml:space="preserve">In </w:t>
      </w:r>
      <w:proofErr w:type="spellStart"/>
      <w:r w:rsidRPr="007475F3">
        <w:rPr>
          <w:rFonts w:eastAsia="34cvf"/>
          <w:i/>
          <w:iCs/>
          <w:sz w:val="24"/>
          <w:szCs w:val="24"/>
        </w:rPr>
        <w:t>vitro</w:t>
      </w:r>
      <w:proofErr w:type="spellEnd"/>
      <w:r w:rsidRPr="007475F3">
        <w:rPr>
          <w:rFonts w:eastAsia="34cvf"/>
          <w:i/>
          <w:iCs/>
          <w:sz w:val="24"/>
          <w:szCs w:val="24"/>
        </w:rPr>
        <w:t xml:space="preserve"> </w:t>
      </w:r>
      <w:r w:rsidRPr="007475F3">
        <w:rPr>
          <w:rFonts w:eastAsia="34cvf"/>
          <w:sz w:val="24"/>
          <w:szCs w:val="24"/>
        </w:rPr>
        <w:t xml:space="preserve">er plasmaproteinbindingen for </w:t>
      </w:r>
      <w:proofErr w:type="spellStart"/>
      <w:r w:rsidRPr="007475F3">
        <w:rPr>
          <w:rFonts w:eastAsia="34cvf"/>
          <w:sz w:val="24"/>
          <w:szCs w:val="24"/>
        </w:rPr>
        <w:t>irinotecan</w:t>
      </w:r>
      <w:proofErr w:type="spellEnd"/>
      <w:r w:rsidRPr="007475F3">
        <w:rPr>
          <w:rFonts w:eastAsia="34cvf"/>
          <w:sz w:val="24"/>
          <w:szCs w:val="24"/>
        </w:rPr>
        <w:t xml:space="preserve"> og SN-38 henholdsvis 65 % og 95 %.</w:t>
      </w:r>
    </w:p>
    <w:p w14:paraId="6D76EFCE" w14:textId="77777777" w:rsidR="003237D1" w:rsidRPr="007475F3" w:rsidRDefault="003237D1" w:rsidP="003C648F">
      <w:pPr>
        <w:autoSpaceDE w:val="0"/>
        <w:autoSpaceDN w:val="0"/>
        <w:adjustRightInd w:val="0"/>
        <w:ind w:left="851"/>
        <w:rPr>
          <w:rFonts w:eastAsia="34cvf"/>
          <w:bCs/>
          <w:sz w:val="24"/>
          <w:szCs w:val="24"/>
        </w:rPr>
      </w:pPr>
    </w:p>
    <w:p w14:paraId="06DA939F" w14:textId="77777777" w:rsidR="003237D1" w:rsidRPr="007475F3" w:rsidRDefault="003237D1" w:rsidP="003C648F">
      <w:pPr>
        <w:autoSpaceDE w:val="0"/>
        <w:autoSpaceDN w:val="0"/>
        <w:adjustRightInd w:val="0"/>
        <w:ind w:left="851"/>
        <w:rPr>
          <w:rFonts w:eastAsia="34cvf"/>
          <w:bCs/>
          <w:sz w:val="24"/>
          <w:szCs w:val="24"/>
          <w:u w:val="single"/>
        </w:rPr>
      </w:pPr>
      <w:r w:rsidRPr="007475F3">
        <w:rPr>
          <w:rFonts w:eastAsia="34cvf"/>
          <w:sz w:val="24"/>
          <w:szCs w:val="24"/>
          <w:u w:val="single"/>
        </w:rPr>
        <w:lastRenderedPageBreak/>
        <w:t>Biotransformation</w:t>
      </w:r>
    </w:p>
    <w:p w14:paraId="0A5DEFE4" w14:textId="77777777" w:rsidR="003237D1" w:rsidRPr="007475F3" w:rsidRDefault="003237D1" w:rsidP="003C648F">
      <w:pPr>
        <w:autoSpaceDE w:val="0"/>
        <w:autoSpaceDN w:val="0"/>
        <w:adjustRightInd w:val="0"/>
        <w:ind w:left="851"/>
        <w:rPr>
          <w:rFonts w:eastAsia="34cvf"/>
          <w:bCs/>
          <w:sz w:val="24"/>
          <w:szCs w:val="24"/>
        </w:rPr>
      </w:pPr>
      <w:r w:rsidRPr="007475F3">
        <w:rPr>
          <w:rFonts w:eastAsia="34cvf"/>
          <w:sz w:val="24"/>
          <w:szCs w:val="24"/>
        </w:rPr>
        <w:t xml:space="preserve">Massebalance- og </w:t>
      </w:r>
      <w:proofErr w:type="spellStart"/>
      <w:r w:rsidRPr="007475F3">
        <w:rPr>
          <w:rFonts w:eastAsia="34cvf"/>
          <w:sz w:val="24"/>
          <w:szCs w:val="24"/>
        </w:rPr>
        <w:t>metaboliseringsforsøg</w:t>
      </w:r>
      <w:proofErr w:type="spellEnd"/>
      <w:r w:rsidRPr="007475F3">
        <w:rPr>
          <w:rFonts w:eastAsia="34cvf"/>
          <w:sz w:val="24"/>
          <w:szCs w:val="24"/>
        </w:rPr>
        <w:t xml:space="preserve"> med 14C-mærket lægemiddel viste, at mere end 50 % af en intravenøst administreret dosis af </w:t>
      </w:r>
      <w:proofErr w:type="spellStart"/>
      <w:r w:rsidRPr="007475F3">
        <w:rPr>
          <w:rFonts w:eastAsia="34cvf"/>
          <w:sz w:val="24"/>
          <w:szCs w:val="24"/>
        </w:rPr>
        <w:t>irinotecan</w:t>
      </w:r>
      <w:proofErr w:type="spellEnd"/>
      <w:r w:rsidRPr="007475F3">
        <w:rPr>
          <w:rFonts w:eastAsia="34cvf"/>
          <w:sz w:val="24"/>
          <w:szCs w:val="24"/>
        </w:rPr>
        <w:t xml:space="preserve"> udskilles som </w:t>
      </w:r>
      <w:proofErr w:type="spellStart"/>
      <w:r w:rsidRPr="007475F3">
        <w:rPr>
          <w:rFonts w:eastAsia="34cvf"/>
          <w:sz w:val="24"/>
          <w:szCs w:val="24"/>
        </w:rPr>
        <w:t>uomdannet</w:t>
      </w:r>
      <w:proofErr w:type="spellEnd"/>
      <w:r w:rsidRPr="007475F3">
        <w:rPr>
          <w:rFonts w:eastAsia="34cvf"/>
          <w:sz w:val="24"/>
          <w:szCs w:val="24"/>
        </w:rPr>
        <w:t xml:space="preserve"> lægemiddel, med 33 % i fæces hovedsagelig via galden og 22 % i urinen.</w:t>
      </w:r>
    </w:p>
    <w:p w14:paraId="50C8A8FC" w14:textId="77777777" w:rsidR="003237D1" w:rsidRPr="007475F3" w:rsidRDefault="003237D1" w:rsidP="003C648F">
      <w:pPr>
        <w:autoSpaceDE w:val="0"/>
        <w:autoSpaceDN w:val="0"/>
        <w:adjustRightInd w:val="0"/>
        <w:ind w:left="851"/>
        <w:rPr>
          <w:rFonts w:eastAsia="34cvf"/>
          <w:bCs/>
          <w:sz w:val="24"/>
          <w:szCs w:val="24"/>
        </w:rPr>
      </w:pPr>
    </w:p>
    <w:p w14:paraId="3D07BD5D" w14:textId="77777777" w:rsidR="003237D1" w:rsidRPr="007475F3" w:rsidRDefault="003237D1" w:rsidP="003C648F">
      <w:pPr>
        <w:autoSpaceDE w:val="0"/>
        <w:autoSpaceDN w:val="0"/>
        <w:adjustRightInd w:val="0"/>
        <w:ind w:left="851"/>
        <w:rPr>
          <w:rFonts w:eastAsia="34cvf"/>
          <w:bCs/>
          <w:sz w:val="24"/>
          <w:szCs w:val="24"/>
        </w:rPr>
      </w:pPr>
      <w:r w:rsidRPr="007475F3">
        <w:rPr>
          <w:rFonts w:eastAsia="34cvf"/>
          <w:sz w:val="24"/>
          <w:szCs w:val="24"/>
        </w:rPr>
        <w:t>To metaboliske veje tegner sig for mindst 12 % af dosis:</w:t>
      </w:r>
    </w:p>
    <w:p w14:paraId="6CF86F40" w14:textId="77777777" w:rsidR="003237D1" w:rsidRPr="007475F3" w:rsidRDefault="003237D1" w:rsidP="003C648F">
      <w:pPr>
        <w:autoSpaceDE w:val="0"/>
        <w:autoSpaceDN w:val="0"/>
        <w:adjustRightInd w:val="0"/>
        <w:ind w:left="1276" w:hanging="425"/>
        <w:rPr>
          <w:rFonts w:eastAsia="34cvf"/>
          <w:bCs/>
          <w:sz w:val="24"/>
          <w:szCs w:val="24"/>
        </w:rPr>
      </w:pPr>
      <w:r w:rsidRPr="007475F3">
        <w:rPr>
          <w:rFonts w:eastAsia="34cvf"/>
          <w:sz w:val="24"/>
          <w:szCs w:val="24"/>
        </w:rPr>
        <w:t>-</w:t>
      </w:r>
      <w:r w:rsidRPr="007475F3">
        <w:rPr>
          <w:rFonts w:eastAsia="34cvf"/>
          <w:bCs/>
          <w:sz w:val="24"/>
          <w:szCs w:val="24"/>
        </w:rPr>
        <w:tab/>
        <w:t xml:space="preserve">Hydrolyse ved hjælp af </w:t>
      </w:r>
      <w:proofErr w:type="spellStart"/>
      <w:r w:rsidRPr="007475F3">
        <w:rPr>
          <w:rFonts w:eastAsia="34cvf"/>
          <w:bCs/>
          <w:sz w:val="24"/>
          <w:szCs w:val="24"/>
        </w:rPr>
        <w:t>carboxylesterase</w:t>
      </w:r>
      <w:proofErr w:type="spellEnd"/>
      <w:r w:rsidRPr="007475F3">
        <w:rPr>
          <w:rFonts w:eastAsia="34cvf"/>
          <w:bCs/>
          <w:sz w:val="24"/>
          <w:szCs w:val="24"/>
        </w:rPr>
        <w:t xml:space="preserve"> til den aktive metabolit SN-38. SN-38 elimineres hovedsagelig ved </w:t>
      </w:r>
      <w:proofErr w:type="spellStart"/>
      <w:r w:rsidRPr="007475F3">
        <w:rPr>
          <w:rFonts w:eastAsia="34cvf"/>
          <w:bCs/>
          <w:sz w:val="24"/>
          <w:szCs w:val="24"/>
        </w:rPr>
        <w:t>glucuronidering</w:t>
      </w:r>
      <w:proofErr w:type="spellEnd"/>
      <w:r w:rsidRPr="007475F3">
        <w:rPr>
          <w:rFonts w:eastAsia="34cvf"/>
          <w:bCs/>
          <w:sz w:val="24"/>
          <w:szCs w:val="24"/>
        </w:rPr>
        <w:t xml:space="preserve"> og yderligere ved galde og </w:t>
      </w:r>
      <w:proofErr w:type="spellStart"/>
      <w:r w:rsidRPr="007475F3">
        <w:rPr>
          <w:rFonts w:eastAsia="34cvf"/>
          <w:bCs/>
          <w:sz w:val="24"/>
          <w:szCs w:val="24"/>
        </w:rPr>
        <w:t>renal</w:t>
      </w:r>
      <w:proofErr w:type="spellEnd"/>
      <w:r w:rsidRPr="007475F3">
        <w:rPr>
          <w:rFonts w:eastAsia="34cvf"/>
          <w:bCs/>
          <w:sz w:val="24"/>
          <w:szCs w:val="24"/>
        </w:rPr>
        <w:t xml:space="preserve"> udskillelse (mindre end 0,5 % af </w:t>
      </w:r>
      <w:proofErr w:type="spellStart"/>
      <w:r w:rsidRPr="007475F3">
        <w:rPr>
          <w:rFonts w:eastAsia="34cvf"/>
          <w:bCs/>
          <w:sz w:val="24"/>
          <w:szCs w:val="24"/>
        </w:rPr>
        <w:t>irinotecan</w:t>
      </w:r>
      <w:proofErr w:type="spellEnd"/>
      <w:r w:rsidRPr="007475F3">
        <w:rPr>
          <w:rFonts w:eastAsia="34cvf"/>
          <w:bCs/>
          <w:sz w:val="24"/>
          <w:szCs w:val="24"/>
        </w:rPr>
        <w:t xml:space="preserve">-dosis). SN-38 </w:t>
      </w:r>
      <w:proofErr w:type="spellStart"/>
      <w:r w:rsidRPr="007475F3">
        <w:rPr>
          <w:rFonts w:eastAsia="34cvf"/>
          <w:bCs/>
          <w:sz w:val="24"/>
          <w:szCs w:val="24"/>
        </w:rPr>
        <w:t>glucuronid</w:t>
      </w:r>
      <w:proofErr w:type="spellEnd"/>
      <w:r w:rsidRPr="007475F3">
        <w:rPr>
          <w:rFonts w:eastAsia="34cvf"/>
          <w:bCs/>
          <w:sz w:val="24"/>
          <w:szCs w:val="24"/>
        </w:rPr>
        <w:t xml:space="preserve"> hydrolyseres sandsynligvis efterfølgende </w:t>
      </w:r>
      <w:proofErr w:type="spellStart"/>
      <w:r w:rsidRPr="007475F3">
        <w:rPr>
          <w:rFonts w:eastAsia="34cvf"/>
          <w:bCs/>
          <w:sz w:val="24"/>
          <w:szCs w:val="24"/>
        </w:rPr>
        <w:t>intestinalt</w:t>
      </w:r>
      <w:proofErr w:type="spellEnd"/>
      <w:r w:rsidRPr="007475F3">
        <w:rPr>
          <w:rFonts w:eastAsia="34cvf"/>
          <w:bCs/>
          <w:sz w:val="24"/>
          <w:szCs w:val="24"/>
        </w:rPr>
        <w:t>.</w:t>
      </w:r>
    </w:p>
    <w:p w14:paraId="11D0DB9F" w14:textId="7D557351" w:rsidR="003237D1" w:rsidRPr="007475F3" w:rsidRDefault="003237D1" w:rsidP="003C648F">
      <w:pPr>
        <w:autoSpaceDE w:val="0"/>
        <w:autoSpaceDN w:val="0"/>
        <w:adjustRightInd w:val="0"/>
        <w:ind w:left="1276" w:hanging="425"/>
        <w:rPr>
          <w:rFonts w:eastAsia="34cvf"/>
          <w:bCs/>
          <w:sz w:val="24"/>
          <w:szCs w:val="24"/>
        </w:rPr>
      </w:pPr>
      <w:r w:rsidRPr="007475F3">
        <w:rPr>
          <w:rFonts w:eastAsia="34cvf"/>
          <w:bCs/>
          <w:sz w:val="24"/>
          <w:szCs w:val="24"/>
        </w:rPr>
        <w:t>-</w:t>
      </w:r>
      <w:r w:rsidRPr="007475F3">
        <w:rPr>
          <w:rFonts w:eastAsia="34cvf"/>
          <w:bCs/>
          <w:sz w:val="24"/>
          <w:szCs w:val="24"/>
        </w:rPr>
        <w:tab/>
      </w:r>
      <w:proofErr w:type="spellStart"/>
      <w:r w:rsidRPr="007475F3">
        <w:rPr>
          <w:rFonts w:eastAsia="34cvf"/>
          <w:bCs/>
          <w:sz w:val="24"/>
          <w:szCs w:val="24"/>
        </w:rPr>
        <w:t>Cytochrom</w:t>
      </w:r>
      <w:proofErr w:type="spellEnd"/>
      <w:r w:rsidRPr="007475F3">
        <w:rPr>
          <w:rFonts w:eastAsia="34cvf"/>
          <w:bCs/>
          <w:sz w:val="24"/>
          <w:szCs w:val="24"/>
        </w:rPr>
        <w:t xml:space="preserve"> P450 3A enzymafhængige oxidationer resulterende i en åbning af den ydre </w:t>
      </w:r>
      <w:proofErr w:type="spellStart"/>
      <w:r w:rsidRPr="007475F3">
        <w:rPr>
          <w:rFonts w:eastAsia="34cvf"/>
          <w:bCs/>
          <w:sz w:val="24"/>
          <w:szCs w:val="24"/>
        </w:rPr>
        <w:t>piperidin</w:t>
      </w:r>
      <w:proofErr w:type="spellEnd"/>
      <w:r w:rsidRPr="007475F3">
        <w:rPr>
          <w:rFonts w:eastAsia="34cvf"/>
          <w:bCs/>
          <w:sz w:val="24"/>
          <w:szCs w:val="24"/>
        </w:rPr>
        <w:t>-ring med dannelse af APC (</w:t>
      </w:r>
      <w:proofErr w:type="spellStart"/>
      <w:r w:rsidRPr="007475F3">
        <w:rPr>
          <w:rFonts w:eastAsia="34cvf"/>
          <w:bCs/>
          <w:sz w:val="24"/>
          <w:szCs w:val="24"/>
        </w:rPr>
        <w:t>aminopentansyrederivat</w:t>
      </w:r>
      <w:proofErr w:type="spellEnd"/>
      <w:r w:rsidRPr="007475F3">
        <w:rPr>
          <w:rFonts w:eastAsia="34cvf"/>
          <w:bCs/>
          <w:sz w:val="24"/>
          <w:szCs w:val="24"/>
        </w:rPr>
        <w:t>) og NPC (</w:t>
      </w:r>
      <w:proofErr w:type="gramStart"/>
      <w:r w:rsidRPr="007475F3">
        <w:rPr>
          <w:rFonts w:eastAsia="34cvf"/>
          <w:bCs/>
          <w:sz w:val="24"/>
          <w:szCs w:val="24"/>
        </w:rPr>
        <w:t>primær</w:t>
      </w:r>
      <w:r w:rsidR="003A18C6" w:rsidRPr="007475F3">
        <w:rPr>
          <w:rFonts w:eastAsia="34cvf"/>
          <w:bCs/>
          <w:sz w:val="24"/>
          <w:szCs w:val="24"/>
        </w:rPr>
        <w:t xml:space="preserve"> </w:t>
      </w:r>
      <w:r w:rsidRPr="007475F3">
        <w:rPr>
          <w:rFonts w:eastAsia="34cvf"/>
          <w:bCs/>
          <w:sz w:val="24"/>
          <w:szCs w:val="24"/>
        </w:rPr>
        <w:t>aminderivat</w:t>
      </w:r>
      <w:proofErr w:type="gramEnd"/>
      <w:r w:rsidRPr="007475F3">
        <w:rPr>
          <w:rFonts w:eastAsia="34cvf"/>
          <w:bCs/>
          <w:sz w:val="24"/>
          <w:szCs w:val="24"/>
        </w:rPr>
        <w:t>) (se pkt. 4.5).</w:t>
      </w:r>
    </w:p>
    <w:p w14:paraId="14860F7F" w14:textId="77777777" w:rsidR="003237D1" w:rsidRPr="007475F3" w:rsidRDefault="003237D1" w:rsidP="000E2717">
      <w:pPr>
        <w:autoSpaceDE w:val="0"/>
        <w:autoSpaceDN w:val="0"/>
        <w:adjustRightInd w:val="0"/>
        <w:ind w:left="851"/>
        <w:rPr>
          <w:rFonts w:eastAsia="34cvf"/>
          <w:bCs/>
          <w:sz w:val="24"/>
          <w:szCs w:val="24"/>
        </w:rPr>
      </w:pPr>
    </w:p>
    <w:p w14:paraId="760D3F78" w14:textId="77777777" w:rsidR="003237D1" w:rsidRPr="007475F3" w:rsidRDefault="003237D1" w:rsidP="000E2717">
      <w:pPr>
        <w:autoSpaceDE w:val="0"/>
        <w:autoSpaceDN w:val="0"/>
        <w:adjustRightInd w:val="0"/>
        <w:ind w:left="851"/>
        <w:rPr>
          <w:rFonts w:eastAsia="34cvf"/>
          <w:bCs/>
          <w:sz w:val="24"/>
          <w:szCs w:val="24"/>
        </w:rPr>
      </w:pPr>
      <w:proofErr w:type="spellStart"/>
      <w:r w:rsidRPr="007475F3">
        <w:rPr>
          <w:rFonts w:eastAsia="34cvf"/>
          <w:sz w:val="24"/>
          <w:szCs w:val="24"/>
        </w:rPr>
        <w:t>Uomdannet</w:t>
      </w:r>
      <w:proofErr w:type="spellEnd"/>
      <w:r w:rsidRPr="007475F3">
        <w:rPr>
          <w:rFonts w:eastAsia="34cvf"/>
          <w:sz w:val="24"/>
          <w:szCs w:val="24"/>
        </w:rPr>
        <w:t xml:space="preserve"> </w:t>
      </w:r>
      <w:proofErr w:type="spellStart"/>
      <w:r w:rsidRPr="007475F3">
        <w:rPr>
          <w:rFonts w:eastAsia="34cvf"/>
          <w:sz w:val="24"/>
          <w:szCs w:val="24"/>
        </w:rPr>
        <w:t>irinotecan</w:t>
      </w:r>
      <w:proofErr w:type="spellEnd"/>
      <w:r w:rsidRPr="007475F3">
        <w:rPr>
          <w:rFonts w:eastAsia="34cvf"/>
          <w:sz w:val="24"/>
          <w:szCs w:val="24"/>
        </w:rPr>
        <w:t xml:space="preserve"> udgør den største del i plasma, fulgt af APC, SN-38 </w:t>
      </w:r>
      <w:proofErr w:type="spellStart"/>
      <w:r w:rsidRPr="007475F3">
        <w:rPr>
          <w:rFonts w:eastAsia="34cvf"/>
          <w:sz w:val="24"/>
          <w:szCs w:val="24"/>
        </w:rPr>
        <w:t>glucorunid</w:t>
      </w:r>
      <w:proofErr w:type="spellEnd"/>
      <w:r w:rsidRPr="007475F3">
        <w:rPr>
          <w:rFonts w:eastAsia="34cvf"/>
          <w:sz w:val="24"/>
          <w:szCs w:val="24"/>
        </w:rPr>
        <w:t xml:space="preserve"> og SN-38. Kun SN-38 har signifikant </w:t>
      </w:r>
      <w:proofErr w:type="spellStart"/>
      <w:r w:rsidRPr="007475F3">
        <w:rPr>
          <w:rFonts w:eastAsia="34cvf"/>
          <w:sz w:val="24"/>
          <w:szCs w:val="24"/>
        </w:rPr>
        <w:t>cytotoksisk</w:t>
      </w:r>
      <w:proofErr w:type="spellEnd"/>
      <w:r w:rsidRPr="007475F3">
        <w:rPr>
          <w:rFonts w:eastAsia="34cvf"/>
          <w:sz w:val="24"/>
          <w:szCs w:val="24"/>
        </w:rPr>
        <w:t xml:space="preserve"> aktivitet.</w:t>
      </w:r>
    </w:p>
    <w:p w14:paraId="7548D19B" w14:textId="77777777" w:rsidR="003237D1" w:rsidRPr="007475F3" w:rsidRDefault="003237D1" w:rsidP="000E2717">
      <w:pPr>
        <w:autoSpaceDE w:val="0"/>
        <w:autoSpaceDN w:val="0"/>
        <w:adjustRightInd w:val="0"/>
        <w:ind w:left="851"/>
        <w:rPr>
          <w:rFonts w:eastAsia="34cvf"/>
          <w:bCs/>
          <w:sz w:val="24"/>
          <w:szCs w:val="24"/>
        </w:rPr>
      </w:pPr>
    </w:p>
    <w:p w14:paraId="059E209F" w14:textId="77777777" w:rsidR="003237D1" w:rsidRPr="007475F3" w:rsidRDefault="003237D1" w:rsidP="003C648F">
      <w:pPr>
        <w:autoSpaceDE w:val="0"/>
        <w:autoSpaceDN w:val="0"/>
        <w:adjustRightInd w:val="0"/>
        <w:ind w:left="851"/>
        <w:rPr>
          <w:rFonts w:eastAsia="34cvf"/>
          <w:bCs/>
          <w:sz w:val="24"/>
          <w:szCs w:val="24"/>
          <w:u w:val="single"/>
        </w:rPr>
      </w:pPr>
      <w:r w:rsidRPr="007475F3">
        <w:rPr>
          <w:rFonts w:eastAsia="34cvf"/>
          <w:sz w:val="24"/>
          <w:szCs w:val="24"/>
          <w:u w:val="single"/>
        </w:rPr>
        <w:t>Elimination</w:t>
      </w:r>
    </w:p>
    <w:p w14:paraId="1E562A3D"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I et fase I-forsøg med 60 patienter med et dosisregime med en 30 minutters intravenøs infusion på 100-750 mg/m</w:t>
      </w:r>
      <w:r w:rsidRPr="007475F3">
        <w:rPr>
          <w:rFonts w:eastAsia="34cvf"/>
          <w:sz w:val="24"/>
          <w:szCs w:val="24"/>
          <w:vertAlign w:val="superscript"/>
        </w:rPr>
        <w:t>2</w:t>
      </w:r>
      <w:r w:rsidRPr="007475F3">
        <w:rPr>
          <w:rFonts w:eastAsia="34cvf"/>
          <w:sz w:val="24"/>
          <w:szCs w:val="24"/>
        </w:rPr>
        <w:t xml:space="preserve"> hver 3. uge, viste </w:t>
      </w:r>
      <w:proofErr w:type="spellStart"/>
      <w:r w:rsidRPr="007475F3">
        <w:rPr>
          <w:rFonts w:eastAsia="34cvf"/>
          <w:sz w:val="24"/>
          <w:szCs w:val="24"/>
        </w:rPr>
        <w:t>irinotecan</w:t>
      </w:r>
      <w:proofErr w:type="spellEnd"/>
      <w:r w:rsidRPr="007475F3">
        <w:rPr>
          <w:rFonts w:eastAsia="34cvf"/>
          <w:sz w:val="24"/>
          <w:szCs w:val="24"/>
        </w:rPr>
        <w:t xml:space="preserve"> en </w:t>
      </w:r>
      <w:proofErr w:type="spellStart"/>
      <w:r w:rsidRPr="007475F3">
        <w:rPr>
          <w:rFonts w:eastAsia="34cvf"/>
          <w:sz w:val="24"/>
          <w:szCs w:val="24"/>
        </w:rPr>
        <w:t>bifasisk</w:t>
      </w:r>
      <w:proofErr w:type="spellEnd"/>
      <w:r w:rsidRPr="007475F3">
        <w:rPr>
          <w:rFonts w:eastAsia="34cvf"/>
          <w:sz w:val="24"/>
          <w:szCs w:val="24"/>
        </w:rPr>
        <w:t xml:space="preserve"> eller </w:t>
      </w:r>
      <w:proofErr w:type="spellStart"/>
      <w:r w:rsidRPr="007475F3">
        <w:rPr>
          <w:rFonts w:eastAsia="34cvf"/>
          <w:sz w:val="24"/>
          <w:szCs w:val="24"/>
        </w:rPr>
        <w:t>trifasisk</w:t>
      </w:r>
      <w:proofErr w:type="spellEnd"/>
      <w:r w:rsidRPr="007475F3">
        <w:rPr>
          <w:rFonts w:eastAsia="34cvf"/>
          <w:sz w:val="24"/>
          <w:szCs w:val="24"/>
        </w:rPr>
        <w:t xml:space="preserve"> eliminationsprofil. Den gennemsnitlige plasma </w:t>
      </w:r>
      <w:proofErr w:type="spellStart"/>
      <w:r w:rsidRPr="007475F3">
        <w:rPr>
          <w:rFonts w:eastAsia="34cvf"/>
          <w:sz w:val="24"/>
          <w:szCs w:val="24"/>
        </w:rPr>
        <w:t>clearance</w:t>
      </w:r>
      <w:proofErr w:type="spellEnd"/>
      <w:r w:rsidRPr="007475F3">
        <w:rPr>
          <w:rFonts w:eastAsia="34cvf"/>
          <w:sz w:val="24"/>
          <w:szCs w:val="24"/>
        </w:rPr>
        <w:t xml:space="preserve"> var 15 l/t/m</w:t>
      </w:r>
      <w:r w:rsidRPr="007475F3">
        <w:rPr>
          <w:rFonts w:eastAsia="34cvf"/>
          <w:sz w:val="24"/>
          <w:szCs w:val="24"/>
          <w:vertAlign w:val="superscript"/>
        </w:rPr>
        <w:t>2</w:t>
      </w:r>
      <w:r w:rsidRPr="007475F3">
        <w:rPr>
          <w:rFonts w:eastAsia="34cvf"/>
          <w:sz w:val="24"/>
          <w:szCs w:val="24"/>
        </w:rPr>
        <w:t xml:space="preserve">. Den gennemsnitlige plasmahalveringstid ved den første fase af den </w:t>
      </w:r>
      <w:proofErr w:type="spellStart"/>
      <w:r w:rsidRPr="007475F3">
        <w:rPr>
          <w:rFonts w:eastAsia="34cvf"/>
          <w:sz w:val="24"/>
          <w:szCs w:val="24"/>
        </w:rPr>
        <w:t>trifasiske</w:t>
      </w:r>
      <w:proofErr w:type="spellEnd"/>
      <w:r w:rsidRPr="007475F3">
        <w:rPr>
          <w:rFonts w:eastAsia="34cvf"/>
          <w:sz w:val="24"/>
          <w:szCs w:val="24"/>
        </w:rPr>
        <w:t xml:space="preserve"> model var 12 minutter, ved den anden fase 2,5 timer og ved den terminale fases halveringstid 14,2 timer. SN-38 viste en </w:t>
      </w:r>
      <w:proofErr w:type="spellStart"/>
      <w:r w:rsidRPr="007475F3">
        <w:rPr>
          <w:rFonts w:eastAsia="34cvf"/>
          <w:sz w:val="24"/>
          <w:szCs w:val="24"/>
        </w:rPr>
        <w:t>bifasisk</w:t>
      </w:r>
      <w:proofErr w:type="spellEnd"/>
      <w:r w:rsidRPr="007475F3">
        <w:rPr>
          <w:rFonts w:eastAsia="34cvf"/>
          <w:sz w:val="24"/>
          <w:szCs w:val="24"/>
        </w:rPr>
        <w:t xml:space="preserve"> eliminationsprofil med en gennemsnitlig terminal eliminationshalveringstid på 13,8 timer. </w:t>
      </w:r>
    </w:p>
    <w:p w14:paraId="6A9F1BA8" w14:textId="77777777" w:rsidR="003237D1" w:rsidRPr="007475F3" w:rsidRDefault="003237D1" w:rsidP="003C648F">
      <w:pPr>
        <w:autoSpaceDE w:val="0"/>
        <w:autoSpaceDN w:val="0"/>
        <w:adjustRightInd w:val="0"/>
        <w:ind w:left="851"/>
        <w:rPr>
          <w:rFonts w:eastAsia="34cvf"/>
          <w:sz w:val="24"/>
          <w:szCs w:val="24"/>
        </w:rPr>
      </w:pPr>
    </w:p>
    <w:p w14:paraId="73B72FE6" w14:textId="2A3C6707" w:rsidR="003A18C6" w:rsidRPr="007475F3" w:rsidRDefault="003237D1" w:rsidP="007475F3">
      <w:pPr>
        <w:autoSpaceDE w:val="0"/>
        <w:autoSpaceDN w:val="0"/>
        <w:adjustRightInd w:val="0"/>
        <w:ind w:left="851"/>
        <w:rPr>
          <w:rFonts w:eastAsia="34cvf"/>
          <w:sz w:val="24"/>
          <w:szCs w:val="24"/>
        </w:rPr>
      </w:pPr>
      <w:proofErr w:type="spellStart"/>
      <w:r w:rsidRPr="007475F3">
        <w:rPr>
          <w:rFonts w:eastAsia="34cvf"/>
          <w:sz w:val="24"/>
          <w:szCs w:val="24"/>
        </w:rPr>
        <w:t>Irinotecan-clearance</w:t>
      </w:r>
      <w:proofErr w:type="spellEnd"/>
      <w:r w:rsidRPr="007475F3">
        <w:rPr>
          <w:rFonts w:eastAsia="34cvf"/>
          <w:sz w:val="24"/>
          <w:szCs w:val="24"/>
        </w:rPr>
        <w:t xml:space="preserve"> nedsættes med ca. 40 % hos patienter med </w:t>
      </w:r>
      <w:proofErr w:type="spellStart"/>
      <w:r w:rsidRPr="007475F3">
        <w:rPr>
          <w:rFonts w:eastAsia="34cvf"/>
          <w:sz w:val="24"/>
          <w:szCs w:val="24"/>
        </w:rPr>
        <w:t>bilirubinæmi</w:t>
      </w:r>
      <w:proofErr w:type="spellEnd"/>
      <w:r w:rsidRPr="007475F3">
        <w:rPr>
          <w:rFonts w:eastAsia="34cvf"/>
          <w:sz w:val="24"/>
          <w:szCs w:val="24"/>
        </w:rPr>
        <w:t xml:space="preserve"> mellem 1,5 og 3 gange den øvre normalgrænse. Hos disse patienter giver en 200 mg/m² </w:t>
      </w:r>
      <w:proofErr w:type="spellStart"/>
      <w:r w:rsidRPr="007475F3">
        <w:rPr>
          <w:rFonts w:eastAsia="34cvf"/>
          <w:sz w:val="24"/>
          <w:szCs w:val="24"/>
        </w:rPr>
        <w:t>irinotecan</w:t>
      </w:r>
      <w:proofErr w:type="spellEnd"/>
      <w:r w:rsidRPr="007475F3">
        <w:rPr>
          <w:rFonts w:eastAsia="34cvf"/>
          <w:sz w:val="24"/>
          <w:szCs w:val="24"/>
        </w:rPr>
        <w:t>-dosis en lægemiddeleksponering i plasma sammenlignelig med den, der ses ved 350 mg/m² hos cancerpatienter med normale leverparametre.</w:t>
      </w:r>
    </w:p>
    <w:p w14:paraId="787FBF5B" w14:textId="77777777" w:rsidR="003237D1" w:rsidRPr="007475F3" w:rsidRDefault="003237D1" w:rsidP="003C648F">
      <w:pPr>
        <w:autoSpaceDE w:val="0"/>
        <w:autoSpaceDN w:val="0"/>
        <w:adjustRightInd w:val="0"/>
        <w:ind w:left="851"/>
        <w:rPr>
          <w:rFonts w:eastAsia="34cvf"/>
          <w:sz w:val="24"/>
          <w:szCs w:val="24"/>
        </w:rPr>
      </w:pPr>
    </w:p>
    <w:p w14:paraId="55B58942"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u w:val="single"/>
        </w:rPr>
        <w:t>Linearitet/ikke-linearitet</w:t>
      </w:r>
    </w:p>
    <w:p w14:paraId="305F88D0"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 xml:space="preserve">En </w:t>
      </w:r>
      <w:proofErr w:type="spellStart"/>
      <w:r w:rsidRPr="007475F3">
        <w:rPr>
          <w:rFonts w:eastAsia="34cvf"/>
          <w:sz w:val="24"/>
          <w:szCs w:val="24"/>
        </w:rPr>
        <w:t>populationsfarmakokinetisk</w:t>
      </w:r>
      <w:proofErr w:type="spellEnd"/>
      <w:r w:rsidRPr="007475F3">
        <w:rPr>
          <w:rFonts w:eastAsia="34cvf"/>
          <w:sz w:val="24"/>
          <w:szCs w:val="24"/>
        </w:rPr>
        <w:t xml:space="preserve"> analyse af </w:t>
      </w:r>
      <w:proofErr w:type="spellStart"/>
      <w:r w:rsidRPr="007475F3">
        <w:rPr>
          <w:rFonts w:eastAsia="34cvf"/>
          <w:sz w:val="24"/>
          <w:szCs w:val="24"/>
        </w:rPr>
        <w:t>irinotecan</w:t>
      </w:r>
      <w:proofErr w:type="spellEnd"/>
      <w:r w:rsidRPr="007475F3">
        <w:rPr>
          <w:rFonts w:eastAsia="34cvf"/>
          <w:sz w:val="24"/>
          <w:szCs w:val="24"/>
        </w:rPr>
        <w:t xml:space="preserve"> blev foretaget hos 148 patienter med metastaserende </w:t>
      </w:r>
      <w:proofErr w:type="spellStart"/>
      <w:r w:rsidRPr="007475F3">
        <w:rPr>
          <w:rFonts w:eastAsia="34cvf"/>
          <w:sz w:val="24"/>
          <w:szCs w:val="24"/>
        </w:rPr>
        <w:t>colorektal</w:t>
      </w:r>
      <w:proofErr w:type="spellEnd"/>
      <w:r w:rsidRPr="007475F3">
        <w:rPr>
          <w:rFonts w:eastAsia="34cvf"/>
          <w:sz w:val="24"/>
          <w:szCs w:val="24"/>
        </w:rPr>
        <w:t xml:space="preserve"> cancer, der var behandlet efter forskellige behandlingsregimer og forskellige doser i fase II-forsøg. </w:t>
      </w:r>
      <w:proofErr w:type="spellStart"/>
      <w:r w:rsidRPr="007475F3">
        <w:rPr>
          <w:rFonts w:eastAsia="34cvf"/>
          <w:sz w:val="24"/>
          <w:szCs w:val="24"/>
        </w:rPr>
        <w:t>Farmakokinetiske</w:t>
      </w:r>
      <w:proofErr w:type="spellEnd"/>
      <w:r w:rsidRPr="007475F3">
        <w:rPr>
          <w:rFonts w:eastAsia="34cvf"/>
          <w:sz w:val="24"/>
          <w:szCs w:val="24"/>
        </w:rPr>
        <w:t xml:space="preserve"> parametre vurderet i forhold til en 3-compartment model var lig dem, der blev observeret i fase I-forsøg. Alle forsøg har vist, at eksponering for </w:t>
      </w:r>
      <w:proofErr w:type="spellStart"/>
      <w:r w:rsidRPr="007475F3">
        <w:rPr>
          <w:rFonts w:eastAsia="34cvf"/>
          <w:sz w:val="24"/>
          <w:szCs w:val="24"/>
        </w:rPr>
        <w:t>irinotecan</w:t>
      </w:r>
      <w:proofErr w:type="spellEnd"/>
      <w:r w:rsidRPr="007475F3">
        <w:rPr>
          <w:rFonts w:eastAsia="34cvf"/>
          <w:sz w:val="24"/>
          <w:szCs w:val="24"/>
        </w:rPr>
        <w:t xml:space="preserve"> (CPT-11) og SN-38 øges proportionalt med administreret dosis af CPT-11; farmakokinetikken er uafhængig af antallet af tidligere cyklusser og behandlingsregime.</w:t>
      </w:r>
    </w:p>
    <w:p w14:paraId="5C105340" w14:textId="77777777" w:rsidR="003237D1" w:rsidRPr="007475F3" w:rsidRDefault="003237D1" w:rsidP="003C648F">
      <w:pPr>
        <w:autoSpaceDE w:val="0"/>
        <w:autoSpaceDN w:val="0"/>
        <w:adjustRightInd w:val="0"/>
        <w:ind w:left="851"/>
        <w:rPr>
          <w:rFonts w:eastAsia="34cvf"/>
          <w:sz w:val="24"/>
          <w:szCs w:val="24"/>
        </w:rPr>
      </w:pPr>
    </w:p>
    <w:p w14:paraId="12954C62" w14:textId="77777777" w:rsidR="007475F3" w:rsidRDefault="007475F3" w:rsidP="007475F3">
      <w:pPr>
        <w:autoSpaceDE w:val="0"/>
        <w:autoSpaceDN w:val="0"/>
        <w:adjustRightInd w:val="0"/>
        <w:ind w:left="851"/>
        <w:rPr>
          <w:rFonts w:eastAsia="34cvf"/>
          <w:sz w:val="22"/>
          <w:u w:val="single"/>
        </w:rPr>
      </w:pPr>
      <w:proofErr w:type="spellStart"/>
      <w:r>
        <w:rPr>
          <w:rFonts w:eastAsia="34cvf"/>
          <w:u w:val="single"/>
        </w:rPr>
        <w:t>Farmakokinetiske</w:t>
      </w:r>
      <w:proofErr w:type="spellEnd"/>
      <w:r>
        <w:rPr>
          <w:rFonts w:eastAsia="34cvf"/>
          <w:u w:val="single"/>
        </w:rPr>
        <w:t>/</w:t>
      </w:r>
      <w:proofErr w:type="spellStart"/>
      <w:r>
        <w:rPr>
          <w:rFonts w:eastAsia="34cvf"/>
          <w:u w:val="single"/>
        </w:rPr>
        <w:t>farmakodynamiske</w:t>
      </w:r>
      <w:proofErr w:type="spellEnd"/>
      <w:r>
        <w:rPr>
          <w:rFonts w:eastAsia="34cvf"/>
          <w:u w:val="single"/>
        </w:rPr>
        <w:t xml:space="preserve"> data</w:t>
      </w:r>
    </w:p>
    <w:p w14:paraId="04A01376" w14:textId="77777777" w:rsidR="007475F3" w:rsidRDefault="007475F3" w:rsidP="007475F3">
      <w:pPr>
        <w:autoSpaceDE w:val="0"/>
        <w:autoSpaceDN w:val="0"/>
        <w:adjustRightInd w:val="0"/>
        <w:ind w:left="851"/>
        <w:rPr>
          <w:rFonts w:eastAsia="34cvf"/>
        </w:rPr>
      </w:pPr>
      <w:r>
        <w:rPr>
          <w:rFonts w:eastAsia="34cvf"/>
        </w:rPr>
        <w:t xml:space="preserve">Intensiteten af de vigtigste toksiske virkninger, der opleves ved brug af </w:t>
      </w:r>
      <w:proofErr w:type="spellStart"/>
      <w:r>
        <w:rPr>
          <w:rFonts w:eastAsia="34cvf"/>
        </w:rPr>
        <w:t>irinotecan</w:t>
      </w:r>
      <w:proofErr w:type="spellEnd"/>
      <w:r>
        <w:rPr>
          <w:rFonts w:eastAsia="34cvf"/>
        </w:rPr>
        <w:t xml:space="preserve"> (f.eks. </w:t>
      </w:r>
      <w:proofErr w:type="spellStart"/>
      <w:r>
        <w:rPr>
          <w:rFonts w:eastAsia="34cvf"/>
        </w:rPr>
        <w:t>leukoneutropeni</w:t>
      </w:r>
      <w:proofErr w:type="spellEnd"/>
      <w:r>
        <w:rPr>
          <w:rFonts w:eastAsia="34cvf"/>
        </w:rPr>
        <w:t xml:space="preserve"> og diarré), er relateret til eksponeringen (AUC) af aktivstoffet og metabolitten SN-38. Der er fundet signifikante korrelationer mellem både den observerede hæmatologiske toksicitet (fald i de hvide blodlegemer og </w:t>
      </w:r>
      <w:proofErr w:type="spellStart"/>
      <w:r>
        <w:rPr>
          <w:rFonts w:eastAsia="34cvf"/>
        </w:rPr>
        <w:t>neutrofiler</w:t>
      </w:r>
      <w:proofErr w:type="spellEnd"/>
      <w:r>
        <w:rPr>
          <w:rFonts w:eastAsia="34cvf"/>
        </w:rPr>
        <w:t xml:space="preserve"> ved nadir), diarréens voldsomhed og de målte AUC-værdier af </w:t>
      </w:r>
      <w:proofErr w:type="spellStart"/>
      <w:r>
        <w:rPr>
          <w:rFonts w:eastAsia="34cvf"/>
        </w:rPr>
        <w:t>irinotecan</w:t>
      </w:r>
      <w:proofErr w:type="spellEnd"/>
      <w:r>
        <w:rPr>
          <w:rFonts w:eastAsia="34cvf"/>
        </w:rPr>
        <w:t xml:space="preserve"> og metabolitten SN-38 i monoterapi.</w:t>
      </w:r>
    </w:p>
    <w:p w14:paraId="0C1750C4" w14:textId="77777777" w:rsidR="007475F3" w:rsidRDefault="007475F3" w:rsidP="007475F3">
      <w:pPr>
        <w:autoSpaceDE w:val="0"/>
        <w:autoSpaceDN w:val="0"/>
        <w:adjustRightInd w:val="0"/>
        <w:ind w:left="851"/>
        <w:rPr>
          <w:rFonts w:eastAsia="34cvf"/>
        </w:rPr>
      </w:pPr>
    </w:p>
    <w:p w14:paraId="758219D6" w14:textId="77777777" w:rsidR="007475F3" w:rsidRDefault="007475F3" w:rsidP="007475F3">
      <w:pPr>
        <w:autoSpaceDE w:val="0"/>
        <w:autoSpaceDN w:val="0"/>
        <w:adjustRightInd w:val="0"/>
        <w:ind w:left="851"/>
        <w:rPr>
          <w:rFonts w:eastAsia="Calibri"/>
          <w:u w:val="single"/>
        </w:rPr>
      </w:pPr>
      <w:r>
        <w:rPr>
          <w:u w:val="single"/>
        </w:rPr>
        <w:t>Patienter med reduceret aktivitet af UGT1A1:</w:t>
      </w:r>
    </w:p>
    <w:p w14:paraId="1B260E25" w14:textId="77777777" w:rsidR="007475F3" w:rsidRDefault="007475F3" w:rsidP="007475F3">
      <w:pPr>
        <w:autoSpaceDE w:val="0"/>
        <w:autoSpaceDN w:val="0"/>
        <w:adjustRightInd w:val="0"/>
        <w:ind w:left="851"/>
        <w:rPr>
          <w:rFonts w:eastAsia="34cvf"/>
        </w:rPr>
      </w:pPr>
      <w:proofErr w:type="spellStart"/>
      <w:r>
        <w:rPr>
          <w:rFonts w:eastAsia="34cvf"/>
        </w:rPr>
        <w:t>Uridin</w:t>
      </w:r>
      <w:proofErr w:type="spellEnd"/>
      <w:r>
        <w:rPr>
          <w:rFonts w:eastAsia="34cvf"/>
        </w:rPr>
        <w:t>-</w:t>
      </w:r>
      <w:proofErr w:type="spellStart"/>
      <w:r>
        <w:rPr>
          <w:rFonts w:eastAsia="34cvf"/>
        </w:rPr>
        <w:t>diphosphat</w:t>
      </w:r>
      <w:proofErr w:type="spellEnd"/>
      <w:r>
        <w:rPr>
          <w:rFonts w:eastAsia="34cvf"/>
        </w:rPr>
        <w:t>-</w:t>
      </w:r>
      <w:proofErr w:type="spellStart"/>
      <w:r>
        <w:rPr>
          <w:rFonts w:eastAsia="34cvf"/>
        </w:rPr>
        <w:t>glucuronosyl</w:t>
      </w:r>
      <w:proofErr w:type="spellEnd"/>
      <w:r>
        <w:rPr>
          <w:rFonts w:eastAsia="34cvf"/>
        </w:rPr>
        <w:t xml:space="preserve">-transferase 1A1 (UGT1A1) er involveret i den metaboliske </w:t>
      </w:r>
      <w:proofErr w:type="spellStart"/>
      <w:r>
        <w:rPr>
          <w:rFonts w:eastAsia="34cvf"/>
        </w:rPr>
        <w:t>deaktivering</w:t>
      </w:r>
      <w:proofErr w:type="spellEnd"/>
      <w:r>
        <w:rPr>
          <w:rFonts w:eastAsia="34cvf"/>
        </w:rPr>
        <w:t xml:space="preserve"> af SN-38, </w:t>
      </w:r>
      <w:proofErr w:type="spellStart"/>
      <w:r>
        <w:rPr>
          <w:rFonts w:eastAsia="34cvf"/>
        </w:rPr>
        <w:t>irinotecans</w:t>
      </w:r>
      <w:proofErr w:type="spellEnd"/>
      <w:r>
        <w:rPr>
          <w:rFonts w:eastAsia="34cvf"/>
        </w:rPr>
        <w:t xml:space="preserve"> aktive metabolit, til inaktivt SN-38 </w:t>
      </w:r>
      <w:proofErr w:type="spellStart"/>
      <w:r>
        <w:rPr>
          <w:rFonts w:eastAsia="34cvf"/>
        </w:rPr>
        <w:t>glucuronid</w:t>
      </w:r>
      <w:proofErr w:type="spellEnd"/>
      <w:r>
        <w:rPr>
          <w:rFonts w:eastAsia="34cvf"/>
        </w:rPr>
        <w:t xml:space="preserve"> (SN-38G). UGT1A1-genet er i høj grad polymorft, førende til forskellige metaboliske evner, der varierer fra individ til individ. </w:t>
      </w:r>
      <w:r>
        <w:t xml:space="preserve">De mest velkarakteriserede genetiske UGT1A1-varianter er </w:t>
      </w:r>
      <w:r>
        <w:lastRenderedPageBreak/>
        <w:t>UGT1A1*28 og UGT1A1*6.</w:t>
      </w:r>
      <w:r>
        <w:rPr>
          <w:rFonts w:eastAsia="34cvf"/>
        </w:rPr>
        <w:t xml:space="preserve"> Disse varianter og andre medfødte fejl i UGT1A1-ekspression (som f.eks. </w:t>
      </w:r>
      <w:proofErr w:type="spellStart"/>
      <w:r>
        <w:rPr>
          <w:rFonts w:eastAsia="34cvf"/>
        </w:rPr>
        <w:t>Crigler-Najjar</w:t>
      </w:r>
      <w:proofErr w:type="spellEnd"/>
      <w:r>
        <w:rPr>
          <w:rFonts w:eastAsia="34cvf"/>
        </w:rPr>
        <w:t xml:space="preserve"> og Gilberts syndrom) er forbundet med nedsat aktivitet af dette enzym.</w:t>
      </w:r>
    </w:p>
    <w:p w14:paraId="1DF96E65" w14:textId="77777777" w:rsidR="007475F3" w:rsidRDefault="007475F3" w:rsidP="007475F3">
      <w:pPr>
        <w:autoSpaceDE w:val="0"/>
        <w:autoSpaceDN w:val="0"/>
        <w:adjustRightInd w:val="0"/>
        <w:ind w:left="851"/>
        <w:rPr>
          <w:rFonts w:eastAsia="34cvf"/>
        </w:rPr>
      </w:pPr>
    </w:p>
    <w:p w14:paraId="050CE113" w14:textId="77777777" w:rsidR="007475F3" w:rsidRDefault="007475F3" w:rsidP="007475F3">
      <w:pPr>
        <w:autoSpaceDE w:val="0"/>
        <w:autoSpaceDN w:val="0"/>
        <w:adjustRightInd w:val="0"/>
        <w:ind w:left="851"/>
        <w:rPr>
          <w:rFonts w:eastAsia="Calibri"/>
        </w:rPr>
      </w:pPr>
      <w:r>
        <w:t xml:space="preserve">Patienter, der er dårlige UGT1A1-metabolisatorer (f.eks. </w:t>
      </w:r>
      <w:proofErr w:type="spellStart"/>
      <w:r>
        <w:t>homozygote</w:t>
      </w:r>
      <w:proofErr w:type="spellEnd"/>
      <w:r>
        <w:t xml:space="preserve"> for varianterne UGT1A1*28 eller UGT1A1*6) har øget risiko for at få svære bivirkninger, såsom </w:t>
      </w:r>
      <w:proofErr w:type="spellStart"/>
      <w:r>
        <w:t>neutropeni</w:t>
      </w:r>
      <w:proofErr w:type="spellEnd"/>
      <w:r>
        <w:t xml:space="preserve"> eller diarré, efter administration af </w:t>
      </w:r>
      <w:proofErr w:type="spellStart"/>
      <w:r>
        <w:t>irinotecan</w:t>
      </w:r>
      <w:proofErr w:type="spellEnd"/>
      <w:r>
        <w:t xml:space="preserve">, som følge af SN-38-akkumulering. Ifølge data fra flere metaanalyser er risikoen højere for patienter, der får </w:t>
      </w:r>
      <w:proofErr w:type="spellStart"/>
      <w:r>
        <w:t>irinotecan</w:t>
      </w:r>
      <w:proofErr w:type="spellEnd"/>
      <w:r>
        <w:t>-doser &gt; 180 mg/m</w:t>
      </w:r>
      <w:r>
        <w:rPr>
          <w:vertAlign w:val="superscript"/>
        </w:rPr>
        <w:t>2</w:t>
      </w:r>
      <w:r>
        <w:t xml:space="preserve"> (se pkt. 4.4).</w:t>
      </w:r>
    </w:p>
    <w:p w14:paraId="5A235B36" w14:textId="77777777" w:rsidR="007475F3" w:rsidRDefault="007475F3" w:rsidP="007475F3">
      <w:pPr>
        <w:autoSpaceDE w:val="0"/>
        <w:autoSpaceDN w:val="0"/>
        <w:adjustRightInd w:val="0"/>
        <w:ind w:left="851"/>
      </w:pPr>
    </w:p>
    <w:p w14:paraId="196F0122" w14:textId="77777777" w:rsidR="007475F3" w:rsidRDefault="007475F3" w:rsidP="007475F3">
      <w:pPr>
        <w:autoSpaceDE w:val="0"/>
        <w:autoSpaceDN w:val="0"/>
        <w:adjustRightInd w:val="0"/>
        <w:ind w:left="851"/>
      </w:pPr>
      <w:r>
        <w:t>Der kan anvendes UGT1A1</w:t>
      </w:r>
      <w:r>
        <w:noBreakHyphen/>
        <w:t xml:space="preserve">genotypebestemmelse til at identificere patienter med øget risiko for at få svær </w:t>
      </w:r>
      <w:proofErr w:type="spellStart"/>
      <w:r>
        <w:t>neutropeni</w:t>
      </w:r>
      <w:proofErr w:type="spellEnd"/>
      <w:r>
        <w:t xml:space="preserve"> og diarré. Homozygot UGT1A1*28 forekommer med en hyppighed på 8</w:t>
      </w:r>
      <w:r>
        <w:noBreakHyphen/>
        <w:t>20 % hos den europæiske, afrikanske, nærøstlige og latinamerikanske befolkning. *6</w:t>
      </w:r>
      <w:r>
        <w:noBreakHyphen/>
        <w:t>varianten ses næsten ikke hos disse befolkningsgrupper. I den østasiatiske befolkning er hyppigheden af *28/*28 omkring 1</w:t>
      </w:r>
      <w:r>
        <w:noBreakHyphen/>
        <w:t>4 %, 3</w:t>
      </w:r>
      <w:r>
        <w:noBreakHyphen/>
        <w:t>8 % for *6/*28 og 2</w:t>
      </w:r>
      <w:r>
        <w:noBreakHyphen/>
        <w:t>6 % for *6/*6. I den central- og sydasiatiske befolkning er hyppigheden af *28/*28 omkring 17 %, 4 % for *6/*28 og 0,2 % for *6/*6.</w:t>
      </w:r>
    </w:p>
    <w:p w14:paraId="5BF43F8A" w14:textId="77777777" w:rsidR="009260DE" w:rsidRPr="007475F3" w:rsidRDefault="009260DE" w:rsidP="007475F3">
      <w:pPr>
        <w:tabs>
          <w:tab w:val="left" w:pos="851"/>
        </w:tabs>
        <w:rPr>
          <w:sz w:val="24"/>
          <w:szCs w:val="24"/>
          <w:lang w:val="nl-NL"/>
        </w:rPr>
      </w:pPr>
    </w:p>
    <w:p w14:paraId="443667FA" w14:textId="0AA509DE" w:rsidR="009260DE" w:rsidRPr="007475F3" w:rsidRDefault="009260DE" w:rsidP="009260DE">
      <w:pPr>
        <w:tabs>
          <w:tab w:val="left" w:pos="851"/>
        </w:tabs>
        <w:ind w:left="851" w:hanging="851"/>
        <w:rPr>
          <w:b/>
          <w:sz w:val="24"/>
          <w:szCs w:val="24"/>
        </w:rPr>
      </w:pPr>
      <w:r w:rsidRPr="007475F3">
        <w:rPr>
          <w:b/>
          <w:sz w:val="24"/>
          <w:szCs w:val="24"/>
        </w:rPr>
        <w:t>5.3</w:t>
      </w:r>
      <w:r w:rsidRPr="007475F3">
        <w:rPr>
          <w:b/>
          <w:sz w:val="24"/>
          <w:szCs w:val="24"/>
        </w:rPr>
        <w:tab/>
      </w:r>
      <w:r w:rsidR="007475F3">
        <w:rPr>
          <w:b/>
          <w:sz w:val="24"/>
          <w:szCs w:val="24"/>
        </w:rPr>
        <w:t>Non-</w:t>
      </w:r>
      <w:r w:rsidRPr="007475F3">
        <w:rPr>
          <w:b/>
          <w:sz w:val="24"/>
          <w:szCs w:val="24"/>
        </w:rPr>
        <w:t>kliniske sikkerhedsdata</w:t>
      </w:r>
    </w:p>
    <w:p w14:paraId="228F33B9" w14:textId="77777777" w:rsidR="003237D1" w:rsidRPr="007475F3" w:rsidRDefault="003237D1" w:rsidP="003C648F">
      <w:pPr>
        <w:autoSpaceDE w:val="0"/>
        <w:autoSpaceDN w:val="0"/>
        <w:adjustRightInd w:val="0"/>
        <w:ind w:left="851"/>
        <w:rPr>
          <w:rFonts w:eastAsia="34cvf"/>
          <w:sz w:val="24"/>
          <w:szCs w:val="24"/>
        </w:rPr>
      </w:pPr>
      <w:proofErr w:type="spellStart"/>
      <w:r w:rsidRPr="007475F3">
        <w:rPr>
          <w:rFonts w:eastAsia="34cvf"/>
          <w:sz w:val="24"/>
          <w:szCs w:val="24"/>
        </w:rPr>
        <w:t>Irinotecan</w:t>
      </w:r>
      <w:proofErr w:type="spellEnd"/>
      <w:r w:rsidRPr="007475F3">
        <w:rPr>
          <w:rFonts w:eastAsia="34cvf"/>
          <w:sz w:val="24"/>
          <w:szCs w:val="24"/>
        </w:rPr>
        <w:t xml:space="preserve"> og SN-38 har vist sig at være mutagene </w:t>
      </w:r>
      <w:r w:rsidRPr="007475F3">
        <w:rPr>
          <w:rFonts w:eastAsia="34cvf"/>
          <w:i/>
          <w:iCs/>
          <w:sz w:val="24"/>
          <w:szCs w:val="24"/>
        </w:rPr>
        <w:t xml:space="preserve">in </w:t>
      </w:r>
      <w:proofErr w:type="spellStart"/>
      <w:r w:rsidRPr="007475F3">
        <w:rPr>
          <w:rFonts w:eastAsia="34cvf"/>
          <w:i/>
          <w:iCs/>
          <w:sz w:val="24"/>
          <w:szCs w:val="24"/>
        </w:rPr>
        <w:t>vitro</w:t>
      </w:r>
      <w:proofErr w:type="spellEnd"/>
      <w:r w:rsidRPr="007475F3">
        <w:rPr>
          <w:rFonts w:eastAsia="34cvf"/>
          <w:i/>
          <w:iCs/>
          <w:sz w:val="24"/>
          <w:szCs w:val="24"/>
        </w:rPr>
        <w:t xml:space="preserve"> </w:t>
      </w:r>
      <w:r w:rsidRPr="007475F3">
        <w:rPr>
          <w:rFonts w:eastAsia="34cvf"/>
          <w:sz w:val="24"/>
          <w:szCs w:val="24"/>
        </w:rPr>
        <w:t xml:space="preserve">ved </w:t>
      </w:r>
      <w:proofErr w:type="spellStart"/>
      <w:r w:rsidRPr="007475F3">
        <w:rPr>
          <w:rFonts w:eastAsia="34cvf"/>
          <w:sz w:val="24"/>
          <w:szCs w:val="24"/>
        </w:rPr>
        <w:t>kromosomafvigningstest</w:t>
      </w:r>
      <w:proofErr w:type="spellEnd"/>
      <w:r w:rsidRPr="007475F3">
        <w:rPr>
          <w:rFonts w:eastAsia="34cvf"/>
          <w:sz w:val="24"/>
          <w:szCs w:val="24"/>
        </w:rPr>
        <w:t xml:space="preserve"> på CHO-celler og </w:t>
      </w:r>
      <w:r w:rsidRPr="007475F3">
        <w:rPr>
          <w:rFonts w:eastAsia="34cvf"/>
          <w:i/>
          <w:iCs/>
          <w:sz w:val="24"/>
          <w:szCs w:val="24"/>
        </w:rPr>
        <w:t xml:space="preserve">in </w:t>
      </w:r>
      <w:proofErr w:type="spellStart"/>
      <w:r w:rsidRPr="007475F3">
        <w:rPr>
          <w:rFonts w:eastAsia="34cvf"/>
          <w:i/>
          <w:iCs/>
          <w:sz w:val="24"/>
          <w:szCs w:val="24"/>
        </w:rPr>
        <w:t>vivo</w:t>
      </w:r>
      <w:proofErr w:type="spellEnd"/>
      <w:r w:rsidRPr="007475F3">
        <w:rPr>
          <w:rFonts w:eastAsia="34cvf"/>
          <w:sz w:val="24"/>
          <w:szCs w:val="24"/>
        </w:rPr>
        <w:t xml:space="preserve"> ved </w:t>
      </w:r>
      <w:proofErr w:type="spellStart"/>
      <w:r w:rsidRPr="007475F3">
        <w:rPr>
          <w:rFonts w:eastAsia="34cvf"/>
          <w:sz w:val="24"/>
          <w:szCs w:val="24"/>
        </w:rPr>
        <w:t>mikronukleustest</w:t>
      </w:r>
      <w:proofErr w:type="spellEnd"/>
      <w:r w:rsidRPr="007475F3">
        <w:rPr>
          <w:rFonts w:eastAsia="34cvf"/>
          <w:sz w:val="24"/>
          <w:szCs w:val="24"/>
        </w:rPr>
        <w:t xml:space="preserve"> på mus.</w:t>
      </w:r>
    </w:p>
    <w:p w14:paraId="6ABFF255" w14:textId="77777777" w:rsidR="003237D1" w:rsidRPr="007475F3" w:rsidRDefault="003237D1" w:rsidP="003C648F">
      <w:pPr>
        <w:autoSpaceDE w:val="0"/>
        <w:autoSpaceDN w:val="0"/>
        <w:adjustRightInd w:val="0"/>
        <w:ind w:left="851"/>
        <w:rPr>
          <w:rFonts w:eastAsia="34cvf"/>
          <w:sz w:val="24"/>
          <w:szCs w:val="24"/>
        </w:rPr>
      </w:pPr>
    </w:p>
    <w:p w14:paraId="60C09492"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 xml:space="preserve">Derimod har mutagene egenskaber ikke kunnet påvises ved </w:t>
      </w:r>
      <w:proofErr w:type="spellStart"/>
      <w:r w:rsidRPr="007475F3">
        <w:rPr>
          <w:rFonts w:eastAsia="34cvf"/>
          <w:sz w:val="24"/>
          <w:szCs w:val="24"/>
        </w:rPr>
        <w:t>Ames</w:t>
      </w:r>
      <w:proofErr w:type="spellEnd"/>
      <w:r w:rsidRPr="007475F3">
        <w:rPr>
          <w:rFonts w:eastAsia="34cvf"/>
          <w:sz w:val="24"/>
          <w:szCs w:val="24"/>
        </w:rPr>
        <w:t>-test.</w:t>
      </w:r>
    </w:p>
    <w:p w14:paraId="5710A23E" w14:textId="77777777" w:rsidR="003237D1" w:rsidRPr="007475F3" w:rsidRDefault="003237D1" w:rsidP="003C648F">
      <w:pPr>
        <w:autoSpaceDE w:val="0"/>
        <w:autoSpaceDN w:val="0"/>
        <w:adjustRightInd w:val="0"/>
        <w:ind w:left="851"/>
        <w:rPr>
          <w:rFonts w:eastAsia="34cvf"/>
          <w:sz w:val="24"/>
          <w:szCs w:val="24"/>
        </w:rPr>
      </w:pPr>
    </w:p>
    <w:p w14:paraId="342D125F" w14:textId="1A79A72E"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Hos rotter, der blev behandlet 1 gang ugentligt i 13 uger med op til 150 mg/m</w:t>
      </w:r>
      <w:r w:rsidRPr="007475F3">
        <w:rPr>
          <w:rFonts w:eastAsia="34cvf"/>
          <w:sz w:val="24"/>
          <w:szCs w:val="24"/>
          <w:vertAlign w:val="superscript"/>
        </w:rPr>
        <w:t>2</w:t>
      </w:r>
      <w:r w:rsidRPr="007475F3">
        <w:rPr>
          <w:rFonts w:eastAsia="34cvf"/>
          <w:sz w:val="24"/>
          <w:szCs w:val="24"/>
        </w:rPr>
        <w:t xml:space="preserve"> (hvilket er mindre end halvdelen af den anbefalede humane dosis), blev der ikke set behandlings</w:t>
      </w:r>
      <w:r w:rsidR="00602DDC" w:rsidRPr="007475F3">
        <w:rPr>
          <w:rFonts w:eastAsia="34cvf"/>
          <w:sz w:val="24"/>
          <w:szCs w:val="24"/>
        </w:rPr>
        <w:softHyphen/>
      </w:r>
      <w:r w:rsidRPr="007475F3">
        <w:rPr>
          <w:rFonts w:eastAsia="34cvf"/>
          <w:sz w:val="24"/>
          <w:szCs w:val="24"/>
        </w:rPr>
        <w:t>relaterede tumorer 91 uger efter behandlingsafslutning.</w:t>
      </w:r>
    </w:p>
    <w:p w14:paraId="402684ED" w14:textId="77777777" w:rsidR="003237D1" w:rsidRPr="007475F3" w:rsidRDefault="003237D1" w:rsidP="003C648F">
      <w:pPr>
        <w:autoSpaceDE w:val="0"/>
        <w:autoSpaceDN w:val="0"/>
        <w:adjustRightInd w:val="0"/>
        <w:ind w:left="851"/>
        <w:rPr>
          <w:rFonts w:eastAsia="34cvf"/>
          <w:sz w:val="24"/>
          <w:szCs w:val="24"/>
        </w:rPr>
      </w:pPr>
    </w:p>
    <w:p w14:paraId="20C65DB4"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 xml:space="preserve">Toksicitetsforsøg med </w:t>
      </w:r>
      <w:proofErr w:type="spellStart"/>
      <w:r w:rsidRPr="007475F3">
        <w:rPr>
          <w:rFonts w:eastAsia="34cvf"/>
          <w:sz w:val="24"/>
          <w:szCs w:val="24"/>
        </w:rPr>
        <w:t>irinotecan</w:t>
      </w:r>
      <w:proofErr w:type="spellEnd"/>
      <w:r w:rsidRPr="007475F3">
        <w:rPr>
          <w:rFonts w:eastAsia="34cvf"/>
          <w:sz w:val="24"/>
          <w:szCs w:val="24"/>
        </w:rPr>
        <w:t xml:space="preserve"> efter enkelt eller gentagen administration er udført på mus, rotter og hunde. De væsentlige toksiske virkninger blev fundet i det </w:t>
      </w:r>
      <w:proofErr w:type="spellStart"/>
      <w:r w:rsidRPr="007475F3">
        <w:rPr>
          <w:rFonts w:eastAsia="34cvf"/>
          <w:sz w:val="24"/>
          <w:szCs w:val="24"/>
        </w:rPr>
        <w:t>hæmatopoietiske</w:t>
      </w:r>
      <w:proofErr w:type="spellEnd"/>
      <w:r w:rsidRPr="007475F3">
        <w:rPr>
          <w:rFonts w:eastAsia="34cvf"/>
          <w:sz w:val="24"/>
          <w:szCs w:val="24"/>
        </w:rPr>
        <w:t xml:space="preserve"> og lymfatiske system. Hos hunde blev der rapporteret om sent indsættende diarré i forbindelse med atrofi og </w:t>
      </w:r>
      <w:proofErr w:type="spellStart"/>
      <w:r w:rsidRPr="007475F3">
        <w:rPr>
          <w:rFonts w:eastAsia="34cvf"/>
          <w:sz w:val="24"/>
          <w:szCs w:val="24"/>
        </w:rPr>
        <w:t>fokal</w:t>
      </w:r>
      <w:proofErr w:type="spellEnd"/>
      <w:r w:rsidRPr="007475F3">
        <w:rPr>
          <w:rFonts w:eastAsia="34cvf"/>
          <w:sz w:val="24"/>
          <w:szCs w:val="24"/>
        </w:rPr>
        <w:t xml:space="preserve"> nekrose af </w:t>
      </w:r>
      <w:proofErr w:type="spellStart"/>
      <w:r w:rsidRPr="007475F3">
        <w:rPr>
          <w:rFonts w:eastAsia="34cvf"/>
          <w:sz w:val="24"/>
          <w:szCs w:val="24"/>
        </w:rPr>
        <w:t>tarmmucosa</w:t>
      </w:r>
      <w:proofErr w:type="spellEnd"/>
      <w:r w:rsidRPr="007475F3">
        <w:rPr>
          <w:rFonts w:eastAsia="34cvf"/>
          <w:sz w:val="24"/>
          <w:szCs w:val="24"/>
        </w:rPr>
        <w:t xml:space="preserve">. Der blev også observeret </w:t>
      </w:r>
      <w:proofErr w:type="spellStart"/>
      <w:r w:rsidRPr="007475F3">
        <w:rPr>
          <w:rFonts w:eastAsia="34cvf"/>
          <w:sz w:val="24"/>
          <w:szCs w:val="24"/>
        </w:rPr>
        <w:t>alopeci</w:t>
      </w:r>
      <w:proofErr w:type="spellEnd"/>
      <w:r w:rsidRPr="007475F3">
        <w:rPr>
          <w:rFonts w:eastAsia="34cvf"/>
          <w:sz w:val="24"/>
          <w:szCs w:val="24"/>
        </w:rPr>
        <w:t xml:space="preserve"> hos hunde.</w:t>
      </w:r>
    </w:p>
    <w:p w14:paraId="7505818D" w14:textId="77777777" w:rsidR="003237D1" w:rsidRPr="007475F3" w:rsidRDefault="003237D1" w:rsidP="003C648F">
      <w:pPr>
        <w:autoSpaceDE w:val="0"/>
        <w:autoSpaceDN w:val="0"/>
        <w:adjustRightInd w:val="0"/>
        <w:ind w:left="851"/>
        <w:rPr>
          <w:rFonts w:eastAsia="34cvf"/>
          <w:sz w:val="24"/>
          <w:szCs w:val="24"/>
        </w:rPr>
      </w:pPr>
    </w:p>
    <w:p w14:paraId="6F480325" w14:textId="77777777" w:rsidR="003237D1" w:rsidRPr="007475F3" w:rsidRDefault="003237D1" w:rsidP="003C648F">
      <w:pPr>
        <w:autoSpaceDE w:val="0"/>
        <w:autoSpaceDN w:val="0"/>
        <w:adjustRightInd w:val="0"/>
        <w:ind w:left="851"/>
        <w:rPr>
          <w:rFonts w:eastAsia="34cvf"/>
          <w:sz w:val="24"/>
          <w:szCs w:val="24"/>
        </w:rPr>
      </w:pPr>
      <w:r w:rsidRPr="007475F3">
        <w:rPr>
          <w:rFonts w:eastAsia="34cvf"/>
          <w:sz w:val="24"/>
          <w:szCs w:val="24"/>
        </w:rPr>
        <w:t>Sværhedsgraden af disse fund var dosisafhængig og reversibel.</w:t>
      </w:r>
    </w:p>
    <w:p w14:paraId="38AD8546" w14:textId="77777777" w:rsidR="003237D1" w:rsidRPr="007475F3" w:rsidRDefault="003237D1" w:rsidP="003C648F">
      <w:pPr>
        <w:autoSpaceDE w:val="0"/>
        <w:autoSpaceDN w:val="0"/>
        <w:adjustRightInd w:val="0"/>
        <w:ind w:left="851"/>
        <w:rPr>
          <w:rFonts w:eastAsia="34cvf"/>
          <w:sz w:val="24"/>
          <w:szCs w:val="24"/>
        </w:rPr>
      </w:pPr>
    </w:p>
    <w:p w14:paraId="73DE9862" w14:textId="77777777" w:rsidR="003237D1" w:rsidRPr="007475F3" w:rsidRDefault="003237D1" w:rsidP="003C648F">
      <w:pPr>
        <w:autoSpaceDE w:val="0"/>
        <w:autoSpaceDN w:val="0"/>
        <w:adjustRightInd w:val="0"/>
        <w:ind w:left="851"/>
        <w:rPr>
          <w:rFonts w:eastAsia="34cvf"/>
          <w:sz w:val="24"/>
          <w:szCs w:val="24"/>
          <w:u w:val="single"/>
        </w:rPr>
      </w:pPr>
      <w:r w:rsidRPr="007475F3">
        <w:rPr>
          <w:rFonts w:eastAsia="34cvf"/>
          <w:sz w:val="24"/>
          <w:szCs w:val="24"/>
          <w:u w:val="single"/>
        </w:rPr>
        <w:t>Reproduktion</w:t>
      </w:r>
    </w:p>
    <w:p w14:paraId="3D88CC28" w14:textId="77777777" w:rsidR="003237D1" w:rsidRPr="007475F3" w:rsidRDefault="003237D1" w:rsidP="003C648F">
      <w:pPr>
        <w:autoSpaceDE w:val="0"/>
        <w:autoSpaceDN w:val="0"/>
        <w:adjustRightInd w:val="0"/>
        <w:ind w:left="851"/>
        <w:rPr>
          <w:rFonts w:eastAsia="34cvf"/>
          <w:sz w:val="24"/>
          <w:szCs w:val="24"/>
        </w:rPr>
      </w:pPr>
      <w:proofErr w:type="spellStart"/>
      <w:r w:rsidRPr="007475F3">
        <w:rPr>
          <w:rFonts w:eastAsia="34cvf"/>
          <w:sz w:val="24"/>
          <w:szCs w:val="24"/>
        </w:rPr>
        <w:t>Irinotecan</w:t>
      </w:r>
      <w:proofErr w:type="spellEnd"/>
      <w:r w:rsidRPr="007475F3">
        <w:rPr>
          <w:rFonts w:eastAsia="34cvf"/>
          <w:sz w:val="24"/>
          <w:szCs w:val="24"/>
        </w:rPr>
        <w:t xml:space="preserve"> viste </w:t>
      </w:r>
      <w:proofErr w:type="spellStart"/>
      <w:r w:rsidRPr="007475F3">
        <w:rPr>
          <w:rFonts w:eastAsia="34cvf"/>
          <w:sz w:val="24"/>
          <w:szCs w:val="24"/>
        </w:rPr>
        <w:t>teratogen</w:t>
      </w:r>
      <w:proofErr w:type="spellEnd"/>
      <w:r w:rsidRPr="007475F3">
        <w:rPr>
          <w:rFonts w:eastAsia="34cvf"/>
          <w:sz w:val="24"/>
          <w:szCs w:val="24"/>
        </w:rPr>
        <w:t xml:space="preserve"> effekt hos rotter og kaniner ved doser under den humane terapeutiske dosis. Behandlede rotters nyfødte unger, som havde ydre </w:t>
      </w:r>
      <w:proofErr w:type="spellStart"/>
      <w:r w:rsidRPr="007475F3">
        <w:rPr>
          <w:rFonts w:eastAsia="34cvf"/>
          <w:sz w:val="24"/>
          <w:szCs w:val="24"/>
        </w:rPr>
        <w:t>abnormaliteter</w:t>
      </w:r>
      <w:proofErr w:type="spellEnd"/>
      <w:r w:rsidRPr="007475F3">
        <w:rPr>
          <w:rFonts w:eastAsia="34cvf"/>
          <w:sz w:val="24"/>
          <w:szCs w:val="24"/>
        </w:rPr>
        <w:t xml:space="preserve">, viste nedsat fertilitet. Det fandt man ikke hos morfologisk normale unger. Hos drægtige rotter så man fald i placentaens vægt og i fosterets levedygtighed og stigning i adfærdsmæssige </w:t>
      </w:r>
      <w:proofErr w:type="spellStart"/>
      <w:r w:rsidRPr="007475F3">
        <w:rPr>
          <w:rFonts w:eastAsia="34cvf"/>
          <w:sz w:val="24"/>
          <w:szCs w:val="24"/>
        </w:rPr>
        <w:t>abnormaliteter</w:t>
      </w:r>
      <w:proofErr w:type="spellEnd"/>
      <w:r w:rsidRPr="007475F3">
        <w:rPr>
          <w:rFonts w:eastAsia="34cvf"/>
          <w:sz w:val="24"/>
          <w:szCs w:val="24"/>
        </w:rPr>
        <w:t>.</w:t>
      </w:r>
    </w:p>
    <w:p w14:paraId="034ED3C1" w14:textId="77777777" w:rsidR="009260DE" w:rsidRPr="007475F3" w:rsidRDefault="009260DE" w:rsidP="009260DE">
      <w:pPr>
        <w:tabs>
          <w:tab w:val="left" w:pos="851"/>
        </w:tabs>
        <w:ind w:left="851"/>
        <w:rPr>
          <w:sz w:val="24"/>
          <w:szCs w:val="24"/>
        </w:rPr>
      </w:pPr>
    </w:p>
    <w:p w14:paraId="021E526F" w14:textId="77777777" w:rsidR="009260DE" w:rsidRPr="007475F3" w:rsidRDefault="009260DE" w:rsidP="009260DE">
      <w:pPr>
        <w:tabs>
          <w:tab w:val="left" w:pos="851"/>
        </w:tabs>
        <w:ind w:left="851"/>
        <w:rPr>
          <w:sz w:val="24"/>
          <w:szCs w:val="24"/>
        </w:rPr>
      </w:pPr>
    </w:p>
    <w:p w14:paraId="604D0C18" w14:textId="77777777" w:rsidR="009260DE" w:rsidRPr="007475F3" w:rsidRDefault="009260DE" w:rsidP="009260DE">
      <w:pPr>
        <w:tabs>
          <w:tab w:val="left" w:pos="851"/>
        </w:tabs>
        <w:ind w:left="851" w:hanging="851"/>
        <w:rPr>
          <w:b/>
          <w:sz w:val="24"/>
          <w:szCs w:val="24"/>
        </w:rPr>
      </w:pPr>
      <w:r w:rsidRPr="007475F3">
        <w:rPr>
          <w:b/>
          <w:sz w:val="24"/>
          <w:szCs w:val="24"/>
        </w:rPr>
        <w:t>6.</w:t>
      </w:r>
      <w:r w:rsidRPr="007475F3">
        <w:rPr>
          <w:b/>
          <w:sz w:val="24"/>
          <w:szCs w:val="24"/>
        </w:rPr>
        <w:tab/>
        <w:t>FARMACEUTISKE OPLYSNINGER</w:t>
      </w:r>
    </w:p>
    <w:p w14:paraId="06D5E629" w14:textId="77777777" w:rsidR="009260DE" w:rsidRPr="007475F3" w:rsidRDefault="009260DE" w:rsidP="009260DE">
      <w:pPr>
        <w:tabs>
          <w:tab w:val="left" w:pos="851"/>
        </w:tabs>
        <w:ind w:left="851"/>
        <w:rPr>
          <w:sz w:val="24"/>
          <w:szCs w:val="24"/>
        </w:rPr>
      </w:pPr>
    </w:p>
    <w:p w14:paraId="56EB5EE0" w14:textId="77777777" w:rsidR="009260DE" w:rsidRPr="007475F3" w:rsidRDefault="009260DE" w:rsidP="009260DE">
      <w:pPr>
        <w:tabs>
          <w:tab w:val="left" w:pos="851"/>
        </w:tabs>
        <w:ind w:left="851" w:hanging="851"/>
        <w:rPr>
          <w:b/>
          <w:sz w:val="24"/>
          <w:szCs w:val="24"/>
        </w:rPr>
      </w:pPr>
      <w:r w:rsidRPr="007475F3">
        <w:rPr>
          <w:b/>
          <w:sz w:val="24"/>
          <w:szCs w:val="24"/>
        </w:rPr>
        <w:t>6.1</w:t>
      </w:r>
      <w:r w:rsidRPr="007475F3">
        <w:rPr>
          <w:b/>
          <w:sz w:val="24"/>
          <w:szCs w:val="24"/>
        </w:rPr>
        <w:tab/>
        <w:t>Hjælpestoffer</w:t>
      </w:r>
    </w:p>
    <w:p w14:paraId="1D482B1C" w14:textId="77777777" w:rsidR="00C17868" w:rsidRDefault="00C17868" w:rsidP="00C17868">
      <w:pPr>
        <w:autoSpaceDE w:val="0"/>
        <w:autoSpaceDN w:val="0"/>
        <w:adjustRightInd w:val="0"/>
        <w:ind w:left="851"/>
        <w:rPr>
          <w:rFonts w:eastAsia="34cvf"/>
          <w:sz w:val="22"/>
        </w:rPr>
      </w:pPr>
      <w:r>
        <w:rPr>
          <w:rFonts w:eastAsia="34cvf"/>
        </w:rPr>
        <w:t>Glukose (E620)</w:t>
      </w:r>
    </w:p>
    <w:p w14:paraId="74AA9DF8" w14:textId="77777777" w:rsidR="00C17868" w:rsidRDefault="00C17868" w:rsidP="00C17868">
      <w:pPr>
        <w:autoSpaceDE w:val="0"/>
        <w:autoSpaceDN w:val="0"/>
        <w:adjustRightInd w:val="0"/>
        <w:ind w:left="851"/>
        <w:rPr>
          <w:rFonts w:eastAsia="34cvf"/>
        </w:rPr>
      </w:pPr>
      <w:r>
        <w:rPr>
          <w:rFonts w:eastAsia="34cvf"/>
        </w:rPr>
        <w:t>Sorbitol (E420)</w:t>
      </w:r>
    </w:p>
    <w:p w14:paraId="507B3A44" w14:textId="77777777" w:rsidR="00C17868" w:rsidRDefault="00C17868" w:rsidP="00C17868">
      <w:pPr>
        <w:autoSpaceDE w:val="0"/>
        <w:autoSpaceDN w:val="0"/>
        <w:adjustRightInd w:val="0"/>
        <w:ind w:left="851"/>
        <w:rPr>
          <w:rFonts w:eastAsia="34cvf"/>
        </w:rPr>
      </w:pPr>
      <w:r>
        <w:rPr>
          <w:rFonts w:eastAsia="34cvf"/>
        </w:rPr>
        <w:t>(S)-mælkesyre (E270)</w:t>
      </w:r>
    </w:p>
    <w:p w14:paraId="22771042" w14:textId="77777777" w:rsidR="00C17868" w:rsidRDefault="00C17868" w:rsidP="00C17868">
      <w:pPr>
        <w:autoSpaceDE w:val="0"/>
        <w:autoSpaceDN w:val="0"/>
        <w:adjustRightInd w:val="0"/>
        <w:ind w:left="851"/>
        <w:rPr>
          <w:rFonts w:eastAsia="34cvf"/>
        </w:rPr>
      </w:pPr>
      <w:r>
        <w:rPr>
          <w:rFonts w:eastAsia="34cvf"/>
        </w:rPr>
        <w:t>Natriumhydroxid (til pH-justering) (E524)</w:t>
      </w:r>
    </w:p>
    <w:p w14:paraId="4CB76760" w14:textId="77777777" w:rsidR="00C17868" w:rsidRDefault="00C17868" w:rsidP="00C17868">
      <w:pPr>
        <w:autoSpaceDE w:val="0"/>
        <w:autoSpaceDN w:val="0"/>
        <w:adjustRightInd w:val="0"/>
        <w:ind w:left="851"/>
        <w:rPr>
          <w:rFonts w:eastAsia="34cvf"/>
        </w:rPr>
      </w:pPr>
      <w:r>
        <w:rPr>
          <w:rFonts w:eastAsia="34cvf"/>
        </w:rPr>
        <w:t>Saltsyre, koncentreret (til pH justering) (E507)</w:t>
      </w:r>
    </w:p>
    <w:p w14:paraId="3305BEF1" w14:textId="77777777" w:rsidR="00C17868" w:rsidRDefault="00C17868" w:rsidP="00C17868">
      <w:pPr>
        <w:autoSpaceDE w:val="0"/>
        <w:autoSpaceDN w:val="0"/>
        <w:adjustRightInd w:val="0"/>
        <w:ind w:left="851"/>
        <w:rPr>
          <w:rFonts w:eastAsia="34cvf"/>
          <w:i/>
          <w:iCs/>
        </w:rPr>
      </w:pPr>
      <w:r>
        <w:rPr>
          <w:rFonts w:eastAsia="34cvf"/>
        </w:rPr>
        <w:lastRenderedPageBreak/>
        <w:t>Vand</w:t>
      </w:r>
    </w:p>
    <w:p w14:paraId="079BB367" w14:textId="77777777" w:rsidR="009260DE" w:rsidRPr="007475F3" w:rsidRDefault="009260DE" w:rsidP="009260DE">
      <w:pPr>
        <w:tabs>
          <w:tab w:val="left" w:pos="851"/>
        </w:tabs>
        <w:ind w:left="851"/>
        <w:rPr>
          <w:sz w:val="24"/>
          <w:szCs w:val="24"/>
        </w:rPr>
      </w:pPr>
    </w:p>
    <w:p w14:paraId="7B3E1F2D" w14:textId="77777777" w:rsidR="009260DE" w:rsidRPr="007475F3" w:rsidRDefault="009260DE" w:rsidP="009260DE">
      <w:pPr>
        <w:tabs>
          <w:tab w:val="left" w:pos="851"/>
        </w:tabs>
        <w:ind w:left="851" w:hanging="851"/>
        <w:rPr>
          <w:b/>
          <w:sz w:val="24"/>
          <w:szCs w:val="24"/>
        </w:rPr>
      </w:pPr>
      <w:r w:rsidRPr="007475F3">
        <w:rPr>
          <w:b/>
          <w:sz w:val="24"/>
          <w:szCs w:val="24"/>
        </w:rPr>
        <w:t>6.2</w:t>
      </w:r>
      <w:r w:rsidRPr="007475F3">
        <w:rPr>
          <w:b/>
          <w:sz w:val="24"/>
          <w:szCs w:val="24"/>
        </w:rPr>
        <w:tab/>
        <w:t>Uforligeligheder</w:t>
      </w:r>
    </w:p>
    <w:p w14:paraId="32A26D4F" w14:textId="77777777" w:rsidR="003237D1" w:rsidRPr="007475F3" w:rsidRDefault="003237D1" w:rsidP="003C648F">
      <w:pPr>
        <w:autoSpaceDE w:val="0"/>
        <w:autoSpaceDN w:val="0"/>
        <w:adjustRightInd w:val="0"/>
        <w:ind w:left="851"/>
        <w:rPr>
          <w:bCs/>
          <w:sz w:val="24"/>
          <w:szCs w:val="24"/>
        </w:rPr>
      </w:pPr>
      <w:r w:rsidRPr="007475F3">
        <w:rPr>
          <w:sz w:val="24"/>
          <w:szCs w:val="24"/>
        </w:rPr>
        <w:t>Dette lægemiddel er klar til brug, og må ikke blandes med andre lægemidler.</w:t>
      </w:r>
    </w:p>
    <w:p w14:paraId="20175C63" w14:textId="77777777" w:rsidR="009260DE" w:rsidRPr="007475F3" w:rsidRDefault="009260DE" w:rsidP="009260DE">
      <w:pPr>
        <w:tabs>
          <w:tab w:val="left" w:pos="851"/>
        </w:tabs>
        <w:ind w:left="851"/>
        <w:rPr>
          <w:sz w:val="24"/>
          <w:szCs w:val="24"/>
        </w:rPr>
      </w:pPr>
    </w:p>
    <w:p w14:paraId="3B4007F3" w14:textId="77777777" w:rsidR="009260DE" w:rsidRPr="007475F3" w:rsidRDefault="009260DE" w:rsidP="009260DE">
      <w:pPr>
        <w:tabs>
          <w:tab w:val="left" w:pos="851"/>
        </w:tabs>
        <w:ind w:left="851" w:hanging="851"/>
        <w:rPr>
          <w:b/>
          <w:sz w:val="24"/>
          <w:szCs w:val="24"/>
        </w:rPr>
      </w:pPr>
      <w:r w:rsidRPr="007475F3">
        <w:rPr>
          <w:b/>
          <w:sz w:val="24"/>
          <w:szCs w:val="24"/>
        </w:rPr>
        <w:t>6.3</w:t>
      </w:r>
      <w:r w:rsidRPr="007475F3">
        <w:rPr>
          <w:b/>
          <w:sz w:val="24"/>
          <w:szCs w:val="24"/>
        </w:rPr>
        <w:tab/>
        <w:t>Opbevaringstid</w:t>
      </w:r>
    </w:p>
    <w:p w14:paraId="62EBCF2C" w14:textId="1905BC6E" w:rsidR="001F5719" w:rsidRPr="007475F3" w:rsidRDefault="001F5719" w:rsidP="003C648F">
      <w:pPr>
        <w:autoSpaceDE w:val="0"/>
        <w:autoSpaceDN w:val="0"/>
        <w:adjustRightInd w:val="0"/>
        <w:ind w:left="851"/>
        <w:rPr>
          <w:rFonts w:eastAsia="34cvf"/>
          <w:sz w:val="24"/>
          <w:szCs w:val="24"/>
        </w:rPr>
      </w:pPr>
      <w:r w:rsidRPr="007475F3">
        <w:rPr>
          <w:rFonts w:eastAsia="34cvf"/>
          <w:sz w:val="24"/>
          <w:szCs w:val="24"/>
        </w:rPr>
        <w:t>2 år.</w:t>
      </w:r>
    </w:p>
    <w:p w14:paraId="0B77B024" w14:textId="77777777" w:rsidR="001F5719" w:rsidRPr="007475F3" w:rsidRDefault="001F5719" w:rsidP="003C648F">
      <w:pPr>
        <w:autoSpaceDE w:val="0"/>
        <w:autoSpaceDN w:val="0"/>
        <w:adjustRightInd w:val="0"/>
        <w:ind w:left="851"/>
        <w:rPr>
          <w:rFonts w:eastAsia="34cvf"/>
          <w:sz w:val="24"/>
          <w:szCs w:val="24"/>
        </w:rPr>
      </w:pPr>
    </w:p>
    <w:p w14:paraId="09AD10CD" w14:textId="77777777" w:rsidR="001F5719" w:rsidRPr="007475F3" w:rsidRDefault="001F5719" w:rsidP="003C648F">
      <w:pPr>
        <w:autoSpaceDE w:val="0"/>
        <w:autoSpaceDN w:val="0"/>
        <w:adjustRightInd w:val="0"/>
        <w:ind w:left="851"/>
        <w:rPr>
          <w:rFonts w:eastAsia="Calibri"/>
          <w:sz w:val="24"/>
          <w:szCs w:val="24"/>
        </w:rPr>
      </w:pPr>
      <w:r w:rsidRPr="007475F3">
        <w:rPr>
          <w:sz w:val="24"/>
          <w:szCs w:val="24"/>
        </w:rPr>
        <w:t>Efter åbning skal infusionsposen anvendes straks.</w:t>
      </w:r>
    </w:p>
    <w:p w14:paraId="4D7FDA97" w14:textId="77777777" w:rsidR="009260DE" w:rsidRPr="007475F3" w:rsidRDefault="009260DE" w:rsidP="009260DE">
      <w:pPr>
        <w:tabs>
          <w:tab w:val="left" w:pos="851"/>
        </w:tabs>
        <w:ind w:left="851"/>
        <w:rPr>
          <w:sz w:val="24"/>
          <w:szCs w:val="24"/>
        </w:rPr>
      </w:pPr>
    </w:p>
    <w:p w14:paraId="3CF1B0E4" w14:textId="77777777" w:rsidR="009260DE" w:rsidRPr="007475F3" w:rsidRDefault="009260DE" w:rsidP="009260DE">
      <w:pPr>
        <w:tabs>
          <w:tab w:val="left" w:pos="851"/>
        </w:tabs>
        <w:ind w:left="851" w:hanging="851"/>
        <w:rPr>
          <w:b/>
          <w:sz w:val="24"/>
          <w:szCs w:val="24"/>
        </w:rPr>
      </w:pPr>
      <w:r w:rsidRPr="007475F3">
        <w:rPr>
          <w:b/>
          <w:sz w:val="24"/>
          <w:szCs w:val="24"/>
        </w:rPr>
        <w:t>6.4</w:t>
      </w:r>
      <w:r w:rsidRPr="007475F3">
        <w:rPr>
          <w:b/>
          <w:sz w:val="24"/>
          <w:szCs w:val="24"/>
        </w:rPr>
        <w:tab/>
        <w:t>Særlige opbevaringsforhold</w:t>
      </w:r>
    </w:p>
    <w:p w14:paraId="50820098" w14:textId="77777777" w:rsidR="001F5719" w:rsidRPr="007475F3" w:rsidRDefault="001F5719" w:rsidP="003C648F">
      <w:pPr>
        <w:autoSpaceDE w:val="0"/>
        <w:autoSpaceDN w:val="0"/>
        <w:adjustRightInd w:val="0"/>
        <w:ind w:left="851"/>
        <w:rPr>
          <w:rFonts w:eastAsia="34cvf"/>
          <w:sz w:val="24"/>
          <w:szCs w:val="24"/>
        </w:rPr>
      </w:pPr>
      <w:r w:rsidRPr="007475F3">
        <w:rPr>
          <w:rFonts w:eastAsia="34cvf"/>
          <w:sz w:val="24"/>
          <w:szCs w:val="24"/>
        </w:rPr>
        <w:t>Opbevares ved temperaturer under 25 °C. Opbevares i den originale emballage for at beskytte mod lys.</w:t>
      </w:r>
    </w:p>
    <w:p w14:paraId="0E49B883" w14:textId="77777777" w:rsidR="009260DE" w:rsidRPr="007475F3" w:rsidRDefault="009260DE" w:rsidP="009260DE">
      <w:pPr>
        <w:tabs>
          <w:tab w:val="left" w:pos="851"/>
        </w:tabs>
        <w:ind w:left="851"/>
        <w:rPr>
          <w:sz w:val="24"/>
          <w:szCs w:val="24"/>
        </w:rPr>
      </w:pPr>
    </w:p>
    <w:p w14:paraId="3D38366F" w14:textId="57B580C6" w:rsidR="009260DE" w:rsidRPr="007475F3" w:rsidRDefault="009260DE" w:rsidP="009260DE">
      <w:pPr>
        <w:tabs>
          <w:tab w:val="left" w:pos="851"/>
        </w:tabs>
        <w:ind w:left="851" w:hanging="851"/>
        <w:rPr>
          <w:b/>
          <w:sz w:val="24"/>
          <w:szCs w:val="24"/>
        </w:rPr>
      </w:pPr>
      <w:r w:rsidRPr="007475F3">
        <w:rPr>
          <w:b/>
          <w:sz w:val="24"/>
          <w:szCs w:val="24"/>
        </w:rPr>
        <w:t>6.5</w:t>
      </w:r>
      <w:r w:rsidRPr="007475F3">
        <w:rPr>
          <w:b/>
          <w:sz w:val="24"/>
          <w:szCs w:val="24"/>
        </w:rPr>
        <w:tab/>
        <w:t>Emballagetype og pakningsstørrelser</w:t>
      </w:r>
    </w:p>
    <w:p w14:paraId="2A063BD4" w14:textId="77777777" w:rsidR="00C17868" w:rsidRDefault="00C17868" w:rsidP="00C17868">
      <w:pPr>
        <w:autoSpaceDE w:val="0"/>
        <w:autoSpaceDN w:val="0"/>
        <w:adjustRightInd w:val="0"/>
        <w:ind w:left="851"/>
        <w:rPr>
          <w:rFonts w:eastAsia="34cvf"/>
          <w:sz w:val="22"/>
        </w:rPr>
      </w:pPr>
      <w:proofErr w:type="spellStart"/>
      <w:r>
        <w:rPr>
          <w:rFonts w:eastAsia="34cvf"/>
        </w:rPr>
        <w:t>Irinotecan</w:t>
      </w:r>
      <w:proofErr w:type="spellEnd"/>
      <w:r>
        <w:rPr>
          <w:rFonts w:eastAsia="34cvf"/>
        </w:rPr>
        <w:t xml:space="preserve"> SUN 1,5 mg/ml infusionsvæske, opløsning, leveres sterilt i fleksible flerlagede ikke-PVC-infusionsposer (NEXCELTM M312 folie 190 </w:t>
      </w:r>
      <w:proofErr w:type="spellStart"/>
      <w:r>
        <w:rPr>
          <w:rFonts w:eastAsia="34cvf"/>
        </w:rPr>
        <w:t>micron</w:t>
      </w:r>
      <w:proofErr w:type="spellEnd"/>
      <w:r>
        <w:rPr>
          <w:rFonts w:eastAsia="34cvf"/>
        </w:rPr>
        <w:t xml:space="preserve"> klar, 5 lag, </w:t>
      </w:r>
      <w:proofErr w:type="spellStart"/>
      <w:r>
        <w:rPr>
          <w:rFonts w:eastAsia="34cvf"/>
        </w:rPr>
        <w:t>polyolefin</w:t>
      </w:r>
      <w:proofErr w:type="spellEnd"/>
      <w:r>
        <w:rPr>
          <w:rFonts w:eastAsia="34cvf"/>
        </w:rPr>
        <w:t xml:space="preserve">-folie. Struktur: ydre til indre-CPET/tie/PE/tie/EPC), der er indpakket med en aluminiumspose. Infusionsposeproppen består af en spikeport med en </w:t>
      </w:r>
      <w:proofErr w:type="spellStart"/>
      <w:r>
        <w:rPr>
          <w:rFonts w:eastAsia="34cvf"/>
        </w:rPr>
        <w:t>chlorbutyl</w:t>
      </w:r>
      <w:proofErr w:type="spellEnd"/>
      <w:r>
        <w:rPr>
          <w:rFonts w:eastAsia="34cvf"/>
        </w:rPr>
        <w:t xml:space="preserve"> (latexfri) forbindelse, og en </w:t>
      </w:r>
      <w:proofErr w:type="spellStart"/>
      <w:r>
        <w:rPr>
          <w:rFonts w:eastAsia="34cvf"/>
        </w:rPr>
        <w:t>polycarbonat</w:t>
      </w:r>
      <w:proofErr w:type="spellEnd"/>
      <w:r>
        <w:rPr>
          <w:rFonts w:eastAsia="34cvf"/>
        </w:rPr>
        <w:t>-tilslutningsslange anvendes.</w:t>
      </w:r>
    </w:p>
    <w:p w14:paraId="4C31F2BB" w14:textId="77777777" w:rsidR="00C17868" w:rsidRDefault="00C17868" w:rsidP="00C17868">
      <w:pPr>
        <w:autoSpaceDE w:val="0"/>
        <w:autoSpaceDN w:val="0"/>
        <w:adjustRightInd w:val="0"/>
        <w:ind w:left="851"/>
        <w:rPr>
          <w:rFonts w:eastAsia="34cvf"/>
        </w:rPr>
      </w:pPr>
    </w:p>
    <w:p w14:paraId="3339CB0C" w14:textId="77777777" w:rsidR="00C17868" w:rsidRDefault="00C17868" w:rsidP="00C17868">
      <w:pPr>
        <w:autoSpaceDE w:val="0"/>
        <w:autoSpaceDN w:val="0"/>
        <w:adjustRightInd w:val="0"/>
        <w:ind w:left="851"/>
        <w:rPr>
          <w:rFonts w:eastAsia="34cvf"/>
        </w:rPr>
      </w:pPr>
      <w:proofErr w:type="spellStart"/>
      <w:r>
        <w:rPr>
          <w:rFonts w:eastAsia="34cvf"/>
        </w:rPr>
        <w:t>Irinotecan</w:t>
      </w:r>
      <w:proofErr w:type="spellEnd"/>
      <w:r>
        <w:rPr>
          <w:rFonts w:eastAsia="34cvf"/>
        </w:rPr>
        <w:t xml:space="preserve"> SUN 1,5 mg/ml infusionsvæske, opløsning, er pakket i æsker, der hver indeholder 1, 5 eller 10 infusionsposer med enkeltdosis af henholdsvis 180 ml, 200 ml, 220 ml eller 240 ml.</w:t>
      </w:r>
    </w:p>
    <w:p w14:paraId="4B2F6067" w14:textId="77777777" w:rsidR="00C17868" w:rsidRDefault="00C17868" w:rsidP="00C17868">
      <w:pPr>
        <w:autoSpaceDE w:val="0"/>
        <w:autoSpaceDN w:val="0"/>
        <w:adjustRightInd w:val="0"/>
        <w:ind w:left="851"/>
        <w:rPr>
          <w:rFonts w:eastAsia="34cvf"/>
        </w:rPr>
      </w:pPr>
    </w:p>
    <w:p w14:paraId="73922F79" w14:textId="77777777" w:rsidR="00C17868" w:rsidRDefault="00C17868" w:rsidP="00C17868">
      <w:pPr>
        <w:autoSpaceDE w:val="0"/>
        <w:autoSpaceDN w:val="0"/>
        <w:adjustRightInd w:val="0"/>
        <w:ind w:left="851"/>
        <w:rPr>
          <w:rFonts w:eastAsia="34cvf"/>
        </w:rPr>
      </w:pPr>
      <w:r>
        <w:rPr>
          <w:rFonts w:eastAsia="34cvf"/>
        </w:rPr>
        <w:t>Ikke alle pakningsstørrelser vil nødvendigvis blive markedsført.</w:t>
      </w:r>
    </w:p>
    <w:p w14:paraId="2D46308E" w14:textId="77777777" w:rsidR="009260DE" w:rsidRPr="007475F3" w:rsidRDefault="009260DE" w:rsidP="009260DE">
      <w:pPr>
        <w:tabs>
          <w:tab w:val="left" w:pos="851"/>
        </w:tabs>
        <w:ind w:left="851"/>
        <w:rPr>
          <w:sz w:val="24"/>
          <w:szCs w:val="24"/>
        </w:rPr>
      </w:pPr>
    </w:p>
    <w:p w14:paraId="78C18E46" w14:textId="77F95BA9" w:rsidR="009260DE" w:rsidRPr="007475F3" w:rsidRDefault="009260DE" w:rsidP="009260DE">
      <w:pPr>
        <w:tabs>
          <w:tab w:val="left" w:pos="851"/>
        </w:tabs>
        <w:ind w:left="851" w:hanging="851"/>
        <w:rPr>
          <w:b/>
          <w:sz w:val="24"/>
          <w:szCs w:val="24"/>
        </w:rPr>
      </w:pPr>
      <w:r w:rsidRPr="007475F3">
        <w:rPr>
          <w:b/>
          <w:sz w:val="24"/>
          <w:szCs w:val="24"/>
        </w:rPr>
        <w:t>6.6</w:t>
      </w:r>
      <w:r w:rsidRPr="007475F3">
        <w:rPr>
          <w:b/>
          <w:sz w:val="24"/>
          <w:szCs w:val="24"/>
        </w:rPr>
        <w:tab/>
        <w:t xml:space="preserve">Regler for </w:t>
      </w:r>
      <w:r w:rsidR="00C17868">
        <w:rPr>
          <w:b/>
          <w:sz w:val="24"/>
          <w:szCs w:val="24"/>
        </w:rPr>
        <w:t>bortskaffelse</w:t>
      </w:r>
      <w:r w:rsidRPr="007475F3">
        <w:rPr>
          <w:b/>
          <w:sz w:val="24"/>
          <w:szCs w:val="24"/>
        </w:rPr>
        <w:t xml:space="preserve"> og anden håndtering</w:t>
      </w:r>
    </w:p>
    <w:p w14:paraId="132F6503" w14:textId="77777777" w:rsidR="000E2717" w:rsidRPr="007475F3" w:rsidRDefault="000E2717" w:rsidP="00C05638">
      <w:pPr>
        <w:autoSpaceDE w:val="0"/>
        <w:autoSpaceDN w:val="0"/>
        <w:adjustRightInd w:val="0"/>
        <w:ind w:left="851"/>
        <w:rPr>
          <w:sz w:val="24"/>
          <w:szCs w:val="24"/>
          <w:u w:val="single"/>
        </w:rPr>
      </w:pPr>
    </w:p>
    <w:p w14:paraId="5DEABB24" w14:textId="20846BFC" w:rsidR="001F5719" w:rsidRPr="007475F3" w:rsidRDefault="001F5719" w:rsidP="00C05638">
      <w:pPr>
        <w:autoSpaceDE w:val="0"/>
        <w:autoSpaceDN w:val="0"/>
        <w:adjustRightInd w:val="0"/>
        <w:ind w:left="851"/>
        <w:rPr>
          <w:bCs/>
          <w:sz w:val="24"/>
          <w:szCs w:val="24"/>
          <w:u w:val="single"/>
        </w:rPr>
      </w:pPr>
      <w:r w:rsidRPr="007475F3">
        <w:rPr>
          <w:sz w:val="24"/>
          <w:szCs w:val="24"/>
          <w:u w:val="single"/>
        </w:rPr>
        <w:t>Håndtering</w:t>
      </w:r>
    </w:p>
    <w:p w14:paraId="111A3EEE" w14:textId="61F9703B" w:rsidR="001F5719" w:rsidRPr="007475F3" w:rsidRDefault="001F5719" w:rsidP="00C05638">
      <w:pPr>
        <w:pStyle w:val="Listeafsnit"/>
        <w:numPr>
          <w:ilvl w:val="0"/>
          <w:numId w:val="22"/>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 xml:space="preserve">beregn den nødvendige dosis, og afgør hvilken størrelse af </w:t>
      </w:r>
      <w:proofErr w:type="spellStart"/>
      <w:r w:rsidR="001635E7" w:rsidRPr="007475F3">
        <w:rPr>
          <w:rFonts w:ascii="Times New Roman" w:hAnsi="Times New Roman"/>
          <w:sz w:val="24"/>
          <w:szCs w:val="24"/>
          <w:lang w:val="da-DK"/>
        </w:rPr>
        <w:t>Irinotecan</w:t>
      </w:r>
      <w:proofErr w:type="spellEnd"/>
      <w:r w:rsidR="001635E7" w:rsidRPr="007475F3">
        <w:rPr>
          <w:rFonts w:ascii="Times New Roman" w:hAnsi="Times New Roman"/>
          <w:sz w:val="24"/>
          <w:szCs w:val="24"/>
          <w:lang w:val="da-DK"/>
        </w:rPr>
        <w:t xml:space="preserve"> "</w:t>
      </w:r>
      <w:proofErr w:type="spellStart"/>
      <w:r w:rsidR="001635E7" w:rsidRPr="007475F3">
        <w:rPr>
          <w:rFonts w:ascii="Times New Roman" w:hAnsi="Times New Roman"/>
          <w:sz w:val="24"/>
          <w:szCs w:val="24"/>
          <w:lang w:val="da-DK"/>
        </w:rPr>
        <w:t>Sun"</w:t>
      </w:r>
      <w:r w:rsidRPr="007475F3">
        <w:rPr>
          <w:rFonts w:ascii="Times New Roman" w:hAnsi="Times New Roman"/>
          <w:sz w:val="24"/>
          <w:szCs w:val="24"/>
          <w:lang w:val="da-DK"/>
        </w:rPr>
        <w:t>-infusionsposer</w:t>
      </w:r>
      <w:proofErr w:type="spellEnd"/>
      <w:r w:rsidRPr="007475F3">
        <w:rPr>
          <w:rFonts w:ascii="Times New Roman" w:hAnsi="Times New Roman"/>
          <w:sz w:val="24"/>
          <w:szCs w:val="24"/>
          <w:lang w:val="da-DK"/>
        </w:rPr>
        <w:t>, der er nødvendig</w:t>
      </w:r>
    </w:p>
    <w:p w14:paraId="36ECE4B0" w14:textId="34A91802" w:rsidR="001F5719" w:rsidRPr="007475F3" w:rsidRDefault="001F5719" w:rsidP="00C05638">
      <w:pPr>
        <w:pStyle w:val="Listeafsnit"/>
        <w:numPr>
          <w:ilvl w:val="0"/>
          <w:numId w:val="22"/>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undersøg produktpakken for eventuelle skader. Må ikke anvendes, hvis der er tegn på, at der er pillet ved den</w:t>
      </w:r>
    </w:p>
    <w:p w14:paraId="390DFE91" w14:textId="26D70D76" w:rsidR="001F5719" w:rsidRPr="007475F3" w:rsidRDefault="001F5719" w:rsidP="00C05638">
      <w:pPr>
        <w:pStyle w:val="Listeafsnit"/>
        <w:numPr>
          <w:ilvl w:val="0"/>
          <w:numId w:val="22"/>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sæt patientspecifik etiket på indpakningen.</w:t>
      </w:r>
    </w:p>
    <w:p w14:paraId="68EBD737" w14:textId="77777777" w:rsidR="001F5719" w:rsidRPr="007475F3" w:rsidRDefault="001F5719" w:rsidP="00C05638">
      <w:pPr>
        <w:tabs>
          <w:tab w:val="left" w:pos="567"/>
        </w:tabs>
        <w:autoSpaceDE w:val="0"/>
        <w:autoSpaceDN w:val="0"/>
        <w:adjustRightInd w:val="0"/>
        <w:rPr>
          <w:sz w:val="24"/>
          <w:szCs w:val="24"/>
        </w:rPr>
      </w:pPr>
    </w:p>
    <w:p w14:paraId="6583ABDF" w14:textId="77777777" w:rsidR="00C17868" w:rsidRDefault="00C17868" w:rsidP="00C17868">
      <w:pPr>
        <w:autoSpaceDE w:val="0"/>
        <w:autoSpaceDN w:val="0"/>
        <w:adjustRightInd w:val="0"/>
        <w:ind w:left="851"/>
        <w:rPr>
          <w:i/>
          <w:iCs/>
          <w:sz w:val="22"/>
        </w:rPr>
      </w:pPr>
      <w:r>
        <w:rPr>
          <w:i/>
          <w:iCs/>
        </w:rPr>
        <w:t>Fjernelse af infusionspose fra indpakningen og inspektion af infusionspose</w:t>
      </w:r>
    </w:p>
    <w:p w14:paraId="07656474" w14:textId="77777777" w:rsidR="00C17868" w:rsidRDefault="00C17868" w:rsidP="00C17868">
      <w:pPr>
        <w:tabs>
          <w:tab w:val="left" w:pos="567"/>
        </w:tabs>
        <w:autoSpaceDE w:val="0"/>
        <w:autoSpaceDN w:val="0"/>
        <w:adjustRightInd w:val="0"/>
        <w:ind w:left="1418" w:hanging="567"/>
      </w:pPr>
      <w:r>
        <w:t>-</w:t>
      </w:r>
      <w:r>
        <w:tab/>
        <w:t>åbn indpakningen ved at rive i slidsen. Må ikke anvendes, hvis indpakningen tidligere har været åbnet eller er beskadiget</w:t>
      </w:r>
    </w:p>
    <w:p w14:paraId="57CB72D5" w14:textId="77777777" w:rsidR="00C17868" w:rsidRDefault="00C17868" w:rsidP="00C17868">
      <w:pPr>
        <w:tabs>
          <w:tab w:val="left" w:pos="567"/>
        </w:tabs>
        <w:autoSpaceDE w:val="0"/>
        <w:autoSpaceDN w:val="0"/>
        <w:adjustRightInd w:val="0"/>
        <w:ind w:left="851"/>
      </w:pPr>
      <w:r>
        <w:t>-</w:t>
      </w:r>
      <w:r>
        <w:tab/>
        <w:t>fjern infusionsposen fra indpakningen</w:t>
      </w:r>
    </w:p>
    <w:p w14:paraId="3301342A" w14:textId="77777777" w:rsidR="00C17868" w:rsidRDefault="00C17868" w:rsidP="00C17868">
      <w:pPr>
        <w:tabs>
          <w:tab w:val="left" w:pos="567"/>
        </w:tabs>
        <w:autoSpaceDE w:val="0"/>
        <w:autoSpaceDN w:val="0"/>
        <w:adjustRightInd w:val="0"/>
        <w:ind w:left="1418" w:hanging="567"/>
      </w:pPr>
      <w:r>
        <w:t>-</w:t>
      </w:r>
      <w:r>
        <w:tab/>
        <w:t>må kun anvendes, hvis infusionspose og forsegling er intakt. Tjek, før administration, for små utætheder ved at klemme fast på posen. Hvis der er utætheder, skal posen og opløsningen kasseres, da sterilitet kan være nedsat</w:t>
      </w:r>
    </w:p>
    <w:p w14:paraId="503B007B" w14:textId="77777777" w:rsidR="00C17868" w:rsidRDefault="00C17868" w:rsidP="00C17868">
      <w:pPr>
        <w:tabs>
          <w:tab w:val="left" w:pos="567"/>
        </w:tabs>
        <w:autoSpaceDE w:val="0"/>
        <w:autoSpaceDN w:val="0"/>
        <w:adjustRightInd w:val="0"/>
        <w:ind w:left="1418" w:hanging="567"/>
      </w:pPr>
      <w:r>
        <w:t>-</w:t>
      </w:r>
      <w:r>
        <w:tab/>
        <w:t>parenterale lægemidler bør inspiceres visuelt for partikler og misfarvning før administration. Hvis der observeres partikler og misfarvning, må det ikke anvendes.</w:t>
      </w:r>
    </w:p>
    <w:p w14:paraId="1B69987E" w14:textId="77777777" w:rsidR="001F5719" w:rsidRPr="007475F3" w:rsidRDefault="001F5719" w:rsidP="00C05638">
      <w:pPr>
        <w:tabs>
          <w:tab w:val="left" w:pos="567"/>
        </w:tabs>
        <w:autoSpaceDE w:val="0"/>
        <w:autoSpaceDN w:val="0"/>
        <w:adjustRightInd w:val="0"/>
        <w:rPr>
          <w:sz w:val="24"/>
          <w:szCs w:val="24"/>
        </w:rPr>
      </w:pPr>
    </w:p>
    <w:p w14:paraId="3D0BDD5C" w14:textId="77777777" w:rsidR="001F5719" w:rsidRPr="007475F3" w:rsidRDefault="001F5719" w:rsidP="00C05638">
      <w:pPr>
        <w:autoSpaceDE w:val="0"/>
        <w:autoSpaceDN w:val="0"/>
        <w:adjustRightInd w:val="0"/>
        <w:ind w:left="851"/>
        <w:rPr>
          <w:i/>
          <w:iCs/>
          <w:sz w:val="24"/>
          <w:szCs w:val="24"/>
        </w:rPr>
      </w:pPr>
      <w:r w:rsidRPr="007475F3">
        <w:rPr>
          <w:i/>
          <w:iCs/>
          <w:sz w:val="24"/>
          <w:szCs w:val="24"/>
        </w:rPr>
        <w:t>Administration</w:t>
      </w:r>
    </w:p>
    <w:p w14:paraId="0B37E61F" w14:textId="4D3B08D4" w:rsidR="001F5719" w:rsidRPr="007475F3" w:rsidRDefault="001F5719" w:rsidP="00C05638">
      <w:pPr>
        <w:pStyle w:val="Listeafsnit"/>
        <w:numPr>
          <w:ilvl w:val="0"/>
          <w:numId w:val="23"/>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 xml:space="preserve">bryd </w:t>
      </w:r>
      <w:proofErr w:type="spellStart"/>
      <w:r w:rsidRPr="007475F3">
        <w:rPr>
          <w:rFonts w:ascii="Times New Roman" w:hAnsi="Times New Roman"/>
          <w:sz w:val="24"/>
          <w:szCs w:val="24"/>
          <w:lang w:val="da-DK"/>
        </w:rPr>
        <w:t>propforseglingen</w:t>
      </w:r>
      <w:proofErr w:type="spellEnd"/>
      <w:r w:rsidRPr="007475F3">
        <w:rPr>
          <w:rFonts w:ascii="Times New Roman" w:hAnsi="Times New Roman"/>
          <w:sz w:val="24"/>
          <w:szCs w:val="24"/>
          <w:lang w:val="da-DK"/>
        </w:rPr>
        <w:t xml:space="preserve"> ved at lægge pres på den ene side med hånden</w:t>
      </w:r>
    </w:p>
    <w:p w14:paraId="7A83E29D" w14:textId="6FBF3C7E" w:rsidR="001F5719" w:rsidRPr="007475F3" w:rsidRDefault="001F5719" w:rsidP="00C05638">
      <w:pPr>
        <w:pStyle w:val="Listeafsnit"/>
        <w:numPr>
          <w:ilvl w:val="0"/>
          <w:numId w:val="23"/>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påsæt sterilt administrationssæt ved hjælp af aseptisk teknik</w:t>
      </w:r>
    </w:p>
    <w:p w14:paraId="30999972" w14:textId="78A21EAC" w:rsidR="001F5719" w:rsidRPr="007475F3" w:rsidRDefault="001F5719" w:rsidP="00C05638">
      <w:pPr>
        <w:pStyle w:val="Listeafsnit"/>
        <w:numPr>
          <w:ilvl w:val="0"/>
          <w:numId w:val="23"/>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se brugsanvisningen, der følger med administrationssættet.</w:t>
      </w:r>
    </w:p>
    <w:p w14:paraId="51DF1132" w14:textId="736A7A96" w:rsidR="001F5719" w:rsidRPr="007475F3" w:rsidRDefault="001F5719" w:rsidP="00C17868">
      <w:pPr>
        <w:rPr>
          <w:sz w:val="24"/>
          <w:szCs w:val="24"/>
        </w:rPr>
      </w:pPr>
    </w:p>
    <w:p w14:paraId="1B690A03" w14:textId="77777777" w:rsidR="001F5719" w:rsidRPr="007475F3" w:rsidRDefault="001F5719" w:rsidP="00C05638">
      <w:pPr>
        <w:autoSpaceDE w:val="0"/>
        <w:autoSpaceDN w:val="0"/>
        <w:adjustRightInd w:val="0"/>
        <w:ind w:left="851"/>
        <w:rPr>
          <w:i/>
          <w:iCs/>
          <w:sz w:val="24"/>
          <w:szCs w:val="24"/>
        </w:rPr>
      </w:pPr>
      <w:r w:rsidRPr="007475F3">
        <w:rPr>
          <w:i/>
          <w:iCs/>
          <w:sz w:val="24"/>
          <w:szCs w:val="24"/>
        </w:rPr>
        <w:t>Forholdsregler</w:t>
      </w:r>
    </w:p>
    <w:p w14:paraId="27B1DE99" w14:textId="266EBE3E" w:rsidR="001F5719" w:rsidRPr="007475F3" w:rsidRDefault="001F5719" w:rsidP="00C05638">
      <w:pPr>
        <w:pStyle w:val="Listeafsnit"/>
        <w:numPr>
          <w:ilvl w:val="0"/>
          <w:numId w:val="25"/>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må ikke anvendes i serieforbindelse</w:t>
      </w:r>
    </w:p>
    <w:p w14:paraId="6DB54E53" w14:textId="09A97AB5" w:rsidR="001F5719" w:rsidRPr="007475F3" w:rsidRDefault="001F5719" w:rsidP="00C05638">
      <w:pPr>
        <w:pStyle w:val="Listeafsnit"/>
        <w:numPr>
          <w:ilvl w:val="0"/>
          <w:numId w:val="25"/>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lastRenderedPageBreak/>
        <w:t>der må ikke indføres additiver i infusionsposen</w:t>
      </w:r>
    </w:p>
    <w:p w14:paraId="5F8AAF93" w14:textId="1C12E359" w:rsidR="001F5719" w:rsidRPr="007475F3" w:rsidRDefault="001F5719" w:rsidP="00C05638">
      <w:pPr>
        <w:pStyle w:val="Listeafsnit"/>
        <w:numPr>
          <w:ilvl w:val="0"/>
          <w:numId w:val="25"/>
        </w:numPr>
        <w:autoSpaceDE w:val="0"/>
        <w:autoSpaceDN w:val="0"/>
        <w:adjustRightInd w:val="0"/>
        <w:spacing w:after="0" w:line="240" w:lineRule="auto"/>
        <w:ind w:left="1276" w:hanging="425"/>
        <w:rPr>
          <w:rFonts w:ascii="Times New Roman" w:hAnsi="Times New Roman"/>
          <w:sz w:val="24"/>
          <w:szCs w:val="24"/>
          <w:lang w:val="da-DK"/>
        </w:rPr>
      </w:pPr>
      <w:r w:rsidRPr="007475F3">
        <w:rPr>
          <w:rFonts w:ascii="Times New Roman" w:hAnsi="Times New Roman"/>
          <w:sz w:val="24"/>
          <w:szCs w:val="24"/>
          <w:lang w:val="da-DK"/>
        </w:rPr>
        <w:t>infusionsvæsken, opløsning, er klar til brug og må ikke blandes med andre lægemidler</w:t>
      </w:r>
    </w:p>
    <w:p w14:paraId="667E8A1E" w14:textId="114C342C" w:rsidR="001F5719" w:rsidRPr="007475F3" w:rsidRDefault="001635E7" w:rsidP="00C05638">
      <w:pPr>
        <w:pStyle w:val="Listeafsnit"/>
        <w:numPr>
          <w:ilvl w:val="0"/>
          <w:numId w:val="25"/>
        </w:numPr>
        <w:autoSpaceDE w:val="0"/>
        <w:autoSpaceDN w:val="0"/>
        <w:adjustRightInd w:val="0"/>
        <w:spacing w:after="0" w:line="240" w:lineRule="auto"/>
        <w:ind w:left="1276" w:hanging="425"/>
        <w:rPr>
          <w:rFonts w:ascii="Times New Roman" w:hAnsi="Times New Roman"/>
          <w:sz w:val="24"/>
          <w:szCs w:val="24"/>
          <w:lang w:val="da-DK"/>
        </w:rPr>
      </w:pPr>
      <w:proofErr w:type="spellStart"/>
      <w:r w:rsidRPr="007475F3">
        <w:rPr>
          <w:rFonts w:ascii="Times New Roman" w:hAnsi="Times New Roman"/>
          <w:sz w:val="24"/>
          <w:szCs w:val="24"/>
          <w:lang w:val="da-DK"/>
        </w:rPr>
        <w:t>Irinotecan</w:t>
      </w:r>
      <w:proofErr w:type="spellEnd"/>
      <w:r w:rsidRPr="007475F3">
        <w:rPr>
          <w:rFonts w:ascii="Times New Roman" w:hAnsi="Times New Roman"/>
          <w:sz w:val="24"/>
          <w:szCs w:val="24"/>
          <w:lang w:val="da-DK"/>
        </w:rPr>
        <w:t xml:space="preserve"> "Sun"</w:t>
      </w:r>
      <w:r w:rsidR="00602DDC" w:rsidRPr="007475F3">
        <w:rPr>
          <w:rFonts w:ascii="Times New Roman" w:hAnsi="Times New Roman"/>
          <w:sz w:val="24"/>
          <w:szCs w:val="24"/>
          <w:lang w:val="da-DK"/>
        </w:rPr>
        <w:t xml:space="preserve">, </w:t>
      </w:r>
      <w:r w:rsidR="001F5719" w:rsidRPr="007475F3">
        <w:rPr>
          <w:rFonts w:ascii="Times New Roman" w:hAnsi="Times New Roman"/>
          <w:sz w:val="24"/>
          <w:szCs w:val="24"/>
          <w:lang w:val="da-DK"/>
        </w:rPr>
        <w:t>infusionsvæske, opløsning, er kun til engangsbrug.</w:t>
      </w:r>
    </w:p>
    <w:p w14:paraId="1F859A6F" w14:textId="77777777" w:rsidR="001F5719" w:rsidRPr="007475F3" w:rsidRDefault="001F5719" w:rsidP="00C05638">
      <w:pPr>
        <w:pStyle w:val="Listeafsnit"/>
        <w:autoSpaceDE w:val="0"/>
        <w:autoSpaceDN w:val="0"/>
        <w:adjustRightInd w:val="0"/>
        <w:spacing w:after="0" w:line="240" w:lineRule="auto"/>
        <w:ind w:left="0"/>
        <w:rPr>
          <w:rFonts w:ascii="Times New Roman" w:hAnsi="Times New Roman"/>
          <w:sz w:val="24"/>
          <w:szCs w:val="24"/>
          <w:lang w:val="da-DK"/>
        </w:rPr>
      </w:pPr>
    </w:p>
    <w:p w14:paraId="63825FA0" w14:textId="77777777" w:rsidR="001F5719" w:rsidRPr="007475F3" w:rsidRDefault="001F5719" w:rsidP="00C05638">
      <w:pPr>
        <w:autoSpaceDE w:val="0"/>
        <w:autoSpaceDN w:val="0"/>
        <w:adjustRightInd w:val="0"/>
        <w:ind w:left="851"/>
        <w:rPr>
          <w:sz w:val="24"/>
          <w:szCs w:val="24"/>
        </w:rPr>
      </w:pPr>
      <w:r w:rsidRPr="007475F3">
        <w:rPr>
          <w:sz w:val="24"/>
          <w:szCs w:val="24"/>
        </w:rPr>
        <w:t>Personale skal være forsynet med passende håndteringsmaterialer, især langærmede kitler, beskyttelsesmasker, hætter, beskyttelsesbriller, sterile engangshandsker, beskyttelsesafdækninger til arbejdsområdet og opsamlingsposer til affald.</w:t>
      </w:r>
    </w:p>
    <w:p w14:paraId="1B9B6C05" w14:textId="77777777" w:rsidR="001F5719" w:rsidRPr="007475F3" w:rsidRDefault="001F5719" w:rsidP="00C05638">
      <w:pPr>
        <w:autoSpaceDE w:val="0"/>
        <w:autoSpaceDN w:val="0"/>
        <w:adjustRightInd w:val="0"/>
        <w:ind w:left="851"/>
        <w:rPr>
          <w:sz w:val="24"/>
          <w:szCs w:val="24"/>
        </w:rPr>
      </w:pPr>
    </w:p>
    <w:p w14:paraId="348BCF10" w14:textId="77777777" w:rsidR="001F5719" w:rsidRPr="007475F3" w:rsidRDefault="001F5719" w:rsidP="00C05638">
      <w:pPr>
        <w:autoSpaceDE w:val="0"/>
        <w:autoSpaceDN w:val="0"/>
        <w:adjustRightInd w:val="0"/>
        <w:ind w:left="851"/>
        <w:rPr>
          <w:sz w:val="24"/>
          <w:szCs w:val="24"/>
        </w:rPr>
      </w:pPr>
      <w:proofErr w:type="spellStart"/>
      <w:r w:rsidRPr="007475F3">
        <w:rPr>
          <w:sz w:val="24"/>
          <w:szCs w:val="24"/>
        </w:rPr>
        <w:t>Cytotoksiske</w:t>
      </w:r>
      <w:proofErr w:type="spellEnd"/>
      <w:r w:rsidRPr="007475F3">
        <w:rPr>
          <w:sz w:val="24"/>
          <w:szCs w:val="24"/>
        </w:rPr>
        <w:t xml:space="preserve"> forberedelser bør ikke håndteres af gravide medarbejdere.</w:t>
      </w:r>
    </w:p>
    <w:p w14:paraId="72936B15" w14:textId="77777777" w:rsidR="001F5719" w:rsidRPr="007475F3" w:rsidRDefault="001F5719" w:rsidP="00C05638">
      <w:pPr>
        <w:autoSpaceDE w:val="0"/>
        <w:autoSpaceDN w:val="0"/>
        <w:adjustRightInd w:val="0"/>
        <w:ind w:left="851"/>
        <w:rPr>
          <w:sz w:val="24"/>
          <w:szCs w:val="24"/>
        </w:rPr>
      </w:pPr>
    </w:p>
    <w:p w14:paraId="1C7FEF67" w14:textId="77777777" w:rsidR="001F5719" w:rsidRPr="007475F3" w:rsidRDefault="001F5719" w:rsidP="00C05638">
      <w:pPr>
        <w:autoSpaceDE w:val="0"/>
        <w:autoSpaceDN w:val="0"/>
        <w:adjustRightInd w:val="0"/>
        <w:ind w:left="851"/>
        <w:rPr>
          <w:sz w:val="24"/>
          <w:szCs w:val="24"/>
        </w:rPr>
      </w:pPr>
      <w:r w:rsidRPr="007475F3">
        <w:rPr>
          <w:sz w:val="24"/>
          <w:szCs w:val="24"/>
        </w:rPr>
        <w:t>Hvis produktet kommer i kontakt med øjnene, kan det resultere i alvorlig irritation. I sådanne tilfælde skal øjnene vaskes grundigt og straks. Søg læge, hvis irritation vedvarer. Hvis opløsningen kommer i kontakt med huden, skylles det berørte område grundigt med vand. Ekskrementer og opkast skal håndteres med forsigtighed.</w:t>
      </w:r>
    </w:p>
    <w:p w14:paraId="7310161C" w14:textId="77777777" w:rsidR="001F5719" w:rsidRPr="007475F3" w:rsidRDefault="001F5719" w:rsidP="00C05638">
      <w:pPr>
        <w:autoSpaceDE w:val="0"/>
        <w:autoSpaceDN w:val="0"/>
        <w:adjustRightInd w:val="0"/>
        <w:ind w:left="851"/>
        <w:rPr>
          <w:sz w:val="24"/>
          <w:szCs w:val="24"/>
        </w:rPr>
      </w:pPr>
    </w:p>
    <w:p w14:paraId="4B2D2C41" w14:textId="77777777" w:rsidR="001F5719" w:rsidRPr="007475F3" w:rsidRDefault="001F5719" w:rsidP="00C05638">
      <w:pPr>
        <w:autoSpaceDE w:val="0"/>
        <w:autoSpaceDN w:val="0"/>
        <w:adjustRightInd w:val="0"/>
        <w:ind w:left="851"/>
        <w:rPr>
          <w:sz w:val="24"/>
          <w:szCs w:val="24"/>
          <w:u w:val="single"/>
        </w:rPr>
      </w:pPr>
      <w:r w:rsidRPr="007475F3">
        <w:rPr>
          <w:sz w:val="24"/>
          <w:szCs w:val="24"/>
          <w:u w:val="single"/>
        </w:rPr>
        <w:t>Bortskaffelse</w:t>
      </w:r>
    </w:p>
    <w:p w14:paraId="1F078BA9" w14:textId="77777777" w:rsidR="001F5719" w:rsidRPr="007475F3" w:rsidRDefault="001F5719" w:rsidP="00C05638">
      <w:pPr>
        <w:autoSpaceDE w:val="0"/>
        <w:autoSpaceDN w:val="0"/>
        <w:adjustRightInd w:val="0"/>
        <w:ind w:left="851"/>
        <w:rPr>
          <w:sz w:val="24"/>
          <w:szCs w:val="24"/>
        </w:rPr>
      </w:pPr>
      <w:r w:rsidRPr="007475F3">
        <w:rPr>
          <w:sz w:val="24"/>
          <w:szCs w:val="24"/>
        </w:rPr>
        <w:t xml:space="preserve">Ikke-anvendt lægemiddel samt affald heraf skal bortskaffes i henhold til lokale retningslinjer for </w:t>
      </w:r>
      <w:proofErr w:type="spellStart"/>
      <w:r w:rsidRPr="007475F3">
        <w:rPr>
          <w:sz w:val="24"/>
          <w:szCs w:val="24"/>
        </w:rPr>
        <w:t>cytotoksiske</w:t>
      </w:r>
      <w:proofErr w:type="spellEnd"/>
      <w:r w:rsidRPr="007475F3">
        <w:rPr>
          <w:sz w:val="24"/>
          <w:szCs w:val="24"/>
        </w:rPr>
        <w:t xml:space="preserve"> stoffer.</w:t>
      </w:r>
    </w:p>
    <w:p w14:paraId="17F2D50D" w14:textId="77777777" w:rsidR="009260DE" w:rsidRPr="007475F3" w:rsidRDefault="009260DE" w:rsidP="00C05638">
      <w:pPr>
        <w:tabs>
          <w:tab w:val="left" w:pos="851"/>
        </w:tabs>
        <w:ind w:left="851"/>
        <w:jc w:val="both"/>
        <w:rPr>
          <w:sz w:val="24"/>
          <w:szCs w:val="24"/>
        </w:rPr>
      </w:pPr>
    </w:p>
    <w:p w14:paraId="59E41236" w14:textId="77777777" w:rsidR="009260DE" w:rsidRPr="007475F3" w:rsidRDefault="009260DE" w:rsidP="009260DE">
      <w:pPr>
        <w:tabs>
          <w:tab w:val="left" w:pos="851"/>
        </w:tabs>
        <w:ind w:left="851" w:hanging="851"/>
        <w:rPr>
          <w:b/>
          <w:sz w:val="24"/>
          <w:szCs w:val="24"/>
        </w:rPr>
      </w:pPr>
      <w:r w:rsidRPr="007475F3">
        <w:rPr>
          <w:b/>
          <w:sz w:val="24"/>
          <w:szCs w:val="24"/>
        </w:rPr>
        <w:t>7.</w:t>
      </w:r>
      <w:r w:rsidRPr="007475F3">
        <w:rPr>
          <w:b/>
          <w:sz w:val="24"/>
          <w:szCs w:val="24"/>
        </w:rPr>
        <w:tab/>
        <w:t>INDEHAVER AF MARKEDSFØRINGSTILLADELSEN</w:t>
      </w:r>
    </w:p>
    <w:p w14:paraId="128BE26D" w14:textId="77777777" w:rsidR="001F5719" w:rsidRPr="007475F3" w:rsidRDefault="001F5719" w:rsidP="008B783C">
      <w:pPr>
        <w:ind w:left="851"/>
        <w:rPr>
          <w:sz w:val="24"/>
          <w:szCs w:val="24"/>
        </w:rPr>
      </w:pPr>
      <w:r w:rsidRPr="007475F3">
        <w:rPr>
          <w:sz w:val="24"/>
          <w:szCs w:val="24"/>
        </w:rPr>
        <w:t xml:space="preserve">Sun </w:t>
      </w:r>
      <w:proofErr w:type="spellStart"/>
      <w:r w:rsidRPr="007475F3">
        <w:rPr>
          <w:sz w:val="24"/>
          <w:szCs w:val="24"/>
        </w:rPr>
        <w:t>Pharmaceutical</w:t>
      </w:r>
      <w:proofErr w:type="spellEnd"/>
      <w:r w:rsidRPr="007475F3">
        <w:rPr>
          <w:sz w:val="24"/>
          <w:szCs w:val="24"/>
        </w:rPr>
        <w:t xml:space="preserve"> Industries Europe B.V.</w:t>
      </w:r>
    </w:p>
    <w:p w14:paraId="1B7A38CE" w14:textId="77777777" w:rsidR="001F5719" w:rsidRPr="007475F3" w:rsidRDefault="001F5719" w:rsidP="008B783C">
      <w:pPr>
        <w:ind w:left="851"/>
        <w:rPr>
          <w:sz w:val="24"/>
          <w:szCs w:val="24"/>
        </w:rPr>
      </w:pPr>
      <w:r w:rsidRPr="007475F3">
        <w:rPr>
          <w:sz w:val="24"/>
          <w:szCs w:val="24"/>
        </w:rPr>
        <w:t>Polarisavenue 87</w:t>
      </w:r>
    </w:p>
    <w:p w14:paraId="3AE1FC12" w14:textId="77777777" w:rsidR="001F5719" w:rsidRPr="007475F3" w:rsidRDefault="001F5719" w:rsidP="008B783C">
      <w:pPr>
        <w:ind w:left="851"/>
        <w:rPr>
          <w:sz w:val="24"/>
          <w:szCs w:val="24"/>
        </w:rPr>
      </w:pPr>
      <w:r w:rsidRPr="007475F3">
        <w:rPr>
          <w:sz w:val="24"/>
          <w:szCs w:val="24"/>
        </w:rPr>
        <w:t xml:space="preserve">2132 JH </w:t>
      </w:r>
      <w:proofErr w:type="spellStart"/>
      <w:r w:rsidRPr="007475F3">
        <w:rPr>
          <w:sz w:val="24"/>
          <w:szCs w:val="24"/>
        </w:rPr>
        <w:t>Hoofddorp</w:t>
      </w:r>
      <w:proofErr w:type="spellEnd"/>
    </w:p>
    <w:p w14:paraId="0A901216" w14:textId="77777777" w:rsidR="001F5719" w:rsidRPr="007475F3" w:rsidRDefault="001F5719" w:rsidP="008B783C">
      <w:pPr>
        <w:ind w:left="851"/>
        <w:rPr>
          <w:sz w:val="24"/>
          <w:szCs w:val="24"/>
        </w:rPr>
      </w:pPr>
      <w:r w:rsidRPr="007475F3">
        <w:rPr>
          <w:sz w:val="24"/>
          <w:szCs w:val="24"/>
        </w:rPr>
        <w:t>Holland</w:t>
      </w:r>
    </w:p>
    <w:p w14:paraId="73AAA8D7" w14:textId="77777777" w:rsidR="009260DE" w:rsidRPr="007475F3" w:rsidRDefault="009260DE" w:rsidP="009260DE">
      <w:pPr>
        <w:tabs>
          <w:tab w:val="left" w:pos="851"/>
        </w:tabs>
        <w:ind w:left="851"/>
        <w:rPr>
          <w:sz w:val="24"/>
          <w:szCs w:val="24"/>
        </w:rPr>
      </w:pPr>
    </w:p>
    <w:p w14:paraId="751C4566" w14:textId="343E5E54" w:rsidR="009260DE" w:rsidRPr="007475F3" w:rsidRDefault="009260DE" w:rsidP="009260DE">
      <w:pPr>
        <w:tabs>
          <w:tab w:val="left" w:pos="851"/>
        </w:tabs>
        <w:ind w:left="851" w:hanging="851"/>
        <w:rPr>
          <w:b/>
          <w:sz w:val="24"/>
          <w:szCs w:val="24"/>
        </w:rPr>
      </w:pPr>
      <w:r w:rsidRPr="007475F3">
        <w:rPr>
          <w:b/>
          <w:sz w:val="24"/>
          <w:szCs w:val="24"/>
        </w:rPr>
        <w:t>8.</w:t>
      </w:r>
      <w:r w:rsidRPr="007475F3">
        <w:rPr>
          <w:b/>
          <w:sz w:val="24"/>
          <w:szCs w:val="24"/>
        </w:rPr>
        <w:tab/>
        <w:t>MARKEDSFØRINGSTILLADELSESNUMMER (</w:t>
      </w:r>
      <w:r w:rsidR="00C17868">
        <w:rPr>
          <w:b/>
          <w:sz w:val="24"/>
          <w:szCs w:val="24"/>
        </w:rPr>
        <w:t>-</w:t>
      </w:r>
      <w:r w:rsidRPr="007475F3">
        <w:rPr>
          <w:b/>
          <w:sz w:val="24"/>
          <w:szCs w:val="24"/>
        </w:rPr>
        <w:t>NUMRE)</w:t>
      </w:r>
    </w:p>
    <w:p w14:paraId="589F5FA7" w14:textId="4DA096E5" w:rsidR="009260DE" w:rsidRPr="007475F3" w:rsidRDefault="00CE2E6B" w:rsidP="009260DE">
      <w:pPr>
        <w:tabs>
          <w:tab w:val="left" w:pos="851"/>
        </w:tabs>
        <w:ind w:left="851"/>
        <w:rPr>
          <w:sz w:val="24"/>
          <w:szCs w:val="24"/>
        </w:rPr>
      </w:pPr>
      <w:r w:rsidRPr="007475F3">
        <w:rPr>
          <w:sz w:val="24"/>
          <w:szCs w:val="24"/>
        </w:rPr>
        <w:t>65562</w:t>
      </w:r>
    </w:p>
    <w:p w14:paraId="75255E69" w14:textId="77777777" w:rsidR="009260DE" w:rsidRPr="007475F3" w:rsidRDefault="009260DE" w:rsidP="009260DE">
      <w:pPr>
        <w:tabs>
          <w:tab w:val="left" w:pos="851"/>
        </w:tabs>
        <w:ind w:left="851"/>
        <w:jc w:val="both"/>
        <w:rPr>
          <w:sz w:val="24"/>
          <w:szCs w:val="24"/>
        </w:rPr>
      </w:pPr>
    </w:p>
    <w:p w14:paraId="35A3CCB2" w14:textId="77777777" w:rsidR="009260DE" w:rsidRPr="007475F3" w:rsidRDefault="009260DE" w:rsidP="009260DE">
      <w:pPr>
        <w:tabs>
          <w:tab w:val="left" w:pos="851"/>
        </w:tabs>
        <w:ind w:left="851" w:hanging="851"/>
        <w:rPr>
          <w:b/>
          <w:sz w:val="24"/>
          <w:szCs w:val="24"/>
        </w:rPr>
      </w:pPr>
      <w:r w:rsidRPr="007475F3">
        <w:rPr>
          <w:b/>
          <w:sz w:val="24"/>
          <w:szCs w:val="24"/>
        </w:rPr>
        <w:t>9.</w:t>
      </w:r>
      <w:r w:rsidRPr="007475F3">
        <w:rPr>
          <w:b/>
          <w:sz w:val="24"/>
          <w:szCs w:val="24"/>
        </w:rPr>
        <w:tab/>
        <w:t>DATO FOR FØRSTE MARKEDSFØRINGSTILLADELSE</w:t>
      </w:r>
    </w:p>
    <w:p w14:paraId="67F08787" w14:textId="284C1731" w:rsidR="009260DE" w:rsidRPr="007475F3" w:rsidRDefault="003A18C6" w:rsidP="009260DE">
      <w:pPr>
        <w:tabs>
          <w:tab w:val="left" w:pos="851"/>
        </w:tabs>
        <w:ind w:left="851"/>
        <w:rPr>
          <w:sz w:val="24"/>
          <w:szCs w:val="24"/>
        </w:rPr>
      </w:pPr>
      <w:r w:rsidRPr="007475F3">
        <w:rPr>
          <w:sz w:val="24"/>
          <w:szCs w:val="24"/>
        </w:rPr>
        <w:t>2. august 2021</w:t>
      </w:r>
    </w:p>
    <w:p w14:paraId="118C2F18" w14:textId="77777777" w:rsidR="009260DE" w:rsidRPr="007475F3" w:rsidRDefault="009260DE" w:rsidP="009260DE">
      <w:pPr>
        <w:tabs>
          <w:tab w:val="left" w:pos="851"/>
        </w:tabs>
        <w:ind w:left="851"/>
        <w:rPr>
          <w:sz w:val="24"/>
          <w:szCs w:val="24"/>
        </w:rPr>
      </w:pPr>
    </w:p>
    <w:p w14:paraId="49F77885" w14:textId="77777777" w:rsidR="009260DE" w:rsidRPr="007475F3" w:rsidRDefault="009260DE" w:rsidP="009260DE">
      <w:pPr>
        <w:tabs>
          <w:tab w:val="left" w:pos="851"/>
        </w:tabs>
        <w:ind w:left="851" w:hanging="851"/>
        <w:rPr>
          <w:b/>
          <w:sz w:val="24"/>
          <w:szCs w:val="24"/>
        </w:rPr>
      </w:pPr>
      <w:r w:rsidRPr="007475F3">
        <w:rPr>
          <w:b/>
          <w:sz w:val="24"/>
          <w:szCs w:val="24"/>
        </w:rPr>
        <w:t>10.</w:t>
      </w:r>
      <w:r w:rsidRPr="007475F3">
        <w:rPr>
          <w:b/>
          <w:sz w:val="24"/>
          <w:szCs w:val="24"/>
        </w:rPr>
        <w:tab/>
        <w:t>DATO FOR ÆNDRING AF TEKSTEN</w:t>
      </w:r>
    </w:p>
    <w:p w14:paraId="35D76720" w14:textId="21FF9149" w:rsidR="009260DE" w:rsidRPr="007475F3" w:rsidRDefault="009D565D" w:rsidP="009260DE">
      <w:pPr>
        <w:tabs>
          <w:tab w:val="left" w:pos="851"/>
        </w:tabs>
        <w:ind w:left="851"/>
        <w:rPr>
          <w:sz w:val="24"/>
          <w:szCs w:val="24"/>
        </w:rPr>
      </w:pPr>
      <w:r>
        <w:rPr>
          <w:sz w:val="24"/>
          <w:szCs w:val="24"/>
        </w:rPr>
        <w:t>11</w:t>
      </w:r>
      <w:r w:rsidR="00625E52" w:rsidRPr="007475F3">
        <w:rPr>
          <w:sz w:val="24"/>
          <w:szCs w:val="24"/>
        </w:rPr>
        <w:t xml:space="preserve">. </w:t>
      </w:r>
      <w:r>
        <w:rPr>
          <w:sz w:val="24"/>
          <w:szCs w:val="24"/>
        </w:rPr>
        <w:t>juni</w:t>
      </w:r>
      <w:r w:rsidR="00625E52" w:rsidRPr="007475F3">
        <w:rPr>
          <w:sz w:val="24"/>
          <w:szCs w:val="24"/>
        </w:rPr>
        <w:t xml:space="preserve"> 202</w:t>
      </w:r>
      <w:r>
        <w:rPr>
          <w:sz w:val="24"/>
          <w:szCs w:val="24"/>
        </w:rPr>
        <w:t>4</w:t>
      </w:r>
    </w:p>
    <w:sectPr w:rsidR="009260DE" w:rsidRPr="007475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A409C" w14:textId="77777777" w:rsidR="00A504E0" w:rsidRDefault="00A504E0">
      <w:r>
        <w:separator/>
      </w:r>
    </w:p>
  </w:endnote>
  <w:endnote w:type="continuationSeparator" w:id="0">
    <w:p w14:paraId="0F4C8627" w14:textId="77777777" w:rsidR="00A504E0" w:rsidRDefault="00A5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34cvf">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DB1C" w14:textId="77777777" w:rsidR="00A504E0" w:rsidRDefault="00A504E0">
    <w:pPr>
      <w:pStyle w:val="Sidefod"/>
      <w:pBdr>
        <w:bottom w:val="single" w:sz="6" w:space="1" w:color="auto"/>
      </w:pBdr>
    </w:pPr>
  </w:p>
  <w:p w14:paraId="248A94B8" w14:textId="77777777" w:rsidR="00A504E0" w:rsidRDefault="00A504E0" w:rsidP="00C42586">
    <w:pPr>
      <w:pStyle w:val="Sidefod"/>
      <w:tabs>
        <w:tab w:val="clear" w:pos="4819"/>
        <w:tab w:val="left" w:pos="8505"/>
      </w:tabs>
      <w:rPr>
        <w:i/>
        <w:sz w:val="18"/>
        <w:szCs w:val="18"/>
      </w:rPr>
    </w:pPr>
  </w:p>
  <w:p w14:paraId="73781E9F" w14:textId="1F0B1515" w:rsidR="00A504E0" w:rsidRPr="00B373D7" w:rsidRDefault="00A504E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Irinotecan Sun, infusionsvæske, opløsning 1,5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E2D3" w14:textId="77777777" w:rsidR="00A504E0" w:rsidRDefault="00A504E0">
      <w:r>
        <w:separator/>
      </w:r>
    </w:p>
  </w:footnote>
  <w:footnote w:type="continuationSeparator" w:id="0">
    <w:p w14:paraId="32D793D6" w14:textId="77777777" w:rsidR="00A504E0" w:rsidRDefault="00A5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338"/>
    <w:multiLevelType w:val="hybridMultilevel"/>
    <w:tmpl w:val="57CCBB8A"/>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E11BCE"/>
    <w:multiLevelType w:val="hybridMultilevel"/>
    <w:tmpl w:val="E8A837EA"/>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263B67"/>
    <w:multiLevelType w:val="hybridMultilevel"/>
    <w:tmpl w:val="323A4F32"/>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8674AF"/>
    <w:multiLevelType w:val="hybridMultilevel"/>
    <w:tmpl w:val="3D4862F2"/>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4B25A3"/>
    <w:multiLevelType w:val="hybridMultilevel"/>
    <w:tmpl w:val="2AC6732A"/>
    <w:lvl w:ilvl="0" w:tplc="FB847F74">
      <w:numFmt w:val="bullet"/>
      <w:lvlText w:val="-"/>
      <w:lvlJc w:val="left"/>
      <w:pPr>
        <w:ind w:left="930" w:hanging="57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D54723"/>
    <w:multiLevelType w:val="hybridMultilevel"/>
    <w:tmpl w:val="85DEFB70"/>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5210FB7"/>
    <w:multiLevelType w:val="hybridMultilevel"/>
    <w:tmpl w:val="4AB688F8"/>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82713F9"/>
    <w:multiLevelType w:val="hybridMultilevel"/>
    <w:tmpl w:val="BDC83B5C"/>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B146950"/>
    <w:multiLevelType w:val="hybridMultilevel"/>
    <w:tmpl w:val="C9BE1006"/>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406294"/>
    <w:multiLevelType w:val="hybridMultilevel"/>
    <w:tmpl w:val="15CEBD90"/>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A02476"/>
    <w:multiLevelType w:val="hybridMultilevel"/>
    <w:tmpl w:val="E3C469C0"/>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DB861A1"/>
    <w:multiLevelType w:val="hybridMultilevel"/>
    <w:tmpl w:val="7226A9A4"/>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F54080E"/>
    <w:multiLevelType w:val="hybridMultilevel"/>
    <w:tmpl w:val="585E9882"/>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44825AE"/>
    <w:multiLevelType w:val="hybridMultilevel"/>
    <w:tmpl w:val="7382BE52"/>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8061DA4"/>
    <w:multiLevelType w:val="hybridMultilevel"/>
    <w:tmpl w:val="A3EE5B10"/>
    <w:lvl w:ilvl="0" w:tplc="A232C63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F44718C"/>
    <w:multiLevelType w:val="hybridMultilevel"/>
    <w:tmpl w:val="C68097DC"/>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F053C0"/>
    <w:multiLevelType w:val="hybridMultilevel"/>
    <w:tmpl w:val="73146A40"/>
    <w:lvl w:ilvl="0" w:tplc="498020E6">
      <w:start w:val="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88573AE"/>
    <w:multiLevelType w:val="hybridMultilevel"/>
    <w:tmpl w:val="6400EB2A"/>
    <w:lvl w:ilvl="0" w:tplc="498020E6">
      <w:start w:val="2"/>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B4679A4"/>
    <w:multiLevelType w:val="hybridMultilevel"/>
    <w:tmpl w:val="C6A4FA30"/>
    <w:lvl w:ilvl="0" w:tplc="498020E6">
      <w:start w:val="2"/>
      <w:numFmt w:val="bullet"/>
      <w:lvlText w:val="-"/>
      <w:lvlJc w:val="left"/>
      <w:pPr>
        <w:ind w:left="1146" w:hanging="360"/>
      </w:pPr>
      <w:rPr>
        <w:rFonts w:ascii="Times New Roman" w:eastAsia="Calibri" w:hAnsi="Times New Roman"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9"/>
  </w:num>
  <w:num w:numId="8">
    <w:abstractNumId w:val="22"/>
  </w:num>
  <w:num w:numId="9">
    <w:abstractNumId w:val="1"/>
  </w:num>
  <w:num w:numId="10">
    <w:abstractNumId w:val="5"/>
  </w:num>
  <w:num w:numId="11">
    <w:abstractNumId w:val="20"/>
  </w:num>
  <w:num w:numId="12">
    <w:abstractNumId w:val="3"/>
  </w:num>
  <w:num w:numId="13">
    <w:abstractNumId w:val="15"/>
  </w:num>
  <w:num w:numId="14">
    <w:abstractNumId w:val="7"/>
  </w:num>
  <w:num w:numId="15">
    <w:abstractNumId w:val="21"/>
  </w:num>
  <w:num w:numId="16">
    <w:abstractNumId w:val="8"/>
  </w:num>
  <w:num w:numId="17">
    <w:abstractNumId w:val="16"/>
  </w:num>
  <w:num w:numId="18">
    <w:abstractNumId w:val="6"/>
  </w:num>
  <w:num w:numId="19">
    <w:abstractNumId w:val="10"/>
  </w:num>
  <w:num w:numId="20">
    <w:abstractNumId w:val="17"/>
  </w:num>
  <w:num w:numId="21">
    <w:abstractNumId w:val="9"/>
  </w:num>
  <w:num w:numId="22">
    <w:abstractNumId w:val="4"/>
  </w:num>
  <w:num w:numId="23">
    <w:abstractNumId w:val="0"/>
  </w:num>
  <w:num w:numId="24">
    <w:abstractNumId w:val="23"/>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76"/>
    <w:rsid w:val="000259B9"/>
    <w:rsid w:val="00025A09"/>
    <w:rsid w:val="00041491"/>
    <w:rsid w:val="00050D16"/>
    <w:rsid w:val="00071AD0"/>
    <w:rsid w:val="00074F2A"/>
    <w:rsid w:val="000A1CA8"/>
    <w:rsid w:val="000A466B"/>
    <w:rsid w:val="000B058C"/>
    <w:rsid w:val="000D6652"/>
    <w:rsid w:val="000E2717"/>
    <w:rsid w:val="000E4EE6"/>
    <w:rsid w:val="001454E2"/>
    <w:rsid w:val="001635E7"/>
    <w:rsid w:val="001E6E98"/>
    <w:rsid w:val="001F5719"/>
    <w:rsid w:val="00206CE8"/>
    <w:rsid w:val="0021526C"/>
    <w:rsid w:val="00253EB6"/>
    <w:rsid w:val="00283A2B"/>
    <w:rsid w:val="002B30AD"/>
    <w:rsid w:val="002C2C01"/>
    <w:rsid w:val="002F46D5"/>
    <w:rsid w:val="00311A09"/>
    <w:rsid w:val="003237D1"/>
    <w:rsid w:val="00382D16"/>
    <w:rsid w:val="003A18C6"/>
    <w:rsid w:val="003A29AE"/>
    <w:rsid w:val="003A32D7"/>
    <w:rsid w:val="003B4074"/>
    <w:rsid w:val="003C648F"/>
    <w:rsid w:val="003C7485"/>
    <w:rsid w:val="003C769A"/>
    <w:rsid w:val="003F1838"/>
    <w:rsid w:val="0045746C"/>
    <w:rsid w:val="0049104B"/>
    <w:rsid w:val="004E3B12"/>
    <w:rsid w:val="00532310"/>
    <w:rsid w:val="00565F0F"/>
    <w:rsid w:val="00594A86"/>
    <w:rsid w:val="00596D86"/>
    <w:rsid w:val="00602DDC"/>
    <w:rsid w:val="00625E52"/>
    <w:rsid w:val="00637F5A"/>
    <w:rsid w:val="006560B1"/>
    <w:rsid w:val="006756DD"/>
    <w:rsid w:val="00675C15"/>
    <w:rsid w:val="006910F7"/>
    <w:rsid w:val="006A464E"/>
    <w:rsid w:val="006B4212"/>
    <w:rsid w:val="007132DF"/>
    <w:rsid w:val="00737275"/>
    <w:rsid w:val="007407D4"/>
    <w:rsid w:val="00740EEC"/>
    <w:rsid w:val="007475F3"/>
    <w:rsid w:val="0078011A"/>
    <w:rsid w:val="00782AF4"/>
    <w:rsid w:val="00790EE7"/>
    <w:rsid w:val="00792FF9"/>
    <w:rsid w:val="007B6649"/>
    <w:rsid w:val="00803E3D"/>
    <w:rsid w:val="0082576E"/>
    <w:rsid w:val="00847DD4"/>
    <w:rsid w:val="008556E4"/>
    <w:rsid w:val="008B783C"/>
    <w:rsid w:val="008D3349"/>
    <w:rsid w:val="008F312E"/>
    <w:rsid w:val="008F7215"/>
    <w:rsid w:val="00907F75"/>
    <w:rsid w:val="009260DE"/>
    <w:rsid w:val="0093258A"/>
    <w:rsid w:val="0097544A"/>
    <w:rsid w:val="009C7BA3"/>
    <w:rsid w:val="009D1F5A"/>
    <w:rsid w:val="009D565D"/>
    <w:rsid w:val="00A10382"/>
    <w:rsid w:val="00A1150F"/>
    <w:rsid w:val="00A126E3"/>
    <w:rsid w:val="00A331CB"/>
    <w:rsid w:val="00A504E0"/>
    <w:rsid w:val="00A87E95"/>
    <w:rsid w:val="00B003BF"/>
    <w:rsid w:val="00B30A16"/>
    <w:rsid w:val="00B373D7"/>
    <w:rsid w:val="00C02BD5"/>
    <w:rsid w:val="00C05638"/>
    <w:rsid w:val="00C17868"/>
    <w:rsid w:val="00C21747"/>
    <w:rsid w:val="00C223FE"/>
    <w:rsid w:val="00C36276"/>
    <w:rsid w:val="00C42586"/>
    <w:rsid w:val="00C44F8B"/>
    <w:rsid w:val="00C60CCD"/>
    <w:rsid w:val="00C84483"/>
    <w:rsid w:val="00C95551"/>
    <w:rsid w:val="00CB20D7"/>
    <w:rsid w:val="00CD79CC"/>
    <w:rsid w:val="00CE2E6B"/>
    <w:rsid w:val="00D020B0"/>
    <w:rsid w:val="00D11748"/>
    <w:rsid w:val="00D247F8"/>
    <w:rsid w:val="00D366CF"/>
    <w:rsid w:val="00D875E9"/>
    <w:rsid w:val="00D87953"/>
    <w:rsid w:val="00DB0B21"/>
    <w:rsid w:val="00E108AA"/>
    <w:rsid w:val="00E1552D"/>
    <w:rsid w:val="00E3749A"/>
    <w:rsid w:val="00E50E97"/>
    <w:rsid w:val="00E513EC"/>
    <w:rsid w:val="00E7437F"/>
    <w:rsid w:val="00E865B8"/>
    <w:rsid w:val="00E90DBA"/>
    <w:rsid w:val="00EC0B9B"/>
    <w:rsid w:val="00ED5E9F"/>
    <w:rsid w:val="00EE4F76"/>
    <w:rsid w:val="00F42A29"/>
    <w:rsid w:val="00F51F2C"/>
    <w:rsid w:val="00F66D4F"/>
    <w:rsid w:val="00FB6D01"/>
    <w:rsid w:val="00FF6A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2088"/>
  <w15:chartTrackingRefBased/>
  <w15:docId w15:val="{26FE29B2-B103-454F-80F5-56BB753B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92FF9"/>
    <w:pPr>
      <w:spacing w:after="160" w:line="256" w:lineRule="auto"/>
      <w:ind w:left="720"/>
      <w:contextualSpacing/>
    </w:pPr>
    <w:rPr>
      <w:rFonts w:ascii="Calibri" w:eastAsia="Calibri" w:hAnsi="Calibri"/>
      <w:sz w:val="22"/>
      <w:szCs w:val="22"/>
      <w:lang w:val="nl-NL"/>
    </w:rPr>
  </w:style>
  <w:style w:type="character" w:styleId="Hyperlink">
    <w:name w:val="Hyperlink"/>
    <w:basedOn w:val="Standardskrifttypeiafsnit"/>
    <w:uiPriority w:val="99"/>
    <w:semiHidden/>
    <w:unhideWhenUsed/>
    <w:rsid w:val="008D33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1543">
      <w:bodyDiv w:val="1"/>
      <w:marLeft w:val="0"/>
      <w:marRight w:val="0"/>
      <w:marTop w:val="0"/>
      <w:marBottom w:val="0"/>
      <w:divBdr>
        <w:top w:val="none" w:sz="0" w:space="0" w:color="auto"/>
        <w:left w:val="none" w:sz="0" w:space="0" w:color="auto"/>
        <w:bottom w:val="none" w:sz="0" w:space="0" w:color="auto"/>
        <w:right w:val="none" w:sz="0" w:space="0" w:color="auto"/>
      </w:divBdr>
    </w:div>
    <w:div w:id="74018222">
      <w:bodyDiv w:val="1"/>
      <w:marLeft w:val="0"/>
      <w:marRight w:val="0"/>
      <w:marTop w:val="0"/>
      <w:marBottom w:val="0"/>
      <w:divBdr>
        <w:top w:val="none" w:sz="0" w:space="0" w:color="auto"/>
        <w:left w:val="none" w:sz="0" w:space="0" w:color="auto"/>
        <w:bottom w:val="none" w:sz="0" w:space="0" w:color="auto"/>
        <w:right w:val="none" w:sz="0" w:space="0" w:color="auto"/>
      </w:divBdr>
    </w:div>
    <w:div w:id="80833798">
      <w:bodyDiv w:val="1"/>
      <w:marLeft w:val="0"/>
      <w:marRight w:val="0"/>
      <w:marTop w:val="0"/>
      <w:marBottom w:val="0"/>
      <w:divBdr>
        <w:top w:val="none" w:sz="0" w:space="0" w:color="auto"/>
        <w:left w:val="none" w:sz="0" w:space="0" w:color="auto"/>
        <w:bottom w:val="none" w:sz="0" w:space="0" w:color="auto"/>
        <w:right w:val="none" w:sz="0" w:space="0" w:color="auto"/>
      </w:divBdr>
    </w:div>
    <w:div w:id="829917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604117">
      <w:bodyDiv w:val="1"/>
      <w:marLeft w:val="0"/>
      <w:marRight w:val="0"/>
      <w:marTop w:val="0"/>
      <w:marBottom w:val="0"/>
      <w:divBdr>
        <w:top w:val="none" w:sz="0" w:space="0" w:color="auto"/>
        <w:left w:val="none" w:sz="0" w:space="0" w:color="auto"/>
        <w:bottom w:val="none" w:sz="0" w:space="0" w:color="auto"/>
        <w:right w:val="none" w:sz="0" w:space="0" w:color="auto"/>
      </w:divBdr>
    </w:div>
    <w:div w:id="261378112">
      <w:bodyDiv w:val="1"/>
      <w:marLeft w:val="0"/>
      <w:marRight w:val="0"/>
      <w:marTop w:val="0"/>
      <w:marBottom w:val="0"/>
      <w:divBdr>
        <w:top w:val="none" w:sz="0" w:space="0" w:color="auto"/>
        <w:left w:val="none" w:sz="0" w:space="0" w:color="auto"/>
        <w:bottom w:val="none" w:sz="0" w:space="0" w:color="auto"/>
        <w:right w:val="none" w:sz="0" w:space="0" w:color="auto"/>
      </w:divBdr>
    </w:div>
    <w:div w:id="389308319">
      <w:bodyDiv w:val="1"/>
      <w:marLeft w:val="0"/>
      <w:marRight w:val="0"/>
      <w:marTop w:val="0"/>
      <w:marBottom w:val="0"/>
      <w:divBdr>
        <w:top w:val="none" w:sz="0" w:space="0" w:color="auto"/>
        <w:left w:val="none" w:sz="0" w:space="0" w:color="auto"/>
        <w:bottom w:val="none" w:sz="0" w:space="0" w:color="auto"/>
        <w:right w:val="none" w:sz="0" w:space="0" w:color="auto"/>
      </w:divBdr>
    </w:div>
    <w:div w:id="442531011">
      <w:bodyDiv w:val="1"/>
      <w:marLeft w:val="0"/>
      <w:marRight w:val="0"/>
      <w:marTop w:val="0"/>
      <w:marBottom w:val="0"/>
      <w:divBdr>
        <w:top w:val="none" w:sz="0" w:space="0" w:color="auto"/>
        <w:left w:val="none" w:sz="0" w:space="0" w:color="auto"/>
        <w:bottom w:val="none" w:sz="0" w:space="0" w:color="auto"/>
        <w:right w:val="none" w:sz="0" w:space="0" w:color="auto"/>
      </w:divBdr>
    </w:div>
    <w:div w:id="467627317">
      <w:bodyDiv w:val="1"/>
      <w:marLeft w:val="0"/>
      <w:marRight w:val="0"/>
      <w:marTop w:val="0"/>
      <w:marBottom w:val="0"/>
      <w:divBdr>
        <w:top w:val="none" w:sz="0" w:space="0" w:color="auto"/>
        <w:left w:val="none" w:sz="0" w:space="0" w:color="auto"/>
        <w:bottom w:val="none" w:sz="0" w:space="0" w:color="auto"/>
        <w:right w:val="none" w:sz="0" w:space="0" w:color="auto"/>
      </w:divBdr>
    </w:div>
    <w:div w:id="495193593">
      <w:bodyDiv w:val="1"/>
      <w:marLeft w:val="0"/>
      <w:marRight w:val="0"/>
      <w:marTop w:val="0"/>
      <w:marBottom w:val="0"/>
      <w:divBdr>
        <w:top w:val="none" w:sz="0" w:space="0" w:color="auto"/>
        <w:left w:val="none" w:sz="0" w:space="0" w:color="auto"/>
        <w:bottom w:val="none" w:sz="0" w:space="0" w:color="auto"/>
        <w:right w:val="none" w:sz="0" w:space="0" w:color="auto"/>
      </w:divBdr>
    </w:div>
    <w:div w:id="598103132">
      <w:bodyDiv w:val="1"/>
      <w:marLeft w:val="0"/>
      <w:marRight w:val="0"/>
      <w:marTop w:val="0"/>
      <w:marBottom w:val="0"/>
      <w:divBdr>
        <w:top w:val="none" w:sz="0" w:space="0" w:color="auto"/>
        <w:left w:val="none" w:sz="0" w:space="0" w:color="auto"/>
        <w:bottom w:val="none" w:sz="0" w:space="0" w:color="auto"/>
        <w:right w:val="none" w:sz="0" w:space="0" w:color="auto"/>
      </w:divBdr>
    </w:div>
    <w:div w:id="606080163">
      <w:bodyDiv w:val="1"/>
      <w:marLeft w:val="0"/>
      <w:marRight w:val="0"/>
      <w:marTop w:val="0"/>
      <w:marBottom w:val="0"/>
      <w:divBdr>
        <w:top w:val="none" w:sz="0" w:space="0" w:color="auto"/>
        <w:left w:val="none" w:sz="0" w:space="0" w:color="auto"/>
        <w:bottom w:val="none" w:sz="0" w:space="0" w:color="auto"/>
        <w:right w:val="none" w:sz="0" w:space="0" w:color="auto"/>
      </w:divBdr>
    </w:div>
    <w:div w:id="622882018">
      <w:bodyDiv w:val="1"/>
      <w:marLeft w:val="0"/>
      <w:marRight w:val="0"/>
      <w:marTop w:val="0"/>
      <w:marBottom w:val="0"/>
      <w:divBdr>
        <w:top w:val="none" w:sz="0" w:space="0" w:color="auto"/>
        <w:left w:val="none" w:sz="0" w:space="0" w:color="auto"/>
        <w:bottom w:val="none" w:sz="0" w:space="0" w:color="auto"/>
        <w:right w:val="none" w:sz="0" w:space="0" w:color="auto"/>
      </w:divBdr>
    </w:div>
    <w:div w:id="644504093">
      <w:bodyDiv w:val="1"/>
      <w:marLeft w:val="0"/>
      <w:marRight w:val="0"/>
      <w:marTop w:val="0"/>
      <w:marBottom w:val="0"/>
      <w:divBdr>
        <w:top w:val="none" w:sz="0" w:space="0" w:color="auto"/>
        <w:left w:val="none" w:sz="0" w:space="0" w:color="auto"/>
        <w:bottom w:val="none" w:sz="0" w:space="0" w:color="auto"/>
        <w:right w:val="none" w:sz="0" w:space="0" w:color="auto"/>
      </w:divBdr>
    </w:div>
    <w:div w:id="644504342">
      <w:bodyDiv w:val="1"/>
      <w:marLeft w:val="0"/>
      <w:marRight w:val="0"/>
      <w:marTop w:val="0"/>
      <w:marBottom w:val="0"/>
      <w:divBdr>
        <w:top w:val="none" w:sz="0" w:space="0" w:color="auto"/>
        <w:left w:val="none" w:sz="0" w:space="0" w:color="auto"/>
        <w:bottom w:val="none" w:sz="0" w:space="0" w:color="auto"/>
        <w:right w:val="none" w:sz="0" w:space="0" w:color="auto"/>
      </w:divBdr>
    </w:div>
    <w:div w:id="653872012">
      <w:bodyDiv w:val="1"/>
      <w:marLeft w:val="0"/>
      <w:marRight w:val="0"/>
      <w:marTop w:val="0"/>
      <w:marBottom w:val="0"/>
      <w:divBdr>
        <w:top w:val="none" w:sz="0" w:space="0" w:color="auto"/>
        <w:left w:val="none" w:sz="0" w:space="0" w:color="auto"/>
        <w:bottom w:val="none" w:sz="0" w:space="0" w:color="auto"/>
        <w:right w:val="none" w:sz="0" w:space="0" w:color="auto"/>
      </w:divBdr>
    </w:div>
    <w:div w:id="703094940">
      <w:bodyDiv w:val="1"/>
      <w:marLeft w:val="0"/>
      <w:marRight w:val="0"/>
      <w:marTop w:val="0"/>
      <w:marBottom w:val="0"/>
      <w:divBdr>
        <w:top w:val="none" w:sz="0" w:space="0" w:color="auto"/>
        <w:left w:val="none" w:sz="0" w:space="0" w:color="auto"/>
        <w:bottom w:val="none" w:sz="0" w:space="0" w:color="auto"/>
        <w:right w:val="none" w:sz="0" w:space="0" w:color="auto"/>
      </w:divBdr>
    </w:div>
    <w:div w:id="742797163">
      <w:bodyDiv w:val="1"/>
      <w:marLeft w:val="0"/>
      <w:marRight w:val="0"/>
      <w:marTop w:val="0"/>
      <w:marBottom w:val="0"/>
      <w:divBdr>
        <w:top w:val="none" w:sz="0" w:space="0" w:color="auto"/>
        <w:left w:val="none" w:sz="0" w:space="0" w:color="auto"/>
        <w:bottom w:val="none" w:sz="0" w:space="0" w:color="auto"/>
        <w:right w:val="none" w:sz="0" w:space="0" w:color="auto"/>
      </w:divBdr>
    </w:div>
    <w:div w:id="775366261">
      <w:bodyDiv w:val="1"/>
      <w:marLeft w:val="0"/>
      <w:marRight w:val="0"/>
      <w:marTop w:val="0"/>
      <w:marBottom w:val="0"/>
      <w:divBdr>
        <w:top w:val="none" w:sz="0" w:space="0" w:color="auto"/>
        <w:left w:val="none" w:sz="0" w:space="0" w:color="auto"/>
        <w:bottom w:val="none" w:sz="0" w:space="0" w:color="auto"/>
        <w:right w:val="none" w:sz="0" w:space="0" w:color="auto"/>
      </w:divBdr>
    </w:div>
    <w:div w:id="807169748">
      <w:bodyDiv w:val="1"/>
      <w:marLeft w:val="0"/>
      <w:marRight w:val="0"/>
      <w:marTop w:val="0"/>
      <w:marBottom w:val="0"/>
      <w:divBdr>
        <w:top w:val="none" w:sz="0" w:space="0" w:color="auto"/>
        <w:left w:val="none" w:sz="0" w:space="0" w:color="auto"/>
        <w:bottom w:val="none" w:sz="0" w:space="0" w:color="auto"/>
        <w:right w:val="none" w:sz="0" w:space="0" w:color="auto"/>
      </w:divBdr>
    </w:div>
    <w:div w:id="912856316">
      <w:bodyDiv w:val="1"/>
      <w:marLeft w:val="0"/>
      <w:marRight w:val="0"/>
      <w:marTop w:val="0"/>
      <w:marBottom w:val="0"/>
      <w:divBdr>
        <w:top w:val="none" w:sz="0" w:space="0" w:color="auto"/>
        <w:left w:val="none" w:sz="0" w:space="0" w:color="auto"/>
        <w:bottom w:val="none" w:sz="0" w:space="0" w:color="auto"/>
        <w:right w:val="none" w:sz="0" w:space="0" w:color="auto"/>
      </w:divBdr>
    </w:div>
    <w:div w:id="935479543">
      <w:bodyDiv w:val="1"/>
      <w:marLeft w:val="0"/>
      <w:marRight w:val="0"/>
      <w:marTop w:val="0"/>
      <w:marBottom w:val="0"/>
      <w:divBdr>
        <w:top w:val="none" w:sz="0" w:space="0" w:color="auto"/>
        <w:left w:val="none" w:sz="0" w:space="0" w:color="auto"/>
        <w:bottom w:val="none" w:sz="0" w:space="0" w:color="auto"/>
        <w:right w:val="none" w:sz="0" w:space="0" w:color="auto"/>
      </w:divBdr>
    </w:div>
    <w:div w:id="1192376495">
      <w:bodyDiv w:val="1"/>
      <w:marLeft w:val="0"/>
      <w:marRight w:val="0"/>
      <w:marTop w:val="0"/>
      <w:marBottom w:val="0"/>
      <w:divBdr>
        <w:top w:val="none" w:sz="0" w:space="0" w:color="auto"/>
        <w:left w:val="none" w:sz="0" w:space="0" w:color="auto"/>
        <w:bottom w:val="none" w:sz="0" w:space="0" w:color="auto"/>
        <w:right w:val="none" w:sz="0" w:space="0" w:color="auto"/>
      </w:divBdr>
    </w:div>
    <w:div w:id="1264535461">
      <w:bodyDiv w:val="1"/>
      <w:marLeft w:val="0"/>
      <w:marRight w:val="0"/>
      <w:marTop w:val="0"/>
      <w:marBottom w:val="0"/>
      <w:divBdr>
        <w:top w:val="none" w:sz="0" w:space="0" w:color="auto"/>
        <w:left w:val="none" w:sz="0" w:space="0" w:color="auto"/>
        <w:bottom w:val="none" w:sz="0" w:space="0" w:color="auto"/>
        <w:right w:val="none" w:sz="0" w:space="0" w:color="auto"/>
      </w:divBdr>
    </w:div>
    <w:div w:id="1293170706">
      <w:bodyDiv w:val="1"/>
      <w:marLeft w:val="0"/>
      <w:marRight w:val="0"/>
      <w:marTop w:val="0"/>
      <w:marBottom w:val="0"/>
      <w:divBdr>
        <w:top w:val="none" w:sz="0" w:space="0" w:color="auto"/>
        <w:left w:val="none" w:sz="0" w:space="0" w:color="auto"/>
        <w:bottom w:val="none" w:sz="0" w:space="0" w:color="auto"/>
        <w:right w:val="none" w:sz="0" w:space="0" w:color="auto"/>
      </w:divBdr>
    </w:div>
    <w:div w:id="1321740124">
      <w:bodyDiv w:val="1"/>
      <w:marLeft w:val="0"/>
      <w:marRight w:val="0"/>
      <w:marTop w:val="0"/>
      <w:marBottom w:val="0"/>
      <w:divBdr>
        <w:top w:val="none" w:sz="0" w:space="0" w:color="auto"/>
        <w:left w:val="none" w:sz="0" w:space="0" w:color="auto"/>
        <w:bottom w:val="none" w:sz="0" w:space="0" w:color="auto"/>
        <w:right w:val="none" w:sz="0" w:space="0" w:color="auto"/>
      </w:divBdr>
    </w:div>
    <w:div w:id="1427187430">
      <w:bodyDiv w:val="1"/>
      <w:marLeft w:val="0"/>
      <w:marRight w:val="0"/>
      <w:marTop w:val="0"/>
      <w:marBottom w:val="0"/>
      <w:divBdr>
        <w:top w:val="none" w:sz="0" w:space="0" w:color="auto"/>
        <w:left w:val="none" w:sz="0" w:space="0" w:color="auto"/>
        <w:bottom w:val="none" w:sz="0" w:space="0" w:color="auto"/>
        <w:right w:val="none" w:sz="0" w:space="0" w:color="auto"/>
      </w:divBdr>
    </w:div>
    <w:div w:id="1493326140">
      <w:bodyDiv w:val="1"/>
      <w:marLeft w:val="0"/>
      <w:marRight w:val="0"/>
      <w:marTop w:val="0"/>
      <w:marBottom w:val="0"/>
      <w:divBdr>
        <w:top w:val="none" w:sz="0" w:space="0" w:color="auto"/>
        <w:left w:val="none" w:sz="0" w:space="0" w:color="auto"/>
        <w:bottom w:val="none" w:sz="0" w:space="0" w:color="auto"/>
        <w:right w:val="none" w:sz="0" w:space="0" w:color="auto"/>
      </w:divBdr>
    </w:div>
    <w:div w:id="1728064904">
      <w:bodyDiv w:val="1"/>
      <w:marLeft w:val="0"/>
      <w:marRight w:val="0"/>
      <w:marTop w:val="0"/>
      <w:marBottom w:val="0"/>
      <w:divBdr>
        <w:top w:val="none" w:sz="0" w:space="0" w:color="auto"/>
        <w:left w:val="none" w:sz="0" w:space="0" w:color="auto"/>
        <w:bottom w:val="none" w:sz="0" w:space="0" w:color="auto"/>
        <w:right w:val="none" w:sz="0" w:space="0" w:color="auto"/>
      </w:divBdr>
    </w:div>
    <w:div w:id="1743479256">
      <w:bodyDiv w:val="1"/>
      <w:marLeft w:val="0"/>
      <w:marRight w:val="0"/>
      <w:marTop w:val="0"/>
      <w:marBottom w:val="0"/>
      <w:divBdr>
        <w:top w:val="none" w:sz="0" w:space="0" w:color="auto"/>
        <w:left w:val="none" w:sz="0" w:space="0" w:color="auto"/>
        <w:bottom w:val="none" w:sz="0" w:space="0" w:color="auto"/>
        <w:right w:val="none" w:sz="0" w:space="0" w:color="auto"/>
      </w:divBdr>
    </w:div>
    <w:div w:id="1829979934">
      <w:bodyDiv w:val="1"/>
      <w:marLeft w:val="0"/>
      <w:marRight w:val="0"/>
      <w:marTop w:val="0"/>
      <w:marBottom w:val="0"/>
      <w:divBdr>
        <w:top w:val="none" w:sz="0" w:space="0" w:color="auto"/>
        <w:left w:val="none" w:sz="0" w:space="0" w:color="auto"/>
        <w:bottom w:val="none" w:sz="0" w:space="0" w:color="auto"/>
        <w:right w:val="none" w:sz="0" w:space="0" w:color="auto"/>
      </w:divBdr>
    </w:div>
    <w:div w:id="1835028035">
      <w:bodyDiv w:val="1"/>
      <w:marLeft w:val="0"/>
      <w:marRight w:val="0"/>
      <w:marTop w:val="0"/>
      <w:marBottom w:val="0"/>
      <w:divBdr>
        <w:top w:val="none" w:sz="0" w:space="0" w:color="auto"/>
        <w:left w:val="none" w:sz="0" w:space="0" w:color="auto"/>
        <w:bottom w:val="none" w:sz="0" w:space="0" w:color="auto"/>
        <w:right w:val="none" w:sz="0" w:space="0" w:color="auto"/>
      </w:divBdr>
    </w:div>
    <w:div w:id="1924758298">
      <w:bodyDiv w:val="1"/>
      <w:marLeft w:val="0"/>
      <w:marRight w:val="0"/>
      <w:marTop w:val="0"/>
      <w:marBottom w:val="0"/>
      <w:divBdr>
        <w:top w:val="none" w:sz="0" w:space="0" w:color="auto"/>
        <w:left w:val="none" w:sz="0" w:space="0" w:color="auto"/>
        <w:bottom w:val="none" w:sz="0" w:space="0" w:color="auto"/>
        <w:right w:val="none" w:sz="0" w:space="0" w:color="auto"/>
      </w:divBdr>
    </w:div>
    <w:div w:id="1987515311">
      <w:bodyDiv w:val="1"/>
      <w:marLeft w:val="0"/>
      <w:marRight w:val="0"/>
      <w:marTop w:val="0"/>
      <w:marBottom w:val="0"/>
      <w:divBdr>
        <w:top w:val="none" w:sz="0" w:space="0" w:color="auto"/>
        <w:left w:val="none" w:sz="0" w:space="0" w:color="auto"/>
        <w:bottom w:val="none" w:sz="0" w:space="0" w:color="auto"/>
        <w:right w:val="none" w:sz="0" w:space="0" w:color="auto"/>
      </w:divBdr>
    </w:div>
    <w:div w:id="1996493075">
      <w:bodyDiv w:val="1"/>
      <w:marLeft w:val="0"/>
      <w:marRight w:val="0"/>
      <w:marTop w:val="0"/>
      <w:marBottom w:val="0"/>
      <w:divBdr>
        <w:top w:val="none" w:sz="0" w:space="0" w:color="auto"/>
        <w:left w:val="none" w:sz="0" w:space="0" w:color="auto"/>
        <w:bottom w:val="none" w:sz="0" w:space="0" w:color="auto"/>
        <w:right w:val="none" w:sz="0" w:space="0" w:color="auto"/>
      </w:divBdr>
    </w:div>
    <w:div w:id="20216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8798</Words>
  <Characters>56031</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2024014291_x000d_
Pkt. 4.4 og 4.6</dc:description>
  <cp:lastModifiedBy>Marianne Ott Jensen</cp:lastModifiedBy>
  <cp:revision>4</cp:revision>
  <cp:lastPrinted>2012-08-22T08:53:00Z</cp:lastPrinted>
  <dcterms:created xsi:type="dcterms:W3CDTF">2024-06-07T12:54:00Z</dcterms:created>
  <dcterms:modified xsi:type="dcterms:W3CDTF">2024-06-11T10:58:00Z</dcterms:modified>
</cp:coreProperties>
</file>