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8B" w:rsidRPr="008F49E1" w:rsidRDefault="006F368B" w:rsidP="006F368B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94B3FF9" wp14:editId="76E2031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6F368B" w:rsidRPr="00C84483" w:rsidRDefault="006F368B" w:rsidP="006F368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559B1">
        <w:rPr>
          <w:szCs w:val="24"/>
        </w:rPr>
        <w:t>5</w:t>
      </w:r>
      <w:r>
        <w:rPr>
          <w:szCs w:val="24"/>
        </w:rPr>
        <w:t xml:space="preserve">. </w:t>
      </w:r>
      <w:r w:rsidR="008559B1">
        <w:rPr>
          <w:szCs w:val="24"/>
        </w:rPr>
        <w:t>juli</w:t>
      </w:r>
      <w:r>
        <w:rPr>
          <w:szCs w:val="24"/>
        </w:rPr>
        <w:t xml:space="preserve"> 20</w:t>
      </w:r>
      <w:r w:rsidR="008559B1">
        <w:rPr>
          <w:szCs w:val="24"/>
        </w:rPr>
        <w:t>24</w:t>
      </w:r>
    </w:p>
    <w:p w:rsidR="006F368B" w:rsidRPr="00C84483" w:rsidRDefault="006F368B" w:rsidP="006F368B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F368B" w:rsidRPr="00C84483" w:rsidRDefault="006F368B" w:rsidP="006F368B">
      <w:pPr>
        <w:pStyle w:val="Titel"/>
        <w:jc w:val="left"/>
        <w:rPr>
          <w:b w:val="0"/>
          <w:szCs w:val="24"/>
        </w:rPr>
      </w:pPr>
    </w:p>
    <w:p w:rsidR="006F368B" w:rsidRPr="00C84483" w:rsidRDefault="006F368B" w:rsidP="006F368B">
      <w:pPr>
        <w:pStyle w:val="Titel"/>
        <w:jc w:val="left"/>
        <w:rPr>
          <w:b w:val="0"/>
          <w:szCs w:val="24"/>
        </w:rPr>
      </w:pP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</w:p>
    <w:p w:rsidR="006F368B" w:rsidRDefault="006F368B" w:rsidP="006F36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Isomex</w:t>
      </w:r>
      <w:proofErr w:type="spellEnd"/>
      <w:r>
        <w:rPr>
          <w:b/>
          <w:sz w:val="24"/>
          <w:szCs w:val="24"/>
        </w:rPr>
        <w:t>, depottabletter</w:t>
      </w:r>
    </w:p>
    <w:p w:rsidR="006F368B" w:rsidRPr="00C84483" w:rsidRDefault="006F368B" w:rsidP="006F368B">
      <w:pPr>
        <w:jc w:val="both"/>
        <w:rPr>
          <w:sz w:val="24"/>
          <w:szCs w:val="24"/>
        </w:rPr>
      </w:pPr>
    </w:p>
    <w:p w:rsidR="006F368B" w:rsidRPr="001D0A23" w:rsidRDefault="006F368B" w:rsidP="006F368B">
      <w:pPr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0.</w:t>
      </w:r>
      <w:r w:rsidRPr="001D0A23">
        <w:rPr>
          <w:b/>
          <w:sz w:val="24"/>
          <w:szCs w:val="24"/>
        </w:rPr>
        <w:tab/>
        <w:t>D.SP.NR.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D0A23">
        <w:rPr>
          <w:sz w:val="24"/>
          <w:szCs w:val="24"/>
        </w:rPr>
        <w:t>30267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1.</w:t>
      </w:r>
      <w:r w:rsidRPr="001D0A23">
        <w:rPr>
          <w:b/>
          <w:sz w:val="24"/>
          <w:szCs w:val="24"/>
        </w:rPr>
        <w:tab/>
        <w:t>LÆGEMIDLETS NAVN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D0A23">
        <w:rPr>
          <w:sz w:val="24"/>
          <w:szCs w:val="24"/>
        </w:rPr>
        <w:t>Isomex</w:t>
      </w:r>
      <w:proofErr w:type="spellEnd"/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2.</w:t>
      </w:r>
      <w:r w:rsidRPr="001D0A23">
        <w:rPr>
          <w:b/>
          <w:sz w:val="24"/>
          <w:szCs w:val="24"/>
        </w:rPr>
        <w:tab/>
        <w:t>KVALITATIV OG KVANTITATIV SAMMENSÆTNING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30 mg</w:t>
      </w:r>
      <w:r>
        <w:rPr>
          <w:sz w:val="24"/>
          <w:szCs w:val="24"/>
        </w:rPr>
        <w:t>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Alle hjælpestoffer er anført under pkt. 6.1.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Indeholder </w:t>
      </w:r>
      <w:proofErr w:type="spellStart"/>
      <w:r w:rsidRPr="001D0A23">
        <w:rPr>
          <w:sz w:val="24"/>
          <w:szCs w:val="24"/>
        </w:rPr>
        <w:t>lactose</w:t>
      </w:r>
      <w:proofErr w:type="spellEnd"/>
      <w:r w:rsidRPr="001D0A23">
        <w:rPr>
          <w:sz w:val="24"/>
          <w:szCs w:val="24"/>
        </w:rPr>
        <w:t xml:space="preserve"> 113 mg/tablet</w:t>
      </w:r>
      <w:r>
        <w:rPr>
          <w:sz w:val="24"/>
          <w:szCs w:val="24"/>
        </w:rPr>
        <w:t>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3.</w:t>
      </w:r>
      <w:r w:rsidRPr="001D0A23">
        <w:rPr>
          <w:b/>
          <w:sz w:val="24"/>
          <w:szCs w:val="24"/>
        </w:rPr>
        <w:tab/>
        <w:t>LÆGEMIDDELFORM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Depottablet</w:t>
      </w:r>
      <w:r>
        <w:rPr>
          <w:sz w:val="24"/>
          <w:szCs w:val="24"/>
        </w:rPr>
        <w:t>ter</w:t>
      </w:r>
      <w:r w:rsidRPr="001D0A23">
        <w:rPr>
          <w:sz w:val="24"/>
          <w:szCs w:val="24"/>
        </w:rPr>
        <w:t xml:space="preserve"> 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Hvid til råhvid oval tablet, 7 x 13 mm.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</w:t>
      </w:r>
      <w:r w:rsidRPr="001D0A23">
        <w:rPr>
          <w:b/>
          <w:sz w:val="24"/>
          <w:szCs w:val="24"/>
        </w:rPr>
        <w:tab/>
        <w:t>KLINISKE OPLYSNINGER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D0A23">
        <w:rPr>
          <w:b/>
          <w:sz w:val="24"/>
          <w:szCs w:val="24"/>
        </w:rPr>
        <w:t>4.1</w:t>
      </w:r>
      <w:r w:rsidRPr="001D0A23">
        <w:rPr>
          <w:b/>
          <w:sz w:val="24"/>
          <w:szCs w:val="24"/>
        </w:rPr>
        <w:tab/>
        <w:t>Terapeutiske indikationer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beregnet til profylaktisk behandling af angina pectoris hos voksne.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4.2</w:t>
      </w:r>
      <w:r w:rsidRPr="001D0A23">
        <w:rPr>
          <w:b/>
          <w:sz w:val="24"/>
          <w:szCs w:val="24"/>
        </w:rPr>
        <w:tab/>
        <w:t xml:space="preserve">Dosering og </w:t>
      </w:r>
      <w:r w:rsidR="008559B1">
        <w:rPr>
          <w:b/>
          <w:sz w:val="24"/>
          <w:szCs w:val="24"/>
        </w:rPr>
        <w:t>administration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Nitratbehandling indebærer en risiko for at udvikle tolerance. Derfor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for at opnå intervaller med en lav nitratkoncentration og dermed reducere risikoen for udvikling af tolerance.  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 xml:space="preserve"> kan bruges i kombination med beta-</w:t>
      </w:r>
      <w:proofErr w:type="spellStart"/>
      <w:r>
        <w:rPr>
          <w:sz w:val="24"/>
          <w:szCs w:val="24"/>
        </w:rPr>
        <w:t>adrenoreceptorblokkere</w:t>
      </w:r>
      <w:proofErr w:type="spellEnd"/>
      <w:r>
        <w:rPr>
          <w:sz w:val="24"/>
          <w:szCs w:val="24"/>
        </w:rPr>
        <w:t xml:space="preserve"> og calciumantagonister. 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Dosering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Voksne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skal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om morgenen.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lastRenderedPageBreak/>
        <w:t xml:space="preserve">For at mindske risikoen for hovedpine kan behandlingen indledes med 30 mg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som startdosis de første 2-4 dage. Den sædvanlige dosis er 60 mg (to tabletter)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, som kan øges yderligere til 120 mg ved behov.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</w:p>
    <w:p w:rsidR="006F368B" w:rsidRDefault="006F368B" w:rsidP="006F368B">
      <w:pPr>
        <w:ind w:left="851"/>
        <w:rPr>
          <w:bCs/>
          <w:iCs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Ældre </w:t>
      </w:r>
    </w:p>
    <w:p w:rsidR="006F368B" w:rsidRPr="001D0A23" w:rsidRDefault="006F368B" w:rsidP="006F368B">
      <w:pPr>
        <w:ind w:left="851" w:right="293"/>
        <w:rPr>
          <w:noProof/>
          <w:sz w:val="24"/>
          <w:szCs w:val="24"/>
        </w:rPr>
      </w:pPr>
      <w:r w:rsidRPr="001D0A23">
        <w:rPr>
          <w:sz w:val="24"/>
          <w:szCs w:val="24"/>
        </w:rPr>
        <w:t>Det er ikke påvist, at den sædvanlige dosis nødvendigvis skal ændres for ældre patienter.</w:t>
      </w:r>
    </w:p>
    <w:p w:rsidR="006F368B" w:rsidRPr="001D0A23" w:rsidRDefault="006F368B" w:rsidP="006F368B">
      <w:pPr>
        <w:ind w:left="851" w:right="293"/>
        <w:rPr>
          <w:noProof/>
          <w:sz w:val="24"/>
          <w:szCs w:val="24"/>
        </w:rPr>
      </w:pPr>
    </w:p>
    <w:p w:rsidR="006F368B" w:rsidRPr="001D0A23" w:rsidRDefault="006F368B" w:rsidP="006F368B">
      <w:pPr>
        <w:ind w:left="851"/>
        <w:rPr>
          <w:bCs/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Pædiatrisk population</w:t>
      </w:r>
    </w:p>
    <w:p w:rsidR="006F368B" w:rsidRDefault="006F368B" w:rsidP="006F368B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>' sikkerhed og virkning hos børn og unge (under 18 år) er ikke klarlagt. Ingen tilgængelig data.</w:t>
      </w:r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Administration</w:t>
      </w:r>
      <w:r w:rsidRPr="001D0A23">
        <w:rPr>
          <w:sz w:val="24"/>
          <w:szCs w:val="24"/>
        </w:rPr>
        <w:t xml:space="preserve"> </w:t>
      </w:r>
    </w:p>
    <w:p w:rsidR="006F368B" w:rsidRPr="001D0A23" w:rsidRDefault="006F368B" w:rsidP="006F368B">
      <w:pPr>
        <w:spacing w:line="278" w:lineRule="exact"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Tabletten må ikke tygges eller knuses. Den skal sluges hel med mindst et halvt glas vand. Tabletterne kan tages med eller uden mad.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4.3</w:t>
      </w:r>
      <w:r w:rsidRPr="001D0A23">
        <w:rPr>
          <w:b/>
          <w:sz w:val="24"/>
          <w:szCs w:val="24"/>
        </w:rPr>
        <w:tab/>
        <w:t>Kontraindikationer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Overfølsomhed over for det aktive stof eller over for et eller flere af hjælpestofferne anført i pkt. 6.1.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behandling med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type-5-hæmmere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>)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myokardieinfarkt med lavt fyldningstryk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perikardit</w:t>
      </w:r>
      <w:proofErr w:type="spellEnd"/>
      <w:r w:rsidRPr="001D0A23">
        <w:rPr>
          <w:sz w:val="24"/>
          <w:szCs w:val="24"/>
        </w:rPr>
        <w:t xml:space="preserve">, perikardial tamponade eller </w:t>
      </w: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6F368B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kredsløbssvigt (</w:t>
      </w:r>
      <w:proofErr w:type="spellStart"/>
      <w:r w:rsidRPr="001D0A23">
        <w:rPr>
          <w:sz w:val="24"/>
          <w:szCs w:val="24"/>
        </w:rPr>
        <w:t>shock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vaskulær</w:t>
      </w:r>
      <w:proofErr w:type="spellEnd"/>
      <w:r w:rsidRPr="001D0A23">
        <w:rPr>
          <w:sz w:val="24"/>
          <w:szCs w:val="24"/>
        </w:rPr>
        <w:t xml:space="preserve"> kollaps)</w:t>
      </w:r>
    </w:p>
    <w:p w:rsidR="006F368B" w:rsidRPr="002302F9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noProof/>
          <w:sz w:val="24"/>
          <w:szCs w:val="24"/>
        </w:rPr>
        <w:t>samtidig administration med riociguat (se pkt. 4.5)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4.4</w:t>
      </w:r>
      <w:r w:rsidRPr="001D0A23">
        <w:rPr>
          <w:b/>
          <w:sz w:val="24"/>
          <w:szCs w:val="24"/>
        </w:rPr>
        <w:tab/>
        <w:t>Særlige advarsler og forsigtighedsregler vedrørende brugen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indiceret som profylakse mod angina og ikke til behandling af akutte angina-anfald.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Der skal udvises forsigtighed hos patienter med: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hypotension og </w:t>
      </w:r>
      <w:proofErr w:type="spellStart"/>
      <w:r w:rsidRPr="001D0A23">
        <w:rPr>
          <w:sz w:val="24"/>
          <w:szCs w:val="24"/>
        </w:rPr>
        <w:t>hypovolæmi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svær </w:t>
      </w:r>
      <w:proofErr w:type="spellStart"/>
      <w:r w:rsidRPr="001D0A23">
        <w:rPr>
          <w:sz w:val="24"/>
          <w:szCs w:val="24"/>
        </w:rPr>
        <w:t>cerebrovaskulær</w:t>
      </w:r>
      <w:proofErr w:type="spellEnd"/>
      <w:r w:rsidRPr="001D0A23">
        <w:rPr>
          <w:sz w:val="24"/>
          <w:szCs w:val="24"/>
        </w:rPr>
        <w:t xml:space="preserve"> insufficiens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forhøjet </w:t>
      </w:r>
      <w:proofErr w:type="spellStart"/>
      <w:r w:rsidRPr="001D0A23">
        <w:rPr>
          <w:sz w:val="24"/>
          <w:szCs w:val="24"/>
        </w:rPr>
        <w:t>intrakranialt</w:t>
      </w:r>
      <w:proofErr w:type="spellEnd"/>
      <w:r w:rsidRPr="001D0A23">
        <w:rPr>
          <w:sz w:val="24"/>
          <w:szCs w:val="24"/>
        </w:rPr>
        <w:t xml:space="preserve"> tryk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aortastenose, </w:t>
      </w:r>
      <w:proofErr w:type="spellStart"/>
      <w:r w:rsidRPr="001D0A23">
        <w:rPr>
          <w:sz w:val="24"/>
          <w:szCs w:val="24"/>
        </w:rPr>
        <w:t>mitralstenose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hypertrofisk</w:t>
      </w:r>
      <w:proofErr w:type="spellEnd"/>
      <w:r w:rsidRPr="001D0A23">
        <w:rPr>
          <w:sz w:val="24"/>
          <w:szCs w:val="24"/>
        </w:rPr>
        <w:t xml:space="preserve"> obstruktiv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anæmi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hypoxæmi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hypothyroidisme</w:t>
      </w:r>
      <w:proofErr w:type="spellEnd"/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administration af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 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 xml:space="preserve">) kan potensere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'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virkning, hvilket potentielt kan medføre alvorlige bivirkninger såsom synkope eller myokardieinfarkt (se pkt. 4.3 og pkt. 4.5).</w:t>
      </w:r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Nitratbehandling indebærer en risiko for at udvikle tolerance. For at reducere risikoen for udvikling af tolerance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doseres som beskrevet i pkt. 4.2.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>Der kan være behov for særlig pleje hos personer, der har øget risiko for hypotension.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Patienter med en eller flere af følgende sjældne arvelige tilstande: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glucose-galactosemalabsorption</w:t>
      </w:r>
      <w:proofErr w:type="spellEnd"/>
      <w:r>
        <w:rPr>
          <w:sz w:val="24"/>
          <w:szCs w:val="24"/>
        </w:rPr>
        <w:t xml:space="preserve"> bør ikke tage dette lægemiddel.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4.5</w:t>
      </w:r>
      <w:r w:rsidRPr="001D0A23">
        <w:rPr>
          <w:b/>
          <w:sz w:val="24"/>
          <w:szCs w:val="24"/>
        </w:rPr>
        <w:tab/>
        <w:t>Interaktion med andre lægemidler og andre former for interaktion</w:t>
      </w:r>
    </w:p>
    <w:p w:rsidR="006F368B" w:rsidRPr="001D0A23" w:rsidRDefault="006F368B" w:rsidP="006F368B">
      <w:pPr>
        <w:pStyle w:val="Brdtekstindrykning"/>
        <w:numPr>
          <w:ilvl w:val="0"/>
          <w:numId w:val="8"/>
        </w:numPr>
        <w:ind w:left="1276" w:hanging="425"/>
      </w:pPr>
      <w:r w:rsidRPr="001D0A23">
        <w:t xml:space="preserve">Indtagelse af </w:t>
      </w:r>
      <w:proofErr w:type="spellStart"/>
      <w:r w:rsidRPr="001D0A23">
        <w:t>phosphodiesterase</w:t>
      </w:r>
      <w:proofErr w:type="spellEnd"/>
      <w:r w:rsidRPr="001D0A23">
        <w:t xml:space="preserve"> type-5-hæmmere (f.eks. </w:t>
      </w:r>
      <w:proofErr w:type="spellStart"/>
      <w:r w:rsidRPr="001D0A23">
        <w:t>sildenafil</w:t>
      </w:r>
      <w:proofErr w:type="spellEnd"/>
      <w:r w:rsidRPr="001D0A23">
        <w:t xml:space="preserve">, </w:t>
      </w:r>
      <w:proofErr w:type="spellStart"/>
      <w:r w:rsidRPr="001D0A23">
        <w:t>tadalafil</w:t>
      </w:r>
      <w:proofErr w:type="spellEnd"/>
      <w:r w:rsidRPr="001D0A23">
        <w:t xml:space="preserve">, </w:t>
      </w:r>
      <w:proofErr w:type="spellStart"/>
      <w:r w:rsidRPr="001D0A23">
        <w:t>vardenafil</w:t>
      </w:r>
      <w:proofErr w:type="spellEnd"/>
      <w:r w:rsidRPr="001D0A23">
        <w:t xml:space="preserve">) er kontraindiceret under behandling med nitratpræparater, der potenserer lægemidlets </w:t>
      </w:r>
      <w:proofErr w:type="spellStart"/>
      <w:r w:rsidRPr="001D0A23">
        <w:t>vasodilaterende</w:t>
      </w:r>
      <w:proofErr w:type="spellEnd"/>
      <w:r w:rsidRPr="001D0A23">
        <w:t xml:space="preserve"> virkning, da det kan medføre alvorlige bivirkninger såsom synkope eller myokardieinfarkt.</w:t>
      </w:r>
    </w:p>
    <w:p w:rsidR="006F368B" w:rsidRPr="001D0A23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Virkningen af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lægemidler kan potenseres, hvis de gives samtidig med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</w:p>
    <w:p w:rsidR="006F368B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Alkohol kan øge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virkning</w:t>
      </w:r>
    </w:p>
    <w:p w:rsidR="006F368B" w:rsidRPr="002302F9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color w:val="222222"/>
          <w:sz w:val="24"/>
          <w:szCs w:val="24"/>
        </w:rPr>
        <w:t xml:space="preserve">Anvendelsen af </w:t>
      </w: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med </w:t>
      </w:r>
      <w:proofErr w:type="spellStart"/>
      <w:r w:rsidRPr="002302F9">
        <w:rPr>
          <w:color w:val="222222"/>
          <w:sz w:val="24"/>
          <w:szCs w:val="24"/>
        </w:rPr>
        <w:t>riociguat</w:t>
      </w:r>
      <w:proofErr w:type="spellEnd"/>
      <w:r w:rsidRPr="002302F9">
        <w:rPr>
          <w:color w:val="222222"/>
          <w:sz w:val="24"/>
          <w:szCs w:val="24"/>
        </w:rPr>
        <w:t xml:space="preserve">, en stimulator af opløselig </w:t>
      </w:r>
      <w:proofErr w:type="spellStart"/>
      <w:r w:rsidRPr="002302F9">
        <w:rPr>
          <w:color w:val="222222"/>
          <w:sz w:val="24"/>
          <w:szCs w:val="24"/>
        </w:rPr>
        <w:t>guanylatcyklase</w:t>
      </w:r>
      <w:proofErr w:type="spellEnd"/>
      <w:r w:rsidRPr="002302F9">
        <w:rPr>
          <w:color w:val="222222"/>
          <w:sz w:val="24"/>
          <w:szCs w:val="24"/>
        </w:rPr>
        <w:t>, er kontraindiceret (se pkt. 4.3), da samtidig brug kan forårsage hypotension</w:t>
      </w:r>
    </w:p>
    <w:p w:rsidR="006F368B" w:rsidRPr="002302F9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kan øge blodniveauet af </w:t>
      </w:r>
      <w:proofErr w:type="spellStart"/>
      <w:r w:rsidRPr="002302F9">
        <w:rPr>
          <w:color w:val="222222"/>
          <w:sz w:val="24"/>
          <w:szCs w:val="24"/>
        </w:rPr>
        <w:t>dihydroergotamin</w:t>
      </w:r>
      <w:proofErr w:type="spellEnd"/>
      <w:r w:rsidRPr="002302F9">
        <w:rPr>
          <w:color w:val="222222"/>
          <w:sz w:val="24"/>
          <w:szCs w:val="24"/>
        </w:rPr>
        <w:t xml:space="preserve"> og dermed øge blodtrykket.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4.6</w:t>
      </w:r>
      <w:r w:rsidRPr="001D0A23">
        <w:rPr>
          <w:b/>
          <w:sz w:val="24"/>
          <w:szCs w:val="24"/>
        </w:rPr>
        <w:tab/>
      </w:r>
      <w:r w:rsidR="008559B1">
        <w:rPr>
          <w:b/>
          <w:sz w:val="24"/>
          <w:szCs w:val="24"/>
        </w:rPr>
        <w:t>Fertilitet, g</w:t>
      </w:r>
      <w:r w:rsidRPr="001D0A23">
        <w:rPr>
          <w:b/>
          <w:sz w:val="24"/>
          <w:szCs w:val="24"/>
        </w:rPr>
        <w:t>raviditet og amning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  <w:lang w:eastAsia="da-DK"/>
        </w:rPr>
      </w:pPr>
      <w:r w:rsidRPr="001D0A23">
        <w:rPr>
          <w:i/>
          <w:noProof/>
          <w:sz w:val="24"/>
          <w:szCs w:val="24"/>
        </w:rPr>
        <w:t>Graviditet</w:t>
      </w:r>
      <w:r w:rsidRPr="001D0A23">
        <w:rPr>
          <w:noProof/>
          <w:sz w:val="24"/>
          <w:szCs w:val="24"/>
        </w:rPr>
        <w:t xml:space="preserve">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begrænset klinisk erfaring med gravide kvinder. Data fra dyreforsøg viser ikke en øget risiko for fosterskader.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For en sikkerheds skyld bør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undgås under graviditeten.</w:t>
      </w:r>
    </w:p>
    <w:p w:rsidR="006F368B" w:rsidRPr="001D0A23" w:rsidRDefault="006F368B" w:rsidP="006F368B">
      <w:pPr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Amning</w:t>
      </w:r>
      <w:r w:rsidRPr="001D0A23">
        <w:rPr>
          <w:noProof/>
          <w:sz w:val="24"/>
          <w:szCs w:val="24"/>
        </w:rPr>
        <w:t xml:space="preserve"> 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ingen data</w:t>
      </w:r>
      <w:r w:rsidRPr="001D0A23">
        <w:rPr>
          <w:sz w:val="24"/>
          <w:szCs w:val="24"/>
        </w:rPr>
        <w:t xml:space="preserve"> for udskillelse i human mælk. En risiko for børn, der ammes, kan ikke udelukkes.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noProof/>
          <w:sz w:val="24"/>
          <w:szCs w:val="24"/>
        </w:rPr>
        <w:t xml:space="preserve"> </w:t>
      </w:r>
      <w:r w:rsidRPr="001D0A23">
        <w:rPr>
          <w:sz w:val="24"/>
          <w:szCs w:val="24"/>
        </w:rPr>
        <w:t>må ikke anvendes under amning.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4.7</w:t>
      </w:r>
      <w:r w:rsidRPr="001D0A23">
        <w:rPr>
          <w:b/>
          <w:sz w:val="24"/>
          <w:szCs w:val="24"/>
        </w:rPr>
        <w:tab/>
        <w:t xml:space="preserve">Virkning på evnen til at føre motorkøretøj </w:t>
      </w:r>
      <w:r w:rsidR="008559B1">
        <w:rPr>
          <w:b/>
          <w:sz w:val="24"/>
          <w:szCs w:val="24"/>
        </w:rPr>
        <w:t>og</w:t>
      </w:r>
      <w:r w:rsidRPr="001D0A23">
        <w:rPr>
          <w:b/>
          <w:sz w:val="24"/>
          <w:szCs w:val="24"/>
        </w:rPr>
        <w:t xml:space="preserve"> betjene maskiner</w:t>
      </w:r>
    </w:p>
    <w:p w:rsidR="006F368B" w:rsidRDefault="006F368B" w:rsidP="006F368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I tilfælde, hvor patienter lider af hovedpine eller svimmelhed i forbindelse med indledning af behandling med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>, skal tilstanden have tid til at stabilisere sig, før patienten fører motorkøretøj eller betjener maskiner.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4.8</w:t>
      </w:r>
      <w:r w:rsidRPr="001D0A23">
        <w:rPr>
          <w:b/>
          <w:sz w:val="24"/>
          <w:szCs w:val="24"/>
        </w:rPr>
        <w:tab/>
        <w:t>Bivirkninger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De fleste bivirkninger er </w:t>
      </w:r>
      <w:proofErr w:type="spellStart"/>
      <w:r w:rsidRPr="001D0A23">
        <w:rPr>
          <w:sz w:val="24"/>
          <w:szCs w:val="24"/>
        </w:rPr>
        <w:t>farmakodynamisk</w:t>
      </w:r>
      <w:proofErr w:type="spellEnd"/>
      <w:r w:rsidRPr="001D0A23">
        <w:rPr>
          <w:sz w:val="24"/>
          <w:szCs w:val="24"/>
        </w:rPr>
        <w:t xml:space="preserve"> medierede og dosisafhængige.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Der kan forekomme hovedpine, når behandlingen indledes, og den kan skyldes den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virkning. Den forsvinder dog som regel i løbet af en uge. Hovedpine kan undgås ved at give 30 mg i de første 2 til 4 dage. Der er indberettet hypotension med symptomer som svimmelhed og kvalme og med lejlighedsvise tilfælde af synkope. 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Bivirkningernes forekomst er klassificeret som følger: Meget almindelig (≥1/10), almindelig (1/100 til &lt;1/10), ikke almindelig (1/1.000 til &lt;1/100), sjælden (1/10.000 til &lt;1/1.000) og meget sjælden (&lt;1/10.000), hyppighed ikke kendt (kan ikke estimeres ud fra forhåndenværende data).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3402"/>
      </w:tblGrid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Systemorganklasse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Hyppighed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Bivirkninger</w:t>
            </w:r>
          </w:p>
        </w:tc>
      </w:tr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Hjerte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987FD1">
              <w:rPr>
                <w:sz w:val="24"/>
                <w:szCs w:val="24"/>
              </w:rPr>
              <w:t>Takykardi</w:t>
            </w:r>
            <w:proofErr w:type="spellEnd"/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Nervesystemet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Almindelig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Hovedpine, svimmelhed</w:t>
            </w:r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Synkope </w:t>
            </w:r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noProof/>
                <w:sz w:val="24"/>
                <w:szCs w:val="24"/>
              </w:rPr>
              <w:t>Vaskulære sygdomme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Hypotension</w:t>
            </w:r>
          </w:p>
        </w:tc>
      </w:tr>
      <w:tr w:rsidR="006F368B" w:rsidRPr="00987FD1" w:rsidTr="003B4BCE">
        <w:trPr>
          <w:trHeight w:val="1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lastRenderedPageBreak/>
              <w:t xml:space="preserve">Mave-tarm-kanalen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Kvalme </w:t>
            </w:r>
          </w:p>
        </w:tc>
      </w:tr>
      <w:tr w:rsidR="006F368B" w:rsidRPr="00987FD1" w:rsidTr="003B4BCE">
        <w:trPr>
          <w:trHeight w:val="18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Opkastning, diarré</w:t>
            </w:r>
          </w:p>
        </w:tc>
      </w:tr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Knogler, led, muskler og bindevæv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Meget 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Myalgi </w:t>
            </w:r>
          </w:p>
        </w:tc>
      </w:tr>
      <w:tr w:rsidR="006F368B" w:rsidRPr="00987FD1" w:rsidTr="003B4BCE">
        <w:trPr>
          <w:trHeight w:val="2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Hud og subkutane 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Udslæt, kløe</w:t>
            </w:r>
          </w:p>
        </w:tc>
      </w:tr>
    </w:tbl>
    <w:p w:rsidR="006F368B" w:rsidRPr="00987FD1" w:rsidRDefault="006F368B" w:rsidP="006F368B">
      <w:pPr>
        <w:ind w:left="851"/>
        <w:rPr>
          <w:noProof/>
          <w:sz w:val="24"/>
          <w:szCs w:val="24"/>
          <w:lang w:bidi="da-DK"/>
        </w:rPr>
      </w:pPr>
    </w:p>
    <w:p w:rsidR="006F368B" w:rsidRPr="00987FD1" w:rsidRDefault="006F368B" w:rsidP="006F368B">
      <w:pPr>
        <w:ind w:left="851"/>
        <w:rPr>
          <w:noProof/>
          <w:sz w:val="24"/>
          <w:szCs w:val="24"/>
          <w:u w:val="single"/>
        </w:rPr>
      </w:pPr>
      <w:r w:rsidRPr="00987FD1">
        <w:rPr>
          <w:noProof/>
          <w:sz w:val="24"/>
          <w:szCs w:val="24"/>
          <w:u w:val="single"/>
        </w:rPr>
        <w:t>Indberetning af formodede bivirkninger</w:t>
      </w: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  <w:r w:rsidRPr="00987FD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87FD1">
        <w:rPr>
          <w:sz w:val="24"/>
          <w:szCs w:val="24"/>
        </w:rPr>
        <w:t>risk</w:t>
      </w:r>
      <w:proofErr w:type="spellEnd"/>
      <w:r w:rsidRPr="00987FD1">
        <w:rPr>
          <w:sz w:val="24"/>
          <w:szCs w:val="24"/>
        </w:rPr>
        <w:t>-forholdet for lægemidlet. Læger og sundhedspersonale anmodes om at indberette alle formodede bivirkninger via:</w:t>
      </w: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  <w:r w:rsidRPr="00987FD1">
        <w:rPr>
          <w:sz w:val="24"/>
          <w:szCs w:val="24"/>
        </w:rPr>
        <w:t>Lægemiddelstyrelsen</w:t>
      </w: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  <w:r w:rsidRPr="00987FD1">
        <w:rPr>
          <w:sz w:val="24"/>
          <w:szCs w:val="24"/>
        </w:rPr>
        <w:t>Axel Heides Gade 1</w:t>
      </w: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  <w:r w:rsidRPr="00987FD1">
        <w:rPr>
          <w:sz w:val="24"/>
          <w:szCs w:val="24"/>
        </w:rPr>
        <w:t>DK-2300 København S</w:t>
      </w:r>
    </w:p>
    <w:p w:rsidR="006F368B" w:rsidRDefault="008559B1" w:rsidP="006F368B">
      <w:pPr>
        <w:ind w:left="851"/>
        <w:rPr>
          <w:sz w:val="24"/>
          <w:szCs w:val="24"/>
        </w:rPr>
      </w:pPr>
      <w:hyperlink r:id="rId8" w:history="1">
        <w:r w:rsidR="006F368B" w:rsidRPr="00987FD1">
          <w:rPr>
            <w:rStyle w:val="Hyperlink"/>
          </w:rPr>
          <w:t>www.meldenbivirkning.dk</w:t>
        </w:r>
      </w:hyperlink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4.9</w:t>
      </w:r>
      <w:r w:rsidRPr="001D0A23">
        <w:rPr>
          <w:b/>
          <w:sz w:val="24"/>
          <w:szCs w:val="24"/>
        </w:rPr>
        <w:tab/>
        <w:t>Overdosering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u w:val="single"/>
          <w:lang w:eastAsia="da-DK"/>
        </w:rPr>
      </w:pPr>
      <w:r w:rsidRPr="001D0A23">
        <w:rPr>
          <w:noProof/>
          <w:sz w:val="24"/>
          <w:szCs w:val="24"/>
          <w:u w:val="single"/>
        </w:rPr>
        <w:t>Sym</w:t>
      </w:r>
      <w:proofErr w:type="spellStart"/>
      <w:r w:rsidRPr="001D0A23">
        <w:rPr>
          <w:sz w:val="24"/>
          <w:szCs w:val="24"/>
          <w:u w:val="single"/>
        </w:rPr>
        <w:t>ptomer</w:t>
      </w:r>
      <w:proofErr w:type="spellEnd"/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Dunkende hovedpine. Mere alvorlige symptomer omfatter </w:t>
      </w:r>
      <w:proofErr w:type="spellStart"/>
      <w:r w:rsidRPr="001D0A23">
        <w:rPr>
          <w:sz w:val="24"/>
          <w:szCs w:val="24"/>
        </w:rPr>
        <w:t>excitation</w:t>
      </w:r>
      <w:proofErr w:type="spellEnd"/>
      <w:r w:rsidRPr="001D0A23">
        <w:rPr>
          <w:sz w:val="24"/>
          <w:szCs w:val="24"/>
        </w:rPr>
        <w:t xml:space="preserve">, rødme, koldsved, kvalme, opkastning, svimmelhed, synkope, </w:t>
      </w:r>
      <w:proofErr w:type="spellStart"/>
      <w:r w:rsidRPr="001D0A23">
        <w:rPr>
          <w:sz w:val="24"/>
          <w:szCs w:val="24"/>
        </w:rPr>
        <w:t>takykardi</w:t>
      </w:r>
      <w:proofErr w:type="spellEnd"/>
      <w:r w:rsidRPr="001D0A23">
        <w:rPr>
          <w:sz w:val="24"/>
          <w:szCs w:val="24"/>
        </w:rPr>
        <w:t xml:space="preserve"> og hypotension. Ekstremt store doser kan forårsage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(meget sjælden).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Behandling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Fremkaldelse af opkastning, aktivt kul. I tilfælde af udtalt hypotension skal patienten først anbringes i rygliggende stilling med benene højt hævet. Om nødvendigt administreres intravenøs væske. (I tilfælde af cyanose som følge af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administreres 1-2 mg/kg </w:t>
      </w:r>
      <w:proofErr w:type="spellStart"/>
      <w:r w:rsidRPr="001D0A23">
        <w:rPr>
          <w:sz w:val="24"/>
          <w:szCs w:val="24"/>
        </w:rPr>
        <w:t>methylthionin</w:t>
      </w:r>
      <w:proofErr w:type="spellEnd"/>
      <w:r w:rsidRPr="001D0A23">
        <w:rPr>
          <w:sz w:val="24"/>
          <w:szCs w:val="24"/>
        </w:rPr>
        <w:t xml:space="preserve"> (</w:t>
      </w:r>
      <w:proofErr w:type="spellStart"/>
      <w:r w:rsidRPr="001D0A23">
        <w:rPr>
          <w:sz w:val="24"/>
          <w:szCs w:val="24"/>
        </w:rPr>
        <w:t>methylenblåt</w:t>
      </w:r>
      <w:proofErr w:type="spellEnd"/>
      <w:r w:rsidRPr="001D0A23">
        <w:rPr>
          <w:sz w:val="24"/>
          <w:szCs w:val="24"/>
        </w:rPr>
        <w:t>) langsomt intravenøst). En ekspertvurdering bør indhentes.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4.10</w:t>
      </w:r>
      <w:r w:rsidRPr="001D0A23">
        <w:rPr>
          <w:b/>
          <w:sz w:val="24"/>
          <w:szCs w:val="24"/>
        </w:rPr>
        <w:tab/>
        <w:t>Udlevering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HA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</w:t>
      </w:r>
      <w:r w:rsidRPr="001D0A23">
        <w:rPr>
          <w:b/>
          <w:sz w:val="24"/>
          <w:szCs w:val="24"/>
        </w:rPr>
        <w:tab/>
        <w:t>FARMAKOLOGISKE EGENSKABER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5.1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Farmakodynamiske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8559B1" w:rsidRPr="001D0A23" w:rsidRDefault="008559B1" w:rsidP="008559B1">
      <w:pPr>
        <w:suppressAutoHyphens/>
        <w:ind w:left="851"/>
        <w:rPr>
          <w:noProof/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1D0A23">
        <w:rPr>
          <w:sz w:val="24"/>
          <w:szCs w:val="24"/>
        </w:rPr>
        <w:t>Vasodilatorer</w:t>
      </w:r>
      <w:proofErr w:type="spellEnd"/>
      <w:r w:rsidRPr="001D0A23">
        <w:rPr>
          <w:sz w:val="24"/>
          <w:szCs w:val="24"/>
        </w:rPr>
        <w:t xml:space="preserve"> anvendt ved hjertesygdomme, organiske nitrater</w:t>
      </w:r>
      <w:r>
        <w:rPr>
          <w:sz w:val="24"/>
          <w:szCs w:val="24"/>
        </w:rPr>
        <w:t>.</w:t>
      </w:r>
      <w:r w:rsidRPr="001D0A23">
        <w:rPr>
          <w:sz w:val="24"/>
          <w:szCs w:val="24"/>
        </w:rPr>
        <w:t xml:space="preserve"> </w:t>
      </w:r>
    </w:p>
    <w:p w:rsidR="008559B1" w:rsidRDefault="008559B1" w:rsidP="006F368B">
      <w:pPr>
        <w:suppressAutoHyphens/>
        <w:ind w:left="851"/>
        <w:rPr>
          <w:sz w:val="24"/>
          <w:szCs w:val="24"/>
        </w:rPr>
      </w:pPr>
      <w:r w:rsidRPr="001D0A23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8559B1" w:rsidRDefault="008559B1" w:rsidP="006F368B">
      <w:pPr>
        <w:suppressAutoHyphens/>
        <w:ind w:left="851"/>
        <w:rPr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en depotformulering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, som er en aktiv metabolit af </w:t>
      </w:r>
      <w:proofErr w:type="spellStart"/>
      <w:r w:rsidRPr="001D0A23">
        <w:rPr>
          <w:sz w:val="24"/>
          <w:szCs w:val="24"/>
        </w:rPr>
        <w:t>isosorbiddinitrat</w:t>
      </w:r>
      <w:proofErr w:type="spellEnd"/>
      <w:r w:rsidRPr="001D0A23">
        <w:rPr>
          <w:sz w:val="24"/>
          <w:szCs w:val="24"/>
        </w:rPr>
        <w:t xml:space="preserve">. 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Ligesom andre organiske nitrater er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primære farmakologiske virkningsmekanisme frigivelse af nitrogenoxid (NO), som fremkalder </w:t>
      </w:r>
      <w:proofErr w:type="spellStart"/>
      <w:r w:rsidRPr="001D0A23">
        <w:rPr>
          <w:sz w:val="24"/>
          <w:szCs w:val="24"/>
        </w:rPr>
        <w:t>proteinphosphoryle</w:t>
      </w:r>
      <w:r>
        <w:rPr>
          <w:sz w:val="24"/>
          <w:szCs w:val="24"/>
        </w:rPr>
        <w:softHyphen/>
      </w:r>
      <w:r w:rsidRPr="001D0A23">
        <w:rPr>
          <w:sz w:val="24"/>
          <w:szCs w:val="24"/>
        </w:rPr>
        <w:t>ring</w:t>
      </w:r>
      <w:proofErr w:type="spellEnd"/>
      <w:r w:rsidRPr="001D0A23">
        <w:rPr>
          <w:sz w:val="24"/>
          <w:szCs w:val="24"/>
        </w:rPr>
        <w:t xml:space="preserve"> og dermed afslapning af den glatte muskulatur i karvæggen. Dette medfører venøs og arteriel perifer vasodilatation og kan endda have en direkte </w:t>
      </w:r>
      <w:proofErr w:type="spellStart"/>
      <w:r w:rsidRPr="001D0A23">
        <w:rPr>
          <w:sz w:val="24"/>
          <w:szCs w:val="24"/>
        </w:rPr>
        <w:t>dilaterende</w:t>
      </w:r>
      <w:proofErr w:type="spellEnd"/>
      <w:r w:rsidRPr="001D0A23">
        <w:rPr>
          <w:sz w:val="24"/>
          <w:szCs w:val="24"/>
        </w:rPr>
        <w:t xml:space="preserve"> virkning på kransårerne. Virkningen er dosisafhængig. Lave doser giver venedilatation og reduceret venøs tilbageledning til hjertet (nedsat </w:t>
      </w:r>
      <w:proofErr w:type="spellStart"/>
      <w:r w:rsidRPr="001D0A23">
        <w:rPr>
          <w:sz w:val="24"/>
          <w:szCs w:val="24"/>
        </w:rPr>
        <w:t>preload</w:t>
      </w:r>
      <w:proofErr w:type="spellEnd"/>
      <w:r w:rsidRPr="001D0A23">
        <w:rPr>
          <w:sz w:val="24"/>
          <w:szCs w:val="24"/>
        </w:rPr>
        <w:t xml:space="preserve">), mens høje doser også giver arteriel dilatation og reduceret arteriel karmodstand (nedsat </w:t>
      </w:r>
      <w:proofErr w:type="spellStart"/>
      <w:r w:rsidRPr="001D0A23">
        <w:rPr>
          <w:sz w:val="24"/>
          <w:szCs w:val="24"/>
        </w:rPr>
        <w:t>afterload</w:t>
      </w:r>
      <w:proofErr w:type="spellEnd"/>
      <w:r w:rsidRPr="001D0A23">
        <w:rPr>
          <w:sz w:val="24"/>
          <w:szCs w:val="24"/>
        </w:rPr>
        <w:t xml:space="preserve">). Ved reduktion af det slutdiastoliske tryk og volumen sænkes det </w:t>
      </w:r>
      <w:proofErr w:type="spellStart"/>
      <w:r w:rsidRPr="001D0A23">
        <w:rPr>
          <w:sz w:val="24"/>
          <w:szCs w:val="24"/>
        </w:rPr>
        <w:t>intramurale</w:t>
      </w:r>
      <w:proofErr w:type="spellEnd"/>
      <w:r w:rsidRPr="001D0A23">
        <w:rPr>
          <w:sz w:val="24"/>
          <w:szCs w:val="24"/>
        </w:rPr>
        <w:t xml:space="preserve"> tryk, hvorved den </w:t>
      </w:r>
      <w:proofErr w:type="spellStart"/>
      <w:r w:rsidRPr="001D0A23">
        <w:rPr>
          <w:sz w:val="24"/>
          <w:szCs w:val="24"/>
        </w:rPr>
        <w:t>subendokardielle</w:t>
      </w:r>
      <w:proofErr w:type="spellEnd"/>
      <w:r w:rsidRPr="001D0A23">
        <w:rPr>
          <w:sz w:val="24"/>
          <w:szCs w:val="24"/>
        </w:rPr>
        <w:t xml:space="preserve"> perfusion forbedres. Nettoeffekten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er derfor reduceret arbejde for hjertet og en bedre iltning af </w:t>
      </w:r>
      <w:proofErr w:type="spellStart"/>
      <w:r w:rsidRPr="001D0A23">
        <w:rPr>
          <w:sz w:val="24"/>
          <w:szCs w:val="24"/>
        </w:rPr>
        <w:t>myokardiet</w:t>
      </w:r>
      <w:proofErr w:type="spellEnd"/>
      <w:r w:rsidRPr="001D0A23">
        <w:rPr>
          <w:sz w:val="24"/>
          <w:szCs w:val="24"/>
        </w:rPr>
        <w:t>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933631" w:rsidRDefault="006F368B" w:rsidP="006F368B">
      <w:pPr>
        <w:suppressAutoHyphens/>
        <w:ind w:left="851"/>
        <w:rPr>
          <w:sz w:val="24"/>
          <w:szCs w:val="24"/>
          <w:shd w:val="clear" w:color="auto" w:fill="FFFFFF"/>
        </w:rPr>
      </w:pPr>
      <w:r w:rsidRPr="00933631">
        <w:rPr>
          <w:sz w:val="24"/>
          <w:szCs w:val="24"/>
        </w:rPr>
        <w:t xml:space="preserve">Der kan udvikles </w:t>
      </w:r>
      <w:r w:rsidRPr="00933631">
        <w:rPr>
          <w:sz w:val="24"/>
          <w:szCs w:val="24"/>
          <w:shd w:val="clear" w:color="auto" w:fill="FFFFFF"/>
        </w:rPr>
        <w:t>tolerance, som varierer fra person til person, under vedligeholdelses</w:t>
      </w:r>
      <w:r>
        <w:rPr>
          <w:sz w:val="24"/>
          <w:szCs w:val="24"/>
          <w:shd w:val="clear" w:color="auto" w:fill="FFFFFF"/>
        </w:rPr>
        <w:softHyphen/>
      </w:r>
      <w:r w:rsidRPr="00933631">
        <w:rPr>
          <w:sz w:val="24"/>
          <w:szCs w:val="24"/>
          <w:shd w:val="clear" w:color="auto" w:fill="FFFFFF"/>
        </w:rPr>
        <w:t xml:space="preserve">behandling med nitrater. </w:t>
      </w:r>
      <w:proofErr w:type="spellStart"/>
      <w:r w:rsidRPr="00933631">
        <w:rPr>
          <w:sz w:val="24"/>
          <w:szCs w:val="24"/>
          <w:shd w:val="clear" w:color="auto" w:fill="FFFFFF"/>
        </w:rPr>
        <w:t>Isomex</w:t>
      </w:r>
      <w:proofErr w:type="spellEnd"/>
      <w:r w:rsidRPr="00933631">
        <w:rPr>
          <w:sz w:val="24"/>
          <w:szCs w:val="24"/>
          <w:shd w:val="clear" w:color="auto" w:fill="FFFFFF"/>
        </w:rPr>
        <w:t xml:space="preserve"> skal derfor administreres én gang daglig for at give plads til et interval med lav nitratkoncentration hver dag (se pkt. 4.2 og 4.4).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5.2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Farmakokinetiske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6F368B" w:rsidRPr="00117B4D" w:rsidRDefault="006F368B" w:rsidP="006F368B">
      <w:pPr>
        <w:ind w:left="851"/>
        <w:rPr>
          <w:bCs/>
          <w:iCs/>
          <w:noProof/>
          <w:sz w:val="24"/>
          <w:szCs w:val="24"/>
          <w:u w:val="single"/>
          <w:lang w:eastAsia="da-DK"/>
        </w:rPr>
      </w:pPr>
      <w:r w:rsidRPr="00117B4D">
        <w:rPr>
          <w:noProof/>
          <w:sz w:val="24"/>
          <w:szCs w:val="24"/>
          <w:u w:val="single"/>
        </w:rPr>
        <w:t>Absorption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>Det aktive stof frigives uafhængigt af pH.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absorberes hurtigt og fuldstændigt efter oral administration. Absorptionen påvirkes ikke af samtidig indtagelse af mad. I modsætning til mange andre nitrater gennemgår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ikke førstepassage-metabolisme, og dets biotilgængelighed er derfor næsten 100 %. Denne egenskab bidrager højst sandsynligt til den relativt lave variation i plasmaniveauer, der ses blandt individer efter indtagelse af lægemidlet. Peak-plasmakoncentrationen af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efter oral administration af en depottablet indtræffer i løbet af 3,1 til 4,5 timer.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Fordeling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fordelingsvolumen er ca. 0,6 l/kg, og plasmaproteinbindingen er ubetydelig (ca. 4 %). </w:t>
      </w:r>
    </w:p>
    <w:p w:rsidR="006F368B" w:rsidRPr="00117B4D" w:rsidRDefault="006F368B" w:rsidP="006F368B">
      <w:pPr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Biotransformation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omsættes i leveren til flere inaktive metabolitter.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Elimination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Elimination finder hovedsageligt sted gennem </w:t>
      </w:r>
      <w:proofErr w:type="spellStart"/>
      <w:r w:rsidRPr="00117B4D">
        <w:rPr>
          <w:sz w:val="24"/>
          <w:szCs w:val="24"/>
        </w:rPr>
        <w:t>denitrificering</w:t>
      </w:r>
      <w:proofErr w:type="spellEnd"/>
      <w:r w:rsidRPr="00117B4D">
        <w:rPr>
          <w:sz w:val="24"/>
          <w:szCs w:val="24"/>
        </w:rPr>
        <w:t xml:space="preserve"> og konjugation i leveren. Metabolitterne udskilles hovedsageligt gennem nyrerne. Kun 2 % af den administrerede dosis udskilles uændret via nyrerne.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halveringstid i plasma hos både raske frivillige og de fleste patienter er ca. 6,5 timer efter administration af depottabletter.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sz w:val="24"/>
          <w:szCs w:val="24"/>
          <w:u w:val="single"/>
        </w:rPr>
        <w:t>Særlige patientpopulationer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Hverken nyre- eller leversygdomme ændrer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farmakokinetik. 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5.3</w:t>
      </w:r>
      <w:r w:rsidRPr="001D0A23">
        <w:rPr>
          <w:b/>
          <w:sz w:val="24"/>
          <w:szCs w:val="24"/>
        </w:rPr>
        <w:tab/>
      </w:r>
      <w:r w:rsidR="008559B1">
        <w:rPr>
          <w:b/>
          <w:sz w:val="24"/>
          <w:szCs w:val="24"/>
        </w:rPr>
        <w:t>Non-</w:t>
      </w:r>
      <w:r w:rsidRPr="001D0A23">
        <w:rPr>
          <w:b/>
          <w:sz w:val="24"/>
          <w:szCs w:val="24"/>
        </w:rPr>
        <w:t>kliniske sikkerhedsdata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oplysninger med relevans for den ordinerende læge.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</w:t>
      </w:r>
      <w:r w:rsidRPr="001D0A23">
        <w:rPr>
          <w:b/>
          <w:sz w:val="24"/>
          <w:szCs w:val="24"/>
        </w:rPr>
        <w:tab/>
        <w:t>FARMACEUTISKE OPLYSNINGER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6.1</w:t>
      </w:r>
      <w:r w:rsidRPr="001D0A23">
        <w:rPr>
          <w:b/>
          <w:sz w:val="24"/>
          <w:szCs w:val="24"/>
        </w:rPr>
        <w:tab/>
        <w:t>Hjælpestoffer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Hypromellose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Lactosemonohydrat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Pr</w:t>
      </w:r>
      <w:r>
        <w:rPr>
          <w:sz w:val="24"/>
          <w:szCs w:val="24"/>
        </w:rPr>
        <w:t>e</w:t>
      </w:r>
      <w:r w:rsidRPr="001D0A23">
        <w:rPr>
          <w:sz w:val="24"/>
          <w:szCs w:val="24"/>
        </w:rPr>
        <w:t>gelatineret</w:t>
      </w:r>
      <w:proofErr w:type="spellEnd"/>
      <w:r w:rsidRPr="001D0A23">
        <w:rPr>
          <w:sz w:val="24"/>
          <w:szCs w:val="24"/>
        </w:rPr>
        <w:t xml:space="preserve"> stivelse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Magnesiumstearat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Silica</w:t>
      </w:r>
      <w:proofErr w:type="spellEnd"/>
      <w:r w:rsidRPr="001D0A23">
        <w:rPr>
          <w:sz w:val="24"/>
          <w:szCs w:val="24"/>
        </w:rPr>
        <w:t>, kolloid vandfri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6.2</w:t>
      </w:r>
      <w:r w:rsidRPr="001D0A23">
        <w:rPr>
          <w:b/>
          <w:sz w:val="24"/>
          <w:szCs w:val="24"/>
        </w:rPr>
        <w:tab/>
        <w:t>Uforligeligheder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Ikke relevant.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6.3</w:t>
      </w:r>
      <w:r w:rsidRPr="001D0A23">
        <w:rPr>
          <w:b/>
          <w:sz w:val="24"/>
          <w:szCs w:val="24"/>
        </w:rPr>
        <w:tab/>
        <w:t>Opbevaringstid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1D0A23">
        <w:rPr>
          <w:sz w:val="24"/>
          <w:szCs w:val="24"/>
        </w:rPr>
        <w:t xml:space="preserve"> år.</w:t>
      </w:r>
    </w:p>
    <w:p w:rsidR="006F368B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6.4</w:t>
      </w:r>
      <w:r w:rsidRPr="001D0A23">
        <w:rPr>
          <w:b/>
          <w:sz w:val="24"/>
          <w:szCs w:val="24"/>
        </w:rPr>
        <w:tab/>
        <w:t>Særlige opbevaringsforhold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noProof/>
          <w:sz w:val="24"/>
          <w:szCs w:val="24"/>
        </w:rPr>
        <w:t>Dette lægemiddel kræver ingen særlige forholdsregler vedrørende opbevaringen.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6.5</w:t>
      </w:r>
      <w:r w:rsidRPr="001D0A23">
        <w:rPr>
          <w:b/>
          <w:sz w:val="24"/>
          <w:szCs w:val="24"/>
        </w:rPr>
        <w:tab/>
        <w:t>Emballagetype og pakningsstørrelser</w:t>
      </w:r>
    </w:p>
    <w:p w:rsidR="006F368B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>PVC/PVDC/</w:t>
      </w:r>
      <w:proofErr w:type="spellStart"/>
      <w:r w:rsidRPr="001D0A23">
        <w:rPr>
          <w:sz w:val="24"/>
          <w:szCs w:val="24"/>
        </w:rPr>
        <w:t>Alu</w:t>
      </w:r>
      <w:proofErr w:type="spellEnd"/>
      <w:r w:rsidRPr="001D0A23">
        <w:rPr>
          <w:sz w:val="24"/>
          <w:szCs w:val="24"/>
        </w:rPr>
        <w:t>-blisterpakninger</w:t>
      </w:r>
      <w:r>
        <w:rPr>
          <w:sz w:val="24"/>
          <w:szCs w:val="24"/>
        </w:rPr>
        <w:t>.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>
        <w:rPr>
          <w:sz w:val="24"/>
          <w:szCs w:val="24"/>
        </w:rPr>
        <w:t xml:space="preserve">Pakningsstørrelser: </w:t>
      </w:r>
      <w:r w:rsidRPr="001D0A23">
        <w:rPr>
          <w:sz w:val="24"/>
          <w:szCs w:val="24"/>
        </w:rPr>
        <w:t>28 eller 98 tabletter.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Børnesikker </w:t>
      </w:r>
      <w:r w:rsidRPr="001D0A23">
        <w:rPr>
          <w:sz w:val="24"/>
          <w:szCs w:val="24"/>
        </w:rPr>
        <w:t>HDPE-beholder og PP-hætte</w:t>
      </w:r>
      <w:r>
        <w:rPr>
          <w:sz w:val="24"/>
          <w:szCs w:val="24"/>
        </w:rPr>
        <w:t>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1D0A23">
        <w:rPr>
          <w:sz w:val="24"/>
          <w:szCs w:val="24"/>
        </w:rPr>
        <w:t>100 tabletter</w:t>
      </w:r>
      <w:r>
        <w:rPr>
          <w:sz w:val="24"/>
          <w:szCs w:val="24"/>
        </w:rPr>
        <w:t>.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Ikke alle pakningsstørrelser er nødvendigvis markedsført.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6.6</w:t>
      </w:r>
      <w:r w:rsidRPr="001D0A23">
        <w:rPr>
          <w:b/>
          <w:sz w:val="24"/>
          <w:szCs w:val="24"/>
        </w:rPr>
        <w:tab/>
        <w:t xml:space="preserve">Regler for </w:t>
      </w:r>
      <w:r w:rsidR="008559B1">
        <w:rPr>
          <w:b/>
          <w:sz w:val="24"/>
          <w:szCs w:val="24"/>
        </w:rPr>
        <w:t>bortskaffelse</w:t>
      </w:r>
      <w:r w:rsidRPr="001D0A23">
        <w:rPr>
          <w:b/>
          <w:sz w:val="24"/>
          <w:szCs w:val="24"/>
        </w:rPr>
        <w:t xml:space="preserve"> og anden håndtering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særlige forholdsregler.</w:t>
      </w:r>
    </w:p>
    <w:p w:rsidR="006F368B" w:rsidRPr="001D0A23" w:rsidRDefault="006F368B" w:rsidP="006F368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7.</w:t>
      </w:r>
      <w:r w:rsidRPr="001D0A23">
        <w:rPr>
          <w:b/>
          <w:sz w:val="24"/>
          <w:szCs w:val="24"/>
        </w:rPr>
        <w:tab/>
        <w:t>INDEHAVER AF MARKEDSFØRINGSTILLADELSEN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RPH Pharmaceuticals AB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Lagervägen</w:t>
      </w:r>
      <w:proofErr w:type="spellEnd"/>
      <w:r w:rsidRPr="001D0A23">
        <w:rPr>
          <w:sz w:val="24"/>
          <w:szCs w:val="24"/>
        </w:rPr>
        <w:t xml:space="preserve"> 7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136 50 Jordbro</w:t>
      </w:r>
    </w:p>
    <w:p w:rsidR="006F368B" w:rsidRPr="001D0A23" w:rsidRDefault="006F368B" w:rsidP="006F368B">
      <w:pPr>
        <w:suppressAutoHyphens/>
        <w:ind w:left="851"/>
        <w:rPr>
          <w:sz w:val="24"/>
          <w:szCs w:val="24"/>
        </w:rPr>
      </w:pPr>
      <w:r w:rsidRPr="001D0A23">
        <w:rPr>
          <w:sz w:val="24"/>
          <w:szCs w:val="24"/>
        </w:rPr>
        <w:t>Sverige</w:t>
      </w:r>
    </w:p>
    <w:p w:rsidR="006F368B" w:rsidRPr="001D0A23" w:rsidRDefault="006F368B" w:rsidP="006F368B">
      <w:pPr>
        <w:suppressAutoHyphens/>
        <w:ind w:left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Repræsentant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proofErr w:type="spellStart"/>
      <w:r w:rsidRPr="001D0A23">
        <w:rPr>
          <w:sz w:val="24"/>
          <w:szCs w:val="24"/>
        </w:rPr>
        <w:t>Astimex</w:t>
      </w:r>
      <w:proofErr w:type="spellEnd"/>
      <w:r w:rsidRPr="001D0A23">
        <w:rPr>
          <w:sz w:val="24"/>
          <w:szCs w:val="24"/>
        </w:rPr>
        <w:t xml:space="preserve"> Pharma AB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proofErr w:type="spellStart"/>
      <w:r w:rsidRPr="001D0A23">
        <w:rPr>
          <w:sz w:val="24"/>
          <w:szCs w:val="24"/>
        </w:rPr>
        <w:t>Isafjordsgatan</w:t>
      </w:r>
      <w:proofErr w:type="spellEnd"/>
      <w:r w:rsidRPr="001D0A23">
        <w:rPr>
          <w:sz w:val="24"/>
          <w:szCs w:val="24"/>
        </w:rPr>
        <w:t xml:space="preserve"> 36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>164 40 Kista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>Sverige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8.</w:t>
      </w:r>
      <w:r w:rsidRPr="001D0A23">
        <w:rPr>
          <w:b/>
          <w:sz w:val="24"/>
          <w:szCs w:val="24"/>
        </w:rPr>
        <w:tab/>
        <w:t>MARKEDSFØRINGSTILLADELSESNUMMER (</w:t>
      </w:r>
      <w:r w:rsidR="008559B1">
        <w:rPr>
          <w:b/>
          <w:sz w:val="24"/>
          <w:szCs w:val="24"/>
        </w:rPr>
        <w:t>-</w:t>
      </w:r>
      <w:r w:rsidRPr="001D0A23">
        <w:rPr>
          <w:b/>
          <w:sz w:val="24"/>
          <w:szCs w:val="24"/>
        </w:rPr>
        <w:t>NUMRE)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D0A23">
        <w:rPr>
          <w:sz w:val="24"/>
          <w:szCs w:val="24"/>
        </w:rPr>
        <w:t>57674</w:t>
      </w:r>
    </w:p>
    <w:p w:rsidR="006F368B" w:rsidRPr="001D0A23" w:rsidRDefault="006F368B" w:rsidP="006F368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9.</w:t>
      </w:r>
      <w:r w:rsidRPr="001D0A23">
        <w:rPr>
          <w:b/>
          <w:sz w:val="24"/>
          <w:szCs w:val="24"/>
        </w:rPr>
        <w:tab/>
        <w:t>DATO FOR FØRSTE MARKEDSFØRINGSTILLADELSE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17</w:t>
      </w:r>
      <w:r w:rsidRPr="001D0A23">
        <w:rPr>
          <w:sz w:val="24"/>
          <w:szCs w:val="24"/>
        </w:rPr>
        <w:t>. februar 2017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10.</w:t>
      </w:r>
      <w:r w:rsidRPr="001D0A23">
        <w:rPr>
          <w:b/>
          <w:sz w:val="24"/>
          <w:szCs w:val="24"/>
        </w:rPr>
        <w:tab/>
        <w:t>DATO FOR ÆNDRING AF TEKSTEN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559B1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8559B1">
        <w:rPr>
          <w:sz w:val="24"/>
          <w:szCs w:val="24"/>
        </w:rPr>
        <w:t>juli</w:t>
      </w:r>
      <w:r>
        <w:rPr>
          <w:sz w:val="24"/>
          <w:szCs w:val="24"/>
        </w:rPr>
        <w:t xml:space="preserve"> 20</w:t>
      </w:r>
      <w:r w:rsidR="008559B1">
        <w:rPr>
          <w:sz w:val="24"/>
          <w:szCs w:val="24"/>
        </w:rPr>
        <w:t>24</w:t>
      </w:r>
    </w:p>
    <w:p w:rsidR="006F368B" w:rsidRPr="008837D5" w:rsidRDefault="006F368B" w:rsidP="006F368B"/>
    <w:p w:rsidR="006F368B" w:rsidRPr="000B1CC7" w:rsidRDefault="006F368B" w:rsidP="006F368B"/>
    <w:p w:rsidR="009260DE" w:rsidRPr="006F368B" w:rsidRDefault="009260DE" w:rsidP="006F368B"/>
    <w:sectPr w:rsidR="009260DE" w:rsidRPr="006F368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8B" w:rsidRDefault="006F368B">
      <w:r>
        <w:separator/>
      </w:r>
    </w:p>
  </w:endnote>
  <w:endnote w:type="continuationSeparator" w:id="0">
    <w:p w:rsidR="006F368B" w:rsidRDefault="006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F368B">
      <w:rPr>
        <w:i/>
        <w:noProof/>
        <w:sz w:val="18"/>
        <w:szCs w:val="18"/>
      </w:rPr>
      <w:t>Dokument2623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8B" w:rsidRDefault="006F368B">
      <w:r>
        <w:separator/>
      </w:r>
    </w:p>
  </w:footnote>
  <w:footnote w:type="continuationSeparator" w:id="0">
    <w:p w:rsidR="006F368B" w:rsidRDefault="006F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4BC289C"/>
    <w:multiLevelType w:val="hybridMultilevel"/>
    <w:tmpl w:val="399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4BE5"/>
    <w:multiLevelType w:val="hybridMultilevel"/>
    <w:tmpl w:val="B9E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3F50875"/>
    <w:multiLevelType w:val="hybridMultilevel"/>
    <w:tmpl w:val="4A6E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B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F368B"/>
    <w:rsid w:val="00737275"/>
    <w:rsid w:val="00740EEC"/>
    <w:rsid w:val="0078011A"/>
    <w:rsid w:val="00782AF4"/>
    <w:rsid w:val="00790EE7"/>
    <w:rsid w:val="007B6649"/>
    <w:rsid w:val="0081546F"/>
    <w:rsid w:val="0082576E"/>
    <w:rsid w:val="008559B1"/>
    <w:rsid w:val="008A67F9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CC2729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09F09"/>
  <w15:chartTrackingRefBased/>
  <w15:docId w15:val="{0C748D14-A7CB-469E-8F05-60D78B9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F368B"/>
    <w:pPr>
      <w:ind w:left="720"/>
      <w:contextualSpacing/>
    </w:pPr>
    <w:rPr>
      <w:sz w:val="22"/>
      <w:lang w:eastAsia="da-DK" w:bidi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6F368B"/>
    <w:pPr>
      <w:ind w:left="1304" w:firstLine="1"/>
    </w:pPr>
    <w:rPr>
      <w:sz w:val="24"/>
      <w:szCs w:val="24"/>
      <w:lang w:eastAsia="da-DK" w:bidi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F368B"/>
    <w:rPr>
      <w:sz w:val="24"/>
      <w:szCs w:val="24"/>
      <w:lang w:bidi="da-DK"/>
    </w:rPr>
  </w:style>
  <w:style w:type="character" w:styleId="Hyperlink">
    <w:name w:val="Hyperlink"/>
    <w:basedOn w:val="Standardskrifttypeiafsnit"/>
    <w:uiPriority w:val="99"/>
    <w:semiHidden/>
    <w:unhideWhenUsed/>
    <w:rsid w:val="006F368B"/>
    <w:rPr>
      <w:noProof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gemiddelstyrelsen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9145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igle mail af 5/7-2024 fra Annette Malmros stavefejl i pkt. 6.1 er rettet samt QRD</dc:description>
  <cp:lastModifiedBy>Helle Søndersted</cp:lastModifiedBy>
  <cp:revision>2</cp:revision>
  <cp:lastPrinted>2012-08-22T08:53:00Z</cp:lastPrinted>
  <dcterms:created xsi:type="dcterms:W3CDTF">2024-07-05T10:34:00Z</dcterms:created>
  <dcterms:modified xsi:type="dcterms:W3CDTF">2024-07-05T10:34:00Z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