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9F9" w14:textId="77777777" w:rsidR="009260DE" w:rsidRPr="00D15FC0" w:rsidRDefault="0021526C" w:rsidP="009260DE">
      <w:pPr>
        <w:rPr>
          <w:sz w:val="24"/>
          <w:szCs w:val="24"/>
        </w:rPr>
      </w:pPr>
      <w:r w:rsidRPr="00D15FC0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5A46E590" wp14:editId="6CE1B088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D15FC0">
        <w:rPr>
          <w:sz w:val="24"/>
          <w:szCs w:val="24"/>
        </w:rPr>
        <w:br w:type="textWrapping" w:clear="all"/>
      </w:r>
    </w:p>
    <w:p w14:paraId="47489248" w14:textId="433A685F" w:rsidR="009260DE" w:rsidRPr="00D15FC0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D15FC0">
        <w:rPr>
          <w:b w:val="0"/>
          <w:szCs w:val="24"/>
          <w:lang w:eastAsia="en-US"/>
        </w:rPr>
        <w:tab/>
      </w:r>
      <w:r w:rsidR="00AA6D4F">
        <w:rPr>
          <w:szCs w:val="24"/>
        </w:rPr>
        <w:t>20. marts 2026</w:t>
      </w:r>
    </w:p>
    <w:p w14:paraId="4620A108" w14:textId="77777777" w:rsidR="009260DE" w:rsidRPr="00D15FC0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6CCE97AE" w14:textId="77777777" w:rsidR="009260DE" w:rsidRPr="00D15FC0" w:rsidRDefault="009260DE" w:rsidP="009260DE">
      <w:pPr>
        <w:pStyle w:val="Titel"/>
        <w:jc w:val="left"/>
        <w:rPr>
          <w:b w:val="0"/>
          <w:szCs w:val="24"/>
        </w:rPr>
      </w:pPr>
    </w:p>
    <w:p w14:paraId="4C9DDE01" w14:textId="77777777" w:rsidR="009260DE" w:rsidRPr="00D15FC0" w:rsidRDefault="009260DE" w:rsidP="009260DE">
      <w:pPr>
        <w:pStyle w:val="Titel"/>
        <w:jc w:val="left"/>
        <w:rPr>
          <w:b w:val="0"/>
          <w:szCs w:val="24"/>
        </w:rPr>
      </w:pPr>
    </w:p>
    <w:p w14:paraId="5F5AA680" w14:textId="77777777" w:rsidR="009260DE" w:rsidRPr="00D15FC0" w:rsidRDefault="009260DE" w:rsidP="009260DE">
      <w:pPr>
        <w:jc w:val="center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PRODUKTRESUMÉ</w:t>
      </w:r>
    </w:p>
    <w:p w14:paraId="33B26A0C" w14:textId="77777777" w:rsidR="009260DE" w:rsidRPr="00D15FC0" w:rsidRDefault="009260DE" w:rsidP="009260DE">
      <w:pPr>
        <w:jc w:val="center"/>
        <w:rPr>
          <w:b/>
          <w:sz w:val="24"/>
          <w:szCs w:val="24"/>
        </w:rPr>
      </w:pPr>
    </w:p>
    <w:p w14:paraId="5E9B1743" w14:textId="77777777" w:rsidR="009260DE" w:rsidRPr="00D15FC0" w:rsidRDefault="009260DE" w:rsidP="009260DE">
      <w:pPr>
        <w:jc w:val="center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for</w:t>
      </w:r>
    </w:p>
    <w:p w14:paraId="7ED85B6C" w14:textId="77777777" w:rsidR="000B058C" w:rsidRPr="00D15FC0" w:rsidRDefault="000B058C" w:rsidP="009260DE">
      <w:pPr>
        <w:jc w:val="center"/>
        <w:rPr>
          <w:b/>
          <w:sz w:val="24"/>
          <w:szCs w:val="24"/>
        </w:rPr>
      </w:pPr>
    </w:p>
    <w:p w14:paraId="4D3848A0" w14:textId="182E15BA" w:rsidR="009260DE" w:rsidRPr="00D15FC0" w:rsidRDefault="002C44D5" w:rsidP="009260DE">
      <w:pPr>
        <w:jc w:val="center"/>
        <w:rPr>
          <w:b/>
          <w:sz w:val="24"/>
          <w:szCs w:val="24"/>
        </w:rPr>
      </w:pPr>
      <w:proofErr w:type="spellStart"/>
      <w:r w:rsidRPr="00D15FC0">
        <w:rPr>
          <w:b/>
          <w:sz w:val="24"/>
          <w:szCs w:val="24"/>
        </w:rPr>
        <w:t>Isoprenaline</w:t>
      </w:r>
      <w:proofErr w:type="spellEnd"/>
      <w:r w:rsidRPr="00D15FC0">
        <w:rPr>
          <w:b/>
          <w:sz w:val="24"/>
          <w:szCs w:val="24"/>
        </w:rPr>
        <w:t xml:space="preserve"> </w:t>
      </w:r>
      <w:proofErr w:type="spellStart"/>
      <w:r w:rsidRPr="00D15FC0">
        <w:rPr>
          <w:b/>
          <w:sz w:val="24"/>
          <w:szCs w:val="24"/>
        </w:rPr>
        <w:t>Hydrochloride</w:t>
      </w:r>
      <w:proofErr w:type="spellEnd"/>
      <w:r w:rsidRPr="00D15FC0">
        <w:rPr>
          <w:b/>
          <w:sz w:val="24"/>
          <w:szCs w:val="24"/>
        </w:rPr>
        <w:t xml:space="preserve"> "</w:t>
      </w:r>
      <w:proofErr w:type="spellStart"/>
      <w:r w:rsidRPr="00D15FC0">
        <w:rPr>
          <w:b/>
          <w:sz w:val="24"/>
          <w:szCs w:val="24"/>
        </w:rPr>
        <w:t>Unicorn</w:t>
      </w:r>
      <w:proofErr w:type="spellEnd"/>
      <w:r w:rsidRPr="00D15FC0">
        <w:rPr>
          <w:b/>
          <w:sz w:val="24"/>
          <w:szCs w:val="24"/>
        </w:rPr>
        <w:t xml:space="preserve"> Pharma", koncentrat til infusionsvæske, opløsning</w:t>
      </w:r>
    </w:p>
    <w:p w14:paraId="03470EDA" w14:textId="77777777" w:rsidR="009260DE" w:rsidRPr="00D15FC0" w:rsidRDefault="009260DE" w:rsidP="009260DE">
      <w:pPr>
        <w:jc w:val="both"/>
        <w:rPr>
          <w:sz w:val="24"/>
          <w:szCs w:val="24"/>
        </w:rPr>
      </w:pPr>
    </w:p>
    <w:p w14:paraId="581163D0" w14:textId="77777777" w:rsidR="009260DE" w:rsidRPr="00D15FC0" w:rsidRDefault="009260DE" w:rsidP="009260DE">
      <w:pPr>
        <w:jc w:val="both"/>
        <w:rPr>
          <w:sz w:val="24"/>
          <w:szCs w:val="24"/>
        </w:rPr>
      </w:pPr>
    </w:p>
    <w:p w14:paraId="2E2EF942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0.</w:t>
      </w:r>
      <w:r w:rsidRPr="00D15FC0">
        <w:rPr>
          <w:b/>
          <w:sz w:val="24"/>
          <w:szCs w:val="24"/>
        </w:rPr>
        <w:tab/>
        <w:t>D.SP.NR.</w:t>
      </w:r>
    </w:p>
    <w:p w14:paraId="5B1D2986" w14:textId="25855A25" w:rsidR="009260DE" w:rsidRPr="00D15FC0" w:rsidRDefault="002C44D5" w:rsidP="009260DE">
      <w:pPr>
        <w:tabs>
          <w:tab w:val="left" w:pos="851"/>
        </w:tabs>
        <w:ind w:left="851"/>
        <w:rPr>
          <w:sz w:val="24"/>
          <w:szCs w:val="24"/>
        </w:rPr>
      </w:pPr>
      <w:r w:rsidRPr="00D15FC0">
        <w:rPr>
          <w:sz w:val="24"/>
          <w:szCs w:val="24"/>
        </w:rPr>
        <w:t>33899</w:t>
      </w:r>
    </w:p>
    <w:p w14:paraId="08CEDDA3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197589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1.</w:t>
      </w:r>
      <w:r w:rsidRPr="00D15FC0">
        <w:rPr>
          <w:b/>
          <w:sz w:val="24"/>
          <w:szCs w:val="24"/>
        </w:rPr>
        <w:tab/>
        <w:t>LÆGEMIDLETS NAVN</w:t>
      </w:r>
    </w:p>
    <w:p w14:paraId="67549092" w14:textId="38B9D58A" w:rsidR="009260DE" w:rsidRPr="00D15FC0" w:rsidRDefault="002C44D5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Hydrochloride</w:t>
      </w:r>
      <w:proofErr w:type="spellEnd"/>
      <w:r w:rsidRPr="00D15FC0">
        <w:rPr>
          <w:sz w:val="24"/>
          <w:szCs w:val="24"/>
        </w:rPr>
        <w:t xml:space="preserve"> "</w:t>
      </w:r>
      <w:proofErr w:type="spellStart"/>
      <w:r w:rsidRPr="00D15FC0">
        <w:rPr>
          <w:sz w:val="24"/>
          <w:szCs w:val="24"/>
        </w:rPr>
        <w:t>Unicorn</w:t>
      </w:r>
      <w:proofErr w:type="spellEnd"/>
      <w:r w:rsidRPr="00D15FC0">
        <w:rPr>
          <w:sz w:val="24"/>
          <w:szCs w:val="24"/>
        </w:rPr>
        <w:t xml:space="preserve"> Pharma"</w:t>
      </w:r>
    </w:p>
    <w:p w14:paraId="29C81ECE" w14:textId="77777777" w:rsidR="002C44D5" w:rsidRPr="00D15FC0" w:rsidRDefault="002C44D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23B2B18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2.</w:t>
      </w:r>
      <w:r w:rsidRPr="00D15FC0">
        <w:rPr>
          <w:b/>
          <w:sz w:val="24"/>
          <w:szCs w:val="24"/>
        </w:rPr>
        <w:tab/>
        <w:t>KVALITATIV OG KVANTITATIV SAMMENSÆTNING</w:t>
      </w:r>
    </w:p>
    <w:p w14:paraId="75E44293" w14:textId="39466744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Hvert ml koncentrat til infusionsvæske, opløsning indeholder 0,2 mg </w:t>
      </w:r>
      <w:proofErr w:type="spellStart"/>
      <w:r w:rsidRPr="00D15FC0">
        <w:rPr>
          <w:sz w:val="24"/>
          <w:szCs w:val="24"/>
        </w:rPr>
        <w:t>isoprenalin</w:t>
      </w:r>
      <w:r w:rsidR="00D92679">
        <w:rPr>
          <w:sz w:val="24"/>
          <w:szCs w:val="24"/>
        </w:rPr>
        <w:softHyphen/>
      </w:r>
      <w:r w:rsidRPr="00D15FC0">
        <w:rPr>
          <w:sz w:val="24"/>
          <w:szCs w:val="24"/>
        </w:rPr>
        <w:t>hydrochlorid</w:t>
      </w:r>
      <w:proofErr w:type="spellEnd"/>
      <w:r w:rsidRPr="00D15FC0">
        <w:rPr>
          <w:sz w:val="24"/>
          <w:szCs w:val="24"/>
        </w:rPr>
        <w:t xml:space="preserve"> svarende til 0,17 mg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>.</w:t>
      </w:r>
    </w:p>
    <w:p w14:paraId="50DB06B3" w14:textId="77777777" w:rsidR="0050644D" w:rsidRPr="00D15FC0" w:rsidRDefault="0050644D" w:rsidP="00CF19FF">
      <w:pPr>
        <w:ind w:left="851"/>
        <w:rPr>
          <w:bCs/>
          <w:sz w:val="24"/>
          <w:szCs w:val="24"/>
        </w:rPr>
      </w:pPr>
    </w:p>
    <w:p w14:paraId="7D9CE042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Hvert 1 ml hætteglas indeholder 0,2 mg </w:t>
      </w:r>
      <w:proofErr w:type="spellStart"/>
      <w:r w:rsidRPr="00D15FC0">
        <w:rPr>
          <w:sz w:val="24"/>
          <w:szCs w:val="24"/>
        </w:rPr>
        <w:t>isoprenalinhydrochlorid</w:t>
      </w:r>
      <w:proofErr w:type="spellEnd"/>
      <w:r w:rsidRPr="00D15FC0">
        <w:rPr>
          <w:sz w:val="24"/>
          <w:szCs w:val="24"/>
        </w:rPr>
        <w:t xml:space="preserve"> svarende til 0,17 mg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>.</w:t>
      </w:r>
    </w:p>
    <w:p w14:paraId="06543F03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Hvert 5 ml hætteglas indeholder 1 mg </w:t>
      </w:r>
      <w:proofErr w:type="spellStart"/>
      <w:r w:rsidRPr="00D15FC0">
        <w:rPr>
          <w:sz w:val="24"/>
          <w:szCs w:val="24"/>
        </w:rPr>
        <w:t>isoprenalinhydrochlorid</w:t>
      </w:r>
      <w:proofErr w:type="spellEnd"/>
      <w:r w:rsidRPr="00D15FC0">
        <w:rPr>
          <w:sz w:val="24"/>
          <w:szCs w:val="24"/>
        </w:rPr>
        <w:t xml:space="preserve"> svarende til 0,85 mg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>.</w:t>
      </w:r>
    </w:p>
    <w:p w14:paraId="69021374" w14:textId="77777777" w:rsidR="0050644D" w:rsidRPr="00D15FC0" w:rsidRDefault="0050644D" w:rsidP="00CF19FF">
      <w:pPr>
        <w:ind w:left="851"/>
        <w:rPr>
          <w:sz w:val="24"/>
          <w:szCs w:val="24"/>
        </w:rPr>
      </w:pPr>
    </w:p>
    <w:p w14:paraId="0FB14048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  <w:u w:val="single"/>
        </w:rPr>
        <w:t xml:space="preserve">Hjælpestof(fer), som behandleren skal være opmærksom på: </w:t>
      </w:r>
    </w:p>
    <w:p w14:paraId="5C8D0E32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Hvert hætteglas på 1 ml indeholder 3 mg (0,14 mmol) natrium.</w:t>
      </w:r>
    </w:p>
    <w:p w14:paraId="2A6681C9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Hvert hætteglas på 5 ml indeholder 16 mg (0,70 mmol) natrium.</w:t>
      </w:r>
    </w:p>
    <w:p w14:paraId="398DCBE5" w14:textId="77777777" w:rsidR="0050644D" w:rsidRPr="00D15FC0" w:rsidRDefault="0050644D" w:rsidP="00CF19FF">
      <w:pPr>
        <w:ind w:left="851"/>
        <w:rPr>
          <w:sz w:val="24"/>
          <w:szCs w:val="24"/>
        </w:rPr>
      </w:pPr>
    </w:p>
    <w:p w14:paraId="0FD3DBCC" w14:textId="228AF8C8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Alle hjælpestoffer er anført under pkt</w:t>
      </w:r>
      <w:r w:rsidR="004F01B0">
        <w:rPr>
          <w:sz w:val="24"/>
          <w:szCs w:val="24"/>
        </w:rPr>
        <w:t xml:space="preserve">. </w:t>
      </w:r>
      <w:r w:rsidRPr="00D15FC0">
        <w:rPr>
          <w:sz w:val="24"/>
          <w:szCs w:val="24"/>
        </w:rPr>
        <w:t>6.1.</w:t>
      </w:r>
    </w:p>
    <w:p w14:paraId="137820EE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293F852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3.</w:t>
      </w:r>
      <w:r w:rsidRPr="00D15FC0">
        <w:rPr>
          <w:b/>
          <w:sz w:val="24"/>
          <w:szCs w:val="24"/>
        </w:rPr>
        <w:tab/>
        <w:t>LÆGEMIDDELFORM</w:t>
      </w:r>
    </w:p>
    <w:p w14:paraId="34B3EAC9" w14:textId="4876C76E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Koncentrat til infusionsvæske, opløsning (Koncentrat, sterilt)</w:t>
      </w:r>
    </w:p>
    <w:p w14:paraId="2A08FEC3" w14:textId="77777777" w:rsidR="00D92679" w:rsidRDefault="00D92679" w:rsidP="00CF19FF">
      <w:pPr>
        <w:ind w:left="851"/>
        <w:rPr>
          <w:sz w:val="24"/>
          <w:szCs w:val="24"/>
        </w:rPr>
      </w:pPr>
    </w:p>
    <w:p w14:paraId="7542FD2E" w14:textId="5CF47A69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Klar, farveløs til let gullig opløsning, stort set fri for synlige partikler.</w:t>
      </w:r>
    </w:p>
    <w:p w14:paraId="25F7B796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Opløsningens pH er 2,5–4,5 og </w:t>
      </w:r>
      <w:proofErr w:type="spellStart"/>
      <w:r w:rsidRPr="00D15FC0">
        <w:rPr>
          <w:sz w:val="24"/>
          <w:szCs w:val="24"/>
        </w:rPr>
        <w:t>osmolaliteten</w:t>
      </w:r>
      <w:proofErr w:type="spellEnd"/>
      <w:r w:rsidRPr="00D15FC0">
        <w:rPr>
          <w:sz w:val="24"/>
          <w:szCs w:val="24"/>
        </w:rPr>
        <w:t xml:space="preserve"> er mellem 250–300 </w:t>
      </w:r>
      <w:proofErr w:type="spellStart"/>
      <w:r w:rsidRPr="00D15FC0">
        <w:rPr>
          <w:sz w:val="24"/>
          <w:szCs w:val="24"/>
        </w:rPr>
        <w:t>mOsmol</w:t>
      </w:r>
      <w:proofErr w:type="spellEnd"/>
      <w:r w:rsidRPr="00D15FC0">
        <w:rPr>
          <w:sz w:val="24"/>
          <w:szCs w:val="24"/>
        </w:rPr>
        <w:t>/kg</w:t>
      </w:r>
    </w:p>
    <w:p w14:paraId="75F01883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E94915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A555DE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</w:t>
      </w:r>
      <w:r w:rsidRPr="00D15FC0">
        <w:rPr>
          <w:b/>
          <w:sz w:val="24"/>
          <w:szCs w:val="24"/>
        </w:rPr>
        <w:tab/>
        <w:t>KLINISKE OPLYSNINGER</w:t>
      </w:r>
    </w:p>
    <w:p w14:paraId="77DBD1B4" w14:textId="77777777" w:rsidR="009260DE" w:rsidRPr="00D15FC0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4708DF1A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D15FC0">
        <w:rPr>
          <w:b/>
          <w:sz w:val="24"/>
          <w:szCs w:val="24"/>
        </w:rPr>
        <w:t>4.1</w:t>
      </w:r>
      <w:r w:rsidRPr="00D15FC0">
        <w:rPr>
          <w:b/>
          <w:sz w:val="24"/>
          <w:szCs w:val="24"/>
        </w:rPr>
        <w:tab/>
        <w:t>Terapeutiske indikationer</w:t>
      </w:r>
    </w:p>
    <w:p w14:paraId="61D190B3" w14:textId="77777777" w:rsidR="0050644D" w:rsidRPr="004F01B0" w:rsidRDefault="0050644D" w:rsidP="004F01B0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Kortvarig behandling af permanent bradykardi som følge af </w:t>
      </w:r>
      <w:proofErr w:type="spellStart"/>
      <w:r w:rsidRPr="004F01B0">
        <w:rPr>
          <w:sz w:val="24"/>
          <w:szCs w:val="24"/>
        </w:rPr>
        <w:t>atrioventrikulært</w:t>
      </w:r>
      <w:proofErr w:type="spellEnd"/>
      <w:r w:rsidRPr="004F01B0">
        <w:rPr>
          <w:sz w:val="24"/>
          <w:szCs w:val="24"/>
        </w:rPr>
        <w:t xml:space="preserve"> blok, mens der ventes på en pacemaker, eller hvis en pacemaker er kontraindiceret.</w:t>
      </w:r>
    </w:p>
    <w:p w14:paraId="3FA8FD64" w14:textId="77777777" w:rsidR="0050644D" w:rsidRPr="004F01B0" w:rsidRDefault="0050644D" w:rsidP="004F01B0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Kortvarig behandling af Adams-</w:t>
      </w:r>
      <w:proofErr w:type="spellStart"/>
      <w:r w:rsidRPr="004F01B0">
        <w:rPr>
          <w:sz w:val="24"/>
          <w:szCs w:val="24"/>
        </w:rPr>
        <w:t>Stokes</w:t>
      </w:r>
      <w:proofErr w:type="spellEnd"/>
      <w:r w:rsidRPr="004F01B0">
        <w:rPr>
          <w:sz w:val="24"/>
          <w:szCs w:val="24"/>
        </w:rPr>
        <w:t xml:space="preserve">’ syndrom. </w:t>
      </w:r>
    </w:p>
    <w:p w14:paraId="510DC16A" w14:textId="77777777" w:rsidR="0050644D" w:rsidRPr="00D15FC0" w:rsidRDefault="0050644D" w:rsidP="00CF19FF">
      <w:pPr>
        <w:ind w:left="851"/>
        <w:rPr>
          <w:sz w:val="24"/>
          <w:szCs w:val="24"/>
        </w:rPr>
      </w:pPr>
    </w:p>
    <w:p w14:paraId="17C1E26A" w14:textId="77777777" w:rsidR="0050644D" w:rsidRPr="00D15FC0" w:rsidRDefault="0050644D" w:rsidP="00CF19FF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lastRenderedPageBreak/>
        <w:t xml:space="preserve">Nationale og internationale anbefalinger og retningslinjer om hensigtsmæssig brug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skal følges.</w:t>
      </w:r>
    </w:p>
    <w:p w14:paraId="1DF95506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3F9230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4.2</w:t>
      </w:r>
      <w:r w:rsidRPr="00D15FC0">
        <w:rPr>
          <w:b/>
          <w:sz w:val="24"/>
          <w:szCs w:val="24"/>
        </w:rPr>
        <w:tab/>
        <w:t xml:space="preserve">Dosering og </w:t>
      </w:r>
      <w:r w:rsidR="002C1EC0" w:rsidRPr="00D15FC0">
        <w:rPr>
          <w:b/>
          <w:sz w:val="24"/>
          <w:szCs w:val="24"/>
        </w:rPr>
        <w:t>administration</w:t>
      </w:r>
    </w:p>
    <w:p w14:paraId="2485F7CA" w14:textId="5979B313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r w:rsidRPr="00D15FC0">
        <w:rPr>
          <w:sz w:val="24"/>
          <w:szCs w:val="24"/>
          <w:lang w:val="nl-NL"/>
        </w:rPr>
        <w:t>Hydrochloride</w:t>
      </w:r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må kun administreres af læger, der er uddannet inden for anæstesi, kardiologi eller intensivbehandling, i et miljø med passende overvågning eller intensivafdelinger. Kredsløbsfunktion og åndedrætsfunktion skal monitoreres nøje. </w:t>
      </w:r>
    </w:p>
    <w:p w14:paraId="427FCBC3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BB8C757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må ikke bruges rutinemæssigt.</w:t>
      </w:r>
    </w:p>
    <w:p w14:paraId="3AC423BB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119B8F95" w14:textId="77777777" w:rsidR="0050644D" w:rsidRPr="00D15FC0" w:rsidRDefault="0050644D" w:rsidP="00D15FC0">
      <w:pPr>
        <w:ind w:left="851"/>
        <w:rPr>
          <w:sz w:val="24"/>
          <w:szCs w:val="24"/>
          <w:u w:val="single"/>
        </w:rPr>
      </w:pPr>
      <w:r w:rsidRPr="00D15FC0">
        <w:rPr>
          <w:sz w:val="24"/>
          <w:szCs w:val="24"/>
          <w:u w:val="single"/>
        </w:rPr>
        <w:t>Dosering</w:t>
      </w:r>
    </w:p>
    <w:p w14:paraId="17E00805" w14:textId="77777777" w:rsidR="0050644D" w:rsidRPr="00D15FC0" w:rsidRDefault="0050644D" w:rsidP="00D15FC0">
      <w:pPr>
        <w:ind w:left="851"/>
        <w:rPr>
          <w:sz w:val="24"/>
          <w:szCs w:val="24"/>
          <w:u w:val="single"/>
        </w:rPr>
      </w:pPr>
    </w:p>
    <w:p w14:paraId="08A066D6" w14:textId="036FD79C" w:rsidR="0050644D" w:rsidRPr="00D15FC0" w:rsidRDefault="0050644D" w:rsidP="00D15FC0">
      <w:pPr>
        <w:ind w:left="851"/>
        <w:rPr>
          <w:sz w:val="24"/>
          <w:szCs w:val="24"/>
        </w:rPr>
      </w:pPr>
      <w:bookmarkStart w:id="0" w:name="_Hlk31613256"/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r w:rsidRPr="00D15FC0">
        <w:rPr>
          <w:sz w:val="24"/>
          <w:szCs w:val="24"/>
          <w:lang w:val="nl-NL"/>
        </w:rPr>
        <w:t>Hydrochloride</w:t>
      </w:r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skal titreres omhyggeligt under nøje monitorering til den laveste mulige dosis, der resulterer i en puls på 50–60 slag pr. minut.</w:t>
      </w:r>
    </w:p>
    <w:p w14:paraId="0C95CA01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Den anbefalede startdosis er 0,01 mikrogram/kg/minut. </w:t>
      </w:r>
    </w:p>
    <w:p w14:paraId="69734CEC" w14:textId="6B2E5D7F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Dosis kan øges trinvis med 0,01 mikrogram/kg/minut indtil en maksimal dosis på 0,15</w:t>
      </w:r>
      <w:r w:rsidR="00D92679">
        <w:rPr>
          <w:sz w:val="24"/>
          <w:szCs w:val="24"/>
        </w:rPr>
        <w:t> </w:t>
      </w:r>
      <w:r w:rsidRPr="00D15FC0">
        <w:rPr>
          <w:sz w:val="24"/>
          <w:szCs w:val="24"/>
        </w:rPr>
        <w:t>mikrogram/kg/minut.</w:t>
      </w:r>
    </w:p>
    <w:p w14:paraId="075ADB4B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bookmarkEnd w:id="0"/>
    <w:p w14:paraId="439B92C1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Infusionshastigheden skal justeres på basis af patientens puls </w:t>
      </w:r>
    </w:p>
    <w:p w14:paraId="4259CD08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Den maksimale daglige dosis bør ikke overstige 10 mg/dag.</w:t>
      </w:r>
    </w:p>
    <w:p w14:paraId="0A1B7A5C" w14:textId="77777777" w:rsidR="0050644D" w:rsidRPr="004F01B0" w:rsidRDefault="0050644D" w:rsidP="00D15FC0">
      <w:pPr>
        <w:ind w:left="851"/>
        <w:rPr>
          <w:bCs/>
          <w:iCs/>
          <w:sz w:val="24"/>
          <w:szCs w:val="24"/>
        </w:rPr>
      </w:pPr>
    </w:p>
    <w:p w14:paraId="5B31D5B7" w14:textId="77777777" w:rsidR="0050644D" w:rsidRPr="00D15FC0" w:rsidRDefault="0050644D" w:rsidP="00D15FC0">
      <w:pPr>
        <w:ind w:left="851"/>
        <w:rPr>
          <w:b/>
          <w:bCs/>
          <w:i/>
          <w:iCs/>
          <w:sz w:val="24"/>
          <w:szCs w:val="24"/>
        </w:rPr>
      </w:pPr>
      <w:r w:rsidRPr="00D15FC0">
        <w:rPr>
          <w:b/>
          <w:bCs/>
          <w:i/>
          <w:iCs/>
          <w:sz w:val="24"/>
          <w:szCs w:val="24"/>
        </w:rPr>
        <w:t>Samtidig brug med adrenalin:</w:t>
      </w:r>
    </w:p>
    <w:p w14:paraId="21E0B376" w14:textId="01BE9ED0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Hydrochloride</w:t>
      </w:r>
      <w:proofErr w:type="spellEnd"/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må under ingen omstændigheder injiceres samtidig med adrenalin. Hvis det imidlertid er nødvendigt at administrere de to lægemidler, kan de gives skiftevis hver fjerde time (se pkt. 4.3 og 4.5).</w:t>
      </w:r>
    </w:p>
    <w:p w14:paraId="44517183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37C788C" w14:textId="77777777" w:rsidR="0050644D" w:rsidRPr="00D15FC0" w:rsidRDefault="0050644D" w:rsidP="00D15FC0">
      <w:pPr>
        <w:ind w:left="851"/>
        <w:rPr>
          <w:sz w:val="24"/>
          <w:szCs w:val="24"/>
          <w:u w:val="single"/>
        </w:rPr>
      </w:pPr>
      <w:r w:rsidRPr="00D15FC0">
        <w:rPr>
          <w:sz w:val="24"/>
          <w:szCs w:val="24"/>
          <w:u w:val="single"/>
        </w:rPr>
        <w:t>Administration</w:t>
      </w:r>
    </w:p>
    <w:p w14:paraId="5929510C" w14:textId="77777777" w:rsidR="0050644D" w:rsidRPr="00D15FC0" w:rsidRDefault="0050644D" w:rsidP="00D15FC0">
      <w:pPr>
        <w:ind w:left="851"/>
        <w:rPr>
          <w:sz w:val="24"/>
          <w:szCs w:val="24"/>
          <w:u w:val="single"/>
        </w:rPr>
      </w:pPr>
    </w:p>
    <w:p w14:paraId="2117306C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Intravenøs anvendelse.</w:t>
      </w:r>
    </w:p>
    <w:p w14:paraId="11A96AC4" w14:textId="7296D0CA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Fortynd 10 ml koncentrat til infusionsvæske, opløsning (= 2,0 mg) i 500 ml 9 mg/ml (0,9 %) </w:t>
      </w:r>
      <w:proofErr w:type="spellStart"/>
      <w:r w:rsidRPr="00D15FC0">
        <w:rPr>
          <w:sz w:val="24"/>
          <w:szCs w:val="24"/>
        </w:rPr>
        <w:t>natriumchloridinjektionsvæske</w:t>
      </w:r>
      <w:proofErr w:type="spellEnd"/>
      <w:r w:rsidRPr="00D15FC0">
        <w:rPr>
          <w:sz w:val="24"/>
          <w:szCs w:val="24"/>
        </w:rPr>
        <w:t xml:space="preserve">, opløsning eller </w:t>
      </w:r>
      <w:proofErr w:type="spellStart"/>
      <w:r w:rsidRPr="00D15FC0">
        <w:rPr>
          <w:sz w:val="24"/>
          <w:szCs w:val="24"/>
        </w:rPr>
        <w:t>glucoseinjektionsvæske</w:t>
      </w:r>
      <w:proofErr w:type="spellEnd"/>
      <w:r w:rsidRPr="00D15FC0">
        <w:rPr>
          <w:sz w:val="24"/>
          <w:szCs w:val="24"/>
        </w:rPr>
        <w:t xml:space="preserve">, opløsning 50 mg/ml (5 %) (se pkt. 6.6). Dette giver en koncentration på 4 mikrogram/ml </w:t>
      </w:r>
      <w:proofErr w:type="spellStart"/>
      <w:r w:rsidRPr="00D15FC0">
        <w:rPr>
          <w:sz w:val="24"/>
          <w:szCs w:val="24"/>
        </w:rPr>
        <w:t>isoprenalinhydrochlorid</w:t>
      </w:r>
      <w:proofErr w:type="spellEnd"/>
      <w:r w:rsidRPr="00D15FC0">
        <w:rPr>
          <w:sz w:val="24"/>
          <w:szCs w:val="24"/>
        </w:rPr>
        <w:t xml:space="preserve"> infusionsvæske, opløsning.</w:t>
      </w:r>
    </w:p>
    <w:p w14:paraId="3BEFC473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504C29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4.3</w:t>
      </w:r>
      <w:r w:rsidRPr="00D15FC0">
        <w:rPr>
          <w:b/>
          <w:sz w:val="24"/>
          <w:szCs w:val="24"/>
        </w:rPr>
        <w:tab/>
        <w:t>Kontraindikationer</w:t>
      </w:r>
    </w:p>
    <w:p w14:paraId="0B892A39" w14:textId="7A510C52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r w:rsidRPr="00D15FC0">
        <w:rPr>
          <w:sz w:val="24"/>
          <w:szCs w:val="24"/>
          <w:lang w:val="nl-NL"/>
        </w:rPr>
        <w:t>Hydrochloride</w:t>
      </w:r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er kontraindiceret i tilfælde af: </w:t>
      </w:r>
    </w:p>
    <w:p w14:paraId="28258E7F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bCs/>
          <w:sz w:val="24"/>
          <w:szCs w:val="24"/>
        </w:rPr>
        <w:t>Overfølsomhed</w:t>
      </w:r>
      <w:r w:rsidRPr="004F01B0">
        <w:rPr>
          <w:sz w:val="24"/>
          <w:szCs w:val="24"/>
        </w:rPr>
        <w:t xml:space="preserve"> over for det aktive stof eller over for et eller flere af hjælpestofferne anført i pkt. 6.1 </w:t>
      </w:r>
    </w:p>
    <w:p w14:paraId="43D8640B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Anvendes samtidig med adrenalin (se pkt. 4.2 og 4.5)</w:t>
      </w:r>
    </w:p>
    <w:p w14:paraId="5F82E5E4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Eksisterende </w:t>
      </w:r>
      <w:proofErr w:type="spellStart"/>
      <w:r w:rsidRPr="004F01B0">
        <w:rPr>
          <w:sz w:val="24"/>
          <w:szCs w:val="24"/>
        </w:rPr>
        <w:t>ventrikulær</w:t>
      </w:r>
      <w:proofErr w:type="spellEnd"/>
      <w:r w:rsidRPr="004F01B0">
        <w:rPr>
          <w:sz w:val="24"/>
          <w:szCs w:val="24"/>
        </w:rPr>
        <w:t xml:space="preserve"> </w:t>
      </w:r>
      <w:proofErr w:type="spellStart"/>
      <w:r w:rsidRPr="004F01B0">
        <w:rPr>
          <w:sz w:val="24"/>
          <w:szCs w:val="24"/>
        </w:rPr>
        <w:t>arytmi</w:t>
      </w:r>
      <w:proofErr w:type="spellEnd"/>
    </w:p>
    <w:p w14:paraId="3BBA4B3F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proofErr w:type="spellStart"/>
      <w:r w:rsidRPr="004F01B0">
        <w:rPr>
          <w:sz w:val="24"/>
          <w:szCs w:val="24"/>
        </w:rPr>
        <w:t>Takyarytmi</w:t>
      </w:r>
      <w:proofErr w:type="spellEnd"/>
    </w:p>
    <w:p w14:paraId="74E58D8B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Hjerteglykosid-</w:t>
      </w:r>
      <w:proofErr w:type="spellStart"/>
      <w:r w:rsidRPr="004F01B0">
        <w:rPr>
          <w:sz w:val="24"/>
          <w:szCs w:val="24"/>
        </w:rPr>
        <w:t>intoksikation</w:t>
      </w:r>
      <w:proofErr w:type="spellEnd"/>
    </w:p>
    <w:p w14:paraId="25740FA6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Myokardieinfarkt</w:t>
      </w:r>
    </w:p>
    <w:p w14:paraId="70891A69" w14:textId="77777777" w:rsidR="0050644D" w:rsidRPr="004F01B0" w:rsidRDefault="0050644D" w:rsidP="004F01B0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Angina pectoris</w:t>
      </w:r>
    </w:p>
    <w:p w14:paraId="3B741036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9EC29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4.4</w:t>
      </w:r>
      <w:r w:rsidRPr="00D15FC0">
        <w:rPr>
          <w:b/>
          <w:sz w:val="24"/>
          <w:szCs w:val="24"/>
        </w:rPr>
        <w:tab/>
        <w:t>Særlige advarsler og forsigtighedsregler vedrørende brugen</w:t>
      </w:r>
    </w:p>
    <w:p w14:paraId="57A8DF9A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Brug af </w:t>
      </w:r>
      <w:proofErr w:type="spellStart"/>
      <w:r w:rsidRPr="004F01B0">
        <w:rPr>
          <w:sz w:val="24"/>
          <w:szCs w:val="24"/>
        </w:rPr>
        <w:t>isoprenalinhydrochlorid</w:t>
      </w:r>
      <w:proofErr w:type="spellEnd"/>
      <w:r w:rsidRPr="004F01B0">
        <w:rPr>
          <w:sz w:val="24"/>
          <w:szCs w:val="24"/>
        </w:rPr>
        <w:t xml:space="preserve"> kræver EKG-monitorering og dosisreduktion i tilfælde af </w:t>
      </w:r>
      <w:proofErr w:type="spellStart"/>
      <w:r w:rsidRPr="004F01B0">
        <w:rPr>
          <w:sz w:val="24"/>
          <w:szCs w:val="24"/>
        </w:rPr>
        <w:t>ventrikulær</w:t>
      </w:r>
      <w:proofErr w:type="spellEnd"/>
      <w:r w:rsidRPr="004F01B0">
        <w:rPr>
          <w:sz w:val="24"/>
          <w:szCs w:val="24"/>
        </w:rPr>
        <w:t xml:space="preserve"> </w:t>
      </w:r>
      <w:proofErr w:type="spellStart"/>
      <w:r w:rsidRPr="004F01B0">
        <w:rPr>
          <w:sz w:val="24"/>
          <w:szCs w:val="24"/>
        </w:rPr>
        <w:t>myokardial</w:t>
      </w:r>
      <w:proofErr w:type="spellEnd"/>
      <w:r w:rsidRPr="004F01B0">
        <w:rPr>
          <w:sz w:val="24"/>
          <w:szCs w:val="24"/>
        </w:rPr>
        <w:t xml:space="preserve"> </w:t>
      </w:r>
      <w:proofErr w:type="spellStart"/>
      <w:r w:rsidRPr="004F01B0">
        <w:rPr>
          <w:sz w:val="24"/>
          <w:szCs w:val="24"/>
        </w:rPr>
        <w:t>hyperexcitabilitet</w:t>
      </w:r>
      <w:proofErr w:type="spellEnd"/>
      <w:r w:rsidRPr="004F01B0">
        <w:rPr>
          <w:sz w:val="24"/>
          <w:szCs w:val="24"/>
        </w:rPr>
        <w:t xml:space="preserve"> (polymorfe </w:t>
      </w:r>
      <w:proofErr w:type="spellStart"/>
      <w:r w:rsidRPr="004F01B0">
        <w:rPr>
          <w:sz w:val="24"/>
          <w:szCs w:val="24"/>
        </w:rPr>
        <w:t>ekstrasystoler</w:t>
      </w:r>
      <w:proofErr w:type="spellEnd"/>
      <w:r w:rsidRPr="004F01B0">
        <w:rPr>
          <w:sz w:val="24"/>
          <w:szCs w:val="24"/>
        </w:rPr>
        <w:t xml:space="preserve">, tilbagevendende hurtig </w:t>
      </w:r>
      <w:proofErr w:type="spellStart"/>
      <w:r w:rsidRPr="004F01B0">
        <w:rPr>
          <w:sz w:val="24"/>
          <w:szCs w:val="24"/>
        </w:rPr>
        <w:t>pacing</w:t>
      </w:r>
      <w:proofErr w:type="spellEnd"/>
      <w:r w:rsidRPr="004F01B0">
        <w:rPr>
          <w:sz w:val="24"/>
          <w:szCs w:val="24"/>
        </w:rPr>
        <w:t xml:space="preserve"> eller </w:t>
      </w:r>
      <w:proofErr w:type="spellStart"/>
      <w:r w:rsidRPr="004F01B0">
        <w:rPr>
          <w:sz w:val="24"/>
          <w:szCs w:val="24"/>
        </w:rPr>
        <w:t>ventrikulær</w:t>
      </w:r>
      <w:proofErr w:type="spellEnd"/>
      <w:r w:rsidRPr="004F01B0">
        <w:rPr>
          <w:sz w:val="24"/>
          <w:szCs w:val="24"/>
        </w:rPr>
        <w:t xml:space="preserve"> </w:t>
      </w:r>
      <w:proofErr w:type="spellStart"/>
      <w:r w:rsidRPr="004F01B0">
        <w:rPr>
          <w:sz w:val="24"/>
          <w:szCs w:val="24"/>
        </w:rPr>
        <w:t>takykardi</w:t>
      </w:r>
      <w:proofErr w:type="spellEnd"/>
      <w:r w:rsidRPr="004F01B0">
        <w:rPr>
          <w:sz w:val="24"/>
          <w:szCs w:val="24"/>
        </w:rPr>
        <w:t xml:space="preserve">). </w:t>
      </w:r>
    </w:p>
    <w:p w14:paraId="0496FD27" w14:textId="3756D8ED" w:rsidR="0050644D" w:rsidRPr="004F01B0" w:rsidRDefault="00F03176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50644D" w:rsidRPr="004F01B0">
        <w:rPr>
          <w:sz w:val="24"/>
          <w:szCs w:val="24"/>
        </w:rPr>
        <w:t>soprenalinhydrochlorid</w:t>
      </w:r>
      <w:proofErr w:type="spellEnd"/>
      <w:r w:rsidR="0050644D" w:rsidRPr="004F01B0">
        <w:rPr>
          <w:sz w:val="24"/>
          <w:szCs w:val="24"/>
        </w:rPr>
        <w:t xml:space="preserve"> skal anvendes med forsigtighed til </w:t>
      </w:r>
      <w:proofErr w:type="spellStart"/>
      <w:r w:rsidR="0050644D" w:rsidRPr="004F01B0">
        <w:rPr>
          <w:sz w:val="24"/>
          <w:szCs w:val="24"/>
        </w:rPr>
        <w:t>hypovolæmiske</w:t>
      </w:r>
      <w:proofErr w:type="spellEnd"/>
      <w:r w:rsidR="0050644D" w:rsidRPr="004F01B0">
        <w:rPr>
          <w:sz w:val="24"/>
          <w:szCs w:val="24"/>
        </w:rPr>
        <w:t xml:space="preserve"> patienter. </w:t>
      </w:r>
    </w:p>
    <w:p w14:paraId="2F7A6B5B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lastRenderedPageBreak/>
        <w:t>Udvis forsigtighed, når det anvendes til diabetespatienter.</w:t>
      </w:r>
    </w:p>
    <w:p w14:paraId="06753FA7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Udvis forsigtighed, når det anvendes til patienter under påvirkning af digitalis.</w:t>
      </w:r>
    </w:p>
    <w:p w14:paraId="5B17A8FB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Det anbefales at udvise forsigtighed i tilfælde af </w:t>
      </w:r>
      <w:proofErr w:type="spellStart"/>
      <w:r w:rsidRPr="004F01B0">
        <w:rPr>
          <w:sz w:val="24"/>
          <w:szCs w:val="24"/>
        </w:rPr>
        <w:t>hyperthyroidisme</w:t>
      </w:r>
      <w:proofErr w:type="spellEnd"/>
      <w:r w:rsidRPr="004F01B0">
        <w:rPr>
          <w:sz w:val="24"/>
          <w:szCs w:val="24"/>
        </w:rPr>
        <w:t xml:space="preserve">. Indgift af dette lægemiddel skal undgås i tilfælde af ukontrolleret </w:t>
      </w:r>
      <w:proofErr w:type="spellStart"/>
      <w:r w:rsidRPr="004F01B0">
        <w:rPr>
          <w:sz w:val="24"/>
          <w:szCs w:val="24"/>
        </w:rPr>
        <w:t>hyperthyroidisme</w:t>
      </w:r>
      <w:proofErr w:type="spellEnd"/>
      <w:r w:rsidRPr="004F01B0">
        <w:rPr>
          <w:sz w:val="24"/>
          <w:szCs w:val="24"/>
        </w:rPr>
        <w:t xml:space="preserve">. </w:t>
      </w:r>
    </w:p>
    <w:p w14:paraId="35BA91AE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Udvis forsigtighed i tilfælde af kardiovaskulære sygdomme, navnlig koronarinsufficiens, </w:t>
      </w:r>
      <w:proofErr w:type="spellStart"/>
      <w:r w:rsidRPr="004F01B0">
        <w:rPr>
          <w:sz w:val="24"/>
          <w:szCs w:val="24"/>
        </w:rPr>
        <w:t>arytmi</w:t>
      </w:r>
      <w:proofErr w:type="spellEnd"/>
      <w:r w:rsidRPr="004F01B0">
        <w:rPr>
          <w:sz w:val="24"/>
          <w:szCs w:val="24"/>
        </w:rPr>
        <w:t xml:space="preserve"> og hypertension.</w:t>
      </w:r>
    </w:p>
    <w:p w14:paraId="51739AA6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Udvis forsigtighed i tilfælde af kramper.</w:t>
      </w:r>
    </w:p>
    <w:p w14:paraId="5B00B55C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>Udvis forsigtighed, når doser er tilstrækkelige til at nå en puls på over 130 slag pr. minut.</w:t>
      </w:r>
    </w:p>
    <w:p w14:paraId="453A6935" w14:textId="77777777" w:rsidR="0050644D" w:rsidRPr="004F01B0" w:rsidRDefault="0050644D" w:rsidP="004F01B0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4F01B0">
        <w:rPr>
          <w:sz w:val="24"/>
          <w:szCs w:val="24"/>
        </w:rPr>
        <w:t xml:space="preserve">Udvis forsigtighed, når det anvendes til patienter, der reagerer på en usædvanlig måde over for </w:t>
      </w:r>
      <w:proofErr w:type="spellStart"/>
      <w:r w:rsidRPr="004F01B0">
        <w:rPr>
          <w:sz w:val="24"/>
          <w:szCs w:val="24"/>
        </w:rPr>
        <w:t>sympatomimetiske</w:t>
      </w:r>
      <w:proofErr w:type="spellEnd"/>
      <w:r w:rsidRPr="004F01B0">
        <w:rPr>
          <w:sz w:val="24"/>
          <w:szCs w:val="24"/>
        </w:rPr>
        <w:t xml:space="preserve"> </w:t>
      </w:r>
      <w:proofErr w:type="spellStart"/>
      <w:r w:rsidRPr="004F01B0">
        <w:rPr>
          <w:sz w:val="24"/>
          <w:szCs w:val="24"/>
        </w:rPr>
        <w:t>aminer</w:t>
      </w:r>
      <w:proofErr w:type="spellEnd"/>
      <w:r w:rsidRPr="004F01B0">
        <w:rPr>
          <w:sz w:val="24"/>
          <w:szCs w:val="24"/>
        </w:rPr>
        <w:t>.</w:t>
      </w:r>
    </w:p>
    <w:p w14:paraId="6CE2E779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57D70943" w14:textId="772B9FE8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r w:rsidRPr="00D15FC0">
        <w:rPr>
          <w:sz w:val="24"/>
          <w:szCs w:val="24"/>
          <w:lang w:val="nl-NL"/>
        </w:rPr>
        <w:t>Hydrochloride</w:t>
      </w:r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indeholder 3 mg natrium pr.</w:t>
      </w:r>
      <w:r w:rsidR="00D92679">
        <w:rPr>
          <w:sz w:val="24"/>
          <w:szCs w:val="24"/>
        </w:rPr>
        <w:t xml:space="preserve"> </w:t>
      </w:r>
      <w:r w:rsidRPr="00D15FC0">
        <w:rPr>
          <w:sz w:val="24"/>
          <w:szCs w:val="24"/>
        </w:rPr>
        <w:t>1 ml hætteglas. Dette svarende til 0,15 % af den</w:t>
      </w:r>
      <w:r w:rsidR="00D92679">
        <w:rPr>
          <w:sz w:val="24"/>
          <w:szCs w:val="24"/>
        </w:rPr>
        <w:t xml:space="preserve"> </w:t>
      </w:r>
      <w:r w:rsidRPr="00D15FC0">
        <w:rPr>
          <w:sz w:val="24"/>
          <w:szCs w:val="24"/>
        </w:rPr>
        <w:t>WHO’s anbefalede maximale daglige indtagelse af 2 g natrium for en voksen.</w:t>
      </w:r>
    </w:p>
    <w:p w14:paraId="6F8B365D" w14:textId="6CC3B5A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r w:rsidRPr="00D15FC0">
        <w:rPr>
          <w:sz w:val="24"/>
          <w:szCs w:val="24"/>
          <w:lang w:val="nl-NL"/>
        </w:rPr>
        <w:t>Hydrochloride</w:t>
      </w:r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indeholder 16 mg natrium pr. 5 ml hætteglas. Dette svarende til 0,8 % af den WHO’s anbefalede maximale daglige indtagelse af 2 g natrium for en voksen.</w:t>
      </w:r>
    </w:p>
    <w:p w14:paraId="7AB9072B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754FDCD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4.5</w:t>
      </w:r>
      <w:r w:rsidRPr="00D15FC0">
        <w:rPr>
          <w:b/>
          <w:sz w:val="24"/>
          <w:szCs w:val="24"/>
        </w:rPr>
        <w:tab/>
        <w:t>Interaktion med andre lægemidler og andre former for interaktion</w:t>
      </w:r>
    </w:p>
    <w:p w14:paraId="02D92879" w14:textId="2FAF59B5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og adrenalin må ikke indgives samtidigt, da begge lægemidler er direkte </w:t>
      </w:r>
      <w:proofErr w:type="spellStart"/>
      <w:r w:rsidRPr="00D15FC0">
        <w:rPr>
          <w:sz w:val="24"/>
          <w:szCs w:val="24"/>
        </w:rPr>
        <w:t>hjertestimulanter</w:t>
      </w:r>
      <w:proofErr w:type="spellEnd"/>
      <w:r w:rsidRPr="00D15FC0">
        <w:rPr>
          <w:sz w:val="24"/>
          <w:szCs w:val="24"/>
        </w:rPr>
        <w:t xml:space="preserve">, og deres kombinerede virkninger kan inducere alvorlige </w:t>
      </w:r>
      <w:proofErr w:type="spellStart"/>
      <w:r w:rsidRPr="00D15FC0">
        <w:rPr>
          <w:sz w:val="24"/>
          <w:szCs w:val="24"/>
        </w:rPr>
        <w:t>arytmier</w:t>
      </w:r>
      <w:proofErr w:type="spellEnd"/>
      <w:r w:rsidRPr="00D15FC0">
        <w:rPr>
          <w:sz w:val="24"/>
          <w:szCs w:val="24"/>
        </w:rPr>
        <w:t xml:space="preserve">, men det kan bruges samtidigt med dopamin eller </w:t>
      </w:r>
      <w:proofErr w:type="spellStart"/>
      <w:r w:rsidRPr="00D15FC0">
        <w:rPr>
          <w:sz w:val="24"/>
          <w:szCs w:val="24"/>
        </w:rPr>
        <w:t>phenylephrin</w:t>
      </w:r>
      <w:proofErr w:type="spellEnd"/>
      <w:r w:rsidRPr="00D15FC0">
        <w:rPr>
          <w:sz w:val="24"/>
          <w:szCs w:val="24"/>
        </w:rPr>
        <w:t xml:space="preserve">. Hvis det er nødvendigt at indgive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og adrenalin samtidigt, kan de gives skiftevis hver fjerde time (se pkt</w:t>
      </w:r>
      <w:r w:rsidR="004F01B0">
        <w:rPr>
          <w:sz w:val="24"/>
          <w:szCs w:val="24"/>
        </w:rPr>
        <w:t>. </w:t>
      </w:r>
      <w:r w:rsidRPr="00D15FC0">
        <w:rPr>
          <w:sz w:val="24"/>
          <w:szCs w:val="24"/>
        </w:rPr>
        <w:t>4.2 og 4.3).</w:t>
      </w:r>
    </w:p>
    <w:p w14:paraId="5FF25903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6F4DA4A0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er kontraindiceret i tilfælde af </w:t>
      </w:r>
      <w:proofErr w:type="spellStart"/>
      <w:r w:rsidRPr="00D15FC0">
        <w:rPr>
          <w:sz w:val="24"/>
          <w:szCs w:val="24"/>
        </w:rPr>
        <w:t>intoksikation</w:t>
      </w:r>
      <w:proofErr w:type="spellEnd"/>
      <w:r w:rsidRPr="00D15FC0">
        <w:rPr>
          <w:sz w:val="24"/>
          <w:szCs w:val="24"/>
        </w:rPr>
        <w:t xml:space="preserve"> forårsaget af digitalis.</w:t>
      </w:r>
    </w:p>
    <w:p w14:paraId="10B18B7C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640C32E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må ikke bruges under anæstesi med kloroform, </w:t>
      </w:r>
      <w:proofErr w:type="spellStart"/>
      <w:r w:rsidRPr="00D15FC0">
        <w:rPr>
          <w:sz w:val="24"/>
          <w:szCs w:val="24"/>
        </w:rPr>
        <w:t>cyclopropan</w:t>
      </w:r>
      <w:proofErr w:type="spellEnd"/>
      <w:r w:rsidRPr="00D15FC0">
        <w:rPr>
          <w:sz w:val="24"/>
          <w:szCs w:val="24"/>
        </w:rPr>
        <w:t xml:space="preserve">, </w:t>
      </w:r>
      <w:proofErr w:type="spellStart"/>
      <w:r w:rsidRPr="00D15FC0">
        <w:rPr>
          <w:sz w:val="24"/>
          <w:szCs w:val="24"/>
        </w:rPr>
        <w:t>halothan</w:t>
      </w:r>
      <w:proofErr w:type="spellEnd"/>
      <w:r w:rsidRPr="00D15FC0">
        <w:rPr>
          <w:sz w:val="24"/>
          <w:szCs w:val="24"/>
        </w:rPr>
        <w:t xml:space="preserve"> eller andre </w:t>
      </w:r>
      <w:proofErr w:type="spellStart"/>
      <w:r w:rsidRPr="00D15FC0">
        <w:rPr>
          <w:sz w:val="24"/>
          <w:szCs w:val="24"/>
        </w:rPr>
        <w:t>halogenerende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anæstetika</w:t>
      </w:r>
      <w:proofErr w:type="spellEnd"/>
      <w:r w:rsidRPr="00D15FC0">
        <w:rPr>
          <w:sz w:val="24"/>
          <w:szCs w:val="24"/>
        </w:rPr>
        <w:t xml:space="preserve">, da de kan forårsage eller forværre </w:t>
      </w:r>
      <w:proofErr w:type="spellStart"/>
      <w:r w:rsidRPr="00D15FC0">
        <w:rPr>
          <w:sz w:val="24"/>
          <w:szCs w:val="24"/>
        </w:rPr>
        <w:t>ventrikulær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arytmi</w:t>
      </w:r>
      <w:proofErr w:type="spellEnd"/>
      <w:r w:rsidRPr="00D15FC0">
        <w:rPr>
          <w:sz w:val="24"/>
          <w:szCs w:val="24"/>
        </w:rPr>
        <w:t>.</w:t>
      </w:r>
    </w:p>
    <w:p w14:paraId="7D8C78D9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1105256E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må ikke indgives samtidig med MAO-</w:t>
      </w:r>
      <w:proofErr w:type="spellStart"/>
      <w:r w:rsidRPr="00D15FC0">
        <w:rPr>
          <w:sz w:val="24"/>
          <w:szCs w:val="24"/>
        </w:rPr>
        <w:t>hæmmere</w:t>
      </w:r>
      <w:proofErr w:type="spellEnd"/>
      <w:r w:rsidRPr="00D15FC0">
        <w:rPr>
          <w:sz w:val="24"/>
          <w:szCs w:val="24"/>
        </w:rPr>
        <w:t>.</w:t>
      </w:r>
    </w:p>
    <w:p w14:paraId="0D79A589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ED03192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Isoprenalintoksiciteten</w:t>
      </w:r>
      <w:proofErr w:type="spellEnd"/>
      <w:r w:rsidRPr="00D15FC0">
        <w:rPr>
          <w:sz w:val="24"/>
          <w:szCs w:val="24"/>
        </w:rPr>
        <w:t xml:space="preserve"> forøges ved indgift samtidig med andre midler med stimulerende effekt på hjertet eller midler, der stimulerer centralnervesystemet (f.eks. </w:t>
      </w:r>
      <w:proofErr w:type="spellStart"/>
      <w:r w:rsidRPr="00D15FC0">
        <w:rPr>
          <w:sz w:val="24"/>
          <w:szCs w:val="24"/>
        </w:rPr>
        <w:t>sympatometika</w:t>
      </w:r>
      <w:proofErr w:type="spellEnd"/>
      <w:r w:rsidRPr="00D15FC0">
        <w:rPr>
          <w:sz w:val="24"/>
          <w:szCs w:val="24"/>
        </w:rPr>
        <w:t xml:space="preserve">, </w:t>
      </w:r>
      <w:proofErr w:type="spellStart"/>
      <w:r w:rsidRPr="00D15FC0">
        <w:rPr>
          <w:sz w:val="24"/>
          <w:szCs w:val="24"/>
        </w:rPr>
        <w:t>theophyllin</w:t>
      </w:r>
      <w:proofErr w:type="spellEnd"/>
      <w:r w:rsidRPr="00D15FC0">
        <w:rPr>
          <w:sz w:val="24"/>
          <w:szCs w:val="24"/>
        </w:rPr>
        <w:t xml:space="preserve"> eller </w:t>
      </w:r>
      <w:proofErr w:type="spellStart"/>
      <w:r w:rsidRPr="00D15FC0">
        <w:rPr>
          <w:sz w:val="24"/>
          <w:szCs w:val="24"/>
        </w:rPr>
        <w:t>thyroideahormonprodukter</w:t>
      </w:r>
      <w:proofErr w:type="spellEnd"/>
      <w:r w:rsidRPr="00D15FC0">
        <w:rPr>
          <w:sz w:val="24"/>
          <w:szCs w:val="24"/>
        </w:rPr>
        <w:t>).</w:t>
      </w:r>
    </w:p>
    <w:p w14:paraId="640A5560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7B7A2B93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kan forværre de kardiovaskulære bivirkninger ved tricykliske </w:t>
      </w:r>
      <w:proofErr w:type="spellStart"/>
      <w:r w:rsidRPr="00D15FC0">
        <w:rPr>
          <w:sz w:val="24"/>
          <w:szCs w:val="24"/>
        </w:rPr>
        <w:t>antidepressiva</w:t>
      </w:r>
      <w:proofErr w:type="spellEnd"/>
      <w:r w:rsidRPr="00D15FC0">
        <w:rPr>
          <w:sz w:val="24"/>
          <w:szCs w:val="24"/>
        </w:rPr>
        <w:t xml:space="preserve">, f.eks. </w:t>
      </w:r>
      <w:proofErr w:type="spellStart"/>
      <w:r w:rsidRPr="00D15FC0">
        <w:rPr>
          <w:sz w:val="24"/>
          <w:szCs w:val="24"/>
        </w:rPr>
        <w:t>imipramin</w:t>
      </w:r>
      <w:proofErr w:type="spellEnd"/>
      <w:r w:rsidRPr="00D15FC0">
        <w:rPr>
          <w:sz w:val="24"/>
          <w:szCs w:val="24"/>
        </w:rPr>
        <w:t>.</w:t>
      </w:r>
    </w:p>
    <w:p w14:paraId="18E68F3B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60118267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Samtidig indgift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og midler kombineret med sulfater, f.eks. salicylamid, kan forstærke </w:t>
      </w:r>
      <w:proofErr w:type="spellStart"/>
      <w:r w:rsidRPr="00D15FC0">
        <w:rPr>
          <w:sz w:val="24"/>
          <w:szCs w:val="24"/>
        </w:rPr>
        <w:t>isoprenalins</w:t>
      </w:r>
      <w:proofErr w:type="spellEnd"/>
      <w:r w:rsidRPr="00D15FC0">
        <w:rPr>
          <w:sz w:val="24"/>
          <w:szCs w:val="24"/>
        </w:rPr>
        <w:t xml:space="preserve"> farmakologiske effekt.</w:t>
      </w:r>
    </w:p>
    <w:p w14:paraId="1AC49D8F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3DD3F42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Indgift af </w:t>
      </w:r>
      <w:proofErr w:type="spellStart"/>
      <w:r w:rsidRPr="00D15FC0">
        <w:rPr>
          <w:sz w:val="24"/>
          <w:szCs w:val="24"/>
        </w:rPr>
        <w:t>entacapon</w:t>
      </w:r>
      <w:proofErr w:type="spellEnd"/>
      <w:r w:rsidRPr="00D15FC0">
        <w:rPr>
          <w:sz w:val="24"/>
          <w:szCs w:val="24"/>
        </w:rPr>
        <w:t xml:space="preserve"> kan øge effekten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>.</w:t>
      </w:r>
    </w:p>
    <w:p w14:paraId="59D08551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2F975310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Doxapram og MAO-</w:t>
      </w:r>
      <w:proofErr w:type="spellStart"/>
      <w:r w:rsidRPr="00D15FC0">
        <w:rPr>
          <w:sz w:val="24"/>
          <w:szCs w:val="24"/>
        </w:rPr>
        <w:t>hæmmere</w:t>
      </w:r>
      <w:proofErr w:type="spellEnd"/>
      <w:r w:rsidRPr="00D15FC0">
        <w:rPr>
          <w:sz w:val="24"/>
          <w:szCs w:val="24"/>
        </w:rPr>
        <w:t xml:space="preserve"> kan foranledige risiko for svær hypertension.</w:t>
      </w:r>
      <w:r w:rsidRPr="00D15FC0">
        <w:rPr>
          <w:b/>
          <w:bCs/>
          <w:sz w:val="24"/>
          <w:szCs w:val="24"/>
        </w:rPr>
        <w:t xml:space="preserve"> </w:t>
      </w:r>
    </w:p>
    <w:p w14:paraId="5B5A5019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2BFAD45" w14:textId="0652940C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Hydrochloride</w:t>
      </w:r>
      <w:proofErr w:type="spellEnd"/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kan forøge risikoen for </w:t>
      </w:r>
      <w:proofErr w:type="spellStart"/>
      <w:r w:rsidRPr="00D15FC0">
        <w:rPr>
          <w:sz w:val="24"/>
          <w:szCs w:val="24"/>
        </w:rPr>
        <w:t>ergotisme</w:t>
      </w:r>
      <w:proofErr w:type="spellEnd"/>
      <w:r w:rsidRPr="00D15FC0">
        <w:rPr>
          <w:sz w:val="24"/>
          <w:szCs w:val="24"/>
        </w:rPr>
        <w:t xml:space="preserve">, hvis det gives sammen med </w:t>
      </w:r>
      <w:proofErr w:type="spellStart"/>
      <w:r w:rsidRPr="00D15FC0">
        <w:rPr>
          <w:sz w:val="24"/>
          <w:szCs w:val="24"/>
        </w:rPr>
        <w:t>ergotamin</w:t>
      </w:r>
      <w:proofErr w:type="spellEnd"/>
      <w:r w:rsidRPr="00D15FC0">
        <w:rPr>
          <w:sz w:val="24"/>
          <w:szCs w:val="24"/>
        </w:rPr>
        <w:t>.</w:t>
      </w:r>
    </w:p>
    <w:p w14:paraId="7E66EFE7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4E0E67D4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Der kan forekomme hypertension som følge af den høje </w:t>
      </w:r>
      <w:proofErr w:type="spellStart"/>
      <w:r w:rsidRPr="00D15FC0">
        <w:rPr>
          <w:sz w:val="24"/>
          <w:szCs w:val="24"/>
        </w:rPr>
        <w:t>vasopressoreffekt</w:t>
      </w:r>
      <w:proofErr w:type="spellEnd"/>
      <w:r w:rsidRPr="00D15FC0">
        <w:rPr>
          <w:sz w:val="24"/>
          <w:szCs w:val="24"/>
        </w:rPr>
        <w:t xml:space="preserve"> af </w:t>
      </w:r>
      <w:proofErr w:type="spellStart"/>
      <w:r w:rsidRPr="00D15FC0">
        <w:rPr>
          <w:sz w:val="24"/>
          <w:szCs w:val="24"/>
        </w:rPr>
        <w:t>sympatomimetiske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vasokonstriktorer</w:t>
      </w:r>
      <w:proofErr w:type="spellEnd"/>
      <w:r w:rsidRPr="00D15FC0">
        <w:rPr>
          <w:sz w:val="24"/>
          <w:szCs w:val="24"/>
        </w:rPr>
        <w:t xml:space="preserve"> (f.eks. </w:t>
      </w:r>
      <w:proofErr w:type="spellStart"/>
      <w:r w:rsidRPr="00D15FC0">
        <w:rPr>
          <w:sz w:val="24"/>
          <w:szCs w:val="24"/>
        </w:rPr>
        <w:t>oxytocin</w:t>
      </w:r>
      <w:proofErr w:type="spellEnd"/>
      <w:r w:rsidRPr="00D15FC0">
        <w:rPr>
          <w:sz w:val="24"/>
          <w:szCs w:val="24"/>
        </w:rPr>
        <w:t>).</w:t>
      </w:r>
    </w:p>
    <w:p w14:paraId="5037361F" w14:textId="77777777" w:rsidR="009260DE" w:rsidRPr="00D15FC0" w:rsidRDefault="009260DE" w:rsidP="00D15FC0">
      <w:pPr>
        <w:ind w:left="851"/>
        <w:rPr>
          <w:sz w:val="24"/>
          <w:szCs w:val="24"/>
        </w:rPr>
      </w:pPr>
    </w:p>
    <w:p w14:paraId="7124165B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4.6</w:t>
      </w:r>
      <w:r w:rsidRPr="00D15FC0">
        <w:rPr>
          <w:b/>
          <w:sz w:val="24"/>
          <w:szCs w:val="24"/>
        </w:rPr>
        <w:tab/>
      </w:r>
      <w:r w:rsidR="0071241E" w:rsidRPr="00D15FC0">
        <w:rPr>
          <w:b/>
          <w:sz w:val="24"/>
          <w:szCs w:val="24"/>
        </w:rPr>
        <w:t>Fertilitet, g</w:t>
      </w:r>
      <w:r w:rsidRPr="00D15FC0">
        <w:rPr>
          <w:b/>
          <w:sz w:val="24"/>
          <w:szCs w:val="24"/>
        </w:rPr>
        <w:t>raviditet og amning</w:t>
      </w:r>
    </w:p>
    <w:p w14:paraId="32BEFD60" w14:textId="77777777" w:rsidR="004F01B0" w:rsidRDefault="004F01B0" w:rsidP="00D15FC0">
      <w:pPr>
        <w:ind w:left="851"/>
        <w:rPr>
          <w:sz w:val="24"/>
          <w:szCs w:val="24"/>
        </w:rPr>
      </w:pPr>
    </w:p>
    <w:p w14:paraId="12A594DD" w14:textId="75114633" w:rsidR="0050644D" w:rsidRPr="004F01B0" w:rsidRDefault="0050644D" w:rsidP="00D15FC0">
      <w:pPr>
        <w:ind w:left="851"/>
        <w:rPr>
          <w:sz w:val="24"/>
          <w:szCs w:val="24"/>
          <w:u w:val="single"/>
        </w:rPr>
      </w:pPr>
      <w:r w:rsidRPr="004F01B0">
        <w:rPr>
          <w:sz w:val="24"/>
          <w:szCs w:val="24"/>
          <w:u w:val="single"/>
        </w:rPr>
        <w:t xml:space="preserve">Graviditet </w:t>
      </w:r>
    </w:p>
    <w:p w14:paraId="754C9336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Over 30 års klinisk erfaring har ikke afsløret </w:t>
      </w:r>
      <w:proofErr w:type="spellStart"/>
      <w:r w:rsidRPr="00D15FC0">
        <w:rPr>
          <w:sz w:val="24"/>
          <w:szCs w:val="24"/>
        </w:rPr>
        <w:t>teratogene</w:t>
      </w:r>
      <w:proofErr w:type="spellEnd"/>
      <w:r w:rsidRPr="00D15FC0">
        <w:rPr>
          <w:sz w:val="24"/>
          <w:szCs w:val="24"/>
        </w:rPr>
        <w:t xml:space="preserve"> effekter som følge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>.</w:t>
      </w:r>
    </w:p>
    <w:p w14:paraId="15B86FE9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Dyreforsøg har påvist reproduktionstoksicitet (se pkt. 5.3).</w:t>
      </w:r>
    </w:p>
    <w:p w14:paraId="5FAA09B2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Under alle omstændigheder, som med enhver medicin givet til en gravid kvinde, skal de kliniske fordele vejes op imod de mulige risici for mor og barn.</w:t>
      </w:r>
    </w:p>
    <w:p w14:paraId="1942D984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49F6D5A" w14:textId="77777777" w:rsidR="0050644D" w:rsidRPr="004F01B0" w:rsidRDefault="0050644D" w:rsidP="00D15FC0">
      <w:pPr>
        <w:ind w:left="851"/>
        <w:rPr>
          <w:sz w:val="24"/>
          <w:szCs w:val="24"/>
          <w:u w:val="single"/>
        </w:rPr>
      </w:pPr>
      <w:r w:rsidRPr="004F01B0">
        <w:rPr>
          <w:sz w:val="24"/>
          <w:szCs w:val="24"/>
          <w:u w:val="single"/>
        </w:rPr>
        <w:t xml:space="preserve">Amning </w:t>
      </w:r>
    </w:p>
    <w:p w14:paraId="6332EBB6" w14:textId="6F70E56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Administration af </w:t>
      </w: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Hydrochloride</w:t>
      </w:r>
      <w:proofErr w:type="spellEnd"/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under amning anbefales ikke. </w:t>
      </w:r>
    </w:p>
    <w:p w14:paraId="3389930A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Der er ingen eller kun en begrænset mængde data fra brugen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til gravide kvinder.</w:t>
      </w:r>
    </w:p>
    <w:p w14:paraId="4BC2D680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CABC72B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4.7</w:t>
      </w:r>
      <w:r w:rsidRPr="00D15FC0">
        <w:rPr>
          <w:b/>
          <w:sz w:val="24"/>
          <w:szCs w:val="24"/>
        </w:rPr>
        <w:tab/>
        <w:t xml:space="preserve">Virkning på evnen til at føre motorkøretøj </w:t>
      </w:r>
      <w:r w:rsidR="0071241E" w:rsidRPr="00D15FC0">
        <w:rPr>
          <w:b/>
          <w:sz w:val="24"/>
          <w:szCs w:val="24"/>
        </w:rPr>
        <w:t>og</w:t>
      </w:r>
      <w:r w:rsidRPr="00D15FC0">
        <w:rPr>
          <w:b/>
          <w:sz w:val="24"/>
          <w:szCs w:val="24"/>
        </w:rPr>
        <w:t xml:space="preserve"> betjene maskiner</w:t>
      </w:r>
    </w:p>
    <w:p w14:paraId="39F6D211" w14:textId="77777777" w:rsidR="008D309A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348738EB" w14:textId="2366CDED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Ikke relevant. </w:t>
      </w:r>
    </w:p>
    <w:p w14:paraId="05110EFC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A788587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4.8</w:t>
      </w:r>
      <w:r w:rsidRPr="00D15FC0">
        <w:rPr>
          <w:b/>
          <w:sz w:val="24"/>
          <w:szCs w:val="24"/>
        </w:rPr>
        <w:tab/>
        <w:t>Bivirkninger</w:t>
      </w:r>
    </w:p>
    <w:p w14:paraId="3EFE3D94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Der forekommer sjældent alvorlige bivirkninger over for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. De fleste bivirkninger fortager sig hurtigt efter </w:t>
      </w:r>
      <w:proofErr w:type="spellStart"/>
      <w:r w:rsidRPr="00D15FC0">
        <w:rPr>
          <w:sz w:val="24"/>
          <w:szCs w:val="24"/>
        </w:rPr>
        <w:t>seponering</w:t>
      </w:r>
      <w:proofErr w:type="spellEnd"/>
      <w:r w:rsidRPr="00D15FC0">
        <w:rPr>
          <w:sz w:val="24"/>
          <w:szCs w:val="24"/>
        </w:rPr>
        <w:t xml:space="preserve"> eller aftager under brugen af lægemidlet.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har næsten udelukkende beta-agonist egenskaber, men stimulerer også CNS.</w:t>
      </w:r>
    </w:p>
    <w:p w14:paraId="3A8D2EA8" w14:textId="77777777" w:rsidR="0050644D" w:rsidRPr="008D309A" w:rsidRDefault="0050644D" w:rsidP="00D15FC0">
      <w:pPr>
        <w:ind w:left="851"/>
        <w:rPr>
          <w:sz w:val="24"/>
          <w:szCs w:val="24"/>
        </w:rPr>
      </w:pPr>
    </w:p>
    <w:p w14:paraId="5543BF58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Hyppigheden af bivirkninger er rapporteret som:</w:t>
      </w:r>
    </w:p>
    <w:p w14:paraId="2310646B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Meget almindelig (</w:t>
      </w:r>
      <w:r w:rsidRPr="00D15FC0">
        <w:rPr>
          <w:sz w:val="24"/>
          <w:szCs w:val="24"/>
        </w:rPr>
        <w:sym w:font="Symbol" w:char="F0B3"/>
      </w:r>
      <w:r w:rsidRPr="00D15FC0">
        <w:rPr>
          <w:sz w:val="24"/>
          <w:szCs w:val="24"/>
        </w:rPr>
        <w:t>1/10); Almindelig (</w:t>
      </w:r>
      <w:r w:rsidRPr="00D15FC0">
        <w:rPr>
          <w:sz w:val="24"/>
          <w:szCs w:val="24"/>
        </w:rPr>
        <w:sym w:font="Symbol" w:char="F0B3"/>
      </w:r>
      <w:r w:rsidRPr="00D15FC0">
        <w:rPr>
          <w:sz w:val="24"/>
          <w:szCs w:val="24"/>
        </w:rPr>
        <w:t>1/100 til &lt;1/10); Ikke almindelig (</w:t>
      </w:r>
      <w:r w:rsidRPr="00D15FC0">
        <w:rPr>
          <w:sz w:val="24"/>
          <w:szCs w:val="24"/>
        </w:rPr>
        <w:sym w:font="Symbol" w:char="F0B3"/>
      </w:r>
      <w:r w:rsidRPr="00D15FC0">
        <w:rPr>
          <w:sz w:val="24"/>
          <w:szCs w:val="24"/>
        </w:rPr>
        <w:t xml:space="preserve">1/1 000 til </w:t>
      </w:r>
      <w:r w:rsidRPr="00D15FC0">
        <w:rPr>
          <w:sz w:val="24"/>
          <w:szCs w:val="24"/>
        </w:rPr>
        <w:sym w:font="Symbol" w:char="F03C"/>
      </w:r>
      <w:r w:rsidRPr="00D15FC0">
        <w:rPr>
          <w:sz w:val="24"/>
          <w:szCs w:val="24"/>
        </w:rPr>
        <w:t>1/100); Sjælden (</w:t>
      </w:r>
      <w:r w:rsidRPr="00D15FC0">
        <w:rPr>
          <w:sz w:val="24"/>
          <w:szCs w:val="24"/>
        </w:rPr>
        <w:sym w:font="Symbol" w:char="F0B3"/>
      </w:r>
      <w:r w:rsidRPr="00D15FC0">
        <w:rPr>
          <w:sz w:val="24"/>
          <w:szCs w:val="24"/>
        </w:rPr>
        <w:t xml:space="preserve">1/10 000 til </w:t>
      </w:r>
      <w:r w:rsidRPr="00D15FC0">
        <w:rPr>
          <w:sz w:val="24"/>
          <w:szCs w:val="24"/>
        </w:rPr>
        <w:sym w:font="Symbol" w:char="F03C"/>
      </w:r>
      <w:r w:rsidRPr="00D15FC0">
        <w:rPr>
          <w:sz w:val="24"/>
          <w:szCs w:val="24"/>
        </w:rPr>
        <w:t>1/1 000); Meget sjælden (</w:t>
      </w:r>
      <w:r w:rsidRPr="00D15FC0">
        <w:rPr>
          <w:sz w:val="24"/>
          <w:szCs w:val="24"/>
        </w:rPr>
        <w:sym w:font="Symbol" w:char="F03C"/>
      </w:r>
      <w:r w:rsidRPr="00D15FC0">
        <w:rPr>
          <w:sz w:val="24"/>
          <w:szCs w:val="24"/>
        </w:rPr>
        <w:t>1/10 000); ikke kendt (kan ikke estimeres ud fra forhåndenværende data)</w:t>
      </w:r>
    </w:p>
    <w:p w14:paraId="46E9215B" w14:textId="77777777" w:rsidR="0050644D" w:rsidRPr="008D309A" w:rsidRDefault="0050644D" w:rsidP="00D15FC0">
      <w:pPr>
        <w:ind w:left="851"/>
        <w:rPr>
          <w:sz w:val="24"/>
          <w:szCs w:val="24"/>
        </w:rPr>
      </w:pPr>
    </w:p>
    <w:p w14:paraId="78B17AA5" w14:textId="77777777" w:rsidR="0050644D" w:rsidRPr="008D309A" w:rsidRDefault="0050644D" w:rsidP="00D15FC0">
      <w:pPr>
        <w:ind w:left="851"/>
        <w:rPr>
          <w:bCs/>
          <w:sz w:val="24"/>
          <w:szCs w:val="24"/>
          <w:u w:val="single"/>
        </w:rPr>
      </w:pPr>
      <w:r w:rsidRPr="008D309A">
        <w:rPr>
          <w:bCs/>
          <w:sz w:val="24"/>
          <w:szCs w:val="24"/>
          <w:u w:val="single"/>
        </w:rPr>
        <w:t xml:space="preserve">Hjerte </w:t>
      </w:r>
    </w:p>
    <w:p w14:paraId="4BBAFCEF" w14:textId="23A4CB31" w:rsidR="0050644D" w:rsidRPr="00D15FC0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50644D" w:rsidRPr="00D15FC0">
        <w:rPr>
          <w:sz w:val="24"/>
          <w:szCs w:val="24"/>
        </w:rPr>
        <w:t xml:space="preserve">kke kendt: </w:t>
      </w:r>
      <w:proofErr w:type="spellStart"/>
      <w:r>
        <w:rPr>
          <w:sz w:val="24"/>
          <w:szCs w:val="24"/>
        </w:rPr>
        <w:t>T</w:t>
      </w:r>
      <w:r w:rsidR="0050644D" w:rsidRPr="00D15FC0">
        <w:rPr>
          <w:sz w:val="24"/>
          <w:szCs w:val="24"/>
        </w:rPr>
        <w:t>akykardi</w:t>
      </w:r>
      <w:proofErr w:type="spellEnd"/>
      <w:r w:rsidR="0050644D" w:rsidRPr="00D15FC0">
        <w:rPr>
          <w:sz w:val="24"/>
          <w:szCs w:val="24"/>
        </w:rPr>
        <w:t xml:space="preserve">, </w:t>
      </w:r>
      <w:proofErr w:type="spellStart"/>
      <w:r w:rsidR="0050644D" w:rsidRPr="00D15FC0">
        <w:rPr>
          <w:sz w:val="24"/>
          <w:szCs w:val="24"/>
        </w:rPr>
        <w:t>arytmi</w:t>
      </w:r>
      <w:proofErr w:type="spellEnd"/>
      <w:r w:rsidR="0050644D" w:rsidRPr="00D15FC0">
        <w:rPr>
          <w:sz w:val="24"/>
          <w:szCs w:val="24"/>
        </w:rPr>
        <w:t xml:space="preserve">, prækordial smerte </w:t>
      </w:r>
    </w:p>
    <w:p w14:paraId="5F86335D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A6D6F1F" w14:textId="77777777" w:rsidR="0050644D" w:rsidRPr="008D309A" w:rsidRDefault="0050644D" w:rsidP="00D15FC0">
      <w:pPr>
        <w:ind w:left="851"/>
        <w:rPr>
          <w:bCs/>
          <w:sz w:val="24"/>
          <w:szCs w:val="24"/>
          <w:u w:val="single"/>
        </w:rPr>
      </w:pPr>
      <w:r w:rsidRPr="008D309A">
        <w:rPr>
          <w:bCs/>
          <w:sz w:val="24"/>
          <w:szCs w:val="24"/>
          <w:u w:val="single"/>
        </w:rPr>
        <w:t>Nervesystemet</w:t>
      </w:r>
    </w:p>
    <w:p w14:paraId="134CC72A" w14:textId="0B3A5E4E" w:rsidR="0050644D" w:rsidRPr="00D15FC0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50644D" w:rsidRPr="00D15FC0">
        <w:rPr>
          <w:sz w:val="24"/>
          <w:szCs w:val="24"/>
        </w:rPr>
        <w:t xml:space="preserve">kke kendt: </w:t>
      </w:r>
      <w:r>
        <w:rPr>
          <w:sz w:val="24"/>
          <w:szCs w:val="24"/>
        </w:rPr>
        <w:t>N</w:t>
      </w:r>
      <w:r w:rsidR="0050644D" w:rsidRPr="00D15FC0">
        <w:rPr>
          <w:sz w:val="24"/>
          <w:szCs w:val="24"/>
        </w:rPr>
        <w:t xml:space="preserve">ervøsitet, rysten, svimmelhed, hovedpine </w:t>
      </w:r>
    </w:p>
    <w:p w14:paraId="03815401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13805141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Mave-tarm-kanalen</w:t>
      </w:r>
    </w:p>
    <w:p w14:paraId="3CB9E881" w14:textId="1EDF209D" w:rsidR="0050644D" w:rsidRPr="00D15FC0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50644D" w:rsidRPr="00D15FC0">
        <w:rPr>
          <w:sz w:val="24"/>
          <w:szCs w:val="24"/>
        </w:rPr>
        <w:t xml:space="preserve">kke kendt: </w:t>
      </w:r>
      <w:r>
        <w:rPr>
          <w:sz w:val="24"/>
          <w:szCs w:val="24"/>
        </w:rPr>
        <w:t>K</w:t>
      </w:r>
      <w:r w:rsidR="0050644D" w:rsidRPr="00D15FC0">
        <w:rPr>
          <w:sz w:val="24"/>
          <w:szCs w:val="24"/>
        </w:rPr>
        <w:t xml:space="preserve">valme </w:t>
      </w:r>
    </w:p>
    <w:p w14:paraId="4319780D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431F66BC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 xml:space="preserve">Vaskulære sygdomme </w:t>
      </w:r>
    </w:p>
    <w:p w14:paraId="26B5163C" w14:textId="300BE162" w:rsidR="0050644D" w:rsidRPr="00D15FC0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50644D" w:rsidRPr="00D15FC0">
        <w:rPr>
          <w:sz w:val="24"/>
          <w:szCs w:val="24"/>
        </w:rPr>
        <w:t xml:space="preserve">kke kendt: </w:t>
      </w:r>
      <w:r>
        <w:rPr>
          <w:sz w:val="24"/>
          <w:szCs w:val="24"/>
        </w:rPr>
        <w:t>H</w:t>
      </w:r>
      <w:r w:rsidR="0050644D" w:rsidRPr="00D15FC0">
        <w:rPr>
          <w:sz w:val="24"/>
          <w:szCs w:val="24"/>
        </w:rPr>
        <w:t>ypotension, hypertension</w:t>
      </w:r>
    </w:p>
    <w:p w14:paraId="0C22D0C5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2EAFC84B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Almene symptomer og reaktioner på administrationsstedet</w:t>
      </w:r>
    </w:p>
    <w:p w14:paraId="28A3BDF7" w14:textId="668C3E3D" w:rsidR="0050644D" w:rsidRPr="00D15FC0" w:rsidRDefault="008D309A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50644D" w:rsidRPr="00D15FC0">
        <w:rPr>
          <w:sz w:val="24"/>
          <w:szCs w:val="24"/>
        </w:rPr>
        <w:t xml:space="preserve">kke kendt: </w:t>
      </w:r>
      <w:r>
        <w:rPr>
          <w:sz w:val="24"/>
          <w:szCs w:val="24"/>
        </w:rPr>
        <w:t>A</w:t>
      </w:r>
      <w:r w:rsidR="0050644D" w:rsidRPr="00D15FC0">
        <w:rPr>
          <w:sz w:val="24"/>
          <w:szCs w:val="24"/>
        </w:rPr>
        <w:t>steni</w:t>
      </w:r>
    </w:p>
    <w:p w14:paraId="2CBB629B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2BC29ECA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  <w:u w:val="single"/>
        </w:rPr>
        <w:t>Indberetning af formodede bivirkninger</w:t>
      </w:r>
    </w:p>
    <w:p w14:paraId="645273FD" w14:textId="77777777" w:rsidR="0050644D" w:rsidRPr="00D15FC0" w:rsidRDefault="0050644D" w:rsidP="00D15FC0">
      <w:pPr>
        <w:ind w:left="851"/>
        <w:rPr>
          <w:sz w:val="24"/>
          <w:szCs w:val="24"/>
          <w:u w:val="single"/>
        </w:rPr>
      </w:pPr>
      <w:r w:rsidRPr="00D15FC0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D15FC0">
        <w:rPr>
          <w:sz w:val="24"/>
          <w:szCs w:val="24"/>
        </w:rPr>
        <w:t>risk</w:t>
      </w:r>
      <w:proofErr w:type="spellEnd"/>
      <w:r w:rsidRPr="00D15FC0">
        <w:rPr>
          <w:sz w:val="24"/>
          <w:szCs w:val="24"/>
        </w:rPr>
        <w:t xml:space="preserve">-forholdet for lægemidlet. Sundhedspersoner anmodes om at indberette alle formodede bivirkninger via </w:t>
      </w:r>
    </w:p>
    <w:p w14:paraId="4A388B20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763E18C6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Lægemiddelstyrelsen</w:t>
      </w:r>
    </w:p>
    <w:p w14:paraId="47494F14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Axel Heides Gade 1</w:t>
      </w:r>
    </w:p>
    <w:p w14:paraId="626B8283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DK-2300 København S</w:t>
      </w:r>
    </w:p>
    <w:p w14:paraId="517ACA09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Websted: </w:t>
      </w:r>
      <w:hyperlink r:id="rId8" w:history="1">
        <w:r w:rsidRPr="00D15FC0">
          <w:rPr>
            <w:rStyle w:val="Hyperlink"/>
            <w:sz w:val="24"/>
            <w:szCs w:val="24"/>
          </w:rPr>
          <w:t>www.meldenbivirkning.dk</w:t>
        </w:r>
      </w:hyperlink>
    </w:p>
    <w:p w14:paraId="409157AB" w14:textId="77777777" w:rsidR="009260DE" w:rsidRPr="00D15FC0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2DD1842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4.9</w:t>
      </w:r>
      <w:r w:rsidRPr="00D15FC0">
        <w:rPr>
          <w:b/>
          <w:sz w:val="24"/>
          <w:szCs w:val="24"/>
        </w:rPr>
        <w:tab/>
        <w:t>Overdosering</w:t>
      </w:r>
    </w:p>
    <w:p w14:paraId="2B5DA9E0" w14:textId="77777777" w:rsidR="008D309A" w:rsidRDefault="008D309A" w:rsidP="00D15FC0">
      <w:pPr>
        <w:ind w:left="851"/>
        <w:rPr>
          <w:sz w:val="24"/>
          <w:szCs w:val="24"/>
        </w:rPr>
      </w:pPr>
    </w:p>
    <w:p w14:paraId="199AAB54" w14:textId="50C4DCF6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Symptomer</w:t>
      </w:r>
    </w:p>
    <w:p w14:paraId="5DAB7F8B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kvalme, hovedpine, </w:t>
      </w:r>
      <w:proofErr w:type="spellStart"/>
      <w:r w:rsidRPr="00D15FC0">
        <w:rPr>
          <w:sz w:val="24"/>
          <w:szCs w:val="24"/>
        </w:rPr>
        <w:t>sinustakykardi</w:t>
      </w:r>
      <w:proofErr w:type="spellEnd"/>
      <w:r w:rsidRPr="00D15FC0">
        <w:rPr>
          <w:sz w:val="24"/>
          <w:szCs w:val="24"/>
        </w:rPr>
        <w:t xml:space="preserve">, polymorfe </w:t>
      </w:r>
      <w:proofErr w:type="spellStart"/>
      <w:r w:rsidRPr="00D15FC0">
        <w:rPr>
          <w:sz w:val="24"/>
          <w:szCs w:val="24"/>
        </w:rPr>
        <w:t>ekstrasystoler</w:t>
      </w:r>
      <w:proofErr w:type="spellEnd"/>
      <w:r w:rsidRPr="00D15FC0">
        <w:rPr>
          <w:sz w:val="24"/>
          <w:szCs w:val="24"/>
        </w:rPr>
        <w:t xml:space="preserve">, </w:t>
      </w:r>
      <w:proofErr w:type="spellStart"/>
      <w:r w:rsidRPr="00D15FC0">
        <w:rPr>
          <w:sz w:val="24"/>
          <w:szCs w:val="24"/>
        </w:rPr>
        <w:t>ventrikulær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takykardi</w:t>
      </w:r>
      <w:proofErr w:type="spellEnd"/>
      <w:r w:rsidRPr="00D15FC0">
        <w:rPr>
          <w:sz w:val="24"/>
          <w:szCs w:val="24"/>
        </w:rPr>
        <w:t xml:space="preserve">. </w:t>
      </w:r>
    </w:p>
    <w:p w14:paraId="1748E305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623A0364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Behandling</w:t>
      </w:r>
    </w:p>
    <w:p w14:paraId="66A10597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Afbryd behandlingen med infusion af </w:t>
      </w:r>
      <w:proofErr w:type="spellStart"/>
      <w:r w:rsidRPr="00D15FC0">
        <w:rPr>
          <w:sz w:val="24"/>
          <w:szCs w:val="24"/>
        </w:rPr>
        <w:t>isoprenalinhydrochlorid</w:t>
      </w:r>
      <w:proofErr w:type="spellEnd"/>
      <w:r w:rsidRPr="00D15FC0">
        <w:rPr>
          <w:sz w:val="24"/>
          <w:szCs w:val="24"/>
        </w:rPr>
        <w:t xml:space="preserve">. Den terapeutiske aktivitet forsvinder efter få minutter i kraft af hastigheden for inaktivering. </w:t>
      </w:r>
    </w:p>
    <w:p w14:paraId="4A607222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71075AFD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Hvis det er nødvendigt, kan der derefter administreres plasma eller fuldblod.</w:t>
      </w:r>
    </w:p>
    <w:p w14:paraId="5387D336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CBE9D5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4.10</w:t>
      </w:r>
      <w:r w:rsidRPr="00D15FC0">
        <w:rPr>
          <w:b/>
          <w:sz w:val="24"/>
          <w:szCs w:val="24"/>
        </w:rPr>
        <w:tab/>
        <w:t>Udlevering</w:t>
      </w:r>
    </w:p>
    <w:p w14:paraId="57A669C5" w14:textId="1E1EDA50" w:rsidR="009260DE" w:rsidRPr="00D15FC0" w:rsidRDefault="00D15FC0" w:rsidP="009260DE">
      <w:pPr>
        <w:tabs>
          <w:tab w:val="left" w:pos="851"/>
        </w:tabs>
        <w:ind w:left="851"/>
        <w:rPr>
          <w:sz w:val="24"/>
          <w:szCs w:val="24"/>
        </w:rPr>
      </w:pPr>
      <w:r w:rsidRPr="00D15FC0">
        <w:rPr>
          <w:sz w:val="24"/>
          <w:szCs w:val="24"/>
        </w:rPr>
        <w:t>BEGR (kun til sygehuse)</w:t>
      </w:r>
    </w:p>
    <w:p w14:paraId="263484A2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D0FB11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3C883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5.</w:t>
      </w:r>
      <w:r w:rsidRPr="00D15FC0">
        <w:rPr>
          <w:b/>
          <w:sz w:val="24"/>
          <w:szCs w:val="24"/>
        </w:rPr>
        <w:tab/>
        <w:t>FARMAKOLOGISKE EGENSKABER</w:t>
      </w:r>
    </w:p>
    <w:p w14:paraId="2842023E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5CC5B7" w14:textId="77777777" w:rsidR="009260DE" w:rsidRPr="00D15FC0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5.1</w:t>
      </w:r>
      <w:r w:rsidRPr="00D15FC0">
        <w:rPr>
          <w:b/>
          <w:sz w:val="24"/>
          <w:szCs w:val="24"/>
        </w:rPr>
        <w:tab/>
      </w:r>
      <w:proofErr w:type="spellStart"/>
      <w:r w:rsidRPr="00D15FC0">
        <w:rPr>
          <w:b/>
          <w:sz w:val="24"/>
          <w:szCs w:val="24"/>
        </w:rPr>
        <w:t>Farmakodynamiske</w:t>
      </w:r>
      <w:proofErr w:type="spellEnd"/>
      <w:r w:rsidRPr="00D15FC0">
        <w:rPr>
          <w:b/>
          <w:sz w:val="24"/>
          <w:szCs w:val="24"/>
        </w:rPr>
        <w:t xml:space="preserve"> egenskaber</w:t>
      </w:r>
    </w:p>
    <w:p w14:paraId="50028DC2" w14:textId="61D2F0AA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Farmakoterapeutisk</w:t>
      </w:r>
      <w:proofErr w:type="spellEnd"/>
      <w:r w:rsidRPr="00D15FC0">
        <w:rPr>
          <w:sz w:val="24"/>
          <w:szCs w:val="24"/>
        </w:rPr>
        <w:t xml:space="preserve"> klassifikation: Hjerteterapi, </w:t>
      </w:r>
      <w:proofErr w:type="spellStart"/>
      <w:r w:rsidRPr="00D15FC0">
        <w:rPr>
          <w:sz w:val="24"/>
          <w:szCs w:val="24"/>
        </w:rPr>
        <w:t>adrenerge</w:t>
      </w:r>
      <w:proofErr w:type="spellEnd"/>
      <w:r w:rsidRPr="00D15FC0">
        <w:rPr>
          <w:sz w:val="24"/>
          <w:szCs w:val="24"/>
        </w:rPr>
        <w:t xml:space="preserve"> og </w:t>
      </w:r>
      <w:proofErr w:type="spellStart"/>
      <w:r w:rsidRPr="00D15FC0">
        <w:rPr>
          <w:sz w:val="24"/>
          <w:szCs w:val="24"/>
        </w:rPr>
        <w:t>dopaminerge</w:t>
      </w:r>
      <w:proofErr w:type="spellEnd"/>
      <w:r w:rsidRPr="00D15FC0">
        <w:rPr>
          <w:sz w:val="24"/>
          <w:szCs w:val="24"/>
        </w:rPr>
        <w:t xml:space="preserve"> lægemidler</w:t>
      </w:r>
      <w:r w:rsidR="00D92679">
        <w:rPr>
          <w:sz w:val="24"/>
          <w:szCs w:val="24"/>
        </w:rPr>
        <w:t xml:space="preserve">, </w:t>
      </w:r>
      <w:r w:rsidRPr="00D15FC0">
        <w:rPr>
          <w:sz w:val="24"/>
          <w:szCs w:val="24"/>
        </w:rPr>
        <w:t>ATC-kode: C01CA02.</w:t>
      </w:r>
    </w:p>
    <w:p w14:paraId="0D053BA6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1CCDFF90" w14:textId="61571D8B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Isoprenaline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Hydrochloride</w:t>
      </w:r>
      <w:proofErr w:type="spellEnd"/>
      <w:r w:rsidRPr="00D15FC0">
        <w:rPr>
          <w:sz w:val="24"/>
          <w:szCs w:val="24"/>
        </w:rPr>
        <w:t xml:space="preserve"> </w:t>
      </w:r>
      <w:r w:rsidR="00D92679">
        <w:rPr>
          <w:sz w:val="24"/>
          <w:szCs w:val="24"/>
        </w:rPr>
        <w:t>"</w:t>
      </w:r>
      <w:proofErr w:type="spellStart"/>
      <w:r w:rsidR="00D92679">
        <w:rPr>
          <w:sz w:val="24"/>
          <w:szCs w:val="24"/>
        </w:rPr>
        <w:t>Unicorn</w:t>
      </w:r>
      <w:proofErr w:type="spellEnd"/>
      <w:r w:rsidR="00D92679">
        <w:rPr>
          <w:sz w:val="24"/>
          <w:szCs w:val="24"/>
        </w:rPr>
        <w:t xml:space="preserve"> Pharma"</w:t>
      </w:r>
      <w:r w:rsidRPr="00D15FC0">
        <w:rPr>
          <w:sz w:val="24"/>
          <w:szCs w:val="24"/>
        </w:rPr>
        <w:t xml:space="preserve"> er et ß-</w:t>
      </w:r>
      <w:proofErr w:type="spellStart"/>
      <w:r w:rsidRPr="00D15FC0">
        <w:rPr>
          <w:sz w:val="24"/>
          <w:szCs w:val="24"/>
        </w:rPr>
        <w:t>sympatomimetisk</w:t>
      </w:r>
      <w:proofErr w:type="spellEnd"/>
      <w:r w:rsidRPr="00D15FC0">
        <w:rPr>
          <w:sz w:val="24"/>
          <w:szCs w:val="24"/>
        </w:rPr>
        <w:t xml:space="preserve"> lægemiddel, der påvirker det intrakardiale flow uden at påvirke blodtrykket ved lav dosis.</w:t>
      </w:r>
    </w:p>
    <w:p w14:paraId="25D1E9E4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1069A9C" w14:textId="77777777" w:rsidR="0050644D" w:rsidRPr="00D15FC0" w:rsidRDefault="0050644D" w:rsidP="00D15FC0">
      <w:pPr>
        <w:ind w:left="851"/>
        <w:rPr>
          <w:i/>
          <w:iCs/>
          <w:sz w:val="24"/>
          <w:szCs w:val="24"/>
          <w:u w:val="single"/>
        </w:rPr>
      </w:pPr>
      <w:r w:rsidRPr="00D15FC0">
        <w:rPr>
          <w:i/>
          <w:iCs/>
          <w:sz w:val="24"/>
          <w:szCs w:val="24"/>
          <w:u w:val="single"/>
        </w:rPr>
        <w:t>Hjerte</w:t>
      </w:r>
    </w:p>
    <w:p w14:paraId="756610C9" w14:textId="77777777" w:rsidR="0050644D" w:rsidRPr="008D309A" w:rsidRDefault="0050644D" w:rsidP="00D15FC0">
      <w:pPr>
        <w:ind w:left="851"/>
        <w:rPr>
          <w:sz w:val="24"/>
          <w:szCs w:val="24"/>
        </w:rPr>
      </w:pPr>
      <w:proofErr w:type="spellStart"/>
      <w:r w:rsidRPr="008D309A">
        <w:rPr>
          <w:sz w:val="24"/>
          <w:szCs w:val="24"/>
        </w:rPr>
        <w:t>Isoprenalinhydrochlorid</w:t>
      </w:r>
      <w:proofErr w:type="spellEnd"/>
      <w:r w:rsidRPr="008D309A">
        <w:rPr>
          <w:sz w:val="24"/>
          <w:szCs w:val="24"/>
        </w:rPr>
        <w:t xml:space="preserve"> har en udtalt </w:t>
      </w:r>
      <w:proofErr w:type="spellStart"/>
      <w:r w:rsidRPr="008D309A">
        <w:rPr>
          <w:sz w:val="24"/>
          <w:szCs w:val="24"/>
        </w:rPr>
        <w:t>inotropisk</w:t>
      </w:r>
      <w:proofErr w:type="spellEnd"/>
      <w:r w:rsidRPr="008D309A">
        <w:rPr>
          <w:sz w:val="24"/>
          <w:szCs w:val="24"/>
        </w:rPr>
        <w:t xml:space="preserve"> og </w:t>
      </w:r>
      <w:proofErr w:type="spellStart"/>
      <w:r w:rsidRPr="008D309A">
        <w:rPr>
          <w:sz w:val="24"/>
          <w:szCs w:val="24"/>
        </w:rPr>
        <w:t>chronotropisk</w:t>
      </w:r>
      <w:proofErr w:type="spellEnd"/>
      <w:r w:rsidRPr="008D309A">
        <w:rPr>
          <w:sz w:val="24"/>
          <w:szCs w:val="24"/>
        </w:rPr>
        <w:t xml:space="preserve"> virkning (virkning af ß1-receptorer), som resulterer i signifikant øget hjerteminutvolumen.</w:t>
      </w:r>
    </w:p>
    <w:p w14:paraId="679EDF1D" w14:textId="77777777" w:rsidR="0050644D" w:rsidRPr="008D309A" w:rsidRDefault="0050644D" w:rsidP="00D15FC0">
      <w:pPr>
        <w:ind w:left="851"/>
        <w:rPr>
          <w:sz w:val="24"/>
          <w:szCs w:val="24"/>
        </w:rPr>
      </w:pPr>
    </w:p>
    <w:p w14:paraId="54E236B9" w14:textId="77777777" w:rsidR="0050644D" w:rsidRPr="008D309A" w:rsidRDefault="0050644D" w:rsidP="00D15FC0">
      <w:pPr>
        <w:ind w:left="851"/>
        <w:rPr>
          <w:sz w:val="24"/>
          <w:szCs w:val="24"/>
        </w:rPr>
      </w:pPr>
      <w:proofErr w:type="spellStart"/>
      <w:r w:rsidRPr="008D309A">
        <w:rPr>
          <w:sz w:val="24"/>
          <w:szCs w:val="24"/>
        </w:rPr>
        <w:t>Isoprenalinhydrochlorid</w:t>
      </w:r>
      <w:proofErr w:type="spellEnd"/>
      <w:r w:rsidRPr="008D309A">
        <w:rPr>
          <w:sz w:val="24"/>
          <w:szCs w:val="24"/>
        </w:rPr>
        <w:t xml:space="preserve"> virker umiddelbart på knudevævsniveau ved at sænke </w:t>
      </w:r>
      <w:proofErr w:type="spellStart"/>
      <w:r w:rsidRPr="008D309A">
        <w:rPr>
          <w:sz w:val="24"/>
          <w:szCs w:val="24"/>
        </w:rPr>
        <w:t>myokardiums</w:t>
      </w:r>
      <w:proofErr w:type="spellEnd"/>
      <w:r w:rsidRPr="008D309A">
        <w:rPr>
          <w:sz w:val="24"/>
          <w:szCs w:val="24"/>
        </w:rPr>
        <w:t xml:space="preserve"> </w:t>
      </w:r>
      <w:proofErr w:type="spellStart"/>
      <w:r w:rsidRPr="008D309A">
        <w:rPr>
          <w:sz w:val="24"/>
          <w:szCs w:val="24"/>
        </w:rPr>
        <w:t>excitabilitetstærskel</w:t>
      </w:r>
      <w:proofErr w:type="spellEnd"/>
      <w:r w:rsidRPr="008D309A">
        <w:rPr>
          <w:sz w:val="24"/>
          <w:szCs w:val="24"/>
        </w:rPr>
        <w:t xml:space="preserve"> og ved at øge hjertets kontraktion og systoliske flow.</w:t>
      </w:r>
    </w:p>
    <w:p w14:paraId="055A3339" w14:textId="77777777" w:rsidR="0050644D" w:rsidRPr="008D309A" w:rsidRDefault="0050644D" w:rsidP="00D15FC0">
      <w:pPr>
        <w:ind w:left="851"/>
        <w:rPr>
          <w:sz w:val="24"/>
          <w:szCs w:val="24"/>
        </w:rPr>
      </w:pPr>
    </w:p>
    <w:p w14:paraId="706BC747" w14:textId="77777777" w:rsidR="0050644D" w:rsidRPr="00D15FC0" w:rsidRDefault="0050644D" w:rsidP="00D15FC0">
      <w:pPr>
        <w:ind w:left="851"/>
        <w:rPr>
          <w:i/>
          <w:iCs/>
          <w:sz w:val="24"/>
          <w:szCs w:val="24"/>
          <w:u w:val="single"/>
        </w:rPr>
      </w:pPr>
      <w:r w:rsidRPr="00D15FC0">
        <w:rPr>
          <w:i/>
          <w:iCs/>
          <w:sz w:val="24"/>
          <w:szCs w:val="24"/>
          <w:u w:val="single"/>
        </w:rPr>
        <w:t>Blodkar</w:t>
      </w:r>
    </w:p>
    <w:p w14:paraId="71C8EA1F" w14:textId="77777777" w:rsidR="0050644D" w:rsidRPr="008D309A" w:rsidRDefault="0050644D" w:rsidP="00D15FC0">
      <w:pPr>
        <w:ind w:left="851"/>
        <w:rPr>
          <w:sz w:val="24"/>
          <w:szCs w:val="24"/>
        </w:rPr>
      </w:pPr>
      <w:proofErr w:type="spellStart"/>
      <w:r w:rsidRPr="008D309A">
        <w:rPr>
          <w:sz w:val="24"/>
          <w:szCs w:val="24"/>
        </w:rPr>
        <w:t>Isoprenalinhydrochlorid</w:t>
      </w:r>
      <w:proofErr w:type="spellEnd"/>
      <w:r w:rsidRPr="008D309A">
        <w:rPr>
          <w:sz w:val="24"/>
          <w:szCs w:val="24"/>
        </w:rPr>
        <w:t xml:space="preserve"> forårsager perifer karudvidelse (virkning af ß2-receptorer) forbundet med nedsat resistens, øget blodvolumen og regulering af det centrale venetryk.</w:t>
      </w:r>
    </w:p>
    <w:p w14:paraId="2DCEB6DE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4A28B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5.2</w:t>
      </w:r>
      <w:r w:rsidRPr="00D15FC0">
        <w:rPr>
          <w:b/>
          <w:sz w:val="24"/>
          <w:szCs w:val="24"/>
        </w:rPr>
        <w:tab/>
      </w:r>
      <w:proofErr w:type="spellStart"/>
      <w:r w:rsidRPr="00D15FC0">
        <w:rPr>
          <w:b/>
          <w:sz w:val="24"/>
          <w:szCs w:val="24"/>
        </w:rPr>
        <w:t>Farmakokinetiske</w:t>
      </w:r>
      <w:proofErr w:type="spellEnd"/>
      <w:r w:rsidRPr="00D15FC0">
        <w:rPr>
          <w:b/>
          <w:sz w:val="24"/>
          <w:szCs w:val="24"/>
        </w:rPr>
        <w:t xml:space="preserve"> egenskaber</w:t>
      </w:r>
    </w:p>
    <w:p w14:paraId="4DE9BCF4" w14:textId="77777777" w:rsidR="008D309A" w:rsidRDefault="008D309A" w:rsidP="00D15FC0">
      <w:pPr>
        <w:ind w:left="851"/>
        <w:rPr>
          <w:sz w:val="24"/>
          <w:szCs w:val="24"/>
        </w:rPr>
      </w:pPr>
    </w:p>
    <w:p w14:paraId="186385D2" w14:textId="5C9B53C6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Absorption</w:t>
      </w:r>
    </w:p>
    <w:p w14:paraId="3D11799E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Efter intravenøs injektion har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en halveringstid i plasma på et til flere minutter alt efter om injektionshastigheden er hurtig eller langsom.</w:t>
      </w:r>
    </w:p>
    <w:p w14:paraId="6273824E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045AD75C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Fordeling</w:t>
      </w:r>
    </w:p>
    <w:p w14:paraId="2C04A2EA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inaktiveres hurtigt i leveren og andet væv ved metabolisme. Det krydser næsten ikke blod-hjerne-barrieren. Det vides ikke, om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fordeles i mælk hos mennesker.</w:t>
      </w:r>
    </w:p>
    <w:p w14:paraId="48EAB137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6E9D6C62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Biotransformation</w:t>
      </w:r>
    </w:p>
    <w:p w14:paraId="2853F0E7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</w:t>
      </w:r>
      <w:proofErr w:type="spellStart"/>
      <w:r w:rsidRPr="00D15FC0">
        <w:rPr>
          <w:sz w:val="24"/>
          <w:szCs w:val="24"/>
        </w:rPr>
        <w:t>metaboliseres</w:t>
      </w:r>
      <w:proofErr w:type="spellEnd"/>
      <w:r w:rsidRPr="00D15FC0">
        <w:rPr>
          <w:sz w:val="24"/>
          <w:szCs w:val="24"/>
        </w:rPr>
        <w:t xml:space="preserve"> ved katekol-O-</w:t>
      </w:r>
      <w:proofErr w:type="spellStart"/>
      <w:r w:rsidRPr="00D15FC0">
        <w:rPr>
          <w:sz w:val="24"/>
          <w:szCs w:val="24"/>
        </w:rPr>
        <w:t>methyltransferase</w:t>
      </w:r>
      <w:proofErr w:type="spellEnd"/>
      <w:r w:rsidRPr="00D15FC0">
        <w:rPr>
          <w:sz w:val="24"/>
          <w:szCs w:val="24"/>
        </w:rPr>
        <w:t xml:space="preserve"> i lever, lunger og andet væv. Hovedmetabolitten efter intravenøs administration er 3-O-methylisoproterenol (for hvilken der er rapporteret svag β-</w:t>
      </w:r>
      <w:proofErr w:type="spellStart"/>
      <w:r w:rsidRPr="00D15FC0">
        <w:rPr>
          <w:sz w:val="24"/>
          <w:szCs w:val="24"/>
        </w:rPr>
        <w:t>adrenerg</w:t>
      </w:r>
      <w:proofErr w:type="spellEnd"/>
      <w:r w:rsidRPr="00D15FC0">
        <w:rPr>
          <w:sz w:val="24"/>
          <w:szCs w:val="24"/>
        </w:rPr>
        <w:t xml:space="preserve"> blokeringsaktivitet) og dens </w:t>
      </w:r>
      <w:proofErr w:type="spellStart"/>
      <w:r w:rsidRPr="00D15FC0">
        <w:rPr>
          <w:sz w:val="24"/>
          <w:szCs w:val="24"/>
        </w:rPr>
        <w:t>konjugater</w:t>
      </w:r>
      <w:proofErr w:type="spellEnd"/>
      <w:r w:rsidRPr="00D15FC0">
        <w:rPr>
          <w:sz w:val="24"/>
          <w:szCs w:val="24"/>
        </w:rPr>
        <w:t>.</w:t>
      </w:r>
    </w:p>
    <w:p w14:paraId="374D86CA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438C80E" w14:textId="77777777" w:rsidR="0050644D" w:rsidRPr="008D309A" w:rsidRDefault="0050644D" w:rsidP="00D15FC0">
      <w:pPr>
        <w:ind w:left="851"/>
        <w:rPr>
          <w:sz w:val="24"/>
          <w:szCs w:val="24"/>
          <w:u w:val="single"/>
        </w:rPr>
      </w:pPr>
      <w:r w:rsidRPr="008D309A">
        <w:rPr>
          <w:sz w:val="24"/>
          <w:szCs w:val="24"/>
          <w:u w:val="single"/>
        </w:rPr>
        <w:t>Elimination</w:t>
      </w:r>
    </w:p>
    <w:p w14:paraId="015F7E4E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Omkring 40–50 % af dosis udskilles uændret i urin, og den resterende mængde som 3-O-methylisoproterenol inden for 24 timer.</w:t>
      </w:r>
    </w:p>
    <w:p w14:paraId="166C2109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3C1C41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5.3</w:t>
      </w:r>
      <w:r w:rsidRPr="00D15FC0">
        <w:rPr>
          <w:b/>
          <w:sz w:val="24"/>
          <w:szCs w:val="24"/>
        </w:rPr>
        <w:tab/>
      </w:r>
      <w:r w:rsidR="00BD7931" w:rsidRPr="00D15FC0">
        <w:rPr>
          <w:b/>
          <w:sz w:val="24"/>
          <w:szCs w:val="24"/>
        </w:rPr>
        <w:t>Non-</w:t>
      </w:r>
      <w:r w:rsidRPr="00D15FC0">
        <w:rPr>
          <w:b/>
          <w:sz w:val="24"/>
          <w:szCs w:val="24"/>
        </w:rPr>
        <w:t>kliniske sikkerhedsdata</w:t>
      </w:r>
    </w:p>
    <w:p w14:paraId="6A9A5FEB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, indgivet subkutant som en enkeltdosis på den 8. </w:t>
      </w:r>
      <w:proofErr w:type="spellStart"/>
      <w:r w:rsidRPr="00D15FC0">
        <w:rPr>
          <w:sz w:val="24"/>
          <w:szCs w:val="24"/>
        </w:rPr>
        <w:t>gestationsdag</w:t>
      </w:r>
      <w:proofErr w:type="spellEnd"/>
      <w:r w:rsidRPr="00D15FC0">
        <w:rPr>
          <w:sz w:val="24"/>
          <w:szCs w:val="24"/>
        </w:rPr>
        <w:t xml:space="preserve"> til drægtige hamstere, fremkaldte en række grove misdannelser i hjernen, øjnene, rygmarven, hjertet, leveren og skelettet. Injektion af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, enten i et fårefoster uden anæstesi eller det drægtige moderfår, fremkaldte en forbigående </w:t>
      </w:r>
      <w:proofErr w:type="spellStart"/>
      <w:r w:rsidRPr="00D15FC0">
        <w:rPr>
          <w:sz w:val="24"/>
          <w:szCs w:val="24"/>
        </w:rPr>
        <w:t>takykardi</w:t>
      </w:r>
      <w:proofErr w:type="spellEnd"/>
      <w:r w:rsidRPr="00D15FC0">
        <w:rPr>
          <w:sz w:val="24"/>
          <w:szCs w:val="24"/>
        </w:rPr>
        <w:t xml:space="preserve"> og hypotension hos enten moderfåret eller fosteret. Der blev ikke opnået dokumentation for </w:t>
      </w:r>
      <w:proofErr w:type="spellStart"/>
      <w:r w:rsidRPr="00D15FC0">
        <w:rPr>
          <w:sz w:val="24"/>
          <w:szCs w:val="24"/>
        </w:rPr>
        <w:t>placental</w:t>
      </w:r>
      <w:proofErr w:type="spellEnd"/>
      <w:r w:rsidRPr="00D15FC0">
        <w:rPr>
          <w:sz w:val="24"/>
          <w:szCs w:val="24"/>
        </w:rPr>
        <w:t xml:space="preserve"> overførsel af farmakologisk aktivt </w:t>
      </w:r>
      <w:proofErr w:type="spellStart"/>
      <w:r w:rsidRPr="00D15FC0">
        <w:rPr>
          <w:sz w:val="24"/>
          <w:szCs w:val="24"/>
        </w:rPr>
        <w:t>isoprenalin</w:t>
      </w:r>
      <w:proofErr w:type="spellEnd"/>
      <w:r w:rsidRPr="00D15FC0">
        <w:rPr>
          <w:sz w:val="24"/>
          <w:szCs w:val="24"/>
        </w:rPr>
        <w:t xml:space="preserve"> i nogen retning.</w:t>
      </w:r>
    </w:p>
    <w:p w14:paraId="339B61D5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B050669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D3E8C6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</w:t>
      </w:r>
      <w:r w:rsidRPr="00D15FC0">
        <w:rPr>
          <w:b/>
          <w:sz w:val="24"/>
          <w:szCs w:val="24"/>
        </w:rPr>
        <w:tab/>
        <w:t>FARMACEUTISKE OPLYSNINGER</w:t>
      </w:r>
    </w:p>
    <w:p w14:paraId="6E95CCDE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E151CB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6.1</w:t>
      </w:r>
      <w:r w:rsidRPr="00D15FC0">
        <w:rPr>
          <w:b/>
          <w:sz w:val="24"/>
          <w:szCs w:val="24"/>
        </w:rPr>
        <w:tab/>
        <w:t>Hjælpestoffer</w:t>
      </w:r>
    </w:p>
    <w:p w14:paraId="2DF6D654" w14:textId="19CCCA66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Dinatriumedetat</w:t>
      </w:r>
      <w:proofErr w:type="spellEnd"/>
      <w:r w:rsidRPr="00D15FC0">
        <w:rPr>
          <w:sz w:val="24"/>
          <w:szCs w:val="24"/>
        </w:rPr>
        <w:t xml:space="preserve"> </w:t>
      </w:r>
    </w:p>
    <w:p w14:paraId="71892E80" w14:textId="607D7DC6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Natriumchlorid</w:t>
      </w:r>
      <w:proofErr w:type="spellEnd"/>
      <w:r w:rsidRPr="00D15FC0">
        <w:rPr>
          <w:sz w:val="24"/>
          <w:szCs w:val="24"/>
        </w:rPr>
        <w:t xml:space="preserve"> </w:t>
      </w:r>
    </w:p>
    <w:p w14:paraId="36C9EA79" w14:textId="494F0326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Natriumcitrat </w:t>
      </w:r>
    </w:p>
    <w:p w14:paraId="7B34F51A" w14:textId="78B604AC" w:rsidR="0050644D" w:rsidRPr="00D15FC0" w:rsidRDefault="00F03176" w:rsidP="00D15FC0">
      <w:pPr>
        <w:ind w:left="851"/>
        <w:rPr>
          <w:sz w:val="24"/>
          <w:szCs w:val="24"/>
        </w:rPr>
      </w:pPr>
      <w:r>
        <w:rPr>
          <w:sz w:val="24"/>
          <w:szCs w:val="24"/>
        </w:rPr>
        <w:t>V</w:t>
      </w:r>
      <w:r w:rsidR="0050644D" w:rsidRPr="00D15FC0">
        <w:rPr>
          <w:sz w:val="24"/>
          <w:szCs w:val="24"/>
        </w:rPr>
        <w:t xml:space="preserve">andfri citronsyre </w:t>
      </w:r>
    </w:p>
    <w:p w14:paraId="39ABDBC9" w14:textId="79DE34C4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Saltsyre (til justering af pH) </w:t>
      </w:r>
    </w:p>
    <w:p w14:paraId="111B72E2" w14:textId="5C9B2DD3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Natriumhydroxid (til justering af pH) </w:t>
      </w:r>
    </w:p>
    <w:p w14:paraId="6512F8CE" w14:textId="6FE400E3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Vand til injektionsvæsker</w:t>
      </w:r>
    </w:p>
    <w:p w14:paraId="35AD25C2" w14:textId="77777777" w:rsidR="009260DE" w:rsidRPr="00D15FC0" w:rsidRDefault="009260DE" w:rsidP="00D15FC0">
      <w:pPr>
        <w:ind w:left="851"/>
        <w:rPr>
          <w:sz w:val="24"/>
          <w:szCs w:val="24"/>
        </w:rPr>
      </w:pPr>
    </w:p>
    <w:p w14:paraId="4E8E4B08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6.2</w:t>
      </w:r>
      <w:r w:rsidRPr="00D15FC0">
        <w:rPr>
          <w:b/>
          <w:sz w:val="24"/>
          <w:szCs w:val="24"/>
        </w:rPr>
        <w:tab/>
        <w:t>Uforligeligheder</w:t>
      </w:r>
    </w:p>
    <w:p w14:paraId="30CAA05C" w14:textId="22C0072D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Dette lægemiddel må ikke blandes med andre lægemidler end dem, der er anført under pkt</w:t>
      </w:r>
      <w:r w:rsidR="008D309A">
        <w:rPr>
          <w:sz w:val="24"/>
          <w:szCs w:val="24"/>
        </w:rPr>
        <w:t>. </w:t>
      </w:r>
      <w:r w:rsidRPr="00D15FC0">
        <w:rPr>
          <w:sz w:val="24"/>
          <w:szCs w:val="24"/>
        </w:rPr>
        <w:t xml:space="preserve">6.6. </w:t>
      </w:r>
    </w:p>
    <w:p w14:paraId="37D2B127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E2E4B5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6.3</w:t>
      </w:r>
      <w:r w:rsidRPr="00D15FC0">
        <w:rPr>
          <w:b/>
          <w:sz w:val="24"/>
          <w:szCs w:val="24"/>
        </w:rPr>
        <w:tab/>
        <w:t>Opbevaringstid</w:t>
      </w:r>
    </w:p>
    <w:p w14:paraId="37D4A522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24 måneder for 5 ml</w:t>
      </w:r>
    </w:p>
    <w:p w14:paraId="73CFCBF6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18 måneder for 1 ml</w:t>
      </w:r>
    </w:p>
    <w:p w14:paraId="05D08891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2C13E13E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Efter fortynding med 9 mg/ml (0,9 %) </w:t>
      </w:r>
      <w:proofErr w:type="spellStart"/>
      <w:r w:rsidRPr="00D15FC0">
        <w:rPr>
          <w:sz w:val="24"/>
          <w:szCs w:val="24"/>
        </w:rPr>
        <w:t>natriumchloridopløsning</w:t>
      </w:r>
      <w:proofErr w:type="spellEnd"/>
      <w:r w:rsidRPr="00D15FC0">
        <w:rPr>
          <w:sz w:val="24"/>
          <w:szCs w:val="24"/>
        </w:rPr>
        <w:t xml:space="preserve"> til injektion eller 50 mg/ml (5 %) glukoseopløsning til injektion er der påvist kemisk og fysisk brugsstabilitet i 60 timer ved 25 °C og ved 2 °C - 8 °C.</w:t>
      </w:r>
    </w:p>
    <w:p w14:paraId="11B4D4B4" w14:textId="16782F8F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Fra et mikrobiologisk synspunkt skal fortyndede opløsninger bruges omgående. Hvis de ikke bruges omgående, er brugsopbevaringstiden og -betingelserne før brug af den fortyndede opløsning brugerens ansvar og vil normalt ikke overstige 24 timer ved 2</w:t>
      </w:r>
      <w:r w:rsidR="008D309A">
        <w:rPr>
          <w:sz w:val="24"/>
          <w:szCs w:val="24"/>
        </w:rPr>
        <w:t> </w:t>
      </w:r>
      <w:r w:rsidRPr="00D15FC0">
        <w:rPr>
          <w:sz w:val="24"/>
          <w:szCs w:val="24"/>
        </w:rPr>
        <w:t>°C til 8</w:t>
      </w:r>
      <w:r w:rsidR="008D309A">
        <w:rPr>
          <w:sz w:val="24"/>
          <w:szCs w:val="24"/>
        </w:rPr>
        <w:t> </w:t>
      </w:r>
      <w:r w:rsidRPr="00D15FC0">
        <w:rPr>
          <w:sz w:val="24"/>
          <w:szCs w:val="24"/>
        </w:rPr>
        <w:t>°C, medmindre fortyndingen er sket under kontrollerede og validerede aseptiske forhold.</w:t>
      </w:r>
    </w:p>
    <w:p w14:paraId="20460FD3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D9CF78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6.4</w:t>
      </w:r>
      <w:r w:rsidRPr="00D15FC0">
        <w:rPr>
          <w:b/>
          <w:sz w:val="24"/>
          <w:szCs w:val="24"/>
        </w:rPr>
        <w:tab/>
        <w:t>Særlige opbevaringsforhold</w:t>
      </w:r>
    </w:p>
    <w:p w14:paraId="7F28BBE4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Opbevar hætteglasset i den ydre karton for at beskytte mod lys.</w:t>
      </w:r>
    </w:p>
    <w:p w14:paraId="7BEDC5B1" w14:textId="7467949A" w:rsidR="00D92679" w:rsidRDefault="00D926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BCD8E6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BC61939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6.5</w:t>
      </w:r>
      <w:r w:rsidRPr="00D15FC0">
        <w:rPr>
          <w:b/>
          <w:sz w:val="24"/>
          <w:szCs w:val="24"/>
        </w:rPr>
        <w:tab/>
        <w:t>Emballagetype og pakningsstørrelser</w:t>
      </w:r>
    </w:p>
    <w:p w14:paraId="66F24D90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1 ml og 5 ml hætteglas, der indeholder en klar, farveløs til let gullig opløsning, stort set fri for synlige partikler, i farveløse type I-hætteglas, hver forseglet med en gummiprop i </w:t>
      </w:r>
      <w:proofErr w:type="spellStart"/>
      <w:r w:rsidRPr="00D15FC0">
        <w:rPr>
          <w:sz w:val="24"/>
          <w:szCs w:val="24"/>
        </w:rPr>
        <w:t>brombutyl</w:t>
      </w:r>
      <w:proofErr w:type="spellEnd"/>
      <w:r w:rsidRPr="00D15FC0">
        <w:rPr>
          <w:sz w:val="24"/>
          <w:szCs w:val="24"/>
        </w:rPr>
        <w:t xml:space="preserve"> og en flip-</w:t>
      </w:r>
      <w:proofErr w:type="spellStart"/>
      <w:r w:rsidRPr="00D15FC0">
        <w:rPr>
          <w:sz w:val="24"/>
          <w:szCs w:val="24"/>
        </w:rPr>
        <w:t>off</w:t>
      </w:r>
      <w:proofErr w:type="spellEnd"/>
      <w:r w:rsidRPr="00D15FC0">
        <w:rPr>
          <w:sz w:val="24"/>
          <w:szCs w:val="24"/>
        </w:rPr>
        <w:t xml:space="preserve"> aluminiumsforsegling.</w:t>
      </w:r>
    </w:p>
    <w:p w14:paraId="789679F5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3FD19461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Emballagen fås i følgende varianter: 1 ml pakker med enten 1, 5 eller 10 hætteglas pr. karton samt 5 ml pakker med 1 eller 5 hætteglas pr. karton.</w:t>
      </w:r>
    </w:p>
    <w:p w14:paraId="66362820" w14:textId="77777777" w:rsidR="0050644D" w:rsidRPr="00D15FC0" w:rsidRDefault="0050644D" w:rsidP="00D15FC0">
      <w:pPr>
        <w:ind w:left="851"/>
        <w:rPr>
          <w:sz w:val="24"/>
          <w:szCs w:val="24"/>
        </w:rPr>
      </w:pPr>
    </w:p>
    <w:p w14:paraId="46AE3A20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Ikke alle pakningsstørrelser er nødvendigvis markedsført.</w:t>
      </w:r>
    </w:p>
    <w:p w14:paraId="2A4F8176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26616F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6.6</w:t>
      </w:r>
      <w:r w:rsidRPr="00D15FC0">
        <w:rPr>
          <w:b/>
          <w:sz w:val="24"/>
          <w:szCs w:val="24"/>
        </w:rPr>
        <w:tab/>
        <w:t xml:space="preserve">Regler for </w:t>
      </w:r>
      <w:r w:rsidR="00BD7931" w:rsidRPr="00D15FC0">
        <w:rPr>
          <w:b/>
          <w:sz w:val="24"/>
          <w:szCs w:val="24"/>
        </w:rPr>
        <w:t>bortskaffelse</w:t>
      </w:r>
      <w:r w:rsidRPr="00D15FC0">
        <w:rPr>
          <w:b/>
          <w:sz w:val="24"/>
          <w:szCs w:val="24"/>
        </w:rPr>
        <w:t xml:space="preserve"> og anden håndtering</w:t>
      </w:r>
    </w:p>
    <w:p w14:paraId="75CC7A8B" w14:textId="7777777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>Ikke anvendt lægemiddel samt affald heraf skal bortskaffes i henhold til lokale retningslinjer.</w:t>
      </w:r>
    </w:p>
    <w:p w14:paraId="7933B75A" w14:textId="77777777" w:rsidR="008D309A" w:rsidRDefault="008D309A" w:rsidP="00D15FC0">
      <w:pPr>
        <w:ind w:left="851"/>
        <w:rPr>
          <w:sz w:val="24"/>
          <w:szCs w:val="24"/>
        </w:rPr>
      </w:pPr>
    </w:p>
    <w:p w14:paraId="408629B2" w14:textId="1BC53FF7" w:rsidR="0050644D" w:rsidRPr="00D15FC0" w:rsidRDefault="0050644D" w:rsidP="00D15FC0">
      <w:pPr>
        <w:ind w:left="851"/>
        <w:rPr>
          <w:sz w:val="24"/>
          <w:szCs w:val="24"/>
        </w:rPr>
      </w:pPr>
      <w:r w:rsidRPr="00D15FC0">
        <w:rPr>
          <w:sz w:val="24"/>
          <w:szCs w:val="24"/>
        </w:rPr>
        <w:t xml:space="preserve">Dette lægemiddel kan fortyndes i 500 ml af en af følgende opløsninger: 9 mg/ml (0,9 %) </w:t>
      </w:r>
      <w:proofErr w:type="spellStart"/>
      <w:r w:rsidRPr="00D15FC0">
        <w:rPr>
          <w:sz w:val="24"/>
          <w:szCs w:val="24"/>
        </w:rPr>
        <w:t>natriumchloridopløsning</w:t>
      </w:r>
      <w:proofErr w:type="spellEnd"/>
      <w:r w:rsidRPr="00D15FC0">
        <w:rPr>
          <w:sz w:val="24"/>
          <w:szCs w:val="24"/>
        </w:rPr>
        <w:t xml:space="preserve"> til injektion eller 50 mg/ml (5 %) glukoseopløsning til injektion.</w:t>
      </w:r>
    </w:p>
    <w:p w14:paraId="696E7538" w14:textId="77777777" w:rsidR="009260DE" w:rsidRPr="00D15FC0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4D93C49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7.</w:t>
      </w:r>
      <w:r w:rsidRPr="00D15FC0">
        <w:rPr>
          <w:b/>
          <w:sz w:val="24"/>
          <w:szCs w:val="24"/>
        </w:rPr>
        <w:tab/>
        <w:t>INDEHAVER AF MARKEDSFØRINGSTILLADELSEN</w:t>
      </w:r>
    </w:p>
    <w:p w14:paraId="7C2A5A08" w14:textId="77777777" w:rsidR="0050644D" w:rsidRPr="00D15FC0" w:rsidRDefault="0050644D" w:rsidP="00D15FC0">
      <w:pPr>
        <w:ind w:left="851"/>
        <w:rPr>
          <w:sz w:val="24"/>
          <w:szCs w:val="24"/>
        </w:rPr>
      </w:pPr>
      <w:proofErr w:type="spellStart"/>
      <w:r w:rsidRPr="00D15FC0">
        <w:rPr>
          <w:sz w:val="24"/>
          <w:szCs w:val="24"/>
        </w:rPr>
        <w:t>Unicorn</w:t>
      </w:r>
      <w:proofErr w:type="spellEnd"/>
      <w:r w:rsidRPr="00D15FC0">
        <w:rPr>
          <w:sz w:val="24"/>
          <w:szCs w:val="24"/>
        </w:rPr>
        <w:t xml:space="preserve"> Pharmaceuticals Limited </w:t>
      </w:r>
    </w:p>
    <w:p w14:paraId="7FCCEC26" w14:textId="4B86836A" w:rsidR="0050644D" w:rsidRPr="00D15FC0" w:rsidRDefault="0050644D" w:rsidP="00D15FC0">
      <w:pPr>
        <w:ind w:left="851"/>
        <w:rPr>
          <w:sz w:val="24"/>
          <w:szCs w:val="24"/>
          <w:lang w:val="en-US"/>
        </w:rPr>
      </w:pPr>
      <w:r w:rsidRPr="00D15FC0">
        <w:rPr>
          <w:sz w:val="24"/>
          <w:szCs w:val="24"/>
          <w:lang w:val="en-US"/>
        </w:rPr>
        <w:t>Business House Suite 7</w:t>
      </w:r>
    </w:p>
    <w:p w14:paraId="738C68C2" w14:textId="026C64BC" w:rsidR="0050644D" w:rsidRPr="00D15FC0" w:rsidRDefault="0050644D" w:rsidP="00D15FC0">
      <w:pPr>
        <w:ind w:left="851"/>
        <w:rPr>
          <w:sz w:val="24"/>
          <w:szCs w:val="24"/>
          <w:lang w:val="en-US"/>
        </w:rPr>
      </w:pPr>
      <w:proofErr w:type="spellStart"/>
      <w:r w:rsidRPr="00D15FC0">
        <w:rPr>
          <w:sz w:val="24"/>
          <w:szCs w:val="24"/>
          <w:lang w:val="en-US"/>
        </w:rPr>
        <w:t>Triq</w:t>
      </w:r>
      <w:proofErr w:type="spellEnd"/>
      <w:r w:rsidRPr="00D15FC0">
        <w:rPr>
          <w:sz w:val="24"/>
          <w:szCs w:val="24"/>
          <w:lang w:val="en-US"/>
        </w:rPr>
        <w:t xml:space="preserve"> l-</w:t>
      </w:r>
      <w:proofErr w:type="spellStart"/>
      <w:r w:rsidRPr="00D15FC0">
        <w:rPr>
          <w:sz w:val="24"/>
          <w:szCs w:val="24"/>
          <w:lang w:val="en-US"/>
        </w:rPr>
        <w:t>Arcisqof</w:t>
      </w:r>
      <w:proofErr w:type="spellEnd"/>
      <w:r w:rsidRPr="00D15FC0">
        <w:rPr>
          <w:sz w:val="24"/>
          <w:szCs w:val="24"/>
          <w:lang w:val="en-US"/>
        </w:rPr>
        <w:t xml:space="preserve"> Pietru Pace </w:t>
      </w:r>
    </w:p>
    <w:p w14:paraId="545BFE29" w14:textId="77777777" w:rsidR="00D556D2" w:rsidRPr="00AA6D4F" w:rsidRDefault="0050644D" w:rsidP="00D15FC0">
      <w:pPr>
        <w:ind w:left="851"/>
        <w:rPr>
          <w:sz w:val="24"/>
          <w:szCs w:val="24"/>
        </w:rPr>
      </w:pPr>
      <w:r w:rsidRPr="00AA6D4F">
        <w:rPr>
          <w:sz w:val="24"/>
          <w:szCs w:val="24"/>
        </w:rPr>
        <w:t>Victoria (Gozo), VCT 2504</w:t>
      </w:r>
    </w:p>
    <w:p w14:paraId="6C9BDD86" w14:textId="30269CD9" w:rsidR="0050644D" w:rsidRPr="00AA6D4F" w:rsidRDefault="0050644D" w:rsidP="00D15FC0">
      <w:pPr>
        <w:ind w:left="851"/>
        <w:rPr>
          <w:sz w:val="24"/>
          <w:szCs w:val="24"/>
        </w:rPr>
      </w:pPr>
      <w:r w:rsidRPr="00AA6D4F">
        <w:rPr>
          <w:sz w:val="24"/>
          <w:szCs w:val="24"/>
        </w:rPr>
        <w:t>Malta</w:t>
      </w:r>
    </w:p>
    <w:p w14:paraId="6D3F48DA" w14:textId="77777777" w:rsidR="00641C65" w:rsidRPr="00D15FC0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FDACED4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8.</w:t>
      </w:r>
      <w:r w:rsidRPr="00D15FC0">
        <w:rPr>
          <w:b/>
          <w:sz w:val="24"/>
          <w:szCs w:val="24"/>
        </w:rPr>
        <w:tab/>
        <w:t>MARKEDSFØRINGSTILLADELSESNUMMER (</w:t>
      </w:r>
      <w:r w:rsidR="00BF6243" w:rsidRPr="00D15FC0">
        <w:rPr>
          <w:b/>
          <w:sz w:val="24"/>
          <w:szCs w:val="24"/>
        </w:rPr>
        <w:t>-</w:t>
      </w:r>
      <w:r w:rsidRPr="00D15FC0">
        <w:rPr>
          <w:b/>
          <w:sz w:val="24"/>
          <w:szCs w:val="24"/>
        </w:rPr>
        <w:t>NUMRE)</w:t>
      </w:r>
    </w:p>
    <w:p w14:paraId="783D69C3" w14:textId="0A156A78" w:rsidR="009260DE" w:rsidRPr="00D15FC0" w:rsidRDefault="0050644D" w:rsidP="009260DE">
      <w:pPr>
        <w:tabs>
          <w:tab w:val="left" w:pos="851"/>
        </w:tabs>
        <w:ind w:left="851"/>
        <w:rPr>
          <w:sz w:val="24"/>
          <w:szCs w:val="24"/>
        </w:rPr>
      </w:pPr>
      <w:r w:rsidRPr="00D15FC0">
        <w:rPr>
          <w:sz w:val="24"/>
          <w:szCs w:val="24"/>
        </w:rPr>
        <w:t>71411</w:t>
      </w:r>
    </w:p>
    <w:p w14:paraId="670F5A5E" w14:textId="77777777" w:rsidR="009260DE" w:rsidRPr="00D15FC0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30AC427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9.</w:t>
      </w:r>
      <w:r w:rsidRPr="00D15FC0">
        <w:rPr>
          <w:b/>
          <w:sz w:val="24"/>
          <w:szCs w:val="24"/>
        </w:rPr>
        <w:tab/>
        <w:t>DATO FOR FØRSTE MARKEDSFØRINGSTILLADELSE</w:t>
      </w:r>
    </w:p>
    <w:p w14:paraId="5F13FD9C" w14:textId="70992D62" w:rsidR="009260DE" w:rsidRPr="00D15FC0" w:rsidRDefault="00AA6D4F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20. marts 2026</w:t>
      </w:r>
    </w:p>
    <w:p w14:paraId="1CF523AA" w14:textId="77777777" w:rsidR="009260DE" w:rsidRPr="00D15FC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65EA02" w14:textId="77777777" w:rsidR="009260DE" w:rsidRPr="00D15FC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5FC0">
        <w:rPr>
          <w:b/>
          <w:sz w:val="24"/>
          <w:szCs w:val="24"/>
        </w:rPr>
        <w:t>10.</w:t>
      </w:r>
      <w:r w:rsidRPr="00D15FC0">
        <w:rPr>
          <w:b/>
          <w:sz w:val="24"/>
          <w:szCs w:val="24"/>
        </w:rPr>
        <w:tab/>
        <w:t>DATO FOR ÆNDRING AF TEKSTEN</w:t>
      </w:r>
    </w:p>
    <w:p w14:paraId="77CEF982" w14:textId="35426CD1" w:rsidR="009260DE" w:rsidRPr="00D15FC0" w:rsidRDefault="0050644D" w:rsidP="009260DE">
      <w:pPr>
        <w:tabs>
          <w:tab w:val="left" w:pos="851"/>
        </w:tabs>
        <w:ind w:left="851"/>
        <w:rPr>
          <w:sz w:val="24"/>
          <w:szCs w:val="24"/>
        </w:rPr>
      </w:pPr>
      <w:r w:rsidRPr="00D15FC0">
        <w:rPr>
          <w:sz w:val="24"/>
          <w:szCs w:val="24"/>
        </w:rPr>
        <w:t>-</w:t>
      </w:r>
    </w:p>
    <w:sectPr w:rsidR="009260DE" w:rsidRPr="00D15FC0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33F4" w14:textId="77777777" w:rsidR="007F079F" w:rsidRDefault="007F079F">
      <w:r>
        <w:separator/>
      </w:r>
    </w:p>
  </w:endnote>
  <w:endnote w:type="continuationSeparator" w:id="0">
    <w:p w14:paraId="3D27021F" w14:textId="77777777" w:rsidR="007F079F" w:rsidRDefault="007F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3846" w14:textId="77777777" w:rsidR="000259B9" w:rsidRDefault="000259B9">
    <w:pPr>
      <w:pStyle w:val="Sidefod"/>
      <w:pBdr>
        <w:bottom w:val="single" w:sz="6" w:space="1" w:color="auto"/>
      </w:pBdr>
    </w:pPr>
  </w:p>
  <w:p w14:paraId="2B45B291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2BE0360D" w14:textId="21677B9C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F03176">
      <w:rPr>
        <w:i/>
        <w:noProof/>
        <w:sz w:val="18"/>
        <w:szCs w:val="18"/>
      </w:rPr>
      <w:t>Isoprenaline Hydrochloride Unicorn Pharma, koncentrat til infusionsvæske, opløsning 0,2 mg-ml.docx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8094" w14:textId="77777777" w:rsidR="007F079F" w:rsidRDefault="007F079F">
      <w:r>
        <w:separator/>
      </w:r>
    </w:p>
  </w:footnote>
  <w:footnote w:type="continuationSeparator" w:id="0">
    <w:p w14:paraId="470B9A9A" w14:textId="77777777" w:rsidR="007F079F" w:rsidRDefault="007F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A0D07F3"/>
    <w:multiLevelType w:val="hybridMultilevel"/>
    <w:tmpl w:val="5584254A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D777FF"/>
    <w:multiLevelType w:val="hybridMultilevel"/>
    <w:tmpl w:val="94E215D6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C872E02"/>
    <w:multiLevelType w:val="hybridMultilevel"/>
    <w:tmpl w:val="A316035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59F7652"/>
    <w:multiLevelType w:val="hybridMultilevel"/>
    <w:tmpl w:val="054A3C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5ACA"/>
    <w:multiLevelType w:val="hybridMultilevel"/>
    <w:tmpl w:val="7B7A951E"/>
    <w:lvl w:ilvl="0" w:tplc="088E7628">
      <w:numFmt w:val="bullet"/>
      <w:lvlText w:val="•"/>
      <w:lvlJc w:val="left"/>
      <w:pPr>
        <w:ind w:left="360" w:hanging="360"/>
      </w:pPr>
      <w:rPr>
        <w:rFonts w:ascii="Times New Roman Regular" w:eastAsia="Arial" w:hAnsi="Times New Roman Regular" w:cs="Times New Roman Regular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2447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41418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82016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933802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00847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3239224">
    <w:abstractNumId w:val="9"/>
  </w:num>
  <w:num w:numId="7" w16cid:durableId="2085373254">
    <w:abstractNumId w:val="8"/>
  </w:num>
  <w:num w:numId="8" w16cid:durableId="1239171487">
    <w:abstractNumId w:val="2"/>
  </w:num>
  <w:num w:numId="9" w16cid:durableId="888960406">
    <w:abstractNumId w:val="6"/>
  </w:num>
  <w:num w:numId="10" w16cid:durableId="53322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206CE8"/>
    <w:rsid w:val="0021526C"/>
    <w:rsid w:val="00283A2B"/>
    <w:rsid w:val="002B30AD"/>
    <w:rsid w:val="002C1EC0"/>
    <w:rsid w:val="002C2C01"/>
    <w:rsid w:val="002C44D5"/>
    <w:rsid w:val="003A29AE"/>
    <w:rsid w:val="003A32D7"/>
    <w:rsid w:val="003B4074"/>
    <w:rsid w:val="003C769A"/>
    <w:rsid w:val="003D3A90"/>
    <w:rsid w:val="003F1838"/>
    <w:rsid w:val="004251C1"/>
    <w:rsid w:val="00454284"/>
    <w:rsid w:val="0045746C"/>
    <w:rsid w:val="0049104B"/>
    <w:rsid w:val="004E3B12"/>
    <w:rsid w:val="004F01B0"/>
    <w:rsid w:val="0050644D"/>
    <w:rsid w:val="0053210D"/>
    <w:rsid w:val="00532310"/>
    <w:rsid w:val="00565F0F"/>
    <w:rsid w:val="00594A86"/>
    <w:rsid w:val="00596D86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B6649"/>
    <w:rsid w:val="007F079F"/>
    <w:rsid w:val="0082576E"/>
    <w:rsid w:val="0089346F"/>
    <w:rsid w:val="008D309A"/>
    <w:rsid w:val="00907F75"/>
    <w:rsid w:val="009260DE"/>
    <w:rsid w:val="0093258A"/>
    <w:rsid w:val="009C7BA3"/>
    <w:rsid w:val="009D1F5A"/>
    <w:rsid w:val="00A10294"/>
    <w:rsid w:val="00AA6D4F"/>
    <w:rsid w:val="00B003BF"/>
    <w:rsid w:val="00B373D7"/>
    <w:rsid w:val="00B55271"/>
    <w:rsid w:val="00BD7931"/>
    <w:rsid w:val="00BF6243"/>
    <w:rsid w:val="00C36276"/>
    <w:rsid w:val="00C37C56"/>
    <w:rsid w:val="00C42586"/>
    <w:rsid w:val="00C45F6B"/>
    <w:rsid w:val="00C60CCD"/>
    <w:rsid w:val="00C84483"/>
    <w:rsid w:val="00C95551"/>
    <w:rsid w:val="00CB20D7"/>
    <w:rsid w:val="00CF19FF"/>
    <w:rsid w:val="00D020B0"/>
    <w:rsid w:val="00D11748"/>
    <w:rsid w:val="00D15FC0"/>
    <w:rsid w:val="00D237F6"/>
    <w:rsid w:val="00D34D98"/>
    <w:rsid w:val="00D366CF"/>
    <w:rsid w:val="00D556D2"/>
    <w:rsid w:val="00D92679"/>
    <w:rsid w:val="00D93992"/>
    <w:rsid w:val="00E108AA"/>
    <w:rsid w:val="00E3749A"/>
    <w:rsid w:val="00E7437F"/>
    <w:rsid w:val="00E865B8"/>
    <w:rsid w:val="00EC0B9B"/>
    <w:rsid w:val="00ED5E9F"/>
    <w:rsid w:val="00F03176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F63C5"/>
  <w15:chartTrackingRefBased/>
  <w15:docId w15:val="{863ADC64-32D1-41AA-A2C6-C5C9348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5064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644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F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83</TotalTime>
  <Pages>7</Pages>
  <Words>1663</Words>
  <Characters>11191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2024031374, MT</dc:description>
  <cp:lastModifiedBy>Gitte Jørgensen</cp:lastModifiedBy>
  <cp:revision>12</cp:revision>
  <cp:lastPrinted>2012-08-22T08:53:00Z</cp:lastPrinted>
  <dcterms:created xsi:type="dcterms:W3CDTF">2026-03-20T08:06:00Z</dcterms:created>
  <dcterms:modified xsi:type="dcterms:W3CDTF">2026-03-20T12:37:00Z</dcterms:modified>
</cp:coreProperties>
</file>